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F074" w14:textId="77777777" w:rsidR="00D305CB" w:rsidRDefault="00D305CB" w:rsidP="00946FF3">
      <w:pPr>
        <w:spacing w:before="0" w:after="0" w:line="240" w:lineRule="auto"/>
        <w:ind w:left="0" w:firstLine="0"/>
        <w:rPr>
          <w:rFonts w:ascii="Times New Roman" w:eastAsia="Times New Roman" w:hAnsi="Times New Roman" w:cs="Times New Roman"/>
          <w:b/>
          <w:sz w:val="32"/>
          <w:szCs w:val="32"/>
          <w:lang w:eastAsia="en-IE"/>
        </w:rPr>
      </w:pPr>
      <w:bookmarkStart w:id="0" w:name="_GoBack"/>
      <w:bookmarkEnd w:id="0"/>
    </w:p>
    <w:p w14:paraId="1E2D70C7" w14:textId="77777777" w:rsidR="00C410C9" w:rsidRPr="00C410C9" w:rsidRDefault="00C410C9" w:rsidP="00C410C9">
      <w:pPr>
        <w:spacing w:before="0" w:after="0" w:line="240" w:lineRule="auto"/>
        <w:ind w:left="0" w:firstLine="0"/>
        <w:jc w:val="center"/>
        <w:rPr>
          <w:rFonts w:ascii="Times New Roman" w:eastAsia="Times New Roman" w:hAnsi="Times New Roman" w:cs="Times New Roman"/>
          <w:b/>
          <w:sz w:val="32"/>
          <w:szCs w:val="32"/>
          <w:lang w:eastAsia="en-IE"/>
        </w:rPr>
      </w:pPr>
      <w:r w:rsidRPr="00C410C9">
        <w:rPr>
          <w:rFonts w:ascii="Times New Roman" w:eastAsia="Times New Roman" w:hAnsi="Times New Roman" w:cs="Times New Roman"/>
          <w:b/>
          <w:sz w:val="32"/>
          <w:szCs w:val="32"/>
          <w:lang w:eastAsia="en-IE"/>
        </w:rPr>
        <w:t>THE COURT OF APPEAL</w:t>
      </w:r>
    </w:p>
    <w:p w14:paraId="504C4594" w14:textId="77777777" w:rsidR="00C410C9" w:rsidRPr="00C410C9" w:rsidRDefault="00C410C9" w:rsidP="00C410C9">
      <w:pPr>
        <w:spacing w:before="0" w:after="0" w:line="240" w:lineRule="auto"/>
        <w:ind w:left="0" w:firstLine="0"/>
        <w:jc w:val="center"/>
        <w:rPr>
          <w:rFonts w:ascii="Times New Roman" w:eastAsia="Times New Roman" w:hAnsi="Times New Roman" w:cs="Times New Roman"/>
          <w:b/>
          <w:sz w:val="32"/>
          <w:szCs w:val="32"/>
          <w:lang w:eastAsia="en-IE"/>
        </w:rPr>
      </w:pPr>
      <w:r w:rsidRPr="00C410C9">
        <w:rPr>
          <w:rFonts w:ascii="Times New Roman" w:eastAsia="Times New Roman" w:hAnsi="Times New Roman" w:cs="Times New Roman"/>
          <w:b/>
          <w:sz w:val="32"/>
          <w:szCs w:val="32"/>
          <w:lang w:eastAsia="en-IE"/>
        </w:rPr>
        <w:t>CIVIL</w:t>
      </w:r>
    </w:p>
    <w:p w14:paraId="19161CF4" w14:textId="77777777" w:rsidR="00C410C9" w:rsidRDefault="00C410C9" w:rsidP="00C410C9">
      <w:pPr>
        <w:spacing w:before="0" w:after="0" w:line="240" w:lineRule="auto"/>
        <w:ind w:left="0" w:firstLine="0"/>
        <w:jc w:val="right"/>
        <w:rPr>
          <w:rFonts w:ascii="Times New Roman" w:eastAsia="Times New Roman" w:hAnsi="Times New Roman" w:cs="Times New Roman"/>
          <w:b/>
          <w:sz w:val="24"/>
          <w:szCs w:val="24"/>
          <w:lang w:eastAsia="en-IE"/>
        </w:rPr>
      </w:pPr>
    </w:p>
    <w:p w14:paraId="00617C7C" w14:textId="77777777" w:rsidR="00C410C9" w:rsidRPr="00C410C9" w:rsidRDefault="00C410C9" w:rsidP="00C410C9">
      <w:pPr>
        <w:spacing w:before="0" w:after="0" w:line="240" w:lineRule="auto"/>
        <w:ind w:left="0" w:firstLine="0"/>
        <w:jc w:val="right"/>
        <w:rPr>
          <w:rFonts w:ascii="Times New Roman" w:eastAsia="Times New Roman" w:hAnsi="Times New Roman" w:cs="Times New Roman"/>
          <w:b/>
          <w:sz w:val="24"/>
          <w:szCs w:val="24"/>
          <w:lang w:eastAsia="en-IE"/>
        </w:rPr>
      </w:pPr>
      <w:r w:rsidRPr="00C410C9">
        <w:rPr>
          <w:rFonts w:ascii="Times New Roman" w:eastAsia="Times New Roman" w:hAnsi="Times New Roman" w:cs="Times New Roman"/>
          <w:b/>
          <w:sz w:val="24"/>
          <w:szCs w:val="24"/>
          <w:lang w:eastAsia="en-IE"/>
        </w:rPr>
        <w:t>Court of Appeal Record No. 20</w:t>
      </w:r>
      <w:r>
        <w:rPr>
          <w:rFonts w:ascii="Times New Roman" w:eastAsia="Times New Roman" w:hAnsi="Times New Roman" w:cs="Times New Roman"/>
          <w:b/>
          <w:sz w:val="24"/>
          <w:szCs w:val="24"/>
          <w:lang w:eastAsia="en-IE"/>
        </w:rPr>
        <w:t>20</w:t>
      </w:r>
      <w:r w:rsidRPr="00C410C9">
        <w:rPr>
          <w:rFonts w:ascii="Times New Roman" w:eastAsia="Times New Roman" w:hAnsi="Times New Roman" w:cs="Times New Roman"/>
          <w:b/>
          <w:sz w:val="24"/>
          <w:szCs w:val="24"/>
          <w:lang w:eastAsia="en-IE"/>
        </w:rPr>
        <w:t>/</w:t>
      </w:r>
      <w:r>
        <w:rPr>
          <w:rFonts w:ascii="Times New Roman" w:eastAsia="Times New Roman" w:hAnsi="Times New Roman" w:cs="Times New Roman"/>
          <w:b/>
          <w:sz w:val="24"/>
          <w:szCs w:val="24"/>
          <w:lang w:eastAsia="en-IE"/>
        </w:rPr>
        <w:t>104</w:t>
      </w:r>
    </w:p>
    <w:p w14:paraId="36F14B3B" w14:textId="77777777" w:rsidR="00C410C9" w:rsidRPr="00C410C9" w:rsidRDefault="00C410C9" w:rsidP="00C410C9">
      <w:pPr>
        <w:spacing w:before="0" w:after="0" w:line="240" w:lineRule="auto"/>
        <w:ind w:left="0" w:firstLine="0"/>
        <w:jc w:val="right"/>
        <w:rPr>
          <w:rFonts w:ascii="Times New Roman" w:eastAsia="Times New Roman" w:hAnsi="Times New Roman" w:cs="Times New Roman"/>
          <w:b/>
          <w:sz w:val="24"/>
          <w:szCs w:val="24"/>
          <w:lang w:eastAsia="en-IE"/>
        </w:rPr>
      </w:pPr>
      <w:r w:rsidRPr="00C410C9">
        <w:rPr>
          <w:rFonts w:ascii="Times New Roman" w:eastAsia="Times New Roman" w:hAnsi="Times New Roman" w:cs="Times New Roman"/>
          <w:b/>
          <w:sz w:val="24"/>
          <w:szCs w:val="24"/>
          <w:lang w:eastAsia="en-IE"/>
        </w:rPr>
        <w:t xml:space="preserve">High Court Record No. </w:t>
      </w:r>
      <w:r>
        <w:rPr>
          <w:rFonts w:ascii="Times New Roman" w:eastAsia="Times New Roman" w:hAnsi="Times New Roman" w:cs="Times New Roman"/>
          <w:b/>
          <w:sz w:val="24"/>
          <w:szCs w:val="24"/>
          <w:lang w:eastAsia="en-IE"/>
        </w:rPr>
        <w:t>2014</w:t>
      </w:r>
      <w:r w:rsidRPr="00C410C9">
        <w:rPr>
          <w:rFonts w:ascii="Times New Roman" w:eastAsia="Times New Roman" w:hAnsi="Times New Roman" w:cs="Times New Roman"/>
          <w:b/>
          <w:sz w:val="24"/>
          <w:szCs w:val="24"/>
          <w:lang w:eastAsia="en-IE"/>
        </w:rPr>
        <w:t>/</w:t>
      </w:r>
      <w:r>
        <w:rPr>
          <w:rFonts w:ascii="Times New Roman" w:eastAsia="Times New Roman" w:hAnsi="Times New Roman" w:cs="Times New Roman"/>
          <w:b/>
          <w:sz w:val="24"/>
          <w:szCs w:val="24"/>
          <w:lang w:eastAsia="en-IE"/>
        </w:rPr>
        <w:t>6750</w:t>
      </w:r>
      <w:r w:rsidRPr="00C410C9">
        <w:rPr>
          <w:rFonts w:ascii="Times New Roman" w:eastAsia="Times New Roman" w:hAnsi="Times New Roman" w:cs="Times New Roman"/>
          <w:b/>
          <w:sz w:val="24"/>
          <w:szCs w:val="24"/>
          <w:lang w:eastAsia="en-IE"/>
        </w:rPr>
        <w:t>P</w:t>
      </w:r>
    </w:p>
    <w:p w14:paraId="36EC8846" w14:textId="631FE694" w:rsidR="00AE0E19" w:rsidRPr="00EC5025" w:rsidRDefault="00EC5025" w:rsidP="00EC5025">
      <w:pPr>
        <w:spacing w:before="0" w:after="0" w:line="240" w:lineRule="auto"/>
        <w:ind w:left="0" w:firstLine="0"/>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Neutral Citation No. </w:t>
      </w:r>
      <w:r w:rsidR="009D2088">
        <w:rPr>
          <w:rFonts w:ascii="Times New Roman" w:eastAsia="Times New Roman" w:hAnsi="Times New Roman" w:cs="Times New Roman"/>
          <w:b/>
          <w:sz w:val="24"/>
          <w:szCs w:val="24"/>
          <w:lang w:eastAsia="en-IE"/>
        </w:rPr>
        <w:t xml:space="preserve">[2021] </w:t>
      </w:r>
      <w:r w:rsidR="009377D9">
        <w:rPr>
          <w:rFonts w:ascii="Times New Roman" w:eastAsia="Times New Roman" w:hAnsi="Times New Roman" w:cs="Times New Roman"/>
          <w:b/>
          <w:sz w:val="24"/>
          <w:szCs w:val="24"/>
          <w:lang w:eastAsia="en-IE"/>
        </w:rPr>
        <w:t>IECA 248</w:t>
      </w:r>
    </w:p>
    <w:p w14:paraId="22808165" w14:textId="77777777" w:rsidR="00AE0E19" w:rsidRDefault="00AE0E19" w:rsidP="006845C1">
      <w:pPr>
        <w:spacing w:before="0" w:after="0" w:line="240" w:lineRule="auto"/>
        <w:ind w:left="0" w:firstLine="0"/>
        <w:rPr>
          <w:rFonts w:ascii="Times New Roman" w:eastAsia="Times New Roman" w:hAnsi="Times New Roman" w:cs="Times New Roman"/>
          <w:b/>
          <w:sz w:val="28"/>
          <w:szCs w:val="28"/>
          <w:u w:val="single"/>
          <w:lang w:eastAsia="en-IE"/>
        </w:rPr>
      </w:pPr>
    </w:p>
    <w:p w14:paraId="4D5AF02B" w14:textId="77777777" w:rsidR="00AE0E19" w:rsidRDefault="00AE0E19" w:rsidP="006845C1">
      <w:pPr>
        <w:spacing w:before="0" w:after="0" w:line="240" w:lineRule="auto"/>
        <w:ind w:left="0" w:firstLine="0"/>
        <w:rPr>
          <w:rFonts w:ascii="Times New Roman" w:eastAsia="Times New Roman" w:hAnsi="Times New Roman" w:cs="Times New Roman"/>
          <w:b/>
          <w:sz w:val="28"/>
          <w:szCs w:val="28"/>
          <w:u w:val="single"/>
          <w:lang w:eastAsia="en-IE"/>
        </w:rPr>
      </w:pPr>
    </w:p>
    <w:p w14:paraId="3F829C66" w14:textId="77777777" w:rsidR="00AE0E19" w:rsidRDefault="00AE0E19" w:rsidP="006845C1">
      <w:pPr>
        <w:spacing w:before="0" w:after="0" w:line="240" w:lineRule="auto"/>
        <w:ind w:left="0" w:firstLine="0"/>
        <w:rPr>
          <w:rFonts w:ascii="Times New Roman" w:eastAsia="Times New Roman" w:hAnsi="Times New Roman" w:cs="Times New Roman"/>
          <w:b/>
          <w:sz w:val="28"/>
          <w:szCs w:val="28"/>
          <w:u w:val="single"/>
          <w:lang w:eastAsia="en-IE"/>
        </w:rPr>
      </w:pPr>
    </w:p>
    <w:p w14:paraId="50B032EA" w14:textId="77777777" w:rsidR="00AE0E19" w:rsidRDefault="00AE0E19" w:rsidP="006845C1">
      <w:pPr>
        <w:spacing w:before="0" w:after="0" w:line="240" w:lineRule="auto"/>
        <w:ind w:left="0" w:firstLine="0"/>
        <w:rPr>
          <w:rFonts w:ascii="Times New Roman" w:eastAsia="Times New Roman" w:hAnsi="Times New Roman" w:cs="Times New Roman"/>
          <w:b/>
          <w:sz w:val="28"/>
          <w:szCs w:val="28"/>
          <w:u w:val="single"/>
          <w:lang w:eastAsia="en-IE"/>
        </w:rPr>
      </w:pPr>
    </w:p>
    <w:p w14:paraId="61DFFA63" w14:textId="1B981C9B" w:rsidR="006845C1" w:rsidRPr="006845C1" w:rsidRDefault="006845C1" w:rsidP="006845C1">
      <w:pPr>
        <w:spacing w:before="0" w:after="0" w:line="240" w:lineRule="auto"/>
        <w:ind w:left="0" w:firstLine="0"/>
        <w:rPr>
          <w:rFonts w:ascii="Times New Roman" w:eastAsia="Times New Roman" w:hAnsi="Times New Roman" w:cs="Times New Roman"/>
          <w:b/>
          <w:sz w:val="28"/>
          <w:szCs w:val="28"/>
          <w:u w:val="single"/>
          <w:lang w:eastAsia="en-IE"/>
        </w:rPr>
      </w:pPr>
    </w:p>
    <w:p w14:paraId="68959C07" w14:textId="77777777" w:rsidR="006845C1" w:rsidRPr="00C410C9" w:rsidRDefault="006845C1" w:rsidP="006845C1">
      <w:pPr>
        <w:spacing w:before="0" w:after="0" w:line="240" w:lineRule="auto"/>
        <w:ind w:left="0" w:firstLine="0"/>
        <w:rPr>
          <w:rFonts w:ascii="Times New Roman" w:eastAsia="Times New Roman" w:hAnsi="Times New Roman" w:cs="Times New Roman"/>
          <w:b/>
          <w:sz w:val="28"/>
          <w:szCs w:val="28"/>
          <w:u w:val="single"/>
          <w:lang w:eastAsia="en-IE"/>
        </w:rPr>
      </w:pPr>
      <w:r w:rsidRPr="006845C1">
        <w:rPr>
          <w:rFonts w:ascii="Times New Roman" w:eastAsia="Times New Roman" w:hAnsi="Times New Roman" w:cs="Times New Roman"/>
          <w:b/>
          <w:sz w:val="28"/>
          <w:szCs w:val="28"/>
          <w:u w:val="single"/>
          <w:lang w:eastAsia="en-IE"/>
        </w:rPr>
        <w:t>NO REDACTION NEEDED</w:t>
      </w:r>
    </w:p>
    <w:p w14:paraId="4E8FA03E" w14:textId="77777777" w:rsidR="00C410C9" w:rsidRDefault="00C410C9" w:rsidP="00C410C9">
      <w:pPr>
        <w:spacing w:before="0" w:after="0" w:line="240" w:lineRule="auto"/>
        <w:ind w:left="0" w:firstLine="0"/>
        <w:rPr>
          <w:rFonts w:ascii="Times New Roman" w:eastAsia="Times New Roman" w:hAnsi="Times New Roman" w:cs="Times New Roman"/>
          <w:b/>
          <w:sz w:val="24"/>
          <w:szCs w:val="24"/>
          <w:lang w:eastAsia="en-IE"/>
        </w:rPr>
      </w:pPr>
    </w:p>
    <w:p w14:paraId="77035358" w14:textId="77777777" w:rsidR="006845C1" w:rsidRDefault="006845C1" w:rsidP="00C410C9">
      <w:pPr>
        <w:spacing w:before="0" w:after="0" w:line="240" w:lineRule="auto"/>
        <w:ind w:left="0" w:firstLine="0"/>
        <w:rPr>
          <w:rFonts w:ascii="Times New Roman" w:eastAsia="Times New Roman" w:hAnsi="Times New Roman" w:cs="Times New Roman"/>
          <w:b/>
          <w:sz w:val="24"/>
          <w:szCs w:val="24"/>
          <w:lang w:eastAsia="en-IE"/>
        </w:rPr>
      </w:pPr>
    </w:p>
    <w:p w14:paraId="55A15B97" w14:textId="77777777" w:rsidR="00C410C9" w:rsidRPr="00C410C9" w:rsidRDefault="00C410C9" w:rsidP="00C410C9">
      <w:pPr>
        <w:spacing w:before="0" w:after="0" w:line="240" w:lineRule="auto"/>
        <w:ind w:left="0" w:firstLine="0"/>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Whelan</w:t>
      </w:r>
      <w:r w:rsidRPr="00C410C9">
        <w:rPr>
          <w:rFonts w:ascii="Times New Roman" w:eastAsia="Times New Roman" w:hAnsi="Times New Roman" w:cs="Times New Roman"/>
          <w:b/>
          <w:sz w:val="24"/>
          <w:szCs w:val="24"/>
          <w:lang w:eastAsia="en-IE"/>
        </w:rPr>
        <w:t xml:space="preserve"> J.</w:t>
      </w:r>
    </w:p>
    <w:p w14:paraId="2A439D2D" w14:textId="77777777" w:rsidR="00C410C9" w:rsidRPr="00C410C9" w:rsidRDefault="00C410C9" w:rsidP="00C410C9">
      <w:pPr>
        <w:spacing w:before="0" w:after="0" w:line="240" w:lineRule="auto"/>
        <w:ind w:left="0" w:firstLine="0"/>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Haughton</w:t>
      </w:r>
      <w:r w:rsidRPr="00C410C9">
        <w:rPr>
          <w:rFonts w:ascii="Times New Roman" w:eastAsia="Times New Roman" w:hAnsi="Times New Roman" w:cs="Times New Roman"/>
          <w:b/>
          <w:sz w:val="24"/>
          <w:szCs w:val="24"/>
          <w:lang w:eastAsia="en-IE"/>
        </w:rPr>
        <w:t xml:space="preserve"> J.</w:t>
      </w:r>
    </w:p>
    <w:p w14:paraId="7EF1A1B5" w14:textId="77777777" w:rsidR="00C410C9" w:rsidRPr="00C410C9" w:rsidRDefault="00C410C9" w:rsidP="00C410C9">
      <w:pPr>
        <w:spacing w:before="0" w:after="0" w:line="240" w:lineRule="auto"/>
        <w:ind w:left="0" w:firstLine="0"/>
        <w:rPr>
          <w:rFonts w:ascii="Times New Roman" w:eastAsia="Times New Roman" w:hAnsi="Times New Roman" w:cs="Times New Roman"/>
          <w:b/>
          <w:sz w:val="24"/>
          <w:szCs w:val="24"/>
          <w:lang w:eastAsia="en-IE"/>
        </w:rPr>
      </w:pPr>
      <w:r w:rsidRPr="00C410C9">
        <w:rPr>
          <w:rFonts w:ascii="Times New Roman" w:eastAsia="Times New Roman" w:hAnsi="Times New Roman" w:cs="Times New Roman"/>
          <w:b/>
          <w:sz w:val="24"/>
          <w:szCs w:val="24"/>
          <w:lang w:eastAsia="en-IE"/>
        </w:rPr>
        <w:t>Murray J.</w:t>
      </w:r>
    </w:p>
    <w:p w14:paraId="16D59F35" w14:textId="77777777" w:rsidR="00C410C9" w:rsidRPr="00C410C9" w:rsidRDefault="00C410C9" w:rsidP="00C410C9">
      <w:pPr>
        <w:spacing w:before="0" w:after="0" w:line="240" w:lineRule="auto"/>
        <w:ind w:left="0" w:firstLine="0"/>
        <w:jc w:val="right"/>
        <w:rPr>
          <w:rFonts w:ascii="Times New Roman" w:eastAsia="Times New Roman" w:hAnsi="Times New Roman" w:cs="Times New Roman"/>
          <w:b/>
          <w:sz w:val="24"/>
          <w:szCs w:val="24"/>
          <w:lang w:eastAsia="en-IE"/>
        </w:rPr>
      </w:pPr>
    </w:p>
    <w:p w14:paraId="42DC7198" w14:textId="77777777" w:rsidR="00AE0E19" w:rsidRDefault="00AE0E19" w:rsidP="00C410C9">
      <w:pPr>
        <w:spacing w:before="0" w:after="0"/>
        <w:ind w:left="0" w:firstLine="0"/>
        <w:rPr>
          <w:rFonts w:ascii="Times New Roman" w:eastAsia="Times New Roman" w:hAnsi="Times New Roman" w:cs="Times New Roman"/>
          <w:b/>
          <w:sz w:val="24"/>
          <w:szCs w:val="24"/>
          <w:lang w:eastAsia="en-IE"/>
        </w:rPr>
      </w:pPr>
    </w:p>
    <w:p w14:paraId="487BF2D4" w14:textId="1DFE9D5A" w:rsidR="00C410C9" w:rsidRDefault="00C410C9" w:rsidP="00C410C9">
      <w:pPr>
        <w:spacing w:before="0" w:after="0"/>
        <w:ind w:left="0" w:firstLine="0"/>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BETWEEN</w:t>
      </w:r>
    </w:p>
    <w:p w14:paraId="4BE743F6" w14:textId="77777777" w:rsidR="00AE0E19" w:rsidRPr="00C410C9" w:rsidRDefault="00AE0E19" w:rsidP="00C410C9">
      <w:pPr>
        <w:spacing w:before="0" w:after="0"/>
        <w:ind w:left="0" w:firstLine="0"/>
        <w:rPr>
          <w:rFonts w:ascii="Times New Roman" w:eastAsia="Times New Roman" w:hAnsi="Times New Roman" w:cs="Times New Roman"/>
          <w:b/>
          <w:sz w:val="24"/>
          <w:szCs w:val="24"/>
          <w:lang w:eastAsia="en-IE"/>
        </w:rPr>
      </w:pPr>
    </w:p>
    <w:p w14:paraId="561F845C" w14:textId="77777777" w:rsidR="00C410C9" w:rsidRDefault="00C410C9" w:rsidP="00C410C9">
      <w:pPr>
        <w:spacing w:before="0" w:after="0"/>
        <w:ind w:left="0" w:firstLine="0"/>
        <w:jc w:val="center"/>
        <w:rPr>
          <w:rFonts w:ascii="Times New Roman" w:eastAsia="Times New Roman" w:hAnsi="Times New Roman" w:cs="Times New Roman"/>
          <w:b/>
          <w:sz w:val="24"/>
          <w:szCs w:val="24"/>
          <w:lang w:eastAsia="en-IE"/>
        </w:rPr>
      </w:pPr>
      <w:r w:rsidRPr="006845C1">
        <w:rPr>
          <w:rFonts w:ascii="Times New Roman" w:eastAsia="Times New Roman" w:hAnsi="Times New Roman" w:cs="Times New Roman"/>
          <w:b/>
          <w:sz w:val="24"/>
          <w:szCs w:val="24"/>
          <w:lang w:eastAsia="en-IE"/>
        </w:rPr>
        <w:t>KEN FENNELL</w:t>
      </w:r>
      <w:r w:rsidR="00844DF2">
        <w:rPr>
          <w:rFonts w:ascii="Times New Roman" w:eastAsia="Times New Roman" w:hAnsi="Times New Roman" w:cs="Times New Roman"/>
          <w:b/>
          <w:sz w:val="24"/>
          <w:szCs w:val="24"/>
          <w:lang w:eastAsia="en-IE"/>
        </w:rPr>
        <w:t xml:space="preserve"> (AS RECEIVER OF CERTAIN ASSETS OF HUGH CORRIGAN)</w:t>
      </w:r>
    </w:p>
    <w:p w14:paraId="122592FE" w14:textId="77777777" w:rsidR="00844DF2" w:rsidRPr="00C410C9" w:rsidRDefault="00844DF2" w:rsidP="00C410C9">
      <w:pPr>
        <w:spacing w:before="0" w:after="0"/>
        <w:ind w:left="0" w:firstLine="0"/>
        <w:jc w:val="center"/>
        <w:rPr>
          <w:rFonts w:ascii="Times New Roman" w:eastAsia="Times New Roman" w:hAnsi="Times New Roman" w:cs="Times New Roman"/>
          <w:b/>
          <w:sz w:val="24"/>
          <w:szCs w:val="24"/>
          <w:lang w:eastAsia="en-IE"/>
        </w:rPr>
      </w:pPr>
    </w:p>
    <w:p w14:paraId="4684DE62" w14:textId="77777777" w:rsidR="00C410C9" w:rsidRPr="00C410C9" w:rsidRDefault="004B2566" w:rsidP="00C410C9">
      <w:pPr>
        <w:spacing w:before="0" w:after="0"/>
        <w:ind w:left="0" w:firstLine="0"/>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PLAINTIFF</w:t>
      </w:r>
      <w:r w:rsidR="00C410C9">
        <w:rPr>
          <w:rFonts w:ascii="Times New Roman" w:eastAsia="Times New Roman" w:hAnsi="Times New Roman" w:cs="Times New Roman"/>
          <w:b/>
          <w:sz w:val="24"/>
          <w:szCs w:val="24"/>
          <w:lang w:eastAsia="en-IE"/>
        </w:rPr>
        <w:t>/</w:t>
      </w:r>
      <w:r>
        <w:rPr>
          <w:rFonts w:ascii="Times New Roman" w:eastAsia="Times New Roman" w:hAnsi="Times New Roman" w:cs="Times New Roman"/>
          <w:b/>
          <w:sz w:val="24"/>
          <w:szCs w:val="24"/>
          <w:lang w:eastAsia="en-IE"/>
        </w:rPr>
        <w:t>RESPONDENT</w:t>
      </w:r>
    </w:p>
    <w:p w14:paraId="725433B5" w14:textId="77777777" w:rsidR="00C410C9" w:rsidRPr="00C410C9" w:rsidRDefault="00C410C9" w:rsidP="00C410C9">
      <w:pPr>
        <w:spacing w:before="0" w:after="0"/>
        <w:ind w:left="0" w:firstLine="0"/>
        <w:jc w:val="right"/>
        <w:rPr>
          <w:rFonts w:ascii="Times New Roman" w:eastAsia="Times New Roman" w:hAnsi="Times New Roman" w:cs="Times New Roman"/>
          <w:b/>
          <w:sz w:val="24"/>
          <w:szCs w:val="24"/>
          <w:lang w:eastAsia="en-IE"/>
        </w:rPr>
      </w:pPr>
    </w:p>
    <w:p w14:paraId="2350AC5A" w14:textId="77777777" w:rsidR="00C410C9" w:rsidRPr="00C410C9" w:rsidRDefault="00C410C9" w:rsidP="00C410C9">
      <w:pPr>
        <w:spacing w:before="0" w:after="0"/>
        <w:ind w:left="0" w:firstLine="0"/>
        <w:jc w:val="center"/>
        <w:rPr>
          <w:rFonts w:ascii="Times New Roman" w:eastAsia="Times New Roman" w:hAnsi="Times New Roman" w:cs="Times New Roman"/>
          <w:b/>
          <w:sz w:val="24"/>
          <w:szCs w:val="24"/>
          <w:lang w:eastAsia="en-IE"/>
        </w:rPr>
      </w:pPr>
      <w:r w:rsidRPr="00C410C9">
        <w:rPr>
          <w:rFonts w:ascii="Times New Roman" w:eastAsia="Times New Roman" w:hAnsi="Times New Roman" w:cs="Times New Roman"/>
          <w:b/>
          <w:sz w:val="24"/>
          <w:szCs w:val="24"/>
          <w:lang w:eastAsia="en-IE"/>
        </w:rPr>
        <w:t>- AND -</w:t>
      </w:r>
    </w:p>
    <w:p w14:paraId="68F0CD70" w14:textId="77777777" w:rsidR="00C410C9" w:rsidRPr="00C410C9" w:rsidRDefault="00C410C9" w:rsidP="00C410C9">
      <w:pPr>
        <w:spacing w:before="0" w:after="0"/>
        <w:ind w:left="0" w:firstLine="0"/>
        <w:jc w:val="center"/>
        <w:rPr>
          <w:rFonts w:ascii="Times New Roman" w:eastAsia="Times New Roman" w:hAnsi="Times New Roman" w:cs="Times New Roman"/>
          <w:b/>
          <w:sz w:val="24"/>
          <w:szCs w:val="24"/>
          <w:lang w:eastAsia="en-IE"/>
        </w:rPr>
      </w:pPr>
    </w:p>
    <w:p w14:paraId="79062C3B" w14:textId="77777777" w:rsidR="00C410C9" w:rsidRPr="00C410C9" w:rsidRDefault="00C410C9" w:rsidP="00C410C9">
      <w:pPr>
        <w:spacing w:before="0" w:after="0"/>
        <w:ind w:left="0" w:firstLine="0"/>
        <w:jc w:val="center"/>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HUGH CORRIGAN</w:t>
      </w:r>
    </w:p>
    <w:p w14:paraId="7CDBDEDF" w14:textId="77777777" w:rsidR="00C410C9" w:rsidRPr="00C410C9" w:rsidRDefault="004B2566" w:rsidP="00C410C9">
      <w:pPr>
        <w:spacing w:before="0" w:after="0" w:line="240" w:lineRule="auto"/>
        <w:ind w:left="0" w:firstLine="0"/>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DEFENDANT</w:t>
      </w:r>
      <w:r w:rsidR="00C410C9">
        <w:rPr>
          <w:rFonts w:ascii="Times New Roman" w:eastAsia="Times New Roman" w:hAnsi="Times New Roman" w:cs="Times New Roman"/>
          <w:b/>
          <w:sz w:val="24"/>
          <w:szCs w:val="24"/>
          <w:lang w:eastAsia="en-IE"/>
        </w:rPr>
        <w:t>/</w:t>
      </w:r>
      <w:r>
        <w:rPr>
          <w:rFonts w:ascii="Times New Roman" w:eastAsia="Times New Roman" w:hAnsi="Times New Roman" w:cs="Times New Roman"/>
          <w:b/>
          <w:sz w:val="24"/>
          <w:szCs w:val="24"/>
          <w:lang w:eastAsia="en-IE"/>
        </w:rPr>
        <w:t>APPELLANT</w:t>
      </w:r>
    </w:p>
    <w:p w14:paraId="1A021291" w14:textId="77777777" w:rsidR="00C410C9" w:rsidRPr="00C410C9" w:rsidRDefault="00C410C9" w:rsidP="00C410C9">
      <w:pPr>
        <w:spacing w:before="0" w:after="0" w:line="240" w:lineRule="auto"/>
        <w:ind w:left="0" w:firstLine="0"/>
        <w:jc w:val="right"/>
        <w:rPr>
          <w:rFonts w:ascii="Times New Roman" w:eastAsia="Times New Roman" w:hAnsi="Times New Roman" w:cs="Times New Roman"/>
          <w:b/>
          <w:sz w:val="24"/>
          <w:szCs w:val="24"/>
          <w:lang w:eastAsia="en-IE"/>
        </w:rPr>
      </w:pPr>
    </w:p>
    <w:p w14:paraId="5C8EFA66" w14:textId="77777777" w:rsidR="00C410C9" w:rsidRPr="00C410C9" w:rsidRDefault="00C410C9" w:rsidP="00C410C9">
      <w:pPr>
        <w:spacing w:before="0" w:after="0" w:line="240" w:lineRule="auto"/>
        <w:ind w:left="0" w:firstLine="0"/>
        <w:jc w:val="right"/>
        <w:rPr>
          <w:rFonts w:ascii="Times New Roman" w:eastAsia="Times New Roman" w:hAnsi="Times New Roman" w:cs="Times New Roman"/>
          <w:b/>
          <w:sz w:val="24"/>
          <w:szCs w:val="24"/>
          <w:lang w:eastAsia="en-IE"/>
        </w:rPr>
      </w:pPr>
    </w:p>
    <w:p w14:paraId="7428FDF5" w14:textId="77777777" w:rsidR="00D305CB" w:rsidRDefault="00D305CB" w:rsidP="003F6460">
      <w:pPr>
        <w:widowControl w:val="0"/>
        <w:spacing w:before="0" w:after="0" w:line="240" w:lineRule="auto"/>
        <w:ind w:left="0" w:firstLine="0"/>
        <w:rPr>
          <w:rFonts w:ascii="Times New Roman" w:eastAsia="Times New Roman" w:hAnsi="Times New Roman" w:cs="Times New Roman"/>
          <w:b/>
          <w:sz w:val="24"/>
          <w:szCs w:val="24"/>
          <w:u w:val="single"/>
          <w:lang w:eastAsia="en-IE"/>
        </w:rPr>
      </w:pPr>
    </w:p>
    <w:p w14:paraId="3F18E3A7" w14:textId="77777777" w:rsidR="00AE0E19" w:rsidRDefault="00AE0E19" w:rsidP="00D305CB">
      <w:pPr>
        <w:widowControl w:val="0"/>
        <w:spacing w:before="0" w:after="0" w:line="240" w:lineRule="auto"/>
        <w:ind w:left="0" w:firstLine="0"/>
        <w:jc w:val="center"/>
        <w:rPr>
          <w:rFonts w:ascii="Times New Roman" w:eastAsia="Times New Roman" w:hAnsi="Times New Roman" w:cs="Times New Roman"/>
          <w:b/>
          <w:sz w:val="24"/>
          <w:szCs w:val="24"/>
          <w:u w:val="single"/>
          <w:lang w:eastAsia="en-IE"/>
        </w:rPr>
      </w:pPr>
    </w:p>
    <w:p w14:paraId="6054D01A" w14:textId="77777777" w:rsidR="00AE0E19" w:rsidRDefault="00AE0E19" w:rsidP="00D305CB">
      <w:pPr>
        <w:widowControl w:val="0"/>
        <w:spacing w:before="0" w:after="0" w:line="240" w:lineRule="auto"/>
        <w:ind w:left="0" w:firstLine="0"/>
        <w:jc w:val="center"/>
        <w:rPr>
          <w:rFonts w:ascii="Times New Roman" w:eastAsia="Times New Roman" w:hAnsi="Times New Roman" w:cs="Times New Roman"/>
          <w:b/>
          <w:sz w:val="24"/>
          <w:szCs w:val="24"/>
          <w:u w:val="single"/>
          <w:lang w:eastAsia="en-IE"/>
        </w:rPr>
      </w:pPr>
    </w:p>
    <w:p w14:paraId="5DF62672" w14:textId="77777777" w:rsidR="00AE0E19" w:rsidRDefault="00AE0E19" w:rsidP="00D305CB">
      <w:pPr>
        <w:widowControl w:val="0"/>
        <w:spacing w:before="0" w:after="0" w:line="240" w:lineRule="auto"/>
        <w:ind w:left="0" w:firstLine="0"/>
        <w:jc w:val="center"/>
        <w:rPr>
          <w:rFonts w:ascii="Times New Roman" w:eastAsia="Times New Roman" w:hAnsi="Times New Roman" w:cs="Times New Roman"/>
          <w:b/>
          <w:sz w:val="24"/>
          <w:szCs w:val="24"/>
          <w:u w:val="single"/>
          <w:lang w:eastAsia="en-IE"/>
        </w:rPr>
      </w:pPr>
    </w:p>
    <w:p w14:paraId="63A39737" w14:textId="472DD9BA" w:rsidR="00FC2786" w:rsidRDefault="00C410C9" w:rsidP="00AE0E19">
      <w:pPr>
        <w:widowControl w:val="0"/>
        <w:spacing w:before="0" w:after="0" w:line="240" w:lineRule="auto"/>
        <w:ind w:left="0" w:firstLine="0"/>
        <w:jc w:val="center"/>
        <w:rPr>
          <w:rFonts w:ascii="Times New Roman" w:eastAsia="Times New Roman" w:hAnsi="Times New Roman" w:cs="Times New Roman"/>
          <w:b/>
          <w:sz w:val="24"/>
          <w:szCs w:val="24"/>
          <w:u w:val="single"/>
          <w:lang w:eastAsia="en-IE"/>
        </w:rPr>
      </w:pPr>
      <w:r w:rsidRPr="00C410C9">
        <w:rPr>
          <w:rFonts w:ascii="Times New Roman" w:eastAsia="Times New Roman" w:hAnsi="Times New Roman" w:cs="Times New Roman"/>
          <w:b/>
          <w:sz w:val="24"/>
          <w:szCs w:val="24"/>
          <w:u w:val="single"/>
          <w:lang w:eastAsia="en-IE"/>
        </w:rPr>
        <w:t xml:space="preserve">JUDGMENT of Mr. Justice Murray delivered on the </w:t>
      </w:r>
      <w:r w:rsidR="00111741">
        <w:rPr>
          <w:rFonts w:ascii="Times New Roman" w:eastAsia="Times New Roman" w:hAnsi="Times New Roman" w:cs="Times New Roman"/>
          <w:b/>
          <w:sz w:val="24"/>
          <w:szCs w:val="24"/>
          <w:u w:val="single"/>
          <w:lang w:eastAsia="en-IE"/>
        </w:rPr>
        <w:t>5</w:t>
      </w:r>
      <w:r w:rsidR="00111741" w:rsidRPr="00111741">
        <w:rPr>
          <w:rFonts w:ascii="Times New Roman" w:eastAsia="Times New Roman" w:hAnsi="Times New Roman" w:cs="Times New Roman"/>
          <w:b/>
          <w:sz w:val="24"/>
          <w:szCs w:val="24"/>
          <w:u w:val="single"/>
          <w:vertAlign w:val="superscript"/>
          <w:lang w:eastAsia="en-IE"/>
        </w:rPr>
        <w:t>th</w:t>
      </w:r>
      <w:r w:rsidR="00111741">
        <w:rPr>
          <w:rFonts w:ascii="Times New Roman" w:eastAsia="Times New Roman" w:hAnsi="Times New Roman" w:cs="Times New Roman"/>
          <w:b/>
          <w:sz w:val="24"/>
          <w:szCs w:val="24"/>
          <w:u w:val="single"/>
          <w:lang w:eastAsia="en-IE"/>
        </w:rPr>
        <w:t xml:space="preserve"> </w:t>
      </w:r>
      <w:r w:rsidRPr="00C410C9">
        <w:rPr>
          <w:rFonts w:ascii="Times New Roman" w:eastAsia="Times New Roman" w:hAnsi="Times New Roman" w:cs="Times New Roman"/>
          <w:b/>
          <w:sz w:val="24"/>
          <w:szCs w:val="24"/>
          <w:u w:val="single"/>
          <w:lang w:eastAsia="en-IE"/>
        </w:rPr>
        <w:t xml:space="preserve">day of </w:t>
      </w:r>
      <w:r w:rsidR="00111741">
        <w:rPr>
          <w:rFonts w:ascii="Times New Roman" w:eastAsia="Times New Roman" w:hAnsi="Times New Roman" w:cs="Times New Roman"/>
          <w:b/>
          <w:sz w:val="24"/>
          <w:szCs w:val="24"/>
          <w:u w:val="single"/>
          <w:lang w:eastAsia="en-IE"/>
        </w:rPr>
        <w:t xml:space="preserve">October </w:t>
      </w:r>
      <w:r w:rsidRPr="00C410C9">
        <w:rPr>
          <w:rFonts w:ascii="Times New Roman" w:eastAsia="Times New Roman" w:hAnsi="Times New Roman" w:cs="Times New Roman"/>
          <w:b/>
          <w:sz w:val="24"/>
          <w:szCs w:val="24"/>
          <w:u w:val="single"/>
          <w:lang w:eastAsia="en-IE"/>
        </w:rPr>
        <w:t>2021</w:t>
      </w:r>
    </w:p>
    <w:p w14:paraId="5D8FB0B4" w14:textId="77777777" w:rsidR="00AE0E19" w:rsidRDefault="00AE0E19" w:rsidP="00AE0E19">
      <w:pPr>
        <w:widowControl w:val="0"/>
        <w:spacing w:after="0" w:line="240" w:lineRule="auto"/>
        <w:ind w:left="0" w:firstLine="0"/>
        <w:rPr>
          <w:rFonts w:ascii="Times New Roman" w:eastAsia="Times New Roman" w:hAnsi="Times New Roman" w:cs="Times New Roman"/>
          <w:b/>
          <w:sz w:val="24"/>
          <w:szCs w:val="24"/>
          <w:u w:val="single"/>
          <w:lang w:eastAsia="en-IE"/>
        </w:rPr>
      </w:pPr>
    </w:p>
    <w:p w14:paraId="07B89633" w14:textId="4AD80DA1" w:rsidR="00E763A3" w:rsidRDefault="00E763A3" w:rsidP="00E763A3">
      <w:pPr>
        <w:widowControl w:val="0"/>
        <w:spacing w:after="0" w:line="240" w:lineRule="auto"/>
        <w:jc w:val="center"/>
        <w:rPr>
          <w:rFonts w:ascii="Times New Roman" w:eastAsia="Times New Roman" w:hAnsi="Times New Roman" w:cs="Times New Roman"/>
          <w:b/>
          <w:sz w:val="24"/>
          <w:szCs w:val="24"/>
          <w:u w:val="single"/>
          <w:lang w:eastAsia="en-IE"/>
        </w:rPr>
      </w:pPr>
      <w:r>
        <w:rPr>
          <w:rFonts w:ascii="Times New Roman" w:eastAsia="Times New Roman" w:hAnsi="Times New Roman" w:cs="Times New Roman"/>
          <w:b/>
          <w:sz w:val="24"/>
          <w:szCs w:val="24"/>
          <w:u w:val="single"/>
          <w:lang w:eastAsia="en-IE"/>
        </w:rPr>
        <w:t>I   FACTS</w:t>
      </w:r>
      <w:r w:rsidR="007D088D">
        <w:rPr>
          <w:rFonts w:ascii="Times New Roman" w:eastAsia="Times New Roman" w:hAnsi="Times New Roman" w:cs="Times New Roman"/>
          <w:b/>
          <w:sz w:val="24"/>
          <w:szCs w:val="24"/>
          <w:u w:val="single"/>
          <w:lang w:eastAsia="en-IE"/>
        </w:rPr>
        <w:t xml:space="preserve"> AND ISSUES</w:t>
      </w:r>
    </w:p>
    <w:p w14:paraId="4F66C8E4" w14:textId="77777777" w:rsidR="00E763A3" w:rsidRPr="00E763A3" w:rsidRDefault="00E763A3" w:rsidP="00E763A3">
      <w:pPr>
        <w:widowControl w:val="0"/>
        <w:spacing w:after="0" w:line="240" w:lineRule="auto"/>
        <w:jc w:val="center"/>
        <w:rPr>
          <w:rFonts w:ascii="Times New Roman" w:eastAsia="Times New Roman" w:hAnsi="Times New Roman" w:cs="Times New Roman"/>
          <w:b/>
          <w:sz w:val="24"/>
          <w:szCs w:val="24"/>
          <w:u w:val="single"/>
          <w:lang w:eastAsia="en-IE"/>
        </w:rPr>
      </w:pPr>
    </w:p>
    <w:p w14:paraId="3535ACAB" w14:textId="77777777" w:rsidR="00E763A3" w:rsidRPr="003F6460" w:rsidRDefault="00E763A3" w:rsidP="003F6460">
      <w:pPr>
        <w:widowControl w:val="0"/>
        <w:spacing w:before="0" w:after="0" w:line="240" w:lineRule="auto"/>
        <w:ind w:left="0" w:firstLine="0"/>
        <w:rPr>
          <w:rFonts w:ascii="Times New Roman" w:eastAsia="Times New Roman" w:hAnsi="Times New Roman" w:cs="Times New Roman"/>
          <w:b/>
          <w:sz w:val="24"/>
          <w:szCs w:val="24"/>
          <w:u w:val="single"/>
          <w:lang w:eastAsia="en-IE"/>
        </w:rPr>
      </w:pPr>
    </w:p>
    <w:p w14:paraId="672DEDCA" w14:textId="77777777" w:rsidR="004B2566" w:rsidRPr="00D7207F" w:rsidRDefault="00D7207F" w:rsidP="004B2566">
      <w:pPr>
        <w:ind w:firstLine="0"/>
        <w:jc w:val="both"/>
        <w:rPr>
          <w:rFonts w:ascii="Times New Roman" w:hAnsi="Times New Roman" w:cs="Times New Roman"/>
          <w:b/>
          <w:i/>
          <w:sz w:val="24"/>
          <w:szCs w:val="24"/>
        </w:rPr>
      </w:pPr>
      <w:r w:rsidRPr="00D7207F">
        <w:rPr>
          <w:rFonts w:ascii="Times New Roman" w:hAnsi="Times New Roman" w:cs="Times New Roman"/>
          <w:b/>
          <w:i/>
          <w:sz w:val="24"/>
          <w:szCs w:val="24"/>
        </w:rPr>
        <w:t>Introduction</w:t>
      </w:r>
    </w:p>
    <w:p w14:paraId="68085E22" w14:textId="64FC780B" w:rsidR="00360D9B" w:rsidRDefault="00D7207F" w:rsidP="00360D9B">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By letter dated 11 December 2006,</w:t>
      </w:r>
      <w:r w:rsidR="00CA2DD3">
        <w:rPr>
          <w:rFonts w:ascii="Times New Roman" w:hAnsi="Times New Roman" w:cs="Times New Roman"/>
          <w:sz w:val="24"/>
          <w:szCs w:val="24"/>
        </w:rPr>
        <w:t xml:space="preserve"> IIB Bank </w:t>
      </w:r>
      <w:proofErr w:type="spellStart"/>
      <w:r w:rsidR="000E72CE">
        <w:rPr>
          <w:rFonts w:ascii="Times New Roman" w:hAnsi="Times New Roman" w:cs="Times New Roman"/>
          <w:sz w:val="24"/>
          <w:szCs w:val="24"/>
        </w:rPr>
        <w:t>p.l.c</w:t>
      </w:r>
      <w:proofErr w:type="spellEnd"/>
      <w:r w:rsidR="00CA2DD3">
        <w:rPr>
          <w:rFonts w:ascii="Times New Roman" w:hAnsi="Times New Roman" w:cs="Times New Roman"/>
          <w:sz w:val="24"/>
          <w:szCs w:val="24"/>
        </w:rPr>
        <w:t xml:space="preserve"> (now</w:t>
      </w:r>
      <w:r w:rsidRPr="00D7207F">
        <w:rPr>
          <w:rFonts w:ascii="Times New Roman" w:hAnsi="Times New Roman" w:cs="Times New Roman"/>
          <w:sz w:val="24"/>
          <w:szCs w:val="24"/>
        </w:rPr>
        <w:t xml:space="preserve"> </w:t>
      </w:r>
      <w:r w:rsidR="00CA2DD3">
        <w:rPr>
          <w:rFonts w:ascii="Times New Roman" w:hAnsi="Times New Roman" w:cs="Times New Roman"/>
          <w:sz w:val="24"/>
          <w:szCs w:val="24"/>
        </w:rPr>
        <w:t>KBC</w:t>
      </w:r>
      <w:r w:rsidRPr="00D7207F">
        <w:rPr>
          <w:rFonts w:ascii="Times New Roman" w:hAnsi="Times New Roman" w:cs="Times New Roman"/>
          <w:sz w:val="24"/>
          <w:szCs w:val="24"/>
        </w:rPr>
        <w:t xml:space="preserve"> Bank Ireland </w:t>
      </w:r>
      <w:proofErr w:type="spellStart"/>
      <w:r w:rsidRPr="00D7207F">
        <w:rPr>
          <w:rFonts w:ascii="Times New Roman" w:hAnsi="Times New Roman" w:cs="Times New Roman"/>
          <w:sz w:val="24"/>
          <w:szCs w:val="24"/>
        </w:rPr>
        <w:t>p.l.c</w:t>
      </w:r>
      <w:proofErr w:type="spellEnd"/>
      <w:r w:rsidR="00CA2DD3">
        <w:rPr>
          <w:rFonts w:ascii="Times New Roman" w:hAnsi="Times New Roman" w:cs="Times New Roman"/>
          <w:sz w:val="24"/>
          <w:szCs w:val="24"/>
        </w:rPr>
        <w:t>)</w:t>
      </w:r>
      <w:r w:rsidRPr="00D7207F">
        <w:rPr>
          <w:rFonts w:ascii="Times New Roman" w:hAnsi="Times New Roman" w:cs="Times New Roman"/>
          <w:sz w:val="24"/>
          <w:szCs w:val="24"/>
        </w:rPr>
        <w:t xml:space="preserve"> (‘the Bank</w:t>
      </w:r>
      <w:r w:rsidR="00DF02DC">
        <w:rPr>
          <w:rFonts w:ascii="Times New Roman" w:hAnsi="Times New Roman" w:cs="Times New Roman"/>
          <w:sz w:val="24"/>
          <w:szCs w:val="24"/>
        </w:rPr>
        <w:t>’</w:t>
      </w:r>
      <w:r w:rsidRPr="00D7207F">
        <w:rPr>
          <w:rFonts w:ascii="Times New Roman" w:hAnsi="Times New Roman" w:cs="Times New Roman"/>
          <w:sz w:val="24"/>
          <w:szCs w:val="24"/>
        </w:rPr>
        <w:t xml:space="preserve">) </w:t>
      </w:r>
      <w:r w:rsidR="00EB7189">
        <w:rPr>
          <w:rFonts w:ascii="Times New Roman" w:hAnsi="Times New Roman" w:cs="Times New Roman"/>
          <w:sz w:val="24"/>
          <w:szCs w:val="24"/>
        </w:rPr>
        <w:t xml:space="preserve">agreed to </w:t>
      </w:r>
      <w:r w:rsidRPr="00D7207F">
        <w:rPr>
          <w:rFonts w:ascii="Times New Roman" w:hAnsi="Times New Roman" w:cs="Times New Roman"/>
          <w:sz w:val="24"/>
          <w:szCs w:val="24"/>
        </w:rPr>
        <w:t>advance a</w:t>
      </w:r>
      <w:r w:rsidR="003A337F">
        <w:rPr>
          <w:rFonts w:ascii="Times New Roman" w:hAnsi="Times New Roman" w:cs="Times New Roman"/>
          <w:sz w:val="24"/>
          <w:szCs w:val="24"/>
        </w:rPr>
        <w:t xml:space="preserve">n amount of up to </w:t>
      </w:r>
      <w:r w:rsidRPr="00D7207F">
        <w:rPr>
          <w:rFonts w:ascii="Times New Roman" w:hAnsi="Times New Roman" w:cs="Times New Roman"/>
          <w:sz w:val="24"/>
          <w:szCs w:val="24"/>
        </w:rPr>
        <w:t>€2,1</w:t>
      </w:r>
      <w:r w:rsidR="00706226">
        <w:rPr>
          <w:rFonts w:ascii="Times New Roman" w:hAnsi="Times New Roman" w:cs="Times New Roman"/>
          <w:sz w:val="24"/>
          <w:szCs w:val="24"/>
        </w:rPr>
        <w:t>5</w:t>
      </w:r>
      <w:r w:rsidRPr="00D7207F">
        <w:rPr>
          <w:rFonts w:ascii="Times New Roman" w:hAnsi="Times New Roman" w:cs="Times New Roman"/>
          <w:sz w:val="24"/>
          <w:szCs w:val="24"/>
        </w:rPr>
        <w:t>0,000 to the defendant</w:t>
      </w:r>
      <w:r w:rsidR="003A337F">
        <w:rPr>
          <w:rFonts w:ascii="Times New Roman" w:hAnsi="Times New Roman" w:cs="Times New Roman"/>
          <w:sz w:val="24"/>
          <w:szCs w:val="24"/>
        </w:rPr>
        <w:t xml:space="preserve"> for the purpose of refinancing existing ACC Bank plc facilities</w:t>
      </w:r>
      <w:r w:rsidRPr="00D7207F">
        <w:rPr>
          <w:rFonts w:ascii="Times New Roman" w:hAnsi="Times New Roman" w:cs="Times New Roman"/>
          <w:sz w:val="24"/>
          <w:szCs w:val="24"/>
        </w:rPr>
        <w:t xml:space="preserve">.  </w:t>
      </w:r>
      <w:r w:rsidR="00EB7189">
        <w:rPr>
          <w:rFonts w:ascii="Times New Roman" w:hAnsi="Times New Roman" w:cs="Times New Roman"/>
          <w:sz w:val="24"/>
          <w:szCs w:val="24"/>
        </w:rPr>
        <w:t>T</w:t>
      </w:r>
      <w:r w:rsidR="003A337F">
        <w:rPr>
          <w:rFonts w:ascii="Times New Roman" w:hAnsi="Times New Roman" w:cs="Times New Roman"/>
          <w:sz w:val="24"/>
          <w:szCs w:val="24"/>
        </w:rPr>
        <w:t>he</w:t>
      </w:r>
      <w:r w:rsidR="00EB7189">
        <w:rPr>
          <w:rFonts w:ascii="Times New Roman" w:hAnsi="Times New Roman" w:cs="Times New Roman"/>
          <w:sz w:val="24"/>
          <w:szCs w:val="24"/>
        </w:rPr>
        <w:t xml:space="preserve"> </w:t>
      </w:r>
      <w:r w:rsidRPr="00D7207F">
        <w:rPr>
          <w:rFonts w:ascii="Times New Roman" w:hAnsi="Times New Roman" w:cs="Times New Roman"/>
          <w:sz w:val="24"/>
          <w:szCs w:val="24"/>
        </w:rPr>
        <w:t xml:space="preserve">facility was </w:t>
      </w:r>
      <w:r w:rsidR="00FB618B">
        <w:rPr>
          <w:rFonts w:ascii="Times New Roman" w:hAnsi="Times New Roman" w:cs="Times New Roman"/>
          <w:sz w:val="24"/>
          <w:szCs w:val="24"/>
        </w:rPr>
        <w:t>renewed thereafter</w:t>
      </w:r>
      <w:r w:rsidR="000E72CE">
        <w:rPr>
          <w:rFonts w:ascii="Times New Roman" w:hAnsi="Times New Roman" w:cs="Times New Roman"/>
          <w:sz w:val="24"/>
          <w:szCs w:val="24"/>
        </w:rPr>
        <w:t xml:space="preserve"> </w:t>
      </w:r>
      <w:r w:rsidR="004B2566">
        <w:rPr>
          <w:rFonts w:ascii="Times New Roman" w:hAnsi="Times New Roman" w:cs="Times New Roman"/>
          <w:sz w:val="24"/>
          <w:szCs w:val="24"/>
        </w:rPr>
        <w:t>by</w:t>
      </w:r>
      <w:r w:rsidR="000E72CE">
        <w:rPr>
          <w:rFonts w:ascii="Times New Roman" w:hAnsi="Times New Roman" w:cs="Times New Roman"/>
          <w:sz w:val="24"/>
          <w:szCs w:val="24"/>
        </w:rPr>
        <w:t xml:space="preserve"> a series of letters, the last of which was dated 15 September 2011</w:t>
      </w:r>
      <w:r w:rsidRPr="00D7207F">
        <w:rPr>
          <w:rFonts w:ascii="Times New Roman" w:hAnsi="Times New Roman" w:cs="Times New Roman"/>
          <w:sz w:val="24"/>
          <w:szCs w:val="24"/>
        </w:rPr>
        <w:t>.  The advances were secured by a mortgage dated 28 May 2007</w:t>
      </w:r>
      <w:r w:rsidR="00D34051">
        <w:rPr>
          <w:rFonts w:ascii="Times New Roman" w:hAnsi="Times New Roman" w:cs="Times New Roman"/>
          <w:sz w:val="24"/>
          <w:szCs w:val="24"/>
        </w:rPr>
        <w:t xml:space="preserve"> (‘the mortgage’)</w:t>
      </w:r>
      <w:r w:rsidRPr="00D7207F">
        <w:rPr>
          <w:rFonts w:ascii="Times New Roman" w:hAnsi="Times New Roman" w:cs="Times New Roman"/>
          <w:sz w:val="24"/>
          <w:szCs w:val="24"/>
        </w:rPr>
        <w:t xml:space="preserve"> </w:t>
      </w:r>
      <w:r w:rsidR="00DF02DC">
        <w:rPr>
          <w:rFonts w:ascii="Times New Roman" w:hAnsi="Times New Roman" w:cs="Times New Roman"/>
          <w:sz w:val="24"/>
          <w:szCs w:val="24"/>
        </w:rPr>
        <w:t>in respect of</w:t>
      </w:r>
      <w:r w:rsidRPr="00D7207F">
        <w:rPr>
          <w:rFonts w:ascii="Times New Roman" w:hAnsi="Times New Roman" w:cs="Times New Roman"/>
          <w:sz w:val="24"/>
          <w:szCs w:val="24"/>
        </w:rPr>
        <w:t xml:space="preserve"> t</w:t>
      </w:r>
      <w:r w:rsidR="00126265">
        <w:rPr>
          <w:rFonts w:ascii="Times New Roman" w:hAnsi="Times New Roman" w:cs="Times New Roman"/>
          <w:sz w:val="24"/>
          <w:szCs w:val="24"/>
        </w:rPr>
        <w:t>wo</w:t>
      </w:r>
      <w:r w:rsidRPr="00D7207F">
        <w:rPr>
          <w:rFonts w:ascii="Times New Roman" w:hAnsi="Times New Roman" w:cs="Times New Roman"/>
          <w:sz w:val="24"/>
          <w:szCs w:val="24"/>
        </w:rPr>
        <w:t xml:space="preserve"> properties – a Londis Supermarket and restaurant in </w:t>
      </w:r>
      <w:proofErr w:type="spellStart"/>
      <w:r w:rsidRPr="00D7207F">
        <w:rPr>
          <w:rFonts w:ascii="Times New Roman" w:hAnsi="Times New Roman" w:cs="Times New Roman"/>
          <w:sz w:val="24"/>
          <w:szCs w:val="24"/>
        </w:rPr>
        <w:t>Kilmuckridge</w:t>
      </w:r>
      <w:proofErr w:type="spellEnd"/>
      <w:r w:rsidR="00D16136">
        <w:rPr>
          <w:rFonts w:ascii="Times New Roman" w:hAnsi="Times New Roman" w:cs="Times New Roman"/>
          <w:sz w:val="24"/>
          <w:szCs w:val="24"/>
        </w:rPr>
        <w:t>,</w:t>
      </w:r>
      <w:r w:rsidRPr="00D7207F">
        <w:rPr>
          <w:rFonts w:ascii="Times New Roman" w:hAnsi="Times New Roman" w:cs="Times New Roman"/>
          <w:sz w:val="24"/>
          <w:szCs w:val="24"/>
        </w:rPr>
        <w:t xml:space="preserve"> Co. Wexford, </w:t>
      </w:r>
      <w:r w:rsidR="00126265">
        <w:rPr>
          <w:rFonts w:ascii="Times New Roman" w:hAnsi="Times New Roman" w:cs="Times New Roman"/>
          <w:sz w:val="24"/>
          <w:szCs w:val="24"/>
        </w:rPr>
        <w:t xml:space="preserve">and </w:t>
      </w:r>
      <w:r w:rsidRPr="00D7207F">
        <w:rPr>
          <w:rFonts w:ascii="Times New Roman" w:hAnsi="Times New Roman" w:cs="Times New Roman"/>
          <w:sz w:val="24"/>
          <w:szCs w:val="24"/>
        </w:rPr>
        <w:t xml:space="preserve">a supermarket, takeaway and two apartments in </w:t>
      </w:r>
      <w:proofErr w:type="spellStart"/>
      <w:r w:rsidRPr="00D7207F">
        <w:rPr>
          <w:rFonts w:ascii="Times New Roman" w:hAnsi="Times New Roman" w:cs="Times New Roman"/>
          <w:sz w:val="24"/>
          <w:szCs w:val="24"/>
        </w:rPr>
        <w:t>Oulart</w:t>
      </w:r>
      <w:proofErr w:type="spellEnd"/>
      <w:r w:rsidR="003C56C3">
        <w:rPr>
          <w:rFonts w:ascii="Times New Roman" w:hAnsi="Times New Roman" w:cs="Times New Roman"/>
          <w:sz w:val="24"/>
          <w:szCs w:val="24"/>
        </w:rPr>
        <w:t>,</w:t>
      </w:r>
      <w:r w:rsidRPr="00D7207F">
        <w:rPr>
          <w:rFonts w:ascii="Times New Roman" w:hAnsi="Times New Roman" w:cs="Times New Roman"/>
          <w:sz w:val="24"/>
          <w:szCs w:val="24"/>
        </w:rPr>
        <w:t xml:space="preserve"> Co. Wexford (‘the </w:t>
      </w:r>
      <w:proofErr w:type="spellStart"/>
      <w:r w:rsidRPr="00D7207F">
        <w:rPr>
          <w:rFonts w:ascii="Times New Roman" w:hAnsi="Times New Roman" w:cs="Times New Roman"/>
          <w:sz w:val="24"/>
          <w:szCs w:val="24"/>
        </w:rPr>
        <w:t>Kilmuckridge</w:t>
      </w:r>
      <w:proofErr w:type="spellEnd"/>
      <w:r w:rsidRPr="00D7207F">
        <w:rPr>
          <w:rFonts w:ascii="Times New Roman" w:hAnsi="Times New Roman" w:cs="Times New Roman"/>
          <w:sz w:val="24"/>
          <w:szCs w:val="24"/>
        </w:rPr>
        <w:t xml:space="preserve"> Property</w:t>
      </w:r>
      <w:r w:rsidR="00126265">
        <w:rPr>
          <w:rFonts w:ascii="Times New Roman" w:hAnsi="Times New Roman" w:cs="Times New Roman"/>
          <w:sz w:val="24"/>
          <w:szCs w:val="24"/>
        </w:rPr>
        <w:t xml:space="preserve">’ and </w:t>
      </w:r>
      <w:r w:rsidRPr="00D7207F">
        <w:rPr>
          <w:rFonts w:ascii="Times New Roman" w:hAnsi="Times New Roman" w:cs="Times New Roman"/>
          <w:sz w:val="24"/>
          <w:szCs w:val="24"/>
        </w:rPr>
        <w:t xml:space="preserve">‘the </w:t>
      </w:r>
      <w:proofErr w:type="spellStart"/>
      <w:r w:rsidRPr="00D7207F">
        <w:rPr>
          <w:rFonts w:ascii="Times New Roman" w:hAnsi="Times New Roman" w:cs="Times New Roman"/>
          <w:sz w:val="24"/>
          <w:szCs w:val="24"/>
        </w:rPr>
        <w:t>Oulart</w:t>
      </w:r>
      <w:proofErr w:type="spellEnd"/>
      <w:r w:rsidRPr="00D7207F">
        <w:rPr>
          <w:rFonts w:ascii="Times New Roman" w:hAnsi="Times New Roman" w:cs="Times New Roman"/>
          <w:sz w:val="24"/>
          <w:szCs w:val="24"/>
        </w:rPr>
        <w:t xml:space="preserve"> Property’</w:t>
      </w:r>
      <w:r w:rsidR="00126265">
        <w:rPr>
          <w:rFonts w:ascii="Times New Roman" w:hAnsi="Times New Roman" w:cs="Times New Roman"/>
          <w:sz w:val="24"/>
          <w:szCs w:val="24"/>
        </w:rPr>
        <w:t xml:space="preserve"> </w:t>
      </w:r>
      <w:r w:rsidRPr="00D7207F">
        <w:rPr>
          <w:rFonts w:ascii="Times New Roman" w:hAnsi="Times New Roman" w:cs="Times New Roman"/>
          <w:sz w:val="24"/>
          <w:szCs w:val="24"/>
        </w:rPr>
        <w:t>respectively and ‘the properties’ collectively</w:t>
      </w:r>
      <w:r w:rsidR="00CA2DD3">
        <w:rPr>
          <w:rFonts w:ascii="Times New Roman" w:hAnsi="Times New Roman" w:cs="Times New Roman"/>
          <w:sz w:val="24"/>
          <w:szCs w:val="24"/>
        </w:rPr>
        <w:t>)</w:t>
      </w:r>
      <w:r w:rsidRPr="00D7207F">
        <w:rPr>
          <w:rFonts w:ascii="Times New Roman" w:hAnsi="Times New Roman" w:cs="Times New Roman"/>
          <w:sz w:val="24"/>
          <w:szCs w:val="24"/>
        </w:rPr>
        <w:t xml:space="preserve">.  By letter dated 16 May 2014 the Bank demanded repayment of €2,831,345.20, being the full amount of capital and interest then said to be outstanding on the facilities.  By </w:t>
      </w:r>
      <w:r w:rsidR="007C4A7E">
        <w:rPr>
          <w:rFonts w:ascii="Times New Roman" w:hAnsi="Times New Roman" w:cs="Times New Roman"/>
          <w:sz w:val="24"/>
          <w:szCs w:val="24"/>
        </w:rPr>
        <w:t>d</w:t>
      </w:r>
      <w:r w:rsidRPr="00D7207F">
        <w:rPr>
          <w:rFonts w:ascii="Times New Roman" w:hAnsi="Times New Roman" w:cs="Times New Roman"/>
          <w:sz w:val="24"/>
          <w:szCs w:val="24"/>
        </w:rPr>
        <w:t xml:space="preserve">eed of </w:t>
      </w:r>
      <w:r w:rsidR="007C4A7E">
        <w:rPr>
          <w:rFonts w:ascii="Times New Roman" w:hAnsi="Times New Roman" w:cs="Times New Roman"/>
          <w:sz w:val="24"/>
          <w:szCs w:val="24"/>
        </w:rPr>
        <w:t>a</w:t>
      </w:r>
      <w:r w:rsidRPr="00D7207F">
        <w:rPr>
          <w:rFonts w:ascii="Times New Roman" w:hAnsi="Times New Roman" w:cs="Times New Roman"/>
          <w:sz w:val="24"/>
          <w:szCs w:val="24"/>
        </w:rPr>
        <w:t xml:space="preserve">ppointment dated 21 July 2014 the Bank purported to appoint the plaintiff as </w:t>
      </w:r>
      <w:r w:rsidR="007C4A7E">
        <w:rPr>
          <w:rFonts w:ascii="Times New Roman" w:hAnsi="Times New Roman" w:cs="Times New Roman"/>
          <w:sz w:val="24"/>
          <w:szCs w:val="24"/>
        </w:rPr>
        <w:t>r</w:t>
      </w:r>
      <w:r w:rsidRPr="00D7207F">
        <w:rPr>
          <w:rFonts w:ascii="Times New Roman" w:hAnsi="Times New Roman" w:cs="Times New Roman"/>
          <w:sz w:val="24"/>
          <w:szCs w:val="24"/>
        </w:rPr>
        <w:t xml:space="preserve">eceiver pursuant to the </w:t>
      </w:r>
      <w:r w:rsidR="00DF02DC">
        <w:rPr>
          <w:rFonts w:ascii="Times New Roman" w:hAnsi="Times New Roman" w:cs="Times New Roman"/>
          <w:sz w:val="24"/>
          <w:szCs w:val="24"/>
        </w:rPr>
        <w:t xml:space="preserve">powers conferred by the </w:t>
      </w:r>
      <w:r w:rsidRPr="00D7207F">
        <w:rPr>
          <w:rFonts w:ascii="Times New Roman" w:hAnsi="Times New Roman" w:cs="Times New Roman"/>
          <w:sz w:val="24"/>
          <w:szCs w:val="24"/>
        </w:rPr>
        <w:t xml:space="preserve">mortgage. </w:t>
      </w:r>
    </w:p>
    <w:p w14:paraId="241032F1" w14:textId="77777777" w:rsidR="00360D9B" w:rsidRDefault="00360D9B" w:rsidP="00360D9B">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1C7F134E" w14:textId="77777777" w:rsidR="00D7207F" w:rsidRPr="00360D9B" w:rsidRDefault="00D7207F" w:rsidP="00360D9B">
      <w:pPr>
        <w:pStyle w:val="ListParagraph"/>
        <w:numPr>
          <w:ilvl w:val="0"/>
          <w:numId w:val="6"/>
        </w:numPr>
        <w:spacing w:line="480" w:lineRule="auto"/>
        <w:jc w:val="both"/>
        <w:rPr>
          <w:rFonts w:ascii="Times New Roman" w:hAnsi="Times New Roman" w:cs="Times New Roman"/>
          <w:sz w:val="24"/>
          <w:szCs w:val="24"/>
        </w:rPr>
      </w:pPr>
      <w:r w:rsidRPr="00360D9B">
        <w:rPr>
          <w:rFonts w:ascii="Times New Roman" w:hAnsi="Times New Roman" w:cs="Times New Roman"/>
          <w:sz w:val="24"/>
          <w:szCs w:val="24"/>
        </w:rPr>
        <w:t>In these proceedings (issued on 1 August 2014) the plaintiff s</w:t>
      </w:r>
      <w:r w:rsidR="00DF02DC" w:rsidRPr="00360D9B">
        <w:rPr>
          <w:rFonts w:ascii="Times New Roman" w:hAnsi="Times New Roman" w:cs="Times New Roman"/>
          <w:sz w:val="24"/>
          <w:szCs w:val="24"/>
        </w:rPr>
        <w:t>ought</w:t>
      </w:r>
      <w:r w:rsidRPr="00360D9B">
        <w:rPr>
          <w:rFonts w:ascii="Times New Roman" w:hAnsi="Times New Roman" w:cs="Times New Roman"/>
          <w:sz w:val="24"/>
          <w:szCs w:val="24"/>
        </w:rPr>
        <w:t xml:space="preserve"> an order granting him possession of the properties</w:t>
      </w:r>
      <w:r w:rsidR="0085727E" w:rsidRPr="00360D9B">
        <w:rPr>
          <w:rFonts w:ascii="Times New Roman" w:hAnsi="Times New Roman" w:cs="Times New Roman"/>
          <w:sz w:val="24"/>
          <w:szCs w:val="24"/>
        </w:rPr>
        <w:t>, together with injunctive relief preventing the defendant from obstructing the plaintiff in getting in and collecting the</w:t>
      </w:r>
      <w:r w:rsidR="004B2566" w:rsidRPr="00360D9B">
        <w:rPr>
          <w:rFonts w:ascii="Times New Roman" w:hAnsi="Times New Roman" w:cs="Times New Roman"/>
          <w:sz w:val="24"/>
          <w:szCs w:val="24"/>
        </w:rPr>
        <w:t xml:space="preserve"> secured assets</w:t>
      </w:r>
      <w:r w:rsidR="00687FB2">
        <w:rPr>
          <w:rFonts w:ascii="Times New Roman" w:hAnsi="Times New Roman" w:cs="Times New Roman"/>
          <w:sz w:val="24"/>
          <w:szCs w:val="24"/>
        </w:rPr>
        <w:t xml:space="preserve"> </w:t>
      </w:r>
      <w:r w:rsidR="0085727E" w:rsidRPr="00360D9B">
        <w:rPr>
          <w:rFonts w:ascii="Times New Roman" w:hAnsi="Times New Roman" w:cs="Times New Roman"/>
          <w:sz w:val="24"/>
          <w:szCs w:val="24"/>
        </w:rPr>
        <w:t>and damages</w:t>
      </w:r>
      <w:r w:rsidRPr="00360D9B">
        <w:rPr>
          <w:rFonts w:ascii="Times New Roman" w:hAnsi="Times New Roman" w:cs="Times New Roman"/>
          <w:sz w:val="24"/>
          <w:szCs w:val="24"/>
        </w:rPr>
        <w:t xml:space="preserve">. </w:t>
      </w:r>
      <w:r w:rsidR="007634AB" w:rsidRPr="00360D9B">
        <w:rPr>
          <w:rFonts w:ascii="Times New Roman" w:hAnsi="Times New Roman" w:cs="Times New Roman"/>
          <w:sz w:val="24"/>
          <w:szCs w:val="24"/>
        </w:rPr>
        <w:t xml:space="preserve"> A declaration was also sought that a</w:t>
      </w:r>
      <w:r w:rsidR="004B2566" w:rsidRPr="00360D9B">
        <w:rPr>
          <w:rFonts w:ascii="Times New Roman" w:hAnsi="Times New Roman" w:cs="Times New Roman"/>
          <w:sz w:val="24"/>
          <w:szCs w:val="24"/>
        </w:rPr>
        <w:t xml:space="preserve"> </w:t>
      </w:r>
      <w:proofErr w:type="spellStart"/>
      <w:r w:rsidR="004B2566" w:rsidRPr="00360D9B">
        <w:rPr>
          <w:rFonts w:ascii="Times New Roman" w:hAnsi="Times New Roman" w:cs="Times New Roman"/>
          <w:sz w:val="24"/>
          <w:szCs w:val="24"/>
        </w:rPr>
        <w:t>puported</w:t>
      </w:r>
      <w:proofErr w:type="spellEnd"/>
      <w:r w:rsidR="007634AB" w:rsidRPr="00360D9B">
        <w:rPr>
          <w:rFonts w:ascii="Times New Roman" w:hAnsi="Times New Roman" w:cs="Times New Roman"/>
          <w:sz w:val="24"/>
          <w:szCs w:val="24"/>
        </w:rPr>
        <w:t xml:space="preserve"> lease of the </w:t>
      </w:r>
      <w:proofErr w:type="spellStart"/>
      <w:r w:rsidR="007634AB" w:rsidRPr="00360D9B">
        <w:rPr>
          <w:rFonts w:ascii="Times New Roman" w:hAnsi="Times New Roman" w:cs="Times New Roman"/>
          <w:sz w:val="24"/>
          <w:szCs w:val="24"/>
        </w:rPr>
        <w:t>Kilmuckridge</w:t>
      </w:r>
      <w:proofErr w:type="spellEnd"/>
      <w:r w:rsidR="007634AB" w:rsidRPr="00360D9B">
        <w:rPr>
          <w:rFonts w:ascii="Times New Roman" w:hAnsi="Times New Roman" w:cs="Times New Roman"/>
          <w:sz w:val="24"/>
          <w:szCs w:val="24"/>
        </w:rPr>
        <w:t xml:space="preserve"> property to </w:t>
      </w:r>
      <w:proofErr w:type="spellStart"/>
      <w:r w:rsidR="007634AB" w:rsidRPr="00360D9B">
        <w:rPr>
          <w:rFonts w:ascii="Times New Roman" w:hAnsi="Times New Roman" w:cs="Times New Roman"/>
          <w:sz w:val="24"/>
          <w:szCs w:val="24"/>
        </w:rPr>
        <w:t>Melphia</w:t>
      </w:r>
      <w:proofErr w:type="spellEnd"/>
      <w:r w:rsidR="007634AB" w:rsidRPr="00360D9B">
        <w:rPr>
          <w:rFonts w:ascii="Times New Roman" w:hAnsi="Times New Roman" w:cs="Times New Roman"/>
          <w:sz w:val="24"/>
          <w:szCs w:val="24"/>
        </w:rPr>
        <w:t xml:space="preserve"> Enterprises Ltd. </w:t>
      </w:r>
      <w:r w:rsidR="00360D9B">
        <w:rPr>
          <w:rFonts w:ascii="Times New Roman" w:hAnsi="Times New Roman" w:cs="Times New Roman"/>
          <w:sz w:val="24"/>
          <w:szCs w:val="24"/>
        </w:rPr>
        <w:t>(‘</w:t>
      </w:r>
      <w:proofErr w:type="spellStart"/>
      <w:r w:rsidR="00360D9B">
        <w:rPr>
          <w:rFonts w:ascii="Times New Roman" w:hAnsi="Times New Roman" w:cs="Times New Roman"/>
          <w:sz w:val="24"/>
          <w:szCs w:val="24"/>
        </w:rPr>
        <w:t>Melphia</w:t>
      </w:r>
      <w:proofErr w:type="spellEnd"/>
      <w:r w:rsidR="00360D9B">
        <w:rPr>
          <w:rFonts w:ascii="Times New Roman" w:hAnsi="Times New Roman" w:cs="Times New Roman"/>
          <w:sz w:val="24"/>
          <w:szCs w:val="24"/>
        </w:rPr>
        <w:t xml:space="preserve">’) </w:t>
      </w:r>
      <w:r w:rsidR="007634AB" w:rsidRPr="00360D9B">
        <w:rPr>
          <w:rFonts w:ascii="Times New Roman" w:hAnsi="Times New Roman" w:cs="Times New Roman"/>
          <w:sz w:val="24"/>
          <w:szCs w:val="24"/>
        </w:rPr>
        <w:t xml:space="preserve">was invalid as against the plaintiff. </w:t>
      </w:r>
      <w:r w:rsidRPr="00360D9B">
        <w:rPr>
          <w:rFonts w:ascii="Times New Roman" w:hAnsi="Times New Roman" w:cs="Times New Roman"/>
          <w:sz w:val="24"/>
          <w:szCs w:val="24"/>
        </w:rPr>
        <w:t xml:space="preserve"> </w:t>
      </w:r>
      <w:r w:rsidR="0068036A" w:rsidRPr="00360D9B">
        <w:rPr>
          <w:rFonts w:ascii="Times New Roman" w:hAnsi="Times New Roman" w:cs="Times New Roman"/>
          <w:sz w:val="24"/>
          <w:szCs w:val="24"/>
        </w:rPr>
        <w:t xml:space="preserve">The defendant counterclaimed asserting that the plaintiff’s appointment as </w:t>
      </w:r>
      <w:r w:rsidR="007C4A7E" w:rsidRPr="00360D9B">
        <w:rPr>
          <w:rFonts w:ascii="Times New Roman" w:hAnsi="Times New Roman" w:cs="Times New Roman"/>
          <w:sz w:val="24"/>
          <w:szCs w:val="24"/>
        </w:rPr>
        <w:t>r</w:t>
      </w:r>
      <w:r w:rsidR="0068036A" w:rsidRPr="00360D9B">
        <w:rPr>
          <w:rFonts w:ascii="Times New Roman" w:hAnsi="Times New Roman" w:cs="Times New Roman"/>
          <w:sz w:val="24"/>
          <w:szCs w:val="24"/>
        </w:rPr>
        <w:t xml:space="preserve">eceiver was invalid and claiming damages on this basis and </w:t>
      </w:r>
      <w:r w:rsidR="004B2566" w:rsidRPr="00360D9B">
        <w:rPr>
          <w:rFonts w:ascii="Times New Roman" w:hAnsi="Times New Roman" w:cs="Times New Roman"/>
          <w:sz w:val="24"/>
          <w:szCs w:val="24"/>
        </w:rPr>
        <w:t xml:space="preserve">as a result </w:t>
      </w:r>
      <w:r w:rsidR="0068036A" w:rsidRPr="00360D9B">
        <w:rPr>
          <w:rFonts w:ascii="Times New Roman" w:hAnsi="Times New Roman" w:cs="Times New Roman"/>
          <w:sz w:val="24"/>
          <w:szCs w:val="24"/>
        </w:rPr>
        <w:t xml:space="preserve">of various events that </w:t>
      </w:r>
      <w:r w:rsidR="00E35BE0">
        <w:rPr>
          <w:rFonts w:ascii="Times New Roman" w:hAnsi="Times New Roman" w:cs="Times New Roman"/>
          <w:sz w:val="24"/>
          <w:szCs w:val="24"/>
        </w:rPr>
        <w:t xml:space="preserve">were alleged to have </w:t>
      </w:r>
      <w:r w:rsidR="0068036A" w:rsidRPr="00360D9B">
        <w:rPr>
          <w:rFonts w:ascii="Times New Roman" w:hAnsi="Times New Roman" w:cs="Times New Roman"/>
          <w:sz w:val="24"/>
          <w:szCs w:val="24"/>
        </w:rPr>
        <w:t xml:space="preserve">occurred in the course of the </w:t>
      </w:r>
      <w:r w:rsidR="007C4A7E" w:rsidRPr="00360D9B">
        <w:rPr>
          <w:rFonts w:ascii="Times New Roman" w:hAnsi="Times New Roman" w:cs="Times New Roman"/>
          <w:sz w:val="24"/>
          <w:szCs w:val="24"/>
        </w:rPr>
        <w:t>r</w:t>
      </w:r>
      <w:r w:rsidR="0068036A" w:rsidRPr="00360D9B">
        <w:rPr>
          <w:rFonts w:ascii="Times New Roman" w:hAnsi="Times New Roman" w:cs="Times New Roman"/>
          <w:sz w:val="24"/>
          <w:szCs w:val="24"/>
        </w:rPr>
        <w:t xml:space="preserve">eceivership.  </w:t>
      </w:r>
      <w:r w:rsidR="00416326" w:rsidRPr="00360D9B">
        <w:rPr>
          <w:rFonts w:ascii="Times New Roman" w:hAnsi="Times New Roman" w:cs="Times New Roman"/>
          <w:sz w:val="24"/>
          <w:szCs w:val="24"/>
        </w:rPr>
        <w:t xml:space="preserve">A </w:t>
      </w:r>
      <w:r w:rsidR="00504F15" w:rsidRPr="00360D9B">
        <w:rPr>
          <w:rFonts w:ascii="Times New Roman" w:hAnsi="Times New Roman" w:cs="Times New Roman"/>
          <w:sz w:val="24"/>
          <w:szCs w:val="24"/>
        </w:rPr>
        <w:t xml:space="preserve">number of interlocutory </w:t>
      </w:r>
      <w:r w:rsidR="00504F15" w:rsidRPr="00360D9B">
        <w:rPr>
          <w:rFonts w:ascii="Times New Roman" w:hAnsi="Times New Roman" w:cs="Times New Roman"/>
          <w:sz w:val="24"/>
          <w:szCs w:val="24"/>
        </w:rPr>
        <w:lastRenderedPageBreak/>
        <w:t xml:space="preserve">applications </w:t>
      </w:r>
      <w:r w:rsidR="00416326" w:rsidRPr="00360D9B">
        <w:rPr>
          <w:rFonts w:ascii="Times New Roman" w:hAnsi="Times New Roman" w:cs="Times New Roman"/>
          <w:sz w:val="24"/>
          <w:szCs w:val="24"/>
        </w:rPr>
        <w:t xml:space="preserve">were brought in the action </w:t>
      </w:r>
      <w:r w:rsidR="00504F15" w:rsidRPr="00360D9B">
        <w:rPr>
          <w:rFonts w:ascii="Times New Roman" w:hAnsi="Times New Roman" w:cs="Times New Roman"/>
          <w:sz w:val="24"/>
          <w:szCs w:val="24"/>
        </w:rPr>
        <w:t xml:space="preserve">directed to enabling the plaintiff </w:t>
      </w:r>
      <w:r w:rsidR="00687FB2">
        <w:rPr>
          <w:rFonts w:ascii="Times New Roman" w:hAnsi="Times New Roman" w:cs="Times New Roman"/>
          <w:sz w:val="24"/>
          <w:szCs w:val="24"/>
        </w:rPr>
        <w:t xml:space="preserve">obtain </w:t>
      </w:r>
      <w:r w:rsidR="00504F15" w:rsidRPr="00360D9B">
        <w:rPr>
          <w:rFonts w:ascii="Times New Roman" w:hAnsi="Times New Roman" w:cs="Times New Roman"/>
          <w:sz w:val="24"/>
          <w:szCs w:val="24"/>
        </w:rPr>
        <w:t xml:space="preserve">access to the secured lands.  </w:t>
      </w:r>
      <w:r w:rsidRPr="00360D9B">
        <w:rPr>
          <w:rFonts w:ascii="Times New Roman" w:hAnsi="Times New Roman" w:cs="Times New Roman"/>
          <w:sz w:val="24"/>
          <w:szCs w:val="24"/>
        </w:rPr>
        <w:t xml:space="preserve">In January 2017 the plaintiff obtained possession of the </w:t>
      </w:r>
      <w:proofErr w:type="spellStart"/>
      <w:r w:rsidRPr="00360D9B">
        <w:rPr>
          <w:rFonts w:ascii="Times New Roman" w:hAnsi="Times New Roman" w:cs="Times New Roman"/>
          <w:sz w:val="24"/>
          <w:szCs w:val="24"/>
        </w:rPr>
        <w:t>Kilmuckridge</w:t>
      </w:r>
      <w:proofErr w:type="spellEnd"/>
      <w:r w:rsidRPr="00360D9B">
        <w:rPr>
          <w:rFonts w:ascii="Times New Roman" w:hAnsi="Times New Roman" w:cs="Times New Roman"/>
          <w:sz w:val="24"/>
          <w:szCs w:val="24"/>
        </w:rPr>
        <w:t xml:space="preserve"> property.</w:t>
      </w:r>
    </w:p>
    <w:p w14:paraId="52146350" w14:textId="77777777" w:rsidR="00D7207F" w:rsidRPr="00D7207F" w:rsidRDefault="00D7207F" w:rsidP="00D7207F">
      <w:pPr>
        <w:pStyle w:val="ListParagraph"/>
        <w:rPr>
          <w:rFonts w:ascii="Times New Roman" w:hAnsi="Times New Roman" w:cs="Times New Roman"/>
          <w:sz w:val="24"/>
          <w:szCs w:val="24"/>
        </w:rPr>
      </w:pPr>
    </w:p>
    <w:p w14:paraId="7332D4F1" w14:textId="73022E61" w:rsidR="007634AB" w:rsidRPr="004C5D61" w:rsidRDefault="000E72CE" w:rsidP="004C5D61">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As of the date of the trial, the evidence was</w:t>
      </w:r>
      <w:r w:rsidR="00706226">
        <w:rPr>
          <w:rFonts w:ascii="Times New Roman" w:hAnsi="Times New Roman" w:cs="Times New Roman"/>
          <w:sz w:val="24"/>
          <w:szCs w:val="24"/>
        </w:rPr>
        <w:t xml:space="preserve"> that </w:t>
      </w:r>
      <w:r>
        <w:rPr>
          <w:rFonts w:ascii="Times New Roman" w:hAnsi="Times New Roman" w:cs="Times New Roman"/>
          <w:sz w:val="24"/>
          <w:szCs w:val="24"/>
        </w:rPr>
        <w:t>there was a sum in the region of €2.5M outstanding on this facility.  T</w:t>
      </w:r>
      <w:r w:rsidR="00D7207F" w:rsidRPr="00DF02DC">
        <w:rPr>
          <w:rFonts w:ascii="Times New Roman" w:hAnsi="Times New Roman" w:cs="Times New Roman"/>
          <w:sz w:val="24"/>
          <w:szCs w:val="24"/>
        </w:rPr>
        <w:t xml:space="preserve">he </w:t>
      </w:r>
      <w:r w:rsidR="00DF02DC" w:rsidRPr="00DF02DC">
        <w:rPr>
          <w:rFonts w:ascii="Times New Roman" w:hAnsi="Times New Roman" w:cs="Times New Roman"/>
          <w:sz w:val="24"/>
          <w:szCs w:val="24"/>
        </w:rPr>
        <w:t xml:space="preserve">trial lasted five days, </w:t>
      </w:r>
      <w:r>
        <w:rPr>
          <w:rFonts w:ascii="Times New Roman" w:hAnsi="Times New Roman" w:cs="Times New Roman"/>
          <w:sz w:val="24"/>
          <w:szCs w:val="24"/>
        </w:rPr>
        <w:t xml:space="preserve">Pilkington J. </w:t>
      </w:r>
      <w:r w:rsidR="00DF02DC" w:rsidRPr="00DF02DC">
        <w:rPr>
          <w:rFonts w:ascii="Times New Roman" w:hAnsi="Times New Roman" w:cs="Times New Roman"/>
          <w:sz w:val="24"/>
          <w:szCs w:val="24"/>
        </w:rPr>
        <w:t>delivering a</w:t>
      </w:r>
      <w:r w:rsidR="00706226">
        <w:rPr>
          <w:rFonts w:ascii="Times New Roman" w:hAnsi="Times New Roman" w:cs="Times New Roman"/>
          <w:sz w:val="24"/>
          <w:szCs w:val="24"/>
        </w:rPr>
        <w:t xml:space="preserve"> detailed </w:t>
      </w:r>
      <w:r w:rsidR="00DF02DC" w:rsidRPr="00DF02DC">
        <w:rPr>
          <w:rFonts w:ascii="Times New Roman" w:hAnsi="Times New Roman" w:cs="Times New Roman"/>
          <w:sz w:val="24"/>
          <w:szCs w:val="24"/>
        </w:rPr>
        <w:t>reserved judgment</w:t>
      </w:r>
      <w:r w:rsidR="00B46844">
        <w:rPr>
          <w:rFonts w:ascii="Times New Roman" w:hAnsi="Times New Roman" w:cs="Times New Roman"/>
          <w:sz w:val="24"/>
          <w:szCs w:val="24"/>
        </w:rPr>
        <w:t xml:space="preserve"> </w:t>
      </w:r>
      <w:r w:rsidR="00111741" w:rsidRPr="00DF02DC">
        <w:rPr>
          <w:rFonts w:ascii="Times New Roman" w:hAnsi="Times New Roman" w:cs="Times New Roman"/>
          <w:sz w:val="24"/>
          <w:szCs w:val="24"/>
        </w:rPr>
        <w:t>([2020] IEHC 79)</w:t>
      </w:r>
      <w:r w:rsidR="00111741">
        <w:rPr>
          <w:rFonts w:ascii="Times New Roman" w:hAnsi="Times New Roman" w:cs="Times New Roman"/>
          <w:sz w:val="24"/>
          <w:szCs w:val="24"/>
        </w:rPr>
        <w:t xml:space="preserve">, </w:t>
      </w:r>
      <w:r w:rsidR="00E43712" w:rsidRPr="00D7207F">
        <w:rPr>
          <w:rFonts w:ascii="Times New Roman" w:hAnsi="Times New Roman" w:cs="Times New Roman"/>
          <w:sz w:val="24"/>
          <w:szCs w:val="24"/>
        </w:rPr>
        <w:t xml:space="preserve">ultimately ordering that </w:t>
      </w:r>
      <w:r w:rsidR="00AC6B4F">
        <w:rPr>
          <w:rFonts w:ascii="Times New Roman" w:hAnsi="Times New Roman" w:cs="Times New Roman"/>
          <w:sz w:val="24"/>
          <w:szCs w:val="24"/>
        </w:rPr>
        <w:t xml:space="preserve">the plaintiff was validly appointed as </w:t>
      </w:r>
      <w:r w:rsidR="00D16136">
        <w:rPr>
          <w:rFonts w:ascii="Times New Roman" w:hAnsi="Times New Roman" w:cs="Times New Roman"/>
          <w:sz w:val="24"/>
          <w:szCs w:val="24"/>
        </w:rPr>
        <w:t>r</w:t>
      </w:r>
      <w:r w:rsidR="00AC6B4F">
        <w:rPr>
          <w:rFonts w:ascii="Times New Roman" w:hAnsi="Times New Roman" w:cs="Times New Roman"/>
          <w:sz w:val="24"/>
          <w:szCs w:val="24"/>
        </w:rPr>
        <w:t xml:space="preserve">eceiver and </w:t>
      </w:r>
      <w:r w:rsidR="00D16136">
        <w:rPr>
          <w:rFonts w:ascii="Times New Roman" w:hAnsi="Times New Roman" w:cs="Times New Roman"/>
          <w:sz w:val="24"/>
          <w:szCs w:val="24"/>
        </w:rPr>
        <w:t>m</w:t>
      </w:r>
      <w:r w:rsidR="00AC6B4F">
        <w:rPr>
          <w:rFonts w:ascii="Times New Roman" w:hAnsi="Times New Roman" w:cs="Times New Roman"/>
          <w:sz w:val="24"/>
          <w:szCs w:val="24"/>
        </w:rPr>
        <w:t xml:space="preserve">anager over the properties </w:t>
      </w:r>
      <w:r w:rsidR="004C5D61">
        <w:rPr>
          <w:rFonts w:ascii="Times New Roman" w:hAnsi="Times New Roman" w:cs="Times New Roman"/>
          <w:sz w:val="24"/>
          <w:szCs w:val="24"/>
        </w:rPr>
        <w:t xml:space="preserve">and </w:t>
      </w:r>
      <w:r w:rsidR="00AC6B4F">
        <w:rPr>
          <w:rFonts w:ascii="Times New Roman" w:hAnsi="Times New Roman" w:cs="Times New Roman"/>
          <w:sz w:val="24"/>
          <w:szCs w:val="24"/>
        </w:rPr>
        <w:t xml:space="preserve">directing that </w:t>
      </w:r>
      <w:r w:rsidR="004C5D61">
        <w:rPr>
          <w:rFonts w:ascii="Times New Roman" w:hAnsi="Times New Roman" w:cs="Times New Roman"/>
          <w:sz w:val="24"/>
          <w:szCs w:val="24"/>
        </w:rPr>
        <w:t xml:space="preserve">he </w:t>
      </w:r>
      <w:r w:rsidR="00AC6B4F" w:rsidRPr="004C5D61">
        <w:rPr>
          <w:rFonts w:ascii="Times New Roman" w:hAnsi="Times New Roman" w:cs="Times New Roman"/>
          <w:sz w:val="24"/>
          <w:szCs w:val="24"/>
        </w:rPr>
        <w:t xml:space="preserve">was entitled to </w:t>
      </w:r>
      <w:r w:rsidR="00E43712" w:rsidRPr="004C5D61">
        <w:rPr>
          <w:rFonts w:ascii="Times New Roman" w:hAnsi="Times New Roman" w:cs="Times New Roman"/>
          <w:sz w:val="24"/>
          <w:szCs w:val="24"/>
        </w:rPr>
        <w:t xml:space="preserve">possession of </w:t>
      </w:r>
      <w:r w:rsidR="00AC6B4F" w:rsidRPr="004C5D61">
        <w:rPr>
          <w:rFonts w:ascii="Times New Roman" w:hAnsi="Times New Roman" w:cs="Times New Roman"/>
          <w:sz w:val="24"/>
          <w:szCs w:val="24"/>
        </w:rPr>
        <w:t xml:space="preserve">those </w:t>
      </w:r>
      <w:r w:rsidR="00E43712" w:rsidRPr="004C5D61">
        <w:rPr>
          <w:rFonts w:ascii="Times New Roman" w:hAnsi="Times New Roman" w:cs="Times New Roman"/>
          <w:sz w:val="24"/>
          <w:szCs w:val="24"/>
        </w:rPr>
        <w:t>properties</w:t>
      </w:r>
      <w:r w:rsidR="00AC6B4F" w:rsidRPr="004C5D61">
        <w:rPr>
          <w:rFonts w:ascii="Times New Roman" w:hAnsi="Times New Roman" w:cs="Times New Roman"/>
          <w:sz w:val="24"/>
          <w:szCs w:val="24"/>
        </w:rPr>
        <w:t>.</w:t>
      </w:r>
      <w:r w:rsidR="00360D9B" w:rsidRPr="004C5D61">
        <w:rPr>
          <w:rFonts w:ascii="Times New Roman" w:hAnsi="Times New Roman" w:cs="Times New Roman"/>
          <w:sz w:val="24"/>
          <w:szCs w:val="24"/>
        </w:rPr>
        <w:t xml:space="preserve">  She also granted a </w:t>
      </w:r>
      <w:r w:rsidR="007634AB" w:rsidRPr="004C5D61">
        <w:rPr>
          <w:rFonts w:ascii="Times New Roman" w:hAnsi="Times New Roman" w:cs="Times New Roman"/>
          <w:sz w:val="24"/>
          <w:szCs w:val="24"/>
        </w:rPr>
        <w:t xml:space="preserve">declaration that the </w:t>
      </w:r>
      <w:r w:rsidR="00AC6B4F" w:rsidRPr="004C5D61">
        <w:rPr>
          <w:rFonts w:ascii="Times New Roman" w:hAnsi="Times New Roman" w:cs="Times New Roman"/>
          <w:sz w:val="24"/>
          <w:szCs w:val="24"/>
        </w:rPr>
        <w:t>plaintiff was not bound by any purported leases executed by the defendant his servants or agents in respect of the properties</w:t>
      </w:r>
      <w:r w:rsidR="00504F15" w:rsidRPr="004C5D61">
        <w:rPr>
          <w:rFonts w:ascii="Times New Roman" w:hAnsi="Times New Roman" w:cs="Times New Roman"/>
          <w:sz w:val="24"/>
          <w:szCs w:val="24"/>
        </w:rPr>
        <w:t xml:space="preserve"> </w:t>
      </w:r>
      <w:r w:rsidR="004B0FA8" w:rsidRPr="004C5D61">
        <w:rPr>
          <w:rFonts w:ascii="Times New Roman" w:hAnsi="Times New Roman" w:cs="Times New Roman"/>
          <w:sz w:val="24"/>
          <w:szCs w:val="24"/>
        </w:rPr>
        <w:t>The defendant’s counterclaim (which arose from alleged damage and acts of trespass said to have been caused to the properties by the plaintiff or his agents)</w:t>
      </w:r>
      <w:r w:rsidR="0070324A">
        <w:rPr>
          <w:rFonts w:ascii="Times New Roman" w:hAnsi="Times New Roman" w:cs="Times New Roman"/>
          <w:sz w:val="24"/>
          <w:szCs w:val="24"/>
        </w:rPr>
        <w:t xml:space="preserve"> </w:t>
      </w:r>
      <w:r w:rsidR="004B0FA8" w:rsidRPr="004C5D61">
        <w:rPr>
          <w:rFonts w:ascii="Times New Roman" w:hAnsi="Times New Roman" w:cs="Times New Roman"/>
          <w:sz w:val="24"/>
          <w:szCs w:val="24"/>
        </w:rPr>
        <w:t xml:space="preserve">was dismissed.  </w:t>
      </w:r>
    </w:p>
    <w:p w14:paraId="00201C70" w14:textId="77777777" w:rsidR="007634AB" w:rsidRPr="007634AB" w:rsidRDefault="007634AB" w:rsidP="007634AB">
      <w:pPr>
        <w:pStyle w:val="ListParagraph"/>
        <w:rPr>
          <w:rFonts w:ascii="Times New Roman" w:hAnsi="Times New Roman" w:cs="Times New Roman"/>
          <w:sz w:val="24"/>
          <w:szCs w:val="24"/>
        </w:rPr>
      </w:pPr>
    </w:p>
    <w:p w14:paraId="6AEFA3F7" w14:textId="1F9B7EB9" w:rsidR="00DF02DC" w:rsidRPr="00DF02DC" w:rsidRDefault="00DF02DC" w:rsidP="00DF02DC">
      <w:pPr>
        <w:pStyle w:val="ListParagraph"/>
        <w:numPr>
          <w:ilvl w:val="0"/>
          <w:numId w:val="6"/>
        </w:numPr>
        <w:spacing w:line="480" w:lineRule="auto"/>
        <w:jc w:val="both"/>
        <w:rPr>
          <w:rFonts w:ascii="Times New Roman" w:hAnsi="Times New Roman" w:cs="Times New Roman"/>
          <w:b/>
          <w:sz w:val="24"/>
          <w:szCs w:val="24"/>
        </w:rPr>
      </w:pPr>
      <w:r w:rsidRPr="00DF02DC">
        <w:rPr>
          <w:rFonts w:ascii="Times New Roman" w:hAnsi="Times New Roman" w:cs="Times New Roman"/>
          <w:sz w:val="24"/>
          <w:szCs w:val="24"/>
        </w:rPr>
        <w:t xml:space="preserve">The </w:t>
      </w:r>
      <w:r w:rsidR="00D7207F" w:rsidRPr="00DF02DC">
        <w:rPr>
          <w:rFonts w:ascii="Times New Roman" w:hAnsi="Times New Roman" w:cs="Times New Roman"/>
          <w:sz w:val="24"/>
          <w:szCs w:val="24"/>
        </w:rPr>
        <w:t>defendant represented himsel</w:t>
      </w:r>
      <w:r w:rsidRPr="00DF02DC">
        <w:rPr>
          <w:rFonts w:ascii="Times New Roman" w:hAnsi="Times New Roman" w:cs="Times New Roman"/>
          <w:sz w:val="24"/>
          <w:szCs w:val="24"/>
        </w:rPr>
        <w:t>f</w:t>
      </w:r>
      <w:r>
        <w:rPr>
          <w:rFonts w:ascii="Times New Roman" w:hAnsi="Times New Roman" w:cs="Times New Roman"/>
          <w:sz w:val="24"/>
          <w:szCs w:val="24"/>
        </w:rPr>
        <w:t xml:space="preserve"> at the </w:t>
      </w:r>
      <w:r w:rsidR="00EF4A78">
        <w:rPr>
          <w:rFonts w:ascii="Times New Roman" w:hAnsi="Times New Roman" w:cs="Times New Roman"/>
          <w:sz w:val="24"/>
          <w:szCs w:val="24"/>
        </w:rPr>
        <w:t>hearing in the High Court</w:t>
      </w:r>
      <w:r w:rsidRPr="00DF02DC">
        <w:rPr>
          <w:rFonts w:ascii="Times New Roman" w:hAnsi="Times New Roman" w:cs="Times New Roman"/>
          <w:sz w:val="24"/>
          <w:szCs w:val="24"/>
        </w:rPr>
        <w:t xml:space="preserve">.  The </w:t>
      </w:r>
      <w:r w:rsidR="00D7207F" w:rsidRPr="00DF02DC">
        <w:rPr>
          <w:rFonts w:ascii="Times New Roman" w:hAnsi="Times New Roman" w:cs="Times New Roman"/>
          <w:sz w:val="24"/>
          <w:szCs w:val="24"/>
        </w:rPr>
        <w:t xml:space="preserve">notice of appeal </w:t>
      </w:r>
      <w:r w:rsidR="007C4A7E">
        <w:rPr>
          <w:rFonts w:ascii="Times New Roman" w:hAnsi="Times New Roman" w:cs="Times New Roman"/>
          <w:sz w:val="24"/>
          <w:szCs w:val="24"/>
        </w:rPr>
        <w:t xml:space="preserve">subsequently served by him </w:t>
      </w:r>
      <w:r>
        <w:rPr>
          <w:rFonts w:ascii="Times New Roman" w:hAnsi="Times New Roman" w:cs="Times New Roman"/>
          <w:sz w:val="24"/>
          <w:szCs w:val="24"/>
        </w:rPr>
        <w:t xml:space="preserve">addressed </w:t>
      </w:r>
      <w:r w:rsidR="00D7207F" w:rsidRPr="00DF02DC">
        <w:rPr>
          <w:rFonts w:ascii="Times New Roman" w:hAnsi="Times New Roman" w:cs="Times New Roman"/>
          <w:sz w:val="24"/>
          <w:szCs w:val="24"/>
        </w:rPr>
        <w:t xml:space="preserve">a wide range of complaints </w:t>
      </w:r>
      <w:r w:rsidR="00BD1E52">
        <w:rPr>
          <w:rFonts w:ascii="Times New Roman" w:hAnsi="Times New Roman" w:cs="Times New Roman"/>
          <w:sz w:val="24"/>
          <w:szCs w:val="24"/>
        </w:rPr>
        <w:t xml:space="preserve">arising from </w:t>
      </w:r>
      <w:r w:rsidR="00D7207F" w:rsidRPr="00DF02DC">
        <w:rPr>
          <w:rFonts w:ascii="Times New Roman" w:hAnsi="Times New Roman" w:cs="Times New Roman"/>
          <w:sz w:val="24"/>
          <w:szCs w:val="24"/>
        </w:rPr>
        <w:t xml:space="preserve">the </w:t>
      </w:r>
      <w:r w:rsidR="000A4DB8">
        <w:rPr>
          <w:rFonts w:ascii="Times New Roman" w:hAnsi="Times New Roman" w:cs="Times New Roman"/>
          <w:sz w:val="24"/>
          <w:szCs w:val="24"/>
        </w:rPr>
        <w:t xml:space="preserve">High Court </w:t>
      </w:r>
      <w:r w:rsidRPr="00DF02DC">
        <w:rPr>
          <w:rFonts w:ascii="Times New Roman" w:hAnsi="Times New Roman" w:cs="Times New Roman"/>
          <w:sz w:val="24"/>
          <w:szCs w:val="24"/>
        </w:rPr>
        <w:t>j</w:t>
      </w:r>
      <w:r w:rsidR="00D7207F" w:rsidRPr="00DF02DC">
        <w:rPr>
          <w:rFonts w:ascii="Times New Roman" w:hAnsi="Times New Roman" w:cs="Times New Roman"/>
          <w:sz w:val="24"/>
          <w:szCs w:val="24"/>
        </w:rPr>
        <w:t xml:space="preserve">udgment.  These were reduced in </w:t>
      </w:r>
      <w:r w:rsidR="007C4A7E">
        <w:rPr>
          <w:rFonts w:ascii="Times New Roman" w:hAnsi="Times New Roman" w:cs="Times New Roman"/>
          <w:sz w:val="24"/>
          <w:szCs w:val="24"/>
        </w:rPr>
        <w:t xml:space="preserve">his </w:t>
      </w:r>
      <w:r w:rsidR="00D7207F" w:rsidRPr="00DF02DC">
        <w:rPr>
          <w:rFonts w:ascii="Times New Roman" w:hAnsi="Times New Roman" w:cs="Times New Roman"/>
          <w:sz w:val="24"/>
          <w:szCs w:val="24"/>
        </w:rPr>
        <w:t xml:space="preserve">written submissions to three headings of objection – that the appointment of the plaintiff as </w:t>
      </w:r>
      <w:r w:rsidR="007C4A7E">
        <w:rPr>
          <w:rFonts w:ascii="Times New Roman" w:hAnsi="Times New Roman" w:cs="Times New Roman"/>
          <w:sz w:val="24"/>
          <w:szCs w:val="24"/>
        </w:rPr>
        <w:t>r</w:t>
      </w:r>
      <w:r w:rsidR="00D7207F" w:rsidRPr="00DF02DC">
        <w:rPr>
          <w:rFonts w:ascii="Times New Roman" w:hAnsi="Times New Roman" w:cs="Times New Roman"/>
          <w:sz w:val="24"/>
          <w:szCs w:val="24"/>
        </w:rPr>
        <w:t xml:space="preserve">eceiver was invalid, that leases had been granted in respect of some of the properties and that </w:t>
      </w:r>
      <w:r w:rsidR="007C4A7E">
        <w:rPr>
          <w:rFonts w:ascii="Times New Roman" w:hAnsi="Times New Roman" w:cs="Times New Roman"/>
          <w:sz w:val="24"/>
          <w:szCs w:val="24"/>
        </w:rPr>
        <w:t>t</w:t>
      </w:r>
      <w:r w:rsidR="00D7207F" w:rsidRPr="00DF02DC">
        <w:rPr>
          <w:rFonts w:ascii="Times New Roman" w:hAnsi="Times New Roman" w:cs="Times New Roman"/>
          <w:sz w:val="24"/>
          <w:szCs w:val="24"/>
        </w:rPr>
        <w:t xml:space="preserve">he </w:t>
      </w:r>
      <w:r w:rsidR="007C4A7E">
        <w:rPr>
          <w:rFonts w:ascii="Times New Roman" w:hAnsi="Times New Roman" w:cs="Times New Roman"/>
          <w:sz w:val="24"/>
          <w:szCs w:val="24"/>
        </w:rPr>
        <w:t xml:space="preserve">plaintiff </w:t>
      </w:r>
      <w:r w:rsidR="00D7207F" w:rsidRPr="00DF02DC">
        <w:rPr>
          <w:rFonts w:ascii="Times New Roman" w:hAnsi="Times New Roman" w:cs="Times New Roman"/>
          <w:sz w:val="24"/>
          <w:szCs w:val="24"/>
        </w:rPr>
        <w:t>was thus not entitled to possession</w:t>
      </w:r>
      <w:r w:rsidRPr="00DF02DC">
        <w:rPr>
          <w:rFonts w:ascii="Times New Roman" w:hAnsi="Times New Roman" w:cs="Times New Roman"/>
          <w:sz w:val="24"/>
          <w:szCs w:val="24"/>
        </w:rPr>
        <w:t xml:space="preserve"> thereof</w:t>
      </w:r>
      <w:r w:rsidR="00D7207F" w:rsidRPr="00DF02DC">
        <w:rPr>
          <w:rFonts w:ascii="Times New Roman" w:hAnsi="Times New Roman" w:cs="Times New Roman"/>
          <w:sz w:val="24"/>
          <w:szCs w:val="24"/>
        </w:rPr>
        <w:t>, and that there had been a lack of fair procedures in the hearing before the High Court.</w:t>
      </w:r>
    </w:p>
    <w:p w14:paraId="06722C2D" w14:textId="77777777" w:rsidR="00DF02DC" w:rsidRPr="00DF02DC" w:rsidRDefault="00DF02DC" w:rsidP="00DF02DC">
      <w:pPr>
        <w:pStyle w:val="ListParagraph"/>
        <w:rPr>
          <w:rFonts w:ascii="Times New Roman" w:hAnsi="Times New Roman" w:cs="Times New Roman"/>
          <w:sz w:val="24"/>
          <w:szCs w:val="24"/>
        </w:rPr>
      </w:pPr>
    </w:p>
    <w:p w14:paraId="65157C5C" w14:textId="77777777" w:rsidR="00FC2786" w:rsidRPr="00FC2786" w:rsidRDefault="00D7207F" w:rsidP="00FC2786">
      <w:pPr>
        <w:pStyle w:val="ListParagraph"/>
        <w:numPr>
          <w:ilvl w:val="0"/>
          <w:numId w:val="6"/>
        </w:numPr>
        <w:spacing w:line="480" w:lineRule="auto"/>
        <w:jc w:val="both"/>
        <w:rPr>
          <w:rFonts w:ascii="Times New Roman" w:hAnsi="Times New Roman" w:cs="Times New Roman"/>
          <w:b/>
          <w:sz w:val="24"/>
          <w:szCs w:val="24"/>
        </w:rPr>
      </w:pPr>
      <w:r w:rsidRPr="00DF02DC">
        <w:rPr>
          <w:rFonts w:ascii="Times New Roman" w:hAnsi="Times New Roman" w:cs="Times New Roman"/>
          <w:sz w:val="24"/>
          <w:szCs w:val="24"/>
        </w:rPr>
        <w:t xml:space="preserve">At the hearing of this appeal the appellant was represented by counsel and solicitors who made no submissions under the third of these headings but sought </w:t>
      </w:r>
      <w:r w:rsidR="002B1B0E">
        <w:rPr>
          <w:rFonts w:ascii="Times New Roman" w:hAnsi="Times New Roman" w:cs="Times New Roman"/>
          <w:sz w:val="24"/>
          <w:szCs w:val="24"/>
        </w:rPr>
        <w:t xml:space="preserve">(as it was variously described) </w:t>
      </w:r>
      <w:r w:rsidRPr="00DF02DC">
        <w:rPr>
          <w:rFonts w:ascii="Times New Roman" w:hAnsi="Times New Roman" w:cs="Times New Roman"/>
          <w:sz w:val="24"/>
          <w:szCs w:val="24"/>
        </w:rPr>
        <w:t>to add a new ground of appeal</w:t>
      </w:r>
      <w:r w:rsidR="00021E29">
        <w:rPr>
          <w:rFonts w:ascii="Times New Roman" w:hAnsi="Times New Roman" w:cs="Times New Roman"/>
          <w:sz w:val="24"/>
          <w:szCs w:val="24"/>
        </w:rPr>
        <w:t>, to adduce new evidence and/or to advance a new argument</w:t>
      </w:r>
      <w:r w:rsidR="002B1B0E">
        <w:rPr>
          <w:rFonts w:ascii="Times New Roman" w:hAnsi="Times New Roman" w:cs="Times New Roman"/>
          <w:sz w:val="24"/>
          <w:szCs w:val="24"/>
        </w:rPr>
        <w:t>.  Each was said to arise</w:t>
      </w:r>
      <w:r w:rsidRPr="00DF02DC">
        <w:rPr>
          <w:rFonts w:ascii="Times New Roman" w:hAnsi="Times New Roman" w:cs="Times New Roman"/>
          <w:sz w:val="24"/>
          <w:szCs w:val="24"/>
        </w:rPr>
        <w:t xml:space="preserve"> from an Order made by this Court on February 19 2021 in </w:t>
      </w:r>
      <w:r w:rsidR="00FC31AB">
        <w:rPr>
          <w:rFonts w:ascii="Times New Roman" w:hAnsi="Times New Roman" w:cs="Times New Roman"/>
          <w:sz w:val="24"/>
          <w:szCs w:val="24"/>
        </w:rPr>
        <w:t xml:space="preserve">distinct </w:t>
      </w:r>
      <w:r w:rsidRPr="00DF02DC">
        <w:rPr>
          <w:rFonts w:ascii="Times New Roman" w:hAnsi="Times New Roman" w:cs="Times New Roman"/>
          <w:sz w:val="24"/>
          <w:szCs w:val="24"/>
        </w:rPr>
        <w:t>proceedings brought against the defendant by</w:t>
      </w:r>
      <w:r w:rsidR="00FC31AB">
        <w:rPr>
          <w:rFonts w:ascii="Times New Roman" w:hAnsi="Times New Roman" w:cs="Times New Roman"/>
          <w:sz w:val="24"/>
          <w:szCs w:val="24"/>
        </w:rPr>
        <w:t xml:space="preserve"> the </w:t>
      </w:r>
      <w:r w:rsidRPr="00DF02DC">
        <w:rPr>
          <w:rFonts w:ascii="Times New Roman" w:hAnsi="Times New Roman" w:cs="Times New Roman"/>
          <w:sz w:val="24"/>
          <w:szCs w:val="24"/>
        </w:rPr>
        <w:t xml:space="preserve">Bank.  </w:t>
      </w:r>
      <w:r w:rsidRPr="00DF02DC">
        <w:rPr>
          <w:rFonts w:ascii="Times New Roman" w:hAnsi="Times New Roman" w:cs="Times New Roman"/>
          <w:sz w:val="24"/>
          <w:szCs w:val="24"/>
        </w:rPr>
        <w:lastRenderedPageBreak/>
        <w:t>The</w:t>
      </w:r>
      <w:r w:rsidR="002B1B0E">
        <w:rPr>
          <w:rFonts w:ascii="Times New Roman" w:hAnsi="Times New Roman" w:cs="Times New Roman"/>
          <w:sz w:val="24"/>
          <w:szCs w:val="24"/>
        </w:rPr>
        <w:t xml:space="preserve"> defendant’s advisors</w:t>
      </w:r>
      <w:r w:rsidRPr="00DF02DC">
        <w:rPr>
          <w:rFonts w:ascii="Times New Roman" w:hAnsi="Times New Roman" w:cs="Times New Roman"/>
          <w:sz w:val="24"/>
          <w:szCs w:val="24"/>
        </w:rPr>
        <w:t xml:space="preserve"> also sought to advance a</w:t>
      </w:r>
      <w:r w:rsidR="006A6AF1">
        <w:rPr>
          <w:rFonts w:ascii="Times New Roman" w:hAnsi="Times New Roman" w:cs="Times New Roman"/>
          <w:sz w:val="24"/>
          <w:szCs w:val="24"/>
        </w:rPr>
        <w:t xml:space="preserve"> claim </w:t>
      </w:r>
      <w:r w:rsidRPr="00DF02DC">
        <w:rPr>
          <w:rFonts w:ascii="Times New Roman" w:hAnsi="Times New Roman" w:cs="Times New Roman"/>
          <w:sz w:val="24"/>
          <w:szCs w:val="24"/>
        </w:rPr>
        <w:t>based upon the proposition that the security on foot of which the plaintiff was purportedly appointed was a ‘Welsh Mortgage’</w:t>
      </w:r>
      <w:r w:rsidR="003C56C3">
        <w:rPr>
          <w:rFonts w:ascii="Times New Roman" w:hAnsi="Times New Roman" w:cs="Times New Roman"/>
          <w:sz w:val="24"/>
          <w:szCs w:val="24"/>
        </w:rPr>
        <w:t xml:space="preserve"> </w:t>
      </w:r>
      <w:r w:rsidR="00DF02DC">
        <w:rPr>
          <w:rFonts w:ascii="Times New Roman" w:hAnsi="Times New Roman" w:cs="Times New Roman"/>
          <w:sz w:val="24"/>
          <w:szCs w:val="24"/>
        </w:rPr>
        <w:t>and, accordingly, prohibited by the provisions of the Land and Conveyancing Reform Act 2009.</w:t>
      </w:r>
    </w:p>
    <w:p w14:paraId="0450B03D" w14:textId="77777777" w:rsidR="00FC2786" w:rsidRPr="00DF02DC" w:rsidRDefault="00FC2786" w:rsidP="00FC2786">
      <w:pPr>
        <w:pStyle w:val="ListParagraph"/>
        <w:rPr>
          <w:rFonts w:ascii="Times New Roman" w:hAnsi="Times New Roman" w:cs="Times New Roman"/>
          <w:b/>
          <w:i/>
          <w:sz w:val="24"/>
          <w:szCs w:val="24"/>
        </w:rPr>
      </w:pPr>
    </w:p>
    <w:p w14:paraId="2685CD55" w14:textId="77777777" w:rsidR="00FC2786" w:rsidRPr="00FC2786" w:rsidRDefault="00FC2786" w:rsidP="00FC2786">
      <w:pPr>
        <w:ind w:firstLine="0"/>
        <w:jc w:val="both"/>
        <w:rPr>
          <w:rFonts w:ascii="Times New Roman" w:hAnsi="Times New Roman" w:cs="Times New Roman"/>
          <w:b/>
          <w:i/>
          <w:sz w:val="24"/>
          <w:szCs w:val="24"/>
        </w:rPr>
      </w:pPr>
      <w:r>
        <w:rPr>
          <w:rFonts w:ascii="Times New Roman" w:hAnsi="Times New Roman" w:cs="Times New Roman"/>
          <w:b/>
          <w:i/>
          <w:sz w:val="24"/>
          <w:szCs w:val="24"/>
        </w:rPr>
        <w:t>The</w:t>
      </w:r>
      <w:r w:rsidR="0099120A">
        <w:rPr>
          <w:rFonts w:ascii="Times New Roman" w:hAnsi="Times New Roman" w:cs="Times New Roman"/>
          <w:b/>
          <w:i/>
          <w:sz w:val="24"/>
          <w:szCs w:val="24"/>
        </w:rPr>
        <w:t xml:space="preserve"> </w:t>
      </w:r>
      <w:r w:rsidRPr="00DF02DC">
        <w:rPr>
          <w:rFonts w:ascii="Times New Roman" w:hAnsi="Times New Roman" w:cs="Times New Roman"/>
          <w:b/>
          <w:i/>
          <w:sz w:val="24"/>
          <w:szCs w:val="24"/>
        </w:rPr>
        <w:t>mortgage</w:t>
      </w:r>
      <w:r>
        <w:rPr>
          <w:rFonts w:ascii="Times New Roman" w:hAnsi="Times New Roman" w:cs="Times New Roman"/>
          <w:b/>
          <w:i/>
          <w:sz w:val="24"/>
          <w:szCs w:val="24"/>
        </w:rPr>
        <w:t>, the deed of appointment</w:t>
      </w:r>
      <w:r w:rsidRPr="00DF02DC">
        <w:rPr>
          <w:rFonts w:ascii="Times New Roman" w:hAnsi="Times New Roman" w:cs="Times New Roman"/>
          <w:b/>
          <w:i/>
          <w:sz w:val="24"/>
          <w:szCs w:val="24"/>
        </w:rPr>
        <w:t xml:space="preserve"> and the defendant’s </w:t>
      </w:r>
      <w:r w:rsidR="0099120A">
        <w:rPr>
          <w:rFonts w:ascii="Times New Roman" w:hAnsi="Times New Roman" w:cs="Times New Roman"/>
          <w:b/>
          <w:i/>
          <w:sz w:val="24"/>
          <w:szCs w:val="24"/>
        </w:rPr>
        <w:t>argument</w:t>
      </w:r>
      <w:r w:rsidRPr="00FC2786">
        <w:rPr>
          <w:rFonts w:ascii="Times New Roman" w:hAnsi="Times New Roman" w:cs="Times New Roman"/>
          <w:sz w:val="24"/>
          <w:szCs w:val="24"/>
        </w:rPr>
        <w:t xml:space="preserve">  </w:t>
      </w:r>
    </w:p>
    <w:p w14:paraId="7623000E" w14:textId="77777777" w:rsidR="00FC2786" w:rsidRPr="00FC2786" w:rsidRDefault="00FC2786" w:rsidP="00FC2786">
      <w:pPr>
        <w:pStyle w:val="ListParagraph"/>
        <w:rPr>
          <w:rFonts w:ascii="Times New Roman" w:hAnsi="Times New Roman" w:cs="Times New Roman"/>
          <w:sz w:val="24"/>
          <w:szCs w:val="24"/>
        </w:rPr>
      </w:pPr>
    </w:p>
    <w:p w14:paraId="37C6128C" w14:textId="77777777" w:rsidR="00D7207F" w:rsidRPr="00FC2786" w:rsidRDefault="00D7207F" w:rsidP="00FC2786">
      <w:pPr>
        <w:pStyle w:val="ListParagraph"/>
        <w:numPr>
          <w:ilvl w:val="0"/>
          <w:numId w:val="6"/>
        </w:numPr>
        <w:spacing w:line="480" w:lineRule="auto"/>
        <w:jc w:val="both"/>
        <w:rPr>
          <w:rFonts w:ascii="Times New Roman" w:hAnsi="Times New Roman" w:cs="Times New Roman"/>
          <w:b/>
          <w:sz w:val="24"/>
          <w:szCs w:val="24"/>
        </w:rPr>
      </w:pPr>
      <w:r w:rsidRPr="00FC2786">
        <w:rPr>
          <w:rFonts w:ascii="Times New Roman" w:hAnsi="Times New Roman" w:cs="Times New Roman"/>
          <w:sz w:val="24"/>
          <w:szCs w:val="24"/>
        </w:rPr>
        <w:t xml:space="preserve">The </w:t>
      </w:r>
      <w:r w:rsidR="008F3012">
        <w:rPr>
          <w:rFonts w:ascii="Times New Roman" w:hAnsi="Times New Roman" w:cs="Times New Roman"/>
          <w:sz w:val="24"/>
          <w:szCs w:val="24"/>
        </w:rPr>
        <w:t>d</w:t>
      </w:r>
      <w:r w:rsidRPr="00FC2786">
        <w:rPr>
          <w:rFonts w:ascii="Times New Roman" w:hAnsi="Times New Roman" w:cs="Times New Roman"/>
          <w:sz w:val="24"/>
          <w:szCs w:val="24"/>
        </w:rPr>
        <w:t xml:space="preserve">eed of </w:t>
      </w:r>
      <w:r w:rsidR="008F3012">
        <w:rPr>
          <w:rFonts w:ascii="Times New Roman" w:hAnsi="Times New Roman" w:cs="Times New Roman"/>
          <w:sz w:val="24"/>
          <w:szCs w:val="24"/>
        </w:rPr>
        <w:t>a</w:t>
      </w:r>
      <w:r w:rsidRPr="00FC2786">
        <w:rPr>
          <w:rFonts w:ascii="Times New Roman" w:hAnsi="Times New Roman" w:cs="Times New Roman"/>
          <w:sz w:val="24"/>
          <w:szCs w:val="24"/>
        </w:rPr>
        <w:t xml:space="preserve">ppointment of the plaintiff </w:t>
      </w:r>
      <w:r w:rsidR="00B46844">
        <w:rPr>
          <w:rFonts w:ascii="Times New Roman" w:hAnsi="Times New Roman" w:cs="Times New Roman"/>
          <w:sz w:val="24"/>
          <w:szCs w:val="24"/>
        </w:rPr>
        <w:t xml:space="preserve">as receiver </w:t>
      </w:r>
      <w:r w:rsidRPr="00FC2786">
        <w:rPr>
          <w:rFonts w:ascii="Times New Roman" w:hAnsi="Times New Roman" w:cs="Times New Roman"/>
          <w:sz w:val="24"/>
          <w:szCs w:val="24"/>
        </w:rPr>
        <w:t>provides, where material, as follows:</w:t>
      </w:r>
    </w:p>
    <w:p w14:paraId="44C24945" w14:textId="77777777" w:rsidR="00D7207F" w:rsidRPr="00D7207F" w:rsidRDefault="00D7207F" w:rsidP="00D7207F">
      <w:pPr>
        <w:pStyle w:val="ListParagraph"/>
        <w:spacing w:line="480" w:lineRule="auto"/>
        <w:jc w:val="both"/>
        <w:rPr>
          <w:rFonts w:ascii="Times New Roman" w:hAnsi="Times New Roman" w:cs="Times New Roman"/>
          <w:sz w:val="24"/>
          <w:szCs w:val="24"/>
        </w:rPr>
      </w:pPr>
    </w:p>
    <w:p w14:paraId="6C81AFAF" w14:textId="77777777" w:rsidR="00D7207F" w:rsidRPr="00D7207F" w:rsidRDefault="00D7207F" w:rsidP="00D7207F">
      <w:pPr>
        <w:pStyle w:val="ListParagraph"/>
        <w:spacing w:line="480" w:lineRule="auto"/>
        <w:ind w:left="1440"/>
        <w:jc w:val="both"/>
        <w:rPr>
          <w:rFonts w:ascii="Times New Roman" w:hAnsi="Times New Roman" w:cs="Times New Roman"/>
          <w:sz w:val="24"/>
          <w:szCs w:val="24"/>
        </w:rPr>
      </w:pPr>
      <w:r w:rsidRPr="00D7207F">
        <w:rPr>
          <w:rFonts w:ascii="Times New Roman" w:hAnsi="Times New Roman" w:cs="Times New Roman"/>
          <w:i/>
          <w:sz w:val="24"/>
          <w:szCs w:val="24"/>
        </w:rPr>
        <w:t xml:space="preserve">“In pursuance of the powers contained in the Mortgage dated 28th May, 2007 made between HUGH CORRIGAN OF … (the “Borrower”) of the one part and IIB Bank plc who pursuant to Section 33 of the Central Bank Act, 1971, transferred its mortgage loans to KBC BANK IRELAND PLC and has its registered address at … (“the Bank”) of the other part (hereinafter referred to as the “Mortgage”), the security constituted by the Mortgage  having become enforceable, we, the Bank, do hereby appoint KEN FENNELL of … Dublin 4 (“the Receiver”) </w:t>
      </w:r>
      <w:r w:rsidRPr="00D7207F">
        <w:rPr>
          <w:rFonts w:ascii="Times New Roman" w:hAnsi="Times New Roman" w:cs="Times New Roman"/>
          <w:b/>
          <w:i/>
          <w:sz w:val="24"/>
          <w:szCs w:val="24"/>
        </w:rPr>
        <w:t>to be Receiver of and over, all the undertaking, property and assets of the Borrower referred to and charged by the Mortgage</w:t>
      </w:r>
      <w:r w:rsidRPr="00D7207F">
        <w:rPr>
          <w:rFonts w:ascii="Times New Roman" w:hAnsi="Times New Roman" w:cs="Times New Roman"/>
          <w:i/>
          <w:sz w:val="24"/>
          <w:szCs w:val="24"/>
        </w:rPr>
        <w:t xml:space="preserve"> to enter upon and take possession of the same in the manner as specified in the said Mortgage and the Receiver shall be entitled to exercise all of the powers conferred on him by the said Mortgage and by law. It is hereby declared that the Receiver shall be the agent of the Borrower who shall be solely responsible for the Receiver’s acts, defaults and remuneration”.</w:t>
      </w:r>
    </w:p>
    <w:p w14:paraId="463DC1B0" w14:textId="77777777" w:rsidR="00D7207F" w:rsidRPr="00D7207F" w:rsidRDefault="00D7207F" w:rsidP="00D7207F">
      <w:pPr>
        <w:pStyle w:val="ListParagraph"/>
        <w:spacing w:line="480" w:lineRule="auto"/>
        <w:ind w:left="1440"/>
        <w:jc w:val="both"/>
        <w:rPr>
          <w:rFonts w:ascii="Times New Roman" w:hAnsi="Times New Roman" w:cs="Times New Roman"/>
          <w:sz w:val="24"/>
          <w:szCs w:val="24"/>
        </w:rPr>
      </w:pPr>
    </w:p>
    <w:p w14:paraId="4A3C532E" w14:textId="77777777" w:rsidR="00D7207F" w:rsidRPr="00D7207F" w:rsidRDefault="00D7207F" w:rsidP="00D7207F">
      <w:pPr>
        <w:pStyle w:val="ListParagraph"/>
        <w:spacing w:line="480" w:lineRule="auto"/>
        <w:ind w:left="1440"/>
        <w:jc w:val="both"/>
        <w:rPr>
          <w:rFonts w:ascii="Times New Roman" w:hAnsi="Times New Roman" w:cs="Times New Roman"/>
          <w:sz w:val="24"/>
          <w:szCs w:val="24"/>
        </w:rPr>
      </w:pPr>
      <w:r w:rsidRPr="00D7207F">
        <w:rPr>
          <w:rFonts w:ascii="Times New Roman" w:hAnsi="Times New Roman" w:cs="Times New Roman"/>
          <w:sz w:val="24"/>
          <w:szCs w:val="24"/>
        </w:rPr>
        <w:lastRenderedPageBreak/>
        <w:t>(Emphasis added).</w:t>
      </w:r>
    </w:p>
    <w:p w14:paraId="074FE82D"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1F8ABF5F" w14:textId="5B3DBE25" w:rsidR="00D7207F" w:rsidRPr="00D7207F" w:rsidRDefault="00D34051"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As evident from this, the appointment was made ‘</w:t>
      </w:r>
      <w:r>
        <w:rPr>
          <w:rFonts w:ascii="Times New Roman" w:hAnsi="Times New Roman" w:cs="Times New Roman"/>
          <w:i/>
          <w:sz w:val="24"/>
          <w:szCs w:val="24"/>
        </w:rPr>
        <w:t>in pursuance of the powers contained in the Mortgage dated 28</w:t>
      </w:r>
      <w:r w:rsidRPr="00D34051">
        <w:rPr>
          <w:rFonts w:ascii="Times New Roman" w:hAnsi="Times New Roman" w:cs="Times New Roman"/>
          <w:i/>
          <w:sz w:val="24"/>
          <w:szCs w:val="24"/>
          <w:vertAlign w:val="superscript"/>
        </w:rPr>
        <w:t>th</w:t>
      </w:r>
      <w:r>
        <w:rPr>
          <w:rFonts w:ascii="Times New Roman" w:hAnsi="Times New Roman" w:cs="Times New Roman"/>
          <w:i/>
          <w:sz w:val="24"/>
          <w:szCs w:val="24"/>
        </w:rPr>
        <w:t xml:space="preserve"> May 2007’.  </w:t>
      </w:r>
      <w:r>
        <w:rPr>
          <w:rFonts w:ascii="Times New Roman" w:hAnsi="Times New Roman" w:cs="Times New Roman"/>
          <w:sz w:val="24"/>
          <w:szCs w:val="24"/>
        </w:rPr>
        <w:t xml:space="preserve">The relevant provision of the mortgage is </w:t>
      </w:r>
      <w:r w:rsidR="008F3012">
        <w:rPr>
          <w:rFonts w:ascii="Times New Roman" w:hAnsi="Times New Roman" w:cs="Times New Roman"/>
          <w:sz w:val="24"/>
          <w:szCs w:val="24"/>
        </w:rPr>
        <w:t>c</w:t>
      </w:r>
      <w:r w:rsidR="00D7207F" w:rsidRPr="00D7207F">
        <w:rPr>
          <w:rFonts w:ascii="Times New Roman" w:hAnsi="Times New Roman" w:cs="Times New Roman"/>
          <w:sz w:val="24"/>
          <w:szCs w:val="24"/>
        </w:rPr>
        <w:t>lause 9.1</w:t>
      </w:r>
      <w:r>
        <w:rPr>
          <w:rFonts w:ascii="Times New Roman" w:hAnsi="Times New Roman" w:cs="Times New Roman"/>
          <w:sz w:val="24"/>
          <w:szCs w:val="24"/>
        </w:rPr>
        <w:t>:</w:t>
      </w:r>
    </w:p>
    <w:p w14:paraId="28DC5BC1" w14:textId="77777777" w:rsidR="00D7207F" w:rsidRPr="00D7207F" w:rsidRDefault="00D7207F" w:rsidP="00D7207F">
      <w:pPr>
        <w:pStyle w:val="ListParagraph"/>
        <w:spacing w:line="480" w:lineRule="auto"/>
        <w:jc w:val="both"/>
        <w:rPr>
          <w:rFonts w:ascii="Times New Roman" w:hAnsi="Times New Roman" w:cs="Times New Roman"/>
          <w:sz w:val="24"/>
          <w:szCs w:val="24"/>
        </w:rPr>
      </w:pPr>
    </w:p>
    <w:p w14:paraId="28B8D674" w14:textId="77777777" w:rsidR="00D7207F" w:rsidRPr="00D7207F" w:rsidRDefault="001B43CD" w:rsidP="00D7207F">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D7207F" w:rsidRPr="00D7207F">
        <w:rPr>
          <w:rFonts w:ascii="Times New Roman" w:hAnsi="Times New Roman" w:cs="Times New Roman"/>
          <w:i/>
          <w:sz w:val="24"/>
          <w:szCs w:val="24"/>
        </w:rPr>
        <w:t xml:space="preserve">At any time after the </w:t>
      </w:r>
      <w:proofErr w:type="spellStart"/>
      <w:r w:rsidR="00D7207F" w:rsidRPr="00D7207F">
        <w:rPr>
          <w:rFonts w:ascii="Times New Roman" w:hAnsi="Times New Roman" w:cs="Times New Roman"/>
          <w:i/>
          <w:sz w:val="24"/>
          <w:szCs w:val="24"/>
        </w:rPr>
        <w:t>Chargor</w:t>
      </w:r>
      <w:proofErr w:type="spellEnd"/>
      <w:r w:rsidR="00D7207F" w:rsidRPr="00D7207F">
        <w:rPr>
          <w:rFonts w:ascii="Times New Roman" w:hAnsi="Times New Roman" w:cs="Times New Roman"/>
          <w:i/>
          <w:sz w:val="24"/>
          <w:szCs w:val="24"/>
        </w:rPr>
        <w:t xml:space="preserve"> so requests all the security hereby constituted becomes enforceable, the Bank may from time to time appoint under seal or under the hand of the duly authorised officer of the Bank any person or persons to be </w:t>
      </w:r>
      <w:r w:rsidR="00D7207F" w:rsidRPr="00D7207F">
        <w:rPr>
          <w:rFonts w:ascii="Times New Roman" w:hAnsi="Times New Roman" w:cs="Times New Roman"/>
          <w:b/>
          <w:i/>
          <w:sz w:val="24"/>
          <w:szCs w:val="24"/>
        </w:rPr>
        <w:t>receiver and manager or receivers and managers</w:t>
      </w:r>
      <w:r w:rsidR="00D7207F" w:rsidRPr="00D7207F">
        <w:rPr>
          <w:rFonts w:ascii="Times New Roman" w:hAnsi="Times New Roman" w:cs="Times New Roman"/>
          <w:i/>
          <w:sz w:val="24"/>
          <w:szCs w:val="24"/>
        </w:rPr>
        <w:t xml:space="preserve"> (hereinafter called a “Receiver” which expression shall where the context so admits include the plural and any substituted receiver and manager or receivers and managers) of the Secured Assets or any part or parts thereof and may from time under seal or under the hand of the duly authorised officer of the Bank remove any one or more receiver or receivers so appointed and may so appoint another or others in his/their stead.</w:t>
      </w:r>
      <w:r>
        <w:rPr>
          <w:rFonts w:ascii="Times New Roman" w:hAnsi="Times New Roman" w:cs="Times New Roman"/>
          <w:i/>
          <w:sz w:val="24"/>
          <w:szCs w:val="24"/>
        </w:rPr>
        <w:t>’</w:t>
      </w:r>
    </w:p>
    <w:p w14:paraId="5607E3BA" w14:textId="77777777" w:rsidR="00D7207F" w:rsidRPr="00D7207F" w:rsidRDefault="00D7207F" w:rsidP="00D7207F">
      <w:pPr>
        <w:pStyle w:val="ListParagraph"/>
        <w:spacing w:line="480" w:lineRule="auto"/>
        <w:ind w:left="1440"/>
        <w:jc w:val="both"/>
        <w:rPr>
          <w:rFonts w:ascii="Times New Roman" w:hAnsi="Times New Roman" w:cs="Times New Roman"/>
          <w:i/>
          <w:sz w:val="24"/>
          <w:szCs w:val="24"/>
        </w:rPr>
      </w:pPr>
    </w:p>
    <w:p w14:paraId="07B82A45" w14:textId="2B593D53" w:rsidR="00D7207F" w:rsidRPr="00D7207F" w:rsidRDefault="00D7207F" w:rsidP="00D7207F">
      <w:pPr>
        <w:pStyle w:val="ListParagraph"/>
        <w:spacing w:line="480" w:lineRule="auto"/>
        <w:ind w:left="1440"/>
        <w:jc w:val="both"/>
        <w:rPr>
          <w:rFonts w:ascii="Times New Roman" w:hAnsi="Times New Roman" w:cs="Times New Roman"/>
          <w:sz w:val="24"/>
          <w:szCs w:val="24"/>
        </w:rPr>
      </w:pPr>
      <w:r w:rsidRPr="00D7207F">
        <w:rPr>
          <w:rFonts w:ascii="Times New Roman" w:hAnsi="Times New Roman" w:cs="Times New Roman"/>
          <w:sz w:val="24"/>
          <w:szCs w:val="24"/>
        </w:rPr>
        <w:t>(</w:t>
      </w:r>
      <w:r w:rsidR="001B43CD">
        <w:rPr>
          <w:rFonts w:ascii="Times New Roman" w:hAnsi="Times New Roman" w:cs="Times New Roman"/>
          <w:sz w:val="24"/>
          <w:szCs w:val="24"/>
        </w:rPr>
        <w:t>E</w:t>
      </w:r>
      <w:r w:rsidRPr="00D7207F">
        <w:rPr>
          <w:rFonts w:ascii="Times New Roman" w:hAnsi="Times New Roman" w:cs="Times New Roman"/>
          <w:sz w:val="24"/>
          <w:szCs w:val="24"/>
        </w:rPr>
        <w:t>mphasis added).</w:t>
      </w:r>
    </w:p>
    <w:p w14:paraId="3F3A486C"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39F92948" w14:textId="77777777" w:rsidR="00ED2FB1" w:rsidRDefault="00D7207F" w:rsidP="00D7207F">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The point urged by the defendant by reference to these provisions </w:t>
      </w:r>
      <w:r>
        <w:rPr>
          <w:rFonts w:ascii="Times New Roman" w:hAnsi="Times New Roman" w:cs="Times New Roman"/>
          <w:sz w:val="24"/>
          <w:szCs w:val="24"/>
        </w:rPr>
        <w:t xml:space="preserve">starts from the </w:t>
      </w:r>
      <w:r w:rsidR="00687FB2">
        <w:rPr>
          <w:rFonts w:ascii="Times New Roman" w:hAnsi="Times New Roman" w:cs="Times New Roman"/>
          <w:sz w:val="24"/>
          <w:szCs w:val="24"/>
        </w:rPr>
        <w:t xml:space="preserve">correct </w:t>
      </w:r>
      <w:proofErr w:type="spellStart"/>
      <w:r w:rsidR="00395339">
        <w:rPr>
          <w:rFonts w:ascii="Times New Roman" w:hAnsi="Times New Roman" w:cs="Times New Roman"/>
          <w:sz w:val="24"/>
          <w:szCs w:val="24"/>
        </w:rPr>
        <w:t>premiss</w:t>
      </w:r>
      <w:proofErr w:type="spellEnd"/>
      <w:r w:rsidR="00395339">
        <w:rPr>
          <w:rFonts w:ascii="Times New Roman" w:hAnsi="Times New Roman" w:cs="Times New Roman"/>
          <w:sz w:val="24"/>
          <w:szCs w:val="24"/>
        </w:rPr>
        <w:t xml:space="preserve"> </w:t>
      </w:r>
      <w:r>
        <w:rPr>
          <w:rFonts w:ascii="Times New Roman" w:hAnsi="Times New Roman" w:cs="Times New Roman"/>
          <w:sz w:val="24"/>
          <w:szCs w:val="24"/>
        </w:rPr>
        <w:t xml:space="preserve">that the </w:t>
      </w:r>
      <w:r w:rsidRPr="00D7207F">
        <w:rPr>
          <w:rFonts w:ascii="Times New Roman" w:hAnsi="Times New Roman" w:cs="Times New Roman"/>
          <w:sz w:val="24"/>
          <w:szCs w:val="24"/>
        </w:rPr>
        <w:t>mortgage enables the appointment of a person to one position and one position only – that of ‘</w:t>
      </w:r>
      <w:r w:rsidRPr="00D7207F">
        <w:rPr>
          <w:rFonts w:ascii="Times New Roman" w:hAnsi="Times New Roman" w:cs="Times New Roman"/>
          <w:i/>
          <w:sz w:val="24"/>
          <w:szCs w:val="24"/>
        </w:rPr>
        <w:t>receiver and manager’</w:t>
      </w:r>
      <w:r w:rsidR="008F3012">
        <w:rPr>
          <w:rFonts w:ascii="Times New Roman" w:hAnsi="Times New Roman" w:cs="Times New Roman"/>
          <w:sz w:val="24"/>
          <w:szCs w:val="24"/>
        </w:rPr>
        <w:t>. Here, it is indisputable that t</w:t>
      </w:r>
      <w:r w:rsidRPr="00D7207F">
        <w:rPr>
          <w:rFonts w:ascii="Times New Roman" w:hAnsi="Times New Roman" w:cs="Times New Roman"/>
          <w:sz w:val="24"/>
          <w:szCs w:val="24"/>
        </w:rPr>
        <w:t xml:space="preserve">he </w:t>
      </w:r>
      <w:r w:rsidR="008F3012">
        <w:rPr>
          <w:rFonts w:ascii="Times New Roman" w:hAnsi="Times New Roman" w:cs="Times New Roman"/>
          <w:sz w:val="24"/>
          <w:szCs w:val="24"/>
        </w:rPr>
        <w:t>d</w:t>
      </w:r>
      <w:r w:rsidRPr="00D7207F">
        <w:rPr>
          <w:rFonts w:ascii="Times New Roman" w:hAnsi="Times New Roman" w:cs="Times New Roman"/>
          <w:sz w:val="24"/>
          <w:szCs w:val="24"/>
        </w:rPr>
        <w:t xml:space="preserve">eed of </w:t>
      </w:r>
      <w:r w:rsidR="008F3012">
        <w:rPr>
          <w:rFonts w:ascii="Times New Roman" w:hAnsi="Times New Roman" w:cs="Times New Roman"/>
          <w:sz w:val="24"/>
          <w:szCs w:val="24"/>
        </w:rPr>
        <w:t>a</w:t>
      </w:r>
      <w:r w:rsidRPr="00D7207F">
        <w:rPr>
          <w:rFonts w:ascii="Times New Roman" w:hAnsi="Times New Roman" w:cs="Times New Roman"/>
          <w:sz w:val="24"/>
          <w:szCs w:val="24"/>
        </w:rPr>
        <w:t xml:space="preserve">ppointment </w:t>
      </w:r>
      <w:r w:rsidR="008F3012">
        <w:rPr>
          <w:rFonts w:ascii="Times New Roman" w:hAnsi="Times New Roman" w:cs="Times New Roman"/>
          <w:sz w:val="24"/>
          <w:szCs w:val="24"/>
        </w:rPr>
        <w:t xml:space="preserve">upon which the plaintiff relies </w:t>
      </w:r>
      <w:r w:rsidRPr="00D7207F">
        <w:rPr>
          <w:rFonts w:ascii="Times New Roman" w:hAnsi="Times New Roman" w:cs="Times New Roman"/>
          <w:sz w:val="24"/>
          <w:szCs w:val="24"/>
        </w:rPr>
        <w:t xml:space="preserve">does not </w:t>
      </w:r>
      <w:r w:rsidR="009C3D2E">
        <w:rPr>
          <w:rFonts w:ascii="Times New Roman" w:hAnsi="Times New Roman" w:cs="Times New Roman"/>
          <w:sz w:val="24"/>
          <w:szCs w:val="24"/>
        </w:rPr>
        <w:t xml:space="preserve">record the appointment as that of </w:t>
      </w:r>
      <w:r w:rsidRPr="00D7207F">
        <w:rPr>
          <w:rFonts w:ascii="Times New Roman" w:hAnsi="Times New Roman" w:cs="Times New Roman"/>
          <w:sz w:val="24"/>
          <w:szCs w:val="24"/>
        </w:rPr>
        <w:t>‘</w:t>
      </w:r>
      <w:r w:rsidRPr="00D7207F">
        <w:rPr>
          <w:rFonts w:ascii="Times New Roman" w:hAnsi="Times New Roman" w:cs="Times New Roman"/>
          <w:i/>
          <w:sz w:val="24"/>
          <w:szCs w:val="24"/>
        </w:rPr>
        <w:t>receiver and manager’</w:t>
      </w:r>
      <w:r w:rsidRPr="00D7207F">
        <w:rPr>
          <w:rFonts w:ascii="Times New Roman" w:hAnsi="Times New Roman" w:cs="Times New Roman"/>
          <w:sz w:val="24"/>
          <w:szCs w:val="24"/>
        </w:rPr>
        <w:t xml:space="preserve"> instead </w:t>
      </w:r>
      <w:r w:rsidR="00430BEB">
        <w:rPr>
          <w:rFonts w:ascii="Times New Roman" w:hAnsi="Times New Roman" w:cs="Times New Roman"/>
          <w:sz w:val="24"/>
          <w:szCs w:val="24"/>
        </w:rPr>
        <w:t xml:space="preserve">only </w:t>
      </w:r>
      <w:r w:rsidRPr="00D7207F">
        <w:rPr>
          <w:rFonts w:ascii="Times New Roman" w:hAnsi="Times New Roman" w:cs="Times New Roman"/>
          <w:sz w:val="24"/>
          <w:szCs w:val="24"/>
        </w:rPr>
        <w:t>identifying the appointee as ‘</w:t>
      </w:r>
      <w:r w:rsidRPr="00D7207F">
        <w:rPr>
          <w:rFonts w:ascii="Times New Roman" w:hAnsi="Times New Roman" w:cs="Times New Roman"/>
          <w:i/>
          <w:sz w:val="24"/>
          <w:szCs w:val="24"/>
        </w:rPr>
        <w:t>Receiver’</w:t>
      </w:r>
      <w:r w:rsidRPr="00D7207F">
        <w:rPr>
          <w:rFonts w:ascii="Times New Roman" w:hAnsi="Times New Roman" w:cs="Times New Roman"/>
          <w:sz w:val="24"/>
          <w:szCs w:val="24"/>
        </w:rPr>
        <w:t xml:space="preserve">.  There is, </w:t>
      </w:r>
      <w:r w:rsidR="004D6A21">
        <w:rPr>
          <w:rFonts w:ascii="Times New Roman" w:hAnsi="Times New Roman" w:cs="Times New Roman"/>
          <w:sz w:val="24"/>
          <w:szCs w:val="24"/>
        </w:rPr>
        <w:t>the defendant says</w:t>
      </w:r>
      <w:r w:rsidRPr="00D7207F">
        <w:rPr>
          <w:rFonts w:ascii="Times New Roman" w:hAnsi="Times New Roman" w:cs="Times New Roman"/>
          <w:sz w:val="24"/>
          <w:szCs w:val="24"/>
        </w:rPr>
        <w:t xml:space="preserve">, a legal requirement that the </w:t>
      </w:r>
      <w:r w:rsidR="008F3012">
        <w:rPr>
          <w:rFonts w:ascii="Times New Roman" w:hAnsi="Times New Roman" w:cs="Times New Roman"/>
          <w:sz w:val="24"/>
          <w:szCs w:val="24"/>
        </w:rPr>
        <w:t>d</w:t>
      </w:r>
      <w:r w:rsidRPr="00D7207F">
        <w:rPr>
          <w:rFonts w:ascii="Times New Roman" w:hAnsi="Times New Roman" w:cs="Times New Roman"/>
          <w:sz w:val="24"/>
          <w:szCs w:val="24"/>
        </w:rPr>
        <w:t xml:space="preserve">eed of </w:t>
      </w:r>
      <w:r w:rsidR="008F3012">
        <w:rPr>
          <w:rFonts w:ascii="Times New Roman" w:hAnsi="Times New Roman" w:cs="Times New Roman"/>
          <w:sz w:val="24"/>
          <w:szCs w:val="24"/>
        </w:rPr>
        <w:t>a</w:t>
      </w:r>
      <w:r w:rsidRPr="00D7207F">
        <w:rPr>
          <w:rFonts w:ascii="Times New Roman" w:hAnsi="Times New Roman" w:cs="Times New Roman"/>
          <w:sz w:val="24"/>
          <w:szCs w:val="24"/>
        </w:rPr>
        <w:t xml:space="preserve">ppointment strictly follow the </w:t>
      </w:r>
      <w:r w:rsidRPr="00D7207F">
        <w:rPr>
          <w:rFonts w:ascii="Times New Roman" w:hAnsi="Times New Roman" w:cs="Times New Roman"/>
          <w:sz w:val="24"/>
          <w:szCs w:val="24"/>
        </w:rPr>
        <w:lastRenderedPageBreak/>
        <w:t>power conferred by the mortgage deed</w:t>
      </w:r>
      <w:r w:rsidR="009D2CEF">
        <w:rPr>
          <w:rFonts w:ascii="Times New Roman" w:hAnsi="Times New Roman" w:cs="Times New Roman"/>
          <w:sz w:val="24"/>
          <w:szCs w:val="24"/>
        </w:rPr>
        <w:t xml:space="preserve">. Therefore, </w:t>
      </w:r>
      <w:r w:rsidR="000D0FC0">
        <w:rPr>
          <w:rFonts w:ascii="Times New Roman" w:hAnsi="Times New Roman" w:cs="Times New Roman"/>
          <w:sz w:val="24"/>
          <w:szCs w:val="24"/>
        </w:rPr>
        <w:t xml:space="preserve">the defendant contends, </w:t>
      </w:r>
      <w:r w:rsidR="0099120A">
        <w:rPr>
          <w:rFonts w:ascii="Times New Roman" w:hAnsi="Times New Roman" w:cs="Times New Roman"/>
          <w:sz w:val="24"/>
          <w:szCs w:val="24"/>
        </w:rPr>
        <w:t>given that</w:t>
      </w:r>
      <w:r w:rsidR="009D2CEF">
        <w:rPr>
          <w:rFonts w:ascii="Times New Roman" w:hAnsi="Times New Roman" w:cs="Times New Roman"/>
          <w:sz w:val="24"/>
          <w:szCs w:val="24"/>
        </w:rPr>
        <w:t xml:space="preserve"> </w:t>
      </w:r>
      <w:r w:rsidR="0099120A">
        <w:rPr>
          <w:rFonts w:ascii="Times New Roman" w:hAnsi="Times New Roman" w:cs="Times New Roman"/>
          <w:sz w:val="24"/>
          <w:szCs w:val="24"/>
        </w:rPr>
        <w:t xml:space="preserve">the </w:t>
      </w:r>
      <w:r w:rsidR="009D2CEF">
        <w:rPr>
          <w:rFonts w:ascii="Times New Roman" w:hAnsi="Times New Roman" w:cs="Times New Roman"/>
          <w:sz w:val="24"/>
          <w:szCs w:val="24"/>
        </w:rPr>
        <w:t>mortgage conferred a power to appoint a receiver</w:t>
      </w:r>
      <w:r w:rsidR="0099120A">
        <w:rPr>
          <w:rFonts w:ascii="Times New Roman" w:hAnsi="Times New Roman" w:cs="Times New Roman"/>
          <w:sz w:val="24"/>
          <w:szCs w:val="24"/>
        </w:rPr>
        <w:t xml:space="preserve"> and </w:t>
      </w:r>
      <w:r w:rsidR="009D2CEF">
        <w:rPr>
          <w:rFonts w:ascii="Times New Roman" w:hAnsi="Times New Roman" w:cs="Times New Roman"/>
          <w:sz w:val="24"/>
          <w:szCs w:val="24"/>
        </w:rPr>
        <w:t>manager and only a receiver</w:t>
      </w:r>
      <w:r w:rsidR="0099120A">
        <w:rPr>
          <w:rFonts w:ascii="Times New Roman" w:hAnsi="Times New Roman" w:cs="Times New Roman"/>
          <w:sz w:val="24"/>
          <w:szCs w:val="24"/>
        </w:rPr>
        <w:t xml:space="preserve"> and </w:t>
      </w:r>
      <w:r w:rsidR="009D2CEF">
        <w:rPr>
          <w:rFonts w:ascii="Times New Roman" w:hAnsi="Times New Roman" w:cs="Times New Roman"/>
          <w:sz w:val="24"/>
          <w:szCs w:val="24"/>
        </w:rPr>
        <w:t xml:space="preserve">manager, a deed of appointment which </w:t>
      </w:r>
      <w:r w:rsidR="000D0FC0">
        <w:rPr>
          <w:rFonts w:ascii="Times New Roman" w:hAnsi="Times New Roman" w:cs="Times New Roman"/>
          <w:sz w:val="24"/>
          <w:szCs w:val="24"/>
        </w:rPr>
        <w:t xml:space="preserve">identified the appointee </w:t>
      </w:r>
      <w:r w:rsidR="009C3D2E">
        <w:rPr>
          <w:rFonts w:ascii="Times New Roman" w:hAnsi="Times New Roman" w:cs="Times New Roman"/>
          <w:sz w:val="24"/>
          <w:szCs w:val="24"/>
        </w:rPr>
        <w:t xml:space="preserve">simply </w:t>
      </w:r>
      <w:r w:rsidR="009D2CEF">
        <w:rPr>
          <w:rFonts w:ascii="Times New Roman" w:hAnsi="Times New Roman" w:cs="Times New Roman"/>
          <w:sz w:val="24"/>
          <w:szCs w:val="24"/>
        </w:rPr>
        <w:t>a</w:t>
      </w:r>
      <w:r w:rsidR="000D0FC0">
        <w:rPr>
          <w:rFonts w:ascii="Times New Roman" w:hAnsi="Times New Roman" w:cs="Times New Roman"/>
          <w:sz w:val="24"/>
          <w:szCs w:val="24"/>
        </w:rPr>
        <w:t>s</w:t>
      </w:r>
      <w:r w:rsidR="009D2CEF">
        <w:rPr>
          <w:rFonts w:ascii="Times New Roman" w:hAnsi="Times New Roman" w:cs="Times New Roman"/>
          <w:sz w:val="24"/>
          <w:szCs w:val="24"/>
        </w:rPr>
        <w:t xml:space="preserve"> </w:t>
      </w:r>
      <w:r w:rsidR="000D0FC0">
        <w:rPr>
          <w:rFonts w:ascii="Times New Roman" w:hAnsi="Times New Roman" w:cs="Times New Roman"/>
          <w:sz w:val="24"/>
          <w:szCs w:val="24"/>
        </w:rPr>
        <w:t>‘</w:t>
      </w:r>
      <w:r w:rsidR="000D0FC0">
        <w:rPr>
          <w:rFonts w:ascii="Times New Roman" w:hAnsi="Times New Roman" w:cs="Times New Roman"/>
          <w:i/>
          <w:sz w:val="24"/>
          <w:szCs w:val="24"/>
        </w:rPr>
        <w:t>Receiver’</w:t>
      </w:r>
      <w:r w:rsidR="009D2CEF">
        <w:rPr>
          <w:rFonts w:ascii="Times New Roman" w:hAnsi="Times New Roman" w:cs="Times New Roman"/>
          <w:sz w:val="24"/>
          <w:szCs w:val="24"/>
        </w:rPr>
        <w:t xml:space="preserve"> </w:t>
      </w:r>
      <w:r w:rsidR="000D0FC0">
        <w:rPr>
          <w:rFonts w:ascii="Times New Roman" w:hAnsi="Times New Roman" w:cs="Times New Roman"/>
          <w:sz w:val="24"/>
          <w:szCs w:val="24"/>
        </w:rPr>
        <w:t>is</w:t>
      </w:r>
      <w:r w:rsidR="009D2CEF">
        <w:rPr>
          <w:rFonts w:ascii="Times New Roman" w:hAnsi="Times New Roman" w:cs="Times New Roman"/>
          <w:sz w:val="24"/>
          <w:szCs w:val="24"/>
        </w:rPr>
        <w:t xml:space="preserve"> invalid</w:t>
      </w:r>
      <w:r w:rsidR="000D0FC0">
        <w:rPr>
          <w:rFonts w:ascii="Times New Roman" w:hAnsi="Times New Roman" w:cs="Times New Roman"/>
          <w:sz w:val="24"/>
          <w:szCs w:val="24"/>
        </w:rPr>
        <w:t xml:space="preserve"> and ineffective.</w:t>
      </w:r>
    </w:p>
    <w:p w14:paraId="26B18507" w14:textId="77777777" w:rsidR="004B0FA8" w:rsidRDefault="004B0FA8" w:rsidP="004B0FA8">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0349172B" w14:textId="77777777" w:rsidR="004B0FA8" w:rsidRPr="00E763A3" w:rsidRDefault="004B0FA8" w:rsidP="004B0FA8">
      <w:pPr>
        <w:pStyle w:val="ListParagraph"/>
        <w:numPr>
          <w:ilvl w:val="0"/>
          <w:numId w:val="6"/>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This argument was rejected by the trial Judge.  She found that t</w:t>
      </w:r>
      <w:r w:rsidRPr="004B0FA8">
        <w:rPr>
          <w:rFonts w:ascii="Times New Roman" w:hAnsi="Times New Roman" w:cs="Times New Roman"/>
          <w:sz w:val="24"/>
          <w:szCs w:val="24"/>
        </w:rPr>
        <w:t xml:space="preserve">he mortgage set out the powers </w:t>
      </w:r>
      <w:r w:rsidR="003C56C3">
        <w:rPr>
          <w:rFonts w:ascii="Times New Roman" w:hAnsi="Times New Roman" w:cs="Times New Roman"/>
          <w:sz w:val="24"/>
          <w:szCs w:val="24"/>
        </w:rPr>
        <w:t xml:space="preserve">of the receiver </w:t>
      </w:r>
      <w:r w:rsidRPr="004B0FA8">
        <w:rPr>
          <w:rFonts w:ascii="Times New Roman" w:hAnsi="Times New Roman" w:cs="Times New Roman"/>
          <w:sz w:val="24"/>
          <w:szCs w:val="24"/>
        </w:rPr>
        <w:t>extensively and</w:t>
      </w:r>
      <w:r w:rsidR="00F10418">
        <w:rPr>
          <w:rFonts w:ascii="Times New Roman" w:hAnsi="Times New Roman" w:cs="Times New Roman"/>
          <w:sz w:val="24"/>
          <w:szCs w:val="24"/>
        </w:rPr>
        <w:t xml:space="preserve"> that the powers so identified were the powers of a receiver and manager. </w:t>
      </w:r>
      <w:r w:rsidRPr="004B0FA8">
        <w:rPr>
          <w:rFonts w:ascii="Times New Roman" w:hAnsi="Times New Roman" w:cs="Times New Roman"/>
          <w:sz w:val="24"/>
          <w:szCs w:val="24"/>
        </w:rPr>
        <w:t xml:space="preserve"> In </w:t>
      </w:r>
      <w:r>
        <w:rPr>
          <w:rFonts w:ascii="Times New Roman" w:hAnsi="Times New Roman" w:cs="Times New Roman"/>
          <w:sz w:val="24"/>
          <w:szCs w:val="24"/>
        </w:rPr>
        <w:t xml:space="preserve">her </w:t>
      </w:r>
      <w:r w:rsidRPr="004B0FA8">
        <w:rPr>
          <w:rFonts w:ascii="Times New Roman" w:hAnsi="Times New Roman" w:cs="Times New Roman"/>
          <w:sz w:val="24"/>
          <w:szCs w:val="24"/>
        </w:rPr>
        <w:t xml:space="preserve">view that </w:t>
      </w:r>
      <w:r>
        <w:rPr>
          <w:rFonts w:ascii="Times New Roman" w:hAnsi="Times New Roman" w:cs="Times New Roman"/>
          <w:sz w:val="24"/>
          <w:szCs w:val="24"/>
        </w:rPr>
        <w:t>wa</w:t>
      </w:r>
      <w:r w:rsidRPr="004B0FA8">
        <w:rPr>
          <w:rFonts w:ascii="Times New Roman" w:hAnsi="Times New Roman" w:cs="Times New Roman"/>
          <w:sz w:val="24"/>
          <w:szCs w:val="24"/>
        </w:rPr>
        <w:t>s properly reflected in the deed of appointment</w:t>
      </w:r>
      <w:r w:rsidR="003D19AA">
        <w:rPr>
          <w:rFonts w:ascii="Times New Roman" w:hAnsi="Times New Roman" w:cs="Times New Roman"/>
          <w:sz w:val="24"/>
          <w:szCs w:val="24"/>
        </w:rPr>
        <w:t xml:space="preserve"> which referred to the terms of the </w:t>
      </w:r>
      <w:proofErr w:type="spellStart"/>
      <w:r w:rsidR="003D19AA">
        <w:rPr>
          <w:rFonts w:ascii="Times New Roman" w:hAnsi="Times New Roman" w:cs="Times New Roman"/>
          <w:sz w:val="24"/>
          <w:szCs w:val="24"/>
        </w:rPr>
        <w:t>mortage</w:t>
      </w:r>
      <w:proofErr w:type="spellEnd"/>
      <w:r w:rsidR="00185824">
        <w:rPr>
          <w:rFonts w:ascii="Times New Roman" w:hAnsi="Times New Roman" w:cs="Times New Roman"/>
          <w:sz w:val="24"/>
          <w:szCs w:val="24"/>
        </w:rPr>
        <w:t xml:space="preserve"> and thus</w:t>
      </w:r>
      <w:r w:rsidR="003D19AA">
        <w:rPr>
          <w:rFonts w:ascii="Times New Roman" w:hAnsi="Times New Roman" w:cs="Times New Roman"/>
          <w:sz w:val="24"/>
          <w:szCs w:val="24"/>
        </w:rPr>
        <w:t xml:space="preserve"> cross referenced the powers and duties of the </w:t>
      </w:r>
      <w:r w:rsidR="00185824">
        <w:rPr>
          <w:rFonts w:ascii="Times New Roman" w:hAnsi="Times New Roman" w:cs="Times New Roman"/>
          <w:sz w:val="24"/>
          <w:szCs w:val="24"/>
        </w:rPr>
        <w:t>appointee in that instrument</w:t>
      </w:r>
      <w:r w:rsidR="00F10418">
        <w:rPr>
          <w:rFonts w:ascii="Times New Roman" w:hAnsi="Times New Roman" w:cs="Times New Roman"/>
          <w:sz w:val="24"/>
          <w:szCs w:val="24"/>
        </w:rPr>
        <w:t xml:space="preserve"> (at para. 104).</w:t>
      </w:r>
      <w:r w:rsidR="00A1736C">
        <w:rPr>
          <w:rFonts w:ascii="Times New Roman" w:hAnsi="Times New Roman" w:cs="Times New Roman"/>
          <w:sz w:val="24"/>
          <w:szCs w:val="24"/>
        </w:rPr>
        <w:t xml:space="preserve">  In other words, the plaintiff had been appointed a receiver, the appointment was of a receiver under the mortgage, and the receiver appointed under the mortgage had the powers of a manager.  Therefore, he was a receiver</w:t>
      </w:r>
      <w:r w:rsidR="0099120A">
        <w:rPr>
          <w:rFonts w:ascii="Times New Roman" w:hAnsi="Times New Roman" w:cs="Times New Roman"/>
          <w:sz w:val="24"/>
          <w:szCs w:val="24"/>
        </w:rPr>
        <w:t xml:space="preserve"> and </w:t>
      </w:r>
      <w:r w:rsidR="00A1736C">
        <w:rPr>
          <w:rFonts w:ascii="Times New Roman" w:hAnsi="Times New Roman" w:cs="Times New Roman"/>
          <w:sz w:val="24"/>
          <w:szCs w:val="24"/>
        </w:rPr>
        <w:t>manager.</w:t>
      </w:r>
      <w:r w:rsidR="006C45F1">
        <w:rPr>
          <w:rFonts w:ascii="Times New Roman" w:hAnsi="Times New Roman" w:cs="Times New Roman"/>
          <w:sz w:val="24"/>
          <w:szCs w:val="24"/>
        </w:rPr>
        <w:t xml:space="preserve">  This was the only argument arising from the deed of appointment pursued at the hearing of this appeal – while the notice of appeal refers generically to ‘</w:t>
      </w:r>
      <w:r w:rsidR="006C45F1">
        <w:rPr>
          <w:rFonts w:ascii="Times New Roman" w:hAnsi="Times New Roman" w:cs="Times New Roman"/>
          <w:i/>
          <w:sz w:val="24"/>
          <w:szCs w:val="24"/>
        </w:rPr>
        <w:t>many inaccuracies’</w:t>
      </w:r>
      <w:r w:rsidR="006C45F1">
        <w:rPr>
          <w:rFonts w:ascii="Times New Roman" w:hAnsi="Times New Roman" w:cs="Times New Roman"/>
          <w:sz w:val="24"/>
          <w:szCs w:val="24"/>
        </w:rPr>
        <w:t xml:space="preserve"> in this deed, no other point was </w:t>
      </w:r>
      <w:r w:rsidR="00BB54ED">
        <w:rPr>
          <w:rFonts w:ascii="Times New Roman" w:hAnsi="Times New Roman" w:cs="Times New Roman"/>
          <w:sz w:val="24"/>
          <w:szCs w:val="24"/>
        </w:rPr>
        <w:t xml:space="preserve">identified </w:t>
      </w:r>
      <w:r w:rsidR="006C45F1">
        <w:rPr>
          <w:rFonts w:ascii="Times New Roman" w:hAnsi="Times New Roman" w:cs="Times New Roman"/>
          <w:sz w:val="24"/>
          <w:szCs w:val="24"/>
        </w:rPr>
        <w:t xml:space="preserve">such as to affect </w:t>
      </w:r>
      <w:r w:rsidR="00BB54ED">
        <w:rPr>
          <w:rFonts w:ascii="Times New Roman" w:hAnsi="Times New Roman" w:cs="Times New Roman"/>
          <w:sz w:val="24"/>
          <w:szCs w:val="24"/>
        </w:rPr>
        <w:t>the validity of the appointment.</w:t>
      </w:r>
    </w:p>
    <w:p w14:paraId="260A73E3" w14:textId="77777777" w:rsidR="00E763A3" w:rsidRPr="00E763A3" w:rsidRDefault="00E763A3" w:rsidP="00E763A3">
      <w:pPr>
        <w:pStyle w:val="ListParagraph"/>
        <w:rPr>
          <w:rFonts w:ascii="Times New Roman" w:hAnsi="Times New Roman" w:cs="Times New Roman"/>
          <w:sz w:val="24"/>
          <w:szCs w:val="24"/>
          <w:u w:val="single"/>
        </w:rPr>
      </w:pPr>
    </w:p>
    <w:p w14:paraId="7A0C85D5" w14:textId="77777777" w:rsidR="00E763A3" w:rsidRPr="00E763A3" w:rsidRDefault="00E763A3" w:rsidP="00E763A3">
      <w:pPr>
        <w:jc w:val="center"/>
        <w:rPr>
          <w:rFonts w:ascii="Times New Roman" w:hAnsi="Times New Roman" w:cs="Times New Roman"/>
          <w:b/>
          <w:sz w:val="24"/>
          <w:szCs w:val="24"/>
          <w:u w:val="single"/>
        </w:rPr>
      </w:pPr>
      <w:r>
        <w:rPr>
          <w:rFonts w:ascii="Times New Roman" w:hAnsi="Times New Roman" w:cs="Times New Roman"/>
          <w:b/>
          <w:sz w:val="24"/>
          <w:szCs w:val="24"/>
          <w:u w:val="single"/>
        </w:rPr>
        <w:t>II  THE VALIDITY OF THE PLAINTIFF’S APPOINTMENT AS RECEIVER</w:t>
      </w:r>
    </w:p>
    <w:p w14:paraId="4D774054" w14:textId="77777777" w:rsidR="009D2CEF" w:rsidRPr="009D2CEF" w:rsidRDefault="009D2CEF" w:rsidP="009D2CEF">
      <w:pPr>
        <w:pStyle w:val="ListParagraph"/>
        <w:spacing w:line="480" w:lineRule="auto"/>
        <w:ind w:left="717"/>
        <w:jc w:val="both"/>
        <w:rPr>
          <w:rFonts w:ascii="Times New Roman" w:hAnsi="Times New Roman" w:cs="Times New Roman"/>
          <w:sz w:val="24"/>
          <w:szCs w:val="24"/>
        </w:rPr>
      </w:pPr>
    </w:p>
    <w:p w14:paraId="72EBAB68" w14:textId="77777777" w:rsidR="009D2CEF" w:rsidRPr="009D2CEF" w:rsidRDefault="00D00BCF" w:rsidP="00D7207F">
      <w:pPr>
        <w:pStyle w:val="ListParagraph"/>
        <w:spacing w:line="480" w:lineRule="auto"/>
        <w:jc w:val="both"/>
        <w:rPr>
          <w:rFonts w:ascii="Times New Roman" w:hAnsi="Times New Roman" w:cs="Times New Roman"/>
          <w:sz w:val="24"/>
          <w:szCs w:val="24"/>
        </w:rPr>
      </w:pPr>
      <w:r>
        <w:rPr>
          <w:rFonts w:ascii="Times New Roman" w:hAnsi="Times New Roman" w:cs="Times New Roman"/>
          <w:b/>
          <w:i/>
          <w:sz w:val="24"/>
          <w:szCs w:val="24"/>
        </w:rPr>
        <w:t xml:space="preserve">The decision in </w:t>
      </w:r>
      <w:r w:rsidR="009D2CEF">
        <w:rPr>
          <w:rFonts w:ascii="Times New Roman" w:hAnsi="Times New Roman" w:cs="Times New Roman"/>
          <w:b/>
          <w:i/>
          <w:sz w:val="24"/>
          <w:szCs w:val="24"/>
        </w:rPr>
        <w:t>McCarthy v. Moroney</w:t>
      </w:r>
    </w:p>
    <w:p w14:paraId="561BAD44"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7ED2E689" w14:textId="77777777" w:rsidR="00D7207F" w:rsidRPr="00D7207F" w:rsidRDefault="00D7207F" w:rsidP="00D7207F">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In</w:t>
      </w:r>
      <w:r w:rsidR="00730458">
        <w:rPr>
          <w:rFonts w:ascii="Times New Roman" w:hAnsi="Times New Roman" w:cs="Times New Roman"/>
          <w:sz w:val="24"/>
          <w:szCs w:val="24"/>
        </w:rPr>
        <w:t xml:space="preserve"> contending that Pilkington J. erred in </w:t>
      </w:r>
      <w:r w:rsidR="00C65C9C">
        <w:rPr>
          <w:rFonts w:ascii="Times New Roman" w:hAnsi="Times New Roman" w:cs="Times New Roman"/>
          <w:sz w:val="24"/>
          <w:szCs w:val="24"/>
        </w:rPr>
        <w:t xml:space="preserve">thus </w:t>
      </w:r>
      <w:r w:rsidR="00730458">
        <w:rPr>
          <w:rFonts w:ascii="Times New Roman" w:hAnsi="Times New Roman" w:cs="Times New Roman"/>
          <w:sz w:val="24"/>
          <w:szCs w:val="24"/>
        </w:rPr>
        <w:t>concluding</w:t>
      </w:r>
      <w:r w:rsidRPr="00D7207F">
        <w:rPr>
          <w:rFonts w:ascii="Times New Roman" w:hAnsi="Times New Roman" w:cs="Times New Roman"/>
          <w:sz w:val="24"/>
          <w:szCs w:val="24"/>
        </w:rPr>
        <w:t>, the</w:t>
      </w:r>
      <w:r w:rsidR="00111741">
        <w:rPr>
          <w:rFonts w:ascii="Times New Roman" w:hAnsi="Times New Roman" w:cs="Times New Roman"/>
          <w:sz w:val="24"/>
          <w:szCs w:val="24"/>
        </w:rPr>
        <w:t xml:space="preserve"> defendant</w:t>
      </w:r>
      <w:r w:rsidRPr="00D7207F">
        <w:rPr>
          <w:rFonts w:ascii="Times New Roman" w:hAnsi="Times New Roman" w:cs="Times New Roman"/>
          <w:sz w:val="24"/>
          <w:szCs w:val="24"/>
        </w:rPr>
        <w:t xml:space="preserve"> relies heavily </w:t>
      </w:r>
      <w:r w:rsidR="000B2E16">
        <w:rPr>
          <w:rFonts w:ascii="Times New Roman" w:hAnsi="Times New Roman" w:cs="Times New Roman"/>
          <w:sz w:val="24"/>
          <w:szCs w:val="24"/>
        </w:rPr>
        <w:t>up</w:t>
      </w:r>
      <w:r w:rsidRPr="00D7207F">
        <w:rPr>
          <w:rFonts w:ascii="Times New Roman" w:hAnsi="Times New Roman" w:cs="Times New Roman"/>
          <w:sz w:val="24"/>
          <w:szCs w:val="24"/>
        </w:rPr>
        <w:t>on</w:t>
      </w:r>
      <w:r w:rsidR="00730458">
        <w:rPr>
          <w:rFonts w:ascii="Times New Roman" w:hAnsi="Times New Roman" w:cs="Times New Roman"/>
          <w:sz w:val="24"/>
          <w:szCs w:val="24"/>
        </w:rPr>
        <w:t xml:space="preserve"> </w:t>
      </w:r>
      <w:r w:rsidRPr="00D7207F">
        <w:rPr>
          <w:rFonts w:ascii="Times New Roman" w:hAnsi="Times New Roman" w:cs="Times New Roman"/>
          <w:sz w:val="24"/>
          <w:szCs w:val="24"/>
        </w:rPr>
        <w:t xml:space="preserve">the decision of McDonald J. in </w:t>
      </w:r>
      <w:r w:rsidRPr="00D7207F">
        <w:rPr>
          <w:rFonts w:ascii="Times New Roman" w:hAnsi="Times New Roman" w:cs="Times New Roman"/>
          <w:i/>
          <w:sz w:val="24"/>
          <w:szCs w:val="24"/>
        </w:rPr>
        <w:t>McCarthy v. Moroney</w:t>
      </w:r>
      <w:r w:rsidRPr="00D7207F">
        <w:rPr>
          <w:rFonts w:ascii="Times New Roman" w:hAnsi="Times New Roman" w:cs="Times New Roman"/>
          <w:sz w:val="24"/>
          <w:szCs w:val="24"/>
        </w:rPr>
        <w:t xml:space="preserve"> [2018] IEHC 379.  There</w:t>
      </w:r>
      <w:r w:rsidR="00290510">
        <w:rPr>
          <w:rFonts w:ascii="Times New Roman" w:hAnsi="Times New Roman" w:cs="Times New Roman"/>
          <w:sz w:val="24"/>
          <w:szCs w:val="24"/>
        </w:rPr>
        <w:t>,</w:t>
      </w:r>
      <w:r w:rsidRPr="00D7207F">
        <w:rPr>
          <w:rFonts w:ascii="Times New Roman" w:hAnsi="Times New Roman" w:cs="Times New Roman"/>
          <w:sz w:val="24"/>
          <w:szCs w:val="24"/>
        </w:rPr>
        <w:t xml:space="preserve"> the </w:t>
      </w:r>
      <w:r w:rsidR="003C56C3">
        <w:rPr>
          <w:rFonts w:ascii="Times New Roman" w:hAnsi="Times New Roman" w:cs="Times New Roman"/>
          <w:sz w:val="24"/>
          <w:szCs w:val="24"/>
        </w:rPr>
        <w:t>C</w:t>
      </w:r>
      <w:r w:rsidRPr="00D7207F">
        <w:rPr>
          <w:rFonts w:ascii="Times New Roman" w:hAnsi="Times New Roman" w:cs="Times New Roman"/>
          <w:sz w:val="24"/>
          <w:szCs w:val="24"/>
        </w:rPr>
        <w:t xml:space="preserve">ourt addressed a </w:t>
      </w:r>
      <w:r>
        <w:rPr>
          <w:rFonts w:ascii="Times New Roman" w:hAnsi="Times New Roman" w:cs="Times New Roman"/>
          <w:sz w:val="24"/>
          <w:szCs w:val="24"/>
        </w:rPr>
        <w:t xml:space="preserve">number </w:t>
      </w:r>
      <w:r w:rsidRPr="00D7207F">
        <w:rPr>
          <w:rFonts w:ascii="Times New Roman" w:hAnsi="Times New Roman" w:cs="Times New Roman"/>
          <w:sz w:val="24"/>
          <w:szCs w:val="24"/>
        </w:rPr>
        <w:t xml:space="preserve">of interlocutory applications arising in two sets of proceedings.  One of these applications was brought by a receiver purportedly </w:t>
      </w:r>
      <w:r w:rsidRPr="00D7207F">
        <w:rPr>
          <w:rFonts w:ascii="Times New Roman" w:hAnsi="Times New Roman" w:cs="Times New Roman"/>
          <w:sz w:val="24"/>
          <w:szCs w:val="24"/>
        </w:rPr>
        <w:lastRenderedPageBreak/>
        <w:t xml:space="preserve">appointed by Ennis Property Finance DAC over lands owned by </w:t>
      </w:r>
      <w:r w:rsidR="0034491B">
        <w:rPr>
          <w:rFonts w:ascii="Times New Roman" w:hAnsi="Times New Roman" w:cs="Times New Roman"/>
          <w:sz w:val="24"/>
          <w:szCs w:val="24"/>
        </w:rPr>
        <w:t>the defendants</w:t>
      </w:r>
      <w:r w:rsidR="000B2E16">
        <w:rPr>
          <w:rFonts w:ascii="Times New Roman" w:hAnsi="Times New Roman" w:cs="Times New Roman"/>
          <w:sz w:val="24"/>
          <w:szCs w:val="24"/>
        </w:rPr>
        <w:t>. The appointment had been made</w:t>
      </w:r>
      <w:r w:rsidR="0034491B">
        <w:rPr>
          <w:rFonts w:ascii="Times New Roman" w:hAnsi="Times New Roman" w:cs="Times New Roman"/>
          <w:sz w:val="24"/>
          <w:szCs w:val="24"/>
        </w:rPr>
        <w:t xml:space="preserve"> </w:t>
      </w:r>
      <w:r w:rsidRPr="00D7207F">
        <w:rPr>
          <w:rFonts w:ascii="Times New Roman" w:hAnsi="Times New Roman" w:cs="Times New Roman"/>
          <w:sz w:val="24"/>
          <w:szCs w:val="24"/>
        </w:rPr>
        <w:t>on foot of a mortgage agreement entered into between th</w:t>
      </w:r>
      <w:r w:rsidR="00085706">
        <w:rPr>
          <w:rFonts w:ascii="Times New Roman" w:hAnsi="Times New Roman" w:cs="Times New Roman"/>
          <w:sz w:val="24"/>
          <w:szCs w:val="24"/>
        </w:rPr>
        <w:t>e</w:t>
      </w:r>
      <w:r w:rsidR="000B2E16">
        <w:rPr>
          <w:rFonts w:ascii="Times New Roman" w:hAnsi="Times New Roman" w:cs="Times New Roman"/>
          <w:sz w:val="24"/>
          <w:szCs w:val="24"/>
        </w:rPr>
        <w:t xml:space="preserve"> defendants</w:t>
      </w:r>
      <w:r w:rsidRPr="00D7207F">
        <w:rPr>
          <w:rFonts w:ascii="Times New Roman" w:hAnsi="Times New Roman" w:cs="Times New Roman"/>
          <w:sz w:val="24"/>
          <w:szCs w:val="24"/>
        </w:rPr>
        <w:t xml:space="preserve"> and Bank of Scotland plc.</w:t>
      </w:r>
      <w:r w:rsidR="002246C7">
        <w:rPr>
          <w:rFonts w:ascii="Times New Roman" w:hAnsi="Times New Roman" w:cs="Times New Roman"/>
          <w:sz w:val="24"/>
          <w:szCs w:val="24"/>
        </w:rPr>
        <w:t xml:space="preserve"> </w:t>
      </w:r>
      <w:r w:rsidRPr="00D7207F">
        <w:rPr>
          <w:rFonts w:ascii="Times New Roman" w:hAnsi="Times New Roman" w:cs="Times New Roman"/>
          <w:sz w:val="24"/>
          <w:szCs w:val="24"/>
        </w:rPr>
        <w:t xml:space="preserve">The </w:t>
      </w:r>
      <w:r w:rsidR="008C60E1">
        <w:rPr>
          <w:rFonts w:ascii="Times New Roman" w:hAnsi="Times New Roman" w:cs="Times New Roman"/>
          <w:sz w:val="24"/>
          <w:szCs w:val="24"/>
        </w:rPr>
        <w:t>plaintiff’s</w:t>
      </w:r>
      <w:r w:rsidRPr="00D7207F">
        <w:rPr>
          <w:rFonts w:ascii="Times New Roman" w:hAnsi="Times New Roman" w:cs="Times New Roman"/>
          <w:sz w:val="24"/>
          <w:szCs w:val="24"/>
        </w:rPr>
        <w:t xml:space="preserve"> application was for an interlocutory order pr</w:t>
      </w:r>
      <w:r w:rsidR="008C60E1">
        <w:rPr>
          <w:rFonts w:ascii="Times New Roman" w:hAnsi="Times New Roman" w:cs="Times New Roman"/>
          <w:sz w:val="24"/>
          <w:szCs w:val="24"/>
        </w:rPr>
        <w:t>ohibiting</w:t>
      </w:r>
      <w:r w:rsidRPr="00D7207F">
        <w:rPr>
          <w:rFonts w:ascii="Times New Roman" w:hAnsi="Times New Roman" w:cs="Times New Roman"/>
          <w:sz w:val="24"/>
          <w:szCs w:val="24"/>
        </w:rPr>
        <w:t xml:space="preserve"> </w:t>
      </w:r>
      <w:r w:rsidR="0034491B">
        <w:rPr>
          <w:rFonts w:ascii="Times New Roman" w:hAnsi="Times New Roman" w:cs="Times New Roman"/>
          <w:sz w:val="24"/>
          <w:szCs w:val="24"/>
        </w:rPr>
        <w:t xml:space="preserve">the defendants </w:t>
      </w:r>
      <w:r w:rsidRPr="00D7207F">
        <w:rPr>
          <w:rFonts w:ascii="Times New Roman" w:hAnsi="Times New Roman" w:cs="Times New Roman"/>
          <w:sz w:val="24"/>
          <w:szCs w:val="24"/>
        </w:rPr>
        <w:t>from impeding or preventing him from taking possession of mortgaged properties.   Because the application was, in substance, for an interlocutory mandatory order</w:t>
      </w:r>
      <w:r w:rsidR="004024E8">
        <w:rPr>
          <w:rFonts w:ascii="Times New Roman" w:hAnsi="Times New Roman" w:cs="Times New Roman"/>
          <w:sz w:val="24"/>
          <w:szCs w:val="24"/>
        </w:rPr>
        <w:t xml:space="preserve"> requiring the defendants to vacate the lands and enabling the plaintiff to take possession thereof</w:t>
      </w:r>
      <w:r w:rsidRPr="00D7207F">
        <w:rPr>
          <w:rFonts w:ascii="Times New Roman" w:hAnsi="Times New Roman" w:cs="Times New Roman"/>
          <w:sz w:val="24"/>
          <w:szCs w:val="24"/>
        </w:rPr>
        <w:t xml:space="preserve"> it was necessary for </w:t>
      </w:r>
      <w:r w:rsidR="0034491B">
        <w:rPr>
          <w:rFonts w:ascii="Times New Roman" w:hAnsi="Times New Roman" w:cs="Times New Roman"/>
          <w:sz w:val="24"/>
          <w:szCs w:val="24"/>
        </w:rPr>
        <w:t xml:space="preserve">the plaintiff </w:t>
      </w:r>
      <w:r w:rsidRPr="00D7207F">
        <w:rPr>
          <w:rFonts w:ascii="Times New Roman" w:hAnsi="Times New Roman" w:cs="Times New Roman"/>
          <w:sz w:val="24"/>
          <w:szCs w:val="24"/>
        </w:rPr>
        <w:t>to establish that he had a ‘</w:t>
      </w:r>
      <w:r w:rsidRPr="00D7207F">
        <w:rPr>
          <w:rFonts w:ascii="Times New Roman" w:hAnsi="Times New Roman" w:cs="Times New Roman"/>
          <w:i/>
          <w:sz w:val="24"/>
          <w:szCs w:val="24"/>
        </w:rPr>
        <w:t>strong case’</w:t>
      </w:r>
      <w:r w:rsidRPr="00D7207F">
        <w:rPr>
          <w:rFonts w:ascii="Times New Roman" w:hAnsi="Times New Roman" w:cs="Times New Roman"/>
          <w:sz w:val="24"/>
          <w:szCs w:val="24"/>
        </w:rPr>
        <w:t xml:space="preserve"> that he was entitled to this relief.</w:t>
      </w:r>
    </w:p>
    <w:p w14:paraId="7BE317FE" w14:textId="77777777" w:rsidR="00D7207F" w:rsidRPr="00D7207F" w:rsidRDefault="00D7207F" w:rsidP="00D7207F">
      <w:pPr>
        <w:pStyle w:val="ListParagraph"/>
        <w:spacing w:line="480" w:lineRule="auto"/>
        <w:rPr>
          <w:rFonts w:ascii="Times New Roman" w:hAnsi="Times New Roman" w:cs="Times New Roman"/>
          <w:sz w:val="24"/>
          <w:szCs w:val="24"/>
        </w:rPr>
      </w:pPr>
    </w:p>
    <w:p w14:paraId="521C5FC9" w14:textId="77777777" w:rsidR="00D7207F" w:rsidRPr="00D7207F" w:rsidRDefault="00D7207F" w:rsidP="00D7207F">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The </w:t>
      </w:r>
      <w:r w:rsidR="00085706">
        <w:rPr>
          <w:rFonts w:ascii="Times New Roman" w:hAnsi="Times New Roman" w:cs="Times New Roman"/>
          <w:sz w:val="24"/>
          <w:szCs w:val="24"/>
        </w:rPr>
        <w:t xml:space="preserve">mortgage agreement </w:t>
      </w:r>
      <w:r w:rsidR="004638C0">
        <w:rPr>
          <w:rFonts w:ascii="Times New Roman" w:hAnsi="Times New Roman" w:cs="Times New Roman"/>
          <w:sz w:val="24"/>
          <w:szCs w:val="24"/>
        </w:rPr>
        <w:t xml:space="preserve">on foot of which the plaintiff had been purportedly appointed </w:t>
      </w:r>
      <w:r w:rsidRPr="00D7207F">
        <w:rPr>
          <w:rFonts w:ascii="Times New Roman" w:hAnsi="Times New Roman" w:cs="Times New Roman"/>
          <w:sz w:val="24"/>
          <w:szCs w:val="24"/>
        </w:rPr>
        <w:t xml:space="preserve">was very similar to the form of the mortgage in issue in these proceedings, down to the numbering of the relevant paragraphs.  Thus, </w:t>
      </w:r>
      <w:r w:rsidR="003C56C3">
        <w:rPr>
          <w:rFonts w:ascii="Times New Roman" w:hAnsi="Times New Roman" w:cs="Times New Roman"/>
          <w:sz w:val="24"/>
          <w:szCs w:val="24"/>
        </w:rPr>
        <w:t>clause</w:t>
      </w:r>
      <w:r w:rsidRPr="00D7207F">
        <w:rPr>
          <w:rFonts w:ascii="Times New Roman" w:hAnsi="Times New Roman" w:cs="Times New Roman"/>
          <w:sz w:val="24"/>
          <w:szCs w:val="24"/>
        </w:rPr>
        <w:t xml:space="preserve"> 9.1 of the mortgage deed in </w:t>
      </w:r>
      <w:r w:rsidR="00C65C9C">
        <w:rPr>
          <w:rFonts w:ascii="Times New Roman" w:hAnsi="Times New Roman" w:cs="Times New Roman"/>
          <w:sz w:val="24"/>
          <w:szCs w:val="24"/>
        </w:rPr>
        <w:t xml:space="preserve">question </w:t>
      </w:r>
      <w:r w:rsidRPr="00D7207F">
        <w:rPr>
          <w:rFonts w:ascii="Times New Roman" w:hAnsi="Times New Roman" w:cs="Times New Roman"/>
          <w:sz w:val="24"/>
          <w:szCs w:val="24"/>
        </w:rPr>
        <w:t>there referred also to the appointment by the Bank of ‘</w:t>
      </w:r>
      <w:r w:rsidRPr="00D7207F">
        <w:rPr>
          <w:rFonts w:ascii="Times New Roman" w:hAnsi="Times New Roman" w:cs="Times New Roman"/>
          <w:i/>
          <w:sz w:val="24"/>
          <w:szCs w:val="24"/>
        </w:rPr>
        <w:t>person or persons to be receiver and manager or receivers and manager’</w:t>
      </w:r>
      <w:r w:rsidRPr="00D7207F">
        <w:rPr>
          <w:rFonts w:ascii="Times New Roman" w:hAnsi="Times New Roman" w:cs="Times New Roman"/>
          <w:sz w:val="24"/>
          <w:szCs w:val="24"/>
        </w:rPr>
        <w:t xml:space="preserve">.  </w:t>
      </w:r>
      <w:r w:rsidR="0034491B">
        <w:rPr>
          <w:rFonts w:ascii="Times New Roman" w:hAnsi="Times New Roman" w:cs="Times New Roman"/>
          <w:sz w:val="24"/>
          <w:szCs w:val="24"/>
        </w:rPr>
        <w:t xml:space="preserve">The defendant </w:t>
      </w:r>
      <w:r w:rsidR="00F53ADE">
        <w:rPr>
          <w:rFonts w:ascii="Times New Roman" w:hAnsi="Times New Roman" w:cs="Times New Roman"/>
          <w:sz w:val="24"/>
          <w:szCs w:val="24"/>
        </w:rPr>
        <w:t xml:space="preserve">in that case </w:t>
      </w:r>
      <w:r w:rsidRPr="00D7207F">
        <w:rPr>
          <w:rFonts w:ascii="Times New Roman" w:hAnsi="Times New Roman" w:cs="Times New Roman"/>
          <w:sz w:val="24"/>
          <w:szCs w:val="24"/>
        </w:rPr>
        <w:t xml:space="preserve">contended </w:t>
      </w:r>
      <w:r w:rsidR="005D3FEE">
        <w:rPr>
          <w:rFonts w:ascii="Times New Roman" w:hAnsi="Times New Roman" w:cs="Times New Roman"/>
          <w:sz w:val="24"/>
          <w:szCs w:val="24"/>
        </w:rPr>
        <w:t xml:space="preserve">– as the defendant claims here - </w:t>
      </w:r>
      <w:r w:rsidR="00085706">
        <w:rPr>
          <w:rFonts w:ascii="Times New Roman" w:hAnsi="Times New Roman" w:cs="Times New Roman"/>
          <w:sz w:val="24"/>
          <w:szCs w:val="24"/>
        </w:rPr>
        <w:t xml:space="preserve">that </w:t>
      </w:r>
      <w:r w:rsidRPr="00D7207F">
        <w:rPr>
          <w:rFonts w:ascii="Times New Roman" w:hAnsi="Times New Roman" w:cs="Times New Roman"/>
          <w:sz w:val="24"/>
          <w:szCs w:val="24"/>
        </w:rPr>
        <w:t xml:space="preserve">it was only a person </w:t>
      </w:r>
      <w:r w:rsidR="00085706">
        <w:rPr>
          <w:rFonts w:ascii="Times New Roman" w:hAnsi="Times New Roman" w:cs="Times New Roman"/>
          <w:sz w:val="24"/>
          <w:szCs w:val="24"/>
        </w:rPr>
        <w:t xml:space="preserve">whose </w:t>
      </w:r>
      <w:r w:rsidRPr="00D7207F">
        <w:rPr>
          <w:rFonts w:ascii="Times New Roman" w:hAnsi="Times New Roman" w:cs="Times New Roman"/>
          <w:sz w:val="24"/>
          <w:szCs w:val="24"/>
        </w:rPr>
        <w:t>appoint</w:t>
      </w:r>
      <w:r w:rsidR="00085706">
        <w:rPr>
          <w:rFonts w:ascii="Times New Roman" w:hAnsi="Times New Roman" w:cs="Times New Roman"/>
          <w:sz w:val="24"/>
          <w:szCs w:val="24"/>
        </w:rPr>
        <w:t>ment was</w:t>
      </w:r>
      <w:r w:rsidRPr="00D7207F">
        <w:rPr>
          <w:rFonts w:ascii="Times New Roman" w:hAnsi="Times New Roman" w:cs="Times New Roman"/>
          <w:sz w:val="24"/>
          <w:szCs w:val="24"/>
        </w:rPr>
        <w:t xml:space="preserve"> </w:t>
      </w:r>
      <w:r w:rsidR="00AC4845">
        <w:rPr>
          <w:rFonts w:ascii="Times New Roman" w:hAnsi="Times New Roman" w:cs="Times New Roman"/>
          <w:sz w:val="24"/>
          <w:szCs w:val="24"/>
        </w:rPr>
        <w:t xml:space="preserve">as </w:t>
      </w:r>
      <w:r w:rsidRPr="00D7207F">
        <w:rPr>
          <w:rFonts w:ascii="Times New Roman" w:hAnsi="Times New Roman" w:cs="Times New Roman"/>
          <w:sz w:val="24"/>
          <w:szCs w:val="24"/>
        </w:rPr>
        <w:t xml:space="preserve">receiver </w:t>
      </w:r>
      <w:r w:rsidRPr="00D7207F">
        <w:rPr>
          <w:rFonts w:ascii="Times New Roman" w:hAnsi="Times New Roman" w:cs="Times New Roman"/>
          <w:i/>
          <w:sz w:val="24"/>
          <w:szCs w:val="24"/>
        </w:rPr>
        <w:t>and manager</w:t>
      </w:r>
      <w:r w:rsidR="00085706">
        <w:rPr>
          <w:rFonts w:ascii="Times New Roman" w:hAnsi="Times New Roman" w:cs="Times New Roman"/>
          <w:sz w:val="24"/>
          <w:szCs w:val="24"/>
        </w:rPr>
        <w:t xml:space="preserve">, </w:t>
      </w:r>
      <w:r w:rsidRPr="00D7207F">
        <w:rPr>
          <w:rFonts w:ascii="Times New Roman" w:hAnsi="Times New Roman" w:cs="Times New Roman"/>
          <w:sz w:val="24"/>
          <w:szCs w:val="24"/>
        </w:rPr>
        <w:t>who could exercise the powers conferred by the mortgage deed to enter into, take possession of, get in or collect the secured assets.</w:t>
      </w:r>
      <w:r w:rsidR="00AC4845">
        <w:rPr>
          <w:rFonts w:ascii="Times New Roman" w:hAnsi="Times New Roman" w:cs="Times New Roman"/>
          <w:sz w:val="24"/>
          <w:szCs w:val="24"/>
        </w:rPr>
        <w:t xml:space="preserve">  </w:t>
      </w:r>
      <w:r w:rsidR="00C65C9C">
        <w:rPr>
          <w:rFonts w:ascii="Times New Roman" w:hAnsi="Times New Roman" w:cs="Times New Roman"/>
          <w:sz w:val="24"/>
          <w:szCs w:val="24"/>
        </w:rPr>
        <w:t xml:space="preserve">The </w:t>
      </w:r>
      <w:r w:rsidR="00E83EC5">
        <w:rPr>
          <w:rFonts w:ascii="Times New Roman" w:hAnsi="Times New Roman" w:cs="Times New Roman"/>
          <w:sz w:val="24"/>
          <w:szCs w:val="24"/>
        </w:rPr>
        <w:t xml:space="preserve">end point of the </w:t>
      </w:r>
      <w:r w:rsidR="00C65C9C">
        <w:rPr>
          <w:rFonts w:ascii="Times New Roman" w:hAnsi="Times New Roman" w:cs="Times New Roman"/>
          <w:sz w:val="24"/>
          <w:szCs w:val="24"/>
        </w:rPr>
        <w:t xml:space="preserve">argument was </w:t>
      </w:r>
      <w:r w:rsidR="00AC4845">
        <w:rPr>
          <w:rFonts w:ascii="Times New Roman" w:hAnsi="Times New Roman" w:cs="Times New Roman"/>
          <w:sz w:val="24"/>
          <w:szCs w:val="24"/>
        </w:rPr>
        <w:t xml:space="preserve">that </w:t>
      </w:r>
      <w:r w:rsidR="00E83EC5">
        <w:rPr>
          <w:rFonts w:ascii="Times New Roman" w:hAnsi="Times New Roman" w:cs="Times New Roman"/>
          <w:sz w:val="24"/>
          <w:szCs w:val="24"/>
        </w:rPr>
        <w:t xml:space="preserve">if </w:t>
      </w:r>
      <w:r w:rsidR="00AC4845">
        <w:rPr>
          <w:rFonts w:ascii="Times New Roman" w:hAnsi="Times New Roman" w:cs="Times New Roman"/>
          <w:sz w:val="24"/>
          <w:szCs w:val="24"/>
        </w:rPr>
        <w:t xml:space="preserve">the deed </w:t>
      </w:r>
      <w:r w:rsidR="00E83EC5">
        <w:rPr>
          <w:rFonts w:ascii="Times New Roman" w:hAnsi="Times New Roman" w:cs="Times New Roman"/>
          <w:sz w:val="24"/>
          <w:szCs w:val="24"/>
        </w:rPr>
        <w:t xml:space="preserve">did not </w:t>
      </w:r>
      <w:r w:rsidR="00AC4845">
        <w:rPr>
          <w:rFonts w:ascii="Times New Roman" w:hAnsi="Times New Roman" w:cs="Times New Roman"/>
          <w:sz w:val="24"/>
          <w:szCs w:val="24"/>
        </w:rPr>
        <w:t>actually recite the appointment as that of ‘</w:t>
      </w:r>
      <w:r w:rsidR="00AC4845">
        <w:rPr>
          <w:rFonts w:ascii="Times New Roman" w:hAnsi="Times New Roman" w:cs="Times New Roman"/>
          <w:i/>
          <w:sz w:val="24"/>
          <w:szCs w:val="24"/>
        </w:rPr>
        <w:t>receiver and manager’</w:t>
      </w:r>
      <w:r w:rsidR="00E83EC5">
        <w:rPr>
          <w:rFonts w:ascii="Times New Roman" w:hAnsi="Times New Roman" w:cs="Times New Roman"/>
          <w:sz w:val="24"/>
          <w:szCs w:val="24"/>
        </w:rPr>
        <w:t xml:space="preserve">, it </w:t>
      </w:r>
      <w:r w:rsidR="00AC4845">
        <w:rPr>
          <w:rFonts w:ascii="Times New Roman" w:hAnsi="Times New Roman" w:cs="Times New Roman"/>
          <w:sz w:val="24"/>
          <w:szCs w:val="24"/>
        </w:rPr>
        <w:t>was ineffective.</w:t>
      </w:r>
    </w:p>
    <w:p w14:paraId="25938D3E" w14:textId="77777777" w:rsidR="00D7207F" w:rsidRPr="00D7207F" w:rsidRDefault="00D7207F" w:rsidP="00D7207F">
      <w:pPr>
        <w:pStyle w:val="ListParagraph"/>
        <w:spacing w:line="480" w:lineRule="auto"/>
        <w:rPr>
          <w:rFonts w:ascii="Times New Roman" w:hAnsi="Times New Roman" w:cs="Times New Roman"/>
          <w:sz w:val="24"/>
          <w:szCs w:val="24"/>
        </w:rPr>
      </w:pPr>
    </w:p>
    <w:p w14:paraId="289E5A98" w14:textId="1FE847C1" w:rsidR="00D7207F" w:rsidRPr="00D7207F" w:rsidRDefault="0068036A"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refusing the application for interlocutory relief, </w:t>
      </w:r>
      <w:r w:rsidR="00D7207F" w:rsidRPr="00D7207F">
        <w:rPr>
          <w:rFonts w:ascii="Times New Roman" w:hAnsi="Times New Roman" w:cs="Times New Roman"/>
          <w:sz w:val="24"/>
          <w:szCs w:val="24"/>
        </w:rPr>
        <w:t xml:space="preserve">McDonald J. referred to the decision of Gilligan J. in </w:t>
      </w:r>
      <w:r w:rsidR="00D7207F" w:rsidRPr="00D7207F">
        <w:rPr>
          <w:rFonts w:ascii="Times New Roman" w:hAnsi="Times New Roman" w:cs="Times New Roman"/>
          <w:i/>
          <w:sz w:val="24"/>
          <w:szCs w:val="24"/>
        </w:rPr>
        <w:t xml:space="preserve">The Merrow Ltd. v. Bank of Scotland </w:t>
      </w:r>
      <w:r w:rsidR="00D7207F" w:rsidRPr="00D7207F">
        <w:rPr>
          <w:rFonts w:ascii="Times New Roman" w:hAnsi="Times New Roman" w:cs="Times New Roman"/>
          <w:sz w:val="24"/>
          <w:szCs w:val="24"/>
        </w:rPr>
        <w:t xml:space="preserve">[2013] IEHC 130 in which the </w:t>
      </w:r>
      <w:r w:rsidR="00836970">
        <w:rPr>
          <w:rFonts w:ascii="Times New Roman" w:hAnsi="Times New Roman" w:cs="Times New Roman"/>
          <w:sz w:val="24"/>
          <w:szCs w:val="24"/>
        </w:rPr>
        <w:t>C</w:t>
      </w:r>
      <w:r w:rsidR="00D7207F" w:rsidRPr="00D7207F">
        <w:rPr>
          <w:rFonts w:ascii="Times New Roman" w:hAnsi="Times New Roman" w:cs="Times New Roman"/>
          <w:sz w:val="24"/>
          <w:szCs w:val="24"/>
        </w:rPr>
        <w:t>ourt stressed the requirement</w:t>
      </w:r>
      <w:r w:rsidR="00730458">
        <w:rPr>
          <w:rFonts w:ascii="Times New Roman" w:hAnsi="Times New Roman" w:cs="Times New Roman"/>
          <w:sz w:val="24"/>
          <w:szCs w:val="24"/>
        </w:rPr>
        <w:t xml:space="preserve"> that</w:t>
      </w:r>
      <w:r w:rsidR="00AD0B03">
        <w:rPr>
          <w:rFonts w:ascii="Times New Roman" w:hAnsi="Times New Roman" w:cs="Times New Roman"/>
          <w:sz w:val="24"/>
          <w:szCs w:val="24"/>
        </w:rPr>
        <w:t xml:space="preserve"> the appointment of a receiver </w:t>
      </w:r>
      <w:r w:rsidR="00730458">
        <w:rPr>
          <w:rFonts w:ascii="Times New Roman" w:hAnsi="Times New Roman" w:cs="Times New Roman"/>
          <w:sz w:val="24"/>
          <w:szCs w:val="24"/>
        </w:rPr>
        <w:t>be in</w:t>
      </w:r>
      <w:r w:rsidR="00D7207F" w:rsidRPr="00D7207F">
        <w:rPr>
          <w:rFonts w:ascii="Times New Roman" w:hAnsi="Times New Roman" w:cs="Times New Roman"/>
          <w:sz w:val="24"/>
          <w:szCs w:val="24"/>
        </w:rPr>
        <w:t xml:space="preserve"> strict compliance with the terms of the relevant deed or debenture</w:t>
      </w:r>
      <w:r w:rsidR="000B2E16">
        <w:rPr>
          <w:rFonts w:ascii="Times New Roman" w:hAnsi="Times New Roman" w:cs="Times New Roman"/>
          <w:sz w:val="24"/>
          <w:szCs w:val="24"/>
        </w:rPr>
        <w:t xml:space="preserve">.  </w:t>
      </w:r>
      <w:r w:rsidR="00C65C9C">
        <w:rPr>
          <w:rFonts w:ascii="Times New Roman" w:hAnsi="Times New Roman" w:cs="Times New Roman"/>
          <w:sz w:val="24"/>
          <w:szCs w:val="24"/>
        </w:rPr>
        <w:t xml:space="preserve">There, </w:t>
      </w:r>
      <w:r w:rsidR="00F53ADE">
        <w:rPr>
          <w:rFonts w:ascii="Times New Roman" w:hAnsi="Times New Roman" w:cs="Times New Roman"/>
          <w:sz w:val="24"/>
          <w:szCs w:val="24"/>
        </w:rPr>
        <w:t xml:space="preserve">Gilligan J. held that </w:t>
      </w:r>
      <w:r w:rsidR="00D7207F" w:rsidRPr="00D7207F">
        <w:rPr>
          <w:rFonts w:ascii="Times New Roman" w:hAnsi="Times New Roman" w:cs="Times New Roman"/>
          <w:sz w:val="24"/>
          <w:szCs w:val="24"/>
        </w:rPr>
        <w:t xml:space="preserve">the </w:t>
      </w:r>
      <w:r w:rsidR="002246C7">
        <w:rPr>
          <w:rFonts w:ascii="Times New Roman" w:hAnsi="Times New Roman" w:cs="Times New Roman"/>
          <w:sz w:val="24"/>
          <w:szCs w:val="24"/>
        </w:rPr>
        <w:t xml:space="preserve">terms of the mortgage </w:t>
      </w:r>
      <w:r w:rsidR="00F53ADE">
        <w:rPr>
          <w:rFonts w:ascii="Times New Roman" w:hAnsi="Times New Roman" w:cs="Times New Roman"/>
          <w:sz w:val="24"/>
          <w:szCs w:val="24"/>
        </w:rPr>
        <w:t xml:space="preserve">in issue meant that a </w:t>
      </w:r>
      <w:r w:rsidR="00D7207F" w:rsidRPr="00D7207F">
        <w:rPr>
          <w:rFonts w:ascii="Times New Roman" w:hAnsi="Times New Roman" w:cs="Times New Roman"/>
          <w:sz w:val="24"/>
          <w:szCs w:val="24"/>
        </w:rPr>
        <w:t xml:space="preserve">failure to seal the </w:t>
      </w:r>
      <w:r w:rsidR="00430BEB">
        <w:rPr>
          <w:rFonts w:ascii="Times New Roman" w:hAnsi="Times New Roman" w:cs="Times New Roman"/>
          <w:sz w:val="24"/>
          <w:szCs w:val="24"/>
        </w:rPr>
        <w:t>d</w:t>
      </w:r>
      <w:r w:rsidR="00D7207F" w:rsidRPr="00D7207F">
        <w:rPr>
          <w:rFonts w:ascii="Times New Roman" w:hAnsi="Times New Roman" w:cs="Times New Roman"/>
          <w:sz w:val="24"/>
          <w:szCs w:val="24"/>
        </w:rPr>
        <w:t xml:space="preserve">eed of </w:t>
      </w:r>
      <w:r w:rsidR="00430BEB">
        <w:rPr>
          <w:rFonts w:ascii="Times New Roman" w:hAnsi="Times New Roman" w:cs="Times New Roman"/>
          <w:sz w:val="24"/>
          <w:szCs w:val="24"/>
        </w:rPr>
        <w:t>a</w:t>
      </w:r>
      <w:r w:rsidR="00D7207F" w:rsidRPr="00D7207F">
        <w:rPr>
          <w:rFonts w:ascii="Times New Roman" w:hAnsi="Times New Roman" w:cs="Times New Roman"/>
          <w:sz w:val="24"/>
          <w:szCs w:val="24"/>
        </w:rPr>
        <w:t xml:space="preserve">ppointment was fatal </w:t>
      </w:r>
      <w:r w:rsidR="00D7207F" w:rsidRPr="00D7207F">
        <w:rPr>
          <w:rFonts w:ascii="Times New Roman" w:hAnsi="Times New Roman" w:cs="Times New Roman"/>
          <w:sz w:val="24"/>
          <w:szCs w:val="24"/>
        </w:rPr>
        <w:lastRenderedPageBreak/>
        <w:t>to the appointment of a receiver</w:t>
      </w:r>
      <w:r w:rsidR="000B2E16">
        <w:rPr>
          <w:rFonts w:ascii="Times New Roman" w:hAnsi="Times New Roman" w:cs="Times New Roman"/>
          <w:sz w:val="24"/>
          <w:szCs w:val="24"/>
        </w:rPr>
        <w:t xml:space="preserve"> purportedly effected thereby</w:t>
      </w:r>
      <w:r w:rsidR="00D7207F" w:rsidRPr="00D7207F">
        <w:rPr>
          <w:rFonts w:ascii="Times New Roman" w:hAnsi="Times New Roman" w:cs="Times New Roman"/>
          <w:sz w:val="24"/>
          <w:szCs w:val="24"/>
        </w:rPr>
        <w:t>.  Applying that principle to the instruments in issue before him, McDonald J. reasoned as follows (</w:t>
      </w:r>
      <w:r w:rsidR="00FD515E">
        <w:rPr>
          <w:rFonts w:ascii="Times New Roman" w:hAnsi="Times New Roman" w:cs="Times New Roman"/>
          <w:sz w:val="24"/>
          <w:szCs w:val="24"/>
        </w:rPr>
        <w:t xml:space="preserve">at </w:t>
      </w:r>
      <w:r w:rsidR="00D7207F" w:rsidRPr="00D7207F">
        <w:rPr>
          <w:rFonts w:ascii="Times New Roman" w:hAnsi="Times New Roman" w:cs="Times New Roman"/>
          <w:sz w:val="24"/>
          <w:szCs w:val="24"/>
        </w:rPr>
        <w:t>para. 162 of his judgment):</w:t>
      </w:r>
    </w:p>
    <w:p w14:paraId="5E062F3E" w14:textId="77777777" w:rsidR="00D7207F" w:rsidRPr="00D7207F" w:rsidRDefault="00D7207F" w:rsidP="00D7207F">
      <w:pPr>
        <w:pStyle w:val="ListParagraph"/>
        <w:spacing w:line="480" w:lineRule="auto"/>
        <w:rPr>
          <w:rFonts w:ascii="Times New Roman" w:hAnsi="Times New Roman" w:cs="Times New Roman"/>
          <w:sz w:val="24"/>
          <w:szCs w:val="24"/>
        </w:rPr>
      </w:pPr>
    </w:p>
    <w:p w14:paraId="2E4F35F1" w14:textId="77777777" w:rsidR="00D7207F" w:rsidRPr="00D7207F" w:rsidRDefault="00D7207F" w:rsidP="00D7207F">
      <w:pPr>
        <w:pStyle w:val="ListParagraph"/>
        <w:numPr>
          <w:ilvl w:val="0"/>
          <w:numId w:val="2"/>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The relevant provision of the mortgage envisaged that the appointment would be of a receiver and manager or a number of receivers and managers. There was nothing in the text of the provision to suggest that the mortgagee was entitled to decide to appoint a person solely to be a receiver without also appointing that person to be a manager.</w:t>
      </w:r>
    </w:p>
    <w:p w14:paraId="2FD51EEA" w14:textId="77777777" w:rsidR="00D7207F" w:rsidRPr="00D7207F" w:rsidRDefault="00D7207F" w:rsidP="00D7207F">
      <w:pPr>
        <w:pStyle w:val="ListParagraph"/>
        <w:spacing w:line="480" w:lineRule="auto"/>
        <w:ind w:left="1440"/>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1E0FD1F9" w14:textId="77777777" w:rsidR="00D7207F" w:rsidRPr="00D7207F" w:rsidRDefault="00D7207F" w:rsidP="00D7207F">
      <w:pPr>
        <w:pStyle w:val="ListParagraph"/>
        <w:numPr>
          <w:ilvl w:val="0"/>
          <w:numId w:val="2"/>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References to ‘</w:t>
      </w:r>
      <w:r w:rsidRPr="00D7207F">
        <w:rPr>
          <w:rFonts w:ascii="Times New Roman" w:hAnsi="Times New Roman" w:cs="Times New Roman"/>
          <w:i/>
          <w:sz w:val="24"/>
          <w:szCs w:val="24"/>
        </w:rPr>
        <w:t>Receiver’</w:t>
      </w:r>
      <w:r w:rsidRPr="00D7207F">
        <w:rPr>
          <w:rFonts w:ascii="Times New Roman" w:hAnsi="Times New Roman" w:cs="Times New Roman"/>
          <w:sz w:val="24"/>
          <w:szCs w:val="24"/>
        </w:rPr>
        <w:t xml:space="preserve"> in any other provisions of the relevant part of the mortgage must be interpreted as referring to a person appointed a ‘</w:t>
      </w:r>
      <w:r w:rsidRPr="00D7207F">
        <w:rPr>
          <w:rFonts w:ascii="Times New Roman" w:hAnsi="Times New Roman" w:cs="Times New Roman"/>
          <w:i/>
          <w:sz w:val="24"/>
          <w:szCs w:val="24"/>
        </w:rPr>
        <w:t>receiver manager’</w:t>
      </w:r>
      <w:r w:rsidRPr="00D7207F">
        <w:rPr>
          <w:rFonts w:ascii="Times New Roman" w:hAnsi="Times New Roman" w:cs="Times New Roman"/>
          <w:sz w:val="24"/>
          <w:szCs w:val="24"/>
        </w:rPr>
        <w:t xml:space="preserve"> pursuant to that clause</w:t>
      </w:r>
      <w:r w:rsidR="00430BEB">
        <w:rPr>
          <w:rFonts w:ascii="Times New Roman" w:hAnsi="Times New Roman" w:cs="Times New Roman"/>
          <w:sz w:val="24"/>
          <w:szCs w:val="24"/>
        </w:rPr>
        <w:t>.</w:t>
      </w:r>
    </w:p>
    <w:p w14:paraId="5FF70490" w14:textId="77777777" w:rsidR="00D7207F" w:rsidRPr="00D7207F" w:rsidRDefault="00D7207F" w:rsidP="00D7207F">
      <w:pPr>
        <w:pStyle w:val="ListParagraph"/>
        <w:spacing w:line="480" w:lineRule="auto"/>
        <w:rPr>
          <w:rFonts w:ascii="Times New Roman" w:hAnsi="Times New Roman" w:cs="Times New Roman"/>
          <w:sz w:val="24"/>
          <w:szCs w:val="24"/>
        </w:rPr>
      </w:pPr>
    </w:p>
    <w:p w14:paraId="2276F09D" w14:textId="77777777" w:rsidR="00D7207F" w:rsidRPr="00D7207F" w:rsidRDefault="00D7207F" w:rsidP="00D7207F">
      <w:pPr>
        <w:pStyle w:val="ListParagraph"/>
        <w:numPr>
          <w:ilvl w:val="0"/>
          <w:numId w:val="2"/>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While it was open to the mortgagee to appoint a receiver under the Conveyancing Act 1881, that was not of assistance because (a) the appointor had not invoked the 1881 Act and (b) such a receiver did not enjoy the statutory power to take possession of the property.  </w:t>
      </w:r>
    </w:p>
    <w:p w14:paraId="47F98AE1" w14:textId="77777777" w:rsidR="00D7207F" w:rsidRPr="00D7207F" w:rsidRDefault="00D7207F" w:rsidP="00D7207F">
      <w:pPr>
        <w:pStyle w:val="ListParagraph"/>
        <w:spacing w:line="480" w:lineRule="auto"/>
        <w:rPr>
          <w:rFonts w:ascii="Times New Roman" w:hAnsi="Times New Roman" w:cs="Times New Roman"/>
          <w:sz w:val="24"/>
          <w:szCs w:val="24"/>
        </w:rPr>
      </w:pPr>
    </w:p>
    <w:p w14:paraId="4B51BD64" w14:textId="2D156DD0" w:rsidR="00146A88" w:rsidRDefault="004F6C41"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146A88">
        <w:rPr>
          <w:rFonts w:ascii="Times New Roman" w:hAnsi="Times New Roman" w:cs="Times New Roman"/>
          <w:sz w:val="24"/>
          <w:szCs w:val="24"/>
        </w:rPr>
        <w:t>entral to</w:t>
      </w:r>
      <w:r w:rsidR="00F53ADE">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146A88">
        <w:rPr>
          <w:rFonts w:ascii="Times New Roman" w:hAnsi="Times New Roman" w:cs="Times New Roman"/>
          <w:sz w:val="24"/>
          <w:szCs w:val="24"/>
        </w:rPr>
        <w:t xml:space="preserve">conclusion was </w:t>
      </w:r>
      <w:r w:rsidR="00F53ADE">
        <w:rPr>
          <w:rFonts w:ascii="Times New Roman" w:hAnsi="Times New Roman" w:cs="Times New Roman"/>
          <w:sz w:val="24"/>
          <w:szCs w:val="24"/>
        </w:rPr>
        <w:t xml:space="preserve">the </w:t>
      </w:r>
      <w:r>
        <w:rPr>
          <w:rFonts w:ascii="Times New Roman" w:hAnsi="Times New Roman" w:cs="Times New Roman"/>
          <w:sz w:val="24"/>
          <w:szCs w:val="24"/>
        </w:rPr>
        <w:t xml:space="preserve">view </w:t>
      </w:r>
      <w:r w:rsidR="00F53ADE">
        <w:rPr>
          <w:rFonts w:ascii="Times New Roman" w:hAnsi="Times New Roman" w:cs="Times New Roman"/>
          <w:sz w:val="24"/>
          <w:szCs w:val="24"/>
        </w:rPr>
        <w:t xml:space="preserve">of McDonald J. </w:t>
      </w:r>
      <w:r w:rsidR="00146A88">
        <w:rPr>
          <w:rFonts w:ascii="Times New Roman" w:hAnsi="Times New Roman" w:cs="Times New Roman"/>
          <w:sz w:val="24"/>
          <w:szCs w:val="24"/>
        </w:rPr>
        <w:t>that</w:t>
      </w:r>
      <w:r w:rsidR="00AC4845">
        <w:rPr>
          <w:rFonts w:ascii="Times New Roman" w:hAnsi="Times New Roman" w:cs="Times New Roman"/>
          <w:sz w:val="24"/>
          <w:szCs w:val="24"/>
        </w:rPr>
        <w:t>,</w:t>
      </w:r>
      <w:r w:rsidR="008C60E1">
        <w:rPr>
          <w:rFonts w:ascii="Times New Roman" w:hAnsi="Times New Roman" w:cs="Times New Roman"/>
          <w:sz w:val="24"/>
          <w:szCs w:val="24"/>
        </w:rPr>
        <w:t xml:space="preserve"> </w:t>
      </w:r>
      <w:r w:rsidR="00AC4845">
        <w:rPr>
          <w:rFonts w:ascii="Times New Roman" w:hAnsi="Times New Roman" w:cs="Times New Roman"/>
          <w:sz w:val="24"/>
          <w:szCs w:val="24"/>
        </w:rPr>
        <w:t xml:space="preserve">at least </w:t>
      </w:r>
      <w:r w:rsidR="008C60E1">
        <w:rPr>
          <w:rFonts w:ascii="Times New Roman" w:hAnsi="Times New Roman" w:cs="Times New Roman"/>
          <w:sz w:val="24"/>
          <w:szCs w:val="24"/>
        </w:rPr>
        <w:t>on one construction</w:t>
      </w:r>
      <w:r w:rsidR="00AC4845">
        <w:rPr>
          <w:rFonts w:ascii="Times New Roman" w:hAnsi="Times New Roman" w:cs="Times New Roman"/>
          <w:sz w:val="24"/>
          <w:szCs w:val="24"/>
        </w:rPr>
        <w:t xml:space="preserve">, </w:t>
      </w:r>
      <w:r w:rsidR="00146A88">
        <w:rPr>
          <w:rFonts w:ascii="Times New Roman" w:hAnsi="Times New Roman" w:cs="Times New Roman"/>
          <w:sz w:val="24"/>
          <w:szCs w:val="24"/>
        </w:rPr>
        <w:t xml:space="preserve">the </w:t>
      </w:r>
      <w:r w:rsidR="00430BEB">
        <w:rPr>
          <w:rFonts w:ascii="Times New Roman" w:hAnsi="Times New Roman" w:cs="Times New Roman"/>
          <w:sz w:val="24"/>
          <w:szCs w:val="24"/>
        </w:rPr>
        <w:t xml:space="preserve">mortgage agreement imposed an affirmative requirement that any </w:t>
      </w:r>
      <w:r w:rsidR="00146A88">
        <w:rPr>
          <w:rFonts w:ascii="Times New Roman" w:hAnsi="Times New Roman" w:cs="Times New Roman"/>
          <w:sz w:val="24"/>
          <w:szCs w:val="24"/>
        </w:rPr>
        <w:t>deed of appointment refer to the fact that an appointee was not merely to be a receiver, but that it also had to describe him as a receiver</w:t>
      </w:r>
      <w:r w:rsidR="00E90972">
        <w:rPr>
          <w:rFonts w:ascii="Times New Roman" w:hAnsi="Times New Roman" w:cs="Times New Roman"/>
          <w:sz w:val="24"/>
          <w:szCs w:val="24"/>
        </w:rPr>
        <w:t xml:space="preserve"> and </w:t>
      </w:r>
      <w:r w:rsidR="00146A88">
        <w:rPr>
          <w:rFonts w:ascii="Times New Roman" w:hAnsi="Times New Roman" w:cs="Times New Roman"/>
          <w:sz w:val="24"/>
          <w:szCs w:val="24"/>
        </w:rPr>
        <w:t>manager.  At para. 163 he said ‘</w:t>
      </w:r>
      <w:r w:rsidR="00146A88">
        <w:rPr>
          <w:rFonts w:ascii="Times New Roman" w:hAnsi="Times New Roman" w:cs="Times New Roman"/>
          <w:i/>
          <w:sz w:val="24"/>
          <w:szCs w:val="24"/>
        </w:rPr>
        <w:t>the only form of appointment contemplated is that of a ‘receiver and manager’</w:t>
      </w:r>
      <w:r w:rsidR="00146A88">
        <w:rPr>
          <w:rFonts w:ascii="Times New Roman" w:hAnsi="Times New Roman" w:cs="Times New Roman"/>
          <w:sz w:val="24"/>
          <w:szCs w:val="24"/>
        </w:rPr>
        <w:t>, but add</w:t>
      </w:r>
      <w:r w:rsidR="00836970">
        <w:rPr>
          <w:rFonts w:ascii="Times New Roman" w:hAnsi="Times New Roman" w:cs="Times New Roman"/>
          <w:sz w:val="24"/>
          <w:szCs w:val="24"/>
        </w:rPr>
        <w:t>ed</w:t>
      </w:r>
      <w:r w:rsidR="00146A88">
        <w:rPr>
          <w:rFonts w:ascii="Times New Roman" w:hAnsi="Times New Roman" w:cs="Times New Roman"/>
          <w:sz w:val="24"/>
          <w:szCs w:val="24"/>
        </w:rPr>
        <w:t xml:space="preserve"> </w:t>
      </w:r>
      <w:r w:rsidR="00146A88">
        <w:rPr>
          <w:rFonts w:ascii="Times New Roman" w:hAnsi="Times New Roman" w:cs="Times New Roman"/>
          <w:sz w:val="24"/>
          <w:szCs w:val="24"/>
        </w:rPr>
        <w:lastRenderedPageBreak/>
        <w:t>that ‘</w:t>
      </w:r>
      <w:r w:rsidR="00146A88">
        <w:rPr>
          <w:rFonts w:ascii="Times New Roman" w:hAnsi="Times New Roman" w:cs="Times New Roman"/>
          <w:i/>
          <w:sz w:val="24"/>
          <w:szCs w:val="24"/>
        </w:rPr>
        <w:t>no final conclusion can be reached in relation to this issue at this interlocutory stage.’</w:t>
      </w:r>
    </w:p>
    <w:p w14:paraId="19DB9580" w14:textId="77777777" w:rsidR="00146A88" w:rsidRDefault="00146A88" w:rsidP="00146A88">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1802FFC2" w14:textId="0AD381BC" w:rsidR="00D7207F" w:rsidRPr="00A84AFB" w:rsidRDefault="00D7207F" w:rsidP="00A84AFB">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It </w:t>
      </w:r>
      <w:r w:rsidR="00A060C5">
        <w:rPr>
          <w:rFonts w:ascii="Times New Roman" w:hAnsi="Times New Roman" w:cs="Times New Roman"/>
          <w:sz w:val="24"/>
          <w:szCs w:val="24"/>
        </w:rPr>
        <w:t xml:space="preserve">is </w:t>
      </w:r>
      <w:r w:rsidRPr="00D7207F">
        <w:rPr>
          <w:rFonts w:ascii="Times New Roman" w:hAnsi="Times New Roman" w:cs="Times New Roman"/>
          <w:sz w:val="24"/>
          <w:szCs w:val="24"/>
        </w:rPr>
        <w:t xml:space="preserve">clear from the judgment of McDonald J. that counsel for the receiver </w:t>
      </w:r>
      <w:r w:rsidR="00FD515E">
        <w:rPr>
          <w:rFonts w:ascii="Times New Roman" w:hAnsi="Times New Roman" w:cs="Times New Roman"/>
          <w:sz w:val="24"/>
          <w:szCs w:val="24"/>
        </w:rPr>
        <w:t xml:space="preserve">in that case </w:t>
      </w:r>
      <w:r w:rsidRPr="00D7207F">
        <w:rPr>
          <w:rFonts w:ascii="Times New Roman" w:hAnsi="Times New Roman" w:cs="Times New Roman"/>
          <w:sz w:val="24"/>
          <w:szCs w:val="24"/>
        </w:rPr>
        <w:t xml:space="preserve">did not make extensive submissions on this issue.  One of the points </w:t>
      </w:r>
      <w:r w:rsidR="00A1736C">
        <w:rPr>
          <w:rFonts w:ascii="Times New Roman" w:hAnsi="Times New Roman" w:cs="Times New Roman"/>
          <w:sz w:val="24"/>
          <w:szCs w:val="24"/>
        </w:rPr>
        <w:t xml:space="preserve">that was </w:t>
      </w:r>
      <w:r w:rsidRPr="00D7207F">
        <w:rPr>
          <w:rFonts w:ascii="Times New Roman" w:hAnsi="Times New Roman" w:cs="Times New Roman"/>
          <w:sz w:val="24"/>
          <w:szCs w:val="24"/>
        </w:rPr>
        <w:t xml:space="preserve">made by </w:t>
      </w:r>
      <w:r w:rsidR="00AD0B03">
        <w:rPr>
          <w:rFonts w:ascii="Times New Roman" w:hAnsi="Times New Roman" w:cs="Times New Roman"/>
          <w:sz w:val="24"/>
          <w:szCs w:val="24"/>
        </w:rPr>
        <w:t>counsel</w:t>
      </w:r>
      <w:r w:rsidRPr="00D7207F">
        <w:rPr>
          <w:rFonts w:ascii="Times New Roman" w:hAnsi="Times New Roman" w:cs="Times New Roman"/>
          <w:sz w:val="24"/>
          <w:szCs w:val="24"/>
        </w:rPr>
        <w:t xml:space="preserve"> (see para. 165(b)</w:t>
      </w:r>
      <w:r w:rsidR="00A060C5">
        <w:rPr>
          <w:rFonts w:ascii="Times New Roman" w:hAnsi="Times New Roman" w:cs="Times New Roman"/>
          <w:sz w:val="24"/>
          <w:szCs w:val="24"/>
        </w:rPr>
        <w:t xml:space="preserve"> of the judgment</w:t>
      </w:r>
      <w:r w:rsidRPr="00D7207F">
        <w:rPr>
          <w:rFonts w:ascii="Times New Roman" w:hAnsi="Times New Roman" w:cs="Times New Roman"/>
          <w:sz w:val="24"/>
          <w:szCs w:val="24"/>
        </w:rPr>
        <w:t xml:space="preserve">) focussed on the fact that under the relevant </w:t>
      </w:r>
      <w:r w:rsidR="00FD515E">
        <w:rPr>
          <w:rFonts w:ascii="Times New Roman" w:hAnsi="Times New Roman" w:cs="Times New Roman"/>
          <w:sz w:val="24"/>
          <w:szCs w:val="24"/>
        </w:rPr>
        <w:t>d</w:t>
      </w:r>
      <w:r w:rsidRPr="00D7207F">
        <w:rPr>
          <w:rFonts w:ascii="Times New Roman" w:hAnsi="Times New Roman" w:cs="Times New Roman"/>
          <w:sz w:val="24"/>
          <w:szCs w:val="24"/>
        </w:rPr>
        <w:t>eed</w:t>
      </w:r>
      <w:r w:rsidR="004C5D61">
        <w:rPr>
          <w:rFonts w:ascii="Times New Roman" w:hAnsi="Times New Roman" w:cs="Times New Roman"/>
          <w:sz w:val="24"/>
          <w:szCs w:val="24"/>
        </w:rPr>
        <w:t xml:space="preserve"> </w:t>
      </w:r>
      <w:r w:rsidRPr="00D7207F">
        <w:rPr>
          <w:rFonts w:ascii="Times New Roman" w:hAnsi="Times New Roman" w:cs="Times New Roman"/>
          <w:sz w:val="24"/>
          <w:szCs w:val="24"/>
        </w:rPr>
        <w:t xml:space="preserve">Mr. McCarthy was appointed </w:t>
      </w:r>
      <w:r w:rsidR="00FD515E">
        <w:rPr>
          <w:rFonts w:ascii="Times New Roman" w:hAnsi="Times New Roman" w:cs="Times New Roman"/>
          <w:i/>
          <w:sz w:val="24"/>
          <w:szCs w:val="24"/>
        </w:rPr>
        <w:t>‘</w:t>
      </w:r>
      <w:r w:rsidRPr="00D7207F">
        <w:rPr>
          <w:rFonts w:ascii="Times New Roman" w:hAnsi="Times New Roman" w:cs="Times New Roman"/>
          <w:i/>
          <w:sz w:val="24"/>
          <w:szCs w:val="24"/>
        </w:rPr>
        <w:t>….to enter upon, take possession of the property and to exercise all of the powers of a receiver given by the Mortgages by statute or otherwise</w:t>
      </w:r>
      <w:r w:rsidR="00FD515E">
        <w:rPr>
          <w:rFonts w:ascii="Times New Roman" w:hAnsi="Times New Roman" w:cs="Times New Roman"/>
          <w:i/>
          <w:sz w:val="24"/>
          <w:szCs w:val="24"/>
        </w:rPr>
        <w:t>’</w:t>
      </w:r>
      <w:r w:rsidRPr="00D7207F">
        <w:rPr>
          <w:rFonts w:ascii="Times New Roman" w:hAnsi="Times New Roman" w:cs="Times New Roman"/>
          <w:i/>
          <w:sz w:val="24"/>
          <w:szCs w:val="24"/>
        </w:rPr>
        <w:t>.</w:t>
      </w:r>
      <w:r w:rsidRPr="00D7207F">
        <w:rPr>
          <w:rFonts w:ascii="Times New Roman" w:hAnsi="Times New Roman" w:cs="Times New Roman"/>
          <w:sz w:val="24"/>
          <w:szCs w:val="24"/>
        </w:rPr>
        <w:t xml:space="preserve"> Thus, it was said, he had been given all of the powers available to a receiver and manager under </w:t>
      </w:r>
      <w:r w:rsidR="00FD515E">
        <w:rPr>
          <w:rFonts w:ascii="Times New Roman" w:hAnsi="Times New Roman" w:cs="Times New Roman"/>
          <w:sz w:val="24"/>
          <w:szCs w:val="24"/>
        </w:rPr>
        <w:t>c</w:t>
      </w:r>
      <w:r w:rsidRPr="00D7207F">
        <w:rPr>
          <w:rFonts w:ascii="Times New Roman" w:hAnsi="Times New Roman" w:cs="Times New Roman"/>
          <w:sz w:val="24"/>
          <w:szCs w:val="24"/>
        </w:rPr>
        <w:t>lause 9.4 of the Deed of Mortgage and Charge.  That clause</w:t>
      </w:r>
      <w:r w:rsidR="00687FB2">
        <w:rPr>
          <w:rFonts w:ascii="Times New Roman" w:hAnsi="Times New Roman" w:cs="Times New Roman"/>
          <w:sz w:val="24"/>
          <w:szCs w:val="24"/>
        </w:rPr>
        <w:t xml:space="preserve"> </w:t>
      </w:r>
      <w:r w:rsidRPr="00D7207F">
        <w:rPr>
          <w:rFonts w:ascii="Times New Roman" w:hAnsi="Times New Roman" w:cs="Times New Roman"/>
          <w:sz w:val="24"/>
          <w:szCs w:val="24"/>
        </w:rPr>
        <w:t>appears similar to clause 9.</w:t>
      </w:r>
      <w:r w:rsidR="00687FB2">
        <w:rPr>
          <w:rFonts w:ascii="Times New Roman" w:hAnsi="Times New Roman" w:cs="Times New Roman"/>
          <w:sz w:val="24"/>
          <w:szCs w:val="24"/>
        </w:rPr>
        <w:t>3</w:t>
      </w:r>
      <w:r w:rsidRPr="00D7207F">
        <w:rPr>
          <w:rFonts w:ascii="Times New Roman" w:hAnsi="Times New Roman" w:cs="Times New Roman"/>
          <w:sz w:val="24"/>
          <w:szCs w:val="24"/>
        </w:rPr>
        <w:t xml:space="preserve"> of the mortgage in issue here.</w:t>
      </w:r>
      <w:r w:rsidR="00A84AFB">
        <w:rPr>
          <w:rFonts w:ascii="Times New Roman" w:hAnsi="Times New Roman" w:cs="Times New Roman"/>
          <w:sz w:val="24"/>
          <w:szCs w:val="24"/>
        </w:rPr>
        <w:t xml:space="preserve">  </w:t>
      </w:r>
      <w:r w:rsidRPr="00A84AFB">
        <w:rPr>
          <w:rFonts w:ascii="Times New Roman" w:hAnsi="Times New Roman" w:cs="Times New Roman"/>
          <w:sz w:val="24"/>
          <w:szCs w:val="24"/>
        </w:rPr>
        <w:t xml:space="preserve">McDonald J. rejected this argument on the basis </w:t>
      </w:r>
      <w:r w:rsidR="00A84AFB" w:rsidRPr="00A84AFB">
        <w:rPr>
          <w:rFonts w:ascii="Times New Roman" w:hAnsi="Times New Roman" w:cs="Times New Roman"/>
          <w:sz w:val="24"/>
          <w:szCs w:val="24"/>
        </w:rPr>
        <w:t>that the plaintiff was not appointed</w:t>
      </w:r>
      <w:r w:rsidR="00A84AFB" w:rsidRPr="00A84AFB">
        <w:rPr>
          <w:rFonts w:ascii="Times New Roman" w:hAnsi="Times New Roman" w:cs="Times New Roman"/>
          <w:i/>
          <w:sz w:val="24"/>
          <w:szCs w:val="24"/>
        </w:rPr>
        <w:t xml:space="preserve"> ‘as receiver and manager’ </w:t>
      </w:r>
      <w:r w:rsidR="00A84AFB" w:rsidRPr="00A84AFB">
        <w:rPr>
          <w:rFonts w:ascii="Times New Roman" w:hAnsi="Times New Roman" w:cs="Times New Roman"/>
          <w:sz w:val="24"/>
          <w:szCs w:val="24"/>
        </w:rPr>
        <w:t>but was ‘</w:t>
      </w:r>
      <w:r w:rsidR="00A84AFB" w:rsidRPr="00A84AFB">
        <w:rPr>
          <w:rFonts w:ascii="Times New Roman" w:hAnsi="Times New Roman" w:cs="Times New Roman"/>
          <w:i/>
          <w:sz w:val="24"/>
          <w:szCs w:val="24"/>
        </w:rPr>
        <w:t>simply appointed as receiver’</w:t>
      </w:r>
      <w:r w:rsidR="00A84AFB" w:rsidRPr="00A84AFB">
        <w:rPr>
          <w:rFonts w:ascii="Times New Roman" w:hAnsi="Times New Roman" w:cs="Times New Roman"/>
          <w:sz w:val="24"/>
          <w:szCs w:val="24"/>
        </w:rPr>
        <w:t xml:space="preserve"> and that the powers in clause 9 were only granted to ‘</w:t>
      </w:r>
      <w:r w:rsidR="00A84AFB" w:rsidRPr="00A84AFB">
        <w:rPr>
          <w:rFonts w:ascii="Times New Roman" w:hAnsi="Times New Roman" w:cs="Times New Roman"/>
          <w:i/>
          <w:sz w:val="24"/>
          <w:szCs w:val="24"/>
        </w:rPr>
        <w:t>a person who is appointed a “receiver and manager”.</w:t>
      </w:r>
    </w:p>
    <w:p w14:paraId="461A680E" w14:textId="77777777" w:rsidR="00D7207F" w:rsidRPr="00D7207F" w:rsidRDefault="00D7207F" w:rsidP="00D7207F">
      <w:pPr>
        <w:pStyle w:val="ListParagraph"/>
        <w:spacing w:line="480" w:lineRule="auto"/>
        <w:rPr>
          <w:rFonts w:ascii="Times New Roman" w:hAnsi="Times New Roman" w:cs="Times New Roman"/>
          <w:sz w:val="24"/>
          <w:szCs w:val="24"/>
        </w:rPr>
      </w:pPr>
    </w:p>
    <w:p w14:paraId="7E16ABDC" w14:textId="44075AA1" w:rsidR="00D7207F" w:rsidRPr="00D7207F" w:rsidRDefault="00D7207F" w:rsidP="00D7207F">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T</w:t>
      </w:r>
      <w:r w:rsidR="0034491B">
        <w:rPr>
          <w:rFonts w:ascii="Times New Roman" w:hAnsi="Times New Roman" w:cs="Times New Roman"/>
          <w:sz w:val="24"/>
          <w:szCs w:val="24"/>
        </w:rPr>
        <w:t>wo</w:t>
      </w:r>
      <w:r w:rsidRPr="00D7207F">
        <w:rPr>
          <w:rFonts w:ascii="Times New Roman" w:hAnsi="Times New Roman" w:cs="Times New Roman"/>
          <w:sz w:val="24"/>
          <w:szCs w:val="24"/>
        </w:rPr>
        <w:t xml:space="preserve"> features of the decision in </w:t>
      </w:r>
      <w:r w:rsidRPr="00D7207F">
        <w:rPr>
          <w:rFonts w:ascii="Times New Roman" w:hAnsi="Times New Roman" w:cs="Times New Roman"/>
          <w:i/>
          <w:sz w:val="24"/>
          <w:szCs w:val="24"/>
        </w:rPr>
        <w:t xml:space="preserve">McCarthy v. Moroney </w:t>
      </w:r>
      <w:r w:rsidR="006C6DF0">
        <w:rPr>
          <w:rFonts w:ascii="Times New Roman" w:hAnsi="Times New Roman" w:cs="Times New Roman"/>
          <w:sz w:val="24"/>
          <w:szCs w:val="24"/>
        </w:rPr>
        <w:t xml:space="preserve">bear </w:t>
      </w:r>
      <w:r w:rsidR="00F53ADE">
        <w:rPr>
          <w:rFonts w:ascii="Times New Roman" w:hAnsi="Times New Roman" w:cs="Times New Roman"/>
          <w:sz w:val="24"/>
          <w:szCs w:val="24"/>
        </w:rPr>
        <w:t>emphasis</w:t>
      </w:r>
      <w:r w:rsidRPr="00D7207F">
        <w:rPr>
          <w:rFonts w:ascii="Times New Roman" w:hAnsi="Times New Roman" w:cs="Times New Roman"/>
          <w:sz w:val="24"/>
          <w:szCs w:val="24"/>
        </w:rPr>
        <w:t xml:space="preserve">.  First, the issues addressed by McDonald J. arose in the context of an application for mandatory interlocutory relief.  The </w:t>
      </w:r>
      <w:r w:rsidR="00AA1A92">
        <w:rPr>
          <w:rFonts w:ascii="Times New Roman" w:hAnsi="Times New Roman" w:cs="Times New Roman"/>
          <w:sz w:val="24"/>
          <w:szCs w:val="24"/>
        </w:rPr>
        <w:t>c</w:t>
      </w:r>
      <w:r w:rsidRPr="00D7207F">
        <w:rPr>
          <w:rFonts w:ascii="Times New Roman" w:hAnsi="Times New Roman" w:cs="Times New Roman"/>
          <w:sz w:val="24"/>
          <w:szCs w:val="24"/>
        </w:rPr>
        <w:t xml:space="preserve">ourt </w:t>
      </w:r>
      <w:r w:rsidR="000B2E16">
        <w:rPr>
          <w:rFonts w:ascii="Times New Roman" w:hAnsi="Times New Roman" w:cs="Times New Roman"/>
          <w:sz w:val="24"/>
          <w:szCs w:val="24"/>
        </w:rPr>
        <w:t xml:space="preserve">was not deciding whether the </w:t>
      </w:r>
      <w:r w:rsidRPr="00D7207F">
        <w:rPr>
          <w:rFonts w:ascii="Times New Roman" w:hAnsi="Times New Roman" w:cs="Times New Roman"/>
          <w:sz w:val="24"/>
          <w:szCs w:val="24"/>
        </w:rPr>
        <w:t xml:space="preserve">receiver had </w:t>
      </w:r>
      <w:r w:rsidR="002C734E">
        <w:rPr>
          <w:rFonts w:ascii="Times New Roman" w:hAnsi="Times New Roman" w:cs="Times New Roman"/>
          <w:sz w:val="24"/>
          <w:szCs w:val="24"/>
        </w:rPr>
        <w:t xml:space="preserve">in fact </w:t>
      </w:r>
      <w:r w:rsidRPr="00D7207F">
        <w:rPr>
          <w:rFonts w:ascii="Times New Roman" w:hAnsi="Times New Roman" w:cs="Times New Roman"/>
          <w:sz w:val="24"/>
          <w:szCs w:val="24"/>
        </w:rPr>
        <w:t>been validly appointed.  It was concerned exclusively with whether the plaintiff had established a strong case that he had been validly appointed.  This was stressed by McDonald J. as follows (at para. 163):</w:t>
      </w:r>
    </w:p>
    <w:p w14:paraId="46CC21C4" w14:textId="77777777" w:rsidR="00D7207F" w:rsidRPr="00D7207F" w:rsidRDefault="00D7207F" w:rsidP="00D7207F">
      <w:pPr>
        <w:pStyle w:val="ListParagraph"/>
        <w:spacing w:line="480" w:lineRule="auto"/>
        <w:jc w:val="both"/>
        <w:rPr>
          <w:rFonts w:ascii="Times New Roman" w:hAnsi="Times New Roman" w:cs="Times New Roman"/>
          <w:sz w:val="24"/>
          <w:szCs w:val="24"/>
        </w:rPr>
      </w:pPr>
    </w:p>
    <w:p w14:paraId="20382602" w14:textId="77777777" w:rsidR="00D7207F" w:rsidRPr="00D7207F" w:rsidRDefault="00D7207F" w:rsidP="00D7207F">
      <w:pPr>
        <w:pStyle w:val="ListParagraph"/>
        <w:spacing w:line="480" w:lineRule="auto"/>
        <w:ind w:left="1440"/>
        <w:jc w:val="both"/>
        <w:rPr>
          <w:rFonts w:ascii="Times New Roman" w:hAnsi="Times New Roman" w:cs="Times New Roman"/>
          <w:i/>
          <w:sz w:val="24"/>
          <w:szCs w:val="24"/>
        </w:rPr>
      </w:pPr>
      <w:r w:rsidRPr="00D7207F">
        <w:rPr>
          <w:rFonts w:ascii="Times New Roman" w:hAnsi="Times New Roman" w:cs="Times New Roman"/>
          <w:sz w:val="24"/>
          <w:szCs w:val="24"/>
        </w:rPr>
        <w:t>‘</w:t>
      </w:r>
      <w:r w:rsidRPr="00D7207F">
        <w:rPr>
          <w:rFonts w:ascii="Times New Roman" w:hAnsi="Times New Roman" w:cs="Times New Roman"/>
          <w:i/>
          <w:sz w:val="24"/>
          <w:szCs w:val="24"/>
        </w:rPr>
        <w:t xml:space="preserve">Obviously, no final conclusion can be reached in relation to this issue at this interlocutory stage.  My task at this point is solely to consider whether Mr. </w:t>
      </w:r>
      <w:r w:rsidRPr="00D7207F">
        <w:rPr>
          <w:rFonts w:ascii="Times New Roman" w:hAnsi="Times New Roman" w:cs="Times New Roman"/>
          <w:i/>
          <w:sz w:val="24"/>
          <w:szCs w:val="24"/>
        </w:rPr>
        <w:lastRenderedPageBreak/>
        <w:t>McCarthy has established a strong case that he is entitled to the relief which he seeks in these proceedings.’</w:t>
      </w:r>
    </w:p>
    <w:p w14:paraId="2516F158"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7C3595E8" w14:textId="24135FCB" w:rsidR="00DE526B" w:rsidRDefault="00D7207F" w:rsidP="00DE526B">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Second, </w:t>
      </w:r>
      <w:r w:rsidR="00AC4845">
        <w:rPr>
          <w:rFonts w:ascii="Times New Roman" w:hAnsi="Times New Roman" w:cs="Times New Roman"/>
          <w:sz w:val="24"/>
          <w:szCs w:val="24"/>
        </w:rPr>
        <w:t xml:space="preserve">it is clear that </w:t>
      </w:r>
      <w:r w:rsidRPr="00D7207F">
        <w:rPr>
          <w:rFonts w:ascii="Times New Roman" w:hAnsi="Times New Roman" w:cs="Times New Roman"/>
          <w:sz w:val="24"/>
          <w:szCs w:val="24"/>
        </w:rPr>
        <w:t xml:space="preserve">the basis for McDonald J.’s conclusion that the plaintiff in </w:t>
      </w:r>
      <w:r w:rsidRPr="00D7207F">
        <w:rPr>
          <w:rFonts w:ascii="Times New Roman" w:hAnsi="Times New Roman" w:cs="Times New Roman"/>
          <w:i/>
          <w:sz w:val="24"/>
          <w:szCs w:val="24"/>
        </w:rPr>
        <w:t xml:space="preserve">McCarthy v. Moroney </w:t>
      </w:r>
      <w:r w:rsidRPr="00D7207F">
        <w:rPr>
          <w:rFonts w:ascii="Times New Roman" w:hAnsi="Times New Roman" w:cs="Times New Roman"/>
          <w:sz w:val="24"/>
          <w:szCs w:val="24"/>
        </w:rPr>
        <w:t>had failed to make out a strong case as regards the validity of his appointment</w:t>
      </w:r>
      <w:r w:rsidR="00FD515E">
        <w:rPr>
          <w:rFonts w:ascii="Times New Roman" w:hAnsi="Times New Roman" w:cs="Times New Roman"/>
          <w:sz w:val="24"/>
          <w:szCs w:val="24"/>
        </w:rPr>
        <w:t xml:space="preserve"> </w:t>
      </w:r>
      <w:r w:rsidR="00111741">
        <w:rPr>
          <w:rFonts w:ascii="Times New Roman" w:hAnsi="Times New Roman" w:cs="Times New Roman"/>
          <w:sz w:val="24"/>
          <w:szCs w:val="24"/>
        </w:rPr>
        <w:t xml:space="preserve">lay in </w:t>
      </w:r>
      <w:r w:rsidRPr="00D7207F">
        <w:rPr>
          <w:rFonts w:ascii="Times New Roman" w:hAnsi="Times New Roman" w:cs="Times New Roman"/>
          <w:sz w:val="24"/>
          <w:szCs w:val="24"/>
        </w:rPr>
        <w:t>his view that the mortgage</w:t>
      </w:r>
      <w:r w:rsidR="00F253D4">
        <w:rPr>
          <w:rFonts w:ascii="Times New Roman" w:hAnsi="Times New Roman" w:cs="Times New Roman"/>
          <w:sz w:val="24"/>
          <w:szCs w:val="24"/>
        </w:rPr>
        <w:t xml:space="preserve"> </w:t>
      </w:r>
      <w:r w:rsidR="00111741">
        <w:rPr>
          <w:rFonts w:ascii="Times New Roman" w:hAnsi="Times New Roman" w:cs="Times New Roman"/>
          <w:sz w:val="24"/>
          <w:szCs w:val="24"/>
        </w:rPr>
        <w:t xml:space="preserve">may have </w:t>
      </w:r>
      <w:r w:rsidRPr="00D7207F">
        <w:rPr>
          <w:rFonts w:ascii="Times New Roman" w:hAnsi="Times New Roman" w:cs="Times New Roman"/>
          <w:sz w:val="24"/>
          <w:szCs w:val="24"/>
        </w:rPr>
        <w:t>imposed a requirement to designate the appointee as</w:t>
      </w:r>
      <w:r w:rsidR="00F253D4">
        <w:rPr>
          <w:rFonts w:ascii="Times New Roman" w:hAnsi="Times New Roman" w:cs="Times New Roman"/>
          <w:sz w:val="24"/>
          <w:szCs w:val="24"/>
        </w:rPr>
        <w:t xml:space="preserve"> receiver and manager</w:t>
      </w:r>
      <w:r w:rsidRPr="00D7207F">
        <w:rPr>
          <w:rFonts w:ascii="Times New Roman" w:hAnsi="Times New Roman" w:cs="Times New Roman"/>
          <w:sz w:val="24"/>
          <w:szCs w:val="24"/>
        </w:rPr>
        <w:t xml:space="preserve"> in the relevant </w:t>
      </w:r>
      <w:r w:rsidR="00430BEB">
        <w:rPr>
          <w:rFonts w:ascii="Times New Roman" w:hAnsi="Times New Roman" w:cs="Times New Roman"/>
          <w:sz w:val="24"/>
          <w:szCs w:val="24"/>
        </w:rPr>
        <w:t>d</w:t>
      </w:r>
      <w:r w:rsidRPr="00D7207F">
        <w:rPr>
          <w:rFonts w:ascii="Times New Roman" w:hAnsi="Times New Roman" w:cs="Times New Roman"/>
          <w:sz w:val="24"/>
          <w:szCs w:val="24"/>
        </w:rPr>
        <w:t xml:space="preserve">eed of </w:t>
      </w:r>
      <w:r w:rsidR="00430BEB">
        <w:rPr>
          <w:rFonts w:ascii="Times New Roman" w:hAnsi="Times New Roman" w:cs="Times New Roman"/>
          <w:sz w:val="24"/>
          <w:szCs w:val="24"/>
        </w:rPr>
        <w:t>a</w:t>
      </w:r>
      <w:r w:rsidRPr="00D7207F">
        <w:rPr>
          <w:rFonts w:ascii="Times New Roman" w:hAnsi="Times New Roman" w:cs="Times New Roman"/>
          <w:sz w:val="24"/>
          <w:szCs w:val="24"/>
        </w:rPr>
        <w:t>ppointment.</w:t>
      </w:r>
      <w:r w:rsidR="00F253D4">
        <w:rPr>
          <w:rFonts w:ascii="Times New Roman" w:hAnsi="Times New Roman" w:cs="Times New Roman"/>
          <w:sz w:val="24"/>
          <w:szCs w:val="24"/>
        </w:rPr>
        <w:t xml:space="preserve"> </w:t>
      </w:r>
      <w:r w:rsidRPr="00D7207F">
        <w:rPr>
          <w:rFonts w:ascii="Times New Roman" w:hAnsi="Times New Roman" w:cs="Times New Roman"/>
          <w:sz w:val="24"/>
          <w:szCs w:val="24"/>
        </w:rPr>
        <w:t xml:space="preserve">In reaching that conclusion, the </w:t>
      </w:r>
      <w:r w:rsidR="00FD515E">
        <w:rPr>
          <w:rFonts w:ascii="Times New Roman" w:hAnsi="Times New Roman" w:cs="Times New Roman"/>
          <w:sz w:val="24"/>
          <w:szCs w:val="24"/>
        </w:rPr>
        <w:t>J</w:t>
      </w:r>
      <w:r w:rsidRPr="00D7207F">
        <w:rPr>
          <w:rFonts w:ascii="Times New Roman" w:hAnsi="Times New Roman" w:cs="Times New Roman"/>
          <w:sz w:val="24"/>
          <w:szCs w:val="24"/>
        </w:rPr>
        <w:t>udge was heavily influenced by the fact that both clause 9.3 (des</w:t>
      </w:r>
      <w:r w:rsidR="00F53ADE">
        <w:rPr>
          <w:rFonts w:ascii="Times New Roman" w:hAnsi="Times New Roman" w:cs="Times New Roman"/>
          <w:sz w:val="24"/>
          <w:szCs w:val="24"/>
        </w:rPr>
        <w:t>cribing</w:t>
      </w:r>
      <w:r w:rsidRPr="00D7207F">
        <w:rPr>
          <w:rFonts w:ascii="Times New Roman" w:hAnsi="Times New Roman" w:cs="Times New Roman"/>
          <w:sz w:val="24"/>
          <w:szCs w:val="24"/>
        </w:rPr>
        <w:t xml:space="preserve"> the Receiver as the agent of the mortgagor) and clause 9.4 (identifying the powers of the Receiver) used the term ‘</w:t>
      </w:r>
      <w:r w:rsidRPr="00D7207F">
        <w:rPr>
          <w:rFonts w:ascii="Times New Roman" w:hAnsi="Times New Roman" w:cs="Times New Roman"/>
          <w:i/>
          <w:sz w:val="24"/>
          <w:szCs w:val="24"/>
        </w:rPr>
        <w:t>a Receiver so appointed’</w:t>
      </w:r>
      <w:r w:rsidRPr="00D7207F">
        <w:rPr>
          <w:rFonts w:ascii="Times New Roman" w:hAnsi="Times New Roman" w:cs="Times New Roman"/>
          <w:sz w:val="24"/>
          <w:szCs w:val="24"/>
        </w:rPr>
        <w:t xml:space="preserve">.   </w:t>
      </w:r>
      <w:r w:rsidR="00430BEB">
        <w:rPr>
          <w:rFonts w:ascii="Times New Roman" w:hAnsi="Times New Roman" w:cs="Times New Roman"/>
          <w:sz w:val="24"/>
          <w:szCs w:val="24"/>
        </w:rPr>
        <w:t>That is the context in which McDonald J. (</w:t>
      </w:r>
      <w:r w:rsidR="00AD0B03">
        <w:rPr>
          <w:rFonts w:ascii="Times New Roman" w:hAnsi="Times New Roman" w:cs="Times New Roman"/>
          <w:sz w:val="24"/>
          <w:szCs w:val="24"/>
        </w:rPr>
        <w:t>referring back to clause 9.</w:t>
      </w:r>
      <w:r w:rsidR="007157A4">
        <w:rPr>
          <w:rFonts w:ascii="Times New Roman" w:hAnsi="Times New Roman" w:cs="Times New Roman"/>
          <w:sz w:val="24"/>
          <w:szCs w:val="24"/>
        </w:rPr>
        <w:t>1</w:t>
      </w:r>
      <w:r w:rsidR="00430BEB">
        <w:rPr>
          <w:rFonts w:ascii="Times New Roman" w:hAnsi="Times New Roman" w:cs="Times New Roman"/>
          <w:sz w:val="24"/>
          <w:szCs w:val="24"/>
        </w:rPr>
        <w:t xml:space="preserve">) </w:t>
      </w:r>
      <w:r w:rsidR="00F253D4">
        <w:rPr>
          <w:rFonts w:ascii="Times New Roman" w:hAnsi="Times New Roman" w:cs="Times New Roman"/>
          <w:sz w:val="24"/>
          <w:szCs w:val="24"/>
        </w:rPr>
        <w:t xml:space="preserve">made the comment I have quoted earlier </w:t>
      </w:r>
      <w:r w:rsidRPr="00D7207F">
        <w:rPr>
          <w:rFonts w:ascii="Times New Roman" w:hAnsi="Times New Roman" w:cs="Times New Roman"/>
          <w:sz w:val="24"/>
          <w:szCs w:val="24"/>
        </w:rPr>
        <w:t>(</w:t>
      </w:r>
      <w:r w:rsidR="00FD515E">
        <w:rPr>
          <w:rFonts w:ascii="Times New Roman" w:hAnsi="Times New Roman" w:cs="Times New Roman"/>
          <w:sz w:val="24"/>
          <w:szCs w:val="24"/>
        </w:rPr>
        <w:t xml:space="preserve">at </w:t>
      </w:r>
      <w:r w:rsidRPr="00D7207F">
        <w:rPr>
          <w:rFonts w:ascii="Times New Roman" w:hAnsi="Times New Roman" w:cs="Times New Roman"/>
          <w:sz w:val="24"/>
          <w:szCs w:val="24"/>
        </w:rPr>
        <w:t>para. 163) ‘</w:t>
      </w:r>
      <w:r w:rsidRPr="00D7207F">
        <w:rPr>
          <w:rFonts w:ascii="Times New Roman" w:hAnsi="Times New Roman" w:cs="Times New Roman"/>
          <w:i/>
          <w:sz w:val="24"/>
          <w:szCs w:val="24"/>
        </w:rPr>
        <w:t>the only form of appointment contemplated is that of a “receiver and manager</w:t>
      </w:r>
      <w:r w:rsidR="004C5D61">
        <w:rPr>
          <w:rFonts w:ascii="Times New Roman" w:hAnsi="Times New Roman" w:cs="Times New Roman"/>
          <w:i/>
          <w:sz w:val="24"/>
          <w:szCs w:val="24"/>
        </w:rPr>
        <w:t>”</w:t>
      </w:r>
      <w:r w:rsidRPr="00D7207F">
        <w:rPr>
          <w:rFonts w:ascii="Times New Roman" w:hAnsi="Times New Roman" w:cs="Times New Roman"/>
          <w:i/>
          <w:sz w:val="24"/>
          <w:szCs w:val="24"/>
        </w:rPr>
        <w:t>’</w:t>
      </w:r>
      <w:r w:rsidRPr="00D7207F">
        <w:rPr>
          <w:rFonts w:ascii="Times New Roman" w:hAnsi="Times New Roman" w:cs="Times New Roman"/>
          <w:sz w:val="24"/>
          <w:szCs w:val="24"/>
        </w:rPr>
        <w:t>.  Wh</w:t>
      </w:r>
      <w:r w:rsidR="0010105F">
        <w:rPr>
          <w:rFonts w:ascii="Times New Roman" w:hAnsi="Times New Roman" w:cs="Times New Roman"/>
          <w:sz w:val="24"/>
          <w:szCs w:val="24"/>
        </w:rPr>
        <w:t>en</w:t>
      </w:r>
      <w:r w:rsidRPr="00D7207F">
        <w:rPr>
          <w:rFonts w:ascii="Times New Roman" w:hAnsi="Times New Roman" w:cs="Times New Roman"/>
          <w:sz w:val="24"/>
          <w:szCs w:val="24"/>
        </w:rPr>
        <w:t xml:space="preserve"> the plaintiff </w:t>
      </w:r>
      <w:r w:rsidR="00DE526B">
        <w:rPr>
          <w:rFonts w:ascii="Times New Roman" w:hAnsi="Times New Roman" w:cs="Times New Roman"/>
          <w:sz w:val="24"/>
          <w:szCs w:val="24"/>
        </w:rPr>
        <w:t xml:space="preserve">in that case </w:t>
      </w:r>
      <w:r w:rsidRPr="00D7207F">
        <w:rPr>
          <w:rFonts w:ascii="Times New Roman" w:hAnsi="Times New Roman" w:cs="Times New Roman"/>
          <w:sz w:val="24"/>
          <w:szCs w:val="24"/>
        </w:rPr>
        <w:t xml:space="preserve">had sought to contend that because he was given all the powers in </w:t>
      </w:r>
      <w:r w:rsidR="00FD515E">
        <w:rPr>
          <w:rFonts w:ascii="Times New Roman" w:hAnsi="Times New Roman" w:cs="Times New Roman"/>
          <w:sz w:val="24"/>
          <w:szCs w:val="24"/>
        </w:rPr>
        <w:t>c</w:t>
      </w:r>
      <w:r w:rsidRPr="00D7207F">
        <w:rPr>
          <w:rFonts w:ascii="Times New Roman" w:hAnsi="Times New Roman" w:cs="Times New Roman"/>
          <w:sz w:val="24"/>
          <w:szCs w:val="24"/>
        </w:rPr>
        <w:t>lause 9 of the mortgage</w:t>
      </w:r>
      <w:r w:rsidR="00F53ADE">
        <w:rPr>
          <w:rFonts w:ascii="Times New Roman" w:hAnsi="Times New Roman" w:cs="Times New Roman"/>
          <w:sz w:val="24"/>
          <w:szCs w:val="24"/>
        </w:rPr>
        <w:t xml:space="preserve"> </w:t>
      </w:r>
      <w:r w:rsidRPr="00D7207F">
        <w:rPr>
          <w:rFonts w:ascii="Times New Roman" w:hAnsi="Times New Roman" w:cs="Times New Roman"/>
          <w:sz w:val="24"/>
          <w:szCs w:val="24"/>
        </w:rPr>
        <w:t>there must have been an intention to confer on him all of the powers of a receiver and manager</w:t>
      </w:r>
      <w:r w:rsidR="00F53ADE">
        <w:rPr>
          <w:rFonts w:ascii="Times New Roman" w:hAnsi="Times New Roman" w:cs="Times New Roman"/>
          <w:sz w:val="24"/>
          <w:szCs w:val="24"/>
        </w:rPr>
        <w:t>,</w:t>
      </w:r>
      <w:r w:rsidRPr="00D7207F">
        <w:rPr>
          <w:rFonts w:ascii="Times New Roman" w:hAnsi="Times New Roman" w:cs="Times New Roman"/>
          <w:sz w:val="24"/>
          <w:szCs w:val="24"/>
        </w:rPr>
        <w:t xml:space="preserve"> the </w:t>
      </w:r>
      <w:r w:rsidR="00430BEB">
        <w:rPr>
          <w:rFonts w:ascii="Times New Roman" w:hAnsi="Times New Roman" w:cs="Times New Roman"/>
          <w:sz w:val="24"/>
          <w:szCs w:val="24"/>
        </w:rPr>
        <w:t>c</w:t>
      </w:r>
      <w:r w:rsidRPr="00D7207F">
        <w:rPr>
          <w:rFonts w:ascii="Times New Roman" w:hAnsi="Times New Roman" w:cs="Times New Roman"/>
          <w:sz w:val="24"/>
          <w:szCs w:val="24"/>
        </w:rPr>
        <w:t>ourt</w:t>
      </w:r>
      <w:r w:rsidR="0010105F">
        <w:rPr>
          <w:rFonts w:ascii="Times New Roman" w:hAnsi="Times New Roman" w:cs="Times New Roman"/>
          <w:sz w:val="24"/>
          <w:szCs w:val="24"/>
        </w:rPr>
        <w:t xml:space="preserve"> in</w:t>
      </w:r>
      <w:r w:rsidR="00FD515E">
        <w:rPr>
          <w:rFonts w:ascii="Times New Roman" w:hAnsi="Times New Roman" w:cs="Times New Roman"/>
          <w:sz w:val="24"/>
          <w:szCs w:val="24"/>
        </w:rPr>
        <w:t xml:space="preserve"> </w:t>
      </w:r>
      <w:r w:rsidRPr="00D7207F">
        <w:rPr>
          <w:rFonts w:ascii="Times New Roman" w:hAnsi="Times New Roman" w:cs="Times New Roman"/>
          <w:sz w:val="24"/>
          <w:szCs w:val="24"/>
        </w:rPr>
        <w:t>rejecting this said ‘</w:t>
      </w:r>
      <w:r w:rsidRPr="00D7207F">
        <w:rPr>
          <w:rFonts w:ascii="Times New Roman" w:hAnsi="Times New Roman" w:cs="Times New Roman"/>
          <w:i/>
          <w:sz w:val="24"/>
          <w:szCs w:val="24"/>
        </w:rPr>
        <w:t>Mr. McCarthy is not appointed as receiver and manager’</w:t>
      </w:r>
      <w:r w:rsidRPr="00D7207F">
        <w:rPr>
          <w:rFonts w:ascii="Times New Roman" w:hAnsi="Times New Roman" w:cs="Times New Roman"/>
          <w:sz w:val="24"/>
          <w:szCs w:val="24"/>
        </w:rPr>
        <w:t xml:space="preserve"> (</w:t>
      </w:r>
      <w:r w:rsidR="00836970">
        <w:rPr>
          <w:rFonts w:ascii="Times New Roman" w:hAnsi="Times New Roman" w:cs="Times New Roman"/>
          <w:sz w:val="24"/>
          <w:szCs w:val="24"/>
        </w:rPr>
        <w:t xml:space="preserve">at </w:t>
      </w:r>
      <w:r w:rsidRPr="00D7207F">
        <w:rPr>
          <w:rFonts w:ascii="Times New Roman" w:hAnsi="Times New Roman" w:cs="Times New Roman"/>
          <w:sz w:val="24"/>
          <w:szCs w:val="24"/>
        </w:rPr>
        <w:t xml:space="preserve">para. 165(b)).  </w:t>
      </w:r>
    </w:p>
    <w:p w14:paraId="2EC4D66D" w14:textId="77777777" w:rsidR="005A0AD6" w:rsidRPr="0034491B" w:rsidRDefault="00D7207F" w:rsidP="0034491B">
      <w:pPr>
        <w:pStyle w:val="ListParagraph"/>
        <w:spacing w:line="480" w:lineRule="auto"/>
        <w:ind w:left="717"/>
        <w:jc w:val="both"/>
        <w:rPr>
          <w:rFonts w:ascii="Times New Roman" w:hAnsi="Times New Roman" w:cs="Times New Roman"/>
          <w:sz w:val="24"/>
          <w:szCs w:val="24"/>
        </w:rPr>
      </w:pPr>
      <w:r w:rsidRPr="00D7207F">
        <w:rPr>
          <w:rFonts w:ascii="Times New Roman" w:hAnsi="Times New Roman" w:cs="Times New Roman"/>
          <w:sz w:val="24"/>
          <w:szCs w:val="24"/>
        </w:rPr>
        <w:t xml:space="preserve"> </w:t>
      </w:r>
      <w:r w:rsidR="005A0AD6" w:rsidRPr="0034491B">
        <w:rPr>
          <w:rFonts w:ascii="Times New Roman" w:hAnsi="Times New Roman" w:cs="Times New Roman"/>
          <w:sz w:val="24"/>
          <w:szCs w:val="24"/>
        </w:rPr>
        <w:t xml:space="preserve">  </w:t>
      </w:r>
    </w:p>
    <w:p w14:paraId="5062D1DD" w14:textId="164EA838" w:rsidR="00D7207F" w:rsidRPr="00D7207F" w:rsidRDefault="005A0AD6"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ratio </w:t>
      </w:r>
      <w:r>
        <w:rPr>
          <w:rFonts w:ascii="Times New Roman" w:hAnsi="Times New Roman" w:cs="Times New Roman"/>
          <w:sz w:val="24"/>
          <w:szCs w:val="24"/>
        </w:rPr>
        <w:t xml:space="preserve">of the </w:t>
      </w:r>
      <w:r w:rsidR="0034491B">
        <w:rPr>
          <w:rFonts w:ascii="Times New Roman" w:hAnsi="Times New Roman" w:cs="Times New Roman"/>
          <w:sz w:val="24"/>
          <w:szCs w:val="24"/>
        </w:rPr>
        <w:t xml:space="preserve">decision </w:t>
      </w:r>
      <w:r>
        <w:rPr>
          <w:rFonts w:ascii="Times New Roman" w:hAnsi="Times New Roman" w:cs="Times New Roman"/>
          <w:sz w:val="24"/>
          <w:szCs w:val="24"/>
        </w:rPr>
        <w:t>is</w:t>
      </w:r>
      <w:r w:rsidR="000B2E16">
        <w:rPr>
          <w:rFonts w:ascii="Times New Roman" w:hAnsi="Times New Roman" w:cs="Times New Roman"/>
          <w:sz w:val="24"/>
          <w:szCs w:val="24"/>
        </w:rPr>
        <w:t xml:space="preserve"> </w:t>
      </w:r>
      <w:r>
        <w:rPr>
          <w:rFonts w:ascii="Times New Roman" w:hAnsi="Times New Roman" w:cs="Times New Roman"/>
          <w:sz w:val="24"/>
          <w:szCs w:val="24"/>
        </w:rPr>
        <w:t xml:space="preserve">that the defendant had a sufficiently strong argument that a </w:t>
      </w:r>
      <w:r w:rsidR="009D2CEF">
        <w:rPr>
          <w:rFonts w:ascii="Times New Roman" w:hAnsi="Times New Roman" w:cs="Times New Roman"/>
          <w:sz w:val="24"/>
          <w:szCs w:val="24"/>
        </w:rPr>
        <w:t>d</w:t>
      </w:r>
      <w:r>
        <w:rPr>
          <w:rFonts w:ascii="Times New Roman" w:hAnsi="Times New Roman" w:cs="Times New Roman"/>
          <w:sz w:val="24"/>
          <w:szCs w:val="24"/>
        </w:rPr>
        <w:t xml:space="preserve">eed of </w:t>
      </w:r>
      <w:r w:rsidR="009D2CEF">
        <w:rPr>
          <w:rFonts w:ascii="Times New Roman" w:hAnsi="Times New Roman" w:cs="Times New Roman"/>
          <w:sz w:val="24"/>
          <w:szCs w:val="24"/>
        </w:rPr>
        <w:t>a</w:t>
      </w:r>
      <w:r>
        <w:rPr>
          <w:rFonts w:ascii="Times New Roman" w:hAnsi="Times New Roman" w:cs="Times New Roman"/>
          <w:sz w:val="24"/>
          <w:szCs w:val="24"/>
        </w:rPr>
        <w:t xml:space="preserve">ppointment which did not expressly </w:t>
      </w:r>
      <w:r w:rsidR="004638C0">
        <w:rPr>
          <w:rFonts w:ascii="Times New Roman" w:hAnsi="Times New Roman" w:cs="Times New Roman"/>
          <w:sz w:val="24"/>
          <w:szCs w:val="24"/>
        </w:rPr>
        <w:t xml:space="preserve">nominate the plaintiff </w:t>
      </w:r>
      <w:r>
        <w:rPr>
          <w:rFonts w:ascii="Times New Roman" w:hAnsi="Times New Roman" w:cs="Times New Roman"/>
          <w:sz w:val="24"/>
          <w:szCs w:val="24"/>
        </w:rPr>
        <w:t>as receiver and manager</w:t>
      </w:r>
      <w:r w:rsidR="00E67287">
        <w:rPr>
          <w:rFonts w:ascii="Times New Roman" w:hAnsi="Times New Roman" w:cs="Times New Roman"/>
          <w:sz w:val="24"/>
          <w:szCs w:val="24"/>
        </w:rPr>
        <w:t xml:space="preserve"> was </w:t>
      </w:r>
      <w:r w:rsidR="009D2CEF">
        <w:rPr>
          <w:rFonts w:ascii="Times New Roman" w:hAnsi="Times New Roman" w:cs="Times New Roman"/>
          <w:sz w:val="24"/>
          <w:szCs w:val="24"/>
        </w:rPr>
        <w:t xml:space="preserve">ineffective </w:t>
      </w:r>
      <w:r w:rsidR="006830DA">
        <w:rPr>
          <w:rFonts w:ascii="Times New Roman" w:hAnsi="Times New Roman" w:cs="Times New Roman"/>
          <w:sz w:val="24"/>
          <w:szCs w:val="24"/>
        </w:rPr>
        <w:t xml:space="preserve">- </w:t>
      </w:r>
      <w:r w:rsidR="00E67287">
        <w:rPr>
          <w:rFonts w:ascii="Times New Roman" w:hAnsi="Times New Roman" w:cs="Times New Roman"/>
          <w:sz w:val="24"/>
          <w:szCs w:val="24"/>
        </w:rPr>
        <w:t xml:space="preserve">having regard to the provisions of the mortgage agreement </w:t>
      </w:r>
      <w:r w:rsidR="006830DA">
        <w:rPr>
          <w:rFonts w:ascii="Times New Roman" w:hAnsi="Times New Roman" w:cs="Times New Roman"/>
          <w:sz w:val="24"/>
          <w:szCs w:val="24"/>
        </w:rPr>
        <w:t xml:space="preserve">in issue in that case – </w:t>
      </w:r>
      <w:r>
        <w:rPr>
          <w:rFonts w:ascii="Times New Roman" w:hAnsi="Times New Roman" w:cs="Times New Roman"/>
          <w:sz w:val="24"/>
          <w:szCs w:val="24"/>
        </w:rPr>
        <w:t>to defeat the application for what was, in effect, a mandatory interlocutory injunction.</w:t>
      </w:r>
      <w:r w:rsidR="006830DA">
        <w:rPr>
          <w:rFonts w:ascii="Times New Roman" w:hAnsi="Times New Roman" w:cs="Times New Roman"/>
          <w:sz w:val="24"/>
          <w:szCs w:val="24"/>
        </w:rPr>
        <w:t xml:space="preserve">  T</w:t>
      </w:r>
      <w:r w:rsidR="000B2E16">
        <w:rPr>
          <w:rFonts w:ascii="Times New Roman" w:hAnsi="Times New Roman" w:cs="Times New Roman"/>
          <w:sz w:val="24"/>
          <w:szCs w:val="24"/>
        </w:rPr>
        <w:t>o put it another way, t</w:t>
      </w:r>
      <w:r w:rsidR="006830DA">
        <w:rPr>
          <w:rFonts w:ascii="Times New Roman" w:hAnsi="Times New Roman" w:cs="Times New Roman"/>
          <w:sz w:val="24"/>
          <w:szCs w:val="24"/>
        </w:rPr>
        <w:t xml:space="preserve">he plaintiff in that action had not negated to the standard required for the grant of such an injunction the contention of the defendant that where a mortgage deed conferring the power to appoint a receiver </w:t>
      </w:r>
      <w:r w:rsidR="006830DA">
        <w:rPr>
          <w:rFonts w:ascii="Times New Roman" w:hAnsi="Times New Roman" w:cs="Times New Roman"/>
          <w:sz w:val="24"/>
          <w:szCs w:val="24"/>
        </w:rPr>
        <w:lastRenderedPageBreak/>
        <w:t xml:space="preserve">and described </w:t>
      </w:r>
      <w:r w:rsidR="009D2CEF">
        <w:rPr>
          <w:rFonts w:ascii="Times New Roman" w:hAnsi="Times New Roman" w:cs="Times New Roman"/>
          <w:sz w:val="24"/>
          <w:szCs w:val="24"/>
        </w:rPr>
        <w:t>therein as</w:t>
      </w:r>
      <w:r w:rsidR="006830DA">
        <w:rPr>
          <w:rFonts w:ascii="Times New Roman" w:hAnsi="Times New Roman" w:cs="Times New Roman"/>
          <w:sz w:val="24"/>
          <w:szCs w:val="24"/>
        </w:rPr>
        <w:t xml:space="preserve"> a receiver</w:t>
      </w:r>
      <w:r w:rsidR="004638C0">
        <w:rPr>
          <w:rFonts w:ascii="Times New Roman" w:hAnsi="Times New Roman" w:cs="Times New Roman"/>
          <w:sz w:val="24"/>
          <w:szCs w:val="24"/>
        </w:rPr>
        <w:t xml:space="preserve"> and </w:t>
      </w:r>
      <w:r w:rsidR="006830DA">
        <w:rPr>
          <w:rFonts w:ascii="Times New Roman" w:hAnsi="Times New Roman" w:cs="Times New Roman"/>
          <w:sz w:val="24"/>
          <w:szCs w:val="24"/>
        </w:rPr>
        <w:t xml:space="preserve">manager, any deed appointing a receiver had also to </w:t>
      </w:r>
      <w:r w:rsidR="000B2E16">
        <w:rPr>
          <w:rFonts w:ascii="Times New Roman" w:hAnsi="Times New Roman" w:cs="Times New Roman"/>
          <w:sz w:val="24"/>
          <w:szCs w:val="24"/>
        </w:rPr>
        <w:t xml:space="preserve">expressly </w:t>
      </w:r>
      <w:r w:rsidR="006830DA">
        <w:rPr>
          <w:rFonts w:ascii="Times New Roman" w:hAnsi="Times New Roman" w:cs="Times New Roman"/>
          <w:sz w:val="24"/>
          <w:szCs w:val="24"/>
        </w:rPr>
        <w:t>designate that receiver as a receiver</w:t>
      </w:r>
      <w:r w:rsidR="004638C0">
        <w:rPr>
          <w:rFonts w:ascii="Times New Roman" w:hAnsi="Times New Roman" w:cs="Times New Roman"/>
          <w:sz w:val="24"/>
          <w:szCs w:val="24"/>
        </w:rPr>
        <w:t xml:space="preserve"> and </w:t>
      </w:r>
      <w:r w:rsidR="006830DA">
        <w:rPr>
          <w:rFonts w:ascii="Times New Roman" w:hAnsi="Times New Roman" w:cs="Times New Roman"/>
          <w:sz w:val="24"/>
          <w:szCs w:val="24"/>
        </w:rPr>
        <w:t>manager.</w:t>
      </w:r>
      <w:r w:rsidR="004024E8">
        <w:rPr>
          <w:rFonts w:ascii="Times New Roman" w:hAnsi="Times New Roman" w:cs="Times New Roman"/>
          <w:sz w:val="24"/>
          <w:szCs w:val="24"/>
        </w:rPr>
        <w:t xml:space="preserve">  He had not, as McDonald J. put it </w:t>
      </w:r>
      <w:r w:rsidR="00FD515E">
        <w:rPr>
          <w:rFonts w:ascii="Times New Roman" w:hAnsi="Times New Roman" w:cs="Times New Roman"/>
          <w:sz w:val="24"/>
          <w:szCs w:val="24"/>
        </w:rPr>
        <w:t xml:space="preserve"> </w:t>
      </w:r>
      <w:r w:rsidR="004024E8">
        <w:rPr>
          <w:rFonts w:ascii="Times New Roman" w:hAnsi="Times New Roman" w:cs="Times New Roman"/>
          <w:sz w:val="24"/>
          <w:szCs w:val="24"/>
        </w:rPr>
        <w:t>‘</w:t>
      </w:r>
      <w:r w:rsidR="004024E8">
        <w:rPr>
          <w:rFonts w:ascii="Times New Roman" w:hAnsi="Times New Roman" w:cs="Times New Roman"/>
          <w:i/>
          <w:sz w:val="24"/>
          <w:szCs w:val="24"/>
        </w:rPr>
        <w:t>made out a strong and clear case’</w:t>
      </w:r>
      <w:r w:rsidR="004024E8">
        <w:rPr>
          <w:rFonts w:ascii="Times New Roman" w:hAnsi="Times New Roman" w:cs="Times New Roman"/>
          <w:sz w:val="24"/>
          <w:szCs w:val="24"/>
        </w:rPr>
        <w:t xml:space="preserve"> (</w:t>
      </w:r>
      <w:r w:rsidR="00FD515E">
        <w:rPr>
          <w:rFonts w:ascii="Times New Roman" w:hAnsi="Times New Roman" w:cs="Times New Roman"/>
          <w:sz w:val="24"/>
          <w:szCs w:val="24"/>
        </w:rPr>
        <w:t xml:space="preserve">at </w:t>
      </w:r>
      <w:r w:rsidR="004024E8">
        <w:rPr>
          <w:rFonts w:ascii="Times New Roman" w:hAnsi="Times New Roman" w:cs="Times New Roman"/>
          <w:sz w:val="24"/>
          <w:szCs w:val="24"/>
        </w:rPr>
        <w:t xml:space="preserve">para. 166), stating that (based only, of course, upon the arguments advanced to the </w:t>
      </w:r>
      <w:r w:rsidR="00836970">
        <w:rPr>
          <w:rFonts w:ascii="Times New Roman" w:hAnsi="Times New Roman" w:cs="Times New Roman"/>
          <w:sz w:val="24"/>
          <w:szCs w:val="24"/>
        </w:rPr>
        <w:t>C</w:t>
      </w:r>
      <w:r w:rsidR="004024E8">
        <w:rPr>
          <w:rFonts w:ascii="Times New Roman" w:hAnsi="Times New Roman" w:cs="Times New Roman"/>
          <w:sz w:val="24"/>
          <w:szCs w:val="24"/>
        </w:rPr>
        <w:t>ourt in the course of that interlocutory hearing) the plaintiff would ‘</w:t>
      </w:r>
      <w:r w:rsidR="004024E8">
        <w:rPr>
          <w:rFonts w:ascii="Times New Roman" w:hAnsi="Times New Roman" w:cs="Times New Roman"/>
          <w:i/>
          <w:sz w:val="24"/>
          <w:szCs w:val="24"/>
        </w:rPr>
        <w:t>have an uphill struggle in persuading the court at trial that he has been validly appointed’</w:t>
      </w:r>
      <w:r w:rsidR="004024E8">
        <w:rPr>
          <w:rFonts w:ascii="Times New Roman" w:hAnsi="Times New Roman" w:cs="Times New Roman"/>
          <w:sz w:val="24"/>
          <w:szCs w:val="24"/>
        </w:rPr>
        <w:t xml:space="preserve"> (</w:t>
      </w:r>
      <w:r w:rsidR="00FD515E">
        <w:rPr>
          <w:rFonts w:ascii="Times New Roman" w:hAnsi="Times New Roman" w:cs="Times New Roman"/>
          <w:sz w:val="24"/>
          <w:szCs w:val="24"/>
        </w:rPr>
        <w:t xml:space="preserve">at </w:t>
      </w:r>
      <w:r w:rsidR="004024E8">
        <w:rPr>
          <w:rFonts w:ascii="Times New Roman" w:hAnsi="Times New Roman" w:cs="Times New Roman"/>
          <w:sz w:val="24"/>
          <w:szCs w:val="24"/>
        </w:rPr>
        <w:t>para. 167).</w:t>
      </w:r>
    </w:p>
    <w:p w14:paraId="7A19E2F3" w14:textId="77777777" w:rsidR="00D7207F" w:rsidRPr="00D7207F" w:rsidRDefault="00D7207F" w:rsidP="00D7207F">
      <w:pPr>
        <w:pStyle w:val="ListParagraph"/>
        <w:spacing w:line="480" w:lineRule="auto"/>
        <w:jc w:val="both"/>
        <w:rPr>
          <w:rFonts w:ascii="Times New Roman" w:hAnsi="Times New Roman" w:cs="Times New Roman"/>
          <w:sz w:val="24"/>
          <w:szCs w:val="24"/>
        </w:rPr>
      </w:pPr>
    </w:p>
    <w:p w14:paraId="4E24720C" w14:textId="77777777" w:rsidR="00D7207F" w:rsidRPr="00D7207F" w:rsidRDefault="00D7207F" w:rsidP="00D7207F">
      <w:pPr>
        <w:pStyle w:val="ListParagraph"/>
        <w:spacing w:line="480" w:lineRule="auto"/>
        <w:jc w:val="both"/>
        <w:rPr>
          <w:rFonts w:ascii="Times New Roman" w:hAnsi="Times New Roman" w:cs="Times New Roman"/>
          <w:b/>
          <w:i/>
          <w:sz w:val="24"/>
          <w:szCs w:val="24"/>
        </w:rPr>
      </w:pPr>
      <w:r w:rsidRPr="00D7207F">
        <w:rPr>
          <w:rFonts w:ascii="Times New Roman" w:hAnsi="Times New Roman" w:cs="Times New Roman"/>
          <w:b/>
          <w:i/>
          <w:sz w:val="24"/>
          <w:szCs w:val="24"/>
        </w:rPr>
        <w:t>Charleton v. Scriv</w:t>
      </w:r>
      <w:r w:rsidR="00C039E7">
        <w:rPr>
          <w:rFonts w:ascii="Times New Roman" w:hAnsi="Times New Roman" w:cs="Times New Roman"/>
          <w:b/>
          <w:i/>
          <w:sz w:val="24"/>
          <w:szCs w:val="24"/>
        </w:rPr>
        <w:t>en</w:t>
      </w:r>
      <w:r w:rsidRPr="00D7207F">
        <w:rPr>
          <w:rFonts w:ascii="Times New Roman" w:hAnsi="Times New Roman" w:cs="Times New Roman"/>
          <w:b/>
          <w:i/>
          <w:sz w:val="24"/>
          <w:szCs w:val="24"/>
        </w:rPr>
        <w:t xml:space="preserve"> and McCarthy v. </w:t>
      </w:r>
      <w:proofErr w:type="spellStart"/>
      <w:r w:rsidRPr="00D7207F">
        <w:rPr>
          <w:rFonts w:ascii="Times New Roman" w:hAnsi="Times New Roman" w:cs="Times New Roman"/>
          <w:b/>
          <w:i/>
          <w:sz w:val="24"/>
          <w:szCs w:val="24"/>
        </w:rPr>
        <w:t>Langan</w:t>
      </w:r>
      <w:proofErr w:type="spellEnd"/>
    </w:p>
    <w:p w14:paraId="6738143E"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6D6D7F37" w14:textId="77777777" w:rsidR="00D7207F" w:rsidRPr="00D7207F" w:rsidRDefault="00274ABA"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03063">
        <w:rPr>
          <w:rFonts w:ascii="Times New Roman" w:hAnsi="Times New Roman" w:cs="Times New Roman"/>
          <w:sz w:val="24"/>
          <w:szCs w:val="24"/>
        </w:rPr>
        <w:t xml:space="preserve">hese </w:t>
      </w:r>
      <w:r w:rsidR="00D7207F" w:rsidRPr="00D7207F">
        <w:rPr>
          <w:rFonts w:ascii="Times New Roman" w:hAnsi="Times New Roman" w:cs="Times New Roman"/>
          <w:sz w:val="24"/>
          <w:szCs w:val="24"/>
        </w:rPr>
        <w:t xml:space="preserve">features of the decision in </w:t>
      </w:r>
      <w:r w:rsidR="00D7207F" w:rsidRPr="00D7207F">
        <w:rPr>
          <w:rFonts w:ascii="Times New Roman" w:hAnsi="Times New Roman" w:cs="Times New Roman"/>
          <w:i/>
          <w:sz w:val="24"/>
          <w:szCs w:val="24"/>
        </w:rPr>
        <w:t xml:space="preserve">McCarthy v. Moroney </w:t>
      </w:r>
      <w:r w:rsidR="00B00837">
        <w:rPr>
          <w:rFonts w:ascii="Times New Roman" w:hAnsi="Times New Roman" w:cs="Times New Roman"/>
          <w:sz w:val="24"/>
          <w:szCs w:val="24"/>
        </w:rPr>
        <w:t>w</w:t>
      </w:r>
      <w:r>
        <w:rPr>
          <w:rFonts w:ascii="Times New Roman" w:hAnsi="Times New Roman" w:cs="Times New Roman"/>
          <w:sz w:val="24"/>
          <w:szCs w:val="24"/>
        </w:rPr>
        <w:t>ere</w:t>
      </w:r>
      <w:r w:rsidR="00B00837">
        <w:rPr>
          <w:rFonts w:ascii="Times New Roman" w:hAnsi="Times New Roman" w:cs="Times New Roman"/>
          <w:sz w:val="24"/>
          <w:szCs w:val="24"/>
        </w:rPr>
        <w:t xml:space="preserve"> stressed </w:t>
      </w:r>
      <w:r w:rsidR="00D7207F" w:rsidRPr="00D7207F">
        <w:rPr>
          <w:rFonts w:ascii="Times New Roman" w:hAnsi="Times New Roman" w:cs="Times New Roman"/>
          <w:sz w:val="24"/>
          <w:szCs w:val="24"/>
        </w:rPr>
        <w:t xml:space="preserve">in </w:t>
      </w:r>
      <w:r w:rsidR="00A67108">
        <w:rPr>
          <w:rFonts w:ascii="Times New Roman" w:hAnsi="Times New Roman" w:cs="Times New Roman"/>
          <w:sz w:val="24"/>
          <w:szCs w:val="24"/>
        </w:rPr>
        <w:t xml:space="preserve">the </w:t>
      </w:r>
      <w:r w:rsidR="00D7207F" w:rsidRPr="00D7207F">
        <w:rPr>
          <w:rFonts w:ascii="Times New Roman" w:hAnsi="Times New Roman" w:cs="Times New Roman"/>
          <w:sz w:val="24"/>
          <w:szCs w:val="24"/>
        </w:rPr>
        <w:t>judgment</w:t>
      </w:r>
      <w:r w:rsidR="00A67108">
        <w:rPr>
          <w:rFonts w:ascii="Times New Roman" w:hAnsi="Times New Roman" w:cs="Times New Roman"/>
          <w:sz w:val="24"/>
          <w:szCs w:val="24"/>
        </w:rPr>
        <w:t>s</w:t>
      </w:r>
      <w:r w:rsidR="00D7207F" w:rsidRPr="00D7207F">
        <w:rPr>
          <w:rFonts w:ascii="Times New Roman" w:hAnsi="Times New Roman" w:cs="Times New Roman"/>
          <w:sz w:val="24"/>
          <w:szCs w:val="24"/>
        </w:rPr>
        <w:t xml:space="preserve"> of Clarke CJ</w:t>
      </w:r>
      <w:r w:rsidR="00857312">
        <w:rPr>
          <w:rFonts w:ascii="Times New Roman" w:hAnsi="Times New Roman" w:cs="Times New Roman"/>
          <w:sz w:val="24"/>
          <w:szCs w:val="24"/>
        </w:rPr>
        <w:t>.</w:t>
      </w:r>
      <w:r w:rsidR="00D7207F" w:rsidRPr="00D7207F">
        <w:rPr>
          <w:rFonts w:ascii="Times New Roman" w:hAnsi="Times New Roman" w:cs="Times New Roman"/>
          <w:sz w:val="24"/>
          <w:szCs w:val="24"/>
        </w:rPr>
        <w:t xml:space="preserve"> (with whom O’Donnell J. and O’Malley J. agreed) in </w:t>
      </w:r>
      <w:proofErr w:type="spellStart"/>
      <w:r w:rsidR="00D7207F" w:rsidRPr="00D7207F">
        <w:rPr>
          <w:rFonts w:ascii="Times New Roman" w:hAnsi="Times New Roman" w:cs="Times New Roman"/>
          <w:i/>
          <w:sz w:val="24"/>
          <w:szCs w:val="24"/>
        </w:rPr>
        <w:t>Charleton</w:t>
      </w:r>
      <w:proofErr w:type="spellEnd"/>
      <w:r w:rsidR="00D7207F" w:rsidRPr="00D7207F">
        <w:rPr>
          <w:rFonts w:ascii="Times New Roman" w:hAnsi="Times New Roman" w:cs="Times New Roman"/>
          <w:i/>
          <w:sz w:val="24"/>
          <w:szCs w:val="24"/>
        </w:rPr>
        <w:t xml:space="preserve"> and </w:t>
      </w:r>
      <w:proofErr w:type="spellStart"/>
      <w:r w:rsidR="00D7207F" w:rsidRPr="00D7207F">
        <w:rPr>
          <w:rFonts w:ascii="Times New Roman" w:hAnsi="Times New Roman" w:cs="Times New Roman"/>
          <w:i/>
          <w:sz w:val="24"/>
          <w:szCs w:val="24"/>
        </w:rPr>
        <w:t>anor</w:t>
      </w:r>
      <w:proofErr w:type="spellEnd"/>
      <w:r w:rsidR="00D7207F" w:rsidRPr="00D7207F">
        <w:rPr>
          <w:rFonts w:ascii="Times New Roman" w:hAnsi="Times New Roman" w:cs="Times New Roman"/>
          <w:i/>
          <w:sz w:val="24"/>
          <w:szCs w:val="24"/>
        </w:rPr>
        <w:t>. v. Scriv</w:t>
      </w:r>
      <w:r w:rsidR="00C039E7">
        <w:rPr>
          <w:rFonts w:ascii="Times New Roman" w:hAnsi="Times New Roman" w:cs="Times New Roman"/>
          <w:i/>
          <w:sz w:val="24"/>
          <w:szCs w:val="24"/>
        </w:rPr>
        <w:t>en</w:t>
      </w:r>
      <w:r w:rsidR="00D7207F" w:rsidRPr="00D7207F">
        <w:rPr>
          <w:rFonts w:ascii="Times New Roman" w:hAnsi="Times New Roman" w:cs="Times New Roman"/>
          <w:i/>
          <w:sz w:val="24"/>
          <w:szCs w:val="24"/>
        </w:rPr>
        <w:t xml:space="preserve"> </w:t>
      </w:r>
      <w:r w:rsidR="00D7207F" w:rsidRPr="00D7207F">
        <w:rPr>
          <w:rFonts w:ascii="Times New Roman" w:hAnsi="Times New Roman" w:cs="Times New Roman"/>
          <w:sz w:val="24"/>
          <w:szCs w:val="24"/>
        </w:rPr>
        <w:t xml:space="preserve">[2019] IESC 28, and of Allen J. in </w:t>
      </w:r>
      <w:r w:rsidR="00D7207F" w:rsidRPr="00D7207F">
        <w:rPr>
          <w:rFonts w:ascii="Times New Roman" w:hAnsi="Times New Roman" w:cs="Times New Roman"/>
          <w:i/>
          <w:sz w:val="24"/>
          <w:szCs w:val="24"/>
        </w:rPr>
        <w:t xml:space="preserve">McCarthy v. </w:t>
      </w:r>
      <w:proofErr w:type="spellStart"/>
      <w:r w:rsidR="00D7207F" w:rsidRPr="00D7207F">
        <w:rPr>
          <w:rFonts w:ascii="Times New Roman" w:hAnsi="Times New Roman" w:cs="Times New Roman"/>
          <w:i/>
          <w:sz w:val="24"/>
          <w:szCs w:val="24"/>
        </w:rPr>
        <w:t>Langan</w:t>
      </w:r>
      <w:proofErr w:type="spellEnd"/>
      <w:r w:rsidR="00D7207F" w:rsidRPr="00D7207F">
        <w:rPr>
          <w:rFonts w:ascii="Times New Roman" w:hAnsi="Times New Roman" w:cs="Times New Roman"/>
          <w:i/>
          <w:sz w:val="24"/>
          <w:szCs w:val="24"/>
        </w:rPr>
        <w:t xml:space="preserve"> and </w:t>
      </w:r>
      <w:proofErr w:type="spellStart"/>
      <w:r w:rsidR="00D7207F" w:rsidRPr="00D7207F">
        <w:rPr>
          <w:rFonts w:ascii="Times New Roman" w:hAnsi="Times New Roman" w:cs="Times New Roman"/>
          <w:i/>
          <w:sz w:val="24"/>
          <w:szCs w:val="24"/>
        </w:rPr>
        <w:t>ors</w:t>
      </w:r>
      <w:proofErr w:type="spellEnd"/>
      <w:r w:rsidR="00D7207F" w:rsidRPr="00D7207F">
        <w:rPr>
          <w:rFonts w:ascii="Times New Roman" w:hAnsi="Times New Roman" w:cs="Times New Roman"/>
          <w:sz w:val="24"/>
          <w:szCs w:val="24"/>
        </w:rPr>
        <w:t xml:space="preserve"> [2019] IEHC 651.  In the first of these cases the </w:t>
      </w:r>
      <w:r w:rsidR="00857312">
        <w:rPr>
          <w:rFonts w:ascii="Times New Roman" w:hAnsi="Times New Roman" w:cs="Times New Roman"/>
          <w:sz w:val="24"/>
          <w:szCs w:val="24"/>
        </w:rPr>
        <w:t>C</w:t>
      </w:r>
      <w:r w:rsidR="00D7207F" w:rsidRPr="00D7207F">
        <w:rPr>
          <w:rFonts w:ascii="Times New Roman" w:hAnsi="Times New Roman" w:cs="Times New Roman"/>
          <w:sz w:val="24"/>
          <w:szCs w:val="24"/>
        </w:rPr>
        <w:t xml:space="preserve">ourt was addressing an appeal against an </w:t>
      </w:r>
      <w:r w:rsidR="00C039E7">
        <w:rPr>
          <w:rFonts w:ascii="Times New Roman" w:hAnsi="Times New Roman" w:cs="Times New Roman"/>
          <w:sz w:val="24"/>
          <w:szCs w:val="24"/>
        </w:rPr>
        <w:t xml:space="preserve">interlocutory </w:t>
      </w:r>
      <w:r w:rsidR="00D7207F" w:rsidRPr="00D7207F">
        <w:rPr>
          <w:rFonts w:ascii="Times New Roman" w:hAnsi="Times New Roman" w:cs="Times New Roman"/>
          <w:sz w:val="24"/>
          <w:szCs w:val="24"/>
        </w:rPr>
        <w:t xml:space="preserve">order of the High Court </w:t>
      </w:r>
      <w:r w:rsidR="00C039E7">
        <w:rPr>
          <w:rFonts w:ascii="Times New Roman" w:hAnsi="Times New Roman" w:cs="Times New Roman"/>
          <w:sz w:val="24"/>
          <w:szCs w:val="24"/>
        </w:rPr>
        <w:t xml:space="preserve">which had </w:t>
      </w:r>
      <w:proofErr w:type="spellStart"/>
      <w:r w:rsidR="00C039E7">
        <w:rPr>
          <w:rFonts w:ascii="Times New Roman" w:hAnsi="Times New Roman" w:cs="Times New Roman"/>
          <w:sz w:val="24"/>
          <w:szCs w:val="24"/>
        </w:rPr>
        <w:t>prohibitory</w:t>
      </w:r>
      <w:proofErr w:type="spellEnd"/>
      <w:r w:rsidR="00C039E7">
        <w:rPr>
          <w:rFonts w:ascii="Times New Roman" w:hAnsi="Times New Roman" w:cs="Times New Roman"/>
          <w:sz w:val="24"/>
          <w:szCs w:val="24"/>
        </w:rPr>
        <w:t xml:space="preserve"> aspects (enabling the payment of certain rents to the plaintiff) as well as an essentially mandatory obligation </w:t>
      </w:r>
      <w:r w:rsidR="00D7207F" w:rsidRPr="00D7207F">
        <w:rPr>
          <w:rFonts w:ascii="Times New Roman" w:hAnsi="Times New Roman" w:cs="Times New Roman"/>
          <w:sz w:val="24"/>
          <w:szCs w:val="24"/>
        </w:rPr>
        <w:t xml:space="preserve">allowing the plaintiff, a receiver appointed on foot of a series of mortgages, to take over properties the subject of those mortgages.  The central issue on the appeal was whether there was a strong case that </w:t>
      </w:r>
      <w:r w:rsidR="00D03063">
        <w:rPr>
          <w:rFonts w:ascii="Times New Roman" w:hAnsi="Times New Roman" w:cs="Times New Roman"/>
          <w:sz w:val="24"/>
          <w:szCs w:val="24"/>
        </w:rPr>
        <w:t xml:space="preserve">a </w:t>
      </w:r>
      <w:r w:rsidR="004514BD">
        <w:rPr>
          <w:rFonts w:ascii="Times New Roman" w:hAnsi="Times New Roman" w:cs="Times New Roman"/>
          <w:sz w:val="24"/>
          <w:szCs w:val="24"/>
        </w:rPr>
        <w:t>r</w:t>
      </w:r>
      <w:r w:rsidR="00D7207F" w:rsidRPr="00D7207F">
        <w:rPr>
          <w:rFonts w:ascii="Times New Roman" w:hAnsi="Times New Roman" w:cs="Times New Roman"/>
          <w:sz w:val="24"/>
          <w:szCs w:val="24"/>
        </w:rPr>
        <w:t xml:space="preserve">eceiver appointed as such (rather than as </w:t>
      </w:r>
      <w:r w:rsidR="008E6D07">
        <w:rPr>
          <w:rFonts w:ascii="Times New Roman" w:hAnsi="Times New Roman" w:cs="Times New Roman"/>
          <w:sz w:val="24"/>
          <w:szCs w:val="24"/>
        </w:rPr>
        <w:t>r</w:t>
      </w:r>
      <w:r w:rsidR="00D7207F" w:rsidRPr="00D7207F">
        <w:rPr>
          <w:rFonts w:ascii="Times New Roman" w:hAnsi="Times New Roman" w:cs="Times New Roman"/>
          <w:sz w:val="24"/>
          <w:szCs w:val="24"/>
        </w:rPr>
        <w:t xml:space="preserve">eceiver and </w:t>
      </w:r>
      <w:r w:rsidR="008E6D07">
        <w:rPr>
          <w:rFonts w:ascii="Times New Roman" w:hAnsi="Times New Roman" w:cs="Times New Roman"/>
          <w:sz w:val="24"/>
          <w:szCs w:val="24"/>
        </w:rPr>
        <w:t>m</w:t>
      </w:r>
      <w:r w:rsidR="00D7207F" w:rsidRPr="00D7207F">
        <w:rPr>
          <w:rFonts w:ascii="Times New Roman" w:hAnsi="Times New Roman" w:cs="Times New Roman"/>
          <w:sz w:val="24"/>
          <w:szCs w:val="24"/>
        </w:rPr>
        <w:t>anager) w</w:t>
      </w:r>
      <w:r w:rsidR="00D03063">
        <w:rPr>
          <w:rFonts w:ascii="Times New Roman" w:hAnsi="Times New Roman" w:cs="Times New Roman"/>
          <w:sz w:val="24"/>
          <w:szCs w:val="24"/>
        </w:rPr>
        <w:t>as</w:t>
      </w:r>
      <w:r w:rsidR="00D7207F" w:rsidRPr="00D7207F">
        <w:rPr>
          <w:rFonts w:ascii="Times New Roman" w:hAnsi="Times New Roman" w:cs="Times New Roman"/>
          <w:sz w:val="24"/>
          <w:szCs w:val="24"/>
        </w:rPr>
        <w:t xml:space="preserve"> validly appointed where the mortgage deed contained provisions similar to those considered by McDonald J. in </w:t>
      </w:r>
      <w:r w:rsidR="00D7207F" w:rsidRPr="00D7207F">
        <w:rPr>
          <w:rFonts w:ascii="Times New Roman" w:hAnsi="Times New Roman" w:cs="Times New Roman"/>
          <w:i/>
          <w:sz w:val="24"/>
          <w:szCs w:val="24"/>
        </w:rPr>
        <w:t>McCarthy v. Moroney</w:t>
      </w:r>
      <w:r w:rsidR="00D7207F" w:rsidRPr="00D7207F">
        <w:rPr>
          <w:rFonts w:ascii="Times New Roman" w:hAnsi="Times New Roman" w:cs="Times New Roman"/>
          <w:sz w:val="24"/>
          <w:szCs w:val="24"/>
        </w:rPr>
        <w:t xml:space="preserve">.  </w:t>
      </w:r>
    </w:p>
    <w:p w14:paraId="1CB64204"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170F4FA0" w14:textId="77777777" w:rsidR="00D7207F" w:rsidRPr="00D7207F" w:rsidRDefault="00D7207F" w:rsidP="00D7207F">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Referring to that judgment, Clarke CJ</w:t>
      </w:r>
      <w:r w:rsidR="00857312">
        <w:rPr>
          <w:rFonts w:ascii="Times New Roman" w:hAnsi="Times New Roman" w:cs="Times New Roman"/>
          <w:sz w:val="24"/>
          <w:szCs w:val="24"/>
        </w:rPr>
        <w:t>.</w:t>
      </w:r>
      <w:r w:rsidRPr="00D7207F">
        <w:rPr>
          <w:rFonts w:ascii="Times New Roman" w:hAnsi="Times New Roman" w:cs="Times New Roman"/>
          <w:sz w:val="24"/>
          <w:szCs w:val="24"/>
        </w:rPr>
        <w:t xml:space="preserve"> noted that McDonald J. ‘</w:t>
      </w:r>
      <w:r w:rsidRPr="00D7207F">
        <w:rPr>
          <w:rFonts w:ascii="Times New Roman" w:hAnsi="Times New Roman" w:cs="Times New Roman"/>
          <w:i/>
          <w:sz w:val="24"/>
          <w:szCs w:val="24"/>
        </w:rPr>
        <w:t>appeared to have been concerned that this aspect of the matter was not argued as thoroughly as he might have liked’</w:t>
      </w:r>
      <w:r w:rsidRPr="00D7207F">
        <w:rPr>
          <w:rFonts w:ascii="Times New Roman" w:hAnsi="Times New Roman" w:cs="Times New Roman"/>
          <w:sz w:val="24"/>
          <w:szCs w:val="24"/>
        </w:rPr>
        <w:t xml:space="preserve">.  He said that it was important to have regard to the fact that the mortgage deeds themselves defined the persons who were to be appointed as </w:t>
      </w:r>
      <w:r w:rsidR="00857312">
        <w:rPr>
          <w:rFonts w:ascii="Times New Roman" w:hAnsi="Times New Roman" w:cs="Times New Roman"/>
          <w:sz w:val="24"/>
          <w:szCs w:val="24"/>
        </w:rPr>
        <w:t>‘</w:t>
      </w:r>
      <w:r w:rsidRPr="00D7207F">
        <w:rPr>
          <w:rFonts w:ascii="Times New Roman" w:hAnsi="Times New Roman" w:cs="Times New Roman"/>
          <w:sz w:val="24"/>
          <w:szCs w:val="24"/>
        </w:rPr>
        <w:t>receivers and managers</w:t>
      </w:r>
      <w:r w:rsidR="00857312">
        <w:rPr>
          <w:rFonts w:ascii="Times New Roman" w:hAnsi="Times New Roman" w:cs="Times New Roman"/>
          <w:sz w:val="24"/>
          <w:szCs w:val="24"/>
        </w:rPr>
        <w:t>’</w:t>
      </w:r>
      <w:r w:rsidRPr="00D7207F">
        <w:rPr>
          <w:rFonts w:ascii="Times New Roman" w:hAnsi="Times New Roman" w:cs="Times New Roman"/>
          <w:sz w:val="24"/>
          <w:szCs w:val="24"/>
        </w:rPr>
        <w:t xml:space="preserve"> </w:t>
      </w:r>
      <w:r w:rsidRPr="00D7207F">
        <w:rPr>
          <w:rFonts w:ascii="Times New Roman" w:hAnsi="Times New Roman" w:cs="Times New Roman"/>
          <w:sz w:val="24"/>
          <w:szCs w:val="24"/>
        </w:rPr>
        <w:lastRenderedPageBreak/>
        <w:t xml:space="preserve">as the </w:t>
      </w:r>
      <w:r w:rsidR="00857312">
        <w:rPr>
          <w:rFonts w:ascii="Times New Roman" w:hAnsi="Times New Roman" w:cs="Times New Roman"/>
          <w:sz w:val="24"/>
          <w:szCs w:val="24"/>
        </w:rPr>
        <w:t>‘</w:t>
      </w:r>
      <w:r w:rsidRPr="00D7207F">
        <w:rPr>
          <w:rFonts w:ascii="Times New Roman" w:hAnsi="Times New Roman" w:cs="Times New Roman"/>
          <w:sz w:val="24"/>
          <w:szCs w:val="24"/>
        </w:rPr>
        <w:t>receivers</w:t>
      </w:r>
      <w:r w:rsidR="00857312">
        <w:rPr>
          <w:rFonts w:ascii="Times New Roman" w:hAnsi="Times New Roman" w:cs="Times New Roman"/>
          <w:sz w:val="24"/>
          <w:szCs w:val="24"/>
        </w:rPr>
        <w:t>’</w:t>
      </w:r>
      <w:r w:rsidRPr="00D7207F">
        <w:rPr>
          <w:rFonts w:ascii="Times New Roman" w:hAnsi="Times New Roman" w:cs="Times New Roman"/>
          <w:sz w:val="24"/>
          <w:szCs w:val="24"/>
        </w:rPr>
        <w:t xml:space="preserve">. For this reason, he felt that it was at least arguable that the use of the term </w:t>
      </w:r>
      <w:r w:rsidR="00857312">
        <w:rPr>
          <w:rFonts w:ascii="Times New Roman" w:hAnsi="Times New Roman" w:cs="Times New Roman"/>
          <w:sz w:val="24"/>
          <w:szCs w:val="24"/>
        </w:rPr>
        <w:t>‘</w:t>
      </w:r>
      <w:r w:rsidRPr="00D7207F">
        <w:rPr>
          <w:rFonts w:ascii="Times New Roman" w:hAnsi="Times New Roman" w:cs="Times New Roman"/>
          <w:sz w:val="24"/>
          <w:szCs w:val="24"/>
        </w:rPr>
        <w:t>receiver</w:t>
      </w:r>
      <w:r w:rsidR="00857312">
        <w:rPr>
          <w:rFonts w:ascii="Times New Roman" w:hAnsi="Times New Roman" w:cs="Times New Roman"/>
          <w:sz w:val="24"/>
          <w:szCs w:val="24"/>
        </w:rPr>
        <w:t>’</w:t>
      </w:r>
      <w:r w:rsidRPr="00D7207F">
        <w:rPr>
          <w:rFonts w:ascii="Times New Roman" w:hAnsi="Times New Roman" w:cs="Times New Roman"/>
          <w:sz w:val="24"/>
          <w:szCs w:val="24"/>
        </w:rPr>
        <w:t xml:space="preserve"> in </w:t>
      </w:r>
      <w:r w:rsidR="00857312">
        <w:rPr>
          <w:rFonts w:ascii="Times New Roman" w:hAnsi="Times New Roman" w:cs="Times New Roman"/>
          <w:sz w:val="24"/>
          <w:szCs w:val="24"/>
        </w:rPr>
        <w:t xml:space="preserve">the deeds of appointment - these being </w:t>
      </w:r>
      <w:r w:rsidRPr="00D7207F">
        <w:rPr>
          <w:rFonts w:ascii="Times New Roman" w:hAnsi="Times New Roman" w:cs="Times New Roman"/>
          <w:sz w:val="24"/>
          <w:szCs w:val="24"/>
        </w:rPr>
        <w:t>documents contemplated by the mortgage deeds themselves</w:t>
      </w:r>
      <w:r w:rsidR="00857312">
        <w:rPr>
          <w:rFonts w:ascii="Times New Roman" w:hAnsi="Times New Roman" w:cs="Times New Roman"/>
          <w:sz w:val="24"/>
          <w:szCs w:val="24"/>
        </w:rPr>
        <w:t xml:space="preserve"> - </w:t>
      </w:r>
      <w:r w:rsidRPr="00D7207F">
        <w:rPr>
          <w:rFonts w:ascii="Times New Roman" w:hAnsi="Times New Roman" w:cs="Times New Roman"/>
          <w:sz w:val="24"/>
          <w:szCs w:val="24"/>
        </w:rPr>
        <w:t>would carry that same definition</w:t>
      </w:r>
      <w:r w:rsidR="00283535">
        <w:rPr>
          <w:rFonts w:ascii="Times New Roman" w:hAnsi="Times New Roman" w:cs="Times New Roman"/>
          <w:sz w:val="24"/>
          <w:szCs w:val="24"/>
        </w:rPr>
        <w:t xml:space="preserve"> (at para. 6.7)</w:t>
      </w:r>
      <w:r w:rsidRPr="00D7207F">
        <w:rPr>
          <w:rFonts w:ascii="Times New Roman" w:hAnsi="Times New Roman" w:cs="Times New Roman"/>
          <w:sz w:val="24"/>
          <w:szCs w:val="24"/>
        </w:rPr>
        <w:t xml:space="preserve">. In other words, </w:t>
      </w:r>
      <w:r w:rsidR="00C039E7">
        <w:rPr>
          <w:rFonts w:ascii="Times New Roman" w:hAnsi="Times New Roman" w:cs="Times New Roman"/>
          <w:sz w:val="24"/>
          <w:szCs w:val="24"/>
        </w:rPr>
        <w:t xml:space="preserve">Clarke </w:t>
      </w:r>
      <w:r w:rsidR="00857312">
        <w:rPr>
          <w:rFonts w:ascii="Times New Roman" w:hAnsi="Times New Roman" w:cs="Times New Roman"/>
          <w:sz w:val="24"/>
          <w:szCs w:val="24"/>
        </w:rPr>
        <w:t>C</w:t>
      </w:r>
      <w:r w:rsidR="00C039E7">
        <w:rPr>
          <w:rFonts w:ascii="Times New Roman" w:hAnsi="Times New Roman" w:cs="Times New Roman"/>
          <w:sz w:val="24"/>
          <w:szCs w:val="24"/>
        </w:rPr>
        <w:t xml:space="preserve">J. explained, </w:t>
      </w:r>
      <w:r w:rsidRPr="00D7207F">
        <w:rPr>
          <w:rFonts w:ascii="Times New Roman" w:hAnsi="Times New Roman" w:cs="Times New Roman"/>
          <w:sz w:val="24"/>
          <w:szCs w:val="24"/>
        </w:rPr>
        <w:t xml:space="preserve">it was arguable that the appointment of the </w:t>
      </w:r>
      <w:r w:rsidR="00F213FB">
        <w:rPr>
          <w:rFonts w:ascii="Times New Roman" w:hAnsi="Times New Roman" w:cs="Times New Roman"/>
          <w:sz w:val="24"/>
          <w:szCs w:val="24"/>
        </w:rPr>
        <w:t>r</w:t>
      </w:r>
      <w:r w:rsidRPr="00D7207F">
        <w:rPr>
          <w:rFonts w:ascii="Times New Roman" w:hAnsi="Times New Roman" w:cs="Times New Roman"/>
          <w:sz w:val="24"/>
          <w:szCs w:val="24"/>
        </w:rPr>
        <w:t>eceivers in the form in which it occurred in this case was, as a matter of construction of the documents concerned, an appointment as both receiver and manager</w:t>
      </w:r>
      <w:r w:rsidR="00687FB2">
        <w:rPr>
          <w:rFonts w:ascii="Times New Roman" w:hAnsi="Times New Roman" w:cs="Times New Roman"/>
          <w:sz w:val="24"/>
          <w:szCs w:val="24"/>
        </w:rPr>
        <w:t xml:space="preserve"> </w:t>
      </w:r>
      <w:r w:rsidRPr="00D7207F">
        <w:rPr>
          <w:rFonts w:ascii="Times New Roman" w:hAnsi="Times New Roman" w:cs="Times New Roman"/>
          <w:sz w:val="24"/>
          <w:szCs w:val="24"/>
        </w:rPr>
        <w:t xml:space="preserve">having regard to the way in which the term </w:t>
      </w:r>
      <w:r w:rsidR="00857312">
        <w:rPr>
          <w:rFonts w:ascii="Times New Roman" w:hAnsi="Times New Roman" w:cs="Times New Roman"/>
          <w:sz w:val="24"/>
          <w:szCs w:val="24"/>
        </w:rPr>
        <w:t>‘</w:t>
      </w:r>
      <w:r w:rsidRPr="00D7207F">
        <w:rPr>
          <w:rFonts w:ascii="Times New Roman" w:hAnsi="Times New Roman" w:cs="Times New Roman"/>
          <w:sz w:val="24"/>
          <w:szCs w:val="24"/>
        </w:rPr>
        <w:t>receiver</w:t>
      </w:r>
      <w:r w:rsidR="00857312">
        <w:rPr>
          <w:rFonts w:ascii="Times New Roman" w:hAnsi="Times New Roman" w:cs="Times New Roman"/>
          <w:sz w:val="24"/>
          <w:szCs w:val="24"/>
        </w:rPr>
        <w:t>’</w:t>
      </w:r>
      <w:r w:rsidRPr="00D7207F">
        <w:rPr>
          <w:rFonts w:ascii="Times New Roman" w:hAnsi="Times New Roman" w:cs="Times New Roman"/>
          <w:sz w:val="24"/>
          <w:szCs w:val="24"/>
        </w:rPr>
        <w:t xml:space="preserve"> was defined in the mortgage deed </w:t>
      </w:r>
      <w:r w:rsidR="00D03063">
        <w:rPr>
          <w:rFonts w:ascii="Times New Roman" w:hAnsi="Times New Roman" w:cs="Times New Roman"/>
          <w:sz w:val="24"/>
          <w:szCs w:val="24"/>
        </w:rPr>
        <w:t>in question</w:t>
      </w:r>
      <w:r w:rsidRPr="00D7207F">
        <w:rPr>
          <w:rFonts w:ascii="Times New Roman" w:hAnsi="Times New Roman" w:cs="Times New Roman"/>
          <w:sz w:val="24"/>
          <w:szCs w:val="24"/>
        </w:rPr>
        <w:t>.</w:t>
      </w:r>
    </w:p>
    <w:p w14:paraId="416E5B22" w14:textId="77777777" w:rsidR="00D7207F" w:rsidRPr="00D7207F" w:rsidRDefault="00D7207F" w:rsidP="00D7207F">
      <w:pPr>
        <w:pStyle w:val="ListParagraph"/>
        <w:spacing w:line="480" w:lineRule="auto"/>
        <w:rPr>
          <w:rFonts w:ascii="Times New Roman" w:hAnsi="Times New Roman" w:cs="Times New Roman"/>
          <w:sz w:val="24"/>
          <w:szCs w:val="24"/>
        </w:rPr>
      </w:pPr>
    </w:p>
    <w:p w14:paraId="41AAEF0F" w14:textId="77777777" w:rsidR="00D7207F" w:rsidRPr="00D7207F" w:rsidRDefault="00D7207F" w:rsidP="00D7207F">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Ultimately, the court found that the plaintiffs had established a </w:t>
      </w:r>
      <w:r w:rsidRPr="00857312">
        <w:rPr>
          <w:rFonts w:ascii="Times New Roman" w:hAnsi="Times New Roman" w:cs="Times New Roman"/>
          <w:sz w:val="24"/>
          <w:szCs w:val="24"/>
        </w:rPr>
        <w:t>fair issue to be tried</w:t>
      </w:r>
      <w:r w:rsidRPr="00D7207F">
        <w:rPr>
          <w:rFonts w:ascii="Times New Roman" w:hAnsi="Times New Roman" w:cs="Times New Roman"/>
          <w:sz w:val="24"/>
          <w:szCs w:val="24"/>
        </w:rPr>
        <w:t xml:space="preserve"> as to whether they were validly appointed in these circumstances (so that those reliefs sought by them which were </w:t>
      </w:r>
      <w:proofErr w:type="spellStart"/>
      <w:r w:rsidRPr="00D7207F">
        <w:rPr>
          <w:rFonts w:ascii="Times New Roman" w:hAnsi="Times New Roman" w:cs="Times New Roman"/>
          <w:sz w:val="24"/>
          <w:szCs w:val="24"/>
        </w:rPr>
        <w:t>prohibitory</w:t>
      </w:r>
      <w:proofErr w:type="spellEnd"/>
      <w:r w:rsidRPr="00D7207F">
        <w:rPr>
          <w:rFonts w:ascii="Times New Roman" w:hAnsi="Times New Roman" w:cs="Times New Roman"/>
          <w:sz w:val="24"/>
          <w:szCs w:val="24"/>
        </w:rPr>
        <w:t xml:space="preserve"> in nature could be granted), but that they had not established a ‘</w:t>
      </w:r>
      <w:r w:rsidRPr="00D7207F">
        <w:rPr>
          <w:rFonts w:ascii="Times New Roman" w:hAnsi="Times New Roman" w:cs="Times New Roman"/>
          <w:i/>
          <w:sz w:val="24"/>
          <w:szCs w:val="24"/>
        </w:rPr>
        <w:t>strong case’</w:t>
      </w:r>
      <w:r w:rsidRPr="00D7207F">
        <w:rPr>
          <w:rFonts w:ascii="Times New Roman" w:hAnsi="Times New Roman" w:cs="Times New Roman"/>
          <w:sz w:val="24"/>
          <w:szCs w:val="24"/>
        </w:rPr>
        <w:t xml:space="preserve"> for the purposes of reliefs that were mandatory.  In that regard, the </w:t>
      </w:r>
      <w:r w:rsidR="004514BD">
        <w:rPr>
          <w:rFonts w:ascii="Times New Roman" w:hAnsi="Times New Roman" w:cs="Times New Roman"/>
          <w:sz w:val="24"/>
          <w:szCs w:val="24"/>
        </w:rPr>
        <w:t>c</w:t>
      </w:r>
      <w:r w:rsidRPr="00D7207F">
        <w:rPr>
          <w:rFonts w:ascii="Times New Roman" w:hAnsi="Times New Roman" w:cs="Times New Roman"/>
          <w:sz w:val="24"/>
          <w:szCs w:val="24"/>
        </w:rPr>
        <w:t>ourt’s view was affected by the complexity of the arguments concerning the validity of the appointment (see para. 6.10).</w:t>
      </w:r>
    </w:p>
    <w:p w14:paraId="55A1E5C5" w14:textId="77777777" w:rsidR="00D7207F" w:rsidRPr="00D7207F" w:rsidRDefault="00D7207F" w:rsidP="00D7207F">
      <w:pPr>
        <w:pStyle w:val="ListParagraph"/>
        <w:spacing w:line="480" w:lineRule="auto"/>
        <w:rPr>
          <w:rFonts w:ascii="Times New Roman" w:hAnsi="Times New Roman" w:cs="Times New Roman"/>
          <w:sz w:val="24"/>
          <w:szCs w:val="24"/>
        </w:rPr>
      </w:pPr>
    </w:p>
    <w:p w14:paraId="3EF88FCE" w14:textId="77777777" w:rsidR="00F2551F" w:rsidRDefault="00D72A29"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w:t>
      </w:r>
      <w:r w:rsidR="00D7207F" w:rsidRPr="00D7207F">
        <w:rPr>
          <w:rFonts w:ascii="Times New Roman" w:hAnsi="Times New Roman" w:cs="Times New Roman"/>
          <w:sz w:val="24"/>
          <w:szCs w:val="24"/>
        </w:rPr>
        <w:t xml:space="preserve"> </w:t>
      </w:r>
      <w:r w:rsidR="00D7207F" w:rsidRPr="00D7207F">
        <w:rPr>
          <w:rFonts w:ascii="Times New Roman" w:hAnsi="Times New Roman" w:cs="Times New Roman"/>
          <w:i/>
          <w:sz w:val="24"/>
          <w:szCs w:val="24"/>
        </w:rPr>
        <w:t xml:space="preserve">McCarthy v. </w:t>
      </w:r>
      <w:proofErr w:type="spellStart"/>
      <w:r w:rsidR="00D7207F" w:rsidRPr="00D7207F">
        <w:rPr>
          <w:rFonts w:ascii="Times New Roman" w:hAnsi="Times New Roman" w:cs="Times New Roman"/>
          <w:i/>
          <w:sz w:val="24"/>
          <w:szCs w:val="24"/>
        </w:rPr>
        <w:t>Langan</w:t>
      </w:r>
      <w:proofErr w:type="spellEnd"/>
      <w:r w:rsidR="00D7207F" w:rsidRPr="00D7207F">
        <w:rPr>
          <w:rFonts w:ascii="Times New Roman" w:hAnsi="Times New Roman" w:cs="Times New Roman"/>
          <w:i/>
          <w:sz w:val="24"/>
          <w:szCs w:val="24"/>
        </w:rPr>
        <w:t xml:space="preserve"> and </w:t>
      </w:r>
      <w:proofErr w:type="spellStart"/>
      <w:r w:rsidR="00D7207F" w:rsidRPr="00D7207F">
        <w:rPr>
          <w:rFonts w:ascii="Times New Roman" w:hAnsi="Times New Roman" w:cs="Times New Roman"/>
          <w:i/>
          <w:sz w:val="24"/>
          <w:szCs w:val="24"/>
        </w:rPr>
        <w:t>ors</w:t>
      </w:r>
      <w:proofErr w:type="spellEnd"/>
      <w:r w:rsidR="00C039E7">
        <w:rPr>
          <w:rFonts w:ascii="Times New Roman" w:hAnsi="Times New Roman" w:cs="Times New Roman"/>
          <w:sz w:val="24"/>
          <w:szCs w:val="24"/>
        </w:rPr>
        <w:t xml:space="preserve">, </w:t>
      </w:r>
      <w:r>
        <w:rPr>
          <w:rFonts w:ascii="Times New Roman" w:hAnsi="Times New Roman" w:cs="Times New Roman"/>
          <w:sz w:val="24"/>
          <w:szCs w:val="24"/>
        </w:rPr>
        <w:t xml:space="preserve">Allen J. </w:t>
      </w:r>
      <w:r w:rsidR="00D7207F" w:rsidRPr="00D7207F">
        <w:rPr>
          <w:rFonts w:ascii="Times New Roman" w:hAnsi="Times New Roman" w:cs="Times New Roman"/>
          <w:sz w:val="24"/>
          <w:szCs w:val="24"/>
        </w:rPr>
        <w:t xml:space="preserve">was faced with the same issue, this time at the conclusion of a plenary hearing.  Noting that McDonald J. had not </w:t>
      </w:r>
      <w:r w:rsidR="00F2551F">
        <w:rPr>
          <w:rFonts w:ascii="Times New Roman" w:hAnsi="Times New Roman" w:cs="Times New Roman"/>
          <w:sz w:val="24"/>
          <w:szCs w:val="24"/>
        </w:rPr>
        <w:t xml:space="preserve">finally </w:t>
      </w:r>
      <w:r w:rsidR="00D7207F" w:rsidRPr="00D7207F">
        <w:rPr>
          <w:rFonts w:ascii="Times New Roman" w:hAnsi="Times New Roman" w:cs="Times New Roman"/>
          <w:sz w:val="24"/>
          <w:szCs w:val="24"/>
        </w:rPr>
        <w:t>decided the question</w:t>
      </w:r>
      <w:r w:rsidR="00F2551F">
        <w:rPr>
          <w:rFonts w:ascii="Times New Roman" w:hAnsi="Times New Roman" w:cs="Times New Roman"/>
          <w:sz w:val="24"/>
          <w:szCs w:val="24"/>
        </w:rPr>
        <w:t xml:space="preserve"> as to whether an appointment pursuant to such provisions which did not specifically designated the appointee as a ‘</w:t>
      </w:r>
      <w:r w:rsidR="00DE19DC">
        <w:rPr>
          <w:rFonts w:ascii="Times New Roman" w:hAnsi="Times New Roman" w:cs="Times New Roman"/>
          <w:i/>
          <w:sz w:val="24"/>
          <w:szCs w:val="24"/>
        </w:rPr>
        <w:t>r</w:t>
      </w:r>
      <w:r w:rsidR="00F2551F">
        <w:rPr>
          <w:rFonts w:ascii="Times New Roman" w:hAnsi="Times New Roman" w:cs="Times New Roman"/>
          <w:i/>
          <w:sz w:val="24"/>
          <w:szCs w:val="24"/>
        </w:rPr>
        <w:t xml:space="preserve">eceiver and </w:t>
      </w:r>
      <w:r w:rsidR="00DE19DC">
        <w:rPr>
          <w:rFonts w:ascii="Times New Roman" w:hAnsi="Times New Roman" w:cs="Times New Roman"/>
          <w:i/>
          <w:sz w:val="24"/>
          <w:szCs w:val="24"/>
        </w:rPr>
        <w:t>m</w:t>
      </w:r>
      <w:r w:rsidR="00F2551F">
        <w:rPr>
          <w:rFonts w:ascii="Times New Roman" w:hAnsi="Times New Roman" w:cs="Times New Roman"/>
          <w:i/>
          <w:sz w:val="24"/>
          <w:szCs w:val="24"/>
        </w:rPr>
        <w:t>anager’</w:t>
      </w:r>
      <w:r w:rsidR="00F2551F">
        <w:rPr>
          <w:rFonts w:ascii="Times New Roman" w:hAnsi="Times New Roman" w:cs="Times New Roman"/>
          <w:sz w:val="24"/>
          <w:szCs w:val="24"/>
        </w:rPr>
        <w:t xml:space="preserve"> was for that reason invalid</w:t>
      </w:r>
      <w:r w:rsidR="00D7207F" w:rsidRPr="00D7207F">
        <w:rPr>
          <w:rFonts w:ascii="Times New Roman" w:hAnsi="Times New Roman" w:cs="Times New Roman"/>
          <w:sz w:val="24"/>
          <w:szCs w:val="24"/>
        </w:rPr>
        <w:t xml:space="preserve"> (</w:t>
      </w:r>
      <w:r w:rsidR="00DE19DC">
        <w:rPr>
          <w:rFonts w:ascii="Times New Roman" w:hAnsi="Times New Roman" w:cs="Times New Roman"/>
          <w:sz w:val="24"/>
          <w:szCs w:val="24"/>
        </w:rPr>
        <w:t xml:space="preserve">at </w:t>
      </w:r>
      <w:r w:rsidR="00D7207F" w:rsidRPr="00D7207F">
        <w:rPr>
          <w:rFonts w:ascii="Times New Roman" w:hAnsi="Times New Roman" w:cs="Times New Roman"/>
          <w:sz w:val="24"/>
          <w:szCs w:val="24"/>
        </w:rPr>
        <w:t>para. 57), Allen J. adopted the position that the correct approach to the deeds of appointment is to construe them as a whole, rather than to focus on the use or omission of any particular word or words (</w:t>
      </w:r>
      <w:r w:rsidR="00DE19DC">
        <w:rPr>
          <w:rFonts w:ascii="Times New Roman" w:hAnsi="Times New Roman" w:cs="Times New Roman"/>
          <w:sz w:val="24"/>
          <w:szCs w:val="24"/>
        </w:rPr>
        <w:t xml:space="preserve">at </w:t>
      </w:r>
      <w:r w:rsidR="00D7207F" w:rsidRPr="00D7207F">
        <w:rPr>
          <w:rFonts w:ascii="Times New Roman" w:hAnsi="Times New Roman" w:cs="Times New Roman"/>
          <w:sz w:val="24"/>
          <w:szCs w:val="24"/>
        </w:rPr>
        <w:t>para. 78).  This required the court to examine what the deed actually d</w:t>
      </w:r>
      <w:r>
        <w:rPr>
          <w:rFonts w:ascii="Times New Roman" w:hAnsi="Times New Roman" w:cs="Times New Roman"/>
          <w:sz w:val="24"/>
          <w:szCs w:val="24"/>
        </w:rPr>
        <w:t>id</w:t>
      </w:r>
      <w:r w:rsidR="00D7207F" w:rsidRPr="00D7207F">
        <w:rPr>
          <w:rFonts w:ascii="Times New Roman" w:hAnsi="Times New Roman" w:cs="Times New Roman"/>
          <w:sz w:val="24"/>
          <w:szCs w:val="24"/>
        </w:rPr>
        <w:t xml:space="preserve"> (</w:t>
      </w:r>
      <w:r w:rsidR="00DE19DC">
        <w:rPr>
          <w:rFonts w:ascii="Times New Roman" w:hAnsi="Times New Roman" w:cs="Times New Roman"/>
          <w:sz w:val="24"/>
          <w:szCs w:val="24"/>
        </w:rPr>
        <w:t xml:space="preserve">at </w:t>
      </w:r>
      <w:r w:rsidR="00D7207F" w:rsidRPr="00D7207F">
        <w:rPr>
          <w:rFonts w:ascii="Times New Roman" w:hAnsi="Times New Roman" w:cs="Times New Roman"/>
          <w:sz w:val="24"/>
          <w:szCs w:val="24"/>
        </w:rPr>
        <w:t xml:space="preserve">para. 79).  Allen J. agreed with McDonald J. insofar as </w:t>
      </w:r>
      <w:r w:rsidR="0010105F">
        <w:rPr>
          <w:rFonts w:ascii="Times New Roman" w:hAnsi="Times New Roman" w:cs="Times New Roman"/>
          <w:sz w:val="24"/>
          <w:szCs w:val="24"/>
        </w:rPr>
        <w:t xml:space="preserve">McDonald J. </w:t>
      </w:r>
      <w:r w:rsidR="00D7207F" w:rsidRPr="00D7207F">
        <w:rPr>
          <w:rFonts w:ascii="Times New Roman" w:hAnsi="Times New Roman" w:cs="Times New Roman"/>
          <w:sz w:val="24"/>
          <w:szCs w:val="24"/>
        </w:rPr>
        <w:t xml:space="preserve">had held that the natural meaning of the clauses in issue </w:t>
      </w:r>
      <w:r>
        <w:rPr>
          <w:rFonts w:ascii="Times New Roman" w:hAnsi="Times New Roman" w:cs="Times New Roman"/>
          <w:sz w:val="24"/>
          <w:szCs w:val="24"/>
        </w:rPr>
        <w:t xml:space="preserve">in the mortgage </w:t>
      </w:r>
      <w:r w:rsidR="00D7207F" w:rsidRPr="00D7207F">
        <w:rPr>
          <w:rFonts w:ascii="Times New Roman" w:hAnsi="Times New Roman" w:cs="Times New Roman"/>
          <w:sz w:val="24"/>
          <w:szCs w:val="24"/>
        </w:rPr>
        <w:t xml:space="preserve">was that the appointee must be appointed as receiver and manager and that it </w:t>
      </w:r>
      <w:r w:rsidR="00D7207F" w:rsidRPr="00D7207F">
        <w:rPr>
          <w:rFonts w:ascii="Times New Roman" w:hAnsi="Times New Roman" w:cs="Times New Roman"/>
          <w:sz w:val="24"/>
          <w:szCs w:val="24"/>
        </w:rPr>
        <w:lastRenderedPageBreak/>
        <w:t xml:space="preserve">was only someone who </w:t>
      </w:r>
      <w:r w:rsidR="00DE19DC">
        <w:rPr>
          <w:rFonts w:ascii="Times New Roman" w:hAnsi="Times New Roman" w:cs="Times New Roman"/>
          <w:sz w:val="24"/>
          <w:szCs w:val="24"/>
        </w:rPr>
        <w:t>wa</w:t>
      </w:r>
      <w:r w:rsidR="00D7207F" w:rsidRPr="00D7207F">
        <w:rPr>
          <w:rFonts w:ascii="Times New Roman" w:hAnsi="Times New Roman" w:cs="Times New Roman"/>
          <w:sz w:val="24"/>
          <w:szCs w:val="24"/>
        </w:rPr>
        <w:t>s so appointed that w</w:t>
      </w:r>
      <w:r w:rsidR="00DE19DC">
        <w:rPr>
          <w:rFonts w:ascii="Times New Roman" w:hAnsi="Times New Roman" w:cs="Times New Roman"/>
          <w:sz w:val="24"/>
          <w:szCs w:val="24"/>
        </w:rPr>
        <w:t>ould</w:t>
      </w:r>
      <w:r w:rsidR="00D7207F" w:rsidRPr="00D7207F">
        <w:rPr>
          <w:rFonts w:ascii="Times New Roman" w:hAnsi="Times New Roman" w:cs="Times New Roman"/>
          <w:sz w:val="24"/>
          <w:szCs w:val="24"/>
        </w:rPr>
        <w:t xml:space="preserve"> have the powers conferred by the deed.</w:t>
      </w:r>
    </w:p>
    <w:p w14:paraId="60B1B87C" w14:textId="77777777" w:rsidR="00CA7618" w:rsidRPr="00CA7618" w:rsidRDefault="00CA7618" w:rsidP="00CA7618">
      <w:pPr>
        <w:pStyle w:val="ListParagraph"/>
        <w:rPr>
          <w:rFonts w:ascii="Times New Roman" w:hAnsi="Times New Roman" w:cs="Times New Roman"/>
          <w:sz w:val="24"/>
          <w:szCs w:val="24"/>
        </w:rPr>
      </w:pPr>
    </w:p>
    <w:p w14:paraId="1CFF6768" w14:textId="77777777" w:rsidR="00F2551F" w:rsidRPr="00F2551F" w:rsidRDefault="00F2551F" w:rsidP="00F2551F">
      <w:pPr>
        <w:pStyle w:val="ListParagraph"/>
        <w:rPr>
          <w:rFonts w:ascii="Times New Roman" w:hAnsi="Times New Roman" w:cs="Times New Roman"/>
          <w:sz w:val="24"/>
          <w:szCs w:val="24"/>
        </w:rPr>
      </w:pPr>
    </w:p>
    <w:p w14:paraId="0D2ECC03" w14:textId="02DE17E3" w:rsidR="00D7207F" w:rsidRPr="00D7207F" w:rsidRDefault="00F213FB" w:rsidP="00D7207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point</w:t>
      </w:r>
      <w:r w:rsidR="00D7207F" w:rsidRPr="00D7207F">
        <w:rPr>
          <w:rFonts w:ascii="Times New Roman" w:hAnsi="Times New Roman" w:cs="Times New Roman"/>
          <w:sz w:val="24"/>
          <w:szCs w:val="24"/>
        </w:rPr>
        <w:t xml:space="preserve">, however, </w:t>
      </w:r>
      <w:r>
        <w:rPr>
          <w:rFonts w:ascii="Times New Roman" w:hAnsi="Times New Roman" w:cs="Times New Roman"/>
          <w:sz w:val="24"/>
          <w:szCs w:val="24"/>
        </w:rPr>
        <w:t xml:space="preserve">at which </w:t>
      </w:r>
      <w:r w:rsidR="00D7207F" w:rsidRPr="00D7207F">
        <w:rPr>
          <w:rFonts w:ascii="Times New Roman" w:hAnsi="Times New Roman" w:cs="Times New Roman"/>
          <w:sz w:val="24"/>
          <w:szCs w:val="24"/>
        </w:rPr>
        <w:t>Allen J. diverged from the view adopted by McDonald J. arose from the latter’s view that the language used in the deed of appointment simply purported to appoint the plaintiff only as ‘</w:t>
      </w:r>
      <w:r w:rsidR="00D7207F" w:rsidRPr="00D7207F">
        <w:rPr>
          <w:rFonts w:ascii="Times New Roman" w:hAnsi="Times New Roman" w:cs="Times New Roman"/>
          <w:i/>
          <w:sz w:val="24"/>
          <w:szCs w:val="24"/>
        </w:rPr>
        <w:t>receiver’</w:t>
      </w:r>
      <w:r w:rsidR="00D7207F" w:rsidRPr="00D7207F">
        <w:rPr>
          <w:rFonts w:ascii="Times New Roman" w:hAnsi="Times New Roman" w:cs="Times New Roman"/>
          <w:sz w:val="24"/>
          <w:szCs w:val="24"/>
        </w:rPr>
        <w:t xml:space="preserve"> strictly so called.  Allen J. explained his analysis and conclusion on this issue, as follows (</w:t>
      </w:r>
      <w:r w:rsidR="00DE19DC">
        <w:rPr>
          <w:rFonts w:ascii="Times New Roman" w:hAnsi="Times New Roman" w:cs="Times New Roman"/>
          <w:sz w:val="24"/>
          <w:szCs w:val="24"/>
        </w:rPr>
        <w:t xml:space="preserve">at </w:t>
      </w:r>
      <w:r w:rsidR="00D7207F" w:rsidRPr="00D7207F">
        <w:rPr>
          <w:rFonts w:ascii="Times New Roman" w:hAnsi="Times New Roman" w:cs="Times New Roman"/>
          <w:sz w:val="24"/>
          <w:szCs w:val="24"/>
        </w:rPr>
        <w:t>para. 82):</w:t>
      </w:r>
    </w:p>
    <w:p w14:paraId="575550A7" w14:textId="77777777" w:rsidR="00D7207F" w:rsidRPr="00D7207F" w:rsidRDefault="00D7207F" w:rsidP="00D7207F">
      <w:pPr>
        <w:pStyle w:val="ListParagraph"/>
        <w:spacing w:line="480" w:lineRule="auto"/>
        <w:jc w:val="both"/>
        <w:rPr>
          <w:rFonts w:ascii="Times New Roman" w:hAnsi="Times New Roman" w:cs="Times New Roman"/>
          <w:sz w:val="24"/>
          <w:szCs w:val="24"/>
        </w:rPr>
      </w:pPr>
    </w:p>
    <w:p w14:paraId="7F03EE08" w14:textId="77777777" w:rsidR="00D7207F" w:rsidRDefault="00836970" w:rsidP="00D7207F">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D7207F" w:rsidRPr="00D7207F">
        <w:rPr>
          <w:rFonts w:ascii="Times New Roman" w:hAnsi="Times New Roman" w:cs="Times New Roman"/>
          <w:i/>
          <w:sz w:val="24"/>
          <w:szCs w:val="24"/>
        </w:rPr>
        <w:t>The power invoked by the deeds of appointment is the power conferred by the relevant deed of charge.  That is a power to appoint a receiver and manager, and does not permit the appointment of a mere receiver.  The deed of appointment refers to the appointee as “the ‘Receiver’”, which is the description applied by the deed of charge to a receiver and manager.   The deed of appointment confers on the appointee, or confirms that the appointee is to have and to be entitled to exercise, the powers conferred by the security document and by law.   While the deed of appointment does not expressly say that the appointee is to be invested with all of the powers conferred by the deed of charge and by law, I can see no warrant for limiting them to those of a statutory receiver.   If the appointee is invested with all of the powers conferred by the deed of charge, he has power to manage as well as to receive income and so he is a receiver and manager</w:t>
      </w:r>
      <w:r w:rsidR="00DE19DC">
        <w:rPr>
          <w:rFonts w:ascii="Times New Roman" w:hAnsi="Times New Roman" w:cs="Times New Roman"/>
          <w:i/>
          <w:sz w:val="24"/>
          <w:szCs w:val="24"/>
        </w:rPr>
        <w:t>.’</w:t>
      </w:r>
    </w:p>
    <w:p w14:paraId="54CFA12A" w14:textId="77777777" w:rsidR="003419E6" w:rsidRDefault="006E5C3D" w:rsidP="00695AA4">
      <w:pPr>
        <w:pStyle w:val="ListParagraph"/>
        <w:ind w:left="717"/>
        <w:jc w:val="both"/>
        <w:rPr>
          <w:rFonts w:ascii="Times New Roman" w:hAnsi="Times New Roman" w:cs="Times New Roman"/>
          <w:sz w:val="24"/>
          <w:szCs w:val="24"/>
        </w:rPr>
      </w:pPr>
      <w:r>
        <w:rPr>
          <w:rFonts w:ascii="Times New Roman" w:hAnsi="Times New Roman" w:cs="Times New Roman"/>
          <w:sz w:val="24"/>
          <w:szCs w:val="24"/>
        </w:rPr>
        <w:t xml:space="preserve">  </w:t>
      </w:r>
      <w:r w:rsidR="003419E6">
        <w:rPr>
          <w:rFonts w:ascii="Times New Roman" w:hAnsi="Times New Roman" w:cs="Times New Roman"/>
          <w:sz w:val="24"/>
          <w:szCs w:val="24"/>
        </w:rPr>
        <w:t xml:space="preserve">  </w:t>
      </w:r>
    </w:p>
    <w:p w14:paraId="3C66B6A1" w14:textId="28F9BC3D" w:rsidR="006E5C3D" w:rsidRDefault="00C039E7" w:rsidP="006E5C3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While the decision in </w:t>
      </w:r>
      <w:r>
        <w:rPr>
          <w:rFonts w:ascii="Times New Roman" w:hAnsi="Times New Roman" w:cs="Times New Roman"/>
          <w:i/>
          <w:sz w:val="24"/>
          <w:szCs w:val="24"/>
        </w:rPr>
        <w:t xml:space="preserve">McCarthy v. </w:t>
      </w:r>
      <w:proofErr w:type="spellStart"/>
      <w:r>
        <w:rPr>
          <w:rFonts w:ascii="Times New Roman" w:hAnsi="Times New Roman" w:cs="Times New Roman"/>
          <w:i/>
          <w:sz w:val="24"/>
          <w:szCs w:val="24"/>
        </w:rPr>
        <w:t>Langan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was appealed to this </w:t>
      </w:r>
      <w:r w:rsidR="007D04CB">
        <w:rPr>
          <w:rFonts w:ascii="Times New Roman" w:hAnsi="Times New Roman" w:cs="Times New Roman"/>
          <w:sz w:val="24"/>
          <w:szCs w:val="24"/>
        </w:rPr>
        <w:t>c</w:t>
      </w:r>
      <w:r>
        <w:rPr>
          <w:rFonts w:ascii="Times New Roman" w:hAnsi="Times New Roman" w:cs="Times New Roman"/>
          <w:sz w:val="24"/>
          <w:szCs w:val="24"/>
        </w:rPr>
        <w:t>ourt, the appeal was not pursued and was eventually struck out.  The issue was, however, briefly considered i</w:t>
      </w:r>
      <w:r w:rsidR="006E5C3D">
        <w:rPr>
          <w:rFonts w:ascii="Times New Roman" w:hAnsi="Times New Roman" w:cs="Times New Roman"/>
          <w:sz w:val="24"/>
          <w:szCs w:val="24"/>
        </w:rPr>
        <w:t xml:space="preserve">n </w:t>
      </w:r>
      <w:r w:rsidR="006E5C3D">
        <w:rPr>
          <w:rFonts w:ascii="Times New Roman" w:hAnsi="Times New Roman" w:cs="Times New Roman"/>
          <w:i/>
          <w:sz w:val="24"/>
          <w:szCs w:val="24"/>
        </w:rPr>
        <w:t xml:space="preserve">Kearney v. Bank of Scotland and </w:t>
      </w:r>
      <w:proofErr w:type="spellStart"/>
      <w:r w:rsidR="006E5C3D">
        <w:rPr>
          <w:rFonts w:ascii="Times New Roman" w:hAnsi="Times New Roman" w:cs="Times New Roman"/>
          <w:i/>
          <w:sz w:val="24"/>
          <w:szCs w:val="24"/>
        </w:rPr>
        <w:t>anor</w:t>
      </w:r>
      <w:proofErr w:type="spellEnd"/>
      <w:r w:rsidR="006E5C3D">
        <w:rPr>
          <w:rFonts w:ascii="Times New Roman" w:hAnsi="Times New Roman" w:cs="Times New Roman"/>
          <w:i/>
          <w:sz w:val="24"/>
          <w:szCs w:val="24"/>
        </w:rPr>
        <w:t xml:space="preserve"> </w:t>
      </w:r>
      <w:r w:rsidR="006E5C3D">
        <w:rPr>
          <w:rFonts w:ascii="Times New Roman" w:hAnsi="Times New Roman" w:cs="Times New Roman"/>
          <w:sz w:val="24"/>
          <w:szCs w:val="24"/>
        </w:rPr>
        <w:t>[2020] IECA 92 (Baker, Whelan and Collins JJ.)</w:t>
      </w:r>
      <w:r>
        <w:rPr>
          <w:rFonts w:ascii="Times New Roman" w:hAnsi="Times New Roman" w:cs="Times New Roman"/>
          <w:sz w:val="24"/>
          <w:szCs w:val="24"/>
        </w:rPr>
        <w:t>.  There, the Court</w:t>
      </w:r>
      <w:r w:rsidR="006E5C3D">
        <w:rPr>
          <w:rFonts w:ascii="Times New Roman" w:hAnsi="Times New Roman" w:cs="Times New Roman"/>
          <w:sz w:val="24"/>
          <w:szCs w:val="24"/>
        </w:rPr>
        <w:t xml:space="preserve"> upheld the dismissal by the High Court of a wide range of grounds </w:t>
      </w:r>
      <w:r w:rsidR="006E5C3D">
        <w:rPr>
          <w:rFonts w:ascii="Times New Roman" w:hAnsi="Times New Roman" w:cs="Times New Roman"/>
          <w:sz w:val="24"/>
          <w:szCs w:val="24"/>
        </w:rPr>
        <w:lastRenderedPageBreak/>
        <w:t>challenging the validity of the appointment by the defendant of a receiver over the plaintiff’s assets on foot of a mortgage similar to that in issue in this case.  The dismissal was based on the so</w:t>
      </w:r>
      <w:r w:rsidR="000D47E4">
        <w:rPr>
          <w:rFonts w:ascii="Times New Roman" w:hAnsi="Times New Roman" w:cs="Times New Roman"/>
          <w:sz w:val="24"/>
          <w:szCs w:val="24"/>
        </w:rPr>
        <w:t>-</w:t>
      </w:r>
      <w:r w:rsidR="006E5C3D">
        <w:rPr>
          <w:rFonts w:ascii="Times New Roman" w:hAnsi="Times New Roman" w:cs="Times New Roman"/>
          <w:sz w:val="24"/>
          <w:szCs w:val="24"/>
        </w:rPr>
        <w:t xml:space="preserve">called </w:t>
      </w:r>
      <w:r w:rsidR="000D47E4" w:rsidRPr="000D47E4">
        <w:rPr>
          <w:rFonts w:ascii="Times New Roman" w:hAnsi="Times New Roman" w:cs="Times New Roman"/>
          <w:i/>
          <w:sz w:val="24"/>
          <w:szCs w:val="24"/>
        </w:rPr>
        <w:t>‘</w:t>
      </w:r>
      <w:r w:rsidR="006E5C3D" w:rsidRPr="000D47E4">
        <w:rPr>
          <w:rFonts w:ascii="Times New Roman" w:hAnsi="Times New Roman" w:cs="Times New Roman"/>
          <w:i/>
          <w:sz w:val="24"/>
          <w:szCs w:val="24"/>
        </w:rPr>
        <w:t>rule</w:t>
      </w:r>
      <w:r w:rsidR="000D47E4" w:rsidRPr="000D47E4">
        <w:rPr>
          <w:rFonts w:ascii="Times New Roman" w:hAnsi="Times New Roman" w:cs="Times New Roman"/>
          <w:i/>
          <w:sz w:val="24"/>
          <w:szCs w:val="24"/>
        </w:rPr>
        <w:t>’</w:t>
      </w:r>
      <w:r w:rsidR="006E5C3D">
        <w:rPr>
          <w:rFonts w:ascii="Times New Roman" w:hAnsi="Times New Roman" w:cs="Times New Roman"/>
          <w:sz w:val="24"/>
          <w:szCs w:val="24"/>
        </w:rPr>
        <w:t xml:space="preserve"> in </w:t>
      </w:r>
      <w:r w:rsidR="006E5C3D">
        <w:rPr>
          <w:rFonts w:ascii="Times New Roman" w:hAnsi="Times New Roman" w:cs="Times New Roman"/>
          <w:i/>
          <w:sz w:val="24"/>
          <w:szCs w:val="24"/>
        </w:rPr>
        <w:t>Henderson v. Henderson</w:t>
      </w:r>
      <w:r w:rsidR="00DE19DC">
        <w:rPr>
          <w:rFonts w:ascii="Times New Roman" w:hAnsi="Times New Roman" w:cs="Times New Roman"/>
          <w:i/>
          <w:sz w:val="24"/>
          <w:szCs w:val="24"/>
        </w:rPr>
        <w:t xml:space="preserve"> </w:t>
      </w:r>
      <w:r w:rsidR="00DE19DC">
        <w:rPr>
          <w:rFonts w:ascii="Times New Roman" w:hAnsi="Times New Roman" w:cs="Times New Roman"/>
          <w:sz w:val="24"/>
          <w:szCs w:val="24"/>
        </w:rPr>
        <w:t>(1843) 3 Hare 100</w:t>
      </w:r>
      <w:r w:rsidR="006E5C3D">
        <w:rPr>
          <w:rFonts w:ascii="Times New Roman" w:hAnsi="Times New Roman" w:cs="Times New Roman"/>
          <w:sz w:val="24"/>
          <w:szCs w:val="24"/>
        </w:rPr>
        <w:t xml:space="preserve">.  However, the Court declined to dismiss an argument to the same effect as the </w:t>
      </w:r>
      <w:r w:rsidR="006E5C3D" w:rsidRPr="00DE19DC">
        <w:rPr>
          <w:rFonts w:ascii="Times New Roman" w:hAnsi="Times New Roman" w:cs="Times New Roman"/>
          <w:i/>
          <w:sz w:val="24"/>
          <w:szCs w:val="24"/>
        </w:rPr>
        <w:t>‘receiver-manager’</w:t>
      </w:r>
      <w:r w:rsidR="006E5C3D">
        <w:rPr>
          <w:rFonts w:ascii="Times New Roman" w:hAnsi="Times New Roman" w:cs="Times New Roman"/>
          <w:sz w:val="24"/>
          <w:szCs w:val="24"/>
        </w:rPr>
        <w:t xml:space="preserve"> argument sought to be advanced here.  Whelan J. explained that it could not be said that there was no credible basis for suggesting that the appellant’s claim insofar as based upon that argument, was bound to fail.  She said (</w:t>
      </w:r>
      <w:r w:rsidR="00DE19DC">
        <w:rPr>
          <w:rFonts w:ascii="Times New Roman" w:hAnsi="Times New Roman" w:cs="Times New Roman"/>
          <w:sz w:val="24"/>
          <w:szCs w:val="24"/>
        </w:rPr>
        <w:t xml:space="preserve">at </w:t>
      </w:r>
      <w:r w:rsidR="006E5C3D">
        <w:rPr>
          <w:rFonts w:ascii="Times New Roman" w:hAnsi="Times New Roman" w:cs="Times New Roman"/>
          <w:sz w:val="24"/>
          <w:szCs w:val="24"/>
        </w:rPr>
        <w:t>para. 117):</w:t>
      </w:r>
    </w:p>
    <w:p w14:paraId="4B790751" w14:textId="77777777" w:rsidR="006E5C3D" w:rsidRDefault="006E5C3D" w:rsidP="006E5C3D">
      <w:pPr>
        <w:pStyle w:val="ListParagraph"/>
        <w:spacing w:line="480" w:lineRule="auto"/>
        <w:ind w:left="717"/>
        <w:jc w:val="both"/>
        <w:rPr>
          <w:rFonts w:ascii="Times New Roman" w:hAnsi="Times New Roman" w:cs="Times New Roman"/>
          <w:sz w:val="24"/>
          <w:szCs w:val="24"/>
        </w:rPr>
      </w:pPr>
    </w:p>
    <w:p w14:paraId="7D1A9D8B" w14:textId="77777777" w:rsidR="006E5C3D" w:rsidRPr="006E5C3D" w:rsidRDefault="006E5C3D" w:rsidP="006E5C3D">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it is clear that the specific point has never been definitively determined in this jurisdiction.’</w:t>
      </w:r>
    </w:p>
    <w:p w14:paraId="011AC5A7"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7B1D375C" w14:textId="77777777" w:rsidR="00D7207F" w:rsidRPr="00D7207F" w:rsidRDefault="00A058F6" w:rsidP="00D7207F">
      <w:pPr>
        <w:pStyle w:val="ListParagraph"/>
        <w:spacing w:line="480" w:lineRule="auto"/>
        <w:jc w:val="both"/>
        <w:rPr>
          <w:rFonts w:ascii="Times New Roman" w:hAnsi="Times New Roman" w:cs="Times New Roman"/>
          <w:b/>
          <w:i/>
          <w:sz w:val="24"/>
          <w:szCs w:val="24"/>
        </w:rPr>
      </w:pPr>
      <w:r>
        <w:rPr>
          <w:rFonts w:ascii="Times New Roman" w:hAnsi="Times New Roman" w:cs="Times New Roman"/>
          <w:b/>
          <w:i/>
          <w:sz w:val="24"/>
          <w:szCs w:val="24"/>
        </w:rPr>
        <w:t>Definition and construction</w:t>
      </w:r>
    </w:p>
    <w:p w14:paraId="2AE1BE42"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314CB654" w14:textId="02270C0A" w:rsidR="002528A4" w:rsidRDefault="00D7207F" w:rsidP="002528A4">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As I think obvious from the foregoing, </w:t>
      </w:r>
      <w:r w:rsidR="008524D4">
        <w:rPr>
          <w:rFonts w:ascii="Times New Roman" w:hAnsi="Times New Roman" w:cs="Times New Roman"/>
          <w:sz w:val="24"/>
          <w:szCs w:val="24"/>
        </w:rPr>
        <w:t xml:space="preserve">the contention thus advanced by the defendant </w:t>
      </w:r>
      <w:r w:rsidRPr="00D7207F">
        <w:rPr>
          <w:rFonts w:ascii="Times New Roman" w:hAnsi="Times New Roman" w:cs="Times New Roman"/>
          <w:sz w:val="24"/>
          <w:szCs w:val="24"/>
        </w:rPr>
        <w:t xml:space="preserve">reduces itself </w:t>
      </w:r>
      <w:r w:rsidR="006F342B">
        <w:rPr>
          <w:rFonts w:ascii="Times New Roman" w:hAnsi="Times New Roman" w:cs="Times New Roman"/>
          <w:sz w:val="24"/>
          <w:szCs w:val="24"/>
        </w:rPr>
        <w:t xml:space="preserve">in the first instance </w:t>
      </w:r>
      <w:r w:rsidRPr="00D7207F">
        <w:rPr>
          <w:rFonts w:ascii="Times New Roman" w:hAnsi="Times New Roman" w:cs="Times New Roman"/>
          <w:sz w:val="24"/>
          <w:szCs w:val="24"/>
        </w:rPr>
        <w:t xml:space="preserve">to an issue of definition, and </w:t>
      </w:r>
      <w:r w:rsidR="00F2551F">
        <w:rPr>
          <w:rFonts w:ascii="Times New Roman" w:hAnsi="Times New Roman" w:cs="Times New Roman"/>
          <w:sz w:val="24"/>
          <w:szCs w:val="24"/>
        </w:rPr>
        <w:t xml:space="preserve">from there </w:t>
      </w:r>
      <w:r w:rsidRPr="00D7207F">
        <w:rPr>
          <w:rFonts w:ascii="Times New Roman" w:hAnsi="Times New Roman" w:cs="Times New Roman"/>
          <w:sz w:val="24"/>
          <w:szCs w:val="24"/>
        </w:rPr>
        <w:t>a question of construction.</w:t>
      </w:r>
      <w:r w:rsidR="002528A4">
        <w:rPr>
          <w:rFonts w:ascii="Times New Roman" w:hAnsi="Times New Roman" w:cs="Times New Roman"/>
          <w:sz w:val="24"/>
          <w:szCs w:val="24"/>
        </w:rPr>
        <w:t xml:space="preserve"> Insofar as the question of definition goes,</w:t>
      </w:r>
      <w:r w:rsidR="002528A4" w:rsidRPr="002528A4">
        <w:rPr>
          <w:rFonts w:ascii="Times New Roman" w:hAnsi="Times New Roman" w:cs="Times New Roman"/>
          <w:sz w:val="24"/>
          <w:szCs w:val="24"/>
        </w:rPr>
        <w:t xml:space="preserve"> </w:t>
      </w:r>
      <w:r w:rsidR="002528A4">
        <w:rPr>
          <w:rFonts w:ascii="Times New Roman" w:hAnsi="Times New Roman" w:cs="Times New Roman"/>
          <w:sz w:val="24"/>
          <w:szCs w:val="24"/>
        </w:rPr>
        <w:t>t</w:t>
      </w:r>
      <w:r w:rsidRPr="002528A4">
        <w:rPr>
          <w:rFonts w:ascii="Times New Roman" w:hAnsi="Times New Roman" w:cs="Times New Roman"/>
          <w:sz w:val="24"/>
          <w:szCs w:val="24"/>
        </w:rPr>
        <w:t xml:space="preserve">he terms ‘receiver’, ‘manager’ and, for that matter, ‘receiver and manager’ are familiar and their meaning clear. </w:t>
      </w:r>
      <w:r w:rsidR="004C5D61">
        <w:rPr>
          <w:rFonts w:ascii="Times New Roman" w:hAnsi="Times New Roman" w:cs="Times New Roman"/>
          <w:sz w:val="24"/>
          <w:szCs w:val="24"/>
        </w:rPr>
        <w:t xml:space="preserve">A </w:t>
      </w:r>
      <w:r w:rsidR="004C5D61">
        <w:rPr>
          <w:rFonts w:ascii="Times New Roman" w:hAnsi="Times New Roman" w:cs="Times New Roman"/>
          <w:i/>
          <w:sz w:val="24"/>
          <w:szCs w:val="24"/>
        </w:rPr>
        <w:t xml:space="preserve">receiver </w:t>
      </w:r>
      <w:r w:rsidR="004C5D61">
        <w:rPr>
          <w:rFonts w:ascii="Times New Roman" w:hAnsi="Times New Roman" w:cs="Times New Roman"/>
          <w:sz w:val="24"/>
          <w:szCs w:val="24"/>
        </w:rPr>
        <w:t xml:space="preserve">is a person (whether appointed pursuant to statute or private contract) who receives and collects rent or other income, and is charged with the payment of identified outgoings therefrom, but who does not enjoy powers of managing the charged assets.  </w:t>
      </w:r>
      <w:r w:rsidRPr="002528A4">
        <w:rPr>
          <w:rFonts w:ascii="Times New Roman" w:hAnsi="Times New Roman" w:cs="Times New Roman"/>
          <w:sz w:val="24"/>
          <w:szCs w:val="24"/>
        </w:rPr>
        <w:t xml:space="preserve">A </w:t>
      </w:r>
      <w:r w:rsidRPr="002528A4">
        <w:rPr>
          <w:rFonts w:ascii="Times New Roman" w:hAnsi="Times New Roman" w:cs="Times New Roman"/>
          <w:i/>
          <w:sz w:val="24"/>
          <w:szCs w:val="24"/>
        </w:rPr>
        <w:t>manager</w:t>
      </w:r>
      <w:r w:rsidRPr="002528A4">
        <w:rPr>
          <w:rFonts w:ascii="Times New Roman" w:hAnsi="Times New Roman" w:cs="Times New Roman"/>
          <w:sz w:val="24"/>
          <w:szCs w:val="24"/>
        </w:rPr>
        <w:t xml:space="preserve"> does: he has the power to buy, sell and carry on the trade.  </w:t>
      </w:r>
    </w:p>
    <w:p w14:paraId="66FB91E0" w14:textId="77777777" w:rsidR="002528A4" w:rsidRDefault="002528A4" w:rsidP="002528A4">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C1824A7" w14:textId="689DCD9A" w:rsidR="008256F2" w:rsidRDefault="00D7207F" w:rsidP="002528A4">
      <w:pPr>
        <w:pStyle w:val="ListParagraph"/>
        <w:numPr>
          <w:ilvl w:val="0"/>
          <w:numId w:val="6"/>
        </w:numPr>
        <w:spacing w:line="480" w:lineRule="auto"/>
        <w:jc w:val="both"/>
        <w:rPr>
          <w:rFonts w:ascii="Times New Roman" w:hAnsi="Times New Roman" w:cs="Times New Roman"/>
          <w:sz w:val="24"/>
          <w:szCs w:val="24"/>
        </w:rPr>
      </w:pPr>
      <w:r w:rsidRPr="002528A4">
        <w:rPr>
          <w:rFonts w:ascii="Times New Roman" w:hAnsi="Times New Roman" w:cs="Times New Roman"/>
          <w:sz w:val="24"/>
          <w:szCs w:val="24"/>
        </w:rPr>
        <w:t xml:space="preserve">Classically, in the case of a corporate debenture, the receiver and manager for debenture holders is a person appointed by the debenture holders to whom the company has given powers of management pursuant to the contract of loan constituted by the debenture </w:t>
      </w:r>
      <w:r w:rsidRPr="002528A4">
        <w:rPr>
          <w:rFonts w:ascii="Times New Roman" w:hAnsi="Times New Roman" w:cs="Times New Roman"/>
          <w:sz w:val="24"/>
          <w:szCs w:val="24"/>
        </w:rPr>
        <w:lastRenderedPageBreak/>
        <w:t>and, as a condition of the loan, to enable him to preserve an</w:t>
      </w:r>
      <w:r w:rsidR="00C039E7">
        <w:rPr>
          <w:rFonts w:ascii="Times New Roman" w:hAnsi="Times New Roman" w:cs="Times New Roman"/>
          <w:sz w:val="24"/>
          <w:szCs w:val="24"/>
        </w:rPr>
        <w:t>d</w:t>
      </w:r>
      <w:r w:rsidRPr="002528A4">
        <w:rPr>
          <w:rFonts w:ascii="Times New Roman" w:hAnsi="Times New Roman" w:cs="Times New Roman"/>
          <w:sz w:val="24"/>
          <w:szCs w:val="24"/>
        </w:rPr>
        <w:t xml:space="preserve"> realise the assets comprised in the security for the benefit of the debenture holders (per Jenkins LJ</w:t>
      </w:r>
      <w:r w:rsidR="00836970">
        <w:rPr>
          <w:rFonts w:ascii="Times New Roman" w:hAnsi="Times New Roman" w:cs="Times New Roman"/>
          <w:sz w:val="24"/>
          <w:szCs w:val="24"/>
        </w:rPr>
        <w:t>.</w:t>
      </w:r>
      <w:r w:rsidRPr="002528A4">
        <w:rPr>
          <w:rFonts w:ascii="Times New Roman" w:hAnsi="Times New Roman" w:cs="Times New Roman"/>
          <w:sz w:val="24"/>
          <w:szCs w:val="24"/>
        </w:rPr>
        <w:t xml:space="preserve"> in </w:t>
      </w:r>
      <w:r w:rsidRPr="002528A4">
        <w:rPr>
          <w:rFonts w:ascii="Times New Roman" w:hAnsi="Times New Roman" w:cs="Times New Roman"/>
          <w:i/>
          <w:sz w:val="24"/>
          <w:szCs w:val="24"/>
        </w:rPr>
        <w:t xml:space="preserve">B. Johnson and Co. (Builders) Ltd. </w:t>
      </w:r>
      <w:r w:rsidRPr="002528A4">
        <w:rPr>
          <w:rFonts w:ascii="Times New Roman" w:hAnsi="Times New Roman" w:cs="Times New Roman"/>
          <w:sz w:val="24"/>
          <w:szCs w:val="24"/>
        </w:rPr>
        <w:t xml:space="preserve">[1955] Ch. 634, </w:t>
      </w:r>
      <w:r w:rsidR="00836970">
        <w:rPr>
          <w:rFonts w:ascii="Times New Roman" w:hAnsi="Times New Roman" w:cs="Times New Roman"/>
          <w:sz w:val="24"/>
          <w:szCs w:val="24"/>
        </w:rPr>
        <w:t xml:space="preserve">at p. </w:t>
      </w:r>
      <w:r w:rsidRPr="002528A4">
        <w:rPr>
          <w:rFonts w:ascii="Times New Roman" w:hAnsi="Times New Roman" w:cs="Times New Roman"/>
          <w:sz w:val="24"/>
          <w:szCs w:val="24"/>
        </w:rPr>
        <w:t xml:space="preserve">661, cited with approval by McLoughlin J. in </w:t>
      </w:r>
      <w:r w:rsidRPr="002528A4">
        <w:rPr>
          <w:rFonts w:ascii="Times New Roman" w:hAnsi="Times New Roman" w:cs="Times New Roman"/>
          <w:i/>
          <w:sz w:val="24"/>
          <w:szCs w:val="24"/>
        </w:rPr>
        <w:t xml:space="preserve">Ardmore Studios v. Lynch </w:t>
      </w:r>
      <w:r w:rsidRPr="002528A4">
        <w:rPr>
          <w:rFonts w:ascii="Times New Roman" w:hAnsi="Times New Roman" w:cs="Times New Roman"/>
          <w:sz w:val="24"/>
          <w:szCs w:val="24"/>
        </w:rPr>
        <w:t>[1965] IR 1,</w:t>
      </w:r>
      <w:r w:rsidR="00836970">
        <w:rPr>
          <w:rFonts w:ascii="Times New Roman" w:hAnsi="Times New Roman" w:cs="Times New Roman"/>
          <w:sz w:val="24"/>
          <w:szCs w:val="24"/>
        </w:rPr>
        <w:t xml:space="preserve"> at p.</w:t>
      </w:r>
      <w:r w:rsidRPr="002528A4">
        <w:rPr>
          <w:rFonts w:ascii="Times New Roman" w:hAnsi="Times New Roman" w:cs="Times New Roman"/>
          <w:sz w:val="24"/>
          <w:szCs w:val="24"/>
        </w:rPr>
        <w:t xml:space="preserve"> 39</w:t>
      </w:r>
      <w:r w:rsidR="004E7613">
        <w:rPr>
          <w:rFonts w:ascii="Times New Roman" w:hAnsi="Times New Roman" w:cs="Times New Roman"/>
          <w:sz w:val="24"/>
          <w:szCs w:val="24"/>
        </w:rPr>
        <w:t xml:space="preserve"> in turn approved in </w:t>
      </w:r>
      <w:r w:rsidR="004E7613">
        <w:rPr>
          <w:rFonts w:ascii="Times New Roman" w:hAnsi="Times New Roman" w:cs="Times New Roman"/>
          <w:i/>
          <w:sz w:val="24"/>
          <w:szCs w:val="24"/>
        </w:rPr>
        <w:t xml:space="preserve">Bula Ltd. v. Crowley (No.3) </w:t>
      </w:r>
      <w:r w:rsidR="004E7613">
        <w:rPr>
          <w:rFonts w:ascii="Times New Roman" w:hAnsi="Times New Roman" w:cs="Times New Roman"/>
          <w:sz w:val="24"/>
          <w:szCs w:val="24"/>
        </w:rPr>
        <w:t>[2003] 1 IR 396 at</w:t>
      </w:r>
      <w:r w:rsidR="00836970">
        <w:rPr>
          <w:rFonts w:ascii="Times New Roman" w:hAnsi="Times New Roman" w:cs="Times New Roman"/>
          <w:sz w:val="24"/>
          <w:szCs w:val="24"/>
        </w:rPr>
        <w:t xml:space="preserve"> p.</w:t>
      </w:r>
      <w:r w:rsidR="004E7613">
        <w:rPr>
          <w:rFonts w:ascii="Times New Roman" w:hAnsi="Times New Roman" w:cs="Times New Roman"/>
          <w:sz w:val="24"/>
          <w:szCs w:val="24"/>
        </w:rPr>
        <w:t xml:space="preserve"> 424</w:t>
      </w:r>
      <w:r w:rsidR="00836970">
        <w:rPr>
          <w:rFonts w:ascii="Times New Roman" w:hAnsi="Times New Roman" w:cs="Times New Roman"/>
          <w:sz w:val="24"/>
          <w:szCs w:val="24"/>
        </w:rPr>
        <w:t xml:space="preserve"> to</w:t>
      </w:r>
      <w:r w:rsidR="004C5D61">
        <w:rPr>
          <w:rFonts w:ascii="Times New Roman" w:hAnsi="Times New Roman" w:cs="Times New Roman"/>
          <w:sz w:val="24"/>
          <w:szCs w:val="24"/>
        </w:rPr>
        <w:t xml:space="preserve"> </w:t>
      </w:r>
      <w:r w:rsidR="004E7613">
        <w:rPr>
          <w:rFonts w:ascii="Times New Roman" w:hAnsi="Times New Roman" w:cs="Times New Roman"/>
          <w:sz w:val="24"/>
          <w:szCs w:val="24"/>
        </w:rPr>
        <w:t>425</w:t>
      </w:r>
      <w:r w:rsidRPr="002528A4">
        <w:rPr>
          <w:rFonts w:ascii="Times New Roman" w:hAnsi="Times New Roman" w:cs="Times New Roman"/>
          <w:sz w:val="24"/>
          <w:szCs w:val="24"/>
        </w:rPr>
        <w:t>).   As applied to a loan and mortgage of the kind in issue in this case the meaning is</w:t>
      </w:r>
      <w:r w:rsidR="004E658B">
        <w:rPr>
          <w:rFonts w:ascii="Times New Roman" w:hAnsi="Times New Roman" w:cs="Times New Roman"/>
          <w:sz w:val="24"/>
          <w:szCs w:val="24"/>
        </w:rPr>
        <w:t xml:space="preserve"> </w:t>
      </w:r>
      <w:r w:rsidR="00F876D3">
        <w:rPr>
          <w:rFonts w:ascii="Times New Roman" w:hAnsi="Times New Roman" w:cs="Times New Roman"/>
          <w:sz w:val="24"/>
          <w:szCs w:val="24"/>
        </w:rPr>
        <w:t xml:space="preserve">essentially </w:t>
      </w:r>
      <w:r w:rsidR="004E658B">
        <w:rPr>
          <w:rFonts w:ascii="Times New Roman" w:hAnsi="Times New Roman" w:cs="Times New Roman"/>
          <w:sz w:val="24"/>
          <w:szCs w:val="24"/>
        </w:rPr>
        <w:t>the same</w:t>
      </w:r>
      <w:r w:rsidR="00BD5AD1">
        <w:rPr>
          <w:rFonts w:ascii="Times New Roman" w:hAnsi="Times New Roman" w:cs="Times New Roman"/>
          <w:sz w:val="24"/>
          <w:szCs w:val="24"/>
        </w:rPr>
        <w:t>: a receiver and manager is, as Jenkins LJ</w:t>
      </w:r>
      <w:r w:rsidR="00836970">
        <w:rPr>
          <w:rFonts w:ascii="Times New Roman" w:hAnsi="Times New Roman" w:cs="Times New Roman"/>
          <w:sz w:val="24"/>
          <w:szCs w:val="24"/>
        </w:rPr>
        <w:t>.</w:t>
      </w:r>
      <w:r w:rsidR="00BD5AD1">
        <w:rPr>
          <w:rFonts w:ascii="Times New Roman" w:hAnsi="Times New Roman" w:cs="Times New Roman"/>
          <w:sz w:val="24"/>
          <w:szCs w:val="24"/>
        </w:rPr>
        <w:t xml:space="preserve"> described it in </w:t>
      </w:r>
      <w:r w:rsidR="00BD5AD1" w:rsidRPr="002528A4">
        <w:rPr>
          <w:rFonts w:ascii="Times New Roman" w:hAnsi="Times New Roman" w:cs="Times New Roman"/>
          <w:i/>
          <w:sz w:val="24"/>
          <w:szCs w:val="24"/>
        </w:rPr>
        <w:t>B. Johnson and Co. (Builders) Ltd</w:t>
      </w:r>
      <w:r w:rsidR="00BD5AD1">
        <w:rPr>
          <w:rFonts w:ascii="Times New Roman" w:hAnsi="Times New Roman" w:cs="Times New Roman"/>
          <w:i/>
          <w:sz w:val="24"/>
          <w:szCs w:val="24"/>
        </w:rPr>
        <w:t xml:space="preserve"> </w:t>
      </w:r>
      <w:r w:rsidR="00BD5AD1">
        <w:rPr>
          <w:rFonts w:ascii="Times New Roman" w:hAnsi="Times New Roman" w:cs="Times New Roman"/>
          <w:sz w:val="24"/>
          <w:szCs w:val="24"/>
        </w:rPr>
        <w:t>‘</w:t>
      </w:r>
      <w:r w:rsidR="00BD5AD1">
        <w:rPr>
          <w:rFonts w:ascii="Times New Roman" w:hAnsi="Times New Roman" w:cs="Times New Roman"/>
          <w:i/>
          <w:sz w:val="24"/>
          <w:szCs w:val="24"/>
        </w:rPr>
        <w:t>a receiver with ancillary powers of management’</w:t>
      </w:r>
      <w:r w:rsidRPr="002528A4">
        <w:rPr>
          <w:rFonts w:ascii="Times New Roman" w:hAnsi="Times New Roman" w:cs="Times New Roman"/>
          <w:sz w:val="24"/>
          <w:szCs w:val="24"/>
        </w:rPr>
        <w:t>.</w:t>
      </w:r>
      <w:r w:rsidR="00FF2783">
        <w:rPr>
          <w:rFonts w:ascii="Times New Roman" w:hAnsi="Times New Roman" w:cs="Times New Roman"/>
          <w:sz w:val="24"/>
          <w:szCs w:val="24"/>
        </w:rPr>
        <w:t xml:space="preserve"> </w:t>
      </w:r>
    </w:p>
    <w:p w14:paraId="2542F230" w14:textId="77777777" w:rsidR="008256F2" w:rsidRPr="008256F2" w:rsidRDefault="008256F2" w:rsidP="008256F2">
      <w:pPr>
        <w:pStyle w:val="ListParagraph"/>
        <w:rPr>
          <w:rFonts w:ascii="Times New Roman" w:hAnsi="Times New Roman" w:cs="Times New Roman"/>
          <w:sz w:val="24"/>
          <w:szCs w:val="24"/>
        </w:rPr>
      </w:pPr>
    </w:p>
    <w:p w14:paraId="1451D4E9" w14:textId="08E572A1" w:rsidR="00D7207F" w:rsidRDefault="00077AFC" w:rsidP="002528A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term ‘receiver and manager’ is thus not a term of art, but a description of a receiver in whom certain powers have been invested.  </w:t>
      </w:r>
      <w:r w:rsidR="00FF2783">
        <w:rPr>
          <w:rFonts w:ascii="Times New Roman" w:hAnsi="Times New Roman" w:cs="Times New Roman"/>
          <w:sz w:val="24"/>
          <w:szCs w:val="24"/>
        </w:rPr>
        <w:t xml:space="preserve">It is, indeed, for this reason that </w:t>
      </w:r>
      <w:proofErr w:type="spellStart"/>
      <w:r w:rsidR="00FF2783">
        <w:rPr>
          <w:rFonts w:ascii="Times New Roman" w:hAnsi="Times New Roman" w:cs="Times New Roman"/>
          <w:sz w:val="24"/>
          <w:szCs w:val="24"/>
        </w:rPr>
        <w:t>Picarda</w:t>
      </w:r>
      <w:proofErr w:type="spellEnd"/>
      <w:r w:rsidR="00FF2783">
        <w:rPr>
          <w:rFonts w:ascii="Times New Roman" w:hAnsi="Times New Roman" w:cs="Times New Roman"/>
          <w:sz w:val="24"/>
          <w:szCs w:val="24"/>
        </w:rPr>
        <w:t xml:space="preserve"> (</w:t>
      </w:r>
      <w:r w:rsidR="00FF2783">
        <w:rPr>
          <w:rFonts w:ascii="Times New Roman" w:hAnsi="Times New Roman" w:cs="Times New Roman"/>
          <w:i/>
          <w:sz w:val="24"/>
          <w:szCs w:val="24"/>
        </w:rPr>
        <w:t>The Law Relating to Receivers, Managers and Administrators</w:t>
      </w:r>
      <w:r w:rsidR="00FF2783">
        <w:rPr>
          <w:rFonts w:ascii="Times New Roman" w:hAnsi="Times New Roman" w:cs="Times New Roman"/>
          <w:sz w:val="24"/>
          <w:szCs w:val="24"/>
        </w:rPr>
        <w:t xml:space="preserve"> </w:t>
      </w:r>
      <w:r w:rsidR="00DE19DC">
        <w:rPr>
          <w:rFonts w:ascii="Times New Roman" w:hAnsi="Times New Roman" w:cs="Times New Roman"/>
          <w:sz w:val="24"/>
          <w:szCs w:val="24"/>
        </w:rPr>
        <w:t>2</w:t>
      </w:r>
      <w:r w:rsidR="00DE19DC" w:rsidRPr="00DE19DC">
        <w:rPr>
          <w:rFonts w:ascii="Times New Roman" w:hAnsi="Times New Roman" w:cs="Times New Roman"/>
          <w:sz w:val="24"/>
          <w:szCs w:val="24"/>
          <w:vertAlign w:val="superscript"/>
        </w:rPr>
        <w:t>nd</w:t>
      </w:r>
      <w:r w:rsidR="00DE19DC">
        <w:rPr>
          <w:rFonts w:ascii="Times New Roman" w:hAnsi="Times New Roman" w:cs="Times New Roman"/>
          <w:sz w:val="24"/>
          <w:szCs w:val="24"/>
        </w:rPr>
        <w:t xml:space="preserve"> </w:t>
      </w:r>
      <w:r w:rsidR="00FF2783">
        <w:rPr>
          <w:rFonts w:ascii="Times New Roman" w:hAnsi="Times New Roman" w:cs="Times New Roman"/>
          <w:sz w:val="24"/>
          <w:szCs w:val="24"/>
        </w:rPr>
        <w:t>Ed. 1990) observes the blurring of terminology between the two terms both in common usage, and in the relevant statute law (see p.2): thus the provisions of s.</w:t>
      </w:r>
      <w:r w:rsidR="0076126A">
        <w:rPr>
          <w:rFonts w:ascii="Times New Roman" w:hAnsi="Times New Roman" w:cs="Times New Roman"/>
          <w:sz w:val="24"/>
          <w:szCs w:val="24"/>
        </w:rPr>
        <w:t xml:space="preserve"> </w:t>
      </w:r>
      <w:r w:rsidR="00FF2783">
        <w:rPr>
          <w:rFonts w:ascii="Times New Roman" w:hAnsi="Times New Roman" w:cs="Times New Roman"/>
          <w:sz w:val="24"/>
          <w:szCs w:val="24"/>
        </w:rPr>
        <w:t xml:space="preserve">28(8) of the </w:t>
      </w:r>
      <w:r w:rsidR="00DE19DC">
        <w:rPr>
          <w:rFonts w:ascii="Times New Roman" w:hAnsi="Times New Roman" w:cs="Times New Roman"/>
          <w:sz w:val="24"/>
          <w:szCs w:val="24"/>
        </w:rPr>
        <w:t xml:space="preserve">Supreme Court of </w:t>
      </w:r>
      <w:r w:rsidR="00FF2783">
        <w:rPr>
          <w:rFonts w:ascii="Times New Roman" w:hAnsi="Times New Roman" w:cs="Times New Roman"/>
          <w:sz w:val="24"/>
          <w:szCs w:val="24"/>
        </w:rPr>
        <w:t xml:space="preserve">Judicature </w:t>
      </w:r>
      <w:r w:rsidR="00DE19DC">
        <w:rPr>
          <w:rFonts w:ascii="Times New Roman" w:hAnsi="Times New Roman" w:cs="Times New Roman"/>
          <w:sz w:val="24"/>
          <w:szCs w:val="24"/>
        </w:rPr>
        <w:t xml:space="preserve">Act </w:t>
      </w:r>
      <w:r w:rsidR="00FF2783">
        <w:rPr>
          <w:rFonts w:ascii="Times New Roman" w:hAnsi="Times New Roman" w:cs="Times New Roman"/>
          <w:sz w:val="24"/>
          <w:szCs w:val="24"/>
        </w:rPr>
        <w:t>(Ireland) 1877 speak of the appointment of a receiver in a context in which, it is clear, the relevant agent will typically enjoy management powers.</w:t>
      </w:r>
      <w:r w:rsidR="0034491B">
        <w:rPr>
          <w:rFonts w:ascii="Times New Roman" w:hAnsi="Times New Roman" w:cs="Times New Roman"/>
          <w:sz w:val="24"/>
          <w:szCs w:val="24"/>
        </w:rPr>
        <w:t xml:space="preserve">  Such a person is a ‘</w:t>
      </w:r>
      <w:r w:rsidR="0034491B">
        <w:rPr>
          <w:rFonts w:ascii="Times New Roman" w:hAnsi="Times New Roman" w:cs="Times New Roman"/>
          <w:i/>
          <w:sz w:val="24"/>
          <w:szCs w:val="24"/>
        </w:rPr>
        <w:t>receiver</w:t>
      </w:r>
      <w:r w:rsidR="007157A4">
        <w:rPr>
          <w:rFonts w:ascii="Times New Roman" w:hAnsi="Times New Roman" w:cs="Times New Roman"/>
          <w:i/>
          <w:sz w:val="24"/>
          <w:szCs w:val="24"/>
        </w:rPr>
        <w:t xml:space="preserve"> and </w:t>
      </w:r>
      <w:r w:rsidR="0034491B">
        <w:rPr>
          <w:rFonts w:ascii="Times New Roman" w:hAnsi="Times New Roman" w:cs="Times New Roman"/>
          <w:i/>
          <w:sz w:val="24"/>
          <w:szCs w:val="24"/>
        </w:rPr>
        <w:t>manager’</w:t>
      </w:r>
      <w:r w:rsidR="0034491B">
        <w:rPr>
          <w:rFonts w:ascii="Times New Roman" w:hAnsi="Times New Roman" w:cs="Times New Roman"/>
          <w:sz w:val="24"/>
          <w:szCs w:val="24"/>
        </w:rPr>
        <w:t xml:space="preserve"> </w:t>
      </w:r>
      <w:r w:rsidR="008256F2">
        <w:rPr>
          <w:rFonts w:ascii="Times New Roman" w:hAnsi="Times New Roman" w:cs="Times New Roman"/>
          <w:sz w:val="24"/>
          <w:szCs w:val="24"/>
        </w:rPr>
        <w:t>o</w:t>
      </w:r>
      <w:r w:rsidR="0034491B">
        <w:rPr>
          <w:rFonts w:ascii="Times New Roman" w:hAnsi="Times New Roman" w:cs="Times New Roman"/>
          <w:sz w:val="24"/>
          <w:szCs w:val="24"/>
        </w:rPr>
        <w:t>n any ordinary use of languag</w:t>
      </w:r>
      <w:r w:rsidR="003705E2">
        <w:rPr>
          <w:rFonts w:ascii="Times New Roman" w:hAnsi="Times New Roman" w:cs="Times New Roman"/>
          <w:sz w:val="24"/>
          <w:szCs w:val="24"/>
        </w:rPr>
        <w:t>e.</w:t>
      </w:r>
    </w:p>
    <w:p w14:paraId="2261AE56" w14:textId="77777777" w:rsidR="003705E2" w:rsidRPr="003705E2" w:rsidRDefault="003705E2" w:rsidP="003705E2">
      <w:pPr>
        <w:pStyle w:val="ListParagraph"/>
        <w:rPr>
          <w:rFonts w:ascii="Times New Roman" w:hAnsi="Times New Roman" w:cs="Times New Roman"/>
          <w:sz w:val="24"/>
          <w:szCs w:val="24"/>
        </w:rPr>
      </w:pPr>
    </w:p>
    <w:p w14:paraId="1869DBDB" w14:textId="62C24F8B" w:rsidR="003705E2" w:rsidRDefault="00D2055B" w:rsidP="00E04B0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decisions in </w:t>
      </w:r>
      <w:r>
        <w:rPr>
          <w:rFonts w:ascii="Times New Roman" w:hAnsi="Times New Roman" w:cs="Times New Roman"/>
          <w:i/>
          <w:sz w:val="24"/>
          <w:szCs w:val="24"/>
        </w:rPr>
        <w:t xml:space="preserve">McCarthy v. Moroney, McCarthy v. </w:t>
      </w:r>
      <w:proofErr w:type="spellStart"/>
      <w:r>
        <w:rPr>
          <w:rFonts w:ascii="Times New Roman" w:hAnsi="Times New Roman" w:cs="Times New Roman"/>
          <w:i/>
          <w:sz w:val="24"/>
          <w:szCs w:val="24"/>
        </w:rPr>
        <w:t>Langan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Charl</w:t>
      </w:r>
      <w:r w:rsidR="00DE19DC">
        <w:rPr>
          <w:rFonts w:ascii="Times New Roman" w:hAnsi="Times New Roman" w:cs="Times New Roman"/>
          <w:i/>
          <w:sz w:val="24"/>
          <w:szCs w:val="24"/>
        </w:rPr>
        <w:t>e</w:t>
      </w:r>
      <w:r>
        <w:rPr>
          <w:rFonts w:ascii="Times New Roman" w:hAnsi="Times New Roman" w:cs="Times New Roman"/>
          <w:i/>
          <w:sz w:val="24"/>
          <w:szCs w:val="24"/>
        </w:rPr>
        <w:t>ton</w:t>
      </w:r>
      <w:proofErr w:type="spellEnd"/>
      <w:r>
        <w:rPr>
          <w:rFonts w:ascii="Times New Roman" w:hAnsi="Times New Roman" w:cs="Times New Roman"/>
          <w:i/>
          <w:sz w:val="24"/>
          <w:szCs w:val="24"/>
        </w:rPr>
        <w:t xml:space="preserve"> v. Scriven</w:t>
      </w:r>
      <w:r>
        <w:rPr>
          <w:rFonts w:ascii="Times New Roman" w:hAnsi="Times New Roman" w:cs="Times New Roman"/>
          <w:sz w:val="24"/>
          <w:szCs w:val="24"/>
        </w:rPr>
        <w:t xml:space="preserve"> suggest two different approaches to the question of whether, as a matter of interpretation, the plaintiff in this case was appointed as ‘</w:t>
      </w:r>
      <w:r>
        <w:rPr>
          <w:rFonts w:ascii="Times New Roman" w:hAnsi="Times New Roman" w:cs="Times New Roman"/>
          <w:i/>
          <w:sz w:val="24"/>
          <w:szCs w:val="24"/>
        </w:rPr>
        <w:t xml:space="preserve">Receiver’ </w:t>
      </w:r>
      <w:r>
        <w:rPr>
          <w:rFonts w:ascii="Times New Roman" w:hAnsi="Times New Roman" w:cs="Times New Roman"/>
          <w:sz w:val="24"/>
          <w:szCs w:val="24"/>
        </w:rPr>
        <w:t>or as ‘</w:t>
      </w:r>
      <w:r>
        <w:rPr>
          <w:rFonts w:ascii="Times New Roman" w:hAnsi="Times New Roman" w:cs="Times New Roman"/>
          <w:i/>
          <w:sz w:val="24"/>
          <w:szCs w:val="24"/>
        </w:rPr>
        <w:t xml:space="preserve">receiver and manager’.  </w:t>
      </w:r>
      <w:r w:rsidR="003705E2">
        <w:rPr>
          <w:rFonts w:ascii="Times New Roman" w:hAnsi="Times New Roman" w:cs="Times New Roman"/>
          <w:sz w:val="24"/>
          <w:szCs w:val="24"/>
        </w:rPr>
        <w:t xml:space="preserve">The first involves an examination of the deed of appointment to determine whether, applying the normal rules of construction governing an instrument of this kind, the plaintiff was in fact given the powers of management such as would, in ordinary course, render him a receiver and manager.  This, in effect, is the way Allen J. viewed the matter in </w:t>
      </w:r>
      <w:r w:rsidR="003705E2">
        <w:rPr>
          <w:rFonts w:ascii="Times New Roman" w:hAnsi="Times New Roman" w:cs="Times New Roman"/>
          <w:i/>
          <w:sz w:val="24"/>
          <w:szCs w:val="24"/>
        </w:rPr>
        <w:t xml:space="preserve">McCarthy v. </w:t>
      </w:r>
      <w:proofErr w:type="spellStart"/>
      <w:r w:rsidR="003705E2">
        <w:rPr>
          <w:rFonts w:ascii="Times New Roman" w:hAnsi="Times New Roman" w:cs="Times New Roman"/>
          <w:i/>
          <w:sz w:val="24"/>
          <w:szCs w:val="24"/>
        </w:rPr>
        <w:t>Langan</w:t>
      </w:r>
      <w:proofErr w:type="spellEnd"/>
      <w:r w:rsidR="003705E2">
        <w:rPr>
          <w:rFonts w:ascii="Times New Roman" w:hAnsi="Times New Roman" w:cs="Times New Roman"/>
          <w:i/>
          <w:sz w:val="24"/>
          <w:szCs w:val="24"/>
        </w:rPr>
        <w:t xml:space="preserve"> </w:t>
      </w:r>
      <w:r w:rsidR="003705E2">
        <w:rPr>
          <w:rFonts w:ascii="Times New Roman" w:hAnsi="Times New Roman" w:cs="Times New Roman"/>
          <w:sz w:val="24"/>
          <w:szCs w:val="24"/>
        </w:rPr>
        <w:t>resulting in his conclusion (at para. 90) that ‘</w:t>
      </w:r>
      <w:r w:rsidR="003705E2">
        <w:rPr>
          <w:rFonts w:ascii="Times New Roman" w:hAnsi="Times New Roman" w:cs="Times New Roman"/>
          <w:i/>
          <w:sz w:val="24"/>
          <w:szCs w:val="24"/>
        </w:rPr>
        <w:t xml:space="preserve">[t]he </w:t>
      </w:r>
      <w:r w:rsidR="003705E2">
        <w:rPr>
          <w:rFonts w:ascii="Times New Roman" w:hAnsi="Times New Roman" w:cs="Times New Roman"/>
          <w:i/>
          <w:sz w:val="24"/>
          <w:szCs w:val="24"/>
        </w:rPr>
        <w:lastRenderedPageBreak/>
        <w:t>crucial question is not how he is described, but what he was’</w:t>
      </w:r>
      <w:r w:rsidR="00655A4A">
        <w:rPr>
          <w:rFonts w:ascii="Times New Roman" w:hAnsi="Times New Roman" w:cs="Times New Roman"/>
          <w:sz w:val="24"/>
          <w:szCs w:val="24"/>
        </w:rPr>
        <w:t>.  A</w:t>
      </w:r>
      <w:r w:rsidR="003705E2">
        <w:rPr>
          <w:rFonts w:ascii="Times New Roman" w:hAnsi="Times New Roman" w:cs="Times New Roman"/>
          <w:sz w:val="24"/>
          <w:szCs w:val="24"/>
        </w:rPr>
        <w:t xml:space="preserve">s I explain, this was </w:t>
      </w:r>
      <w:r w:rsidR="00655A4A">
        <w:rPr>
          <w:rFonts w:ascii="Times New Roman" w:hAnsi="Times New Roman" w:cs="Times New Roman"/>
          <w:sz w:val="24"/>
          <w:szCs w:val="24"/>
        </w:rPr>
        <w:t xml:space="preserve">also </w:t>
      </w:r>
      <w:r w:rsidR="003705E2">
        <w:rPr>
          <w:rFonts w:ascii="Times New Roman" w:hAnsi="Times New Roman" w:cs="Times New Roman"/>
          <w:sz w:val="24"/>
          <w:szCs w:val="24"/>
        </w:rPr>
        <w:t xml:space="preserve">the </w:t>
      </w:r>
      <w:r w:rsidR="00655A4A">
        <w:rPr>
          <w:rFonts w:ascii="Times New Roman" w:hAnsi="Times New Roman" w:cs="Times New Roman"/>
          <w:sz w:val="24"/>
          <w:szCs w:val="24"/>
        </w:rPr>
        <w:t xml:space="preserve">approach </w:t>
      </w:r>
      <w:r w:rsidR="004C5D61">
        <w:rPr>
          <w:rFonts w:ascii="Times New Roman" w:hAnsi="Times New Roman" w:cs="Times New Roman"/>
          <w:sz w:val="24"/>
          <w:szCs w:val="24"/>
        </w:rPr>
        <w:t>tentatively suggested</w:t>
      </w:r>
      <w:r>
        <w:rPr>
          <w:rFonts w:ascii="Times New Roman" w:hAnsi="Times New Roman" w:cs="Times New Roman"/>
          <w:sz w:val="24"/>
          <w:szCs w:val="24"/>
        </w:rPr>
        <w:t xml:space="preserve"> by </w:t>
      </w:r>
      <w:r w:rsidR="003705E2">
        <w:rPr>
          <w:rFonts w:ascii="Times New Roman" w:hAnsi="Times New Roman" w:cs="Times New Roman"/>
          <w:sz w:val="24"/>
          <w:szCs w:val="24"/>
        </w:rPr>
        <w:t xml:space="preserve">Clarke </w:t>
      </w:r>
      <w:r w:rsidR="00DE19DC">
        <w:rPr>
          <w:rFonts w:ascii="Times New Roman" w:hAnsi="Times New Roman" w:cs="Times New Roman"/>
          <w:sz w:val="24"/>
          <w:szCs w:val="24"/>
        </w:rPr>
        <w:t>C</w:t>
      </w:r>
      <w:r w:rsidR="003705E2">
        <w:rPr>
          <w:rFonts w:ascii="Times New Roman" w:hAnsi="Times New Roman" w:cs="Times New Roman"/>
          <w:sz w:val="24"/>
          <w:szCs w:val="24"/>
        </w:rPr>
        <w:t xml:space="preserve">J. in </w:t>
      </w:r>
      <w:r w:rsidR="003705E2">
        <w:rPr>
          <w:rFonts w:ascii="Times New Roman" w:hAnsi="Times New Roman" w:cs="Times New Roman"/>
          <w:i/>
          <w:sz w:val="24"/>
          <w:szCs w:val="24"/>
        </w:rPr>
        <w:t>Charl</w:t>
      </w:r>
      <w:r w:rsidR="0076126A">
        <w:rPr>
          <w:rFonts w:ascii="Times New Roman" w:hAnsi="Times New Roman" w:cs="Times New Roman"/>
          <w:i/>
          <w:sz w:val="24"/>
          <w:szCs w:val="24"/>
        </w:rPr>
        <w:t>e</w:t>
      </w:r>
      <w:r w:rsidR="003705E2">
        <w:rPr>
          <w:rFonts w:ascii="Times New Roman" w:hAnsi="Times New Roman" w:cs="Times New Roman"/>
          <w:i/>
          <w:sz w:val="24"/>
          <w:szCs w:val="24"/>
        </w:rPr>
        <w:t>ton v. Scriven.</w:t>
      </w:r>
    </w:p>
    <w:p w14:paraId="30242665" w14:textId="77777777" w:rsidR="003705E2" w:rsidRPr="003705E2" w:rsidRDefault="003705E2" w:rsidP="003705E2">
      <w:pPr>
        <w:pStyle w:val="ListParagraph"/>
        <w:rPr>
          <w:rFonts w:ascii="Times New Roman" w:hAnsi="Times New Roman" w:cs="Times New Roman"/>
          <w:i/>
          <w:sz w:val="24"/>
          <w:szCs w:val="24"/>
        </w:rPr>
      </w:pPr>
    </w:p>
    <w:p w14:paraId="75E1AF41" w14:textId="53726528" w:rsidR="003642C9" w:rsidRPr="003642C9" w:rsidRDefault="003705E2" w:rsidP="003642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second</w:t>
      </w:r>
      <w:r w:rsidR="00D2055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2055B">
        <w:rPr>
          <w:rFonts w:ascii="Times New Roman" w:hAnsi="Times New Roman" w:cs="Times New Roman"/>
          <w:sz w:val="24"/>
          <w:szCs w:val="24"/>
        </w:rPr>
        <w:t xml:space="preserve">directed at </w:t>
      </w:r>
      <w:r>
        <w:rPr>
          <w:rFonts w:ascii="Times New Roman" w:hAnsi="Times New Roman" w:cs="Times New Roman"/>
          <w:sz w:val="24"/>
          <w:szCs w:val="24"/>
        </w:rPr>
        <w:t xml:space="preserve">the mortgage rather than the deed of appointment, and requires consideration of </w:t>
      </w:r>
      <w:r w:rsidR="00D2055B">
        <w:rPr>
          <w:rFonts w:ascii="Times New Roman" w:hAnsi="Times New Roman" w:cs="Times New Roman"/>
          <w:sz w:val="24"/>
          <w:szCs w:val="24"/>
        </w:rPr>
        <w:t>the issue from a different viewpoint</w:t>
      </w:r>
      <w:r>
        <w:rPr>
          <w:rFonts w:ascii="Times New Roman" w:hAnsi="Times New Roman" w:cs="Times New Roman"/>
          <w:sz w:val="24"/>
          <w:szCs w:val="24"/>
        </w:rPr>
        <w:t>, namely whether</w:t>
      </w:r>
      <w:r w:rsidR="009545D3" w:rsidRPr="003705E2">
        <w:rPr>
          <w:rFonts w:ascii="Times New Roman" w:hAnsi="Times New Roman" w:cs="Times New Roman"/>
          <w:sz w:val="24"/>
          <w:szCs w:val="24"/>
        </w:rPr>
        <w:t xml:space="preserve"> the mortgage agreement </w:t>
      </w:r>
      <w:r>
        <w:rPr>
          <w:rFonts w:ascii="Times New Roman" w:hAnsi="Times New Roman" w:cs="Times New Roman"/>
          <w:sz w:val="24"/>
          <w:szCs w:val="24"/>
        </w:rPr>
        <w:t xml:space="preserve">properly construed </w:t>
      </w:r>
      <w:r w:rsidR="009545D3" w:rsidRPr="003705E2">
        <w:rPr>
          <w:rFonts w:ascii="Times New Roman" w:hAnsi="Times New Roman" w:cs="Times New Roman"/>
          <w:sz w:val="24"/>
          <w:szCs w:val="24"/>
        </w:rPr>
        <w:t xml:space="preserve">imposes a requirement that any appointment designate the appointee not merely as </w:t>
      </w:r>
      <w:r w:rsidR="0080755D">
        <w:rPr>
          <w:rFonts w:ascii="Times New Roman" w:hAnsi="Times New Roman" w:cs="Times New Roman"/>
          <w:sz w:val="24"/>
          <w:szCs w:val="24"/>
        </w:rPr>
        <w:t>r</w:t>
      </w:r>
      <w:r w:rsidR="009545D3" w:rsidRPr="003705E2">
        <w:rPr>
          <w:rFonts w:ascii="Times New Roman" w:hAnsi="Times New Roman" w:cs="Times New Roman"/>
          <w:sz w:val="24"/>
          <w:szCs w:val="24"/>
        </w:rPr>
        <w:t>eceiver, but as receiver</w:t>
      </w:r>
      <w:r>
        <w:rPr>
          <w:rFonts w:ascii="Times New Roman" w:hAnsi="Times New Roman" w:cs="Times New Roman"/>
          <w:sz w:val="24"/>
          <w:szCs w:val="24"/>
        </w:rPr>
        <w:t xml:space="preserve"> and </w:t>
      </w:r>
      <w:r w:rsidR="009545D3" w:rsidRPr="003705E2">
        <w:rPr>
          <w:rFonts w:ascii="Times New Roman" w:hAnsi="Times New Roman" w:cs="Times New Roman"/>
          <w:sz w:val="24"/>
          <w:szCs w:val="24"/>
        </w:rPr>
        <w:t>manager. Th</w:t>
      </w:r>
      <w:r>
        <w:rPr>
          <w:rFonts w:ascii="Times New Roman" w:hAnsi="Times New Roman" w:cs="Times New Roman"/>
          <w:sz w:val="24"/>
          <w:szCs w:val="24"/>
        </w:rPr>
        <w:t xml:space="preserve">is </w:t>
      </w:r>
      <w:r w:rsidR="0031151A">
        <w:rPr>
          <w:rFonts w:ascii="Times New Roman" w:hAnsi="Times New Roman" w:cs="Times New Roman"/>
          <w:sz w:val="24"/>
          <w:szCs w:val="24"/>
        </w:rPr>
        <w:t>was</w:t>
      </w:r>
      <w:r w:rsidR="00655A4A">
        <w:rPr>
          <w:rFonts w:ascii="Times New Roman" w:hAnsi="Times New Roman" w:cs="Times New Roman"/>
          <w:sz w:val="24"/>
          <w:szCs w:val="24"/>
        </w:rPr>
        <w:t xml:space="preserve">, ultimately, </w:t>
      </w:r>
      <w:r>
        <w:rPr>
          <w:rFonts w:ascii="Times New Roman" w:hAnsi="Times New Roman" w:cs="Times New Roman"/>
          <w:sz w:val="24"/>
          <w:szCs w:val="24"/>
        </w:rPr>
        <w:t xml:space="preserve">the </w:t>
      </w:r>
      <w:r w:rsidR="001343AE">
        <w:rPr>
          <w:rFonts w:ascii="Times New Roman" w:hAnsi="Times New Roman" w:cs="Times New Roman"/>
          <w:sz w:val="24"/>
          <w:szCs w:val="24"/>
        </w:rPr>
        <w:t>manner in which the issue was approached</w:t>
      </w:r>
      <w:r w:rsidR="00655A4A">
        <w:rPr>
          <w:rFonts w:ascii="Times New Roman" w:hAnsi="Times New Roman" w:cs="Times New Roman"/>
          <w:sz w:val="24"/>
          <w:szCs w:val="24"/>
        </w:rPr>
        <w:t xml:space="preserve"> </w:t>
      </w:r>
      <w:r>
        <w:rPr>
          <w:rFonts w:ascii="Times New Roman" w:hAnsi="Times New Roman" w:cs="Times New Roman"/>
          <w:sz w:val="24"/>
          <w:szCs w:val="24"/>
        </w:rPr>
        <w:t xml:space="preserve">by McDonald J. in </w:t>
      </w:r>
      <w:r>
        <w:rPr>
          <w:rFonts w:ascii="Times New Roman" w:hAnsi="Times New Roman" w:cs="Times New Roman"/>
          <w:i/>
          <w:sz w:val="24"/>
          <w:szCs w:val="24"/>
        </w:rPr>
        <w:t>McCarthy v. Moroney</w:t>
      </w:r>
      <w:r w:rsidR="005A7366">
        <w:rPr>
          <w:rFonts w:ascii="Times New Roman" w:hAnsi="Times New Roman" w:cs="Times New Roman"/>
          <w:sz w:val="24"/>
          <w:szCs w:val="24"/>
        </w:rPr>
        <w:t>.</w:t>
      </w:r>
      <w:r w:rsidR="003642C9">
        <w:rPr>
          <w:rFonts w:ascii="Times New Roman" w:hAnsi="Times New Roman" w:cs="Times New Roman"/>
          <w:sz w:val="24"/>
          <w:szCs w:val="24"/>
        </w:rPr>
        <w:t xml:space="preserve">  That being so, it is necessary to consider each approach – although bearing in mind that both are </w:t>
      </w:r>
      <w:r w:rsidR="00111741">
        <w:rPr>
          <w:rFonts w:ascii="Times New Roman" w:hAnsi="Times New Roman" w:cs="Times New Roman"/>
          <w:sz w:val="24"/>
          <w:szCs w:val="24"/>
        </w:rPr>
        <w:t xml:space="preserve">directed to </w:t>
      </w:r>
      <w:r w:rsidR="003642C9">
        <w:rPr>
          <w:rFonts w:ascii="Times New Roman" w:hAnsi="Times New Roman" w:cs="Times New Roman"/>
          <w:sz w:val="24"/>
          <w:szCs w:val="24"/>
        </w:rPr>
        <w:t xml:space="preserve">the same ultimate objective, that is the ascertainment of the proper construction of the two instruments having regard to the </w:t>
      </w:r>
      <w:r w:rsidR="000E6A28">
        <w:rPr>
          <w:rFonts w:ascii="Times New Roman" w:hAnsi="Times New Roman" w:cs="Times New Roman"/>
          <w:sz w:val="24"/>
          <w:szCs w:val="24"/>
        </w:rPr>
        <w:t>applicable</w:t>
      </w:r>
      <w:r w:rsidR="003642C9">
        <w:rPr>
          <w:rFonts w:ascii="Times New Roman" w:hAnsi="Times New Roman" w:cs="Times New Roman"/>
          <w:sz w:val="24"/>
          <w:szCs w:val="24"/>
        </w:rPr>
        <w:t xml:space="preserve"> rules of contractual interpretation.</w:t>
      </w:r>
    </w:p>
    <w:p w14:paraId="6E0D4426" w14:textId="77777777" w:rsidR="001343AE" w:rsidRPr="001343AE" w:rsidRDefault="001343AE" w:rsidP="001343AE">
      <w:pPr>
        <w:pStyle w:val="ListParagraph"/>
        <w:rPr>
          <w:rFonts w:ascii="Times New Roman" w:hAnsi="Times New Roman" w:cs="Times New Roman"/>
          <w:sz w:val="24"/>
          <w:szCs w:val="24"/>
        </w:rPr>
      </w:pPr>
    </w:p>
    <w:p w14:paraId="0DFC699B" w14:textId="77777777" w:rsidR="006840C8" w:rsidRPr="006840C8" w:rsidRDefault="006840C8" w:rsidP="006840C8">
      <w:pPr>
        <w:pStyle w:val="ListParagraph"/>
        <w:rPr>
          <w:rFonts w:ascii="Times New Roman" w:hAnsi="Times New Roman" w:cs="Times New Roman"/>
          <w:sz w:val="24"/>
          <w:szCs w:val="24"/>
        </w:rPr>
      </w:pPr>
    </w:p>
    <w:p w14:paraId="276C2644" w14:textId="77777777" w:rsidR="006840C8" w:rsidRPr="006840C8" w:rsidRDefault="006840C8" w:rsidP="006840C8">
      <w:pPr>
        <w:pStyle w:val="ListParagraph"/>
        <w:spacing w:line="480" w:lineRule="auto"/>
        <w:ind w:left="717"/>
        <w:jc w:val="both"/>
        <w:rPr>
          <w:rFonts w:ascii="Times New Roman" w:hAnsi="Times New Roman" w:cs="Times New Roman"/>
          <w:b/>
          <w:i/>
          <w:sz w:val="24"/>
          <w:szCs w:val="24"/>
        </w:rPr>
      </w:pPr>
      <w:r>
        <w:rPr>
          <w:rFonts w:ascii="Times New Roman" w:hAnsi="Times New Roman" w:cs="Times New Roman"/>
          <w:b/>
          <w:i/>
          <w:sz w:val="24"/>
          <w:szCs w:val="24"/>
        </w:rPr>
        <w:t>Relevant principles of construction</w:t>
      </w:r>
    </w:p>
    <w:p w14:paraId="7B04D910" w14:textId="77777777" w:rsidR="00C81485" w:rsidRPr="00C81485" w:rsidRDefault="00C81485" w:rsidP="00C81485">
      <w:pPr>
        <w:pStyle w:val="ListParagraph"/>
        <w:rPr>
          <w:rFonts w:ascii="Times New Roman" w:hAnsi="Times New Roman" w:cs="Times New Roman"/>
          <w:sz w:val="24"/>
          <w:szCs w:val="24"/>
        </w:rPr>
      </w:pPr>
    </w:p>
    <w:p w14:paraId="04083D44" w14:textId="5049C76D" w:rsidR="00E04B09" w:rsidRDefault="001D6359" w:rsidP="00E04B0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was the position of counsel for the defendant </w:t>
      </w:r>
      <w:r w:rsidR="000E1F2B">
        <w:rPr>
          <w:rFonts w:ascii="Times New Roman" w:hAnsi="Times New Roman" w:cs="Times New Roman"/>
          <w:sz w:val="24"/>
          <w:szCs w:val="24"/>
        </w:rPr>
        <w:t xml:space="preserve">in her submissions to the Court </w:t>
      </w:r>
      <w:r>
        <w:rPr>
          <w:rFonts w:ascii="Times New Roman" w:hAnsi="Times New Roman" w:cs="Times New Roman"/>
          <w:sz w:val="24"/>
          <w:szCs w:val="24"/>
        </w:rPr>
        <w:t>that the test to be applied to the construction of t</w:t>
      </w:r>
      <w:r w:rsidR="00C81485">
        <w:rPr>
          <w:rFonts w:ascii="Times New Roman" w:hAnsi="Times New Roman" w:cs="Times New Roman"/>
          <w:sz w:val="24"/>
          <w:szCs w:val="24"/>
        </w:rPr>
        <w:t xml:space="preserve">he </w:t>
      </w:r>
      <w:r w:rsidR="00E04B09">
        <w:rPr>
          <w:rFonts w:ascii="Times New Roman" w:hAnsi="Times New Roman" w:cs="Times New Roman"/>
          <w:sz w:val="24"/>
          <w:szCs w:val="24"/>
        </w:rPr>
        <w:t>d</w:t>
      </w:r>
      <w:r w:rsidR="00C81485">
        <w:rPr>
          <w:rFonts w:ascii="Times New Roman" w:hAnsi="Times New Roman" w:cs="Times New Roman"/>
          <w:sz w:val="24"/>
          <w:szCs w:val="24"/>
        </w:rPr>
        <w:t xml:space="preserve">eed of </w:t>
      </w:r>
      <w:r w:rsidR="00E04B09">
        <w:rPr>
          <w:rFonts w:ascii="Times New Roman" w:hAnsi="Times New Roman" w:cs="Times New Roman"/>
          <w:sz w:val="24"/>
          <w:szCs w:val="24"/>
        </w:rPr>
        <w:t>a</w:t>
      </w:r>
      <w:r w:rsidR="00C81485">
        <w:rPr>
          <w:rFonts w:ascii="Times New Roman" w:hAnsi="Times New Roman" w:cs="Times New Roman"/>
          <w:sz w:val="24"/>
          <w:szCs w:val="24"/>
        </w:rPr>
        <w:t>ppointment</w:t>
      </w:r>
      <w:r>
        <w:rPr>
          <w:rFonts w:ascii="Times New Roman" w:hAnsi="Times New Roman" w:cs="Times New Roman"/>
          <w:sz w:val="24"/>
          <w:szCs w:val="24"/>
        </w:rPr>
        <w:t xml:space="preserve"> was that set forth in the decision of the Supreme Court in </w:t>
      </w:r>
      <w:r>
        <w:rPr>
          <w:rFonts w:ascii="Times New Roman" w:hAnsi="Times New Roman" w:cs="Times New Roman"/>
          <w:i/>
          <w:sz w:val="24"/>
          <w:szCs w:val="24"/>
        </w:rPr>
        <w:t>Analog</w:t>
      </w:r>
      <w:r w:rsidR="00991BF3">
        <w:rPr>
          <w:rFonts w:ascii="Times New Roman" w:hAnsi="Times New Roman" w:cs="Times New Roman"/>
          <w:i/>
          <w:sz w:val="24"/>
          <w:szCs w:val="24"/>
        </w:rPr>
        <w:t xml:space="preserve"> </w:t>
      </w:r>
      <w:r>
        <w:rPr>
          <w:rFonts w:ascii="Times New Roman" w:hAnsi="Times New Roman" w:cs="Times New Roman"/>
          <w:i/>
          <w:sz w:val="24"/>
          <w:szCs w:val="24"/>
        </w:rPr>
        <w:t>Device</w:t>
      </w:r>
      <w:r w:rsidR="00991BF3">
        <w:rPr>
          <w:rFonts w:ascii="Times New Roman" w:hAnsi="Times New Roman" w:cs="Times New Roman"/>
          <w:i/>
          <w:sz w:val="24"/>
          <w:szCs w:val="24"/>
        </w:rPr>
        <w:t>s BV v. Zurich Insurance Company</w:t>
      </w:r>
      <w:r w:rsidR="00991BF3">
        <w:rPr>
          <w:rFonts w:ascii="Times New Roman" w:hAnsi="Times New Roman" w:cs="Times New Roman"/>
          <w:sz w:val="24"/>
          <w:szCs w:val="24"/>
        </w:rPr>
        <w:t xml:space="preserve"> </w:t>
      </w:r>
      <w:r w:rsidR="007971DE">
        <w:rPr>
          <w:rFonts w:ascii="Times New Roman" w:hAnsi="Times New Roman" w:cs="Times New Roman"/>
          <w:sz w:val="24"/>
          <w:szCs w:val="24"/>
        </w:rPr>
        <w:t xml:space="preserve">[2005] IESC 12, </w:t>
      </w:r>
      <w:r w:rsidR="00991BF3">
        <w:rPr>
          <w:rFonts w:ascii="Times New Roman" w:hAnsi="Times New Roman" w:cs="Times New Roman"/>
          <w:sz w:val="24"/>
          <w:szCs w:val="24"/>
        </w:rPr>
        <w:t xml:space="preserve">[2005] 1 IR 274.  There, the </w:t>
      </w:r>
      <w:r w:rsidR="00B625E9">
        <w:rPr>
          <w:rFonts w:ascii="Times New Roman" w:hAnsi="Times New Roman" w:cs="Times New Roman"/>
          <w:sz w:val="24"/>
          <w:szCs w:val="24"/>
        </w:rPr>
        <w:t>c</w:t>
      </w:r>
      <w:r w:rsidR="00991BF3">
        <w:rPr>
          <w:rFonts w:ascii="Times New Roman" w:hAnsi="Times New Roman" w:cs="Times New Roman"/>
          <w:sz w:val="24"/>
          <w:szCs w:val="24"/>
        </w:rPr>
        <w:t xml:space="preserve">ourt approved the approach to contractual </w:t>
      </w:r>
      <w:r w:rsidR="003071B9">
        <w:rPr>
          <w:rFonts w:ascii="Times New Roman" w:hAnsi="Times New Roman" w:cs="Times New Roman"/>
          <w:sz w:val="24"/>
          <w:szCs w:val="24"/>
        </w:rPr>
        <w:t xml:space="preserve">interpretation </w:t>
      </w:r>
      <w:r w:rsidR="00991BF3">
        <w:rPr>
          <w:rFonts w:ascii="Times New Roman" w:hAnsi="Times New Roman" w:cs="Times New Roman"/>
          <w:sz w:val="24"/>
          <w:szCs w:val="24"/>
        </w:rPr>
        <w:t xml:space="preserve">adopted by Lord Hofmann in </w:t>
      </w:r>
      <w:r w:rsidR="00991BF3">
        <w:rPr>
          <w:rFonts w:ascii="Times New Roman" w:hAnsi="Times New Roman" w:cs="Times New Roman"/>
          <w:i/>
          <w:sz w:val="24"/>
          <w:szCs w:val="24"/>
        </w:rPr>
        <w:t xml:space="preserve">Investors Compensation Scheme Ltd. v. West Bromwich BS </w:t>
      </w:r>
      <w:r w:rsidR="00991BF3">
        <w:rPr>
          <w:rFonts w:ascii="Times New Roman" w:hAnsi="Times New Roman" w:cs="Times New Roman"/>
          <w:sz w:val="24"/>
          <w:szCs w:val="24"/>
        </w:rPr>
        <w:t>[1998] 1 WLR 896</w:t>
      </w:r>
      <w:r w:rsidR="00E04B09">
        <w:rPr>
          <w:rFonts w:ascii="Times New Roman" w:hAnsi="Times New Roman" w:cs="Times New Roman"/>
          <w:sz w:val="24"/>
          <w:szCs w:val="24"/>
        </w:rPr>
        <w:t>.</w:t>
      </w:r>
      <w:r w:rsidR="00E04B09" w:rsidRPr="00E04B09">
        <w:rPr>
          <w:rFonts w:ascii="Times New Roman" w:hAnsi="Times New Roman" w:cs="Times New Roman"/>
          <w:sz w:val="24"/>
          <w:szCs w:val="24"/>
        </w:rPr>
        <w:t xml:space="preserve"> </w:t>
      </w:r>
      <w:r w:rsidR="00E04B09">
        <w:rPr>
          <w:rFonts w:ascii="Times New Roman" w:hAnsi="Times New Roman" w:cs="Times New Roman"/>
          <w:sz w:val="24"/>
          <w:szCs w:val="24"/>
        </w:rPr>
        <w:t xml:space="preserve"> </w:t>
      </w:r>
      <w:r w:rsidR="002851FF" w:rsidRPr="00E04B09">
        <w:rPr>
          <w:rFonts w:ascii="Times New Roman" w:hAnsi="Times New Roman" w:cs="Times New Roman"/>
          <w:sz w:val="24"/>
          <w:szCs w:val="24"/>
        </w:rPr>
        <w:t xml:space="preserve">The </w:t>
      </w:r>
      <w:r w:rsidR="00E04B09">
        <w:rPr>
          <w:rFonts w:ascii="Times New Roman" w:hAnsi="Times New Roman" w:cs="Times New Roman"/>
          <w:sz w:val="24"/>
          <w:szCs w:val="24"/>
        </w:rPr>
        <w:t xml:space="preserve">relevant </w:t>
      </w:r>
      <w:r w:rsidR="002851FF" w:rsidRPr="00E04B09">
        <w:rPr>
          <w:rFonts w:ascii="Times New Roman" w:hAnsi="Times New Roman" w:cs="Times New Roman"/>
          <w:sz w:val="24"/>
          <w:szCs w:val="24"/>
        </w:rPr>
        <w:t>train of authority</w:t>
      </w:r>
      <w:r w:rsidR="005A20EC" w:rsidRPr="00E04B09">
        <w:rPr>
          <w:rFonts w:ascii="Times New Roman" w:hAnsi="Times New Roman" w:cs="Times New Roman"/>
          <w:sz w:val="24"/>
          <w:szCs w:val="24"/>
        </w:rPr>
        <w:t xml:space="preserve"> in this jurisdiction</w:t>
      </w:r>
      <w:r w:rsidR="002851FF" w:rsidRPr="00E04B09">
        <w:rPr>
          <w:rFonts w:ascii="Times New Roman" w:hAnsi="Times New Roman" w:cs="Times New Roman"/>
          <w:sz w:val="24"/>
          <w:szCs w:val="24"/>
        </w:rPr>
        <w:t xml:space="preserve"> starting with th</w:t>
      </w:r>
      <w:r w:rsidR="009545D3" w:rsidRPr="00E04B09">
        <w:rPr>
          <w:rFonts w:ascii="Times New Roman" w:hAnsi="Times New Roman" w:cs="Times New Roman"/>
          <w:sz w:val="24"/>
          <w:szCs w:val="24"/>
        </w:rPr>
        <w:t>ose</w:t>
      </w:r>
      <w:r w:rsidR="002851FF" w:rsidRPr="00E04B09">
        <w:rPr>
          <w:rFonts w:ascii="Times New Roman" w:hAnsi="Times New Roman" w:cs="Times New Roman"/>
          <w:sz w:val="24"/>
          <w:szCs w:val="24"/>
        </w:rPr>
        <w:t xml:space="preserve"> </w:t>
      </w:r>
      <w:r w:rsidR="00FA458D">
        <w:rPr>
          <w:rFonts w:ascii="Times New Roman" w:hAnsi="Times New Roman" w:cs="Times New Roman"/>
          <w:sz w:val="24"/>
          <w:szCs w:val="24"/>
        </w:rPr>
        <w:t>cases</w:t>
      </w:r>
      <w:r w:rsidR="005A20EC" w:rsidRPr="00E04B09">
        <w:rPr>
          <w:rFonts w:ascii="Times New Roman" w:hAnsi="Times New Roman" w:cs="Times New Roman"/>
          <w:sz w:val="24"/>
          <w:szCs w:val="24"/>
        </w:rPr>
        <w:t xml:space="preserve"> now </w:t>
      </w:r>
      <w:r w:rsidR="002851FF" w:rsidRPr="00E04B09">
        <w:rPr>
          <w:rFonts w:ascii="Times New Roman" w:hAnsi="Times New Roman" w:cs="Times New Roman"/>
          <w:sz w:val="24"/>
          <w:szCs w:val="24"/>
        </w:rPr>
        <w:t xml:space="preserve">ends with the decisions of the Supreme Court </w:t>
      </w:r>
      <w:r w:rsidR="00C81485" w:rsidRPr="00E04B09">
        <w:rPr>
          <w:rFonts w:ascii="Times New Roman" w:hAnsi="Times New Roman" w:cs="Times New Roman"/>
          <w:sz w:val="24"/>
          <w:szCs w:val="24"/>
        </w:rPr>
        <w:t xml:space="preserve">in </w:t>
      </w:r>
      <w:r w:rsidR="00C81485" w:rsidRPr="00E04B09">
        <w:rPr>
          <w:rFonts w:ascii="Times New Roman" w:hAnsi="Times New Roman" w:cs="Times New Roman"/>
          <w:i/>
          <w:sz w:val="24"/>
          <w:szCs w:val="24"/>
        </w:rPr>
        <w:t>Law Society v. Motor Insurers</w:t>
      </w:r>
      <w:r w:rsidR="007971DE">
        <w:rPr>
          <w:rFonts w:ascii="Times New Roman" w:hAnsi="Times New Roman" w:cs="Times New Roman"/>
          <w:i/>
          <w:sz w:val="24"/>
          <w:szCs w:val="24"/>
        </w:rPr>
        <w:t>’</w:t>
      </w:r>
      <w:r w:rsidR="00C81485" w:rsidRPr="00E04B09">
        <w:rPr>
          <w:rFonts w:ascii="Times New Roman" w:hAnsi="Times New Roman" w:cs="Times New Roman"/>
          <w:i/>
          <w:sz w:val="24"/>
          <w:szCs w:val="24"/>
        </w:rPr>
        <w:t xml:space="preserve"> Bureau of Ireland </w:t>
      </w:r>
      <w:r w:rsidR="00C81485" w:rsidRPr="00E04B09">
        <w:rPr>
          <w:rFonts w:ascii="Times New Roman" w:hAnsi="Times New Roman" w:cs="Times New Roman"/>
          <w:sz w:val="24"/>
          <w:szCs w:val="24"/>
        </w:rPr>
        <w:t xml:space="preserve">[2017] IESC 31 and </w:t>
      </w:r>
      <w:r w:rsidR="00C81485" w:rsidRPr="00E04B09">
        <w:rPr>
          <w:rFonts w:ascii="Times New Roman" w:hAnsi="Times New Roman" w:cs="Times New Roman"/>
          <w:i/>
          <w:sz w:val="24"/>
          <w:szCs w:val="24"/>
        </w:rPr>
        <w:t>Jackie Greene Construction Ltd. v. Irish Nationwide Building Society</w:t>
      </w:r>
      <w:r w:rsidR="00C81485" w:rsidRPr="00E04B09">
        <w:rPr>
          <w:rFonts w:ascii="Times New Roman" w:hAnsi="Times New Roman" w:cs="Times New Roman"/>
          <w:sz w:val="24"/>
          <w:szCs w:val="24"/>
        </w:rPr>
        <w:t xml:space="preserve"> [2019] IESC 2</w:t>
      </w:r>
      <w:r w:rsidR="002851FF" w:rsidRPr="00E04B09">
        <w:rPr>
          <w:rFonts w:ascii="Times New Roman" w:hAnsi="Times New Roman" w:cs="Times New Roman"/>
          <w:sz w:val="24"/>
          <w:szCs w:val="24"/>
        </w:rPr>
        <w:t xml:space="preserve">.  </w:t>
      </w:r>
    </w:p>
    <w:p w14:paraId="4B231652" w14:textId="77777777" w:rsidR="00E04B09" w:rsidRPr="00E04B09" w:rsidRDefault="00E04B09" w:rsidP="00E04B09">
      <w:pPr>
        <w:pStyle w:val="ListParagraph"/>
        <w:rPr>
          <w:rFonts w:ascii="Times New Roman" w:hAnsi="Times New Roman" w:cs="Times New Roman"/>
          <w:sz w:val="24"/>
          <w:szCs w:val="24"/>
        </w:rPr>
      </w:pPr>
    </w:p>
    <w:p w14:paraId="1C1C1F9C" w14:textId="669F8B51" w:rsidR="00EE75E4" w:rsidRPr="00E04B09" w:rsidRDefault="006840C8" w:rsidP="00E04B09">
      <w:pPr>
        <w:pStyle w:val="ListParagraph"/>
        <w:numPr>
          <w:ilvl w:val="0"/>
          <w:numId w:val="6"/>
        </w:numPr>
        <w:spacing w:line="480" w:lineRule="auto"/>
        <w:jc w:val="both"/>
        <w:rPr>
          <w:rFonts w:ascii="Times New Roman" w:hAnsi="Times New Roman" w:cs="Times New Roman"/>
          <w:sz w:val="24"/>
          <w:szCs w:val="24"/>
        </w:rPr>
      </w:pPr>
      <w:r w:rsidRPr="00E04B09">
        <w:rPr>
          <w:rFonts w:ascii="Times New Roman" w:hAnsi="Times New Roman" w:cs="Times New Roman"/>
          <w:sz w:val="24"/>
          <w:szCs w:val="24"/>
        </w:rPr>
        <w:t>The proper analysis was described by Clarke CJ</w:t>
      </w:r>
      <w:r w:rsidR="0076126A">
        <w:rPr>
          <w:rFonts w:ascii="Times New Roman" w:hAnsi="Times New Roman" w:cs="Times New Roman"/>
          <w:sz w:val="24"/>
          <w:szCs w:val="24"/>
        </w:rPr>
        <w:t>.</w:t>
      </w:r>
      <w:r w:rsidRPr="00E04B09">
        <w:rPr>
          <w:rFonts w:ascii="Times New Roman" w:hAnsi="Times New Roman" w:cs="Times New Roman"/>
          <w:sz w:val="24"/>
          <w:szCs w:val="24"/>
        </w:rPr>
        <w:t xml:space="preserve"> in the latter decision as that of </w:t>
      </w:r>
      <w:r w:rsidRPr="007971DE">
        <w:rPr>
          <w:rFonts w:ascii="Times New Roman" w:hAnsi="Times New Roman" w:cs="Times New Roman"/>
          <w:i/>
          <w:sz w:val="24"/>
          <w:szCs w:val="24"/>
        </w:rPr>
        <w:t xml:space="preserve">‘text in context’ </w:t>
      </w:r>
      <w:r w:rsidRPr="00E04B09">
        <w:rPr>
          <w:rFonts w:ascii="Times New Roman" w:hAnsi="Times New Roman" w:cs="Times New Roman"/>
          <w:sz w:val="24"/>
          <w:szCs w:val="24"/>
        </w:rPr>
        <w:t>(</w:t>
      </w:r>
      <w:r w:rsidR="0076126A">
        <w:rPr>
          <w:rFonts w:ascii="Times New Roman" w:hAnsi="Times New Roman" w:cs="Times New Roman"/>
          <w:sz w:val="24"/>
          <w:szCs w:val="24"/>
        </w:rPr>
        <w:t xml:space="preserve">at </w:t>
      </w:r>
      <w:r w:rsidRPr="00E04B09">
        <w:rPr>
          <w:rFonts w:ascii="Times New Roman" w:hAnsi="Times New Roman" w:cs="Times New Roman"/>
          <w:sz w:val="24"/>
          <w:szCs w:val="24"/>
        </w:rPr>
        <w:t xml:space="preserve">para. </w:t>
      </w:r>
      <w:r w:rsidR="0076126A">
        <w:rPr>
          <w:rFonts w:ascii="Times New Roman" w:hAnsi="Times New Roman" w:cs="Times New Roman"/>
          <w:sz w:val="24"/>
          <w:szCs w:val="24"/>
        </w:rPr>
        <w:t>5</w:t>
      </w:r>
      <w:r w:rsidRPr="00E04B09">
        <w:rPr>
          <w:rFonts w:ascii="Times New Roman" w:hAnsi="Times New Roman" w:cs="Times New Roman"/>
          <w:sz w:val="24"/>
          <w:szCs w:val="24"/>
        </w:rPr>
        <w:t xml:space="preserve">.2).  </w:t>
      </w:r>
      <w:r w:rsidR="00C81485" w:rsidRPr="00E04B09">
        <w:rPr>
          <w:rFonts w:ascii="Times New Roman" w:hAnsi="Times New Roman" w:cs="Times New Roman"/>
          <w:sz w:val="24"/>
          <w:szCs w:val="24"/>
        </w:rPr>
        <w:t xml:space="preserve">Recognising that phrases or terminology rarely exist in the </w:t>
      </w:r>
      <w:r w:rsidR="00C81485" w:rsidRPr="00E04B09">
        <w:rPr>
          <w:rFonts w:ascii="Times New Roman" w:hAnsi="Times New Roman" w:cs="Times New Roman"/>
          <w:sz w:val="24"/>
          <w:szCs w:val="24"/>
        </w:rPr>
        <w:lastRenderedPageBreak/>
        <w:t xml:space="preserve">abstract, and thus that the understanding which reasonable and informed persons would give to any text will be informed by the context in which the document concerned has come into existence, </w:t>
      </w:r>
      <w:r w:rsidR="007971DE">
        <w:rPr>
          <w:rFonts w:ascii="Times New Roman" w:hAnsi="Times New Roman" w:cs="Times New Roman"/>
          <w:sz w:val="24"/>
          <w:szCs w:val="24"/>
        </w:rPr>
        <w:t xml:space="preserve">he explained that </w:t>
      </w:r>
      <w:r w:rsidR="00C81485" w:rsidRPr="00E04B09">
        <w:rPr>
          <w:rFonts w:ascii="Times New Roman" w:hAnsi="Times New Roman" w:cs="Times New Roman"/>
          <w:sz w:val="24"/>
          <w:szCs w:val="24"/>
        </w:rPr>
        <w:t xml:space="preserve">the court must approach the </w:t>
      </w:r>
      <w:r w:rsidR="000E6A28">
        <w:rPr>
          <w:rFonts w:ascii="Times New Roman" w:hAnsi="Times New Roman" w:cs="Times New Roman"/>
          <w:sz w:val="24"/>
          <w:szCs w:val="24"/>
        </w:rPr>
        <w:t xml:space="preserve">document being interpreted </w:t>
      </w:r>
      <w:r w:rsidR="00C81485" w:rsidRPr="00E04B09">
        <w:rPr>
          <w:rFonts w:ascii="Times New Roman" w:hAnsi="Times New Roman" w:cs="Times New Roman"/>
          <w:sz w:val="24"/>
          <w:szCs w:val="24"/>
        </w:rPr>
        <w:t xml:space="preserve">on the basis that governing legal rights and obligations should be interpreted as they would be understood by a reasonable and informed member of the public </w:t>
      </w:r>
      <w:r w:rsidR="0070373E">
        <w:rPr>
          <w:rFonts w:ascii="Times New Roman" w:hAnsi="Times New Roman" w:cs="Times New Roman"/>
          <w:sz w:val="24"/>
          <w:szCs w:val="24"/>
        </w:rPr>
        <w:t xml:space="preserve">who is cognisant of the </w:t>
      </w:r>
      <w:r w:rsidR="00C81485" w:rsidRPr="00E04B09">
        <w:rPr>
          <w:rFonts w:ascii="Times New Roman" w:hAnsi="Times New Roman" w:cs="Times New Roman"/>
          <w:sz w:val="24"/>
          <w:szCs w:val="24"/>
        </w:rPr>
        <w:t xml:space="preserve">purpose and intent of, and background to, the document in question.  </w:t>
      </w:r>
    </w:p>
    <w:p w14:paraId="7DF552A6" w14:textId="77777777" w:rsidR="00EE75E4" w:rsidRPr="00EE75E4" w:rsidRDefault="00EE75E4" w:rsidP="00EE75E4">
      <w:pPr>
        <w:pStyle w:val="ListParagraph"/>
        <w:rPr>
          <w:rFonts w:ascii="Times New Roman" w:hAnsi="Times New Roman" w:cs="Times New Roman"/>
          <w:sz w:val="24"/>
          <w:szCs w:val="24"/>
        </w:rPr>
      </w:pPr>
    </w:p>
    <w:p w14:paraId="47A6366B" w14:textId="1AEE911C" w:rsidR="007E39F5" w:rsidRPr="006D3AF7" w:rsidRDefault="00C81485" w:rsidP="006D3AF7">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Important to that exercise (but obviously not dispositive of it) is the ‘</w:t>
      </w:r>
      <w:r w:rsidRPr="00D7207F">
        <w:rPr>
          <w:rFonts w:ascii="Times New Roman" w:hAnsi="Times New Roman" w:cs="Times New Roman"/>
          <w:i/>
          <w:sz w:val="24"/>
          <w:szCs w:val="24"/>
        </w:rPr>
        <w:t>commercial and practical context in which the agreement was meant to operate’</w:t>
      </w:r>
      <w:r w:rsidR="00BE5A99">
        <w:rPr>
          <w:rFonts w:ascii="Times New Roman" w:hAnsi="Times New Roman" w:cs="Times New Roman"/>
          <w:sz w:val="24"/>
          <w:szCs w:val="24"/>
        </w:rPr>
        <w:t>, that context being defined by</w:t>
      </w:r>
      <w:r w:rsidR="00E04B09">
        <w:rPr>
          <w:rFonts w:ascii="Times New Roman" w:hAnsi="Times New Roman" w:cs="Times New Roman"/>
          <w:sz w:val="24"/>
          <w:szCs w:val="24"/>
        </w:rPr>
        <w:t xml:space="preserve">, </w:t>
      </w:r>
      <w:r w:rsidR="00BE5A99">
        <w:rPr>
          <w:rFonts w:ascii="Times New Roman" w:hAnsi="Times New Roman" w:cs="Times New Roman"/>
          <w:sz w:val="24"/>
          <w:szCs w:val="24"/>
        </w:rPr>
        <w:t>and determined by reference to</w:t>
      </w:r>
      <w:r w:rsidR="00E04B09">
        <w:rPr>
          <w:rFonts w:ascii="Times New Roman" w:hAnsi="Times New Roman" w:cs="Times New Roman"/>
          <w:sz w:val="24"/>
          <w:szCs w:val="24"/>
        </w:rPr>
        <w:t>,</w:t>
      </w:r>
      <w:r w:rsidR="00BE5A99">
        <w:rPr>
          <w:rFonts w:ascii="Times New Roman" w:hAnsi="Times New Roman" w:cs="Times New Roman"/>
          <w:sz w:val="24"/>
          <w:szCs w:val="24"/>
        </w:rPr>
        <w:t xml:space="preserve"> ‘</w:t>
      </w:r>
      <w:r w:rsidR="00BE5A99">
        <w:rPr>
          <w:rFonts w:ascii="Times New Roman" w:hAnsi="Times New Roman" w:cs="Times New Roman"/>
          <w:i/>
          <w:sz w:val="24"/>
          <w:szCs w:val="24"/>
        </w:rPr>
        <w:t xml:space="preserve">all available guides to the meaning of the agreement’ </w:t>
      </w:r>
      <w:r w:rsidRPr="00D7207F">
        <w:rPr>
          <w:rFonts w:ascii="Times New Roman" w:hAnsi="Times New Roman" w:cs="Times New Roman"/>
          <w:sz w:val="24"/>
          <w:szCs w:val="24"/>
        </w:rPr>
        <w:t xml:space="preserve">(per O’Donnell J. </w:t>
      </w:r>
      <w:r w:rsidRPr="00D7207F">
        <w:rPr>
          <w:rFonts w:ascii="Times New Roman" w:hAnsi="Times New Roman" w:cs="Times New Roman"/>
          <w:i/>
          <w:sz w:val="24"/>
          <w:szCs w:val="24"/>
        </w:rPr>
        <w:t>Law Society v. MIBI</w:t>
      </w:r>
      <w:r w:rsidRPr="00D7207F">
        <w:rPr>
          <w:rFonts w:ascii="Times New Roman" w:hAnsi="Times New Roman" w:cs="Times New Roman"/>
          <w:sz w:val="24"/>
          <w:szCs w:val="24"/>
        </w:rPr>
        <w:t xml:space="preserve"> at para</w:t>
      </w:r>
      <w:r w:rsidR="00BE5A99">
        <w:rPr>
          <w:rFonts w:ascii="Times New Roman" w:hAnsi="Times New Roman" w:cs="Times New Roman"/>
          <w:sz w:val="24"/>
          <w:szCs w:val="24"/>
        </w:rPr>
        <w:t>s</w:t>
      </w:r>
      <w:r w:rsidRPr="00D7207F">
        <w:rPr>
          <w:rFonts w:ascii="Times New Roman" w:hAnsi="Times New Roman" w:cs="Times New Roman"/>
          <w:sz w:val="24"/>
          <w:szCs w:val="24"/>
        </w:rPr>
        <w:t xml:space="preserve">. </w:t>
      </w:r>
      <w:r w:rsidR="007971DE">
        <w:rPr>
          <w:rFonts w:ascii="Times New Roman" w:hAnsi="Times New Roman" w:cs="Times New Roman"/>
          <w:sz w:val="24"/>
          <w:szCs w:val="24"/>
        </w:rPr>
        <w:t xml:space="preserve">9 and </w:t>
      </w:r>
      <w:r w:rsidRPr="00D7207F">
        <w:rPr>
          <w:rFonts w:ascii="Times New Roman" w:hAnsi="Times New Roman" w:cs="Times New Roman"/>
          <w:sz w:val="24"/>
          <w:szCs w:val="24"/>
        </w:rPr>
        <w:t>12).</w:t>
      </w:r>
      <w:r w:rsidR="00BE5A99">
        <w:rPr>
          <w:rFonts w:ascii="Times New Roman" w:hAnsi="Times New Roman" w:cs="Times New Roman"/>
          <w:sz w:val="24"/>
          <w:szCs w:val="24"/>
        </w:rPr>
        <w:t xml:space="preserve">    </w:t>
      </w:r>
      <w:r w:rsidR="00504F15">
        <w:rPr>
          <w:rFonts w:ascii="Times New Roman" w:hAnsi="Times New Roman" w:cs="Times New Roman"/>
          <w:sz w:val="24"/>
          <w:szCs w:val="24"/>
        </w:rPr>
        <w:t>O’Donnell J.</w:t>
      </w:r>
      <w:r w:rsidR="00BE5A99">
        <w:rPr>
          <w:rFonts w:ascii="Times New Roman" w:hAnsi="Times New Roman" w:cs="Times New Roman"/>
          <w:sz w:val="24"/>
          <w:szCs w:val="24"/>
        </w:rPr>
        <w:t xml:space="preserve"> </w:t>
      </w:r>
      <w:r w:rsidR="007E39F5">
        <w:rPr>
          <w:rFonts w:ascii="Times New Roman" w:hAnsi="Times New Roman" w:cs="Times New Roman"/>
          <w:sz w:val="24"/>
          <w:szCs w:val="24"/>
        </w:rPr>
        <w:t xml:space="preserve">identified </w:t>
      </w:r>
      <w:r w:rsidR="00BE5A99">
        <w:rPr>
          <w:rFonts w:ascii="Times New Roman" w:hAnsi="Times New Roman" w:cs="Times New Roman"/>
          <w:sz w:val="24"/>
          <w:szCs w:val="24"/>
        </w:rPr>
        <w:t>this context as follows (at para. 12):</w:t>
      </w:r>
    </w:p>
    <w:p w14:paraId="4E8292EB" w14:textId="77777777" w:rsidR="007E39F5" w:rsidRPr="007E39F5" w:rsidRDefault="007E39F5" w:rsidP="007E39F5">
      <w:pPr>
        <w:pStyle w:val="ListParagraph"/>
        <w:spacing w:line="480" w:lineRule="auto"/>
        <w:ind w:left="717"/>
        <w:jc w:val="both"/>
        <w:rPr>
          <w:rFonts w:ascii="Times New Roman" w:hAnsi="Times New Roman" w:cs="Times New Roman"/>
          <w:sz w:val="24"/>
          <w:szCs w:val="24"/>
        </w:rPr>
      </w:pPr>
    </w:p>
    <w:p w14:paraId="024B185E" w14:textId="77777777" w:rsidR="003419E6" w:rsidRPr="00BE5A99" w:rsidRDefault="003419E6" w:rsidP="003419E6">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In that regard the Court must consider not just the words just, but also the specific context</w:t>
      </w:r>
      <w:r w:rsidR="004009A5">
        <w:rPr>
          <w:rFonts w:ascii="Times New Roman" w:hAnsi="Times New Roman" w:cs="Times New Roman"/>
          <w:i/>
          <w:sz w:val="24"/>
          <w:szCs w:val="24"/>
        </w:rPr>
        <w:t>,</w:t>
      </w:r>
      <w:r>
        <w:rPr>
          <w:rFonts w:ascii="Times New Roman" w:hAnsi="Times New Roman" w:cs="Times New Roman"/>
          <w:i/>
          <w:sz w:val="24"/>
          <w:szCs w:val="24"/>
        </w:rPr>
        <w:t xml:space="preserve"> the broader context, the background law, any prior agreements, the other terms of this Agreement, other provisions drafted at the same time and forming part of the same transaction, and what might be described as the logic, commercial or otherwise, of the agreement.</w:t>
      </w:r>
    </w:p>
    <w:p w14:paraId="15F27D35" w14:textId="77777777" w:rsidR="003419E6" w:rsidRPr="003419E6" w:rsidRDefault="003419E6" w:rsidP="003419E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12BA106F" w14:textId="088E8DDB" w:rsidR="00F828AD" w:rsidRDefault="003419E6" w:rsidP="003419E6">
      <w:pPr>
        <w:pStyle w:val="ListParagraph"/>
        <w:numPr>
          <w:ilvl w:val="0"/>
          <w:numId w:val="6"/>
        </w:numPr>
        <w:spacing w:line="480" w:lineRule="auto"/>
        <w:jc w:val="both"/>
        <w:rPr>
          <w:rFonts w:ascii="Times New Roman" w:hAnsi="Times New Roman" w:cs="Times New Roman"/>
          <w:sz w:val="24"/>
          <w:szCs w:val="24"/>
        </w:rPr>
      </w:pPr>
      <w:r w:rsidRPr="003419E6">
        <w:rPr>
          <w:rFonts w:ascii="Times New Roman" w:hAnsi="Times New Roman" w:cs="Times New Roman"/>
          <w:sz w:val="24"/>
          <w:szCs w:val="24"/>
        </w:rPr>
        <w:t xml:space="preserve"> </w:t>
      </w:r>
      <w:r w:rsidR="00F828AD">
        <w:rPr>
          <w:rFonts w:ascii="Times New Roman" w:hAnsi="Times New Roman" w:cs="Times New Roman"/>
          <w:sz w:val="24"/>
          <w:szCs w:val="24"/>
        </w:rPr>
        <w:t xml:space="preserve">Of course, these principles have to be applied having regard to the nature of the document in issue.  As Clarke J. (as he then was) observed in the course of his dissenting judgment in </w:t>
      </w:r>
      <w:r w:rsidR="00F828AD">
        <w:rPr>
          <w:rFonts w:ascii="Times New Roman" w:hAnsi="Times New Roman" w:cs="Times New Roman"/>
          <w:i/>
          <w:sz w:val="24"/>
          <w:szCs w:val="24"/>
        </w:rPr>
        <w:t xml:space="preserve">Law Society v. MIBI, </w:t>
      </w:r>
      <w:r w:rsidR="00F828AD">
        <w:rPr>
          <w:rFonts w:ascii="Times New Roman" w:hAnsi="Times New Roman" w:cs="Times New Roman"/>
          <w:sz w:val="24"/>
          <w:szCs w:val="24"/>
        </w:rPr>
        <w:t>there are certain instruments which, by their nature, are intended to be formal in terms</w:t>
      </w:r>
      <w:r w:rsidR="003071B9">
        <w:rPr>
          <w:rFonts w:ascii="Times New Roman" w:hAnsi="Times New Roman" w:cs="Times New Roman"/>
          <w:sz w:val="24"/>
          <w:szCs w:val="24"/>
        </w:rPr>
        <w:t>,</w:t>
      </w:r>
      <w:r w:rsidR="00F828AD">
        <w:rPr>
          <w:rFonts w:ascii="Times New Roman" w:hAnsi="Times New Roman" w:cs="Times New Roman"/>
          <w:sz w:val="24"/>
          <w:szCs w:val="24"/>
        </w:rPr>
        <w:t xml:space="preserve"> and significant in effect</w:t>
      </w:r>
      <w:r w:rsidR="003071B9">
        <w:rPr>
          <w:rFonts w:ascii="Times New Roman" w:hAnsi="Times New Roman" w:cs="Times New Roman"/>
          <w:sz w:val="24"/>
          <w:szCs w:val="24"/>
        </w:rPr>
        <w:t>,</w:t>
      </w:r>
      <w:r w:rsidR="00F828AD">
        <w:rPr>
          <w:rFonts w:ascii="Times New Roman" w:hAnsi="Times New Roman" w:cs="Times New Roman"/>
          <w:sz w:val="24"/>
          <w:szCs w:val="24"/>
        </w:rPr>
        <w:t xml:space="preserve"> in respect of which it is reasonable to assume that the authors or parties intended that</w:t>
      </w:r>
      <w:r w:rsidR="004C5D61">
        <w:rPr>
          <w:rFonts w:ascii="Times New Roman" w:hAnsi="Times New Roman" w:cs="Times New Roman"/>
          <w:sz w:val="24"/>
          <w:szCs w:val="24"/>
        </w:rPr>
        <w:t xml:space="preserve"> </w:t>
      </w:r>
      <w:r w:rsidR="00F828AD">
        <w:rPr>
          <w:rFonts w:ascii="Times New Roman" w:hAnsi="Times New Roman" w:cs="Times New Roman"/>
          <w:sz w:val="24"/>
          <w:szCs w:val="24"/>
        </w:rPr>
        <w:t xml:space="preserve">words would be used with precision.  In those situations, information extraneous to the document itself may be of less relevance in construing the instrument for the simple reason that the exercise of </w:t>
      </w:r>
      <w:r w:rsidR="00F828AD">
        <w:rPr>
          <w:rFonts w:ascii="Times New Roman" w:hAnsi="Times New Roman" w:cs="Times New Roman"/>
          <w:sz w:val="24"/>
          <w:szCs w:val="24"/>
        </w:rPr>
        <w:lastRenderedPageBreak/>
        <w:t xml:space="preserve">determining the parties’ intent must accord significant weight to the assumption that they had chosen their language carefully.  </w:t>
      </w:r>
    </w:p>
    <w:p w14:paraId="071522F5" w14:textId="77777777" w:rsidR="00F828AD" w:rsidRDefault="00F828AD" w:rsidP="00F828AD">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0EAC00F" w14:textId="1C86B7A2" w:rsidR="00957BE1" w:rsidRDefault="00F828AD" w:rsidP="003419E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But even bearing this in mind, w</w:t>
      </w:r>
      <w:r w:rsidR="008E798D" w:rsidRPr="003419E6">
        <w:rPr>
          <w:rFonts w:ascii="Times New Roman" w:hAnsi="Times New Roman" w:cs="Times New Roman"/>
          <w:sz w:val="24"/>
          <w:szCs w:val="24"/>
        </w:rPr>
        <w:t>hen th</w:t>
      </w:r>
      <w:r w:rsidR="008D7E05">
        <w:rPr>
          <w:rFonts w:ascii="Times New Roman" w:hAnsi="Times New Roman" w:cs="Times New Roman"/>
          <w:sz w:val="24"/>
          <w:szCs w:val="24"/>
        </w:rPr>
        <w:t>is</w:t>
      </w:r>
      <w:r w:rsidR="008E798D" w:rsidRPr="003419E6">
        <w:rPr>
          <w:rFonts w:ascii="Times New Roman" w:hAnsi="Times New Roman" w:cs="Times New Roman"/>
          <w:sz w:val="24"/>
          <w:szCs w:val="24"/>
        </w:rPr>
        <w:t xml:space="preserve"> approach is applied to the construction of the </w:t>
      </w:r>
      <w:r w:rsidR="00E04B09">
        <w:rPr>
          <w:rFonts w:ascii="Times New Roman" w:hAnsi="Times New Roman" w:cs="Times New Roman"/>
          <w:sz w:val="24"/>
          <w:szCs w:val="24"/>
        </w:rPr>
        <w:t>d</w:t>
      </w:r>
      <w:r w:rsidR="008E798D" w:rsidRPr="003419E6">
        <w:rPr>
          <w:rFonts w:ascii="Times New Roman" w:hAnsi="Times New Roman" w:cs="Times New Roman"/>
          <w:sz w:val="24"/>
          <w:szCs w:val="24"/>
        </w:rPr>
        <w:t xml:space="preserve">eed of </w:t>
      </w:r>
      <w:r w:rsidR="00E04B09">
        <w:rPr>
          <w:rFonts w:ascii="Times New Roman" w:hAnsi="Times New Roman" w:cs="Times New Roman"/>
          <w:sz w:val="24"/>
          <w:szCs w:val="24"/>
        </w:rPr>
        <w:t>a</w:t>
      </w:r>
      <w:r w:rsidR="008E798D" w:rsidRPr="003419E6">
        <w:rPr>
          <w:rFonts w:ascii="Times New Roman" w:hAnsi="Times New Roman" w:cs="Times New Roman"/>
          <w:sz w:val="24"/>
          <w:szCs w:val="24"/>
        </w:rPr>
        <w:t xml:space="preserve">ppointment – a document issued by the Bank and </w:t>
      </w:r>
      <w:r w:rsidR="00957BE1">
        <w:rPr>
          <w:rFonts w:ascii="Times New Roman" w:hAnsi="Times New Roman" w:cs="Times New Roman"/>
          <w:sz w:val="24"/>
          <w:szCs w:val="24"/>
        </w:rPr>
        <w:t xml:space="preserve">accepted </w:t>
      </w:r>
      <w:r w:rsidR="008E798D" w:rsidRPr="003419E6">
        <w:rPr>
          <w:rFonts w:ascii="Times New Roman" w:hAnsi="Times New Roman" w:cs="Times New Roman"/>
          <w:sz w:val="24"/>
          <w:szCs w:val="24"/>
        </w:rPr>
        <w:t>by the plaintiff</w:t>
      </w:r>
      <w:r w:rsidR="00504F15">
        <w:rPr>
          <w:rFonts w:ascii="Times New Roman" w:hAnsi="Times New Roman" w:cs="Times New Roman"/>
          <w:sz w:val="24"/>
          <w:szCs w:val="24"/>
        </w:rPr>
        <w:t xml:space="preserve"> </w:t>
      </w:r>
      <w:r w:rsidR="008E798D" w:rsidRPr="003419E6">
        <w:rPr>
          <w:rFonts w:ascii="Times New Roman" w:hAnsi="Times New Roman" w:cs="Times New Roman"/>
          <w:sz w:val="24"/>
          <w:szCs w:val="24"/>
        </w:rPr>
        <w:t>– the starting point must be that language used in th</w:t>
      </w:r>
      <w:r w:rsidR="00E04B09">
        <w:rPr>
          <w:rFonts w:ascii="Times New Roman" w:hAnsi="Times New Roman" w:cs="Times New Roman"/>
          <w:sz w:val="24"/>
          <w:szCs w:val="24"/>
        </w:rPr>
        <w:t>at d</w:t>
      </w:r>
      <w:r w:rsidR="008E798D" w:rsidRPr="003419E6">
        <w:rPr>
          <w:rFonts w:ascii="Times New Roman" w:hAnsi="Times New Roman" w:cs="Times New Roman"/>
          <w:sz w:val="24"/>
          <w:szCs w:val="24"/>
        </w:rPr>
        <w:t xml:space="preserve">eed was intended by the parties to </w:t>
      </w:r>
      <w:r w:rsidR="0031151A">
        <w:rPr>
          <w:rFonts w:ascii="Times New Roman" w:hAnsi="Times New Roman" w:cs="Times New Roman"/>
          <w:sz w:val="24"/>
          <w:szCs w:val="24"/>
        </w:rPr>
        <w:t xml:space="preserve">carry </w:t>
      </w:r>
      <w:r w:rsidR="008E798D" w:rsidRPr="003419E6">
        <w:rPr>
          <w:rFonts w:ascii="Times New Roman" w:hAnsi="Times New Roman" w:cs="Times New Roman"/>
          <w:sz w:val="24"/>
          <w:szCs w:val="24"/>
        </w:rPr>
        <w:t xml:space="preserve">the same meaning as it bears in the mortgage agreement on foot of which the appointment was made.  </w:t>
      </w:r>
      <w:r w:rsidR="009545D3">
        <w:rPr>
          <w:rFonts w:ascii="Times New Roman" w:hAnsi="Times New Roman" w:cs="Times New Roman"/>
          <w:sz w:val="24"/>
          <w:szCs w:val="24"/>
        </w:rPr>
        <w:t xml:space="preserve">Indeed, it was accepted by counsel for the defendant in the course of her submissions that in construing the </w:t>
      </w:r>
      <w:r w:rsidR="00E04B09">
        <w:rPr>
          <w:rFonts w:ascii="Times New Roman" w:hAnsi="Times New Roman" w:cs="Times New Roman"/>
          <w:sz w:val="24"/>
          <w:szCs w:val="24"/>
        </w:rPr>
        <w:t>d</w:t>
      </w:r>
      <w:r w:rsidR="009545D3">
        <w:rPr>
          <w:rFonts w:ascii="Times New Roman" w:hAnsi="Times New Roman" w:cs="Times New Roman"/>
          <w:sz w:val="24"/>
          <w:szCs w:val="24"/>
        </w:rPr>
        <w:t xml:space="preserve">eed of </w:t>
      </w:r>
      <w:r w:rsidR="00E04B09">
        <w:rPr>
          <w:rFonts w:ascii="Times New Roman" w:hAnsi="Times New Roman" w:cs="Times New Roman"/>
          <w:sz w:val="24"/>
          <w:szCs w:val="24"/>
        </w:rPr>
        <w:t>a</w:t>
      </w:r>
      <w:r w:rsidR="009545D3">
        <w:rPr>
          <w:rFonts w:ascii="Times New Roman" w:hAnsi="Times New Roman" w:cs="Times New Roman"/>
          <w:sz w:val="24"/>
          <w:szCs w:val="24"/>
        </w:rPr>
        <w:t xml:space="preserve">ppointment, the mortgage agreement formed part of the relevant factual matrix.  </w:t>
      </w:r>
      <w:r w:rsidR="00941016" w:rsidRPr="003419E6">
        <w:rPr>
          <w:rFonts w:ascii="Times New Roman" w:hAnsi="Times New Roman" w:cs="Times New Roman"/>
          <w:sz w:val="24"/>
          <w:szCs w:val="24"/>
        </w:rPr>
        <w:t xml:space="preserve">Presumptively, instruments which are closely connected and </w:t>
      </w:r>
      <w:r w:rsidR="003642C9">
        <w:rPr>
          <w:rFonts w:ascii="Times New Roman" w:hAnsi="Times New Roman" w:cs="Times New Roman"/>
          <w:sz w:val="24"/>
          <w:szCs w:val="24"/>
        </w:rPr>
        <w:t xml:space="preserve">are </w:t>
      </w:r>
      <w:r w:rsidR="00941016" w:rsidRPr="003419E6">
        <w:rPr>
          <w:rFonts w:ascii="Times New Roman" w:hAnsi="Times New Roman" w:cs="Times New Roman"/>
          <w:sz w:val="24"/>
          <w:szCs w:val="24"/>
        </w:rPr>
        <w:t xml:space="preserve">intended to refer to each other deploy words with the same intended meaning.  </w:t>
      </w:r>
      <w:r w:rsidR="00B25F0A" w:rsidRPr="003419E6">
        <w:rPr>
          <w:rFonts w:ascii="Times New Roman" w:hAnsi="Times New Roman" w:cs="Times New Roman"/>
          <w:sz w:val="24"/>
          <w:szCs w:val="24"/>
        </w:rPr>
        <w:t xml:space="preserve">Where, as here, a </w:t>
      </w:r>
      <w:r w:rsidR="00E04B09">
        <w:rPr>
          <w:rFonts w:ascii="Times New Roman" w:hAnsi="Times New Roman" w:cs="Times New Roman"/>
          <w:sz w:val="24"/>
          <w:szCs w:val="24"/>
        </w:rPr>
        <w:t>d</w:t>
      </w:r>
      <w:r w:rsidR="00B25F0A" w:rsidRPr="003419E6">
        <w:rPr>
          <w:rFonts w:ascii="Times New Roman" w:hAnsi="Times New Roman" w:cs="Times New Roman"/>
          <w:sz w:val="24"/>
          <w:szCs w:val="24"/>
        </w:rPr>
        <w:t xml:space="preserve">eed of </w:t>
      </w:r>
      <w:r w:rsidR="00E04B09">
        <w:rPr>
          <w:rFonts w:ascii="Times New Roman" w:hAnsi="Times New Roman" w:cs="Times New Roman"/>
          <w:sz w:val="24"/>
          <w:szCs w:val="24"/>
        </w:rPr>
        <w:t>a</w:t>
      </w:r>
      <w:r w:rsidR="00B25F0A" w:rsidRPr="003419E6">
        <w:rPr>
          <w:rFonts w:ascii="Times New Roman" w:hAnsi="Times New Roman" w:cs="Times New Roman"/>
          <w:sz w:val="24"/>
          <w:szCs w:val="24"/>
        </w:rPr>
        <w:t xml:space="preserve">ppointment is expressly stated to be </w:t>
      </w:r>
      <w:r w:rsidR="00BD1A46">
        <w:rPr>
          <w:rFonts w:ascii="Times New Roman" w:hAnsi="Times New Roman" w:cs="Times New Roman"/>
          <w:sz w:val="24"/>
          <w:szCs w:val="24"/>
        </w:rPr>
        <w:t>a</w:t>
      </w:r>
      <w:r w:rsidR="00B25F0A" w:rsidRPr="003419E6">
        <w:rPr>
          <w:rFonts w:ascii="Times New Roman" w:hAnsi="Times New Roman" w:cs="Times New Roman"/>
          <w:sz w:val="24"/>
          <w:szCs w:val="24"/>
        </w:rPr>
        <w:t xml:space="preserve">n implementation of powers conferred by a mortgage agreement, it must be assumed that the parties to the </w:t>
      </w:r>
      <w:r w:rsidR="00E04B09">
        <w:rPr>
          <w:rFonts w:ascii="Times New Roman" w:hAnsi="Times New Roman" w:cs="Times New Roman"/>
          <w:sz w:val="24"/>
          <w:szCs w:val="24"/>
        </w:rPr>
        <w:t>d</w:t>
      </w:r>
      <w:r w:rsidR="00B25F0A" w:rsidRPr="003419E6">
        <w:rPr>
          <w:rFonts w:ascii="Times New Roman" w:hAnsi="Times New Roman" w:cs="Times New Roman"/>
          <w:sz w:val="24"/>
          <w:szCs w:val="24"/>
        </w:rPr>
        <w:t xml:space="preserve">eed intended that it would give effect to the underlying mortgage agreement and, that being so, that a word when used in the </w:t>
      </w:r>
      <w:r w:rsidR="00E04B09">
        <w:rPr>
          <w:rFonts w:ascii="Times New Roman" w:hAnsi="Times New Roman" w:cs="Times New Roman"/>
          <w:sz w:val="24"/>
          <w:szCs w:val="24"/>
        </w:rPr>
        <w:t>d</w:t>
      </w:r>
      <w:r w:rsidR="00B25F0A" w:rsidRPr="003419E6">
        <w:rPr>
          <w:rFonts w:ascii="Times New Roman" w:hAnsi="Times New Roman" w:cs="Times New Roman"/>
          <w:sz w:val="24"/>
          <w:szCs w:val="24"/>
        </w:rPr>
        <w:t xml:space="preserve">eed of </w:t>
      </w:r>
      <w:r w:rsidR="00E04B09">
        <w:rPr>
          <w:rFonts w:ascii="Times New Roman" w:hAnsi="Times New Roman" w:cs="Times New Roman"/>
          <w:sz w:val="24"/>
          <w:szCs w:val="24"/>
        </w:rPr>
        <w:t>a</w:t>
      </w:r>
      <w:r w:rsidR="00B25F0A" w:rsidRPr="003419E6">
        <w:rPr>
          <w:rFonts w:ascii="Times New Roman" w:hAnsi="Times New Roman" w:cs="Times New Roman"/>
          <w:sz w:val="24"/>
          <w:szCs w:val="24"/>
        </w:rPr>
        <w:t xml:space="preserve">ppointment had the same meaning as in the </w:t>
      </w:r>
      <w:r w:rsidR="00E04B09">
        <w:rPr>
          <w:rFonts w:ascii="Times New Roman" w:hAnsi="Times New Roman" w:cs="Times New Roman"/>
          <w:sz w:val="24"/>
          <w:szCs w:val="24"/>
        </w:rPr>
        <w:t>m</w:t>
      </w:r>
      <w:r w:rsidR="00B25F0A" w:rsidRPr="003419E6">
        <w:rPr>
          <w:rFonts w:ascii="Times New Roman" w:hAnsi="Times New Roman" w:cs="Times New Roman"/>
          <w:sz w:val="24"/>
          <w:szCs w:val="24"/>
        </w:rPr>
        <w:t>ort</w:t>
      </w:r>
      <w:r w:rsidR="00E149EC" w:rsidRPr="003419E6">
        <w:rPr>
          <w:rFonts w:ascii="Times New Roman" w:hAnsi="Times New Roman" w:cs="Times New Roman"/>
          <w:sz w:val="24"/>
          <w:szCs w:val="24"/>
        </w:rPr>
        <w:t>g</w:t>
      </w:r>
      <w:r w:rsidR="00B25F0A" w:rsidRPr="003419E6">
        <w:rPr>
          <w:rFonts w:ascii="Times New Roman" w:hAnsi="Times New Roman" w:cs="Times New Roman"/>
          <w:sz w:val="24"/>
          <w:szCs w:val="24"/>
        </w:rPr>
        <w:t xml:space="preserve">age.  </w:t>
      </w:r>
    </w:p>
    <w:p w14:paraId="58D6DBFC" w14:textId="77777777" w:rsidR="00957BE1" w:rsidRDefault="00957BE1" w:rsidP="00957BE1">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45C238E6" w14:textId="77777777" w:rsidR="002528A4" w:rsidRPr="003419E6" w:rsidRDefault="00957BE1" w:rsidP="003419E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Approaching the matter in this way</w:t>
      </w:r>
      <w:r w:rsidR="004009A5">
        <w:rPr>
          <w:rFonts w:ascii="Times New Roman" w:hAnsi="Times New Roman" w:cs="Times New Roman"/>
          <w:sz w:val="24"/>
          <w:szCs w:val="24"/>
        </w:rPr>
        <w:t xml:space="preserve"> gives effect </w:t>
      </w:r>
      <w:r>
        <w:rPr>
          <w:rFonts w:ascii="Times New Roman" w:hAnsi="Times New Roman" w:cs="Times New Roman"/>
          <w:sz w:val="24"/>
          <w:szCs w:val="24"/>
        </w:rPr>
        <w:t xml:space="preserve">both </w:t>
      </w:r>
      <w:r w:rsidR="004009A5">
        <w:rPr>
          <w:rFonts w:ascii="Times New Roman" w:hAnsi="Times New Roman" w:cs="Times New Roman"/>
          <w:sz w:val="24"/>
          <w:szCs w:val="24"/>
        </w:rPr>
        <w:t xml:space="preserve">to the mandate that the court look to the specific and broader context to the document and to the </w:t>
      </w:r>
      <w:r>
        <w:rPr>
          <w:rFonts w:ascii="Times New Roman" w:hAnsi="Times New Roman" w:cs="Times New Roman"/>
          <w:sz w:val="24"/>
          <w:szCs w:val="24"/>
        </w:rPr>
        <w:t xml:space="preserve">requirement </w:t>
      </w:r>
      <w:r w:rsidR="004009A5">
        <w:rPr>
          <w:rFonts w:ascii="Times New Roman" w:hAnsi="Times New Roman" w:cs="Times New Roman"/>
          <w:sz w:val="24"/>
          <w:szCs w:val="24"/>
        </w:rPr>
        <w:t xml:space="preserve">that the exercise of interpreting it </w:t>
      </w:r>
      <w:r>
        <w:rPr>
          <w:rFonts w:ascii="Times New Roman" w:hAnsi="Times New Roman" w:cs="Times New Roman"/>
          <w:sz w:val="24"/>
          <w:szCs w:val="24"/>
        </w:rPr>
        <w:t>be directed to the logic – commercial and otherwise – of the instrument. Harmoni</w:t>
      </w:r>
      <w:r w:rsidR="008B1494">
        <w:rPr>
          <w:rFonts w:ascii="Times New Roman" w:hAnsi="Times New Roman" w:cs="Times New Roman"/>
          <w:sz w:val="24"/>
          <w:szCs w:val="24"/>
        </w:rPr>
        <w:t>o</w:t>
      </w:r>
      <w:r>
        <w:rPr>
          <w:rFonts w:ascii="Times New Roman" w:hAnsi="Times New Roman" w:cs="Times New Roman"/>
          <w:sz w:val="24"/>
          <w:szCs w:val="24"/>
        </w:rPr>
        <w:t>us interpretation of the deed of appointment and of the mortgage</w:t>
      </w:r>
      <w:r w:rsidR="00B25F0A" w:rsidRPr="003419E6">
        <w:rPr>
          <w:rFonts w:ascii="Times New Roman" w:hAnsi="Times New Roman" w:cs="Times New Roman"/>
          <w:sz w:val="24"/>
          <w:szCs w:val="24"/>
        </w:rPr>
        <w:t xml:space="preserve"> </w:t>
      </w:r>
      <w:r w:rsidR="00B878EE">
        <w:rPr>
          <w:rFonts w:ascii="Times New Roman" w:hAnsi="Times New Roman" w:cs="Times New Roman"/>
          <w:sz w:val="24"/>
          <w:szCs w:val="24"/>
        </w:rPr>
        <w:t xml:space="preserve">– insofar as this is reasonably possible - </w:t>
      </w:r>
      <w:r w:rsidR="00B25F0A" w:rsidRPr="003419E6">
        <w:rPr>
          <w:rFonts w:ascii="Times New Roman" w:hAnsi="Times New Roman" w:cs="Times New Roman"/>
          <w:sz w:val="24"/>
          <w:szCs w:val="24"/>
        </w:rPr>
        <w:t xml:space="preserve">is </w:t>
      </w:r>
      <w:r>
        <w:rPr>
          <w:rFonts w:ascii="Times New Roman" w:hAnsi="Times New Roman" w:cs="Times New Roman"/>
          <w:sz w:val="24"/>
          <w:szCs w:val="24"/>
        </w:rPr>
        <w:t>thus the</w:t>
      </w:r>
      <w:r w:rsidR="00B25F0A" w:rsidRPr="003419E6">
        <w:rPr>
          <w:rFonts w:ascii="Times New Roman" w:hAnsi="Times New Roman" w:cs="Times New Roman"/>
          <w:sz w:val="24"/>
          <w:szCs w:val="24"/>
        </w:rPr>
        <w:t xml:space="preserve"> inevitable </w:t>
      </w:r>
      <w:r w:rsidR="0031151A">
        <w:rPr>
          <w:rFonts w:ascii="Times New Roman" w:hAnsi="Times New Roman" w:cs="Times New Roman"/>
          <w:sz w:val="24"/>
          <w:szCs w:val="24"/>
        </w:rPr>
        <w:t xml:space="preserve">consequence </w:t>
      </w:r>
      <w:r>
        <w:rPr>
          <w:rFonts w:ascii="Times New Roman" w:hAnsi="Times New Roman" w:cs="Times New Roman"/>
          <w:sz w:val="24"/>
          <w:szCs w:val="24"/>
        </w:rPr>
        <w:t xml:space="preserve">of </w:t>
      </w:r>
      <w:r w:rsidR="00B25F0A" w:rsidRPr="003419E6">
        <w:rPr>
          <w:rFonts w:ascii="Times New Roman" w:hAnsi="Times New Roman" w:cs="Times New Roman"/>
          <w:sz w:val="24"/>
          <w:szCs w:val="24"/>
        </w:rPr>
        <w:t>the application of a commercial and practical construction</w:t>
      </w:r>
      <w:r w:rsidR="00E149EC" w:rsidRPr="003419E6">
        <w:rPr>
          <w:rFonts w:ascii="Times New Roman" w:hAnsi="Times New Roman" w:cs="Times New Roman"/>
          <w:sz w:val="24"/>
          <w:szCs w:val="24"/>
        </w:rPr>
        <w:t xml:space="preserve"> </w:t>
      </w:r>
      <w:r w:rsidR="000F28F8" w:rsidRPr="003419E6">
        <w:rPr>
          <w:rFonts w:ascii="Times New Roman" w:hAnsi="Times New Roman" w:cs="Times New Roman"/>
          <w:sz w:val="24"/>
          <w:szCs w:val="24"/>
        </w:rPr>
        <w:t xml:space="preserve">and </w:t>
      </w:r>
      <w:r>
        <w:rPr>
          <w:rFonts w:ascii="Times New Roman" w:hAnsi="Times New Roman" w:cs="Times New Roman"/>
          <w:sz w:val="24"/>
          <w:szCs w:val="24"/>
        </w:rPr>
        <w:t>th</w:t>
      </w:r>
      <w:r w:rsidR="000F28F8" w:rsidRPr="003419E6">
        <w:rPr>
          <w:rFonts w:ascii="Times New Roman" w:hAnsi="Times New Roman" w:cs="Times New Roman"/>
          <w:sz w:val="24"/>
          <w:szCs w:val="24"/>
        </w:rPr>
        <w:t>is</w:t>
      </w:r>
      <w:r>
        <w:rPr>
          <w:rFonts w:ascii="Times New Roman" w:hAnsi="Times New Roman" w:cs="Times New Roman"/>
          <w:sz w:val="24"/>
          <w:szCs w:val="24"/>
        </w:rPr>
        <w:t>,</w:t>
      </w:r>
      <w:r w:rsidR="000F28F8" w:rsidRPr="003419E6">
        <w:rPr>
          <w:rFonts w:ascii="Times New Roman" w:hAnsi="Times New Roman" w:cs="Times New Roman"/>
          <w:sz w:val="24"/>
          <w:szCs w:val="24"/>
        </w:rPr>
        <w:t xml:space="preserve"> indeed</w:t>
      </w:r>
      <w:r>
        <w:rPr>
          <w:rFonts w:ascii="Times New Roman" w:hAnsi="Times New Roman" w:cs="Times New Roman"/>
          <w:sz w:val="24"/>
          <w:szCs w:val="24"/>
        </w:rPr>
        <w:t>, is</w:t>
      </w:r>
      <w:r w:rsidR="000F28F8" w:rsidRPr="003419E6">
        <w:rPr>
          <w:rFonts w:ascii="Times New Roman" w:hAnsi="Times New Roman" w:cs="Times New Roman"/>
          <w:sz w:val="24"/>
          <w:szCs w:val="24"/>
        </w:rPr>
        <w:t xml:space="preserve"> reflected in the approach adopted to the construction of </w:t>
      </w:r>
      <w:r w:rsidR="00E04B09">
        <w:rPr>
          <w:rFonts w:ascii="Times New Roman" w:hAnsi="Times New Roman" w:cs="Times New Roman"/>
          <w:sz w:val="24"/>
          <w:szCs w:val="24"/>
        </w:rPr>
        <w:t>d</w:t>
      </w:r>
      <w:r w:rsidR="000F28F8" w:rsidRPr="003419E6">
        <w:rPr>
          <w:rFonts w:ascii="Times New Roman" w:hAnsi="Times New Roman" w:cs="Times New Roman"/>
          <w:sz w:val="24"/>
          <w:szCs w:val="24"/>
        </w:rPr>
        <w:t xml:space="preserve">eeds of </w:t>
      </w:r>
      <w:r w:rsidR="00E04B09">
        <w:rPr>
          <w:rFonts w:ascii="Times New Roman" w:hAnsi="Times New Roman" w:cs="Times New Roman"/>
          <w:sz w:val="24"/>
          <w:szCs w:val="24"/>
        </w:rPr>
        <w:t>a</w:t>
      </w:r>
      <w:r w:rsidR="000F28F8" w:rsidRPr="003419E6">
        <w:rPr>
          <w:rFonts w:ascii="Times New Roman" w:hAnsi="Times New Roman" w:cs="Times New Roman"/>
          <w:sz w:val="24"/>
          <w:szCs w:val="24"/>
        </w:rPr>
        <w:t xml:space="preserve">ppointment of receivers in other </w:t>
      </w:r>
      <w:r w:rsidR="000F28F8" w:rsidRPr="003419E6">
        <w:rPr>
          <w:rFonts w:ascii="Times New Roman" w:hAnsi="Times New Roman" w:cs="Times New Roman"/>
          <w:sz w:val="24"/>
          <w:szCs w:val="24"/>
        </w:rPr>
        <w:lastRenderedPageBreak/>
        <w:t>jurisdictions (see</w:t>
      </w:r>
      <w:r w:rsidR="009545D3">
        <w:rPr>
          <w:rFonts w:ascii="Times New Roman" w:hAnsi="Times New Roman" w:cs="Times New Roman"/>
          <w:sz w:val="24"/>
          <w:szCs w:val="24"/>
        </w:rPr>
        <w:t>, for example,</w:t>
      </w:r>
      <w:r w:rsidR="000F28F8" w:rsidRPr="003419E6">
        <w:rPr>
          <w:rFonts w:ascii="Times New Roman" w:hAnsi="Times New Roman" w:cs="Times New Roman"/>
          <w:sz w:val="24"/>
          <w:szCs w:val="24"/>
        </w:rPr>
        <w:t xml:space="preserve"> </w:t>
      </w:r>
      <w:proofErr w:type="spellStart"/>
      <w:r w:rsidR="00B25F0A" w:rsidRPr="003419E6">
        <w:rPr>
          <w:rFonts w:ascii="Times New Roman" w:hAnsi="Times New Roman" w:cs="Times New Roman"/>
          <w:i/>
          <w:sz w:val="24"/>
          <w:szCs w:val="24"/>
        </w:rPr>
        <w:t>Kendle</w:t>
      </w:r>
      <w:proofErr w:type="spellEnd"/>
      <w:r w:rsidR="00B25F0A" w:rsidRPr="003419E6">
        <w:rPr>
          <w:rFonts w:ascii="Times New Roman" w:hAnsi="Times New Roman" w:cs="Times New Roman"/>
          <w:i/>
          <w:sz w:val="24"/>
          <w:szCs w:val="24"/>
        </w:rPr>
        <w:t xml:space="preserve"> v. </w:t>
      </w:r>
      <w:proofErr w:type="spellStart"/>
      <w:r w:rsidR="00B25F0A" w:rsidRPr="003419E6">
        <w:rPr>
          <w:rFonts w:ascii="Times New Roman" w:hAnsi="Times New Roman" w:cs="Times New Roman"/>
          <w:i/>
          <w:sz w:val="24"/>
          <w:szCs w:val="24"/>
        </w:rPr>
        <w:t>Melsom</w:t>
      </w:r>
      <w:proofErr w:type="spellEnd"/>
      <w:r w:rsidR="00B25F0A" w:rsidRPr="003419E6">
        <w:rPr>
          <w:rFonts w:ascii="Times New Roman" w:hAnsi="Times New Roman" w:cs="Times New Roman"/>
          <w:i/>
          <w:sz w:val="24"/>
          <w:szCs w:val="24"/>
        </w:rPr>
        <w:t xml:space="preserve"> </w:t>
      </w:r>
      <w:r w:rsidR="00B25F0A" w:rsidRPr="003419E6">
        <w:rPr>
          <w:rFonts w:ascii="Times New Roman" w:hAnsi="Times New Roman" w:cs="Times New Roman"/>
          <w:sz w:val="24"/>
          <w:szCs w:val="24"/>
        </w:rPr>
        <w:t>[1998] HCA 13</w:t>
      </w:r>
      <w:r w:rsidR="000F28F8" w:rsidRPr="003419E6">
        <w:rPr>
          <w:rFonts w:ascii="Times New Roman" w:hAnsi="Times New Roman" w:cs="Times New Roman"/>
          <w:sz w:val="24"/>
          <w:szCs w:val="24"/>
        </w:rPr>
        <w:t xml:space="preserve">, (1998) 193 CLR </w:t>
      </w:r>
      <w:r w:rsidR="00BD1A46">
        <w:rPr>
          <w:rFonts w:ascii="Times New Roman" w:hAnsi="Times New Roman" w:cs="Times New Roman"/>
          <w:sz w:val="24"/>
          <w:szCs w:val="24"/>
        </w:rPr>
        <w:t>4</w:t>
      </w:r>
      <w:r w:rsidR="000F28F8" w:rsidRPr="003419E6">
        <w:rPr>
          <w:rFonts w:ascii="Times New Roman" w:hAnsi="Times New Roman" w:cs="Times New Roman"/>
          <w:sz w:val="24"/>
          <w:szCs w:val="24"/>
        </w:rPr>
        <w:t xml:space="preserve">6 </w:t>
      </w:r>
      <w:r w:rsidR="00E149EC" w:rsidRPr="003419E6">
        <w:rPr>
          <w:rFonts w:ascii="Times New Roman" w:hAnsi="Times New Roman" w:cs="Times New Roman"/>
          <w:sz w:val="24"/>
          <w:szCs w:val="24"/>
        </w:rPr>
        <w:t xml:space="preserve">at </w:t>
      </w:r>
      <w:r w:rsidR="00B25F0A" w:rsidRPr="003419E6">
        <w:rPr>
          <w:rFonts w:ascii="Times New Roman" w:hAnsi="Times New Roman" w:cs="Times New Roman"/>
          <w:sz w:val="24"/>
          <w:szCs w:val="24"/>
        </w:rPr>
        <w:t>para. 12</w:t>
      </w:r>
      <w:r w:rsidR="000C5685">
        <w:rPr>
          <w:rFonts w:ascii="Times New Roman" w:hAnsi="Times New Roman" w:cs="Times New Roman"/>
          <w:sz w:val="24"/>
          <w:szCs w:val="24"/>
        </w:rPr>
        <w:t xml:space="preserve"> per Brennan CJ and McHugh J</w:t>
      </w:r>
      <w:r w:rsidR="005948EE">
        <w:rPr>
          <w:rFonts w:ascii="Times New Roman" w:hAnsi="Times New Roman" w:cs="Times New Roman"/>
          <w:sz w:val="24"/>
          <w:szCs w:val="24"/>
        </w:rPr>
        <w:t xml:space="preserve"> and para. 55 per Hayne J.</w:t>
      </w:r>
      <w:r w:rsidR="00B25F0A" w:rsidRPr="003419E6">
        <w:rPr>
          <w:rFonts w:ascii="Times New Roman" w:hAnsi="Times New Roman" w:cs="Times New Roman"/>
          <w:sz w:val="24"/>
          <w:szCs w:val="24"/>
        </w:rPr>
        <w:t xml:space="preserve">).  </w:t>
      </w:r>
    </w:p>
    <w:p w14:paraId="470DAE0A" w14:textId="77777777" w:rsidR="00D7207F" w:rsidRPr="00D7207F" w:rsidRDefault="00D7207F" w:rsidP="00D7207F">
      <w:pPr>
        <w:pStyle w:val="ListParagraph"/>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 xml:space="preserve">  </w:t>
      </w:r>
    </w:p>
    <w:p w14:paraId="72DA9158" w14:textId="637E0668" w:rsidR="003705E2" w:rsidRDefault="00CE798B" w:rsidP="003705E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D7207F" w:rsidRPr="00D7207F">
        <w:rPr>
          <w:rFonts w:ascii="Times New Roman" w:hAnsi="Times New Roman" w:cs="Times New Roman"/>
          <w:sz w:val="24"/>
          <w:szCs w:val="24"/>
        </w:rPr>
        <w:t xml:space="preserve">is clear from the </w:t>
      </w:r>
      <w:r w:rsidR="00E04B09">
        <w:rPr>
          <w:rFonts w:ascii="Times New Roman" w:hAnsi="Times New Roman" w:cs="Times New Roman"/>
          <w:sz w:val="24"/>
          <w:szCs w:val="24"/>
        </w:rPr>
        <w:t>d</w:t>
      </w:r>
      <w:r w:rsidR="00D7207F" w:rsidRPr="00D7207F">
        <w:rPr>
          <w:rFonts w:ascii="Times New Roman" w:hAnsi="Times New Roman" w:cs="Times New Roman"/>
          <w:sz w:val="24"/>
          <w:szCs w:val="24"/>
        </w:rPr>
        <w:t xml:space="preserve">eed of </w:t>
      </w:r>
      <w:r w:rsidR="00E04B09">
        <w:rPr>
          <w:rFonts w:ascii="Times New Roman" w:hAnsi="Times New Roman" w:cs="Times New Roman"/>
          <w:sz w:val="24"/>
          <w:szCs w:val="24"/>
        </w:rPr>
        <w:t>a</w:t>
      </w:r>
      <w:r w:rsidR="00D7207F" w:rsidRPr="00D7207F">
        <w:rPr>
          <w:rFonts w:ascii="Times New Roman" w:hAnsi="Times New Roman" w:cs="Times New Roman"/>
          <w:sz w:val="24"/>
          <w:szCs w:val="24"/>
        </w:rPr>
        <w:t xml:space="preserve">ppointment </w:t>
      </w:r>
      <w:r w:rsidR="008D7E05">
        <w:rPr>
          <w:rFonts w:ascii="Times New Roman" w:hAnsi="Times New Roman" w:cs="Times New Roman"/>
          <w:sz w:val="24"/>
          <w:szCs w:val="24"/>
        </w:rPr>
        <w:t xml:space="preserve">in issue here </w:t>
      </w:r>
      <w:r w:rsidR="00D7207F" w:rsidRPr="00D7207F">
        <w:rPr>
          <w:rFonts w:ascii="Times New Roman" w:hAnsi="Times New Roman" w:cs="Times New Roman"/>
          <w:sz w:val="24"/>
          <w:szCs w:val="24"/>
        </w:rPr>
        <w:t xml:space="preserve">when construed together with the mortgage </w:t>
      </w:r>
      <w:r w:rsidR="00E04B09">
        <w:rPr>
          <w:rFonts w:ascii="Times New Roman" w:hAnsi="Times New Roman" w:cs="Times New Roman"/>
          <w:sz w:val="24"/>
          <w:szCs w:val="24"/>
        </w:rPr>
        <w:t xml:space="preserve">agreement </w:t>
      </w:r>
      <w:r w:rsidR="00D7207F" w:rsidRPr="00D7207F">
        <w:rPr>
          <w:rFonts w:ascii="Times New Roman" w:hAnsi="Times New Roman" w:cs="Times New Roman"/>
          <w:sz w:val="24"/>
          <w:szCs w:val="24"/>
        </w:rPr>
        <w:t>that by appointing the plaintiff as ‘</w:t>
      </w:r>
      <w:r w:rsidR="00D7207F" w:rsidRPr="00D7207F">
        <w:rPr>
          <w:rFonts w:ascii="Times New Roman" w:hAnsi="Times New Roman" w:cs="Times New Roman"/>
          <w:i/>
          <w:sz w:val="24"/>
          <w:szCs w:val="24"/>
        </w:rPr>
        <w:t xml:space="preserve">Receiver’ </w:t>
      </w:r>
      <w:r w:rsidR="003071B9">
        <w:rPr>
          <w:rFonts w:ascii="Times New Roman" w:hAnsi="Times New Roman" w:cs="Times New Roman"/>
          <w:sz w:val="24"/>
          <w:szCs w:val="24"/>
        </w:rPr>
        <w:t xml:space="preserve">the </w:t>
      </w:r>
      <w:r w:rsidR="00D7207F" w:rsidRPr="00D7207F">
        <w:rPr>
          <w:rFonts w:ascii="Times New Roman" w:hAnsi="Times New Roman" w:cs="Times New Roman"/>
          <w:sz w:val="24"/>
          <w:szCs w:val="24"/>
        </w:rPr>
        <w:t xml:space="preserve">Bank </w:t>
      </w:r>
      <w:r w:rsidR="00941016">
        <w:rPr>
          <w:rFonts w:ascii="Times New Roman" w:hAnsi="Times New Roman" w:cs="Times New Roman"/>
          <w:sz w:val="24"/>
          <w:szCs w:val="24"/>
        </w:rPr>
        <w:t xml:space="preserve">intended to </w:t>
      </w:r>
      <w:r w:rsidR="00D7207F" w:rsidRPr="00D7207F">
        <w:rPr>
          <w:rFonts w:ascii="Times New Roman" w:hAnsi="Times New Roman" w:cs="Times New Roman"/>
          <w:sz w:val="24"/>
          <w:szCs w:val="24"/>
        </w:rPr>
        <w:t>invest</w:t>
      </w:r>
      <w:r w:rsidR="00941016">
        <w:rPr>
          <w:rFonts w:ascii="Times New Roman" w:hAnsi="Times New Roman" w:cs="Times New Roman"/>
          <w:sz w:val="24"/>
          <w:szCs w:val="24"/>
        </w:rPr>
        <w:t xml:space="preserve"> </w:t>
      </w:r>
      <w:r w:rsidR="00D7207F" w:rsidRPr="00D7207F">
        <w:rPr>
          <w:rFonts w:ascii="Times New Roman" w:hAnsi="Times New Roman" w:cs="Times New Roman"/>
          <w:sz w:val="24"/>
          <w:szCs w:val="24"/>
        </w:rPr>
        <w:t xml:space="preserve">him with the powers enjoyed by a </w:t>
      </w:r>
      <w:r w:rsidR="0080755D">
        <w:rPr>
          <w:rFonts w:ascii="Times New Roman" w:hAnsi="Times New Roman" w:cs="Times New Roman"/>
          <w:sz w:val="24"/>
          <w:szCs w:val="24"/>
        </w:rPr>
        <w:t>r</w:t>
      </w:r>
      <w:r w:rsidR="00D7207F" w:rsidRPr="00D7207F">
        <w:rPr>
          <w:rFonts w:ascii="Times New Roman" w:hAnsi="Times New Roman" w:cs="Times New Roman"/>
          <w:sz w:val="24"/>
          <w:szCs w:val="24"/>
        </w:rPr>
        <w:t xml:space="preserve">eceiver under the debenture. </w:t>
      </w:r>
      <w:r w:rsidR="006840C8">
        <w:rPr>
          <w:rFonts w:ascii="Times New Roman" w:hAnsi="Times New Roman" w:cs="Times New Roman"/>
          <w:sz w:val="24"/>
          <w:szCs w:val="24"/>
        </w:rPr>
        <w:t>The appointment would have made no sense if it did not</w:t>
      </w:r>
      <w:r w:rsidR="00D2055B">
        <w:rPr>
          <w:rFonts w:ascii="Times New Roman" w:hAnsi="Times New Roman" w:cs="Times New Roman"/>
          <w:sz w:val="24"/>
          <w:szCs w:val="24"/>
        </w:rPr>
        <w:t xml:space="preserve"> have that effect</w:t>
      </w:r>
      <w:r w:rsidR="006840C8">
        <w:rPr>
          <w:rFonts w:ascii="Times New Roman" w:hAnsi="Times New Roman" w:cs="Times New Roman"/>
          <w:sz w:val="24"/>
          <w:szCs w:val="24"/>
        </w:rPr>
        <w:t xml:space="preserve">.  </w:t>
      </w:r>
      <w:r w:rsidR="007E39F5">
        <w:rPr>
          <w:rFonts w:ascii="Times New Roman" w:hAnsi="Times New Roman" w:cs="Times New Roman"/>
          <w:sz w:val="24"/>
          <w:szCs w:val="24"/>
        </w:rPr>
        <w:t>T</w:t>
      </w:r>
      <w:r w:rsidR="006840C8">
        <w:rPr>
          <w:rFonts w:ascii="Times New Roman" w:hAnsi="Times New Roman" w:cs="Times New Roman"/>
          <w:sz w:val="24"/>
          <w:szCs w:val="24"/>
        </w:rPr>
        <w:t>he d</w:t>
      </w:r>
      <w:r w:rsidR="00D7207F" w:rsidRPr="00D7207F">
        <w:rPr>
          <w:rFonts w:ascii="Times New Roman" w:hAnsi="Times New Roman" w:cs="Times New Roman"/>
          <w:sz w:val="24"/>
          <w:szCs w:val="24"/>
        </w:rPr>
        <w:t xml:space="preserve">eed of </w:t>
      </w:r>
      <w:r w:rsidR="006840C8">
        <w:rPr>
          <w:rFonts w:ascii="Times New Roman" w:hAnsi="Times New Roman" w:cs="Times New Roman"/>
          <w:sz w:val="24"/>
          <w:szCs w:val="24"/>
        </w:rPr>
        <w:t>a</w:t>
      </w:r>
      <w:r w:rsidR="00D7207F" w:rsidRPr="00D7207F">
        <w:rPr>
          <w:rFonts w:ascii="Times New Roman" w:hAnsi="Times New Roman" w:cs="Times New Roman"/>
          <w:sz w:val="24"/>
          <w:szCs w:val="24"/>
        </w:rPr>
        <w:t>ppointment purports to be made pursuant to the powers contained in the mortgage of 28 May 2007.  It records the appointment of the plaintiff as ‘</w:t>
      </w:r>
      <w:r w:rsidR="00D7207F" w:rsidRPr="00D7207F">
        <w:rPr>
          <w:rFonts w:ascii="Times New Roman" w:hAnsi="Times New Roman" w:cs="Times New Roman"/>
          <w:i/>
          <w:sz w:val="24"/>
          <w:szCs w:val="24"/>
        </w:rPr>
        <w:t>Receiver of and over, all the undertaking, property and assets of the Borrower referred to and charged by the Mortgage’</w:t>
      </w:r>
      <w:r w:rsidR="00D7207F" w:rsidRPr="00D7207F">
        <w:rPr>
          <w:rFonts w:ascii="Times New Roman" w:hAnsi="Times New Roman" w:cs="Times New Roman"/>
          <w:sz w:val="24"/>
          <w:szCs w:val="24"/>
        </w:rPr>
        <w:t>.  It provides that ‘</w:t>
      </w:r>
      <w:r w:rsidR="00D7207F" w:rsidRPr="00D7207F">
        <w:rPr>
          <w:rFonts w:ascii="Times New Roman" w:hAnsi="Times New Roman" w:cs="Times New Roman"/>
          <w:i/>
          <w:sz w:val="24"/>
          <w:szCs w:val="24"/>
        </w:rPr>
        <w:t xml:space="preserve">the Receiver shall be entitled to exercise all the powers conferred on him by the said Mortgage and by law.’  </w:t>
      </w:r>
      <w:r>
        <w:rPr>
          <w:rFonts w:ascii="Times New Roman" w:hAnsi="Times New Roman" w:cs="Times New Roman"/>
          <w:sz w:val="24"/>
          <w:szCs w:val="24"/>
        </w:rPr>
        <w:t xml:space="preserve">If the </w:t>
      </w:r>
      <w:r w:rsidR="0080755D">
        <w:rPr>
          <w:rFonts w:ascii="Times New Roman" w:hAnsi="Times New Roman" w:cs="Times New Roman"/>
          <w:sz w:val="24"/>
          <w:szCs w:val="24"/>
        </w:rPr>
        <w:t>r</w:t>
      </w:r>
      <w:r>
        <w:rPr>
          <w:rFonts w:ascii="Times New Roman" w:hAnsi="Times New Roman" w:cs="Times New Roman"/>
          <w:sz w:val="24"/>
          <w:szCs w:val="24"/>
        </w:rPr>
        <w:t xml:space="preserve">eceiver was </w:t>
      </w:r>
      <w:r w:rsidR="00DB023D">
        <w:rPr>
          <w:rFonts w:ascii="Times New Roman" w:hAnsi="Times New Roman" w:cs="Times New Roman"/>
          <w:sz w:val="24"/>
          <w:szCs w:val="24"/>
        </w:rPr>
        <w:t>appointed over the ‘</w:t>
      </w:r>
      <w:r w:rsidR="00DB023D">
        <w:rPr>
          <w:rFonts w:ascii="Times New Roman" w:hAnsi="Times New Roman" w:cs="Times New Roman"/>
          <w:i/>
          <w:sz w:val="24"/>
          <w:szCs w:val="24"/>
        </w:rPr>
        <w:t xml:space="preserve">undertaking’ </w:t>
      </w:r>
      <w:r w:rsidR="00DB023D">
        <w:rPr>
          <w:rFonts w:ascii="Times New Roman" w:hAnsi="Times New Roman" w:cs="Times New Roman"/>
          <w:sz w:val="24"/>
          <w:szCs w:val="24"/>
        </w:rPr>
        <w:t xml:space="preserve">of the borrower in question and to that end </w:t>
      </w:r>
      <w:r>
        <w:rPr>
          <w:rFonts w:ascii="Times New Roman" w:hAnsi="Times New Roman" w:cs="Times New Roman"/>
          <w:sz w:val="24"/>
          <w:szCs w:val="24"/>
        </w:rPr>
        <w:t xml:space="preserve">entitled to exercise </w:t>
      </w:r>
      <w:r>
        <w:rPr>
          <w:rFonts w:ascii="Times New Roman" w:hAnsi="Times New Roman" w:cs="Times New Roman"/>
          <w:i/>
          <w:sz w:val="24"/>
          <w:szCs w:val="24"/>
        </w:rPr>
        <w:t xml:space="preserve">all </w:t>
      </w:r>
      <w:r>
        <w:rPr>
          <w:rFonts w:ascii="Times New Roman" w:hAnsi="Times New Roman" w:cs="Times New Roman"/>
          <w:sz w:val="24"/>
          <w:szCs w:val="24"/>
        </w:rPr>
        <w:t xml:space="preserve">powers conferred by the </w:t>
      </w:r>
      <w:r w:rsidR="006840C8">
        <w:rPr>
          <w:rFonts w:ascii="Times New Roman" w:hAnsi="Times New Roman" w:cs="Times New Roman"/>
          <w:sz w:val="24"/>
          <w:szCs w:val="24"/>
        </w:rPr>
        <w:t>m</w:t>
      </w:r>
      <w:r>
        <w:rPr>
          <w:rFonts w:ascii="Times New Roman" w:hAnsi="Times New Roman" w:cs="Times New Roman"/>
          <w:sz w:val="24"/>
          <w:szCs w:val="24"/>
        </w:rPr>
        <w:t>ortgage</w:t>
      </w:r>
      <w:r w:rsidR="0027018B">
        <w:rPr>
          <w:rFonts w:ascii="Times New Roman" w:hAnsi="Times New Roman" w:cs="Times New Roman"/>
          <w:sz w:val="24"/>
          <w:szCs w:val="24"/>
        </w:rPr>
        <w:t>,</w:t>
      </w:r>
      <w:r>
        <w:rPr>
          <w:rFonts w:ascii="Times New Roman" w:hAnsi="Times New Roman" w:cs="Times New Roman"/>
          <w:sz w:val="24"/>
          <w:szCs w:val="24"/>
        </w:rPr>
        <w:t xml:space="preserve"> then</w:t>
      </w:r>
      <w:r w:rsidR="0027018B">
        <w:rPr>
          <w:rFonts w:ascii="Times New Roman" w:hAnsi="Times New Roman" w:cs="Times New Roman"/>
          <w:sz w:val="24"/>
          <w:szCs w:val="24"/>
        </w:rPr>
        <w:t xml:space="preserve"> </w:t>
      </w:r>
      <w:r>
        <w:rPr>
          <w:rFonts w:ascii="Times New Roman" w:hAnsi="Times New Roman" w:cs="Times New Roman"/>
          <w:sz w:val="24"/>
          <w:szCs w:val="24"/>
        </w:rPr>
        <w:t>he was entitled to exercise powers of management</w:t>
      </w:r>
      <w:r w:rsidR="00DB023D">
        <w:rPr>
          <w:rFonts w:ascii="Times New Roman" w:hAnsi="Times New Roman" w:cs="Times New Roman"/>
          <w:sz w:val="24"/>
          <w:szCs w:val="24"/>
        </w:rPr>
        <w:t>. I</w:t>
      </w:r>
      <w:r>
        <w:rPr>
          <w:rFonts w:ascii="Times New Roman" w:hAnsi="Times New Roman" w:cs="Times New Roman"/>
          <w:sz w:val="24"/>
          <w:szCs w:val="24"/>
        </w:rPr>
        <w:t xml:space="preserve">f </w:t>
      </w:r>
      <w:r w:rsidR="00E04B09">
        <w:rPr>
          <w:rFonts w:ascii="Times New Roman" w:hAnsi="Times New Roman" w:cs="Times New Roman"/>
          <w:sz w:val="24"/>
          <w:szCs w:val="24"/>
        </w:rPr>
        <w:t>he was entitled to exercise powers of management,</w:t>
      </w:r>
      <w:r>
        <w:rPr>
          <w:rFonts w:ascii="Times New Roman" w:hAnsi="Times New Roman" w:cs="Times New Roman"/>
          <w:sz w:val="24"/>
          <w:szCs w:val="24"/>
        </w:rPr>
        <w:t xml:space="preserve"> he was a receiver</w:t>
      </w:r>
      <w:r w:rsidR="008D7E05">
        <w:rPr>
          <w:rFonts w:ascii="Times New Roman" w:hAnsi="Times New Roman" w:cs="Times New Roman"/>
          <w:sz w:val="24"/>
          <w:szCs w:val="24"/>
        </w:rPr>
        <w:t xml:space="preserve"> and </w:t>
      </w:r>
      <w:r>
        <w:rPr>
          <w:rFonts w:ascii="Times New Roman" w:hAnsi="Times New Roman" w:cs="Times New Roman"/>
          <w:sz w:val="24"/>
          <w:szCs w:val="24"/>
        </w:rPr>
        <w:t>manager.</w:t>
      </w:r>
      <w:r w:rsidR="00FD5C66">
        <w:rPr>
          <w:rFonts w:ascii="Times New Roman" w:hAnsi="Times New Roman" w:cs="Times New Roman"/>
          <w:sz w:val="24"/>
          <w:szCs w:val="24"/>
        </w:rPr>
        <w:t xml:space="preserve"> </w:t>
      </w:r>
    </w:p>
    <w:p w14:paraId="4606C365" w14:textId="77777777" w:rsidR="003705E2" w:rsidRPr="003705E2" w:rsidRDefault="003705E2" w:rsidP="003705E2">
      <w:pPr>
        <w:pStyle w:val="ListParagraph"/>
        <w:rPr>
          <w:rFonts w:ascii="Times New Roman" w:hAnsi="Times New Roman" w:cs="Times New Roman"/>
          <w:sz w:val="24"/>
          <w:szCs w:val="24"/>
        </w:rPr>
      </w:pPr>
    </w:p>
    <w:p w14:paraId="6C189199" w14:textId="7448C527" w:rsidR="000E6A28" w:rsidRPr="006D3AF7" w:rsidRDefault="00E04B09" w:rsidP="006D3AF7">
      <w:pPr>
        <w:pStyle w:val="ListParagraph"/>
        <w:numPr>
          <w:ilvl w:val="0"/>
          <w:numId w:val="6"/>
        </w:numPr>
        <w:spacing w:before="240" w:line="480" w:lineRule="auto"/>
        <w:jc w:val="both"/>
        <w:rPr>
          <w:rFonts w:ascii="Times New Roman" w:hAnsi="Times New Roman" w:cs="Times New Roman"/>
          <w:sz w:val="24"/>
          <w:szCs w:val="24"/>
        </w:rPr>
      </w:pPr>
      <w:r w:rsidRPr="003705E2">
        <w:rPr>
          <w:rFonts w:ascii="Times New Roman" w:hAnsi="Times New Roman" w:cs="Times New Roman"/>
          <w:sz w:val="24"/>
          <w:szCs w:val="24"/>
        </w:rPr>
        <w:t>Th</w:t>
      </w:r>
      <w:r w:rsidR="003705E2">
        <w:rPr>
          <w:rFonts w:ascii="Times New Roman" w:hAnsi="Times New Roman" w:cs="Times New Roman"/>
          <w:sz w:val="24"/>
          <w:szCs w:val="24"/>
        </w:rPr>
        <w:t xml:space="preserve">us, </w:t>
      </w:r>
      <w:r w:rsidR="00D7207F" w:rsidRPr="003705E2">
        <w:rPr>
          <w:rFonts w:ascii="Times New Roman" w:hAnsi="Times New Roman" w:cs="Times New Roman"/>
          <w:sz w:val="24"/>
          <w:szCs w:val="24"/>
        </w:rPr>
        <w:t>‘</w:t>
      </w:r>
      <w:r w:rsidR="00D7207F" w:rsidRPr="003705E2">
        <w:rPr>
          <w:rFonts w:ascii="Times New Roman" w:hAnsi="Times New Roman" w:cs="Times New Roman"/>
          <w:i/>
          <w:sz w:val="24"/>
          <w:szCs w:val="24"/>
        </w:rPr>
        <w:t>Receiver’</w:t>
      </w:r>
      <w:r w:rsidR="00D7207F" w:rsidRPr="003705E2">
        <w:rPr>
          <w:rFonts w:ascii="Times New Roman" w:hAnsi="Times New Roman" w:cs="Times New Roman"/>
          <w:sz w:val="24"/>
          <w:szCs w:val="24"/>
        </w:rPr>
        <w:t xml:space="preserve"> is a defined term </w:t>
      </w:r>
      <w:r w:rsidRPr="003705E2">
        <w:rPr>
          <w:rFonts w:ascii="Times New Roman" w:hAnsi="Times New Roman" w:cs="Times New Roman"/>
          <w:sz w:val="24"/>
          <w:szCs w:val="24"/>
        </w:rPr>
        <w:t>in th</w:t>
      </w:r>
      <w:r w:rsidR="003705E2">
        <w:rPr>
          <w:rFonts w:ascii="Times New Roman" w:hAnsi="Times New Roman" w:cs="Times New Roman"/>
          <w:sz w:val="24"/>
          <w:szCs w:val="24"/>
        </w:rPr>
        <w:t xml:space="preserve">e mortgage </w:t>
      </w:r>
      <w:r w:rsidRPr="003705E2">
        <w:rPr>
          <w:rFonts w:ascii="Times New Roman" w:hAnsi="Times New Roman" w:cs="Times New Roman"/>
          <w:sz w:val="24"/>
          <w:szCs w:val="24"/>
        </w:rPr>
        <w:t>agreement</w:t>
      </w:r>
      <w:r w:rsidR="003705E2">
        <w:rPr>
          <w:rFonts w:ascii="Times New Roman" w:hAnsi="Times New Roman" w:cs="Times New Roman"/>
          <w:sz w:val="24"/>
          <w:szCs w:val="24"/>
        </w:rPr>
        <w:t>,</w:t>
      </w:r>
      <w:r w:rsidRPr="003705E2">
        <w:rPr>
          <w:rFonts w:ascii="Times New Roman" w:hAnsi="Times New Roman" w:cs="Times New Roman"/>
          <w:sz w:val="24"/>
          <w:szCs w:val="24"/>
        </w:rPr>
        <w:t xml:space="preserve"> </w:t>
      </w:r>
      <w:r w:rsidR="00D7207F" w:rsidRPr="003705E2">
        <w:rPr>
          <w:rFonts w:ascii="Times New Roman" w:hAnsi="Times New Roman" w:cs="Times New Roman"/>
          <w:sz w:val="24"/>
          <w:szCs w:val="24"/>
        </w:rPr>
        <w:t>clause 1.1 of which provides:</w:t>
      </w:r>
    </w:p>
    <w:p w14:paraId="05967CE4" w14:textId="77777777" w:rsidR="006840C8" w:rsidRPr="003071B9" w:rsidRDefault="00BD1A46" w:rsidP="003F1AA9">
      <w:pPr>
        <w:spacing w:line="360" w:lineRule="auto"/>
        <w:ind w:left="1434" w:firstLine="6"/>
        <w:jc w:val="both"/>
        <w:rPr>
          <w:rFonts w:ascii="Times New Roman" w:hAnsi="Times New Roman" w:cs="Times New Roman"/>
          <w:sz w:val="24"/>
          <w:szCs w:val="24"/>
        </w:rPr>
      </w:pPr>
      <w:r>
        <w:rPr>
          <w:rFonts w:ascii="Times New Roman" w:hAnsi="Times New Roman" w:cs="Times New Roman"/>
          <w:sz w:val="24"/>
          <w:szCs w:val="24"/>
        </w:rPr>
        <w:t>‘</w:t>
      </w:r>
      <w:r w:rsidR="006840C8" w:rsidRPr="006840C8">
        <w:rPr>
          <w:rFonts w:ascii="Times New Roman" w:hAnsi="Times New Roman" w:cs="Times New Roman"/>
          <w:i/>
          <w:sz w:val="24"/>
          <w:szCs w:val="24"/>
        </w:rPr>
        <w:t>Receiver” has the meaning given in clause 9.1.</w:t>
      </w:r>
      <w:r>
        <w:rPr>
          <w:rFonts w:ascii="Times New Roman" w:hAnsi="Times New Roman" w:cs="Times New Roman"/>
          <w:i/>
          <w:sz w:val="24"/>
          <w:szCs w:val="24"/>
        </w:rPr>
        <w:t>’</w:t>
      </w:r>
      <w:r w:rsidR="006840C8" w:rsidRPr="006840C8">
        <w:rPr>
          <w:rFonts w:ascii="Times New Roman" w:hAnsi="Times New Roman" w:cs="Times New Roman"/>
          <w:sz w:val="24"/>
          <w:szCs w:val="24"/>
        </w:rPr>
        <w:t xml:space="preserve">  </w:t>
      </w:r>
      <w:r w:rsidR="006840C8" w:rsidRPr="003071B9">
        <w:rPr>
          <w:rFonts w:ascii="Times New Roman" w:hAnsi="Times New Roman" w:cs="Times New Roman"/>
          <w:sz w:val="24"/>
          <w:szCs w:val="24"/>
        </w:rPr>
        <w:t xml:space="preserve">  </w:t>
      </w:r>
    </w:p>
    <w:p w14:paraId="7941F64A" w14:textId="77777777" w:rsidR="00DB023D" w:rsidRDefault="006840C8" w:rsidP="003F1AA9">
      <w:pPr>
        <w:pStyle w:val="ListParagraph"/>
        <w:spacing w:line="360" w:lineRule="auto"/>
        <w:ind w:left="717"/>
        <w:jc w:val="both"/>
        <w:rPr>
          <w:rFonts w:ascii="Times New Roman" w:hAnsi="Times New Roman" w:cs="Times New Roman"/>
          <w:sz w:val="24"/>
          <w:szCs w:val="24"/>
        </w:rPr>
      </w:pPr>
      <w:r w:rsidRPr="006840C8">
        <w:rPr>
          <w:rFonts w:ascii="Times New Roman" w:hAnsi="Times New Roman" w:cs="Times New Roman"/>
          <w:sz w:val="24"/>
          <w:szCs w:val="24"/>
        </w:rPr>
        <w:t xml:space="preserve"> </w:t>
      </w:r>
    </w:p>
    <w:p w14:paraId="72926F50" w14:textId="77777777" w:rsidR="00CE798B" w:rsidRDefault="00BA69B8" w:rsidP="006840C8">
      <w:pPr>
        <w:pStyle w:val="ListParagraph"/>
        <w:numPr>
          <w:ilvl w:val="0"/>
          <w:numId w:val="6"/>
        </w:numPr>
        <w:spacing w:line="480" w:lineRule="auto"/>
        <w:jc w:val="both"/>
        <w:rPr>
          <w:rFonts w:ascii="Times New Roman" w:hAnsi="Times New Roman" w:cs="Times New Roman"/>
          <w:sz w:val="24"/>
          <w:szCs w:val="24"/>
        </w:rPr>
      </w:pPr>
      <w:r w:rsidRPr="006840C8">
        <w:rPr>
          <w:rFonts w:ascii="Times New Roman" w:hAnsi="Times New Roman" w:cs="Times New Roman"/>
          <w:sz w:val="24"/>
          <w:szCs w:val="24"/>
        </w:rPr>
        <w:t>I have quoted c</w:t>
      </w:r>
      <w:r w:rsidR="00D7207F" w:rsidRPr="006840C8">
        <w:rPr>
          <w:rFonts w:ascii="Times New Roman" w:hAnsi="Times New Roman" w:cs="Times New Roman"/>
          <w:sz w:val="24"/>
          <w:szCs w:val="24"/>
        </w:rPr>
        <w:t xml:space="preserve">lause 9.1 </w:t>
      </w:r>
      <w:r w:rsidRPr="006840C8">
        <w:rPr>
          <w:rFonts w:ascii="Times New Roman" w:hAnsi="Times New Roman" w:cs="Times New Roman"/>
          <w:sz w:val="24"/>
          <w:szCs w:val="24"/>
        </w:rPr>
        <w:t>earlier.  It provides that the Bank may appoint a person to be ‘</w:t>
      </w:r>
      <w:r w:rsidRPr="006840C8">
        <w:rPr>
          <w:rFonts w:ascii="Times New Roman" w:hAnsi="Times New Roman" w:cs="Times New Roman"/>
          <w:i/>
          <w:sz w:val="24"/>
          <w:szCs w:val="24"/>
        </w:rPr>
        <w:t>receiver and manager or receiver and managers (hereinafter called a “Receiver” …</w:t>
      </w:r>
      <w:r w:rsidR="0027018B">
        <w:rPr>
          <w:rFonts w:ascii="Times New Roman" w:hAnsi="Times New Roman" w:cs="Times New Roman"/>
          <w:i/>
          <w:sz w:val="24"/>
          <w:szCs w:val="24"/>
        </w:rPr>
        <w:t>)</w:t>
      </w:r>
      <w:r w:rsidRPr="006840C8">
        <w:rPr>
          <w:rFonts w:ascii="Times New Roman" w:hAnsi="Times New Roman" w:cs="Times New Roman"/>
          <w:i/>
          <w:sz w:val="24"/>
          <w:szCs w:val="24"/>
        </w:rPr>
        <w:t>’</w:t>
      </w:r>
      <w:r w:rsidRPr="006840C8">
        <w:rPr>
          <w:rFonts w:ascii="Times New Roman" w:hAnsi="Times New Roman" w:cs="Times New Roman"/>
          <w:sz w:val="24"/>
          <w:szCs w:val="24"/>
        </w:rPr>
        <w:t xml:space="preserve">. </w:t>
      </w:r>
      <w:r w:rsidR="00D7207F" w:rsidRPr="006840C8">
        <w:rPr>
          <w:rFonts w:ascii="Times New Roman" w:hAnsi="Times New Roman" w:cs="Times New Roman"/>
          <w:sz w:val="24"/>
          <w:szCs w:val="24"/>
        </w:rPr>
        <w:t>Th</w:t>
      </w:r>
      <w:r w:rsidRPr="006840C8">
        <w:rPr>
          <w:rFonts w:ascii="Times New Roman" w:hAnsi="Times New Roman" w:cs="Times New Roman"/>
          <w:sz w:val="24"/>
          <w:szCs w:val="24"/>
        </w:rPr>
        <w:t>at</w:t>
      </w:r>
      <w:r w:rsidR="00D7207F" w:rsidRPr="006840C8">
        <w:rPr>
          <w:rFonts w:ascii="Times New Roman" w:hAnsi="Times New Roman" w:cs="Times New Roman"/>
          <w:sz w:val="24"/>
          <w:szCs w:val="24"/>
        </w:rPr>
        <w:t xml:space="preserve"> definition of ‘</w:t>
      </w:r>
      <w:r w:rsidR="00D7207F" w:rsidRPr="006840C8">
        <w:rPr>
          <w:rFonts w:ascii="Times New Roman" w:hAnsi="Times New Roman" w:cs="Times New Roman"/>
          <w:i/>
          <w:sz w:val="24"/>
          <w:szCs w:val="24"/>
        </w:rPr>
        <w:t xml:space="preserve">Receiver’ </w:t>
      </w:r>
      <w:r w:rsidR="00D7207F" w:rsidRPr="006840C8">
        <w:rPr>
          <w:rFonts w:ascii="Times New Roman" w:hAnsi="Times New Roman" w:cs="Times New Roman"/>
          <w:sz w:val="24"/>
          <w:szCs w:val="24"/>
        </w:rPr>
        <w:t>as meaning a ‘</w:t>
      </w:r>
      <w:r w:rsidR="00D7207F" w:rsidRPr="006840C8">
        <w:rPr>
          <w:rFonts w:ascii="Times New Roman" w:hAnsi="Times New Roman" w:cs="Times New Roman"/>
          <w:i/>
          <w:sz w:val="24"/>
          <w:szCs w:val="24"/>
        </w:rPr>
        <w:t>receiver and manager’</w:t>
      </w:r>
      <w:r w:rsidR="00D7207F" w:rsidRPr="006840C8">
        <w:rPr>
          <w:rFonts w:ascii="Times New Roman" w:hAnsi="Times New Roman" w:cs="Times New Roman"/>
          <w:sz w:val="24"/>
          <w:szCs w:val="24"/>
        </w:rPr>
        <w:t xml:space="preserve"> is then carried through</w:t>
      </w:r>
      <w:r w:rsidRPr="006840C8">
        <w:rPr>
          <w:rFonts w:ascii="Times New Roman" w:hAnsi="Times New Roman" w:cs="Times New Roman"/>
          <w:sz w:val="24"/>
          <w:szCs w:val="24"/>
        </w:rPr>
        <w:t>out</w:t>
      </w:r>
      <w:r w:rsidR="00D7207F" w:rsidRPr="006840C8">
        <w:rPr>
          <w:rFonts w:ascii="Times New Roman" w:hAnsi="Times New Roman" w:cs="Times New Roman"/>
          <w:sz w:val="24"/>
          <w:szCs w:val="24"/>
        </w:rPr>
        <w:t xml:space="preserve"> clause 9.  His </w:t>
      </w:r>
      <w:r w:rsidR="00F9135B">
        <w:rPr>
          <w:rFonts w:ascii="Times New Roman" w:hAnsi="Times New Roman" w:cs="Times New Roman"/>
          <w:sz w:val="24"/>
          <w:szCs w:val="24"/>
        </w:rPr>
        <w:t xml:space="preserve">or her </w:t>
      </w:r>
      <w:r w:rsidR="00D7207F" w:rsidRPr="006840C8">
        <w:rPr>
          <w:rFonts w:ascii="Times New Roman" w:hAnsi="Times New Roman" w:cs="Times New Roman"/>
          <w:sz w:val="24"/>
          <w:szCs w:val="24"/>
        </w:rPr>
        <w:t xml:space="preserve">powers </w:t>
      </w:r>
      <w:r w:rsidR="00ED1E45" w:rsidRPr="006840C8">
        <w:rPr>
          <w:rFonts w:ascii="Times New Roman" w:hAnsi="Times New Roman" w:cs="Times New Roman"/>
          <w:sz w:val="24"/>
          <w:szCs w:val="24"/>
        </w:rPr>
        <w:t xml:space="preserve">expressly </w:t>
      </w:r>
      <w:r w:rsidR="00D7207F" w:rsidRPr="006840C8">
        <w:rPr>
          <w:rFonts w:ascii="Times New Roman" w:hAnsi="Times New Roman" w:cs="Times New Roman"/>
          <w:sz w:val="24"/>
          <w:szCs w:val="24"/>
        </w:rPr>
        <w:t>include powers of management (clause 9.3.2</w:t>
      </w:r>
      <w:r w:rsidR="00446704" w:rsidRPr="006840C8">
        <w:rPr>
          <w:rFonts w:ascii="Times New Roman" w:hAnsi="Times New Roman" w:cs="Times New Roman"/>
          <w:sz w:val="24"/>
          <w:szCs w:val="24"/>
        </w:rPr>
        <w:t>). It</w:t>
      </w:r>
      <w:r w:rsidR="00D7207F" w:rsidRPr="006840C8">
        <w:rPr>
          <w:rFonts w:ascii="Times New Roman" w:hAnsi="Times New Roman" w:cs="Times New Roman"/>
          <w:sz w:val="24"/>
          <w:szCs w:val="24"/>
        </w:rPr>
        <w:t xml:space="preserve"> thus follows, logically, that </w:t>
      </w:r>
      <w:r w:rsidR="003705E2">
        <w:rPr>
          <w:rFonts w:ascii="Times New Roman" w:hAnsi="Times New Roman" w:cs="Times New Roman"/>
          <w:sz w:val="24"/>
          <w:szCs w:val="24"/>
        </w:rPr>
        <w:t xml:space="preserve">if the </w:t>
      </w:r>
      <w:r w:rsidR="00782CB4">
        <w:rPr>
          <w:rFonts w:ascii="Times New Roman" w:hAnsi="Times New Roman" w:cs="Times New Roman"/>
          <w:sz w:val="24"/>
          <w:szCs w:val="24"/>
        </w:rPr>
        <w:t>deed of appointment and mortgage</w:t>
      </w:r>
      <w:r w:rsidR="003705E2">
        <w:rPr>
          <w:rFonts w:ascii="Times New Roman" w:hAnsi="Times New Roman" w:cs="Times New Roman"/>
          <w:sz w:val="24"/>
          <w:szCs w:val="24"/>
        </w:rPr>
        <w:t xml:space="preserve"> are to be read together in the manner I have suggested, </w:t>
      </w:r>
      <w:r w:rsidR="00D7207F" w:rsidRPr="006840C8">
        <w:rPr>
          <w:rFonts w:ascii="Times New Roman" w:hAnsi="Times New Roman" w:cs="Times New Roman"/>
          <w:sz w:val="24"/>
          <w:szCs w:val="24"/>
        </w:rPr>
        <w:t>the ‘</w:t>
      </w:r>
      <w:r w:rsidR="00D7207F" w:rsidRPr="006840C8">
        <w:rPr>
          <w:rFonts w:ascii="Times New Roman" w:hAnsi="Times New Roman" w:cs="Times New Roman"/>
          <w:i/>
          <w:sz w:val="24"/>
          <w:szCs w:val="24"/>
        </w:rPr>
        <w:t>Receiver’</w:t>
      </w:r>
      <w:r w:rsidR="00D7207F" w:rsidRPr="006840C8">
        <w:rPr>
          <w:rFonts w:ascii="Times New Roman" w:hAnsi="Times New Roman" w:cs="Times New Roman"/>
          <w:sz w:val="24"/>
          <w:szCs w:val="24"/>
        </w:rPr>
        <w:t xml:space="preserve"> referred to in the </w:t>
      </w:r>
      <w:r w:rsidR="008B1494">
        <w:rPr>
          <w:rFonts w:ascii="Times New Roman" w:hAnsi="Times New Roman" w:cs="Times New Roman"/>
          <w:sz w:val="24"/>
          <w:szCs w:val="24"/>
        </w:rPr>
        <w:lastRenderedPageBreak/>
        <w:t>d</w:t>
      </w:r>
      <w:r w:rsidR="00D7207F" w:rsidRPr="006840C8">
        <w:rPr>
          <w:rFonts w:ascii="Times New Roman" w:hAnsi="Times New Roman" w:cs="Times New Roman"/>
          <w:sz w:val="24"/>
          <w:szCs w:val="24"/>
        </w:rPr>
        <w:t xml:space="preserve">eed of </w:t>
      </w:r>
      <w:r w:rsidR="008B1494">
        <w:rPr>
          <w:rFonts w:ascii="Times New Roman" w:hAnsi="Times New Roman" w:cs="Times New Roman"/>
          <w:sz w:val="24"/>
          <w:szCs w:val="24"/>
        </w:rPr>
        <w:t>a</w:t>
      </w:r>
      <w:r w:rsidR="00D7207F" w:rsidRPr="006840C8">
        <w:rPr>
          <w:rFonts w:ascii="Times New Roman" w:hAnsi="Times New Roman" w:cs="Times New Roman"/>
          <w:sz w:val="24"/>
          <w:szCs w:val="24"/>
        </w:rPr>
        <w:t xml:space="preserve">ppointment is a </w:t>
      </w:r>
      <w:r w:rsidR="007A0C7C">
        <w:rPr>
          <w:rFonts w:ascii="Times New Roman" w:hAnsi="Times New Roman" w:cs="Times New Roman"/>
          <w:sz w:val="24"/>
          <w:szCs w:val="24"/>
        </w:rPr>
        <w:t>‘</w:t>
      </w:r>
      <w:r w:rsidR="007A0C7C">
        <w:rPr>
          <w:rFonts w:ascii="Times New Roman" w:hAnsi="Times New Roman" w:cs="Times New Roman"/>
          <w:i/>
          <w:sz w:val="24"/>
          <w:szCs w:val="24"/>
        </w:rPr>
        <w:t xml:space="preserve">Receiver’ </w:t>
      </w:r>
      <w:r w:rsidR="007A0C7C">
        <w:rPr>
          <w:rFonts w:ascii="Times New Roman" w:hAnsi="Times New Roman" w:cs="Times New Roman"/>
          <w:sz w:val="24"/>
          <w:szCs w:val="24"/>
        </w:rPr>
        <w:t xml:space="preserve">as provided for in the mortgage deed, being in turn a </w:t>
      </w:r>
      <w:r w:rsidR="00D7207F" w:rsidRPr="006840C8">
        <w:rPr>
          <w:rFonts w:ascii="Times New Roman" w:hAnsi="Times New Roman" w:cs="Times New Roman"/>
          <w:sz w:val="24"/>
          <w:szCs w:val="24"/>
        </w:rPr>
        <w:t>‘</w:t>
      </w:r>
      <w:r w:rsidR="00D7207F" w:rsidRPr="006840C8">
        <w:rPr>
          <w:rFonts w:ascii="Times New Roman" w:hAnsi="Times New Roman" w:cs="Times New Roman"/>
          <w:i/>
          <w:sz w:val="24"/>
          <w:szCs w:val="24"/>
        </w:rPr>
        <w:t>receiver and manager’</w:t>
      </w:r>
      <w:r w:rsidR="00782CB4">
        <w:rPr>
          <w:rFonts w:ascii="Times New Roman" w:hAnsi="Times New Roman" w:cs="Times New Roman"/>
          <w:sz w:val="24"/>
          <w:szCs w:val="24"/>
        </w:rPr>
        <w:t>. Moreover, t</w:t>
      </w:r>
      <w:r w:rsidR="00D7207F" w:rsidRPr="006840C8">
        <w:rPr>
          <w:rFonts w:ascii="Times New Roman" w:hAnsi="Times New Roman" w:cs="Times New Roman"/>
          <w:sz w:val="24"/>
          <w:szCs w:val="24"/>
        </w:rPr>
        <w:t xml:space="preserve">he powers which </w:t>
      </w:r>
      <w:r w:rsidR="00782CB4">
        <w:rPr>
          <w:rFonts w:ascii="Times New Roman" w:hAnsi="Times New Roman" w:cs="Times New Roman"/>
          <w:sz w:val="24"/>
          <w:szCs w:val="24"/>
        </w:rPr>
        <w:t>‘</w:t>
      </w:r>
      <w:r w:rsidR="00782CB4">
        <w:rPr>
          <w:rFonts w:ascii="Times New Roman" w:hAnsi="Times New Roman" w:cs="Times New Roman"/>
          <w:i/>
          <w:sz w:val="24"/>
          <w:szCs w:val="24"/>
        </w:rPr>
        <w:t xml:space="preserve">the Receiver’ </w:t>
      </w:r>
      <w:r w:rsidR="00D7207F" w:rsidRPr="006840C8">
        <w:rPr>
          <w:rFonts w:ascii="Times New Roman" w:hAnsi="Times New Roman" w:cs="Times New Roman"/>
          <w:sz w:val="24"/>
          <w:szCs w:val="24"/>
        </w:rPr>
        <w:t xml:space="preserve">is expressly stated </w:t>
      </w:r>
      <w:r w:rsidR="008B1494">
        <w:rPr>
          <w:rFonts w:ascii="Times New Roman" w:hAnsi="Times New Roman" w:cs="Times New Roman"/>
          <w:sz w:val="24"/>
          <w:szCs w:val="24"/>
        </w:rPr>
        <w:t xml:space="preserve">in the deed of appointment </w:t>
      </w:r>
      <w:r w:rsidR="00D7207F" w:rsidRPr="006840C8">
        <w:rPr>
          <w:rFonts w:ascii="Times New Roman" w:hAnsi="Times New Roman" w:cs="Times New Roman"/>
          <w:sz w:val="24"/>
          <w:szCs w:val="24"/>
        </w:rPr>
        <w:t>to enjoy</w:t>
      </w:r>
      <w:r w:rsidR="0027018B">
        <w:rPr>
          <w:rFonts w:ascii="Times New Roman" w:hAnsi="Times New Roman" w:cs="Times New Roman"/>
          <w:sz w:val="24"/>
          <w:szCs w:val="24"/>
        </w:rPr>
        <w:t>,</w:t>
      </w:r>
      <w:r w:rsidR="00D7207F" w:rsidRPr="006840C8">
        <w:rPr>
          <w:rFonts w:ascii="Times New Roman" w:hAnsi="Times New Roman" w:cs="Times New Roman"/>
          <w:sz w:val="24"/>
          <w:szCs w:val="24"/>
        </w:rPr>
        <w:t xml:space="preserve"> include the powers of management vested in the ‘</w:t>
      </w:r>
      <w:r w:rsidR="00D7207F" w:rsidRPr="006840C8">
        <w:rPr>
          <w:rFonts w:ascii="Times New Roman" w:hAnsi="Times New Roman" w:cs="Times New Roman"/>
          <w:i/>
          <w:sz w:val="24"/>
          <w:szCs w:val="24"/>
        </w:rPr>
        <w:t>Receiver’</w:t>
      </w:r>
      <w:r w:rsidR="00D7207F" w:rsidRPr="006840C8">
        <w:rPr>
          <w:rFonts w:ascii="Times New Roman" w:hAnsi="Times New Roman" w:cs="Times New Roman"/>
          <w:sz w:val="24"/>
          <w:szCs w:val="24"/>
        </w:rPr>
        <w:t xml:space="preserve"> provided for by the mortgage.</w:t>
      </w:r>
      <w:r w:rsidR="006840C8" w:rsidRPr="006840C8">
        <w:rPr>
          <w:rFonts w:ascii="Times New Roman" w:hAnsi="Times New Roman" w:cs="Times New Roman"/>
          <w:sz w:val="24"/>
          <w:szCs w:val="24"/>
        </w:rPr>
        <w:t xml:space="preserve"> </w:t>
      </w:r>
      <w:r w:rsidR="00CE798B" w:rsidRPr="006840C8">
        <w:rPr>
          <w:rFonts w:ascii="Times New Roman" w:hAnsi="Times New Roman" w:cs="Times New Roman"/>
          <w:sz w:val="24"/>
          <w:szCs w:val="24"/>
        </w:rPr>
        <w:t xml:space="preserve">That conclusion is </w:t>
      </w:r>
      <w:r w:rsidR="006840C8" w:rsidRPr="006840C8">
        <w:rPr>
          <w:rFonts w:ascii="Times New Roman" w:hAnsi="Times New Roman" w:cs="Times New Roman"/>
          <w:sz w:val="24"/>
          <w:szCs w:val="24"/>
        </w:rPr>
        <w:t xml:space="preserve">supported </w:t>
      </w:r>
      <w:r w:rsidR="00CE798B" w:rsidRPr="006840C8">
        <w:rPr>
          <w:rFonts w:ascii="Times New Roman" w:hAnsi="Times New Roman" w:cs="Times New Roman"/>
          <w:sz w:val="24"/>
          <w:szCs w:val="24"/>
        </w:rPr>
        <w:t>(but not, in my view, determined by) the fact, stressed by the plaintiff in his submissions and by the trial Judge in her judgment, that clause 9.1 of the 2007 mortgage describes the ‘</w:t>
      </w:r>
      <w:r w:rsidR="00CE798B" w:rsidRPr="006840C8">
        <w:rPr>
          <w:rFonts w:ascii="Times New Roman" w:hAnsi="Times New Roman" w:cs="Times New Roman"/>
          <w:i/>
          <w:sz w:val="24"/>
          <w:szCs w:val="24"/>
        </w:rPr>
        <w:t xml:space="preserve">Receiver’ </w:t>
      </w:r>
      <w:r w:rsidR="00CE798B" w:rsidRPr="006840C8">
        <w:rPr>
          <w:rFonts w:ascii="Times New Roman" w:hAnsi="Times New Roman" w:cs="Times New Roman"/>
          <w:sz w:val="24"/>
          <w:szCs w:val="24"/>
        </w:rPr>
        <w:t>with a capital ‘</w:t>
      </w:r>
      <w:r w:rsidR="00CE798B" w:rsidRPr="006840C8">
        <w:rPr>
          <w:rFonts w:ascii="Times New Roman" w:hAnsi="Times New Roman" w:cs="Times New Roman"/>
          <w:i/>
          <w:sz w:val="24"/>
          <w:szCs w:val="24"/>
        </w:rPr>
        <w:t>R’</w:t>
      </w:r>
      <w:r w:rsidR="00CE798B" w:rsidRPr="006840C8">
        <w:rPr>
          <w:rFonts w:ascii="Times New Roman" w:hAnsi="Times New Roman" w:cs="Times New Roman"/>
          <w:sz w:val="24"/>
          <w:szCs w:val="24"/>
        </w:rPr>
        <w:t xml:space="preserve">, and that the </w:t>
      </w:r>
      <w:r w:rsidR="007E39F5">
        <w:rPr>
          <w:rFonts w:ascii="Times New Roman" w:hAnsi="Times New Roman" w:cs="Times New Roman"/>
          <w:sz w:val="24"/>
          <w:szCs w:val="24"/>
        </w:rPr>
        <w:t xml:space="preserve">operative part </w:t>
      </w:r>
      <w:r w:rsidR="0027018B">
        <w:rPr>
          <w:rFonts w:ascii="Times New Roman" w:hAnsi="Times New Roman" w:cs="Times New Roman"/>
          <w:sz w:val="24"/>
          <w:szCs w:val="24"/>
        </w:rPr>
        <w:t>of the d</w:t>
      </w:r>
      <w:r w:rsidR="00CE798B" w:rsidRPr="006840C8">
        <w:rPr>
          <w:rFonts w:ascii="Times New Roman" w:hAnsi="Times New Roman" w:cs="Times New Roman"/>
          <w:sz w:val="24"/>
          <w:szCs w:val="24"/>
        </w:rPr>
        <w:t xml:space="preserve">eed of </w:t>
      </w:r>
      <w:r w:rsidR="0027018B">
        <w:rPr>
          <w:rFonts w:ascii="Times New Roman" w:hAnsi="Times New Roman" w:cs="Times New Roman"/>
          <w:sz w:val="24"/>
          <w:szCs w:val="24"/>
        </w:rPr>
        <w:t>a</w:t>
      </w:r>
      <w:r w:rsidR="00CE798B" w:rsidRPr="006840C8">
        <w:rPr>
          <w:rFonts w:ascii="Times New Roman" w:hAnsi="Times New Roman" w:cs="Times New Roman"/>
          <w:sz w:val="24"/>
          <w:szCs w:val="24"/>
        </w:rPr>
        <w:t>ppointment does likewise</w:t>
      </w:r>
      <w:r w:rsidR="007E39F5">
        <w:rPr>
          <w:rFonts w:ascii="Times New Roman" w:hAnsi="Times New Roman" w:cs="Times New Roman"/>
          <w:sz w:val="24"/>
          <w:szCs w:val="24"/>
        </w:rPr>
        <w:t xml:space="preserve"> (although one part of th</w:t>
      </w:r>
      <w:r w:rsidR="0027018B">
        <w:rPr>
          <w:rFonts w:ascii="Times New Roman" w:hAnsi="Times New Roman" w:cs="Times New Roman"/>
          <w:sz w:val="24"/>
          <w:szCs w:val="24"/>
        </w:rPr>
        <w:t>at</w:t>
      </w:r>
      <w:r w:rsidR="007E39F5">
        <w:rPr>
          <w:rFonts w:ascii="Times New Roman" w:hAnsi="Times New Roman" w:cs="Times New Roman"/>
          <w:sz w:val="24"/>
          <w:szCs w:val="24"/>
        </w:rPr>
        <w:t xml:space="preserve"> instrument – as the defendant has noted – used the lower case)</w:t>
      </w:r>
      <w:r w:rsidR="00CE798B" w:rsidRPr="006840C8">
        <w:rPr>
          <w:rFonts w:ascii="Times New Roman" w:hAnsi="Times New Roman" w:cs="Times New Roman"/>
          <w:sz w:val="24"/>
          <w:szCs w:val="24"/>
        </w:rPr>
        <w:t xml:space="preserve">.  This differentiated this case from the </w:t>
      </w:r>
      <w:r w:rsidR="00E04B09" w:rsidRPr="006840C8">
        <w:rPr>
          <w:rFonts w:ascii="Times New Roman" w:hAnsi="Times New Roman" w:cs="Times New Roman"/>
          <w:sz w:val="24"/>
          <w:szCs w:val="24"/>
        </w:rPr>
        <w:t>d</w:t>
      </w:r>
      <w:r w:rsidR="00CE798B" w:rsidRPr="006840C8">
        <w:rPr>
          <w:rFonts w:ascii="Times New Roman" w:hAnsi="Times New Roman" w:cs="Times New Roman"/>
          <w:sz w:val="24"/>
          <w:szCs w:val="24"/>
        </w:rPr>
        <w:t xml:space="preserve">eed in issue in </w:t>
      </w:r>
      <w:r w:rsidR="00CE798B" w:rsidRPr="006840C8">
        <w:rPr>
          <w:rFonts w:ascii="Times New Roman" w:hAnsi="Times New Roman" w:cs="Times New Roman"/>
          <w:i/>
          <w:sz w:val="24"/>
          <w:szCs w:val="24"/>
        </w:rPr>
        <w:t>McCarthy v. Moroney</w:t>
      </w:r>
      <w:r w:rsidR="00CE798B" w:rsidRPr="006840C8">
        <w:rPr>
          <w:rFonts w:ascii="Times New Roman" w:hAnsi="Times New Roman" w:cs="Times New Roman"/>
          <w:sz w:val="24"/>
          <w:szCs w:val="24"/>
        </w:rPr>
        <w:t>.</w:t>
      </w:r>
    </w:p>
    <w:p w14:paraId="76C548C5" w14:textId="77777777" w:rsidR="000A5608" w:rsidRDefault="000A5608" w:rsidP="000A5608">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09859F63" w14:textId="74C8BD16" w:rsidR="000A5608" w:rsidRDefault="000A5608" w:rsidP="000A5608">
      <w:pPr>
        <w:pStyle w:val="ListParagraph"/>
        <w:numPr>
          <w:ilvl w:val="0"/>
          <w:numId w:val="6"/>
        </w:numPr>
        <w:spacing w:line="480" w:lineRule="auto"/>
        <w:ind w:left="720" w:hanging="363"/>
        <w:jc w:val="both"/>
        <w:rPr>
          <w:rFonts w:ascii="Times New Roman" w:hAnsi="Times New Roman" w:cs="Times New Roman"/>
          <w:sz w:val="24"/>
          <w:szCs w:val="24"/>
        </w:rPr>
      </w:pPr>
      <w:r>
        <w:rPr>
          <w:rFonts w:ascii="Times New Roman" w:hAnsi="Times New Roman" w:cs="Times New Roman"/>
          <w:sz w:val="24"/>
          <w:szCs w:val="24"/>
        </w:rPr>
        <w:t xml:space="preserve">All of this reflects the view Clarke J. expressed at paragraph 6.7 of his judgment in </w:t>
      </w:r>
      <w:r>
        <w:rPr>
          <w:rFonts w:ascii="Times New Roman" w:hAnsi="Times New Roman" w:cs="Times New Roman"/>
          <w:i/>
          <w:sz w:val="24"/>
          <w:szCs w:val="24"/>
        </w:rPr>
        <w:t>Charl</w:t>
      </w:r>
      <w:r w:rsidR="00112AFF">
        <w:rPr>
          <w:rFonts w:ascii="Times New Roman" w:hAnsi="Times New Roman" w:cs="Times New Roman"/>
          <w:i/>
          <w:sz w:val="24"/>
          <w:szCs w:val="24"/>
        </w:rPr>
        <w:t>e</w:t>
      </w:r>
      <w:r>
        <w:rPr>
          <w:rFonts w:ascii="Times New Roman" w:hAnsi="Times New Roman" w:cs="Times New Roman"/>
          <w:i/>
          <w:sz w:val="24"/>
          <w:szCs w:val="24"/>
        </w:rPr>
        <w:t>ton</w:t>
      </w:r>
      <w:r w:rsidR="00F9135B">
        <w:rPr>
          <w:rFonts w:ascii="Times New Roman" w:hAnsi="Times New Roman" w:cs="Times New Roman"/>
          <w:i/>
          <w:sz w:val="24"/>
          <w:szCs w:val="24"/>
        </w:rPr>
        <w:t xml:space="preserve"> v. Scriven </w:t>
      </w:r>
      <w:r>
        <w:rPr>
          <w:rFonts w:ascii="Times New Roman" w:hAnsi="Times New Roman" w:cs="Times New Roman"/>
          <w:i/>
          <w:sz w:val="24"/>
          <w:szCs w:val="24"/>
        </w:rPr>
        <w:t xml:space="preserve"> </w:t>
      </w:r>
      <w:r>
        <w:rPr>
          <w:rFonts w:ascii="Times New Roman" w:hAnsi="Times New Roman" w:cs="Times New Roman"/>
          <w:sz w:val="24"/>
          <w:szCs w:val="24"/>
        </w:rPr>
        <w:t>when he</w:t>
      </w:r>
      <w:r w:rsidR="00F9135B">
        <w:rPr>
          <w:rFonts w:ascii="Times New Roman" w:hAnsi="Times New Roman" w:cs="Times New Roman"/>
          <w:sz w:val="24"/>
          <w:szCs w:val="24"/>
        </w:rPr>
        <w:t xml:space="preserve"> – albeit tentatively - </w:t>
      </w:r>
      <w:r>
        <w:rPr>
          <w:rFonts w:ascii="Times New Roman" w:hAnsi="Times New Roman" w:cs="Times New Roman"/>
          <w:sz w:val="24"/>
          <w:szCs w:val="24"/>
        </w:rPr>
        <w:t xml:space="preserve"> suggested:</w:t>
      </w:r>
    </w:p>
    <w:p w14:paraId="66404924" w14:textId="77777777" w:rsidR="000A5608" w:rsidRPr="00283535" w:rsidRDefault="000A5608" w:rsidP="000A5608">
      <w:pPr>
        <w:pStyle w:val="ListParagraph"/>
        <w:rPr>
          <w:rFonts w:ascii="Times New Roman" w:hAnsi="Times New Roman" w:cs="Times New Roman"/>
          <w:sz w:val="24"/>
          <w:szCs w:val="24"/>
        </w:rPr>
      </w:pPr>
    </w:p>
    <w:p w14:paraId="4B42E26A" w14:textId="77777777" w:rsidR="000A5608" w:rsidRDefault="000A5608" w:rsidP="000A560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it is arguable that the appointment of the Receivers in the form in which it occurred in this case was, as a matter of construction of the documents concerned, an appointment as both receivers and managers, having regard to the way in which the term ‘receiver’ was defined in the mortgage deeds themselves’</w:t>
      </w:r>
      <w:r>
        <w:rPr>
          <w:rFonts w:ascii="Times New Roman" w:hAnsi="Times New Roman" w:cs="Times New Roman"/>
          <w:sz w:val="24"/>
          <w:szCs w:val="24"/>
        </w:rPr>
        <w:t xml:space="preserve">.  </w:t>
      </w:r>
    </w:p>
    <w:p w14:paraId="5FF4CB68" w14:textId="77777777" w:rsidR="00B62C4E" w:rsidRPr="000A5608" w:rsidRDefault="00B62C4E" w:rsidP="000A5608">
      <w:pPr>
        <w:pStyle w:val="ListParagraph"/>
        <w:spacing w:line="480" w:lineRule="auto"/>
        <w:ind w:left="717"/>
        <w:jc w:val="both"/>
        <w:rPr>
          <w:rFonts w:ascii="Times New Roman" w:hAnsi="Times New Roman" w:cs="Times New Roman"/>
          <w:sz w:val="24"/>
          <w:szCs w:val="24"/>
        </w:rPr>
      </w:pPr>
      <w:r w:rsidRPr="000A5608">
        <w:rPr>
          <w:rFonts w:ascii="Times New Roman" w:hAnsi="Times New Roman" w:cs="Times New Roman"/>
          <w:sz w:val="24"/>
          <w:szCs w:val="24"/>
        </w:rPr>
        <w:t xml:space="preserve">  </w:t>
      </w:r>
    </w:p>
    <w:p w14:paraId="4D2C38E3" w14:textId="77777777" w:rsidR="00F10418" w:rsidRPr="00F10418" w:rsidRDefault="003705E2" w:rsidP="00F10418">
      <w:pPr>
        <w:ind w:left="1074"/>
        <w:jc w:val="both"/>
        <w:rPr>
          <w:rFonts w:ascii="Times New Roman" w:hAnsi="Times New Roman" w:cs="Times New Roman"/>
          <w:b/>
          <w:i/>
          <w:sz w:val="24"/>
          <w:szCs w:val="24"/>
        </w:rPr>
      </w:pPr>
      <w:r>
        <w:rPr>
          <w:rFonts w:ascii="Times New Roman" w:hAnsi="Times New Roman" w:cs="Times New Roman"/>
          <w:b/>
          <w:i/>
          <w:sz w:val="24"/>
          <w:szCs w:val="24"/>
        </w:rPr>
        <w:t>The language used in the deed of appointment</w:t>
      </w:r>
    </w:p>
    <w:p w14:paraId="348F29B8" w14:textId="77777777" w:rsidR="00E000DF" w:rsidRDefault="00E000DF" w:rsidP="00E000DF">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34035BB" w14:textId="43DD6BF1" w:rsidR="0013546A" w:rsidRDefault="003705E2"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conclusion thus suggested by Clarke </w:t>
      </w:r>
      <w:r w:rsidR="00F9135B">
        <w:rPr>
          <w:rFonts w:ascii="Times New Roman" w:hAnsi="Times New Roman" w:cs="Times New Roman"/>
          <w:sz w:val="24"/>
          <w:szCs w:val="24"/>
        </w:rPr>
        <w:t>C</w:t>
      </w:r>
      <w:r>
        <w:rPr>
          <w:rFonts w:ascii="Times New Roman" w:hAnsi="Times New Roman" w:cs="Times New Roman"/>
          <w:sz w:val="24"/>
          <w:szCs w:val="24"/>
        </w:rPr>
        <w:t>J. is ultimately derived from the intent of the Bank as ascertained from the deed of appointment and mortgage when construed together in the light of the accepted meaning of the term ‘</w:t>
      </w:r>
      <w:r>
        <w:rPr>
          <w:rFonts w:ascii="Times New Roman" w:hAnsi="Times New Roman" w:cs="Times New Roman"/>
          <w:i/>
          <w:sz w:val="24"/>
          <w:szCs w:val="24"/>
        </w:rPr>
        <w:t>receiver and manager’.</w:t>
      </w:r>
      <w:r>
        <w:rPr>
          <w:rFonts w:ascii="Times New Roman" w:hAnsi="Times New Roman" w:cs="Times New Roman"/>
          <w:sz w:val="24"/>
          <w:szCs w:val="24"/>
        </w:rPr>
        <w:t xml:space="preserve">  </w:t>
      </w:r>
      <w:r w:rsidR="0013546A">
        <w:rPr>
          <w:rFonts w:ascii="Times New Roman" w:hAnsi="Times New Roman" w:cs="Times New Roman"/>
          <w:sz w:val="24"/>
          <w:szCs w:val="24"/>
        </w:rPr>
        <w:lastRenderedPageBreak/>
        <w:t xml:space="preserve">However, the issue cannot simply be resolved by reference to the Bank’s intent.  It is a reasonable assumption that the Bank will always have intended to appoint a </w:t>
      </w:r>
      <w:r w:rsidR="0080755D">
        <w:rPr>
          <w:rFonts w:ascii="Times New Roman" w:hAnsi="Times New Roman" w:cs="Times New Roman"/>
          <w:sz w:val="24"/>
          <w:szCs w:val="24"/>
        </w:rPr>
        <w:t>r</w:t>
      </w:r>
      <w:r w:rsidR="0013546A">
        <w:rPr>
          <w:rFonts w:ascii="Times New Roman" w:hAnsi="Times New Roman" w:cs="Times New Roman"/>
          <w:sz w:val="24"/>
          <w:szCs w:val="24"/>
        </w:rPr>
        <w:t xml:space="preserve">eceiver who can act lawfully having regard to the terms of the mortgage.  No matter what </w:t>
      </w:r>
      <w:r w:rsidR="00424AD6">
        <w:rPr>
          <w:rFonts w:ascii="Times New Roman" w:hAnsi="Times New Roman" w:cs="Times New Roman"/>
          <w:sz w:val="24"/>
          <w:szCs w:val="24"/>
        </w:rPr>
        <w:t>the Bank</w:t>
      </w:r>
      <w:r w:rsidR="0013546A">
        <w:rPr>
          <w:rFonts w:ascii="Times New Roman" w:hAnsi="Times New Roman" w:cs="Times New Roman"/>
          <w:sz w:val="24"/>
          <w:szCs w:val="24"/>
        </w:rPr>
        <w:t xml:space="preserve"> intended (a) that intent must be recorded in a manner that will allow any affected party to understand, and the Court to conclude, that a </w:t>
      </w:r>
      <w:r w:rsidR="0080755D">
        <w:rPr>
          <w:rFonts w:ascii="Times New Roman" w:hAnsi="Times New Roman" w:cs="Times New Roman"/>
          <w:sz w:val="24"/>
          <w:szCs w:val="24"/>
        </w:rPr>
        <w:t>r</w:t>
      </w:r>
      <w:r w:rsidR="0013546A">
        <w:rPr>
          <w:rFonts w:ascii="Times New Roman" w:hAnsi="Times New Roman" w:cs="Times New Roman"/>
          <w:sz w:val="24"/>
          <w:szCs w:val="24"/>
        </w:rPr>
        <w:t>eceiver was actually appointed in the manner envisaged by the mortgage and in particular (b) if the  mortgage imposes particular formal or procedural requirements that must be observed prior to appointment, these must be co</w:t>
      </w:r>
      <w:r w:rsidR="00A8304B">
        <w:rPr>
          <w:rFonts w:ascii="Times New Roman" w:hAnsi="Times New Roman" w:cs="Times New Roman"/>
          <w:sz w:val="24"/>
          <w:szCs w:val="24"/>
        </w:rPr>
        <w:t>mplied with</w:t>
      </w:r>
      <w:r w:rsidR="0013546A">
        <w:rPr>
          <w:rFonts w:ascii="Times New Roman" w:hAnsi="Times New Roman" w:cs="Times New Roman"/>
          <w:sz w:val="24"/>
          <w:szCs w:val="24"/>
        </w:rPr>
        <w:t>.</w:t>
      </w:r>
    </w:p>
    <w:p w14:paraId="015A487D" w14:textId="77777777" w:rsidR="0013546A" w:rsidRDefault="0013546A" w:rsidP="0013546A">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F9B9921" w14:textId="24665B30" w:rsidR="003705E2" w:rsidRDefault="0013546A"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This was</w:t>
      </w:r>
      <w:r w:rsidR="00D47534">
        <w:rPr>
          <w:rFonts w:ascii="Times New Roman" w:hAnsi="Times New Roman" w:cs="Times New Roman"/>
          <w:sz w:val="24"/>
          <w:szCs w:val="24"/>
        </w:rPr>
        <w:t>, essenti</w:t>
      </w:r>
      <w:r w:rsidR="006D3AF7">
        <w:rPr>
          <w:rFonts w:ascii="Times New Roman" w:hAnsi="Times New Roman" w:cs="Times New Roman"/>
          <w:sz w:val="24"/>
          <w:szCs w:val="24"/>
        </w:rPr>
        <w:t>ally</w:t>
      </w:r>
      <w:r w:rsidR="00D47534">
        <w:rPr>
          <w:rFonts w:ascii="Times New Roman" w:hAnsi="Times New Roman" w:cs="Times New Roman"/>
          <w:sz w:val="24"/>
          <w:szCs w:val="24"/>
        </w:rPr>
        <w:t>,</w:t>
      </w:r>
      <w:r>
        <w:rPr>
          <w:rFonts w:ascii="Times New Roman" w:hAnsi="Times New Roman" w:cs="Times New Roman"/>
          <w:sz w:val="24"/>
          <w:szCs w:val="24"/>
        </w:rPr>
        <w:t xml:space="preserve"> the point made by </w:t>
      </w:r>
      <w:r w:rsidR="003705E2">
        <w:rPr>
          <w:rFonts w:ascii="Times New Roman" w:hAnsi="Times New Roman" w:cs="Times New Roman"/>
          <w:sz w:val="24"/>
          <w:szCs w:val="24"/>
        </w:rPr>
        <w:t xml:space="preserve">McDonald J. </w:t>
      </w:r>
      <w:r>
        <w:rPr>
          <w:rFonts w:ascii="Times New Roman" w:hAnsi="Times New Roman" w:cs="Times New Roman"/>
          <w:sz w:val="24"/>
          <w:szCs w:val="24"/>
        </w:rPr>
        <w:t xml:space="preserve">in </w:t>
      </w:r>
      <w:r>
        <w:rPr>
          <w:rFonts w:ascii="Times New Roman" w:hAnsi="Times New Roman" w:cs="Times New Roman"/>
          <w:i/>
          <w:sz w:val="24"/>
          <w:szCs w:val="24"/>
        </w:rPr>
        <w:t xml:space="preserve">McCarthy v. Moroney.  </w:t>
      </w:r>
      <w:r>
        <w:rPr>
          <w:rFonts w:ascii="Times New Roman" w:hAnsi="Times New Roman" w:cs="Times New Roman"/>
          <w:sz w:val="24"/>
          <w:szCs w:val="24"/>
        </w:rPr>
        <w:t xml:space="preserve">There, he </w:t>
      </w:r>
      <w:r w:rsidR="003705E2">
        <w:rPr>
          <w:rFonts w:ascii="Times New Roman" w:hAnsi="Times New Roman" w:cs="Times New Roman"/>
          <w:sz w:val="24"/>
          <w:szCs w:val="24"/>
        </w:rPr>
        <w:t xml:space="preserve">addressed the </w:t>
      </w:r>
      <w:r>
        <w:rPr>
          <w:rFonts w:ascii="Times New Roman" w:hAnsi="Times New Roman" w:cs="Times New Roman"/>
          <w:sz w:val="24"/>
          <w:szCs w:val="24"/>
        </w:rPr>
        <w:t xml:space="preserve">issue of the Bank’s intent </w:t>
      </w:r>
      <w:r w:rsidR="003705E2">
        <w:rPr>
          <w:rFonts w:ascii="Times New Roman" w:hAnsi="Times New Roman" w:cs="Times New Roman"/>
          <w:sz w:val="24"/>
          <w:szCs w:val="24"/>
        </w:rPr>
        <w:t xml:space="preserve">by reference to the decision of Gilligan J. in </w:t>
      </w:r>
      <w:r w:rsidR="003705E2">
        <w:rPr>
          <w:rFonts w:ascii="Times New Roman" w:hAnsi="Times New Roman" w:cs="Times New Roman"/>
          <w:i/>
          <w:sz w:val="24"/>
          <w:szCs w:val="24"/>
        </w:rPr>
        <w:t>The Merrow Ltd.</w:t>
      </w:r>
      <w:r w:rsidR="003705E2">
        <w:rPr>
          <w:rFonts w:ascii="Times New Roman" w:hAnsi="Times New Roman" w:cs="Times New Roman"/>
          <w:sz w:val="24"/>
          <w:szCs w:val="24"/>
        </w:rPr>
        <w:t xml:space="preserve">.  </w:t>
      </w:r>
      <w:r w:rsidR="00E22342">
        <w:rPr>
          <w:rFonts w:ascii="Times New Roman" w:hAnsi="Times New Roman" w:cs="Times New Roman"/>
          <w:sz w:val="24"/>
          <w:szCs w:val="24"/>
        </w:rPr>
        <w:t xml:space="preserve">As I have noted earlier, </w:t>
      </w:r>
      <w:r w:rsidR="00A8304B">
        <w:rPr>
          <w:rFonts w:ascii="Times New Roman" w:hAnsi="Times New Roman" w:cs="Times New Roman"/>
          <w:sz w:val="24"/>
          <w:szCs w:val="24"/>
        </w:rPr>
        <w:t>in that case</w:t>
      </w:r>
      <w:r w:rsidR="003705E2">
        <w:rPr>
          <w:rFonts w:ascii="Times New Roman" w:hAnsi="Times New Roman" w:cs="Times New Roman"/>
          <w:sz w:val="24"/>
          <w:szCs w:val="24"/>
        </w:rPr>
        <w:t xml:space="preserve"> the debenture in question required that the appointment of a receiver be effected under seal. That requirement was not complied with in the purported appointment of the second named defendant as receiver over the assets of the applicant.  Gilligan J. cited with approval the remarks of Franklyn J. in </w:t>
      </w:r>
      <w:r w:rsidR="003705E2">
        <w:rPr>
          <w:rFonts w:ascii="Times New Roman" w:hAnsi="Times New Roman" w:cs="Times New Roman"/>
          <w:i/>
          <w:sz w:val="24"/>
          <w:szCs w:val="24"/>
        </w:rPr>
        <w:t xml:space="preserve">Wrights Hardware Pty. Ltd. v. Evans </w:t>
      </w:r>
      <w:r w:rsidR="003705E2">
        <w:rPr>
          <w:rFonts w:ascii="Times New Roman" w:hAnsi="Times New Roman" w:cs="Times New Roman"/>
          <w:sz w:val="24"/>
          <w:szCs w:val="24"/>
        </w:rPr>
        <w:t>(1988) 13 ACLR 631 (at p</w:t>
      </w:r>
      <w:r w:rsidR="00F9135B">
        <w:rPr>
          <w:rFonts w:ascii="Times New Roman" w:hAnsi="Times New Roman" w:cs="Times New Roman"/>
          <w:sz w:val="24"/>
          <w:szCs w:val="24"/>
        </w:rPr>
        <w:t>.</w:t>
      </w:r>
      <w:r w:rsidR="003705E2">
        <w:rPr>
          <w:rFonts w:ascii="Times New Roman" w:hAnsi="Times New Roman" w:cs="Times New Roman"/>
          <w:sz w:val="24"/>
          <w:szCs w:val="24"/>
        </w:rPr>
        <w:t xml:space="preserve"> 633) </w:t>
      </w:r>
      <w:r w:rsidR="00512B49">
        <w:rPr>
          <w:rFonts w:ascii="Times New Roman" w:hAnsi="Times New Roman" w:cs="Times New Roman"/>
          <w:sz w:val="24"/>
          <w:szCs w:val="24"/>
        </w:rPr>
        <w:t>that</w:t>
      </w:r>
      <w:r w:rsidR="003705E2">
        <w:rPr>
          <w:rFonts w:ascii="Times New Roman" w:hAnsi="Times New Roman" w:cs="Times New Roman"/>
          <w:sz w:val="24"/>
          <w:szCs w:val="24"/>
        </w:rPr>
        <w:t xml:space="preserve"> ‘</w:t>
      </w:r>
      <w:r w:rsidR="003705E2">
        <w:rPr>
          <w:rFonts w:ascii="Times New Roman" w:hAnsi="Times New Roman" w:cs="Times New Roman"/>
          <w:i/>
          <w:sz w:val="24"/>
          <w:szCs w:val="24"/>
        </w:rPr>
        <w:t xml:space="preserve">the manner in which a receiver is to be appointed … prescribed by the debenture deed … must be strictly followed’ </w:t>
      </w:r>
      <w:r w:rsidR="003705E2">
        <w:rPr>
          <w:rFonts w:ascii="Times New Roman" w:hAnsi="Times New Roman" w:cs="Times New Roman"/>
          <w:sz w:val="24"/>
          <w:szCs w:val="24"/>
        </w:rPr>
        <w:t>and</w:t>
      </w:r>
      <w:r w:rsidR="003964F2">
        <w:rPr>
          <w:rFonts w:ascii="Times New Roman" w:hAnsi="Times New Roman" w:cs="Times New Roman"/>
          <w:sz w:val="24"/>
          <w:szCs w:val="24"/>
        </w:rPr>
        <w:t xml:space="preserve">, the terms of the debenture not having been complied with in the appointment, </w:t>
      </w:r>
      <w:r w:rsidR="003705E2">
        <w:rPr>
          <w:rFonts w:ascii="Times New Roman" w:hAnsi="Times New Roman" w:cs="Times New Roman"/>
          <w:sz w:val="24"/>
          <w:szCs w:val="24"/>
        </w:rPr>
        <w:t xml:space="preserve">granted a declaration that his appointment was void. </w:t>
      </w:r>
    </w:p>
    <w:p w14:paraId="0F4E9043" w14:textId="77777777" w:rsidR="003705E2" w:rsidRDefault="003705E2" w:rsidP="003705E2">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401105D" w14:textId="77777777" w:rsidR="00512B49" w:rsidRDefault="003964F2"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2B49">
        <w:rPr>
          <w:rFonts w:ascii="Times New Roman" w:hAnsi="Times New Roman" w:cs="Times New Roman"/>
          <w:sz w:val="24"/>
          <w:szCs w:val="24"/>
        </w:rPr>
        <w:t xml:space="preserve">McDonald J. said the following of </w:t>
      </w:r>
      <w:r>
        <w:rPr>
          <w:rFonts w:ascii="Times New Roman" w:hAnsi="Times New Roman" w:cs="Times New Roman"/>
          <w:i/>
          <w:sz w:val="24"/>
          <w:szCs w:val="24"/>
        </w:rPr>
        <w:t>The Merrow</w:t>
      </w:r>
      <w:r w:rsidR="00F9135B">
        <w:rPr>
          <w:rFonts w:ascii="Times New Roman" w:hAnsi="Times New Roman" w:cs="Times New Roman"/>
          <w:i/>
          <w:sz w:val="24"/>
          <w:szCs w:val="24"/>
        </w:rPr>
        <w:t xml:space="preserve"> Ltd.</w:t>
      </w:r>
      <w:r>
        <w:rPr>
          <w:rFonts w:ascii="Times New Roman" w:hAnsi="Times New Roman" w:cs="Times New Roman"/>
          <w:i/>
          <w:sz w:val="24"/>
          <w:szCs w:val="24"/>
        </w:rPr>
        <w:t xml:space="preserve"> </w:t>
      </w:r>
      <w:r w:rsidR="00512B49">
        <w:rPr>
          <w:rFonts w:ascii="Times New Roman" w:hAnsi="Times New Roman" w:cs="Times New Roman"/>
          <w:sz w:val="24"/>
          <w:szCs w:val="24"/>
        </w:rPr>
        <w:t>(at para. 167):</w:t>
      </w:r>
    </w:p>
    <w:p w14:paraId="47DD9833" w14:textId="77777777" w:rsidR="00512B49" w:rsidRPr="003964F2" w:rsidRDefault="00112AFF" w:rsidP="003964F2">
      <w:pPr>
        <w:pStyle w:val="NormalWeb"/>
        <w:shd w:val="clear" w:color="auto" w:fill="FFFFFF"/>
        <w:spacing w:line="480" w:lineRule="auto"/>
        <w:ind w:left="1440"/>
        <w:jc w:val="both"/>
        <w:rPr>
          <w:i/>
        </w:rPr>
      </w:pPr>
      <w:r>
        <w:rPr>
          <w:i/>
        </w:rPr>
        <w:t>‘</w:t>
      </w:r>
      <w:r w:rsidR="00512B49" w:rsidRPr="00512B49">
        <w:rPr>
          <w:i/>
        </w:rPr>
        <w:t xml:space="preserve">In The Merrow, an argument might equally have been made that the intention of the bank in that case was, notwithstanding the failure to seal the Deed of Appointment, to appoint a receiver with all the powers given to such a receiver under the terms of the relevant deed. Although the bank in that case failed to </w:t>
      </w:r>
      <w:r w:rsidR="00512B49" w:rsidRPr="00512B49">
        <w:rPr>
          <w:i/>
        </w:rPr>
        <w:lastRenderedPageBreak/>
        <w:t>seal the deed of appointment there, it seems fairly clear that the bank nonetheless intended to appoint a receiver. Nonetheless, the failure to seal the Deed of Appointment was considered by the court to be a failure to comply with the strict terms of the debenture in that case. The fact that the bank in that case had intended to appoint a receiver with all necessary powers was not ultimately relevant. What the court took into account was whether the bank had acted in accordance with the terms of the debenture which it had itself drafted. While the facts of that case are obviously different to the present case, it seems to me that the same principle applies. In that case, the bank had failed to seal the Deed of Appointment. Here, Mr. Moroney submits that Ennis Property failed to comply with the express terms of Clause 9.1. On the face of it, what Mr. Moroney has said seems to be correct.</w:t>
      </w:r>
      <w:r>
        <w:rPr>
          <w:i/>
        </w:rPr>
        <w:t>’</w:t>
      </w:r>
    </w:p>
    <w:p w14:paraId="1B24C342" w14:textId="77777777" w:rsidR="00490C55" w:rsidRDefault="003964F2"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conclusion </w:t>
      </w:r>
      <w:r w:rsidR="009E3815">
        <w:rPr>
          <w:rFonts w:ascii="Times New Roman" w:hAnsi="Times New Roman" w:cs="Times New Roman"/>
          <w:sz w:val="24"/>
          <w:szCs w:val="24"/>
        </w:rPr>
        <w:t xml:space="preserve">– effectively that to resolve the matter solely on the basis of what the Bank intended to do would render the language used in the relevant instruments </w:t>
      </w:r>
      <w:r w:rsidR="00B44F14">
        <w:rPr>
          <w:rFonts w:ascii="Times New Roman" w:hAnsi="Times New Roman" w:cs="Times New Roman"/>
          <w:sz w:val="24"/>
          <w:szCs w:val="24"/>
        </w:rPr>
        <w:t>ir</w:t>
      </w:r>
      <w:r w:rsidR="009E3815">
        <w:rPr>
          <w:rFonts w:ascii="Times New Roman" w:hAnsi="Times New Roman" w:cs="Times New Roman"/>
          <w:sz w:val="24"/>
          <w:szCs w:val="24"/>
        </w:rPr>
        <w:t>relevant</w:t>
      </w:r>
      <w:r w:rsidR="008216B2">
        <w:rPr>
          <w:rFonts w:ascii="Times New Roman" w:hAnsi="Times New Roman" w:cs="Times New Roman"/>
          <w:sz w:val="24"/>
          <w:szCs w:val="24"/>
        </w:rPr>
        <w:t xml:space="preserve"> </w:t>
      </w:r>
      <w:r w:rsidR="00782CB4">
        <w:rPr>
          <w:rFonts w:ascii="Times New Roman" w:hAnsi="Times New Roman" w:cs="Times New Roman"/>
          <w:sz w:val="24"/>
          <w:szCs w:val="24"/>
        </w:rPr>
        <w:t xml:space="preserve"> </w:t>
      </w:r>
      <w:r w:rsidR="009E3815">
        <w:rPr>
          <w:rFonts w:ascii="Times New Roman" w:hAnsi="Times New Roman" w:cs="Times New Roman"/>
          <w:sz w:val="24"/>
          <w:szCs w:val="24"/>
        </w:rPr>
        <w:t xml:space="preserve">- </w:t>
      </w:r>
      <w:r>
        <w:rPr>
          <w:rFonts w:ascii="Times New Roman" w:hAnsi="Times New Roman" w:cs="Times New Roman"/>
          <w:sz w:val="24"/>
          <w:szCs w:val="24"/>
        </w:rPr>
        <w:t xml:space="preserve">might also be referred to the comments of Clarke J. in </w:t>
      </w:r>
      <w:r>
        <w:rPr>
          <w:rFonts w:ascii="Times New Roman" w:hAnsi="Times New Roman" w:cs="Times New Roman"/>
          <w:i/>
          <w:sz w:val="24"/>
          <w:szCs w:val="24"/>
        </w:rPr>
        <w:t xml:space="preserve">Law Society v. Motor Insurers Bureau of Ireland </w:t>
      </w:r>
      <w:r>
        <w:rPr>
          <w:rFonts w:ascii="Times New Roman" w:hAnsi="Times New Roman" w:cs="Times New Roman"/>
          <w:sz w:val="24"/>
          <w:szCs w:val="24"/>
        </w:rPr>
        <w:t>which I noted earlier</w:t>
      </w:r>
      <w:r w:rsidR="00782CB4">
        <w:rPr>
          <w:rFonts w:ascii="Times New Roman" w:hAnsi="Times New Roman" w:cs="Times New Roman"/>
          <w:sz w:val="24"/>
          <w:szCs w:val="24"/>
        </w:rPr>
        <w:t>.  As he said there, i</w:t>
      </w:r>
      <w:r>
        <w:rPr>
          <w:rFonts w:ascii="Times New Roman" w:hAnsi="Times New Roman" w:cs="Times New Roman"/>
          <w:sz w:val="24"/>
          <w:szCs w:val="24"/>
        </w:rPr>
        <w:t xml:space="preserve">n the case of certain formal documents the parties must be assumed to use language carefully and, in those cases, the terms in which they have expressed themselves may outweigh the implication </w:t>
      </w:r>
      <w:r w:rsidR="00490C55">
        <w:rPr>
          <w:rFonts w:ascii="Times New Roman" w:hAnsi="Times New Roman" w:cs="Times New Roman"/>
          <w:sz w:val="24"/>
          <w:szCs w:val="24"/>
        </w:rPr>
        <w:t>that might otherwise follow</w:t>
      </w:r>
      <w:r>
        <w:rPr>
          <w:rFonts w:ascii="Times New Roman" w:hAnsi="Times New Roman" w:cs="Times New Roman"/>
          <w:sz w:val="24"/>
          <w:szCs w:val="24"/>
        </w:rPr>
        <w:t xml:space="preserve"> the context.</w:t>
      </w:r>
    </w:p>
    <w:p w14:paraId="6C636F93" w14:textId="77777777" w:rsidR="00490C55" w:rsidRDefault="00490C55" w:rsidP="00490C55">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3DBC47E0" w14:textId="7BD54F28" w:rsidR="00490C55" w:rsidRPr="00487019" w:rsidRDefault="00C54227" w:rsidP="0048701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Nonetheless and h</w:t>
      </w:r>
      <w:r w:rsidR="00490C55">
        <w:rPr>
          <w:rFonts w:ascii="Times New Roman" w:hAnsi="Times New Roman" w:cs="Times New Roman"/>
          <w:sz w:val="24"/>
          <w:szCs w:val="24"/>
        </w:rPr>
        <w:t xml:space="preserve">owever the </w:t>
      </w:r>
      <w:r w:rsidR="0004162E">
        <w:rPr>
          <w:rFonts w:ascii="Times New Roman" w:hAnsi="Times New Roman" w:cs="Times New Roman"/>
          <w:sz w:val="24"/>
          <w:szCs w:val="24"/>
        </w:rPr>
        <w:t>argument</w:t>
      </w:r>
      <w:r w:rsidR="00490C55">
        <w:rPr>
          <w:rFonts w:ascii="Times New Roman" w:hAnsi="Times New Roman" w:cs="Times New Roman"/>
          <w:sz w:val="24"/>
          <w:szCs w:val="24"/>
        </w:rPr>
        <w:t xml:space="preserve"> is expressed, I do not agree that, properly construed, the mortgage required the description in the deed of appointment of the receiver as ‘</w:t>
      </w:r>
      <w:r w:rsidR="00490C55">
        <w:rPr>
          <w:rFonts w:ascii="Times New Roman" w:hAnsi="Times New Roman" w:cs="Times New Roman"/>
          <w:i/>
          <w:sz w:val="24"/>
          <w:szCs w:val="24"/>
        </w:rPr>
        <w:t>receiver and manager’</w:t>
      </w:r>
      <w:r w:rsidR="0031151A">
        <w:rPr>
          <w:rFonts w:ascii="Times New Roman" w:hAnsi="Times New Roman" w:cs="Times New Roman"/>
          <w:i/>
          <w:sz w:val="24"/>
          <w:szCs w:val="24"/>
        </w:rPr>
        <w:t xml:space="preserve"> </w:t>
      </w:r>
      <w:r w:rsidR="0031151A">
        <w:rPr>
          <w:rFonts w:ascii="Times New Roman" w:hAnsi="Times New Roman" w:cs="Times New Roman"/>
          <w:sz w:val="24"/>
          <w:szCs w:val="24"/>
        </w:rPr>
        <w:t>so that a failure to so des</w:t>
      </w:r>
      <w:r w:rsidR="00EF4A78">
        <w:rPr>
          <w:rFonts w:ascii="Times New Roman" w:hAnsi="Times New Roman" w:cs="Times New Roman"/>
          <w:sz w:val="24"/>
          <w:szCs w:val="24"/>
        </w:rPr>
        <w:t>ignate</w:t>
      </w:r>
      <w:r w:rsidR="0031151A">
        <w:rPr>
          <w:rFonts w:ascii="Times New Roman" w:hAnsi="Times New Roman" w:cs="Times New Roman"/>
          <w:sz w:val="24"/>
          <w:szCs w:val="24"/>
        </w:rPr>
        <w:t xml:space="preserve"> the appointee invalidated the appointment. </w:t>
      </w:r>
      <w:r w:rsidR="00490C55">
        <w:rPr>
          <w:rFonts w:ascii="Times New Roman" w:hAnsi="Times New Roman" w:cs="Times New Roman"/>
          <w:sz w:val="24"/>
          <w:szCs w:val="24"/>
        </w:rPr>
        <w:t xml:space="preserve"> </w:t>
      </w:r>
      <w:r w:rsidR="0004162E">
        <w:rPr>
          <w:rFonts w:ascii="Times New Roman" w:hAnsi="Times New Roman" w:cs="Times New Roman"/>
          <w:sz w:val="24"/>
          <w:szCs w:val="24"/>
        </w:rPr>
        <w:t xml:space="preserve">What clause 9.1 says is that the Bank could </w:t>
      </w:r>
      <w:r w:rsidR="004020C5">
        <w:rPr>
          <w:rFonts w:ascii="Times New Roman" w:hAnsi="Times New Roman" w:cs="Times New Roman"/>
          <w:sz w:val="24"/>
          <w:szCs w:val="24"/>
        </w:rPr>
        <w:t>‘</w:t>
      </w:r>
      <w:r w:rsidR="0004162E" w:rsidRPr="00D7207F">
        <w:rPr>
          <w:rFonts w:ascii="Times New Roman" w:hAnsi="Times New Roman" w:cs="Times New Roman"/>
          <w:i/>
          <w:sz w:val="24"/>
          <w:szCs w:val="24"/>
        </w:rPr>
        <w:t xml:space="preserve">appoint </w:t>
      </w:r>
      <w:r w:rsidR="0004162E">
        <w:rPr>
          <w:rFonts w:ascii="Times New Roman" w:hAnsi="Times New Roman" w:cs="Times New Roman"/>
          <w:i/>
          <w:sz w:val="24"/>
          <w:szCs w:val="24"/>
        </w:rPr>
        <w:t xml:space="preserve">… </w:t>
      </w:r>
      <w:r w:rsidR="0004162E" w:rsidRPr="00D7207F">
        <w:rPr>
          <w:rFonts w:ascii="Times New Roman" w:hAnsi="Times New Roman" w:cs="Times New Roman"/>
          <w:i/>
          <w:sz w:val="24"/>
          <w:szCs w:val="24"/>
        </w:rPr>
        <w:t xml:space="preserve">any person </w:t>
      </w:r>
      <w:r w:rsidR="0004162E">
        <w:rPr>
          <w:rFonts w:ascii="Times New Roman" w:hAnsi="Times New Roman" w:cs="Times New Roman"/>
          <w:i/>
          <w:sz w:val="24"/>
          <w:szCs w:val="24"/>
        </w:rPr>
        <w:t xml:space="preserve">… </w:t>
      </w:r>
      <w:r w:rsidR="0004162E" w:rsidRPr="00D7207F">
        <w:rPr>
          <w:rFonts w:ascii="Times New Roman" w:hAnsi="Times New Roman" w:cs="Times New Roman"/>
          <w:i/>
          <w:sz w:val="24"/>
          <w:szCs w:val="24"/>
        </w:rPr>
        <w:t xml:space="preserve">to be </w:t>
      </w:r>
      <w:r w:rsidR="0004162E" w:rsidRPr="00D7207F">
        <w:rPr>
          <w:rFonts w:ascii="Times New Roman" w:hAnsi="Times New Roman" w:cs="Times New Roman"/>
          <w:b/>
          <w:i/>
          <w:sz w:val="24"/>
          <w:szCs w:val="24"/>
        </w:rPr>
        <w:t>receiver and manager</w:t>
      </w:r>
      <w:r w:rsidR="0004162E">
        <w:rPr>
          <w:rFonts w:ascii="Times New Roman" w:hAnsi="Times New Roman" w:cs="Times New Roman"/>
          <w:b/>
          <w:i/>
          <w:sz w:val="24"/>
          <w:szCs w:val="24"/>
        </w:rPr>
        <w:t>.</w:t>
      </w:r>
      <w:r w:rsidR="004020C5" w:rsidRPr="004020C5">
        <w:rPr>
          <w:rFonts w:ascii="Times New Roman" w:hAnsi="Times New Roman" w:cs="Times New Roman"/>
          <w:bCs/>
          <w:i/>
          <w:sz w:val="24"/>
          <w:szCs w:val="24"/>
        </w:rPr>
        <w:t>’</w:t>
      </w:r>
      <w:r w:rsidR="0004162E">
        <w:rPr>
          <w:rFonts w:ascii="Times New Roman" w:hAnsi="Times New Roman" w:cs="Times New Roman"/>
          <w:b/>
          <w:i/>
          <w:sz w:val="24"/>
          <w:szCs w:val="24"/>
        </w:rPr>
        <w:t xml:space="preserve">  </w:t>
      </w:r>
      <w:r w:rsidR="0004162E">
        <w:rPr>
          <w:rFonts w:ascii="Times New Roman" w:hAnsi="Times New Roman" w:cs="Times New Roman"/>
          <w:sz w:val="24"/>
          <w:szCs w:val="24"/>
        </w:rPr>
        <w:t xml:space="preserve">This could have been done by a deed </w:t>
      </w:r>
      <w:r w:rsidR="0004162E">
        <w:rPr>
          <w:rFonts w:ascii="Times New Roman" w:hAnsi="Times New Roman" w:cs="Times New Roman"/>
          <w:sz w:val="24"/>
          <w:szCs w:val="24"/>
        </w:rPr>
        <w:lastRenderedPageBreak/>
        <w:t>which described the appointee in precisely those terms and, u</w:t>
      </w:r>
      <w:r w:rsidR="00E22342">
        <w:rPr>
          <w:rFonts w:ascii="Times New Roman" w:hAnsi="Times New Roman" w:cs="Times New Roman"/>
          <w:sz w:val="24"/>
          <w:szCs w:val="24"/>
        </w:rPr>
        <w:t>ndoubtedly, it would have been prudent to so identify him</w:t>
      </w:r>
      <w:r w:rsidR="0004162E">
        <w:rPr>
          <w:rFonts w:ascii="Times New Roman" w:hAnsi="Times New Roman" w:cs="Times New Roman"/>
          <w:sz w:val="24"/>
          <w:szCs w:val="24"/>
        </w:rPr>
        <w:t xml:space="preserve">.  But given that a receiver and manager is a receiver who has powers of management, </w:t>
      </w:r>
      <w:r w:rsidR="00D47534">
        <w:rPr>
          <w:rFonts w:ascii="Times New Roman" w:hAnsi="Times New Roman" w:cs="Times New Roman"/>
          <w:sz w:val="24"/>
          <w:szCs w:val="24"/>
        </w:rPr>
        <w:t>and given that the term ‘</w:t>
      </w:r>
      <w:r w:rsidR="00D47534">
        <w:rPr>
          <w:rFonts w:ascii="Times New Roman" w:hAnsi="Times New Roman" w:cs="Times New Roman"/>
          <w:i/>
          <w:sz w:val="24"/>
          <w:szCs w:val="24"/>
        </w:rPr>
        <w:t xml:space="preserve">receiver and manager’ </w:t>
      </w:r>
      <w:r w:rsidR="00D47534">
        <w:rPr>
          <w:rFonts w:ascii="Times New Roman" w:hAnsi="Times New Roman" w:cs="Times New Roman"/>
          <w:sz w:val="24"/>
          <w:szCs w:val="24"/>
        </w:rPr>
        <w:t xml:space="preserve">is not one of art, </w:t>
      </w:r>
      <w:r w:rsidR="0004162E">
        <w:rPr>
          <w:rFonts w:ascii="Times New Roman" w:hAnsi="Times New Roman" w:cs="Times New Roman"/>
          <w:sz w:val="24"/>
          <w:szCs w:val="24"/>
        </w:rPr>
        <w:t xml:space="preserve">an appointment of a person </w:t>
      </w:r>
      <w:r w:rsidR="0004162E">
        <w:rPr>
          <w:rFonts w:ascii="Times New Roman" w:hAnsi="Times New Roman" w:cs="Times New Roman"/>
          <w:i/>
          <w:sz w:val="24"/>
          <w:szCs w:val="24"/>
        </w:rPr>
        <w:t xml:space="preserve">qua </w:t>
      </w:r>
      <w:r w:rsidR="0004162E">
        <w:rPr>
          <w:rFonts w:ascii="Times New Roman" w:hAnsi="Times New Roman" w:cs="Times New Roman"/>
          <w:sz w:val="24"/>
          <w:szCs w:val="24"/>
        </w:rPr>
        <w:t xml:space="preserve">receiver </w:t>
      </w:r>
      <w:r w:rsidR="00B878EE">
        <w:rPr>
          <w:rFonts w:ascii="Times New Roman" w:hAnsi="Times New Roman" w:cs="Times New Roman"/>
          <w:sz w:val="24"/>
          <w:szCs w:val="24"/>
        </w:rPr>
        <w:t xml:space="preserve">by an instrument </w:t>
      </w:r>
      <w:r w:rsidR="0004162E">
        <w:rPr>
          <w:rFonts w:ascii="Times New Roman" w:hAnsi="Times New Roman" w:cs="Times New Roman"/>
          <w:sz w:val="24"/>
          <w:szCs w:val="24"/>
        </w:rPr>
        <w:t xml:space="preserve">which </w:t>
      </w:r>
      <w:r w:rsidR="00294D36">
        <w:rPr>
          <w:rFonts w:ascii="Times New Roman" w:hAnsi="Times New Roman" w:cs="Times New Roman"/>
          <w:sz w:val="24"/>
          <w:szCs w:val="24"/>
        </w:rPr>
        <w:t xml:space="preserve">properly construed </w:t>
      </w:r>
      <w:r w:rsidR="0004162E">
        <w:rPr>
          <w:rFonts w:ascii="Times New Roman" w:hAnsi="Times New Roman" w:cs="Times New Roman"/>
          <w:sz w:val="24"/>
          <w:szCs w:val="24"/>
        </w:rPr>
        <w:t>has the effect of conferring upon him or her powers of management</w:t>
      </w:r>
      <w:r w:rsidR="00294D36">
        <w:rPr>
          <w:rFonts w:ascii="Times New Roman" w:hAnsi="Times New Roman" w:cs="Times New Roman"/>
          <w:sz w:val="24"/>
          <w:szCs w:val="24"/>
        </w:rPr>
        <w:t>,</w:t>
      </w:r>
      <w:r w:rsidR="0004162E">
        <w:rPr>
          <w:rFonts w:ascii="Times New Roman" w:hAnsi="Times New Roman" w:cs="Times New Roman"/>
          <w:sz w:val="24"/>
          <w:szCs w:val="24"/>
        </w:rPr>
        <w:t xml:space="preserve"> achieves the same end.  The consequence is the appointment is of a receiver and manager. </w:t>
      </w:r>
      <w:r w:rsidR="00E22342">
        <w:rPr>
          <w:rFonts w:ascii="Times New Roman" w:hAnsi="Times New Roman" w:cs="Times New Roman"/>
          <w:sz w:val="24"/>
          <w:szCs w:val="24"/>
        </w:rPr>
        <w:t xml:space="preserve"> </w:t>
      </w:r>
      <w:r w:rsidR="00487019">
        <w:rPr>
          <w:rFonts w:ascii="Times New Roman" w:hAnsi="Times New Roman" w:cs="Times New Roman"/>
          <w:sz w:val="24"/>
          <w:szCs w:val="24"/>
        </w:rPr>
        <w:t>C</w:t>
      </w:r>
      <w:r w:rsidR="00490C55" w:rsidRPr="00487019">
        <w:rPr>
          <w:rFonts w:ascii="Times New Roman" w:hAnsi="Times New Roman" w:cs="Times New Roman"/>
          <w:sz w:val="24"/>
          <w:szCs w:val="24"/>
        </w:rPr>
        <w:t xml:space="preserve">lause 9.1 describes what is being appointed (a receiver </w:t>
      </w:r>
      <w:r w:rsidR="00B6377E" w:rsidRPr="00487019">
        <w:rPr>
          <w:rFonts w:ascii="Times New Roman" w:hAnsi="Times New Roman" w:cs="Times New Roman"/>
          <w:sz w:val="24"/>
          <w:szCs w:val="24"/>
        </w:rPr>
        <w:t xml:space="preserve">and </w:t>
      </w:r>
      <w:r w:rsidR="00490C55" w:rsidRPr="00487019">
        <w:rPr>
          <w:rFonts w:ascii="Times New Roman" w:hAnsi="Times New Roman" w:cs="Times New Roman"/>
          <w:sz w:val="24"/>
          <w:szCs w:val="24"/>
        </w:rPr>
        <w:t xml:space="preserve">manager) but does not prescribe the language that must be used to </w:t>
      </w:r>
      <w:r w:rsidR="00B6377E" w:rsidRPr="00487019">
        <w:rPr>
          <w:rFonts w:ascii="Times New Roman" w:hAnsi="Times New Roman" w:cs="Times New Roman"/>
          <w:sz w:val="24"/>
          <w:szCs w:val="24"/>
        </w:rPr>
        <w:t>achieve that objective.</w:t>
      </w:r>
    </w:p>
    <w:p w14:paraId="7B1E1E62" w14:textId="77777777" w:rsidR="00490C55" w:rsidRDefault="00490C55" w:rsidP="00490C55">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4D8096C7" w14:textId="77777777" w:rsidR="00D81C5C" w:rsidRDefault="00490C55" w:rsidP="00D81C5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That</w:t>
      </w:r>
      <w:r w:rsidR="00AA2870">
        <w:rPr>
          <w:rFonts w:ascii="Times New Roman" w:hAnsi="Times New Roman" w:cs="Times New Roman"/>
          <w:sz w:val="24"/>
          <w:szCs w:val="24"/>
        </w:rPr>
        <w:t xml:space="preserve"> conclusion</w:t>
      </w:r>
      <w:r>
        <w:rPr>
          <w:rFonts w:ascii="Times New Roman" w:hAnsi="Times New Roman" w:cs="Times New Roman"/>
          <w:sz w:val="24"/>
          <w:szCs w:val="24"/>
        </w:rPr>
        <w:t xml:space="preserve"> is not</w:t>
      </w:r>
      <w:r w:rsidR="00AA2870">
        <w:rPr>
          <w:rFonts w:ascii="Times New Roman" w:hAnsi="Times New Roman" w:cs="Times New Roman"/>
          <w:sz w:val="24"/>
          <w:szCs w:val="24"/>
        </w:rPr>
        <w:t>, in my view,</w:t>
      </w:r>
      <w:r>
        <w:rPr>
          <w:rFonts w:ascii="Times New Roman" w:hAnsi="Times New Roman" w:cs="Times New Roman"/>
          <w:sz w:val="24"/>
          <w:szCs w:val="24"/>
        </w:rPr>
        <w:t xml:space="preserve"> displaced by the use of the phrase ‘</w:t>
      </w:r>
      <w:r>
        <w:rPr>
          <w:rFonts w:ascii="Times New Roman" w:hAnsi="Times New Roman" w:cs="Times New Roman"/>
          <w:i/>
          <w:sz w:val="24"/>
          <w:szCs w:val="24"/>
        </w:rPr>
        <w:t>a Receiver so appointed’</w:t>
      </w:r>
      <w:r>
        <w:rPr>
          <w:rFonts w:ascii="Times New Roman" w:hAnsi="Times New Roman" w:cs="Times New Roman"/>
          <w:sz w:val="24"/>
          <w:szCs w:val="24"/>
        </w:rPr>
        <w:t xml:space="preserve"> in clause 9.3.  This refers to the person appointed pursuant to clause 9.1, and clause 9.1 is concerned with a person who has been appointed ‘</w:t>
      </w:r>
      <w:r>
        <w:rPr>
          <w:rFonts w:ascii="Times New Roman" w:hAnsi="Times New Roman" w:cs="Times New Roman"/>
          <w:i/>
          <w:sz w:val="24"/>
          <w:szCs w:val="24"/>
        </w:rPr>
        <w:t>to be receiver and manager’</w:t>
      </w:r>
      <w:r>
        <w:rPr>
          <w:rFonts w:ascii="Times New Roman" w:hAnsi="Times New Roman" w:cs="Times New Roman"/>
          <w:sz w:val="24"/>
          <w:szCs w:val="24"/>
        </w:rPr>
        <w:t>.  Given that – for the reasons I have explained – a person who is appointed to exercise the powers of a receiver under the mortgage is</w:t>
      </w:r>
      <w:r w:rsidR="00AA2870">
        <w:rPr>
          <w:rFonts w:ascii="Times New Roman" w:hAnsi="Times New Roman" w:cs="Times New Roman"/>
          <w:sz w:val="24"/>
          <w:szCs w:val="24"/>
        </w:rPr>
        <w:t>,</w:t>
      </w:r>
      <w:r>
        <w:rPr>
          <w:rFonts w:ascii="Times New Roman" w:hAnsi="Times New Roman" w:cs="Times New Roman"/>
          <w:sz w:val="24"/>
          <w:szCs w:val="24"/>
        </w:rPr>
        <w:t xml:space="preserve"> having regard to the nature of those powers</w:t>
      </w:r>
      <w:r w:rsidR="00AA2870">
        <w:rPr>
          <w:rFonts w:ascii="Times New Roman" w:hAnsi="Times New Roman" w:cs="Times New Roman"/>
          <w:sz w:val="24"/>
          <w:szCs w:val="24"/>
        </w:rPr>
        <w:t>,</w:t>
      </w:r>
      <w:r>
        <w:rPr>
          <w:rFonts w:ascii="Times New Roman" w:hAnsi="Times New Roman" w:cs="Times New Roman"/>
          <w:sz w:val="24"/>
          <w:szCs w:val="24"/>
        </w:rPr>
        <w:t xml:space="preserve"> properly described as a </w:t>
      </w:r>
      <w:r w:rsidRPr="00B52DB4">
        <w:rPr>
          <w:rFonts w:ascii="Times New Roman" w:hAnsi="Times New Roman" w:cs="Times New Roman"/>
          <w:i/>
          <w:sz w:val="24"/>
          <w:szCs w:val="24"/>
        </w:rPr>
        <w:t>receiver</w:t>
      </w:r>
      <w:r w:rsidR="00487019">
        <w:rPr>
          <w:rFonts w:ascii="Times New Roman" w:hAnsi="Times New Roman" w:cs="Times New Roman"/>
          <w:i/>
          <w:sz w:val="24"/>
          <w:szCs w:val="24"/>
        </w:rPr>
        <w:t xml:space="preserve"> and </w:t>
      </w:r>
      <w:r w:rsidRPr="00B52DB4">
        <w:rPr>
          <w:rFonts w:ascii="Times New Roman" w:hAnsi="Times New Roman" w:cs="Times New Roman"/>
          <w:i/>
          <w:sz w:val="24"/>
          <w:szCs w:val="24"/>
        </w:rPr>
        <w:t>manager</w:t>
      </w:r>
      <w:r>
        <w:rPr>
          <w:rFonts w:ascii="Times New Roman" w:hAnsi="Times New Roman" w:cs="Times New Roman"/>
          <w:sz w:val="24"/>
          <w:szCs w:val="24"/>
        </w:rPr>
        <w:t>, the phrase ‘</w:t>
      </w:r>
      <w:r>
        <w:rPr>
          <w:rFonts w:ascii="Times New Roman" w:hAnsi="Times New Roman" w:cs="Times New Roman"/>
          <w:i/>
          <w:sz w:val="24"/>
          <w:szCs w:val="24"/>
        </w:rPr>
        <w:t>a Receiver so appointed’</w:t>
      </w:r>
      <w:r>
        <w:rPr>
          <w:rFonts w:ascii="Times New Roman" w:hAnsi="Times New Roman" w:cs="Times New Roman"/>
          <w:sz w:val="24"/>
          <w:szCs w:val="24"/>
        </w:rPr>
        <w:t xml:space="preserve"> </w:t>
      </w:r>
      <w:r w:rsidR="000E6A28">
        <w:rPr>
          <w:rFonts w:ascii="Times New Roman" w:hAnsi="Times New Roman" w:cs="Times New Roman"/>
          <w:sz w:val="24"/>
          <w:szCs w:val="24"/>
        </w:rPr>
        <w:t xml:space="preserve"> </w:t>
      </w:r>
      <w:r>
        <w:rPr>
          <w:rFonts w:ascii="Times New Roman" w:hAnsi="Times New Roman" w:cs="Times New Roman"/>
          <w:sz w:val="24"/>
          <w:szCs w:val="24"/>
        </w:rPr>
        <w:t xml:space="preserve">does no more than confirm the specific </w:t>
      </w:r>
      <w:r w:rsidR="00AA2870">
        <w:rPr>
          <w:rFonts w:ascii="Times New Roman" w:hAnsi="Times New Roman" w:cs="Times New Roman"/>
          <w:sz w:val="24"/>
          <w:szCs w:val="24"/>
        </w:rPr>
        <w:t xml:space="preserve">powers </w:t>
      </w:r>
      <w:r>
        <w:rPr>
          <w:rFonts w:ascii="Times New Roman" w:hAnsi="Times New Roman" w:cs="Times New Roman"/>
          <w:sz w:val="24"/>
          <w:szCs w:val="24"/>
        </w:rPr>
        <w:t>that will be vested in such a person.  It does not either in terms or by any evident implication impose a formal requirement as to the contents of the instrument of appointment.</w:t>
      </w:r>
      <w:r w:rsidR="00D81C5C">
        <w:rPr>
          <w:rFonts w:ascii="Times New Roman" w:hAnsi="Times New Roman" w:cs="Times New Roman"/>
          <w:sz w:val="24"/>
          <w:szCs w:val="24"/>
        </w:rPr>
        <w:t xml:space="preserve"> </w:t>
      </w:r>
    </w:p>
    <w:p w14:paraId="59252FD3" w14:textId="77777777" w:rsidR="00D81C5C" w:rsidRPr="00D81C5C" w:rsidRDefault="00D81C5C" w:rsidP="00D81C5C">
      <w:pPr>
        <w:pStyle w:val="ListParagraph"/>
        <w:rPr>
          <w:rFonts w:ascii="Times New Roman" w:hAnsi="Times New Roman" w:cs="Times New Roman"/>
          <w:sz w:val="24"/>
          <w:szCs w:val="24"/>
        </w:rPr>
      </w:pPr>
    </w:p>
    <w:p w14:paraId="02A8A233" w14:textId="1E470A51" w:rsidR="00286C68" w:rsidRPr="00286C68" w:rsidRDefault="00B6377E" w:rsidP="00286C6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 this regard, there is in my view a clear distinction between this case</w:t>
      </w:r>
      <w:r w:rsidR="000D184B">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The Merrow.  </w:t>
      </w:r>
      <w:r>
        <w:rPr>
          <w:rFonts w:ascii="Times New Roman" w:hAnsi="Times New Roman" w:cs="Times New Roman"/>
          <w:sz w:val="24"/>
          <w:szCs w:val="24"/>
        </w:rPr>
        <w:t>There, the debenture described the power to appoint a receiver by reference to – and only to – an appointment under seal.  In fact, the instrument expressly excluded the power otherwise arising under s.</w:t>
      </w:r>
      <w:r w:rsidR="00363861">
        <w:rPr>
          <w:rFonts w:ascii="Times New Roman" w:hAnsi="Times New Roman" w:cs="Times New Roman"/>
          <w:sz w:val="24"/>
          <w:szCs w:val="24"/>
        </w:rPr>
        <w:t xml:space="preserve"> </w:t>
      </w:r>
      <w:r>
        <w:rPr>
          <w:rFonts w:ascii="Times New Roman" w:hAnsi="Times New Roman" w:cs="Times New Roman"/>
          <w:sz w:val="24"/>
          <w:szCs w:val="24"/>
        </w:rPr>
        <w:t>24(1) of the Conveyancing Act 1881 to effect an appointment by writing ‘</w:t>
      </w:r>
      <w:r>
        <w:rPr>
          <w:rFonts w:ascii="Times New Roman" w:hAnsi="Times New Roman" w:cs="Times New Roman"/>
          <w:i/>
          <w:sz w:val="24"/>
          <w:szCs w:val="24"/>
        </w:rPr>
        <w:t>under hand’</w:t>
      </w:r>
      <w:r>
        <w:rPr>
          <w:rFonts w:ascii="Times New Roman" w:hAnsi="Times New Roman" w:cs="Times New Roman"/>
          <w:sz w:val="24"/>
          <w:szCs w:val="24"/>
        </w:rPr>
        <w:t xml:space="preserve">.  The appointment </w:t>
      </w:r>
      <w:r w:rsidR="00655A4A">
        <w:rPr>
          <w:rFonts w:ascii="Times New Roman" w:hAnsi="Times New Roman" w:cs="Times New Roman"/>
          <w:sz w:val="24"/>
          <w:szCs w:val="24"/>
        </w:rPr>
        <w:t xml:space="preserve">in question </w:t>
      </w:r>
      <w:r>
        <w:rPr>
          <w:rFonts w:ascii="Times New Roman" w:hAnsi="Times New Roman" w:cs="Times New Roman"/>
          <w:sz w:val="24"/>
          <w:szCs w:val="24"/>
        </w:rPr>
        <w:t xml:space="preserve">was not made under seal, but by hand.  The conclusion that the appointment was accordingly invalid as not having been effected in the manner described in the mortgage document </w:t>
      </w:r>
      <w:r w:rsidR="00E345F3">
        <w:rPr>
          <w:rFonts w:ascii="Times New Roman" w:hAnsi="Times New Roman" w:cs="Times New Roman"/>
          <w:sz w:val="24"/>
          <w:szCs w:val="24"/>
        </w:rPr>
        <w:t>followed</w:t>
      </w:r>
      <w:r>
        <w:rPr>
          <w:rFonts w:ascii="Times New Roman" w:hAnsi="Times New Roman" w:cs="Times New Roman"/>
          <w:sz w:val="24"/>
          <w:szCs w:val="24"/>
        </w:rPr>
        <w:t xml:space="preserve">.  </w:t>
      </w:r>
      <w:r w:rsidR="00D81C5C">
        <w:rPr>
          <w:rFonts w:ascii="Times New Roman" w:hAnsi="Times New Roman" w:cs="Times New Roman"/>
          <w:sz w:val="24"/>
          <w:szCs w:val="24"/>
        </w:rPr>
        <w:t xml:space="preserve">The </w:t>
      </w:r>
      <w:r w:rsidR="00D81C5C">
        <w:rPr>
          <w:rFonts w:ascii="Times New Roman" w:hAnsi="Times New Roman" w:cs="Times New Roman"/>
          <w:sz w:val="24"/>
          <w:szCs w:val="24"/>
        </w:rPr>
        <w:lastRenderedPageBreak/>
        <w:t xml:space="preserve">same can be said of the other decisions referred to by Gilligan J. in the course of his judgment </w:t>
      </w:r>
      <w:r w:rsidR="00286C68">
        <w:rPr>
          <w:rFonts w:ascii="Times New Roman" w:hAnsi="Times New Roman" w:cs="Times New Roman"/>
          <w:sz w:val="24"/>
          <w:szCs w:val="24"/>
        </w:rPr>
        <w:t xml:space="preserve">which </w:t>
      </w:r>
      <w:r w:rsidR="00D81C5C" w:rsidRPr="00D81C5C">
        <w:rPr>
          <w:rFonts w:ascii="Times New Roman" w:hAnsi="Times New Roman" w:cs="Times New Roman"/>
          <w:sz w:val="24"/>
          <w:szCs w:val="24"/>
        </w:rPr>
        <w:t>presented defects in appointment of a similar kind – an appointment made before the entitlement to do so had arisen (</w:t>
      </w:r>
      <w:r w:rsidR="00D81C5C" w:rsidRPr="00D81C5C">
        <w:rPr>
          <w:rFonts w:ascii="Times New Roman" w:hAnsi="Times New Roman" w:cs="Times New Roman"/>
          <w:i/>
          <w:sz w:val="24"/>
          <w:szCs w:val="24"/>
        </w:rPr>
        <w:t xml:space="preserve">R Jaffe Ltd. (In Liquidation) v. Jaffe (No.2) </w:t>
      </w:r>
      <w:r w:rsidR="00D81C5C" w:rsidRPr="00D81C5C">
        <w:rPr>
          <w:rFonts w:ascii="Times New Roman" w:hAnsi="Times New Roman" w:cs="Times New Roman"/>
          <w:sz w:val="24"/>
          <w:szCs w:val="24"/>
        </w:rPr>
        <w:t>[1932] NZLR 195) or a suggested failure to comply with the requirement that the appointment be ‘</w:t>
      </w:r>
      <w:r w:rsidR="00D81C5C" w:rsidRPr="00D81C5C">
        <w:rPr>
          <w:rFonts w:ascii="Times New Roman" w:hAnsi="Times New Roman" w:cs="Times New Roman"/>
          <w:i/>
          <w:sz w:val="24"/>
          <w:szCs w:val="24"/>
        </w:rPr>
        <w:t xml:space="preserve">by writing’ </w:t>
      </w:r>
      <w:r w:rsidR="00D81C5C" w:rsidRPr="00D81C5C">
        <w:rPr>
          <w:rFonts w:ascii="Times New Roman" w:hAnsi="Times New Roman" w:cs="Times New Roman"/>
          <w:sz w:val="24"/>
          <w:szCs w:val="24"/>
        </w:rPr>
        <w:t>(</w:t>
      </w:r>
      <w:r w:rsidR="00D81C5C" w:rsidRPr="00D81C5C">
        <w:rPr>
          <w:rFonts w:ascii="Times New Roman" w:hAnsi="Times New Roman" w:cs="Times New Roman"/>
          <w:i/>
          <w:sz w:val="24"/>
          <w:szCs w:val="24"/>
        </w:rPr>
        <w:t xml:space="preserve">Windsor Refrigerator Co. Ltd. v. Branch Nominees Ltd. </w:t>
      </w:r>
      <w:r w:rsidR="00D81C5C" w:rsidRPr="00D81C5C">
        <w:rPr>
          <w:rFonts w:ascii="Times New Roman" w:hAnsi="Times New Roman" w:cs="Times New Roman"/>
          <w:sz w:val="24"/>
          <w:szCs w:val="24"/>
        </w:rPr>
        <w:t xml:space="preserve">[1961] Ch. 375 and, more recently on this same issue </w:t>
      </w:r>
      <w:r w:rsidR="00D81C5C" w:rsidRPr="00D81C5C">
        <w:rPr>
          <w:rFonts w:ascii="Times New Roman" w:hAnsi="Times New Roman" w:cs="Times New Roman"/>
          <w:i/>
          <w:sz w:val="24"/>
          <w:szCs w:val="24"/>
        </w:rPr>
        <w:t>McCleary v. McPhillips</w:t>
      </w:r>
      <w:r w:rsidR="00AA2870">
        <w:rPr>
          <w:rFonts w:ascii="Times New Roman" w:hAnsi="Times New Roman" w:cs="Times New Roman"/>
          <w:i/>
          <w:sz w:val="24"/>
          <w:szCs w:val="24"/>
        </w:rPr>
        <w:t xml:space="preserve"> &amp; </w:t>
      </w:r>
      <w:proofErr w:type="spellStart"/>
      <w:r w:rsidR="00AA2870">
        <w:rPr>
          <w:rFonts w:ascii="Times New Roman" w:hAnsi="Times New Roman" w:cs="Times New Roman"/>
          <w:i/>
          <w:sz w:val="24"/>
          <w:szCs w:val="24"/>
        </w:rPr>
        <w:t>ors</w:t>
      </w:r>
      <w:proofErr w:type="spellEnd"/>
      <w:r w:rsidR="00AA2870">
        <w:rPr>
          <w:rFonts w:ascii="Times New Roman" w:hAnsi="Times New Roman" w:cs="Times New Roman"/>
          <w:i/>
          <w:sz w:val="24"/>
          <w:szCs w:val="24"/>
        </w:rPr>
        <w:t xml:space="preserve">. </w:t>
      </w:r>
      <w:r w:rsidR="00D81C5C" w:rsidRPr="00D81C5C">
        <w:rPr>
          <w:rFonts w:ascii="Times New Roman" w:hAnsi="Times New Roman" w:cs="Times New Roman"/>
          <w:i/>
          <w:sz w:val="24"/>
          <w:szCs w:val="24"/>
        </w:rPr>
        <w:t xml:space="preserve"> </w:t>
      </w:r>
      <w:r w:rsidR="00D81C5C" w:rsidRPr="00D81C5C">
        <w:rPr>
          <w:rFonts w:ascii="Times New Roman" w:hAnsi="Times New Roman" w:cs="Times New Roman"/>
          <w:sz w:val="24"/>
          <w:szCs w:val="24"/>
        </w:rPr>
        <w:t>[2015] IEHC 591).</w:t>
      </w:r>
    </w:p>
    <w:p w14:paraId="1A632B43" w14:textId="77777777" w:rsidR="00D81C5C" w:rsidRPr="00D81C5C" w:rsidRDefault="00D81C5C" w:rsidP="00D81C5C">
      <w:pPr>
        <w:pStyle w:val="ListParagraph"/>
        <w:rPr>
          <w:rFonts w:ascii="Times New Roman" w:hAnsi="Times New Roman" w:cs="Times New Roman"/>
          <w:sz w:val="24"/>
          <w:szCs w:val="24"/>
        </w:rPr>
      </w:pPr>
    </w:p>
    <w:p w14:paraId="697F6DAD" w14:textId="77777777" w:rsidR="00D81C5C" w:rsidRDefault="00B6377E" w:rsidP="00490C55">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However, while</w:t>
      </w:r>
      <w:r w:rsidR="00286C68">
        <w:rPr>
          <w:rFonts w:ascii="Times New Roman" w:hAnsi="Times New Roman" w:cs="Times New Roman"/>
          <w:sz w:val="24"/>
          <w:szCs w:val="24"/>
        </w:rPr>
        <w:t xml:space="preserve"> all of these cases may </w:t>
      </w:r>
      <w:r w:rsidR="00AA2870">
        <w:rPr>
          <w:rFonts w:ascii="Times New Roman" w:hAnsi="Times New Roman" w:cs="Times New Roman"/>
          <w:sz w:val="24"/>
          <w:szCs w:val="24"/>
        </w:rPr>
        <w:t>afford</w:t>
      </w:r>
      <w:r w:rsidR="00286C68">
        <w:rPr>
          <w:rFonts w:ascii="Times New Roman" w:hAnsi="Times New Roman" w:cs="Times New Roman"/>
          <w:sz w:val="24"/>
          <w:szCs w:val="24"/>
        </w:rPr>
        <w:t xml:space="preserve"> </w:t>
      </w:r>
      <w:r>
        <w:rPr>
          <w:rFonts w:ascii="Times New Roman" w:hAnsi="Times New Roman" w:cs="Times New Roman"/>
          <w:sz w:val="24"/>
          <w:szCs w:val="24"/>
        </w:rPr>
        <w:t xml:space="preserve">authority for the proposition that a requirement expressed in the </w:t>
      </w:r>
      <w:r w:rsidR="00D81C5C">
        <w:rPr>
          <w:rFonts w:ascii="Times New Roman" w:hAnsi="Times New Roman" w:cs="Times New Roman"/>
          <w:sz w:val="24"/>
          <w:szCs w:val="24"/>
        </w:rPr>
        <w:t xml:space="preserve">mortgage </w:t>
      </w:r>
      <w:r w:rsidR="00AA2870">
        <w:rPr>
          <w:rFonts w:ascii="Times New Roman" w:hAnsi="Times New Roman" w:cs="Times New Roman"/>
          <w:sz w:val="24"/>
          <w:szCs w:val="24"/>
        </w:rPr>
        <w:t xml:space="preserve">and conditioning </w:t>
      </w:r>
      <w:r w:rsidR="00A8304B">
        <w:rPr>
          <w:rFonts w:ascii="Times New Roman" w:hAnsi="Times New Roman" w:cs="Times New Roman"/>
          <w:sz w:val="24"/>
          <w:szCs w:val="24"/>
        </w:rPr>
        <w:t xml:space="preserve">the </w:t>
      </w:r>
      <w:r w:rsidR="00AA2870">
        <w:rPr>
          <w:rFonts w:ascii="Times New Roman" w:hAnsi="Times New Roman" w:cs="Times New Roman"/>
          <w:sz w:val="24"/>
          <w:szCs w:val="24"/>
        </w:rPr>
        <w:t xml:space="preserve">appointment of a receiver </w:t>
      </w:r>
      <w:r w:rsidR="00D81C5C">
        <w:rPr>
          <w:rFonts w:ascii="Times New Roman" w:hAnsi="Times New Roman" w:cs="Times New Roman"/>
          <w:sz w:val="24"/>
          <w:szCs w:val="24"/>
        </w:rPr>
        <w:t xml:space="preserve">must be </w:t>
      </w:r>
      <w:r w:rsidR="00687FB2">
        <w:rPr>
          <w:rFonts w:ascii="Times New Roman" w:hAnsi="Times New Roman" w:cs="Times New Roman"/>
          <w:sz w:val="24"/>
          <w:szCs w:val="24"/>
        </w:rPr>
        <w:t xml:space="preserve">strictly </w:t>
      </w:r>
      <w:r w:rsidR="00D81C5C">
        <w:rPr>
          <w:rFonts w:ascii="Times New Roman" w:hAnsi="Times New Roman" w:cs="Times New Roman"/>
          <w:sz w:val="24"/>
          <w:szCs w:val="24"/>
        </w:rPr>
        <w:t xml:space="preserve">complied with, </w:t>
      </w:r>
      <w:r w:rsidR="00EF4A78">
        <w:rPr>
          <w:rFonts w:ascii="Times New Roman" w:hAnsi="Times New Roman" w:cs="Times New Roman"/>
          <w:sz w:val="24"/>
          <w:szCs w:val="24"/>
        </w:rPr>
        <w:t xml:space="preserve">they </w:t>
      </w:r>
      <w:r w:rsidR="00286C68">
        <w:rPr>
          <w:rFonts w:ascii="Times New Roman" w:hAnsi="Times New Roman" w:cs="Times New Roman"/>
          <w:sz w:val="24"/>
          <w:szCs w:val="24"/>
        </w:rPr>
        <w:t xml:space="preserve">were </w:t>
      </w:r>
      <w:r w:rsidR="00D81C5C">
        <w:rPr>
          <w:rFonts w:ascii="Times New Roman" w:hAnsi="Times New Roman" w:cs="Times New Roman"/>
          <w:sz w:val="24"/>
          <w:szCs w:val="24"/>
        </w:rPr>
        <w:t xml:space="preserve">concerned with the </w:t>
      </w:r>
      <w:r w:rsidR="00286C68">
        <w:rPr>
          <w:rFonts w:ascii="Times New Roman" w:hAnsi="Times New Roman" w:cs="Times New Roman"/>
          <w:sz w:val="24"/>
          <w:szCs w:val="24"/>
        </w:rPr>
        <w:t xml:space="preserve">point </w:t>
      </w:r>
      <w:r w:rsidR="00401649">
        <w:rPr>
          <w:rFonts w:ascii="Times New Roman" w:hAnsi="Times New Roman" w:cs="Times New Roman"/>
          <w:sz w:val="24"/>
          <w:szCs w:val="24"/>
        </w:rPr>
        <w:t xml:space="preserve">when, </w:t>
      </w:r>
      <w:r w:rsidR="00286C68">
        <w:rPr>
          <w:rFonts w:ascii="Times New Roman" w:hAnsi="Times New Roman" w:cs="Times New Roman"/>
          <w:sz w:val="24"/>
          <w:szCs w:val="24"/>
        </w:rPr>
        <w:t xml:space="preserve">or </w:t>
      </w:r>
      <w:r w:rsidR="00363861">
        <w:rPr>
          <w:rFonts w:ascii="Times New Roman" w:hAnsi="Times New Roman" w:cs="Times New Roman"/>
          <w:sz w:val="24"/>
          <w:szCs w:val="24"/>
        </w:rPr>
        <w:t xml:space="preserve">the </w:t>
      </w:r>
      <w:r w:rsidR="00D81C5C">
        <w:rPr>
          <w:rFonts w:ascii="Times New Roman" w:hAnsi="Times New Roman" w:cs="Times New Roman"/>
          <w:sz w:val="24"/>
          <w:szCs w:val="24"/>
        </w:rPr>
        <w:t>manner in which</w:t>
      </w:r>
      <w:r w:rsidR="00401649">
        <w:rPr>
          <w:rFonts w:ascii="Times New Roman" w:hAnsi="Times New Roman" w:cs="Times New Roman"/>
          <w:sz w:val="24"/>
          <w:szCs w:val="24"/>
        </w:rPr>
        <w:t>,</w:t>
      </w:r>
      <w:r w:rsidR="00D81C5C">
        <w:rPr>
          <w:rFonts w:ascii="Times New Roman" w:hAnsi="Times New Roman" w:cs="Times New Roman"/>
          <w:sz w:val="24"/>
          <w:szCs w:val="24"/>
        </w:rPr>
        <w:t xml:space="preserve"> the deed was executed</w:t>
      </w:r>
      <w:r w:rsidR="00401649">
        <w:rPr>
          <w:rFonts w:ascii="Times New Roman" w:hAnsi="Times New Roman" w:cs="Times New Roman"/>
          <w:sz w:val="24"/>
          <w:szCs w:val="24"/>
        </w:rPr>
        <w:t xml:space="preserve">.  They were </w:t>
      </w:r>
      <w:r w:rsidR="00D81C5C">
        <w:rPr>
          <w:rFonts w:ascii="Times New Roman" w:hAnsi="Times New Roman" w:cs="Times New Roman"/>
          <w:sz w:val="24"/>
          <w:szCs w:val="24"/>
        </w:rPr>
        <w:t xml:space="preserve">not </w:t>
      </w:r>
      <w:r w:rsidR="00401649">
        <w:rPr>
          <w:rFonts w:ascii="Times New Roman" w:hAnsi="Times New Roman" w:cs="Times New Roman"/>
          <w:sz w:val="24"/>
          <w:szCs w:val="24"/>
        </w:rPr>
        <w:t xml:space="preserve">concerned </w:t>
      </w:r>
      <w:r w:rsidR="00D81C5C">
        <w:rPr>
          <w:rFonts w:ascii="Times New Roman" w:hAnsi="Times New Roman" w:cs="Times New Roman"/>
          <w:sz w:val="24"/>
          <w:szCs w:val="24"/>
        </w:rPr>
        <w:t>with the terms in which the appointment was expressed.</w:t>
      </w:r>
      <w:r w:rsidR="00D47534">
        <w:rPr>
          <w:rFonts w:ascii="Times New Roman" w:hAnsi="Times New Roman" w:cs="Times New Roman"/>
          <w:sz w:val="24"/>
          <w:szCs w:val="24"/>
        </w:rPr>
        <w:t xml:space="preserve"> </w:t>
      </w:r>
      <w:r w:rsidR="00D81C5C">
        <w:rPr>
          <w:rFonts w:ascii="Times New Roman" w:hAnsi="Times New Roman" w:cs="Times New Roman"/>
          <w:sz w:val="24"/>
          <w:szCs w:val="24"/>
        </w:rPr>
        <w:t>To succeed in this case, the defendant must go considerably further</w:t>
      </w:r>
      <w:r w:rsidR="00401649">
        <w:rPr>
          <w:rFonts w:ascii="Times New Roman" w:hAnsi="Times New Roman" w:cs="Times New Roman"/>
          <w:sz w:val="24"/>
          <w:szCs w:val="24"/>
        </w:rPr>
        <w:t xml:space="preserve"> than those decisions</w:t>
      </w:r>
      <w:r w:rsidR="00D81C5C">
        <w:rPr>
          <w:rFonts w:ascii="Times New Roman" w:hAnsi="Times New Roman" w:cs="Times New Roman"/>
          <w:sz w:val="24"/>
          <w:szCs w:val="24"/>
        </w:rPr>
        <w:t>.</w:t>
      </w:r>
      <w:r w:rsidR="00D47534">
        <w:rPr>
          <w:rFonts w:ascii="Times New Roman" w:hAnsi="Times New Roman" w:cs="Times New Roman"/>
          <w:sz w:val="24"/>
          <w:szCs w:val="24"/>
        </w:rPr>
        <w:t xml:space="preserve"> </w:t>
      </w:r>
      <w:r w:rsidR="00D81C5C">
        <w:rPr>
          <w:rFonts w:ascii="Times New Roman" w:hAnsi="Times New Roman" w:cs="Times New Roman"/>
          <w:sz w:val="24"/>
          <w:szCs w:val="24"/>
        </w:rPr>
        <w:t>He must establish th</w:t>
      </w:r>
      <w:r w:rsidR="00687FB2">
        <w:rPr>
          <w:rFonts w:ascii="Times New Roman" w:hAnsi="Times New Roman" w:cs="Times New Roman"/>
          <w:sz w:val="24"/>
          <w:szCs w:val="24"/>
        </w:rPr>
        <w:t xml:space="preserve">at </w:t>
      </w:r>
      <w:r w:rsidR="00D81C5C">
        <w:rPr>
          <w:rFonts w:ascii="Times New Roman" w:hAnsi="Times New Roman" w:cs="Times New Roman"/>
          <w:sz w:val="24"/>
          <w:szCs w:val="24"/>
        </w:rPr>
        <w:t>even though objectively construed according to the standard principles of contractual interpretation the deed of appointment operated to appoint the plaintiff as receiver and manager</w:t>
      </w:r>
      <w:r w:rsidR="00D47534">
        <w:rPr>
          <w:rFonts w:ascii="Times New Roman" w:hAnsi="Times New Roman" w:cs="Times New Roman"/>
          <w:sz w:val="24"/>
          <w:szCs w:val="24"/>
        </w:rPr>
        <w:t xml:space="preserve"> -</w:t>
      </w:r>
      <w:r w:rsidR="00D81C5C">
        <w:rPr>
          <w:rFonts w:ascii="Times New Roman" w:hAnsi="Times New Roman" w:cs="Times New Roman"/>
          <w:sz w:val="24"/>
          <w:szCs w:val="24"/>
        </w:rPr>
        <w:t xml:space="preserve"> because </w:t>
      </w:r>
      <w:r w:rsidR="000E6A28">
        <w:rPr>
          <w:rFonts w:ascii="Times New Roman" w:hAnsi="Times New Roman" w:cs="Times New Roman"/>
          <w:sz w:val="24"/>
          <w:szCs w:val="24"/>
        </w:rPr>
        <w:t xml:space="preserve">the </w:t>
      </w:r>
      <w:r w:rsidR="00D81C5C">
        <w:rPr>
          <w:rFonts w:ascii="Times New Roman" w:hAnsi="Times New Roman" w:cs="Times New Roman"/>
          <w:sz w:val="24"/>
          <w:szCs w:val="24"/>
        </w:rPr>
        <w:t xml:space="preserve">effect </w:t>
      </w:r>
      <w:r w:rsidR="000E6A28">
        <w:rPr>
          <w:rFonts w:ascii="Times New Roman" w:hAnsi="Times New Roman" w:cs="Times New Roman"/>
          <w:sz w:val="24"/>
          <w:szCs w:val="24"/>
        </w:rPr>
        <w:t xml:space="preserve">of the language used in the deed </w:t>
      </w:r>
      <w:r w:rsidR="00D81C5C">
        <w:rPr>
          <w:rFonts w:ascii="Times New Roman" w:hAnsi="Times New Roman" w:cs="Times New Roman"/>
          <w:sz w:val="24"/>
          <w:szCs w:val="24"/>
        </w:rPr>
        <w:t>was to vest him with the powers of a manager</w:t>
      </w:r>
      <w:r w:rsidR="00D47534">
        <w:rPr>
          <w:rFonts w:ascii="Times New Roman" w:hAnsi="Times New Roman" w:cs="Times New Roman"/>
          <w:sz w:val="24"/>
          <w:szCs w:val="24"/>
        </w:rPr>
        <w:t xml:space="preserve"> - </w:t>
      </w:r>
      <w:r w:rsidR="00D81C5C">
        <w:rPr>
          <w:rFonts w:ascii="Times New Roman" w:hAnsi="Times New Roman" w:cs="Times New Roman"/>
          <w:sz w:val="24"/>
          <w:szCs w:val="24"/>
        </w:rPr>
        <w:t>the failure to use th</w:t>
      </w:r>
      <w:r w:rsidR="00655A4A">
        <w:rPr>
          <w:rFonts w:ascii="Times New Roman" w:hAnsi="Times New Roman" w:cs="Times New Roman"/>
          <w:sz w:val="24"/>
          <w:szCs w:val="24"/>
        </w:rPr>
        <w:t>e</w:t>
      </w:r>
      <w:r w:rsidR="00D81C5C">
        <w:rPr>
          <w:rFonts w:ascii="Times New Roman" w:hAnsi="Times New Roman" w:cs="Times New Roman"/>
          <w:sz w:val="24"/>
          <w:szCs w:val="24"/>
        </w:rPr>
        <w:t xml:space="preserve"> precise language </w:t>
      </w:r>
      <w:r w:rsidR="00655A4A">
        <w:rPr>
          <w:rFonts w:ascii="Times New Roman" w:hAnsi="Times New Roman" w:cs="Times New Roman"/>
          <w:sz w:val="24"/>
          <w:szCs w:val="24"/>
        </w:rPr>
        <w:t>‘</w:t>
      </w:r>
      <w:r w:rsidR="00655A4A">
        <w:rPr>
          <w:rFonts w:ascii="Times New Roman" w:hAnsi="Times New Roman" w:cs="Times New Roman"/>
          <w:i/>
          <w:sz w:val="24"/>
          <w:szCs w:val="24"/>
        </w:rPr>
        <w:t xml:space="preserve">receiver and manager’ </w:t>
      </w:r>
      <w:r w:rsidR="00D81C5C">
        <w:rPr>
          <w:rFonts w:ascii="Times New Roman" w:hAnsi="Times New Roman" w:cs="Times New Roman"/>
          <w:sz w:val="24"/>
          <w:szCs w:val="24"/>
        </w:rPr>
        <w:t>vitiated the appointment</w:t>
      </w:r>
      <w:r w:rsidR="00687FB2">
        <w:rPr>
          <w:rFonts w:ascii="Times New Roman" w:hAnsi="Times New Roman" w:cs="Times New Roman"/>
          <w:sz w:val="24"/>
          <w:szCs w:val="24"/>
        </w:rPr>
        <w:t xml:space="preserve">.  He must establish </w:t>
      </w:r>
      <w:r w:rsidR="00E301C4">
        <w:rPr>
          <w:rFonts w:ascii="Times New Roman" w:hAnsi="Times New Roman" w:cs="Times New Roman"/>
          <w:sz w:val="24"/>
          <w:szCs w:val="24"/>
        </w:rPr>
        <w:t xml:space="preserve">that this was the case </w:t>
      </w:r>
      <w:r w:rsidR="00A8304B">
        <w:rPr>
          <w:rFonts w:ascii="Times New Roman" w:hAnsi="Times New Roman" w:cs="Times New Roman"/>
          <w:sz w:val="24"/>
          <w:szCs w:val="24"/>
        </w:rPr>
        <w:t xml:space="preserve">even though </w:t>
      </w:r>
      <w:r w:rsidR="00286C68">
        <w:rPr>
          <w:rFonts w:ascii="Times New Roman" w:hAnsi="Times New Roman" w:cs="Times New Roman"/>
          <w:sz w:val="24"/>
          <w:szCs w:val="24"/>
        </w:rPr>
        <w:t>the mortgage prescribed no particular form of appointment</w:t>
      </w:r>
      <w:r w:rsidR="00082BCF">
        <w:rPr>
          <w:rFonts w:ascii="Times New Roman" w:hAnsi="Times New Roman" w:cs="Times New Roman"/>
          <w:sz w:val="24"/>
          <w:szCs w:val="24"/>
        </w:rPr>
        <w:t xml:space="preserve"> and no particular form of language</w:t>
      </w:r>
      <w:r w:rsidR="00D81C5C">
        <w:rPr>
          <w:rFonts w:ascii="Times New Roman" w:hAnsi="Times New Roman" w:cs="Times New Roman"/>
          <w:sz w:val="24"/>
          <w:szCs w:val="24"/>
        </w:rPr>
        <w:t xml:space="preserve">.  </w:t>
      </w:r>
      <w:r w:rsidR="00D81C5C">
        <w:rPr>
          <w:rFonts w:ascii="Times New Roman" w:hAnsi="Times New Roman" w:cs="Times New Roman"/>
          <w:i/>
          <w:sz w:val="24"/>
          <w:szCs w:val="24"/>
        </w:rPr>
        <w:t>The Merro</w:t>
      </w:r>
      <w:r w:rsidR="00AA2870">
        <w:rPr>
          <w:rFonts w:ascii="Times New Roman" w:hAnsi="Times New Roman" w:cs="Times New Roman"/>
          <w:i/>
          <w:sz w:val="24"/>
          <w:szCs w:val="24"/>
        </w:rPr>
        <w:t xml:space="preserve">w Ltd. </w:t>
      </w:r>
      <w:r w:rsidR="00687FB2">
        <w:rPr>
          <w:rFonts w:ascii="Times New Roman" w:hAnsi="Times New Roman" w:cs="Times New Roman"/>
          <w:sz w:val="24"/>
          <w:szCs w:val="24"/>
        </w:rPr>
        <w:t xml:space="preserve">is not authority </w:t>
      </w:r>
      <w:r w:rsidR="00AA2870">
        <w:rPr>
          <w:rFonts w:ascii="Times New Roman" w:hAnsi="Times New Roman" w:cs="Times New Roman"/>
          <w:sz w:val="24"/>
          <w:szCs w:val="24"/>
        </w:rPr>
        <w:t>any such proposition</w:t>
      </w:r>
      <w:r w:rsidR="00D81C5C">
        <w:rPr>
          <w:rFonts w:ascii="Times New Roman" w:hAnsi="Times New Roman" w:cs="Times New Roman"/>
          <w:sz w:val="24"/>
          <w:szCs w:val="24"/>
        </w:rPr>
        <w:t>. It shows, as McDonald J. s</w:t>
      </w:r>
      <w:r w:rsidR="0053698E">
        <w:rPr>
          <w:rFonts w:ascii="Times New Roman" w:hAnsi="Times New Roman" w:cs="Times New Roman"/>
          <w:sz w:val="24"/>
          <w:szCs w:val="24"/>
        </w:rPr>
        <w:t>uggested</w:t>
      </w:r>
      <w:r w:rsidR="00D81C5C">
        <w:rPr>
          <w:rFonts w:ascii="Times New Roman" w:hAnsi="Times New Roman" w:cs="Times New Roman"/>
          <w:sz w:val="24"/>
          <w:szCs w:val="24"/>
        </w:rPr>
        <w:t>, that even where the appointor may intend to effect an appointment that intent may be defeated by a failure to comply with the formal requirements of the mortgage.  It does not decide that the failure to express that intent in a particular way has the same effect.</w:t>
      </w:r>
    </w:p>
    <w:p w14:paraId="589F6980" w14:textId="77777777" w:rsidR="00D81C5C" w:rsidRPr="00D81C5C" w:rsidRDefault="00D81C5C" w:rsidP="00D81C5C">
      <w:pPr>
        <w:pStyle w:val="ListParagraph"/>
        <w:spacing w:line="480" w:lineRule="auto"/>
        <w:ind w:left="717"/>
        <w:jc w:val="both"/>
        <w:rPr>
          <w:rFonts w:ascii="Times New Roman" w:hAnsi="Times New Roman" w:cs="Times New Roman"/>
          <w:sz w:val="24"/>
          <w:szCs w:val="24"/>
        </w:rPr>
      </w:pPr>
    </w:p>
    <w:p w14:paraId="769F43AA" w14:textId="77777777" w:rsidR="005B65DD" w:rsidRDefault="00D81C5C"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Nor do the other authori</w:t>
      </w:r>
      <w:r w:rsidR="003A795B">
        <w:rPr>
          <w:rFonts w:ascii="Times New Roman" w:hAnsi="Times New Roman" w:cs="Times New Roman"/>
          <w:sz w:val="24"/>
          <w:szCs w:val="24"/>
        </w:rPr>
        <w:t>t</w:t>
      </w:r>
      <w:r w:rsidR="00082BCF">
        <w:rPr>
          <w:rFonts w:ascii="Times New Roman" w:hAnsi="Times New Roman" w:cs="Times New Roman"/>
          <w:sz w:val="24"/>
          <w:szCs w:val="24"/>
        </w:rPr>
        <w:t>ies</w:t>
      </w:r>
      <w:r>
        <w:rPr>
          <w:rFonts w:ascii="Times New Roman" w:hAnsi="Times New Roman" w:cs="Times New Roman"/>
          <w:sz w:val="24"/>
          <w:szCs w:val="24"/>
        </w:rPr>
        <w:t xml:space="preserve"> relied upon by </w:t>
      </w:r>
      <w:r w:rsidR="00E000DF">
        <w:rPr>
          <w:rFonts w:ascii="Times New Roman" w:hAnsi="Times New Roman" w:cs="Times New Roman"/>
          <w:sz w:val="24"/>
          <w:szCs w:val="24"/>
        </w:rPr>
        <w:t xml:space="preserve">the </w:t>
      </w:r>
      <w:r w:rsidR="00F10418">
        <w:rPr>
          <w:rFonts w:ascii="Times New Roman" w:hAnsi="Times New Roman" w:cs="Times New Roman"/>
          <w:sz w:val="24"/>
          <w:szCs w:val="24"/>
        </w:rPr>
        <w:t>defend</w:t>
      </w:r>
      <w:r w:rsidR="00E000DF">
        <w:rPr>
          <w:rFonts w:ascii="Times New Roman" w:hAnsi="Times New Roman" w:cs="Times New Roman"/>
          <w:sz w:val="24"/>
          <w:szCs w:val="24"/>
        </w:rPr>
        <w:t>ant</w:t>
      </w:r>
      <w:r>
        <w:rPr>
          <w:rFonts w:ascii="Times New Roman" w:hAnsi="Times New Roman" w:cs="Times New Roman"/>
          <w:sz w:val="24"/>
          <w:szCs w:val="24"/>
        </w:rPr>
        <w:t xml:space="preserve">. </w:t>
      </w:r>
      <w:r w:rsidR="005B65DD">
        <w:rPr>
          <w:rFonts w:ascii="Times New Roman" w:hAnsi="Times New Roman" w:cs="Times New Roman"/>
          <w:sz w:val="24"/>
          <w:szCs w:val="24"/>
        </w:rPr>
        <w:t xml:space="preserve">In </w:t>
      </w:r>
      <w:r w:rsidR="005B65DD">
        <w:rPr>
          <w:rFonts w:ascii="Times New Roman" w:hAnsi="Times New Roman" w:cs="Times New Roman"/>
          <w:i/>
          <w:sz w:val="24"/>
          <w:szCs w:val="24"/>
        </w:rPr>
        <w:t xml:space="preserve">Harold Meggitt Ltd. v. Discount &amp; Finance Ltd. </w:t>
      </w:r>
      <w:r w:rsidR="005B65DD">
        <w:rPr>
          <w:rFonts w:ascii="Times New Roman" w:hAnsi="Times New Roman" w:cs="Times New Roman"/>
          <w:sz w:val="24"/>
          <w:szCs w:val="24"/>
        </w:rPr>
        <w:t>(193</w:t>
      </w:r>
      <w:r w:rsidR="00AA2870">
        <w:rPr>
          <w:rFonts w:ascii="Times New Roman" w:hAnsi="Times New Roman" w:cs="Times New Roman"/>
          <w:sz w:val="24"/>
          <w:szCs w:val="24"/>
        </w:rPr>
        <w:t>8</w:t>
      </w:r>
      <w:r w:rsidR="005B65DD">
        <w:rPr>
          <w:rFonts w:ascii="Times New Roman" w:hAnsi="Times New Roman" w:cs="Times New Roman"/>
          <w:sz w:val="24"/>
          <w:szCs w:val="24"/>
        </w:rPr>
        <w:t>) 56 WN (NSW) 23, the defendant was entitled under a deed of debenture to appoint a receiver and manager in the event of a default under the relevant security.  The defendant appointed a receiver</w:t>
      </w:r>
      <w:r w:rsidR="0009295B">
        <w:rPr>
          <w:rFonts w:ascii="Times New Roman" w:hAnsi="Times New Roman" w:cs="Times New Roman"/>
          <w:sz w:val="24"/>
          <w:szCs w:val="24"/>
        </w:rPr>
        <w:t xml:space="preserve"> but not a receiver</w:t>
      </w:r>
      <w:r w:rsidR="008D7E05">
        <w:rPr>
          <w:rFonts w:ascii="Times New Roman" w:hAnsi="Times New Roman" w:cs="Times New Roman"/>
          <w:sz w:val="24"/>
          <w:szCs w:val="24"/>
        </w:rPr>
        <w:t xml:space="preserve"> and </w:t>
      </w:r>
      <w:r w:rsidR="0009295B">
        <w:rPr>
          <w:rFonts w:ascii="Times New Roman" w:hAnsi="Times New Roman" w:cs="Times New Roman"/>
          <w:sz w:val="24"/>
          <w:szCs w:val="24"/>
        </w:rPr>
        <w:t>manager</w:t>
      </w:r>
      <w:r w:rsidR="00687FB2">
        <w:rPr>
          <w:rFonts w:ascii="Times New Roman" w:hAnsi="Times New Roman" w:cs="Times New Roman"/>
          <w:sz w:val="24"/>
          <w:szCs w:val="24"/>
        </w:rPr>
        <w:t xml:space="preserve">. </w:t>
      </w:r>
      <w:r w:rsidR="005B65DD">
        <w:rPr>
          <w:rFonts w:ascii="Times New Roman" w:hAnsi="Times New Roman" w:cs="Times New Roman"/>
          <w:sz w:val="24"/>
          <w:szCs w:val="24"/>
        </w:rPr>
        <w:t xml:space="preserve">Owen J. of the New South Wales Supreme Court decided that the appointment was invalid.  There, however, the argument advanced by the </w:t>
      </w:r>
      <w:r w:rsidR="006A0CE5">
        <w:rPr>
          <w:rFonts w:ascii="Times New Roman" w:hAnsi="Times New Roman" w:cs="Times New Roman"/>
          <w:sz w:val="24"/>
          <w:szCs w:val="24"/>
        </w:rPr>
        <w:t>defendant that the deed of appointment conferred on the appointee not merely the powers of a receiver but also those of a manager failed because under the applicable law the leave of the ‘</w:t>
      </w:r>
      <w:r w:rsidR="006A0CE5">
        <w:rPr>
          <w:rFonts w:ascii="Times New Roman" w:hAnsi="Times New Roman" w:cs="Times New Roman"/>
          <w:i/>
          <w:sz w:val="24"/>
          <w:szCs w:val="24"/>
        </w:rPr>
        <w:t>Moratorium Court’</w:t>
      </w:r>
      <w:r w:rsidR="006A0CE5">
        <w:rPr>
          <w:rFonts w:ascii="Times New Roman" w:hAnsi="Times New Roman" w:cs="Times New Roman"/>
          <w:sz w:val="24"/>
          <w:szCs w:val="24"/>
        </w:rPr>
        <w:t xml:space="preserve"> was required to appoint a manager</w:t>
      </w:r>
      <w:r w:rsidR="00AA2870">
        <w:rPr>
          <w:rFonts w:ascii="Times New Roman" w:hAnsi="Times New Roman" w:cs="Times New Roman"/>
          <w:sz w:val="24"/>
          <w:szCs w:val="24"/>
        </w:rPr>
        <w:t>. T</w:t>
      </w:r>
      <w:r w:rsidR="006A0CE5">
        <w:rPr>
          <w:rFonts w:ascii="Times New Roman" w:hAnsi="Times New Roman" w:cs="Times New Roman"/>
          <w:sz w:val="24"/>
          <w:szCs w:val="24"/>
        </w:rPr>
        <w:t xml:space="preserve">hat leave not having been obtained, </w:t>
      </w:r>
      <w:r w:rsidR="00AA2870">
        <w:rPr>
          <w:rFonts w:ascii="Times New Roman" w:hAnsi="Times New Roman" w:cs="Times New Roman"/>
          <w:sz w:val="24"/>
          <w:szCs w:val="24"/>
        </w:rPr>
        <w:t xml:space="preserve">it was held, </w:t>
      </w:r>
      <w:r w:rsidR="006A0CE5">
        <w:rPr>
          <w:rFonts w:ascii="Times New Roman" w:hAnsi="Times New Roman" w:cs="Times New Roman"/>
          <w:sz w:val="24"/>
          <w:szCs w:val="24"/>
        </w:rPr>
        <w:t xml:space="preserve">the defendant could not assert that there had been an appointment as envisaged and authorised by the debenture.  </w:t>
      </w:r>
      <w:r w:rsidR="00E73B29">
        <w:rPr>
          <w:rFonts w:ascii="Times New Roman" w:hAnsi="Times New Roman" w:cs="Times New Roman"/>
          <w:sz w:val="24"/>
          <w:szCs w:val="24"/>
        </w:rPr>
        <w:t xml:space="preserve">A critical procedural step required before such an appointment could occur was </w:t>
      </w:r>
      <w:r w:rsidR="005F23A6">
        <w:rPr>
          <w:rFonts w:ascii="Times New Roman" w:hAnsi="Times New Roman" w:cs="Times New Roman"/>
          <w:sz w:val="24"/>
          <w:szCs w:val="24"/>
        </w:rPr>
        <w:t>not taken</w:t>
      </w:r>
      <w:r w:rsidR="00E73B29">
        <w:rPr>
          <w:rFonts w:ascii="Times New Roman" w:hAnsi="Times New Roman" w:cs="Times New Roman"/>
          <w:sz w:val="24"/>
          <w:szCs w:val="24"/>
        </w:rPr>
        <w:t xml:space="preserve">. </w:t>
      </w:r>
      <w:r w:rsidR="006A0CE5">
        <w:rPr>
          <w:rFonts w:ascii="Times New Roman" w:hAnsi="Times New Roman" w:cs="Times New Roman"/>
          <w:sz w:val="24"/>
          <w:szCs w:val="24"/>
        </w:rPr>
        <w:t xml:space="preserve">Therefore, the essential </w:t>
      </w:r>
      <w:r w:rsidR="00AA2870">
        <w:rPr>
          <w:rFonts w:ascii="Times New Roman" w:hAnsi="Times New Roman" w:cs="Times New Roman"/>
          <w:sz w:val="24"/>
          <w:szCs w:val="24"/>
        </w:rPr>
        <w:t xml:space="preserve">conclusion I have reached as governing </w:t>
      </w:r>
      <w:r w:rsidR="006A0CE5">
        <w:rPr>
          <w:rFonts w:ascii="Times New Roman" w:hAnsi="Times New Roman" w:cs="Times New Roman"/>
          <w:sz w:val="24"/>
          <w:szCs w:val="24"/>
        </w:rPr>
        <w:t>th</w:t>
      </w:r>
      <w:r w:rsidR="00A8304B">
        <w:rPr>
          <w:rFonts w:ascii="Times New Roman" w:hAnsi="Times New Roman" w:cs="Times New Roman"/>
          <w:sz w:val="24"/>
          <w:szCs w:val="24"/>
        </w:rPr>
        <w:t>ese proceedings</w:t>
      </w:r>
      <w:r w:rsidR="006A0CE5">
        <w:rPr>
          <w:rFonts w:ascii="Times New Roman" w:hAnsi="Times New Roman" w:cs="Times New Roman"/>
          <w:sz w:val="24"/>
          <w:szCs w:val="24"/>
        </w:rPr>
        <w:t xml:space="preserve"> –</w:t>
      </w:r>
      <w:r w:rsidR="00AA2870">
        <w:rPr>
          <w:rFonts w:ascii="Times New Roman" w:hAnsi="Times New Roman" w:cs="Times New Roman"/>
          <w:sz w:val="24"/>
          <w:szCs w:val="24"/>
        </w:rPr>
        <w:t xml:space="preserve"> </w:t>
      </w:r>
      <w:r w:rsidR="006A0CE5">
        <w:rPr>
          <w:rFonts w:ascii="Times New Roman" w:hAnsi="Times New Roman" w:cs="Times New Roman"/>
          <w:sz w:val="24"/>
          <w:szCs w:val="24"/>
        </w:rPr>
        <w:t xml:space="preserve">that properly construed </w:t>
      </w:r>
      <w:r w:rsidR="00E73B29">
        <w:rPr>
          <w:rFonts w:ascii="Times New Roman" w:hAnsi="Times New Roman" w:cs="Times New Roman"/>
          <w:sz w:val="24"/>
          <w:szCs w:val="24"/>
        </w:rPr>
        <w:t xml:space="preserve">the deed of appointment operated to vest the powers of receiver and manager in the plaintiff </w:t>
      </w:r>
      <w:r w:rsidR="00AA2870">
        <w:rPr>
          <w:rFonts w:ascii="Times New Roman" w:hAnsi="Times New Roman" w:cs="Times New Roman"/>
          <w:sz w:val="24"/>
          <w:szCs w:val="24"/>
        </w:rPr>
        <w:t>irrespective of whether he was described as ‘</w:t>
      </w:r>
      <w:r w:rsidR="00AA2870">
        <w:rPr>
          <w:rFonts w:ascii="Times New Roman" w:hAnsi="Times New Roman" w:cs="Times New Roman"/>
          <w:i/>
          <w:sz w:val="24"/>
          <w:szCs w:val="24"/>
        </w:rPr>
        <w:t xml:space="preserve">manager’ </w:t>
      </w:r>
      <w:r w:rsidR="00AA2870">
        <w:rPr>
          <w:rFonts w:ascii="Times New Roman" w:hAnsi="Times New Roman" w:cs="Times New Roman"/>
          <w:sz w:val="24"/>
          <w:szCs w:val="24"/>
        </w:rPr>
        <w:t>–</w:t>
      </w:r>
      <w:r w:rsidR="00741F61">
        <w:rPr>
          <w:rFonts w:ascii="Times New Roman" w:hAnsi="Times New Roman" w:cs="Times New Roman"/>
          <w:sz w:val="24"/>
          <w:szCs w:val="24"/>
        </w:rPr>
        <w:t xml:space="preserve"> </w:t>
      </w:r>
      <w:r w:rsidR="00AA2870">
        <w:rPr>
          <w:rFonts w:ascii="Times New Roman" w:hAnsi="Times New Roman" w:cs="Times New Roman"/>
          <w:sz w:val="24"/>
          <w:szCs w:val="24"/>
        </w:rPr>
        <w:t>did not arise in that case.  Appointment as manager required a distinct application to court which was never made.</w:t>
      </w:r>
    </w:p>
    <w:p w14:paraId="56F3CDBD" w14:textId="77777777" w:rsidR="005B65DD" w:rsidRPr="005B65DD" w:rsidRDefault="005B65DD" w:rsidP="005B65DD">
      <w:pPr>
        <w:pStyle w:val="ListParagraph"/>
        <w:rPr>
          <w:rFonts w:ascii="Times New Roman" w:hAnsi="Times New Roman" w:cs="Times New Roman"/>
          <w:sz w:val="24"/>
          <w:szCs w:val="24"/>
        </w:rPr>
      </w:pPr>
    </w:p>
    <w:p w14:paraId="6228A499" w14:textId="463BF8D5" w:rsidR="00D7207F" w:rsidRPr="007A0985" w:rsidRDefault="00E000DF" w:rsidP="007A0985">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CE5">
        <w:rPr>
          <w:rFonts w:ascii="Times New Roman" w:hAnsi="Times New Roman" w:cs="Times New Roman"/>
          <w:i/>
          <w:sz w:val="24"/>
          <w:szCs w:val="24"/>
        </w:rPr>
        <w:t xml:space="preserve">Harold Meggitt Ltd. v. Discount &amp; Finance Ltd </w:t>
      </w:r>
      <w:r w:rsidR="006A0CE5">
        <w:rPr>
          <w:rFonts w:ascii="Times New Roman" w:hAnsi="Times New Roman" w:cs="Times New Roman"/>
          <w:sz w:val="24"/>
          <w:szCs w:val="24"/>
        </w:rPr>
        <w:t>was cited i</w:t>
      </w:r>
      <w:r>
        <w:rPr>
          <w:rFonts w:ascii="Times New Roman" w:hAnsi="Times New Roman" w:cs="Times New Roman"/>
          <w:sz w:val="24"/>
          <w:szCs w:val="24"/>
        </w:rPr>
        <w:t xml:space="preserve">n </w:t>
      </w:r>
      <w:r>
        <w:rPr>
          <w:rFonts w:ascii="Times New Roman" w:hAnsi="Times New Roman" w:cs="Times New Roman"/>
          <w:i/>
          <w:sz w:val="24"/>
          <w:szCs w:val="24"/>
        </w:rPr>
        <w:t xml:space="preserve">Wrights </w:t>
      </w:r>
      <w:r w:rsidR="00874510">
        <w:rPr>
          <w:rFonts w:ascii="Times New Roman" w:hAnsi="Times New Roman" w:cs="Times New Roman"/>
          <w:i/>
          <w:sz w:val="24"/>
          <w:szCs w:val="24"/>
        </w:rPr>
        <w:t>Hardware Pty. Ltd.</w:t>
      </w:r>
      <w:r w:rsidR="00344B06">
        <w:rPr>
          <w:rFonts w:ascii="Times New Roman" w:hAnsi="Times New Roman" w:cs="Times New Roman"/>
          <w:i/>
          <w:sz w:val="24"/>
          <w:szCs w:val="24"/>
        </w:rPr>
        <w:t xml:space="preserve"> v. Evans </w:t>
      </w:r>
      <w:r w:rsidR="006A0CE5">
        <w:rPr>
          <w:rFonts w:ascii="Times New Roman" w:hAnsi="Times New Roman" w:cs="Times New Roman"/>
          <w:sz w:val="24"/>
          <w:szCs w:val="24"/>
        </w:rPr>
        <w:t xml:space="preserve">as authority for the proposition that the power to appoint a receiver and the power to appoint a receiver and manager were fundamentally different. </w:t>
      </w:r>
      <w:r w:rsidR="00FB32BE">
        <w:rPr>
          <w:rFonts w:ascii="Times New Roman" w:hAnsi="Times New Roman" w:cs="Times New Roman"/>
          <w:sz w:val="24"/>
          <w:szCs w:val="24"/>
        </w:rPr>
        <w:t xml:space="preserve"> </w:t>
      </w:r>
      <w:r w:rsidR="006A0CE5">
        <w:rPr>
          <w:rFonts w:ascii="Times New Roman" w:hAnsi="Times New Roman" w:cs="Times New Roman"/>
          <w:sz w:val="24"/>
          <w:szCs w:val="24"/>
        </w:rPr>
        <w:t xml:space="preserve">There, </w:t>
      </w:r>
      <w:r w:rsidR="00344B06">
        <w:rPr>
          <w:rFonts w:ascii="Times New Roman" w:hAnsi="Times New Roman" w:cs="Times New Roman"/>
          <w:sz w:val="24"/>
          <w:szCs w:val="24"/>
        </w:rPr>
        <w:t>a debenture holder purported to appoint receivers ‘</w:t>
      </w:r>
      <w:r w:rsidR="00344B06">
        <w:rPr>
          <w:rFonts w:ascii="Times New Roman" w:hAnsi="Times New Roman" w:cs="Times New Roman"/>
          <w:i/>
          <w:sz w:val="24"/>
          <w:szCs w:val="24"/>
        </w:rPr>
        <w:t xml:space="preserve">jointly and severally to be receivers and managers’ </w:t>
      </w:r>
      <w:r w:rsidR="00344B06">
        <w:rPr>
          <w:rFonts w:ascii="Times New Roman" w:hAnsi="Times New Roman" w:cs="Times New Roman"/>
          <w:sz w:val="24"/>
          <w:szCs w:val="24"/>
        </w:rPr>
        <w:t xml:space="preserve">of the plaintiff company.  The debenture gave only a power to appoint receivers who could act jointly.  In granting an interlocutory injunction to restrain the </w:t>
      </w:r>
      <w:r w:rsidR="00AA7B14">
        <w:rPr>
          <w:rFonts w:ascii="Times New Roman" w:hAnsi="Times New Roman" w:cs="Times New Roman"/>
          <w:sz w:val="24"/>
          <w:szCs w:val="24"/>
        </w:rPr>
        <w:t>defendants</w:t>
      </w:r>
      <w:r w:rsidR="00344B06">
        <w:rPr>
          <w:rFonts w:ascii="Times New Roman" w:hAnsi="Times New Roman" w:cs="Times New Roman"/>
          <w:sz w:val="24"/>
          <w:szCs w:val="24"/>
        </w:rPr>
        <w:t xml:space="preserve"> from acting or purporting to act as receivers, Franklyn J. concluded that as a matter of construction of the debenture, it authorised the appointment of joint receivers or receivers and managers but did not authorise the appointments of joint and </w:t>
      </w:r>
      <w:r w:rsidR="00344B06">
        <w:rPr>
          <w:rFonts w:ascii="Times New Roman" w:hAnsi="Times New Roman" w:cs="Times New Roman"/>
          <w:sz w:val="24"/>
          <w:szCs w:val="24"/>
        </w:rPr>
        <w:lastRenderedPageBreak/>
        <w:t xml:space="preserve">several receivers and managers.  </w:t>
      </w:r>
      <w:r w:rsidR="006774D1">
        <w:rPr>
          <w:rFonts w:ascii="Times New Roman" w:hAnsi="Times New Roman" w:cs="Times New Roman"/>
          <w:sz w:val="24"/>
          <w:szCs w:val="24"/>
        </w:rPr>
        <w:t xml:space="preserve">Putting to one side the consideration (explained by me in the course of my judgment in </w:t>
      </w:r>
      <w:r w:rsidR="006774D1">
        <w:rPr>
          <w:rFonts w:ascii="Times New Roman" w:hAnsi="Times New Roman" w:cs="Times New Roman"/>
          <w:i/>
          <w:sz w:val="24"/>
          <w:szCs w:val="24"/>
        </w:rPr>
        <w:t xml:space="preserve">Sheedy v. Jackson </w:t>
      </w:r>
      <w:r w:rsidR="006774D1">
        <w:rPr>
          <w:rFonts w:ascii="Times New Roman" w:hAnsi="Times New Roman" w:cs="Times New Roman"/>
          <w:sz w:val="24"/>
          <w:szCs w:val="24"/>
        </w:rPr>
        <w:t xml:space="preserve">[2020] IECA 167 at para. 41) that the specific conclusion in </w:t>
      </w:r>
      <w:r w:rsidR="006774D1">
        <w:rPr>
          <w:rFonts w:ascii="Times New Roman" w:hAnsi="Times New Roman" w:cs="Times New Roman"/>
          <w:i/>
          <w:sz w:val="24"/>
          <w:szCs w:val="24"/>
        </w:rPr>
        <w:t xml:space="preserve">Wrights </w:t>
      </w:r>
      <w:r w:rsidR="006774D1" w:rsidRPr="006774D1">
        <w:rPr>
          <w:rFonts w:ascii="Times New Roman" w:hAnsi="Times New Roman" w:cs="Times New Roman"/>
          <w:i/>
          <w:sz w:val="24"/>
          <w:szCs w:val="24"/>
        </w:rPr>
        <w:t xml:space="preserve">Hardware </w:t>
      </w:r>
      <w:r w:rsidR="006774D1">
        <w:rPr>
          <w:rFonts w:ascii="Times New Roman" w:hAnsi="Times New Roman" w:cs="Times New Roman"/>
          <w:sz w:val="24"/>
          <w:szCs w:val="24"/>
        </w:rPr>
        <w:t>that the debenture in issue did not confer a power to appoint joint and several receivers appeared to have been overtaken by other legal developments in that jurisdiction</w:t>
      </w:r>
      <w:r w:rsidR="006070B8">
        <w:rPr>
          <w:rFonts w:ascii="Times New Roman" w:hAnsi="Times New Roman" w:cs="Times New Roman"/>
          <w:sz w:val="24"/>
          <w:szCs w:val="24"/>
        </w:rPr>
        <w:t>,</w:t>
      </w:r>
      <w:r w:rsidR="006070B8">
        <w:rPr>
          <w:rStyle w:val="FootnoteReference"/>
          <w:rFonts w:ascii="Times New Roman" w:hAnsi="Times New Roman" w:cs="Times New Roman"/>
          <w:sz w:val="24"/>
          <w:szCs w:val="24"/>
        </w:rPr>
        <w:footnoteReference w:id="1"/>
      </w:r>
      <w:r w:rsidR="006774D1">
        <w:rPr>
          <w:rFonts w:ascii="Times New Roman" w:hAnsi="Times New Roman" w:cs="Times New Roman"/>
          <w:sz w:val="24"/>
          <w:szCs w:val="24"/>
        </w:rPr>
        <w:t xml:space="preserve"> the case </w:t>
      </w:r>
      <w:r w:rsidR="00401649">
        <w:rPr>
          <w:rFonts w:ascii="Times New Roman" w:hAnsi="Times New Roman" w:cs="Times New Roman"/>
          <w:sz w:val="24"/>
          <w:szCs w:val="24"/>
        </w:rPr>
        <w:t xml:space="preserve">as </w:t>
      </w:r>
      <w:r w:rsidR="000E6A28">
        <w:rPr>
          <w:rFonts w:ascii="Times New Roman" w:hAnsi="Times New Roman" w:cs="Times New Roman"/>
          <w:sz w:val="24"/>
          <w:szCs w:val="24"/>
        </w:rPr>
        <w:t xml:space="preserve">it was </w:t>
      </w:r>
      <w:r w:rsidR="00401649">
        <w:rPr>
          <w:rFonts w:ascii="Times New Roman" w:hAnsi="Times New Roman" w:cs="Times New Roman"/>
          <w:sz w:val="24"/>
          <w:szCs w:val="24"/>
        </w:rPr>
        <w:t xml:space="preserve">viewed by the </w:t>
      </w:r>
      <w:r w:rsidR="00B625E9">
        <w:rPr>
          <w:rFonts w:ascii="Times New Roman" w:hAnsi="Times New Roman" w:cs="Times New Roman"/>
          <w:sz w:val="24"/>
          <w:szCs w:val="24"/>
        </w:rPr>
        <w:t>j</w:t>
      </w:r>
      <w:r w:rsidR="00401649">
        <w:rPr>
          <w:rFonts w:ascii="Times New Roman" w:hAnsi="Times New Roman" w:cs="Times New Roman"/>
          <w:sz w:val="24"/>
          <w:szCs w:val="24"/>
        </w:rPr>
        <w:t xml:space="preserve">udge </w:t>
      </w:r>
      <w:r w:rsidR="006774D1">
        <w:rPr>
          <w:rFonts w:ascii="Times New Roman" w:hAnsi="Times New Roman" w:cs="Times New Roman"/>
          <w:sz w:val="24"/>
          <w:szCs w:val="24"/>
        </w:rPr>
        <w:t>was clear and straightforward</w:t>
      </w:r>
      <w:r w:rsidR="006070B8">
        <w:rPr>
          <w:rFonts w:ascii="Times New Roman" w:hAnsi="Times New Roman" w:cs="Times New Roman"/>
          <w:sz w:val="24"/>
          <w:szCs w:val="24"/>
        </w:rPr>
        <w:t>.</w:t>
      </w:r>
      <w:r w:rsidR="00401649">
        <w:rPr>
          <w:rFonts w:ascii="Times New Roman" w:hAnsi="Times New Roman" w:cs="Times New Roman"/>
          <w:sz w:val="24"/>
          <w:szCs w:val="24"/>
        </w:rPr>
        <w:t xml:space="preserve"> T</w:t>
      </w:r>
      <w:r w:rsidR="006774D1">
        <w:rPr>
          <w:rFonts w:ascii="Times New Roman" w:hAnsi="Times New Roman" w:cs="Times New Roman"/>
          <w:sz w:val="24"/>
          <w:szCs w:val="24"/>
        </w:rPr>
        <w:t xml:space="preserve">he debenture holder </w:t>
      </w:r>
      <w:r w:rsidR="003A795B">
        <w:rPr>
          <w:rFonts w:ascii="Times New Roman" w:hAnsi="Times New Roman" w:cs="Times New Roman"/>
          <w:sz w:val="24"/>
          <w:szCs w:val="24"/>
        </w:rPr>
        <w:t xml:space="preserve">was held to have </w:t>
      </w:r>
      <w:r w:rsidR="006774D1">
        <w:rPr>
          <w:rFonts w:ascii="Times New Roman" w:hAnsi="Times New Roman" w:cs="Times New Roman"/>
          <w:sz w:val="24"/>
          <w:szCs w:val="24"/>
        </w:rPr>
        <w:t>had unequivocally appointed a class of receiver</w:t>
      </w:r>
      <w:r w:rsidR="00687FB2">
        <w:rPr>
          <w:rFonts w:ascii="Times New Roman" w:hAnsi="Times New Roman" w:cs="Times New Roman"/>
          <w:sz w:val="24"/>
          <w:szCs w:val="24"/>
        </w:rPr>
        <w:t>s</w:t>
      </w:r>
      <w:r w:rsidR="006774D1">
        <w:rPr>
          <w:rFonts w:ascii="Times New Roman" w:hAnsi="Times New Roman" w:cs="Times New Roman"/>
          <w:sz w:val="24"/>
          <w:szCs w:val="24"/>
        </w:rPr>
        <w:t xml:space="preserve"> that was not authorised by the debenture</w:t>
      </w:r>
      <w:r w:rsidR="00687FB2">
        <w:rPr>
          <w:rFonts w:ascii="Times New Roman" w:hAnsi="Times New Roman" w:cs="Times New Roman"/>
          <w:sz w:val="24"/>
          <w:szCs w:val="24"/>
        </w:rPr>
        <w:t xml:space="preserve"> – receivers whose authority was several as well as joint.</w:t>
      </w:r>
      <w:r w:rsidR="006774D1">
        <w:rPr>
          <w:rFonts w:ascii="Times New Roman" w:hAnsi="Times New Roman" w:cs="Times New Roman"/>
          <w:sz w:val="24"/>
          <w:szCs w:val="24"/>
        </w:rPr>
        <w:t xml:space="preserve"> </w:t>
      </w:r>
      <w:r w:rsidR="00416A42">
        <w:rPr>
          <w:rFonts w:ascii="Times New Roman" w:hAnsi="Times New Roman" w:cs="Times New Roman"/>
          <w:sz w:val="24"/>
          <w:szCs w:val="24"/>
        </w:rPr>
        <w:t xml:space="preserve"> This cannot be said of this case</w:t>
      </w:r>
      <w:r w:rsidR="00E73B29">
        <w:rPr>
          <w:rFonts w:ascii="Times New Roman" w:hAnsi="Times New Roman" w:cs="Times New Roman"/>
          <w:sz w:val="24"/>
          <w:szCs w:val="24"/>
        </w:rPr>
        <w:t>.  H</w:t>
      </w:r>
      <w:r w:rsidR="00416A42">
        <w:rPr>
          <w:rFonts w:ascii="Times New Roman" w:hAnsi="Times New Roman" w:cs="Times New Roman"/>
          <w:sz w:val="24"/>
          <w:szCs w:val="24"/>
        </w:rPr>
        <w:t xml:space="preserve">ere the issue does not arise because of the use of language in the deed of appointment that was not permitted </w:t>
      </w:r>
      <w:r w:rsidR="00E72931">
        <w:rPr>
          <w:rFonts w:ascii="Times New Roman" w:hAnsi="Times New Roman" w:cs="Times New Roman"/>
          <w:sz w:val="24"/>
          <w:szCs w:val="24"/>
        </w:rPr>
        <w:t>by the mortgage</w:t>
      </w:r>
      <w:r w:rsidR="00A8304B">
        <w:rPr>
          <w:rFonts w:ascii="Times New Roman" w:hAnsi="Times New Roman" w:cs="Times New Roman"/>
          <w:sz w:val="24"/>
          <w:szCs w:val="24"/>
        </w:rPr>
        <w:t>.  Instead, t</w:t>
      </w:r>
      <w:r w:rsidR="00E72931">
        <w:rPr>
          <w:rFonts w:ascii="Times New Roman" w:hAnsi="Times New Roman" w:cs="Times New Roman"/>
          <w:sz w:val="24"/>
          <w:szCs w:val="24"/>
        </w:rPr>
        <w:t xml:space="preserve">he question is whether the language that was used </w:t>
      </w:r>
      <w:r w:rsidR="00AA2870">
        <w:rPr>
          <w:rFonts w:ascii="Times New Roman" w:hAnsi="Times New Roman" w:cs="Times New Roman"/>
          <w:sz w:val="24"/>
          <w:szCs w:val="24"/>
        </w:rPr>
        <w:t xml:space="preserve">in the deed of appointment </w:t>
      </w:r>
      <w:r w:rsidR="00E72931">
        <w:rPr>
          <w:rFonts w:ascii="Times New Roman" w:hAnsi="Times New Roman" w:cs="Times New Roman"/>
          <w:sz w:val="24"/>
          <w:szCs w:val="24"/>
        </w:rPr>
        <w:t xml:space="preserve">has the same meaning as </w:t>
      </w:r>
      <w:r w:rsidR="00AA2870">
        <w:rPr>
          <w:rFonts w:ascii="Times New Roman" w:hAnsi="Times New Roman" w:cs="Times New Roman"/>
          <w:sz w:val="24"/>
          <w:szCs w:val="24"/>
        </w:rPr>
        <w:t xml:space="preserve">the same language when used </w:t>
      </w:r>
      <w:r w:rsidR="00E72931">
        <w:rPr>
          <w:rFonts w:ascii="Times New Roman" w:hAnsi="Times New Roman" w:cs="Times New Roman"/>
          <w:sz w:val="24"/>
          <w:szCs w:val="24"/>
        </w:rPr>
        <w:t>in the mortgage.</w:t>
      </w:r>
    </w:p>
    <w:p w14:paraId="4C3F72B9" w14:textId="77777777" w:rsidR="002F263E" w:rsidRPr="002F263E" w:rsidRDefault="002F263E" w:rsidP="002F263E">
      <w:pPr>
        <w:pStyle w:val="ListParagraph"/>
        <w:rPr>
          <w:rFonts w:ascii="Times New Roman" w:hAnsi="Times New Roman" w:cs="Times New Roman"/>
          <w:sz w:val="24"/>
          <w:szCs w:val="24"/>
        </w:rPr>
      </w:pPr>
    </w:p>
    <w:p w14:paraId="392107B0" w14:textId="684F5987" w:rsidR="005948EE" w:rsidRDefault="00782CB4" w:rsidP="00E763A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964875">
        <w:rPr>
          <w:rFonts w:ascii="Times New Roman" w:hAnsi="Times New Roman" w:cs="Times New Roman"/>
          <w:sz w:val="24"/>
          <w:szCs w:val="24"/>
        </w:rPr>
        <w:t xml:space="preserve">n the course of her submissions counsel for the defendant contended that the application of the </w:t>
      </w:r>
      <w:r w:rsidR="00964875">
        <w:rPr>
          <w:rFonts w:ascii="Times New Roman" w:hAnsi="Times New Roman" w:cs="Times New Roman"/>
          <w:i/>
          <w:sz w:val="24"/>
          <w:szCs w:val="24"/>
        </w:rPr>
        <w:t xml:space="preserve">contra </w:t>
      </w:r>
      <w:proofErr w:type="spellStart"/>
      <w:r w:rsidR="00964875">
        <w:rPr>
          <w:rFonts w:ascii="Times New Roman" w:hAnsi="Times New Roman" w:cs="Times New Roman"/>
          <w:i/>
          <w:sz w:val="24"/>
          <w:szCs w:val="24"/>
        </w:rPr>
        <w:t>preferentum</w:t>
      </w:r>
      <w:proofErr w:type="spellEnd"/>
      <w:r w:rsidR="00964875">
        <w:rPr>
          <w:rFonts w:ascii="Times New Roman" w:hAnsi="Times New Roman" w:cs="Times New Roman"/>
          <w:sz w:val="24"/>
          <w:szCs w:val="24"/>
        </w:rPr>
        <w:t xml:space="preserve"> rule required either the conclusion that the mortgage deed mandated express reference to an appointment as receiver</w:t>
      </w:r>
      <w:r w:rsidR="0053698E">
        <w:rPr>
          <w:rFonts w:ascii="Times New Roman" w:hAnsi="Times New Roman" w:cs="Times New Roman"/>
          <w:sz w:val="24"/>
          <w:szCs w:val="24"/>
        </w:rPr>
        <w:t xml:space="preserve"> and </w:t>
      </w:r>
      <w:r w:rsidR="00964875">
        <w:rPr>
          <w:rFonts w:ascii="Times New Roman" w:hAnsi="Times New Roman" w:cs="Times New Roman"/>
          <w:sz w:val="24"/>
          <w:szCs w:val="24"/>
        </w:rPr>
        <w:t>manager, or that the deed of appointment failed to appoint the plaintiff as receiver</w:t>
      </w:r>
      <w:r w:rsidR="0053698E">
        <w:rPr>
          <w:rFonts w:ascii="Times New Roman" w:hAnsi="Times New Roman" w:cs="Times New Roman"/>
          <w:sz w:val="24"/>
          <w:szCs w:val="24"/>
        </w:rPr>
        <w:t xml:space="preserve"> and </w:t>
      </w:r>
      <w:r w:rsidR="00964875">
        <w:rPr>
          <w:rFonts w:ascii="Times New Roman" w:hAnsi="Times New Roman" w:cs="Times New Roman"/>
          <w:sz w:val="24"/>
          <w:szCs w:val="24"/>
        </w:rPr>
        <w:t xml:space="preserve">manager.  I cannot accept this contention.  </w:t>
      </w:r>
      <w:r w:rsidR="00241008">
        <w:rPr>
          <w:rFonts w:ascii="Times New Roman" w:hAnsi="Times New Roman" w:cs="Times New Roman"/>
          <w:sz w:val="24"/>
          <w:szCs w:val="24"/>
        </w:rPr>
        <w:t xml:space="preserve">The </w:t>
      </w:r>
      <w:r w:rsidR="00241008">
        <w:rPr>
          <w:rFonts w:ascii="Times New Roman" w:hAnsi="Times New Roman" w:cs="Times New Roman"/>
          <w:i/>
          <w:sz w:val="24"/>
          <w:szCs w:val="24"/>
        </w:rPr>
        <w:t xml:space="preserve">contra </w:t>
      </w:r>
      <w:proofErr w:type="spellStart"/>
      <w:r w:rsidR="00241008">
        <w:rPr>
          <w:rFonts w:ascii="Times New Roman" w:hAnsi="Times New Roman" w:cs="Times New Roman"/>
          <w:i/>
          <w:sz w:val="24"/>
          <w:szCs w:val="24"/>
        </w:rPr>
        <w:t>preferentum</w:t>
      </w:r>
      <w:proofErr w:type="spellEnd"/>
      <w:r w:rsidR="00241008">
        <w:rPr>
          <w:rFonts w:ascii="Times New Roman" w:hAnsi="Times New Roman" w:cs="Times New Roman"/>
          <w:sz w:val="24"/>
          <w:szCs w:val="24"/>
        </w:rPr>
        <w:t xml:space="preserve"> principle operates where, and only where, a </w:t>
      </w:r>
      <w:proofErr w:type="spellStart"/>
      <w:r w:rsidR="00241008">
        <w:rPr>
          <w:rFonts w:ascii="Times New Roman" w:hAnsi="Times New Roman" w:cs="Times New Roman"/>
          <w:sz w:val="24"/>
          <w:szCs w:val="24"/>
        </w:rPr>
        <w:t>provison</w:t>
      </w:r>
      <w:proofErr w:type="spellEnd"/>
      <w:r w:rsidR="00241008">
        <w:rPr>
          <w:rFonts w:ascii="Times New Roman" w:hAnsi="Times New Roman" w:cs="Times New Roman"/>
          <w:sz w:val="24"/>
          <w:szCs w:val="24"/>
        </w:rPr>
        <w:t xml:space="preserve"> is capable of more than one meaning. </w:t>
      </w:r>
      <w:r w:rsidR="00C50076">
        <w:rPr>
          <w:rFonts w:ascii="Times New Roman" w:hAnsi="Times New Roman" w:cs="Times New Roman"/>
          <w:sz w:val="24"/>
          <w:szCs w:val="24"/>
        </w:rPr>
        <w:t xml:space="preserve"> </w:t>
      </w:r>
      <w:r w:rsidR="005948EE">
        <w:rPr>
          <w:rFonts w:ascii="Times New Roman" w:hAnsi="Times New Roman" w:cs="Times New Roman"/>
          <w:sz w:val="24"/>
          <w:szCs w:val="24"/>
        </w:rPr>
        <w:t xml:space="preserve">However this principle does not mean that the court looks for ambiguities, inadvertencies or doubtful alternative meanings (per Gannon J. in </w:t>
      </w:r>
      <w:r w:rsidR="005948EE">
        <w:rPr>
          <w:rFonts w:ascii="Times New Roman" w:hAnsi="Times New Roman" w:cs="Times New Roman"/>
          <w:i/>
          <w:sz w:val="24"/>
          <w:szCs w:val="24"/>
        </w:rPr>
        <w:t xml:space="preserve">Re Arbitration between </w:t>
      </w:r>
      <w:proofErr w:type="spellStart"/>
      <w:r w:rsidR="005948EE">
        <w:rPr>
          <w:rFonts w:ascii="Times New Roman" w:hAnsi="Times New Roman" w:cs="Times New Roman"/>
          <w:i/>
          <w:sz w:val="24"/>
          <w:szCs w:val="24"/>
        </w:rPr>
        <w:t>Gaelcrann</w:t>
      </w:r>
      <w:proofErr w:type="spellEnd"/>
      <w:r w:rsidR="005948EE">
        <w:rPr>
          <w:rFonts w:ascii="Times New Roman" w:hAnsi="Times New Roman" w:cs="Times New Roman"/>
          <w:i/>
          <w:sz w:val="24"/>
          <w:szCs w:val="24"/>
        </w:rPr>
        <w:t xml:space="preserve"> and Payne </w:t>
      </w:r>
      <w:r w:rsidR="005948EE">
        <w:rPr>
          <w:rFonts w:ascii="Times New Roman" w:hAnsi="Times New Roman" w:cs="Times New Roman"/>
          <w:sz w:val="24"/>
          <w:szCs w:val="24"/>
        </w:rPr>
        <w:lastRenderedPageBreak/>
        <w:t xml:space="preserve">[1985] ILRM 109, 113).  The maxim should not be used to create an ambiguity which it is then employed to resolve (per Kearns J. in </w:t>
      </w:r>
      <w:r w:rsidR="005948EE">
        <w:rPr>
          <w:rFonts w:ascii="Times New Roman" w:hAnsi="Times New Roman" w:cs="Times New Roman"/>
          <w:i/>
          <w:sz w:val="24"/>
          <w:szCs w:val="24"/>
        </w:rPr>
        <w:t>Emo Oil Ltd. v</w:t>
      </w:r>
      <w:r w:rsidR="004020C5">
        <w:rPr>
          <w:rFonts w:ascii="Times New Roman" w:hAnsi="Times New Roman" w:cs="Times New Roman"/>
          <w:i/>
          <w:sz w:val="24"/>
          <w:szCs w:val="24"/>
        </w:rPr>
        <w:t>.</w:t>
      </w:r>
      <w:r w:rsidR="005948EE">
        <w:rPr>
          <w:rFonts w:ascii="Times New Roman" w:hAnsi="Times New Roman" w:cs="Times New Roman"/>
          <w:i/>
          <w:sz w:val="24"/>
          <w:szCs w:val="24"/>
        </w:rPr>
        <w:t xml:space="preserve"> Sun Alliance and London Insurance plc </w:t>
      </w:r>
      <w:r w:rsidR="005948EE">
        <w:rPr>
          <w:rFonts w:ascii="Times New Roman" w:hAnsi="Times New Roman" w:cs="Times New Roman"/>
          <w:sz w:val="24"/>
          <w:szCs w:val="24"/>
        </w:rPr>
        <w:t>[2009] IESC 2</w:t>
      </w:r>
      <w:r w:rsidR="004B12FF">
        <w:rPr>
          <w:rFonts w:ascii="Times New Roman" w:hAnsi="Times New Roman" w:cs="Times New Roman"/>
          <w:sz w:val="24"/>
          <w:szCs w:val="24"/>
        </w:rPr>
        <w:t xml:space="preserve"> at p.</w:t>
      </w:r>
      <w:r w:rsidR="00AF7777">
        <w:rPr>
          <w:rFonts w:ascii="Times New Roman" w:hAnsi="Times New Roman" w:cs="Times New Roman"/>
          <w:sz w:val="24"/>
          <w:szCs w:val="24"/>
        </w:rPr>
        <w:t xml:space="preserve"> </w:t>
      </w:r>
      <w:r w:rsidR="004B12FF">
        <w:rPr>
          <w:rFonts w:ascii="Times New Roman" w:hAnsi="Times New Roman" w:cs="Times New Roman"/>
          <w:sz w:val="24"/>
          <w:szCs w:val="24"/>
        </w:rPr>
        <w:t>5</w:t>
      </w:r>
      <w:r w:rsidR="005948EE">
        <w:rPr>
          <w:rFonts w:ascii="Times New Roman" w:hAnsi="Times New Roman" w:cs="Times New Roman"/>
          <w:sz w:val="24"/>
          <w:szCs w:val="24"/>
        </w:rPr>
        <w:t xml:space="preserve">).  </w:t>
      </w:r>
      <w:r w:rsidR="00C50076">
        <w:rPr>
          <w:rFonts w:ascii="Times New Roman" w:hAnsi="Times New Roman" w:cs="Times New Roman"/>
          <w:sz w:val="24"/>
          <w:szCs w:val="24"/>
        </w:rPr>
        <w:t xml:space="preserve">In order to decide that there is </w:t>
      </w:r>
      <w:r w:rsidR="007A0985">
        <w:rPr>
          <w:rFonts w:ascii="Times New Roman" w:hAnsi="Times New Roman" w:cs="Times New Roman"/>
          <w:sz w:val="24"/>
          <w:szCs w:val="24"/>
        </w:rPr>
        <w:t xml:space="preserve">such </w:t>
      </w:r>
      <w:r w:rsidR="00C50076">
        <w:rPr>
          <w:rFonts w:ascii="Times New Roman" w:hAnsi="Times New Roman" w:cs="Times New Roman"/>
          <w:sz w:val="24"/>
          <w:szCs w:val="24"/>
        </w:rPr>
        <w:t>ambiguity, the</w:t>
      </w:r>
      <w:r w:rsidR="00E301C4">
        <w:rPr>
          <w:rFonts w:ascii="Times New Roman" w:hAnsi="Times New Roman" w:cs="Times New Roman"/>
          <w:sz w:val="24"/>
          <w:szCs w:val="24"/>
        </w:rPr>
        <w:t xml:space="preserve"> document </w:t>
      </w:r>
      <w:r w:rsidR="00C50076">
        <w:rPr>
          <w:rFonts w:ascii="Times New Roman" w:hAnsi="Times New Roman" w:cs="Times New Roman"/>
          <w:sz w:val="24"/>
          <w:szCs w:val="24"/>
        </w:rPr>
        <w:t xml:space="preserve">must </w:t>
      </w:r>
      <w:r w:rsidR="007A0985">
        <w:rPr>
          <w:rFonts w:ascii="Times New Roman" w:hAnsi="Times New Roman" w:cs="Times New Roman"/>
          <w:sz w:val="24"/>
          <w:szCs w:val="24"/>
        </w:rPr>
        <w:t xml:space="preserve">first </w:t>
      </w:r>
      <w:r w:rsidR="00C50076">
        <w:rPr>
          <w:rFonts w:ascii="Times New Roman" w:hAnsi="Times New Roman" w:cs="Times New Roman"/>
          <w:sz w:val="24"/>
          <w:szCs w:val="24"/>
        </w:rPr>
        <w:t>be interpreted by reference to the established methods of construction.  It is only if after that exercise is undertaken there are two or more meanings that the instrument can be said to be ambiguous, and only the</w:t>
      </w:r>
      <w:r w:rsidR="00687FB2">
        <w:rPr>
          <w:rFonts w:ascii="Times New Roman" w:hAnsi="Times New Roman" w:cs="Times New Roman"/>
          <w:sz w:val="24"/>
          <w:szCs w:val="24"/>
        </w:rPr>
        <w:t>n,</w:t>
      </w:r>
      <w:r w:rsidR="00C50076">
        <w:rPr>
          <w:rFonts w:ascii="Times New Roman" w:hAnsi="Times New Roman" w:cs="Times New Roman"/>
          <w:sz w:val="24"/>
          <w:szCs w:val="24"/>
        </w:rPr>
        <w:t xml:space="preserve"> that the issue of </w:t>
      </w:r>
      <w:r w:rsidR="00C50076">
        <w:rPr>
          <w:rFonts w:ascii="Times New Roman" w:hAnsi="Times New Roman" w:cs="Times New Roman"/>
          <w:i/>
          <w:sz w:val="24"/>
          <w:szCs w:val="24"/>
        </w:rPr>
        <w:t xml:space="preserve">contra </w:t>
      </w:r>
      <w:proofErr w:type="spellStart"/>
      <w:r w:rsidR="00C50076">
        <w:rPr>
          <w:rFonts w:ascii="Times New Roman" w:hAnsi="Times New Roman" w:cs="Times New Roman"/>
          <w:i/>
          <w:sz w:val="24"/>
          <w:szCs w:val="24"/>
        </w:rPr>
        <w:t>preferentum</w:t>
      </w:r>
      <w:proofErr w:type="spellEnd"/>
      <w:r w:rsidR="00C50076">
        <w:rPr>
          <w:rFonts w:ascii="Times New Roman" w:hAnsi="Times New Roman" w:cs="Times New Roman"/>
          <w:i/>
          <w:sz w:val="24"/>
          <w:szCs w:val="24"/>
        </w:rPr>
        <w:t xml:space="preserve"> </w:t>
      </w:r>
      <w:r w:rsidR="00C50076">
        <w:rPr>
          <w:rFonts w:ascii="Times New Roman" w:hAnsi="Times New Roman" w:cs="Times New Roman"/>
          <w:sz w:val="24"/>
          <w:szCs w:val="24"/>
        </w:rPr>
        <w:t>arises</w:t>
      </w:r>
      <w:r w:rsidR="005948EE">
        <w:rPr>
          <w:rFonts w:ascii="Times New Roman" w:hAnsi="Times New Roman" w:cs="Times New Roman"/>
          <w:sz w:val="24"/>
          <w:szCs w:val="24"/>
        </w:rPr>
        <w:t xml:space="preserve">.  This is why it has been said that it is not possible to find an agreement ambiguous in the abstract (per MacMenamin J. in </w:t>
      </w:r>
      <w:r w:rsidR="005948EE">
        <w:rPr>
          <w:rFonts w:ascii="Times New Roman" w:hAnsi="Times New Roman" w:cs="Times New Roman"/>
          <w:i/>
          <w:sz w:val="24"/>
          <w:szCs w:val="24"/>
        </w:rPr>
        <w:t xml:space="preserve">O’Reilly v. Irish Life Assurance plc </w:t>
      </w:r>
      <w:r w:rsidR="005948EE">
        <w:rPr>
          <w:rFonts w:ascii="Times New Roman" w:hAnsi="Times New Roman" w:cs="Times New Roman"/>
          <w:sz w:val="24"/>
          <w:szCs w:val="24"/>
        </w:rPr>
        <w:t>[2005] IEHC 449</w:t>
      </w:r>
      <w:r w:rsidR="004B12FF">
        <w:rPr>
          <w:rFonts w:ascii="Times New Roman" w:hAnsi="Times New Roman" w:cs="Times New Roman"/>
          <w:sz w:val="24"/>
          <w:szCs w:val="24"/>
        </w:rPr>
        <w:t xml:space="preserve"> at para. 87</w:t>
      </w:r>
      <w:r w:rsidR="00687FB2">
        <w:rPr>
          <w:rFonts w:ascii="Times New Roman" w:hAnsi="Times New Roman" w:cs="Times New Roman"/>
          <w:sz w:val="24"/>
          <w:szCs w:val="24"/>
        </w:rPr>
        <w:t>)</w:t>
      </w:r>
      <w:r w:rsidR="005948EE">
        <w:rPr>
          <w:rFonts w:ascii="Times New Roman" w:hAnsi="Times New Roman" w:cs="Times New Roman"/>
          <w:sz w:val="24"/>
          <w:szCs w:val="24"/>
        </w:rPr>
        <w:t xml:space="preserve">. </w:t>
      </w:r>
      <w:r w:rsidR="00C50076">
        <w:rPr>
          <w:rFonts w:ascii="Times New Roman" w:hAnsi="Times New Roman" w:cs="Times New Roman"/>
          <w:sz w:val="24"/>
          <w:szCs w:val="24"/>
        </w:rPr>
        <w:t xml:space="preserve"> </w:t>
      </w:r>
      <w:r w:rsidR="005948EE">
        <w:rPr>
          <w:rFonts w:ascii="Times New Roman" w:hAnsi="Times New Roman" w:cs="Times New Roman"/>
          <w:sz w:val="24"/>
          <w:szCs w:val="24"/>
        </w:rPr>
        <w:t xml:space="preserve"> The correct position was, in my view, expressed by Auld LJ in </w:t>
      </w:r>
      <w:r w:rsidR="005E5A77">
        <w:rPr>
          <w:rFonts w:ascii="Times New Roman" w:hAnsi="Times New Roman" w:cs="Times New Roman"/>
          <w:i/>
          <w:iCs/>
          <w:sz w:val="24"/>
          <w:szCs w:val="24"/>
        </w:rPr>
        <w:t xml:space="preserve">McGeown v. </w:t>
      </w:r>
      <w:r w:rsidR="005948EE">
        <w:rPr>
          <w:rFonts w:ascii="Times New Roman" w:hAnsi="Times New Roman" w:cs="Times New Roman"/>
          <w:i/>
          <w:sz w:val="24"/>
          <w:szCs w:val="24"/>
        </w:rPr>
        <w:t xml:space="preserve">Direct Travel Insurance  </w:t>
      </w:r>
      <w:r w:rsidR="005948EE">
        <w:rPr>
          <w:rFonts w:ascii="Times New Roman" w:hAnsi="Times New Roman" w:cs="Times New Roman"/>
          <w:sz w:val="24"/>
          <w:szCs w:val="24"/>
        </w:rPr>
        <w:t xml:space="preserve">[2004] 1 All ER (Comm.) 609 </w:t>
      </w:r>
      <w:r w:rsidR="004B12FF">
        <w:rPr>
          <w:rFonts w:ascii="Times New Roman" w:hAnsi="Times New Roman" w:cs="Times New Roman"/>
          <w:sz w:val="24"/>
          <w:szCs w:val="24"/>
        </w:rPr>
        <w:t>(at p. 615)</w:t>
      </w:r>
      <w:r w:rsidR="005948EE">
        <w:rPr>
          <w:rFonts w:ascii="Times New Roman" w:hAnsi="Times New Roman" w:cs="Times New Roman"/>
          <w:sz w:val="24"/>
          <w:szCs w:val="24"/>
        </w:rPr>
        <w:t>:</w:t>
      </w:r>
    </w:p>
    <w:p w14:paraId="4330B4AB" w14:textId="77777777" w:rsidR="005948EE" w:rsidRDefault="005948EE" w:rsidP="005948EE">
      <w:pPr>
        <w:pStyle w:val="ListParagraph"/>
        <w:spacing w:line="480" w:lineRule="auto"/>
        <w:ind w:left="717"/>
        <w:jc w:val="both"/>
        <w:rPr>
          <w:rFonts w:ascii="Times New Roman" w:hAnsi="Times New Roman" w:cs="Times New Roman"/>
          <w:sz w:val="24"/>
          <w:szCs w:val="24"/>
        </w:rPr>
      </w:pPr>
    </w:p>
    <w:p w14:paraId="3E8FD3C5" w14:textId="77777777" w:rsidR="005948EE" w:rsidRPr="005948EE" w:rsidRDefault="005948EE" w:rsidP="005948EE">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A court should be wary of starting its analysis by finding an ambiguity by reference to the words in question looked at on their own.  And it should not, in any event, on such a finding, move straight to the contra </w:t>
      </w:r>
      <w:proofErr w:type="spellStart"/>
      <w:r>
        <w:rPr>
          <w:rFonts w:ascii="Times New Roman" w:hAnsi="Times New Roman" w:cs="Times New Roman"/>
          <w:i/>
          <w:sz w:val="24"/>
          <w:szCs w:val="24"/>
        </w:rPr>
        <w:t>preferentum</w:t>
      </w:r>
      <w:proofErr w:type="spellEnd"/>
      <w:r>
        <w:rPr>
          <w:rFonts w:ascii="Times New Roman" w:hAnsi="Times New Roman" w:cs="Times New Roman"/>
          <w:i/>
          <w:sz w:val="24"/>
          <w:szCs w:val="24"/>
        </w:rPr>
        <w:t xml:space="preserve"> rule without first looking at the context and, where appropriate, permissible aids to identifying the purpose of the commercial document of which the words form part.  Too early recourse to the contra </w:t>
      </w:r>
      <w:proofErr w:type="spellStart"/>
      <w:r>
        <w:rPr>
          <w:rFonts w:ascii="Times New Roman" w:hAnsi="Times New Roman" w:cs="Times New Roman"/>
          <w:i/>
          <w:sz w:val="24"/>
          <w:szCs w:val="24"/>
        </w:rPr>
        <w:t>preferentum</w:t>
      </w:r>
      <w:proofErr w:type="spellEnd"/>
      <w:r>
        <w:rPr>
          <w:rFonts w:ascii="Times New Roman" w:hAnsi="Times New Roman" w:cs="Times New Roman"/>
          <w:i/>
          <w:sz w:val="24"/>
          <w:szCs w:val="24"/>
        </w:rPr>
        <w:t xml:space="preserve"> rule runs the danger of “creating” an ambiguity where there is none.’</w:t>
      </w:r>
    </w:p>
    <w:p w14:paraId="2EBC09A1" w14:textId="77777777" w:rsidR="005948EE" w:rsidRDefault="005948EE" w:rsidP="005948EE">
      <w:pPr>
        <w:pStyle w:val="ListParagraph"/>
        <w:spacing w:line="480" w:lineRule="auto"/>
        <w:ind w:left="357"/>
        <w:jc w:val="both"/>
        <w:rPr>
          <w:rFonts w:ascii="Times New Roman" w:hAnsi="Times New Roman" w:cs="Times New Roman"/>
          <w:sz w:val="24"/>
          <w:szCs w:val="24"/>
        </w:rPr>
      </w:pPr>
      <w:r w:rsidRPr="005948EE">
        <w:rPr>
          <w:rFonts w:ascii="Times New Roman" w:hAnsi="Times New Roman" w:cs="Times New Roman"/>
          <w:sz w:val="24"/>
          <w:szCs w:val="24"/>
        </w:rPr>
        <w:t xml:space="preserve">  </w:t>
      </w:r>
    </w:p>
    <w:p w14:paraId="7ECA2FE3" w14:textId="210D90D2" w:rsidR="00E763A3" w:rsidRPr="005948EE" w:rsidRDefault="00C50076" w:rsidP="005948EE">
      <w:pPr>
        <w:pStyle w:val="ListParagraph"/>
        <w:numPr>
          <w:ilvl w:val="0"/>
          <w:numId w:val="6"/>
        </w:numPr>
        <w:spacing w:line="480" w:lineRule="auto"/>
        <w:ind w:left="720" w:hanging="363"/>
        <w:jc w:val="both"/>
        <w:rPr>
          <w:rFonts w:ascii="Times New Roman" w:hAnsi="Times New Roman" w:cs="Times New Roman"/>
          <w:sz w:val="24"/>
          <w:szCs w:val="24"/>
        </w:rPr>
      </w:pPr>
      <w:r w:rsidRPr="005948EE">
        <w:rPr>
          <w:rFonts w:ascii="Times New Roman" w:hAnsi="Times New Roman" w:cs="Times New Roman"/>
          <w:sz w:val="24"/>
          <w:szCs w:val="24"/>
        </w:rPr>
        <w:t>Thus understood, t</w:t>
      </w:r>
      <w:r w:rsidR="00241008" w:rsidRPr="005948EE">
        <w:rPr>
          <w:rFonts w:ascii="Times New Roman" w:hAnsi="Times New Roman" w:cs="Times New Roman"/>
          <w:sz w:val="24"/>
          <w:szCs w:val="24"/>
        </w:rPr>
        <w:t>here is, in my view, no ambiguity in either instrument</w:t>
      </w:r>
      <w:r w:rsidRPr="005948EE">
        <w:rPr>
          <w:rFonts w:ascii="Times New Roman" w:hAnsi="Times New Roman" w:cs="Times New Roman"/>
          <w:sz w:val="24"/>
          <w:szCs w:val="24"/>
        </w:rPr>
        <w:t xml:space="preserve"> </w:t>
      </w:r>
      <w:r w:rsidR="00E301C4" w:rsidRPr="005948EE">
        <w:rPr>
          <w:rFonts w:ascii="Times New Roman" w:hAnsi="Times New Roman" w:cs="Times New Roman"/>
          <w:sz w:val="24"/>
          <w:szCs w:val="24"/>
        </w:rPr>
        <w:t xml:space="preserve">in issue here </w:t>
      </w:r>
      <w:r w:rsidRPr="005948EE">
        <w:rPr>
          <w:rFonts w:ascii="Times New Roman" w:hAnsi="Times New Roman" w:cs="Times New Roman"/>
          <w:sz w:val="24"/>
          <w:szCs w:val="24"/>
        </w:rPr>
        <w:t xml:space="preserve">because, when the mortgage and deed of appointment are construed by reference to each other, their meaning is clear.  </w:t>
      </w:r>
      <w:r w:rsidR="00241008" w:rsidRPr="005948EE">
        <w:rPr>
          <w:rFonts w:ascii="Times New Roman" w:hAnsi="Times New Roman" w:cs="Times New Roman"/>
          <w:sz w:val="24"/>
          <w:szCs w:val="24"/>
        </w:rPr>
        <w:t xml:space="preserve">The </w:t>
      </w:r>
      <w:r w:rsidR="00741F61" w:rsidRPr="005948EE">
        <w:rPr>
          <w:rFonts w:ascii="Times New Roman" w:hAnsi="Times New Roman" w:cs="Times New Roman"/>
          <w:sz w:val="24"/>
          <w:szCs w:val="24"/>
        </w:rPr>
        <w:t>d</w:t>
      </w:r>
      <w:r w:rsidR="00241008" w:rsidRPr="005948EE">
        <w:rPr>
          <w:rFonts w:ascii="Times New Roman" w:hAnsi="Times New Roman" w:cs="Times New Roman"/>
          <w:sz w:val="24"/>
          <w:szCs w:val="24"/>
        </w:rPr>
        <w:t xml:space="preserve">eed of </w:t>
      </w:r>
      <w:r w:rsidR="00741F61" w:rsidRPr="005948EE">
        <w:rPr>
          <w:rFonts w:ascii="Times New Roman" w:hAnsi="Times New Roman" w:cs="Times New Roman"/>
          <w:sz w:val="24"/>
          <w:szCs w:val="24"/>
        </w:rPr>
        <w:t>a</w:t>
      </w:r>
      <w:r w:rsidR="00241008" w:rsidRPr="005948EE">
        <w:rPr>
          <w:rFonts w:ascii="Times New Roman" w:hAnsi="Times New Roman" w:cs="Times New Roman"/>
          <w:sz w:val="24"/>
          <w:szCs w:val="24"/>
        </w:rPr>
        <w:t xml:space="preserve">ppointment </w:t>
      </w:r>
      <w:r w:rsidRPr="005948EE">
        <w:rPr>
          <w:rFonts w:ascii="Times New Roman" w:hAnsi="Times New Roman" w:cs="Times New Roman"/>
          <w:sz w:val="24"/>
          <w:szCs w:val="24"/>
        </w:rPr>
        <w:t xml:space="preserve">operated to </w:t>
      </w:r>
      <w:r w:rsidR="00241008" w:rsidRPr="005948EE">
        <w:rPr>
          <w:rFonts w:ascii="Times New Roman" w:hAnsi="Times New Roman" w:cs="Times New Roman"/>
          <w:sz w:val="24"/>
          <w:szCs w:val="24"/>
        </w:rPr>
        <w:t xml:space="preserve">appoint a receiver who had powers of management and therefore </w:t>
      </w:r>
      <w:r w:rsidRPr="005948EE">
        <w:rPr>
          <w:rFonts w:ascii="Times New Roman" w:hAnsi="Times New Roman" w:cs="Times New Roman"/>
          <w:sz w:val="24"/>
          <w:szCs w:val="24"/>
        </w:rPr>
        <w:t xml:space="preserve">to </w:t>
      </w:r>
      <w:r w:rsidR="00241008" w:rsidRPr="005948EE">
        <w:rPr>
          <w:rFonts w:ascii="Times New Roman" w:hAnsi="Times New Roman" w:cs="Times New Roman"/>
          <w:sz w:val="24"/>
          <w:szCs w:val="24"/>
        </w:rPr>
        <w:t>appoint a receiver</w:t>
      </w:r>
      <w:r w:rsidR="0053698E" w:rsidRPr="005948EE">
        <w:rPr>
          <w:rFonts w:ascii="Times New Roman" w:hAnsi="Times New Roman" w:cs="Times New Roman"/>
          <w:sz w:val="24"/>
          <w:szCs w:val="24"/>
        </w:rPr>
        <w:t xml:space="preserve"> and </w:t>
      </w:r>
      <w:r w:rsidR="00241008" w:rsidRPr="005948EE">
        <w:rPr>
          <w:rFonts w:ascii="Times New Roman" w:hAnsi="Times New Roman" w:cs="Times New Roman"/>
          <w:sz w:val="24"/>
          <w:szCs w:val="24"/>
        </w:rPr>
        <w:t>manager.  The mortgage deed allowed only the appointment of a receiver</w:t>
      </w:r>
      <w:r w:rsidR="0053698E" w:rsidRPr="005948EE">
        <w:rPr>
          <w:rFonts w:ascii="Times New Roman" w:hAnsi="Times New Roman" w:cs="Times New Roman"/>
          <w:sz w:val="24"/>
          <w:szCs w:val="24"/>
        </w:rPr>
        <w:t xml:space="preserve"> and </w:t>
      </w:r>
      <w:r w:rsidR="00241008" w:rsidRPr="005948EE">
        <w:rPr>
          <w:rFonts w:ascii="Times New Roman" w:hAnsi="Times New Roman" w:cs="Times New Roman"/>
          <w:sz w:val="24"/>
          <w:szCs w:val="24"/>
        </w:rPr>
        <w:t xml:space="preserve">manager, </w:t>
      </w:r>
      <w:r w:rsidR="00241008" w:rsidRPr="005948EE">
        <w:rPr>
          <w:rFonts w:ascii="Times New Roman" w:hAnsi="Times New Roman" w:cs="Times New Roman"/>
          <w:sz w:val="24"/>
          <w:szCs w:val="24"/>
        </w:rPr>
        <w:lastRenderedPageBreak/>
        <w:t xml:space="preserve">not a </w:t>
      </w:r>
      <w:r w:rsidR="0080755D">
        <w:rPr>
          <w:rFonts w:ascii="Times New Roman" w:hAnsi="Times New Roman" w:cs="Times New Roman"/>
          <w:sz w:val="24"/>
          <w:szCs w:val="24"/>
        </w:rPr>
        <w:t>r</w:t>
      </w:r>
      <w:r w:rsidR="00241008" w:rsidRPr="005948EE">
        <w:rPr>
          <w:rFonts w:ascii="Times New Roman" w:hAnsi="Times New Roman" w:cs="Times New Roman"/>
          <w:sz w:val="24"/>
          <w:szCs w:val="24"/>
        </w:rPr>
        <w:t>eceiver who lacked powers of management. There is nothing in the</w:t>
      </w:r>
      <w:r w:rsidR="00B914EF" w:rsidRPr="005948EE">
        <w:rPr>
          <w:rFonts w:ascii="Times New Roman" w:hAnsi="Times New Roman" w:cs="Times New Roman"/>
          <w:sz w:val="24"/>
          <w:szCs w:val="24"/>
        </w:rPr>
        <w:t xml:space="preserve"> mortgage</w:t>
      </w:r>
      <w:r w:rsidR="00241008" w:rsidRPr="005948EE">
        <w:rPr>
          <w:rFonts w:ascii="Times New Roman" w:hAnsi="Times New Roman" w:cs="Times New Roman"/>
          <w:sz w:val="24"/>
          <w:szCs w:val="24"/>
        </w:rPr>
        <w:t xml:space="preserve"> to support the proposition that the failure to use the word ‘manager’ in the appointment meant that an appointee did not have powers of management</w:t>
      </w:r>
      <w:r w:rsidR="00C6247A">
        <w:rPr>
          <w:rFonts w:ascii="Times New Roman" w:hAnsi="Times New Roman" w:cs="Times New Roman"/>
          <w:sz w:val="24"/>
          <w:szCs w:val="24"/>
        </w:rPr>
        <w:t xml:space="preserve"> or otherwise meant that there had not been an appointment of a ‘</w:t>
      </w:r>
      <w:r w:rsidR="00C6247A">
        <w:rPr>
          <w:rFonts w:ascii="Times New Roman" w:hAnsi="Times New Roman" w:cs="Times New Roman"/>
          <w:i/>
          <w:sz w:val="24"/>
          <w:szCs w:val="24"/>
        </w:rPr>
        <w:t xml:space="preserve">receiver and manager’ </w:t>
      </w:r>
      <w:r w:rsidR="00C6247A">
        <w:rPr>
          <w:rFonts w:ascii="Times New Roman" w:hAnsi="Times New Roman" w:cs="Times New Roman"/>
          <w:sz w:val="24"/>
          <w:szCs w:val="24"/>
        </w:rPr>
        <w:t>as required by clause 9.1 of the mortgage</w:t>
      </w:r>
      <w:r w:rsidR="00241008" w:rsidRPr="005948EE">
        <w:rPr>
          <w:rFonts w:ascii="Times New Roman" w:hAnsi="Times New Roman" w:cs="Times New Roman"/>
          <w:sz w:val="24"/>
          <w:szCs w:val="24"/>
        </w:rPr>
        <w:t>.</w:t>
      </w:r>
      <w:r w:rsidRPr="005948EE">
        <w:rPr>
          <w:rFonts w:ascii="Times New Roman" w:hAnsi="Times New Roman" w:cs="Times New Roman"/>
          <w:sz w:val="24"/>
          <w:szCs w:val="24"/>
        </w:rPr>
        <w:t xml:space="preserve">  </w:t>
      </w:r>
      <w:r w:rsidR="00D47534">
        <w:rPr>
          <w:rFonts w:ascii="Times New Roman" w:hAnsi="Times New Roman" w:cs="Times New Roman"/>
          <w:sz w:val="24"/>
          <w:szCs w:val="24"/>
        </w:rPr>
        <w:t xml:space="preserve">When the court undertakes the exercise of construction </w:t>
      </w:r>
      <w:r w:rsidR="00C6247A">
        <w:rPr>
          <w:rFonts w:ascii="Times New Roman" w:hAnsi="Times New Roman" w:cs="Times New Roman"/>
          <w:sz w:val="24"/>
          <w:szCs w:val="24"/>
        </w:rPr>
        <w:t xml:space="preserve">following </w:t>
      </w:r>
      <w:r w:rsidR="00D47534">
        <w:rPr>
          <w:rFonts w:ascii="Times New Roman" w:hAnsi="Times New Roman" w:cs="Times New Roman"/>
          <w:sz w:val="24"/>
          <w:szCs w:val="24"/>
        </w:rPr>
        <w:t xml:space="preserve">a full plenary hearing </w:t>
      </w:r>
      <w:r w:rsidR="00C6247A">
        <w:rPr>
          <w:rFonts w:ascii="Times New Roman" w:hAnsi="Times New Roman" w:cs="Times New Roman"/>
          <w:sz w:val="24"/>
          <w:szCs w:val="24"/>
        </w:rPr>
        <w:t xml:space="preserve">(rather than in the course of an interlocutory application) </w:t>
      </w:r>
      <w:r w:rsidR="00D47534">
        <w:rPr>
          <w:rFonts w:ascii="Times New Roman" w:hAnsi="Times New Roman" w:cs="Times New Roman"/>
          <w:sz w:val="24"/>
          <w:szCs w:val="24"/>
        </w:rPr>
        <w:t xml:space="preserve">and </w:t>
      </w:r>
      <w:r w:rsidR="00C6247A">
        <w:rPr>
          <w:rFonts w:ascii="Times New Roman" w:hAnsi="Times New Roman" w:cs="Times New Roman"/>
          <w:sz w:val="24"/>
          <w:szCs w:val="24"/>
        </w:rPr>
        <w:t xml:space="preserve">with the benefit of </w:t>
      </w:r>
      <w:r w:rsidR="00D47534">
        <w:rPr>
          <w:rFonts w:ascii="Times New Roman" w:hAnsi="Times New Roman" w:cs="Times New Roman"/>
          <w:sz w:val="24"/>
          <w:szCs w:val="24"/>
        </w:rPr>
        <w:t>complete argument t</w:t>
      </w:r>
      <w:r w:rsidRPr="005948EE">
        <w:rPr>
          <w:rFonts w:ascii="Times New Roman" w:hAnsi="Times New Roman" w:cs="Times New Roman"/>
          <w:sz w:val="24"/>
          <w:szCs w:val="24"/>
        </w:rPr>
        <w:t>here is, in my view, no other plausible construction of either document</w:t>
      </w:r>
      <w:r w:rsidR="005948EE">
        <w:rPr>
          <w:rFonts w:ascii="Times New Roman" w:hAnsi="Times New Roman" w:cs="Times New Roman"/>
          <w:sz w:val="24"/>
          <w:szCs w:val="24"/>
        </w:rPr>
        <w:t>.</w:t>
      </w:r>
      <w:r w:rsidR="00C6247A">
        <w:rPr>
          <w:rFonts w:ascii="Times New Roman" w:hAnsi="Times New Roman" w:cs="Times New Roman"/>
          <w:sz w:val="24"/>
          <w:szCs w:val="24"/>
        </w:rPr>
        <w:t xml:space="preserve">  To that extent I am in complete agreement with the conclusion reached by Allen J. in </w:t>
      </w:r>
      <w:r w:rsidR="00C6247A" w:rsidRPr="00D7207F">
        <w:rPr>
          <w:rFonts w:ascii="Times New Roman" w:hAnsi="Times New Roman" w:cs="Times New Roman"/>
          <w:i/>
          <w:sz w:val="24"/>
          <w:szCs w:val="24"/>
        </w:rPr>
        <w:t xml:space="preserve">McCarthy v. </w:t>
      </w:r>
      <w:proofErr w:type="spellStart"/>
      <w:r w:rsidR="00C6247A" w:rsidRPr="00D7207F">
        <w:rPr>
          <w:rFonts w:ascii="Times New Roman" w:hAnsi="Times New Roman" w:cs="Times New Roman"/>
          <w:i/>
          <w:sz w:val="24"/>
          <w:szCs w:val="24"/>
        </w:rPr>
        <w:t>Langan</w:t>
      </w:r>
      <w:proofErr w:type="spellEnd"/>
      <w:r w:rsidR="00C6247A" w:rsidRPr="00D7207F">
        <w:rPr>
          <w:rFonts w:ascii="Times New Roman" w:hAnsi="Times New Roman" w:cs="Times New Roman"/>
          <w:i/>
          <w:sz w:val="24"/>
          <w:szCs w:val="24"/>
        </w:rPr>
        <w:t xml:space="preserve"> and </w:t>
      </w:r>
      <w:proofErr w:type="spellStart"/>
      <w:r w:rsidR="00C6247A" w:rsidRPr="00D7207F">
        <w:rPr>
          <w:rFonts w:ascii="Times New Roman" w:hAnsi="Times New Roman" w:cs="Times New Roman"/>
          <w:i/>
          <w:sz w:val="24"/>
          <w:szCs w:val="24"/>
        </w:rPr>
        <w:t>ors</w:t>
      </w:r>
      <w:proofErr w:type="spellEnd"/>
      <w:r w:rsidR="00C6247A">
        <w:rPr>
          <w:rFonts w:ascii="Times New Roman" w:hAnsi="Times New Roman" w:cs="Times New Roman"/>
          <w:sz w:val="24"/>
          <w:szCs w:val="24"/>
        </w:rPr>
        <w:t>.</w:t>
      </w:r>
    </w:p>
    <w:p w14:paraId="2D9C25D4" w14:textId="77777777" w:rsidR="00E763A3" w:rsidRPr="00E763A3" w:rsidRDefault="00E763A3" w:rsidP="00E763A3">
      <w:pPr>
        <w:pStyle w:val="ListParagraph"/>
        <w:spacing w:line="480" w:lineRule="auto"/>
        <w:ind w:left="717"/>
        <w:jc w:val="both"/>
        <w:rPr>
          <w:rFonts w:ascii="Times New Roman" w:hAnsi="Times New Roman" w:cs="Times New Roman"/>
          <w:sz w:val="24"/>
          <w:szCs w:val="24"/>
        </w:rPr>
      </w:pPr>
    </w:p>
    <w:p w14:paraId="5A641459" w14:textId="77777777" w:rsidR="00D7207F" w:rsidRPr="00E86EE5" w:rsidRDefault="00E86EE5" w:rsidP="00E86EE5">
      <w:pPr>
        <w:pStyle w:val="ListParagraph"/>
        <w:spacing w:line="480" w:lineRule="auto"/>
        <w:ind w:left="717"/>
        <w:jc w:val="both"/>
        <w:rPr>
          <w:rFonts w:ascii="Times New Roman" w:hAnsi="Times New Roman" w:cs="Times New Roman"/>
          <w:b/>
          <w:i/>
          <w:sz w:val="24"/>
          <w:szCs w:val="24"/>
        </w:rPr>
      </w:pPr>
      <w:r>
        <w:rPr>
          <w:rFonts w:ascii="Times New Roman" w:hAnsi="Times New Roman" w:cs="Times New Roman"/>
          <w:b/>
          <w:i/>
          <w:sz w:val="24"/>
          <w:szCs w:val="24"/>
        </w:rPr>
        <w:t>The statutory receiver</w:t>
      </w:r>
      <w:r w:rsidR="00453A03">
        <w:rPr>
          <w:rFonts w:ascii="Times New Roman" w:hAnsi="Times New Roman" w:cs="Times New Roman"/>
          <w:b/>
          <w:i/>
          <w:sz w:val="24"/>
          <w:szCs w:val="24"/>
        </w:rPr>
        <w:t xml:space="preserve"> and delegation</w:t>
      </w:r>
    </w:p>
    <w:p w14:paraId="4C6D8E78" w14:textId="77777777" w:rsidR="00D7207F" w:rsidRPr="00D7207F" w:rsidRDefault="00D7207F" w:rsidP="00D7207F">
      <w:pPr>
        <w:pStyle w:val="ListParagraph"/>
        <w:spacing w:line="480" w:lineRule="auto"/>
        <w:rPr>
          <w:rFonts w:ascii="Times New Roman" w:hAnsi="Times New Roman" w:cs="Times New Roman"/>
          <w:sz w:val="24"/>
          <w:szCs w:val="24"/>
        </w:rPr>
      </w:pPr>
    </w:p>
    <w:p w14:paraId="21FF8044" w14:textId="501A7A89" w:rsidR="00ED1E45" w:rsidRDefault="005B528E"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300210">
        <w:rPr>
          <w:rFonts w:ascii="Times New Roman" w:hAnsi="Times New Roman" w:cs="Times New Roman"/>
          <w:sz w:val="24"/>
          <w:szCs w:val="24"/>
        </w:rPr>
        <w:t xml:space="preserve">he plaintiff advances </w:t>
      </w:r>
      <w:r w:rsidR="00453A03">
        <w:rPr>
          <w:rFonts w:ascii="Times New Roman" w:hAnsi="Times New Roman" w:cs="Times New Roman"/>
          <w:sz w:val="24"/>
          <w:szCs w:val="24"/>
        </w:rPr>
        <w:t xml:space="preserve">two </w:t>
      </w:r>
      <w:r w:rsidR="00300210">
        <w:rPr>
          <w:rFonts w:ascii="Times New Roman" w:hAnsi="Times New Roman" w:cs="Times New Roman"/>
          <w:sz w:val="24"/>
          <w:szCs w:val="24"/>
        </w:rPr>
        <w:t>alternative argument</w:t>
      </w:r>
      <w:r w:rsidR="00453A03">
        <w:rPr>
          <w:rFonts w:ascii="Times New Roman" w:hAnsi="Times New Roman" w:cs="Times New Roman"/>
          <w:sz w:val="24"/>
          <w:szCs w:val="24"/>
        </w:rPr>
        <w:t>s</w:t>
      </w:r>
      <w:r w:rsidR="00300210">
        <w:rPr>
          <w:rFonts w:ascii="Times New Roman" w:hAnsi="Times New Roman" w:cs="Times New Roman"/>
          <w:sz w:val="24"/>
          <w:szCs w:val="24"/>
        </w:rPr>
        <w:t xml:space="preserve"> which, by reason of th</w:t>
      </w:r>
      <w:r w:rsidR="00851E51">
        <w:rPr>
          <w:rFonts w:ascii="Times New Roman" w:hAnsi="Times New Roman" w:cs="Times New Roman"/>
          <w:sz w:val="24"/>
          <w:szCs w:val="24"/>
        </w:rPr>
        <w:t>is conclusion</w:t>
      </w:r>
      <w:r w:rsidR="00300210">
        <w:rPr>
          <w:rFonts w:ascii="Times New Roman" w:hAnsi="Times New Roman" w:cs="Times New Roman"/>
          <w:sz w:val="24"/>
          <w:szCs w:val="24"/>
        </w:rPr>
        <w:t>, can be dealt with more briefly.  If, he says, his appointment is invalid having regard to the mortgage deed, it should nonetheless be upheld as a valid appointment of a statutory receiver pursuant to the provisions of the Conveyancing Act 1881</w:t>
      </w:r>
      <w:r w:rsidR="00695016">
        <w:rPr>
          <w:rFonts w:ascii="Times New Roman" w:hAnsi="Times New Roman" w:cs="Times New Roman"/>
          <w:sz w:val="24"/>
          <w:szCs w:val="24"/>
        </w:rPr>
        <w:t xml:space="preserve"> to </w:t>
      </w:r>
      <w:r w:rsidR="00300210">
        <w:rPr>
          <w:rFonts w:ascii="Times New Roman" w:hAnsi="Times New Roman" w:cs="Times New Roman"/>
          <w:sz w:val="24"/>
          <w:szCs w:val="24"/>
        </w:rPr>
        <w:t xml:space="preserve">1911.  In that regard he notes that the statutory power of appointment is expressly referred to and preserved by clause 9.2 of the mortgage.  </w:t>
      </w:r>
      <w:r w:rsidR="00ED1E45">
        <w:rPr>
          <w:rFonts w:ascii="Times New Roman" w:hAnsi="Times New Roman" w:cs="Times New Roman"/>
          <w:sz w:val="24"/>
          <w:szCs w:val="24"/>
        </w:rPr>
        <w:t>This provides:</w:t>
      </w:r>
    </w:p>
    <w:p w14:paraId="61E86F0B" w14:textId="77777777" w:rsidR="00ED1E45" w:rsidRDefault="00ED1E45" w:rsidP="00ED1E45">
      <w:pPr>
        <w:pStyle w:val="ListParagraph"/>
        <w:spacing w:line="480" w:lineRule="auto"/>
        <w:ind w:left="717"/>
        <w:jc w:val="both"/>
        <w:rPr>
          <w:rFonts w:ascii="Times New Roman" w:hAnsi="Times New Roman" w:cs="Times New Roman"/>
          <w:sz w:val="24"/>
          <w:szCs w:val="24"/>
        </w:rPr>
      </w:pPr>
    </w:p>
    <w:p w14:paraId="2CF8D7A2" w14:textId="77777777" w:rsidR="00ED1E45" w:rsidRPr="00ED1E45" w:rsidRDefault="00ED1E45" w:rsidP="00ED1E45">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The foregoing powers of appointment of a Receiver shall be in addition to and not to the prejudice of all statutory and other powers of the Bank under the Conveyancing Acts 1881 to 1911 (and so that the statutory power of sale shall be exercisable without the restrictions contained in Section 20 of the Conveyancing Act 1881) or otherwise and such powers shall be and remain exercisable by the Bank in respect of any of the Secured Assets notwithstanding </w:t>
      </w:r>
      <w:r>
        <w:rPr>
          <w:rFonts w:ascii="Times New Roman" w:hAnsi="Times New Roman" w:cs="Times New Roman"/>
          <w:i/>
          <w:sz w:val="24"/>
          <w:szCs w:val="24"/>
        </w:rPr>
        <w:lastRenderedPageBreak/>
        <w:t>the appointment of a Receiver thereover or over any other of the Secured Assets’</w:t>
      </w:r>
      <w:r>
        <w:rPr>
          <w:rFonts w:ascii="Times New Roman" w:hAnsi="Times New Roman" w:cs="Times New Roman"/>
          <w:sz w:val="24"/>
          <w:szCs w:val="24"/>
        </w:rPr>
        <w:t>.</w:t>
      </w:r>
    </w:p>
    <w:p w14:paraId="61752523" w14:textId="77777777" w:rsidR="00ED1E45" w:rsidRDefault="00ED1E45" w:rsidP="00ED1E45">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661E8DE6" w14:textId="60D9C11A" w:rsidR="008A739A" w:rsidRPr="008A739A" w:rsidRDefault="00300210" w:rsidP="008A739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Once the secured liabilities have become due, he </w:t>
      </w:r>
      <w:r w:rsidR="0032241E">
        <w:rPr>
          <w:rFonts w:ascii="Times New Roman" w:hAnsi="Times New Roman" w:cs="Times New Roman"/>
          <w:sz w:val="24"/>
          <w:szCs w:val="24"/>
        </w:rPr>
        <w:t>argues</w:t>
      </w:r>
      <w:r>
        <w:rPr>
          <w:rFonts w:ascii="Times New Roman" w:hAnsi="Times New Roman" w:cs="Times New Roman"/>
          <w:sz w:val="24"/>
          <w:szCs w:val="24"/>
        </w:rPr>
        <w:t>, all that is required for the appointment of a statutory receiver is that the appointment be effected in writing, that requirement having been met in this case.</w:t>
      </w:r>
      <w:r w:rsidR="008A739A">
        <w:rPr>
          <w:rFonts w:ascii="Times New Roman" w:hAnsi="Times New Roman" w:cs="Times New Roman"/>
          <w:sz w:val="24"/>
          <w:szCs w:val="24"/>
        </w:rPr>
        <w:t xml:space="preserve">   In the course of his submissions counsel for the plaintiff contended that if the </w:t>
      </w:r>
      <w:r w:rsidR="00695016">
        <w:rPr>
          <w:rFonts w:ascii="Times New Roman" w:hAnsi="Times New Roman" w:cs="Times New Roman"/>
          <w:sz w:val="24"/>
          <w:szCs w:val="24"/>
        </w:rPr>
        <w:t>C</w:t>
      </w:r>
      <w:r w:rsidR="008A739A">
        <w:rPr>
          <w:rFonts w:ascii="Times New Roman" w:hAnsi="Times New Roman" w:cs="Times New Roman"/>
          <w:sz w:val="24"/>
          <w:szCs w:val="24"/>
        </w:rPr>
        <w:t xml:space="preserve">ourt was to conclude that the deed of appointment was not effective to appoint a receiver under the mortgage, then the </w:t>
      </w:r>
      <w:r w:rsidR="00695016">
        <w:rPr>
          <w:rFonts w:ascii="Times New Roman" w:hAnsi="Times New Roman" w:cs="Times New Roman"/>
          <w:sz w:val="24"/>
          <w:szCs w:val="24"/>
        </w:rPr>
        <w:t>C</w:t>
      </w:r>
      <w:r w:rsidR="008A739A">
        <w:rPr>
          <w:rFonts w:ascii="Times New Roman" w:hAnsi="Times New Roman" w:cs="Times New Roman"/>
          <w:sz w:val="24"/>
          <w:szCs w:val="24"/>
        </w:rPr>
        <w:t xml:space="preserve">ourt had to construe the deed and given that the </w:t>
      </w:r>
      <w:r w:rsidR="009F5EDC">
        <w:rPr>
          <w:rFonts w:ascii="Times New Roman" w:hAnsi="Times New Roman" w:cs="Times New Roman"/>
          <w:sz w:val="24"/>
          <w:szCs w:val="24"/>
        </w:rPr>
        <w:t>o</w:t>
      </w:r>
      <w:r w:rsidR="008A739A">
        <w:rPr>
          <w:rFonts w:ascii="Times New Roman" w:hAnsi="Times New Roman" w:cs="Times New Roman"/>
          <w:sz w:val="24"/>
          <w:szCs w:val="24"/>
        </w:rPr>
        <w:t>nly other power was to appoint under the 1881 Act, this must have been what it was.  He noted that there was no requirement in the 1881 Act that the appointor under that Act be identified as such.</w:t>
      </w:r>
    </w:p>
    <w:p w14:paraId="3D3696C2" w14:textId="77777777" w:rsidR="00300210" w:rsidRDefault="00300210" w:rsidP="00300210">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2426106" w14:textId="77777777" w:rsidR="00300210" w:rsidRDefault="00300210"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similar argument was rejected by McDonald J. in </w:t>
      </w:r>
      <w:r>
        <w:rPr>
          <w:rFonts w:ascii="Times New Roman" w:hAnsi="Times New Roman" w:cs="Times New Roman"/>
          <w:i/>
          <w:sz w:val="24"/>
          <w:szCs w:val="24"/>
        </w:rPr>
        <w:t xml:space="preserve">McCarthy v. Moroney.  </w:t>
      </w:r>
      <w:r>
        <w:rPr>
          <w:rFonts w:ascii="Times New Roman" w:hAnsi="Times New Roman" w:cs="Times New Roman"/>
          <w:sz w:val="24"/>
          <w:szCs w:val="24"/>
        </w:rPr>
        <w:t xml:space="preserve">He reasoned that the appointor had not sought to invoke or rely upon the 1881 Act.  The plaintiff disputes the necessity for such invocation, noting that the 1881 Act does not require that reference be made to it within the instrument by which the appointment is sought to be effected and emphasising that the mortgage specifically recorded that the contractual power of appointment </w:t>
      </w:r>
      <w:r w:rsidR="0032241E">
        <w:rPr>
          <w:rFonts w:ascii="Times New Roman" w:hAnsi="Times New Roman" w:cs="Times New Roman"/>
          <w:sz w:val="24"/>
          <w:szCs w:val="24"/>
        </w:rPr>
        <w:t>w</w:t>
      </w:r>
      <w:r>
        <w:rPr>
          <w:rFonts w:ascii="Times New Roman" w:hAnsi="Times New Roman" w:cs="Times New Roman"/>
          <w:sz w:val="24"/>
          <w:szCs w:val="24"/>
        </w:rPr>
        <w:t>as in addition to the statutory power.</w:t>
      </w:r>
    </w:p>
    <w:p w14:paraId="77910722" w14:textId="77777777" w:rsidR="0062259A" w:rsidRPr="0062259A" w:rsidRDefault="0062259A" w:rsidP="0062259A">
      <w:pPr>
        <w:pStyle w:val="ListParagraph"/>
        <w:rPr>
          <w:rFonts w:ascii="Times New Roman" w:hAnsi="Times New Roman" w:cs="Times New Roman"/>
          <w:sz w:val="24"/>
          <w:szCs w:val="24"/>
        </w:rPr>
      </w:pPr>
    </w:p>
    <w:p w14:paraId="11CB892F" w14:textId="71AF8BC5" w:rsidR="0062259A" w:rsidRDefault="0062259A"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my view, this argument is misconceived.  Whatever else one can say about the manner of appointment of a receiver under the 1881 Act, a party contending that they </w:t>
      </w:r>
      <w:r w:rsidR="00DA163D">
        <w:rPr>
          <w:rFonts w:ascii="Times New Roman" w:hAnsi="Times New Roman" w:cs="Times New Roman"/>
          <w:sz w:val="24"/>
          <w:szCs w:val="24"/>
        </w:rPr>
        <w:t>are entitled to rely</w:t>
      </w:r>
      <w:r w:rsidR="00452E0B">
        <w:rPr>
          <w:rFonts w:ascii="Times New Roman" w:hAnsi="Times New Roman" w:cs="Times New Roman"/>
          <w:sz w:val="24"/>
          <w:szCs w:val="24"/>
        </w:rPr>
        <w:t xml:space="preserve"> on</w:t>
      </w:r>
      <w:r w:rsidR="00DA163D">
        <w:rPr>
          <w:rFonts w:ascii="Times New Roman" w:hAnsi="Times New Roman" w:cs="Times New Roman"/>
          <w:sz w:val="24"/>
          <w:szCs w:val="24"/>
        </w:rPr>
        <w:t xml:space="preserve"> </w:t>
      </w:r>
      <w:r>
        <w:rPr>
          <w:rFonts w:ascii="Times New Roman" w:hAnsi="Times New Roman" w:cs="Times New Roman"/>
          <w:sz w:val="24"/>
          <w:szCs w:val="24"/>
        </w:rPr>
        <w:t>the statutory power provided for under that legislation must establish that</w:t>
      </w:r>
      <w:r w:rsidR="00DA163D">
        <w:rPr>
          <w:rFonts w:ascii="Times New Roman" w:hAnsi="Times New Roman" w:cs="Times New Roman"/>
          <w:sz w:val="24"/>
          <w:szCs w:val="24"/>
        </w:rPr>
        <w:t xml:space="preserve"> they have in fact invoked that power</w:t>
      </w:r>
      <w:r>
        <w:rPr>
          <w:rFonts w:ascii="Times New Roman" w:hAnsi="Times New Roman" w:cs="Times New Roman"/>
          <w:sz w:val="24"/>
          <w:szCs w:val="24"/>
        </w:rPr>
        <w:t xml:space="preserve">.  </w:t>
      </w:r>
      <w:r w:rsidR="005C50B3">
        <w:rPr>
          <w:rFonts w:ascii="Times New Roman" w:hAnsi="Times New Roman" w:cs="Times New Roman"/>
          <w:sz w:val="24"/>
          <w:szCs w:val="24"/>
        </w:rPr>
        <w:t>Usually this will be established by reference to</w:t>
      </w:r>
      <w:r>
        <w:rPr>
          <w:rFonts w:ascii="Times New Roman" w:hAnsi="Times New Roman" w:cs="Times New Roman"/>
          <w:sz w:val="24"/>
          <w:szCs w:val="24"/>
        </w:rPr>
        <w:t xml:space="preserve"> the document by which the appointment was made.  While the plaintiff is correct in observing that the legislation does not prescribe any particular form for such appointment, if the writing by which it is purportedly effected does not evidence such </w:t>
      </w:r>
      <w:r>
        <w:rPr>
          <w:rFonts w:ascii="Times New Roman" w:hAnsi="Times New Roman" w:cs="Times New Roman"/>
          <w:sz w:val="24"/>
          <w:szCs w:val="24"/>
        </w:rPr>
        <w:lastRenderedPageBreak/>
        <w:t xml:space="preserve">an </w:t>
      </w:r>
      <w:r w:rsidR="00DA163D">
        <w:rPr>
          <w:rFonts w:ascii="Times New Roman" w:hAnsi="Times New Roman" w:cs="Times New Roman"/>
          <w:sz w:val="24"/>
          <w:szCs w:val="24"/>
        </w:rPr>
        <w:t xml:space="preserve">appointment </w:t>
      </w:r>
      <w:r>
        <w:rPr>
          <w:rFonts w:ascii="Times New Roman" w:hAnsi="Times New Roman" w:cs="Times New Roman"/>
          <w:sz w:val="24"/>
          <w:szCs w:val="24"/>
        </w:rPr>
        <w:t xml:space="preserve">then it falls to the appointor to establish </w:t>
      </w:r>
      <w:r w:rsidR="00DA163D">
        <w:rPr>
          <w:rFonts w:ascii="Times New Roman" w:hAnsi="Times New Roman" w:cs="Times New Roman"/>
          <w:sz w:val="24"/>
          <w:szCs w:val="24"/>
        </w:rPr>
        <w:t>it</w:t>
      </w:r>
      <w:r w:rsidR="0032241E">
        <w:rPr>
          <w:rFonts w:ascii="Times New Roman" w:hAnsi="Times New Roman" w:cs="Times New Roman"/>
          <w:sz w:val="24"/>
          <w:szCs w:val="24"/>
        </w:rPr>
        <w:t>s invocation</w:t>
      </w:r>
      <w:r w:rsidR="00DA163D">
        <w:rPr>
          <w:rFonts w:ascii="Times New Roman" w:hAnsi="Times New Roman" w:cs="Times New Roman"/>
          <w:sz w:val="24"/>
          <w:szCs w:val="24"/>
        </w:rPr>
        <w:t xml:space="preserve"> </w:t>
      </w:r>
      <w:r>
        <w:rPr>
          <w:rFonts w:ascii="Times New Roman" w:hAnsi="Times New Roman" w:cs="Times New Roman"/>
          <w:sz w:val="24"/>
          <w:szCs w:val="24"/>
        </w:rPr>
        <w:t>in some other way.</w:t>
      </w:r>
    </w:p>
    <w:p w14:paraId="485A7DDB" w14:textId="77777777" w:rsidR="0062259A" w:rsidRPr="0062259A" w:rsidRDefault="0062259A" w:rsidP="0062259A">
      <w:pPr>
        <w:pStyle w:val="ListParagraph"/>
        <w:rPr>
          <w:rFonts w:ascii="Times New Roman" w:hAnsi="Times New Roman" w:cs="Times New Roman"/>
          <w:sz w:val="24"/>
          <w:szCs w:val="24"/>
        </w:rPr>
      </w:pPr>
    </w:p>
    <w:p w14:paraId="529B13B9" w14:textId="5D014D64" w:rsidR="0062259A" w:rsidRPr="008D4542" w:rsidRDefault="0062259A" w:rsidP="008D454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Here, the alleged appointment does not merely not refer to the 1881 Act, but it is in terms inconsistent with any intention to invoke it.  It is – expressly – effected ‘</w:t>
      </w:r>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]n pursuance of the powers contained in the Mortgage dated 28 May 2007 …’</w:t>
      </w:r>
      <w:r>
        <w:rPr>
          <w:rFonts w:ascii="Times New Roman" w:hAnsi="Times New Roman" w:cs="Times New Roman"/>
          <w:sz w:val="24"/>
          <w:szCs w:val="24"/>
        </w:rPr>
        <w:t>.  While the Mortgage was ‘</w:t>
      </w:r>
      <w:r>
        <w:rPr>
          <w:rFonts w:ascii="Times New Roman" w:hAnsi="Times New Roman" w:cs="Times New Roman"/>
          <w:i/>
          <w:sz w:val="24"/>
          <w:szCs w:val="24"/>
        </w:rPr>
        <w:t>in addition’</w:t>
      </w:r>
      <w:r>
        <w:rPr>
          <w:rFonts w:ascii="Times New Roman" w:hAnsi="Times New Roman" w:cs="Times New Roman"/>
          <w:sz w:val="24"/>
          <w:szCs w:val="24"/>
        </w:rPr>
        <w:t xml:space="preserve"> to the statutory power to appoint, the power to appoint under the 1881 Act derives from </w:t>
      </w:r>
      <w:r w:rsidR="0036139B">
        <w:rPr>
          <w:rFonts w:ascii="Times New Roman" w:hAnsi="Times New Roman" w:cs="Times New Roman"/>
          <w:sz w:val="24"/>
          <w:szCs w:val="24"/>
        </w:rPr>
        <w:t>s.</w:t>
      </w:r>
      <w:r w:rsidR="00DA163D">
        <w:rPr>
          <w:rFonts w:ascii="Times New Roman" w:hAnsi="Times New Roman" w:cs="Times New Roman"/>
          <w:sz w:val="24"/>
          <w:szCs w:val="24"/>
        </w:rPr>
        <w:t xml:space="preserve"> </w:t>
      </w:r>
      <w:r w:rsidR="0036139B">
        <w:rPr>
          <w:rFonts w:ascii="Times New Roman" w:hAnsi="Times New Roman" w:cs="Times New Roman"/>
          <w:sz w:val="24"/>
          <w:szCs w:val="24"/>
        </w:rPr>
        <w:t>19(1)(iii) of that Act: s.</w:t>
      </w:r>
      <w:r w:rsidR="00DA163D">
        <w:rPr>
          <w:rFonts w:ascii="Times New Roman" w:hAnsi="Times New Roman" w:cs="Times New Roman"/>
          <w:sz w:val="24"/>
          <w:szCs w:val="24"/>
        </w:rPr>
        <w:t xml:space="preserve"> </w:t>
      </w:r>
      <w:r w:rsidR="0036139B">
        <w:rPr>
          <w:rFonts w:ascii="Times New Roman" w:hAnsi="Times New Roman" w:cs="Times New Roman"/>
          <w:sz w:val="24"/>
          <w:szCs w:val="24"/>
        </w:rPr>
        <w:t>19(1) states that ‘</w:t>
      </w:r>
      <w:r w:rsidR="0036139B">
        <w:rPr>
          <w:rFonts w:ascii="Times New Roman" w:hAnsi="Times New Roman" w:cs="Times New Roman"/>
          <w:i/>
          <w:sz w:val="24"/>
          <w:szCs w:val="24"/>
        </w:rPr>
        <w:t xml:space="preserve">[a] mortgagee, where the mortgage is made by deed, shall, </w:t>
      </w:r>
      <w:r w:rsidR="0036139B" w:rsidRPr="0036139B">
        <w:rPr>
          <w:rFonts w:ascii="Times New Roman" w:hAnsi="Times New Roman" w:cs="Times New Roman"/>
          <w:b/>
          <w:i/>
          <w:sz w:val="24"/>
          <w:szCs w:val="24"/>
        </w:rPr>
        <w:t>by virtue of this Act,</w:t>
      </w:r>
      <w:r w:rsidR="0036139B">
        <w:rPr>
          <w:rFonts w:ascii="Times New Roman" w:hAnsi="Times New Roman" w:cs="Times New Roman"/>
          <w:i/>
          <w:sz w:val="24"/>
          <w:szCs w:val="24"/>
        </w:rPr>
        <w:t xml:space="preserve"> have the following powers ..’.  </w:t>
      </w:r>
      <w:r w:rsidR="0036139B">
        <w:rPr>
          <w:rFonts w:ascii="Times New Roman" w:hAnsi="Times New Roman" w:cs="Times New Roman"/>
          <w:sz w:val="24"/>
          <w:szCs w:val="24"/>
        </w:rPr>
        <w:t xml:space="preserve">The power does not derive </w:t>
      </w:r>
      <w:r>
        <w:rPr>
          <w:rFonts w:ascii="Times New Roman" w:hAnsi="Times New Roman" w:cs="Times New Roman"/>
          <w:sz w:val="24"/>
          <w:szCs w:val="24"/>
        </w:rPr>
        <w:t xml:space="preserve">from the </w:t>
      </w:r>
      <w:r w:rsidR="0036139B">
        <w:rPr>
          <w:rFonts w:ascii="Times New Roman" w:hAnsi="Times New Roman" w:cs="Times New Roman"/>
          <w:sz w:val="24"/>
          <w:szCs w:val="24"/>
        </w:rPr>
        <w:t>m</w:t>
      </w:r>
      <w:r>
        <w:rPr>
          <w:rFonts w:ascii="Times New Roman" w:hAnsi="Times New Roman" w:cs="Times New Roman"/>
          <w:sz w:val="24"/>
          <w:szCs w:val="24"/>
        </w:rPr>
        <w:t>ortgage</w:t>
      </w:r>
      <w:r w:rsidR="0036139B">
        <w:rPr>
          <w:rFonts w:ascii="Times New Roman" w:hAnsi="Times New Roman" w:cs="Times New Roman"/>
          <w:sz w:val="24"/>
          <w:szCs w:val="24"/>
        </w:rPr>
        <w:t>,</w:t>
      </w:r>
      <w:r>
        <w:rPr>
          <w:rFonts w:ascii="Times New Roman" w:hAnsi="Times New Roman" w:cs="Times New Roman"/>
          <w:sz w:val="24"/>
          <w:szCs w:val="24"/>
        </w:rPr>
        <w:t xml:space="preserve"> which </w:t>
      </w:r>
      <w:r w:rsidR="0036139B">
        <w:rPr>
          <w:rFonts w:ascii="Times New Roman" w:hAnsi="Times New Roman" w:cs="Times New Roman"/>
          <w:sz w:val="24"/>
          <w:szCs w:val="24"/>
        </w:rPr>
        <w:t xml:space="preserve">merely </w:t>
      </w:r>
      <w:r>
        <w:rPr>
          <w:rFonts w:ascii="Times New Roman" w:hAnsi="Times New Roman" w:cs="Times New Roman"/>
          <w:sz w:val="24"/>
          <w:szCs w:val="24"/>
        </w:rPr>
        <w:t>acknowledges its continued operation.</w:t>
      </w:r>
      <w:r w:rsidR="00093D07">
        <w:rPr>
          <w:rFonts w:ascii="Times New Roman" w:hAnsi="Times New Roman" w:cs="Times New Roman"/>
          <w:sz w:val="24"/>
          <w:szCs w:val="24"/>
        </w:rPr>
        <w:t xml:space="preserve"> </w:t>
      </w:r>
      <w:r w:rsidR="00E56EF8">
        <w:rPr>
          <w:rFonts w:ascii="Times New Roman" w:hAnsi="Times New Roman" w:cs="Times New Roman"/>
          <w:sz w:val="24"/>
          <w:szCs w:val="24"/>
        </w:rPr>
        <w:t xml:space="preserve">It follows that – absent exceptional circumstances where there is evidence of an intention to effect an appointment on one of two alternative bases - </w:t>
      </w:r>
      <w:r w:rsidR="00093D07">
        <w:rPr>
          <w:rFonts w:ascii="Times New Roman" w:hAnsi="Times New Roman" w:cs="Times New Roman"/>
          <w:sz w:val="24"/>
          <w:szCs w:val="24"/>
        </w:rPr>
        <w:t xml:space="preserve"> </w:t>
      </w:r>
      <w:r w:rsidR="00A82B41">
        <w:rPr>
          <w:rFonts w:ascii="Times New Roman" w:hAnsi="Times New Roman" w:cs="Times New Roman"/>
          <w:sz w:val="24"/>
          <w:szCs w:val="24"/>
        </w:rPr>
        <w:t xml:space="preserve">the recording of </w:t>
      </w:r>
      <w:r w:rsidR="00093D07">
        <w:rPr>
          <w:rFonts w:ascii="Times New Roman" w:hAnsi="Times New Roman" w:cs="Times New Roman"/>
          <w:sz w:val="24"/>
          <w:szCs w:val="24"/>
        </w:rPr>
        <w:t xml:space="preserve">an appointment </w:t>
      </w:r>
      <w:r w:rsidR="00A82B41">
        <w:rPr>
          <w:rFonts w:ascii="Times New Roman" w:hAnsi="Times New Roman" w:cs="Times New Roman"/>
          <w:sz w:val="24"/>
          <w:szCs w:val="24"/>
        </w:rPr>
        <w:t>as having been</w:t>
      </w:r>
      <w:r w:rsidR="00093D07">
        <w:rPr>
          <w:rFonts w:ascii="Times New Roman" w:hAnsi="Times New Roman" w:cs="Times New Roman"/>
          <w:sz w:val="24"/>
          <w:szCs w:val="24"/>
        </w:rPr>
        <w:t xml:space="preserve"> made in pursuance of a power conferred by the mortgage </w:t>
      </w:r>
      <w:r w:rsidR="00DA238D">
        <w:rPr>
          <w:rFonts w:ascii="Times New Roman" w:hAnsi="Times New Roman" w:cs="Times New Roman"/>
          <w:sz w:val="24"/>
          <w:szCs w:val="24"/>
        </w:rPr>
        <w:t xml:space="preserve">pursuant </w:t>
      </w:r>
      <w:r w:rsidR="00093D07">
        <w:rPr>
          <w:rFonts w:ascii="Times New Roman" w:hAnsi="Times New Roman" w:cs="Times New Roman"/>
          <w:sz w:val="24"/>
          <w:szCs w:val="24"/>
        </w:rPr>
        <w:t>to the 1881 Act</w:t>
      </w:r>
      <w:r w:rsidR="00DA238D">
        <w:rPr>
          <w:rFonts w:ascii="Times New Roman" w:hAnsi="Times New Roman" w:cs="Times New Roman"/>
          <w:sz w:val="24"/>
          <w:szCs w:val="24"/>
        </w:rPr>
        <w:t xml:space="preserve"> does not establish that it was made where there is another alternative basis in the mortgage for such an appointment</w:t>
      </w:r>
      <w:r w:rsidR="00093D07">
        <w:rPr>
          <w:rFonts w:ascii="Times New Roman" w:hAnsi="Times New Roman" w:cs="Times New Roman"/>
          <w:sz w:val="24"/>
          <w:szCs w:val="24"/>
        </w:rPr>
        <w:t>.</w:t>
      </w:r>
      <w:r w:rsidR="00E56EF8">
        <w:rPr>
          <w:rFonts w:ascii="Times New Roman" w:hAnsi="Times New Roman" w:cs="Times New Roman"/>
          <w:sz w:val="24"/>
          <w:szCs w:val="24"/>
        </w:rPr>
        <w:t xml:space="preserve">  It may well have been open to the plaintiff to identify some basis in the admissible factual matrix from which it could be concluded that the Bank intended, in the event that its appointment under the mortgage failed, to effect an alternative appointment under the 1881 Act</w:t>
      </w:r>
      <w:r w:rsidR="00DA163D">
        <w:rPr>
          <w:rFonts w:ascii="Times New Roman" w:hAnsi="Times New Roman" w:cs="Times New Roman"/>
          <w:sz w:val="24"/>
          <w:szCs w:val="24"/>
        </w:rPr>
        <w:t xml:space="preserve"> or otherwise actually invoked that provision</w:t>
      </w:r>
      <w:r w:rsidR="00E56EF8">
        <w:rPr>
          <w:rFonts w:ascii="Times New Roman" w:hAnsi="Times New Roman" w:cs="Times New Roman"/>
          <w:sz w:val="24"/>
          <w:szCs w:val="24"/>
        </w:rPr>
        <w:t>.  No such basis having been identified, this argument must fail.</w:t>
      </w:r>
      <w:r w:rsidR="00666380">
        <w:rPr>
          <w:rFonts w:ascii="Times New Roman" w:hAnsi="Times New Roman" w:cs="Times New Roman"/>
          <w:sz w:val="24"/>
          <w:szCs w:val="24"/>
        </w:rPr>
        <w:t xml:space="preserve">  That being so it is not necessary to address the separate issue raised by the plaintiff as to whether McDonald J. was correct in concluding that a receiver appointed under the 1881 Act does not enjoy a power to take possession of the property. Having regard to the fact that those comments were made in the course of a judgment on an interlocutory application, the issu</w:t>
      </w:r>
      <w:r w:rsidR="008D4542">
        <w:rPr>
          <w:rFonts w:ascii="Times New Roman" w:hAnsi="Times New Roman" w:cs="Times New Roman"/>
          <w:sz w:val="24"/>
          <w:szCs w:val="24"/>
        </w:rPr>
        <w:t>e</w:t>
      </w:r>
      <w:r w:rsidR="00666380" w:rsidRPr="008D4542">
        <w:rPr>
          <w:rFonts w:ascii="Times New Roman" w:hAnsi="Times New Roman" w:cs="Times New Roman"/>
          <w:sz w:val="24"/>
          <w:szCs w:val="24"/>
        </w:rPr>
        <w:t xml:space="preserve"> should be viewed as being an open one.</w:t>
      </w:r>
    </w:p>
    <w:p w14:paraId="22507FE5" w14:textId="77777777" w:rsidR="00453A03" w:rsidRDefault="00453A03" w:rsidP="00453A03">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054725F3" w14:textId="4EC33AEB" w:rsidR="00453A03" w:rsidRDefault="00453A03"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second point is not dissimilar and falls to be disposed of on the same basis.  It arises from clause 13 of the mortgage, which provides as follows:</w:t>
      </w:r>
    </w:p>
    <w:p w14:paraId="15877FC5" w14:textId="77777777" w:rsidR="00453A03" w:rsidRPr="00453A03" w:rsidRDefault="00453A03" w:rsidP="00453A03">
      <w:pPr>
        <w:pStyle w:val="ListParagraph"/>
        <w:rPr>
          <w:rFonts w:ascii="Times New Roman" w:hAnsi="Times New Roman" w:cs="Times New Roman"/>
          <w:sz w:val="24"/>
          <w:szCs w:val="24"/>
        </w:rPr>
      </w:pPr>
    </w:p>
    <w:p w14:paraId="0A3D6DA7" w14:textId="77777777" w:rsidR="00453A03" w:rsidRDefault="00453A03" w:rsidP="00453A0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The Bank and any Receiver may delegate by power of attorney or in any other manner to any person or persons all or any of the powers, authorities and discretions which are exercisable by them under this Mortgage.  Any such delegation may be made upon such terms (including power to sub-delegate) and subject to such regulations as the Bank or such Receiver may think fit. Neither the Bank nor any Receiver will be liable or responsible to the </w:t>
      </w:r>
      <w:proofErr w:type="spellStart"/>
      <w:r>
        <w:rPr>
          <w:rFonts w:ascii="Times New Roman" w:hAnsi="Times New Roman" w:cs="Times New Roman"/>
          <w:i/>
          <w:sz w:val="24"/>
          <w:szCs w:val="24"/>
        </w:rPr>
        <w:t>Chsrgor</w:t>
      </w:r>
      <w:proofErr w:type="spellEnd"/>
      <w:r>
        <w:rPr>
          <w:rFonts w:ascii="Times New Roman" w:hAnsi="Times New Roman" w:cs="Times New Roman"/>
          <w:i/>
          <w:sz w:val="24"/>
          <w:szCs w:val="24"/>
        </w:rPr>
        <w:t xml:space="preserve"> for any loss or damage arising from any act, default, omission or misconduct on the part of any delegate or sub-delegate.’</w:t>
      </w:r>
      <w:r>
        <w:rPr>
          <w:rFonts w:ascii="Times New Roman" w:hAnsi="Times New Roman" w:cs="Times New Roman"/>
          <w:sz w:val="24"/>
          <w:szCs w:val="24"/>
        </w:rPr>
        <w:t xml:space="preserve">  </w:t>
      </w:r>
    </w:p>
    <w:p w14:paraId="71A46546" w14:textId="77777777" w:rsidR="00453A03" w:rsidRPr="00453A03" w:rsidRDefault="00453A03" w:rsidP="00453A03">
      <w:pPr>
        <w:pStyle w:val="ListParagraph"/>
        <w:rPr>
          <w:rFonts w:ascii="Times New Roman" w:hAnsi="Times New Roman" w:cs="Times New Roman"/>
          <w:sz w:val="24"/>
          <w:szCs w:val="24"/>
        </w:rPr>
      </w:pPr>
    </w:p>
    <w:p w14:paraId="4ACE24D1" w14:textId="32B81E0B" w:rsidR="00E763A3" w:rsidRDefault="00DF6ACB" w:rsidP="00E763A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Pointing to this provision, the plaintiff says that </w:t>
      </w:r>
      <w:r w:rsidR="00A03634">
        <w:rPr>
          <w:rFonts w:ascii="Times New Roman" w:hAnsi="Times New Roman" w:cs="Times New Roman"/>
          <w:sz w:val="24"/>
          <w:szCs w:val="24"/>
        </w:rPr>
        <w:t>one of the powers exercisable by the Bank under the mortgage is the power to take possession of the secured assets.  The deed of appointment expressly empowers the plaintiff to enter upon and take possession of all the undertaking, property and assets of the borrower.  Therefore, it is argued, even if the deed of appointment were not effective for the purposes of appointing the plaintiff as receiver and manager under clause 9 of the mortgage, it ought to be regarded as a valid delegation by the bank to him pursuant to clause 13 of the bank’s power to enter into and take possession of the secured assets.</w:t>
      </w:r>
      <w:r w:rsidR="000D52D6">
        <w:rPr>
          <w:rFonts w:ascii="Times New Roman" w:hAnsi="Times New Roman" w:cs="Times New Roman"/>
          <w:sz w:val="24"/>
          <w:szCs w:val="24"/>
        </w:rPr>
        <w:t xml:space="preserve">  However, as with the power of appointment of a statutory receiver, if the plaintiff wishes to contend that the bank has exercised this power, it must adduce some </w:t>
      </w:r>
      <w:r w:rsidR="003176B7">
        <w:rPr>
          <w:rFonts w:ascii="Times New Roman" w:hAnsi="Times New Roman" w:cs="Times New Roman"/>
          <w:sz w:val="24"/>
          <w:szCs w:val="24"/>
        </w:rPr>
        <w:t xml:space="preserve">basis on which the </w:t>
      </w:r>
      <w:r w:rsidR="00695016">
        <w:rPr>
          <w:rFonts w:ascii="Times New Roman" w:hAnsi="Times New Roman" w:cs="Times New Roman"/>
          <w:sz w:val="24"/>
          <w:szCs w:val="24"/>
        </w:rPr>
        <w:t>C</w:t>
      </w:r>
      <w:r w:rsidR="003176B7">
        <w:rPr>
          <w:rFonts w:ascii="Times New Roman" w:hAnsi="Times New Roman" w:cs="Times New Roman"/>
          <w:sz w:val="24"/>
          <w:szCs w:val="24"/>
        </w:rPr>
        <w:t xml:space="preserve">ourt could conclude that it </w:t>
      </w:r>
      <w:r w:rsidR="0019358B">
        <w:rPr>
          <w:rFonts w:ascii="Times New Roman" w:hAnsi="Times New Roman" w:cs="Times New Roman"/>
          <w:sz w:val="24"/>
          <w:szCs w:val="24"/>
        </w:rPr>
        <w:t xml:space="preserve">actually </w:t>
      </w:r>
      <w:r w:rsidR="003176B7">
        <w:rPr>
          <w:rFonts w:ascii="Times New Roman" w:hAnsi="Times New Roman" w:cs="Times New Roman"/>
          <w:sz w:val="24"/>
          <w:szCs w:val="24"/>
        </w:rPr>
        <w:t>invoke</w:t>
      </w:r>
      <w:r w:rsidR="0019358B">
        <w:rPr>
          <w:rFonts w:ascii="Times New Roman" w:hAnsi="Times New Roman" w:cs="Times New Roman"/>
          <w:sz w:val="24"/>
          <w:szCs w:val="24"/>
        </w:rPr>
        <w:t>d</w:t>
      </w:r>
      <w:r w:rsidR="003176B7">
        <w:rPr>
          <w:rFonts w:ascii="Times New Roman" w:hAnsi="Times New Roman" w:cs="Times New Roman"/>
          <w:sz w:val="24"/>
          <w:szCs w:val="24"/>
        </w:rPr>
        <w:t xml:space="preserve"> </w:t>
      </w:r>
      <w:r w:rsidR="0032241E">
        <w:rPr>
          <w:rFonts w:ascii="Times New Roman" w:hAnsi="Times New Roman" w:cs="Times New Roman"/>
          <w:sz w:val="24"/>
          <w:szCs w:val="24"/>
        </w:rPr>
        <w:t>it.</w:t>
      </w:r>
      <w:r w:rsidR="003176B7">
        <w:rPr>
          <w:rFonts w:ascii="Times New Roman" w:hAnsi="Times New Roman" w:cs="Times New Roman"/>
          <w:sz w:val="24"/>
          <w:szCs w:val="24"/>
        </w:rPr>
        <w:t xml:space="preserve">  </w:t>
      </w:r>
      <w:r w:rsidR="000D52D6">
        <w:rPr>
          <w:rFonts w:ascii="Times New Roman" w:hAnsi="Times New Roman" w:cs="Times New Roman"/>
          <w:sz w:val="24"/>
          <w:szCs w:val="24"/>
        </w:rPr>
        <w:t>This it has not done.</w:t>
      </w:r>
      <w:r w:rsidR="0032241E">
        <w:rPr>
          <w:rFonts w:ascii="Times New Roman" w:hAnsi="Times New Roman" w:cs="Times New Roman"/>
          <w:sz w:val="24"/>
          <w:szCs w:val="24"/>
        </w:rPr>
        <w:t xml:space="preserve">  The deed of appointment shows that the Bank invoked clause 9 of the mortgage, and no more.</w:t>
      </w:r>
    </w:p>
    <w:p w14:paraId="61673F77" w14:textId="77777777" w:rsidR="00AF7777" w:rsidRDefault="00E763A3" w:rsidP="00AF7777">
      <w:pPr>
        <w:ind w:left="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t>III THE LEASES</w:t>
      </w:r>
    </w:p>
    <w:p w14:paraId="50FA9464" w14:textId="77777777" w:rsidR="00AF7777" w:rsidRPr="005214F0" w:rsidRDefault="00AF7777" w:rsidP="00AF7777">
      <w:pPr>
        <w:spacing w:before="0" w:after="0"/>
        <w:ind w:left="0" w:firstLine="0"/>
        <w:jc w:val="center"/>
        <w:rPr>
          <w:rFonts w:ascii="Times New Roman" w:hAnsi="Times New Roman" w:cs="Times New Roman"/>
          <w:b/>
          <w:sz w:val="24"/>
          <w:szCs w:val="24"/>
          <w:u w:val="single"/>
        </w:rPr>
      </w:pPr>
    </w:p>
    <w:p w14:paraId="381BAA34" w14:textId="77777777" w:rsidR="0069310C" w:rsidRPr="0069310C" w:rsidRDefault="0069310C" w:rsidP="0069310C">
      <w:pPr>
        <w:pStyle w:val="ListParagraph"/>
        <w:spacing w:line="480" w:lineRule="auto"/>
        <w:ind w:left="717"/>
        <w:jc w:val="both"/>
        <w:rPr>
          <w:rFonts w:ascii="Times New Roman" w:hAnsi="Times New Roman" w:cs="Times New Roman"/>
          <w:b/>
          <w:i/>
          <w:sz w:val="24"/>
          <w:szCs w:val="24"/>
        </w:rPr>
      </w:pPr>
      <w:r>
        <w:rPr>
          <w:rFonts w:ascii="Times New Roman" w:hAnsi="Times New Roman" w:cs="Times New Roman"/>
          <w:b/>
          <w:i/>
          <w:sz w:val="24"/>
          <w:szCs w:val="24"/>
        </w:rPr>
        <w:t xml:space="preserve">The </w:t>
      </w:r>
      <w:r w:rsidR="00270D07">
        <w:rPr>
          <w:rFonts w:ascii="Times New Roman" w:hAnsi="Times New Roman" w:cs="Times New Roman"/>
          <w:b/>
          <w:i/>
          <w:sz w:val="24"/>
          <w:szCs w:val="24"/>
        </w:rPr>
        <w:t xml:space="preserve">purported </w:t>
      </w:r>
      <w:r>
        <w:rPr>
          <w:rFonts w:ascii="Times New Roman" w:hAnsi="Times New Roman" w:cs="Times New Roman"/>
          <w:b/>
          <w:i/>
          <w:sz w:val="24"/>
          <w:szCs w:val="24"/>
        </w:rPr>
        <w:t>tenancies</w:t>
      </w:r>
    </w:p>
    <w:p w14:paraId="185D599F" w14:textId="77777777" w:rsidR="00300210" w:rsidRDefault="00300210" w:rsidP="00300210">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043DC3D" w14:textId="34B685D1" w:rsidR="0069310C" w:rsidRDefault="00F35BBC" w:rsidP="000A468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course of the trial the defendant </w:t>
      </w:r>
      <w:r w:rsidR="00C175A1">
        <w:rPr>
          <w:rFonts w:ascii="Times New Roman" w:hAnsi="Times New Roman" w:cs="Times New Roman"/>
          <w:sz w:val="24"/>
          <w:szCs w:val="24"/>
        </w:rPr>
        <w:t>relied upon</w:t>
      </w:r>
      <w:r>
        <w:rPr>
          <w:rFonts w:ascii="Times New Roman" w:hAnsi="Times New Roman" w:cs="Times New Roman"/>
          <w:sz w:val="24"/>
          <w:szCs w:val="24"/>
        </w:rPr>
        <w:t xml:space="preserve"> a number of tenancy agreements which, he claimed, operated to preclude the plaintiff from assuming possession of the properties.</w:t>
      </w:r>
      <w:r w:rsidR="00F13E68">
        <w:rPr>
          <w:rFonts w:ascii="Times New Roman" w:hAnsi="Times New Roman" w:cs="Times New Roman"/>
          <w:sz w:val="24"/>
          <w:szCs w:val="24"/>
        </w:rPr>
        <w:t xml:space="preserve">  The plaintiff’s response was that clause 7.19 of the </w:t>
      </w:r>
      <w:proofErr w:type="spellStart"/>
      <w:r w:rsidR="00F13E68">
        <w:rPr>
          <w:rFonts w:ascii="Times New Roman" w:hAnsi="Times New Roman" w:cs="Times New Roman"/>
          <w:sz w:val="24"/>
          <w:szCs w:val="24"/>
        </w:rPr>
        <w:t>mortage</w:t>
      </w:r>
      <w:proofErr w:type="spellEnd"/>
      <w:r w:rsidR="00F13E68">
        <w:rPr>
          <w:rFonts w:ascii="Times New Roman" w:hAnsi="Times New Roman" w:cs="Times New Roman"/>
          <w:sz w:val="24"/>
          <w:szCs w:val="24"/>
        </w:rPr>
        <w:t xml:space="preserve"> agreement rendered these agreements ineffective as against the Bank and the plaintiff. That provision </w:t>
      </w:r>
      <w:r w:rsidR="000A468D">
        <w:rPr>
          <w:rFonts w:ascii="Times New Roman" w:hAnsi="Times New Roman" w:cs="Times New Roman"/>
          <w:sz w:val="24"/>
          <w:szCs w:val="24"/>
        </w:rPr>
        <w:t>stated that the defendant should not:</w:t>
      </w:r>
    </w:p>
    <w:p w14:paraId="5664E1D5" w14:textId="77777777" w:rsidR="000A468D" w:rsidRDefault="000A468D" w:rsidP="000A468D">
      <w:pPr>
        <w:pStyle w:val="ListParagraph"/>
        <w:spacing w:line="480" w:lineRule="auto"/>
        <w:ind w:left="717"/>
        <w:jc w:val="both"/>
        <w:rPr>
          <w:rFonts w:ascii="Times New Roman" w:hAnsi="Times New Roman" w:cs="Times New Roman"/>
          <w:sz w:val="24"/>
          <w:szCs w:val="24"/>
        </w:rPr>
      </w:pPr>
    </w:p>
    <w:p w14:paraId="773881C4" w14:textId="77777777" w:rsidR="000A468D" w:rsidRPr="000A468D" w:rsidRDefault="000A468D" w:rsidP="000A468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without first obtaining the written consent of the Bank give or agree to give any licence or tenancy affecting any part of the Secured Assets nor exercise the powers of leasing or agreeing to lease or of accepting or agreeing to accept surrenders conferred upon a mortgagor by statute or otherwise or enter into or permit any parting with possession or sharing agreement whatsoever in respect of the Secured Assets’</w:t>
      </w:r>
      <w:r>
        <w:rPr>
          <w:rFonts w:ascii="Times New Roman" w:hAnsi="Times New Roman" w:cs="Times New Roman"/>
          <w:sz w:val="24"/>
          <w:szCs w:val="24"/>
        </w:rPr>
        <w:t>.</w:t>
      </w:r>
    </w:p>
    <w:p w14:paraId="4DD730CB" w14:textId="77777777" w:rsidR="0069310C" w:rsidRDefault="0069310C" w:rsidP="0069310C">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377A77F" w14:textId="77777777" w:rsidR="000A468D" w:rsidRDefault="000A468D"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provision operates in a context in which the 1881 Act provide</w:t>
      </w:r>
      <w:r w:rsidR="00666380">
        <w:rPr>
          <w:rFonts w:ascii="Times New Roman" w:hAnsi="Times New Roman" w:cs="Times New Roman"/>
          <w:sz w:val="24"/>
          <w:szCs w:val="24"/>
        </w:rPr>
        <w:t>d</w:t>
      </w:r>
      <w:r>
        <w:rPr>
          <w:rFonts w:ascii="Times New Roman" w:hAnsi="Times New Roman" w:cs="Times New Roman"/>
          <w:sz w:val="24"/>
          <w:szCs w:val="24"/>
        </w:rPr>
        <w:t xml:space="preserve"> (s.</w:t>
      </w:r>
      <w:r w:rsidR="00C50076">
        <w:rPr>
          <w:rFonts w:ascii="Times New Roman" w:hAnsi="Times New Roman" w:cs="Times New Roman"/>
          <w:sz w:val="24"/>
          <w:szCs w:val="24"/>
        </w:rPr>
        <w:t xml:space="preserve"> </w:t>
      </w:r>
      <w:r>
        <w:rPr>
          <w:rFonts w:ascii="Times New Roman" w:hAnsi="Times New Roman" w:cs="Times New Roman"/>
          <w:sz w:val="24"/>
          <w:szCs w:val="24"/>
        </w:rPr>
        <w:t xml:space="preserve">18(1)) that a mortgagor of land while in possession shall, as against every </w:t>
      </w:r>
      <w:r w:rsidR="002918C2">
        <w:rPr>
          <w:rFonts w:ascii="Times New Roman" w:hAnsi="Times New Roman" w:cs="Times New Roman"/>
          <w:sz w:val="24"/>
          <w:szCs w:val="24"/>
        </w:rPr>
        <w:t>incumbrancer</w:t>
      </w:r>
      <w:r>
        <w:rPr>
          <w:rFonts w:ascii="Times New Roman" w:hAnsi="Times New Roman" w:cs="Times New Roman"/>
          <w:sz w:val="24"/>
          <w:szCs w:val="24"/>
        </w:rPr>
        <w:t>, have by virtue of the Act</w:t>
      </w:r>
      <w:r w:rsidR="0097163D">
        <w:rPr>
          <w:rFonts w:ascii="Times New Roman" w:hAnsi="Times New Roman" w:cs="Times New Roman"/>
          <w:sz w:val="24"/>
          <w:szCs w:val="24"/>
        </w:rPr>
        <w:t xml:space="preserve"> </w:t>
      </w:r>
      <w:r>
        <w:rPr>
          <w:rFonts w:ascii="Times New Roman" w:hAnsi="Times New Roman" w:cs="Times New Roman"/>
          <w:sz w:val="24"/>
          <w:szCs w:val="24"/>
        </w:rPr>
        <w:t>power to make from time to time any lease of the mortgaged land</w:t>
      </w:r>
      <w:r w:rsidR="0032241E">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41E">
        <w:rPr>
          <w:rFonts w:ascii="Times New Roman" w:hAnsi="Times New Roman" w:cs="Times New Roman"/>
          <w:sz w:val="24"/>
          <w:szCs w:val="24"/>
        </w:rPr>
        <w:t xml:space="preserve">At the </w:t>
      </w:r>
      <w:r>
        <w:rPr>
          <w:rFonts w:ascii="Times New Roman" w:hAnsi="Times New Roman" w:cs="Times New Roman"/>
          <w:sz w:val="24"/>
          <w:szCs w:val="24"/>
        </w:rPr>
        <w:t xml:space="preserve">same time </w:t>
      </w:r>
      <w:r w:rsidR="0032241E">
        <w:rPr>
          <w:rFonts w:ascii="Times New Roman" w:hAnsi="Times New Roman" w:cs="Times New Roman"/>
          <w:sz w:val="24"/>
          <w:szCs w:val="24"/>
        </w:rPr>
        <w:t xml:space="preserve">it </w:t>
      </w:r>
      <w:r>
        <w:rPr>
          <w:rFonts w:ascii="Times New Roman" w:hAnsi="Times New Roman" w:cs="Times New Roman"/>
          <w:sz w:val="24"/>
          <w:szCs w:val="24"/>
        </w:rPr>
        <w:t>confer</w:t>
      </w:r>
      <w:r w:rsidR="00666380">
        <w:rPr>
          <w:rFonts w:ascii="Times New Roman" w:hAnsi="Times New Roman" w:cs="Times New Roman"/>
          <w:sz w:val="24"/>
          <w:szCs w:val="24"/>
        </w:rPr>
        <w:t xml:space="preserve">red </w:t>
      </w:r>
      <w:r>
        <w:rPr>
          <w:rFonts w:ascii="Times New Roman" w:hAnsi="Times New Roman" w:cs="Times New Roman"/>
          <w:sz w:val="24"/>
          <w:szCs w:val="24"/>
        </w:rPr>
        <w:t>this power (s.</w:t>
      </w:r>
      <w:r w:rsidR="003A422D">
        <w:rPr>
          <w:rFonts w:ascii="Times New Roman" w:hAnsi="Times New Roman" w:cs="Times New Roman"/>
          <w:sz w:val="24"/>
          <w:szCs w:val="24"/>
        </w:rPr>
        <w:t xml:space="preserve"> </w:t>
      </w:r>
      <w:r>
        <w:rPr>
          <w:rFonts w:ascii="Times New Roman" w:hAnsi="Times New Roman" w:cs="Times New Roman"/>
          <w:sz w:val="24"/>
          <w:szCs w:val="24"/>
        </w:rPr>
        <w:t>18</w:t>
      </w:r>
      <w:r w:rsidR="0097163D">
        <w:rPr>
          <w:rFonts w:ascii="Times New Roman" w:hAnsi="Times New Roman" w:cs="Times New Roman"/>
          <w:sz w:val="24"/>
          <w:szCs w:val="24"/>
        </w:rPr>
        <w:t xml:space="preserve"> </w:t>
      </w:r>
      <w:r>
        <w:rPr>
          <w:rFonts w:ascii="Times New Roman" w:hAnsi="Times New Roman" w:cs="Times New Roman"/>
          <w:sz w:val="24"/>
          <w:szCs w:val="24"/>
        </w:rPr>
        <w:t>(13)) only if and so far as a contrary intention is not express</w:t>
      </w:r>
      <w:r w:rsidR="00666380">
        <w:rPr>
          <w:rFonts w:ascii="Times New Roman" w:hAnsi="Times New Roman" w:cs="Times New Roman"/>
          <w:sz w:val="24"/>
          <w:szCs w:val="24"/>
        </w:rPr>
        <w:t>ed</w:t>
      </w:r>
      <w:r>
        <w:rPr>
          <w:rFonts w:ascii="Times New Roman" w:hAnsi="Times New Roman" w:cs="Times New Roman"/>
          <w:sz w:val="24"/>
          <w:szCs w:val="24"/>
        </w:rPr>
        <w:t xml:space="preserve"> by the mortgagor and mortgagee in the mortgage deed or otherwise in writing</w:t>
      </w:r>
      <w:r w:rsidR="00666380">
        <w:rPr>
          <w:rFonts w:ascii="Times New Roman" w:hAnsi="Times New Roman" w:cs="Times New Roman"/>
          <w:sz w:val="24"/>
          <w:szCs w:val="24"/>
        </w:rPr>
        <w:t>,</w:t>
      </w:r>
      <w:r>
        <w:rPr>
          <w:rFonts w:ascii="Times New Roman" w:hAnsi="Times New Roman" w:cs="Times New Roman"/>
          <w:sz w:val="24"/>
          <w:szCs w:val="24"/>
        </w:rPr>
        <w:t xml:space="preserve"> and sh</w:t>
      </w:r>
      <w:r w:rsidR="00666380">
        <w:rPr>
          <w:rFonts w:ascii="Times New Roman" w:hAnsi="Times New Roman" w:cs="Times New Roman"/>
          <w:sz w:val="24"/>
          <w:szCs w:val="24"/>
        </w:rPr>
        <w:t>ould</w:t>
      </w:r>
      <w:r>
        <w:rPr>
          <w:rFonts w:ascii="Times New Roman" w:hAnsi="Times New Roman" w:cs="Times New Roman"/>
          <w:sz w:val="24"/>
          <w:szCs w:val="24"/>
        </w:rPr>
        <w:t xml:space="preserve"> have effect subject to the terms of the mortgage deed or of any such writing.</w:t>
      </w:r>
    </w:p>
    <w:p w14:paraId="3061A57B" w14:textId="77777777" w:rsidR="00253696" w:rsidRDefault="00253696" w:rsidP="00253696">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2D161A34" w14:textId="59387DAA" w:rsidR="006B17C6" w:rsidRDefault="00253696" w:rsidP="002018D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noted earlier that the premises at </w:t>
      </w:r>
      <w:proofErr w:type="spellStart"/>
      <w:r w:rsidR="008D72D4">
        <w:rPr>
          <w:rFonts w:ascii="Times New Roman" w:hAnsi="Times New Roman" w:cs="Times New Roman"/>
          <w:sz w:val="24"/>
          <w:szCs w:val="24"/>
        </w:rPr>
        <w:t>Oulart</w:t>
      </w:r>
      <w:proofErr w:type="spellEnd"/>
      <w:r w:rsidR="008D72D4">
        <w:rPr>
          <w:rFonts w:ascii="Times New Roman" w:hAnsi="Times New Roman" w:cs="Times New Roman"/>
          <w:sz w:val="24"/>
          <w:szCs w:val="24"/>
        </w:rPr>
        <w:t xml:space="preserve"> </w:t>
      </w:r>
      <w:r>
        <w:rPr>
          <w:rFonts w:ascii="Times New Roman" w:hAnsi="Times New Roman" w:cs="Times New Roman"/>
          <w:sz w:val="24"/>
          <w:szCs w:val="24"/>
        </w:rPr>
        <w:t xml:space="preserve">comprised </w:t>
      </w:r>
      <w:r w:rsidR="00AA563A">
        <w:rPr>
          <w:rFonts w:ascii="Times New Roman" w:hAnsi="Times New Roman" w:cs="Times New Roman"/>
          <w:sz w:val="24"/>
          <w:szCs w:val="24"/>
        </w:rPr>
        <w:t>a ground floor retai</w:t>
      </w:r>
      <w:r w:rsidR="001B49A3">
        <w:rPr>
          <w:rFonts w:ascii="Times New Roman" w:hAnsi="Times New Roman" w:cs="Times New Roman"/>
          <w:sz w:val="24"/>
          <w:szCs w:val="24"/>
        </w:rPr>
        <w:t>l</w:t>
      </w:r>
      <w:r w:rsidR="00AA563A">
        <w:rPr>
          <w:rFonts w:ascii="Times New Roman" w:hAnsi="Times New Roman" w:cs="Times New Roman"/>
          <w:sz w:val="24"/>
          <w:szCs w:val="24"/>
        </w:rPr>
        <w:t xml:space="preserve"> outlet</w:t>
      </w:r>
      <w:r>
        <w:rPr>
          <w:rFonts w:ascii="Times New Roman" w:hAnsi="Times New Roman" w:cs="Times New Roman"/>
          <w:sz w:val="24"/>
          <w:szCs w:val="24"/>
        </w:rPr>
        <w:t>,</w:t>
      </w:r>
      <w:r w:rsidR="00AA563A">
        <w:rPr>
          <w:rFonts w:ascii="Times New Roman" w:hAnsi="Times New Roman" w:cs="Times New Roman"/>
          <w:sz w:val="24"/>
          <w:szCs w:val="24"/>
        </w:rPr>
        <w:t xml:space="preserve"> an adjacent takeaway and two first floor apartments.  T</w:t>
      </w:r>
      <w:r>
        <w:rPr>
          <w:rFonts w:ascii="Times New Roman" w:hAnsi="Times New Roman" w:cs="Times New Roman"/>
          <w:sz w:val="24"/>
          <w:szCs w:val="24"/>
        </w:rPr>
        <w:t xml:space="preserve">he mortgage agreement in respect </w:t>
      </w:r>
      <w:r>
        <w:rPr>
          <w:rFonts w:ascii="Times New Roman" w:hAnsi="Times New Roman" w:cs="Times New Roman"/>
          <w:i/>
          <w:sz w:val="24"/>
          <w:szCs w:val="24"/>
        </w:rPr>
        <w:t xml:space="preserve">inter alia </w:t>
      </w:r>
      <w:r>
        <w:rPr>
          <w:rFonts w:ascii="Times New Roman" w:hAnsi="Times New Roman" w:cs="Times New Roman"/>
          <w:sz w:val="24"/>
          <w:szCs w:val="24"/>
        </w:rPr>
        <w:t xml:space="preserve">of that property was entered into in May 2007.  In </w:t>
      </w:r>
      <w:r w:rsidR="00CC1060">
        <w:rPr>
          <w:rFonts w:ascii="Times New Roman" w:hAnsi="Times New Roman" w:cs="Times New Roman"/>
          <w:sz w:val="24"/>
          <w:szCs w:val="24"/>
        </w:rPr>
        <w:t xml:space="preserve">February </w:t>
      </w:r>
      <w:r w:rsidR="006B17C6">
        <w:rPr>
          <w:rFonts w:ascii="Times New Roman" w:hAnsi="Times New Roman" w:cs="Times New Roman"/>
          <w:sz w:val="24"/>
          <w:szCs w:val="24"/>
        </w:rPr>
        <w:t>2008, the defendant purported to lease</w:t>
      </w:r>
      <w:r w:rsidR="00CC1060">
        <w:rPr>
          <w:rFonts w:ascii="Times New Roman" w:hAnsi="Times New Roman" w:cs="Times New Roman"/>
          <w:sz w:val="24"/>
          <w:szCs w:val="24"/>
        </w:rPr>
        <w:t xml:space="preserve"> the supermarket at this location </w:t>
      </w:r>
      <w:r w:rsidR="006B17C6">
        <w:rPr>
          <w:rFonts w:ascii="Times New Roman" w:hAnsi="Times New Roman" w:cs="Times New Roman"/>
          <w:sz w:val="24"/>
          <w:szCs w:val="24"/>
        </w:rPr>
        <w:t xml:space="preserve">to Mr. </w:t>
      </w:r>
      <w:r w:rsidR="00E7148B">
        <w:rPr>
          <w:rFonts w:ascii="Times New Roman" w:hAnsi="Times New Roman" w:cs="Times New Roman"/>
          <w:sz w:val="24"/>
          <w:szCs w:val="24"/>
        </w:rPr>
        <w:t>Laurence</w:t>
      </w:r>
      <w:r w:rsidR="006B17C6">
        <w:rPr>
          <w:rFonts w:ascii="Times New Roman" w:hAnsi="Times New Roman" w:cs="Times New Roman"/>
          <w:sz w:val="24"/>
          <w:szCs w:val="24"/>
        </w:rPr>
        <w:t xml:space="preserve"> Corrigan.  The rent was </w:t>
      </w:r>
      <w:r w:rsidR="00CC1060">
        <w:rPr>
          <w:rFonts w:ascii="Times New Roman" w:hAnsi="Times New Roman" w:cs="Times New Roman"/>
          <w:sz w:val="24"/>
          <w:szCs w:val="24"/>
        </w:rPr>
        <w:t xml:space="preserve">€100,000 </w:t>
      </w:r>
      <w:r w:rsidR="006B17C6">
        <w:rPr>
          <w:rFonts w:ascii="Times New Roman" w:hAnsi="Times New Roman" w:cs="Times New Roman"/>
          <w:sz w:val="24"/>
          <w:szCs w:val="24"/>
        </w:rPr>
        <w:t>and the term four years and nine months.</w:t>
      </w:r>
    </w:p>
    <w:p w14:paraId="43F81169" w14:textId="77777777" w:rsidR="006B17C6" w:rsidRDefault="006B17C6" w:rsidP="006B17C6">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1EC0BECA" w14:textId="6739BB52" w:rsidR="006B17C6" w:rsidRDefault="006B17C6" w:rsidP="006B17C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evidence of Mr. Shane O’Connor, an employee of the Bank, was that the Bank was aware of the fact of this lease over the </w:t>
      </w:r>
      <w:proofErr w:type="spellStart"/>
      <w:r>
        <w:rPr>
          <w:rFonts w:ascii="Times New Roman" w:hAnsi="Times New Roman" w:cs="Times New Roman"/>
          <w:sz w:val="24"/>
          <w:szCs w:val="24"/>
        </w:rPr>
        <w:t>Oulart</w:t>
      </w:r>
      <w:proofErr w:type="spellEnd"/>
      <w:r>
        <w:rPr>
          <w:rFonts w:ascii="Times New Roman" w:hAnsi="Times New Roman" w:cs="Times New Roman"/>
          <w:sz w:val="24"/>
          <w:szCs w:val="24"/>
        </w:rPr>
        <w:t xml:space="preserve"> premises, but had never consented to it.  However, on its face this lease would have expired on 19 November 2012.  The defendant identified no basis for</w:t>
      </w:r>
      <w:r w:rsidR="0032241E">
        <w:rPr>
          <w:rFonts w:ascii="Times New Roman" w:hAnsi="Times New Roman" w:cs="Times New Roman"/>
          <w:sz w:val="24"/>
          <w:szCs w:val="24"/>
        </w:rPr>
        <w:t xml:space="preserve"> concluding </w:t>
      </w:r>
      <w:r>
        <w:rPr>
          <w:rFonts w:ascii="Times New Roman" w:hAnsi="Times New Roman" w:cs="Times New Roman"/>
          <w:sz w:val="24"/>
          <w:szCs w:val="24"/>
        </w:rPr>
        <w:t xml:space="preserve">otherwise.  In the course of her submissions to this </w:t>
      </w:r>
      <w:r w:rsidR="00327206">
        <w:rPr>
          <w:rFonts w:ascii="Times New Roman" w:hAnsi="Times New Roman" w:cs="Times New Roman"/>
          <w:sz w:val="24"/>
          <w:szCs w:val="24"/>
        </w:rPr>
        <w:t>C</w:t>
      </w:r>
      <w:r>
        <w:rPr>
          <w:rFonts w:ascii="Times New Roman" w:hAnsi="Times New Roman" w:cs="Times New Roman"/>
          <w:sz w:val="24"/>
          <w:szCs w:val="24"/>
        </w:rPr>
        <w:t>ourt, counsel for the defendant suggested that the tenant had acquired statutory rights in respect of the premises, but it was never identified how or when this occurred.  That lease, accordingly, does not assist the defendant.</w:t>
      </w:r>
    </w:p>
    <w:p w14:paraId="63641676" w14:textId="77777777" w:rsidR="006B17C6" w:rsidRPr="006B17C6" w:rsidRDefault="006B17C6" w:rsidP="006B17C6">
      <w:pPr>
        <w:pStyle w:val="ListParagraph"/>
        <w:rPr>
          <w:rFonts w:ascii="Times New Roman" w:hAnsi="Times New Roman" w:cs="Times New Roman"/>
          <w:sz w:val="24"/>
          <w:szCs w:val="24"/>
        </w:rPr>
      </w:pPr>
    </w:p>
    <w:p w14:paraId="11BE86DC" w14:textId="77777777" w:rsidR="00CA200E" w:rsidRDefault="006B17C6" w:rsidP="00AA7B1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4B3A">
        <w:rPr>
          <w:rFonts w:ascii="Times New Roman" w:hAnsi="Times New Roman" w:cs="Times New Roman"/>
          <w:sz w:val="24"/>
          <w:szCs w:val="24"/>
        </w:rPr>
        <w:t xml:space="preserve">A </w:t>
      </w:r>
      <w:r>
        <w:rPr>
          <w:rFonts w:ascii="Times New Roman" w:hAnsi="Times New Roman" w:cs="Times New Roman"/>
          <w:sz w:val="24"/>
          <w:szCs w:val="24"/>
        </w:rPr>
        <w:t>second lease was executed on 19</w:t>
      </w:r>
      <w:r w:rsidR="0097163D">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December 2012.  </w:t>
      </w:r>
      <w:r w:rsidR="00BD4B3A">
        <w:rPr>
          <w:rFonts w:ascii="Times New Roman" w:hAnsi="Times New Roman" w:cs="Times New Roman"/>
          <w:sz w:val="24"/>
          <w:szCs w:val="24"/>
        </w:rPr>
        <w:t xml:space="preserve">This was for a term of ten years.  </w:t>
      </w:r>
      <w:r>
        <w:rPr>
          <w:rFonts w:ascii="Times New Roman" w:hAnsi="Times New Roman" w:cs="Times New Roman"/>
          <w:sz w:val="24"/>
          <w:szCs w:val="24"/>
        </w:rPr>
        <w:t>T</w:t>
      </w:r>
      <w:r w:rsidR="00BD4B3A">
        <w:rPr>
          <w:rFonts w:ascii="Times New Roman" w:hAnsi="Times New Roman" w:cs="Times New Roman"/>
          <w:sz w:val="24"/>
          <w:szCs w:val="24"/>
        </w:rPr>
        <w:t>h</w:t>
      </w:r>
      <w:r>
        <w:rPr>
          <w:rFonts w:ascii="Times New Roman" w:hAnsi="Times New Roman" w:cs="Times New Roman"/>
          <w:sz w:val="24"/>
          <w:szCs w:val="24"/>
        </w:rPr>
        <w:t>e rent had reduced to €62,</w:t>
      </w:r>
      <w:r w:rsidR="00CC1060">
        <w:rPr>
          <w:rFonts w:ascii="Times New Roman" w:hAnsi="Times New Roman" w:cs="Times New Roman"/>
          <w:sz w:val="24"/>
          <w:szCs w:val="24"/>
        </w:rPr>
        <w:t>4</w:t>
      </w:r>
      <w:r>
        <w:rPr>
          <w:rFonts w:ascii="Times New Roman" w:hAnsi="Times New Roman" w:cs="Times New Roman"/>
          <w:sz w:val="24"/>
          <w:szCs w:val="24"/>
        </w:rPr>
        <w:t>00</w:t>
      </w:r>
      <w:r w:rsidR="0097187C">
        <w:rPr>
          <w:rFonts w:ascii="Times New Roman" w:hAnsi="Times New Roman" w:cs="Times New Roman"/>
          <w:sz w:val="24"/>
          <w:szCs w:val="24"/>
        </w:rPr>
        <w:t xml:space="preserve"> </w:t>
      </w:r>
      <w:r w:rsidRPr="0097187C">
        <w:rPr>
          <w:rFonts w:ascii="Times New Roman" w:hAnsi="Times New Roman" w:cs="Times New Roman"/>
          <w:sz w:val="24"/>
          <w:szCs w:val="24"/>
        </w:rPr>
        <w:t>it being reduced further by a deed of variation of 1</w:t>
      </w:r>
      <w:r w:rsidR="0097163D">
        <w:rPr>
          <w:rFonts w:ascii="Times New Roman" w:hAnsi="Times New Roman" w:cs="Times New Roman"/>
          <w:sz w:val="24"/>
          <w:szCs w:val="24"/>
          <w:vertAlign w:val="superscript"/>
        </w:rPr>
        <w:t xml:space="preserve"> </w:t>
      </w:r>
      <w:r w:rsidRPr="0097187C">
        <w:rPr>
          <w:rFonts w:ascii="Times New Roman" w:hAnsi="Times New Roman" w:cs="Times New Roman"/>
          <w:sz w:val="24"/>
          <w:szCs w:val="24"/>
        </w:rPr>
        <w:t>November 2013 to €615 per week</w:t>
      </w:r>
      <w:r w:rsidR="00CC1060">
        <w:rPr>
          <w:rFonts w:ascii="Times New Roman" w:hAnsi="Times New Roman" w:cs="Times New Roman"/>
          <w:sz w:val="24"/>
          <w:szCs w:val="24"/>
        </w:rPr>
        <w:t xml:space="preserve"> (that is an annual rent just short of €30,000</w:t>
      </w:r>
      <w:r w:rsidR="001B49A3">
        <w:rPr>
          <w:rFonts w:ascii="Times New Roman" w:hAnsi="Times New Roman" w:cs="Times New Roman"/>
          <w:sz w:val="24"/>
          <w:szCs w:val="24"/>
        </w:rPr>
        <w:t>)</w:t>
      </w:r>
      <w:r w:rsidRPr="0097187C">
        <w:rPr>
          <w:rFonts w:ascii="Times New Roman" w:hAnsi="Times New Roman" w:cs="Times New Roman"/>
          <w:sz w:val="24"/>
          <w:szCs w:val="24"/>
        </w:rPr>
        <w:t xml:space="preserve">. At the same time a lease was purportedly entered into on December 2 2013 in respect of the takeaway at the </w:t>
      </w:r>
      <w:proofErr w:type="spellStart"/>
      <w:r w:rsidRPr="0097187C">
        <w:rPr>
          <w:rFonts w:ascii="Times New Roman" w:hAnsi="Times New Roman" w:cs="Times New Roman"/>
          <w:sz w:val="24"/>
          <w:szCs w:val="24"/>
        </w:rPr>
        <w:t>O</w:t>
      </w:r>
      <w:r w:rsidR="0097187C">
        <w:rPr>
          <w:rFonts w:ascii="Times New Roman" w:hAnsi="Times New Roman" w:cs="Times New Roman"/>
          <w:sz w:val="24"/>
          <w:szCs w:val="24"/>
        </w:rPr>
        <w:t>u</w:t>
      </w:r>
      <w:r w:rsidRPr="0097187C">
        <w:rPr>
          <w:rFonts w:ascii="Times New Roman" w:hAnsi="Times New Roman" w:cs="Times New Roman"/>
          <w:sz w:val="24"/>
          <w:szCs w:val="24"/>
        </w:rPr>
        <w:t>lart</w:t>
      </w:r>
      <w:proofErr w:type="spellEnd"/>
      <w:r w:rsidRPr="0097187C">
        <w:rPr>
          <w:rFonts w:ascii="Times New Roman" w:hAnsi="Times New Roman" w:cs="Times New Roman"/>
          <w:sz w:val="24"/>
          <w:szCs w:val="24"/>
        </w:rPr>
        <w:t xml:space="preserve"> property, which had a  rental of €125 per week</w:t>
      </w:r>
      <w:r w:rsidR="00CC1060">
        <w:rPr>
          <w:rFonts w:ascii="Times New Roman" w:hAnsi="Times New Roman" w:cs="Times New Roman"/>
          <w:sz w:val="24"/>
          <w:szCs w:val="24"/>
        </w:rPr>
        <w:t xml:space="preserve"> and a term of ten years</w:t>
      </w:r>
      <w:r w:rsidRPr="0097187C">
        <w:rPr>
          <w:rFonts w:ascii="Times New Roman" w:hAnsi="Times New Roman" w:cs="Times New Roman"/>
          <w:sz w:val="24"/>
          <w:szCs w:val="24"/>
        </w:rPr>
        <w:t xml:space="preserve">.  In each case the tenant was Laurence Corrigan, the defendant’s brother.  </w:t>
      </w:r>
    </w:p>
    <w:p w14:paraId="55485F2B" w14:textId="77777777" w:rsidR="00CA200E" w:rsidRPr="00CA200E" w:rsidRDefault="00CA200E" w:rsidP="00CA200E">
      <w:pPr>
        <w:pStyle w:val="ListParagraph"/>
        <w:rPr>
          <w:rFonts w:ascii="Times New Roman" w:hAnsi="Times New Roman" w:cs="Times New Roman"/>
          <w:sz w:val="24"/>
          <w:szCs w:val="24"/>
        </w:rPr>
      </w:pPr>
    </w:p>
    <w:p w14:paraId="5477C5C4" w14:textId="77777777" w:rsidR="00A34E54" w:rsidRDefault="006B17C6" w:rsidP="00AA7B14">
      <w:pPr>
        <w:pStyle w:val="ListParagraph"/>
        <w:numPr>
          <w:ilvl w:val="0"/>
          <w:numId w:val="6"/>
        </w:numPr>
        <w:spacing w:line="480" w:lineRule="auto"/>
        <w:jc w:val="both"/>
        <w:rPr>
          <w:rFonts w:ascii="Times New Roman" w:hAnsi="Times New Roman" w:cs="Times New Roman"/>
          <w:sz w:val="24"/>
          <w:szCs w:val="24"/>
        </w:rPr>
      </w:pPr>
      <w:r w:rsidRPr="0097187C">
        <w:rPr>
          <w:rFonts w:ascii="Times New Roman" w:hAnsi="Times New Roman" w:cs="Times New Roman"/>
          <w:sz w:val="24"/>
          <w:szCs w:val="24"/>
        </w:rPr>
        <w:t xml:space="preserve">In relation to these new leases, the evidence from Mr. O’Connor was also clear.  The Bank was not aware of the latter two leases, it had made contact with the defendant in September 2013 and did not re-establish contact with him until December of that year.  The same evidence was given by Mr. O’Connor in respect of </w:t>
      </w:r>
      <w:r w:rsidR="0097187C">
        <w:rPr>
          <w:rFonts w:ascii="Times New Roman" w:hAnsi="Times New Roman" w:cs="Times New Roman"/>
          <w:sz w:val="24"/>
          <w:szCs w:val="24"/>
        </w:rPr>
        <w:t xml:space="preserve">certain </w:t>
      </w:r>
      <w:r w:rsidRPr="0097187C">
        <w:rPr>
          <w:rFonts w:ascii="Times New Roman" w:hAnsi="Times New Roman" w:cs="Times New Roman"/>
          <w:sz w:val="24"/>
          <w:szCs w:val="24"/>
        </w:rPr>
        <w:t xml:space="preserve">residential leases for part of the </w:t>
      </w:r>
      <w:proofErr w:type="spellStart"/>
      <w:r w:rsidRPr="0097187C">
        <w:rPr>
          <w:rFonts w:ascii="Times New Roman" w:hAnsi="Times New Roman" w:cs="Times New Roman"/>
          <w:sz w:val="24"/>
          <w:szCs w:val="24"/>
        </w:rPr>
        <w:t>O</w:t>
      </w:r>
      <w:r w:rsidR="0097187C">
        <w:rPr>
          <w:rFonts w:ascii="Times New Roman" w:hAnsi="Times New Roman" w:cs="Times New Roman"/>
          <w:sz w:val="24"/>
          <w:szCs w:val="24"/>
        </w:rPr>
        <w:t>u</w:t>
      </w:r>
      <w:r w:rsidRPr="0097187C">
        <w:rPr>
          <w:rFonts w:ascii="Times New Roman" w:hAnsi="Times New Roman" w:cs="Times New Roman"/>
          <w:sz w:val="24"/>
          <w:szCs w:val="24"/>
        </w:rPr>
        <w:t>lart</w:t>
      </w:r>
      <w:proofErr w:type="spellEnd"/>
      <w:r w:rsidRPr="0097187C">
        <w:rPr>
          <w:rFonts w:ascii="Times New Roman" w:hAnsi="Times New Roman" w:cs="Times New Roman"/>
          <w:sz w:val="24"/>
          <w:szCs w:val="24"/>
        </w:rPr>
        <w:t xml:space="preserve"> property </w:t>
      </w:r>
      <w:proofErr w:type="spellStart"/>
      <w:r w:rsidR="0097187C">
        <w:rPr>
          <w:rFonts w:ascii="Times New Roman" w:hAnsi="Times New Roman" w:cs="Times New Roman"/>
          <w:sz w:val="24"/>
          <w:szCs w:val="24"/>
        </w:rPr>
        <w:t>purtport</w:t>
      </w:r>
      <w:r w:rsidR="003C6E38">
        <w:rPr>
          <w:rFonts w:ascii="Times New Roman" w:hAnsi="Times New Roman" w:cs="Times New Roman"/>
          <w:sz w:val="24"/>
          <w:szCs w:val="24"/>
        </w:rPr>
        <w:t>e</w:t>
      </w:r>
      <w:r w:rsidR="0097187C">
        <w:rPr>
          <w:rFonts w:ascii="Times New Roman" w:hAnsi="Times New Roman" w:cs="Times New Roman"/>
          <w:sz w:val="24"/>
          <w:szCs w:val="24"/>
        </w:rPr>
        <w:t>d</w:t>
      </w:r>
      <w:r w:rsidR="003C6E38">
        <w:rPr>
          <w:rFonts w:ascii="Times New Roman" w:hAnsi="Times New Roman" w:cs="Times New Roman"/>
          <w:sz w:val="24"/>
          <w:szCs w:val="24"/>
        </w:rPr>
        <w:t>l</w:t>
      </w:r>
      <w:r w:rsidR="0097187C">
        <w:rPr>
          <w:rFonts w:ascii="Times New Roman" w:hAnsi="Times New Roman" w:cs="Times New Roman"/>
          <w:sz w:val="24"/>
          <w:szCs w:val="24"/>
        </w:rPr>
        <w:t>y</w:t>
      </w:r>
      <w:proofErr w:type="spellEnd"/>
      <w:r w:rsidR="0097187C">
        <w:rPr>
          <w:rFonts w:ascii="Times New Roman" w:hAnsi="Times New Roman" w:cs="Times New Roman"/>
          <w:sz w:val="24"/>
          <w:szCs w:val="24"/>
        </w:rPr>
        <w:t xml:space="preserve"> </w:t>
      </w:r>
      <w:r w:rsidRPr="0097187C">
        <w:rPr>
          <w:rFonts w:ascii="Times New Roman" w:hAnsi="Times New Roman" w:cs="Times New Roman"/>
          <w:sz w:val="24"/>
          <w:szCs w:val="24"/>
        </w:rPr>
        <w:t>entered into in July and August 2017</w:t>
      </w:r>
      <w:r w:rsidR="00AA7B14">
        <w:rPr>
          <w:rFonts w:ascii="Times New Roman" w:hAnsi="Times New Roman" w:cs="Times New Roman"/>
          <w:sz w:val="24"/>
          <w:szCs w:val="24"/>
        </w:rPr>
        <w:t>.</w:t>
      </w:r>
    </w:p>
    <w:p w14:paraId="11EAE58B" w14:textId="77777777" w:rsidR="00462E27" w:rsidRPr="00462E27" w:rsidRDefault="00462E27" w:rsidP="00462E27">
      <w:pPr>
        <w:pStyle w:val="ListParagraph"/>
        <w:rPr>
          <w:rFonts w:ascii="Times New Roman" w:hAnsi="Times New Roman" w:cs="Times New Roman"/>
          <w:sz w:val="24"/>
          <w:szCs w:val="24"/>
        </w:rPr>
      </w:pPr>
    </w:p>
    <w:p w14:paraId="7B74CA34" w14:textId="77777777" w:rsidR="00462E27" w:rsidRPr="00AA7B14" w:rsidRDefault="00462E27" w:rsidP="00AA7B1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On 3</w:t>
      </w:r>
      <w:r w:rsidR="0097163D">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May 2018 Costello J. ordered </w:t>
      </w:r>
      <w:r w:rsidR="00CC1060">
        <w:rPr>
          <w:rFonts w:ascii="Times New Roman" w:hAnsi="Times New Roman" w:cs="Times New Roman"/>
          <w:sz w:val="24"/>
          <w:szCs w:val="24"/>
        </w:rPr>
        <w:t xml:space="preserve">that </w:t>
      </w:r>
      <w:r>
        <w:rPr>
          <w:rFonts w:ascii="Times New Roman" w:hAnsi="Times New Roman" w:cs="Times New Roman"/>
          <w:sz w:val="24"/>
          <w:szCs w:val="24"/>
        </w:rPr>
        <w:t xml:space="preserve">Laurence Corrigan </w:t>
      </w:r>
      <w:r w:rsidR="00CC1060">
        <w:rPr>
          <w:rFonts w:ascii="Times New Roman" w:hAnsi="Times New Roman" w:cs="Times New Roman"/>
          <w:sz w:val="24"/>
          <w:szCs w:val="24"/>
        </w:rPr>
        <w:t>might pay a certain amount per week in respect of rent for the supermarket and takeaway premises, but specifically directed that these payments would not result in any landlord and tenant or proprietary interest being granted in that property.</w:t>
      </w:r>
    </w:p>
    <w:p w14:paraId="4A7E1C62" w14:textId="77777777" w:rsidR="002918C2" w:rsidRPr="002918C2" w:rsidRDefault="002918C2" w:rsidP="002918C2">
      <w:pPr>
        <w:pStyle w:val="ListParagraph"/>
        <w:rPr>
          <w:rFonts w:ascii="Times New Roman" w:hAnsi="Times New Roman" w:cs="Times New Roman"/>
          <w:sz w:val="24"/>
          <w:szCs w:val="24"/>
        </w:rPr>
      </w:pPr>
    </w:p>
    <w:p w14:paraId="6313C03A" w14:textId="77777777" w:rsidR="003A1C47" w:rsidRDefault="00BD4B3A" w:rsidP="003A1C4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Kilmuckridge</w:t>
      </w:r>
      <w:proofErr w:type="spellEnd"/>
      <w:r>
        <w:rPr>
          <w:rFonts w:ascii="Times New Roman" w:hAnsi="Times New Roman" w:cs="Times New Roman"/>
          <w:sz w:val="24"/>
          <w:szCs w:val="24"/>
        </w:rPr>
        <w:t xml:space="preserve"> property comprised a </w:t>
      </w:r>
      <w:r w:rsidR="00AA563A">
        <w:rPr>
          <w:rFonts w:ascii="Times New Roman" w:hAnsi="Times New Roman" w:cs="Times New Roman"/>
          <w:sz w:val="24"/>
          <w:szCs w:val="24"/>
        </w:rPr>
        <w:t xml:space="preserve">convenience store, in part two storey and in part single storey, with a restaurant, kitchen office and stores on the first floor.  </w:t>
      </w:r>
      <w:r w:rsidR="00B66670">
        <w:rPr>
          <w:rFonts w:ascii="Times New Roman" w:hAnsi="Times New Roman" w:cs="Times New Roman"/>
          <w:sz w:val="24"/>
          <w:szCs w:val="24"/>
        </w:rPr>
        <w:t xml:space="preserve">In </w:t>
      </w:r>
      <w:r w:rsidR="007634AB">
        <w:rPr>
          <w:rFonts w:ascii="Times New Roman" w:hAnsi="Times New Roman" w:cs="Times New Roman"/>
          <w:sz w:val="24"/>
          <w:szCs w:val="24"/>
        </w:rPr>
        <w:t xml:space="preserve">late 2013 </w:t>
      </w:r>
      <w:r w:rsidR="00B66670">
        <w:rPr>
          <w:rFonts w:ascii="Times New Roman" w:hAnsi="Times New Roman" w:cs="Times New Roman"/>
          <w:sz w:val="24"/>
          <w:szCs w:val="24"/>
        </w:rPr>
        <w:t>the Bank conducted a</w:t>
      </w:r>
      <w:r w:rsidR="007634AB">
        <w:rPr>
          <w:rFonts w:ascii="Times New Roman" w:hAnsi="Times New Roman" w:cs="Times New Roman"/>
          <w:sz w:val="24"/>
          <w:szCs w:val="24"/>
        </w:rPr>
        <w:t>n independent business</w:t>
      </w:r>
      <w:r w:rsidR="00B66670">
        <w:rPr>
          <w:rFonts w:ascii="Times New Roman" w:hAnsi="Times New Roman" w:cs="Times New Roman"/>
          <w:sz w:val="24"/>
          <w:szCs w:val="24"/>
        </w:rPr>
        <w:t xml:space="preserve"> review of the defendant.  On </w:t>
      </w:r>
      <w:r w:rsidR="005C5360" w:rsidRPr="00B66670">
        <w:rPr>
          <w:rFonts w:ascii="Times New Roman" w:hAnsi="Times New Roman" w:cs="Times New Roman"/>
          <w:sz w:val="24"/>
          <w:szCs w:val="24"/>
        </w:rPr>
        <w:t xml:space="preserve">24 </w:t>
      </w:r>
      <w:r w:rsidR="002918C2" w:rsidRPr="00B66670">
        <w:rPr>
          <w:rFonts w:ascii="Times New Roman" w:hAnsi="Times New Roman" w:cs="Times New Roman"/>
          <w:sz w:val="24"/>
          <w:szCs w:val="24"/>
        </w:rPr>
        <w:t xml:space="preserve">October 2013 </w:t>
      </w:r>
      <w:r w:rsidR="00B66670">
        <w:rPr>
          <w:rFonts w:ascii="Times New Roman" w:hAnsi="Times New Roman" w:cs="Times New Roman"/>
          <w:sz w:val="24"/>
          <w:szCs w:val="24"/>
        </w:rPr>
        <w:t xml:space="preserve">the defendant, as landlord, purported to lease the </w:t>
      </w:r>
      <w:proofErr w:type="spellStart"/>
      <w:r w:rsidR="00B66670">
        <w:rPr>
          <w:rFonts w:ascii="Times New Roman" w:hAnsi="Times New Roman" w:cs="Times New Roman"/>
          <w:sz w:val="24"/>
          <w:szCs w:val="24"/>
        </w:rPr>
        <w:t>Kilmuckridge</w:t>
      </w:r>
      <w:proofErr w:type="spellEnd"/>
      <w:r w:rsidR="00B66670">
        <w:rPr>
          <w:rFonts w:ascii="Times New Roman" w:hAnsi="Times New Roman" w:cs="Times New Roman"/>
          <w:sz w:val="24"/>
          <w:szCs w:val="24"/>
        </w:rPr>
        <w:t xml:space="preserve"> property to a company, </w:t>
      </w:r>
      <w:proofErr w:type="spellStart"/>
      <w:r w:rsidR="002918C2" w:rsidRPr="00B66670">
        <w:rPr>
          <w:rFonts w:ascii="Times New Roman" w:hAnsi="Times New Roman" w:cs="Times New Roman"/>
          <w:sz w:val="24"/>
          <w:szCs w:val="24"/>
        </w:rPr>
        <w:t>Melphia</w:t>
      </w:r>
      <w:proofErr w:type="spellEnd"/>
      <w:r w:rsidR="002918C2" w:rsidRPr="00B66670">
        <w:rPr>
          <w:rFonts w:ascii="Times New Roman" w:hAnsi="Times New Roman" w:cs="Times New Roman"/>
          <w:sz w:val="24"/>
          <w:szCs w:val="24"/>
        </w:rPr>
        <w:t xml:space="preserve"> Enterprises Ltd. </w:t>
      </w:r>
      <w:r w:rsidR="005C5360" w:rsidRPr="00B66670">
        <w:rPr>
          <w:rFonts w:ascii="Times New Roman" w:hAnsi="Times New Roman" w:cs="Times New Roman"/>
          <w:sz w:val="24"/>
          <w:szCs w:val="24"/>
        </w:rPr>
        <w:t xml:space="preserve">(as tenant) </w:t>
      </w:r>
      <w:r w:rsidR="002918C2" w:rsidRPr="00B66670">
        <w:rPr>
          <w:rFonts w:ascii="Times New Roman" w:hAnsi="Times New Roman" w:cs="Times New Roman"/>
          <w:sz w:val="24"/>
          <w:szCs w:val="24"/>
        </w:rPr>
        <w:t xml:space="preserve">in respect of the </w:t>
      </w:r>
      <w:proofErr w:type="spellStart"/>
      <w:r w:rsidR="002918C2" w:rsidRPr="00B66670">
        <w:rPr>
          <w:rFonts w:ascii="Times New Roman" w:hAnsi="Times New Roman" w:cs="Times New Roman"/>
          <w:sz w:val="24"/>
          <w:szCs w:val="24"/>
        </w:rPr>
        <w:t>Kulmuckridge</w:t>
      </w:r>
      <w:proofErr w:type="spellEnd"/>
      <w:r w:rsidR="002918C2" w:rsidRPr="00B66670">
        <w:rPr>
          <w:rFonts w:ascii="Times New Roman" w:hAnsi="Times New Roman" w:cs="Times New Roman"/>
          <w:sz w:val="24"/>
          <w:szCs w:val="24"/>
        </w:rPr>
        <w:t xml:space="preserve"> Property</w:t>
      </w:r>
      <w:r w:rsidR="001205D1" w:rsidRPr="00B66670">
        <w:rPr>
          <w:rFonts w:ascii="Times New Roman" w:hAnsi="Times New Roman" w:cs="Times New Roman"/>
          <w:sz w:val="24"/>
          <w:szCs w:val="24"/>
        </w:rPr>
        <w:t xml:space="preserve">.  </w:t>
      </w:r>
      <w:r w:rsidR="00B66670">
        <w:rPr>
          <w:rFonts w:ascii="Times New Roman" w:hAnsi="Times New Roman" w:cs="Times New Roman"/>
          <w:sz w:val="24"/>
          <w:szCs w:val="24"/>
        </w:rPr>
        <w:t>The lease was</w:t>
      </w:r>
      <w:r w:rsidR="0097163D">
        <w:rPr>
          <w:rFonts w:ascii="Times New Roman" w:hAnsi="Times New Roman" w:cs="Times New Roman"/>
          <w:sz w:val="24"/>
          <w:szCs w:val="24"/>
        </w:rPr>
        <w:t xml:space="preserve"> a</w:t>
      </w:r>
      <w:r w:rsidR="00B66670">
        <w:rPr>
          <w:rFonts w:ascii="Times New Roman" w:hAnsi="Times New Roman" w:cs="Times New Roman"/>
          <w:sz w:val="24"/>
          <w:szCs w:val="24"/>
        </w:rPr>
        <w:t>s noted by the trial Judg</w:t>
      </w:r>
      <w:r w:rsidR="0097163D">
        <w:rPr>
          <w:rFonts w:ascii="Times New Roman" w:hAnsi="Times New Roman" w:cs="Times New Roman"/>
          <w:sz w:val="24"/>
          <w:szCs w:val="24"/>
        </w:rPr>
        <w:t>e</w:t>
      </w:r>
      <w:r w:rsidR="00B66670">
        <w:rPr>
          <w:rFonts w:ascii="Times New Roman" w:hAnsi="Times New Roman" w:cs="Times New Roman"/>
          <w:sz w:val="24"/>
          <w:szCs w:val="24"/>
        </w:rPr>
        <w:t xml:space="preserve"> a most unusual one, as it </w:t>
      </w:r>
      <w:r w:rsidR="001205D1" w:rsidRPr="00B66670">
        <w:rPr>
          <w:rFonts w:ascii="Times New Roman" w:hAnsi="Times New Roman" w:cs="Times New Roman"/>
          <w:sz w:val="24"/>
          <w:szCs w:val="24"/>
        </w:rPr>
        <w:t>provided for a rent of €45,000 per annum for a term of ten years from the date of the lease, and with provision for five yearly rent reviews.</w:t>
      </w:r>
      <w:r w:rsidR="00352094" w:rsidRPr="00B66670">
        <w:rPr>
          <w:rFonts w:ascii="Times New Roman" w:hAnsi="Times New Roman" w:cs="Times New Roman"/>
          <w:sz w:val="24"/>
          <w:szCs w:val="24"/>
        </w:rPr>
        <w:t xml:space="preserve">  </w:t>
      </w:r>
      <w:r w:rsidR="00B66670">
        <w:rPr>
          <w:rFonts w:ascii="Times New Roman" w:hAnsi="Times New Roman" w:cs="Times New Roman"/>
          <w:sz w:val="24"/>
          <w:szCs w:val="24"/>
        </w:rPr>
        <w:t xml:space="preserve">Generally, a landlord will seek to agree a term of years which will preclude the creation of statutory rights </w:t>
      </w:r>
      <w:r w:rsidR="00F10418">
        <w:rPr>
          <w:rFonts w:ascii="Times New Roman" w:hAnsi="Times New Roman" w:cs="Times New Roman"/>
          <w:sz w:val="24"/>
          <w:szCs w:val="24"/>
        </w:rPr>
        <w:t xml:space="preserve">of renewal </w:t>
      </w:r>
      <w:r w:rsidR="00B66670">
        <w:rPr>
          <w:rFonts w:ascii="Times New Roman" w:hAnsi="Times New Roman" w:cs="Times New Roman"/>
          <w:sz w:val="24"/>
          <w:szCs w:val="24"/>
        </w:rPr>
        <w:t>for the tenant and therefore of less than five years in duration.</w:t>
      </w:r>
    </w:p>
    <w:p w14:paraId="07C26F1A" w14:textId="77777777" w:rsidR="003A1C47" w:rsidRDefault="003A1C47" w:rsidP="003A1C47">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492CFFDA" w14:textId="2CD42D74" w:rsidR="0058683A" w:rsidRDefault="003A1C47" w:rsidP="0058683A">
      <w:pPr>
        <w:pStyle w:val="ListParagraph"/>
        <w:numPr>
          <w:ilvl w:val="0"/>
          <w:numId w:val="6"/>
        </w:numPr>
        <w:spacing w:line="480" w:lineRule="auto"/>
        <w:jc w:val="both"/>
        <w:rPr>
          <w:rFonts w:ascii="Times New Roman" w:hAnsi="Times New Roman" w:cs="Times New Roman"/>
          <w:sz w:val="24"/>
          <w:szCs w:val="24"/>
        </w:rPr>
      </w:pPr>
      <w:r w:rsidRPr="003A1C47">
        <w:rPr>
          <w:rFonts w:ascii="Times New Roman" w:hAnsi="Times New Roman" w:cs="Times New Roman"/>
          <w:sz w:val="24"/>
          <w:szCs w:val="24"/>
        </w:rPr>
        <w:t xml:space="preserve"> </w:t>
      </w:r>
      <w:r w:rsidR="00B66670" w:rsidRPr="003A1C47">
        <w:rPr>
          <w:rFonts w:ascii="Times New Roman" w:hAnsi="Times New Roman" w:cs="Times New Roman"/>
          <w:sz w:val="24"/>
          <w:szCs w:val="24"/>
        </w:rPr>
        <w:t xml:space="preserve">The evidence before the Court was that the Bank believed that the premises in </w:t>
      </w:r>
      <w:proofErr w:type="spellStart"/>
      <w:r w:rsidR="00B66670" w:rsidRPr="003A1C47">
        <w:rPr>
          <w:rFonts w:ascii="Times New Roman" w:hAnsi="Times New Roman" w:cs="Times New Roman"/>
          <w:sz w:val="24"/>
          <w:szCs w:val="24"/>
        </w:rPr>
        <w:t>Kilmuckridge</w:t>
      </w:r>
      <w:proofErr w:type="spellEnd"/>
      <w:r w:rsidR="00B66670" w:rsidRPr="003A1C47">
        <w:rPr>
          <w:rFonts w:ascii="Times New Roman" w:hAnsi="Times New Roman" w:cs="Times New Roman"/>
          <w:sz w:val="24"/>
          <w:szCs w:val="24"/>
        </w:rPr>
        <w:t xml:space="preserve"> was being operated as a supermarket by the defendant personally</w:t>
      </w:r>
      <w:r w:rsidR="007634AB">
        <w:rPr>
          <w:rFonts w:ascii="Times New Roman" w:hAnsi="Times New Roman" w:cs="Times New Roman"/>
          <w:sz w:val="24"/>
          <w:szCs w:val="24"/>
        </w:rPr>
        <w:t xml:space="preserve">, and that the Bank did not and would not have agreed to a tenancy agreement of the kind allegedly executed with </w:t>
      </w:r>
      <w:proofErr w:type="spellStart"/>
      <w:r w:rsidR="007634AB">
        <w:rPr>
          <w:rFonts w:ascii="Times New Roman" w:hAnsi="Times New Roman" w:cs="Times New Roman"/>
          <w:sz w:val="24"/>
          <w:szCs w:val="24"/>
        </w:rPr>
        <w:t>Melphia</w:t>
      </w:r>
      <w:proofErr w:type="spellEnd"/>
      <w:r w:rsidR="007634AB">
        <w:rPr>
          <w:rFonts w:ascii="Times New Roman" w:hAnsi="Times New Roman" w:cs="Times New Roman"/>
          <w:sz w:val="24"/>
          <w:szCs w:val="24"/>
        </w:rPr>
        <w:t xml:space="preserve"> Enterprises Ltd</w:t>
      </w:r>
      <w:r w:rsidR="00B66670" w:rsidRPr="003A1C47">
        <w:rPr>
          <w:rFonts w:ascii="Times New Roman" w:hAnsi="Times New Roman" w:cs="Times New Roman"/>
          <w:sz w:val="24"/>
          <w:szCs w:val="24"/>
        </w:rPr>
        <w:t xml:space="preserve">.  Mr. Shane O’Connor testified that the first the Bank became aware of the lease with </w:t>
      </w:r>
      <w:proofErr w:type="spellStart"/>
      <w:r w:rsidR="00B66670" w:rsidRPr="003A1C47">
        <w:rPr>
          <w:rFonts w:ascii="Times New Roman" w:hAnsi="Times New Roman" w:cs="Times New Roman"/>
          <w:sz w:val="24"/>
          <w:szCs w:val="24"/>
        </w:rPr>
        <w:t>Melphia</w:t>
      </w:r>
      <w:proofErr w:type="spellEnd"/>
      <w:r w:rsidR="00B66670" w:rsidRPr="003A1C47">
        <w:rPr>
          <w:rFonts w:ascii="Times New Roman" w:hAnsi="Times New Roman" w:cs="Times New Roman"/>
          <w:sz w:val="24"/>
          <w:szCs w:val="24"/>
        </w:rPr>
        <w:t xml:space="preserve"> was after December 2013 when it was raised by the </w:t>
      </w:r>
      <w:r w:rsidR="0080755D">
        <w:rPr>
          <w:rFonts w:ascii="Times New Roman" w:hAnsi="Times New Roman" w:cs="Times New Roman"/>
          <w:sz w:val="24"/>
          <w:szCs w:val="24"/>
        </w:rPr>
        <w:t>r</w:t>
      </w:r>
      <w:r w:rsidR="00B66670" w:rsidRPr="003A1C47">
        <w:rPr>
          <w:rFonts w:ascii="Times New Roman" w:hAnsi="Times New Roman" w:cs="Times New Roman"/>
          <w:sz w:val="24"/>
          <w:szCs w:val="24"/>
        </w:rPr>
        <w:t>eceiver.</w:t>
      </w:r>
      <w:r w:rsidR="00A409B8" w:rsidRPr="003A1C47">
        <w:rPr>
          <w:rFonts w:ascii="Times New Roman" w:hAnsi="Times New Roman" w:cs="Times New Roman"/>
          <w:sz w:val="24"/>
          <w:szCs w:val="24"/>
        </w:rPr>
        <w:t xml:space="preserve">  No </w:t>
      </w:r>
      <w:r w:rsidR="00C10004">
        <w:rPr>
          <w:rFonts w:ascii="Times New Roman" w:hAnsi="Times New Roman" w:cs="Times New Roman"/>
          <w:sz w:val="24"/>
          <w:szCs w:val="24"/>
        </w:rPr>
        <w:t xml:space="preserve">oral </w:t>
      </w:r>
      <w:r w:rsidR="00A409B8" w:rsidRPr="003A1C47">
        <w:rPr>
          <w:rFonts w:ascii="Times New Roman" w:hAnsi="Times New Roman" w:cs="Times New Roman"/>
          <w:sz w:val="24"/>
          <w:szCs w:val="24"/>
        </w:rPr>
        <w:t xml:space="preserve">evidence </w:t>
      </w:r>
      <w:r w:rsidR="00C10004">
        <w:rPr>
          <w:rFonts w:ascii="Times New Roman" w:hAnsi="Times New Roman" w:cs="Times New Roman"/>
          <w:sz w:val="24"/>
          <w:szCs w:val="24"/>
        </w:rPr>
        <w:t xml:space="preserve">was adduced </w:t>
      </w:r>
      <w:r w:rsidR="00A409B8" w:rsidRPr="003A1C47">
        <w:rPr>
          <w:rFonts w:ascii="Times New Roman" w:hAnsi="Times New Roman" w:cs="Times New Roman"/>
          <w:sz w:val="24"/>
          <w:szCs w:val="24"/>
        </w:rPr>
        <w:t xml:space="preserve">to contradict this. </w:t>
      </w:r>
    </w:p>
    <w:p w14:paraId="5E602C01" w14:textId="77777777" w:rsidR="0058683A" w:rsidRPr="0058683A" w:rsidRDefault="0058683A" w:rsidP="0058683A">
      <w:pPr>
        <w:pStyle w:val="ListParagraph"/>
        <w:rPr>
          <w:rFonts w:ascii="Times New Roman" w:hAnsi="Times New Roman" w:cs="Times New Roman"/>
          <w:sz w:val="24"/>
          <w:szCs w:val="24"/>
        </w:rPr>
      </w:pPr>
    </w:p>
    <w:p w14:paraId="2A850C17" w14:textId="77777777" w:rsidR="0058683A" w:rsidRPr="0058683A" w:rsidRDefault="0058683A" w:rsidP="0058683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trial Judge held that as a matter of law mere notification or a suggestion that leases may have been alluded to in conversation or indeed documentation despatched to the mortgagor is not sufficient to fix a mortgagee with a tenancy where there is a provision </w:t>
      </w:r>
      <w:r>
        <w:rPr>
          <w:rFonts w:ascii="Times New Roman" w:hAnsi="Times New Roman" w:cs="Times New Roman"/>
          <w:sz w:val="24"/>
          <w:szCs w:val="24"/>
        </w:rPr>
        <w:lastRenderedPageBreak/>
        <w:t xml:space="preserve">such as clause 7.19 in the mortgage agreement. </w:t>
      </w:r>
      <w:r w:rsidR="00CA200E">
        <w:rPr>
          <w:rFonts w:ascii="Times New Roman" w:hAnsi="Times New Roman" w:cs="Times New Roman"/>
          <w:sz w:val="24"/>
          <w:szCs w:val="24"/>
        </w:rPr>
        <w:t xml:space="preserve">She </w:t>
      </w:r>
      <w:r w:rsidR="00C10004">
        <w:rPr>
          <w:rFonts w:ascii="Times New Roman" w:hAnsi="Times New Roman" w:cs="Times New Roman"/>
          <w:sz w:val="24"/>
          <w:szCs w:val="24"/>
        </w:rPr>
        <w:t xml:space="preserve">said </w:t>
      </w:r>
      <w:r w:rsidR="00CA200E">
        <w:rPr>
          <w:rFonts w:ascii="Times New Roman" w:hAnsi="Times New Roman" w:cs="Times New Roman"/>
          <w:sz w:val="24"/>
          <w:szCs w:val="24"/>
        </w:rPr>
        <w:t xml:space="preserve">that she accepted the evidence of Mr. O’Connor that </w:t>
      </w:r>
      <w:r w:rsidR="001B49A3">
        <w:rPr>
          <w:rFonts w:ascii="Times New Roman" w:hAnsi="Times New Roman" w:cs="Times New Roman"/>
          <w:sz w:val="24"/>
          <w:szCs w:val="24"/>
        </w:rPr>
        <w:t xml:space="preserve">had </w:t>
      </w:r>
      <w:r w:rsidR="00CA200E">
        <w:rPr>
          <w:rFonts w:ascii="Times New Roman" w:hAnsi="Times New Roman" w:cs="Times New Roman"/>
          <w:sz w:val="24"/>
          <w:szCs w:val="24"/>
        </w:rPr>
        <w:t xml:space="preserve">the bank been notified of the leases in respect of the supermarkets at </w:t>
      </w:r>
      <w:proofErr w:type="spellStart"/>
      <w:r w:rsidR="00CA200E">
        <w:rPr>
          <w:rFonts w:ascii="Times New Roman" w:hAnsi="Times New Roman" w:cs="Times New Roman"/>
          <w:sz w:val="24"/>
          <w:szCs w:val="24"/>
        </w:rPr>
        <w:t>Kilmuckridge</w:t>
      </w:r>
      <w:proofErr w:type="spellEnd"/>
      <w:r w:rsidR="00CA200E">
        <w:rPr>
          <w:rFonts w:ascii="Times New Roman" w:hAnsi="Times New Roman" w:cs="Times New Roman"/>
          <w:sz w:val="24"/>
          <w:szCs w:val="24"/>
        </w:rPr>
        <w:t xml:space="preserve"> and </w:t>
      </w:r>
      <w:proofErr w:type="spellStart"/>
      <w:r w:rsidR="00CA200E">
        <w:rPr>
          <w:rFonts w:ascii="Times New Roman" w:hAnsi="Times New Roman" w:cs="Times New Roman"/>
          <w:sz w:val="24"/>
          <w:szCs w:val="24"/>
        </w:rPr>
        <w:t>Oulart</w:t>
      </w:r>
      <w:proofErr w:type="spellEnd"/>
      <w:r w:rsidR="001B49A3">
        <w:rPr>
          <w:rFonts w:ascii="Times New Roman" w:hAnsi="Times New Roman" w:cs="Times New Roman"/>
          <w:sz w:val="24"/>
          <w:szCs w:val="24"/>
        </w:rPr>
        <w:t xml:space="preserve"> it</w:t>
      </w:r>
      <w:r w:rsidR="00CA200E">
        <w:rPr>
          <w:rFonts w:ascii="Times New Roman" w:hAnsi="Times New Roman" w:cs="Times New Roman"/>
          <w:sz w:val="24"/>
          <w:szCs w:val="24"/>
        </w:rPr>
        <w:t xml:space="preserve"> would not have consented to the terms of ten years in respect of commercial properties. </w:t>
      </w:r>
      <w:r w:rsidR="00E54F19">
        <w:rPr>
          <w:rFonts w:ascii="Times New Roman" w:hAnsi="Times New Roman" w:cs="Times New Roman"/>
          <w:sz w:val="24"/>
          <w:szCs w:val="24"/>
        </w:rPr>
        <w:t xml:space="preserve">She also concluded on the basis of the evidence she had heard that no prior written consent was sought of the bank to the leases, and that none was given. </w:t>
      </w:r>
      <w:r>
        <w:rPr>
          <w:rFonts w:ascii="Times New Roman" w:hAnsi="Times New Roman" w:cs="Times New Roman"/>
          <w:sz w:val="24"/>
          <w:szCs w:val="24"/>
        </w:rPr>
        <w:t xml:space="preserve"> Thus</w:t>
      </w:r>
      <w:r w:rsidR="0097163D">
        <w:rPr>
          <w:rFonts w:ascii="Times New Roman" w:hAnsi="Times New Roman" w:cs="Times New Roman"/>
          <w:sz w:val="24"/>
          <w:szCs w:val="24"/>
        </w:rPr>
        <w:t>, she found,</w:t>
      </w:r>
      <w:r>
        <w:rPr>
          <w:rFonts w:ascii="Times New Roman" w:hAnsi="Times New Roman" w:cs="Times New Roman"/>
          <w:sz w:val="24"/>
          <w:szCs w:val="24"/>
        </w:rPr>
        <w:t xml:space="preserve"> in the absence of prior written consent the leases did not bind </w:t>
      </w:r>
      <w:r w:rsidR="0032241E">
        <w:rPr>
          <w:rFonts w:ascii="Times New Roman" w:hAnsi="Times New Roman" w:cs="Times New Roman"/>
          <w:sz w:val="24"/>
          <w:szCs w:val="24"/>
        </w:rPr>
        <w:t xml:space="preserve">either </w:t>
      </w:r>
      <w:r>
        <w:rPr>
          <w:rFonts w:ascii="Times New Roman" w:hAnsi="Times New Roman" w:cs="Times New Roman"/>
          <w:sz w:val="24"/>
          <w:szCs w:val="24"/>
        </w:rPr>
        <w:t>the mortgagee or the plaintiff.</w:t>
      </w:r>
    </w:p>
    <w:p w14:paraId="4D2D8D25" w14:textId="77777777" w:rsidR="003A1C47" w:rsidRPr="003A1C47" w:rsidRDefault="003A1C47" w:rsidP="003A1C47">
      <w:pPr>
        <w:pStyle w:val="ListParagraph"/>
        <w:rPr>
          <w:rFonts w:ascii="Times New Roman" w:hAnsi="Times New Roman" w:cs="Times New Roman"/>
          <w:sz w:val="24"/>
          <w:szCs w:val="24"/>
        </w:rPr>
      </w:pPr>
    </w:p>
    <w:p w14:paraId="678CA685" w14:textId="77777777" w:rsidR="003A1C47" w:rsidRPr="00005095" w:rsidRDefault="003A1C47" w:rsidP="003A1C47">
      <w:pPr>
        <w:pStyle w:val="ListParagraph"/>
        <w:rPr>
          <w:rFonts w:ascii="Times New Roman" w:hAnsi="Times New Roman" w:cs="Times New Roman"/>
          <w:sz w:val="24"/>
          <w:szCs w:val="24"/>
        </w:rPr>
      </w:pPr>
    </w:p>
    <w:p w14:paraId="19DD339B" w14:textId="77777777" w:rsidR="003A1C47" w:rsidRDefault="003A1C47" w:rsidP="003A1C47">
      <w:pPr>
        <w:pStyle w:val="ListParagraph"/>
        <w:spacing w:line="480" w:lineRule="auto"/>
        <w:ind w:left="357" w:firstLine="360"/>
        <w:jc w:val="both"/>
        <w:rPr>
          <w:rFonts w:ascii="Times New Roman" w:hAnsi="Times New Roman" w:cs="Times New Roman"/>
          <w:sz w:val="24"/>
          <w:szCs w:val="24"/>
        </w:rPr>
      </w:pPr>
      <w:r>
        <w:rPr>
          <w:rFonts w:ascii="Times New Roman" w:hAnsi="Times New Roman" w:cs="Times New Roman"/>
          <w:b/>
          <w:i/>
          <w:sz w:val="24"/>
          <w:szCs w:val="24"/>
        </w:rPr>
        <w:t>The authorities</w:t>
      </w:r>
      <w:r>
        <w:rPr>
          <w:rFonts w:ascii="Times New Roman" w:hAnsi="Times New Roman" w:cs="Times New Roman"/>
          <w:sz w:val="24"/>
          <w:szCs w:val="24"/>
        </w:rPr>
        <w:t xml:space="preserve">  </w:t>
      </w:r>
    </w:p>
    <w:p w14:paraId="56117B61" w14:textId="77777777" w:rsidR="003A1C47" w:rsidRDefault="003A1C47" w:rsidP="003A1C47">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7B7094F" w14:textId="77777777" w:rsidR="003A1C47" w:rsidRPr="003A1C47" w:rsidRDefault="003A1C47" w:rsidP="003A1C47">
      <w:pPr>
        <w:pStyle w:val="ListParagraph"/>
        <w:rPr>
          <w:rFonts w:ascii="Times New Roman" w:hAnsi="Times New Roman" w:cs="Times New Roman"/>
          <w:sz w:val="24"/>
          <w:szCs w:val="24"/>
        </w:rPr>
      </w:pPr>
    </w:p>
    <w:p w14:paraId="43ED0A12" w14:textId="5BAF1F24" w:rsidR="00554B5B" w:rsidRPr="003A1C47" w:rsidRDefault="00977570" w:rsidP="003A1C47">
      <w:pPr>
        <w:pStyle w:val="ListParagraph"/>
        <w:numPr>
          <w:ilvl w:val="0"/>
          <w:numId w:val="6"/>
        </w:numPr>
        <w:spacing w:line="480" w:lineRule="auto"/>
        <w:jc w:val="both"/>
        <w:rPr>
          <w:rFonts w:ascii="Times New Roman" w:hAnsi="Times New Roman" w:cs="Times New Roman"/>
          <w:sz w:val="24"/>
          <w:szCs w:val="24"/>
        </w:rPr>
      </w:pPr>
      <w:r w:rsidRPr="003A1C47">
        <w:rPr>
          <w:rFonts w:ascii="Times New Roman" w:hAnsi="Times New Roman" w:cs="Times New Roman"/>
          <w:sz w:val="24"/>
          <w:szCs w:val="24"/>
        </w:rPr>
        <w:t xml:space="preserve">In the course of her judgment in </w:t>
      </w:r>
      <w:r w:rsidR="00554B5B" w:rsidRPr="003A1C47">
        <w:rPr>
          <w:rFonts w:ascii="Times New Roman" w:hAnsi="Times New Roman" w:cs="Times New Roman"/>
          <w:i/>
          <w:sz w:val="24"/>
          <w:szCs w:val="24"/>
        </w:rPr>
        <w:t xml:space="preserve">Fennell </w:t>
      </w:r>
      <w:r w:rsidR="00BE2D36" w:rsidRPr="003A1C47">
        <w:rPr>
          <w:rFonts w:ascii="Times New Roman" w:hAnsi="Times New Roman" w:cs="Times New Roman"/>
          <w:i/>
          <w:sz w:val="24"/>
          <w:szCs w:val="24"/>
        </w:rPr>
        <w:t xml:space="preserve">and </w:t>
      </w:r>
      <w:proofErr w:type="spellStart"/>
      <w:r w:rsidR="00BE2D36" w:rsidRPr="003A1C47">
        <w:rPr>
          <w:rFonts w:ascii="Times New Roman" w:hAnsi="Times New Roman" w:cs="Times New Roman"/>
          <w:i/>
          <w:sz w:val="24"/>
          <w:szCs w:val="24"/>
        </w:rPr>
        <w:t>ors</w:t>
      </w:r>
      <w:proofErr w:type="spellEnd"/>
      <w:r w:rsidR="00BE2D36" w:rsidRPr="003A1C47">
        <w:rPr>
          <w:rFonts w:ascii="Times New Roman" w:hAnsi="Times New Roman" w:cs="Times New Roman"/>
          <w:i/>
          <w:sz w:val="24"/>
          <w:szCs w:val="24"/>
        </w:rPr>
        <w:t xml:space="preserve"> </w:t>
      </w:r>
      <w:r w:rsidR="00554B5B" w:rsidRPr="003A1C47">
        <w:rPr>
          <w:rFonts w:ascii="Times New Roman" w:hAnsi="Times New Roman" w:cs="Times New Roman"/>
          <w:i/>
          <w:sz w:val="24"/>
          <w:szCs w:val="24"/>
        </w:rPr>
        <w:t>v. N17 Electronics Ltd. (In Liquidation</w:t>
      </w:r>
      <w:r w:rsidRPr="003A1C47">
        <w:rPr>
          <w:rFonts w:ascii="Times New Roman" w:hAnsi="Times New Roman" w:cs="Times New Roman"/>
          <w:i/>
          <w:sz w:val="24"/>
          <w:szCs w:val="24"/>
        </w:rPr>
        <w:t xml:space="preserve">), </w:t>
      </w:r>
      <w:r w:rsidRPr="003A1C47">
        <w:rPr>
          <w:rFonts w:ascii="Times New Roman" w:hAnsi="Times New Roman" w:cs="Times New Roman"/>
          <w:sz w:val="24"/>
          <w:szCs w:val="24"/>
        </w:rPr>
        <w:t xml:space="preserve">[2012] IEHC 228, </w:t>
      </w:r>
      <w:r w:rsidRPr="003A1C47">
        <w:rPr>
          <w:rFonts w:ascii="Times New Roman" w:hAnsi="Times New Roman" w:cs="Times New Roman"/>
          <w:i/>
          <w:sz w:val="24"/>
          <w:szCs w:val="24"/>
        </w:rPr>
        <w:t xml:space="preserve"> </w:t>
      </w:r>
      <w:r w:rsidRPr="003A1C47">
        <w:rPr>
          <w:rFonts w:ascii="Times New Roman" w:hAnsi="Times New Roman" w:cs="Times New Roman"/>
          <w:sz w:val="24"/>
          <w:szCs w:val="24"/>
        </w:rPr>
        <w:t xml:space="preserve">[2012] 4 IR 634, Dunne J. conducted a review of the authorities addressing the limits of the power of a mortgagor to grant tenancies of land the subject of a mortgage.  She deduced the following principles from the </w:t>
      </w:r>
      <w:r w:rsidR="00BE2D36" w:rsidRPr="003A1C47">
        <w:rPr>
          <w:rFonts w:ascii="Times New Roman" w:hAnsi="Times New Roman" w:cs="Times New Roman"/>
          <w:sz w:val="24"/>
          <w:szCs w:val="24"/>
        </w:rPr>
        <w:t xml:space="preserve">cases </w:t>
      </w:r>
      <w:r w:rsidRPr="003A1C47">
        <w:rPr>
          <w:rFonts w:ascii="Times New Roman" w:hAnsi="Times New Roman" w:cs="Times New Roman"/>
          <w:sz w:val="24"/>
          <w:szCs w:val="24"/>
        </w:rPr>
        <w:t xml:space="preserve">(see para. </w:t>
      </w:r>
      <w:r w:rsidR="00C90983">
        <w:rPr>
          <w:rFonts w:ascii="Times New Roman" w:hAnsi="Times New Roman" w:cs="Times New Roman"/>
          <w:sz w:val="24"/>
          <w:szCs w:val="24"/>
        </w:rPr>
        <w:t xml:space="preserve">30 </w:t>
      </w:r>
      <w:r w:rsidRPr="003A1C47">
        <w:rPr>
          <w:rFonts w:ascii="Times New Roman" w:hAnsi="Times New Roman" w:cs="Times New Roman"/>
          <w:sz w:val="24"/>
          <w:szCs w:val="24"/>
        </w:rPr>
        <w:t>of her judgment):</w:t>
      </w:r>
    </w:p>
    <w:p w14:paraId="77A81D71" w14:textId="77777777" w:rsidR="00977570" w:rsidRPr="00977570" w:rsidRDefault="00977570" w:rsidP="00977570">
      <w:pPr>
        <w:pStyle w:val="ListParagraph"/>
        <w:rPr>
          <w:rFonts w:ascii="Times New Roman" w:hAnsi="Times New Roman" w:cs="Times New Roman"/>
          <w:sz w:val="24"/>
          <w:szCs w:val="24"/>
        </w:rPr>
      </w:pPr>
    </w:p>
    <w:p w14:paraId="077E6E24" w14:textId="77777777" w:rsidR="00977570" w:rsidRDefault="00977570" w:rsidP="00977570">
      <w:pPr>
        <w:pStyle w:val="ListParagraph"/>
        <w:numPr>
          <w:ilvl w:val="0"/>
          <w:numId w:val="10"/>
        </w:numPr>
        <w:spacing w:line="480" w:lineRule="auto"/>
        <w:jc w:val="both"/>
        <w:rPr>
          <w:rFonts w:ascii="Times New Roman" w:hAnsi="Times New Roman" w:cs="Times New Roman"/>
          <w:sz w:val="24"/>
          <w:szCs w:val="24"/>
        </w:rPr>
      </w:pPr>
      <w:r w:rsidRPr="00977570">
        <w:rPr>
          <w:rFonts w:ascii="Times New Roman" w:hAnsi="Times New Roman" w:cs="Times New Roman"/>
          <w:sz w:val="24"/>
          <w:szCs w:val="24"/>
        </w:rPr>
        <w:t xml:space="preserve">a mortgagor and mortgagee can expressly agree to exclude the power conferred by s. 18 of the 1881 Act. </w:t>
      </w:r>
    </w:p>
    <w:p w14:paraId="185418BF" w14:textId="77777777" w:rsidR="00977570" w:rsidRDefault="00977570" w:rsidP="00977570">
      <w:pPr>
        <w:pStyle w:val="ListParagraph"/>
        <w:spacing w:line="480" w:lineRule="auto"/>
        <w:ind w:left="1437"/>
        <w:jc w:val="both"/>
        <w:rPr>
          <w:rFonts w:ascii="Times New Roman" w:hAnsi="Times New Roman" w:cs="Times New Roman"/>
          <w:sz w:val="24"/>
          <w:szCs w:val="24"/>
        </w:rPr>
      </w:pPr>
      <w:r>
        <w:rPr>
          <w:rFonts w:ascii="Times New Roman" w:hAnsi="Times New Roman" w:cs="Times New Roman"/>
          <w:sz w:val="24"/>
          <w:szCs w:val="24"/>
        </w:rPr>
        <w:t xml:space="preserve">  </w:t>
      </w:r>
    </w:p>
    <w:p w14:paraId="6D461DAB" w14:textId="77777777" w:rsidR="00977570" w:rsidRDefault="00977570" w:rsidP="00977570">
      <w:pPr>
        <w:pStyle w:val="ListParagraph"/>
        <w:numPr>
          <w:ilvl w:val="0"/>
          <w:numId w:val="10"/>
        </w:numPr>
        <w:spacing w:line="480" w:lineRule="auto"/>
        <w:jc w:val="both"/>
        <w:rPr>
          <w:rFonts w:ascii="Times New Roman" w:hAnsi="Times New Roman" w:cs="Times New Roman"/>
          <w:sz w:val="24"/>
          <w:szCs w:val="24"/>
        </w:rPr>
      </w:pPr>
      <w:r w:rsidRPr="00977570">
        <w:rPr>
          <w:rFonts w:ascii="Times New Roman" w:hAnsi="Times New Roman" w:cs="Times New Roman"/>
          <w:sz w:val="24"/>
          <w:szCs w:val="24"/>
        </w:rPr>
        <w:t xml:space="preserve">If the power is excluded, it may be done in a way that permits the mortgagor to grant a lease subject to the prior consent of the mortgagee. </w:t>
      </w:r>
    </w:p>
    <w:p w14:paraId="35ED117F" w14:textId="77777777" w:rsidR="00977570" w:rsidRPr="00977570" w:rsidRDefault="00977570" w:rsidP="00977570">
      <w:pPr>
        <w:pStyle w:val="ListParagraph"/>
        <w:rPr>
          <w:rFonts w:ascii="Times New Roman" w:hAnsi="Times New Roman" w:cs="Times New Roman"/>
          <w:sz w:val="24"/>
          <w:szCs w:val="24"/>
        </w:rPr>
      </w:pPr>
    </w:p>
    <w:p w14:paraId="62C51006" w14:textId="77777777" w:rsidR="00977570" w:rsidRDefault="00977570" w:rsidP="00977570">
      <w:pPr>
        <w:pStyle w:val="ListParagraph"/>
        <w:numPr>
          <w:ilvl w:val="0"/>
          <w:numId w:val="10"/>
        </w:numPr>
        <w:spacing w:line="480" w:lineRule="auto"/>
        <w:jc w:val="both"/>
        <w:rPr>
          <w:rFonts w:ascii="Times New Roman" w:hAnsi="Times New Roman" w:cs="Times New Roman"/>
          <w:sz w:val="24"/>
          <w:szCs w:val="24"/>
        </w:rPr>
      </w:pPr>
      <w:r w:rsidRPr="00977570">
        <w:rPr>
          <w:rFonts w:ascii="Times New Roman" w:hAnsi="Times New Roman" w:cs="Times New Roman"/>
          <w:sz w:val="24"/>
          <w:szCs w:val="24"/>
        </w:rPr>
        <w:t>If such prior written consent is not obtained by the mortgagor and the mortgagor proceeds to enter into a lease with a tenant, the lease will be binding on the mortgagor as lessor, but as against the mortgagee, the lease will not be binding</w:t>
      </w:r>
      <w:r>
        <w:rPr>
          <w:rFonts w:ascii="Times New Roman" w:hAnsi="Times New Roman" w:cs="Times New Roman"/>
          <w:sz w:val="24"/>
          <w:szCs w:val="24"/>
        </w:rPr>
        <w:t>.</w:t>
      </w:r>
    </w:p>
    <w:p w14:paraId="3D049CAF" w14:textId="77777777" w:rsidR="00977570" w:rsidRPr="00977570" w:rsidRDefault="00977570" w:rsidP="00977570">
      <w:pPr>
        <w:pStyle w:val="ListParagraph"/>
        <w:rPr>
          <w:rFonts w:ascii="Times New Roman" w:hAnsi="Times New Roman" w:cs="Times New Roman"/>
          <w:sz w:val="24"/>
          <w:szCs w:val="24"/>
        </w:rPr>
      </w:pPr>
    </w:p>
    <w:p w14:paraId="74FBABA1" w14:textId="77777777" w:rsidR="00977570" w:rsidRDefault="00977570" w:rsidP="00977570">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Pr="00977570">
        <w:rPr>
          <w:rFonts w:ascii="Times New Roman" w:hAnsi="Times New Roman" w:cs="Times New Roman"/>
          <w:sz w:val="24"/>
          <w:szCs w:val="24"/>
        </w:rPr>
        <w:t xml:space="preserve">n certain circumstances, the lease may be binding on the mortgagee such as where, for example, the mortgagee serves a notice on the tenant to pay the rent to him. </w:t>
      </w:r>
    </w:p>
    <w:p w14:paraId="75F43952" w14:textId="77777777" w:rsidR="00977570" w:rsidRPr="00977570" w:rsidRDefault="00977570" w:rsidP="00977570">
      <w:pPr>
        <w:pStyle w:val="ListParagraph"/>
        <w:rPr>
          <w:rFonts w:ascii="Times New Roman" w:hAnsi="Times New Roman" w:cs="Times New Roman"/>
          <w:sz w:val="24"/>
          <w:szCs w:val="24"/>
        </w:rPr>
      </w:pPr>
    </w:p>
    <w:p w14:paraId="3547E61E" w14:textId="77777777" w:rsidR="00977570" w:rsidRDefault="00977570" w:rsidP="00977570">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977570">
        <w:rPr>
          <w:rFonts w:ascii="Times New Roman" w:hAnsi="Times New Roman" w:cs="Times New Roman"/>
          <w:sz w:val="24"/>
          <w:szCs w:val="24"/>
        </w:rPr>
        <w:t>mere fact that the mortgagee is aware of the existence of a tenancy and that a tenant is paying rent to the mortgagor which is being used to pay the obligations of the mortgagor to the mortgagee, is not, of itself, sufficient to create a relationship between the mortgagor's tenant and the mortgagee.</w:t>
      </w:r>
    </w:p>
    <w:p w14:paraId="2253D2F5" w14:textId="77777777" w:rsidR="005E3392" w:rsidRDefault="005E3392" w:rsidP="005E3392">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04D0D47A" w14:textId="77777777" w:rsidR="005E3392" w:rsidRDefault="00977570"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Applying the foregoing to </w:t>
      </w:r>
      <w:r w:rsidR="005E3392" w:rsidRPr="00977570">
        <w:rPr>
          <w:rFonts w:ascii="Times New Roman" w:hAnsi="Times New Roman" w:cs="Times New Roman"/>
          <w:sz w:val="24"/>
          <w:szCs w:val="24"/>
        </w:rPr>
        <w:t xml:space="preserve">clause 7.19 </w:t>
      </w:r>
      <w:r>
        <w:rPr>
          <w:rFonts w:ascii="Times New Roman" w:hAnsi="Times New Roman" w:cs="Times New Roman"/>
          <w:sz w:val="24"/>
          <w:szCs w:val="24"/>
        </w:rPr>
        <w:t>of the mortgage in issue here</w:t>
      </w:r>
      <w:r w:rsidR="00DA3268">
        <w:rPr>
          <w:rFonts w:ascii="Times New Roman" w:hAnsi="Times New Roman" w:cs="Times New Roman"/>
          <w:sz w:val="24"/>
          <w:szCs w:val="24"/>
        </w:rPr>
        <w:t xml:space="preserve">, </w:t>
      </w:r>
      <w:r w:rsidR="005E3392" w:rsidRPr="00977570">
        <w:rPr>
          <w:rFonts w:ascii="Times New Roman" w:hAnsi="Times New Roman" w:cs="Times New Roman"/>
          <w:sz w:val="24"/>
          <w:szCs w:val="24"/>
        </w:rPr>
        <w:t>the provision requires the consent in writing of the Bank before a mortgagor can enter into a lease, or other</w:t>
      </w:r>
      <w:r w:rsidR="00796BCE">
        <w:rPr>
          <w:rFonts w:ascii="Times New Roman" w:hAnsi="Times New Roman" w:cs="Times New Roman"/>
          <w:sz w:val="24"/>
          <w:szCs w:val="24"/>
        </w:rPr>
        <w:t xml:space="preserve"> </w:t>
      </w:r>
      <w:r w:rsidR="005E3392" w:rsidRPr="00977570">
        <w:rPr>
          <w:rFonts w:ascii="Times New Roman" w:hAnsi="Times New Roman" w:cs="Times New Roman"/>
          <w:sz w:val="24"/>
          <w:szCs w:val="24"/>
        </w:rPr>
        <w:t>agreement of the kind referred to in the provision, and it is clear that no such written consent was obtained</w:t>
      </w:r>
      <w:r w:rsidR="00D72BBE">
        <w:rPr>
          <w:rFonts w:ascii="Times New Roman" w:hAnsi="Times New Roman" w:cs="Times New Roman"/>
          <w:sz w:val="24"/>
          <w:szCs w:val="24"/>
        </w:rPr>
        <w:t xml:space="preserve"> in respect of any of the leases</w:t>
      </w:r>
      <w:r w:rsidR="005E3392" w:rsidRPr="00977570">
        <w:rPr>
          <w:rFonts w:ascii="Times New Roman" w:hAnsi="Times New Roman" w:cs="Times New Roman"/>
          <w:sz w:val="24"/>
          <w:szCs w:val="24"/>
        </w:rPr>
        <w:t xml:space="preserve">.  On its face, </w:t>
      </w:r>
      <w:r w:rsidR="001205D1" w:rsidRPr="00977570">
        <w:rPr>
          <w:rFonts w:ascii="Times New Roman" w:hAnsi="Times New Roman" w:cs="Times New Roman"/>
          <w:sz w:val="24"/>
          <w:szCs w:val="24"/>
        </w:rPr>
        <w:t xml:space="preserve">while </w:t>
      </w:r>
      <w:r w:rsidR="00D72BBE">
        <w:rPr>
          <w:rFonts w:ascii="Times New Roman" w:hAnsi="Times New Roman" w:cs="Times New Roman"/>
          <w:sz w:val="24"/>
          <w:szCs w:val="24"/>
        </w:rPr>
        <w:t xml:space="preserve">some or all </w:t>
      </w:r>
      <w:r w:rsidR="001205D1" w:rsidRPr="00977570">
        <w:rPr>
          <w:rFonts w:ascii="Times New Roman" w:hAnsi="Times New Roman" w:cs="Times New Roman"/>
          <w:sz w:val="24"/>
          <w:szCs w:val="24"/>
        </w:rPr>
        <w:t>th</w:t>
      </w:r>
      <w:r w:rsidR="00D72BBE">
        <w:rPr>
          <w:rFonts w:ascii="Times New Roman" w:hAnsi="Times New Roman" w:cs="Times New Roman"/>
          <w:sz w:val="24"/>
          <w:szCs w:val="24"/>
        </w:rPr>
        <w:t>os</w:t>
      </w:r>
      <w:r w:rsidR="001205D1" w:rsidRPr="00977570">
        <w:rPr>
          <w:rFonts w:ascii="Times New Roman" w:hAnsi="Times New Roman" w:cs="Times New Roman"/>
          <w:sz w:val="24"/>
          <w:szCs w:val="24"/>
        </w:rPr>
        <w:t>e lease</w:t>
      </w:r>
      <w:r w:rsidR="00D72BBE">
        <w:rPr>
          <w:rFonts w:ascii="Times New Roman" w:hAnsi="Times New Roman" w:cs="Times New Roman"/>
          <w:sz w:val="24"/>
          <w:szCs w:val="24"/>
        </w:rPr>
        <w:t>s</w:t>
      </w:r>
      <w:r w:rsidR="001205D1" w:rsidRPr="00977570">
        <w:rPr>
          <w:rFonts w:ascii="Times New Roman" w:hAnsi="Times New Roman" w:cs="Times New Roman"/>
          <w:sz w:val="24"/>
          <w:szCs w:val="24"/>
        </w:rPr>
        <w:t xml:space="preserve"> may be valid as between the parties to </w:t>
      </w:r>
      <w:r w:rsidR="00D72BBE">
        <w:rPr>
          <w:rFonts w:ascii="Times New Roman" w:hAnsi="Times New Roman" w:cs="Times New Roman"/>
          <w:sz w:val="24"/>
          <w:szCs w:val="24"/>
        </w:rPr>
        <w:t>them</w:t>
      </w:r>
      <w:r w:rsidR="001205D1" w:rsidRPr="00977570">
        <w:rPr>
          <w:rFonts w:ascii="Times New Roman" w:hAnsi="Times New Roman" w:cs="Times New Roman"/>
          <w:sz w:val="24"/>
          <w:szCs w:val="24"/>
        </w:rPr>
        <w:t>,</w:t>
      </w:r>
      <w:r w:rsidR="000C6757">
        <w:rPr>
          <w:rFonts w:ascii="Times New Roman" w:hAnsi="Times New Roman" w:cs="Times New Roman"/>
          <w:sz w:val="24"/>
          <w:szCs w:val="24"/>
        </w:rPr>
        <w:t xml:space="preserve"> unless the defendant can bring the facts within point (iv) and </w:t>
      </w:r>
      <w:r w:rsidR="00DA3268">
        <w:rPr>
          <w:rFonts w:ascii="Times New Roman" w:hAnsi="Times New Roman" w:cs="Times New Roman"/>
          <w:sz w:val="24"/>
          <w:szCs w:val="24"/>
        </w:rPr>
        <w:t xml:space="preserve">having regard to point </w:t>
      </w:r>
      <w:r w:rsidR="000C6757">
        <w:rPr>
          <w:rFonts w:ascii="Times New Roman" w:hAnsi="Times New Roman" w:cs="Times New Roman"/>
          <w:sz w:val="24"/>
          <w:szCs w:val="24"/>
        </w:rPr>
        <w:t xml:space="preserve">(v) above, </w:t>
      </w:r>
      <w:r w:rsidR="001205D1" w:rsidRPr="00977570">
        <w:rPr>
          <w:rFonts w:ascii="Times New Roman" w:hAnsi="Times New Roman" w:cs="Times New Roman"/>
          <w:sz w:val="24"/>
          <w:szCs w:val="24"/>
        </w:rPr>
        <w:t xml:space="preserve"> </w:t>
      </w:r>
      <w:r w:rsidR="005E3392" w:rsidRPr="00977570">
        <w:rPr>
          <w:rFonts w:ascii="Times New Roman" w:hAnsi="Times New Roman" w:cs="Times New Roman"/>
          <w:sz w:val="24"/>
          <w:szCs w:val="24"/>
        </w:rPr>
        <w:t>this means that the lease</w:t>
      </w:r>
      <w:r w:rsidR="00D72BBE">
        <w:rPr>
          <w:rFonts w:ascii="Times New Roman" w:hAnsi="Times New Roman" w:cs="Times New Roman"/>
          <w:sz w:val="24"/>
          <w:szCs w:val="24"/>
        </w:rPr>
        <w:t>s</w:t>
      </w:r>
      <w:r w:rsidR="005E3392" w:rsidRPr="00977570">
        <w:rPr>
          <w:rFonts w:ascii="Times New Roman" w:hAnsi="Times New Roman" w:cs="Times New Roman"/>
          <w:sz w:val="24"/>
          <w:szCs w:val="24"/>
        </w:rPr>
        <w:t xml:space="preserve"> </w:t>
      </w:r>
      <w:r w:rsidR="00D72BBE">
        <w:rPr>
          <w:rFonts w:ascii="Times New Roman" w:hAnsi="Times New Roman" w:cs="Times New Roman"/>
          <w:sz w:val="24"/>
          <w:szCs w:val="24"/>
        </w:rPr>
        <w:t xml:space="preserve">are </w:t>
      </w:r>
      <w:r w:rsidR="005E3392" w:rsidRPr="00977570">
        <w:rPr>
          <w:rFonts w:ascii="Times New Roman" w:hAnsi="Times New Roman" w:cs="Times New Roman"/>
          <w:sz w:val="24"/>
          <w:szCs w:val="24"/>
        </w:rPr>
        <w:t xml:space="preserve">null and void </w:t>
      </w:r>
      <w:r w:rsidR="001205D1" w:rsidRPr="00977570">
        <w:rPr>
          <w:rFonts w:ascii="Times New Roman" w:hAnsi="Times New Roman" w:cs="Times New Roman"/>
          <w:sz w:val="24"/>
          <w:szCs w:val="24"/>
        </w:rPr>
        <w:t xml:space="preserve">as between mortgagor and mortgagee </w:t>
      </w:r>
      <w:r w:rsidR="005E3392" w:rsidRPr="00977570">
        <w:rPr>
          <w:rFonts w:ascii="Times New Roman" w:hAnsi="Times New Roman" w:cs="Times New Roman"/>
          <w:sz w:val="24"/>
          <w:szCs w:val="24"/>
        </w:rPr>
        <w:t>consequent upon the breach of the negative pledge clause (</w:t>
      </w:r>
      <w:r>
        <w:rPr>
          <w:rFonts w:ascii="Times New Roman" w:hAnsi="Times New Roman" w:cs="Times New Roman"/>
          <w:sz w:val="24"/>
          <w:szCs w:val="24"/>
        </w:rPr>
        <w:t xml:space="preserve">see also </w:t>
      </w:r>
      <w:r w:rsidR="005E3392" w:rsidRPr="00977570">
        <w:rPr>
          <w:rFonts w:ascii="Times New Roman" w:hAnsi="Times New Roman" w:cs="Times New Roman"/>
          <w:i/>
          <w:sz w:val="24"/>
          <w:szCs w:val="24"/>
        </w:rPr>
        <w:t xml:space="preserve">ICC Bank plc v. </w:t>
      </w:r>
      <w:proofErr w:type="spellStart"/>
      <w:r w:rsidR="005E3392" w:rsidRPr="00977570">
        <w:rPr>
          <w:rFonts w:ascii="Times New Roman" w:hAnsi="Times New Roman" w:cs="Times New Roman"/>
          <w:i/>
          <w:sz w:val="24"/>
          <w:szCs w:val="24"/>
        </w:rPr>
        <w:t>Verling</w:t>
      </w:r>
      <w:proofErr w:type="spellEnd"/>
      <w:r w:rsidR="005E3392" w:rsidRPr="00977570">
        <w:rPr>
          <w:rFonts w:ascii="Times New Roman" w:hAnsi="Times New Roman" w:cs="Times New Roman"/>
          <w:sz w:val="24"/>
          <w:szCs w:val="24"/>
        </w:rPr>
        <w:t xml:space="preserve"> [1995] 1 ILRM 123). </w:t>
      </w:r>
    </w:p>
    <w:p w14:paraId="5A740D22" w14:textId="77777777" w:rsidR="00BE2D36" w:rsidRDefault="00BE2D36" w:rsidP="00BE2D36">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3128AFC3" w14:textId="4B81F938" w:rsidR="00BE2D36" w:rsidRDefault="00BE2D36"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w:t>
      </w:r>
      <w:r w:rsidR="000C6757">
        <w:rPr>
          <w:rFonts w:ascii="Times New Roman" w:hAnsi="Times New Roman" w:cs="Times New Roman"/>
          <w:sz w:val="24"/>
          <w:szCs w:val="24"/>
        </w:rPr>
        <w:t xml:space="preserve"> that regard the facts of</w:t>
      </w:r>
      <w:r>
        <w:rPr>
          <w:rFonts w:ascii="Times New Roman" w:hAnsi="Times New Roman" w:cs="Times New Roman"/>
          <w:sz w:val="24"/>
          <w:szCs w:val="24"/>
        </w:rPr>
        <w:t xml:space="preserve"> </w:t>
      </w:r>
      <w:r>
        <w:rPr>
          <w:rFonts w:ascii="Times New Roman" w:hAnsi="Times New Roman" w:cs="Times New Roman"/>
          <w:i/>
          <w:sz w:val="24"/>
          <w:szCs w:val="24"/>
        </w:rPr>
        <w:t xml:space="preserve">Fennell and </w:t>
      </w:r>
      <w:proofErr w:type="spellStart"/>
      <w:r>
        <w:rPr>
          <w:rFonts w:ascii="Times New Roman" w:hAnsi="Times New Roman" w:cs="Times New Roman"/>
          <w:i/>
          <w:sz w:val="24"/>
          <w:szCs w:val="24"/>
        </w:rPr>
        <w:t>ors</w:t>
      </w:r>
      <w:proofErr w:type="spellEnd"/>
      <w:r>
        <w:rPr>
          <w:rFonts w:ascii="Times New Roman" w:hAnsi="Times New Roman" w:cs="Times New Roman"/>
          <w:i/>
          <w:sz w:val="24"/>
          <w:szCs w:val="24"/>
        </w:rPr>
        <w:t xml:space="preserve"> v. N17 Electronics Ltd. (In Liquidation) </w:t>
      </w:r>
      <w:r w:rsidR="000C6757">
        <w:rPr>
          <w:rFonts w:ascii="Times New Roman" w:hAnsi="Times New Roman" w:cs="Times New Roman"/>
          <w:sz w:val="24"/>
          <w:szCs w:val="24"/>
        </w:rPr>
        <w:t>are i</w:t>
      </w:r>
      <w:r w:rsidR="0097163D">
        <w:rPr>
          <w:rFonts w:ascii="Times New Roman" w:hAnsi="Times New Roman" w:cs="Times New Roman"/>
          <w:sz w:val="24"/>
          <w:szCs w:val="24"/>
        </w:rPr>
        <w:t>nstructive</w:t>
      </w:r>
      <w:r w:rsidR="000C6757">
        <w:rPr>
          <w:rFonts w:ascii="Times New Roman" w:hAnsi="Times New Roman" w:cs="Times New Roman"/>
          <w:sz w:val="24"/>
          <w:szCs w:val="24"/>
        </w:rPr>
        <w:t xml:space="preserve">.  There, </w:t>
      </w:r>
      <w:r>
        <w:rPr>
          <w:rFonts w:ascii="Times New Roman" w:hAnsi="Times New Roman" w:cs="Times New Roman"/>
          <w:sz w:val="24"/>
          <w:szCs w:val="24"/>
        </w:rPr>
        <w:t xml:space="preserve">the </w:t>
      </w:r>
      <w:r w:rsidR="001D017E">
        <w:rPr>
          <w:rFonts w:ascii="Times New Roman" w:hAnsi="Times New Roman" w:cs="Times New Roman"/>
          <w:sz w:val="24"/>
          <w:szCs w:val="24"/>
        </w:rPr>
        <w:t>owner of four properties</w:t>
      </w:r>
      <w:r>
        <w:rPr>
          <w:rFonts w:ascii="Times New Roman" w:hAnsi="Times New Roman" w:cs="Times New Roman"/>
          <w:sz w:val="24"/>
          <w:szCs w:val="24"/>
        </w:rPr>
        <w:t xml:space="preserve"> had mortgaged </w:t>
      </w:r>
      <w:r w:rsidR="001D017E">
        <w:rPr>
          <w:rFonts w:ascii="Times New Roman" w:hAnsi="Times New Roman" w:cs="Times New Roman"/>
          <w:sz w:val="24"/>
          <w:szCs w:val="24"/>
        </w:rPr>
        <w:t>them to ACC Bank plc.  The mortgages required the consent of the mortgagee prior to the creation of any leases of the properties and the owner, notwithstanding that covenant</w:t>
      </w:r>
      <w:r w:rsidR="00D63B90">
        <w:rPr>
          <w:rFonts w:ascii="Times New Roman" w:hAnsi="Times New Roman" w:cs="Times New Roman"/>
          <w:sz w:val="24"/>
          <w:szCs w:val="24"/>
        </w:rPr>
        <w:t>,</w:t>
      </w:r>
      <w:r w:rsidR="001D017E">
        <w:rPr>
          <w:rFonts w:ascii="Times New Roman" w:hAnsi="Times New Roman" w:cs="Times New Roman"/>
          <w:sz w:val="24"/>
          <w:szCs w:val="24"/>
        </w:rPr>
        <w:t xml:space="preserve"> proceeded to enter into a business lease agreement with the respondent in respect of them.  The applicants (the </w:t>
      </w:r>
      <w:r w:rsidR="00DA3268">
        <w:rPr>
          <w:rFonts w:ascii="Times New Roman" w:hAnsi="Times New Roman" w:cs="Times New Roman"/>
          <w:sz w:val="24"/>
          <w:szCs w:val="24"/>
        </w:rPr>
        <w:t>b</w:t>
      </w:r>
      <w:r w:rsidR="001D017E">
        <w:rPr>
          <w:rFonts w:ascii="Times New Roman" w:hAnsi="Times New Roman" w:cs="Times New Roman"/>
          <w:sz w:val="24"/>
          <w:szCs w:val="24"/>
        </w:rPr>
        <w:t xml:space="preserve">ank and a receiver appointed by it) sought declaratory orders that the lease agreement was unenforceable against the </w:t>
      </w:r>
      <w:r w:rsidR="00DA3268">
        <w:rPr>
          <w:rFonts w:ascii="Times New Roman" w:hAnsi="Times New Roman" w:cs="Times New Roman"/>
          <w:sz w:val="24"/>
          <w:szCs w:val="24"/>
        </w:rPr>
        <w:t>b</w:t>
      </w:r>
      <w:r w:rsidR="001D017E">
        <w:rPr>
          <w:rFonts w:ascii="Times New Roman" w:hAnsi="Times New Roman" w:cs="Times New Roman"/>
          <w:sz w:val="24"/>
          <w:szCs w:val="24"/>
        </w:rPr>
        <w:t xml:space="preserve">ank.  One of the issues arose from the contention of the </w:t>
      </w:r>
      <w:r w:rsidR="001D017E">
        <w:rPr>
          <w:rFonts w:ascii="Times New Roman" w:hAnsi="Times New Roman" w:cs="Times New Roman"/>
          <w:sz w:val="24"/>
          <w:szCs w:val="24"/>
        </w:rPr>
        <w:lastRenderedPageBreak/>
        <w:t>respondent that the bank was aware of the occupation of the units, that the rent payable by the respondent was used by the owner to make repayments due by him to the bank on foot of the various charges and that the bank was anxious that a formal leasing arrangement with the respondent be entered into.  Having thus taken the benefit of the arrangements, it was said, the bank could not deny them.</w:t>
      </w:r>
    </w:p>
    <w:p w14:paraId="00EBA097" w14:textId="77777777" w:rsidR="001D017E" w:rsidRPr="001D017E" w:rsidRDefault="001D017E" w:rsidP="001D017E">
      <w:pPr>
        <w:pStyle w:val="ListParagraph"/>
        <w:rPr>
          <w:rFonts w:ascii="Times New Roman" w:hAnsi="Times New Roman" w:cs="Times New Roman"/>
          <w:sz w:val="24"/>
          <w:szCs w:val="24"/>
        </w:rPr>
      </w:pPr>
    </w:p>
    <w:p w14:paraId="6A7C5EAD" w14:textId="77777777" w:rsidR="00E56763" w:rsidRPr="00E56763" w:rsidRDefault="001D017E" w:rsidP="00E5676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view of Dunne J. the fact that the </w:t>
      </w:r>
      <w:r w:rsidR="00DA3268">
        <w:rPr>
          <w:rFonts w:ascii="Times New Roman" w:hAnsi="Times New Roman" w:cs="Times New Roman"/>
          <w:sz w:val="24"/>
          <w:szCs w:val="24"/>
        </w:rPr>
        <w:t>b</w:t>
      </w:r>
      <w:r>
        <w:rPr>
          <w:rFonts w:ascii="Times New Roman" w:hAnsi="Times New Roman" w:cs="Times New Roman"/>
          <w:sz w:val="24"/>
          <w:szCs w:val="24"/>
        </w:rPr>
        <w:t>ank did not consent to the leasing agreements and never conveyed to the owner that it accepted their validity when combined with the fact that the nature of those arrangements was such that it would never have agreed to them, was inconsistent with the asserted validity of the</w:t>
      </w:r>
      <w:r w:rsidR="00DA3268">
        <w:rPr>
          <w:rFonts w:ascii="Times New Roman" w:hAnsi="Times New Roman" w:cs="Times New Roman"/>
          <w:sz w:val="24"/>
          <w:szCs w:val="24"/>
        </w:rPr>
        <w:t xml:space="preserve"> lease agreements</w:t>
      </w:r>
      <w:r>
        <w:rPr>
          <w:rFonts w:ascii="Times New Roman" w:hAnsi="Times New Roman" w:cs="Times New Roman"/>
          <w:sz w:val="24"/>
          <w:szCs w:val="24"/>
        </w:rPr>
        <w:t>.</w:t>
      </w:r>
      <w:r w:rsidR="00B62C4E">
        <w:rPr>
          <w:rFonts w:ascii="Times New Roman" w:hAnsi="Times New Roman" w:cs="Times New Roman"/>
          <w:sz w:val="24"/>
          <w:szCs w:val="24"/>
        </w:rPr>
        <w:t xml:space="preserve">  That conclusion was based upon, and followed from the decision in </w:t>
      </w:r>
      <w:r w:rsidR="00B62C4E">
        <w:rPr>
          <w:rFonts w:ascii="Times New Roman" w:hAnsi="Times New Roman" w:cs="Times New Roman"/>
          <w:i/>
          <w:sz w:val="24"/>
          <w:szCs w:val="24"/>
        </w:rPr>
        <w:t xml:space="preserve">In Re O’Rourke’s Estate </w:t>
      </w:r>
      <w:r w:rsidR="00B62C4E">
        <w:rPr>
          <w:rFonts w:ascii="Times New Roman" w:hAnsi="Times New Roman" w:cs="Times New Roman"/>
          <w:sz w:val="24"/>
          <w:szCs w:val="24"/>
        </w:rPr>
        <w:t>(1889) 23 LR Ir. 497, in which Munroe J. explained the distinction between conduct of a mortgagee falling short of express consent in writing, and actions which would preclude the mortgagee from relying upon a negative covenant of this kind by reference to whether a new tenancy had arisen between the mortgagee and the tenant</w:t>
      </w:r>
      <w:r w:rsidR="000D1208">
        <w:rPr>
          <w:rFonts w:ascii="Times New Roman" w:hAnsi="Times New Roman" w:cs="Times New Roman"/>
          <w:sz w:val="24"/>
          <w:szCs w:val="24"/>
        </w:rPr>
        <w:t>. T</w:t>
      </w:r>
      <w:r w:rsidR="00B62C4E" w:rsidRPr="000D1208">
        <w:rPr>
          <w:rFonts w:ascii="Times New Roman" w:hAnsi="Times New Roman" w:cs="Times New Roman"/>
          <w:sz w:val="24"/>
          <w:szCs w:val="24"/>
        </w:rPr>
        <w:t>his would arise, he said, where the mortgagee entered into receipt of the rents and continue</w:t>
      </w:r>
      <w:r w:rsidR="00796BCE">
        <w:rPr>
          <w:rFonts w:ascii="Times New Roman" w:hAnsi="Times New Roman" w:cs="Times New Roman"/>
          <w:sz w:val="24"/>
          <w:szCs w:val="24"/>
        </w:rPr>
        <w:t>d</w:t>
      </w:r>
      <w:r w:rsidR="00B62C4E" w:rsidRPr="000D1208">
        <w:rPr>
          <w:rFonts w:ascii="Times New Roman" w:hAnsi="Times New Roman" w:cs="Times New Roman"/>
          <w:sz w:val="24"/>
          <w:szCs w:val="24"/>
        </w:rPr>
        <w:t xml:space="preserve"> to take them from the tenants, or where the mortgagee served notice on the tenant requiring him to pay his rents direct to the mortgagee (at p. 500).</w:t>
      </w:r>
      <w:r w:rsidR="00E56763">
        <w:rPr>
          <w:rFonts w:ascii="Times New Roman" w:hAnsi="Times New Roman" w:cs="Times New Roman"/>
          <w:sz w:val="24"/>
          <w:szCs w:val="24"/>
        </w:rPr>
        <w:t xml:space="preserve">  No authority was opened to this Court suggesting that in this – or any other – regard Dunne J. was incorrect in the conclusions she reached in </w:t>
      </w:r>
      <w:r w:rsidR="00E56763">
        <w:rPr>
          <w:rFonts w:ascii="Times New Roman" w:hAnsi="Times New Roman" w:cs="Times New Roman"/>
          <w:i/>
          <w:sz w:val="24"/>
          <w:szCs w:val="24"/>
        </w:rPr>
        <w:t xml:space="preserve">Fennell and </w:t>
      </w:r>
      <w:proofErr w:type="spellStart"/>
      <w:r w:rsidR="00E56763">
        <w:rPr>
          <w:rFonts w:ascii="Times New Roman" w:hAnsi="Times New Roman" w:cs="Times New Roman"/>
          <w:i/>
          <w:sz w:val="24"/>
          <w:szCs w:val="24"/>
        </w:rPr>
        <w:t>ors</w:t>
      </w:r>
      <w:proofErr w:type="spellEnd"/>
      <w:r w:rsidR="00E56763">
        <w:rPr>
          <w:rFonts w:ascii="Times New Roman" w:hAnsi="Times New Roman" w:cs="Times New Roman"/>
          <w:i/>
          <w:sz w:val="24"/>
          <w:szCs w:val="24"/>
        </w:rPr>
        <w:t xml:space="preserve"> v. N17 Electronics Ltd. (In Liquidation)</w:t>
      </w:r>
      <w:r w:rsidR="00E56763">
        <w:rPr>
          <w:rFonts w:ascii="Times New Roman" w:hAnsi="Times New Roman" w:cs="Times New Roman"/>
          <w:sz w:val="24"/>
          <w:szCs w:val="24"/>
        </w:rPr>
        <w:t>.  The decision appears to me to correctly state the law.</w:t>
      </w:r>
    </w:p>
    <w:p w14:paraId="4048F7ED" w14:textId="77777777" w:rsidR="00CF2FD6" w:rsidRPr="00CF2FD6" w:rsidRDefault="00CF2FD6" w:rsidP="00CF2FD6">
      <w:pPr>
        <w:pStyle w:val="ListParagraph"/>
        <w:rPr>
          <w:rFonts w:ascii="Times New Roman" w:hAnsi="Times New Roman" w:cs="Times New Roman"/>
          <w:sz w:val="24"/>
          <w:szCs w:val="24"/>
        </w:rPr>
      </w:pPr>
    </w:p>
    <w:p w14:paraId="4A5C25AD" w14:textId="684A8955" w:rsidR="00CF2FD6" w:rsidRDefault="00CF2FD6"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w:t>
      </w:r>
      <w:r w:rsidR="00506174">
        <w:rPr>
          <w:rFonts w:ascii="Times New Roman" w:hAnsi="Times New Roman" w:cs="Times New Roman"/>
          <w:sz w:val="24"/>
          <w:szCs w:val="24"/>
        </w:rPr>
        <w:t xml:space="preserve">e same point was made </w:t>
      </w:r>
      <w:r>
        <w:rPr>
          <w:rFonts w:ascii="Times New Roman" w:hAnsi="Times New Roman" w:cs="Times New Roman"/>
          <w:sz w:val="24"/>
          <w:szCs w:val="24"/>
        </w:rPr>
        <w:t xml:space="preserve">by Peart J. in </w:t>
      </w:r>
      <w:r>
        <w:rPr>
          <w:rFonts w:ascii="Times New Roman" w:hAnsi="Times New Roman" w:cs="Times New Roman"/>
          <w:i/>
          <w:sz w:val="24"/>
          <w:szCs w:val="24"/>
        </w:rPr>
        <w:t>Murphy v. Hooton</w:t>
      </w:r>
      <w:r>
        <w:rPr>
          <w:rFonts w:ascii="Times New Roman" w:hAnsi="Times New Roman" w:cs="Times New Roman"/>
          <w:sz w:val="24"/>
          <w:szCs w:val="24"/>
        </w:rPr>
        <w:t xml:space="preserve"> [2014] IEHC 266, where he said of a provision such as clause 7.19 (at para. 22):</w:t>
      </w:r>
    </w:p>
    <w:p w14:paraId="4C1E2AE0" w14:textId="77777777" w:rsidR="00CF2FD6" w:rsidRPr="00CF2FD6" w:rsidRDefault="00CF2FD6" w:rsidP="00CF2FD6">
      <w:pPr>
        <w:pStyle w:val="ListParagraph"/>
        <w:rPr>
          <w:rFonts w:ascii="Times New Roman" w:hAnsi="Times New Roman" w:cs="Times New Roman"/>
          <w:sz w:val="24"/>
          <w:szCs w:val="24"/>
        </w:rPr>
      </w:pPr>
    </w:p>
    <w:p w14:paraId="3C5FA2BA" w14:textId="77777777" w:rsidR="00CF2FD6" w:rsidRPr="00CF2FD6" w:rsidRDefault="00CF2FD6" w:rsidP="00CF2F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Where it is sought to imply by its conduct that the lender has acquiesced or given up its entitlement to the protection of such a clause, the facts must be clear </w:t>
      </w:r>
      <w:r>
        <w:rPr>
          <w:rFonts w:ascii="Times New Roman" w:hAnsi="Times New Roman" w:cs="Times New Roman"/>
          <w:i/>
          <w:sz w:val="24"/>
          <w:szCs w:val="24"/>
        </w:rPr>
        <w:lastRenderedPageBreak/>
        <w:t>so that an intention to do so is clearly made out, in circumstances where the need for a prior written consent is so clearly spelled out.’</w:t>
      </w:r>
    </w:p>
    <w:p w14:paraId="3BF27AC2" w14:textId="77777777" w:rsidR="000B417E" w:rsidRPr="000B417E" w:rsidRDefault="000B417E" w:rsidP="000B417E">
      <w:pPr>
        <w:pStyle w:val="ListParagraph"/>
        <w:rPr>
          <w:rFonts w:ascii="Times New Roman" w:hAnsi="Times New Roman" w:cs="Times New Roman"/>
          <w:sz w:val="24"/>
          <w:szCs w:val="24"/>
        </w:rPr>
      </w:pPr>
    </w:p>
    <w:p w14:paraId="605C3F5D" w14:textId="77777777" w:rsidR="009303D3" w:rsidRDefault="009303D3" w:rsidP="009303D3">
      <w:pPr>
        <w:pStyle w:val="ListParagraph"/>
        <w:spacing w:line="480" w:lineRule="auto"/>
        <w:ind w:left="717"/>
        <w:jc w:val="both"/>
        <w:rPr>
          <w:rFonts w:ascii="Times New Roman" w:hAnsi="Times New Roman" w:cs="Times New Roman"/>
          <w:sz w:val="24"/>
          <w:szCs w:val="24"/>
        </w:rPr>
      </w:pPr>
    </w:p>
    <w:p w14:paraId="4DF7B949" w14:textId="77777777" w:rsidR="009303D3" w:rsidRDefault="009303D3" w:rsidP="009303D3">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b/>
          <w:i/>
          <w:sz w:val="24"/>
          <w:szCs w:val="24"/>
        </w:rPr>
        <w:t>Application to the facts</w:t>
      </w:r>
      <w:r>
        <w:rPr>
          <w:rFonts w:ascii="Times New Roman" w:hAnsi="Times New Roman" w:cs="Times New Roman"/>
          <w:sz w:val="24"/>
          <w:szCs w:val="24"/>
        </w:rPr>
        <w:t xml:space="preserve">  </w:t>
      </w:r>
    </w:p>
    <w:p w14:paraId="338C11F1" w14:textId="77777777" w:rsidR="009303D3" w:rsidRDefault="009303D3" w:rsidP="009303D3">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1F991E06" w14:textId="77777777" w:rsidR="003529A1" w:rsidRDefault="003529A1"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foregoing </w:t>
      </w:r>
      <w:r w:rsidR="00CF2EE6">
        <w:rPr>
          <w:rFonts w:ascii="Times New Roman" w:hAnsi="Times New Roman" w:cs="Times New Roman"/>
          <w:sz w:val="24"/>
          <w:szCs w:val="24"/>
        </w:rPr>
        <w:t xml:space="preserve">considerations of fact and law </w:t>
      </w:r>
      <w:r>
        <w:rPr>
          <w:rFonts w:ascii="Times New Roman" w:hAnsi="Times New Roman" w:cs="Times New Roman"/>
          <w:sz w:val="24"/>
          <w:szCs w:val="24"/>
        </w:rPr>
        <w:t>lead me to the following conclusions.  First, no basis has been suggested on which this Court can review the findings of the trial Judge (a) that the Bank did not consent to any of the leases, (b) that its consent was never sought to those leases and (c) that had that consent been sought it would not have been forthcoming.  Those findings were based on the evidence of Mr. O’Connor, and that evidence was not contradicted by any oral testimony from the defendant.</w:t>
      </w:r>
    </w:p>
    <w:p w14:paraId="50218CFE" w14:textId="77777777" w:rsidR="003529A1" w:rsidRDefault="003529A1" w:rsidP="003529A1">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322ACAAF" w14:textId="74556143" w:rsidR="000A0997" w:rsidRDefault="003529A1" w:rsidP="000A099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Second, </w:t>
      </w:r>
      <w:r w:rsidR="000652DC">
        <w:rPr>
          <w:rFonts w:ascii="Times New Roman" w:hAnsi="Times New Roman" w:cs="Times New Roman"/>
          <w:sz w:val="24"/>
          <w:szCs w:val="24"/>
        </w:rPr>
        <w:t xml:space="preserve">it cannot be said on the facts here that the circumstance which the authorities most readily identify as precluding reliance by a mortgagee on a negative pledge clause of the kind in issue– acceptance from the tenant of rent – has occurred.  Indeed, the defendant made a point in the High Court of stressing the reluctance of the plaintiff to accept any rent from those purportedly occupying the properties.  The arrangement put in place in respect of the </w:t>
      </w:r>
      <w:proofErr w:type="spellStart"/>
      <w:r w:rsidR="000652DC">
        <w:rPr>
          <w:rFonts w:ascii="Times New Roman" w:hAnsi="Times New Roman" w:cs="Times New Roman"/>
          <w:sz w:val="24"/>
          <w:szCs w:val="24"/>
        </w:rPr>
        <w:t>Oulart</w:t>
      </w:r>
      <w:proofErr w:type="spellEnd"/>
      <w:r w:rsidR="000652DC">
        <w:rPr>
          <w:rFonts w:ascii="Times New Roman" w:hAnsi="Times New Roman" w:cs="Times New Roman"/>
          <w:sz w:val="24"/>
          <w:szCs w:val="24"/>
        </w:rPr>
        <w:t xml:space="preserve"> property by the Order of Costello J. of 3</w:t>
      </w:r>
      <w:r w:rsidR="00EF62B1">
        <w:rPr>
          <w:rFonts w:ascii="Times New Roman" w:hAnsi="Times New Roman" w:cs="Times New Roman"/>
          <w:sz w:val="24"/>
          <w:szCs w:val="24"/>
          <w:vertAlign w:val="superscript"/>
        </w:rPr>
        <w:t xml:space="preserve"> </w:t>
      </w:r>
      <w:r w:rsidR="000652DC">
        <w:rPr>
          <w:rFonts w:ascii="Times New Roman" w:hAnsi="Times New Roman" w:cs="Times New Roman"/>
          <w:sz w:val="24"/>
          <w:szCs w:val="24"/>
        </w:rPr>
        <w:t>May 2018 was expressly directed on a without prejudice basis.</w:t>
      </w:r>
      <w:r w:rsidR="000A0997">
        <w:rPr>
          <w:rFonts w:ascii="Times New Roman" w:hAnsi="Times New Roman" w:cs="Times New Roman"/>
          <w:sz w:val="24"/>
          <w:szCs w:val="24"/>
        </w:rPr>
        <w:t xml:space="preserve">  Similarly, and insofar as the defendant referred to the fact that by </w:t>
      </w:r>
      <w:r w:rsidR="00AF3105">
        <w:rPr>
          <w:rFonts w:ascii="Times New Roman" w:hAnsi="Times New Roman" w:cs="Times New Roman"/>
          <w:sz w:val="24"/>
          <w:szCs w:val="24"/>
        </w:rPr>
        <w:t xml:space="preserve">order </w:t>
      </w:r>
      <w:r w:rsidR="000A0997">
        <w:rPr>
          <w:rFonts w:ascii="Times New Roman" w:hAnsi="Times New Roman" w:cs="Times New Roman"/>
          <w:sz w:val="24"/>
          <w:szCs w:val="24"/>
        </w:rPr>
        <w:t xml:space="preserve">dated 15 June 2016 </w:t>
      </w:r>
      <w:proofErr w:type="spellStart"/>
      <w:r w:rsidR="000A0997">
        <w:rPr>
          <w:rFonts w:ascii="Times New Roman" w:hAnsi="Times New Roman" w:cs="Times New Roman"/>
          <w:sz w:val="24"/>
          <w:szCs w:val="24"/>
        </w:rPr>
        <w:t>Lucillia</w:t>
      </w:r>
      <w:proofErr w:type="spellEnd"/>
      <w:r w:rsidR="000A0997">
        <w:rPr>
          <w:rFonts w:ascii="Times New Roman" w:hAnsi="Times New Roman" w:cs="Times New Roman"/>
          <w:sz w:val="24"/>
          <w:szCs w:val="24"/>
        </w:rPr>
        <w:t xml:space="preserve"> Gardiner on her own behalf and on behalf of </w:t>
      </w:r>
      <w:proofErr w:type="spellStart"/>
      <w:r w:rsidR="000A0997">
        <w:rPr>
          <w:rFonts w:ascii="Times New Roman" w:hAnsi="Times New Roman" w:cs="Times New Roman"/>
          <w:sz w:val="24"/>
          <w:szCs w:val="24"/>
        </w:rPr>
        <w:t>Melphia</w:t>
      </w:r>
      <w:proofErr w:type="spellEnd"/>
      <w:r w:rsidR="000A0997">
        <w:rPr>
          <w:rFonts w:ascii="Times New Roman" w:hAnsi="Times New Roman" w:cs="Times New Roman"/>
          <w:sz w:val="24"/>
          <w:szCs w:val="24"/>
        </w:rPr>
        <w:t xml:space="preserve"> Enterprises Ltd undertoo</w:t>
      </w:r>
      <w:r w:rsidR="000D1208">
        <w:rPr>
          <w:rFonts w:ascii="Times New Roman" w:hAnsi="Times New Roman" w:cs="Times New Roman"/>
          <w:sz w:val="24"/>
          <w:szCs w:val="24"/>
        </w:rPr>
        <w:t>k</w:t>
      </w:r>
      <w:r w:rsidR="000A0997">
        <w:rPr>
          <w:rFonts w:ascii="Times New Roman" w:hAnsi="Times New Roman" w:cs="Times New Roman"/>
          <w:sz w:val="24"/>
          <w:szCs w:val="24"/>
        </w:rPr>
        <w:t xml:space="preserve"> to pay the sum of €1000 per week to the bank account of the plaintiff</w:t>
      </w:r>
      <w:r w:rsidR="00A91275">
        <w:rPr>
          <w:rFonts w:ascii="Times New Roman" w:hAnsi="Times New Roman" w:cs="Times New Roman"/>
          <w:sz w:val="24"/>
          <w:szCs w:val="24"/>
        </w:rPr>
        <w:t>, t</w:t>
      </w:r>
      <w:r w:rsidR="000A0997">
        <w:rPr>
          <w:rFonts w:ascii="Times New Roman" w:hAnsi="Times New Roman" w:cs="Times New Roman"/>
          <w:sz w:val="24"/>
          <w:szCs w:val="24"/>
        </w:rPr>
        <w:t>he</w:t>
      </w:r>
      <w:r w:rsidR="00AF3105">
        <w:rPr>
          <w:rFonts w:ascii="Times New Roman" w:hAnsi="Times New Roman" w:cs="Times New Roman"/>
          <w:sz w:val="24"/>
          <w:szCs w:val="24"/>
        </w:rPr>
        <w:t xml:space="preserve"> Court </w:t>
      </w:r>
      <w:r w:rsidR="000C2F3E">
        <w:rPr>
          <w:rFonts w:ascii="Times New Roman" w:hAnsi="Times New Roman" w:cs="Times New Roman"/>
          <w:sz w:val="24"/>
          <w:szCs w:val="24"/>
        </w:rPr>
        <w:t>O</w:t>
      </w:r>
      <w:r w:rsidR="00AF3105">
        <w:rPr>
          <w:rFonts w:ascii="Times New Roman" w:hAnsi="Times New Roman" w:cs="Times New Roman"/>
          <w:sz w:val="24"/>
          <w:szCs w:val="24"/>
        </w:rPr>
        <w:t>rder</w:t>
      </w:r>
      <w:r w:rsidR="000A0997">
        <w:rPr>
          <w:rFonts w:ascii="Times New Roman" w:hAnsi="Times New Roman" w:cs="Times New Roman"/>
          <w:sz w:val="24"/>
          <w:szCs w:val="24"/>
        </w:rPr>
        <w:t xml:space="preserve"> provided that these monies were:</w:t>
      </w:r>
    </w:p>
    <w:p w14:paraId="2EAE7052" w14:textId="77777777" w:rsidR="000A0997" w:rsidRPr="0010537D" w:rsidRDefault="000A0997" w:rsidP="000A0997">
      <w:pPr>
        <w:pStyle w:val="ListParagraph"/>
        <w:rPr>
          <w:rFonts w:ascii="Times New Roman" w:hAnsi="Times New Roman" w:cs="Times New Roman"/>
          <w:sz w:val="24"/>
          <w:szCs w:val="24"/>
        </w:rPr>
      </w:pPr>
    </w:p>
    <w:p w14:paraId="7517BDF9" w14:textId="77777777" w:rsidR="000652DC" w:rsidRDefault="000A0997" w:rsidP="000A0997">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to be paid pending the handover of the premises and that payment shall not entitle </w:t>
      </w:r>
      <w:proofErr w:type="spellStart"/>
      <w:r>
        <w:rPr>
          <w:rFonts w:ascii="Times New Roman" w:hAnsi="Times New Roman" w:cs="Times New Roman"/>
          <w:i/>
          <w:sz w:val="24"/>
          <w:szCs w:val="24"/>
        </w:rPr>
        <w:t>Lucillia</w:t>
      </w:r>
      <w:proofErr w:type="spellEnd"/>
      <w:r>
        <w:rPr>
          <w:rFonts w:ascii="Times New Roman" w:hAnsi="Times New Roman" w:cs="Times New Roman"/>
          <w:i/>
          <w:sz w:val="24"/>
          <w:szCs w:val="24"/>
        </w:rPr>
        <w:t xml:space="preserve"> Gardiner, </w:t>
      </w:r>
      <w:proofErr w:type="spellStart"/>
      <w:r>
        <w:rPr>
          <w:rFonts w:ascii="Times New Roman" w:hAnsi="Times New Roman" w:cs="Times New Roman"/>
          <w:i/>
          <w:sz w:val="24"/>
          <w:szCs w:val="24"/>
        </w:rPr>
        <w:t>Melphia</w:t>
      </w:r>
      <w:proofErr w:type="spellEnd"/>
      <w:r>
        <w:rPr>
          <w:rFonts w:ascii="Times New Roman" w:hAnsi="Times New Roman" w:cs="Times New Roman"/>
          <w:i/>
          <w:sz w:val="24"/>
          <w:szCs w:val="24"/>
        </w:rPr>
        <w:t xml:space="preserve"> Enterprises Limited or any other party, to </w:t>
      </w:r>
      <w:r>
        <w:rPr>
          <w:rFonts w:ascii="Times New Roman" w:hAnsi="Times New Roman" w:cs="Times New Roman"/>
          <w:i/>
          <w:sz w:val="24"/>
          <w:szCs w:val="24"/>
        </w:rPr>
        <w:lastRenderedPageBreak/>
        <w:t>any interest of any kind in the property whether under statute or any instrument at law or in equity.’</w:t>
      </w:r>
    </w:p>
    <w:p w14:paraId="2ADFDE89" w14:textId="77777777" w:rsidR="000A0997" w:rsidRPr="000A0997" w:rsidRDefault="000A0997" w:rsidP="000A0997">
      <w:pPr>
        <w:pStyle w:val="ListParagraph"/>
        <w:spacing w:line="480" w:lineRule="auto"/>
        <w:ind w:left="1440"/>
        <w:jc w:val="both"/>
        <w:rPr>
          <w:rFonts w:ascii="Times New Roman" w:hAnsi="Times New Roman" w:cs="Times New Roman"/>
          <w:sz w:val="24"/>
          <w:szCs w:val="24"/>
        </w:rPr>
      </w:pPr>
    </w:p>
    <w:p w14:paraId="696908F4" w14:textId="77777777" w:rsidR="000652DC" w:rsidRPr="00783B9C" w:rsidRDefault="000652DC" w:rsidP="00783B9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Third, while it was accepted by the plaintiff that the </w:t>
      </w:r>
      <w:r w:rsidR="00783B9C">
        <w:rPr>
          <w:rFonts w:ascii="Times New Roman" w:hAnsi="Times New Roman" w:cs="Times New Roman"/>
          <w:sz w:val="24"/>
          <w:szCs w:val="24"/>
        </w:rPr>
        <w:t xml:space="preserve">Bank was aware of the first </w:t>
      </w:r>
      <w:proofErr w:type="spellStart"/>
      <w:r w:rsidR="00783B9C">
        <w:rPr>
          <w:rFonts w:ascii="Times New Roman" w:hAnsi="Times New Roman" w:cs="Times New Roman"/>
          <w:sz w:val="24"/>
          <w:szCs w:val="24"/>
        </w:rPr>
        <w:t>Oulart</w:t>
      </w:r>
      <w:proofErr w:type="spellEnd"/>
      <w:r w:rsidR="00783B9C">
        <w:rPr>
          <w:rFonts w:ascii="Times New Roman" w:hAnsi="Times New Roman" w:cs="Times New Roman"/>
          <w:sz w:val="24"/>
          <w:szCs w:val="24"/>
        </w:rPr>
        <w:t xml:space="preserve"> lease, this expired in November 2012. In the course of her oral argument in this Court counsel for the defendant sought to suggest that that tenant had acquired rights to a renewal under the Landlord and Tenant legislation.  </w:t>
      </w:r>
      <w:r w:rsidR="00666380">
        <w:rPr>
          <w:rFonts w:ascii="Times New Roman" w:hAnsi="Times New Roman" w:cs="Times New Roman"/>
          <w:sz w:val="24"/>
          <w:szCs w:val="24"/>
        </w:rPr>
        <w:t>As I have noted, t</w:t>
      </w:r>
      <w:r w:rsidR="00974C5E">
        <w:rPr>
          <w:rFonts w:ascii="Times New Roman" w:hAnsi="Times New Roman" w:cs="Times New Roman"/>
          <w:sz w:val="24"/>
          <w:szCs w:val="24"/>
        </w:rPr>
        <w:t xml:space="preserve">his was not elaborated upon but in any event </w:t>
      </w:r>
      <w:r w:rsidRPr="00783B9C">
        <w:rPr>
          <w:rFonts w:ascii="Times New Roman" w:hAnsi="Times New Roman" w:cs="Times New Roman"/>
          <w:sz w:val="24"/>
          <w:szCs w:val="24"/>
        </w:rPr>
        <w:t xml:space="preserve">the failure of the defendant to adduce any evidence regarding the leases meant that the Court could not conclude that the first </w:t>
      </w:r>
      <w:proofErr w:type="spellStart"/>
      <w:r w:rsidRPr="00783B9C">
        <w:rPr>
          <w:rFonts w:ascii="Times New Roman" w:hAnsi="Times New Roman" w:cs="Times New Roman"/>
          <w:sz w:val="24"/>
          <w:szCs w:val="24"/>
        </w:rPr>
        <w:t>Oulart</w:t>
      </w:r>
      <w:proofErr w:type="spellEnd"/>
      <w:r w:rsidRPr="00783B9C">
        <w:rPr>
          <w:rFonts w:ascii="Times New Roman" w:hAnsi="Times New Roman" w:cs="Times New Roman"/>
          <w:sz w:val="24"/>
          <w:szCs w:val="24"/>
        </w:rPr>
        <w:t xml:space="preserve"> lease – which had a term of four years and nine months – was renewed or that the tenant otherwise acquired any statutory rights.</w:t>
      </w:r>
    </w:p>
    <w:p w14:paraId="7D897B03" w14:textId="77777777" w:rsidR="000652DC" w:rsidRPr="000652DC" w:rsidRDefault="000652DC" w:rsidP="000652DC">
      <w:pPr>
        <w:pStyle w:val="ListParagraph"/>
        <w:rPr>
          <w:rFonts w:ascii="Times New Roman" w:hAnsi="Times New Roman" w:cs="Times New Roman"/>
          <w:sz w:val="24"/>
          <w:szCs w:val="24"/>
        </w:rPr>
      </w:pPr>
    </w:p>
    <w:p w14:paraId="1E412464" w14:textId="0A813616" w:rsidR="000652DC" w:rsidRDefault="00974C5E" w:rsidP="000652DC">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Fourth, </w:t>
      </w:r>
      <w:r w:rsidR="00CF2EE6">
        <w:rPr>
          <w:rFonts w:ascii="Times New Roman" w:hAnsi="Times New Roman" w:cs="Times New Roman"/>
          <w:sz w:val="24"/>
          <w:szCs w:val="24"/>
        </w:rPr>
        <w:t>t</w:t>
      </w:r>
      <w:r w:rsidR="000652DC">
        <w:rPr>
          <w:rFonts w:ascii="Times New Roman" w:hAnsi="Times New Roman" w:cs="Times New Roman"/>
          <w:sz w:val="24"/>
          <w:szCs w:val="24"/>
        </w:rPr>
        <w:t>he defendant sought to place some reliance on an indicative term sheet furnished to him on</w:t>
      </w:r>
      <w:r w:rsidR="00CF2EE6">
        <w:rPr>
          <w:rFonts w:ascii="Times New Roman" w:hAnsi="Times New Roman" w:cs="Times New Roman"/>
          <w:sz w:val="24"/>
          <w:szCs w:val="24"/>
        </w:rPr>
        <w:t xml:space="preserve"> a date prior to 6 May 2009, which recorded that repayments of the facilities referred to there:</w:t>
      </w:r>
    </w:p>
    <w:p w14:paraId="441DE55F" w14:textId="77777777" w:rsidR="00CF2EE6" w:rsidRPr="00CF2EE6" w:rsidRDefault="00CF2EE6" w:rsidP="00CF2EE6">
      <w:pPr>
        <w:pStyle w:val="ListParagraph"/>
        <w:rPr>
          <w:rFonts w:ascii="Times New Roman" w:hAnsi="Times New Roman" w:cs="Times New Roman"/>
          <w:sz w:val="24"/>
          <w:szCs w:val="24"/>
        </w:rPr>
      </w:pPr>
    </w:p>
    <w:p w14:paraId="49F54D92" w14:textId="77777777" w:rsidR="00CF2EE6" w:rsidRPr="00CF2EE6" w:rsidRDefault="00CF2EE6" w:rsidP="00CF2EE6">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 will be sourced from the EBITDA of the </w:t>
      </w:r>
      <w:proofErr w:type="spellStart"/>
      <w:r>
        <w:rPr>
          <w:rFonts w:ascii="Times New Roman" w:hAnsi="Times New Roman" w:cs="Times New Roman"/>
          <w:i/>
          <w:sz w:val="24"/>
          <w:szCs w:val="24"/>
        </w:rPr>
        <w:t>Kilmuckridge</w:t>
      </w:r>
      <w:proofErr w:type="spellEnd"/>
      <w:r>
        <w:rPr>
          <w:rFonts w:ascii="Times New Roman" w:hAnsi="Times New Roman" w:cs="Times New Roman"/>
          <w:i/>
          <w:sz w:val="24"/>
          <w:szCs w:val="24"/>
        </w:rPr>
        <w:t xml:space="preserve"> Store, rental income from the </w:t>
      </w:r>
      <w:proofErr w:type="spellStart"/>
      <w:r>
        <w:rPr>
          <w:rFonts w:ascii="Times New Roman" w:hAnsi="Times New Roman" w:cs="Times New Roman"/>
          <w:i/>
          <w:sz w:val="24"/>
          <w:szCs w:val="24"/>
        </w:rPr>
        <w:t>Oulart</w:t>
      </w:r>
      <w:proofErr w:type="spellEnd"/>
      <w:r>
        <w:rPr>
          <w:rFonts w:ascii="Times New Roman" w:hAnsi="Times New Roman" w:cs="Times New Roman"/>
          <w:i/>
          <w:sz w:val="24"/>
          <w:szCs w:val="24"/>
        </w:rPr>
        <w:t xml:space="preserve"> Store and </w:t>
      </w:r>
      <w:proofErr w:type="spellStart"/>
      <w:r>
        <w:rPr>
          <w:rFonts w:ascii="Times New Roman" w:hAnsi="Times New Roman" w:cs="Times New Roman"/>
          <w:i/>
          <w:sz w:val="24"/>
          <w:szCs w:val="24"/>
        </w:rPr>
        <w:t>Oulart</w:t>
      </w:r>
      <w:proofErr w:type="spellEnd"/>
      <w:r>
        <w:rPr>
          <w:rFonts w:ascii="Times New Roman" w:hAnsi="Times New Roman" w:cs="Times New Roman"/>
          <w:i/>
          <w:sz w:val="24"/>
          <w:szCs w:val="24"/>
        </w:rPr>
        <w:t xml:space="preserve"> properties and proceeds from the Site with any shortfall being met from the personal resources of the Borrower’</w:t>
      </w:r>
    </w:p>
    <w:p w14:paraId="62ADAEA2" w14:textId="77777777" w:rsidR="000652DC" w:rsidRPr="000652DC" w:rsidRDefault="000652DC" w:rsidP="000652DC">
      <w:pPr>
        <w:pStyle w:val="ListParagraph"/>
        <w:rPr>
          <w:rFonts w:ascii="Times New Roman" w:hAnsi="Times New Roman" w:cs="Times New Roman"/>
          <w:sz w:val="24"/>
          <w:szCs w:val="24"/>
        </w:rPr>
      </w:pPr>
    </w:p>
    <w:p w14:paraId="3C115977" w14:textId="77777777" w:rsidR="00AF3105" w:rsidRDefault="000652DC" w:rsidP="00AF3105">
      <w:pPr>
        <w:pStyle w:val="ListParagraph"/>
        <w:numPr>
          <w:ilvl w:val="0"/>
          <w:numId w:val="6"/>
        </w:numPr>
        <w:spacing w:line="480" w:lineRule="auto"/>
        <w:jc w:val="both"/>
        <w:rPr>
          <w:rFonts w:ascii="Times New Roman" w:hAnsi="Times New Roman" w:cs="Times New Roman"/>
          <w:sz w:val="24"/>
          <w:szCs w:val="24"/>
        </w:rPr>
      </w:pPr>
      <w:r w:rsidRPr="000652DC">
        <w:rPr>
          <w:rFonts w:ascii="Times New Roman" w:hAnsi="Times New Roman" w:cs="Times New Roman"/>
          <w:sz w:val="24"/>
          <w:szCs w:val="24"/>
        </w:rPr>
        <w:t xml:space="preserve"> </w:t>
      </w:r>
      <w:r w:rsidR="00806FCD" w:rsidRPr="000652DC">
        <w:rPr>
          <w:rFonts w:ascii="Times New Roman" w:hAnsi="Times New Roman" w:cs="Times New Roman"/>
          <w:sz w:val="24"/>
          <w:szCs w:val="24"/>
        </w:rPr>
        <w:t xml:space="preserve">However, this was a non-contractual, non-binding document.  </w:t>
      </w:r>
      <w:r w:rsidR="00CF2EE6">
        <w:rPr>
          <w:rFonts w:ascii="Times New Roman" w:hAnsi="Times New Roman" w:cs="Times New Roman"/>
          <w:sz w:val="24"/>
          <w:szCs w:val="24"/>
        </w:rPr>
        <w:t xml:space="preserve">It described itself as an indicative term sheet which did not constitute an offer from the Bank and which was subject to the formal credit approval of the Bank, its standard terms and conditions and satisfaction of the Bank with all aspects of the transaction.  </w:t>
      </w:r>
      <w:r w:rsidR="00806FCD" w:rsidRPr="000652DC">
        <w:rPr>
          <w:rFonts w:ascii="Times New Roman" w:hAnsi="Times New Roman" w:cs="Times New Roman"/>
          <w:sz w:val="24"/>
          <w:szCs w:val="24"/>
        </w:rPr>
        <w:t>The contract comprised the facility letter, and the facility letter made no reference to any lease agreements.</w:t>
      </w:r>
      <w:r w:rsidR="00CF2EE6">
        <w:rPr>
          <w:rFonts w:ascii="Times New Roman" w:hAnsi="Times New Roman" w:cs="Times New Roman"/>
          <w:sz w:val="24"/>
          <w:szCs w:val="24"/>
        </w:rPr>
        <w:t xml:space="preserve">  </w:t>
      </w:r>
      <w:r w:rsidR="00AF3105">
        <w:rPr>
          <w:rFonts w:ascii="Times New Roman" w:hAnsi="Times New Roman" w:cs="Times New Roman"/>
          <w:sz w:val="24"/>
          <w:szCs w:val="24"/>
        </w:rPr>
        <w:t xml:space="preserve">More fundamentally it </w:t>
      </w:r>
      <w:r w:rsidR="00CF2EE6">
        <w:rPr>
          <w:rFonts w:ascii="Times New Roman" w:hAnsi="Times New Roman" w:cs="Times New Roman"/>
          <w:sz w:val="24"/>
          <w:szCs w:val="24"/>
        </w:rPr>
        <w:t>did not and could not amount to a consent of any kind in respect of leasing arrangements which post-dated the document itself</w:t>
      </w:r>
      <w:r w:rsidR="00AF3105">
        <w:rPr>
          <w:rFonts w:ascii="Times New Roman" w:hAnsi="Times New Roman" w:cs="Times New Roman"/>
          <w:sz w:val="24"/>
          <w:szCs w:val="24"/>
        </w:rPr>
        <w:t>.</w:t>
      </w:r>
    </w:p>
    <w:p w14:paraId="00A1F131" w14:textId="77777777" w:rsidR="00E763A3" w:rsidRPr="00E763A3" w:rsidRDefault="00E763A3" w:rsidP="00E763A3">
      <w:pPr>
        <w:pStyle w:val="ListParagraph"/>
        <w:rPr>
          <w:rFonts w:ascii="Times New Roman" w:hAnsi="Times New Roman" w:cs="Times New Roman"/>
          <w:sz w:val="24"/>
          <w:szCs w:val="24"/>
        </w:rPr>
      </w:pPr>
    </w:p>
    <w:p w14:paraId="5FAE98CD" w14:textId="77777777" w:rsidR="00E763A3" w:rsidRPr="00E763A3" w:rsidRDefault="00E763A3" w:rsidP="00E763A3">
      <w:pPr>
        <w:jc w:val="center"/>
        <w:rPr>
          <w:rFonts w:ascii="Times New Roman" w:hAnsi="Times New Roman" w:cs="Times New Roman"/>
          <w:b/>
          <w:sz w:val="24"/>
          <w:szCs w:val="24"/>
          <w:u w:val="single"/>
        </w:rPr>
      </w:pPr>
      <w:r>
        <w:rPr>
          <w:rFonts w:ascii="Times New Roman" w:hAnsi="Times New Roman" w:cs="Times New Roman"/>
          <w:b/>
          <w:sz w:val="24"/>
          <w:szCs w:val="24"/>
          <w:u w:val="single"/>
        </w:rPr>
        <w:t>IV THE CONDUCT OF THE TRIAL</w:t>
      </w:r>
    </w:p>
    <w:p w14:paraId="4828CC8F" w14:textId="77777777" w:rsidR="00BD5AD1" w:rsidRPr="00BD5AD1" w:rsidRDefault="00BD5AD1" w:rsidP="00BD5AD1">
      <w:pPr>
        <w:pStyle w:val="ListParagraph"/>
        <w:rPr>
          <w:rFonts w:ascii="Times New Roman" w:hAnsi="Times New Roman" w:cs="Times New Roman"/>
          <w:sz w:val="24"/>
          <w:szCs w:val="24"/>
        </w:rPr>
      </w:pPr>
    </w:p>
    <w:p w14:paraId="603C7851" w14:textId="77777777" w:rsidR="00BD5AD1" w:rsidRDefault="00BD5AD1" w:rsidP="00BD5AD1">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b/>
          <w:i/>
          <w:sz w:val="24"/>
          <w:szCs w:val="24"/>
        </w:rPr>
        <w:t>Fairness of the trial</w:t>
      </w:r>
      <w:r>
        <w:rPr>
          <w:rFonts w:ascii="Times New Roman" w:hAnsi="Times New Roman" w:cs="Times New Roman"/>
          <w:sz w:val="24"/>
          <w:szCs w:val="24"/>
        </w:rPr>
        <w:t xml:space="preserve">  </w:t>
      </w:r>
    </w:p>
    <w:p w14:paraId="0AE0AA9F" w14:textId="77777777" w:rsidR="00BD5AD1" w:rsidRPr="00BD5AD1" w:rsidRDefault="00BD5AD1" w:rsidP="00BD5AD1">
      <w:pPr>
        <w:pStyle w:val="ListParagraph"/>
        <w:rPr>
          <w:rFonts w:ascii="Times New Roman" w:hAnsi="Times New Roman" w:cs="Times New Roman"/>
          <w:sz w:val="24"/>
          <w:szCs w:val="24"/>
        </w:rPr>
      </w:pPr>
    </w:p>
    <w:p w14:paraId="67FE5E84" w14:textId="1A04AF74" w:rsidR="00BD5AD1" w:rsidRDefault="00BD5AD1" w:rsidP="000A099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course of his written submissions, the defendant raised three </w:t>
      </w:r>
      <w:r w:rsidR="00411E04">
        <w:rPr>
          <w:rFonts w:ascii="Times New Roman" w:hAnsi="Times New Roman" w:cs="Times New Roman"/>
          <w:sz w:val="24"/>
          <w:szCs w:val="24"/>
        </w:rPr>
        <w:t xml:space="preserve">aspects of the trial which, he said, deprived him of fair procedures.  These were the fact that counsel for the plaintiff was permitted to open an extract from a textbook on insolvency law which was not provided to the defendant in advance, the claim that he was not allowed sufficient time to make his closing submission and the complaint that he was not permitted to cross examine the plaintiff on an aspect of the written legal submissions delivered on his behalf.  As I have noted, these issues were not pursued by his counsel in the course of her oral submissions.  They are clearly groundless.  It </w:t>
      </w:r>
      <w:r w:rsidR="00500771">
        <w:rPr>
          <w:rFonts w:ascii="Times New Roman" w:hAnsi="Times New Roman" w:cs="Times New Roman"/>
          <w:sz w:val="24"/>
          <w:szCs w:val="24"/>
        </w:rPr>
        <w:t>wa</w:t>
      </w:r>
      <w:r w:rsidR="00411E04">
        <w:rPr>
          <w:rFonts w:ascii="Times New Roman" w:hAnsi="Times New Roman" w:cs="Times New Roman"/>
          <w:sz w:val="24"/>
          <w:szCs w:val="24"/>
        </w:rPr>
        <w:t xml:space="preserve">s a matter for the Judge </w:t>
      </w:r>
      <w:r w:rsidR="00500771">
        <w:rPr>
          <w:rFonts w:ascii="Times New Roman" w:hAnsi="Times New Roman" w:cs="Times New Roman"/>
          <w:sz w:val="24"/>
          <w:szCs w:val="24"/>
        </w:rPr>
        <w:t xml:space="preserve">in her discretion </w:t>
      </w:r>
      <w:r w:rsidR="00411E04">
        <w:rPr>
          <w:rFonts w:ascii="Times New Roman" w:hAnsi="Times New Roman" w:cs="Times New Roman"/>
          <w:sz w:val="24"/>
          <w:szCs w:val="24"/>
        </w:rPr>
        <w:t>to determine whether (as frequently occurs) counsel should be permitted to refer to legal authorities that are not referenced in submissions or books of authorities delivered in advance of the trial, just as it is a matter for her to determine the length of time the parties will be allowed for the making of submissions</w:t>
      </w:r>
      <w:r w:rsidR="00500771">
        <w:rPr>
          <w:rFonts w:ascii="Times New Roman" w:hAnsi="Times New Roman" w:cs="Times New Roman"/>
          <w:sz w:val="24"/>
          <w:szCs w:val="24"/>
        </w:rPr>
        <w:t xml:space="preserve"> or any limitations on cross examination (which was quite properly curtailed on issues of law).  No basis has been disclosed on which this </w:t>
      </w:r>
      <w:r w:rsidR="000C2F3E">
        <w:rPr>
          <w:rFonts w:ascii="Times New Roman" w:hAnsi="Times New Roman" w:cs="Times New Roman"/>
          <w:sz w:val="24"/>
          <w:szCs w:val="24"/>
        </w:rPr>
        <w:t>C</w:t>
      </w:r>
      <w:r w:rsidR="00500771">
        <w:rPr>
          <w:rFonts w:ascii="Times New Roman" w:hAnsi="Times New Roman" w:cs="Times New Roman"/>
          <w:sz w:val="24"/>
          <w:szCs w:val="24"/>
        </w:rPr>
        <w:t xml:space="preserve">ourt </w:t>
      </w:r>
      <w:r w:rsidR="00E8646A">
        <w:rPr>
          <w:rFonts w:ascii="Times New Roman" w:hAnsi="Times New Roman" w:cs="Times New Roman"/>
          <w:sz w:val="24"/>
          <w:szCs w:val="24"/>
        </w:rPr>
        <w:t>sh</w:t>
      </w:r>
      <w:r w:rsidR="00500771">
        <w:rPr>
          <w:rFonts w:ascii="Times New Roman" w:hAnsi="Times New Roman" w:cs="Times New Roman"/>
          <w:sz w:val="24"/>
          <w:szCs w:val="24"/>
        </w:rPr>
        <w:t xml:space="preserve">ould or </w:t>
      </w:r>
      <w:r w:rsidR="00E8646A">
        <w:rPr>
          <w:rFonts w:ascii="Times New Roman" w:hAnsi="Times New Roman" w:cs="Times New Roman"/>
          <w:sz w:val="24"/>
          <w:szCs w:val="24"/>
        </w:rPr>
        <w:t>c</w:t>
      </w:r>
      <w:r w:rsidR="00500771">
        <w:rPr>
          <w:rFonts w:ascii="Times New Roman" w:hAnsi="Times New Roman" w:cs="Times New Roman"/>
          <w:sz w:val="24"/>
          <w:szCs w:val="24"/>
        </w:rPr>
        <w:t>ould interfere with her decisions in this regard.</w:t>
      </w:r>
    </w:p>
    <w:p w14:paraId="247CD61B" w14:textId="77777777" w:rsidR="005F75DD" w:rsidRDefault="005F75DD" w:rsidP="005F75DD">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642E8FB7" w14:textId="77777777" w:rsidR="00666380" w:rsidRDefault="005F75DD" w:rsidP="00AE544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defendant included in his notice of appeal a complaint that the trial process over the 5 days ‘</w:t>
      </w:r>
      <w:r>
        <w:rPr>
          <w:rFonts w:ascii="Times New Roman" w:hAnsi="Times New Roman" w:cs="Times New Roman"/>
          <w:i/>
          <w:sz w:val="24"/>
          <w:szCs w:val="24"/>
        </w:rPr>
        <w:t>was not a good example of fair procedure as regards the treatment of a litigant in person following an examination of the DAR transcript’</w:t>
      </w:r>
      <w:r>
        <w:rPr>
          <w:rFonts w:ascii="Times New Roman" w:hAnsi="Times New Roman" w:cs="Times New Roman"/>
          <w:sz w:val="24"/>
          <w:szCs w:val="24"/>
        </w:rPr>
        <w:t xml:space="preserve">.  Apart from the two specific complaints regarding the parties’ closing arguments, the only complaint specified regarding the conduct of the trial related to the issue of cross-examination of </w:t>
      </w:r>
      <w:r>
        <w:rPr>
          <w:rFonts w:ascii="Times New Roman" w:hAnsi="Times New Roman" w:cs="Times New Roman"/>
          <w:sz w:val="24"/>
          <w:szCs w:val="24"/>
        </w:rPr>
        <w:lastRenderedPageBreak/>
        <w:t>the plaintiff on his written submissions.  I have been unable to discern any basis in the transcript of the hearing on which the trial Judge could be criticised for her conduct of the trial and, as I have said, apart from those I have addressed no other basis was identified.</w:t>
      </w:r>
      <w:r w:rsidR="007C2549">
        <w:rPr>
          <w:rFonts w:ascii="Times New Roman" w:hAnsi="Times New Roman" w:cs="Times New Roman"/>
          <w:sz w:val="24"/>
          <w:szCs w:val="24"/>
        </w:rPr>
        <w:t xml:space="preserve">  A general complaint was made in the notice of appeal that the Judge disregarded the submissions of the defendant, applied the submissions of the plaintiff verbatim, and failed to take cognisance of errors in the mortgage deed as recorded in this submissions.  This contention was not elaborated upon at any stage and appears to me to be without </w:t>
      </w:r>
      <w:r w:rsidR="00E27AE0">
        <w:rPr>
          <w:rFonts w:ascii="Times New Roman" w:hAnsi="Times New Roman" w:cs="Times New Roman"/>
          <w:sz w:val="24"/>
          <w:szCs w:val="24"/>
        </w:rPr>
        <w:t xml:space="preserve">any </w:t>
      </w:r>
      <w:r w:rsidR="007C2549">
        <w:rPr>
          <w:rFonts w:ascii="Times New Roman" w:hAnsi="Times New Roman" w:cs="Times New Roman"/>
          <w:sz w:val="24"/>
          <w:szCs w:val="24"/>
        </w:rPr>
        <w:t>foundation</w:t>
      </w:r>
      <w:r w:rsidR="00666380">
        <w:rPr>
          <w:rFonts w:ascii="Times New Roman" w:hAnsi="Times New Roman" w:cs="Times New Roman"/>
          <w:sz w:val="24"/>
          <w:szCs w:val="24"/>
        </w:rPr>
        <w:t>.</w:t>
      </w:r>
    </w:p>
    <w:p w14:paraId="694C4B60" w14:textId="77777777" w:rsidR="00AE5448" w:rsidRPr="00AE5448" w:rsidRDefault="00AE5448" w:rsidP="00AE5448">
      <w:pPr>
        <w:pStyle w:val="ListParagraph"/>
        <w:rPr>
          <w:rFonts w:ascii="Times New Roman" w:hAnsi="Times New Roman" w:cs="Times New Roman"/>
          <w:sz w:val="24"/>
          <w:szCs w:val="24"/>
        </w:rPr>
      </w:pPr>
    </w:p>
    <w:p w14:paraId="2EF4914B" w14:textId="77777777" w:rsidR="00AE5448" w:rsidRPr="00AE5448" w:rsidRDefault="00AE5448" w:rsidP="00AE5448">
      <w:pPr>
        <w:pStyle w:val="ListParagraph"/>
        <w:spacing w:line="480" w:lineRule="auto"/>
        <w:ind w:left="717"/>
        <w:jc w:val="both"/>
        <w:rPr>
          <w:rFonts w:ascii="Times New Roman" w:hAnsi="Times New Roman" w:cs="Times New Roman"/>
          <w:sz w:val="24"/>
          <w:szCs w:val="24"/>
        </w:rPr>
      </w:pPr>
    </w:p>
    <w:p w14:paraId="7776C7E7" w14:textId="77777777" w:rsidR="00E763A3" w:rsidRPr="00E763A3" w:rsidRDefault="00E763A3" w:rsidP="00E763A3">
      <w:pPr>
        <w:ind w:left="357"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t>V THE NEW ARGUMENTS</w:t>
      </w:r>
    </w:p>
    <w:p w14:paraId="22DFEB12" w14:textId="77777777" w:rsidR="0010537D" w:rsidRPr="0010537D" w:rsidRDefault="0010537D" w:rsidP="0010537D">
      <w:pPr>
        <w:pStyle w:val="ListParagraph"/>
        <w:rPr>
          <w:rFonts w:ascii="Times New Roman" w:hAnsi="Times New Roman" w:cs="Times New Roman"/>
          <w:sz w:val="24"/>
          <w:szCs w:val="24"/>
        </w:rPr>
      </w:pPr>
    </w:p>
    <w:p w14:paraId="0349D8A6" w14:textId="77777777" w:rsidR="004A1B98" w:rsidRDefault="004A1B98" w:rsidP="004A1B98">
      <w:pPr>
        <w:pStyle w:val="ListParagraph"/>
        <w:rPr>
          <w:rFonts w:ascii="Times New Roman" w:hAnsi="Times New Roman" w:cs="Times New Roman"/>
          <w:sz w:val="24"/>
          <w:szCs w:val="24"/>
        </w:rPr>
      </w:pPr>
    </w:p>
    <w:p w14:paraId="43091A3E" w14:textId="77777777" w:rsidR="004A1B98" w:rsidRPr="004A1B98" w:rsidRDefault="004A1B98" w:rsidP="004A1B98">
      <w:pPr>
        <w:pStyle w:val="ListParagraph"/>
        <w:spacing w:line="480" w:lineRule="auto"/>
        <w:jc w:val="both"/>
        <w:rPr>
          <w:rFonts w:ascii="Times New Roman" w:hAnsi="Times New Roman" w:cs="Times New Roman"/>
          <w:b/>
          <w:i/>
          <w:sz w:val="24"/>
          <w:szCs w:val="24"/>
        </w:rPr>
      </w:pPr>
      <w:r>
        <w:rPr>
          <w:rFonts w:ascii="Times New Roman" w:hAnsi="Times New Roman" w:cs="Times New Roman"/>
          <w:b/>
          <w:i/>
          <w:sz w:val="24"/>
          <w:szCs w:val="24"/>
        </w:rPr>
        <w:t>The application to amend the grounds of appeal/to advance new arguments/to amend the notice of appeal</w:t>
      </w:r>
      <w:r w:rsidR="005F75DD">
        <w:rPr>
          <w:rFonts w:ascii="Times New Roman" w:hAnsi="Times New Roman" w:cs="Times New Roman"/>
          <w:b/>
          <w:i/>
          <w:sz w:val="24"/>
          <w:szCs w:val="24"/>
        </w:rPr>
        <w:t>.</w:t>
      </w:r>
    </w:p>
    <w:p w14:paraId="4F40905F" w14:textId="77777777" w:rsidR="004A1B98" w:rsidRDefault="004A1B98" w:rsidP="004A1B98">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AEF60CE" w14:textId="77777777" w:rsidR="004A1B98" w:rsidRDefault="00DB7B0B"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As I have earlier noted, the defendant sought at the hearing of this appeal to advance a new point and, as I have also noted, this was variously described as justifying the admission of new evidence, the advancement of new arguments and/or the amendment of the notice of appeal.</w:t>
      </w:r>
    </w:p>
    <w:p w14:paraId="4C61A5F0" w14:textId="77777777" w:rsidR="00DB7B0B" w:rsidRDefault="00DB7B0B" w:rsidP="00DB7B0B">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927BFA1" w14:textId="1B3E0E3A" w:rsidR="00F90FC6" w:rsidRDefault="00DB7B0B" w:rsidP="00F90FC6">
      <w:pPr>
        <w:pStyle w:val="ListParagraph"/>
        <w:numPr>
          <w:ilvl w:val="0"/>
          <w:numId w:val="6"/>
        </w:numPr>
        <w:spacing w:line="480" w:lineRule="auto"/>
        <w:jc w:val="both"/>
        <w:rPr>
          <w:rFonts w:ascii="Times New Roman" w:hAnsi="Times New Roman" w:cs="Times New Roman"/>
          <w:sz w:val="24"/>
          <w:szCs w:val="24"/>
        </w:rPr>
      </w:pPr>
      <w:r w:rsidRPr="00F90FC6">
        <w:rPr>
          <w:rFonts w:ascii="Times New Roman" w:hAnsi="Times New Roman" w:cs="Times New Roman"/>
          <w:sz w:val="24"/>
          <w:szCs w:val="24"/>
        </w:rPr>
        <w:t xml:space="preserve">The point arose from events in this court on February 19 2021.  On that date an appeal in the case of </w:t>
      </w:r>
      <w:r w:rsidRPr="00F90FC6">
        <w:rPr>
          <w:rFonts w:ascii="Times New Roman" w:hAnsi="Times New Roman" w:cs="Times New Roman"/>
          <w:i/>
          <w:sz w:val="24"/>
          <w:szCs w:val="24"/>
        </w:rPr>
        <w:t>KBC Bank Ireland plc v. Hugh Corrigan and Anita Corrigan</w:t>
      </w:r>
      <w:r w:rsidRPr="00F90FC6">
        <w:rPr>
          <w:rFonts w:ascii="Times New Roman" w:hAnsi="Times New Roman" w:cs="Times New Roman"/>
          <w:sz w:val="24"/>
          <w:szCs w:val="24"/>
        </w:rPr>
        <w:t xml:space="preserve">, </w:t>
      </w:r>
      <w:r w:rsidR="00F27C65" w:rsidRPr="00F90FC6">
        <w:rPr>
          <w:rFonts w:ascii="Times New Roman" w:hAnsi="Times New Roman" w:cs="Times New Roman"/>
          <w:sz w:val="24"/>
          <w:szCs w:val="24"/>
        </w:rPr>
        <w:t xml:space="preserve">High Court </w:t>
      </w:r>
      <w:r w:rsidR="000C2F3E">
        <w:rPr>
          <w:rFonts w:ascii="Times New Roman" w:hAnsi="Times New Roman" w:cs="Times New Roman"/>
          <w:sz w:val="24"/>
          <w:szCs w:val="24"/>
        </w:rPr>
        <w:t>R</w:t>
      </w:r>
      <w:r w:rsidR="00F27C65" w:rsidRPr="00F90FC6">
        <w:rPr>
          <w:rFonts w:ascii="Times New Roman" w:hAnsi="Times New Roman" w:cs="Times New Roman"/>
          <w:sz w:val="24"/>
          <w:szCs w:val="24"/>
        </w:rPr>
        <w:t xml:space="preserve">ecord </w:t>
      </w:r>
      <w:r w:rsidR="000C2F3E">
        <w:rPr>
          <w:rFonts w:ascii="Times New Roman" w:hAnsi="Times New Roman" w:cs="Times New Roman"/>
          <w:sz w:val="24"/>
          <w:szCs w:val="24"/>
        </w:rPr>
        <w:t>No.</w:t>
      </w:r>
      <w:r w:rsidR="00F27C65" w:rsidRPr="00F90FC6">
        <w:rPr>
          <w:rFonts w:ascii="Times New Roman" w:hAnsi="Times New Roman" w:cs="Times New Roman"/>
          <w:sz w:val="24"/>
          <w:szCs w:val="24"/>
        </w:rPr>
        <w:t xml:space="preserve"> 2016/1246S, </w:t>
      </w:r>
      <w:r w:rsidRPr="00F90FC6">
        <w:rPr>
          <w:rFonts w:ascii="Times New Roman" w:hAnsi="Times New Roman" w:cs="Times New Roman"/>
          <w:sz w:val="24"/>
          <w:szCs w:val="24"/>
        </w:rPr>
        <w:t xml:space="preserve">Court of Appeal No. 2018/243 </w:t>
      </w:r>
      <w:r w:rsidR="00C50AC1">
        <w:rPr>
          <w:rFonts w:ascii="Times New Roman" w:hAnsi="Times New Roman" w:cs="Times New Roman"/>
          <w:sz w:val="24"/>
          <w:szCs w:val="24"/>
        </w:rPr>
        <w:t xml:space="preserve">(‘the debt proceedings’) </w:t>
      </w:r>
      <w:r w:rsidRPr="00F90FC6">
        <w:rPr>
          <w:rFonts w:ascii="Times New Roman" w:hAnsi="Times New Roman" w:cs="Times New Roman"/>
          <w:sz w:val="24"/>
          <w:szCs w:val="24"/>
        </w:rPr>
        <w:t xml:space="preserve">came before Costello J. </w:t>
      </w:r>
      <w:r w:rsidR="00AD4649" w:rsidRPr="00F90FC6">
        <w:rPr>
          <w:rFonts w:ascii="Times New Roman" w:hAnsi="Times New Roman" w:cs="Times New Roman"/>
          <w:sz w:val="24"/>
          <w:szCs w:val="24"/>
        </w:rPr>
        <w:t>Those proceedings were instituted in July 2016, and in July 2019 judgment was entered against the defendants</w:t>
      </w:r>
      <w:r w:rsidR="0066301A" w:rsidRPr="00F90FC6">
        <w:rPr>
          <w:rFonts w:ascii="Times New Roman" w:hAnsi="Times New Roman" w:cs="Times New Roman"/>
          <w:sz w:val="24"/>
          <w:szCs w:val="24"/>
        </w:rPr>
        <w:t xml:space="preserve"> in default of appearance</w:t>
      </w:r>
      <w:r w:rsidR="00AD4649" w:rsidRPr="00F90FC6">
        <w:rPr>
          <w:rFonts w:ascii="Times New Roman" w:hAnsi="Times New Roman" w:cs="Times New Roman"/>
          <w:sz w:val="24"/>
          <w:szCs w:val="24"/>
        </w:rPr>
        <w:t xml:space="preserve">.  </w:t>
      </w:r>
      <w:r w:rsidR="00F90FC6" w:rsidRPr="00F90FC6">
        <w:rPr>
          <w:rFonts w:ascii="Times New Roman" w:hAnsi="Times New Roman" w:cs="Times New Roman"/>
          <w:sz w:val="24"/>
          <w:szCs w:val="24"/>
        </w:rPr>
        <w:t xml:space="preserve">An application </w:t>
      </w:r>
      <w:r w:rsidR="00F90FC6" w:rsidRPr="00F90FC6">
        <w:rPr>
          <w:rFonts w:ascii="Times New Roman" w:hAnsi="Times New Roman" w:cs="Times New Roman"/>
          <w:sz w:val="24"/>
          <w:szCs w:val="24"/>
        </w:rPr>
        <w:lastRenderedPageBreak/>
        <w:t>was made to the High Court to set aside that judgment, which was refused by Baker J.</w:t>
      </w:r>
      <w:r w:rsidR="00C50B01">
        <w:rPr>
          <w:rFonts w:ascii="Times New Roman" w:hAnsi="Times New Roman" w:cs="Times New Roman"/>
          <w:sz w:val="24"/>
          <w:szCs w:val="24"/>
        </w:rPr>
        <w:t>,</w:t>
      </w:r>
      <w:r w:rsidR="00F90FC6">
        <w:rPr>
          <w:rFonts w:ascii="Times New Roman" w:hAnsi="Times New Roman" w:cs="Times New Roman"/>
          <w:sz w:val="24"/>
          <w:szCs w:val="24"/>
        </w:rPr>
        <w:t xml:space="preserve"> her </w:t>
      </w:r>
      <w:r w:rsidR="000C2F3E">
        <w:rPr>
          <w:rFonts w:ascii="Times New Roman" w:hAnsi="Times New Roman" w:cs="Times New Roman"/>
          <w:sz w:val="24"/>
          <w:szCs w:val="24"/>
        </w:rPr>
        <w:t>O</w:t>
      </w:r>
      <w:r w:rsidR="00F90FC6">
        <w:rPr>
          <w:rFonts w:ascii="Times New Roman" w:hAnsi="Times New Roman" w:cs="Times New Roman"/>
          <w:sz w:val="24"/>
          <w:szCs w:val="24"/>
        </w:rPr>
        <w:t xml:space="preserve">rder being thereupon appealed. </w:t>
      </w:r>
      <w:r w:rsidR="00F90FC6" w:rsidRPr="00F90FC6">
        <w:rPr>
          <w:rFonts w:ascii="Times New Roman" w:hAnsi="Times New Roman" w:cs="Times New Roman"/>
          <w:sz w:val="24"/>
          <w:szCs w:val="24"/>
        </w:rPr>
        <w:t xml:space="preserve"> </w:t>
      </w:r>
      <w:r w:rsidR="00F90FC6">
        <w:rPr>
          <w:rFonts w:ascii="Times New Roman" w:hAnsi="Times New Roman" w:cs="Times New Roman"/>
          <w:sz w:val="24"/>
          <w:szCs w:val="24"/>
        </w:rPr>
        <w:t xml:space="preserve">It appears (although the </w:t>
      </w:r>
      <w:r w:rsidR="000C2F3E">
        <w:rPr>
          <w:rFonts w:ascii="Times New Roman" w:hAnsi="Times New Roman" w:cs="Times New Roman"/>
          <w:sz w:val="24"/>
          <w:szCs w:val="24"/>
        </w:rPr>
        <w:t>C</w:t>
      </w:r>
      <w:r w:rsidR="00F90FC6">
        <w:rPr>
          <w:rFonts w:ascii="Times New Roman" w:hAnsi="Times New Roman" w:cs="Times New Roman"/>
          <w:sz w:val="24"/>
          <w:szCs w:val="24"/>
        </w:rPr>
        <w:t>ourt has received no evidence on this issue) that the debt the subject of those proceedings is the debt which gave rise to the appointment of the plaintiff.   The only fresh evidence sought to be relied upon was the Order made by Costello J. on that date.</w:t>
      </w:r>
    </w:p>
    <w:p w14:paraId="64EF5C5A" w14:textId="77777777" w:rsidR="00F90FC6" w:rsidRPr="00F90FC6" w:rsidRDefault="00F90FC6" w:rsidP="00F90FC6">
      <w:pPr>
        <w:pStyle w:val="ListParagraph"/>
        <w:rPr>
          <w:rFonts w:ascii="Times New Roman" w:hAnsi="Times New Roman" w:cs="Times New Roman"/>
          <w:sz w:val="24"/>
          <w:szCs w:val="24"/>
        </w:rPr>
      </w:pPr>
    </w:p>
    <w:p w14:paraId="4DB6D2DE" w14:textId="56475F5B" w:rsidR="002936D5" w:rsidRPr="00F90FC6" w:rsidRDefault="001D0F13" w:rsidP="00F90FC6">
      <w:pPr>
        <w:pStyle w:val="ListParagraph"/>
        <w:numPr>
          <w:ilvl w:val="0"/>
          <w:numId w:val="6"/>
        </w:numPr>
        <w:spacing w:line="480" w:lineRule="auto"/>
        <w:jc w:val="both"/>
        <w:rPr>
          <w:rFonts w:ascii="Times New Roman" w:hAnsi="Times New Roman" w:cs="Times New Roman"/>
          <w:sz w:val="24"/>
          <w:szCs w:val="24"/>
        </w:rPr>
      </w:pPr>
      <w:r w:rsidRPr="00F90FC6">
        <w:rPr>
          <w:rFonts w:ascii="Times New Roman" w:hAnsi="Times New Roman" w:cs="Times New Roman"/>
          <w:sz w:val="24"/>
          <w:szCs w:val="24"/>
        </w:rPr>
        <w:t>Th</w:t>
      </w:r>
      <w:r w:rsidR="00F90FC6">
        <w:rPr>
          <w:rFonts w:ascii="Times New Roman" w:hAnsi="Times New Roman" w:cs="Times New Roman"/>
          <w:sz w:val="24"/>
          <w:szCs w:val="24"/>
        </w:rPr>
        <w:t xml:space="preserve">at </w:t>
      </w:r>
      <w:r w:rsidR="00602507">
        <w:rPr>
          <w:rFonts w:ascii="Times New Roman" w:hAnsi="Times New Roman" w:cs="Times New Roman"/>
          <w:sz w:val="24"/>
          <w:szCs w:val="24"/>
        </w:rPr>
        <w:t>O</w:t>
      </w:r>
      <w:r w:rsidR="00F90FC6">
        <w:rPr>
          <w:rFonts w:ascii="Times New Roman" w:hAnsi="Times New Roman" w:cs="Times New Roman"/>
          <w:sz w:val="24"/>
          <w:szCs w:val="24"/>
        </w:rPr>
        <w:t xml:space="preserve">rder </w:t>
      </w:r>
      <w:r w:rsidRPr="00F90FC6">
        <w:rPr>
          <w:rFonts w:ascii="Times New Roman" w:hAnsi="Times New Roman" w:cs="Times New Roman"/>
          <w:sz w:val="24"/>
          <w:szCs w:val="24"/>
        </w:rPr>
        <w:t xml:space="preserve">was </w:t>
      </w:r>
      <w:r w:rsidR="002936D5" w:rsidRPr="00F90FC6">
        <w:rPr>
          <w:rFonts w:ascii="Times New Roman" w:hAnsi="Times New Roman" w:cs="Times New Roman"/>
          <w:sz w:val="24"/>
          <w:szCs w:val="24"/>
        </w:rPr>
        <w:t xml:space="preserve">on consent.  The </w:t>
      </w:r>
      <w:r w:rsidRPr="00F90FC6">
        <w:rPr>
          <w:rFonts w:ascii="Times New Roman" w:hAnsi="Times New Roman" w:cs="Times New Roman"/>
          <w:sz w:val="24"/>
          <w:szCs w:val="24"/>
        </w:rPr>
        <w:t>O</w:t>
      </w:r>
      <w:r w:rsidR="002936D5" w:rsidRPr="00F90FC6">
        <w:rPr>
          <w:rFonts w:ascii="Times New Roman" w:hAnsi="Times New Roman" w:cs="Times New Roman"/>
          <w:sz w:val="24"/>
          <w:szCs w:val="24"/>
        </w:rPr>
        <w:t>rder recites as follows:</w:t>
      </w:r>
    </w:p>
    <w:p w14:paraId="79C4773F" w14:textId="77777777" w:rsidR="002936D5" w:rsidRPr="002936D5" w:rsidRDefault="002936D5" w:rsidP="002936D5">
      <w:pPr>
        <w:pStyle w:val="ListParagraph"/>
        <w:rPr>
          <w:rFonts w:ascii="Times New Roman" w:hAnsi="Times New Roman" w:cs="Times New Roman"/>
          <w:sz w:val="24"/>
          <w:szCs w:val="24"/>
        </w:rPr>
      </w:pPr>
    </w:p>
    <w:p w14:paraId="011F9B9C" w14:textId="77777777" w:rsidR="002936D5" w:rsidRDefault="002936D5" w:rsidP="002936D5">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the Court being informed by Counsel for the Plaintiff that there is consent to the reliefs sought in the motion on the basis that the relief sought in paragraph 3 of the draft amended Notice of Appeal be amended to read ‘An Order substituting the reliefs sought in No. 2 above for the relief of Strike out of the Proceedings no. 2016/1246S as against the First Named defendant only’</w:t>
      </w:r>
      <w:r>
        <w:rPr>
          <w:rFonts w:ascii="Times New Roman" w:hAnsi="Times New Roman" w:cs="Times New Roman"/>
          <w:sz w:val="24"/>
          <w:szCs w:val="24"/>
        </w:rPr>
        <w:t xml:space="preserve">.  </w:t>
      </w:r>
    </w:p>
    <w:p w14:paraId="34A15C8E" w14:textId="77777777" w:rsidR="002936D5" w:rsidRPr="002936D5" w:rsidRDefault="002936D5" w:rsidP="002936D5">
      <w:pPr>
        <w:pStyle w:val="ListParagraph"/>
        <w:rPr>
          <w:rFonts w:ascii="Times New Roman" w:hAnsi="Times New Roman" w:cs="Times New Roman"/>
          <w:sz w:val="24"/>
          <w:szCs w:val="24"/>
        </w:rPr>
      </w:pPr>
    </w:p>
    <w:p w14:paraId="2D6885DC" w14:textId="36B496B8" w:rsidR="001D0F13" w:rsidRDefault="00DB7B0B"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0F13">
        <w:rPr>
          <w:rFonts w:ascii="Times New Roman" w:hAnsi="Times New Roman" w:cs="Times New Roman"/>
          <w:sz w:val="24"/>
          <w:szCs w:val="24"/>
        </w:rPr>
        <w:t xml:space="preserve">The application to amend the notice of appeal </w:t>
      </w:r>
      <w:r w:rsidR="00C50AC1">
        <w:rPr>
          <w:rFonts w:ascii="Times New Roman" w:hAnsi="Times New Roman" w:cs="Times New Roman"/>
          <w:sz w:val="24"/>
          <w:szCs w:val="24"/>
        </w:rPr>
        <w:t xml:space="preserve">in those debt proceedings </w:t>
      </w:r>
      <w:r w:rsidR="001D0F13">
        <w:rPr>
          <w:rFonts w:ascii="Times New Roman" w:hAnsi="Times New Roman" w:cs="Times New Roman"/>
          <w:sz w:val="24"/>
          <w:szCs w:val="24"/>
        </w:rPr>
        <w:t>(the consent of the Bank to which is recorded here) sought to include a new relief as follows:</w:t>
      </w:r>
    </w:p>
    <w:p w14:paraId="1DE418D6" w14:textId="77777777" w:rsidR="001D0F13" w:rsidRDefault="001D0F13" w:rsidP="001D0F13">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529985A6" w14:textId="77777777" w:rsidR="00DB7B0B" w:rsidRPr="00D7207F" w:rsidRDefault="001D0F13" w:rsidP="001D0F1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A Declaration that remitting proceedings bearing record no. 2016/1246S to the High Court is contrary to public policy, offends the rule in Henderson v. Henderson and is further offensive to the applications of the Supreme Court in Minister for Agriculture, Food and Forestry v. Alte </w:t>
      </w:r>
      <w:proofErr w:type="spellStart"/>
      <w:r>
        <w:rPr>
          <w:rFonts w:ascii="Times New Roman" w:hAnsi="Times New Roman" w:cs="Times New Roman"/>
          <w:i/>
          <w:sz w:val="24"/>
          <w:szCs w:val="24"/>
        </w:rPr>
        <w:t>Leipziger</w:t>
      </w:r>
      <w:proofErr w:type="spellEnd"/>
      <w:r>
        <w:rPr>
          <w:rFonts w:ascii="Times New Roman" w:hAnsi="Times New Roman" w:cs="Times New Roman"/>
          <w:i/>
          <w:sz w:val="24"/>
          <w:szCs w:val="24"/>
        </w:rPr>
        <w:t xml:space="preserve"> (2000) IESC 13 whereby evidence available to the Respondent was  not before the High Court.’</w:t>
      </w:r>
      <w:r>
        <w:rPr>
          <w:rFonts w:ascii="Times New Roman" w:hAnsi="Times New Roman" w:cs="Times New Roman"/>
          <w:sz w:val="24"/>
          <w:szCs w:val="24"/>
        </w:rPr>
        <w:t xml:space="preserve"> </w:t>
      </w:r>
    </w:p>
    <w:p w14:paraId="66A90077" w14:textId="77777777" w:rsidR="00D7207F" w:rsidRPr="00D7207F" w:rsidRDefault="00D7207F" w:rsidP="00D7207F">
      <w:pPr>
        <w:pStyle w:val="ListParagraph"/>
        <w:spacing w:line="480" w:lineRule="auto"/>
        <w:rPr>
          <w:rFonts w:ascii="Times New Roman" w:hAnsi="Times New Roman" w:cs="Times New Roman"/>
          <w:sz w:val="24"/>
          <w:szCs w:val="24"/>
        </w:rPr>
      </w:pPr>
    </w:p>
    <w:p w14:paraId="7C83BE94" w14:textId="77777777" w:rsidR="00017C08" w:rsidRPr="00017C08" w:rsidRDefault="00D7207F" w:rsidP="00017C08">
      <w:pPr>
        <w:pStyle w:val="ListParagraph"/>
        <w:numPr>
          <w:ilvl w:val="0"/>
          <w:numId w:val="6"/>
        </w:numPr>
        <w:spacing w:line="480" w:lineRule="auto"/>
        <w:jc w:val="both"/>
        <w:rPr>
          <w:rFonts w:ascii="Times New Roman" w:hAnsi="Times New Roman" w:cs="Times New Roman"/>
          <w:sz w:val="24"/>
          <w:szCs w:val="24"/>
        </w:rPr>
      </w:pPr>
      <w:r w:rsidRPr="00D7207F">
        <w:rPr>
          <w:rFonts w:ascii="Times New Roman" w:hAnsi="Times New Roman" w:cs="Times New Roman"/>
          <w:sz w:val="24"/>
          <w:szCs w:val="24"/>
        </w:rPr>
        <w:t>The</w:t>
      </w:r>
      <w:r w:rsidR="00C50AC1">
        <w:rPr>
          <w:rFonts w:ascii="Times New Roman" w:hAnsi="Times New Roman" w:cs="Times New Roman"/>
          <w:sz w:val="24"/>
          <w:szCs w:val="24"/>
        </w:rPr>
        <w:t xml:space="preserve"> </w:t>
      </w:r>
      <w:r w:rsidR="00F90FC6">
        <w:rPr>
          <w:rFonts w:ascii="Times New Roman" w:hAnsi="Times New Roman" w:cs="Times New Roman"/>
          <w:sz w:val="24"/>
          <w:szCs w:val="24"/>
        </w:rPr>
        <w:t xml:space="preserve">argument advanced by counsel for the defendant was to the effect that the </w:t>
      </w:r>
      <w:r w:rsidR="00017C08">
        <w:rPr>
          <w:rFonts w:ascii="Times New Roman" w:hAnsi="Times New Roman" w:cs="Times New Roman"/>
          <w:sz w:val="24"/>
          <w:szCs w:val="24"/>
        </w:rPr>
        <w:t>judgment debt was as a result of this order ‘</w:t>
      </w:r>
      <w:r w:rsidR="00017C08">
        <w:rPr>
          <w:rFonts w:ascii="Times New Roman" w:hAnsi="Times New Roman" w:cs="Times New Roman"/>
          <w:i/>
          <w:sz w:val="24"/>
          <w:szCs w:val="24"/>
        </w:rPr>
        <w:t xml:space="preserve">gone’, </w:t>
      </w:r>
      <w:r w:rsidR="007F3083">
        <w:rPr>
          <w:rFonts w:ascii="Times New Roman" w:hAnsi="Times New Roman" w:cs="Times New Roman"/>
          <w:sz w:val="24"/>
          <w:szCs w:val="24"/>
        </w:rPr>
        <w:t xml:space="preserve">the proceedings </w:t>
      </w:r>
      <w:r w:rsidR="00C50AC1">
        <w:rPr>
          <w:rFonts w:ascii="Times New Roman" w:hAnsi="Times New Roman" w:cs="Times New Roman"/>
          <w:sz w:val="24"/>
          <w:szCs w:val="24"/>
        </w:rPr>
        <w:t xml:space="preserve">brought by the Bank seeking judgment </w:t>
      </w:r>
      <w:r w:rsidR="00017C08">
        <w:rPr>
          <w:rFonts w:ascii="Times New Roman" w:hAnsi="Times New Roman" w:cs="Times New Roman"/>
          <w:sz w:val="24"/>
          <w:szCs w:val="24"/>
        </w:rPr>
        <w:t>having been</w:t>
      </w:r>
      <w:r w:rsidR="007F3083">
        <w:rPr>
          <w:rFonts w:ascii="Times New Roman" w:hAnsi="Times New Roman" w:cs="Times New Roman"/>
          <w:sz w:val="24"/>
          <w:szCs w:val="24"/>
        </w:rPr>
        <w:t xml:space="preserve"> struck out in their entirety.  </w:t>
      </w:r>
      <w:r w:rsidR="00017C08">
        <w:rPr>
          <w:rFonts w:ascii="Times New Roman" w:hAnsi="Times New Roman" w:cs="Times New Roman"/>
          <w:sz w:val="24"/>
          <w:szCs w:val="24"/>
        </w:rPr>
        <w:t xml:space="preserve">It was also suggested that the effect of the agreement of the Bank (which it should be observed had at the time of the </w:t>
      </w:r>
      <w:r w:rsidR="00017C08">
        <w:rPr>
          <w:rFonts w:ascii="Times New Roman" w:hAnsi="Times New Roman" w:cs="Times New Roman"/>
          <w:sz w:val="24"/>
          <w:szCs w:val="24"/>
        </w:rPr>
        <w:lastRenderedPageBreak/>
        <w:t xml:space="preserve">application to Costello J. sold the debt) to </w:t>
      </w:r>
      <w:r w:rsidR="00C50B01">
        <w:rPr>
          <w:rFonts w:ascii="Times New Roman" w:hAnsi="Times New Roman" w:cs="Times New Roman"/>
          <w:sz w:val="24"/>
          <w:szCs w:val="24"/>
        </w:rPr>
        <w:t>the</w:t>
      </w:r>
      <w:r w:rsidR="00017C08">
        <w:rPr>
          <w:rFonts w:ascii="Times New Roman" w:hAnsi="Times New Roman" w:cs="Times New Roman"/>
          <w:sz w:val="24"/>
          <w:szCs w:val="24"/>
        </w:rPr>
        <w:t xml:space="preserve"> amendment of the notice of appeal was to preclude it from relitigating the debt against the defendant</w:t>
      </w:r>
      <w:r w:rsidR="000D1208">
        <w:rPr>
          <w:rFonts w:ascii="Times New Roman" w:hAnsi="Times New Roman" w:cs="Times New Roman"/>
          <w:sz w:val="24"/>
          <w:szCs w:val="24"/>
        </w:rPr>
        <w:t xml:space="preserve">. </w:t>
      </w:r>
      <w:r w:rsidR="00C50AC1">
        <w:rPr>
          <w:rFonts w:ascii="Times New Roman" w:hAnsi="Times New Roman" w:cs="Times New Roman"/>
          <w:sz w:val="24"/>
          <w:szCs w:val="24"/>
        </w:rPr>
        <w:t>The argument was outlined by the defendant in an affidavit sworn by him shortly before the hearing of this appeal in which he recorded his view that there was, as a result of the Order of Costello J. ‘</w:t>
      </w:r>
      <w:r w:rsidR="00C50AC1">
        <w:rPr>
          <w:rFonts w:ascii="Times New Roman" w:hAnsi="Times New Roman" w:cs="Times New Roman"/>
          <w:i/>
          <w:sz w:val="24"/>
          <w:szCs w:val="24"/>
        </w:rPr>
        <w:t xml:space="preserve">no equity in these proceedings’ </w:t>
      </w:r>
      <w:r w:rsidR="00C50AC1">
        <w:rPr>
          <w:rFonts w:ascii="Times New Roman" w:hAnsi="Times New Roman" w:cs="Times New Roman"/>
          <w:sz w:val="24"/>
          <w:szCs w:val="24"/>
        </w:rPr>
        <w:t xml:space="preserve"> and that the Bank (which appointed the plaintiff as receiver) ‘</w:t>
      </w:r>
      <w:r w:rsidR="00C50AC1">
        <w:rPr>
          <w:rFonts w:ascii="Times New Roman" w:hAnsi="Times New Roman" w:cs="Times New Roman"/>
          <w:i/>
          <w:sz w:val="24"/>
          <w:szCs w:val="24"/>
        </w:rPr>
        <w:t xml:space="preserve">has failed to establish in Court that any debt is owed to it by the Appellant’. </w:t>
      </w:r>
    </w:p>
    <w:p w14:paraId="65331C70" w14:textId="77777777" w:rsidR="00815EBF" w:rsidRDefault="00017C08" w:rsidP="00815EBF">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4D6EB72" w14:textId="77777777" w:rsidR="00051488" w:rsidRDefault="00BC1FC8"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Given that this issue arose from events occurring after the hearing in the High Court, I am of the view that the Court should </w:t>
      </w:r>
      <w:r w:rsidR="00C50B01">
        <w:rPr>
          <w:rFonts w:ascii="Times New Roman" w:hAnsi="Times New Roman" w:cs="Times New Roman"/>
          <w:sz w:val="24"/>
          <w:szCs w:val="24"/>
        </w:rPr>
        <w:t xml:space="preserve">address </w:t>
      </w:r>
      <w:r>
        <w:rPr>
          <w:rFonts w:ascii="Times New Roman" w:hAnsi="Times New Roman" w:cs="Times New Roman"/>
          <w:sz w:val="24"/>
          <w:szCs w:val="24"/>
        </w:rPr>
        <w:t xml:space="preserve">the argument advanced by the defendant, and this is all the more so in circumstances where it requires reference only to the Court </w:t>
      </w:r>
      <w:r w:rsidR="00051488">
        <w:rPr>
          <w:rFonts w:ascii="Times New Roman" w:hAnsi="Times New Roman" w:cs="Times New Roman"/>
          <w:sz w:val="24"/>
          <w:szCs w:val="24"/>
        </w:rPr>
        <w:t>O</w:t>
      </w:r>
      <w:r>
        <w:rPr>
          <w:rFonts w:ascii="Times New Roman" w:hAnsi="Times New Roman" w:cs="Times New Roman"/>
          <w:sz w:val="24"/>
          <w:szCs w:val="24"/>
        </w:rPr>
        <w:t xml:space="preserve">rder of February 2021, rather than to evidence properly so called.  </w:t>
      </w:r>
    </w:p>
    <w:p w14:paraId="741370CB" w14:textId="77777777" w:rsidR="00051488" w:rsidRPr="00051488" w:rsidRDefault="00051488" w:rsidP="00051488">
      <w:pPr>
        <w:pStyle w:val="ListParagraph"/>
        <w:rPr>
          <w:rFonts w:ascii="Times New Roman" w:hAnsi="Times New Roman" w:cs="Times New Roman"/>
          <w:sz w:val="24"/>
          <w:szCs w:val="24"/>
        </w:rPr>
      </w:pPr>
    </w:p>
    <w:p w14:paraId="28DB09AB" w14:textId="4906EDE8" w:rsidR="00017C08" w:rsidRDefault="00BC1FC8"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However, i</w:t>
      </w:r>
      <w:r w:rsidR="00017C08">
        <w:rPr>
          <w:rFonts w:ascii="Times New Roman" w:hAnsi="Times New Roman" w:cs="Times New Roman"/>
          <w:sz w:val="24"/>
          <w:szCs w:val="24"/>
        </w:rPr>
        <w:t>n my view, th</w:t>
      </w:r>
      <w:r>
        <w:rPr>
          <w:rFonts w:ascii="Times New Roman" w:hAnsi="Times New Roman" w:cs="Times New Roman"/>
          <w:sz w:val="24"/>
          <w:szCs w:val="24"/>
        </w:rPr>
        <w:t>e contention</w:t>
      </w:r>
      <w:r w:rsidR="00017C08">
        <w:rPr>
          <w:rFonts w:ascii="Times New Roman" w:hAnsi="Times New Roman" w:cs="Times New Roman"/>
          <w:sz w:val="24"/>
          <w:szCs w:val="24"/>
        </w:rPr>
        <w:t xml:space="preserve"> is based upon </w:t>
      </w:r>
      <w:r w:rsidR="00F05143">
        <w:rPr>
          <w:rFonts w:ascii="Times New Roman" w:hAnsi="Times New Roman" w:cs="Times New Roman"/>
          <w:sz w:val="24"/>
          <w:szCs w:val="24"/>
        </w:rPr>
        <w:t xml:space="preserve">a number of misconceptions.  To begin with, I cannot see anything in the </w:t>
      </w:r>
      <w:r w:rsidR="00204E07">
        <w:rPr>
          <w:rFonts w:ascii="Times New Roman" w:hAnsi="Times New Roman" w:cs="Times New Roman"/>
          <w:sz w:val="24"/>
          <w:szCs w:val="24"/>
        </w:rPr>
        <w:t>O</w:t>
      </w:r>
      <w:r w:rsidR="00F05143">
        <w:rPr>
          <w:rFonts w:ascii="Times New Roman" w:hAnsi="Times New Roman" w:cs="Times New Roman"/>
          <w:sz w:val="24"/>
          <w:szCs w:val="24"/>
        </w:rPr>
        <w:t>rder of Costello J. that directly or indirectly provides or acknowledges that the debt the subject of the proceedings could not be the subject of subsequent suit</w:t>
      </w:r>
      <w:r w:rsidR="000D1208">
        <w:rPr>
          <w:rFonts w:ascii="Times New Roman" w:hAnsi="Times New Roman" w:cs="Times New Roman"/>
          <w:sz w:val="24"/>
          <w:szCs w:val="24"/>
        </w:rPr>
        <w:t xml:space="preserve"> or, more importantly, enforcement</w:t>
      </w:r>
      <w:r w:rsidR="00F05143">
        <w:rPr>
          <w:rFonts w:ascii="Times New Roman" w:hAnsi="Times New Roman" w:cs="Times New Roman"/>
          <w:sz w:val="24"/>
          <w:szCs w:val="24"/>
        </w:rPr>
        <w:t xml:space="preserve">.  The effect was merely to allow the appeal, to enable the amendment of the grounds of appeal and not to remit the proceedings to the High Court.  While the defendant was permitted </w:t>
      </w:r>
      <w:r w:rsidR="004143F3">
        <w:rPr>
          <w:rFonts w:ascii="Times New Roman" w:hAnsi="Times New Roman" w:cs="Times New Roman"/>
          <w:sz w:val="24"/>
          <w:szCs w:val="24"/>
        </w:rPr>
        <w:t xml:space="preserve">– on consent - </w:t>
      </w:r>
      <w:r w:rsidR="00F05143">
        <w:rPr>
          <w:rFonts w:ascii="Times New Roman" w:hAnsi="Times New Roman" w:cs="Times New Roman"/>
          <w:sz w:val="24"/>
          <w:szCs w:val="24"/>
        </w:rPr>
        <w:t xml:space="preserve">to include in his </w:t>
      </w:r>
      <w:r w:rsidR="00772DA2">
        <w:rPr>
          <w:rFonts w:ascii="Times New Roman" w:hAnsi="Times New Roman" w:cs="Times New Roman"/>
          <w:sz w:val="24"/>
          <w:szCs w:val="24"/>
        </w:rPr>
        <w:t>n</w:t>
      </w:r>
      <w:r w:rsidR="00F05143">
        <w:rPr>
          <w:rFonts w:ascii="Times New Roman" w:hAnsi="Times New Roman" w:cs="Times New Roman"/>
          <w:sz w:val="24"/>
          <w:szCs w:val="24"/>
        </w:rPr>
        <w:t xml:space="preserve">otice of </w:t>
      </w:r>
      <w:r w:rsidR="00772DA2">
        <w:rPr>
          <w:rFonts w:ascii="Times New Roman" w:hAnsi="Times New Roman" w:cs="Times New Roman"/>
          <w:sz w:val="24"/>
          <w:szCs w:val="24"/>
        </w:rPr>
        <w:t>a</w:t>
      </w:r>
      <w:r w:rsidR="00F05143">
        <w:rPr>
          <w:rFonts w:ascii="Times New Roman" w:hAnsi="Times New Roman" w:cs="Times New Roman"/>
          <w:sz w:val="24"/>
          <w:szCs w:val="24"/>
        </w:rPr>
        <w:t xml:space="preserve">ppeal in the debt proceedings the declaration I have quoted above, the Court was neither asked to nor did </w:t>
      </w:r>
      <w:r w:rsidR="00C50B01">
        <w:rPr>
          <w:rFonts w:ascii="Times New Roman" w:hAnsi="Times New Roman" w:cs="Times New Roman"/>
          <w:sz w:val="24"/>
          <w:szCs w:val="24"/>
        </w:rPr>
        <w:t xml:space="preserve">it </w:t>
      </w:r>
      <w:r w:rsidR="00F05143">
        <w:rPr>
          <w:rFonts w:ascii="Times New Roman" w:hAnsi="Times New Roman" w:cs="Times New Roman"/>
          <w:sz w:val="24"/>
          <w:szCs w:val="24"/>
        </w:rPr>
        <w:t>make any such declaration.</w:t>
      </w:r>
      <w:r w:rsidR="004143F3">
        <w:rPr>
          <w:rFonts w:ascii="Times New Roman" w:hAnsi="Times New Roman" w:cs="Times New Roman"/>
          <w:sz w:val="24"/>
          <w:szCs w:val="24"/>
        </w:rPr>
        <w:t xml:space="preserve">  In fact, it is not clear to me why – given that the appeal was being allowed – the </w:t>
      </w:r>
      <w:r w:rsidR="00772DA2">
        <w:rPr>
          <w:rFonts w:ascii="Times New Roman" w:hAnsi="Times New Roman" w:cs="Times New Roman"/>
          <w:sz w:val="24"/>
          <w:szCs w:val="24"/>
        </w:rPr>
        <w:t xml:space="preserve">defendant was persisting in seeking to amend his notice of appeal at all.  If he was doing so </w:t>
      </w:r>
      <w:r w:rsidR="000D1208">
        <w:rPr>
          <w:rFonts w:ascii="Times New Roman" w:hAnsi="Times New Roman" w:cs="Times New Roman"/>
          <w:sz w:val="24"/>
          <w:szCs w:val="24"/>
        </w:rPr>
        <w:t xml:space="preserve">in the belief </w:t>
      </w:r>
      <w:r w:rsidR="00772DA2">
        <w:rPr>
          <w:rFonts w:ascii="Times New Roman" w:hAnsi="Times New Roman" w:cs="Times New Roman"/>
          <w:sz w:val="24"/>
          <w:szCs w:val="24"/>
        </w:rPr>
        <w:t>that the inclusion within the notice of appeal of the new relief combined with the fact that the appeal was allowed meant that the Court was in some sense accepting, or the Bank was deemed to be acknowledging the validity of</w:t>
      </w:r>
      <w:r w:rsidR="00666380">
        <w:rPr>
          <w:rFonts w:ascii="Times New Roman" w:hAnsi="Times New Roman" w:cs="Times New Roman"/>
          <w:sz w:val="24"/>
          <w:szCs w:val="24"/>
        </w:rPr>
        <w:t xml:space="preserve"> </w:t>
      </w:r>
      <w:r w:rsidR="00772DA2">
        <w:rPr>
          <w:rFonts w:ascii="Times New Roman" w:hAnsi="Times New Roman" w:cs="Times New Roman"/>
          <w:sz w:val="24"/>
          <w:szCs w:val="24"/>
        </w:rPr>
        <w:t>the declaration</w:t>
      </w:r>
      <w:r w:rsidR="00023384">
        <w:rPr>
          <w:rFonts w:ascii="Times New Roman" w:hAnsi="Times New Roman" w:cs="Times New Roman"/>
          <w:sz w:val="24"/>
          <w:szCs w:val="24"/>
        </w:rPr>
        <w:t xml:space="preserve"> inserted into the notice of appeal, </w:t>
      </w:r>
      <w:r w:rsidR="00772DA2">
        <w:rPr>
          <w:rFonts w:ascii="Times New Roman" w:hAnsi="Times New Roman" w:cs="Times New Roman"/>
          <w:sz w:val="24"/>
          <w:szCs w:val="24"/>
        </w:rPr>
        <w:t>that</w:t>
      </w:r>
      <w:r w:rsidR="00666380">
        <w:rPr>
          <w:rFonts w:ascii="Times New Roman" w:hAnsi="Times New Roman" w:cs="Times New Roman"/>
          <w:sz w:val="24"/>
          <w:szCs w:val="24"/>
        </w:rPr>
        <w:t xml:space="preserve"> </w:t>
      </w:r>
      <w:r w:rsidR="00772DA2">
        <w:rPr>
          <w:rFonts w:ascii="Times New Roman" w:hAnsi="Times New Roman" w:cs="Times New Roman"/>
          <w:sz w:val="24"/>
          <w:szCs w:val="24"/>
        </w:rPr>
        <w:t>simply</w:t>
      </w:r>
      <w:r w:rsidR="00666380">
        <w:rPr>
          <w:rFonts w:ascii="Times New Roman" w:hAnsi="Times New Roman" w:cs="Times New Roman"/>
          <w:sz w:val="24"/>
          <w:szCs w:val="24"/>
        </w:rPr>
        <w:t xml:space="preserve"> did not follow</w:t>
      </w:r>
      <w:r w:rsidR="00772DA2">
        <w:rPr>
          <w:rFonts w:ascii="Times New Roman" w:hAnsi="Times New Roman" w:cs="Times New Roman"/>
          <w:sz w:val="24"/>
          <w:szCs w:val="24"/>
        </w:rPr>
        <w:t>.</w:t>
      </w:r>
    </w:p>
    <w:p w14:paraId="760EAA94" w14:textId="77777777" w:rsidR="00772DA2" w:rsidRPr="00772DA2" w:rsidRDefault="00772DA2" w:rsidP="00772DA2">
      <w:pPr>
        <w:pStyle w:val="ListParagraph"/>
        <w:rPr>
          <w:rFonts w:ascii="Times New Roman" w:hAnsi="Times New Roman" w:cs="Times New Roman"/>
          <w:sz w:val="24"/>
          <w:szCs w:val="24"/>
        </w:rPr>
      </w:pPr>
    </w:p>
    <w:p w14:paraId="2BB2D838" w14:textId="0DB421E7" w:rsidR="00772DA2" w:rsidRDefault="00772DA2" w:rsidP="00977570">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But aside from this, </w:t>
      </w:r>
      <w:r w:rsidR="00C50B01">
        <w:rPr>
          <w:rFonts w:ascii="Times New Roman" w:hAnsi="Times New Roman" w:cs="Times New Roman"/>
          <w:sz w:val="24"/>
          <w:szCs w:val="24"/>
        </w:rPr>
        <w:t>and more fundamentally</w:t>
      </w:r>
      <w:r w:rsidR="001969C0">
        <w:rPr>
          <w:rFonts w:ascii="Times New Roman" w:hAnsi="Times New Roman" w:cs="Times New Roman"/>
          <w:sz w:val="24"/>
          <w:szCs w:val="24"/>
        </w:rPr>
        <w:t>,</w:t>
      </w:r>
      <w:r w:rsidR="00C50B01">
        <w:rPr>
          <w:rFonts w:ascii="Times New Roman" w:hAnsi="Times New Roman" w:cs="Times New Roman"/>
          <w:sz w:val="24"/>
          <w:szCs w:val="24"/>
        </w:rPr>
        <w:t xml:space="preserve"> </w:t>
      </w:r>
      <w:r>
        <w:rPr>
          <w:rFonts w:ascii="Times New Roman" w:hAnsi="Times New Roman" w:cs="Times New Roman"/>
          <w:sz w:val="24"/>
          <w:szCs w:val="24"/>
        </w:rPr>
        <w:t xml:space="preserve">underlying the submission is a more </w:t>
      </w:r>
      <w:r w:rsidR="00C50B01">
        <w:rPr>
          <w:rFonts w:ascii="Times New Roman" w:hAnsi="Times New Roman" w:cs="Times New Roman"/>
          <w:sz w:val="24"/>
          <w:szCs w:val="24"/>
        </w:rPr>
        <w:t xml:space="preserve">basic </w:t>
      </w:r>
      <w:r>
        <w:rPr>
          <w:rFonts w:ascii="Times New Roman" w:hAnsi="Times New Roman" w:cs="Times New Roman"/>
          <w:sz w:val="24"/>
          <w:szCs w:val="24"/>
        </w:rPr>
        <w:t xml:space="preserve">error.  </w:t>
      </w:r>
      <w:r w:rsidR="007F256C">
        <w:rPr>
          <w:rFonts w:ascii="Times New Roman" w:hAnsi="Times New Roman" w:cs="Times New Roman"/>
          <w:sz w:val="24"/>
          <w:szCs w:val="24"/>
        </w:rPr>
        <w:t>Even if one assumes that the Bank could no longer pursue summary proceedings to recover the debt in question</w:t>
      </w:r>
      <w:r w:rsidR="007D3766">
        <w:rPr>
          <w:rFonts w:ascii="Times New Roman" w:hAnsi="Times New Roman" w:cs="Times New Roman"/>
          <w:sz w:val="24"/>
          <w:szCs w:val="24"/>
        </w:rPr>
        <w:t xml:space="preserve">, this does not </w:t>
      </w:r>
      <w:r w:rsidR="001005DD">
        <w:rPr>
          <w:rFonts w:ascii="Times New Roman" w:hAnsi="Times New Roman" w:cs="Times New Roman"/>
          <w:sz w:val="24"/>
          <w:szCs w:val="24"/>
        </w:rPr>
        <w:t xml:space="preserve">extinguish </w:t>
      </w:r>
      <w:r w:rsidR="007D3766">
        <w:rPr>
          <w:rFonts w:ascii="Times New Roman" w:hAnsi="Times New Roman" w:cs="Times New Roman"/>
          <w:sz w:val="24"/>
          <w:szCs w:val="24"/>
        </w:rPr>
        <w:t>the debt itself and it certainly does not mean that the receiver is disabled from realising the secured assets and applying the proceeds toward the liabilities in question.</w:t>
      </w:r>
      <w:r w:rsidR="001005DD">
        <w:rPr>
          <w:rFonts w:ascii="Times New Roman" w:hAnsi="Times New Roman" w:cs="Times New Roman"/>
          <w:sz w:val="24"/>
          <w:szCs w:val="24"/>
        </w:rPr>
        <w:t xml:space="preserve">  Indeed, if the argument were well placed it would mean (as counsel for the plaintiff pointed out in the course of his submissions) </w:t>
      </w:r>
      <w:r w:rsidR="00D41A51">
        <w:rPr>
          <w:rFonts w:ascii="Times New Roman" w:hAnsi="Times New Roman" w:cs="Times New Roman"/>
          <w:sz w:val="24"/>
          <w:szCs w:val="24"/>
        </w:rPr>
        <w:t xml:space="preserve">that </w:t>
      </w:r>
      <w:r w:rsidR="001005DD">
        <w:rPr>
          <w:rFonts w:ascii="Times New Roman" w:hAnsi="Times New Roman" w:cs="Times New Roman"/>
          <w:sz w:val="24"/>
          <w:szCs w:val="24"/>
        </w:rPr>
        <w:t xml:space="preserve">the failure of a creditor to institute proceedings for the recovery of a debt within the statutory limitation period </w:t>
      </w:r>
      <w:r w:rsidR="00C50B01">
        <w:rPr>
          <w:rFonts w:ascii="Times New Roman" w:hAnsi="Times New Roman" w:cs="Times New Roman"/>
          <w:sz w:val="24"/>
          <w:szCs w:val="24"/>
        </w:rPr>
        <w:t xml:space="preserve">would </w:t>
      </w:r>
      <w:r w:rsidR="001005DD">
        <w:rPr>
          <w:rFonts w:ascii="Times New Roman" w:hAnsi="Times New Roman" w:cs="Times New Roman"/>
          <w:sz w:val="24"/>
          <w:szCs w:val="24"/>
        </w:rPr>
        <w:t xml:space="preserve">deprive the receiver of any power to act.  That is a most surprising proposition: it is common for a mortgagee to simply enforce its security without bringing proceedings to recover the underlying debt and, if authority were required to show that this is entirely permissible absent the extinguishment of the debt, it is afforded by the decision of the Supreme Court in </w:t>
      </w:r>
      <w:r w:rsidR="001005DD">
        <w:rPr>
          <w:rFonts w:ascii="Times New Roman" w:hAnsi="Times New Roman" w:cs="Times New Roman"/>
          <w:i/>
          <w:sz w:val="24"/>
          <w:szCs w:val="24"/>
        </w:rPr>
        <w:t xml:space="preserve">Bula Ltd. v. Crowley (No. 3) </w:t>
      </w:r>
      <w:r w:rsidR="00921CCA">
        <w:rPr>
          <w:rFonts w:ascii="Times New Roman" w:hAnsi="Times New Roman" w:cs="Times New Roman"/>
          <w:sz w:val="24"/>
          <w:szCs w:val="24"/>
        </w:rPr>
        <w:t xml:space="preserve">and </w:t>
      </w:r>
      <w:r w:rsidR="00921CCA">
        <w:rPr>
          <w:rFonts w:ascii="Times New Roman" w:hAnsi="Times New Roman" w:cs="Times New Roman"/>
          <w:i/>
          <w:sz w:val="24"/>
          <w:szCs w:val="24"/>
        </w:rPr>
        <w:t xml:space="preserve">Fennell v. </w:t>
      </w:r>
      <w:proofErr w:type="spellStart"/>
      <w:r w:rsidR="00921CCA">
        <w:rPr>
          <w:rFonts w:ascii="Times New Roman" w:hAnsi="Times New Roman" w:cs="Times New Roman"/>
          <w:i/>
          <w:sz w:val="24"/>
          <w:szCs w:val="24"/>
        </w:rPr>
        <w:t>Slevin</w:t>
      </w:r>
      <w:proofErr w:type="spellEnd"/>
      <w:r w:rsidR="00921CCA">
        <w:rPr>
          <w:rFonts w:ascii="Times New Roman" w:hAnsi="Times New Roman" w:cs="Times New Roman"/>
          <w:i/>
          <w:sz w:val="24"/>
          <w:szCs w:val="24"/>
        </w:rPr>
        <w:t xml:space="preserve"> </w:t>
      </w:r>
      <w:r w:rsidR="00921CCA">
        <w:rPr>
          <w:rFonts w:ascii="Times New Roman" w:hAnsi="Times New Roman" w:cs="Times New Roman"/>
          <w:sz w:val="24"/>
          <w:szCs w:val="24"/>
        </w:rPr>
        <w:t>[2020] IEHC 677.</w:t>
      </w:r>
      <w:r w:rsidR="00D41A51">
        <w:rPr>
          <w:rFonts w:ascii="Times New Roman" w:hAnsi="Times New Roman" w:cs="Times New Roman"/>
          <w:sz w:val="24"/>
          <w:szCs w:val="24"/>
        </w:rPr>
        <w:t xml:space="preserve">  Whatever the effect of the Order of Costello J. upon which the defendant relied, it did not extinguish the liability of the defendant to repay the monies which (it was never denied) had been advanced by the bank and which (it was never denied) had not been repaid</w:t>
      </w:r>
      <w:r w:rsidR="00051488">
        <w:rPr>
          <w:rFonts w:ascii="Times New Roman" w:hAnsi="Times New Roman" w:cs="Times New Roman"/>
          <w:sz w:val="24"/>
          <w:szCs w:val="24"/>
        </w:rPr>
        <w:t xml:space="preserve"> in full</w:t>
      </w:r>
      <w:r w:rsidR="00D41A51">
        <w:rPr>
          <w:rFonts w:ascii="Times New Roman" w:hAnsi="Times New Roman" w:cs="Times New Roman"/>
          <w:sz w:val="24"/>
          <w:szCs w:val="24"/>
        </w:rPr>
        <w:t>.  Once that was the case, the Order had no impact of any kind on the receivership</w:t>
      </w:r>
      <w:r w:rsidR="006F7497">
        <w:rPr>
          <w:rFonts w:ascii="Times New Roman" w:hAnsi="Times New Roman" w:cs="Times New Roman"/>
          <w:sz w:val="24"/>
          <w:szCs w:val="24"/>
        </w:rPr>
        <w:t xml:space="preserve"> nor on the plaintiff’s entitlement to act as receiver.</w:t>
      </w:r>
    </w:p>
    <w:p w14:paraId="071D97EA" w14:textId="77777777" w:rsidR="001D6359" w:rsidRDefault="001D6359" w:rsidP="001D6359">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1559AEFF" w14:textId="77777777" w:rsidR="001D6359" w:rsidRPr="001D6359" w:rsidRDefault="001D6359" w:rsidP="001D6359">
      <w:pPr>
        <w:pStyle w:val="ListParagraph"/>
        <w:spacing w:line="480" w:lineRule="auto"/>
        <w:ind w:left="717"/>
        <w:jc w:val="both"/>
        <w:rPr>
          <w:rFonts w:ascii="Times New Roman" w:hAnsi="Times New Roman" w:cs="Times New Roman"/>
          <w:b/>
          <w:i/>
          <w:sz w:val="24"/>
          <w:szCs w:val="24"/>
        </w:rPr>
      </w:pPr>
      <w:r>
        <w:rPr>
          <w:rFonts w:ascii="Times New Roman" w:hAnsi="Times New Roman" w:cs="Times New Roman"/>
          <w:b/>
          <w:i/>
          <w:sz w:val="24"/>
          <w:szCs w:val="24"/>
        </w:rPr>
        <w:t>Welsh Mortgage</w:t>
      </w:r>
    </w:p>
    <w:p w14:paraId="2C9B2EF3" w14:textId="77777777" w:rsidR="00C50AC1" w:rsidRPr="00BB520A" w:rsidRDefault="001D6359" w:rsidP="00BB520A">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r w:rsidR="00C50AC1" w:rsidRPr="00BB520A">
        <w:rPr>
          <w:rFonts w:ascii="Times New Roman" w:hAnsi="Times New Roman" w:cs="Times New Roman"/>
          <w:sz w:val="24"/>
          <w:szCs w:val="24"/>
        </w:rPr>
        <w:t xml:space="preserve">  </w:t>
      </w:r>
    </w:p>
    <w:p w14:paraId="5864F099" w14:textId="3A5E4640" w:rsidR="004B12FF" w:rsidRDefault="002535A8"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argument in this regard </w:t>
      </w:r>
      <w:r w:rsidR="00481CD6">
        <w:rPr>
          <w:rFonts w:ascii="Times New Roman" w:hAnsi="Times New Roman" w:cs="Times New Roman"/>
          <w:sz w:val="24"/>
          <w:szCs w:val="24"/>
        </w:rPr>
        <w:t>arises from the fact that in correspondence sent to the defendant on May 5 2021, the plaintiff’s solicitors addressed the defendant as the ‘</w:t>
      </w:r>
      <w:proofErr w:type="spellStart"/>
      <w:r w:rsidR="00481CD6">
        <w:rPr>
          <w:rFonts w:ascii="Times New Roman" w:hAnsi="Times New Roman" w:cs="Times New Roman"/>
          <w:i/>
          <w:sz w:val="24"/>
          <w:szCs w:val="24"/>
        </w:rPr>
        <w:t>Chargor</w:t>
      </w:r>
      <w:proofErr w:type="spellEnd"/>
      <w:r w:rsidR="00481CD6">
        <w:rPr>
          <w:rFonts w:ascii="Times New Roman" w:hAnsi="Times New Roman" w:cs="Times New Roman"/>
          <w:i/>
          <w:sz w:val="24"/>
          <w:szCs w:val="24"/>
        </w:rPr>
        <w:t>’</w:t>
      </w:r>
      <w:r w:rsidR="00481CD6">
        <w:rPr>
          <w:rFonts w:ascii="Times New Roman" w:hAnsi="Times New Roman" w:cs="Times New Roman"/>
          <w:sz w:val="24"/>
          <w:szCs w:val="24"/>
        </w:rPr>
        <w:t>.  Noting that in the deed of appointment the plaintiff was described as agent of the ‘</w:t>
      </w:r>
      <w:r w:rsidR="00481CD6">
        <w:rPr>
          <w:rFonts w:ascii="Times New Roman" w:hAnsi="Times New Roman" w:cs="Times New Roman"/>
          <w:i/>
          <w:sz w:val="24"/>
          <w:szCs w:val="24"/>
        </w:rPr>
        <w:t>Borrower’</w:t>
      </w:r>
      <w:r w:rsidR="00666380">
        <w:rPr>
          <w:rFonts w:ascii="Times New Roman" w:hAnsi="Times New Roman" w:cs="Times New Roman"/>
          <w:sz w:val="24"/>
          <w:szCs w:val="24"/>
        </w:rPr>
        <w:t>, t</w:t>
      </w:r>
      <w:r w:rsidR="00481CD6">
        <w:rPr>
          <w:rFonts w:ascii="Times New Roman" w:hAnsi="Times New Roman" w:cs="Times New Roman"/>
          <w:sz w:val="24"/>
          <w:szCs w:val="24"/>
        </w:rPr>
        <w:t>he defendant says that the term ‘</w:t>
      </w:r>
      <w:proofErr w:type="spellStart"/>
      <w:r w:rsidR="00481CD6">
        <w:rPr>
          <w:rFonts w:ascii="Times New Roman" w:hAnsi="Times New Roman" w:cs="Times New Roman"/>
          <w:i/>
          <w:sz w:val="24"/>
          <w:szCs w:val="24"/>
        </w:rPr>
        <w:t>Chargor</w:t>
      </w:r>
      <w:proofErr w:type="spellEnd"/>
      <w:r w:rsidR="00481CD6">
        <w:rPr>
          <w:rFonts w:ascii="Times New Roman" w:hAnsi="Times New Roman" w:cs="Times New Roman"/>
          <w:i/>
          <w:sz w:val="24"/>
          <w:szCs w:val="24"/>
        </w:rPr>
        <w:t>’</w:t>
      </w:r>
      <w:r w:rsidR="00481CD6">
        <w:rPr>
          <w:rFonts w:ascii="Times New Roman" w:hAnsi="Times New Roman" w:cs="Times New Roman"/>
          <w:sz w:val="24"/>
          <w:szCs w:val="24"/>
        </w:rPr>
        <w:t xml:space="preserve"> is used only in a ‘</w:t>
      </w:r>
      <w:r w:rsidR="00481CD6">
        <w:rPr>
          <w:rFonts w:ascii="Times New Roman" w:hAnsi="Times New Roman" w:cs="Times New Roman"/>
          <w:i/>
          <w:sz w:val="24"/>
          <w:szCs w:val="24"/>
        </w:rPr>
        <w:t xml:space="preserve">Welsh </w:t>
      </w:r>
      <w:r w:rsidR="008552CF">
        <w:rPr>
          <w:rFonts w:ascii="Times New Roman" w:hAnsi="Times New Roman" w:cs="Times New Roman"/>
          <w:i/>
          <w:sz w:val="24"/>
          <w:szCs w:val="24"/>
        </w:rPr>
        <w:lastRenderedPageBreak/>
        <w:t>m</w:t>
      </w:r>
      <w:r w:rsidR="00481CD6">
        <w:rPr>
          <w:rFonts w:ascii="Times New Roman" w:hAnsi="Times New Roman" w:cs="Times New Roman"/>
          <w:i/>
          <w:sz w:val="24"/>
          <w:szCs w:val="24"/>
        </w:rPr>
        <w:t>ortgage’</w:t>
      </w:r>
      <w:r w:rsidR="00481CD6">
        <w:rPr>
          <w:rFonts w:ascii="Times New Roman" w:hAnsi="Times New Roman" w:cs="Times New Roman"/>
          <w:sz w:val="24"/>
          <w:szCs w:val="24"/>
        </w:rPr>
        <w:t>, that the Bank breached the terms of a ‘</w:t>
      </w:r>
      <w:r w:rsidR="00481CD6">
        <w:rPr>
          <w:rFonts w:ascii="Times New Roman" w:hAnsi="Times New Roman" w:cs="Times New Roman"/>
          <w:i/>
          <w:sz w:val="24"/>
          <w:szCs w:val="24"/>
        </w:rPr>
        <w:t xml:space="preserve">Welsh mortgage’ </w:t>
      </w:r>
      <w:r w:rsidR="00481CD6">
        <w:rPr>
          <w:rFonts w:ascii="Times New Roman" w:hAnsi="Times New Roman" w:cs="Times New Roman"/>
          <w:sz w:val="24"/>
          <w:szCs w:val="24"/>
        </w:rPr>
        <w:t>when it began collecting principal sums from the defendant’s account in 2008.  He also says that the effect of the Land and Conveyancing Law Reform Act 2009 is that Welsh mortgages are void and that the Bank issued a new contract offer in 2010 and charged principal thereon after the commencement of the 20</w:t>
      </w:r>
      <w:r w:rsidR="004A7021">
        <w:rPr>
          <w:rFonts w:ascii="Times New Roman" w:hAnsi="Times New Roman" w:cs="Times New Roman"/>
          <w:sz w:val="24"/>
          <w:szCs w:val="24"/>
        </w:rPr>
        <w:t>09</w:t>
      </w:r>
      <w:r w:rsidR="00481CD6">
        <w:rPr>
          <w:rFonts w:ascii="Times New Roman" w:hAnsi="Times New Roman" w:cs="Times New Roman"/>
          <w:sz w:val="24"/>
          <w:szCs w:val="24"/>
        </w:rPr>
        <w:t xml:space="preserve"> Act.</w:t>
      </w:r>
    </w:p>
    <w:p w14:paraId="336F12FF" w14:textId="77777777" w:rsidR="004B12FF" w:rsidRDefault="004B12FF" w:rsidP="004B12FF">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47388C50" w14:textId="77777777" w:rsidR="004B12FF" w:rsidRDefault="004B12FF"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None of this was argued before the High Court and, indeed, even now I am unc</w:t>
      </w:r>
      <w:r w:rsidR="0060495F">
        <w:rPr>
          <w:rFonts w:ascii="Times New Roman" w:hAnsi="Times New Roman" w:cs="Times New Roman"/>
          <w:sz w:val="24"/>
          <w:szCs w:val="24"/>
        </w:rPr>
        <w:t xml:space="preserve">ertain </w:t>
      </w:r>
      <w:r>
        <w:rPr>
          <w:rFonts w:ascii="Times New Roman" w:hAnsi="Times New Roman" w:cs="Times New Roman"/>
          <w:sz w:val="24"/>
          <w:szCs w:val="24"/>
        </w:rPr>
        <w:t>as to the</w:t>
      </w:r>
      <w:r w:rsidR="0060495F">
        <w:rPr>
          <w:rFonts w:ascii="Times New Roman" w:hAnsi="Times New Roman" w:cs="Times New Roman"/>
          <w:sz w:val="24"/>
          <w:szCs w:val="24"/>
        </w:rPr>
        <w:t xml:space="preserve"> exact</w:t>
      </w:r>
      <w:r>
        <w:rPr>
          <w:rFonts w:ascii="Times New Roman" w:hAnsi="Times New Roman" w:cs="Times New Roman"/>
          <w:sz w:val="24"/>
          <w:szCs w:val="24"/>
        </w:rPr>
        <w:t xml:space="preserve"> basis for the claim that the mortgage was a ‘</w:t>
      </w:r>
      <w:r>
        <w:rPr>
          <w:rFonts w:ascii="Times New Roman" w:hAnsi="Times New Roman" w:cs="Times New Roman"/>
          <w:i/>
          <w:sz w:val="24"/>
          <w:szCs w:val="24"/>
        </w:rPr>
        <w:t>Welsh’</w:t>
      </w:r>
      <w:r>
        <w:rPr>
          <w:rFonts w:ascii="Times New Roman" w:hAnsi="Times New Roman" w:cs="Times New Roman"/>
          <w:sz w:val="24"/>
          <w:szCs w:val="24"/>
        </w:rPr>
        <w:t xml:space="preserve"> mortgage.  This, to be clear, is an ancient form of mortgage under which the lender is entitled to take rents and profits from the land instead of interest on the loan sometimes as a means of paying back capital as well as interest, the characteristic being that the mortgagee is entitled to go into occupation of the secured property.  Mortgages with these </w:t>
      </w:r>
      <w:r w:rsidR="0060495F">
        <w:rPr>
          <w:rFonts w:ascii="Times New Roman" w:hAnsi="Times New Roman" w:cs="Times New Roman"/>
          <w:sz w:val="24"/>
          <w:szCs w:val="24"/>
        </w:rPr>
        <w:t xml:space="preserve">features </w:t>
      </w:r>
      <w:r>
        <w:rPr>
          <w:rFonts w:ascii="Times New Roman" w:hAnsi="Times New Roman" w:cs="Times New Roman"/>
          <w:sz w:val="24"/>
          <w:szCs w:val="24"/>
        </w:rPr>
        <w:t>may not be created after the coming into effect of the Land and Conveyancing Law Reform Act 2009 (s.89(7) and (8)) it being believed that they were inconsistent with the contemporary understanding of a mortgage as providing only security.</w:t>
      </w:r>
      <w:r w:rsidR="000477CB">
        <w:rPr>
          <w:rFonts w:ascii="Times New Roman" w:hAnsi="Times New Roman" w:cs="Times New Roman"/>
          <w:sz w:val="24"/>
          <w:szCs w:val="24"/>
        </w:rPr>
        <w:t xml:space="preserve"> </w:t>
      </w:r>
    </w:p>
    <w:p w14:paraId="5F6BC46F" w14:textId="77777777" w:rsidR="004B12FF" w:rsidRPr="004B12FF" w:rsidRDefault="004B12FF" w:rsidP="004B12FF">
      <w:pPr>
        <w:pStyle w:val="ListParagraph"/>
        <w:rPr>
          <w:rFonts w:ascii="Times New Roman" w:hAnsi="Times New Roman" w:cs="Times New Roman"/>
          <w:sz w:val="24"/>
          <w:szCs w:val="24"/>
        </w:rPr>
      </w:pPr>
    </w:p>
    <w:p w14:paraId="445BBB54" w14:textId="77777777" w:rsidR="004B12FF" w:rsidRDefault="004B12FF"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defendant sought to maintain an entitlement to make this case for the first time on appeal by reference to the decision of the Supreme Court in </w:t>
      </w:r>
      <w:r>
        <w:rPr>
          <w:rFonts w:ascii="Times New Roman" w:hAnsi="Times New Roman" w:cs="Times New Roman"/>
          <w:i/>
          <w:sz w:val="24"/>
          <w:szCs w:val="24"/>
        </w:rPr>
        <w:t xml:space="preserve">Allied Irish Banks v. Ennis </w:t>
      </w:r>
      <w:r>
        <w:rPr>
          <w:rFonts w:ascii="Times New Roman" w:hAnsi="Times New Roman" w:cs="Times New Roman"/>
          <w:i/>
          <w:sz w:val="24"/>
          <w:szCs w:val="24"/>
          <w:u w:val="single"/>
        </w:rPr>
        <w:t xml:space="preserve"> </w:t>
      </w:r>
      <w:r>
        <w:rPr>
          <w:rFonts w:ascii="Times New Roman" w:hAnsi="Times New Roman" w:cs="Times New Roman"/>
          <w:sz w:val="24"/>
          <w:szCs w:val="24"/>
        </w:rPr>
        <w:t>[2019] IESC 12.  There, the Supreme Court allowed the defendant/appellant to summary proceedings to advance a contention that had not been raised before the High Court when it considered an application for (and granted)</w:t>
      </w:r>
      <w:r w:rsidR="000477CB">
        <w:rPr>
          <w:rFonts w:ascii="Times New Roman" w:hAnsi="Times New Roman" w:cs="Times New Roman"/>
          <w:sz w:val="24"/>
          <w:szCs w:val="24"/>
        </w:rPr>
        <w:t xml:space="preserve"> judgment</w:t>
      </w:r>
      <w:r>
        <w:rPr>
          <w:rFonts w:ascii="Times New Roman" w:hAnsi="Times New Roman" w:cs="Times New Roman"/>
          <w:sz w:val="24"/>
          <w:szCs w:val="24"/>
        </w:rPr>
        <w:t xml:space="preserve"> to the plaintiff</w:t>
      </w:r>
      <w:r w:rsidR="000477CB">
        <w:rPr>
          <w:rFonts w:ascii="Times New Roman" w:hAnsi="Times New Roman" w:cs="Times New Roman"/>
          <w:sz w:val="24"/>
          <w:szCs w:val="24"/>
        </w:rPr>
        <w:t xml:space="preserve"> directing the defendant to deliver up possession of certain lands</w:t>
      </w:r>
      <w:r w:rsidR="00A77671">
        <w:rPr>
          <w:rFonts w:ascii="Times New Roman" w:hAnsi="Times New Roman" w:cs="Times New Roman"/>
          <w:sz w:val="24"/>
          <w:szCs w:val="24"/>
        </w:rPr>
        <w:t xml:space="preserve">.  The new case he sought to make included claims to the effect that he had a defence to the claim based on provisions of the Consumer Credit Act 1995 because (essentially) the bank ought to have delivered a copy of </w:t>
      </w:r>
      <w:r w:rsidR="000477CB">
        <w:rPr>
          <w:rFonts w:ascii="Times New Roman" w:hAnsi="Times New Roman" w:cs="Times New Roman"/>
          <w:sz w:val="24"/>
          <w:szCs w:val="24"/>
        </w:rPr>
        <w:t xml:space="preserve">the </w:t>
      </w:r>
      <w:r w:rsidR="00A77671">
        <w:rPr>
          <w:rFonts w:ascii="Times New Roman" w:hAnsi="Times New Roman" w:cs="Times New Roman"/>
          <w:sz w:val="24"/>
          <w:szCs w:val="24"/>
        </w:rPr>
        <w:t xml:space="preserve">credit agreement on foot of which it sued after </w:t>
      </w:r>
      <w:r w:rsidR="0060495F">
        <w:rPr>
          <w:rFonts w:ascii="Times New Roman" w:hAnsi="Times New Roman" w:cs="Times New Roman"/>
          <w:sz w:val="24"/>
          <w:szCs w:val="24"/>
        </w:rPr>
        <w:t>that agreement</w:t>
      </w:r>
      <w:r w:rsidR="00A77671">
        <w:rPr>
          <w:rFonts w:ascii="Times New Roman" w:hAnsi="Times New Roman" w:cs="Times New Roman"/>
          <w:sz w:val="24"/>
          <w:szCs w:val="24"/>
        </w:rPr>
        <w:t xml:space="preserve"> took effect and that the defendant had a ‘cooling off’ period during which </w:t>
      </w:r>
      <w:r w:rsidR="00A77671">
        <w:rPr>
          <w:rFonts w:ascii="Times New Roman" w:hAnsi="Times New Roman" w:cs="Times New Roman"/>
          <w:sz w:val="24"/>
          <w:szCs w:val="24"/>
        </w:rPr>
        <w:lastRenderedPageBreak/>
        <w:t>he could withdraw from it.  The Court of Appeal had refused the defendant permission to make that point, a conclusion reached in part on the erroneous assumption that the defendant had not been given liberty to adduce certain new evidence comprising documentation which he had obtained subsequent to the High Court ruling.</w:t>
      </w:r>
    </w:p>
    <w:p w14:paraId="0E2E59AA" w14:textId="77777777" w:rsidR="00A77671" w:rsidRPr="00A77671" w:rsidRDefault="00A77671" w:rsidP="00A77671">
      <w:pPr>
        <w:pStyle w:val="ListParagraph"/>
        <w:rPr>
          <w:rFonts w:ascii="Times New Roman" w:hAnsi="Times New Roman" w:cs="Times New Roman"/>
          <w:sz w:val="24"/>
          <w:szCs w:val="24"/>
        </w:rPr>
      </w:pPr>
    </w:p>
    <w:p w14:paraId="23328190" w14:textId="283AF9FF" w:rsidR="000477CB" w:rsidRDefault="00A77671"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deciding that the new argument the defendant sought to advance did disclose an arguable defence, that he should be permitted to make it and accordingly that the appeal against the judgment obtained against the defendant should be allowed, MacMenamin J. </w:t>
      </w:r>
      <w:r w:rsidR="000477CB">
        <w:rPr>
          <w:rFonts w:ascii="Times New Roman" w:hAnsi="Times New Roman" w:cs="Times New Roman"/>
          <w:sz w:val="24"/>
          <w:szCs w:val="24"/>
        </w:rPr>
        <w:t>(with whose judgment O’Donnell, Dunne, Charle</w:t>
      </w:r>
      <w:r w:rsidR="00300CDB">
        <w:rPr>
          <w:rFonts w:ascii="Times New Roman" w:hAnsi="Times New Roman" w:cs="Times New Roman"/>
          <w:sz w:val="24"/>
          <w:szCs w:val="24"/>
        </w:rPr>
        <w:t>t</w:t>
      </w:r>
      <w:r w:rsidR="000477CB">
        <w:rPr>
          <w:rFonts w:ascii="Times New Roman" w:hAnsi="Times New Roman" w:cs="Times New Roman"/>
          <w:sz w:val="24"/>
          <w:szCs w:val="24"/>
        </w:rPr>
        <w:t xml:space="preserve">on and O’Malley JJ agreed) </w:t>
      </w:r>
      <w:r>
        <w:rPr>
          <w:rFonts w:ascii="Times New Roman" w:hAnsi="Times New Roman" w:cs="Times New Roman"/>
          <w:sz w:val="24"/>
          <w:szCs w:val="24"/>
        </w:rPr>
        <w:t xml:space="preserve">made   </w:t>
      </w:r>
      <w:r w:rsidR="000477CB">
        <w:rPr>
          <w:rFonts w:ascii="Times New Roman" w:hAnsi="Times New Roman" w:cs="Times New Roman"/>
          <w:sz w:val="24"/>
          <w:szCs w:val="24"/>
        </w:rPr>
        <w:t xml:space="preserve">five </w:t>
      </w:r>
      <w:r>
        <w:rPr>
          <w:rFonts w:ascii="Times New Roman" w:hAnsi="Times New Roman" w:cs="Times New Roman"/>
          <w:sz w:val="24"/>
          <w:szCs w:val="24"/>
        </w:rPr>
        <w:t xml:space="preserve">points of relevance here.  </w:t>
      </w:r>
      <w:r w:rsidR="000477CB">
        <w:rPr>
          <w:rFonts w:ascii="Times New Roman" w:hAnsi="Times New Roman" w:cs="Times New Roman"/>
          <w:sz w:val="24"/>
          <w:szCs w:val="24"/>
        </w:rPr>
        <w:t xml:space="preserve">First, the issue with which the </w:t>
      </w:r>
      <w:r w:rsidR="008552CF">
        <w:rPr>
          <w:rFonts w:ascii="Times New Roman" w:hAnsi="Times New Roman" w:cs="Times New Roman"/>
          <w:sz w:val="24"/>
          <w:szCs w:val="24"/>
        </w:rPr>
        <w:t>C</w:t>
      </w:r>
      <w:r w:rsidR="000477CB">
        <w:rPr>
          <w:rFonts w:ascii="Times New Roman" w:hAnsi="Times New Roman" w:cs="Times New Roman"/>
          <w:sz w:val="24"/>
          <w:szCs w:val="24"/>
        </w:rPr>
        <w:t xml:space="preserve">ourt was concerned (and indeed the sole issue in the </w:t>
      </w:r>
      <w:r w:rsidR="0060495F">
        <w:rPr>
          <w:rFonts w:ascii="Times New Roman" w:hAnsi="Times New Roman" w:cs="Times New Roman"/>
          <w:sz w:val="24"/>
          <w:szCs w:val="24"/>
        </w:rPr>
        <w:t>D</w:t>
      </w:r>
      <w:r w:rsidR="000477CB">
        <w:rPr>
          <w:rFonts w:ascii="Times New Roman" w:hAnsi="Times New Roman" w:cs="Times New Roman"/>
          <w:sz w:val="24"/>
          <w:szCs w:val="24"/>
        </w:rPr>
        <w:t xml:space="preserve">etermination of the </w:t>
      </w:r>
      <w:r w:rsidR="008552CF">
        <w:rPr>
          <w:rFonts w:ascii="Times New Roman" w:hAnsi="Times New Roman" w:cs="Times New Roman"/>
          <w:sz w:val="24"/>
          <w:szCs w:val="24"/>
        </w:rPr>
        <w:t>C</w:t>
      </w:r>
      <w:r w:rsidR="000477CB">
        <w:rPr>
          <w:rFonts w:ascii="Times New Roman" w:hAnsi="Times New Roman" w:cs="Times New Roman"/>
          <w:sz w:val="24"/>
          <w:szCs w:val="24"/>
        </w:rPr>
        <w:t>ourt granting leave to appeal) concerned the approach to be adopted on applications to make a new case in appeals for judgment in summary proceedings (</w:t>
      </w:r>
      <w:r w:rsidR="008552CF">
        <w:rPr>
          <w:rFonts w:ascii="Times New Roman" w:hAnsi="Times New Roman" w:cs="Times New Roman"/>
          <w:sz w:val="24"/>
          <w:szCs w:val="24"/>
        </w:rPr>
        <w:t xml:space="preserve">at </w:t>
      </w:r>
      <w:r w:rsidR="000477CB">
        <w:rPr>
          <w:rFonts w:ascii="Times New Roman" w:hAnsi="Times New Roman" w:cs="Times New Roman"/>
          <w:sz w:val="24"/>
          <w:szCs w:val="24"/>
        </w:rPr>
        <w:t>para. 2).  Second, MacMenamin J. was of the view that where the Court was concerned with appeals from summary judgment (as compared to an appeal against the decision in a full plenary trial) ‘</w:t>
      </w:r>
      <w:r w:rsidR="000477CB">
        <w:rPr>
          <w:rFonts w:ascii="Times New Roman" w:hAnsi="Times New Roman" w:cs="Times New Roman"/>
          <w:i/>
          <w:sz w:val="24"/>
          <w:szCs w:val="24"/>
        </w:rPr>
        <w:t xml:space="preserve">different weighting considerations apply’ </w:t>
      </w:r>
      <w:r w:rsidR="000477CB">
        <w:rPr>
          <w:rFonts w:ascii="Times New Roman" w:hAnsi="Times New Roman" w:cs="Times New Roman"/>
          <w:sz w:val="24"/>
          <w:szCs w:val="24"/>
        </w:rPr>
        <w:t>(</w:t>
      </w:r>
      <w:r w:rsidR="008552CF">
        <w:rPr>
          <w:rFonts w:ascii="Times New Roman" w:hAnsi="Times New Roman" w:cs="Times New Roman"/>
          <w:sz w:val="24"/>
          <w:szCs w:val="24"/>
        </w:rPr>
        <w:t xml:space="preserve">at </w:t>
      </w:r>
      <w:r w:rsidR="000477CB">
        <w:rPr>
          <w:rFonts w:ascii="Times New Roman" w:hAnsi="Times New Roman" w:cs="Times New Roman"/>
          <w:sz w:val="24"/>
          <w:szCs w:val="24"/>
        </w:rPr>
        <w:t xml:space="preserve">para. 14).  Third, this was viewed as appropriate having regard to the similarity between at least some summary applications and interlocutory applications (in respect of which a more flexible approach to the admission of new evidence has always been adopted), to the high threshold an applicant for summary judgment must meet in order to obtain it, and to the nature of the rights and interests at stake.  Fourth, from this it followed that when presented with an application to receive a new argument or new evidence </w:t>
      </w:r>
      <w:r w:rsidR="00051488">
        <w:rPr>
          <w:rFonts w:ascii="Times New Roman" w:hAnsi="Times New Roman" w:cs="Times New Roman"/>
          <w:sz w:val="24"/>
          <w:szCs w:val="24"/>
        </w:rPr>
        <w:t xml:space="preserve">in a summary proceeding </w:t>
      </w:r>
      <w:r w:rsidR="000477CB">
        <w:rPr>
          <w:rFonts w:ascii="Times New Roman" w:hAnsi="Times New Roman" w:cs="Times New Roman"/>
          <w:sz w:val="24"/>
          <w:szCs w:val="24"/>
        </w:rPr>
        <w:t>a court (at para. 32):</w:t>
      </w:r>
    </w:p>
    <w:p w14:paraId="63A12AA1" w14:textId="77777777" w:rsidR="00051488" w:rsidRDefault="00051488" w:rsidP="00051488">
      <w:pPr>
        <w:pStyle w:val="ListParagraph"/>
        <w:spacing w:line="480" w:lineRule="auto"/>
        <w:ind w:left="717"/>
        <w:jc w:val="both"/>
        <w:rPr>
          <w:rFonts w:ascii="Times New Roman" w:hAnsi="Times New Roman" w:cs="Times New Roman"/>
          <w:sz w:val="24"/>
          <w:szCs w:val="24"/>
        </w:rPr>
      </w:pPr>
    </w:p>
    <w:p w14:paraId="38ED60F8" w14:textId="77777777" w:rsidR="00A77671" w:rsidRPr="000477CB" w:rsidRDefault="000477CB" w:rsidP="000477C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may first look to the criteria as in plenary proceedings; but they will do so having regard to the fact that the ‘default position’ in respect of any proceedings is that they should go to trial and that depriving a party of a full trial will be a </w:t>
      </w:r>
      <w:r>
        <w:rPr>
          <w:rFonts w:ascii="Times New Roman" w:hAnsi="Times New Roman" w:cs="Times New Roman"/>
          <w:i/>
          <w:sz w:val="24"/>
          <w:szCs w:val="24"/>
        </w:rPr>
        <w:lastRenderedPageBreak/>
        <w:t>departure from the norm which should only be adopted where there is no risk of injustice …. The courts will then consider whether, applying this consideration but with less rigour, the application should be entertained.’</w:t>
      </w:r>
    </w:p>
    <w:p w14:paraId="05ADD4F3" w14:textId="77777777" w:rsidR="000477CB" w:rsidRDefault="000477CB" w:rsidP="000477CB">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8CF335C" w14:textId="77777777" w:rsidR="000477CB" w:rsidRDefault="000477CB"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of this is to be done in the light of the fact that the over-riding consideration is the interests of justice resulting in </w:t>
      </w:r>
      <w:r w:rsidRPr="000477CB">
        <w:rPr>
          <w:rFonts w:ascii="Times New Roman" w:hAnsi="Times New Roman" w:cs="Times New Roman"/>
          <w:sz w:val="24"/>
          <w:szCs w:val="24"/>
        </w:rPr>
        <w:t>greater flexibility</w:t>
      </w:r>
      <w:r>
        <w:rPr>
          <w:rFonts w:ascii="Times New Roman" w:hAnsi="Times New Roman" w:cs="Times New Roman"/>
          <w:sz w:val="24"/>
          <w:szCs w:val="24"/>
        </w:rPr>
        <w:t xml:space="preserve"> </w:t>
      </w:r>
      <w:r w:rsidR="00051488">
        <w:rPr>
          <w:rFonts w:ascii="Times New Roman" w:hAnsi="Times New Roman" w:cs="Times New Roman"/>
          <w:sz w:val="24"/>
          <w:szCs w:val="24"/>
        </w:rPr>
        <w:t xml:space="preserve">in proceedings of this kind </w:t>
      </w:r>
      <w:r>
        <w:rPr>
          <w:rFonts w:ascii="Times New Roman" w:hAnsi="Times New Roman" w:cs="Times New Roman"/>
          <w:sz w:val="24"/>
          <w:szCs w:val="24"/>
        </w:rPr>
        <w:t>(</w:t>
      </w:r>
      <w:r w:rsidR="008552CF">
        <w:rPr>
          <w:rFonts w:ascii="Times New Roman" w:hAnsi="Times New Roman" w:cs="Times New Roman"/>
          <w:sz w:val="24"/>
          <w:szCs w:val="24"/>
        </w:rPr>
        <w:t xml:space="preserve">at </w:t>
      </w:r>
      <w:r>
        <w:rPr>
          <w:rFonts w:ascii="Times New Roman" w:hAnsi="Times New Roman" w:cs="Times New Roman"/>
          <w:sz w:val="24"/>
          <w:szCs w:val="24"/>
        </w:rPr>
        <w:t>para. 39)</w:t>
      </w:r>
      <w:r w:rsidR="00051488">
        <w:rPr>
          <w:rFonts w:ascii="Times New Roman" w:hAnsi="Times New Roman" w:cs="Times New Roman"/>
          <w:sz w:val="24"/>
          <w:szCs w:val="24"/>
        </w:rPr>
        <w:t xml:space="preserve"> - </w:t>
      </w:r>
      <w:r>
        <w:rPr>
          <w:rFonts w:ascii="Times New Roman" w:hAnsi="Times New Roman" w:cs="Times New Roman"/>
          <w:sz w:val="24"/>
          <w:szCs w:val="24"/>
        </w:rPr>
        <w:t>at least where the proceedings in question could be said to be analogous to an interlocutory application.</w:t>
      </w:r>
    </w:p>
    <w:p w14:paraId="3FF23C65" w14:textId="77777777" w:rsidR="000477CB" w:rsidRDefault="000477CB" w:rsidP="000477CB">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4B03BECA" w14:textId="77777777" w:rsidR="000477CB" w:rsidRDefault="000477CB"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labour all of this this having regard to the frequency with which </w:t>
      </w:r>
      <w:r>
        <w:rPr>
          <w:rFonts w:ascii="Times New Roman" w:hAnsi="Times New Roman" w:cs="Times New Roman"/>
          <w:i/>
          <w:sz w:val="24"/>
          <w:szCs w:val="24"/>
        </w:rPr>
        <w:t xml:space="preserve">Allied Irish Banks v. Ennis </w:t>
      </w:r>
      <w:r>
        <w:rPr>
          <w:rFonts w:ascii="Times New Roman" w:hAnsi="Times New Roman" w:cs="Times New Roman"/>
          <w:sz w:val="24"/>
          <w:szCs w:val="24"/>
        </w:rPr>
        <w:t xml:space="preserve">was invoked by counsel throughout her submissions because, as I think is clear from the foregoing, it does not determine and no aspect of the reasoning in the decision affects, the proper approach to the admission of new evidence in appeals against final judgment entered after </w:t>
      </w:r>
      <w:r w:rsidR="0060495F">
        <w:rPr>
          <w:rFonts w:ascii="Times New Roman" w:hAnsi="Times New Roman" w:cs="Times New Roman"/>
          <w:sz w:val="24"/>
          <w:szCs w:val="24"/>
        </w:rPr>
        <w:t xml:space="preserve">a </w:t>
      </w:r>
      <w:r>
        <w:rPr>
          <w:rFonts w:ascii="Times New Roman" w:hAnsi="Times New Roman" w:cs="Times New Roman"/>
          <w:sz w:val="24"/>
          <w:szCs w:val="24"/>
        </w:rPr>
        <w:t>plenary hearing.  If anything, the decision confirms that the criteria to be applied to an application to admit either new evidence or to advance a new argument in the appeal of a final judgment following a plenary hearing remain those set out in the judgment of O’Donnell J. (with whom Hardiman and Clarke JJ</w:t>
      </w:r>
      <w:r w:rsidR="00F77C0F">
        <w:rPr>
          <w:rFonts w:ascii="Times New Roman" w:hAnsi="Times New Roman" w:cs="Times New Roman"/>
          <w:sz w:val="24"/>
          <w:szCs w:val="24"/>
        </w:rPr>
        <w:t>.</w:t>
      </w:r>
      <w:r>
        <w:rPr>
          <w:rFonts w:ascii="Times New Roman" w:hAnsi="Times New Roman" w:cs="Times New Roman"/>
          <w:sz w:val="24"/>
          <w:szCs w:val="24"/>
        </w:rPr>
        <w:t xml:space="preserve"> agreed) in </w:t>
      </w:r>
      <w:r>
        <w:rPr>
          <w:rFonts w:ascii="Times New Roman" w:hAnsi="Times New Roman" w:cs="Times New Roman"/>
          <w:i/>
          <w:sz w:val="24"/>
          <w:szCs w:val="24"/>
        </w:rPr>
        <w:t xml:space="preserve">Lough </w:t>
      </w:r>
      <w:proofErr w:type="spellStart"/>
      <w:r>
        <w:rPr>
          <w:rFonts w:ascii="Times New Roman" w:hAnsi="Times New Roman" w:cs="Times New Roman"/>
          <w:i/>
          <w:sz w:val="24"/>
          <w:szCs w:val="24"/>
        </w:rPr>
        <w:t>Swilly</w:t>
      </w:r>
      <w:proofErr w:type="spellEnd"/>
      <w:r>
        <w:rPr>
          <w:rFonts w:ascii="Times New Roman" w:hAnsi="Times New Roman" w:cs="Times New Roman"/>
          <w:i/>
          <w:sz w:val="24"/>
          <w:szCs w:val="24"/>
        </w:rPr>
        <w:t xml:space="preserve"> Shellfish Growers Co-op Society Ltd. v. Bradley</w:t>
      </w:r>
      <w:r>
        <w:rPr>
          <w:rFonts w:ascii="Times New Roman" w:hAnsi="Times New Roman" w:cs="Times New Roman"/>
          <w:sz w:val="24"/>
          <w:szCs w:val="24"/>
        </w:rPr>
        <w:t xml:space="preserve"> [2013] IESC 16, [2013] 1 IR 227 (see para. 10 of the judgment of MacMenamin J.</w:t>
      </w:r>
      <w:r w:rsidR="00051488">
        <w:rPr>
          <w:rFonts w:ascii="Times New Roman" w:hAnsi="Times New Roman" w:cs="Times New Roman"/>
          <w:sz w:val="24"/>
          <w:szCs w:val="24"/>
        </w:rPr>
        <w:t xml:space="preserve"> in </w:t>
      </w:r>
      <w:r w:rsidR="00051488">
        <w:rPr>
          <w:rFonts w:ascii="Times New Roman" w:hAnsi="Times New Roman" w:cs="Times New Roman"/>
          <w:i/>
          <w:sz w:val="24"/>
          <w:szCs w:val="24"/>
        </w:rPr>
        <w:t>Allied Irish Banks v. Ennis</w:t>
      </w:r>
      <w:r>
        <w:rPr>
          <w:rFonts w:ascii="Times New Roman" w:hAnsi="Times New Roman" w:cs="Times New Roman"/>
          <w:sz w:val="24"/>
          <w:szCs w:val="24"/>
        </w:rPr>
        <w:t>).  There the Court identified (at para. 28) a ‘</w:t>
      </w:r>
      <w:r>
        <w:rPr>
          <w:rFonts w:ascii="Times New Roman" w:hAnsi="Times New Roman" w:cs="Times New Roman"/>
          <w:i/>
          <w:sz w:val="24"/>
          <w:szCs w:val="24"/>
        </w:rPr>
        <w:t>spectrum’</w:t>
      </w:r>
      <w:r w:rsidR="0060495F">
        <w:rPr>
          <w:rFonts w:ascii="Times New Roman" w:hAnsi="Times New Roman" w:cs="Times New Roman"/>
          <w:sz w:val="24"/>
          <w:szCs w:val="24"/>
        </w:rPr>
        <w:t xml:space="preserve">. That spectrum runs at one end </w:t>
      </w:r>
      <w:r>
        <w:rPr>
          <w:rFonts w:ascii="Times New Roman" w:hAnsi="Times New Roman" w:cs="Times New Roman"/>
          <w:sz w:val="24"/>
          <w:szCs w:val="24"/>
        </w:rPr>
        <w:t xml:space="preserve">from cases in which a new argument would involve new evidence with a consequent effect on the evidence already given or where the new argument would be diametrically opposed to the argument actually advanced at the trial (these being cases where </w:t>
      </w:r>
      <w:r w:rsidR="00051488">
        <w:rPr>
          <w:rFonts w:ascii="Times New Roman" w:hAnsi="Times New Roman" w:cs="Times New Roman"/>
          <w:sz w:val="24"/>
          <w:szCs w:val="24"/>
        </w:rPr>
        <w:t xml:space="preserve">the Court would incline against granting </w:t>
      </w:r>
      <w:r>
        <w:rPr>
          <w:rFonts w:ascii="Times New Roman" w:hAnsi="Times New Roman" w:cs="Times New Roman"/>
          <w:sz w:val="24"/>
          <w:szCs w:val="24"/>
        </w:rPr>
        <w:t xml:space="preserve">leave), to cases </w:t>
      </w:r>
      <w:r w:rsidR="0060495F">
        <w:rPr>
          <w:rFonts w:ascii="Times New Roman" w:hAnsi="Times New Roman" w:cs="Times New Roman"/>
          <w:sz w:val="24"/>
          <w:szCs w:val="24"/>
        </w:rPr>
        <w:t xml:space="preserve">at the other extreme </w:t>
      </w:r>
      <w:r>
        <w:rPr>
          <w:rFonts w:ascii="Times New Roman" w:hAnsi="Times New Roman" w:cs="Times New Roman"/>
          <w:sz w:val="24"/>
          <w:szCs w:val="24"/>
        </w:rPr>
        <w:t xml:space="preserve">in which the new argument was </w:t>
      </w:r>
      <w:r w:rsidR="00051488">
        <w:rPr>
          <w:rFonts w:ascii="Times New Roman" w:hAnsi="Times New Roman" w:cs="Times New Roman"/>
          <w:sz w:val="24"/>
          <w:szCs w:val="24"/>
        </w:rPr>
        <w:t xml:space="preserve">closely </w:t>
      </w:r>
      <w:r>
        <w:rPr>
          <w:rFonts w:ascii="Times New Roman" w:hAnsi="Times New Roman" w:cs="Times New Roman"/>
          <w:sz w:val="24"/>
          <w:szCs w:val="24"/>
        </w:rPr>
        <w:t xml:space="preserve">related to arguments that were advanced </w:t>
      </w:r>
      <w:r w:rsidR="00051488">
        <w:rPr>
          <w:rFonts w:ascii="Times New Roman" w:hAnsi="Times New Roman" w:cs="Times New Roman"/>
          <w:sz w:val="24"/>
          <w:szCs w:val="24"/>
        </w:rPr>
        <w:t xml:space="preserve">and </w:t>
      </w:r>
      <w:r>
        <w:rPr>
          <w:rFonts w:ascii="Times New Roman" w:hAnsi="Times New Roman" w:cs="Times New Roman"/>
          <w:sz w:val="24"/>
          <w:szCs w:val="24"/>
        </w:rPr>
        <w:lastRenderedPageBreak/>
        <w:t>which w</w:t>
      </w:r>
      <w:r w:rsidR="00051488">
        <w:rPr>
          <w:rFonts w:ascii="Times New Roman" w:hAnsi="Times New Roman" w:cs="Times New Roman"/>
          <w:sz w:val="24"/>
          <w:szCs w:val="24"/>
        </w:rPr>
        <w:t>ere</w:t>
      </w:r>
      <w:r>
        <w:rPr>
          <w:rFonts w:ascii="Times New Roman" w:hAnsi="Times New Roman" w:cs="Times New Roman"/>
          <w:sz w:val="24"/>
          <w:szCs w:val="24"/>
        </w:rPr>
        <w:t xml:space="preserve"> not dependant on new evidence (in which case leave might be more readily granted).  In cases at the first end of the spectrum, considerations of finality, the obligation of a party to bring forward its case in full at trial, fairness to the other parties to the action, </w:t>
      </w:r>
      <w:r w:rsidR="00F77C0F">
        <w:rPr>
          <w:rFonts w:ascii="Times New Roman" w:hAnsi="Times New Roman" w:cs="Times New Roman"/>
          <w:sz w:val="24"/>
          <w:szCs w:val="24"/>
        </w:rPr>
        <w:t xml:space="preserve">and </w:t>
      </w:r>
      <w:r>
        <w:rPr>
          <w:rFonts w:ascii="Times New Roman" w:hAnsi="Times New Roman" w:cs="Times New Roman"/>
          <w:sz w:val="24"/>
          <w:szCs w:val="24"/>
        </w:rPr>
        <w:t xml:space="preserve">the possible need for a remittal in order to deal with the point all lean heavily against the admission of new arguments of this kind.  This was both made clear by O’Donnell J. in </w:t>
      </w:r>
      <w:r>
        <w:rPr>
          <w:rFonts w:ascii="Times New Roman" w:hAnsi="Times New Roman" w:cs="Times New Roman"/>
          <w:i/>
          <w:sz w:val="24"/>
          <w:szCs w:val="24"/>
        </w:rPr>
        <w:t xml:space="preserve">Lough </w:t>
      </w:r>
      <w:proofErr w:type="spellStart"/>
      <w:r>
        <w:rPr>
          <w:rFonts w:ascii="Times New Roman" w:hAnsi="Times New Roman" w:cs="Times New Roman"/>
          <w:i/>
          <w:sz w:val="24"/>
          <w:szCs w:val="24"/>
        </w:rPr>
        <w:t>Swilly</w:t>
      </w:r>
      <w:proofErr w:type="spellEnd"/>
      <w:r>
        <w:rPr>
          <w:rFonts w:ascii="Times New Roman" w:hAnsi="Times New Roman" w:cs="Times New Roman"/>
          <w:i/>
          <w:sz w:val="24"/>
          <w:szCs w:val="24"/>
        </w:rPr>
        <w:t xml:space="preserve"> Shellfish Growers Co-op Society Ltd. v. Bradley </w:t>
      </w:r>
      <w:r>
        <w:rPr>
          <w:rFonts w:ascii="Times New Roman" w:hAnsi="Times New Roman" w:cs="Times New Roman"/>
          <w:sz w:val="24"/>
          <w:szCs w:val="24"/>
        </w:rPr>
        <w:t xml:space="preserve">(at para. 28) and indeed by MacMenamin J. in </w:t>
      </w:r>
      <w:r>
        <w:rPr>
          <w:rFonts w:ascii="Times New Roman" w:hAnsi="Times New Roman" w:cs="Times New Roman"/>
          <w:i/>
          <w:sz w:val="24"/>
          <w:szCs w:val="24"/>
        </w:rPr>
        <w:t xml:space="preserve">Allied Irish Banks v. Ennis </w:t>
      </w:r>
      <w:r>
        <w:rPr>
          <w:rFonts w:ascii="Times New Roman" w:hAnsi="Times New Roman" w:cs="Times New Roman"/>
          <w:sz w:val="24"/>
          <w:szCs w:val="24"/>
        </w:rPr>
        <w:t>itself (see para. 14).</w:t>
      </w:r>
    </w:p>
    <w:p w14:paraId="69BB2BE3" w14:textId="77777777" w:rsidR="000477CB" w:rsidRDefault="000477CB" w:rsidP="000477CB">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4C8FA1DE" w14:textId="34C24F3A" w:rsidR="000477CB" w:rsidRDefault="000477CB" w:rsidP="004B12F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case, I am emphatically of the view that the application that </w:t>
      </w:r>
      <w:r w:rsidR="004020C5">
        <w:rPr>
          <w:rFonts w:ascii="Times New Roman" w:hAnsi="Times New Roman" w:cs="Times New Roman"/>
          <w:sz w:val="24"/>
          <w:szCs w:val="24"/>
        </w:rPr>
        <w:t>t</w:t>
      </w:r>
      <w:r>
        <w:rPr>
          <w:rFonts w:ascii="Times New Roman" w:hAnsi="Times New Roman" w:cs="Times New Roman"/>
          <w:sz w:val="24"/>
          <w:szCs w:val="24"/>
        </w:rPr>
        <w:t xml:space="preserve">his </w:t>
      </w:r>
      <w:r w:rsidR="004020C5">
        <w:rPr>
          <w:rFonts w:ascii="Times New Roman" w:hAnsi="Times New Roman" w:cs="Times New Roman"/>
          <w:sz w:val="24"/>
          <w:szCs w:val="24"/>
        </w:rPr>
        <w:t>C</w:t>
      </w:r>
      <w:r>
        <w:rPr>
          <w:rFonts w:ascii="Times New Roman" w:hAnsi="Times New Roman" w:cs="Times New Roman"/>
          <w:sz w:val="24"/>
          <w:szCs w:val="24"/>
        </w:rPr>
        <w:t xml:space="preserve">ourt </w:t>
      </w:r>
      <w:proofErr w:type="spellStart"/>
      <w:r>
        <w:rPr>
          <w:rFonts w:ascii="Times New Roman" w:hAnsi="Times New Roman" w:cs="Times New Roman"/>
          <w:sz w:val="24"/>
          <w:szCs w:val="24"/>
        </w:rPr>
        <w:t>delare</w:t>
      </w:r>
      <w:proofErr w:type="spellEnd"/>
      <w:r>
        <w:rPr>
          <w:rFonts w:ascii="Times New Roman" w:hAnsi="Times New Roman" w:cs="Times New Roman"/>
          <w:sz w:val="24"/>
          <w:szCs w:val="24"/>
        </w:rPr>
        <w:t xml:space="preserve"> the Loan Terms and Conditions dated 11 December 2006 and the security of the 28 May 2007 to be a ‘</w:t>
      </w:r>
      <w:r>
        <w:rPr>
          <w:rFonts w:ascii="Times New Roman" w:hAnsi="Times New Roman" w:cs="Times New Roman"/>
          <w:i/>
          <w:sz w:val="24"/>
          <w:szCs w:val="24"/>
        </w:rPr>
        <w:t xml:space="preserve">Welsh </w:t>
      </w:r>
      <w:r w:rsidR="00A51B15">
        <w:rPr>
          <w:rFonts w:ascii="Times New Roman" w:hAnsi="Times New Roman" w:cs="Times New Roman"/>
          <w:i/>
          <w:sz w:val="24"/>
          <w:szCs w:val="24"/>
        </w:rPr>
        <w:t>m</w:t>
      </w:r>
      <w:r>
        <w:rPr>
          <w:rFonts w:ascii="Times New Roman" w:hAnsi="Times New Roman" w:cs="Times New Roman"/>
          <w:i/>
          <w:sz w:val="24"/>
          <w:szCs w:val="24"/>
        </w:rPr>
        <w:t>ortgage’</w:t>
      </w:r>
      <w:r>
        <w:rPr>
          <w:rFonts w:ascii="Times New Roman" w:hAnsi="Times New Roman" w:cs="Times New Roman"/>
          <w:sz w:val="24"/>
          <w:szCs w:val="24"/>
        </w:rPr>
        <w:t xml:space="preserve"> and the allied contentions that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Chargor</w:t>
      </w:r>
      <w:proofErr w:type="spellEnd"/>
      <w:r>
        <w:rPr>
          <w:rFonts w:ascii="Times New Roman" w:hAnsi="Times New Roman" w:cs="Times New Roman"/>
          <w:i/>
          <w:sz w:val="24"/>
          <w:szCs w:val="24"/>
        </w:rPr>
        <w:t xml:space="preserve">’ </w:t>
      </w:r>
      <w:r>
        <w:rPr>
          <w:rFonts w:ascii="Times New Roman" w:hAnsi="Times New Roman" w:cs="Times New Roman"/>
          <w:sz w:val="24"/>
          <w:szCs w:val="24"/>
        </w:rPr>
        <w:t>was the only person who had the capacity to permit the appointment of the receiver should be refused having regard to these principles.  Specifically:</w:t>
      </w:r>
    </w:p>
    <w:p w14:paraId="3D41ABE6" w14:textId="77777777" w:rsidR="000477CB" w:rsidRPr="000477CB" w:rsidRDefault="000477CB" w:rsidP="000477CB">
      <w:pPr>
        <w:pStyle w:val="ListParagraph"/>
        <w:rPr>
          <w:rFonts w:ascii="Times New Roman" w:hAnsi="Times New Roman" w:cs="Times New Roman"/>
          <w:sz w:val="24"/>
          <w:szCs w:val="24"/>
        </w:rPr>
      </w:pPr>
    </w:p>
    <w:p w14:paraId="1B6C5FC3" w14:textId="77777777" w:rsidR="000477CB" w:rsidRDefault="000477CB" w:rsidP="000477CB">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could not entertain this argument without affording the Bank and/or present owner of the loan and security the opportunity to participate in the hearing.  It is not appropriate that such an issue </w:t>
      </w:r>
      <w:r w:rsidR="00051488">
        <w:rPr>
          <w:rFonts w:ascii="Times New Roman" w:hAnsi="Times New Roman" w:cs="Times New Roman"/>
          <w:sz w:val="24"/>
          <w:szCs w:val="24"/>
        </w:rPr>
        <w:t xml:space="preserve">requiring the involvement of additional parties </w:t>
      </w:r>
      <w:r>
        <w:rPr>
          <w:rFonts w:ascii="Times New Roman" w:hAnsi="Times New Roman" w:cs="Times New Roman"/>
          <w:sz w:val="24"/>
          <w:szCs w:val="24"/>
        </w:rPr>
        <w:t>be determined for the first time on appeal.</w:t>
      </w:r>
      <w:r w:rsidRPr="000477CB">
        <w:rPr>
          <w:rFonts w:ascii="Times New Roman" w:hAnsi="Times New Roman" w:cs="Times New Roman"/>
          <w:sz w:val="24"/>
          <w:szCs w:val="24"/>
        </w:rPr>
        <w:t xml:space="preserve"> </w:t>
      </w:r>
    </w:p>
    <w:p w14:paraId="27A28113" w14:textId="77777777" w:rsidR="000477CB" w:rsidRDefault="000477CB" w:rsidP="000477CB">
      <w:pPr>
        <w:pStyle w:val="ListParagraph"/>
        <w:spacing w:line="480" w:lineRule="auto"/>
        <w:ind w:left="1437"/>
        <w:jc w:val="both"/>
        <w:rPr>
          <w:rFonts w:ascii="Times New Roman" w:hAnsi="Times New Roman" w:cs="Times New Roman"/>
          <w:sz w:val="24"/>
          <w:szCs w:val="24"/>
        </w:rPr>
      </w:pPr>
      <w:r>
        <w:rPr>
          <w:rFonts w:ascii="Times New Roman" w:hAnsi="Times New Roman" w:cs="Times New Roman"/>
          <w:sz w:val="24"/>
          <w:szCs w:val="24"/>
        </w:rPr>
        <w:t xml:space="preserve">  </w:t>
      </w:r>
    </w:p>
    <w:p w14:paraId="203E8973" w14:textId="77777777" w:rsidR="000477CB" w:rsidRDefault="000477CB" w:rsidP="000477CB">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Pr="000477CB">
        <w:rPr>
          <w:rFonts w:ascii="Times New Roman" w:hAnsi="Times New Roman" w:cs="Times New Roman"/>
          <w:sz w:val="24"/>
          <w:szCs w:val="24"/>
        </w:rPr>
        <w:t>is absolutely nothing in the evidence that was adduced before the High Court to support the proposition that there was any ‘</w:t>
      </w:r>
      <w:r w:rsidRPr="000477CB">
        <w:rPr>
          <w:rFonts w:ascii="Times New Roman" w:hAnsi="Times New Roman" w:cs="Times New Roman"/>
          <w:i/>
          <w:sz w:val="24"/>
          <w:szCs w:val="24"/>
        </w:rPr>
        <w:t>Welsh mortgage’</w:t>
      </w:r>
      <w:r w:rsidRPr="000477CB">
        <w:rPr>
          <w:rFonts w:ascii="Times New Roman" w:hAnsi="Times New Roman" w:cs="Times New Roman"/>
          <w:sz w:val="24"/>
          <w:szCs w:val="24"/>
        </w:rPr>
        <w:t xml:space="preserve"> entered into either at all or, more particularly, </w:t>
      </w:r>
      <w:r w:rsidRPr="000477CB">
        <w:rPr>
          <w:rFonts w:ascii="Times New Roman" w:hAnsi="Times New Roman" w:cs="Times New Roman"/>
          <w:i/>
          <w:sz w:val="24"/>
          <w:szCs w:val="24"/>
        </w:rPr>
        <w:t xml:space="preserve">after </w:t>
      </w:r>
      <w:r w:rsidRPr="000477CB">
        <w:rPr>
          <w:rFonts w:ascii="Times New Roman" w:hAnsi="Times New Roman" w:cs="Times New Roman"/>
          <w:sz w:val="24"/>
          <w:szCs w:val="24"/>
        </w:rPr>
        <w:t>the coming into effect of the Land and Conveyancing Law Reform Act 2009.  The argument, were it to be permitted, could only be agitated on the receipt of such evidence</w:t>
      </w:r>
      <w:r>
        <w:rPr>
          <w:rFonts w:ascii="Times New Roman" w:hAnsi="Times New Roman" w:cs="Times New Roman"/>
          <w:sz w:val="24"/>
          <w:szCs w:val="24"/>
        </w:rPr>
        <w:t xml:space="preserve"> and that in itself would require remittal of the proceedings.</w:t>
      </w:r>
    </w:p>
    <w:p w14:paraId="1A2BC890" w14:textId="77777777" w:rsidR="000477CB" w:rsidRPr="000477CB" w:rsidRDefault="000477CB" w:rsidP="000477CB">
      <w:pPr>
        <w:pStyle w:val="ListParagraph"/>
        <w:rPr>
          <w:rFonts w:ascii="Times New Roman" w:hAnsi="Times New Roman" w:cs="Times New Roman"/>
          <w:sz w:val="24"/>
          <w:szCs w:val="24"/>
        </w:rPr>
      </w:pPr>
    </w:p>
    <w:p w14:paraId="1CB9F03E" w14:textId="77777777" w:rsidR="000477CB" w:rsidRDefault="000477CB" w:rsidP="000477CB">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The proposition that the fact that solicitors for the plaintiff used the term ‘</w:t>
      </w:r>
      <w:proofErr w:type="spellStart"/>
      <w:r>
        <w:rPr>
          <w:rFonts w:ascii="Times New Roman" w:hAnsi="Times New Roman" w:cs="Times New Roman"/>
          <w:i/>
          <w:sz w:val="24"/>
          <w:szCs w:val="24"/>
        </w:rPr>
        <w:t>chargor</w:t>
      </w:r>
      <w:proofErr w:type="spellEnd"/>
      <w:r>
        <w:rPr>
          <w:rFonts w:ascii="Times New Roman" w:hAnsi="Times New Roman" w:cs="Times New Roman"/>
          <w:i/>
          <w:sz w:val="24"/>
          <w:szCs w:val="24"/>
        </w:rPr>
        <w:t xml:space="preserve">’ </w:t>
      </w:r>
      <w:r>
        <w:rPr>
          <w:rFonts w:ascii="Times New Roman" w:hAnsi="Times New Roman" w:cs="Times New Roman"/>
          <w:sz w:val="24"/>
          <w:szCs w:val="24"/>
        </w:rPr>
        <w:t>in correspondence means that there was a ‘</w:t>
      </w:r>
      <w:r>
        <w:rPr>
          <w:rFonts w:ascii="Times New Roman" w:hAnsi="Times New Roman" w:cs="Times New Roman"/>
          <w:i/>
          <w:sz w:val="24"/>
          <w:szCs w:val="24"/>
        </w:rPr>
        <w:t xml:space="preserve">Welsh mortgage’ </w:t>
      </w:r>
      <w:r>
        <w:rPr>
          <w:rFonts w:ascii="Times New Roman" w:hAnsi="Times New Roman" w:cs="Times New Roman"/>
          <w:sz w:val="24"/>
          <w:szCs w:val="24"/>
        </w:rPr>
        <w:t>is untenable.</w:t>
      </w:r>
    </w:p>
    <w:p w14:paraId="24422948" w14:textId="77777777" w:rsidR="000477CB" w:rsidRPr="000477CB" w:rsidRDefault="000477CB" w:rsidP="000477CB">
      <w:pPr>
        <w:pStyle w:val="ListParagraph"/>
        <w:rPr>
          <w:rFonts w:ascii="Times New Roman" w:hAnsi="Times New Roman" w:cs="Times New Roman"/>
          <w:sz w:val="24"/>
          <w:szCs w:val="24"/>
        </w:rPr>
      </w:pPr>
    </w:p>
    <w:p w14:paraId="19366FD2" w14:textId="77777777" w:rsidR="0010105F" w:rsidRPr="00051488" w:rsidRDefault="000477CB" w:rsidP="00051488">
      <w:pPr>
        <w:pStyle w:val="ListParagraph"/>
        <w:numPr>
          <w:ilvl w:val="0"/>
          <w:numId w:val="12"/>
        </w:numPr>
        <w:spacing w:line="480" w:lineRule="auto"/>
        <w:jc w:val="both"/>
        <w:rPr>
          <w:rFonts w:ascii="Times New Roman" w:hAnsi="Times New Roman" w:cs="Times New Roman"/>
          <w:sz w:val="24"/>
          <w:szCs w:val="24"/>
        </w:rPr>
      </w:pPr>
      <w:r w:rsidRPr="000477CB">
        <w:rPr>
          <w:rFonts w:ascii="Times New Roman" w:hAnsi="Times New Roman" w:cs="Times New Roman"/>
          <w:sz w:val="24"/>
          <w:szCs w:val="24"/>
        </w:rPr>
        <w:t>The explanation given by the defendant for the failure to raise this issue at the trial (that the use by the plaintiff’s solicitors of the term ‘</w:t>
      </w:r>
      <w:proofErr w:type="spellStart"/>
      <w:r w:rsidRPr="000477CB">
        <w:rPr>
          <w:rFonts w:ascii="Times New Roman" w:hAnsi="Times New Roman" w:cs="Times New Roman"/>
          <w:i/>
          <w:sz w:val="24"/>
          <w:szCs w:val="24"/>
        </w:rPr>
        <w:t>chargor</w:t>
      </w:r>
      <w:proofErr w:type="spellEnd"/>
      <w:r w:rsidRPr="000477CB">
        <w:rPr>
          <w:rFonts w:ascii="Times New Roman" w:hAnsi="Times New Roman" w:cs="Times New Roman"/>
          <w:i/>
          <w:sz w:val="24"/>
          <w:szCs w:val="24"/>
        </w:rPr>
        <w:t>’</w:t>
      </w:r>
      <w:r w:rsidRPr="000477CB">
        <w:rPr>
          <w:rFonts w:ascii="Times New Roman" w:hAnsi="Times New Roman" w:cs="Times New Roman"/>
          <w:sz w:val="24"/>
          <w:szCs w:val="24"/>
        </w:rPr>
        <w:t xml:space="preserve"> in correspondence in May 2021 first </w:t>
      </w:r>
      <w:proofErr w:type="spellStart"/>
      <w:r w:rsidRPr="000477CB">
        <w:rPr>
          <w:rFonts w:ascii="Times New Roman" w:hAnsi="Times New Roman" w:cs="Times New Roman"/>
          <w:sz w:val="24"/>
          <w:szCs w:val="24"/>
        </w:rPr>
        <w:t>alterted</w:t>
      </w:r>
      <w:proofErr w:type="spellEnd"/>
      <w:r w:rsidRPr="000477CB">
        <w:rPr>
          <w:rFonts w:ascii="Times New Roman" w:hAnsi="Times New Roman" w:cs="Times New Roman"/>
          <w:sz w:val="24"/>
          <w:szCs w:val="24"/>
        </w:rPr>
        <w:t xml:space="preserve"> him to the point) is, having regard to the </w:t>
      </w:r>
      <w:proofErr w:type="spellStart"/>
      <w:r w:rsidRPr="000477CB">
        <w:rPr>
          <w:rFonts w:ascii="Times New Roman" w:hAnsi="Times New Roman" w:cs="Times New Roman"/>
          <w:sz w:val="24"/>
          <w:szCs w:val="24"/>
        </w:rPr>
        <w:t>counterveiling</w:t>
      </w:r>
      <w:proofErr w:type="spellEnd"/>
      <w:r w:rsidRPr="000477CB">
        <w:rPr>
          <w:rFonts w:ascii="Times New Roman" w:hAnsi="Times New Roman" w:cs="Times New Roman"/>
          <w:sz w:val="24"/>
          <w:szCs w:val="24"/>
        </w:rPr>
        <w:t xml:space="preserve"> interests of finality and the over-riding obligation on a party to bring their entire case forward at once,  not a reasonable </w:t>
      </w:r>
      <w:r w:rsidR="00051488">
        <w:rPr>
          <w:rFonts w:ascii="Times New Roman" w:hAnsi="Times New Roman" w:cs="Times New Roman"/>
          <w:sz w:val="24"/>
          <w:szCs w:val="24"/>
        </w:rPr>
        <w:t xml:space="preserve">excuse </w:t>
      </w:r>
      <w:r w:rsidRPr="000477CB">
        <w:rPr>
          <w:rFonts w:ascii="Times New Roman" w:hAnsi="Times New Roman" w:cs="Times New Roman"/>
          <w:sz w:val="24"/>
          <w:szCs w:val="24"/>
        </w:rPr>
        <w:t>for the failure to raise this issue before now.  If the defendant wished to raise a point of this nature and significance it was incumbent upon him to do so at the trial.</w:t>
      </w:r>
      <w:r w:rsidR="0010105F">
        <w:rPr>
          <w:rFonts w:ascii="Times New Roman" w:hAnsi="Times New Roman" w:cs="Times New Roman"/>
          <w:sz w:val="24"/>
          <w:szCs w:val="24"/>
        </w:rPr>
        <w:t xml:space="preserve"> He had every opportunity to do so.  The case was five years in gestation, was the subject of an extraordinary number of court applications (the trial Judge refers to 34 court orders and over 60 applications to court in this and other proceedings arising out of the background facts and circumstances).  The defendant was in a position to identify a wide array of legal points and arguments throughout.</w:t>
      </w:r>
    </w:p>
    <w:p w14:paraId="586C9BC3" w14:textId="77777777" w:rsidR="00A51B15" w:rsidRDefault="00E763A3" w:rsidP="00A51B15">
      <w:pPr>
        <w:spacing w:before="0" w:after="0"/>
        <w:jc w:val="center"/>
        <w:rPr>
          <w:rFonts w:ascii="Times New Roman" w:hAnsi="Times New Roman" w:cs="Times New Roman"/>
          <w:b/>
          <w:sz w:val="24"/>
          <w:szCs w:val="24"/>
          <w:u w:val="single"/>
        </w:rPr>
      </w:pPr>
      <w:r>
        <w:rPr>
          <w:rFonts w:ascii="Times New Roman" w:hAnsi="Times New Roman" w:cs="Times New Roman"/>
          <w:b/>
          <w:sz w:val="24"/>
          <w:szCs w:val="24"/>
          <w:u w:val="single"/>
        </w:rPr>
        <w:t>VI   THE NOTICE OF APPEAL</w:t>
      </w:r>
      <w:r w:rsidR="005F75DD">
        <w:rPr>
          <w:rFonts w:ascii="Times New Roman" w:hAnsi="Times New Roman" w:cs="Times New Roman"/>
          <w:b/>
          <w:sz w:val="24"/>
          <w:szCs w:val="24"/>
          <w:u w:val="single"/>
        </w:rPr>
        <w:t xml:space="preserve"> AND ORDERS</w:t>
      </w:r>
    </w:p>
    <w:p w14:paraId="59A064D3" w14:textId="77777777" w:rsidR="00A51B15" w:rsidRDefault="00A51B15" w:rsidP="00A51B15">
      <w:pPr>
        <w:spacing w:before="0" w:after="0"/>
        <w:rPr>
          <w:rFonts w:ascii="Times New Roman" w:hAnsi="Times New Roman" w:cs="Times New Roman"/>
          <w:b/>
          <w:sz w:val="24"/>
          <w:szCs w:val="24"/>
          <w:u w:val="single"/>
        </w:rPr>
      </w:pPr>
    </w:p>
    <w:p w14:paraId="7948DC73" w14:textId="77777777" w:rsidR="005F75DD" w:rsidRPr="005F75DD" w:rsidRDefault="005F75DD" w:rsidP="00A51B15">
      <w:pPr>
        <w:spacing w:before="0" w:after="0"/>
        <w:jc w:val="both"/>
        <w:rPr>
          <w:rFonts w:ascii="Times New Roman" w:hAnsi="Times New Roman" w:cs="Times New Roman"/>
          <w:b/>
          <w:i/>
          <w:sz w:val="24"/>
          <w:szCs w:val="24"/>
        </w:rPr>
      </w:pPr>
      <w:r>
        <w:rPr>
          <w:rFonts w:ascii="Times New Roman" w:hAnsi="Times New Roman" w:cs="Times New Roman"/>
          <w:b/>
          <w:sz w:val="24"/>
          <w:szCs w:val="24"/>
        </w:rPr>
        <w:tab/>
      </w:r>
      <w:r w:rsidR="00051488">
        <w:rPr>
          <w:rFonts w:ascii="Times New Roman" w:hAnsi="Times New Roman" w:cs="Times New Roman"/>
          <w:b/>
          <w:sz w:val="24"/>
          <w:szCs w:val="24"/>
        </w:rPr>
        <w:tab/>
      </w:r>
      <w:r>
        <w:rPr>
          <w:rFonts w:ascii="Times New Roman" w:hAnsi="Times New Roman" w:cs="Times New Roman"/>
          <w:b/>
          <w:i/>
          <w:sz w:val="24"/>
          <w:szCs w:val="24"/>
        </w:rPr>
        <w:t>The notice of appeal</w:t>
      </w:r>
    </w:p>
    <w:p w14:paraId="7B3E13E5" w14:textId="77777777" w:rsidR="00E763A3" w:rsidRPr="00E763A3" w:rsidRDefault="00E763A3" w:rsidP="00E763A3">
      <w:pPr>
        <w:pStyle w:val="ListParagraph"/>
        <w:rPr>
          <w:rFonts w:ascii="Times New Roman" w:hAnsi="Times New Roman" w:cs="Times New Roman"/>
          <w:sz w:val="24"/>
          <w:szCs w:val="24"/>
        </w:rPr>
      </w:pPr>
    </w:p>
    <w:p w14:paraId="178E3C98" w14:textId="078A0C84" w:rsidR="005F75DD" w:rsidRDefault="00E763A3" w:rsidP="005F75D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amended notice of appeal delivered by the defendant on 23 February 2021 presented twenty six grounds of appeal.  I have addressed </w:t>
      </w:r>
      <w:r w:rsidR="006C45F1">
        <w:rPr>
          <w:rFonts w:ascii="Times New Roman" w:hAnsi="Times New Roman" w:cs="Times New Roman"/>
          <w:sz w:val="24"/>
          <w:szCs w:val="24"/>
        </w:rPr>
        <w:t xml:space="preserve">above </w:t>
      </w:r>
      <w:r>
        <w:rPr>
          <w:rFonts w:ascii="Times New Roman" w:hAnsi="Times New Roman" w:cs="Times New Roman"/>
          <w:sz w:val="24"/>
          <w:szCs w:val="24"/>
        </w:rPr>
        <w:t xml:space="preserve">those grounds that were specifically agitated in the course of the written and oral submissions.  Noting that no grounds of appeal were abandoned by the defendant, and to be clear, the grounds </w:t>
      </w:r>
      <w:r w:rsidR="00666380">
        <w:rPr>
          <w:rFonts w:ascii="Times New Roman" w:hAnsi="Times New Roman" w:cs="Times New Roman"/>
          <w:sz w:val="24"/>
          <w:szCs w:val="24"/>
        </w:rPr>
        <w:lastRenderedPageBreak/>
        <w:t>covered by the principal parts of this judgment are (</w:t>
      </w:r>
      <w:r>
        <w:rPr>
          <w:rFonts w:ascii="Times New Roman" w:hAnsi="Times New Roman" w:cs="Times New Roman"/>
          <w:sz w:val="24"/>
          <w:szCs w:val="24"/>
        </w:rPr>
        <w:t>in Part II</w:t>
      </w:r>
      <w:r w:rsidR="00666380">
        <w:rPr>
          <w:rFonts w:ascii="Times New Roman" w:hAnsi="Times New Roman" w:cs="Times New Roman"/>
          <w:sz w:val="24"/>
          <w:szCs w:val="24"/>
        </w:rPr>
        <w:t xml:space="preserve">) </w:t>
      </w:r>
      <w:r>
        <w:rPr>
          <w:rFonts w:ascii="Times New Roman" w:hAnsi="Times New Roman" w:cs="Times New Roman"/>
          <w:sz w:val="24"/>
          <w:szCs w:val="24"/>
        </w:rPr>
        <w:t>grounds 4, 5, 8,</w:t>
      </w:r>
      <w:r w:rsidR="006C45F1">
        <w:rPr>
          <w:rFonts w:ascii="Times New Roman" w:hAnsi="Times New Roman" w:cs="Times New Roman"/>
          <w:sz w:val="24"/>
          <w:szCs w:val="24"/>
        </w:rPr>
        <w:t xml:space="preserve"> </w:t>
      </w:r>
      <w:r>
        <w:rPr>
          <w:rFonts w:ascii="Times New Roman" w:hAnsi="Times New Roman" w:cs="Times New Roman"/>
          <w:sz w:val="24"/>
          <w:szCs w:val="24"/>
        </w:rPr>
        <w:t>11</w:t>
      </w:r>
      <w:r w:rsidR="006C45F1">
        <w:rPr>
          <w:rFonts w:ascii="Times New Roman" w:hAnsi="Times New Roman" w:cs="Times New Roman"/>
          <w:sz w:val="24"/>
          <w:szCs w:val="24"/>
        </w:rPr>
        <w:t>, 12 and 15</w:t>
      </w:r>
      <w:r>
        <w:rPr>
          <w:rFonts w:ascii="Times New Roman" w:hAnsi="Times New Roman" w:cs="Times New Roman"/>
          <w:sz w:val="24"/>
          <w:szCs w:val="24"/>
        </w:rPr>
        <w:t xml:space="preserve">, </w:t>
      </w:r>
      <w:r w:rsidR="00666380">
        <w:rPr>
          <w:rFonts w:ascii="Times New Roman" w:hAnsi="Times New Roman" w:cs="Times New Roman"/>
          <w:sz w:val="24"/>
          <w:szCs w:val="24"/>
        </w:rPr>
        <w:t xml:space="preserve">(in </w:t>
      </w:r>
      <w:r>
        <w:rPr>
          <w:rFonts w:ascii="Times New Roman" w:hAnsi="Times New Roman" w:cs="Times New Roman"/>
          <w:sz w:val="24"/>
          <w:szCs w:val="24"/>
        </w:rPr>
        <w:t>Part III</w:t>
      </w:r>
      <w:r w:rsidR="00666380">
        <w:rPr>
          <w:rFonts w:ascii="Times New Roman" w:hAnsi="Times New Roman" w:cs="Times New Roman"/>
          <w:sz w:val="24"/>
          <w:szCs w:val="24"/>
        </w:rPr>
        <w:t>)</w:t>
      </w:r>
      <w:r>
        <w:rPr>
          <w:rFonts w:ascii="Times New Roman" w:hAnsi="Times New Roman" w:cs="Times New Roman"/>
          <w:sz w:val="24"/>
          <w:szCs w:val="24"/>
        </w:rPr>
        <w:t xml:space="preserve"> </w:t>
      </w:r>
      <w:r w:rsidR="005F75DD">
        <w:rPr>
          <w:rFonts w:ascii="Times New Roman" w:hAnsi="Times New Roman" w:cs="Times New Roman"/>
          <w:sz w:val="24"/>
          <w:szCs w:val="24"/>
        </w:rPr>
        <w:t xml:space="preserve">grounds 9 and 10, and </w:t>
      </w:r>
      <w:r w:rsidR="00666380">
        <w:rPr>
          <w:rFonts w:ascii="Times New Roman" w:hAnsi="Times New Roman" w:cs="Times New Roman"/>
          <w:sz w:val="24"/>
          <w:szCs w:val="24"/>
        </w:rPr>
        <w:t xml:space="preserve">(in </w:t>
      </w:r>
      <w:r w:rsidR="005F75DD">
        <w:rPr>
          <w:rFonts w:ascii="Times New Roman" w:hAnsi="Times New Roman" w:cs="Times New Roman"/>
          <w:sz w:val="24"/>
          <w:szCs w:val="24"/>
        </w:rPr>
        <w:t>Part IV</w:t>
      </w:r>
      <w:r w:rsidR="00666380">
        <w:rPr>
          <w:rFonts w:ascii="Times New Roman" w:hAnsi="Times New Roman" w:cs="Times New Roman"/>
          <w:sz w:val="24"/>
          <w:szCs w:val="24"/>
        </w:rPr>
        <w:t>)</w:t>
      </w:r>
      <w:r w:rsidR="005F75DD">
        <w:rPr>
          <w:rFonts w:ascii="Times New Roman" w:hAnsi="Times New Roman" w:cs="Times New Roman"/>
          <w:sz w:val="24"/>
          <w:szCs w:val="24"/>
        </w:rPr>
        <w:t xml:space="preserve"> (grounds </w:t>
      </w:r>
      <w:r w:rsidR="007C2549">
        <w:rPr>
          <w:rFonts w:ascii="Times New Roman" w:hAnsi="Times New Roman" w:cs="Times New Roman"/>
          <w:sz w:val="24"/>
          <w:szCs w:val="24"/>
        </w:rPr>
        <w:t xml:space="preserve">7, </w:t>
      </w:r>
      <w:r w:rsidR="005F75DD">
        <w:rPr>
          <w:rFonts w:ascii="Times New Roman" w:hAnsi="Times New Roman" w:cs="Times New Roman"/>
          <w:sz w:val="24"/>
          <w:szCs w:val="24"/>
        </w:rPr>
        <w:t>19, 24 and 26).</w:t>
      </w:r>
    </w:p>
    <w:p w14:paraId="46B74532" w14:textId="77777777" w:rsidR="005F75DD" w:rsidRDefault="005F75DD" w:rsidP="005F75DD">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7FE66EEB" w14:textId="77777777" w:rsidR="00666380" w:rsidRDefault="005F75DD" w:rsidP="005F75D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remaining grounds were, correctly, not pursued in written or oral submissions.  </w:t>
      </w:r>
      <w:r w:rsidR="00666380">
        <w:rPr>
          <w:rFonts w:ascii="Times New Roman" w:hAnsi="Times New Roman" w:cs="Times New Roman"/>
          <w:sz w:val="24"/>
          <w:szCs w:val="24"/>
        </w:rPr>
        <w:t>For the avoidance of any doubt m</w:t>
      </w:r>
      <w:r>
        <w:rPr>
          <w:rFonts w:ascii="Times New Roman" w:hAnsi="Times New Roman" w:cs="Times New Roman"/>
          <w:sz w:val="24"/>
          <w:szCs w:val="24"/>
        </w:rPr>
        <w:t xml:space="preserve">y reasons for the conclusion that they did not present stateable grounds of appeal are, briefly, as follows.  </w:t>
      </w:r>
    </w:p>
    <w:p w14:paraId="463A32D1" w14:textId="77777777" w:rsidR="00666380" w:rsidRPr="00666380" w:rsidRDefault="00666380" w:rsidP="00666380">
      <w:pPr>
        <w:pStyle w:val="ListParagraph"/>
        <w:rPr>
          <w:rFonts w:ascii="Times New Roman" w:hAnsi="Times New Roman" w:cs="Times New Roman"/>
          <w:sz w:val="24"/>
          <w:szCs w:val="24"/>
        </w:rPr>
      </w:pPr>
    </w:p>
    <w:p w14:paraId="41BC6919" w14:textId="6FC72B76" w:rsidR="009962A6" w:rsidRDefault="005F75DD" w:rsidP="005F75D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First, the defendant has not explained how any alleged failure of the plaintiff to show or confirm properties of the defendant on the deed of appointment or High Court </w:t>
      </w:r>
      <w:r w:rsidR="00AF7777">
        <w:rPr>
          <w:rFonts w:ascii="Times New Roman" w:hAnsi="Times New Roman" w:cs="Times New Roman"/>
          <w:sz w:val="24"/>
          <w:szCs w:val="24"/>
        </w:rPr>
        <w:t>O</w:t>
      </w:r>
      <w:r>
        <w:rPr>
          <w:rFonts w:ascii="Times New Roman" w:hAnsi="Times New Roman" w:cs="Times New Roman"/>
          <w:sz w:val="24"/>
          <w:szCs w:val="24"/>
        </w:rPr>
        <w:t xml:space="preserve">rder of 22 August 2014 affects (having regard to the provisions of the mortgage) either the validity of his appointment, his entitlement to possession of those properties having regard to the provisions of the mortgage or to any other relief claimed in these proceedings (ground </w:t>
      </w:r>
      <w:r w:rsidR="00D63B90">
        <w:rPr>
          <w:rFonts w:ascii="Times New Roman" w:hAnsi="Times New Roman" w:cs="Times New Roman"/>
          <w:sz w:val="24"/>
          <w:szCs w:val="24"/>
        </w:rPr>
        <w:t>1</w:t>
      </w:r>
      <w:r>
        <w:rPr>
          <w:rFonts w:ascii="Times New Roman" w:hAnsi="Times New Roman" w:cs="Times New Roman"/>
          <w:sz w:val="24"/>
          <w:szCs w:val="24"/>
        </w:rPr>
        <w:t xml:space="preserve">).   </w:t>
      </w:r>
    </w:p>
    <w:p w14:paraId="7418B082" w14:textId="77777777" w:rsidR="009962A6" w:rsidRPr="009962A6" w:rsidRDefault="009962A6" w:rsidP="009962A6">
      <w:pPr>
        <w:pStyle w:val="ListParagraph"/>
        <w:rPr>
          <w:rFonts w:ascii="Times New Roman" w:hAnsi="Times New Roman" w:cs="Times New Roman"/>
          <w:sz w:val="24"/>
          <w:szCs w:val="24"/>
        </w:rPr>
      </w:pPr>
    </w:p>
    <w:p w14:paraId="72384F8E" w14:textId="71F2F9E8" w:rsidR="005F75DD" w:rsidRDefault="005F75DD" w:rsidP="005F75D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Second, it is not evident to me on what basis issues around the attempts made by the plaintiff to enforce an interlocutory </w:t>
      </w:r>
      <w:r w:rsidR="00AF7777">
        <w:rPr>
          <w:rFonts w:ascii="Times New Roman" w:hAnsi="Times New Roman" w:cs="Times New Roman"/>
          <w:sz w:val="24"/>
          <w:szCs w:val="24"/>
        </w:rPr>
        <w:t>O</w:t>
      </w:r>
      <w:r>
        <w:rPr>
          <w:rFonts w:ascii="Times New Roman" w:hAnsi="Times New Roman" w:cs="Times New Roman"/>
          <w:sz w:val="24"/>
          <w:szCs w:val="24"/>
        </w:rPr>
        <w:t xml:space="preserve">rder made by McDermott J. on 22 August 2014 (which </w:t>
      </w:r>
      <w:r w:rsidR="00AF7777">
        <w:rPr>
          <w:rFonts w:ascii="Times New Roman" w:hAnsi="Times New Roman" w:cs="Times New Roman"/>
          <w:sz w:val="24"/>
          <w:szCs w:val="24"/>
        </w:rPr>
        <w:t>O</w:t>
      </w:r>
      <w:r>
        <w:rPr>
          <w:rFonts w:ascii="Times New Roman" w:hAnsi="Times New Roman" w:cs="Times New Roman"/>
          <w:sz w:val="24"/>
          <w:szCs w:val="24"/>
        </w:rPr>
        <w:t>rder was the subject of a separate, and unsuccessful, appeal to this Court) are relevant to the judgment of Pilkington J. under appeal here (grounds 2 and 3).</w:t>
      </w:r>
      <w:r w:rsidR="006C45F1">
        <w:rPr>
          <w:rFonts w:ascii="Times New Roman" w:hAnsi="Times New Roman" w:cs="Times New Roman"/>
          <w:sz w:val="24"/>
          <w:szCs w:val="24"/>
        </w:rPr>
        <w:t xml:space="preserve">  For the same reason ground 14 (which also makes reference to the identification of properties in the deed of appointment and to the Order of 22 August 2014) fails to advance any aspect of this appeal.  The appellant’s criticism (in the same ground) of the trial Judge for her description of the background to the matter is mis</w:t>
      </w:r>
      <w:r w:rsidR="00666380">
        <w:rPr>
          <w:rFonts w:ascii="Times New Roman" w:hAnsi="Times New Roman" w:cs="Times New Roman"/>
          <w:sz w:val="24"/>
          <w:szCs w:val="24"/>
        </w:rPr>
        <w:t>conceived</w:t>
      </w:r>
      <w:r w:rsidR="006C45F1">
        <w:rPr>
          <w:rFonts w:ascii="Times New Roman" w:hAnsi="Times New Roman" w:cs="Times New Roman"/>
          <w:sz w:val="24"/>
          <w:szCs w:val="24"/>
        </w:rPr>
        <w:t xml:space="preserve">.  She was fully entitled to detail the context to the proceedings in her judgment. </w:t>
      </w:r>
      <w:r w:rsidR="00012833">
        <w:rPr>
          <w:rFonts w:ascii="Times New Roman" w:hAnsi="Times New Roman" w:cs="Times New Roman"/>
          <w:sz w:val="24"/>
          <w:szCs w:val="24"/>
        </w:rPr>
        <w:t xml:space="preserve">In a related vein, the alleged error in the trial Judge’s description of the disposal of the appeal against this </w:t>
      </w:r>
      <w:r w:rsidR="00305545">
        <w:rPr>
          <w:rFonts w:ascii="Times New Roman" w:hAnsi="Times New Roman" w:cs="Times New Roman"/>
          <w:sz w:val="24"/>
          <w:szCs w:val="24"/>
        </w:rPr>
        <w:t>O</w:t>
      </w:r>
      <w:r w:rsidR="00012833">
        <w:rPr>
          <w:rFonts w:ascii="Times New Roman" w:hAnsi="Times New Roman" w:cs="Times New Roman"/>
          <w:sz w:val="24"/>
          <w:szCs w:val="24"/>
        </w:rPr>
        <w:t xml:space="preserve">rder by this Court (ground 20) appears neither to be an error, nor to be relevant to any </w:t>
      </w:r>
      <w:r w:rsidR="00012833">
        <w:rPr>
          <w:rFonts w:ascii="Times New Roman" w:hAnsi="Times New Roman" w:cs="Times New Roman"/>
          <w:sz w:val="24"/>
          <w:szCs w:val="24"/>
        </w:rPr>
        <w:lastRenderedPageBreak/>
        <w:t xml:space="preserve">issue in the case, nor is the asserted conflict of evidence surrounding the service of that </w:t>
      </w:r>
      <w:r w:rsidR="00AF7777">
        <w:rPr>
          <w:rFonts w:ascii="Times New Roman" w:hAnsi="Times New Roman" w:cs="Times New Roman"/>
          <w:sz w:val="24"/>
          <w:szCs w:val="24"/>
        </w:rPr>
        <w:t>O</w:t>
      </w:r>
      <w:r w:rsidR="00012833">
        <w:rPr>
          <w:rFonts w:ascii="Times New Roman" w:hAnsi="Times New Roman" w:cs="Times New Roman"/>
          <w:sz w:val="24"/>
          <w:szCs w:val="24"/>
        </w:rPr>
        <w:t>rder (ground 21).</w:t>
      </w:r>
    </w:p>
    <w:p w14:paraId="7550DCD0" w14:textId="77777777" w:rsidR="005F75DD" w:rsidRPr="005F75DD" w:rsidRDefault="005F75DD" w:rsidP="005F75DD">
      <w:pPr>
        <w:pStyle w:val="ListParagraph"/>
        <w:rPr>
          <w:rFonts w:ascii="Times New Roman" w:hAnsi="Times New Roman" w:cs="Times New Roman"/>
          <w:sz w:val="24"/>
          <w:szCs w:val="24"/>
        </w:rPr>
      </w:pPr>
    </w:p>
    <w:p w14:paraId="3A341CDC" w14:textId="116A3969" w:rsidR="005F75DD" w:rsidRDefault="00356791" w:rsidP="005F75D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Ground 6, thirdly, </w:t>
      </w:r>
      <w:r w:rsidR="00424AD6">
        <w:rPr>
          <w:rFonts w:ascii="Times New Roman" w:hAnsi="Times New Roman" w:cs="Times New Roman"/>
          <w:sz w:val="24"/>
          <w:szCs w:val="24"/>
        </w:rPr>
        <w:t xml:space="preserve">complains that the trial Judge failed to take cognisance of certain alleged conduct of the plaintiff as receiver including his allowing the property to run into a state of dereliction, accepting rent in respect of the </w:t>
      </w:r>
      <w:proofErr w:type="spellStart"/>
      <w:r w:rsidR="00424AD6">
        <w:rPr>
          <w:rFonts w:ascii="Times New Roman" w:hAnsi="Times New Roman" w:cs="Times New Roman"/>
          <w:sz w:val="24"/>
          <w:szCs w:val="24"/>
        </w:rPr>
        <w:t>Kilmuckridge</w:t>
      </w:r>
      <w:proofErr w:type="spellEnd"/>
      <w:r w:rsidR="00424AD6">
        <w:rPr>
          <w:rFonts w:ascii="Times New Roman" w:hAnsi="Times New Roman" w:cs="Times New Roman"/>
          <w:sz w:val="24"/>
          <w:szCs w:val="24"/>
        </w:rPr>
        <w:t xml:space="preserve"> property for a period of three months pursuant to an Order of Gilligan J. and then resisting the continuation of that arrangement.  The defendant has proffered no response to the reply of the plaintiff that the Order of Gilligan J. referred to (dated 15 November 2016) did not require the plaintiff to accept rent but placed a stay on an application for attachment and committal made against associates of the defendant on the basis that they would vacate the property and pay a sum expressly characterised by the Court as not comprising rent.  </w:t>
      </w:r>
      <w:r w:rsidR="008216B2">
        <w:rPr>
          <w:rFonts w:ascii="Times New Roman" w:hAnsi="Times New Roman" w:cs="Times New Roman"/>
          <w:sz w:val="24"/>
          <w:szCs w:val="24"/>
        </w:rPr>
        <w:t xml:space="preserve">That is a correct account of the </w:t>
      </w:r>
      <w:r w:rsidR="00AF7777">
        <w:rPr>
          <w:rFonts w:ascii="Times New Roman" w:hAnsi="Times New Roman" w:cs="Times New Roman"/>
          <w:sz w:val="24"/>
          <w:szCs w:val="24"/>
        </w:rPr>
        <w:t>O</w:t>
      </w:r>
      <w:r w:rsidR="008216B2">
        <w:rPr>
          <w:rFonts w:ascii="Times New Roman" w:hAnsi="Times New Roman" w:cs="Times New Roman"/>
          <w:sz w:val="24"/>
          <w:szCs w:val="24"/>
        </w:rPr>
        <w:t>rder made by Gilligan J. on that date (which said that the payment referred to there should not entitle any party ‘</w:t>
      </w:r>
      <w:r w:rsidR="008216B2">
        <w:rPr>
          <w:rFonts w:ascii="Times New Roman" w:hAnsi="Times New Roman" w:cs="Times New Roman"/>
          <w:i/>
          <w:sz w:val="24"/>
          <w:szCs w:val="24"/>
        </w:rPr>
        <w:t>to any interest of any kind in the Property whether under statute, under any other instrument …’</w:t>
      </w:r>
      <w:r w:rsidR="00305545">
        <w:rPr>
          <w:rFonts w:ascii="Times New Roman" w:hAnsi="Times New Roman" w:cs="Times New Roman"/>
          <w:sz w:val="24"/>
          <w:szCs w:val="24"/>
        </w:rPr>
        <w:t>)</w:t>
      </w:r>
      <w:r w:rsidR="00666380">
        <w:rPr>
          <w:rFonts w:ascii="Times New Roman" w:hAnsi="Times New Roman" w:cs="Times New Roman"/>
          <w:sz w:val="24"/>
          <w:szCs w:val="24"/>
        </w:rPr>
        <w:t>.</w:t>
      </w:r>
      <w:r w:rsidR="008216B2">
        <w:rPr>
          <w:rFonts w:ascii="Times New Roman" w:hAnsi="Times New Roman" w:cs="Times New Roman"/>
          <w:i/>
          <w:sz w:val="24"/>
          <w:szCs w:val="24"/>
        </w:rPr>
        <w:t xml:space="preserve"> </w:t>
      </w:r>
      <w:r w:rsidR="008216B2">
        <w:rPr>
          <w:rFonts w:ascii="Times New Roman" w:hAnsi="Times New Roman" w:cs="Times New Roman"/>
          <w:sz w:val="24"/>
          <w:szCs w:val="24"/>
        </w:rPr>
        <w:t xml:space="preserve"> Moreover, t</w:t>
      </w:r>
      <w:r w:rsidR="00424AD6">
        <w:rPr>
          <w:rFonts w:ascii="Times New Roman" w:hAnsi="Times New Roman" w:cs="Times New Roman"/>
          <w:sz w:val="24"/>
          <w:szCs w:val="24"/>
        </w:rPr>
        <w:t xml:space="preserve">he plaintiff was not required to accept rent from a person by whose alleged lease he was not bound.  The trial Judge found on the facts as determined by her that there was no basis for the claim that the plaintiff or any person under his control committed any of the acts of damage alleged, and that no evidence of any kind was before the Court of any damages under any of the headings claimed in the proceedings (at para. 140 of the judgment). Given that the </w:t>
      </w:r>
      <w:r w:rsidR="006C45F1">
        <w:rPr>
          <w:rFonts w:ascii="Times New Roman" w:hAnsi="Times New Roman" w:cs="Times New Roman"/>
          <w:sz w:val="24"/>
          <w:szCs w:val="24"/>
        </w:rPr>
        <w:t xml:space="preserve">only witness called by </w:t>
      </w:r>
      <w:r w:rsidR="00424AD6">
        <w:rPr>
          <w:rFonts w:ascii="Times New Roman" w:hAnsi="Times New Roman" w:cs="Times New Roman"/>
          <w:sz w:val="24"/>
          <w:szCs w:val="24"/>
        </w:rPr>
        <w:t xml:space="preserve">defendant </w:t>
      </w:r>
      <w:r w:rsidR="006C45F1">
        <w:rPr>
          <w:rFonts w:ascii="Times New Roman" w:hAnsi="Times New Roman" w:cs="Times New Roman"/>
          <w:sz w:val="24"/>
          <w:szCs w:val="24"/>
        </w:rPr>
        <w:t xml:space="preserve">was a valuer and assessor who had not been present at the time of any of the events the subject of the proceedings, </w:t>
      </w:r>
      <w:r w:rsidR="00424AD6">
        <w:rPr>
          <w:rFonts w:ascii="Times New Roman" w:hAnsi="Times New Roman" w:cs="Times New Roman"/>
          <w:sz w:val="24"/>
          <w:szCs w:val="24"/>
        </w:rPr>
        <w:t>this was not a surprising conclusion.  No basis has been disclosed on which this Court could interfere with it.</w:t>
      </w:r>
    </w:p>
    <w:p w14:paraId="7C440327" w14:textId="77777777" w:rsidR="00F170A3" w:rsidRPr="00F170A3" w:rsidRDefault="00F170A3" w:rsidP="00F170A3">
      <w:pPr>
        <w:pStyle w:val="ListParagraph"/>
        <w:spacing w:line="480" w:lineRule="auto"/>
        <w:ind w:left="717"/>
        <w:jc w:val="both"/>
        <w:rPr>
          <w:rFonts w:ascii="Times New Roman" w:hAnsi="Times New Roman" w:cs="Times New Roman"/>
          <w:sz w:val="24"/>
          <w:szCs w:val="24"/>
        </w:rPr>
      </w:pPr>
    </w:p>
    <w:p w14:paraId="2081E716" w14:textId="77777777" w:rsidR="00270587" w:rsidRDefault="00F77C0F" w:rsidP="00270587">
      <w:pPr>
        <w:pStyle w:val="ListParagraph"/>
        <w:numPr>
          <w:ilvl w:val="0"/>
          <w:numId w:val="6"/>
        </w:numPr>
        <w:spacing w:line="480" w:lineRule="auto"/>
        <w:ind w:left="567"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170A3">
        <w:rPr>
          <w:rFonts w:ascii="Times New Roman" w:hAnsi="Times New Roman" w:cs="Times New Roman"/>
          <w:sz w:val="24"/>
          <w:szCs w:val="24"/>
        </w:rPr>
        <w:t>For the same reasons, the application made by the defendant shortly before the hearing of this appeal that the court should issue a declaration that the plaintiff acted in breach of the Deed of Charge by unlawfully removing chattels, keeping the proceeds of sale for himself, committing malicious criminal damage to the chattels or property and in not keeping the chattels and property in good insurable condition should be refused.  These were matters to be dealt with at the trial and, insofar as the defendant chose to raise them, were addressed in the findings of the High Court Judge.</w:t>
      </w:r>
      <w:r w:rsidR="00270587" w:rsidRPr="00270587">
        <w:rPr>
          <w:rFonts w:ascii="Times New Roman" w:hAnsi="Times New Roman" w:cs="Times New Roman"/>
          <w:sz w:val="24"/>
          <w:szCs w:val="24"/>
        </w:rPr>
        <w:t xml:space="preserve"> </w:t>
      </w:r>
    </w:p>
    <w:p w14:paraId="328AFA94" w14:textId="77777777" w:rsidR="00270587" w:rsidRPr="00270587" w:rsidRDefault="00270587" w:rsidP="00270587">
      <w:pPr>
        <w:pStyle w:val="ListParagraph"/>
        <w:rPr>
          <w:rFonts w:ascii="Times New Roman" w:hAnsi="Times New Roman" w:cs="Times New Roman"/>
          <w:sz w:val="24"/>
          <w:szCs w:val="24"/>
        </w:rPr>
      </w:pPr>
    </w:p>
    <w:p w14:paraId="3A5BCC60" w14:textId="77777777" w:rsidR="00ED2B37" w:rsidRDefault="006C45F1"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270587">
        <w:rPr>
          <w:rFonts w:ascii="Times New Roman" w:hAnsi="Times New Roman" w:cs="Times New Roman"/>
          <w:sz w:val="24"/>
          <w:szCs w:val="24"/>
        </w:rPr>
        <w:t>Fourth, complaint was made (ground 13) that because the plaintiff had carried out an internal banking review of the defendant’s business before the receivership commenced, he had obtained confidential information relating to the defendant thereby placing him in a position of conflict of interest.  I do not see any basis on which the conduct of such a review by a person subsequently appointed as a receiver (which is not unusual) causes any conflict of interest</w:t>
      </w:r>
      <w:r w:rsidR="00012833" w:rsidRPr="00270587">
        <w:rPr>
          <w:rFonts w:ascii="Times New Roman" w:hAnsi="Times New Roman" w:cs="Times New Roman"/>
          <w:sz w:val="24"/>
          <w:szCs w:val="24"/>
        </w:rPr>
        <w:t xml:space="preserve"> and it has not been explained how, in particular, the information </w:t>
      </w:r>
      <w:proofErr w:type="spellStart"/>
      <w:r w:rsidR="00012833" w:rsidRPr="00270587">
        <w:rPr>
          <w:rFonts w:ascii="Times New Roman" w:hAnsi="Times New Roman" w:cs="Times New Roman"/>
          <w:sz w:val="24"/>
          <w:szCs w:val="24"/>
        </w:rPr>
        <w:t>allegedy</w:t>
      </w:r>
      <w:proofErr w:type="spellEnd"/>
      <w:r w:rsidR="00012833" w:rsidRPr="00270587">
        <w:rPr>
          <w:rFonts w:ascii="Times New Roman" w:hAnsi="Times New Roman" w:cs="Times New Roman"/>
          <w:sz w:val="24"/>
          <w:szCs w:val="24"/>
        </w:rPr>
        <w:t xml:space="preserve"> furnished to the plaintiff was such as to preclude him from discharging the function of receiver. </w:t>
      </w:r>
      <w:r w:rsidRPr="00270587">
        <w:rPr>
          <w:rFonts w:ascii="Times New Roman" w:hAnsi="Times New Roman" w:cs="Times New Roman"/>
          <w:sz w:val="24"/>
          <w:szCs w:val="24"/>
        </w:rPr>
        <w:t xml:space="preserve"> No</w:t>
      </w:r>
      <w:r w:rsidR="00012833" w:rsidRPr="00270587">
        <w:rPr>
          <w:rFonts w:ascii="Times New Roman" w:hAnsi="Times New Roman" w:cs="Times New Roman"/>
          <w:sz w:val="24"/>
          <w:szCs w:val="24"/>
        </w:rPr>
        <w:t xml:space="preserve"> such basis</w:t>
      </w:r>
      <w:r w:rsidRPr="00270587">
        <w:rPr>
          <w:rFonts w:ascii="Times New Roman" w:hAnsi="Times New Roman" w:cs="Times New Roman"/>
          <w:sz w:val="24"/>
          <w:szCs w:val="24"/>
        </w:rPr>
        <w:t xml:space="preserve"> was identified </w:t>
      </w:r>
      <w:r w:rsidR="00012833" w:rsidRPr="00270587">
        <w:rPr>
          <w:rFonts w:ascii="Times New Roman" w:hAnsi="Times New Roman" w:cs="Times New Roman"/>
          <w:sz w:val="24"/>
          <w:szCs w:val="24"/>
        </w:rPr>
        <w:t xml:space="preserve">or explained </w:t>
      </w:r>
      <w:r w:rsidRPr="00270587">
        <w:rPr>
          <w:rFonts w:ascii="Times New Roman" w:hAnsi="Times New Roman" w:cs="Times New Roman"/>
          <w:sz w:val="24"/>
          <w:szCs w:val="24"/>
        </w:rPr>
        <w:t>in either submissions to this Court or in evidence before the trial Judg</w:t>
      </w:r>
      <w:r w:rsidR="00012833" w:rsidRPr="00270587">
        <w:rPr>
          <w:rFonts w:ascii="Times New Roman" w:hAnsi="Times New Roman" w:cs="Times New Roman"/>
          <w:sz w:val="24"/>
          <w:szCs w:val="24"/>
        </w:rPr>
        <w:t>e.</w:t>
      </w:r>
      <w:r w:rsidR="00ED2B37" w:rsidRPr="00ED2B37">
        <w:rPr>
          <w:rFonts w:ascii="Times New Roman" w:hAnsi="Times New Roman" w:cs="Times New Roman"/>
          <w:sz w:val="24"/>
          <w:szCs w:val="24"/>
        </w:rPr>
        <w:t xml:space="preserve"> </w:t>
      </w:r>
    </w:p>
    <w:p w14:paraId="6EBC5650" w14:textId="77777777" w:rsidR="00ED2B37" w:rsidRPr="00ED2B37" w:rsidRDefault="00ED2B37" w:rsidP="00ED2B37">
      <w:pPr>
        <w:pStyle w:val="ListParagraph"/>
        <w:rPr>
          <w:rFonts w:ascii="Times New Roman" w:hAnsi="Times New Roman" w:cs="Times New Roman"/>
          <w:sz w:val="24"/>
          <w:szCs w:val="24"/>
        </w:rPr>
      </w:pPr>
    </w:p>
    <w:p w14:paraId="799C0010" w14:textId="77777777" w:rsidR="00ED2B37" w:rsidRDefault="006C45F1"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ED2B37">
        <w:rPr>
          <w:rFonts w:ascii="Times New Roman" w:hAnsi="Times New Roman" w:cs="Times New Roman"/>
          <w:sz w:val="24"/>
          <w:szCs w:val="24"/>
        </w:rPr>
        <w:t xml:space="preserve">Fifth, the defendant complains of the manner in which the deed of appointment was executed (grounds 16 and 17).  The defendant does not specify the conclusion he says should follow from these complaints.  One </w:t>
      </w:r>
      <w:r w:rsidR="00405CCB" w:rsidRPr="00ED2B37">
        <w:rPr>
          <w:rFonts w:ascii="Times New Roman" w:hAnsi="Times New Roman" w:cs="Times New Roman"/>
          <w:sz w:val="24"/>
          <w:szCs w:val="24"/>
        </w:rPr>
        <w:t xml:space="preserve">complaint </w:t>
      </w:r>
      <w:r w:rsidRPr="00ED2B37">
        <w:rPr>
          <w:rFonts w:ascii="Times New Roman" w:hAnsi="Times New Roman" w:cs="Times New Roman"/>
          <w:sz w:val="24"/>
          <w:szCs w:val="24"/>
        </w:rPr>
        <w:t xml:space="preserve">was that </w:t>
      </w:r>
      <w:r w:rsidR="00012833" w:rsidRPr="00ED2B37">
        <w:rPr>
          <w:rFonts w:ascii="Times New Roman" w:hAnsi="Times New Roman" w:cs="Times New Roman"/>
          <w:sz w:val="24"/>
          <w:szCs w:val="24"/>
        </w:rPr>
        <w:t xml:space="preserve">the deed of appointment was signed and sealed at the same time by the bank officials in question and by the plaintiff although they were in different locations. The defendant has </w:t>
      </w:r>
      <w:proofErr w:type="spellStart"/>
      <w:r w:rsidR="00012833" w:rsidRPr="00ED2B37">
        <w:rPr>
          <w:rFonts w:ascii="Times New Roman" w:hAnsi="Times New Roman" w:cs="Times New Roman"/>
          <w:sz w:val="24"/>
          <w:szCs w:val="24"/>
        </w:rPr>
        <w:t>proferred</w:t>
      </w:r>
      <w:proofErr w:type="spellEnd"/>
      <w:r w:rsidR="00012833" w:rsidRPr="00ED2B37">
        <w:rPr>
          <w:rFonts w:ascii="Times New Roman" w:hAnsi="Times New Roman" w:cs="Times New Roman"/>
          <w:sz w:val="24"/>
          <w:szCs w:val="24"/>
        </w:rPr>
        <w:t xml:space="preserve"> no response to the plaintiff’s assertion that in fact that the evidence of one of the officials was that he could not recall the time of the day when the deed was signed.  The defendant has failed to identify any specific error in the decision of the trial Judge having regard to </w:t>
      </w:r>
      <w:r w:rsidR="00012833" w:rsidRPr="00ED2B37">
        <w:rPr>
          <w:rFonts w:ascii="Times New Roman" w:hAnsi="Times New Roman" w:cs="Times New Roman"/>
          <w:sz w:val="24"/>
          <w:szCs w:val="24"/>
        </w:rPr>
        <w:lastRenderedPageBreak/>
        <w:t>that evidence, or to any particular consequence which it is alleged should follow.  The same applies to his complaint that there was ‘</w:t>
      </w:r>
      <w:r w:rsidR="00012833" w:rsidRPr="00ED2B37">
        <w:rPr>
          <w:rFonts w:ascii="Times New Roman" w:hAnsi="Times New Roman" w:cs="Times New Roman"/>
          <w:i/>
          <w:sz w:val="24"/>
          <w:szCs w:val="24"/>
        </w:rPr>
        <w:t>interference’</w:t>
      </w:r>
      <w:r w:rsidR="00012833" w:rsidRPr="00ED2B37">
        <w:rPr>
          <w:rFonts w:ascii="Times New Roman" w:hAnsi="Times New Roman" w:cs="Times New Roman"/>
          <w:sz w:val="24"/>
          <w:szCs w:val="24"/>
        </w:rPr>
        <w:t xml:space="preserve"> with the sealed deed by the plaintiff.</w:t>
      </w:r>
      <w:r w:rsidR="00ED2B37" w:rsidRPr="00ED2B37">
        <w:rPr>
          <w:rFonts w:ascii="Times New Roman" w:hAnsi="Times New Roman" w:cs="Times New Roman"/>
          <w:sz w:val="24"/>
          <w:szCs w:val="24"/>
        </w:rPr>
        <w:t xml:space="preserve"> </w:t>
      </w:r>
    </w:p>
    <w:p w14:paraId="70BB4CD6" w14:textId="77777777" w:rsidR="00ED2B37" w:rsidRPr="00ED2B37" w:rsidRDefault="00ED2B37" w:rsidP="00ED2B37">
      <w:pPr>
        <w:pStyle w:val="ListParagraph"/>
        <w:rPr>
          <w:rFonts w:ascii="Times New Roman" w:hAnsi="Times New Roman" w:cs="Times New Roman"/>
          <w:sz w:val="24"/>
          <w:szCs w:val="24"/>
        </w:rPr>
      </w:pPr>
    </w:p>
    <w:p w14:paraId="77A6958D" w14:textId="50261E90" w:rsidR="00ED2B37" w:rsidRDefault="009962A6"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ED2B37">
        <w:rPr>
          <w:rFonts w:ascii="Times New Roman" w:hAnsi="Times New Roman" w:cs="Times New Roman"/>
          <w:sz w:val="24"/>
          <w:szCs w:val="24"/>
        </w:rPr>
        <w:t>Sixth, I can see no basis on which any aspect of the High Court decision is vitiated by the alleged failure of the trial Judge to take cognisance of the actions of K-Tech Security Ltd. and its employee</w:t>
      </w:r>
      <w:r w:rsidR="00560163">
        <w:rPr>
          <w:rFonts w:ascii="Times New Roman" w:hAnsi="Times New Roman" w:cs="Times New Roman"/>
          <w:sz w:val="24"/>
          <w:szCs w:val="24"/>
        </w:rPr>
        <w:t>s</w:t>
      </w:r>
      <w:r w:rsidRPr="00ED2B37">
        <w:rPr>
          <w:rFonts w:ascii="Times New Roman" w:hAnsi="Times New Roman" w:cs="Times New Roman"/>
          <w:sz w:val="24"/>
          <w:szCs w:val="24"/>
        </w:rPr>
        <w:t xml:space="preserve"> who (the defendant says) admitted that they did not hold a static licence which prohibited entry by force into the private property of the appellant</w:t>
      </w:r>
      <w:r w:rsidR="00305545" w:rsidRPr="00ED2B37">
        <w:rPr>
          <w:rFonts w:ascii="Times New Roman" w:hAnsi="Times New Roman" w:cs="Times New Roman"/>
          <w:sz w:val="24"/>
          <w:szCs w:val="24"/>
        </w:rPr>
        <w:t xml:space="preserve"> (ground 25)</w:t>
      </w:r>
      <w:r w:rsidRPr="00ED2B37">
        <w:rPr>
          <w:rFonts w:ascii="Times New Roman" w:hAnsi="Times New Roman" w:cs="Times New Roman"/>
          <w:sz w:val="24"/>
          <w:szCs w:val="24"/>
        </w:rPr>
        <w:t>.  There was no issue in the action as pleaded relating to the licences held or not held by any agent employed by the plaintiff.</w:t>
      </w:r>
      <w:r w:rsidR="00ED2B37" w:rsidRPr="00ED2B37">
        <w:rPr>
          <w:rFonts w:ascii="Times New Roman" w:hAnsi="Times New Roman" w:cs="Times New Roman"/>
          <w:sz w:val="24"/>
          <w:szCs w:val="24"/>
        </w:rPr>
        <w:t xml:space="preserve"> </w:t>
      </w:r>
    </w:p>
    <w:p w14:paraId="4CC438AF" w14:textId="77777777" w:rsidR="00ED2B37" w:rsidRPr="00ED2B37" w:rsidRDefault="00ED2B37" w:rsidP="00ED2B37">
      <w:pPr>
        <w:pStyle w:val="ListParagraph"/>
        <w:rPr>
          <w:rFonts w:ascii="Times New Roman" w:hAnsi="Times New Roman" w:cs="Times New Roman"/>
          <w:sz w:val="24"/>
          <w:szCs w:val="24"/>
        </w:rPr>
      </w:pPr>
    </w:p>
    <w:p w14:paraId="4BA5E55D" w14:textId="145C696E" w:rsidR="00ED2B37" w:rsidRDefault="00CC6D31"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ED2B37">
        <w:rPr>
          <w:rFonts w:ascii="Times New Roman" w:hAnsi="Times New Roman" w:cs="Times New Roman"/>
          <w:sz w:val="24"/>
          <w:szCs w:val="24"/>
        </w:rPr>
        <w:t xml:space="preserve">Finally, the amended notice of appeal seeks a reference to the Court of Justice of the European Union.  The question to be so referred does not appear to have been identified, and the application was not elaborated upon in written or oral submissions.  Reference is made to the decision of the European Court of Human Rights of 25 October 2003 in </w:t>
      </w:r>
      <w:proofErr w:type="spellStart"/>
      <w:r w:rsidRPr="00ED2B37">
        <w:rPr>
          <w:rFonts w:ascii="Times New Roman" w:hAnsi="Times New Roman" w:cs="Times New Roman"/>
          <w:i/>
          <w:sz w:val="24"/>
          <w:szCs w:val="24"/>
        </w:rPr>
        <w:t>Rousk</w:t>
      </w:r>
      <w:proofErr w:type="spellEnd"/>
      <w:r w:rsidRPr="00ED2B37">
        <w:rPr>
          <w:rFonts w:ascii="Times New Roman" w:hAnsi="Times New Roman" w:cs="Times New Roman"/>
          <w:i/>
          <w:sz w:val="24"/>
          <w:szCs w:val="24"/>
        </w:rPr>
        <w:t xml:space="preserve"> v. Sweden</w:t>
      </w:r>
      <w:r w:rsidRPr="00ED2B37">
        <w:rPr>
          <w:rFonts w:ascii="Times New Roman" w:hAnsi="Times New Roman" w:cs="Times New Roman"/>
          <w:sz w:val="24"/>
          <w:szCs w:val="24"/>
        </w:rPr>
        <w:t xml:space="preserve"> </w:t>
      </w:r>
      <w:r w:rsidRPr="00ED2B37">
        <w:rPr>
          <w:rFonts w:ascii="Times New Roman" w:hAnsi="Times New Roman" w:cs="Times New Roman"/>
          <w:i/>
          <w:iCs/>
          <w:sz w:val="24"/>
          <w:szCs w:val="24"/>
        </w:rPr>
        <w:t xml:space="preserve">(Application no. 27183/04) </w:t>
      </w:r>
      <w:r w:rsidRPr="00ED2B37">
        <w:rPr>
          <w:rFonts w:ascii="Times New Roman" w:hAnsi="Times New Roman" w:cs="Times New Roman"/>
          <w:iCs/>
          <w:sz w:val="24"/>
          <w:szCs w:val="24"/>
        </w:rPr>
        <w:t xml:space="preserve">in support of the proposition that the Court is asked to apply principles of fair balance and proportionality.  It is said that the actions of the plaintiff were disproportionate in circumstances where twenty two jobs were lost as was any chance of debt reduction and where rent was being collected on the property in </w:t>
      </w:r>
      <w:proofErr w:type="spellStart"/>
      <w:r w:rsidRPr="00ED2B37">
        <w:rPr>
          <w:rFonts w:ascii="Times New Roman" w:hAnsi="Times New Roman" w:cs="Times New Roman"/>
          <w:iCs/>
          <w:sz w:val="24"/>
          <w:szCs w:val="24"/>
        </w:rPr>
        <w:t>Oulart</w:t>
      </w:r>
      <w:proofErr w:type="spellEnd"/>
      <w:r w:rsidRPr="00ED2B37">
        <w:rPr>
          <w:rFonts w:ascii="Times New Roman" w:hAnsi="Times New Roman" w:cs="Times New Roman"/>
          <w:iCs/>
          <w:sz w:val="24"/>
          <w:szCs w:val="24"/>
        </w:rPr>
        <w:t>.</w:t>
      </w:r>
      <w:r w:rsidR="00ED2B37" w:rsidRPr="00ED2B37">
        <w:rPr>
          <w:rFonts w:ascii="Times New Roman" w:hAnsi="Times New Roman" w:cs="Times New Roman"/>
          <w:sz w:val="24"/>
          <w:szCs w:val="24"/>
        </w:rPr>
        <w:t xml:space="preserve"> </w:t>
      </w:r>
    </w:p>
    <w:p w14:paraId="365D0BB5" w14:textId="77777777" w:rsidR="00ED2B37" w:rsidRPr="00ED2B37" w:rsidRDefault="00ED2B37" w:rsidP="00ED2B37">
      <w:pPr>
        <w:pStyle w:val="ListParagraph"/>
        <w:rPr>
          <w:rFonts w:ascii="Times New Roman" w:hAnsi="Times New Roman" w:cs="Times New Roman"/>
          <w:sz w:val="24"/>
          <w:szCs w:val="24"/>
        </w:rPr>
      </w:pPr>
    </w:p>
    <w:p w14:paraId="1A0AA8A7" w14:textId="77777777" w:rsidR="00ED2B37" w:rsidRDefault="00CC6D31"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ED2B37">
        <w:rPr>
          <w:rFonts w:ascii="Times New Roman" w:hAnsi="Times New Roman" w:cs="Times New Roman"/>
          <w:sz w:val="24"/>
          <w:szCs w:val="24"/>
        </w:rPr>
        <w:t xml:space="preserve">There is no issue of European law in play in this case, and the defendant has failed to identify any basis on which the decision of the European Court of Human Rights in </w:t>
      </w:r>
      <w:proofErr w:type="spellStart"/>
      <w:r w:rsidRPr="00ED2B37">
        <w:rPr>
          <w:rFonts w:ascii="Times New Roman" w:hAnsi="Times New Roman" w:cs="Times New Roman"/>
          <w:i/>
          <w:sz w:val="24"/>
          <w:szCs w:val="24"/>
        </w:rPr>
        <w:t>Rousk</w:t>
      </w:r>
      <w:proofErr w:type="spellEnd"/>
      <w:r w:rsidRPr="00ED2B37">
        <w:rPr>
          <w:rFonts w:ascii="Times New Roman" w:hAnsi="Times New Roman" w:cs="Times New Roman"/>
          <w:i/>
          <w:sz w:val="24"/>
          <w:szCs w:val="24"/>
        </w:rPr>
        <w:t xml:space="preserve"> v. Sweden</w:t>
      </w:r>
      <w:r w:rsidR="00A51B15" w:rsidRPr="00ED2B37">
        <w:rPr>
          <w:rFonts w:ascii="Times New Roman" w:hAnsi="Times New Roman" w:cs="Times New Roman"/>
          <w:i/>
          <w:sz w:val="24"/>
          <w:szCs w:val="24"/>
        </w:rPr>
        <w:t xml:space="preserve">, </w:t>
      </w:r>
      <w:r w:rsidR="00A51B15" w:rsidRPr="00ED2B37">
        <w:rPr>
          <w:rFonts w:ascii="Times New Roman" w:hAnsi="Times New Roman" w:cs="Times New Roman"/>
          <w:iCs/>
          <w:sz w:val="24"/>
          <w:szCs w:val="24"/>
        </w:rPr>
        <w:t>(Unreported, (Application No. 27183/04),</w:t>
      </w:r>
      <w:r w:rsidRPr="00ED2B37">
        <w:rPr>
          <w:rFonts w:ascii="Times New Roman" w:hAnsi="Times New Roman" w:cs="Times New Roman"/>
          <w:sz w:val="24"/>
          <w:szCs w:val="24"/>
        </w:rPr>
        <w:t xml:space="preserve"> has any relevance to this </w:t>
      </w:r>
      <w:r w:rsidR="00051488" w:rsidRPr="00ED2B37">
        <w:rPr>
          <w:rFonts w:ascii="Times New Roman" w:hAnsi="Times New Roman" w:cs="Times New Roman"/>
          <w:sz w:val="24"/>
          <w:szCs w:val="24"/>
        </w:rPr>
        <w:t>appeal</w:t>
      </w:r>
      <w:r w:rsidRPr="00ED2B37">
        <w:rPr>
          <w:rFonts w:ascii="Times New Roman" w:hAnsi="Times New Roman" w:cs="Times New Roman"/>
          <w:sz w:val="24"/>
          <w:szCs w:val="24"/>
        </w:rPr>
        <w:t xml:space="preserve">.  The plaintiff was appointed on foot of a lawful instrument to recover monies which were advanced to the defendant and never repaid, and the steps taken by him to effect such recovery were fully authorised by that instrument. In </w:t>
      </w:r>
      <w:proofErr w:type="spellStart"/>
      <w:r w:rsidRPr="00ED2B37">
        <w:rPr>
          <w:rFonts w:ascii="Times New Roman" w:hAnsi="Times New Roman" w:cs="Times New Roman"/>
          <w:i/>
          <w:sz w:val="24"/>
          <w:szCs w:val="24"/>
        </w:rPr>
        <w:t>Rousk</w:t>
      </w:r>
      <w:proofErr w:type="spellEnd"/>
      <w:r w:rsidRPr="00ED2B37">
        <w:rPr>
          <w:rFonts w:ascii="Times New Roman" w:hAnsi="Times New Roman" w:cs="Times New Roman"/>
          <w:sz w:val="24"/>
          <w:szCs w:val="24"/>
        </w:rPr>
        <w:t xml:space="preserve"> </w:t>
      </w:r>
      <w:r w:rsidR="00051488" w:rsidRPr="00ED2B37">
        <w:rPr>
          <w:rFonts w:ascii="Times New Roman" w:hAnsi="Times New Roman" w:cs="Times New Roman"/>
          <w:sz w:val="24"/>
          <w:szCs w:val="24"/>
        </w:rPr>
        <w:t xml:space="preserve">in contrast, </w:t>
      </w:r>
      <w:r w:rsidRPr="00ED2B37">
        <w:rPr>
          <w:rFonts w:ascii="Times New Roman" w:hAnsi="Times New Roman" w:cs="Times New Roman"/>
          <w:sz w:val="24"/>
          <w:szCs w:val="24"/>
        </w:rPr>
        <w:t xml:space="preserve">the Court found </w:t>
      </w:r>
      <w:r w:rsidRPr="00ED2B37">
        <w:rPr>
          <w:rFonts w:ascii="Times New Roman" w:hAnsi="Times New Roman" w:cs="Times New Roman"/>
          <w:sz w:val="24"/>
          <w:szCs w:val="24"/>
        </w:rPr>
        <w:lastRenderedPageBreak/>
        <w:t>actions of the Swedish tax authorities to be a disproportionate interference with the property rights of the applicant under Article 1 of the First Protocol to the European Convention on Human Rights in circumstances where th</w:t>
      </w:r>
      <w:r w:rsidR="00405CCB" w:rsidRPr="00ED2B37">
        <w:rPr>
          <w:rFonts w:ascii="Times New Roman" w:hAnsi="Times New Roman" w:cs="Times New Roman"/>
          <w:sz w:val="24"/>
          <w:szCs w:val="24"/>
        </w:rPr>
        <w:t>os</w:t>
      </w:r>
      <w:r w:rsidRPr="00ED2B37">
        <w:rPr>
          <w:rFonts w:ascii="Times New Roman" w:hAnsi="Times New Roman" w:cs="Times New Roman"/>
          <w:sz w:val="24"/>
          <w:szCs w:val="24"/>
        </w:rPr>
        <w:t xml:space="preserve">e authorities caused the applicant’s property to be sold at public auction and him to be evicted from it.  All of this occurred on foot of a very small tax liability when the applicant was not formally served with the relevant writ of execution, </w:t>
      </w:r>
      <w:r w:rsidR="00ED2B37">
        <w:rPr>
          <w:rFonts w:ascii="Times New Roman" w:hAnsi="Times New Roman" w:cs="Times New Roman"/>
          <w:sz w:val="24"/>
          <w:szCs w:val="24"/>
        </w:rPr>
        <w:t xml:space="preserve">where </w:t>
      </w:r>
      <w:r w:rsidRPr="00ED2B37">
        <w:rPr>
          <w:rFonts w:ascii="Times New Roman" w:hAnsi="Times New Roman" w:cs="Times New Roman"/>
          <w:sz w:val="24"/>
          <w:szCs w:val="24"/>
        </w:rPr>
        <w:t xml:space="preserve">the writ had not obtained legal force at the time of the sale, where </w:t>
      </w:r>
      <w:r w:rsidR="00E8396C" w:rsidRPr="00ED2B37">
        <w:rPr>
          <w:rFonts w:ascii="Times New Roman" w:hAnsi="Times New Roman" w:cs="Times New Roman"/>
          <w:sz w:val="24"/>
          <w:szCs w:val="24"/>
        </w:rPr>
        <w:t xml:space="preserve">the </w:t>
      </w:r>
      <w:r w:rsidR="003F6C09" w:rsidRPr="00ED2B37">
        <w:rPr>
          <w:rFonts w:ascii="Times New Roman" w:hAnsi="Times New Roman" w:cs="Times New Roman"/>
          <w:sz w:val="24"/>
          <w:szCs w:val="24"/>
        </w:rPr>
        <w:t>C</w:t>
      </w:r>
      <w:r w:rsidR="00E8396C" w:rsidRPr="00ED2B37">
        <w:rPr>
          <w:rFonts w:ascii="Times New Roman" w:hAnsi="Times New Roman" w:cs="Times New Roman"/>
          <w:sz w:val="24"/>
          <w:szCs w:val="24"/>
        </w:rPr>
        <w:t xml:space="preserve">ourt found that </w:t>
      </w:r>
      <w:r w:rsidR="00ED2B37">
        <w:rPr>
          <w:rFonts w:ascii="Times New Roman" w:hAnsi="Times New Roman" w:cs="Times New Roman"/>
          <w:sz w:val="24"/>
          <w:szCs w:val="24"/>
        </w:rPr>
        <w:t>the applicant</w:t>
      </w:r>
      <w:r w:rsidRPr="00ED2B37">
        <w:rPr>
          <w:rFonts w:ascii="Times New Roman" w:hAnsi="Times New Roman" w:cs="Times New Roman"/>
          <w:sz w:val="24"/>
          <w:szCs w:val="24"/>
        </w:rPr>
        <w:t xml:space="preserve"> had </w:t>
      </w:r>
      <w:r w:rsidR="00E8396C" w:rsidRPr="00ED2B37">
        <w:rPr>
          <w:rFonts w:ascii="Times New Roman" w:hAnsi="Times New Roman" w:cs="Times New Roman"/>
          <w:sz w:val="24"/>
          <w:szCs w:val="24"/>
        </w:rPr>
        <w:t xml:space="preserve">been effectively deprived of the </w:t>
      </w:r>
      <w:r w:rsidRPr="00ED2B37">
        <w:rPr>
          <w:rFonts w:ascii="Times New Roman" w:hAnsi="Times New Roman" w:cs="Times New Roman"/>
          <w:sz w:val="24"/>
          <w:szCs w:val="24"/>
        </w:rPr>
        <w:t>opportunity to exhaust all rights of appeal against the execution, where the tax authority had granted a respite either shortly before or shortly after the time at which the execution authority proceeded with the sale but before his eviction</w:t>
      </w:r>
      <w:r w:rsidR="00E8396C" w:rsidRPr="00ED2B37">
        <w:rPr>
          <w:rFonts w:ascii="Times New Roman" w:hAnsi="Times New Roman" w:cs="Times New Roman"/>
          <w:sz w:val="24"/>
          <w:szCs w:val="24"/>
        </w:rPr>
        <w:t>, where the ground on which that respite was sought included the medical condition of the applicant</w:t>
      </w:r>
      <w:r w:rsidRPr="00ED2B37">
        <w:rPr>
          <w:rFonts w:ascii="Times New Roman" w:hAnsi="Times New Roman" w:cs="Times New Roman"/>
          <w:sz w:val="24"/>
          <w:szCs w:val="24"/>
        </w:rPr>
        <w:t xml:space="preserve"> and where there were other assets of the applicant that could have been seized and sold to meet the small debt without the necessity for an eviction.</w:t>
      </w:r>
      <w:r w:rsidR="00ED2B37" w:rsidRPr="00ED2B37">
        <w:rPr>
          <w:rFonts w:ascii="Times New Roman" w:hAnsi="Times New Roman" w:cs="Times New Roman"/>
          <w:sz w:val="24"/>
          <w:szCs w:val="24"/>
        </w:rPr>
        <w:t xml:space="preserve"> </w:t>
      </w:r>
    </w:p>
    <w:p w14:paraId="4F1FB222" w14:textId="77777777" w:rsidR="00ED2B37" w:rsidRDefault="00ED2B37" w:rsidP="00ED2B37">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
    <w:p w14:paraId="15A90DFD" w14:textId="77777777" w:rsidR="00ED2B37" w:rsidRDefault="00CC6D31"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ED2B37">
        <w:rPr>
          <w:rFonts w:ascii="Times New Roman" w:hAnsi="Times New Roman" w:cs="Times New Roman"/>
          <w:sz w:val="24"/>
          <w:szCs w:val="24"/>
        </w:rPr>
        <w:t xml:space="preserve">Given the absence of any proper argument in this case as to the application of this decision to steps taken by a private party to recover a debt on foot of instruments of the kind in issue in these proceedings, it would not be appropriate in this case to express any view as to whether (and if so how) this decision could possibly constrain parties in the enforcement of their private law contractual rights.  Suffice to say that there are fundamental differences in principle between the obligations of a public body seeking to recover a tax liability, and those of a private party seeking to recover a debt owed to it.  One is governed by public law and the other by private contract. More fundamentally there is simply no comparison of any kind between the facts and issues presented by </w:t>
      </w:r>
      <w:proofErr w:type="spellStart"/>
      <w:r w:rsidRPr="00ED2B37">
        <w:rPr>
          <w:rFonts w:ascii="Times New Roman" w:hAnsi="Times New Roman" w:cs="Times New Roman"/>
          <w:i/>
          <w:sz w:val="24"/>
          <w:szCs w:val="24"/>
        </w:rPr>
        <w:t>Rousk</w:t>
      </w:r>
      <w:proofErr w:type="spellEnd"/>
      <w:r w:rsidRPr="00ED2B37">
        <w:rPr>
          <w:rFonts w:ascii="Times New Roman" w:hAnsi="Times New Roman" w:cs="Times New Roman"/>
          <w:sz w:val="24"/>
          <w:szCs w:val="24"/>
        </w:rPr>
        <w:t xml:space="preserve"> and those in issue here having regard to the size of the outstanding debts, the opportunities afforded to the defendant to repay them</w:t>
      </w:r>
      <w:r w:rsidR="00051488" w:rsidRPr="00ED2B37">
        <w:rPr>
          <w:rFonts w:ascii="Times New Roman" w:hAnsi="Times New Roman" w:cs="Times New Roman"/>
          <w:sz w:val="24"/>
          <w:szCs w:val="24"/>
        </w:rPr>
        <w:t xml:space="preserve">, </w:t>
      </w:r>
      <w:r w:rsidRPr="00ED2B37">
        <w:rPr>
          <w:rFonts w:ascii="Times New Roman" w:hAnsi="Times New Roman" w:cs="Times New Roman"/>
          <w:sz w:val="24"/>
          <w:szCs w:val="24"/>
        </w:rPr>
        <w:t xml:space="preserve">the conduct of the defendant and </w:t>
      </w:r>
      <w:r w:rsidRPr="00ED2B37">
        <w:rPr>
          <w:rFonts w:ascii="Times New Roman" w:hAnsi="Times New Roman" w:cs="Times New Roman"/>
          <w:sz w:val="24"/>
          <w:szCs w:val="24"/>
        </w:rPr>
        <w:lastRenderedPageBreak/>
        <w:t>his associates as outlined in the judgment of the trial Judge</w:t>
      </w:r>
      <w:r w:rsidR="00E8396C" w:rsidRPr="00ED2B37">
        <w:rPr>
          <w:rFonts w:ascii="Times New Roman" w:hAnsi="Times New Roman" w:cs="Times New Roman"/>
          <w:sz w:val="24"/>
          <w:szCs w:val="24"/>
        </w:rPr>
        <w:t xml:space="preserve">, and the evidence tendered on behalf of the plaintiff as to the difficulties he encountered in discharging his functions </w:t>
      </w:r>
      <w:r w:rsidR="00E8396C" w:rsidRPr="00ED2B37">
        <w:rPr>
          <w:rFonts w:ascii="Times New Roman" w:hAnsi="Times New Roman" w:cs="Times New Roman"/>
          <w:i/>
          <w:iCs/>
          <w:sz w:val="24"/>
          <w:szCs w:val="24"/>
        </w:rPr>
        <w:t>vis a vis</w:t>
      </w:r>
      <w:r w:rsidR="00E8396C" w:rsidRPr="00ED2B37">
        <w:rPr>
          <w:rFonts w:ascii="Times New Roman" w:hAnsi="Times New Roman" w:cs="Times New Roman"/>
          <w:sz w:val="24"/>
          <w:szCs w:val="24"/>
        </w:rPr>
        <w:t xml:space="preserve"> the properties (which, to repeat, was never the subject of any contradictory testimony)</w:t>
      </w:r>
      <w:r w:rsidRPr="00ED2B37">
        <w:rPr>
          <w:rFonts w:ascii="Times New Roman" w:hAnsi="Times New Roman" w:cs="Times New Roman"/>
          <w:sz w:val="24"/>
          <w:szCs w:val="24"/>
        </w:rPr>
        <w:t xml:space="preserve">.  </w:t>
      </w:r>
      <w:proofErr w:type="spellStart"/>
      <w:r w:rsidRPr="00ED2B37">
        <w:rPr>
          <w:rFonts w:ascii="Times New Roman" w:hAnsi="Times New Roman" w:cs="Times New Roman"/>
          <w:i/>
          <w:sz w:val="24"/>
          <w:szCs w:val="24"/>
        </w:rPr>
        <w:t>Rousk</w:t>
      </w:r>
      <w:proofErr w:type="spellEnd"/>
      <w:r w:rsidRPr="00ED2B37">
        <w:rPr>
          <w:rFonts w:ascii="Times New Roman" w:hAnsi="Times New Roman" w:cs="Times New Roman"/>
          <w:sz w:val="24"/>
          <w:szCs w:val="24"/>
        </w:rPr>
        <w:t xml:space="preserve"> was a wholly exceptional and extreme case which has no application to the facts here.  On the basis of the argument advanced on the issue in this case (which was little more than assertion in the notice of appeal) no </w:t>
      </w:r>
      <w:r w:rsidR="00E8396C" w:rsidRPr="00ED2B37">
        <w:rPr>
          <w:rFonts w:ascii="Times New Roman" w:hAnsi="Times New Roman" w:cs="Times New Roman"/>
          <w:sz w:val="24"/>
          <w:szCs w:val="24"/>
        </w:rPr>
        <w:t xml:space="preserve">foundation </w:t>
      </w:r>
      <w:r w:rsidRPr="00ED2B37">
        <w:rPr>
          <w:rFonts w:ascii="Times New Roman" w:hAnsi="Times New Roman" w:cs="Times New Roman"/>
          <w:sz w:val="24"/>
          <w:szCs w:val="24"/>
        </w:rPr>
        <w:t>whatsoever has been disclosed for any ground of appeal arising from it.</w:t>
      </w:r>
      <w:r w:rsidR="00ED2B37" w:rsidRPr="00ED2B37">
        <w:rPr>
          <w:rFonts w:ascii="Times New Roman" w:hAnsi="Times New Roman" w:cs="Times New Roman"/>
          <w:sz w:val="24"/>
          <w:szCs w:val="24"/>
        </w:rPr>
        <w:t xml:space="preserve"> </w:t>
      </w:r>
    </w:p>
    <w:p w14:paraId="32E05A01" w14:textId="371422F8" w:rsidR="00ED2B37" w:rsidRPr="00ED2B37" w:rsidRDefault="00ED2B37" w:rsidP="00ED2B37">
      <w:pPr>
        <w:pStyle w:val="ListParagraph"/>
        <w:spacing w:line="480" w:lineRule="auto"/>
        <w:ind w:left="567"/>
        <w:jc w:val="both"/>
        <w:rPr>
          <w:rFonts w:ascii="Times New Roman" w:hAnsi="Times New Roman" w:cs="Times New Roman"/>
          <w:sz w:val="24"/>
          <w:szCs w:val="24"/>
        </w:rPr>
      </w:pPr>
    </w:p>
    <w:p w14:paraId="0C79ACA1" w14:textId="0432061E" w:rsidR="00ED2B37" w:rsidRPr="00ED2B37" w:rsidRDefault="00ED2B37" w:rsidP="00ED2B37">
      <w:pPr>
        <w:pStyle w:val="ListParagraph"/>
        <w:spacing w:line="480" w:lineRule="auto"/>
        <w:ind w:left="426" w:firstLine="141"/>
        <w:jc w:val="both"/>
        <w:rPr>
          <w:rFonts w:ascii="Times New Roman" w:hAnsi="Times New Roman" w:cs="Times New Roman"/>
          <w:b/>
          <w:i/>
          <w:sz w:val="24"/>
          <w:szCs w:val="24"/>
        </w:rPr>
      </w:pPr>
      <w:r>
        <w:rPr>
          <w:rFonts w:ascii="Times New Roman" w:hAnsi="Times New Roman" w:cs="Times New Roman"/>
          <w:b/>
          <w:i/>
          <w:sz w:val="24"/>
          <w:szCs w:val="24"/>
        </w:rPr>
        <w:t>Costs</w:t>
      </w:r>
    </w:p>
    <w:p w14:paraId="0F33B43B" w14:textId="4D95F235" w:rsidR="00ED2B37" w:rsidRDefault="00ED2B37" w:rsidP="00ED2B37">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
    <w:p w14:paraId="3F59F3EE" w14:textId="7B7694B4" w:rsidR="005F75DD" w:rsidRPr="00ED2B37" w:rsidRDefault="005F75DD" w:rsidP="00ED2B37">
      <w:pPr>
        <w:pStyle w:val="ListParagraph"/>
        <w:numPr>
          <w:ilvl w:val="0"/>
          <w:numId w:val="6"/>
        </w:numPr>
        <w:spacing w:line="480" w:lineRule="auto"/>
        <w:ind w:left="567" w:hanging="425"/>
        <w:jc w:val="both"/>
        <w:rPr>
          <w:rFonts w:ascii="Times New Roman" w:hAnsi="Times New Roman" w:cs="Times New Roman"/>
          <w:sz w:val="24"/>
          <w:szCs w:val="24"/>
        </w:rPr>
      </w:pPr>
      <w:r w:rsidRPr="00ED2B37">
        <w:rPr>
          <w:rFonts w:ascii="Times New Roman" w:hAnsi="Times New Roman" w:cs="Times New Roman"/>
          <w:sz w:val="24"/>
          <w:szCs w:val="24"/>
        </w:rPr>
        <w:t xml:space="preserve">It follows that this appeal should be dismissed.  While two of the defendant’s grounds of appeal (grounds 22 and 23) are directed to the Order for costs made by the trial Judge, it is my preliminary view that it follows from this judgment (with which Whelan and Haughton JJ. agree) that the defendant has been entirely unsuccessful in these proceedings and must, therefore, bear the costs of the plaintiff in both the High Court and in this Court.  If the defendant disagrees with this, he should </w:t>
      </w:r>
      <w:r w:rsidR="00405CCB" w:rsidRPr="00ED2B37">
        <w:rPr>
          <w:rFonts w:ascii="Times New Roman" w:hAnsi="Times New Roman" w:cs="Times New Roman"/>
          <w:sz w:val="24"/>
          <w:szCs w:val="24"/>
        </w:rPr>
        <w:t>advise the Court office within fourteen days of the date of this judgement whereupon a hearing will be convened to address the issue of costs.</w:t>
      </w:r>
    </w:p>
    <w:p w14:paraId="78EFBA5D" w14:textId="77777777" w:rsidR="003705E2" w:rsidRPr="00084126" w:rsidRDefault="003705E2" w:rsidP="003705E2">
      <w:pPr>
        <w:pStyle w:val="ListParagraph"/>
        <w:spacing w:line="48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  </w:t>
      </w:r>
    </w:p>
    <w:p w14:paraId="1FCD77E0" w14:textId="77777777" w:rsidR="00DA07D2" w:rsidRPr="001862BD" w:rsidRDefault="00DA07D2" w:rsidP="001862BD">
      <w:pPr>
        <w:spacing w:line="360" w:lineRule="auto"/>
        <w:jc w:val="both"/>
        <w:rPr>
          <w:rFonts w:ascii="Times New Roman" w:hAnsi="Times New Roman" w:cs="Times New Roman"/>
          <w:sz w:val="24"/>
          <w:szCs w:val="24"/>
        </w:rPr>
      </w:pPr>
    </w:p>
    <w:p w14:paraId="287C8A0B" w14:textId="77777777" w:rsidR="00C410C9" w:rsidRPr="00D7207F" w:rsidRDefault="00C410C9" w:rsidP="00D7207F">
      <w:pPr>
        <w:ind w:left="0" w:firstLine="0"/>
        <w:rPr>
          <w:rFonts w:ascii="Times New Roman" w:hAnsi="Times New Roman" w:cs="Times New Roman"/>
          <w:sz w:val="24"/>
          <w:szCs w:val="24"/>
        </w:rPr>
      </w:pPr>
    </w:p>
    <w:p w14:paraId="4CC88E47" w14:textId="77777777" w:rsidR="00C410C9" w:rsidRPr="00D7207F" w:rsidRDefault="00C410C9">
      <w:pPr>
        <w:rPr>
          <w:rFonts w:ascii="Times New Roman" w:hAnsi="Times New Roman" w:cs="Times New Roman"/>
          <w:sz w:val="24"/>
          <w:szCs w:val="24"/>
        </w:rPr>
      </w:pPr>
    </w:p>
    <w:p w14:paraId="4507222B" w14:textId="77777777" w:rsidR="00C410C9" w:rsidRPr="00D7207F" w:rsidRDefault="00C410C9">
      <w:pPr>
        <w:rPr>
          <w:rFonts w:ascii="Times New Roman" w:hAnsi="Times New Roman" w:cs="Times New Roman"/>
          <w:sz w:val="24"/>
          <w:szCs w:val="24"/>
        </w:rPr>
      </w:pPr>
    </w:p>
    <w:p w14:paraId="3DB6A66F" w14:textId="77777777" w:rsidR="00C410C9" w:rsidRPr="00D7207F" w:rsidRDefault="00C410C9">
      <w:pPr>
        <w:rPr>
          <w:rFonts w:ascii="Times New Roman" w:hAnsi="Times New Roman" w:cs="Times New Roman"/>
          <w:sz w:val="24"/>
          <w:szCs w:val="24"/>
        </w:rPr>
      </w:pPr>
    </w:p>
    <w:p w14:paraId="231BCFDC" w14:textId="77777777" w:rsidR="00C410C9" w:rsidRPr="00D7207F" w:rsidRDefault="00C410C9">
      <w:pPr>
        <w:rPr>
          <w:rFonts w:ascii="Times New Roman" w:hAnsi="Times New Roman" w:cs="Times New Roman"/>
          <w:sz w:val="24"/>
          <w:szCs w:val="24"/>
        </w:rPr>
      </w:pPr>
    </w:p>
    <w:p w14:paraId="7D01F519" w14:textId="77777777" w:rsidR="00C410C9" w:rsidRDefault="00C410C9"/>
    <w:sectPr w:rsidR="00C410C9" w:rsidSect="00C410C9">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97561" w14:textId="77777777" w:rsidR="00D43F99" w:rsidRDefault="00D43F99" w:rsidP="00C410C9">
      <w:pPr>
        <w:spacing w:before="0" w:after="0" w:line="240" w:lineRule="auto"/>
      </w:pPr>
      <w:r>
        <w:separator/>
      </w:r>
    </w:p>
  </w:endnote>
  <w:endnote w:type="continuationSeparator" w:id="0">
    <w:p w14:paraId="24A8606E" w14:textId="77777777" w:rsidR="00D43F99" w:rsidRDefault="00D43F99" w:rsidP="00C410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7AB8A" w14:textId="77777777" w:rsidR="00D43F99" w:rsidRDefault="00D43F99" w:rsidP="00C410C9">
      <w:pPr>
        <w:spacing w:before="0" w:after="0" w:line="240" w:lineRule="auto"/>
      </w:pPr>
      <w:r>
        <w:separator/>
      </w:r>
    </w:p>
  </w:footnote>
  <w:footnote w:type="continuationSeparator" w:id="0">
    <w:p w14:paraId="7CC3B9A4" w14:textId="77777777" w:rsidR="00D43F99" w:rsidRDefault="00D43F99" w:rsidP="00C410C9">
      <w:pPr>
        <w:spacing w:before="0" w:after="0" w:line="240" w:lineRule="auto"/>
      </w:pPr>
      <w:r>
        <w:continuationSeparator/>
      </w:r>
    </w:p>
  </w:footnote>
  <w:footnote w:id="1">
    <w:p w14:paraId="0C627E7B" w14:textId="77777777" w:rsidR="00C046A8" w:rsidRPr="00D943A6" w:rsidRDefault="00C046A8" w:rsidP="006070B8">
      <w:pPr>
        <w:pStyle w:val="FootnoteText"/>
        <w:jc w:val="both"/>
        <w:rPr>
          <w:rFonts w:ascii="Times New Roman" w:hAnsi="Times New Roman" w:cs="Times New Roman"/>
        </w:rPr>
      </w:pPr>
      <w:r w:rsidRPr="00D943A6">
        <w:rPr>
          <w:rStyle w:val="FootnoteReference"/>
          <w:rFonts w:ascii="Times New Roman" w:hAnsi="Times New Roman" w:cs="Times New Roman"/>
        </w:rPr>
        <w:footnoteRef/>
      </w:r>
      <w:r w:rsidRPr="00D943A6">
        <w:rPr>
          <w:rFonts w:ascii="Times New Roman" w:hAnsi="Times New Roman" w:cs="Times New Roman"/>
        </w:rPr>
        <w:t xml:space="preserve"> </w:t>
      </w:r>
      <w:r w:rsidRPr="00D943A6">
        <w:rPr>
          <w:rFonts w:ascii="Times New Roman" w:hAnsi="Times New Roman" w:cs="Times New Roman"/>
        </w:rPr>
        <w:tab/>
        <w:t xml:space="preserve">In point of fact, the judgment of Hayne J. in the High Court of Australia in </w:t>
      </w:r>
      <w:r w:rsidRPr="00D943A6">
        <w:rPr>
          <w:rFonts w:ascii="Times New Roman" w:hAnsi="Times New Roman" w:cs="Times New Roman"/>
          <w:i/>
        </w:rPr>
        <w:t xml:space="preserve">Kendle v. Melsom </w:t>
      </w:r>
      <w:r w:rsidRPr="00D943A6">
        <w:rPr>
          <w:rFonts w:ascii="Times New Roman" w:hAnsi="Times New Roman" w:cs="Times New Roman"/>
        </w:rPr>
        <w:t xml:space="preserve">would suggest that the appropriate course of action where the appointment of receivers wrongly (having regard to the terms of the charge) described their authority as joint </w:t>
      </w:r>
      <w:r w:rsidRPr="00D943A6">
        <w:rPr>
          <w:rFonts w:ascii="Times New Roman" w:hAnsi="Times New Roman" w:cs="Times New Roman"/>
          <w:i/>
        </w:rPr>
        <w:t>and several</w:t>
      </w:r>
      <w:r w:rsidRPr="00D943A6">
        <w:rPr>
          <w:rFonts w:ascii="Times New Roman" w:hAnsi="Times New Roman" w:cs="Times New Roman"/>
        </w:rPr>
        <w:t xml:space="preserve"> would have been to simply sever the offending clause.  He said ‘</w:t>
      </w:r>
      <w:r w:rsidRPr="00D943A6">
        <w:rPr>
          <w:rFonts w:ascii="Times New Roman" w:hAnsi="Times New Roman" w:cs="Times New Roman"/>
          <w:i/>
        </w:rPr>
        <w:t>I do not accept that if faced with the choice of appointing only jointly or not at all, the Bank would have chosen to refrain from making any appointment’</w:t>
      </w:r>
      <w:r w:rsidRPr="00D943A6">
        <w:rPr>
          <w:rFonts w:ascii="Times New Roman" w:hAnsi="Times New Roman" w:cs="Times New Roman"/>
        </w:rPr>
        <w:t xml:space="preserve"> (at para. 55).  This not only shows the importance of interpreting the appointment in the light of the charge, but would suggest a further basis on which </w:t>
      </w:r>
      <w:r w:rsidRPr="00D943A6">
        <w:rPr>
          <w:rFonts w:ascii="Times New Roman" w:hAnsi="Times New Roman" w:cs="Times New Roman"/>
          <w:i/>
        </w:rPr>
        <w:t>Wrights Hardware</w:t>
      </w:r>
      <w:r w:rsidRPr="00D943A6">
        <w:rPr>
          <w:rFonts w:ascii="Times New Roman" w:hAnsi="Times New Roman" w:cs="Times New Roman"/>
        </w:rPr>
        <w:t xml:space="preserve"> (the decision in which was not reached following a full hearing) was not correctly decided under Australian 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A86BB" w14:textId="77777777" w:rsidR="00C046A8" w:rsidRDefault="00C046A8">
    <w:pPr>
      <w:pStyle w:val="Header"/>
      <w:jc w:val="center"/>
    </w:pPr>
    <w:r>
      <w:rPr>
        <w:rFonts w:ascii="Times New Roman" w:hAnsi="Times New Roman" w:cs="Times New Roman"/>
        <w:noProof/>
        <w:sz w:val="24"/>
        <w:szCs w:val="24"/>
      </w:rPr>
      <w:t>-</w:t>
    </w:r>
    <w:r>
      <w:rPr>
        <w:rFonts w:ascii="Times New Roman" w:hAnsi="Times New Roman" w:cs="Times New Roman"/>
      </w:rPr>
      <w:t xml:space="preserve"> </w:t>
    </w:r>
    <w:sdt>
      <w:sdtPr>
        <w:id w:val="465163818"/>
        <w:docPartObj>
          <w:docPartGallery w:val="Page Numbers (Top of Page)"/>
          <w:docPartUnique/>
        </w:docPartObj>
      </w:sdtPr>
      <w:sdtEndPr>
        <w:rPr>
          <w:noProof/>
        </w:rPr>
      </w:sdtEndPr>
      <w:sdtContent>
        <w:r w:rsidRPr="00C410C9">
          <w:rPr>
            <w:rFonts w:ascii="Times New Roman" w:hAnsi="Times New Roman" w:cs="Times New Roman"/>
            <w:sz w:val="24"/>
            <w:szCs w:val="24"/>
          </w:rPr>
          <w:fldChar w:fldCharType="begin"/>
        </w:r>
        <w:r w:rsidRPr="00C410C9">
          <w:rPr>
            <w:rFonts w:ascii="Times New Roman" w:hAnsi="Times New Roman" w:cs="Times New Roman"/>
            <w:sz w:val="24"/>
            <w:szCs w:val="24"/>
          </w:rPr>
          <w:instrText xml:space="preserve"> PAGE   \* MERGEFORMAT </w:instrText>
        </w:r>
        <w:r w:rsidRPr="00C410C9">
          <w:rPr>
            <w:rFonts w:ascii="Times New Roman" w:hAnsi="Times New Roman" w:cs="Times New Roman"/>
            <w:sz w:val="24"/>
            <w:szCs w:val="24"/>
          </w:rPr>
          <w:fldChar w:fldCharType="separate"/>
        </w:r>
        <w:r w:rsidRPr="00C410C9">
          <w:rPr>
            <w:rFonts w:ascii="Times New Roman" w:hAnsi="Times New Roman" w:cs="Times New Roman"/>
            <w:noProof/>
            <w:sz w:val="24"/>
            <w:szCs w:val="24"/>
          </w:rPr>
          <w:t>2</w:t>
        </w:r>
        <w:r w:rsidRPr="00C410C9">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p w14:paraId="07CF8097" w14:textId="77777777" w:rsidR="00C046A8" w:rsidRDefault="00C046A8" w:rsidP="00C410C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73E95" w14:textId="77777777" w:rsidR="00C046A8" w:rsidRDefault="00C046A8" w:rsidP="006845C1">
    <w:pPr>
      <w:pStyle w:val="Header"/>
    </w:pPr>
    <w:r>
      <w:t xml:space="preserve">                                                                              </w:t>
    </w:r>
    <w:r>
      <w:rPr>
        <w:noProof/>
      </w:rPr>
      <w:drawing>
        <wp:inline distT="0" distB="0" distL="0" distR="0" wp14:anchorId="60E59DC7" wp14:editId="63E2BC66">
          <wp:extent cx="384175"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79C4"/>
    <w:multiLevelType w:val="hybridMultilevel"/>
    <w:tmpl w:val="329CD02A"/>
    <w:lvl w:ilvl="0" w:tplc="EB62A518">
      <w:start w:val="1"/>
      <w:numFmt w:val="lowerRoman"/>
      <w:lvlText w:val="(%1)"/>
      <w:lvlJc w:val="left"/>
      <w:pPr>
        <w:ind w:left="1440" w:hanging="72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1" w15:restartNumberingAfterBreak="0">
    <w:nsid w:val="298D4BB9"/>
    <w:multiLevelType w:val="hybridMultilevel"/>
    <w:tmpl w:val="A8869DAE"/>
    <w:lvl w:ilvl="0" w:tplc="135ABA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B4458"/>
    <w:multiLevelType w:val="hybridMultilevel"/>
    <w:tmpl w:val="40C8A84E"/>
    <w:lvl w:ilvl="0" w:tplc="2286F4FE">
      <w:start w:val="1"/>
      <w:numFmt w:val="decimal"/>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3" w15:restartNumberingAfterBreak="0">
    <w:nsid w:val="2C061062"/>
    <w:multiLevelType w:val="hybridMultilevel"/>
    <w:tmpl w:val="C3D8B868"/>
    <w:lvl w:ilvl="0" w:tplc="BE64AE06">
      <w:start w:val="1"/>
      <w:numFmt w:val="lowerRoman"/>
      <w:lvlText w:val="(%1)"/>
      <w:lvlJc w:val="left"/>
      <w:pPr>
        <w:ind w:left="1437" w:hanging="72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4" w15:restartNumberingAfterBreak="0">
    <w:nsid w:val="33E169FC"/>
    <w:multiLevelType w:val="hybridMultilevel"/>
    <w:tmpl w:val="B046D87C"/>
    <w:lvl w:ilvl="0" w:tplc="50508340">
      <w:start w:val="1"/>
      <w:numFmt w:val="lowerRoman"/>
      <w:lvlText w:val="(%1)"/>
      <w:lvlJc w:val="left"/>
      <w:pPr>
        <w:ind w:left="1440" w:hanging="72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5" w15:restartNumberingAfterBreak="0">
    <w:nsid w:val="34BD779F"/>
    <w:multiLevelType w:val="hybridMultilevel"/>
    <w:tmpl w:val="81B8DF88"/>
    <w:lvl w:ilvl="0" w:tplc="94C48B9C">
      <w:start w:val="1"/>
      <w:numFmt w:val="lowerRoman"/>
      <w:lvlText w:val="(%1)"/>
      <w:lvlJc w:val="left"/>
      <w:pPr>
        <w:ind w:left="1437" w:hanging="72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6" w15:restartNumberingAfterBreak="0">
    <w:nsid w:val="3D06482F"/>
    <w:multiLevelType w:val="hybridMultilevel"/>
    <w:tmpl w:val="7E04F242"/>
    <w:lvl w:ilvl="0" w:tplc="2D1013DE">
      <w:start w:val="1"/>
      <w:numFmt w:val="decimal"/>
      <w:lvlText w:val="%1."/>
      <w:lvlJc w:val="left"/>
      <w:pPr>
        <w:ind w:left="717" w:hanging="360"/>
      </w:pPr>
      <w:rPr>
        <w:rFonts w:hint="default"/>
        <w:b/>
      </w:r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7" w15:restartNumberingAfterBreak="0">
    <w:nsid w:val="44BB75FB"/>
    <w:multiLevelType w:val="hybridMultilevel"/>
    <w:tmpl w:val="833E594A"/>
    <w:lvl w:ilvl="0" w:tplc="7DB03C1C">
      <w:start w:val="1"/>
      <w:numFmt w:val="lowerRoman"/>
      <w:lvlText w:val="(%1)"/>
      <w:lvlJc w:val="left"/>
      <w:pPr>
        <w:ind w:left="1440" w:hanging="72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8" w15:restartNumberingAfterBreak="0">
    <w:nsid w:val="505D50B4"/>
    <w:multiLevelType w:val="hybridMultilevel"/>
    <w:tmpl w:val="275C3F3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9" w15:restartNumberingAfterBreak="0">
    <w:nsid w:val="544E7129"/>
    <w:multiLevelType w:val="hybridMultilevel"/>
    <w:tmpl w:val="0C44E196"/>
    <w:lvl w:ilvl="0" w:tplc="D3424AE8">
      <w:start w:val="1"/>
      <w:numFmt w:val="lowerRoman"/>
      <w:lvlText w:val="(%1)"/>
      <w:lvlJc w:val="left"/>
      <w:pPr>
        <w:ind w:left="1437" w:hanging="72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0" w15:restartNumberingAfterBreak="0">
    <w:nsid w:val="5DE845D7"/>
    <w:multiLevelType w:val="hybridMultilevel"/>
    <w:tmpl w:val="4906FC8C"/>
    <w:lvl w:ilvl="0" w:tplc="B866D0D6">
      <w:start w:val="1"/>
      <w:numFmt w:val="lowerRoman"/>
      <w:lvlText w:val="(%1)"/>
      <w:lvlJc w:val="left"/>
      <w:pPr>
        <w:ind w:left="1437" w:hanging="72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6E586BCE"/>
    <w:multiLevelType w:val="hybridMultilevel"/>
    <w:tmpl w:val="115C65D2"/>
    <w:lvl w:ilvl="0" w:tplc="8F228C8A">
      <w:start w:val="1"/>
      <w:numFmt w:val="lowerRoman"/>
      <w:lvlText w:val="(%1)"/>
      <w:lvlJc w:val="left"/>
      <w:pPr>
        <w:ind w:left="1437" w:hanging="72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1"/>
  </w:num>
  <w:num w:numId="9">
    <w:abstractNumId w:val="9"/>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C9"/>
    <w:rsid w:val="00005095"/>
    <w:rsid w:val="00012833"/>
    <w:rsid w:val="00017C08"/>
    <w:rsid w:val="00021E29"/>
    <w:rsid w:val="00023384"/>
    <w:rsid w:val="00025B08"/>
    <w:rsid w:val="00036382"/>
    <w:rsid w:val="0004162E"/>
    <w:rsid w:val="000477CB"/>
    <w:rsid w:val="00051488"/>
    <w:rsid w:val="000558C5"/>
    <w:rsid w:val="000652DC"/>
    <w:rsid w:val="00077AFC"/>
    <w:rsid w:val="00080E80"/>
    <w:rsid w:val="00082BCF"/>
    <w:rsid w:val="00084126"/>
    <w:rsid w:val="00085706"/>
    <w:rsid w:val="0009295B"/>
    <w:rsid w:val="00093D07"/>
    <w:rsid w:val="00095DE9"/>
    <w:rsid w:val="000A0997"/>
    <w:rsid w:val="000A1375"/>
    <w:rsid w:val="000A468D"/>
    <w:rsid w:val="000A4DB8"/>
    <w:rsid w:val="000A547D"/>
    <w:rsid w:val="000A5608"/>
    <w:rsid w:val="000A7325"/>
    <w:rsid w:val="000B2E16"/>
    <w:rsid w:val="000B417E"/>
    <w:rsid w:val="000C05CD"/>
    <w:rsid w:val="000C2F3E"/>
    <w:rsid w:val="000C5685"/>
    <w:rsid w:val="000C6757"/>
    <w:rsid w:val="000D0FC0"/>
    <w:rsid w:val="000D1208"/>
    <w:rsid w:val="000D184B"/>
    <w:rsid w:val="000D47E4"/>
    <w:rsid w:val="000D52D6"/>
    <w:rsid w:val="000D7780"/>
    <w:rsid w:val="000E1F2B"/>
    <w:rsid w:val="000E6A28"/>
    <w:rsid w:val="000E6F53"/>
    <w:rsid w:val="000E72CE"/>
    <w:rsid w:val="000F28F8"/>
    <w:rsid w:val="000F7F0B"/>
    <w:rsid w:val="001005DD"/>
    <w:rsid w:val="0010105F"/>
    <w:rsid w:val="00103582"/>
    <w:rsid w:val="0010537D"/>
    <w:rsid w:val="00111741"/>
    <w:rsid w:val="0011193C"/>
    <w:rsid w:val="00112AFF"/>
    <w:rsid w:val="001205D1"/>
    <w:rsid w:val="00121B92"/>
    <w:rsid w:val="00126265"/>
    <w:rsid w:val="001327A5"/>
    <w:rsid w:val="001343AE"/>
    <w:rsid w:val="0013546A"/>
    <w:rsid w:val="00146A88"/>
    <w:rsid w:val="00161480"/>
    <w:rsid w:val="00163B90"/>
    <w:rsid w:val="00172705"/>
    <w:rsid w:val="00177CA1"/>
    <w:rsid w:val="00185824"/>
    <w:rsid w:val="001862BD"/>
    <w:rsid w:val="0019358B"/>
    <w:rsid w:val="00196139"/>
    <w:rsid w:val="001969C0"/>
    <w:rsid w:val="001A6721"/>
    <w:rsid w:val="001A7838"/>
    <w:rsid w:val="001B43CD"/>
    <w:rsid w:val="001B49A3"/>
    <w:rsid w:val="001C3F35"/>
    <w:rsid w:val="001C5EA9"/>
    <w:rsid w:val="001D017E"/>
    <w:rsid w:val="001D0F13"/>
    <w:rsid w:val="001D43EA"/>
    <w:rsid w:val="001D6359"/>
    <w:rsid w:val="001F08B9"/>
    <w:rsid w:val="001F6BE7"/>
    <w:rsid w:val="002018D3"/>
    <w:rsid w:val="00204E07"/>
    <w:rsid w:val="00214405"/>
    <w:rsid w:val="00222DED"/>
    <w:rsid w:val="002246C7"/>
    <w:rsid w:val="00232BE0"/>
    <w:rsid w:val="00236FA2"/>
    <w:rsid w:val="00241008"/>
    <w:rsid w:val="002528A4"/>
    <w:rsid w:val="002535A8"/>
    <w:rsid w:val="00253696"/>
    <w:rsid w:val="00256215"/>
    <w:rsid w:val="002565E8"/>
    <w:rsid w:val="00266F5D"/>
    <w:rsid w:val="0027018B"/>
    <w:rsid w:val="00270587"/>
    <w:rsid w:val="00270D07"/>
    <w:rsid w:val="00274ABA"/>
    <w:rsid w:val="00283535"/>
    <w:rsid w:val="002851FF"/>
    <w:rsid w:val="00286C68"/>
    <w:rsid w:val="00290510"/>
    <w:rsid w:val="002918C2"/>
    <w:rsid w:val="002936D5"/>
    <w:rsid w:val="00294D36"/>
    <w:rsid w:val="002B1B0E"/>
    <w:rsid w:val="002B2E01"/>
    <w:rsid w:val="002B3B47"/>
    <w:rsid w:val="002B4799"/>
    <w:rsid w:val="002B69BF"/>
    <w:rsid w:val="002B7806"/>
    <w:rsid w:val="002C3965"/>
    <w:rsid w:val="002C734E"/>
    <w:rsid w:val="002D3FAC"/>
    <w:rsid w:val="002D4D20"/>
    <w:rsid w:val="002E683F"/>
    <w:rsid w:val="002F263E"/>
    <w:rsid w:val="00300210"/>
    <w:rsid w:val="00300CDB"/>
    <w:rsid w:val="00305545"/>
    <w:rsid w:val="003071B9"/>
    <w:rsid w:val="003071CB"/>
    <w:rsid w:val="0031151A"/>
    <w:rsid w:val="0031441C"/>
    <w:rsid w:val="003176B7"/>
    <w:rsid w:val="0032241E"/>
    <w:rsid w:val="00327206"/>
    <w:rsid w:val="003419E6"/>
    <w:rsid w:val="0034491B"/>
    <w:rsid w:val="00344B06"/>
    <w:rsid w:val="00352094"/>
    <w:rsid w:val="003529A1"/>
    <w:rsid w:val="00356791"/>
    <w:rsid w:val="00360D9B"/>
    <w:rsid w:val="0036139B"/>
    <w:rsid w:val="00363861"/>
    <w:rsid w:val="00364016"/>
    <w:rsid w:val="003642C9"/>
    <w:rsid w:val="00366CC0"/>
    <w:rsid w:val="003705E2"/>
    <w:rsid w:val="00374F48"/>
    <w:rsid w:val="003809C5"/>
    <w:rsid w:val="00387767"/>
    <w:rsid w:val="00395339"/>
    <w:rsid w:val="00395EB8"/>
    <w:rsid w:val="003964F2"/>
    <w:rsid w:val="003A1C47"/>
    <w:rsid w:val="003A337F"/>
    <w:rsid w:val="003A422D"/>
    <w:rsid w:val="003A795B"/>
    <w:rsid w:val="003B3D12"/>
    <w:rsid w:val="003B5538"/>
    <w:rsid w:val="003C56C3"/>
    <w:rsid w:val="003C6E38"/>
    <w:rsid w:val="003D19AA"/>
    <w:rsid w:val="003D482A"/>
    <w:rsid w:val="003F1AA9"/>
    <w:rsid w:val="003F6460"/>
    <w:rsid w:val="003F6C09"/>
    <w:rsid w:val="004009A5"/>
    <w:rsid w:val="00401649"/>
    <w:rsid w:val="004020C5"/>
    <w:rsid w:val="004024E8"/>
    <w:rsid w:val="00405CCB"/>
    <w:rsid w:val="00411E04"/>
    <w:rsid w:val="00413BA1"/>
    <w:rsid w:val="004143F3"/>
    <w:rsid w:val="00416326"/>
    <w:rsid w:val="00416A42"/>
    <w:rsid w:val="0042224F"/>
    <w:rsid w:val="00423F90"/>
    <w:rsid w:val="00424AD6"/>
    <w:rsid w:val="004258E3"/>
    <w:rsid w:val="00430BEB"/>
    <w:rsid w:val="00436439"/>
    <w:rsid w:val="00441E88"/>
    <w:rsid w:val="00446704"/>
    <w:rsid w:val="004477E5"/>
    <w:rsid w:val="004514BD"/>
    <w:rsid w:val="00452E0B"/>
    <w:rsid w:val="00453A03"/>
    <w:rsid w:val="004601FA"/>
    <w:rsid w:val="00462D36"/>
    <w:rsid w:val="00462E27"/>
    <w:rsid w:val="004638C0"/>
    <w:rsid w:val="004748D4"/>
    <w:rsid w:val="00481CD6"/>
    <w:rsid w:val="004863B4"/>
    <w:rsid w:val="00487019"/>
    <w:rsid w:val="00490C55"/>
    <w:rsid w:val="00493169"/>
    <w:rsid w:val="004A1B98"/>
    <w:rsid w:val="004A2A86"/>
    <w:rsid w:val="004A7021"/>
    <w:rsid w:val="004B0FA8"/>
    <w:rsid w:val="004B12FF"/>
    <w:rsid w:val="004B2566"/>
    <w:rsid w:val="004C5D61"/>
    <w:rsid w:val="004D6A21"/>
    <w:rsid w:val="004E2339"/>
    <w:rsid w:val="004E658B"/>
    <w:rsid w:val="004E7613"/>
    <w:rsid w:val="004F1B5D"/>
    <w:rsid w:val="004F4B9A"/>
    <w:rsid w:val="004F67AC"/>
    <w:rsid w:val="004F6C41"/>
    <w:rsid w:val="004F7BF7"/>
    <w:rsid w:val="00500771"/>
    <w:rsid w:val="00504F15"/>
    <w:rsid w:val="00506174"/>
    <w:rsid w:val="00512B49"/>
    <w:rsid w:val="005214F0"/>
    <w:rsid w:val="00534D3C"/>
    <w:rsid w:val="0053698E"/>
    <w:rsid w:val="00537DB3"/>
    <w:rsid w:val="00545D71"/>
    <w:rsid w:val="00551226"/>
    <w:rsid w:val="00554B5B"/>
    <w:rsid w:val="0055749A"/>
    <w:rsid w:val="00560163"/>
    <w:rsid w:val="0057692E"/>
    <w:rsid w:val="0058683A"/>
    <w:rsid w:val="00587511"/>
    <w:rsid w:val="005948EE"/>
    <w:rsid w:val="005A0AD6"/>
    <w:rsid w:val="005A20EC"/>
    <w:rsid w:val="005A5F2C"/>
    <w:rsid w:val="005A7366"/>
    <w:rsid w:val="005B528E"/>
    <w:rsid w:val="005B65DD"/>
    <w:rsid w:val="005C3CCA"/>
    <w:rsid w:val="005C50B3"/>
    <w:rsid w:val="005C5360"/>
    <w:rsid w:val="005D2A6C"/>
    <w:rsid w:val="005D3FEE"/>
    <w:rsid w:val="005D4C47"/>
    <w:rsid w:val="005E3392"/>
    <w:rsid w:val="005E5A77"/>
    <w:rsid w:val="005F23A6"/>
    <w:rsid w:val="005F75DD"/>
    <w:rsid w:val="00602507"/>
    <w:rsid w:val="0060495F"/>
    <w:rsid w:val="006070B8"/>
    <w:rsid w:val="0060780A"/>
    <w:rsid w:val="00617A0A"/>
    <w:rsid w:val="0062259A"/>
    <w:rsid w:val="006278EA"/>
    <w:rsid w:val="00633723"/>
    <w:rsid w:val="006422AE"/>
    <w:rsid w:val="00655A4A"/>
    <w:rsid w:val="00662CEC"/>
    <w:rsid w:val="0066301A"/>
    <w:rsid w:val="00666380"/>
    <w:rsid w:val="0066691B"/>
    <w:rsid w:val="006774D1"/>
    <w:rsid w:val="0068036A"/>
    <w:rsid w:val="006830DA"/>
    <w:rsid w:val="006840C8"/>
    <w:rsid w:val="006845C1"/>
    <w:rsid w:val="00686C11"/>
    <w:rsid w:val="00687FB2"/>
    <w:rsid w:val="00692698"/>
    <w:rsid w:val="0069310C"/>
    <w:rsid w:val="00695016"/>
    <w:rsid w:val="00695AA4"/>
    <w:rsid w:val="006A0CE5"/>
    <w:rsid w:val="006A16EF"/>
    <w:rsid w:val="006A6AF1"/>
    <w:rsid w:val="006B17C6"/>
    <w:rsid w:val="006B3751"/>
    <w:rsid w:val="006C26E7"/>
    <w:rsid w:val="006C45F1"/>
    <w:rsid w:val="006C6DF0"/>
    <w:rsid w:val="006C7750"/>
    <w:rsid w:val="006D0867"/>
    <w:rsid w:val="006D3AF7"/>
    <w:rsid w:val="006E5C3D"/>
    <w:rsid w:val="006E6C83"/>
    <w:rsid w:val="006F32E5"/>
    <w:rsid w:val="006F342B"/>
    <w:rsid w:val="006F7497"/>
    <w:rsid w:val="00700FDD"/>
    <w:rsid w:val="0070324A"/>
    <w:rsid w:val="0070373E"/>
    <w:rsid w:val="00706226"/>
    <w:rsid w:val="007157A4"/>
    <w:rsid w:val="00730458"/>
    <w:rsid w:val="00741CAD"/>
    <w:rsid w:val="00741F61"/>
    <w:rsid w:val="0076126A"/>
    <w:rsid w:val="007634AB"/>
    <w:rsid w:val="00772DA2"/>
    <w:rsid w:val="00782CB4"/>
    <w:rsid w:val="00783B9C"/>
    <w:rsid w:val="0079546B"/>
    <w:rsid w:val="00796BCE"/>
    <w:rsid w:val="007971DE"/>
    <w:rsid w:val="007A0985"/>
    <w:rsid w:val="007A0C7C"/>
    <w:rsid w:val="007A4994"/>
    <w:rsid w:val="007A5DFF"/>
    <w:rsid w:val="007B1A83"/>
    <w:rsid w:val="007C2549"/>
    <w:rsid w:val="007C45C6"/>
    <w:rsid w:val="007C4A7E"/>
    <w:rsid w:val="007C79E8"/>
    <w:rsid w:val="007D04CB"/>
    <w:rsid w:val="007D088D"/>
    <w:rsid w:val="007D3766"/>
    <w:rsid w:val="007E39F5"/>
    <w:rsid w:val="007F256C"/>
    <w:rsid w:val="007F3083"/>
    <w:rsid w:val="00806FCD"/>
    <w:rsid w:val="0080755D"/>
    <w:rsid w:val="00815EBF"/>
    <w:rsid w:val="0082077B"/>
    <w:rsid w:val="008216B2"/>
    <w:rsid w:val="008256F2"/>
    <w:rsid w:val="00831BF2"/>
    <w:rsid w:val="00836970"/>
    <w:rsid w:val="00844B02"/>
    <w:rsid w:val="00844DF2"/>
    <w:rsid w:val="00851E51"/>
    <w:rsid w:val="008524D4"/>
    <w:rsid w:val="008552CF"/>
    <w:rsid w:val="0085727E"/>
    <w:rsid w:val="00857312"/>
    <w:rsid w:val="0087083A"/>
    <w:rsid w:val="008714F3"/>
    <w:rsid w:val="008740D3"/>
    <w:rsid w:val="00874510"/>
    <w:rsid w:val="008928C4"/>
    <w:rsid w:val="008944D7"/>
    <w:rsid w:val="008A4B6F"/>
    <w:rsid w:val="008A5A55"/>
    <w:rsid w:val="008A739A"/>
    <w:rsid w:val="008B02B5"/>
    <w:rsid w:val="008B091E"/>
    <w:rsid w:val="008B1494"/>
    <w:rsid w:val="008C60E1"/>
    <w:rsid w:val="008D28C6"/>
    <w:rsid w:val="008D4542"/>
    <w:rsid w:val="008D724A"/>
    <w:rsid w:val="008D72D4"/>
    <w:rsid w:val="008D748C"/>
    <w:rsid w:val="008D7E05"/>
    <w:rsid w:val="008E29B5"/>
    <w:rsid w:val="008E6D07"/>
    <w:rsid w:val="008E798D"/>
    <w:rsid w:val="008F3012"/>
    <w:rsid w:val="008F5EFD"/>
    <w:rsid w:val="0090311E"/>
    <w:rsid w:val="00921CCA"/>
    <w:rsid w:val="009303D3"/>
    <w:rsid w:val="0093401B"/>
    <w:rsid w:val="009377D9"/>
    <w:rsid w:val="00941016"/>
    <w:rsid w:val="00946FF3"/>
    <w:rsid w:val="00951304"/>
    <w:rsid w:val="009545D3"/>
    <w:rsid w:val="00954FD0"/>
    <w:rsid w:val="00957BE1"/>
    <w:rsid w:val="00961F11"/>
    <w:rsid w:val="00964875"/>
    <w:rsid w:val="00966B8B"/>
    <w:rsid w:val="0097163D"/>
    <w:rsid w:val="0097187C"/>
    <w:rsid w:val="00974C5E"/>
    <w:rsid w:val="00977570"/>
    <w:rsid w:val="00984916"/>
    <w:rsid w:val="0099120A"/>
    <w:rsid w:val="00991BF3"/>
    <w:rsid w:val="009962A6"/>
    <w:rsid w:val="009C1824"/>
    <w:rsid w:val="009C3D2E"/>
    <w:rsid w:val="009C64BD"/>
    <w:rsid w:val="009D16A4"/>
    <w:rsid w:val="009D1CC4"/>
    <w:rsid w:val="009D2088"/>
    <w:rsid w:val="009D2CEF"/>
    <w:rsid w:val="009E3815"/>
    <w:rsid w:val="009F45D6"/>
    <w:rsid w:val="009F5EDC"/>
    <w:rsid w:val="00A018CE"/>
    <w:rsid w:val="00A03634"/>
    <w:rsid w:val="00A058F6"/>
    <w:rsid w:val="00A060C5"/>
    <w:rsid w:val="00A1736C"/>
    <w:rsid w:val="00A22F8D"/>
    <w:rsid w:val="00A2640E"/>
    <w:rsid w:val="00A306EE"/>
    <w:rsid w:val="00A34E54"/>
    <w:rsid w:val="00A358F0"/>
    <w:rsid w:val="00A409B8"/>
    <w:rsid w:val="00A45C79"/>
    <w:rsid w:val="00A51B15"/>
    <w:rsid w:val="00A66490"/>
    <w:rsid w:val="00A67108"/>
    <w:rsid w:val="00A7295F"/>
    <w:rsid w:val="00A77671"/>
    <w:rsid w:val="00A82B41"/>
    <w:rsid w:val="00A8304B"/>
    <w:rsid w:val="00A84AFB"/>
    <w:rsid w:val="00A90AFE"/>
    <w:rsid w:val="00A91275"/>
    <w:rsid w:val="00AA1A92"/>
    <w:rsid w:val="00AA2870"/>
    <w:rsid w:val="00AA563A"/>
    <w:rsid w:val="00AA7B14"/>
    <w:rsid w:val="00AC3C3E"/>
    <w:rsid w:val="00AC4845"/>
    <w:rsid w:val="00AC6B4F"/>
    <w:rsid w:val="00AD0B03"/>
    <w:rsid w:val="00AD34FB"/>
    <w:rsid w:val="00AD4649"/>
    <w:rsid w:val="00AD5593"/>
    <w:rsid w:val="00AD65C3"/>
    <w:rsid w:val="00AE0E19"/>
    <w:rsid w:val="00AE5448"/>
    <w:rsid w:val="00AE62EC"/>
    <w:rsid w:val="00AF3105"/>
    <w:rsid w:val="00AF6F82"/>
    <w:rsid w:val="00AF7777"/>
    <w:rsid w:val="00B00837"/>
    <w:rsid w:val="00B10A19"/>
    <w:rsid w:val="00B140C8"/>
    <w:rsid w:val="00B1450F"/>
    <w:rsid w:val="00B25F0A"/>
    <w:rsid w:val="00B33824"/>
    <w:rsid w:val="00B44F14"/>
    <w:rsid w:val="00B46844"/>
    <w:rsid w:val="00B51505"/>
    <w:rsid w:val="00B52BE4"/>
    <w:rsid w:val="00B52DB4"/>
    <w:rsid w:val="00B625E9"/>
    <w:rsid w:val="00B62C4E"/>
    <w:rsid w:val="00B62D5E"/>
    <w:rsid w:val="00B6377E"/>
    <w:rsid w:val="00B66351"/>
    <w:rsid w:val="00B66670"/>
    <w:rsid w:val="00B878EE"/>
    <w:rsid w:val="00B914EF"/>
    <w:rsid w:val="00BA69B8"/>
    <w:rsid w:val="00BB520A"/>
    <w:rsid w:val="00BB54ED"/>
    <w:rsid w:val="00BC0796"/>
    <w:rsid w:val="00BC1FC8"/>
    <w:rsid w:val="00BC67B0"/>
    <w:rsid w:val="00BD1A46"/>
    <w:rsid w:val="00BD1E52"/>
    <w:rsid w:val="00BD4B3A"/>
    <w:rsid w:val="00BD5AD1"/>
    <w:rsid w:val="00BD6EEF"/>
    <w:rsid w:val="00BE2D36"/>
    <w:rsid w:val="00BE5A99"/>
    <w:rsid w:val="00BF638D"/>
    <w:rsid w:val="00C039E7"/>
    <w:rsid w:val="00C046A8"/>
    <w:rsid w:val="00C07F6E"/>
    <w:rsid w:val="00C10004"/>
    <w:rsid w:val="00C10B57"/>
    <w:rsid w:val="00C14A5C"/>
    <w:rsid w:val="00C175A1"/>
    <w:rsid w:val="00C250B7"/>
    <w:rsid w:val="00C263B8"/>
    <w:rsid w:val="00C30D25"/>
    <w:rsid w:val="00C37690"/>
    <w:rsid w:val="00C410C9"/>
    <w:rsid w:val="00C50076"/>
    <w:rsid w:val="00C50AC1"/>
    <w:rsid w:val="00C50B01"/>
    <w:rsid w:val="00C54227"/>
    <w:rsid w:val="00C561A4"/>
    <w:rsid w:val="00C6247A"/>
    <w:rsid w:val="00C65C9C"/>
    <w:rsid w:val="00C70E4A"/>
    <w:rsid w:val="00C81485"/>
    <w:rsid w:val="00C90983"/>
    <w:rsid w:val="00CA200E"/>
    <w:rsid w:val="00CA2DD3"/>
    <w:rsid w:val="00CA7618"/>
    <w:rsid w:val="00CB4D4D"/>
    <w:rsid w:val="00CC1060"/>
    <w:rsid w:val="00CC1993"/>
    <w:rsid w:val="00CC6D31"/>
    <w:rsid w:val="00CD6584"/>
    <w:rsid w:val="00CE2C76"/>
    <w:rsid w:val="00CE798B"/>
    <w:rsid w:val="00CF2EE6"/>
    <w:rsid w:val="00CF2FD6"/>
    <w:rsid w:val="00D00BCF"/>
    <w:rsid w:val="00D03063"/>
    <w:rsid w:val="00D0756A"/>
    <w:rsid w:val="00D16136"/>
    <w:rsid w:val="00D2055B"/>
    <w:rsid w:val="00D25787"/>
    <w:rsid w:val="00D305CB"/>
    <w:rsid w:val="00D309C4"/>
    <w:rsid w:val="00D34051"/>
    <w:rsid w:val="00D352BE"/>
    <w:rsid w:val="00D41A51"/>
    <w:rsid w:val="00D43F99"/>
    <w:rsid w:val="00D47528"/>
    <w:rsid w:val="00D47534"/>
    <w:rsid w:val="00D63B90"/>
    <w:rsid w:val="00D643D7"/>
    <w:rsid w:val="00D7207F"/>
    <w:rsid w:val="00D72A29"/>
    <w:rsid w:val="00D72BBE"/>
    <w:rsid w:val="00D72F9F"/>
    <w:rsid w:val="00D76298"/>
    <w:rsid w:val="00D81C5C"/>
    <w:rsid w:val="00D943A6"/>
    <w:rsid w:val="00D9500C"/>
    <w:rsid w:val="00DA07D2"/>
    <w:rsid w:val="00DA163D"/>
    <w:rsid w:val="00DA238D"/>
    <w:rsid w:val="00DA3268"/>
    <w:rsid w:val="00DB023D"/>
    <w:rsid w:val="00DB241D"/>
    <w:rsid w:val="00DB6643"/>
    <w:rsid w:val="00DB7B0B"/>
    <w:rsid w:val="00DE19DC"/>
    <w:rsid w:val="00DE38DD"/>
    <w:rsid w:val="00DE526B"/>
    <w:rsid w:val="00DF02DC"/>
    <w:rsid w:val="00DF232C"/>
    <w:rsid w:val="00DF6ACB"/>
    <w:rsid w:val="00DF7524"/>
    <w:rsid w:val="00E000DF"/>
    <w:rsid w:val="00E04B09"/>
    <w:rsid w:val="00E05A1A"/>
    <w:rsid w:val="00E06EDA"/>
    <w:rsid w:val="00E11EBE"/>
    <w:rsid w:val="00E149EC"/>
    <w:rsid w:val="00E16315"/>
    <w:rsid w:val="00E22342"/>
    <w:rsid w:val="00E27AE0"/>
    <w:rsid w:val="00E301C4"/>
    <w:rsid w:val="00E345F3"/>
    <w:rsid w:val="00E35BE0"/>
    <w:rsid w:val="00E40DA6"/>
    <w:rsid w:val="00E43712"/>
    <w:rsid w:val="00E438D0"/>
    <w:rsid w:val="00E51531"/>
    <w:rsid w:val="00E53EE3"/>
    <w:rsid w:val="00E54CE6"/>
    <w:rsid w:val="00E54F19"/>
    <w:rsid w:val="00E56763"/>
    <w:rsid w:val="00E56EF8"/>
    <w:rsid w:val="00E67287"/>
    <w:rsid w:val="00E7148B"/>
    <w:rsid w:val="00E72931"/>
    <w:rsid w:val="00E73B29"/>
    <w:rsid w:val="00E763A3"/>
    <w:rsid w:val="00E8396C"/>
    <w:rsid w:val="00E83EC5"/>
    <w:rsid w:val="00E84B0B"/>
    <w:rsid w:val="00E8646A"/>
    <w:rsid w:val="00E86EE5"/>
    <w:rsid w:val="00E90972"/>
    <w:rsid w:val="00E90C7A"/>
    <w:rsid w:val="00E922EA"/>
    <w:rsid w:val="00EB057F"/>
    <w:rsid w:val="00EB0A6F"/>
    <w:rsid w:val="00EB7189"/>
    <w:rsid w:val="00EC5025"/>
    <w:rsid w:val="00ED1E45"/>
    <w:rsid w:val="00ED2ABF"/>
    <w:rsid w:val="00ED2B37"/>
    <w:rsid w:val="00ED2FB1"/>
    <w:rsid w:val="00EE6932"/>
    <w:rsid w:val="00EE71B6"/>
    <w:rsid w:val="00EE7324"/>
    <w:rsid w:val="00EE75E4"/>
    <w:rsid w:val="00EF4A78"/>
    <w:rsid w:val="00EF62B1"/>
    <w:rsid w:val="00EF6C49"/>
    <w:rsid w:val="00F05143"/>
    <w:rsid w:val="00F10418"/>
    <w:rsid w:val="00F13E68"/>
    <w:rsid w:val="00F170A3"/>
    <w:rsid w:val="00F213FB"/>
    <w:rsid w:val="00F231EA"/>
    <w:rsid w:val="00F253D4"/>
    <w:rsid w:val="00F2551F"/>
    <w:rsid w:val="00F27C65"/>
    <w:rsid w:val="00F31EB2"/>
    <w:rsid w:val="00F35BBC"/>
    <w:rsid w:val="00F469B0"/>
    <w:rsid w:val="00F52252"/>
    <w:rsid w:val="00F53ADE"/>
    <w:rsid w:val="00F61397"/>
    <w:rsid w:val="00F64386"/>
    <w:rsid w:val="00F67BFC"/>
    <w:rsid w:val="00F77C0F"/>
    <w:rsid w:val="00F77CAF"/>
    <w:rsid w:val="00F828AD"/>
    <w:rsid w:val="00F876D3"/>
    <w:rsid w:val="00F90240"/>
    <w:rsid w:val="00F90FC6"/>
    <w:rsid w:val="00F9135B"/>
    <w:rsid w:val="00FA458D"/>
    <w:rsid w:val="00FB32BE"/>
    <w:rsid w:val="00FB618B"/>
    <w:rsid w:val="00FB676A"/>
    <w:rsid w:val="00FB6E45"/>
    <w:rsid w:val="00FC2786"/>
    <w:rsid w:val="00FC31AB"/>
    <w:rsid w:val="00FC5945"/>
    <w:rsid w:val="00FD2E80"/>
    <w:rsid w:val="00FD515E"/>
    <w:rsid w:val="00FD5C66"/>
    <w:rsid w:val="00FE3452"/>
    <w:rsid w:val="00FF1F1F"/>
    <w:rsid w:val="00FF27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7C78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0C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10C9"/>
  </w:style>
  <w:style w:type="paragraph" w:styleId="Footer">
    <w:name w:val="footer"/>
    <w:basedOn w:val="Normal"/>
    <w:link w:val="FooterChar"/>
    <w:uiPriority w:val="99"/>
    <w:unhideWhenUsed/>
    <w:rsid w:val="00C410C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10C9"/>
  </w:style>
  <w:style w:type="paragraph" w:styleId="BalloonText">
    <w:name w:val="Balloon Text"/>
    <w:basedOn w:val="Normal"/>
    <w:link w:val="BalloonTextChar"/>
    <w:uiPriority w:val="99"/>
    <w:semiHidden/>
    <w:unhideWhenUsed/>
    <w:rsid w:val="006845C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5C1"/>
    <w:rPr>
      <w:rFonts w:ascii="Segoe UI" w:hAnsi="Segoe UI" w:cs="Segoe UI"/>
      <w:sz w:val="18"/>
      <w:szCs w:val="18"/>
    </w:rPr>
  </w:style>
  <w:style w:type="paragraph" w:styleId="ListParagraph">
    <w:name w:val="List Paragraph"/>
    <w:basedOn w:val="Normal"/>
    <w:uiPriority w:val="34"/>
    <w:qFormat/>
    <w:rsid w:val="00D7207F"/>
    <w:pPr>
      <w:spacing w:before="0" w:line="256" w:lineRule="auto"/>
      <w:ind w:left="720" w:firstLine="0"/>
      <w:contextualSpacing/>
    </w:pPr>
  </w:style>
  <w:style w:type="paragraph" w:styleId="NormalWeb">
    <w:name w:val="Normal (Web)"/>
    <w:basedOn w:val="Normal"/>
    <w:uiPriority w:val="99"/>
    <w:unhideWhenUsed/>
    <w:rsid w:val="00512B49"/>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0554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05545"/>
    <w:rPr>
      <w:sz w:val="20"/>
      <w:szCs w:val="20"/>
    </w:rPr>
  </w:style>
  <w:style w:type="character" w:styleId="FootnoteReference">
    <w:name w:val="footnote reference"/>
    <w:basedOn w:val="DefaultParagraphFont"/>
    <w:uiPriority w:val="99"/>
    <w:semiHidden/>
    <w:unhideWhenUsed/>
    <w:rsid w:val="00305545"/>
    <w:rPr>
      <w:vertAlign w:val="superscript"/>
    </w:rPr>
  </w:style>
  <w:style w:type="character" w:styleId="CommentReference">
    <w:name w:val="annotation reference"/>
    <w:basedOn w:val="DefaultParagraphFont"/>
    <w:uiPriority w:val="99"/>
    <w:semiHidden/>
    <w:unhideWhenUsed/>
    <w:rsid w:val="00C046A8"/>
    <w:rPr>
      <w:sz w:val="16"/>
      <w:szCs w:val="16"/>
    </w:rPr>
  </w:style>
  <w:style w:type="paragraph" w:styleId="CommentText">
    <w:name w:val="annotation text"/>
    <w:basedOn w:val="Normal"/>
    <w:link w:val="CommentTextChar"/>
    <w:uiPriority w:val="99"/>
    <w:semiHidden/>
    <w:unhideWhenUsed/>
    <w:rsid w:val="00C046A8"/>
    <w:pPr>
      <w:spacing w:line="240" w:lineRule="auto"/>
    </w:pPr>
    <w:rPr>
      <w:sz w:val="20"/>
      <w:szCs w:val="20"/>
    </w:rPr>
  </w:style>
  <w:style w:type="character" w:customStyle="1" w:styleId="CommentTextChar">
    <w:name w:val="Comment Text Char"/>
    <w:basedOn w:val="DefaultParagraphFont"/>
    <w:link w:val="CommentText"/>
    <w:uiPriority w:val="99"/>
    <w:semiHidden/>
    <w:rsid w:val="00C046A8"/>
    <w:rPr>
      <w:sz w:val="20"/>
      <w:szCs w:val="20"/>
    </w:rPr>
  </w:style>
  <w:style w:type="paragraph" w:styleId="CommentSubject">
    <w:name w:val="annotation subject"/>
    <w:basedOn w:val="CommentText"/>
    <w:next w:val="CommentText"/>
    <w:link w:val="CommentSubjectChar"/>
    <w:uiPriority w:val="99"/>
    <w:semiHidden/>
    <w:unhideWhenUsed/>
    <w:rsid w:val="00C046A8"/>
    <w:rPr>
      <w:b/>
      <w:bCs/>
    </w:rPr>
  </w:style>
  <w:style w:type="character" w:customStyle="1" w:styleId="CommentSubjectChar">
    <w:name w:val="Comment Subject Char"/>
    <w:basedOn w:val="CommentTextChar"/>
    <w:link w:val="CommentSubject"/>
    <w:uiPriority w:val="99"/>
    <w:semiHidden/>
    <w:rsid w:val="00C04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08341">
      <w:bodyDiv w:val="1"/>
      <w:marLeft w:val="0"/>
      <w:marRight w:val="0"/>
      <w:marTop w:val="0"/>
      <w:marBottom w:val="0"/>
      <w:divBdr>
        <w:top w:val="none" w:sz="0" w:space="0" w:color="auto"/>
        <w:left w:val="none" w:sz="0" w:space="0" w:color="auto"/>
        <w:bottom w:val="none" w:sz="0" w:space="0" w:color="auto"/>
        <w:right w:val="none" w:sz="0" w:space="0" w:color="auto"/>
      </w:divBdr>
    </w:div>
    <w:div w:id="2022969132">
      <w:bodyDiv w:val="1"/>
      <w:marLeft w:val="0"/>
      <w:marRight w:val="0"/>
      <w:marTop w:val="0"/>
      <w:marBottom w:val="0"/>
      <w:divBdr>
        <w:top w:val="none" w:sz="0" w:space="0" w:color="auto"/>
        <w:left w:val="none" w:sz="0" w:space="0" w:color="auto"/>
        <w:bottom w:val="none" w:sz="0" w:space="0" w:color="auto"/>
        <w:right w:val="none" w:sz="0" w:space="0" w:color="auto"/>
      </w:divBdr>
      <w:divsChild>
        <w:div w:id="95178133">
          <w:marLeft w:val="0"/>
          <w:marRight w:val="0"/>
          <w:marTop w:val="0"/>
          <w:marBottom w:val="0"/>
          <w:divBdr>
            <w:top w:val="none" w:sz="0" w:space="0" w:color="auto"/>
            <w:left w:val="none" w:sz="0" w:space="0" w:color="auto"/>
            <w:bottom w:val="none" w:sz="0" w:space="0" w:color="auto"/>
            <w:right w:val="none" w:sz="0" w:space="0" w:color="auto"/>
          </w:divBdr>
          <w:divsChild>
            <w:div w:id="2047675546">
              <w:marLeft w:val="0"/>
              <w:marRight w:val="0"/>
              <w:marTop w:val="0"/>
              <w:marBottom w:val="0"/>
              <w:divBdr>
                <w:top w:val="none" w:sz="0" w:space="0" w:color="auto"/>
                <w:left w:val="none" w:sz="0" w:space="0" w:color="auto"/>
                <w:bottom w:val="none" w:sz="0" w:space="0" w:color="auto"/>
                <w:right w:val="none" w:sz="0" w:space="0" w:color="auto"/>
              </w:divBdr>
              <w:divsChild>
                <w:div w:id="21098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5848">
      <w:bodyDiv w:val="1"/>
      <w:marLeft w:val="0"/>
      <w:marRight w:val="0"/>
      <w:marTop w:val="0"/>
      <w:marBottom w:val="0"/>
      <w:divBdr>
        <w:top w:val="none" w:sz="0" w:space="0" w:color="auto"/>
        <w:left w:val="none" w:sz="0" w:space="0" w:color="auto"/>
        <w:bottom w:val="none" w:sz="0" w:space="0" w:color="auto"/>
        <w:right w:val="none" w:sz="0" w:space="0" w:color="auto"/>
      </w:divBdr>
      <w:divsChild>
        <w:div w:id="1001545381">
          <w:marLeft w:val="0"/>
          <w:marRight w:val="0"/>
          <w:marTop w:val="0"/>
          <w:marBottom w:val="0"/>
          <w:divBdr>
            <w:top w:val="none" w:sz="0" w:space="0" w:color="auto"/>
            <w:left w:val="none" w:sz="0" w:space="0" w:color="auto"/>
            <w:bottom w:val="none" w:sz="0" w:space="0" w:color="auto"/>
            <w:right w:val="none" w:sz="0" w:space="0" w:color="auto"/>
          </w:divBdr>
          <w:divsChild>
            <w:div w:id="864562581">
              <w:marLeft w:val="0"/>
              <w:marRight w:val="0"/>
              <w:marTop w:val="0"/>
              <w:marBottom w:val="0"/>
              <w:divBdr>
                <w:top w:val="none" w:sz="0" w:space="0" w:color="auto"/>
                <w:left w:val="none" w:sz="0" w:space="0" w:color="auto"/>
                <w:bottom w:val="none" w:sz="0" w:space="0" w:color="auto"/>
                <w:right w:val="none" w:sz="0" w:space="0" w:color="auto"/>
              </w:divBdr>
              <w:divsChild>
                <w:div w:id="108164803">
                  <w:marLeft w:val="0"/>
                  <w:marRight w:val="0"/>
                  <w:marTop w:val="0"/>
                  <w:marBottom w:val="0"/>
                  <w:divBdr>
                    <w:top w:val="none" w:sz="0" w:space="0" w:color="auto"/>
                    <w:left w:val="none" w:sz="0" w:space="0" w:color="auto"/>
                    <w:bottom w:val="none" w:sz="0" w:space="0" w:color="auto"/>
                    <w:right w:val="none" w:sz="0" w:space="0" w:color="auto"/>
                  </w:divBdr>
                  <w:divsChild>
                    <w:div w:id="784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41440">
          <w:marLeft w:val="0"/>
          <w:marRight w:val="0"/>
          <w:marTop w:val="0"/>
          <w:marBottom w:val="0"/>
          <w:divBdr>
            <w:top w:val="none" w:sz="0" w:space="0" w:color="auto"/>
            <w:left w:val="none" w:sz="0" w:space="0" w:color="auto"/>
            <w:bottom w:val="none" w:sz="0" w:space="0" w:color="auto"/>
            <w:right w:val="none" w:sz="0" w:space="0" w:color="auto"/>
          </w:divBdr>
          <w:divsChild>
            <w:div w:id="164827273">
              <w:marLeft w:val="0"/>
              <w:marRight w:val="0"/>
              <w:marTop w:val="0"/>
              <w:marBottom w:val="0"/>
              <w:divBdr>
                <w:top w:val="none" w:sz="0" w:space="0" w:color="auto"/>
                <w:left w:val="none" w:sz="0" w:space="0" w:color="auto"/>
                <w:bottom w:val="none" w:sz="0" w:space="0" w:color="auto"/>
                <w:right w:val="none" w:sz="0" w:space="0" w:color="auto"/>
              </w:divBdr>
              <w:divsChild>
                <w:div w:id="1539122936">
                  <w:marLeft w:val="0"/>
                  <w:marRight w:val="0"/>
                  <w:marTop w:val="0"/>
                  <w:marBottom w:val="0"/>
                  <w:divBdr>
                    <w:top w:val="none" w:sz="0" w:space="0" w:color="auto"/>
                    <w:left w:val="none" w:sz="0" w:space="0" w:color="auto"/>
                    <w:bottom w:val="none" w:sz="0" w:space="0" w:color="auto"/>
                    <w:right w:val="none" w:sz="0" w:space="0" w:color="auto"/>
                  </w:divBdr>
                  <w:divsChild>
                    <w:div w:id="380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14467</Words>
  <Characters>82463</Characters>
  <Application>Microsoft Office Word</Application>
  <DocSecurity>0</DocSecurity>
  <Lines>687</Lines>
  <Paragraphs>193</Paragraphs>
  <ScaleCrop>false</ScaleCrop>
  <Company/>
  <LinksUpToDate>false</LinksUpToDate>
  <CharactersWithSpaces>96737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2022-01-17T16:07:00Z</dcterms:created>
  <dcterms:modified xsi:type="dcterms:W3CDTF">2022-01-17T16:08:00Z</dcterms:modified>
</cp:coreProperties>
</file>