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3EA" w14:textId="77777777" w:rsidR="000336BE" w:rsidRDefault="000336BE" w:rsidP="000336BE">
      <w:pPr>
        <w:widowControl/>
        <w:autoSpaceDE w:val="0"/>
        <w:autoSpaceDN w:val="0"/>
        <w:adjustRightInd w:val="0"/>
        <w:spacing w:line="480" w:lineRule="auto"/>
        <w:jc w:val="center"/>
        <w:rPr>
          <w:rFonts w:cs="Times New Roman"/>
          <w:b/>
          <w:bCs/>
          <w:szCs w:val="24"/>
        </w:rPr>
      </w:pPr>
      <w:bookmarkStart w:id="0" w:name="_Hlk46039389"/>
      <w:bookmarkStart w:id="1" w:name="_GoBack"/>
      <w:bookmarkEnd w:id="1"/>
      <w:r w:rsidRPr="009C3941">
        <w:rPr>
          <w:noProof/>
        </w:rPr>
        <w:drawing>
          <wp:inline distT="0" distB="0" distL="0" distR="0" wp14:anchorId="54160A01" wp14:editId="6C8A9876">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E2BD860" w14:textId="77777777" w:rsidR="00996FA5" w:rsidRPr="000336BE" w:rsidRDefault="000336BE"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 xml:space="preserve">THE </w:t>
      </w:r>
      <w:r w:rsidR="00996FA5" w:rsidRPr="000336BE">
        <w:rPr>
          <w:rFonts w:cs="Times New Roman"/>
          <w:b/>
          <w:bCs/>
          <w:szCs w:val="24"/>
        </w:rPr>
        <w:t>COURT OF APPEAL</w:t>
      </w:r>
    </w:p>
    <w:p w14:paraId="13188F7A" w14:textId="77777777" w:rsidR="00996FA5" w:rsidRPr="000336BE" w:rsidRDefault="00996FA5"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CIVIL</w:t>
      </w:r>
    </w:p>
    <w:p w14:paraId="3045026E" w14:textId="77777777" w:rsidR="00996FA5" w:rsidRDefault="00996FA5" w:rsidP="000336BE">
      <w:pPr>
        <w:widowControl/>
        <w:autoSpaceDE w:val="0"/>
        <w:autoSpaceDN w:val="0"/>
        <w:adjustRightInd w:val="0"/>
        <w:spacing w:line="480" w:lineRule="auto"/>
        <w:jc w:val="right"/>
        <w:rPr>
          <w:rFonts w:cs="Times New Roman"/>
          <w:b/>
          <w:bCs/>
          <w:szCs w:val="24"/>
        </w:rPr>
      </w:pPr>
      <w:r w:rsidRPr="000336BE">
        <w:rPr>
          <w:rFonts w:cs="Times New Roman"/>
          <w:b/>
          <w:bCs/>
          <w:szCs w:val="24"/>
        </w:rPr>
        <w:t>RECORD NUMBER 2018 / 289</w:t>
      </w:r>
    </w:p>
    <w:p w14:paraId="627AF7E5" w14:textId="77777777" w:rsidR="001F7C7A" w:rsidRDefault="001F7C7A" w:rsidP="000336BE">
      <w:pPr>
        <w:widowControl/>
        <w:autoSpaceDE w:val="0"/>
        <w:autoSpaceDN w:val="0"/>
        <w:adjustRightInd w:val="0"/>
        <w:spacing w:line="480" w:lineRule="auto"/>
        <w:jc w:val="right"/>
        <w:rPr>
          <w:rFonts w:cs="Times New Roman"/>
          <w:b/>
          <w:bCs/>
          <w:szCs w:val="24"/>
        </w:rPr>
      </w:pPr>
      <w:r w:rsidRPr="001F7C7A">
        <w:rPr>
          <w:rFonts w:cs="Times New Roman"/>
          <w:b/>
          <w:bCs/>
          <w:szCs w:val="24"/>
        </w:rPr>
        <w:t>Neutral Citation Number [2021] IECA 268</w:t>
      </w:r>
    </w:p>
    <w:p w14:paraId="22850667" w14:textId="77777777" w:rsidR="000336BE" w:rsidRDefault="000336BE" w:rsidP="000336BE">
      <w:pPr>
        <w:widowControl/>
        <w:autoSpaceDE w:val="0"/>
        <w:autoSpaceDN w:val="0"/>
        <w:adjustRightInd w:val="0"/>
        <w:spacing w:line="480" w:lineRule="auto"/>
        <w:rPr>
          <w:rFonts w:cs="Times New Roman"/>
          <w:b/>
          <w:bCs/>
          <w:szCs w:val="24"/>
        </w:rPr>
      </w:pPr>
      <w:r>
        <w:rPr>
          <w:rFonts w:cs="Times New Roman"/>
          <w:b/>
          <w:bCs/>
          <w:szCs w:val="24"/>
        </w:rPr>
        <w:t>Whelan J</w:t>
      </w:r>
      <w:r w:rsidR="001F7C7A">
        <w:rPr>
          <w:rFonts w:cs="Times New Roman"/>
          <w:b/>
          <w:bCs/>
          <w:szCs w:val="24"/>
        </w:rPr>
        <w:t>.</w:t>
      </w:r>
    </w:p>
    <w:p w14:paraId="64535AB5" w14:textId="77777777" w:rsidR="000336BE" w:rsidRPr="000336BE" w:rsidRDefault="000336BE" w:rsidP="000336BE">
      <w:pPr>
        <w:widowControl/>
        <w:spacing w:line="480" w:lineRule="auto"/>
        <w:ind w:left="709" w:hanging="720"/>
        <w:rPr>
          <w:b/>
          <w:szCs w:val="24"/>
        </w:rPr>
      </w:pPr>
      <w:r w:rsidRPr="000336BE">
        <w:rPr>
          <w:b/>
          <w:szCs w:val="24"/>
        </w:rPr>
        <w:t>N</w:t>
      </w:r>
      <w:r>
        <w:rPr>
          <w:rFonts w:cs="Times New Roman"/>
          <w:b/>
          <w:szCs w:val="24"/>
        </w:rPr>
        <w:t>í</w:t>
      </w:r>
      <w:r w:rsidRPr="000336BE">
        <w:rPr>
          <w:b/>
          <w:szCs w:val="24"/>
        </w:rPr>
        <w:t xml:space="preserve"> Raifeartaigh J.</w:t>
      </w:r>
    </w:p>
    <w:p w14:paraId="6CCBC1EB" w14:textId="77777777" w:rsidR="000336BE" w:rsidRDefault="000336BE" w:rsidP="000336BE">
      <w:pPr>
        <w:widowControl/>
        <w:autoSpaceDE w:val="0"/>
        <w:autoSpaceDN w:val="0"/>
        <w:adjustRightInd w:val="0"/>
        <w:spacing w:line="480" w:lineRule="auto"/>
        <w:jc w:val="left"/>
        <w:rPr>
          <w:rFonts w:cs="Times New Roman"/>
          <w:b/>
          <w:bCs/>
          <w:szCs w:val="24"/>
        </w:rPr>
      </w:pPr>
      <w:r>
        <w:rPr>
          <w:rFonts w:cs="Times New Roman"/>
          <w:b/>
          <w:bCs/>
          <w:szCs w:val="24"/>
        </w:rPr>
        <w:t>Collins J</w:t>
      </w:r>
      <w:r w:rsidR="001F7C7A">
        <w:rPr>
          <w:rFonts w:cs="Times New Roman"/>
          <w:b/>
          <w:bCs/>
          <w:szCs w:val="24"/>
        </w:rPr>
        <w:t>.</w:t>
      </w:r>
    </w:p>
    <w:p w14:paraId="5FDB515A" w14:textId="77777777" w:rsidR="000336BE" w:rsidRDefault="000336BE" w:rsidP="000336BE">
      <w:pPr>
        <w:widowControl/>
        <w:autoSpaceDE w:val="0"/>
        <w:autoSpaceDN w:val="0"/>
        <w:adjustRightInd w:val="0"/>
        <w:spacing w:line="480" w:lineRule="auto"/>
        <w:jc w:val="left"/>
        <w:rPr>
          <w:rFonts w:cs="Times New Roman"/>
          <w:b/>
          <w:bCs/>
          <w:szCs w:val="24"/>
        </w:rPr>
      </w:pPr>
    </w:p>
    <w:p w14:paraId="7BCCC2A2" w14:textId="77777777" w:rsidR="00996FA5" w:rsidRPr="000336BE" w:rsidRDefault="00996FA5" w:rsidP="000336BE">
      <w:pPr>
        <w:widowControl/>
        <w:autoSpaceDE w:val="0"/>
        <w:autoSpaceDN w:val="0"/>
        <w:adjustRightInd w:val="0"/>
        <w:spacing w:line="480" w:lineRule="auto"/>
        <w:jc w:val="left"/>
        <w:rPr>
          <w:rFonts w:cs="Times New Roman"/>
          <w:b/>
          <w:bCs/>
          <w:szCs w:val="24"/>
        </w:rPr>
      </w:pPr>
      <w:r w:rsidRPr="000336BE">
        <w:rPr>
          <w:rFonts w:cs="Times New Roman"/>
          <w:b/>
          <w:bCs/>
          <w:szCs w:val="24"/>
        </w:rPr>
        <w:t>BETWEE</w:t>
      </w:r>
      <w:r w:rsidR="000336BE" w:rsidRPr="000336BE">
        <w:rPr>
          <w:rFonts w:cs="Times New Roman"/>
          <w:b/>
          <w:bCs/>
          <w:szCs w:val="24"/>
        </w:rPr>
        <w:t>N</w:t>
      </w:r>
    </w:p>
    <w:p w14:paraId="7953B1FD" w14:textId="77777777" w:rsidR="00996FA5" w:rsidRPr="000336BE" w:rsidRDefault="00996FA5"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MARK SM</w:t>
      </w:r>
      <w:r w:rsidR="003901FA">
        <w:rPr>
          <w:rFonts w:cs="Times New Roman"/>
          <w:b/>
          <w:bCs/>
          <w:szCs w:val="24"/>
        </w:rPr>
        <w:t>I</w:t>
      </w:r>
      <w:r w:rsidRPr="000336BE">
        <w:rPr>
          <w:rFonts w:cs="Times New Roman"/>
          <w:b/>
          <w:bCs/>
          <w:szCs w:val="24"/>
        </w:rPr>
        <w:t>TH</w:t>
      </w:r>
    </w:p>
    <w:p w14:paraId="1AE041E8" w14:textId="77777777" w:rsidR="00996FA5" w:rsidRPr="000336BE" w:rsidRDefault="000336BE" w:rsidP="000336BE">
      <w:pPr>
        <w:widowControl/>
        <w:autoSpaceDE w:val="0"/>
        <w:autoSpaceDN w:val="0"/>
        <w:adjustRightInd w:val="0"/>
        <w:spacing w:line="480" w:lineRule="auto"/>
        <w:jc w:val="right"/>
        <w:rPr>
          <w:rFonts w:cs="Times New Roman"/>
          <w:bCs/>
          <w:i/>
          <w:szCs w:val="24"/>
        </w:rPr>
      </w:pPr>
      <w:r w:rsidRPr="000336BE">
        <w:rPr>
          <w:rFonts w:cs="Times New Roman"/>
          <w:bCs/>
          <w:i/>
          <w:szCs w:val="24"/>
        </w:rPr>
        <w:t xml:space="preserve">Plaintiff/Respondent </w:t>
      </w:r>
    </w:p>
    <w:p w14:paraId="284D12A9" w14:textId="77777777" w:rsidR="00996FA5" w:rsidRPr="000336BE" w:rsidRDefault="00996FA5" w:rsidP="000336BE">
      <w:pPr>
        <w:widowControl/>
        <w:autoSpaceDE w:val="0"/>
        <w:autoSpaceDN w:val="0"/>
        <w:adjustRightInd w:val="0"/>
        <w:spacing w:line="480" w:lineRule="auto"/>
        <w:jc w:val="left"/>
        <w:rPr>
          <w:rFonts w:cs="Times New Roman"/>
          <w:b/>
          <w:bCs/>
          <w:szCs w:val="24"/>
        </w:rPr>
      </w:pPr>
      <w:r w:rsidRPr="000336BE">
        <w:rPr>
          <w:rFonts w:cs="Times New Roman"/>
          <w:b/>
          <w:bCs/>
          <w:szCs w:val="24"/>
        </w:rPr>
        <w:t>AND</w:t>
      </w:r>
    </w:p>
    <w:p w14:paraId="2FD1ABC5" w14:textId="77777777" w:rsidR="000336BE" w:rsidRDefault="00996FA5"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 xml:space="preserve">MARK CUNNINGHAM, </w:t>
      </w:r>
    </w:p>
    <w:p w14:paraId="19B77E42" w14:textId="77777777" w:rsidR="000336BE" w:rsidRDefault="00996FA5"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KEVIN SOROHAN</w:t>
      </w:r>
      <w:r w:rsidR="000336BE">
        <w:rPr>
          <w:rFonts w:cs="Times New Roman"/>
          <w:b/>
          <w:bCs/>
          <w:szCs w:val="24"/>
        </w:rPr>
        <w:t>,  ANNE-MARIE SOROHAN</w:t>
      </w:r>
    </w:p>
    <w:p w14:paraId="2F736DB7" w14:textId="77777777" w:rsidR="008426EB" w:rsidRDefault="000336BE" w:rsidP="000336BE">
      <w:pPr>
        <w:widowControl/>
        <w:autoSpaceDE w:val="0"/>
        <w:autoSpaceDN w:val="0"/>
        <w:adjustRightInd w:val="0"/>
        <w:spacing w:line="480" w:lineRule="auto"/>
        <w:jc w:val="center"/>
        <w:rPr>
          <w:rFonts w:cs="Times New Roman"/>
          <w:b/>
          <w:bCs/>
          <w:szCs w:val="24"/>
        </w:rPr>
      </w:pPr>
      <w:r>
        <w:rPr>
          <w:rFonts w:cs="Times New Roman"/>
          <w:b/>
          <w:bCs/>
          <w:szCs w:val="24"/>
        </w:rPr>
        <w:t>AND</w:t>
      </w:r>
      <w:r w:rsidRPr="000336BE">
        <w:rPr>
          <w:rFonts w:cs="Times New Roman"/>
          <w:b/>
          <w:bCs/>
          <w:szCs w:val="24"/>
        </w:rPr>
        <w:t xml:space="preserve"> P</w:t>
      </w:r>
      <w:r w:rsidR="00996FA5" w:rsidRPr="000336BE">
        <w:rPr>
          <w:rFonts w:cs="Times New Roman"/>
          <w:b/>
          <w:bCs/>
          <w:szCs w:val="24"/>
        </w:rPr>
        <w:t>AUL KELLY PRACTICING UNDER THE STYLE AND TITLE OF</w:t>
      </w:r>
    </w:p>
    <w:p w14:paraId="7A44C0BF" w14:textId="77777777" w:rsidR="00996FA5" w:rsidRPr="000336BE" w:rsidRDefault="00996FA5" w:rsidP="000336BE">
      <w:pPr>
        <w:widowControl/>
        <w:autoSpaceDE w:val="0"/>
        <w:autoSpaceDN w:val="0"/>
        <w:adjustRightInd w:val="0"/>
        <w:spacing w:line="480" w:lineRule="auto"/>
        <w:jc w:val="center"/>
        <w:rPr>
          <w:rFonts w:cs="Times New Roman"/>
          <w:b/>
          <w:bCs/>
          <w:szCs w:val="24"/>
        </w:rPr>
      </w:pPr>
      <w:r w:rsidRPr="000336BE">
        <w:rPr>
          <w:rFonts w:cs="Times New Roman"/>
          <w:b/>
          <w:bCs/>
          <w:szCs w:val="24"/>
        </w:rPr>
        <w:t xml:space="preserve"> PAUL KELLY &amp; COMPANY</w:t>
      </w:r>
      <w:r w:rsidR="000336BE">
        <w:rPr>
          <w:rFonts w:cs="Times New Roman"/>
          <w:b/>
          <w:bCs/>
          <w:szCs w:val="24"/>
        </w:rPr>
        <w:t xml:space="preserve"> SOLIC</w:t>
      </w:r>
      <w:r w:rsidR="00A8043E">
        <w:rPr>
          <w:rFonts w:cs="Times New Roman"/>
          <w:b/>
          <w:bCs/>
          <w:szCs w:val="24"/>
        </w:rPr>
        <w:t>I</w:t>
      </w:r>
      <w:r w:rsidR="000336BE">
        <w:rPr>
          <w:rFonts w:cs="Times New Roman"/>
          <w:b/>
          <w:bCs/>
          <w:szCs w:val="24"/>
        </w:rPr>
        <w:t>TORS</w:t>
      </w:r>
    </w:p>
    <w:p w14:paraId="3AA3533A" w14:textId="77777777" w:rsidR="001707FE" w:rsidRDefault="001707FE" w:rsidP="000336BE">
      <w:pPr>
        <w:spacing w:line="480" w:lineRule="auto"/>
        <w:rPr>
          <w:rFonts w:cs="Times New Roman"/>
          <w:bCs/>
          <w:szCs w:val="24"/>
        </w:rPr>
      </w:pPr>
    </w:p>
    <w:p w14:paraId="26BCAB05" w14:textId="77777777" w:rsidR="000336BE" w:rsidRDefault="000336BE" w:rsidP="000336BE">
      <w:pPr>
        <w:spacing w:line="480" w:lineRule="auto"/>
        <w:jc w:val="right"/>
        <w:rPr>
          <w:rFonts w:cs="Times New Roman"/>
          <w:i/>
          <w:szCs w:val="24"/>
        </w:rPr>
      </w:pPr>
      <w:r w:rsidRPr="000336BE">
        <w:rPr>
          <w:rFonts w:cs="Times New Roman"/>
          <w:i/>
          <w:szCs w:val="24"/>
        </w:rPr>
        <w:t>Defendants/Appellant</w:t>
      </w:r>
      <w:r w:rsidR="00A8043E">
        <w:rPr>
          <w:rFonts w:cs="Times New Roman"/>
          <w:i/>
          <w:szCs w:val="24"/>
        </w:rPr>
        <w:t>s</w:t>
      </w:r>
    </w:p>
    <w:p w14:paraId="2EF99537" w14:textId="77777777" w:rsidR="000336BE" w:rsidRDefault="000336BE" w:rsidP="000336BE">
      <w:pPr>
        <w:spacing w:line="480" w:lineRule="auto"/>
        <w:jc w:val="right"/>
        <w:rPr>
          <w:rFonts w:cs="Times New Roman"/>
          <w:i/>
          <w:szCs w:val="24"/>
        </w:rPr>
      </w:pPr>
    </w:p>
    <w:p w14:paraId="37DE33E0" w14:textId="77777777" w:rsidR="000336BE" w:rsidRDefault="000336BE" w:rsidP="000336BE">
      <w:pPr>
        <w:widowControl/>
        <w:spacing w:line="480" w:lineRule="auto"/>
        <w:ind w:left="709" w:hanging="720"/>
        <w:rPr>
          <w:b/>
          <w:szCs w:val="24"/>
          <w:u w:val="single"/>
        </w:rPr>
      </w:pPr>
      <w:r w:rsidRPr="000336BE">
        <w:rPr>
          <w:b/>
          <w:szCs w:val="24"/>
          <w:u w:val="single"/>
        </w:rPr>
        <w:t xml:space="preserve">JUDGMENT of Mr Justice Maurice Collins delivered on </w:t>
      </w:r>
      <w:r w:rsidR="001F4A4F">
        <w:rPr>
          <w:b/>
          <w:szCs w:val="24"/>
          <w:u w:val="single"/>
        </w:rPr>
        <w:t>2</w:t>
      </w:r>
      <w:r w:rsidR="00F14A63">
        <w:rPr>
          <w:b/>
          <w:szCs w:val="24"/>
          <w:u w:val="single"/>
        </w:rPr>
        <w:t>0</w:t>
      </w:r>
      <w:r w:rsidRPr="000336BE">
        <w:rPr>
          <w:b/>
          <w:szCs w:val="24"/>
          <w:u w:val="single"/>
        </w:rPr>
        <w:t xml:space="preserve"> </w:t>
      </w:r>
      <w:r w:rsidR="009B08ED">
        <w:rPr>
          <w:b/>
          <w:szCs w:val="24"/>
          <w:u w:val="single"/>
        </w:rPr>
        <w:t>October</w:t>
      </w:r>
      <w:r w:rsidR="004355AB">
        <w:rPr>
          <w:b/>
          <w:szCs w:val="24"/>
          <w:u w:val="single"/>
        </w:rPr>
        <w:t xml:space="preserve"> 2021</w:t>
      </w:r>
    </w:p>
    <w:p w14:paraId="6278EA7F" w14:textId="77777777" w:rsidR="00F14A63" w:rsidRPr="000336BE" w:rsidRDefault="00F14A63" w:rsidP="000336BE">
      <w:pPr>
        <w:widowControl/>
        <w:spacing w:line="480" w:lineRule="auto"/>
        <w:ind w:left="709" w:hanging="720"/>
        <w:rPr>
          <w:b/>
          <w:szCs w:val="24"/>
          <w:u w:val="single"/>
        </w:rPr>
      </w:pPr>
    </w:p>
    <w:bookmarkEnd w:id="0"/>
    <w:p w14:paraId="53C8E6F9" w14:textId="77777777" w:rsidR="000336BE" w:rsidRDefault="000336BE" w:rsidP="000336BE">
      <w:pPr>
        <w:spacing w:line="480" w:lineRule="auto"/>
        <w:rPr>
          <w:rFonts w:cs="Times New Roman"/>
          <w:szCs w:val="24"/>
        </w:rPr>
      </w:pPr>
    </w:p>
    <w:p w14:paraId="5D51BA51" w14:textId="77777777" w:rsidR="00223905" w:rsidRDefault="00223905" w:rsidP="000336BE">
      <w:pPr>
        <w:spacing w:line="480" w:lineRule="auto"/>
        <w:rPr>
          <w:rFonts w:cs="Times New Roman"/>
          <w:szCs w:val="24"/>
        </w:rPr>
      </w:pPr>
    </w:p>
    <w:p w14:paraId="2365A9CB" w14:textId="77777777" w:rsidR="008426EB" w:rsidRDefault="008426EB" w:rsidP="000336BE">
      <w:pPr>
        <w:spacing w:line="480" w:lineRule="auto"/>
        <w:rPr>
          <w:rFonts w:cs="Times New Roman"/>
          <w:szCs w:val="24"/>
        </w:rPr>
      </w:pPr>
    </w:p>
    <w:p w14:paraId="0E2F8799" w14:textId="77777777" w:rsidR="00223905" w:rsidRPr="00C6156A" w:rsidRDefault="00746147" w:rsidP="00C6156A">
      <w:pPr>
        <w:spacing w:line="480" w:lineRule="auto"/>
        <w:jc w:val="center"/>
        <w:rPr>
          <w:rFonts w:cs="Times New Roman"/>
          <w:b/>
          <w:szCs w:val="24"/>
        </w:rPr>
      </w:pPr>
      <w:r>
        <w:rPr>
          <w:rFonts w:cs="Times New Roman"/>
          <w:b/>
          <w:szCs w:val="24"/>
        </w:rPr>
        <w:t>PRELIMINARY</w:t>
      </w:r>
    </w:p>
    <w:p w14:paraId="5071AA8F" w14:textId="77777777" w:rsidR="00584031" w:rsidRDefault="00584031" w:rsidP="000336BE">
      <w:pPr>
        <w:spacing w:line="480" w:lineRule="auto"/>
        <w:rPr>
          <w:rFonts w:cs="Times New Roman"/>
          <w:szCs w:val="24"/>
        </w:rPr>
      </w:pPr>
    </w:p>
    <w:p w14:paraId="33A90FB5" w14:textId="77777777" w:rsidR="000F4FE0" w:rsidRPr="00D277F7" w:rsidRDefault="00914495" w:rsidP="000F4FE0">
      <w:pPr>
        <w:pStyle w:val="ListParagraph"/>
        <w:numPr>
          <w:ilvl w:val="0"/>
          <w:numId w:val="1"/>
        </w:numPr>
        <w:spacing w:line="480" w:lineRule="auto"/>
        <w:ind w:hanging="720"/>
        <w:rPr>
          <w:rFonts w:cs="Times New Roman"/>
          <w:szCs w:val="24"/>
        </w:rPr>
      </w:pPr>
      <w:r>
        <w:rPr>
          <w:rFonts w:cs="Times New Roman"/>
          <w:szCs w:val="24"/>
        </w:rPr>
        <w:t>T</w:t>
      </w:r>
      <w:r w:rsidR="00A6671A">
        <w:rPr>
          <w:rFonts w:cs="Times New Roman"/>
          <w:szCs w:val="24"/>
        </w:rPr>
        <w:t xml:space="preserve">he law </w:t>
      </w:r>
      <w:r>
        <w:rPr>
          <w:rFonts w:cs="Times New Roman"/>
          <w:szCs w:val="24"/>
        </w:rPr>
        <w:t>governing</w:t>
      </w:r>
      <w:r w:rsidR="00A6671A">
        <w:rPr>
          <w:rFonts w:cs="Times New Roman"/>
          <w:szCs w:val="24"/>
        </w:rPr>
        <w:t xml:space="preserve"> the limitation of actions may </w:t>
      </w:r>
      <w:r w:rsidR="000F4FE0">
        <w:rPr>
          <w:rFonts w:cs="Times New Roman"/>
          <w:szCs w:val="24"/>
        </w:rPr>
        <w:t>lack glamour</w:t>
      </w:r>
      <w:r>
        <w:rPr>
          <w:rFonts w:cs="Times New Roman"/>
          <w:szCs w:val="24"/>
        </w:rPr>
        <w:t xml:space="preserve"> but i</w:t>
      </w:r>
      <w:r w:rsidR="00A6671A">
        <w:rPr>
          <w:rFonts w:cs="Times New Roman"/>
          <w:szCs w:val="24"/>
        </w:rPr>
        <w:t xml:space="preserve">ts vital practical importance cannot be doubted.  </w:t>
      </w:r>
      <w:r w:rsidR="00604989">
        <w:rPr>
          <w:rFonts w:cs="Times New Roman"/>
          <w:szCs w:val="24"/>
        </w:rPr>
        <w:t>S</w:t>
      </w:r>
      <w:r w:rsidR="00134BB6">
        <w:rPr>
          <w:rFonts w:cs="Times New Roman"/>
          <w:szCs w:val="24"/>
        </w:rPr>
        <w:t>tatutes of limitation</w:t>
      </w:r>
      <w:r w:rsidR="00604989">
        <w:rPr>
          <w:rFonts w:cs="Times New Roman"/>
          <w:szCs w:val="24"/>
        </w:rPr>
        <w:t xml:space="preserve"> have</w:t>
      </w:r>
      <w:r w:rsidR="00134BB6">
        <w:rPr>
          <w:rFonts w:cs="Times New Roman"/>
          <w:szCs w:val="24"/>
        </w:rPr>
        <w:t xml:space="preserve"> </w:t>
      </w:r>
      <w:r w:rsidR="000F4FE0">
        <w:rPr>
          <w:rFonts w:cs="Times New Roman"/>
          <w:szCs w:val="24"/>
        </w:rPr>
        <w:t>been a feature of</w:t>
      </w:r>
      <w:r w:rsidR="00134BB6">
        <w:rPr>
          <w:rFonts w:cs="Times New Roman"/>
          <w:szCs w:val="24"/>
        </w:rPr>
        <w:t xml:space="preserve"> the Irish legal system for many centuries.</w:t>
      </w:r>
      <w:r w:rsidR="005C615C">
        <w:rPr>
          <w:rFonts w:cs="Times New Roman"/>
          <w:szCs w:val="24"/>
        </w:rPr>
        <w:t xml:space="preserve"> A comprehensive limitation act was first enacted in </w:t>
      </w:r>
      <w:r w:rsidR="00BC4078">
        <w:rPr>
          <w:rFonts w:cs="Times New Roman"/>
          <w:szCs w:val="24"/>
        </w:rPr>
        <w:t xml:space="preserve">Ireland in </w:t>
      </w:r>
      <w:r w:rsidR="0062638B">
        <w:rPr>
          <w:rFonts w:cs="Times New Roman"/>
          <w:szCs w:val="24"/>
        </w:rPr>
        <w:t>1634.</w:t>
      </w:r>
      <w:r w:rsidR="0062638B">
        <w:rPr>
          <w:rStyle w:val="FootnoteReference"/>
          <w:rFonts w:cs="Times New Roman"/>
          <w:szCs w:val="24"/>
        </w:rPr>
        <w:footnoteReference w:id="1"/>
      </w:r>
      <w:r w:rsidR="0062638B">
        <w:rPr>
          <w:rFonts w:cs="Times New Roman"/>
          <w:szCs w:val="24"/>
        </w:rPr>
        <w:t xml:space="preserve"> </w:t>
      </w:r>
      <w:r w:rsidR="000F4FE0">
        <w:rPr>
          <w:rFonts w:cs="Times New Roman"/>
          <w:szCs w:val="24"/>
        </w:rPr>
        <w:t>The 1634 Act</w:t>
      </w:r>
      <w:r w:rsidR="00D277F7">
        <w:rPr>
          <w:rFonts w:cs="Times New Roman"/>
          <w:szCs w:val="24"/>
        </w:rPr>
        <w:t xml:space="preserve"> – amended from time to time – was </w:t>
      </w:r>
      <w:r w:rsidR="000F4FE0">
        <w:rPr>
          <w:rFonts w:cs="Times New Roman"/>
          <w:szCs w:val="24"/>
        </w:rPr>
        <w:t xml:space="preserve">replaced by the </w:t>
      </w:r>
      <w:r w:rsidR="000F4FE0" w:rsidRPr="000F4FE0">
        <w:rPr>
          <w:rFonts w:cs="Times New Roman"/>
          <w:iCs/>
          <w:color w:val="000000"/>
          <w:szCs w:val="24"/>
        </w:rPr>
        <w:t>Common Law Procedure (Ireland) Act 1853</w:t>
      </w:r>
      <w:r w:rsidR="000F4FE0" w:rsidRPr="000F4FE0">
        <w:rPr>
          <w:rFonts w:cs="Times New Roman"/>
          <w:color w:val="000000"/>
          <w:szCs w:val="24"/>
        </w:rPr>
        <w:t xml:space="preserve"> which </w:t>
      </w:r>
      <w:r w:rsidR="00D277F7">
        <w:rPr>
          <w:rFonts w:cs="Times New Roman"/>
          <w:color w:val="000000"/>
          <w:szCs w:val="24"/>
        </w:rPr>
        <w:t>continued</w:t>
      </w:r>
      <w:r w:rsidR="000F4FE0">
        <w:rPr>
          <w:rFonts w:cs="Times New Roman"/>
          <w:color w:val="000000"/>
          <w:szCs w:val="24"/>
        </w:rPr>
        <w:t xml:space="preserve"> in force until </w:t>
      </w:r>
      <w:r w:rsidR="00D277F7">
        <w:rPr>
          <w:rFonts w:cs="Times New Roman"/>
          <w:color w:val="000000"/>
          <w:szCs w:val="24"/>
        </w:rPr>
        <w:t>its repeal by the Statute of Limitations 1957 (“</w:t>
      </w:r>
      <w:r w:rsidR="00D277F7" w:rsidRPr="00D277F7">
        <w:rPr>
          <w:rFonts w:cs="Times New Roman"/>
          <w:i/>
          <w:color w:val="000000"/>
          <w:szCs w:val="24"/>
        </w:rPr>
        <w:t>the 1957 Act</w:t>
      </w:r>
      <w:r w:rsidR="00D277F7">
        <w:rPr>
          <w:rFonts w:cs="Times New Roman"/>
          <w:color w:val="000000"/>
          <w:szCs w:val="24"/>
        </w:rPr>
        <w:t>”)</w:t>
      </w:r>
      <w:r w:rsidR="00CF6F8A">
        <w:rPr>
          <w:rFonts w:cs="Times New Roman"/>
          <w:color w:val="000000"/>
          <w:szCs w:val="24"/>
        </w:rPr>
        <w:t>. The 1957 Act</w:t>
      </w:r>
      <w:r w:rsidR="00BC4078">
        <w:rPr>
          <w:rFonts w:cs="Times New Roman"/>
          <w:color w:val="000000"/>
          <w:szCs w:val="24"/>
        </w:rPr>
        <w:t xml:space="preserve">, amended and supplemented by later enactments, </w:t>
      </w:r>
      <w:r w:rsidR="00CF6F8A">
        <w:rPr>
          <w:rFonts w:cs="Times New Roman"/>
          <w:color w:val="000000"/>
          <w:szCs w:val="24"/>
        </w:rPr>
        <w:t xml:space="preserve">remains the principal </w:t>
      </w:r>
      <w:r w:rsidR="008426EB">
        <w:rPr>
          <w:rFonts w:cs="Times New Roman"/>
          <w:color w:val="000000"/>
          <w:szCs w:val="24"/>
        </w:rPr>
        <w:t>source of law</w:t>
      </w:r>
      <w:r w:rsidR="00CF6F8A">
        <w:rPr>
          <w:rFonts w:cs="Times New Roman"/>
          <w:color w:val="000000"/>
          <w:szCs w:val="24"/>
        </w:rPr>
        <w:t xml:space="preserve"> in this area.</w:t>
      </w:r>
    </w:p>
    <w:p w14:paraId="77CC71D6" w14:textId="77777777" w:rsidR="00D277F7" w:rsidRPr="00D277F7" w:rsidRDefault="00D277F7" w:rsidP="00D277F7">
      <w:pPr>
        <w:pStyle w:val="ListParagraph"/>
        <w:spacing w:line="480" w:lineRule="auto"/>
        <w:rPr>
          <w:rFonts w:cs="Times New Roman"/>
          <w:szCs w:val="24"/>
        </w:rPr>
      </w:pPr>
    </w:p>
    <w:p w14:paraId="79380BD6" w14:textId="77777777" w:rsidR="00CF6F8A" w:rsidRDefault="00EB6524" w:rsidP="00C41650">
      <w:pPr>
        <w:pStyle w:val="ListParagraph"/>
        <w:numPr>
          <w:ilvl w:val="0"/>
          <w:numId w:val="1"/>
        </w:numPr>
        <w:spacing w:line="480" w:lineRule="auto"/>
        <w:ind w:hanging="720"/>
        <w:rPr>
          <w:rFonts w:cs="Times New Roman"/>
          <w:szCs w:val="24"/>
        </w:rPr>
      </w:pPr>
      <w:r>
        <w:rPr>
          <w:rFonts w:cs="Times New Roman"/>
          <w:szCs w:val="24"/>
        </w:rPr>
        <w:t>Every limitation regime involves policy choice</w:t>
      </w:r>
      <w:r w:rsidR="00CF6F8A">
        <w:rPr>
          <w:rFonts w:cs="Times New Roman"/>
          <w:szCs w:val="24"/>
        </w:rPr>
        <w:t>s</w:t>
      </w:r>
      <w:r>
        <w:rPr>
          <w:rFonts w:cs="Times New Roman"/>
          <w:szCs w:val="24"/>
        </w:rPr>
        <w:t xml:space="preserve">. Among the policy issues and choices that arise in this context are what the basic limitation period(s) </w:t>
      </w:r>
      <w:r w:rsidR="00CF6F8A">
        <w:rPr>
          <w:rFonts w:cs="Times New Roman"/>
          <w:szCs w:val="24"/>
        </w:rPr>
        <w:t>should be</w:t>
      </w:r>
      <w:r>
        <w:rPr>
          <w:rFonts w:cs="Times New Roman"/>
          <w:szCs w:val="24"/>
        </w:rPr>
        <w:t xml:space="preserve"> (and whether different periods should apply to different causes of action) and in what circumstances those basic periods should be extended or</w:t>
      </w:r>
      <w:r w:rsidR="00A0643A">
        <w:rPr>
          <w:rFonts w:cs="Times New Roman"/>
          <w:szCs w:val="24"/>
        </w:rPr>
        <w:t xml:space="preserve"> </w:t>
      </w:r>
      <w:r>
        <w:rPr>
          <w:rFonts w:cs="Times New Roman"/>
          <w:szCs w:val="24"/>
        </w:rPr>
        <w:t>disapplied</w:t>
      </w:r>
      <w:r w:rsidR="00A0643A">
        <w:rPr>
          <w:rFonts w:cs="Times New Roman"/>
          <w:szCs w:val="24"/>
        </w:rPr>
        <w:t xml:space="preserve"> and/or the running of time postponed.</w:t>
      </w:r>
    </w:p>
    <w:p w14:paraId="762AFC90" w14:textId="77777777" w:rsidR="00CF6F8A" w:rsidRDefault="00CF6F8A" w:rsidP="00CF6F8A">
      <w:pPr>
        <w:pStyle w:val="ListParagraph"/>
        <w:spacing w:line="480" w:lineRule="auto"/>
        <w:rPr>
          <w:rFonts w:cs="Times New Roman"/>
          <w:szCs w:val="24"/>
        </w:rPr>
      </w:pPr>
    </w:p>
    <w:p w14:paraId="6A2808D6" w14:textId="77777777" w:rsidR="00C41650" w:rsidRDefault="00CF6F8A" w:rsidP="00C41650">
      <w:pPr>
        <w:pStyle w:val="ListParagraph"/>
        <w:numPr>
          <w:ilvl w:val="0"/>
          <w:numId w:val="1"/>
        </w:numPr>
        <w:spacing w:line="480" w:lineRule="auto"/>
        <w:ind w:hanging="720"/>
        <w:rPr>
          <w:rFonts w:cs="Times New Roman"/>
          <w:szCs w:val="24"/>
        </w:rPr>
      </w:pPr>
      <w:r>
        <w:rPr>
          <w:rFonts w:cs="Times New Roman"/>
          <w:szCs w:val="24"/>
        </w:rPr>
        <w:t>O</w:t>
      </w:r>
      <w:r w:rsidR="00EB6524">
        <w:rPr>
          <w:rFonts w:cs="Times New Roman"/>
          <w:szCs w:val="24"/>
        </w:rPr>
        <w:t xml:space="preserve">ne </w:t>
      </w:r>
      <w:r w:rsidR="00C41650">
        <w:rPr>
          <w:rFonts w:cs="Times New Roman"/>
          <w:szCs w:val="24"/>
        </w:rPr>
        <w:t>significant</w:t>
      </w:r>
      <w:r w:rsidR="00EB6524">
        <w:rPr>
          <w:rFonts w:cs="Times New Roman"/>
          <w:szCs w:val="24"/>
        </w:rPr>
        <w:t xml:space="preserve"> </w:t>
      </w:r>
      <w:r w:rsidR="00C41650">
        <w:rPr>
          <w:rFonts w:cs="Times New Roman"/>
          <w:szCs w:val="24"/>
        </w:rPr>
        <w:t xml:space="preserve">such </w:t>
      </w:r>
      <w:r w:rsidR="00EB6524">
        <w:rPr>
          <w:rFonts w:cs="Times New Roman"/>
          <w:szCs w:val="24"/>
        </w:rPr>
        <w:t>issue is whether the limitation rules should be subject to a “</w:t>
      </w:r>
      <w:r w:rsidR="00EB6524" w:rsidRPr="00B30059">
        <w:rPr>
          <w:rFonts w:cs="Times New Roman"/>
          <w:i/>
          <w:szCs w:val="24"/>
        </w:rPr>
        <w:t>discoverability</w:t>
      </w:r>
      <w:r w:rsidR="00EB6524">
        <w:rPr>
          <w:rFonts w:cs="Times New Roman"/>
          <w:szCs w:val="24"/>
        </w:rPr>
        <w:t>” test so that the applicable limitation period would start to run only where injury or damage is “</w:t>
      </w:r>
      <w:r w:rsidR="00EB6524" w:rsidRPr="00B30059">
        <w:rPr>
          <w:rFonts w:cs="Times New Roman"/>
          <w:i/>
          <w:szCs w:val="24"/>
        </w:rPr>
        <w:t>discoverable</w:t>
      </w:r>
      <w:r w:rsidR="00EB6524">
        <w:rPr>
          <w:rFonts w:cs="Times New Roman"/>
          <w:szCs w:val="24"/>
        </w:rPr>
        <w:t xml:space="preserve">” i.e. when a reasonable person exercising </w:t>
      </w:r>
      <w:r w:rsidR="00EB6524">
        <w:rPr>
          <w:rFonts w:cs="Times New Roman"/>
          <w:szCs w:val="24"/>
        </w:rPr>
        <w:lastRenderedPageBreak/>
        <w:t>reasonable diligence would have discovered such.</w:t>
      </w:r>
      <w:r w:rsidR="00EB6524">
        <w:rPr>
          <w:rStyle w:val="FootnoteReference"/>
          <w:rFonts w:cs="Times New Roman"/>
          <w:szCs w:val="24"/>
        </w:rPr>
        <w:footnoteReference w:id="2"/>
      </w:r>
      <w:r w:rsidR="00EB6524">
        <w:rPr>
          <w:rFonts w:cs="Times New Roman"/>
          <w:szCs w:val="24"/>
        </w:rPr>
        <w:t xml:space="preserve"> </w:t>
      </w:r>
    </w:p>
    <w:p w14:paraId="1CE7E292" w14:textId="77777777" w:rsidR="0035352C" w:rsidRDefault="0035352C" w:rsidP="0035352C">
      <w:pPr>
        <w:pStyle w:val="ListParagraph"/>
        <w:spacing w:line="480" w:lineRule="auto"/>
        <w:rPr>
          <w:rFonts w:cs="Times New Roman"/>
          <w:szCs w:val="24"/>
        </w:rPr>
      </w:pPr>
    </w:p>
    <w:p w14:paraId="06EBB2F0" w14:textId="77777777" w:rsidR="00CF6F8A" w:rsidRDefault="0035352C" w:rsidP="00CF6F8A">
      <w:pPr>
        <w:pStyle w:val="ListParagraph"/>
        <w:numPr>
          <w:ilvl w:val="0"/>
          <w:numId w:val="1"/>
        </w:numPr>
        <w:spacing w:line="480" w:lineRule="auto"/>
        <w:ind w:hanging="720"/>
        <w:rPr>
          <w:rFonts w:cs="Times New Roman"/>
          <w:szCs w:val="24"/>
        </w:rPr>
      </w:pPr>
      <w:r w:rsidRPr="0035352C">
        <w:rPr>
          <w:rFonts w:cs="Times New Roman"/>
          <w:szCs w:val="24"/>
        </w:rPr>
        <w:t xml:space="preserve">In </w:t>
      </w:r>
      <w:bookmarkStart w:id="3" w:name="_Hlk45709288"/>
      <w:r w:rsidRPr="0035352C">
        <w:rPr>
          <w:rFonts w:cs="Times New Roman"/>
          <w:i/>
          <w:szCs w:val="24"/>
        </w:rPr>
        <w:t>Morgan v Park Developments</w:t>
      </w:r>
      <w:r w:rsidRPr="0035352C">
        <w:rPr>
          <w:rFonts w:cs="Times New Roman"/>
          <w:szCs w:val="24"/>
        </w:rPr>
        <w:t xml:space="preserve"> </w:t>
      </w:r>
      <w:bookmarkEnd w:id="3"/>
      <w:r w:rsidRPr="0035352C">
        <w:rPr>
          <w:rFonts w:cs="Times New Roman"/>
          <w:szCs w:val="24"/>
        </w:rPr>
        <w:t>[1983] ILRM 15</w:t>
      </w:r>
      <w:r w:rsidR="00453D83">
        <w:rPr>
          <w:rFonts w:cs="Times New Roman"/>
          <w:szCs w:val="24"/>
        </w:rPr>
        <w:t>6</w:t>
      </w:r>
      <w:r w:rsidRPr="0035352C">
        <w:rPr>
          <w:rFonts w:cs="Times New Roman"/>
          <w:szCs w:val="24"/>
        </w:rPr>
        <w:t xml:space="preserve"> – a property damage claim – the High Court (Carroll J) read such a test into section 11(2)(a) of the</w:t>
      </w:r>
      <w:r w:rsidR="00185F89">
        <w:rPr>
          <w:rFonts w:cs="Times New Roman"/>
          <w:szCs w:val="24"/>
        </w:rPr>
        <w:t xml:space="preserve"> 1957 Act</w:t>
      </w:r>
      <w:r w:rsidRPr="0035352C">
        <w:rPr>
          <w:rFonts w:cs="Times New Roman"/>
          <w:szCs w:val="24"/>
        </w:rPr>
        <w:t>,</w:t>
      </w:r>
      <w:r>
        <w:rPr>
          <w:rStyle w:val="FootnoteReference"/>
          <w:rFonts w:cs="Times New Roman"/>
          <w:szCs w:val="24"/>
        </w:rPr>
        <w:footnoteReference w:id="3"/>
      </w:r>
      <w:r w:rsidRPr="0035352C">
        <w:rPr>
          <w:rFonts w:cs="Times New Roman"/>
          <w:szCs w:val="24"/>
        </w:rPr>
        <w:t xml:space="preserve"> animated by the Court’s view that an interpretation of that section that would bar a claim before the plaintiff was aware of it was “</w:t>
      </w:r>
      <w:r w:rsidRPr="0035352C">
        <w:rPr>
          <w:rFonts w:cs="Times New Roman"/>
          <w:i/>
          <w:szCs w:val="24"/>
        </w:rPr>
        <w:t>indefensible in the light of the Constitution.”</w:t>
      </w:r>
      <w:r w:rsidRPr="000C5B4F">
        <w:rPr>
          <w:rStyle w:val="FootnoteReference"/>
          <w:rFonts w:cs="Times New Roman"/>
          <w:szCs w:val="24"/>
        </w:rPr>
        <w:footnoteReference w:id="4"/>
      </w:r>
      <w:r w:rsidRPr="0035352C">
        <w:rPr>
          <w:rFonts w:cs="Times New Roman"/>
          <w:szCs w:val="24"/>
        </w:rPr>
        <w:t xml:space="preserve"> However, </w:t>
      </w:r>
      <w:r w:rsidRPr="0035352C">
        <w:rPr>
          <w:rFonts w:cs="Times New Roman"/>
          <w:i/>
          <w:szCs w:val="24"/>
        </w:rPr>
        <w:t>Morgan v Park Developments</w:t>
      </w:r>
      <w:r w:rsidRPr="0035352C">
        <w:rPr>
          <w:rFonts w:cs="Times New Roman"/>
          <w:szCs w:val="24"/>
        </w:rPr>
        <w:t xml:space="preserve"> was overruled by the Supreme Court in </w:t>
      </w:r>
      <w:bookmarkStart w:id="4" w:name="_Hlk45712532"/>
      <w:r w:rsidRPr="0035352C">
        <w:rPr>
          <w:rFonts w:cs="Times New Roman"/>
          <w:i/>
          <w:szCs w:val="24"/>
        </w:rPr>
        <w:t>Hegarty v O’ Loughran</w:t>
      </w:r>
      <w:r w:rsidRPr="0035352C">
        <w:rPr>
          <w:rFonts w:cs="Times New Roman"/>
          <w:szCs w:val="24"/>
        </w:rPr>
        <w:t xml:space="preserve"> </w:t>
      </w:r>
      <w:bookmarkEnd w:id="4"/>
      <w:r w:rsidRPr="0035352C">
        <w:rPr>
          <w:rFonts w:cs="Times New Roman"/>
          <w:szCs w:val="24"/>
        </w:rPr>
        <w:t xml:space="preserve">[1990] 1 IR 148 – </w:t>
      </w:r>
      <w:r w:rsidR="00BC4078">
        <w:rPr>
          <w:rFonts w:cs="Times New Roman"/>
          <w:szCs w:val="24"/>
        </w:rPr>
        <w:t>an action f</w:t>
      </w:r>
      <w:r w:rsidRPr="0035352C">
        <w:rPr>
          <w:rFonts w:cs="Times New Roman"/>
          <w:szCs w:val="24"/>
        </w:rPr>
        <w:t xml:space="preserve">or personal injuries – </w:t>
      </w:r>
      <w:r w:rsidR="00CF6F8A">
        <w:rPr>
          <w:rFonts w:cs="Times New Roman"/>
          <w:szCs w:val="24"/>
        </w:rPr>
        <w:t xml:space="preserve">with the Court holding </w:t>
      </w:r>
      <w:r w:rsidRPr="0035352C">
        <w:rPr>
          <w:rFonts w:cs="Times New Roman"/>
          <w:szCs w:val="24"/>
        </w:rPr>
        <w:t xml:space="preserve">that </w:t>
      </w:r>
      <w:r w:rsidR="00BC4078">
        <w:rPr>
          <w:rFonts w:cs="Times New Roman"/>
          <w:szCs w:val="24"/>
        </w:rPr>
        <w:t xml:space="preserve">there was no scope to construe </w:t>
      </w:r>
      <w:r w:rsidRPr="0035352C">
        <w:rPr>
          <w:rFonts w:cs="Times New Roman"/>
          <w:szCs w:val="24"/>
        </w:rPr>
        <w:t xml:space="preserve">section 11(2)(a) </w:t>
      </w:r>
      <w:r w:rsidR="00BC4078">
        <w:rPr>
          <w:rFonts w:cs="Times New Roman"/>
          <w:szCs w:val="24"/>
        </w:rPr>
        <w:t>or</w:t>
      </w:r>
      <w:r w:rsidRPr="0035352C">
        <w:rPr>
          <w:rFonts w:cs="Times New Roman"/>
          <w:szCs w:val="24"/>
        </w:rPr>
        <w:t xml:space="preserve"> (b)</w:t>
      </w:r>
      <w:r>
        <w:rPr>
          <w:rStyle w:val="FootnoteReference"/>
          <w:rFonts w:cs="Times New Roman"/>
          <w:szCs w:val="24"/>
        </w:rPr>
        <w:footnoteReference w:id="5"/>
      </w:r>
      <w:r w:rsidRPr="0035352C">
        <w:rPr>
          <w:rFonts w:cs="Times New Roman"/>
          <w:szCs w:val="24"/>
        </w:rPr>
        <w:t xml:space="preserve"> </w:t>
      </w:r>
      <w:r w:rsidR="00BC4078">
        <w:rPr>
          <w:rFonts w:cs="Times New Roman"/>
          <w:szCs w:val="24"/>
        </w:rPr>
        <w:t xml:space="preserve">so as to read in a discoverability test as a matter of statutory interpretation. </w:t>
      </w:r>
      <w:r w:rsidR="00BC4078">
        <w:rPr>
          <w:rFonts w:cs="Times New Roman"/>
          <w:i/>
          <w:szCs w:val="24"/>
        </w:rPr>
        <w:t>He</w:t>
      </w:r>
      <w:r w:rsidRPr="0035352C">
        <w:rPr>
          <w:rFonts w:cs="Times New Roman"/>
          <w:i/>
          <w:szCs w:val="24"/>
        </w:rPr>
        <w:t>garty v O’ Loughran</w:t>
      </w:r>
      <w:r w:rsidRPr="0035352C">
        <w:rPr>
          <w:rFonts w:cs="Times New Roman"/>
          <w:szCs w:val="24"/>
        </w:rPr>
        <w:t xml:space="preserve"> left open the possibility of a constitutional challenge to section 11(2) as so construe</w:t>
      </w:r>
      <w:r w:rsidR="00BC4078">
        <w:rPr>
          <w:rFonts w:cs="Times New Roman"/>
          <w:szCs w:val="24"/>
        </w:rPr>
        <w:t>d</w:t>
      </w:r>
      <w:r w:rsidR="00593EF6">
        <w:rPr>
          <w:rFonts w:cs="Times New Roman"/>
          <w:szCs w:val="24"/>
        </w:rPr>
        <w:t>. However, w</w:t>
      </w:r>
      <w:r w:rsidRPr="0035352C">
        <w:rPr>
          <w:rFonts w:cs="Times New Roman"/>
          <w:szCs w:val="24"/>
        </w:rPr>
        <w:t xml:space="preserve">hen such a </w:t>
      </w:r>
      <w:r w:rsidR="00CF6F8A">
        <w:rPr>
          <w:rFonts w:cs="Times New Roman"/>
          <w:szCs w:val="24"/>
        </w:rPr>
        <w:t>challenge</w:t>
      </w:r>
      <w:r w:rsidRPr="0035352C">
        <w:rPr>
          <w:rFonts w:cs="Times New Roman"/>
          <w:szCs w:val="24"/>
        </w:rPr>
        <w:t xml:space="preserve"> was subsequently </w:t>
      </w:r>
      <w:r w:rsidR="00CF6F8A">
        <w:rPr>
          <w:rFonts w:cs="Times New Roman"/>
          <w:szCs w:val="24"/>
        </w:rPr>
        <w:t>brought</w:t>
      </w:r>
      <w:r w:rsidRPr="0035352C">
        <w:rPr>
          <w:rFonts w:cs="Times New Roman"/>
          <w:szCs w:val="24"/>
        </w:rPr>
        <w:t xml:space="preserve"> in </w:t>
      </w:r>
      <w:bookmarkStart w:id="5" w:name="_Hlk82515727"/>
      <w:r w:rsidRPr="0035352C">
        <w:rPr>
          <w:rFonts w:cs="Times New Roman"/>
          <w:i/>
          <w:szCs w:val="24"/>
        </w:rPr>
        <w:t>Tuohy v Courtney</w:t>
      </w:r>
      <w:r w:rsidRPr="0035352C">
        <w:rPr>
          <w:rFonts w:cs="Times New Roman"/>
          <w:szCs w:val="24"/>
        </w:rPr>
        <w:t xml:space="preserve"> </w:t>
      </w:r>
      <w:bookmarkEnd w:id="5"/>
      <w:r w:rsidR="00D25715">
        <w:rPr>
          <w:rFonts w:cs="Times New Roman"/>
          <w:szCs w:val="24"/>
        </w:rPr>
        <w:t xml:space="preserve">[1994] 3 IR 1 </w:t>
      </w:r>
      <w:r w:rsidRPr="0035352C">
        <w:rPr>
          <w:rFonts w:cs="Times New Roman"/>
          <w:szCs w:val="24"/>
        </w:rPr>
        <w:t>– a professional negligence action arising</w:t>
      </w:r>
      <w:r w:rsidR="00A8043E">
        <w:rPr>
          <w:rFonts w:cs="Times New Roman"/>
          <w:szCs w:val="24"/>
        </w:rPr>
        <w:t xml:space="preserve"> f</w:t>
      </w:r>
      <w:r w:rsidRPr="0035352C">
        <w:rPr>
          <w:rFonts w:cs="Times New Roman"/>
          <w:szCs w:val="24"/>
        </w:rPr>
        <w:t xml:space="preserve">rom a property </w:t>
      </w:r>
      <w:r w:rsidR="00CF6F8A">
        <w:rPr>
          <w:rFonts w:cs="Times New Roman"/>
          <w:szCs w:val="24"/>
        </w:rPr>
        <w:t>transaction</w:t>
      </w:r>
      <w:r w:rsidRPr="0035352C">
        <w:rPr>
          <w:rFonts w:cs="Times New Roman"/>
          <w:szCs w:val="24"/>
        </w:rPr>
        <w:t xml:space="preserve"> – </w:t>
      </w:r>
      <w:r w:rsidR="00CF6F8A">
        <w:rPr>
          <w:rFonts w:cs="Times New Roman"/>
          <w:szCs w:val="24"/>
        </w:rPr>
        <w:t xml:space="preserve">it </w:t>
      </w:r>
      <w:r w:rsidRPr="0035352C">
        <w:rPr>
          <w:rFonts w:cs="Times New Roman"/>
          <w:szCs w:val="24"/>
        </w:rPr>
        <w:t>failed</w:t>
      </w:r>
      <w:r w:rsidR="00593EF6">
        <w:rPr>
          <w:rFonts w:cs="Times New Roman"/>
          <w:szCs w:val="24"/>
        </w:rPr>
        <w:t>, the Supreme Court concluding that section 11</w:t>
      </w:r>
      <w:r w:rsidR="00BC4078">
        <w:rPr>
          <w:rFonts w:cs="Times New Roman"/>
          <w:szCs w:val="24"/>
        </w:rPr>
        <w:t>(2)</w:t>
      </w:r>
      <w:r w:rsidR="00593EF6">
        <w:rPr>
          <w:rFonts w:cs="Times New Roman"/>
          <w:szCs w:val="24"/>
        </w:rPr>
        <w:t xml:space="preserve"> involved the balancing of conflicting constitutional rights by the Oireachtas and that the balance struck by the Oireachtas was not so contrary to reason and </w:t>
      </w:r>
      <w:r w:rsidR="00593EF6">
        <w:rPr>
          <w:rFonts w:cs="Times New Roman"/>
          <w:szCs w:val="24"/>
        </w:rPr>
        <w:lastRenderedPageBreak/>
        <w:t xml:space="preserve">fairness as to constitute an unjust attack on the constitutional rights of persons in the position of Mr Tuohy. </w:t>
      </w:r>
    </w:p>
    <w:p w14:paraId="1B3C67FF" w14:textId="77777777" w:rsidR="00CF6F8A" w:rsidRDefault="00CF6F8A" w:rsidP="00CF6F8A">
      <w:pPr>
        <w:pStyle w:val="ListParagraph"/>
        <w:spacing w:line="480" w:lineRule="auto"/>
        <w:rPr>
          <w:rFonts w:cs="Times New Roman"/>
          <w:szCs w:val="24"/>
        </w:rPr>
      </w:pPr>
    </w:p>
    <w:p w14:paraId="776E6E0F" w14:textId="77777777" w:rsidR="00DA5B5F" w:rsidRPr="00CF6F8A" w:rsidRDefault="00D25715" w:rsidP="00CF6F8A">
      <w:pPr>
        <w:pStyle w:val="ListParagraph"/>
        <w:numPr>
          <w:ilvl w:val="0"/>
          <w:numId w:val="1"/>
        </w:numPr>
        <w:spacing w:line="480" w:lineRule="auto"/>
        <w:ind w:hanging="720"/>
        <w:rPr>
          <w:rFonts w:cs="Times New Roman"/>
          <w:szCs w:val="24"/>
        </w:rPr>
      </w:pPr>
      <w:r w:rsidRPr="00CF6F8A">
        <w:rPr>
          <w:rFonts w:cs="Times New Roman"/>
          <w:szCs w:val="24"/>
        </w:rPr>
        <w:t xml:space="preserve">In the aftermath of </w:t>
      </w:r>
      <w:r w:rsidR="00C41650" w:rsidRPr="00CF6F8A">
        <w:rPr>
          <w:i/>
        </w:rPr>
        <w:t>Hegarty v O’ Loughran</w:t>
      </w:r>
      <w:r w:rsidR="00A12900" w:rsidRPr="00CF6F8A">
        <w:rPr>
          <w:i/>
        </w:rPr>
        <w:t>,</w:t>
      </w:r>
      <w:r>
        <w:t xml:space="preserve"> the Oireachtas legislated to introduce a discoverability regime for personal injuries actions</w:t>
      </w:r>
      <w:r w:rsidR="00CF6F8A">
        <w:t xml:space="preserve"> in the form of the Statute of Limitations (Amendment) Act 1991</w:t>
      </w:r>
      <w:r w:rsidR="00A0643A">
        <w:t xml:space="preserve"> </w:t>
      </w:r>
      <w:r w:rsidR="00A0643A" w:rsidRPr="00A8043E">
        <w:t>(</w:t>
      </w:r>
      <w:r w:rsidR="00A0643A" w:rsidRPr="00A0643A">
        <w:rPr>
          <w:i/>
        </w:rPr>
        <w:t>“the 1991 Act</w:t>
      </w:r>
      <w:r w:rsidR="00A0643A">
        <w:t>”)</w:t>
      </w:r>
      <w:r w:rsidR="004F4EC6">
        <w:t>.</w:t>
      </w:r>
      <w:r w:rsidR="005C7FDD">
        <w:t xml:space="preserve"> Such legislation had been recommended by the Law Reform Commission in 1987</w:t>
      </w:r>
      <w:r w:rsidR="00A0643A">
        <w:rPr>
          <w:rStyle w:val="FootnoteReference"/>
        </w:rPr>
        <w:footnoteReference w:id="6"/>
      </w:r>
      <w:r w:rsidR="005C7FDD">
        <w:t xml:space="preserve"> and the</w:t>
      </w:r>
      <w:r w:rsidR="00A0643A">
        <w:t xml:space="preserve"> 1991 Act was based on the draft Bill prepared by the Commission. </w:t>
      </w:r>
      <w:r w:rsidR="005C7FDD">
        <w:t xml:space="preserve"> </w:t>
      </w:r>
      <w:r w:rsidRPr="00CF6F8A">
        <w:t>However,</w:t>
      </w:r>
      <w:r w:rsidR="00CF6F8A">
        <w:t xml:space="preserve"> </w:t>
      </w:r>
      <w:r w:rsidR="00E85930" w:rsidRPr="00CF6F8A">
        <w:rPr>
          <w:rFonts w:cs="Times New Roman"/>
          <w:szCs w:val="24"/>
        </w:rPr>
        <w:t>de</w:t>
      </w:r>
      <w:r w:rsidR="00A9175B" w:rsidRPr="00CF6F8A">
        <w:rPr>
          <w:rFonts w:cs="Times New Roman"/>
          <w:szCs w:val="24"/>
        </w:rPr>
        <w:t xml:space="preserve">spite </w:t>
      </w:r>
      <w:r w:rsidR="00604989">
        <w:rPr>
          <w:rFonts w:cs="Times New Roman"/>
          <w:szCs w:val="24"/>
        </w:rPr>
        <w:t xml:space="preserve">repeated </w:t>
      </w:r>
      <w:r w:rsidR="00A9175B" w:rsidRPr="00CF6F8A">
        <w:rPr>
          <w:rFonts w:cs="Times New Roman"/>
          <w:szCs w:val="24"/>
        </w:rPr>
        <w:t>judicial prompting</w:t>
      </w:r>
      <w:r w:rsidR="00E85930" w:rsidRPr="00CF6F8A">
        <w:rPr>
          <w:rStyle w:val="FootnoteReference"/>
          <w:rFonts w:cs="Times New Roman"/>
          <w:szCs w:val="24"/>
        </w:rPr>
        <w:footnoteReference w:id="7"/>
      </w:r>
      <w:r w:rsidR="00A9175B" w:rsidRPr="00CF6F8A">
        <w:rPr>
          <w:rFonts w:cs="Times New Roman"/>
          <w:szCs w:val="24"/>
        </w:rPr>
        <w:t xml:space="preserve"> and Law Reform Commission recommendations</w:t>
      </w:r>
      <w:r w:rsidR="00CF6F8A">
        <w:rPr>
          <w:rFonts w:cs="Times New Roman"/>
          <w:szCs w:val="24"/>
        </w:rPr>
        <w:t>,</w:t>
      </w:r>
      <w:r w:rsidR="00E85930">
        <w:rPr>
          <w:rStyle w:val="FootnoteReference"/>
          <w:rFonts w:cs="Times New Roman"/>
          <w:szCs w:val="24"/>
        </w:rPr>
        <w:footnoteReference w:id="8"/>
      </w:r>
      <w:r w:rsidR="00A9175B" w:rsidRPr="00CF6F8A">
        <w:rPr>
          <w:rFonts w:cs="Times New Roman"/>
          <w:szCs w:val="24"/>
        </w:rPr>
        <w:t xml:space="preserve"> the Oireachtas has not</w:t>
      </w:r>
      <w:r w:rsidR="004355AB" w:rsidRPr="00CF6F8A">
        <w:rPr>
          <w:rFonts w:cs="Times New Roman"/>
          <w:szCs w:val="24"/>
        </w:rPr>
        <w:t xml:space="preserve"> to date </w:t>
      </w:r>
      <w:r w:rsidR="00E85930" w:rsidRPr="00CF6F8A">
        <w:rPr>
          <w:rFonts w:cs="Times New Roman"/>
          <w:szCs w:val="24"/>
        </w:rPr>
        <w:t>legislated to provide</w:t>
      </w:r>
      <w:r w:rsidR="004B5186" w:rsidRPr="00CF6F8A">
        <w:rPr>
          <w:rFonts w:cs="Times New Roman"/>
          <w:szCs w:val="24"/>
        </w:rPr>
        <w:t xml:space="preserve"> </w:t>
      </w:r>
      <w:r w:rsidR="00E85930" w:rsidRPr="00CF6F8A">
        <w:rPr>
          <w:rFonts w:cs="Times New Roman"/>
          <w:szCs w:val="24"/>
        </w:rPr>
        <w:t>for a discoverability test in relation to tort claims</w:t>
      </w:r>
      <w:r w:rsidR="00BC4078" w:rsidRPr="00BC4078">
        <w:rPr>
          <w:rFonts w:cs="Times New Roman"/>
          <w:szCs w:val="24"/>
        </w:rPr>
        <w:t xml:space="preserve"> </w:t>
      </w:r>
      <w:r w:rsidR="00BC4078" w:rsidRPr="00CF6F8A">
        <w:rPr>
          <w:rFonts w:cs="Times New Roman"/>
          <w:szCs w:val="24"/>
        </w:rPr>
        <w:t>genera</w:t>
      </w:r>
      <w:r w:rsidR="00BC4078">
        <w:rPr>
          <w:rFonts w:cs="Times New Roman"/>
          <w:szCs w:val="24"/>
        </w:rPr>
        <w:t>lly.</w:t>
      </w:r>
      <w:r w:rsidR="004B5186" w:rsidRPr="00CF6F8A">
        <w:rPr>
          <w:rFonts w:cs="Times New Roman"/>
          <w:szCs w:val="24"/>
        </w:rPr>
        <w:t xml:space="preserve"> </w:t>
      </w:r>
      <w:r w:rsidR="00604989">
        <w:rPr>
          <w:rFonts w:cs="Times New Roman"/>
          <w:szCs w:val="24"/>
        </w:rPr>
        <w:t>(A</w:t>
      </w:r>
      <w:r w:rsidR="004D2AAF" w:rsidRPr="00CF6F8A">
        <w:rPr>
          <w:rFonts w:cs="Times New Roman"/>
          <w:szCs w:val="24"/>
        </w:rPr>
        <w:t xml:space="preserve"> version of the discoverability </w:t>
      </w:r>
      <w:r w:rsidR="004B5186" w:rsidRPr="00CF6F8A">
        <w:rPr>
          <w:rFonts w:cs="Times New Roman"/>
          <w:szCs w:val="24"/>
        </w:rPr>
        <w:t>test applies to defective product claims under section 7 of the Liability for Defective Products Act 1991</w:t>
      </w:r>
      <w:r w:rsidR="00604989">
        <w:rPr>
          <w:rFonts w:cs="Times New Roman"/>
          <w:szCs w:val="24"/>
        </w:rPr>
        <w:t xml:space="preserve"> but that limited exception re</w:t>
      </w:r>
      <w:r w:rsidR="004B5186" w:rsidRPr="00CF6F8A">
        <w:rPr>
          <w:rFonts w:cs="Times New Roman"/>
          <w:szCs w:val="24"/>
        </w:rPr>
        <w:t>flects the requirements of article 10(1) of the Council Directive 85/37/EEC rather than any policy choice on the part of the Oireachtas</w:t>
      </w:r>
      <w:r w:rsidR="00604989">
        <w:rPr>
          <w:rFonts w:cs="Times New Roman"/>
          <w:szCs w:val="24"/>
        </w:rPr>
        <w:t>).</w:t>
      </w:r>
    </w:p>
    <w:p w14:paraId="62814024" w14:textId="77777777" w:rsidR="00A12900" w:rsidRDefault="00A12900" w:rsidP="00A12900">
      <w:pPr>
        <w:pStyle w:val="ListParagraph"/>
        <w:spacing w:line="480" w:lineRule="auto"/>
        <w:rPr>
          <w:rFonts w:cs="Times New Roman"/>
          <w:szCs w:val="24"/>
        </w:rPr>
      </w:pPr>
    </w:p>
    <w:p w14:paraId="13868750" w14:textId="77777777" w:rsidR="00746147" w:rsidRDefault="00A12900" w:rsidP="00A30EB3">
      <w:pPr>
        <w:pStyle w:val="ListParagraph"/>
        <w:numPr>
          <w:ilvl w:val="0"/>
          <w:numId w:val="1"/>
        </w:numPr>
        <w:spacing w:line="480" w:lineRule="auto"/>
        <w:ind w:hanging="720"/>
        <w:rPr>
          <w:rFonts w:cs="Times New Roman"/>
          <w:szCs w:val="24"/>
        </w:rPr>
      </w:pPr>
      <w:r w:rsidRPr="00746147">
        <w:rPr>
          <w:rFonts w:cs="Times New Roman"/>
          <w:szCs w:val="24"/>
        </w:rPr>
        <w:t xml:space="preserve">The recent decisions of the Supreme Court in </w:t>
      </w:r>
      <w:r w:rsidRPr="00746147">
        <w:rPr>
          <w:rFonts w:cs="Times New Roman"/>
          <w:i/>
          <w:szCs w:val="24"/>
        </w:rPr>
        <w:t>Brandley v Deane</w:t>
      </w:r>
      <w:r w:rsidRPr="00746147">
        <w:rPr>
          <w:rFonts w:cs="Times New Roman"/>
          <w:szCs w:val="24"/>
        </w:rPr>
        <w:t xml:space="preserve"> </w:t>
      </w:r>
      <w:r>
        <w:t xml:space="preserve">[2017] IESC </w:t>
      </w:r>
      <w:r w:rsidR="00A8043E">
        <w:t>8</w:t>
      </w:r>
      <w:r>
        <w:t xml:space="preserve">3, [2018] 2 IR 741 </w:t>
      </w:r>
      <w:r w:rsidR="00593EF6">
        <w:t>(“</w:t>
      </w:r>
      <w:r w:rsidR="00593EF6" w:rsidRPr="00593EF6">
        <w:rPr>
          <w:i/>
        </w:rPr>
        <w:t>Brandley</w:t>
      </w:r>
      <w:r w:rsidR="00593EF6">
        <w:t xml:space="preserve">”) </w:t>
      </w:r>
      <w:r w:rsidRPr="00746147">
        <w:rPr>
          <w:rFonts w:cs="Times New Roman"/>
          <w:szCs w:val="24"/>
        </w:rPr>
        <w:t xml:space="preserve">and in </w:t>
      </w:r>
      <w:r w:rsidRPr="00746147">
        <w:rPr>
          <w:rFonts w:cs="Times New Roman"/>
          <w:i/>
          <w:szCs w:val="24"/>
        </w:rPr>
        <w:t>Cantrell v Allied Irish Banks plc</w:t>
      </w:r>
      <w:bookmarkStart w:id="6" w:name="_Hlk83206072"/>
      <w:r w:rsidRPr="00746147">
        <w:rPr>
          <w:rFonts w:cs="Times New Roman"/>
          <w:szCs w:val="24"/>
        </w:rPr>
        <w:t xml:space="preserve"> [2020] IESC </w:t>
      </w:r>
      <w:r w:rsidR="00593EF6">
        <w:rPr>
          <w:rFonts w:cs="Times New Roman"/>
          <w:szCs w:val="24"/>
        </w:rPr>
        <w:lastRenderedPageBreak/>
        <w:t>71</w:t>
      </w:r>
      <w:bookmarkEnd w:id="6"/>
      <w:r w:rsidR="00D157CD">
        <w:rPr>
          <w:rFonts w:cs="Times New Roman"/>
          <w:szCs w:val="24"/>
        </w:rPr>
        <w:t xml:space="preserve">, [2021] PNLR </w:t>
      </w:r>
      <w:r w:rsidR="00653435">
        <w:rPr>
          <w:rFonts w:cs="Times New Roman"/>
          <w:szCs w:val="24"/>
        </w:rPr>
        <w:t xml:space="preserve">9 </w:t>
      </w:r>
      <w:r w:rsidR="00593EF6">
        <w:rPr>
          <w:rFonts w:cs="Times New Roman"/>
          <w:szCs w:val="24"/>
        </w:rPr>
        <w:t>(“</w:t>
      </w:r>
      <w:r w:rsidR="00593EF6" w:rsidRPr="00593EF6">
        <w:rPr>
          <w:rFonts w:cs="Times New Roman"/>
          <w:i/>
          <w:szCs w:val="24"/>
        </w:rPr>
        <w:t>Cantrell</w:t>
      </w:r>
      <w:r w:rsidR="00593EF6">
        <w:rPr>
          <w:rFonts w:cs="Times New Roman"/>
          <w:szCs w:val="24"/>
        </w:rPr>
        <w:t xml:space="preserve">”) </w:t>
      </w:r>
      <w:r w:rsidRPr="00746147">
        <w:rPr>
          <w:rFonts w:cs="Times New Roman"/>
          <w:szCs w:val="24"/>
        </w:rPr>
        <w:t xml:space="preserve">appear to cast </w:t>
      </w:r>
      <w:r w:rsidR="00BC4078">
        <w:rPr>
          <w:rFonts w:cs="Times New Roman"/>
          <w:szCs w:val="24"/>
        </w:rPr>
        <w:t>some</w:t>
      </w:r>
      <w:r w:rsidRPr="00746147">
        <w:rPr>
          <w:rFonts w:cs="Times New Roman"/>
          <w:szCs w:val="24"/>
        </w:rPr>
        <w:t xml:space="preserve"> doubt on the correctness of both </w:t>
      </w:r>
      <w:r w:rsidRPr="00746147">
        <w:rPr>
          <w:rFonts w:cs="Times New Roman"/>
          <w:i/>
          <w:szCs w:val="24"/>
        </w:rPr>
        <w:t>Hegarty v O’ Loughran</w:t>
      </w:r>
      <w:r w:rsidRPr="00746147">
        <w:rPr>
          <w:rFonts w:cs="Times New Roman"/>
          <w:szCs w:val="24"/>
        </w:rPr>
        <w:t xml:space="preserve"> and </w:t>
      </w:r>
      <w:r w:rsidRPr="00746147">
        <w:rPr>
          <w:rFonts w:cs="Times New Roman"/>
          <w:i/>
          <w:szCs w:val="24"/>
        </w:rPr>
        <w:t>Tuohy v Courtney</w:t>
      </w:r>
      <w:r w:rsidRPr="00746147">
        <w:rPr>
          <w:rFonts w:cs="Times New Roman"/>
          <w:szCs w:val="24"/>
        </w:rPr>
        <w:t xml:space="preserve">. But, however the law may develop in the future, the </w:t>
      </w:r>
      <w:r w:rsidR="00BC4078">
        <w:rPr>
          <w:rFonts w:cs="Times New Roman"/>
          <w:szCs w:val="24"/>
        </w:rPr>
        <w:t>present</w:t>
      </w:r>
      <w:r w:rsidRPr="00746147">
        <w:rPr>
          <w:rFonts w:cs="Times New Roman"/>
          <w:szCs w:val="24"/>
        </w:rPr>
        <w:t xml:space="preserve"> legal position is clear</w:t>
      </w:r>
      <w:r w:rsidR="00746147">
        <w:rPr>
          <w:rFonts w:cs="Times New Roman"/>
          <w:szCs w:val="24"/>
        </w:rPr>
        <w:t>: “</w:t>
      </w:r>
      <w:r w:rsidR="00746147" w:rsidRPr="00746147">
        <w:rPr>
          <w:rFonts w:cs="Times New Roman"/>
          <w:i/>
          <w:szCs w:val="24"/>
        </w:rPr>
        <w:t>a discoverability test cannot be read into or deduced from</w:t>
      </w:r>
      <w:r w:rsidR="00746147">
        <w:rPr>
          <w:rFonts w:cs="Times New Roman"/>
          <w:szCs w:val="24"/>
        </w:rPr>
        <w:t>” section 11(2) of the 1957 Act</w:t>
      </w:r>
      <w:r w:rsidR="00BC4078">
        <w:rPr>
          <w:rFonts w:cs="Times New Roman"/>
          <w:szCs w:val="24"/>
        </w:rPr>
        <w:t>:</w:t>
      </w:r>
      <w:r w:rsidR="00593EF6">
        <w:rPr>
          <w:rFonts w:cs="Times New Roman"/>
          <w:szCs w:val="24"/>
        </w:rPr>
        <w:t xml:space="preserve"> per McKechnie J </w:t>
      </w:r>
      <w:r w:rsidR="00BC4078">
        <w:rPr>
          <w:rFonts w:cs="Times New Roman"/>
          <w:szCs w:val="24"/>
        </w:rPr>
        <w:t xml:space="preserve">in </w:t>
      </w:r>
      <w:r w:rsidR="00746147" w:rsidRPr="00746147">
        <w:rPr>
          <w:rFonts w:cs="Times New Roman"/>
          <w:i/>
          <w:szCs w:val="24"/>
        </w:rPr>
        <w:t>Brandley v Deane,</w:t>
      </w:r>
      <w:r w:rsidR="00BC4078">
        <w:rPr>
          <w:rFonts w:cs="Times New Roman"/>
          <w:szCs w:val="24"/>
        </w:rPr>
        <w:t xml:space="preserve"> </w:t>
      </w:r>
      <w:r w:rsidR="00746147">
        <w:rPr>
          <w:rFonts w:cs="Times New Roman"/>
          <w:szCs w:val="24"/>
        </w:rPr>
        <w:t xml:space="preserve">para 85. </w:t>
      </w:r>
    </w:p>
    <w:p w14:paraId="2B01C08F" w14:textId="77777777" w:rsidR="00746147" w:rsidRDefault="00746147" w:rsidP="00746147">
      <w:pPr>
        <w:pStyle w:val="ListParagraph"/>
        <w:spacing w:line="480" w:lineRule="auto"/>
        <w:rPr>
          <w:rFonts w:cs="Times New Roman"/>
          <w:szCs w:val="24"/>
        </w:rPr>
      </w:pPr>
    </w:p>
    <w:p w14:paraId="7D450623" w14:textId="77777777" w:rsidR="00746147" w:rsidRDefault="00BC4078" w:rsidP="004A6459">
      <w:pPr>
        <w:pStyle w:val="ListParagraph"/>
        <w:numPr>
          <w:ilvl w:val="0"/>
          <w:numId w:val="1"/>
        </w:numPr>
        <w:spacing w:line="480" w:lineRule="auto"/>
        <w:ind w:hanging="720"/>
        <w:rPr>
          <w:rFonts w:cs="Times New Roman"/>
          <w:szCs w:val="24"/>
        </w:rPr>
      </w:pPr>
      <w:r>
        <w:t xml:space="preserve">The Statute of Limitations (Amendment) Act 1991 </w:t>
      </w:r>
      <w:r w:rsidR="008B080F">
        <w:t>excised</w:t>
      </w:r>
      <w:r>
        <w:t xml:space="preserve"> section 11(2)(b) from the 1957 Act and made some consequential adjustments to the </w:t>
      </w:r>
      <w:r w:rsidR="00746147" w:rsidRPr="00746147">
        <w:rPr>
          <w:rFonts w:cs="Times New Roman"/>
          <w:szCs w:val="24"/>
        </w:rPr>
        <w:t>language of section 11(2)(a)</w:t>
      </w:r>
      <w:r>
        <w:rPr>
          <w:rFonts w:cs="Times New Roman"/>
          <w:szCs w:val="24"/>
        </w:rPr>
        <w:t xml:space="preserve">. In substance, however, 11(2)(a) </w:t>
      </w:r>
      <w:r w:rsidR="00746147" w:rsidRPr="00746147">
        <w:rPr>
          <w:rFonts w:cs="Times New Roman"/>
          <w:szCs w:val="24"/>
        </w:rPr>
        <w:t xml:space="preserve">remains as it has been since 1957, namely that </w:t>
      </w:r>
      <w:r w:rsidR="00746147" w:rsidRPr="00746147">
        <w:rPr>
          <w:rFonts w:cs="Times New Roman"/>
          <w:i/>
          <w:szCs w:val="24"/>
        </w:rPr>
        <w:t>“an action founded on tort shall not be brought after the expiration of six years from the date on which the cause of action accrued.”</w:t>
      </w:r>
      <w:r w:rsidR="00746147" w:rsidRPr="00746147">
        <w:rPr>
          <w:rFonts w:cs="Times New Roman"/>
          <w:szCs w:val="24"/>
        </w:rPr>
        <w:t xml:space="preserve">  </w:t>
      </w:r>
      <w:r w:rsidR="004A6459">
        <w:rPr>
          <w:rFonts w:cs="Times New Roman"/>
          <w:szCs w:val="24"/>
        </w:rPr>
        <w:t>This language m</w:t>
      </w:r>
      <w:r w:rsidR="00604989">
        <w:rPr>
          <w:rFonts w:cs="Times New Roman"/>
          <w:szCs w:val="24"/>
        </w:rPr>
        <w:t xml:space="preserve">ay seem </w:t>
      </w:r>
      <w:r w:rsidR="00746147" w:rsidRPr="00371291">
        <w:rPr>
          <w:rFonts w:cs="Times New Roman"/>
          <w:szCs w:val="24"/>
        </w:rPr>
        <w:t>beguilingly straightforward</w:t>
      </w:r>
      <w:r w:rsidR="00746147">
        <w:rPr>
          <w:rFonts w:cs="Times New Roman"/>
          <w:szCs w:val="24"/>
        </w:rPr>
        <w:t xml:space="preserve">. Its simplicity is, unfortunately, apparent rather than real. It </w:t>
      </w:r>
      <w:r w:rsidR="00746147" w:rsidRPr="00371291">
        <w:rPr>
          <w:rFonts w:cs="Times New Roman"/>
          <w:szCs w:val="24"/>
        </w:rPr>
        <w:t>has generated a large and complex body of case-law concerning the issue of when a cause of action in tort “</w:t>
      </w:r>
      <w:r w:rsidR="00746147" w:rsidRPr="00371291">
        <w:rPr>
          <w:rFonts w:cs="Times New Roman"/>
          <w:i/>
          <w:szCs w:val="24"/>
        </w:rPr>
        <w:t>accrues</w:t>
      </w:r>
      <w:r w:rsidR="00746147" w:rsidRPr="00371291">
        <w:rPr>
          <w:rFonts w:cs="Times New Roman"/>
          <w:szCs w:val="24"/>
        </w:rPr>
        <w:t>”.</w:t>
      </w:r>
      <w:r w:rsidR="001E7635">
        <w:rPr>
          <w:rStyle w:val="FootnoteReference"/>
          <w:rFonts w:cs="Times New Roman"/>
          <w:szCs w:val="24"/>
        </w:rPr>
        <w:footnoteReference w:id="9"/>
      </w:r>
      <w:r w:rsidR="00746147" w:rsidRPr="00371291">
        <w:rPr>
          <w:rFonts w:cs="Times New Roman"/>
          <w:szCs w:val="24"/>
        </w:rPr>
        <w:t xml:space="preserve"> The </w:t>
      </w:r>
      <w:r w:rsidR="00185F89">
        <w:rPr>
          <w:rFonts w:cs="Times New Roman"/>
          <w:szCs w:val="24"/>
        </w:rPr>
        <w:t xml:space="preserve">1957 Act </w:t>
      </w:r>
      <w:r w:rsidR="00746147" w:rsidRPr="00371291">
        <w:rPr>
          <w:rFonts w:cs="Times New Roman"/>
          <w:szCs w:val="24"/>
        </w:rPr>
        <w:t xml:space="preserve">itself </w:t>
      </w:r>
      <w:r w:rsidR="0001763F">
        <w:rPr>
          <w:rFonts w:cs="Times New Roman"/>
          <w:szCs w:val="24"/>
        </w:rPr>
        <w:t>provides no guidance on this</w:t>
      </w:r>
      <w:r w:rsidR="00746147" w:rsidRPr="00371291">
        <w:rPr>
          <w:rFonts w:cs="Times New Roman"/>
          <w:szCs w:val="24"/>
        </w:rPr>
        <w:t xml:space="preserve"> point. </w:t>
      </w:r>
      <w:r w:rsidR="00746147">
        <w:rPr>
          <w:rFonts w:cs="Times New Roman"/>
          <w:szCs w:val="24"/>
        </w:rPr>
        <w:t>I</w:t>
      </w:r>
      <w:r w:rsidR="00746147" w:rsidRPr="00371291">
        <w:rPr>
          <w:rFonts w:cs="Times New Roman"/>
          <w:szCs w:val="24"/>
        </w:rPr>
        <w:t xml:space="preserve">t is clear from the authorities that as regards torts which are </w:t>
      </w:r>
      <w:r w:rsidR="00746147" w:rsidRPr="0001763F">
        <w:rPr>
          <w:rFonts w:cs="Times New Roman"/>
          <w:szCs w:val="24"/>
        </w:rPr>
        <w:t>not</w:t>
      </w:r>
      <w:r w:rsidR="00746147" w:rsidRPr="00371291">
        <w:rPr>
          <w:rFonts w:cs="Times New Roman"/>
          <w:szCs w:val="24"/>
        </w:rPr>
        <w:t xml:space="preserve"> actionable </w:t>
      </w:r>
      <w:r w:rsidR="00746147" w:rsidRPr="00371291">
        <w:rPr>
          <w:rFonts w:cs="Times New Roman"/>
          <w:i/>
          <w:szCs w:val="24"/>
        </w:rPr>
        <w:t>per se</w:t>
      </w:r>
      <w:r w:rsidR="00746147" w:rsidRPr="00371291">
        <w:rPr>
          <w:rFonts w:cs="Times New Roman"/>
          <w:szCs w:val="24"/>
        </w:rPr>
        <w:t xml:space="preserve"> – and that category includes claims for negligence and breach of duty – the cause of action does not accrue until damage is sustained. </w:t>
      </w:r>
      <w:r w:rsidR="00746147">
        <w:rPr>
          <w:rFonts w:cs="Times New Roman"/>
          <w:szCs w:val="24"/>
        </w:rPr>
        <w:t>But even in claims involving damage to property, significant issues may arise in identifying the precise point when a claim in negligence “</w:t>
      </w:r>
      <w:r w:rsidR="00746147" w:rsidRPr="00371291">
        <w:rPr>
          <w:rFonts w:cs="Times New Roman"/>
          <w:i/>
          <w:szCs w:val="24"/>
        </w:rPr>
        <w:t>accrues</w:t>
      </w:r>
      <w:r w:rsidR="00746147">
        <w:rPr>
          <w:rFonts w:cs="Times New Roman"/>
          <w:szCs w:val="24"/>
        </w:rPr>
        <w:t xml:space="preserve">”. </w:t>
      </w:r>
      <w:r w:rsidR="00746147" w:rsidRPr="00371291">
        <w:rPr>
          <w:rFonts w:cs="Times New Roman"/>
          <w:i/>
          <w:szCs w:val="24"/>
        </w:rPr>
        <w:t>Brandley</w:t>
      </w:r>
      <w:r w:rsidR="0001763F">
        <w:rPr>
          <w:rFonts w:cs="Times New Roman"/>
          <w:i/>
          <w:szCs w:val="24"/>
        </w:rPr>
        <w:t xml:space="preserve"> </w:t>
      </w:r>
      <w:r w:rsidR="00746147">
        <w:rPr>
          <w:rFonts w:cs="Times New Roman"/>
          <w:szCs w:val="24"/>
        </w:rPr>
        <w:t xml:space="preserve">is testimony to the potential </w:t>
      </w:r>
      <w:r w:rsidR="0001763F">
        <w:rPr>
          <w:rFonts w:cs="Times New Roman"/>
          <w:szCs w:val="24"/>
        </w:rPr>
        <w:t xml:space="preserve">complexities involved in such an </w:t>
      </w:r>
      <w:r w:rsidR="00746147">
        <w:rPr>
          <w:rFonts w:cs="Times New Roman"/>
          <w:szCs w:val="24"/>
        </w:rPr>
        <w:t>exercise. Where the claim is for financial loss, the exercise is more difficult still and, from the point of view of litigants, one fraught with uncertainty</w:t>
      </w:r>
      <w:r w:rsidR="006723FB">
        <w:rPr>
          <w:rFonts w:cs="Times New Roman"/>
          <w:szCs w:val="24"/>
        </w:rPr>
        <w:t xml:space="preserve">. That </w:t>
      </w:r>
      <w:r w:rsidR="004A6459">
        <w:rPr>
          <w:rFonts w:cs="Times New Roman"/>
          <w:szCs w:val="24"/>
        </w:rPr>
        <w:t xml:space="preserve">is graphically illustrated by </w:t>
      </w:r>
      <w:r w:rsidR="004A6459" w:rsidRPr="004A6459">
        <w:rPr>
          <w:rFonts w:cs="Times New Roman"/>
          <w:i/>
          <w:szCs w:val="24"/>
        </w:rPr>
        <w:t>Cantrell</w:t>
      </w:r>
      <w:r w:rsidR="004A6459">
        <w:rPr>
          <w:rFonts w:cs="Times New Roman"/>
          <w:szCs w:val="24"/>
        </w:rPr>
        <w:t xml:space="preserve">. There, the High Court </w:t>
      </w:r>
      <w:r w:rsidR="004A6459">
        <w:rPr>
          <w:rFonts w:cs="Times New Roman"/>
          <w:szCs w:val="24"/>
        </w:rPr>
        <w:lastRenderedPageBreak/>
        <w:t xml:space="preserve">(Haughton J) held that the plaintiffs’ claims in tort for alleged misselling were not statute-barred. This Court came to the contrary conclusion. On further appeal, the Supreme Court restored the decision of the High Court. These </w:t>
      </w:r>
      <w:r w:rsidR="00DE5E1C">
        <w:rPr>
          <w:rFonts w:cs="Times New Roman"/>
          <w:szCs w:val="24"/>
        </w:rPr>
        <w:t>conflicting</w:t>
      </w:r>
      <w:r w:rsidR="004A6459">
        <w:rPr>
          <w:rFonts w:cs="Times New Roman"/>
          <w:szCs w:val="24"/>
        </w:rPr>
        <w:t xml:space="preserve"> decisions were based on different views as </w:t>
      </w:r>
      <w:r w:rsidR="00A7515C">
        <w:rPr>
          <w:rFonts w:cs="Times New Roman"/>
          <w:szCs w:val="24"/>
        </w:rPr>
        <w:t xml:space="preserve">to </w:t>
      </w:r>
      <w:r w:rsidR="004A6459">
        <w:rPr>
          <w:rFonts w:cs="Times New Roman"/>
          <w:szCs w:val="24"/>
        </w:rPr>
        <w:t>when damage had been suffered by the plaintiffs</w:t>
      </w:r>
      <w:r w:rsidR="00DE5E1C">
        <w:rPr>
          <w:rFonts w:cs="Times New Roman"/>
          <w:szCs w:val="24"/>
        </w:rPr>
        <w:t xml:space="preserve"> and thus when their causes of action in negligence had “</w:t>
      </w:r>
      <w:r w:rsidR="00DE5E1C" w:rsidRPr="00DE5E1C">
        <w:rPr>
          <w:rFonts w:cs="Times New Roman"/>
          <w:i/>
          <w:szCs w:val="24"/>
        </w:rPr>
        <w:t>accrued</w:t>
      </w:r>
      <w:r w:rsidR="00DE5E1C">
        <w:rPr>
          <w:rFonts w:cs="Times New Roman"/>
          <w:szCs w:val="24"/>
        </w:rPr>
        <w:t>” for the purposes of section 11(2)</w:t>
      </w:r>
      <w:r w:rsidR="00E84D9C">
        <w:rPr>
          <w:rFonts w:cs="Times New Roman"/>
          <w:szCs w:val="24"/>
        </w:rPr>
        <w:t>.</w:t>
      </w:r>
    </w:p>
    <w:p w14:paraId="5C0964E6" w14:textId="77777777" w:rsidR="004A6459" w:rsidRDefault="004A6459" w:rsidP="004A6459">
      <w:pPr>
        <w:spacing w:line="480" w:lineRule="auto"/>
        <w:rPr>
          <w:rFonts w:cs="Times New Roman"/>
          <w:szCs w:val="24"/>
        </w:rPr>
      </w:pPr>
    </w:p>
    <w:p w14:paraId="6F70B2E1" w14:textId="77777777" w:rsidR="00183DE3" w:rsidRDefault="00A30EB3" w:rsidP="00183DE3">
      <w:pPr>
        <w:pStyle w:val="ListParagraph"/>
        <w:numPr>
          <w:ilvl w:val="0"/>
          <w:numId w:val="1"/>
        </w:numPr>
        <w:spacing w:line="480" w:lineRule="auto"/>
        <w:ind w:hanging="720"/>
        <w:rPr>
          <w:rFonts w:cs="Times New Roman"/>
          <w:szCs w:val="24"/>
        </w:rPr>
      </w:pPr>
      <w:r>
        <w:rPr>
          <w:rFonts w:cs="Times New Roman"/>
          <w:szCs w:val="24"/>
        </w:rPr>
        <w:t xml:space="preserve">How </w:t>
      </w:r>
      <w:r w:rsidR="0001763F">
        <w:rPr>
          <w:rFonts w:cs="Times New Roman"/>
          <w:szCs w:val="24"/>
        </w:rPr>
        <w:t>section 11(2)(a)</w:t>
      </w:r>
      <w:r>
        <w:rPr>
          <w:rFonts w:cs="Times New Roman"/>
          <w:szCs w:val="24"/>
        </w:rPr>
        <w:t xml:space="preserve"> is interpreted and applied is </w:t>
      </w:r>
      <w:r w:rsidR="00DE5E1C">
        <w:rPr>
          <w:rFonts w:cs="Times New Roman"/>
          <w:szCs w:val="24"/>
        </w:rPr>
        <w:t xml:space="preserve">obviously </w:t>
      </w:r>
      <w:r>
        <w:rPr>
          <w:rFonts w:cs="Times New Roman"/>
          <w:szCs w:val="24"/>
        </w:rPr>
        <w:t xml:space="preserve">a matter of </w:t>
      </w:r>
      <w:r w:rsidR="00E42107">
        <w:rPr>
          <w:rFonts w:cs="Times New Roman"/>
          <w:szCs w:val="24"/>
        </w:rPr>
        <w:t xml:space="preserve">the </w:t>
      </w:r>
      <w:r>
        <w:rPr>
          <w:rFonts w:cs="Times New Roman"/>
          <w:szCs w:val="24"/>
        </w:rPr>
        <w:t>great</w:t>
      </w:r>
      <w:r w:rsidR="00E42107">
        <w:rPr>
          <w:rFonts w:cs="Times New Roman"/>
          <w:szCs w:val="24"/>
        </w:rPr>
        <w:t>est</w:t>
      </w:r>
      <w:r>
        <w:rPr>
          <w:rFonts w:cs="Times New Roman"/>
          <w:szCs w:val="24"/>
        </w:rPr>
        <w:t xml:space="preserve"> practical importance. McGee, </w:t>
      </w:r>
      <w:r w:rsidRPr="00183DE3">
        <w:rPr>
          <w:rFonts w:cs="Times New Roman"/>
          <w:i/>
          <w:szCs w:val="24"/>
        </w:rPr>
        <w:t>Limitation Periods</w:t>
      </w:r>
      <w:r>
        <w:rPr>
          <w:rFonts w:cs="Times New Roman"/>
          <w:szCs w:val="24"/>
        </w:rPr>
        <w:t xml:space="preserve"> </w:t>
      </w:r>
      <w:r w:rsidR="00183DE3">
        <w:rPr>
          <w:rFonts w:cs="Times New Roman"/>
          <w:szCs w:val="24"/>
        </w:rPr>
        <w:t>(</w:t>
      </w:r>
      <w:r w:rsidR="0079224E">
        <w:rPr>
          <w:rFonts w:cs="Times New Roman"/>
          <w:szCs w:val="24"/>
        </w:rPr>
        <w:t>8</w:t>
      </w:r>
      <w:r w:rsidR="00183DE3" w:rsidRPr="00183DE3">
        <w:rPr>
          <w:rFonts w:cs="Times New Roman"/>
          <w:szCs w:val="24"/>
          <w:vertAlign w:val="superscript"/>
        </w:rPr>
        <w:t>th</w:t>
      </w:r>
      <w:r w:rsidR="00183DE3">
        <w:rPr>
          <w:rFonts w:cs="Times New Roman"/>
          <w:szCs w:val="24"/>
        </w:rPr>
        <w:t xml:space="preserve"> ed; 2</w:t>
      </w:r>
      <w:r w:rsidR="0079224E">
        <w:rPr>
          <w:rFonts w:cs="Times New Roman"/>
          <w:szCs w:val="24"/>
        </w:rPr>
        <w:t>018</w:t>
      </w:r>
      <w:r w:rsidR="00183DE3">
        <w:rPr>
          <w:rFonts w:cs="Times New Roman"/>
          <w:szCs w:val="24"/>
        </w:rPr>
        <w:t>)</w:t>
      </w:r>
      <w:r w:rsidR="00A7515C">
        <w:rPr>
          <w:rFonts w:cs="Times New Roman"/>
          <w:szCs w:val="24"/>
        </w:rPr>
        <w:t>, at para 1.007,</w:t>
      </w:r>
      <w:r>
        <w:rPr>
          <w:rFonts w:cs="Times New Roman"/>
          <w:szCs w:val="24"/>
        </w:rPr>
        <w:t xml:space="preserve"> </w:t>
      </w:r>
      <w:r w:rsidR="00183DE3">
        <w:rPr>
          <w:rFonts w:cs="Times New Roman"/>
          <w:szCs w:val="24"/>
        </w:rPr>
        <w:t xml:space="preserve">suggests that the law of limitations may be divided into three </w:t>
      </w:r>
      <w:r w:rsidR="00A7515C">
        <w:rPr>
          <w:rFonts w:cs="Times New Roman"/>
          <w:szCs w:val="24"/>
        </w:rPr>
        <w:t>“</w:t>
      </w:r>
      <w:r w:rsidR="00183DE3" w:rsidRPr="00A7515C">
        <w:rPr>
          <w:rFonts w:cs="Times New Roman"/>
          <w:i/>
          <w:szCs w:val="24"/>
        </w:rPr>
        <w:t xml:space="preserve">basic </w:t>
      </w:r>
      <w:r w:rsidR="0079224E" w:rsidRPr="00A7515C">
        <w:rPr>
          <w:rFonts w:cs="Times New Roman"/>
          <w:i/>
          <w:szCs w:val="24"/>
        </w:rPr>
        <w:t>issues</w:t>
      </w:r>
      <w:r w:rsidR="00A7515C" w:rsidRPr="00A7515C">
        <w:rPr>
          <w:rFonts w:cs="Times New Roman"/>
          <w:i/>
          <w:szCs w:val="24"/>
        </w:rPr>
        <w:t>”</w:t>
      </w:r>
      <w:r w:rsidR="00183DE3">
        <w:rPr>
          <w:rFonts w:cs="Times New Roman"/>
          <w:szCs w:val="24"/>
        </w:rPr>
        <w:t xml:space="preserve"> as follows:</w:t>
      </w:r>
    </w:p>
    <w:p w14:paraId="518B4E15" w14:textId="77777777" w:rsidR="00183DE3" w:rsidRDefault="00183DE3" w:rsidP="00183DE3">
      <w:pPr>
        <w:spacing w:line="480" w:lineRule="auto"/>
        <w:rPr>
          <w:rFonts w:cs="Times New Roman"/>
          <w:szCs w:val="24"/>
        </w:rPr>
      </w:pPr>
    </w:p>
    <w:p w14:paraId="683F6EA4" w14:textId="77777777" w:rsidR="00183DE3" w:rsidRPr="00183DE3" w:rsidRDefault="00183DE3" w:rsidP="00183DE3">
      <w:pPr>
        <w:spacing w:line="480" w:lineRule="auto"/>
        <w:ind w:left="1418"/>
        <w:rPr>
          <w:rFonts w:cs="Times New Roman"/>
          <w:i/>
          <w:szCs w:val="24"/>
        </w:rPr>
      </w:pPr>
      <w:r w:rsidRPr="00183DE3">
        <w:rPr>
          <w:rFonts w:cs="Times New Roman"/>
          <w:i/>
          <w:szCs w:val="24"/>
        </w:rPr>
        <w:t>“(1) When does time start to run?</w:t>
      </w:r>
    </w:p>
    <w:p w14:paraId="648482CF" w14:textId="77777777" w:rsidR="00183DE3" w:rsidRPr="00183DE3" w:rsidRDefault="00183DE3" w:rsidP="00183DE3">
      <w:pPr>
        <w:spacing w:line="480" w:lineRule="auto"/>
        <w:ind w:left="1418"/>
        <w:rPr>
          <w:rFonts w:cs="Times New Roman"/>
          <w:i/>
          <w:szCs w:val="24"/>
        </w:rPr>
      </w:pPr>
      <w:r w:rsidRPr="00183DE3">
        <w:rPr>
          <w:rFonts w:cs="Times New Roman"/>
          <w:i/>
          <w:szCs w:val="24"/>
        </w:rPr>
        <w:t>(2) How long is the limitation period?</w:t>
      </w:r>
    </w:p>
    <w:p w14:paraId="4A9B3B5B" w14:textId="77777777" w:rsidR="00183DE3" w:rsidRPr="00183DE3" w:rsidRDefault="00183DE3" w:rsidP="00183DE3">
      <w:pPr>
        <w:spacing w:line="480" w:lineRule="auto"/>
        <w:ind w:left="1418"/>
        <w:rPr>
          <w:rFonts w:cs="Times New Roman"/>
          <w:i/>
          <w:szCs w:val="24"/>
        </w:rPr>
      </w:pPr>
      <w:r w:rsidRPr="00183DE3">
        <w:rPr>
          <w:rFonts w:cs="Times New Roman"/>
          <w:i/>
          <w:szCs w:val="24"/>
        </w:rPr>
        <w:t>(3) What happens when time expires?”</w:t>
      </w:r>
    </w:p>
    <w:p w14:paraId="4040EB13" w14:textId="77777777" w:rsidR="00183DE3" w:rsidRPr="00183DE3" w:rsidRDefault="00183DE3" w:rsidP="00183DE3">
      <w:pPr>
        <w:spacing w:line="480" w:lineRule="auto"/>
        <w:rPr>
          <w:rFonts w:cs="Times New Roman"/>
          <w:szCs w:val="24"/>
        </w:rPr>
      </w:pPr>
    </w:p>
    <w:p w14:paraId="158709A7" w14:textId="77777777" w:rsidR="00917510" w:rsidRDefault="00B83023" w:rsidP="00912CF4">
      <w:pPr>
        <w:pStyle w:val="ListParagraph"/>
        <w:spacing w:line="480" w:lineRule="auto"/>
        <w:rPr>
          <w:rFonts w:cs="Times New Roman"/>
          <w:szCs w:val="24"/>
        </w:rPr>
      </w:pPr>
      <w:r>
        <w:rPr>
          <w:rFonts w:cs="Times New Roman"/>
          <w:szCs w:val="24"/>
        </w:rPr>
        <w:t xml:space="preserve">Of these, the first is perhaps the most fundamental. </w:t>
      </w:r>
      <w:r w:rsidR="00912CF4">
        <w:rPr>
          <w:rFonts w:cs="Times New Roman"/>
          <w:szCs w:val="24"/>
        </w:rPr>
        <w:t xml:space="preserve"> It</w:t>
      </w:r>
      <w:r>
        <w:rPr>
          <w:rFonts w:cs="Times New Roman"/>
          <w:szCs w:val="24"/>
        </w:rPr>
        <w:t xml:space="preserve"> is critically important that the point in time when the relevant limitation period – whatever it may be – starts to run  can be clearly and predictably identified. </w:t>
      </w:r>
      <w:r w:rsidR="00917510">
        <w:rPr>
          <w:rFonts w:cs="Times New Roman"/>
          <w:szCs w:val="24"/>
        </w:rPr>
        <w:t>In any well-functioning legal system, it is essential that litigants and their advisors are able to identify the point at which a claim has become - or will become - statute-barred. That e</w:t>
      </w:r>
      <w:r w:rsidR="00604989">
        <w:rPr>
          <w:rFonts w:cs="Times New Roman"/>
          <w:szCs w:val="24"/>
        </w:rPr>
        <w:t>nd point</w:t>
      </w:r>
      <w:r w:rsidR="00917510">
        <w:rPr>
          <w:rFonts w:cs="Times New Roman"/>
          <w:szCs w:val="24"/>
        </w:rPr>
        <w:t xml:space="preserve"> cannot be identified if the start point is obscure or uncertain. </w:t>
      </w:r>
    </w:p>
    <w:p w14:paraId="788A05A9" w14:textId="77777777" w:rsidR="00917510" w:rsidRDefault="00917510" w:rsidP="00912CF4">
      <w:pPr>
        <w:pStyle w:val="ListParagraph"/>
        <w:spacing w:line="480" w:lineRule="auto"/>
        <w:rPr>
          <w:rFonts w:cs="Times New Roman"/>
          <w:szCs w:val="24"/>
        </w:rPr>
      </w:pPr>
    </w:p>
    <w:p w14:paraId="620814DC" w14:textId="77777777" w:rsidR="001F4A4F" w:rsidRDefault="00D36A06" w:rsidP="00CC0D0E">
      <w:pPr>
        <w:pStyle w:val="ListParagraph"/>
        <w:numPr>
          <w:ilvl w:val="0"/>
          <w:numId w:val="1"/>
        </w:numPr>
        <w:spacing w:line="480" w:lineRule="auto"/>
        <w:ind w:hanging="720"/>
        <w:rPr>
          <w:rFonts w:cs="Times New Roman"/>
          <w:szCs w:val="24"/>
        </w:rPr>
      </w:pPr>
      <w:r>
        <w:rPr>
          <w:rFonts w:cs="Times New Roman"/>
          <w:szCs w:val="24"/>
        </w:rPr>
        <w:t xml:space="preserve">In the aftermath of </w:t>
      </w:r>
      <w:r w:rsidRPr="00B65F76">
        <w:rPr>
          <w:rFonts w:cs="Times New Roman"/>
          <w:i/>
          <w:szCs w:val="24"/>
        </w:rPr>
        <w:t xml:space="preserve">Hedley Byrne </w:t>
      </w:r>
      <w:r w:rsidR="00B65F76" w:rsidRPr="00B65F76">
        <w:rPr>
          <w:rFonts w:cs="Times New Roman"/>
          <w:i/>
          <w:szCs w:val="24"/>
        </w:rPr>
        <w:t>&amp; Co v Heller &amp; Partners</w:t>
      </w:r>
      <w:r w:rsidR="00B65F76">
        <w:rPr>
          <w:rFonts w:cs="Times New Roman"/>
          <w:szCs w:val="24"/>
        </w:rPr>
        <w:t xml:space="preserve"> [1964] A.C. 465,</w:t>
      </w:r>
      <w:r w:rsidR="00B209AC">
        <w:rPr>
          <w:rFonts w:cs="Times New Roman"/>
          <w:szCs w:val="24"/>
        </w:rPr>
        <w:t xml:space="preserve"> </w:t>
      </w:r>
      <w:r w:rsidR="00B65F76">
        <w:rPr>
          <w:rFonts w:cs="Times New Roman"/>
          <w:szCs w:val="24"/>
        </w:rPr>
        <w:t>c</w:t>
      </w:r>
      <w:r w:rsidR="00F6207F">
        <w:rPr>
          <w:rFonts w:cs="Times New Roman"/>
          <w:szCs w:val="24"/>
        </w:rPr>
        <w:t xml:space="preserve">laims </w:t>
      </w:r>
      <w:r w:rsidR="00F6207F">
        <w:rPr>
          <w:rFonts w:cs="Times New Roman"/>
          <w:szCs w:val="24"/>
        </w:rPr>
        <w:lastRenderedPageBreak/>
        <w:t xml:space="preserve">in negligence for financial loss </w:t>
      </w:r>
      <w:r w:rsidR="00912CF4">
        <w:rPr>
          <w:rFonts w:cs="Times New Roman"/>
          <w:szCs w:val="24"/>
        </w:rPr>
        <w:t>have become</w:t>
      </w:r>
      <w:r w:rsidR="00B65F76">
        <w:rPr>
          <w:rFonts w:cs="Times New Roman"/>
          <w:szCs w:val="24"/>
        </w:rPr>
        <w:t xml:space="preserve"> </w:t>
      </w:r>
      <w:r w:rsidR="00F6207F">
        <w:rPr>
          <w:rFonts w:cs="Times New Roman"/>
          <w:szCs w:val="24"/>
        </w:rPr>
        <w:t>a staple of litigation in this jurisdiction</w:t>
      </w:r>
      <w:r w:rsidR="00B65F76">
        <w:rPr>
          <w:rFonts w:cs="Times New Roman"/>
          <w:szCs w:val="24"/>
        </w:rPr>
        <w:t xml:space="preserve">. </w:t>
      </w:r>
      <w:r w:rsidR="001F4A4F" w:rsidRPr="00C34361">
        <w:rPr>
          <w:i/>
        </w:rPr>
        <w:t>Finlay v Murtagh</w:t>
      </w:r>
      <w:r w:rsidR="001F4A4F">
        <w:t xml:space="preserve"> [1979] IR 249 clearly permits </w:t>
      </w:r>
      <w:r w:rsidR="001F4A4F">
        <w:rPr>
          <w:rFonts w:cs="Times New Roman"/>
          <w:szCs w:val="24"/>
        </w:rPr>
        <w:t xml:space="preserve">concurrent claims in contract and tort. </w:t>
      </w:r>
      <w:r w:rsidR="001F4A4F" w:rsidRPr="000B6718">
        <w:rPr>
          <w:rFonts w:cs="Times New Roman"/>
          <w:i/>
          <w:szCs w:val="24"/>
        </w:rPr>
        <w:t>Henderson v Merritt Synd</w:t>
      </w:r>
      <w:r w:rsidR="001F4A4F">
        <w:rPr>
          <w:rFonts w:cs="Times New Roman"/>
          <w:i/>
          <w:szCs w:val="24"/>
        </w:rPr>
        <w:t xml:space="preserve">icates </w:t>
      </w:r>
      <w:r w:rsidR="001F4A4F" w:rsidRPr="000B6718">
        <w:rPr>
          <w:rFonts w:cs="Times New Roman"/>
          <w:i/>
          <w:szCs w:val="24"/>
        </w:rPr>
        <w:t>Limited</w:t>
      </w:r>
      <w:r w:rsidR="001F4A4F">
        <w:rPr>
          <w:rFonts w:cs="Times New Roman"/>
          <w:szCs w:val="24"/>
        </w:rPr>
        <w:t xml:space="preserve"> [1995] 2 AC 145 is a </w:t>
      </w:r>
      <w:r w:rsidR="00831248">
        <w:rPr>
          <w:rFonts w:cs="Times New Roman"/>
          <w:szCs w:val="24"/>
        </w:rPr>
        <w:t xml:space="preserve">very </w:t>
      </w:r>
      <w:r w:rsidR="001F4A4F">
        <w:rPr>
          <w:rFonts w:cs="Times New Roman"/>
          <w:szCs w:val="24"/>
        </w:rPr>
        <w:t>significant decision in this context. Concurrent contract and negligence claims give rise to particular issues in the limitation context because, although the same six year limitation period applies to contract and tort claims, that period may – and frequently will – start to run at a later point in respect of the tort claim because that claim “</w:t>
      </w:r>
      <w:r w:rsidR="001F4A4F" w:rsidRPr="006C3236">
        <w:rPr>
          <w:rFonts w:cs="Times New Roman"/>
          <w:i/>
          <w:szCs w:val="24"/>
        </w:rPr>
        <w:t>accrues</w:t>
      </w:r>
      <w:r w:rsidR="001F4A4F">
        <w:rPr>
          <w:rFonts w:cs="Times New Roman"/>
          <w:szCs w:val="24"/>
        </w:rPr>
        <w:t>” only when damage is actually sustained whereas the contract claim “</w:t>
      </w:r>
      <w:r w:rsidR="001F4A4F" w:rsidRPr="00007730">
        <w:rPr>
          <w:rFonts w:cs="Times New Roman"/>
          <w:i/>
          <w:szCs w:val="24"/>
        </w:rPr>
        <w:t>accrues</w:t>
      </w:r>
      <w:r w:rsidR="001F4A4F">
        <w:rPr>
          <w:rFonts w:cs="Times New Roman"/>
          <w:szCs w:val="24"/>
        </w:rPr>
        <w:t xml:space="preserve">” upon breach: see the judgment of O’Donnell J in </w:t>
      </w:r>
      <w:r w:rsidR="001F4A4F" w:rsidRPr="00BF4313">
        <w:rPr>
          <w:rFonts w:cs="Times New Roman"/>
          <w:i/>
          <w:szCs w:val="24"/>
        </w:rPr>
        <w:t>Gallagher v ACC Bank plc</w:t>
      </w:r>
      <w:r w:rsidR="001F4A4F">
        <w:rPr>
          <w:rFonts w:cs="Times New Roman"/>
          <w:szCs w:val="24"/>
        </w:rPr>
        <w:t xml:space="preserve"> [2012] IESC 35, [2012] 2 IR 620. In </w:t>
      </w:r>
      <w:r w:rsidR="001F4A4F" w:rsidRPr="00BF4313">
        <w:rPr>
          <w:rFonts w:cs="Times New Roman"/>
          <w:i/>
          <w:szCs w:val="24"/>
        </w:rPr>
        <w:t>Gallagher</w:t>
      </w:r>
      <w:r w:rsidR="001F4A4F">
        <w:rPr>
          <w:rFonts w:cs="Times New Roman"/>
          <w:szCs w:val="24"/>
        </w:rPr>
        <w:t xml:space="preserve"> – as here – a claim was made in contract as well as in tort. There – as here – it was accepted that the contract claim was statute-barred. That was also the position in </w:t>
      </w:r>
      <w:r w:rsidR="001F4A4F" w:rsidRPr="00DE5E1C">
        <w:rPr>
          <w:rFonts w:cs="Times New Roman"/>
          <w:i/>
          <w:szCs w:val="24"/>
        </w:rPr>
        <w:t>Cantrell</w:t>
      </w:r>
      <w:r w:rsidR="001F4A4F">
        <w:rPr>
          <w:rFonts w:cs="Times New Roman"/>
          <w:szCs w:val="24"/>
        </w:rPr>
        <w:t>, where O’Donnell J reiterated his view that it is undesirable that there should be a difference in the running of the statute in what are identical claims, though framed in contract and in the tort of negligence and observed that it is “</w:t>
      </w:r>
      <w:r w:rsidR="001F4A4F" w:rsidRPr="0001763F">
        <w:rPr>
          <w:rFonts w:cs="Times New Roman"/>
          <w:i/>
          <w:szCs w:val="24"/>
        </w:rPr>
        <w:t>more than a little odd</w:t>
      </w:r>
      <w:r w:rsidR="001F4A4F">
        <w:rPr>
          <w:rFonts w:cs="Times New Roman"/>
          <w:szCs w:val="24"/>
        </w:rPr>
        <w:t xml:space="preserve">” that the same alleged wrongful act having the same consequences could in some cases be barred in contract before the cause of action in tort may have accrued (at para 147). I respectfully agree. </w:t>
      </w:r>
    </w:p>
    <w:p w14:paraId="6B152E7C" w14:textId="77777777" w:rsidR="00EE36CF" w:rsidRDefault="00EE36CF" w:rsidP="00EE36CF">
      <w:pPr>
        <w:pStyle w:val="ListParagraph"/>
        <w:spacing w:line="480" w:lineRule="auto"/>
        <w:rPr>
          <w:rFonts w:cs="Times New Roman"/>
          <w:szCs w:val="24"/>
        </w:rPr>
      </w:pPr>
    </w:p>
    <w:p w14:paraId="26A540D6" w14:textId="77777777" w:rsidR="00EB6BDD" w:rsidRPr="00CC0D0E" w:rsidRDefault="001F4A4F" w:rsidP="00CC0D0E">
      <w:pPr>
        <w:pStyle w:val="ListParagraph"/>
        <w:numPr>
          <w:ilvl w:val="0"/>
          <w:numId w:val="1"/>
        </w:numPr>
        <w:spacing w:line="480" w:lineRule="auto"/>
        <w:ind w:hanging="720"/>
        <w:rPr>
          <w:rFonts w:cs="Times New Roman"/>
          <w:szCs w:val="24"/>
        </w:rPr>
      </w:pPr>
      <w:r>
        <w:rPr>
          <w:rFonts w:cs="Times New Roman"/>
          <w:szCs w:val="24"/>
        </w:rPr>
        <w:t xml:space="preserve">Significant policy issues arise as to what limitation rules should apply to </w:t>
      </w:r>
      <w:r w:rsidR="00A66E50">
        <w:rPr>
          <w:rFonts w:cs="Times New Roman"/>
          <w:szCs w:val="24"/>
        </w:rPr>
        <w:t xml:space="preserve">claims in negligence for financial loss </w:t>
      </w:r>
      <w:r>
        <w:rPr>
          <w:rFonts w:cs="Times New Roman"/>
          <w:szCs w:val="24"/>
        </w:rPr>
        <w:t>and how such rules should interact with the rules applicable to claims in contract.</w:t>
      </w:r>
      <w:r w:rsidR="00831248">
        <w:rPr>
          <w:rFonts w:cs="Times New Roman"/>
          <w:szCs w:val="24"/>
        </w:rPr>
        <w:t xml:space="preserve"> Any detailed discussion of these issues is beyond the scope of this judgment. </w:t>
      </w:r>
      <w:r>
        <w:rPr>
          <w:rStyle w:val="FootnoteReference"/>
          <w:rFonts w:cs="Times New Roman"/>
          <w:szCs w:val="24"/>
        </w:rPr>
        <w:footnoteReference w:id="10"/>
      </w:r>
      <w:r>
        <w:rPr>
          <w:rFonts w:cs="Times New Roman"/>
          <w:szCs w:val="24"/>
        </w:rPr>
        <w:t xml:space="preserve"> </w:t>
      </w:r>
      <w:r w:rsidR="00912CF4">
        <w:rPr>
          <w:rFonts w:cs="Times New Roman"/>
          <w:szCs w:val="24"/>
        </w:rPr>
        <w:t xml:space="preserve">But whatever the policy choices that </w:t>
      </w:r>
      <w:r w:rsidR="00DE5E1C">
        <w:rPr>
          <w:rFonts w:cs="Times New Roman"/>
          <w:szCs w:val="24"/>
        </w:rPr>
        <w:t>may fall to</w:t>
      </w:r>
      <w:r w:rsidR="00912CF4">
        <w:rPr>
          <w:rFonts w:cs="Times New Roman"/>
          <w:szCs w:val="24"/>
        </w:rPr>
        <w:t xml:space="preserve"> be </w:t>
      </w:r>
      <w:r w:rsidR="00912CF4">
        <w:rPr>
          <w:rFonts w:cs="Times New Roman"/>
          <w:szCs w:val="24"/>
        </w:rPr>
        <w:lastRenderedPageBreak/>
        <w:t>made, th</w:t>
      </w:r>
      <w:r w:rsidR="00B65F76">
        <w:rPr>
          <w:rFonts w:cs="Times New Roman"/>
          <w:szCs w:val="24"/>
        </w:rPr>
        <w:t xml:space="preserve">e </w:t>
      </w:r>
      <w:r w:rsidR="00912CF4">
        <w:rPr>
          <w:rFonts w:cs="Times New Roman"/>
          <w:szCs w:val="24"/>
        </w:rPr>
        <w:t xml:space="preserve">fundamental </w:t>
      </w:r>
      <w:r w:rsidR="00B65F76">
        <w:rPr>
          <w:rFonts w:cs="Times New Roman"/>
          <w:szCs w:val="24"/>
        </w:rPr>
        <w:t>question of when time starts to run in respect of such</w:t>
      </w:r>
      <w:r w:rsidR="00B062E1">
        <w:rPr>
          <w:rFonts w:cs="Times New Roman"/>
          <w:szCs w:val="24"/>
        </w:rPr>
        <w:t xml:space="preserve"> a</w:t>
      </w:r>
      <w:r w:rsidR="00B65F76">
        <w:rPr>
          <w:rFonts w:cs="Times New Roman"/>
          <w:szCs w:val="24"/>
        </w:rPr>
        <w:t xml:space="preserve"> claim </w:t>
      </w:r>
      <w:r w:rsidR="00DE5E1C">
        <w:rPr>
          <w:rFonts w:cs="Times New Roman"/>
          <w:szCs w:val="24"/>
        </w:rPr>
        <w:t>ought to</w:t>
      </w:r>
      <w:r w:rsidR="00B65F76">
        <w:rPr>
          <w:rFonts w:cs="Times New Roman"/>
          <w:szCs w:val="24"/>
        </w:rPr>
        <w:t xml:space="preserve"> be capable of a clear answer. </w:t>
      </w:r>
      <w:r w:rsidR="00B062E1">
        <w:rPr>
          <w:rFonts w:cs="Times New Roman"/>
          <w:szCs w:val="24"/>
        </w:rPr>
        <w:t xml:space="preserve">Section 11(2)(a) </w:t>
      </w:r>
      <w:r w:rsidR="004355AB">
        <w:rPr>
          <w:rFonts w:cs="Times New Roman"/>
          <w:szCs w:val="24"/>
        </w:rPr>
        <w:t xml:space="preserve">signally </w:t>
      </w:r>
      <w:r w:rsidR="00912CF4">
        <w:rPr>
          <w:rFonts w:cs="Times New Roman"/>
          <w:szCs w:val="24"/>
        </w:rPr>
        <w:t xml:space="preserve">fails to </w:t>
      </w:r>
      <w:r w:rsidR="00B062E1">
        <w:rPr>
          <w:rFonts w:cs="Times New Roman"/>
          <w:szCs w:val="24"/>
        </w:rPr>
        <w:t>provid</w:t>
      </w:r>
      <w:r w:rsidR="00912CF4">
        <w:rPr>
          <w:rFonts w:cs="Times New Roman"/>
          <w:szCs w:val="24"/>
        </w:rPr>
        <w:t xml:space="preserve">e </w:t>
      </w:r>
      <w:r w:rsidR="00B062E1">
        <w:rPr>
          <w:rFonts w:cs="Times New Roman"/>
          <w:szCs w:val="24"/>
        </w:rPr>
        <w:t>such an answer. The resulting uncertainty is not in the interests of litigants. Neither is it in the public interest that significant court resources should have to be devoted to the resolution of limitation disputes such as that presented here</w:t>
      </w:r>
      <w:r w:rsidR="00B062E1" w:rsidRPr="004355AB">
        <w:rPr>
          <w:rFonts w:cs="Times New Roman"/>
          <w:b/>
          <w:szCs w:val="24"/>
        </w:rPr>
        <w:t xml:space="preserve">.  </w:t>
      </w:r>
      <w:r w:rsidR="00690B60" w:rsidRPr="00690B60">
        <w:rPr>
          <w:rFonts w:cs="Times New Roman"/>
          <w:szCs w:val="24"/>
        </w:rPr>
        <w:t>Limitation rules</w:t>
      </w:r>
      <w:r w:rsidR="00690B60">
        <w:rPr>
          <w:rFonts w:cs="Times New Roman"/>
          <w:b/>
          <w:szCs w:val="24"/>
        </w:rPr>
        <w:t xml:space="preserve"> </w:t>
      </w:r>
      <w:r w:rsidR="00690B60">
        <w:rPr>
          <w:rFonts w:cs="Times New Roman"/>
          <w:szCs w:val="24"/>
        </w:rPr>
        <w:t>are intended to bring certainty.</w:t>
      </w:r>
      <w:r w:rsidR="00BB231C">
        <w:rPr>
          <w:rStyle w:val="FootnoteReference"/>
          <w:rFonts w:cs="Times New Roman"/>
          <w:szCs w:val="24"/>
        </w:rPr>
        <w:footnoteReference w:id="11"/>
      </w:r>
      <w:r w:rsidR="00CC0D0E">
        <w:rPr>
          <w:rFonts w:cs="Times New Roman"/>
          <w:szCs w:val="24"/>
        </w:rPr>
        <w:t xml:space="preserve"> </w:t>
      </w:r>
      <w:r w:rsidR="00690B60" w:rsidRPr="00CC0D0E">
        <w:rPr>
          <w:rFonts w:cs="Times New Roman"/>
          <w:szCs w:val="24"/>
        </w:rPr>
        <w:t xml:space="preserve">Where, instead, </w:t>
      </w:r>
      <w:r w:rsidR="00917510" w:rsidRPr="00CC0D0E">
        <w:rPr>
          <w:rFonts w:cs="Times New Roman"/>
          <w:szCs w:val="24"/>
        </w:rPr>
        <w:t>those rules</w:t>
      </w:r>
      <w:r w:rsidR="00690B60" w:rsidRPr="00CC0D0E">
        <w:rPr>
          <w:rFonts w:cs="Times New Roman"/>
          <w:szCs w:val="24"/>
        </w:rPr>
        <w:t xml:space="preserve"> generate time-consuming and expensive satellite litigation, legislative intervention is obviously and urgently required.</w:t>
      </w:r>
    </w:p>
    <w:p w14:paraId="2CB519E6" w14:textId="77777777" w:rsidR="00912CF4" w:rsidRDefault="00912CF4">
      <w:pPr>
        <w:widowControl/>
        <w:spacing w:after="160" w:line="259" w:lineRule="auto"/>
        <w:jc w:val="left"/>
        <w:rPr>
          <w:rFonts w:cs="Times New Roman"/>
          <w:szCs w:val="24"/>
        </w:rPr>
      </w:pPr>
      <w:r>
        <w:rPr>
          <w:rFonts w:cs="Times New Roman"/>
          <w:szCs w:val="24"/>
        </w:rPr>
        <w:br w:type="page"/>
      </w:r>
    </w:p>
    <w:p w14:paraId="3AAF6353" w14:textId="77777777" w:rsidR="008003C2" w:rsidRPr="00912CF4" w:rsidRDefault="00912CF4" w:rsidP="00912CF4">
      <w:pPr>
        <w:pStyle w:val="ListParagraph"/>
        <w:spacing w:line="480" w:lineRule="auto"/>
        <w:ind w:left="0"/>
        <w:jc w:val="center"/>
        <w:rPr>
          <w:rFonts w:cs="Times New Roman"/>
          <w:b/>
          <w:szCs w:val="24"/>
        </w:rPr>
      </w:pPr>
      <w:r w:rsidRPr="00912CF4">
        <w:rPr>
          <w:rFonts w:cs="Times New Roman"/>
          <w:b/>
          <w:szCs w:val="24"/>
        </w:rPr>
        <w:lastRenderedPageBreak/>
        <w:t>THE FACTS</w:t>
      </w:r>
    </w:p>
    <w:p w14:paraId="758227AA" w14:textId="77777777" w:rsidR="00937101" w:rsidRDefault="00937101" w:rsidP="00937101">
      <w:pPr>
        <w:pStyle w:val="ListParagraph"/>
        <w:spacing w:line="480" w:lineRule="auto"/>
        <w:rPr>
          <w:rFonts w:cs="Times New Roman"/>
          <w:szCs w:val="24"/>
        </w:rPr>
      </w:pPr>
    </w:p>
    <w:p w14:paraId="1D388DA9" w14:textId="77777777" w:rsidR="00937101" w:rsidRPr="009042BF" w:rsidRDefault="00937101" w:rsidP="009042BF">
      <w:pPr>
        <w:pStyle w:val="ListParagraph"/>
        <w:numPr>
          <w:ilvl w:val="0"/>
          <w:numId w:val="1"/>
        </w:numPr>
        <w:spacing w:line="480" w:lineRule="auto"/>
        <w:ind w:hanging="720"/>
        <w:rPr>
          <w:rFonts w:cs="Times New Roman"/>
          <w:szCs w:val="24"/>
        </w:rPr>
      </w:pPr>
      <w:r>
        <w:rPr>
          <w:rFonts w:cs="Times New Roman"/>
          <w:szCs w:val="24"/>
        </w:rPr>
        <w:t>There is no dispute about the material facts and they can be set out relatively briefly. In April 2006 the Plaintiff and his then wife entered into negotiations with the Second and Third Defendants (</w:t>
      </w:r>
      <w:r w:rsidRPr="00937101">
        <w:rPr>
          <w:rFonts w:cs="Times New Roman"/>
          <w:i/>
          <w:szCs w:val="24"/>
        </w:rPr>
        <w:t>“the Vendors</w:t>
      </w:r>
      <w:r>
        <w:rPr>
          <w:rFonts w:cs="Times New Roman"/>
          <w:szCs w:val="24"/>
        </w:rPr>
        <w:t xml:space="preserve">”) for the purchase of a newly-constructed dwelling house at Gubadorish, Drumlish, County Leitrim </w:t>
      </w:r>
      <w:r w:rsidRPr="00A8043E">
        <w:rPr>
          <w:rFonts w:cs="Times New Roman"/>
          <w:szCs w:val="24"/>
        </w:rPr>
        <w:t>(</w:t>
      </w:r>
      <w:r w:rsidRPr="00937101">
        <w:rPr>
          <w:rFonts w:cs="Times New Roman"/>
          <w:i/>
          <w:szCs w:val="24"/>
        </w:rPr>
        <w:t>“the Property</w:t>
      </w:r>
      <w:r>
        <w:rPr>
          <w:rFonts w:cs="Times New Roman"/>
          <w:szCs w:val="24"/>
        </w:rPr>
        <w:t>”). Planning permission for the construction of the Property had been granted by Leitrim County Council on 4 March 2004 (</w:t>
      </w:r>
      <w:r w:rsidRPr="00937101">
        <w:rPr>
          <w:rFonts w:cs="Times New Roman"/>
          <w:i/>
          <w:szCs w:val="24"/>
        </w:rPr>
        <w:t>“the Planning Permission</w:t>
      </w:r>
      <w:r>
        <w:rPr>
          <w:rFonts w:cs="Times New Roman"/>
          <w:szCs w:val="24"/>
        </w:rPr>
        <w:t>”)</w:t>
      </w:r>
      <w:r w:rsidR="00690B60">
        <w:rPr>
          <w:rFonts w:cs="Times New Roman"/>
          <w:szCs w:val="24"/>
        </w:rPr>
        <w:t>,</w:t>
      </w:r>
      <w:r w:rsidR="005666A5">
        <w:rPr>
          <w:rFonts w:cs="Times New Roman"/>
          <w:szCs w:val="24"/>
        </w:rPr>
        <w:t xml:space="preserve"> subject to a number of conditions</w:t>
      </w:r>
      <w:r>
        <w:rPr>
          <w:rFonts w:cs="Times New Roman"/>
          <w:szCs w:val="24"/>
        </w:rPr>
        <w:t xml:space="preserve">. </w:t>
      </w:r>
      <w:r w:rsidR="00690B60">
        <w:rPr>
          <w:rFonts w:cs="Times New Roman"/>
          <w:szCs w:val="24"/>
        </w:rPr>
        <w:t>It appears that co</w:t>
      </w:r>
      <w:r>
        <w:rPr>
          <w:rFonts w:cs="Times New Roman"/>
          <w:szCs w:val="24"/>
        </w:rPr>
        <w:t>nstruction of the Property was</w:t>
      </w:r>
      <w:r w:rsidR="00690B60">
        <w:rPr>
          <w:rFonts w:cs="Times New Roman"/>
          <w:szCs w:val="24"/>
        </w:rPr>
        <w:t xml:space="preserve"> </w:t>
      </w:r>
      <w:r>
        <w:rPr>
          <w:rFonts w:cs="Times New Roman"/>
          <w:szCs w:val="24"/>
        </w:rPr>
        <w:t xml:space="preserve">completed in late 2005/early 2006 and </w:t>
      </w:r>
      <w:r w:rsidR="005666A5">
        <w:rPr>
          <w:rFonts w:cs="Times New Roman"/>
          <w:szCs w:val="24"/>
        </w:rPr>
        <w:t xml:space="preserve">on 23 March 2006 the First Defendant – </w:t>
      </w:r>
      <w:r w:rsidR="00B0238E">
        <w:rPr>
          <w:rFonts w:cs="Times New Roman"/>
          <w:szCs w:val="24"/>
        </w:rPr>
        <w:t>an</w:t>
      </w:r>
      <w:r w:rsidR="005666A5">
        <w:rPr>
          <w:rFonts w:cs="Times New Roman"/>
          <w:szCs w:val="24"/>
        </w:rPr>
        <w:t xml:space="preserve"> Engineer</w:t>
      </w:r>
      <w:r w:rsidR="00407B14">
        <w:rPr>
          <w:rFonts w:cs="Times New Roman"/>
          <w:szCs w:val="24"/>
        </w:rPr>
        <w:t xml:space="preserve"> </w:t>
      </w:r>
      <w:r w:rsidR="00B0238E">
        <w:rPr>
          <w:rFonts w:cs="Times New Roman"/>
          <w:szCs w:val="24"/>
        </w:rPr>
        <w:t xml:space="preserve">retained by the Vendors </w:t>
      </w:r>
      <w:r w:rsidR="00635EE4">
        <w:rPr>
          <w:rFonts w:cs="Times New Roman"/>
          <w:szCs w:val="24"/>
        </w:rPr>
        <w:t>–</w:t>
      </w:r>
      <w:r w:rsidR="005666A5">
        <w:rPr>
          <w:rFonts w:cs="Times New Roman"/>
          <w:szCs w:val="24"/>
        </w:rPr>
        <w:t xml:space="preserve"> </w:t>
      </w:r>
      <w:r w:rsidR="00635EE4">
        <w:rPr>
          <w:rFonts w:cs="Times New Roman"/>
          <w:szCs w:val="24"/>
        </w:rPr>
        <w:t>executed a</w:t>
      </w:r>
      <w:r w:rsidR="00635EE4" w:rsidRPr="00635EE4">
        <w:rPr>
          <w:rFonts w:cs="Times New Roman"/>
          <w:i/>
          <w:szCs w:val="24"/>
        </w:rPr>
        <w:t xml:space="preserve"> Certificate of Compliance with Planning Permission and Building Regulations</w:t>
      </w:r>
      <w:r w:rsidR="00635EE4">
        <w:rPr>
          <w:rFonts w:cs="Times New Roman"/>
          <w:i/>
          <w:szCs w:val="24"/>
        </w:rPr>
        <w:t xml:space="preserve"> </w:t>
      </w:r>
      <w:r w:rsidR="00635EE4">
        <w:rPr>
          <w:rFonts w:cs="Times New Roman"/>
          <w:szCs w:val="24"/>
        </w:rPr>
        <w:t>(“</w:t>
      </w:r>
      <w:r w:rsidR="00635EE4" w:rsidRPr="00635EE4">
        <w:rPr>
          <w:rFonts w:cs="Times New Roman"/>
          <w:i/>
          <w:szCs w:val="24"/>
        </w:rPr>
        <w:t>the Compliance Certificate</w:t>
      </w:r>
      <w:r w:rsidR="00635EE4">
        <w:rPr>
          <w:rFonts w:cs="Times New Roman"/>
          <w:szCs w:val="24"/>
        </w:rPr>
        <w:t>”).</w:t>
      </w:r>
      <w:r w:rsidR="00B0238E">
        <w:rPr>
          <w:rFonts w:cs="Times New Roman"/>
          <w:szCs w:val="24"/>
        </w:rPr>
        <w:t xml:space="preserve"> T</w:t>
      </w:r>
      <w:r w:rsidR="0095777B">
        <w:rPr>
          <w:rFonts w:cs="Times New Roman"/>
          <w:szCs w:val="24"/>
        </w:rPr>
        <w:t>he Compliance Certificate certified (</w:t>
      </w:r>
      <w:r w:rsidR="0095777B" w:rsidRPr="0095777B">
        <w:rPr>
          <w:rFonts w:cs="Times New Roman"/>
          <w:i/>
          <w:szCs w:val="24"/>
        </w:rPr>
        <w:t>inter alia</w:t>
      </w:r>
      <w:r w:rsidR="0095777B">
        <w:rPr>
          <w:rFonts w:cs="Times New Roman"/>
          <w:szCs w:val="24"/>
        </w:rPr>
        <w:t xml:space="preserve">) that the development of the Property was covered by the </w:t>
      </w:r>
      <w:r w:rsidR="009042BF">
        <w:rPr>
          <w:rFonts w:cs="Times New Roman"/>
          <w:szCs w:val="24"/>
        </w:rPr>
        <w:t>Planning P</w:t>
      </w:r>
      <w:r w:rsidR="0095777B">
        <w:rPr>
          <w:rFonts w:cs="Times New Roman"/>
          <w:szCs w:val="24"/>
        </w:rPr>
        <w:t xml:space="preserve">ermission and that, having inspected the site, it was the First Defendant’s opinion that </w:t>
      </w:r>
      <w:r w:rsidR="009042BF">
        <w:rPr>
          <w:rFonts w:cs="Times New Roman"/>
          <w:szCs w:val="24"/>
        </w:rPr>
        <w:t xml:space="preserve">the </w:t>
      </w:r>
      <w:r w:rsidR="0095777B">
        <w:rPr>
          <w:rFonts w:cs="Times New Roman"/>
          <w:szCs w:val="24"/>
        </w:rPr>
        <w:t xml:space="preserve">Property </w:t>
      </w:r>
      <w:r w:rsidR="004355AB">
        <w:rPr>
          <w:rFonts w:cs="Times New Roman"/>
          <w:szCs w:val="24"/>
        </w:rPr>
        <w:t xml:space="preserve">had been </w:t>
      </w:r>
      <w:r w:rsidR="0095777B">
        <w:rPr>
          <w:rFonts w:cs="Times New Roman"/>
          <w:szCs w:val="24"/>
        </w:rPr>
        <w:t>“</w:t>
      </w:r>
      <w:r w:rsidR="0095777B" w:rsidRPr="0095777B">
        <w:rPr>
          <w:rFonts w:cs="Times New Roman"/>
          <w:i/>
          <w:szCs w:val="24"/>
        </w:rPr>
        <w:t>constructed and completed in substantial compliance with</w:t>
      </w:r>
      <w:r w:rsidR="0095777B">
        <w:rPr>
          <w:rFonts w:cs="Times New Roman"/>
          <w:szCs w:val="24"/>
        </w:rPr>
        <w:t>” th</w:t>
      </w:r>
      <w:r w:rsidR="009042BF">
        <w:rPr>
          <w:rFonts w:cs="Times New Roman"/>
          <w:szCs w:val="24"/>
        </w:rPr>
        <w:t>e Planning P</w:t>
      </w:r>
      <w:r w:rsidR="0095777B" w:rsidRPr="009042BF">
        <w:rPr>
          <w:rFonts w:cs="Times New Roman"/>
          <w:szCs w:val="24"/>
        </w:rPr>
        <w:t xml:space="preserve">ermission. </w:t>
      </w:r>
      <w:r w:rsidR="00B0238E">
        <w:rPr>
          <w:rFonts w:cs="Times New Roman"/>
          <w:szCs w:val="24"/>
        </w:rPr>
        <w:t>It also certified substantial compliance with the Building Control Act 1990 and the Building Regulations made under that Act.</w:t>
      </w:r>
      <w:r w:rsidR="006304B7">
        <w:rPr>
          <w:rFonts w:cs="Times New Roman"/>
          <w:szCs w:val="24"/>
        </w:rPr>
        <w:t xml:space="preserve"> Though not apparent on the face of the Certificate, it appears </w:t>
      </w:r>
      <w:r w:rsidR="00520F02">
        <w:rPr>
          <w:rFonts w:cs="Times New Roman"/>
          <w:szCs w:val="24"/>
        </w:rPr>
        <w:t xml:space="preserve">from the Statement of Claim subsequently delivered in the proceedings </w:t>
      </w:r>
      <w:r w:rsidR="006304B7">
        <w:rPr>
          <w:rFonts w:cs="Times New Roman"/>
          <w:szCs w:val="24"/>
        </w:rPr>
        <w:t xml:space="preserve">that the </w:t>
      </w:r>
      <w:r w:rsidR="00520F02">
        <w:rPr>
          <w:rFonts w:cs="Times New Roman"/>
          <w:szCs w:val="24"/>
        </w:rPr>
        <w:t xml:space="preserve">First Defendant had made the application for planning </w:t>
      </w:r>
      <w:r w:rsidR="00E84D9C">
        <w:rPr>
          <w:rFonts w:cs="Times New Roman"/>
          <w:szCs w:val="24"/>
        </w:rPr>
        <w:t xml:space="preserve">permission </w:t>
      </w:r>
      <w:r w:rsidR="00520F02">
        <w:rPr>
          <w:rFonts w:cs="Times New Roman"/>
          <w:szCs w:val="24"/>
        </w:rPr>
        <w:t>(paragraph 15) and it is evident from the Certificate that he had inspected the development periodically in the course of construction.</w:t>
      </w:r>
    </w:p>
    <w:p w14:paraId="1D9F4B43" w14:textId="77777777" w:rsidR="00F667C2" w:rsidRDefault="00F667C2" w:rsidP="00F667C2">
      <w:pPr>
        <w:pStyle w:val="ListParagraph"/>
        <w:spacing w:line="480" w:lineRule="auto"/>
        <w:rPr>
          <w:rFonts w:cs="Times New Roman"/>
          <w:szCs w:val="24"/>
        </w:rPr>
      </w:pPr>
    </w:p>
    <w:p w14:paraId="03170C08" w14:textId="77777777" w:rsidR="00635EE4" w:rsidRPr="00DA0B68" w:rsidRDefault="00F667C2" w:rsidP="00DA0B68">
      <w:pPr>
        <w:pStyle w:val="ListParagraph"/>
        <w:numPr>
          <w:ilvl w:val="0"/>
          <w:numId w:val="1"/>
        </w:numPr>
        <w:spacing w:line="480" w:lineRule="auto"/>
        <w:ind w:hanging="720"/>
        <w:rPr>
          <w:rFonts w:cs="Times New Roman"/>
          <w:szCs w:val="24"/>
        </w:rPr>
      </w:pPr>
      <w:r>
        <w:rPr>
          <w:rFonts w:cs="Times New Roman"/>
          <w:szCs w:val="24"/>
        </w:rPr>
        <w:t xml:space="preserve">The </w:t>
      </w:r>
      <w:r w:rsidR="00635EE4">
        <w:rPr>
          <w:rFonts w:cs="Times New Roman"/>
          <w:szCs w:val="24"/>
        </w:rPr>
        <w:t xml:space="preserve">Plaintiff and his wife </w:t>
      </w:r>
      <w:r>
        <w:rPr>
          <w:rFonts w:cs="Times New Roman"/>
          <w:szCs w:val="24"/>
        </w:rPr>
        <w:t>agreed to</w:t>
      </w:r>
      <w:r w:rsidR="00635EE4">
        <w:rPr>
          <w:rFonts w:cs="Times New Roman"/>
          <w:szCs w:val="24"/>
        </w:rPr>
        <w:t xml:space="preserve"> buy the Property from the Vendors </w:t>
      </w:r>
      <w:r w:rsidR="00543826">
        <w:rPr>
          <w:rFonts w:cs="Times New Roman"/>
          <w:szCs w:val="24"/>
        </w:rPr>
        <w:t>for €240,000</w:t>
      </w:r>
      <w:r>
        <w:rPr>
          <w:rFonts w:cs="Times New Roman"/>
          <w:szCs w:val="24"/>
        </w:rPr>
        <w:t xml:space="preserve">, </w:t>
      </w:r>
      <w:r>
        <w:rPr>
          <w:rFonts w:cs="Times New Roman"/>
          <w:szCs w:val="24"/>
        </w:rPr>
        <w:lastRenderedPageBreak/>
        <w:t xml:space="preserve">the </w:t>
      </w:r>
      <w:r w:rsidR="00543826">
        <w:rPr>
          <w:rFonts w:cs="Times New Roman"/>
          <w:szCs w:val="24"/>
        </w:rPr>
        <w:t xml:space="preserve">purchase </w:t>
      </w:r>
      <w:r>
        <w:rPr>
          <w:rFonts w:cs="Times New Roman"/>
          <w:szCs w:val="24"/>
        </w:rPr>
        <w:t xml:space="preserve">being financed by </w:t>
      </w:r>
      <w:r w:rsidR="00543826">
        <w:rPr>
          <w:rFonts w:cs="Times New Roman"/>
          <w:szCs w:val="24"/>
        </w:rPr>
        <w:t xml:space="preserve">a mortgage with Start Mortgages. The </w:t>
      </w:r>
      <w:r w:rsidR="00274DAF">
        <w:rPr>
          <w:rFonts w:cs="Times New Roman"/>
          <w:szCs w:val="24"/>
        </w:rPr>
        <w:t>Fourth Defendants (“</w:t>
      </w:r>
      <w:r w:rsidR="00274DAF" w:rsidRPr="00274DAF">
        <w:rPr>
          <w:rFonts w:cs="Times New Roman"/>
          <w:i/>
          <w:szCs w:val="24"/>
        </w:rPr>
        <w:t xml:space="preserve">the </w:t>
      </w:r>
      <w:r w:rsidR="00543826" w:rsidRPr="00274DAF">
        <w:rPr>
          <w:rFonts w:cs="Times New Roman"/>
          <w:i/>
          <w:szCs w:val="24"/>
        </w:rPr>
        <w:t>Solicitor</w:t>
      </w:r>
      <w:r w:rsidR="003A338F" w:rsidRPr="00274DAF">
        <w:rPr>
          <w:rFonts w:cs="Times New Roman"/>
          <w:i/>
          <w:szCs w:val="24"/>
        </w:rPr>
        <w:t>s</w:t>
      </w:r>
      <w:r w:rsidR="00274DAF">
        <w:rPr>
          <w:rFonts w:cs="Times New Roman"/>
          <w:szCs w:val="24"/>
        </w:rPr>
        <w:t>”)</w:t>
      </w:r>
      <w:r w:rsidR="003A338F">
        <w:rPr>
          <w:rFonts w:cs="Times New Roman"/>
          <w:szCs w:val="24"/>
        </w:rPr>
        <w:t xml:space="preserve"> were </w:t>
      </w:r>
      <w:r w:rsidR="00543826">
        <w:rPr>
          <w:rFonts w:cs="Times New Roman"/>
          <w:szCs w:val="24"/>
        </w:rPr>
        <w:t>engaged by the Plaintiff and his wife to act for them in the transaction</w:t>
      </w:r>
      <w:r w:rsidR="00690B60">
        <w:rPr>
          <w:rFonts w:cs="Times New Roman"/>
          <w:szCs w:val="24"/>
        </w:rPr>
        <w:t>. A</w:t>
      </w:r>
      <w:r w:rsidR="00543826">
        <w:rPr>
          <w:rFonts w:cs="Times New Roman"/>
          <w:szCs w:val="24"/>
        </w:rPr>
        <w:t xml:space="preserve"> </w:t>
      </w:r>
      <w:r w:rsidR="00635EE4">
        <w:rPr>
          <w:rFonts w:cs="Times New Roman"/>
          <w:szCs w:val="24"/>
        </w:rPr>
        <w:t>contract was</w:t>
      </w:r>
      <w:r w:rsidR="00543826">
        <w:rPr>
          <w:rFonts w:cs="Times New Roman"/>
          <w:szCs w:val="24"/>
        </w:rPr>
        <w:t xml:space="preserve"> </w:t>
      </w:r>
      <w:r w:rsidR="00635EE4">
        <w:rPr>
          <w:rFonts w:cs="Times New Roman"/>
          <w:szCs w:val="24"/>
        </w:rPr>
        <w:t>executed on 13 June 2006</w:t>
      </w:r>
      <w:r w:rsidR="00436E4E">
        <w:rPr>
          <w:rFonts w:cs="Times New Roman"/>
          <w:szCs w:val="24"/>
        </w:rPr>
        <w:t xml:space="preserve">, with </w:t>
      </w:r>
      <w:r w:rsidR="00635EE4">
        <w:rPr>
          <w:rFonts w:cs="Times New Roman"/>
          <w:szCs w:val="24"/>
        </w:rPr>
        <w:t>the sale clos</w:t>
      </w:r>
      <w:r w:rsidR="00436E4E">
        <w:rPr>
          <w:rFonts w:cs="Times New Roman"/>
          <w:szCs w:val="24"/>
        </w:rPr>
        <w:t xml:space="preserve">ing </w:t>
      </w:r>
      <w:r w:rsidR="00635EE4">
        <w:rPr>
          <w:rFonts w:cs="Times New Roman"/>
          <w:szCs w:val="24"/>
        </w:rPr>
        <w:t xml:space="preserve">some 4 weeks later, on 12 July 2006. </w:t>
      </w:r>
      <w:r w:rsidR="00543826">
        <w:rPr>
          <w:rFonts w:cs="Times New Roman"/>
          <w:szCs w:val="24"/>
        </w:rPr>
        <w:t xml:space="preserve"> In due course, the Plaintiff and his wife were registered as full owners in the Land Registry and the Solicitor</w:t>
      </w:r>
      <w:r w:rsidR="00EF50DB">
        <w:rPr>
          <w:rFonts w:cs="Times New Roman"/>
          <w:szCs w:val="24"/>
        </w:rPr>
        <w:t>s</w:t>
      </w:r>
      <w:r w:rsidR="00543826">
        <w:rPr>
          <w:rFonts w:cs="Times New Roman"/>
          <w:szCs w:val="24"/>
        </w:rPr>
        <w:t xml:space="preserve"> certified their title to Start Mortgages </w:t>
      </w:r>
      <w:r w:rsidR="00436ED3">
        <w:rPr>
          <w:rFonts w:cs="Times New Roman"/>
          <w:szCs w:val="24"/>
        </w:rPr>
        <w:t xml:space="preserve">as required by </w:t>
      </w:r>
      <w:r w:rsidR="00543826">
        <w:rPr>
          <w:rFonts w:cs="Times New Roman"/>
          <w:szCs w:val="24"/>
        </w:rPr>
        <w:t>the condition</w:t>
      </w:r>
      <w:r w:rsidR="00436ED3">
        <w:rPr>
          <w:rFonts w:cs="Times New Roman"/>
          <w:szCs w:val="24"/>
        </w:rPr>
        <w:t>s</w:t>
      </w:r>
      <w:r w:rsidR="00543826">
        <w:rPr>
          <w:rFonts w:cs="Times New Roman"/>
          <w:szCs w:val="24"/>
        </w:rPr>
        <w:t xml:space="preserve"> of the mortgage funding.</w:t>
      </w:r>
      <w:r w:rsidR="00DA0B68">
        <w:rPr>
          <w:rFonts w:cs="Times New Roman"/>
          <w:szCs w:val="24"/>
        </w:rPr>
        <w:t xml:space="preserve"> It  appears that the Solicitors’ </w:t>
      </w:r>
      <w:r w:rsidR="00DA0B68" w:rsidRPr="00DA0B68">
        <w:rPr>
          <w:rFonts w:cs="Times New Roman"/>
          <w:szCs w:val="24"/>
        </w:rPr>
        <w:t xml:space="preserve">fees </w:t>
      </w:r>
      <w:r w:rsidR="00DA0B68">
        <w:rPr>
          <w:rFonts w:cs="Times New Roman"/>
          <w:szCs w:val="24"/>
        </w:rPr>
        <w:t xml:space="preserve">in respect of the transactions have </w:t>
      </w:r>
      <w:r w:rsidR="00EE36CF">
        <w:rPr>
          <w:rFonts w:cs="Times New Roman"/>
          <w:szCs w:val="24"/>
        </w:rPr>
        <w:t>never</w:t>
      </w:r>
      <w:r w:rsidR="00DA0B68">
        <w:rPr>
          <w:rFonts w:cs="Times New Roman"/>
          <w:szCs w:val="24"/>
        </w:rPr>
        <w:t xml:space="preserve"> been discharged.</w:t>
      </w:r>
    </w:p>
    <w:p w14:paraId="26353559" w14:textId="77777777" w:rsidR="00436E4E" w:rsidRDefault="00436E4E" w:rsidP="00436E4E">
      <w:pPr>
        <w:pStyle w:val="ListParagraph"/>
        <w:spacing w:line="480" w:lineRule="auto"/>
        <w:rPr>
          <w:rFonts w:cs="Times New Roman"/>
          <w:szCs w:val="24"/>
        </w:rPr>
      </w:pPr>
    </w:p>
    <w:p w14:paraId="624C51C7" w14:textId="77777777" w:rsidR="0042131F" w:rsidRDefault="00543826" w:rsidP="00543826">
      <w:pPr>
        <w:pStyle w:val="ListParagraph"/>
        <w:numPr>
          <w:ilvl w:val="0"/>
          <w:numId w:val="1"/>
        </w:numPr>
        <w:spacing w:line="480" w:lineRule="auto"/>
        <w:ind w:hanging="720"/>
        <w:rPr>
          <w:rFonts w:cs="Times New Roman"/>
          <w:szCs w:val="24"/>
        </w:rPr>
      </w:pPr>
      <w:r>
        <w:rPr>
          <w:rFonts w:cs="Times New Roman"/>
          <w:szCs w:val="24"/>
        </w:rPr>
        <w:t xml:space="preserve">Unfortunately, the Plaintiff’s marriage </w:t>
      </w:r>
      <w:r w:rsidR="00F95EAD">
        <w:rPr>
          <w:rFonts w:cs="Times New Roman"/>
          <w:szCs w:val="24"/>
        </w:rPr>
        <w:t xml:space="preserve">broke down in the course of 2007 and in early 2008 the Property was put back on the market. </w:t>
      </w:r>
      <w:r w:rsidR="00A83CBA">
        <w:rPr>
          <w:rFonts w:cs="Times New Roman"/>
          <w:szCs w:val="24"/>
        </w:rPr>
        <w:t xml:space="preserve">A buyer was quickly found and </w:t>
      </w:r>
      <w:r w:rsidR="0095777B">
        <w:rPr>
          <w:rFonts w:cs="Times New Roman"/>
          <w:szCs w:val="24"/>
        </w:rPr>
        <w:t xml:space="preserve">in </w:t>
      </w:r>
      <w:r w:rsidR="004C339C">
        <w:rPr>
          <w:rFonts w:cs="Times New Roman"/>
          <w:szCs w:val="24"/>
        </w:rPr>
        <w:t>May 2008 the Plaintiff and his wife signed a contract for the sale of the Property for €280,000</w:t>
      </w:r>
      <w:r w:rsidR="0095777B">
        <w:rPr>
          <w:rFonts w:cs="Times New Roman"/>
          <w:szCs w:val="24"/>
        </w:rPr>
        <w:t xml:space="preserve">. A different firm of solicitors acted </w:t>
      </w:r>
      <w:r w:rsidR="004B40E5">
        <w:rPr>
          <w:rFonts w:cs="Times New Roman"/>
          <w:szCs w:val="24"/>
        </w:rPr>
        <w:t>for the Plaintiff and his wife in this transaction.</w:t>
      </w:r>
    </w:p>
    <w:p w14:paraId="24EA23D9" w14:textId="77777777" w:rsidR="0042131F" w:rsidRDefault="0042131F" w:rsidP="0042131F">
      <w:pPr>
        <w:pStyle w:val="ListParagraph"/>
        <w:spacing w:line="480" w:lineRule="auto"/>
        <w:rPr>
          <w:rFonts w:cs="Times New Roman"/>
          <w:szCs w:val="24"/>
        </w:rPr>
      </w:pPr>
    </w:p>
    <w:p w14:paraId="456E0C88" w14:textId="77777777" w:rsidR="004B40E5" w:rsidRPr="00834975" w:rsidRDefault="004B40E5" w:rsidP="0042131F">
      <w:pPr>
        <w:pStyle w:val="ListParagraph"/>
        <w:numPr>
          <w:ilvl w:val="0"/>
          <w:numId w:val="1"/>
        </w:numPr>
        <w:spacing w:line="480" w:lineRule="auto"/>
        <w:ind w:hanging="720"/>
        <w:rPr>
          <w:rFonts w:cs="Times New Roman"/>
          <w:szCs w:val="24"/>
        </w:rPr>
      </w:pPr>
      <w:r w:rsidRPr="00834975">
        <w:rPr>
          <w:rFonts w:cs="Times New Roman"/>
          <w:szCs w:val="24"/>
        </w:rPr>
        <w:t xml:space="preserve">It </w:t>
      </w:r>
      <w:r w:rsidR="008B080F">
        <w:rPr>
          <w:rFonts w:cs="Times New Roman"/>
          <w:szCs w:val="24"/>
        </w:rPr>
        <w:t>appears</w:t>
      </w:r>
      <w:r w:rsidRPr="00834975">
        <w:rPr>
          <w:rFonts w:cs="Times New Roman"/>
          <w:szCs w:val="24"/>
        </w:rPr>
        <w:t xml:space="preserve"> that the </w:t>
      </w:r>
      <w:r w:rsidR="009042BF" w:rsidRPr="00834975">
        <w:rPr>
          <w:rFonts w:cs="Times New Roman"/>
          <w:szCs w:val="24"/>
        </w:rPr>
        <w:t>original</w:t>
      </w:r>
      <w:r w:rsidRPr="00834975">
        <w:rPr>
          <w:rFonts w:cs="Times New Roman"/>
          <w:szCs w:val="24"/>
        </w:rPr>
        <w:t xml:space="preserve"> </w:t>
      </w:r>
      <w:r w:rsidR="009042BF" w:rsidRPr="00834975">
        <w:rPr>
          <w:rFonts w:cs="Times New Roman"/>
          <w:szCs w:val="24"/>
        </w:rPr>
        <w:t>Planning Pe</w:t>
      </w:r>
      <w:r w:rsidRPr="00834975">
        <w:rPr>
          <w:rFonts w:cs="Times New Roman"/>
          <w:szCs w:val="24"/>
        </w:rPr>
        <w:t xml:space="preserve">rmission was not included in the papers </w:t>
      </w:r>
      <w:r w:rsidR="00834975" w:rsidRPr="00834975">
        <w:rPr>
          <w:rFonts w:cs="Times New Roman"/>
          <w:szCs w:val="24"/>
        </w:rPr>
        <w:t>made available</w:t>
      </w:r>
      <w:r w:rsidRPr="00834975">
        <w:rPr>
          <w:rFonts w:cs="Times New Roman"/>
          <w:szCs w:val="24"/>
        </w:rPr>
        <w:t xml:space="preserve"> to the new firm and the file did not contain receipts of payment in respect of financial contributions payable under the </w:t>
      </w:r>
      <w:r w:rsidR="008B080F">
        <w:rPr>
          <w:rFonts w:cs="Times New Roman"/>
          <w:szCs w:val="24"/>
        </w:rPr>
        <w:t>permission</w:t>
      </w:r>
      <w:r w:rsidRPr="00834975">
        <w:rPr>
          <w:rFonts w:cs="Times New Roman"/>
          <w:szCs w:val="24"/>
        </w:rPr>
        <w:t>. Th</w:t>
      </w:r>
      <w:r w:rsidR="008B080F">
        <w:rPr>
          <w:rFonts w:cs="Times New Roman"/>
          <w:szCs w:val="24"/>
        </w:rPr>
        <w:t>at led th</w:t>
      </w:r>
      <w:r w:rsidRPr="00834975">
        <w:rPr>
          <w:rFonts w:cs="Times New Roman"/>
          <w:szCs w:val="24"/>
        </w:rPr>
        <w:t xml:space="preserve">e new </w:t>
      </w:r>
      <w:r w:rsidR="008B080F">
        <w:rPr>
          <w:rFonts w:cs="Times New Roman"/>
          <w:szCs w:val="24"/>
        </w:rPr>
        <w:t>solicitors</w:t>
      </w:r>
      <w:r w:rsidRPr="00834975">
        <w:rPr>
          <w:rFonts w:cs="Times New Roman"/>
          <w:szCs w:val="24"/>
        </w:rPr>
        <w:t xml:space="preserve"> </w:t>
      </w:r>
      <w:r w:rsidR="008B080F">
        <w:rPr>
          <w:rFonts w:cs="Times New Roman"/>
          <w:szCs w:val="24"/>
        </w:rPr>
        <w:t>to seek</w:t>
      </w:r>
      <w:r w:rsidRPr="00834975">
        <w:rPr>
          <w:rFonts w:cs="Times New Roman"/>
          <w:szCs w:val="24"/>
        </w:rPr>
        <w:t xml:space="preserve"> confirmation of the position from</w:t>
      </w:r>
      <w:r w:rsidR="008B080F">
        <w:rPr>
          <w:rFonts w:cs="Times New Roman"/>
          <w:szCs w:val="24"/>
        </w:rPr>
        <w:t xml:space="preserve"> </w:t>
      </w:r>
      <w:r w:rsidRPr="00834975">
        <w:rPr>
          <w:rFonts w:cs="Times New Roman"/>
          <w:szCs w:val="24"/>
        </w:rPr>
        <w:t>Leitrim County Council</w:t>
      </w:r>
      <w:r w:rsidR="008B080F">
        <w:rPr>
          <w:rFonts w:cs="Times New Roman"/>
          <w:szCs w:val="24"/>
        </w:rPr>
        <w:t xml:space="preserve">, the Planning Authority </w:t>
      </w:r>
      <w:r w:rsidR="00ED14D2">
        <w:rPr>
          <w:rFonts w:cs="Times New Roman"/>
          <w:szCs w:val="24"/>
        </w:rPr>
        <w:t xml:space="preserve">that had granted </w:t>
      </w:r>
      <w:r w:rsidR="008B080F">
        <w:rPr>
          <w:rFonts w:cs="Times New Roman"/>
          <w:szCs w:val="24"/>
        </w:rPr>
        <w:t xml:space="preserve">the Planning Permission. </w:t>
      </w:r>
      <w:r w:rsidR="008B080F" w:rsidRPr="00834975">
        <w:rPr>
          <w:rFonts w:cs="Times New Roman"/>
          <w:szCs w:val="24"/>
        </w:rPr>
        <w:t xml:space="preserve"> </w:t>
      </w:r>
      <w:r w:rsidRPr="00834975">
        <w:rPr>
          <w:rFonts w:cs="Times New Roman"/>
          <w:szCs w:val="24"/>
        </w:rPr>
        <w:t xml:space="preserve">On 10 June 2008 the Council wrote to the new </w:t>
      </w:r>
      <w:r w:rsidR="008B080F">
        <w:rPr>
          <w:rFonts w:cs="Times New Roman"/>
          <w:szCs w:val="24"/>
        </w:rPr>
        <w:t>solicitors</w:t>
      </w:r>
      <w:r w:rsidRPr="00834975">
        <w:rPr>
          <w:rFonts w:cs="Times New Roman"/>
          <w:szCs w:val="24"/>
        </w:rPr>
        <w:t xml:space="preserve"> advising that all financial conditions were complied with at that stage. However, that letter went to </w:t>
      </w:r>
      <w:r w:rsidR="008B080F">
        <w:rPr>
          <w:rFonts w:cs="Times New Roman"/>
          <w:szCs w:val="24"/>
        </w:rPr>
        <w:t>state</w:t>
      </w:r>
      <w:r w:rsidRPr="00834975">
        <w:rPr>
          <w:rFonts w:cs="Times New Roman"/>
          <w:szCs w:val="24"/>
        </w:rPr>
        <w:t xml:space="preserve"> that:</w:t>
      </w:r>
    </w:p>
    <w:p w14:paraId="29E388F0" w14:textId="77777777" w:rsidR="004B40E5" w:rsidRDefault="004B40E5" w:rsidP="004B40E5">
      <w:pPr>
        <w:pStyle w:val="ListParagraph"/>
        <w:spacing w:line="480" w:lineRule="auto"/>
        <w:rPr>
          <w:rFonts w:cs="Times New Roman"/>
          <w:szCs w:val="24"/>
        </w:rPr>
      </w:pPr>
    </w:p>
    <w:p w14:paraId="19091643" w14:textId="77777777" w:rsidR="009042BF" w:rsidRPr="009042BF" w:rsidRDefault="004B40E5" w:rsidP="009042BF">
      <w:pPr>
        <w:pStyle w:val="ListParagraph"/>
        <w:spacing w:line="480" w:lineRule="auto"/>
        <w:ind w:left="1418"/>
        <w:rPr>
          <w:rFonts w:cs="Times New Roman"/>
          <w:szCs w:val="24"/>
        </w:rPr>
      </w:pPr>
      <w:r w:rsidRPr="009042BF">
        <w:rPr>
          <w:rFonts w:cs="Times New Roman"/>
          <w:i/>
          <w:szCs w:val="24"/>
        </w:rPr>
        <w:t xml:space="preserve">“Condition No 2 of the grant of permission has not been complied with. A </w:t>
      </w:r>
      <w:r w:rsidRPr="009042BF">
        <w:rPr>
          <w:rFonts w:cs="Times New Roman"/>
          <w:i/>
          <w:szCs w:val="24"/>
        </w:rPr>
        <w:lastRenderedPageBreak/>
        <w:t xml:space="preserve">revised dwelling design was required for the approval of the Planning Authority prior to the commencement of the development. </w:t>
      </w:r>
      <w:r w:rsidR="009042BF" w:rsidRPr="009042BF">
        <w:rPr>
          <w:rFonts w:cs="Times New Roman"/>
          <w:i/>
          <w:szCs w:val="24"/>
        </w:rPr>
        <w:t>This development is now considered unauthorised and the matter has been referred to the Bui</w:t>
      </w:r>
      <w:r w:rsidR="009042BF">
        <w:rPr>
          <w:rFonts w:cs="Times New Roman"/>
          <w:i/>
          <w:szCs w:val="24"/>
        </w:rPr>
        <w:t>l</w:t>
      </w:r>
      <w:r w:rsidR="009042BF" w:rsidRPr="009042BF">
        <w:rPr>
          <w:rFonts w:cs="Times New Roman"/>
          <w:i/>
          <w:szCs w:val="24"/>
        </w:rPr>
        <w:t>ding Control and Enforcement Office for his immediate attention.”</w:t>
      </w:r>
      <w:r w:rsidR="009042BF">
        <w:rPr>
          <w:rStyle w:val="FootnoteReference"/>
          <w:rFonts w:cs="Times New Roman"/>
          <w:i/>
          <w:szCs w:val="24"/>
        </w:rPr>
        <w:footnoteReference w:id="12"/>
      </w:r>
    </w:p>
    <w:p w14:paraId="0CA7CF3A" w14:textId="77777777" w:rsidR="009042BF" w:rsidRPr="009042BF" w:rsidRDefault="009042BF" w:rsidP="009042BF">
      <w:pPr>
        <w:pStyle w:val="ListParagraph"/>
        <w:spacing w:line="480" w:lineRule="auto"/>
        <w:ind w:left="1418"/>
        <w:rPr>
          <w:rFonts w:cs="Times New Roman"/>
          <w:i/>
          <w:szCs w:val="24"/>
        </w:rPr>
      </w:pPr>
    </w:p>
    <w:p w14:paraId="1CC5911B" w14:textId="77777777" w:rsidR="004B40E5" w:rsidRDefault="009042BF" w:rsidP="004B40E5">
      <w:pPr>
        <w:pStyle w:val="ListParagraph"/>
        <w:numPr>
          <w:ilvl w:val="0"/>
          <w:numId w:val="1"/>
        </w:numPr>
        <w:spacing w:line="480" w:lineRule="auto"/>
        <w:ind w:hanging="720"/>
        <w:rPr>
          <w:rFonts w:cs="Times New Roman"/>
          <w:szCs w:val="24"/>
        </w:rPr>
      </w:pPr>
      <w:r>
        <w:rPr>
          <w:rFonts w:cs="Times New Roman"/>
          <w:szCs w:val="24"/>
        </w:rPr>
        <w:t>This</w:t>
      </w:r>
      <w:r w:rsidR="008B080F">
        <w:rPr>
          <w:rFonts w:cs="Times New Roman"/>
          <w:szCs w:val="24"/>
        </w:rPr>
        <w:t xml:space="preserve"> unexpected and</w:t>
      </w:r>
      <w:r>
        <w:rPr>
          <w:rFonts w:cs="Times New Roman"/>
          <w:szCs w:val="24"/>
        </w:rPr>
        <w:t xml:space="preserve"> unwelcome </w:t>
      </w:r>
      <w:r w:rsidR="008B080F">
        <w:rPr>
          <w:rFonts w:cs="Times New Roman"/>
          <w:szCs w:val="24"/>
        </w:rPr>
        <w:t xml:space="preserve">development </w:t>
      </w:r>
      <w:r w:rsidR="00113BCF">
        <w:rPr>
          <w:rFonts w:cs="Times New Roman"/>
          <w:szCs w:val="24"/>
        </w:rPr>
        <w:t xml:space="preserve">had, of course, to be </w:t>
      </w:r>
      <w:r>
        <w:rPr>
          <w:rFonts w:cs="Times New Roman"/>
          <w:szCs w:val="24"/>
        </w:rPr>
        <w:t>disclosed to the solicitors acting for the intended purchasers</w:t>
      </w:r>
      <w:r w:rsidR="00690B60">
        <w:rPr>
          <w:rFonts w:cs="Times New Roman"/>
          <w:szCs w:val="24"/>
        </w:rPr>
        <w:t xml:space="preserve">. </w:t>
      </w:r>
      <w:r>
        <w:rPr>
          <w:rFonts w:cs="Times New Roman"/>
          <w:szCs w:val="24"/>
        </w:rPr>
        <w:t>At around the same time</w:t>
      </w:r>
      <w:r w:rsidR="00113BCF">
        <w:rPr>
          <w:rFonts w:cs="Times New Roman"/>
          <w:szCs w:val="24"/>
        </w:rPr>
        <w:t xml:space="preserve">, </w:t>
      </w:r>
      <w:r>
        <w:rPr>
          <w:rFonts w:cs="Times New Roman"/>
          <w:szCs w:val="24"/>
        </w:rPr>
        <w:t>the Planning Authority inspected the Property. It also appears that the First Defendant made a submission to the Planning Authority</w:t>
      </w:r>
      <w:r w:rsidR="00113BCF">
        <w:rPr>
          <w:rFonts w:cs="Times New Roman"/>
          <w:szCs w:val="24"/>
        </w:rPr>
        <w:t>, presumably with a view to persuading it that the Property as built was in fact compl</w:t>
      </w:r>
      <w:r w:rsidR="00E84D9C">
        <w:rPr>
          <w:rFonts w:cs="Times New Roman"/>
          <w:szCs w:val="24"/>
        </w:rPr>
        <w:t xml:space="preserve">iant </w:t>
      </w:r>
      <w:r w:rsidR="00113BCF">
        <w:rPr>
          <w:rFonts w:cs="Times New Roman"/>
          <w:szCs w:val="24"/>
        </w:rPr>
        <w:t>with the Planning Permission</w:t>
      </w:r>
      <w:r>
        <w:rPr>
          <w:rFonts w:cs="Times New Roman"/>
          <w:szCs w:val="24"/>
        </w:rPr>
        <w:t>. The upshot of that activity was a further letter from the Planning Authority</w:t>
      </w:r>
      <w:r w:rsidR="004206EA" w:rsidRPr="004206EA">
        <w:rPr>
          <w:rFonts w:cs="Times New Roman"/>
          <w:szCs w:val="24"/>
        </w:rPr>
        <w:t xml:space="preserve"> </w:t>
      </w:r>
      <w:r w:rsidR="004206EA">
        <w:rPr>
          <w:rFonts w:cs="Times New Roman"/>
          <w:szCs w:val="24"/>
        </w:rPr>
        <w:t>to the First Defendant</w:t>
      </w:r>
      <w:r>
        <w:rPr>
          <w:rFonts w:cs="Times New Roman"/>
          <w:szCs w:val="24"/>
        </w:rPr>
        <w:t xml:space="preserve">, </w:t>
      </w:r>
      <w:r w:rsidR="004206EA">
        <w:rPr>
          <w:rFonts w:cs="Times New Roman"/>
          <w:szCs w:val="24"/>
        </w:rPr>
        <w:t xml:space="preserve">dated 29 July 2008, </w:t>
      </w:r>
      <w:r>
        <w:rPr>
          <w:rFonts w:cs="Times New Roman"/>
          <w:szCs w:val="24"/>
        </w:rPr>
        <w:t xml:space="preserve">which </w:t>
      </w:r>
      <w:r w:rsidR="005A64EA">
        <w:rPr>
          <w:rFonts w:cs="Times New Roman"/>
          <w:szCs w:val="24"/>
        </w:rPr>
        <w:t xml:space="preserve">explained in more detail the concerns of the Planning Authority in relation to condition 2 </w:t>
      </w:r>
      <w:r w:rsidR="00113BCF">
        <w:rPr>
          <w:rFonts w:cs="Times New Roman"/>
          <w:szCs w:val="24"/>
        </w:rPr>
        <w:t xml:space="preserve">(including the fact that the windows that had been installed were </w:t>
      </w:r>
      <w:r w:rsidR="00113BCF" w:rsidRPr="00113BCF">
        <w:rPr>
          <w:rFonts w:cs="Times New Roman"/>
          <w:i/>
          <w:szCs w:val="24"/>
        </w:rPr>
        <w:t>“exactly the type of window”</w:t>
      </w:r>
      <w:r w:rsidR="00113BCF">
        <w:rPr>
          <w:rFonts w:cs="Times New Roman"/>
          <w:szCs w:val="24"/>
        </w:rPr>
        <w:t xml:space="preserve"> that had been </w:t>
      </w:r>
      <w:r w:rsidR="00113BCF" w:rsidRPr="00113BCF">
        <w:rPr>
          <w:rFonts w:cs="Times New Roman"/>
          <w:i/>
          <w:szCs w:val="24"/>
        </w:rPr>
        <w:t>“rejected at the planning application stage”</w:t>
      </w:r>
      <w:r w:rsidR="00113BCF" w:rsidRPr="00A8043E">
        <w:rPr>
          <w:rFonts w:cs="Times New Roman"/>
          <w:szCs w:val="24"/>
        </w:rPr>
        <w:t>)</w:t>
      </w:r>
      <w:r w:rsidR="00113BCF" w:rsidRPr="00113BCF">
        <w:rPr>
          <w:rFonts w:cs="Times New Roman"/>
          <w:i/>
          <w:szCs w:val="24"/>
        </w:rPr>
        <w:t xml:space="preserve"> </w:t>
      </w:r>
      <w:r w:rsidR="005A64EA">
        <w:rPr>
          <w:rFonts w:cs="Times New Roman"/>
          <w:szCs w:val="24"/>
        </w:rPr>
        <w:t>and identified</w:t>
      </w:r>
      <w:r>
        <w:rPr>
          <w:rFonts w:cs="Times New Roman"/>
          <w:szCs w:val="24"/>
        </w:rPr>
        <w:t xml:space="preserve"> a number of instances of non-compliance with </w:t>
      </w:r>
      <w:r w:rsidR="005A64EA">
        <w:rPr>
          <w:rFonts w:cs="Times New Roman"/>
          <w:szCs w:val="24"/>
        </w:rPr>
        <w:t>other conditions of the</w:t>
      </w:r>
      <w:r w:rsidR="000E7DB6">
        <w:rPr>
          <w:rFonts w:cs="Times New Roman"/>
          <w:szCs w:val="24"/>
        </w:rPr>
        <w:t xml:space="preserve"> </w:t>
      </w:r>
      <w:r>
        <w:rPr>
          <w:rFonts w:cs="Times New Roman"/>
          <w:szCs w:val="24"/>
        </w:rPr>
        <w:t xml:space="preserve">Planning Permission, </w:t>
      </w:r>
      <w:r w:rsidR="00690B60">
        <w:rPr>
          <w:rFonts w:cs="Times New Roman"/>
          <w:szCs w:val="24"/>
        </w:rPr>
        <w:t xml:space="preserve">over and above </w:t>
      </w:r>
      <w:r w:rsidR="00800651">
        <w:rPr>
          <w:rFonts w:cs="Times New Roman"/>
          <w:szCs w:val="24"/>
        </w:rPr>
        <w:t>the</w:t>
      </w:r>
      <w:r w:rsidR="004355AB">
        <w:rPr>
          <w:rFonts w:cs="Times New Roman"/>
          <w:szCs w:val="24"/>
        </w:rPr>
        <w:t xml:space="preserve"> previously identified</w:t>
      </w:r>
      <w:r w:rsidR="00800651">
        <w:rPr>
          <w:rFonts w:cs="Times New Roman"/>
          <w:szCs w:val="24"/>
        </w:rPr>
        <w:t xml:space="preserve"> </w:t>
      </w:r>
      <w:r>
        <w:rPr>
          <w:rFonts w:cs="Times New Roman"/>
          <w:szCs w:val="24"/>
        </w:rPr>
        <w:t>issue</w:t>
      </w:r>
      <w:r w:rsidR="008B080F">
        <w:rPr>
          <w:rFonts w:cs="Times New Roman"/>
          <w:szCs w:val="24"/>
        </w:rPr>
        <w:t>s</w:t>
      </w:r>
      <w:r>
        <w:rPr>
          <w:rFonts w:cs="Times New Roman"/>
          <w:szCs w:val="24"/>
        </w:rPr>
        <w:t xml:space="preserve"> relating to </w:t>
      </w:r>
      <w:r w:rsidR="005A64EA">
        <w:rPr>
          <w:rFonts w:cs="Times New Roman"/>
          <w:szCs w:val="24"/>
        </w:rPr>
        <w:t>c</w:t>
      </w:r>
      <w:r>
        <w:rPr>
          <w:rFonts w:cs="Times New Roman"/>
          <w:szCs w:val="24"/>
        </w:rPr>
        <w:t>ondition 2</w:t>
      </w:r>
      <w:r w:rsidR="00800651">
        <w:rPr>
          <w:rFonts w:cs="Times New Roman"/>
          <w:szCs w:val="24"/>
        </w:rPr>
        <w:t>.</w:t>
      </w:r>
      <w:r w:rsidR="000E7DB6">
        <w:rPr>
          <w:rFonts w:cs="Times New Roman"/>
          <w:szCs w:val="24"/>
        </w:rPr>
        <w:t xml:space="preserve"> Th</w:t>
      </w:r>
      <w:r w:rsidR="008426EB">
        <w:rPr>
          <w:rFonts w:cs="Times New Roman"/>
          <w:szCs w:val="24"/>
        </w:rPr>
        <w:t xml:space="preserve">e </w:t>
      </w:r>
      <w:r w:rsidR="000E7DB6">
        <w:rPr>
          <w:rFonts w:cs="Times New Roman"/>
          <w:szCs w:val="24"/>
        </w:rPr>
        <w:t xml:space="preserve">letter concluded by stating that </w:t>
      </w:r>
      <w:r w:rsidR="00690B60">
        <w:rPr>
          <w:rFonts w:cs="Times New Roman"/>
          <w:szCs w:val="24"/>
        </w:rPr>
        <w:t xml:space="preserve">the </w:t>
      </w:r>
      <w:r w:rsidR="000E7DB6">
        <w:rPr>
          <w:rFonts w:cs="Times New Roman"/>
          <w:szCs w:val="24"/>
        </w:rPr>
        <w:t>Authority could not turn a blind eye to such “</w:t>
      </w:r>
      <w:r w:rsidR="000E7DB6" w:rsidRPr="0042131F">
        <w:rPr>
          <w:rFonts w:cs="Times New Roman"/>
          <w:i/>
          <w:szCs w:val="24"/>
        </w:rPr>
        <w:t>transgressions</w:t>
      </w:r>
      <w:r w:rsidR="000E7DB6">
        <w:rPr>
          <w:rFonts w:cs="Times New Roman"/>
          <w:szCs w:val="24"/>
        </w:rPr>
        <w:t>” and that, unless the various matters were “</w:t>
      </w:r>
      <w:r w:rsidR="000E7DB6" w:rsidRPr="000E7DB6">
        <w:rPr>
          <w:rFonts w:cs="Times New Roman"/>
          <w:i/>
          <w:szCs w:val="24"/>
        </w:rPr>
        <w:t>resolved</w:t>
      </w:r>
      <w:r w:rsidR="000E7DB6">
        <w:rPr>
          <w:rFonts w:cs="Times New Roman"/>
          <w:szCs w:val="24"/>
        </w:rPr>
        <w:t xml:space="preserve">”, </w:t>
      </w:r>
      <w:r w:rsidR="000E7DB6" w:rsidRPr="000E7DB6">
        <w:rPr>
          <w:rFonts w:cs="Times New Roman"/>
          <w:i/>
          <w:szCs w:val="24"/>
        </w:rPr>
        <w:t>“the Authority will have no option other than to commence enforcement proceedings in respect of the development.”</w:t>
      </w:r>
      <w:r w:rsidR="000E7DB6">
        <w:rPr>
          <w:rFonts w:cs="Times New Roman"/>
          <w:i/>
          <w:szCs w:val="24"/>
        </w:rPr>
        <w:t xml:space="preserve"> </w:t>
      </w:r>
    </w:p>
    <w:p w14:paraId="625C72A7" w14:textId="77777777" w:rsidR="000E7DB6" w:rsidRDefault="000E7DB6" w:rsidP="000E7DB6">
      <w:pPr>
        <w:pStyle w:val="ListParagraph"/>
        <w:spacing w:line="480" w:lineRule="auto"/>
        <w:rPr>
          <w:rFonts w:cs="Times New Roman"/>
          <w:szCs w:val="24"/>
        </w:rPr>
      </w:pPr>
    </w:p>
    <w:p w14:paraId="0FA75334" w14:textId="77777777" w:rsidR="000E7DB6" w:rsidRDefault="00800651" w:rsidP="004B40E5">
      <w:pPr>
        <w:pStyle w:val="ListParagraph"/>
        <w:numPr>
          <w:ilvl w:val="0"/>
          <w:numId w:val="1"/>
        </w:numPr>
        <w:spacing w:line="480" w:lineRule="auto"/>
        <w:ind w:hanging="720"/>
        <w:rPr>
          <w:rFonts w:cs="Times New Roman"/>
          <w:szCs w:val="24"/>
        </w:rPr>
      </w:pPr>
      <w:r>
        <w:rPr>
          <w:rFonts w:cs="Times New Roman"/>
          <w:szCs w:val="24"/>
        </w:rPr>
        <w:t xml:space="preserve">The contract for sale of the Property was subject to certain conditions including a satisfactory planning search. In September 2008 the intended purchasers served a 28 day completion notice under General Condition 40. </w:t>
      </w:r>
      <w:r w:rsidR="00EE36CF">
        <w:rPr>
          <w:rFonts w:cs="Times New Roman"/>
          <w:szCs w:val="24"/>
        </w:rPr>
        <w:t xml:space="preserve">Due to </w:t>
      </w:r>
      <w:r>
        <w:rPr>
          <w:rFonts w:cs="Times New Roman"/>
          <w:szCs w:val="24"/>
        </w:rPr>
        <w:t>the planning issues that had emerged, the Plaintiff and his wife were not in a position to complete</w:t>
      </w:r>
      <w:r w:rsidR="00591190">
        <w:rPr>
          <w:rFonts w:cs="Times New Roman"/>
          <w:szCs w:val="24"/>
        </w:rPr>
        <w:t xml:space="preserve"> within the contractual period</w:t>
      </w:r>
      <w:r>
        <w:rPr>
          <w:rFonts w:cs="Times New Roman"/>
          <w:szCs w:val="24"/>
        </w:rPr>
        <w:t xml:space="preserve">. </w:t>
      </w:r>
      <w:r w:rsidR="0028042F">
        <w:rPr>
          <w:rFonts w:cs="Times New Roman"/>
          <w:szCs w:val="24"/>
        </w:rPr>
        <w:t xml:space="preserve">In October 2008, </w:t>
      </w:r>
      <w:r w:rsidR="00690B60">
        <w:rPr>
          <w:rFonts w:cs="Times New Roman"/>
          <w:szCs w:val="24"/>
        </w:rPr>
        <w:t>following</w:t>
      </w:r>
      <w:r w:rsidR="0028042F">
        <w:rPr>
          <w:rFonts w:cs="Times New Roman"/>
          <w:szCs w:val="24"/>
        </w:rPr>
        <w:t xml:space="preserve"> the expiry of the 28 day period</w:t>
      </w:r>
      <w:r w:rsidR="006F6260">
        <w:rPr>
          <w:rFonts w:cs="Times New Roman"/>
          <w:szCs w:val="24"/>
        </w:rPr>
        <w:t xml:space="preserve">, the purchasers decided not to proceed </w:t>
      </w:r>
      <w:r w:rsidR="0028042F">
        <w:rPr>
          <w:rFonts w:cs="Times New Roman"/>
          <w:szCs w:val="24"/>
        </w:rPr>
        <w:t xml:space="preserve">with the purchase </w:t>
      </w:r>
      <w:r w:rsidR="006F6260">
        <w:rPr>
          <w:rFonts w:cs="Times New Roman"/>
          <w:szCs w:val="24"/>
        </w:rPr>
        <w:t>and required the return of the</w:t>
      </w:r>
      <w:r w:rsidR="00690B60">
        <w:rPr>
          <w:rFonts w:cs="Times New Roman"/>
          <w:szCs w:val="24"/>
        </w:rPr>
        <w:t>ir</w:t>
      </w:r>
      <w:r w:rsidR="006F6260">
        <w:rPr>
          <w:rFonts w:cs="Times New Roman"/>
          <w:szCs w:val="24"/>
        </w:rPr>
        <w:t xml:space="preserve"> depos</w:t>
      </w:r>
      <w:r w:rsidR="00690B60">
        <w:rPr>
          <w:rFonts w:cs="Times New Roman"/>
          <w:szCs w:val="24"/>
        </w:rPr>
        <w:t>it</w:t>
      </w:r>
      <w:r w:rsidR="006F6260">
        <w:rPr>
          <w:rFonts w:cs="Times New Roman"/>
          <w:szCs w:val="24"/>
        </w:rPr>
        <w:t xml:space="preserve"> paid.</w:t>
      </w:r>
    </w:p>
    <w:p w14:paraId="212F9FE6" w14:textId="77777777" w:rsidR="00EF50DB" w:rsidRDefault="00EF50DB" w:rsidP="00EF50DB">
      <w:pPr>
        <w:pStyle w:val="ListParagraph"/>
        <w:spacing w:line="480" w:lineRule="auto"/>
        <w:rPr>
          <w:rFonts w:cs="Times New Roman"/>
          <w:szCs w:val="24"/>
        </w:rPr>
      </w:pPr>
    </w:p>
    <w:p w14:paraId="3B160243" w14:textId="77777777" w:rsidR="006F6260" w:rsidRDefault="00EF50DB" w:rsidP="004B40E5">
      <w:pPr>
        <w:pStyle w:val="ListParagraph"/>
        <w:numPr>
          <w:ilvl w:val="0"/>
          <w:numId w:val="1"/>
        </w:numPr>
        <w:spacing w:line="480" w:lineRule="auto"/>
        <w:ind w:hanging="720"/>
        <w:rPr>
          <w:rFonts w:cs="Times New Roman"/>
          <w:szCs w:val="24"/>
        </w:rPr>
      </w:pPr>
      <w:r w:rsidRPr="00EF50DB">
        <w:rPr>
          <w:rFonts w:cs="Times New Roman"/>
          <w:szCs w:val="24"/>
        </w:rPr>
        <w:t>Shortly after the withdrawal of those purchasers</w:t>
      </w:r>
      <w:r w:rsidR="0031754A">
        <w:rPr>
          <w:rFonts w:cs="Times New Roman"/>
          <w:szCs w:val="24"/>
        </w:rPr>
        <w:t xml:space="preserve"> </w:t>
      </w:r>
      <w:r w:rsidRPr="00EF50DB">
        <w:rPr>
          <w:rFonts w:cs="Times New Roman"/>
          <w:szCs w:val="24"/>
        </w:rPr>
        <w:t>the planning position was regularised by a grant of retention permission (evidently applied for by the Vendors</w:t>
      </w:r>
      <w:r w:rsidR="002D754A">
        <w:rPr>
          <w:rFonts w:cs="Times New Roman"/>
          <w:szCs w:val="24"/>
        </w:rPr>
        <w:t>, presumably with the consent of the Plaintiff</w:t>
      </w:r>
      <w:r w:rsidRPr="00EF50DB">
        <w:rPr>
          <w:rFonts w:cs="Times New Roman"/>
          <w:szCs w:val="24"/>
        </w:rPr>
        <w:t xml:space="preserve">). </w:t>
      </w:r>
      <w:r w:rsidR="00EE36CF">
        <w:rPr>
          <w:rFonts w:cs="Times New Roman"/>
          <w:szCs w:val="24"/>
        </w:rPr>
        <w:t>Such</w:t>
      </w:r>
      <w:r w:rsidR="00834975">
        <w:rPr>
          <w:rFonts w:cs="Times New Roman"/>
          <w:szCs w:val="24"/>
        </w:rPr>
        <w:t xml:space="preserve"> permission was granted on 5 November 2008. </w:t>
      </w:r>
      <w:r w:rsidRPr="00EF50DB">
        <w:rPr>
          <w:rFonts w:cs="Times New Roman"/>
          <w:szCs w:val="24"/>
        </w:rPr>
        <w:t>But, as it is put in the Plaintiff’s Replies to Particulars of 29 June 2015, by the time retention permission was obtained the property market “</w:t>
      </w:r>
      <w:r w:rsidRPr="00EF50DB">
        <w:rPr>
          <w:rFonts w:cs="Times New Roman"/>
          <w:i/>
          <w:szCs w:val="24"/>
        </w:rPr>
        <w:t>had slipped very substantially</w:t>
      </w:r>
      <w:r w:rsidRPr="00EF50DB">
        <w:rPr>
          <w:rFonts w:cs="Times New Roman"/>
          <w:szCs w:val="24"/>
        </w:rPr>
        <w:t xml:space="preserve">”. </w:t>
      </w:r>
      <w:r w:rsidR="00380ED9">
        <w:rPr>
          <w:rFonts w:cs="Times New Roman"/>
          <w:szCs w:val="24"/>
        </w:rPr>
        <w:t>By November 2008</w:t>
      </w:r>
      <w:r w:rsidR="007D09B8">
        <w:rPr>
          <w:rFonts w:cs="Times New Roman"/>
          <w:szCs w:val="24"/>
        </w:rPr>
        <w:t xml:space="preserve">, Ireland was fast in the grip of the financial crisis and the property market </w:t>
      </w:r>
      <w:r w:rsidR="00380ED9">
        <w:rPr>
          <w:rFonts w:cs="Times New Roman"/>
          <w:szCs w:val="24"/>
        </w:rPr>
        <w:t>was in precipitous decline</w:t>
      </w:r>
      <w:r w:rsidR="007D09B8">
        <w:rPr>
          <w:rFonts w:cs="Times New Roman"/>
          <w:szCs w:val="24"/>
        </w:rPr>
        <w:t xml:space="preserve">. </w:t>
      </w:r>
      <w:r w:rsidR="006F6260" w:rsidRPr="00EF50DB">
        <w:rPr>
          <w:rFonts w:cs="Times New Roman"/>
          <w:szCs w:val="24"/>
        </w:rPr>
        <w:t>The Property remained on the market but it did not sell. According to the Statement of Claim, it was valued at less than €100,000 in March 2010. Later in 2010 an order for possession was granted to Start Mortgages after the Plaintiff had become unemployed and could not keep up the mortgage repayments.</w:t>
      </w:r>
    </w:p>
    <w:p w14:paraId="566197A9" w14:textId="77777777" w:rsidR="004206EA" w:rsidRDefault="004206EA" w:rsidP="004206EA">
      <w:pPr>
        <w:pStyle w:val="ListParagraph"/>
        <w:spacing w:line="480" w:lineRule="auto"/>
        <w:rPr>
          <w:rFonts w:cs="Times New Roman"/>
          <w:szCs w:val="24"/>
        </w:rPr>
      </w:pPr>
    </w:p>
    <w:p w14:paraId="790407A2" w14:textId="77777777" w:rsidR="004206EA" w:rsidRPr="00EF50DB" w:rsidRDefault="004206EA" w:rsidP="004B40E5">
      <w:pPr>
        <w:pStyle w:val="ListParagraph"/>
        <w:numPr>
          <w:ilvl w:val="0"/>
          <w:numId w:val="1"/>
        </w:numPr>
        <w:spacing w:line="480" w:lineRule="auto"/>
        <w:ind w:hanging="720"/>
        <w:rPr>
          <w:rFonts w:cs="Times New Roman"/>
          <w:szCs w:val="24"/>
        </w:rPr>
      </w:pPr>
      <w:r>
        <w:rPr>
          <w:rFonts w:cs="Times New Roman"/>
          <w:szCs w:val="24"/>
        </w:rPr>
        <w:t xml:space="preserve">It is clear from the above narrative that, to the extent that the Solicitors acted negligently in their handling of the purchase of the Property (and the Solicitors deny any wrongdoing), such negligence occurred in the period up to 12 July 2006, when </w:t>
      </w:r>
      <w:r>
        <w:rPr>
          <w:rFonts w:cs="Times New Roman"/>
          <w:szCs w:val="24"/>
        </w:rPr>
        <w:lastRenderedPageBreak/>
        <w:t xml:space="preserve">the </w:t>
      </w:r>
      <w:r w:rsidR="005A64EA">
        <w:rPr>
          <w:rFonts w:cs="Times New Roman"/>
          <w:szCs w:val="24"/>
        </w:rPr>
        <w:t>purchase closed. The Solicitors had no subsequent involvement in relation to the Property. It is also clear that the planning issues that subsequently came to light in June/July 2008 were present at closing and were capable of being identified at that point (</w:t>
      </w:r>
      <w:r w:rsidR="00113BCF">
        <w:rPr>
          <w:rFonts w:cs="Times New Roman"/>
          <w:szCs w:val="24"/>
        </w:rPr>
        <w:t>even if</w:t>
      </w:r>
      <w:r w:rsidR="005A64EA">
        <w:rPr>
          <w:rFonts w:cs="Times New Roman"/>
          <w:szCs w:val="24"/>
        </w:rPr>
        <w:t xml:space="preserve"> the Plaintiff and his advisors were not aware of them). </w:t>
      </w:r>
      <w:r w:rsidR="00EE36CF">
        <w:rPr>
          <w:rFonts w:cs="Times New Roman"/>
          <w:szCs w:val="24"/>
        </w:rPr>
        <w:t>That is not in dispute.</w:t>
      </w:r>
    </w:p>
    <w:p w14:paraId="2AA5B881" w14:textId="77777777" w:rsidR="00113BCF" w:rsidRDefault="00113BCF">
      <w:pPr>
        <w:widowControl/>
        <w:spacing w:after="160" w:line="259" w:lineRule="auto"/>
        <w:jc w:val="left"/>
        <w:rPr>
          <w:rFonts w:cs="Times New Roman"/>
          <w:szCs w:val="24"/>
        </w:rPr>
      </w:pPr>
      <w:r>
        <w:rPr>
          <w:rFonts w:cs="Times New Roman"/>
          <w:szCs w:val="24"/>
        </w:rPr>
        <w:br w:type="page"/>
      </w:r>
    </w:p>
    <w:p w14:paraId="32A40102" w14:textId="77777777" w:rsidR="006F6260" w:rsidRDefault="006F6260" w:rsidP="006F6260">
      <w:pPr>
        <w:pStyle w:val="ListParagraph"/>
        <w:spacing w:line="480" w:lineRule="auto"/>
        <w:rPr>
          <w:rFonts w:cs="Times New Roman"/>
          <w:szCs w:val="24"/>
        </w:rPr>
      </w:pPr>
    </w:p>
    <w:p w14:paraId="58C782E4" w14:textId="77777777" w:rsidR="006F6260" w:rsidRPr="0042131F" w:rsidRDefault="006F6260" w:rsidP="00007730">
      <w:pPr>
        <w:pStyle w:val="ListParagraph"/>
        <w:spacing w:line="480" w:lineRule="auto"/>
        <w:ind w:left="0"/>
        <w:jc w:val="center"/>
        <w:rPr>
          <w:rFonts w:cs="Times New Roman"/>
          <w:b/>
          <w:caps/>
          <w:szCs w:val="24"/>
        </w:rPr>
      </w:pPr>
      <w:r w:rsidRPr="0042131F">
        <w:rPr>
          <w:rFonts w:cs="Times New Roman"/>
          <w:b/>
          <w:caps/>
          <w:szCs w:val="24"/>
        </w:rPr>
        <w:t>The Proceedings</w:t>
      </w:r>
      <w:r w:rsidR="0042131F">
        <w:rPr>
          <w:rFonts w:cs="Times New Roman"/>
          <w:b/>
          <w:caps/>
          <w:szCs w:val="24"/>
        </w:rPr>
        <w:t xml:space="preserve"> </w:t>
      </w:r>
    </w:p>
    <w:p w14:paraId="78F54482" w14:textId="77777777" w:rsidR="006F6260" w:rsidRDefault="006F6260" w:rsidP="006F6260">
      <w:pPr>
        <w:pStyle w:val="ListParagraph"/>
        <w:spacing w:line="480" w:lineRule="auto"/>
        <w:rPr>
          <w:rFonts w:cs="Times New Roman"/>
          <w:szCs w:val="24"/>
        </w:rPr>
      </w:pPr>
    </w:p>
    <w:p w14:paraId="74522DB4" w14:textId="77777777" w:rsidR="004B40E5" w:rsidRDefault="0028042F" w:rsidP="004B40E5">
      <w:pPr>
        <w:pStyle w:val="ListParagraph"/>
        <w:numPr>
          <w:ilvl w:val="0"/>
          <w:numId w:val="1"/>
        </w:numPr>
        <w:spacing w:line="480" w:lineRule="auto"/>
        <w:ind w:hanging="720"/>
        <w:rPr>
          <w:rFonts w:cs="Times New Roman"/>
          <w:szCs w:val="24"/>
        </w:rPr>
      </w:pPr>
      <w:r w:rsidRPr="005C19D1">
        <w:rPr>
          <w:rFonts w:cs="Times New Roman"/>
          <w:szCs w:val="24"/>
        </w:rPr>
        <w:t xml:space="preserve">These proceedings were commenced on </w:t>
      </w:r>
      <w:r w:rsidR="006F6260" w:rsidRPr="005C19D1">
        <w:rPr>
          <w:rFonts w:cs="Times New Roman"/>
          <w:szCs w:val="24"/>
        </w:rPr>
        <w:t>26 May 2014</w:t>
      </w:r>
      <w:r w:rsidRPr="005C19D1">
        <w:rPr>
          <w:rFonts w:cs="Times New Roman"/>
          <w:szCs w:val="24"/>
        </w:rPr>
        <w:t xml:space="preserve">. At that stage, almost 8 years had passed since the Plaintiff and his wife had </w:t>
      </w:r>
      <w:r w:rsidR="004355AB">
        <w:rPr>
          <w:rFonts w:cs="Times New Roman"/>
          <w:szCs w:val="24"/>
        </w:rPr>
        <w:t>purchased</w:t>
      </w:r>
      <w:r w:rsidRPr="005C19D1">
        <w:rPr>
          <w:rFonts w:cs="Times New Roman"/>
          <w:szCs w:val="24"/>
        </w:rPr>
        <w:t xml:space="preserve"> the Property</w:t>
      </w:r>
      <w:r w:rsidR="00E9342D">
        <w:rPr>
          <w:rFonts w:cs="Times New Roman"/>
          <w:szCs w:val="24"/>
        </w:rPr>
        <w:t>, a</w:t>
      </w:r>
      <w:r w:rsidRPr="005C19D1">
        <w:rPr>
          <w:rFonts w:cs="Times New Roman"/>
          <w:szCs w:val="24"/>
        </w:rPr>
        <w:t>lmost 6 years had passed since they had</w:t>
      </w:r>
      <w:r w:rsidR="0042131F">
        <w:rPr>
          <w:rFonts w:cs="Times New Roman"/>
          <w:szCs w:val="24"/>
        </w:rPr>
        <w:t xml:space="preserve"> first</w:t>
      </w:r>
      <w:r w:rsidRPr="005C19D1">
        <w:rPr>
          <w:rFonts w:cs="Times New Roman"/>
          <w:szCs w:val="24"/>
        </w:rPr>
        <w:t xml:space="preserve"> </w:t>
      </w:r>
      <w:r w:rsidR="00113BCF">
        <w:rPr>
          <w:rFonts w:cs="Times New Roman"/>
          <w:szCs w:val="24"/>
        </w:rPr>
        <w:t>become aware</w:t>
      </w:r>
      <w:r w:rsidRPr="005C19D1">
        <w:rPr>
          <w:rFonts w:cs="Times New Roman"/>
          <w:szCs w:val="24"/>
        </w:rPr>
        <w:t xml:space="preserve"> of the planning issues </w:t>
      </w:r>
      <w:r w:rsidR="005C19D1" w:rsidRPr="005C19D1">
        <w:rPr>
          <w:rFonts w:cs="Times New Roman"/>
          <w:szCs w:val="24"/>
        </w:rPr>
        <w:t>and more than 5½</w:t>
      </w:r>
      <w:r w:rsidRPr="005C19D1">
        <w:rPr>
          <w:rFonts w:cs="Times New Roman"/>
          <w:szCs w:val="24"/>
        </w:rPr>
        <w:t xml:space="preserve"> </w:t>
      </w:r>
      <w:r w:rsidR="005C19D1" w:rsidRPr="005C19D1">
        <w:rPr>
          <w:rFonts w:cs="Times New Roman"/>
          <w:szCs w:val="24"/>
        </w:rPr>
        <w:t>years had passed since th</w:t>
      </w:r>
      <w:r w:rsidR="003559DF">
        <w:rPr>
          <w:rFonts w:cs="Times New Roman"/>
          <w:szCs w:val="24"/>
        </w:rPr>
        <w:t xml:space="preserve">ose issues had </w:t>
      </w:r>
      <w:r w:rsidR="007A4E95">
        <w:rPr>
          <w:rFonts w:cs="Times New Roman"/>
          <w:szCs w:val="24"/>
        </w:rPr>
        <w:t>r</w:t>
      </w:r>
      <w:r w:rsidR="003559DF">
        <w:rPr>
          <w:rFonts w:cs="Times New Roman"/>
          <w:szCs w:val="24"/>
        </w:rPr>
        <w:t>esulted in the loss of the</w:t>
      </w:r>
      <w:r w:rsidR="005C19D1" w:rsidRPr="005C19D1">
        <w:rPr>
          <w:rFonts w:cs="Times New Roman"/>
          <w:szCs w:val="24"/>
        </w:rPr>
        <w:t xml:space="preserve"> sale of the Propert</w:t>
      </w:r>
      <w:r w:rsidR="003559DF">
        <w:rPr>
          <w:rFonts w:cs="Times New Roman"/>
          <w:szCs w:val="24"/>
        </w:rPr>
        <w:t>y</w:t>
      </w:r>
      <w:r w:rsidR="005C19D1" w:rsidRPr="005C19D1">
        <w:rPr>
          <w:rFonts w:cs="Times New Roman"/>
          <w:szCs w:val="24"/>
        </w:rPr>
        <w:t>. It is not apparent from the papers why there was such delay in bringing proceedings. The Solicitor</w:t>
      </w:r>
      <w:r w:rsidR="003A338F">
        <w:rPr>
          <w:rFonts w:cs="Times New Roman"/>
          <w:szCs w:val="24"/>
        </w:rPr>
        <w:t>s</w:t>
      </w:r>
      <w:r w:rsidR="005C19D1" w:rsidRPr="005C19D1">
        <w:rPr>
          <w:rFonts w:cs="Times New Roman"/>
          <w:szCs w:val="24"/>
        </w:rPr>
        <w:t xml:space="preserve"> make the point that, </w:t>
      </w:r>
      <w:r w:rsidR="00113BCF">
        <w:rPr>
          <w:rFonts w:cs="Times New Roman"/>
          <w:szCs w:val="24"/>
        </w:rPr>
        <w:t xml:space="preserve">on the premise that </w:t>
      </w:r>
      <w:r w:rsidR="004355AB">
        <w:rPr>
          <w:rFonts w:cs="Times New Roman"/>
          <w:szCs w:val="24"/>
        </w:rPr>
        <w:t>t</w:t>
      </w:r>
      <w:r w:rsidR="004355AB" w:rsidRPr="005C19D1">
        <w:rPr>
          <w:rFonts w:cs="Times New Roman"/>
          <w:szCs w:val="24"/>
        </w:rPr>
        <w:t xml:space="preserve">ime began to run for the purposes of the </w:t>
      </w:r>
      <w:r w:rsidR="00AC1382">
        <w:rPr>
          <w:rFonts w:cs="Times New Roman"/>
          <w:szCs w:val="24"/>
        </w:rPr>
        <w:t>1957 Act</w:t>
      </w:r>
      <w:r w:rsidR="004355AB">
        <w:rPr>
          <w:rFonts w:cs="Times New Roman"/>
          <w:szCs w:val="24"/>
        </w:rPr>
        <w:t xml:space="preserve"> </w:t>
      </w:r>
      <w:r w:rsidR="004355AB" w:rsidRPr="005C19D1">
        <w:rPr>
          <w:rFonts w:cs="Times New Roman"/>
          <w:szCs w:val="24"/>
        </w:rPr>
        <w:t>on 1</w:t>
      </w:r>
      <w:r w:rsidR="00034D7B">
        <w:rPr>
          <w:rFonts w:cs="Times New Roman"/>
          <w:szCs w:val="24"/>
        </w:rPr>
        <w:t>2</w:t>
      </w:r>
      <w:r w:rsidR="004355AB" w:rsidRPr="005C19D1">
        <w:rPr>
          <w:rFonts w:cs="Times New Roman"/>
          <w:szCs w:val="24"/>
        </w:rPr>
        <w:t xml:space="preserve"> July 2006 (the date</w:t>
      </w:r>
      <w:r w:rsidR="00034D7B">
        <w:rPr>
          <w:rFonts w:cs="Times New Roman"/>
          <w:szCs w:val="24"/>
        </w:rPr>
        <w:t xml:space="preserve"> on which </w:t>
      </w:r>
      <w:r w:rsidR="004355AB" w:rsidRPr="005C19D1">
        <w:rPr>
          <w:rFonts w:cs="Times New Roman"/>
          <w:szCs w:val="24"/>
        </w:rPr>
        <w:t>the Plaintiff’s purchase of the Property</w:t>
      </w:r>
      <w:r w:rsidR="00034D7B">
        <w:rPr>
          <w:rFonts w:cs="Times New Roman"/>
          <w:szCs w:val="24"/>
        </w:rPr>
        <w:t xml:space="preserve"> compl</w:t>
      </w:r>
      <w:r w:rsidR="0038680B">
        <w:rPr>
          <w:rFonts w:cs="Times New Roman"/>
          <w:szCs w:val="24"/>
        </w:rPr>
        <w:t>eted</w:t>
      </w:r>
      <w:r w:rsidR="004355AB" w:rsidRPr="005C19D1">
        <w:rPr>
          <w:rFonts w:cs="Times New Roman"/>
          <w:szCs w:val="24"/>
        </w:rPr>
        <w:t>)</w:t>
      </w:r>
      <w:r w:rsidR="004355AB">
        <w:rPr>
          <w:rFonts w:cs="Times New Roman"/>
          <w:szCs w:val="24"/>
        </w:rPr>
        <w:t xml:space="preserve"> - </w:t>
      </w:r>
      <w:r w:rsidR="005C19D1">
        <w:rPr>
          <w:rFonts w:cs="Times New Roman"/>
          <w:szCs w:val="24"/>
        </w:rPr>
        <w:t>as the Solicitor</w:t>
      </w:r>
      <w:r w:rsidR="003A338F">
        <w:rPr>
          <w:rFonts w:cs="Times New Roman"/>
          <w:szCs w:val="24"/>
        </w:rPr>
        <w:t>s</w:t>
      </w:r>
      <w:r w:rsidR="005C19D1">
        <w:rPr>
          <w:rFonts w:cs="Times New Roman"/>
          <w:szCs w:val="24"/>
        </w:rPr>
        <w:t xml:space="preserve"> urge </w:t>
      </w:r>
      <w:r w:rsidR="00422667">
        <w:rPr>
          <w:rFonts w:cs="Times New Roman"/>
          <w:szCs w:val="24"/>
        </w:rPr>
        <w:t xml:space="preserve">is the </w:t>
      </w:r>
      <w:r w:rsidR="00E9342D">
        <w:rPr>
          <w:rFonts w:cs="Times New Roman"/>
          <w:szCs w:val="24"/>
        </w:rPr>
        <w:t>position</w:t>
      </w:r>
      <w:r w:rsidR="00422667">
        <w:rPr>
          <w:rFonts w:cs="Times New Roman"/>
          <w:szCs w:val="24"/>
        </w:rPr>
        <w:t xml:space="preserve"> </w:t>
      </w:r>
      <w:r w:rsidR="005C19D1">
        <w:rPr>
          <w:rFonts w:cs="Times New Roman"/>
          <w:szCs w:val="24"/>
        </w:rPr>
        <w:t xml:space="preserve">- </w:t>
      </w:r>
      <w:r w:rsidR="005C19D1" w:rsidRPr="005C19D1">
        <w:rPr>
          <w:rFonts w:cs="Times New Roman"/>
          <w:szCs w:val="24"/>
        </w:rPr>
        <w:t>the Plaintiff had until 1</w:t>
      </w:r>
      <w:r w:rsidR="00C06AFA">
        <w:rPr>
          <w:rFonts w:cs="Times New Roman"/>
          <w:szCs w:val="24"/>
        </w:rPr>
        <w:t>1</w:t>
      </w:r>
      <w:r w:rsidR="005C19D1" w:rsidRPr="005C19D1">
        <w:rPr>
          <w:rFonts w:cs="Times New Roman"/>
          <w:szCs w:val="24"/>
        </w:rPr>
        <w:t xml:space="preserve"> July 2012 to bring proceedings. He therefore had a period of over 4 years following the disclosure of the planning issues in which to sue and a period in excess of 3½ years after the collapse of the sale </w:t>
      </w:r>
      <w:r w:rsidR="004355AB">
        <w:rPr>
          <w:rFonts w:cs="Times New Roman"/>
          <w:szCs w:val="24"/>
        </w:rPr>
        <w:t xml:space="preserve">in which to </w:t>
      </w:r>
      <w:r w:rsidR="005C19D1" w:rsidRPr="005C19D1">
        <w:rPr>
          <w:rFonts w:cs="Times New Roman"/>
          <w:szCs w:val="24"/>
        </w:rPr>
        <w:t xml:space="preserve">do so. </w:t>
      </w:r>
      <w:r w:rsidR="00422667">
        <w:rPr>
          <w:rFonts w:cs="Times New Roman"/>
          <w:szCs w:val="24"/>
        </w:rPr>
        <w:t xml:space="preserve">This is not, </w:t>
      </w:r>
      <w:r w:rsidR="00007730">
        <w:rPr>
          <w:rFonts w:cs="Times New Roman"/>
          <w:szCs w:val="24"/>
        </w:rPr>
        <w:t>the Solicitor</w:t>
      </w:r>
      <w:r w:rsidR="003A338F">
        <w:rPr>
          <w:rFonts w:cs="Times New Roman"/>
          <w:szCs w:val="24"/>
        </w:rPr>
        <w:t>s</w:t>
      </w:r>
      <w:r w:rsidR="00007730">
        <w:rPr>
          <w:rFonts w:cs="Times New Roman"/>
          <w:szCs w:val="24"/>
        </w:rPr>
        <w:t xml:space="preserve"> </w:t>
      </w:r>
      <w:r w:rsidR="00422667">
        <w:rPr>
          <w:rFonts w:cs="Times New Roman"/>
          <w:szCs w:val="24"/>
        </w:rPr>
        <w:t>emphasise, a case in which</w:t>
      </w:r>
      <w:r w:rsidR="00007730">
        <w:rPr>
          <w:rFonts w:cs="Times New Roman"/>
          <w:szCs w:val="24"/>
        </w:rPr>
        <w:t xml:space="preserve"> t</w:t>
      </w:r>
      <w:r w:rsidR="00422667">
        <w:rPr>
          <w:rFonts w:cs="Times New Roman"/>
          <w:szCs w:val="24"/>
        </w:rPr>
        <w:t xml:space="preserve">he Plaintiff’s claim was statute-barred before he was ever aware that he had such a claim. </w:t>
      </w:r>
    </w:p>
    <w:p w14:paraId="0FB0439C" w14:textId="77777777" w:rsidR="00422667" w:rsidRDefault="00422667" w:rsidP="00422667">
      <w:pPr>
        <w:pStyle w:val="ListParagraph"/>
        <w:spacing w:line="480" w:lineRule="auto"/>
        <w:rPr>
          <w:rFonts w:cs="Times New Roman"/>
          <w:szCs w:val="24"/>
        </w:rPr>
      </w:pPr>
    </w:p>
    <w:p w14:paraId="781E7CD4" w14:textId="77777777" w:rsidR="00422667" w:rsidRDefault="00422667" w:rsidP="004B40E5">
      <w:pPr>
        <w:pStyle w:val="ListParagraph"/>
        <w:numPr>
          <w:ilvl w:val="0"/>
          <w:numId w:val="1"/>
        </w:numPr>
        <w:spacing w:line="480" w:lineRule="auto"/>
        <w:ind w:hanging="720"/>
        <w:rPr>
          <w:rFonts w:cs="Times New Roman"/>
          <w:szCs w:val="24"/>
        </w:rPr>
      </w:pPr>
      <w:r>
        <w:rPr>
          <w:rFonts w:cs="Times New Roman"/>
          <w:szCs w:val="24"/>
        </w:rPr>
        <w:t xml:space="preserve">In any event, a Statement of Claim was delivered in August 2014. </w:t>
      </w:r>
      <w:r w:rsidR="00A928E9">
        <w:rPr>
          <w:rFonts w:cs="Times New Roman"/>
          <w:szCs w:val="24"/>
        </w:rPr>
        <w:t xml:space="preserve">It pleads that the </w:t>
      </w:r>
      <w:r>
        <w:rPr>
          <w:rFonts w:cs="Times New Roman"/>
          <w:szCs w:val="24"/>
        </w:rPr>
        <w:t>Solicitor</w:t>
      </w:r>
      <w:r w:rsidR="00CF6534">
        <w:rPr>
          <w:rFonts w:cs="Times New Roman"/>
          <w:szCs w:val="24"/>
        </w:rPr>
        <w:t>s</w:t>
      </w:r>
      <w:r w:rsidR="00A928E9">
        <w:rPr>
          <w:rFonts w:cs="Times New Roman"/>
          <w:szCs w:val="24"/>
        </w:rPr>
        <w:t xml:space="preserve"> (</w:t>
      </w:r>
      <w:r w:rsidR="00A928E9" w:rsidRPr="00A928E9">
        <w:rPr>
          <w:rFonts w:cs="Times New Roman"/>
          <w:i/>
          <w:szCs w:val="24"/>
        </w:rPr>
        <w:t>inter alia</w:t>
      </w:r>
      <w:r w:rsidR="00A928E9">
        <w:rPr>
          <w:rFonts w:cs="Times New Roman"/>
          <w:szCs w:val="24"/>
        </w:rPr>
        <w:t>) “</w:t>
      </w:r>
      <w:r w:rsidR="00A928E9" w:rsidRPr="00A928E9">
        <w:rPr>
          <w:rFonts w:cs="Times New Roman"/>
          <w:i/>
          <w:szCs w:val="24"/>
        </w:rPr>
        <w:t>failed to ensure the Plaintiff got a good marketable title to the premises</w:t>
      </w:r>
      <w:r w:rsidR="00A928E9">
        <w:rPr>
          <w:rFonts w:cs="Times New Roman"/>
          <w:szCs w:val="24"/>
        </w:rPr>
        <w:t>” and “</w:t>
      </w:r>
      <w:r w:rsidR="00A928E9" w:rsidRPr="00A928E9">
        <w:rPr>
          <w:rFonts w:cs="Times New Roman"/>
          <w:i/>
          <w:szCs w:val="24"/>
        </w:rPr>
        <w:t>failed to ensure that all legal preconditions were met to enable the Plaintiff to receive a good marketable title</w:t>
      </w:r>
      <w:r w:rsidR="00A928E9">
        <w:rPr>
          <w:rFonts w:cs="Times New Roman"/>
          <w:szCs w:val="24"/>
        </w:rPr>
        <w:t>”</w:t>
      </w:r>
      <w:r w:rsidR="007A4E95">
        <w:rPr>
          <w:rFonts w:cs="Times New Roman"/>
          <w:szCs w:val="24"/>
        </w:rPr>
        <w:t>. In Replies to Particulars dated 29 June 2015, it is said that the Solicitor</w:t>
      </w:r>
      <w:r w:rsidR="003A338F">
        <w:rPr>
          <w:rFonts w:cs="Times New Roman"/>
          <w:szCs w:val="24"/>
        </w:rPr>
        <w:t>s</w:t>
      </w:r>
      <w:r w:rsidR="007A4E95">
        <w:rPr>
          <w:rFonts w:cs="Times New Roman"/>
          <w:szCs w:val="24"/>
        </w:rPr>
        <w:t xml:space="preserve"> failed to advise the Plaintiff and his wife to retain their own engineer to establish that the Property was in compliance with the Planning Permission. If that had been done – so it is </w:t>
      </w:r>
      <w:r w:rsidR="004355AB">
        <w:rPr>
          <w:rFonts w:cs="Times New Roman"/>
          <w:szCs w:val="24"/>
        </w:rPr>
        <w:t>pleaded</w:t>
      </w:r>
      <w:r w:rsidR="007A4E95">
        <w:rPr>
          <w:rFonts w:cs="Times New Roman"/>
          <w:szCs w:val="24"/>
        </w:rPr>
        <w:t xml:space="preserve"> – the “</w:t>
      </w:r>
      <w:r w:rsidR="007A4E95" w:rsidRPr="007A4E95">
        <w:rPr>
          <w:rFonts w:cs="Times New Roman"/>
          <w:i/>
          <w:szCs w:val="24"/>
        </w:rPr>
        <w:t xml:space="preserve">defect on title and the fact </w:t>
      </w:r>
      <w:r w:rsidR="007A4E95" w:rsidRPr="007A4E95">
        <w:rPr>
          <w:rFonts w:cs="Times New Roman"/>
          <w:i/>
          <w:szCs w:val="24"/>
        </w:rPr>
        <w:lastRenderedPageBreak/>
        <w:t>that the dwelling house was not built in accordance with the terms and conditions of Planning Permission would have been immediately flagged.”</w:t>
      </w:r>
      <w:r w:rsidR="007A4E95">
        <w:rPr>
          <w:rFonts w:cs="Times New Roman"/>
          <w:szCs w:val="24"/>
        </w:rPr>
        <w:t xml:space="preserve"> Separately, it is said that the Solicitor</w:t>
      </w:r>
      <w:r w:rsidR="003A338F">
        <w:rPr>
          <w:rFonts w:cs="Times New Roman"/>
          <w:szCs w:val="24"/>
        </w:rPr>
        <w:t>s</w:t>
      </w:r>
      <w:r w:rsidR="007A4E95">
        <w:rPr>
          <w:rFonts w:cs="Times New Roman"/>
          <w:szCs w:val="24"/>
        </w:rPr>
        <w:t xml:space="preserve"> should have conducted planning searches which</w:t>
      </w:r>
      <w:r w:rsidR="00E9342D">
        <w:rPr>
          <w:rFonts w:cs="Times New Roman"/>
          <w:szCs w:val="24"/>
        </w:rPr>
        <w:t>, if carried out,</w:t>
      </w:r>
      <w:r w:rsidR="007A4E95">
        <w:rPr>
          <w:rFonts w:cs="Times New Roman"/>
          <w:szCs w:val="24"/>
        </w:rPr>
        <w:t xml:space="preserve"> would have disclosed the correct position. </w:t>
      </w:r>
    </w:p>
    <w:p w14:paraId="44A7C3F5" w14:textId="77777777" w:rsidR="00EF50DB" w:rsidRDefault="00EF50DB" w:rsidP="00EF50DB">
      <w:pPr>
        <w:pStyle w:val="ListParagraph"/>
        <w:spacing w:line="480" w:lineRule="auto"/>
        <w:rPr>
          <w:rFonts w:cs="Times New Roman"/>
          <w:szCs w:val="24"/>
        </w:rPr>
      </w:pPr>
    </w:p>
    <w:p w14:paraId="73155A0E" w14:textId="77777777" w:rsidR="00CF6534" w:rsidRPr="00EA542D" w:rsidRDefault="00CF6534" w:rsidP="00EA542D">
      <w:pPr>
        <w:pStyle w:val="ListParagraph"/>
        <w:numPr>
          <w:ilvl w:val="0"/>
          <w:numId w:val="1"/>
        </w:numPr>
        <w:spacing w:line="480" w:lineRule="auto"/>
        <w:ind w:hanging="720"/>
        <w:rPr>
          <w:rFonts w:cs="Times New Roman"/>
          <w:szCs w:val="24"/>
        </w:rPr>
      </w:pPr>
      <w:r>
        <w:rPr>
          <w:rFonts w:cs="Times New Roman"/>
          <w:szCs w:val="24"/>
        </w:rPr>
        <w:t xml:space="preserve">In </w:t>
      </w:r>
      <w:r w:rsidR="004355AB">
        <w:rPr>
          <w:rFonts w:cs="Times New Roman"/>
          <w:szCs w:val="24"/>
        </w:rPr>
        <w:t>their</w:t>
      </w:r>
      <w:r>
        <w:rPr>
          <w:rFonts w:cs="Times New Roman"/>
          <w:szCs w:val="24"/>
        </w:rPr>
        <w:t xml:space="preserve"> Defence, the Solicitor</w:t>
      </w:r>
      <w:r w:rsidR="003A338F">
        <w:rPr>
          <w:rFonts w:cs="Times New Roman"/>
          <w:szCs w:val="24"/>
        </w:rPr>
        <w:t>s</w:t>
      </w:r>
      <w:r>
        <w:rPr>
          <w:rFonts w:cs="Times New Roman"/>
          <w:szCs w:val="24"/>
        </w:rPr>
        <w:t xml:space="preserve"> plead that the claim against </w:t>
      </w:r>
      <w:r w:rsidR="003A338F">
        <w:rPr>
          <w:rFonts w:cs="Times New Roman"/>
          <w:szCs w:val="24"/>
        </w:rPr>
        <w:t>them</w:t>
      </w:r>
      <w:r>
        <w:rPr>
          <w:rFonts w:cs="Times New Roman"/>
          <w:szCs w:val="24"/>
        </w:rPr>
        <w:t xml:space="preserve"> is statute-barred. By way of substantive defence, </w:t>
      </w:r>
      <w:r w:rsidR="003A338F">
        <w:rPr>
          <w:rFonts w:cs="Times New Roman"/>
          <w:szCs w:val="24"/>
        </w:rPr>
        <w:t>they plead</w:t>
      </w:r>
      <w:r>
        <w:rPr>
          <w:rFonts w:cs="Times New Roman"/>
          <w:szCs w:val="24"/>
        </w:rPr>
        <w:t xml:space="preserve"> that </w:t>
      </w:r>
      <w:r w:rsidR="003A338F">
        <w:rPr>
          <w:rFonts w:cs="Times New Roman"/>
          <w:szCs w:val="24"/>
        </w:rPr>
        <w:t>they were</w:t>
      </w:r>
      <w:r w:rsidR="0042131F">
        <w:rPr>
          <w:rFonts w:cs="Times New Roman"/>
          <w:szCs w:val="24"/>
        </w:rPr>
        <w:t xml:space="preserve"> </w:t>
      </w:r>
      <w:r>
        <w:rPr>
          <w:rFonts w:cs="Times New Roman"/>
          <w:szCs w:val="24"/>
        </w:rPr>
        <w:t>entitled to rely on the Compliance Certificate issued by the First Defendant. In addition, the Solicitor</w:t>
      </w:r>
      <w:r w:rsidR="003A338F">
        <w:rPr>
          <w:rFonts w:cs="Times New Roman"/>
          <w:szCs w:val="24"/>
        </w:rPr>
        <w:t>s</w:t>
      </w:r>
      <w:r>
        <w:rPr>
          <w:rFonts w:cs="Times New Roman"/>
          <w:szCs w:val="24"/>
        </w:rPr>
        <w:t xml:space="preserve"> plead that </w:t>
      </w:r>
      <w:r w:rsidR="003A338F">
        <w:rPr>
          <w:rFonts w:cs="Times New Roman"/>
          <w:szCs w:val="24"/>
        </w:rPr>
        <w:t>t</w:t>
      </w:r>
      <w:r>
        <w:rPr>
          <w:rFonts w:cs="Times New Roman"/>
          <w:szCs w:val="24"/>
        </w:rPr>
        <w:t>he</w:t>
      </w:r>
      <w:r w:rsidR="003A338F">
        <w:rPr>
          <w:rFonts w:cs="Times New Roman"/>
          <w:szCs w:val="24"/>
        </w:rPr>
        <w:t xml:space="preserve">y were </w:t>
      </w:r>
      <w:r>
        <w:rPr>
          <w:rFonts w:cs="Times New Roman"/>
          <w:szCs w:val="24"/>
        </w:rPr>
        <w:t>entitled to rely on Replies to Requisitions furnished by the Vendors’ solicitors to the effect that there was no “</w:t>
      </w:r>
      <w:r w:rsidRPr="00CF6534">
        <w:rPr>
          <w:rFonts w:cs="Times New Roman"/>
          <w:i/>
          <w:szCs w:val="24"/>
        </w:rPr>
        <w:t>unauthorised development”.</w:t>
      </w:r>
      <w:r w:rsidR="007B5C5B">
        <w:rPr>
          <w:rStyle w:val="FootnoteReference"/>
          <w:rFonts w:cs="Times New Roman"/>
          <w:szCs w:val="24"/>
        </w:rPr>
        <w:footnoteReference w:id="13"/>
      </w:r>
      <w:r w:rsidR="00EA542D">
        <w:rPr>
          <w:rFonts w:cs="Times New Roman"/>
          <w:szCs w:val="24"/>
        </w:rPr>
        <w:t xml:space="preserve">  However, for the purposes of this preliminary issue, the Plaintiff’s claim against the Solicitors has to </w:t>
      </w:r>
      <w:r w:rsidR="00EA542D" w:rsidRPr="00EA542D">
        <w:rPr>
          <w:rFonts w:cs="Times New Roman"/>
          <w:szCs w:val="24"/>
        </w:rPr>
        <w:t xml:space="preserve">be taken at its height and it must therefore be assumed that </w:t>
      </w:r>
      <w:r w:rsidR="00EA542D">
        <w:rPr>
          <w:rFonts w:cs="Times New Roman"/>
          <w:szCs w:val="24"/>
        </w:rPr>
        <w:t xml:space="preserve">he </w:t>
      </w:r>
      <w:r w:rsidR="00EE36CF">
        <w:rPr>
          <w:rFonts w:cs="Times New Roman"/>
          <w:szCs w:val="24"/>
        </w:rPr>
        <w:t>would</w:t>
      </w:r>
      <w:r w:rsidR="00EA542D">
        <w:rPr>
          <w:rFonts w:cs="Times New Roman"/>
          <w:szCs w:val="24"/>
        </w:rPr>
        <w:t xml:space="preserve"> succeed in that claim at trial.</w:t>
      </w:r>
      <w:r w:rsidR="00EA542D" w:rsidRPr="00EA542D">
        <w:rPr>
          <w:rFonts w:cs="Times New Roman"/>
          <w:szCs w:val="24"/>
        </w:rPr>
        <w:t xml:space="preserve"> </w:t>
      </w:r>
    </w:p>
    <w:p w14:paraId="152CB2F1" w14:textId="77777777" w:rsidR="00CF6534" w:rsidRDefault="00CF6534" w:rsidP="00CF6534">
      <w:pPr>
        <w:pStyle w:val="ListParagraph"/>
        <w:spacing w:line="480" w:lineRule="auto"/>
        <w:rPr>
          <w:rFonts w:cs="Times New Roman"/>
          <w:szCs w:val="24"/>
        </w:rPr>
      </w:pPr>
    </w:p>
    <w:p w14:paraId="6ED971BC" w14:textId="77777777" w:rsidR="00CF6534" w:rsidRDefault="00CF6534" w:rsidP="00CF6534">
      <w:pPr>
        <w:pStyle w:val="ListParagraph"/>
        <w:numPr>
          <w:ilvl w:val="0"/>
          <w:numId w:val="1"/>
        </w:numPr>
        <w:spacing w:line="480" w:lineRule="auto"/>
        <w:ind w:hanging="720"/>
        <w:rPr>
          <w:rFonts w:cs="Times New Roman"/>
          <w:szCs w:val="24"/>
        </w:rPr>
      </w:pPr>
      <w:r>
        <w:rPr>
          <w:rFonts w:cs="Times New Roman"/>
          <w:szCs w:val="24"/>
        </w:rPr>
        <w:t xml:space="preserve">No Reply appears to have been delivered by the Plaintiff but he did raise particulars of the Solicitors’ Defence and paragraph 1 of that document is worthy of note in that it suggests that the Plaintiff’s position at that stage was that time had </w:t>
      </w:r>
      <w:r w:rsidR="00E9342D">
        <w:rPr>
          <w:rFonts w:cs="Times New Roman"/>
          <w:szCs w:val="24"/>
        </w:rPr>
        <w:t>started</w:t>
      </w:r>
      <w:r>
        <w:rPr>
          <w:rFonts w:cs="Times New Roman"/>
          <w:szCs w:val="24"/>
        </w:rPr>
        <w:t xml:space="preserve"> to run in </w:t>
      </w:r>
      <w:r w:rsidR="00DD03DC">
        <w:rPr>
          <w:rFonts w:cs="Times New Roman"/>
          <w:szCs w:val="24"/>
        </w:rPr>
        <w:t>“</w:t>
      </w:r>
      <w:r w:rsidRPr="00DD03DC">
        <w:rPr>
          <w:rFonts w:cs="Times New Roman"/>
          <w:i/>
          <w:szCs w:val="24"/>
        </w:rPr>
        <w:t>June 2014</w:t>
      </w:r>
      <w:r w:rsidR="00DD03DC">
        <w:rPr>
          <w:rFonts w:cs="Times New Roman"/>
          <w:szCs w:val="24"/>
        </w:rPr>
        <w:t>”</w:t>
      </w:r>
      <w:r w:rsidR="00034D7B">
        <w:rPr>
          <w:rFonts w:cs="Times New Roman"/>
          <w:szCs w:val="24"/>
        </w:rPr>
        <w:t xml:space="preserve">, </w:t>
      </w:r>
      <w:r>
        <w:rPr>
          <w:rFonts w:cs="Times New Roman"/>
          <w:szCs w:val="24"/>
        </w:rPr>
        <w:t>on the basis that the “</w:t>
      </w:r>
      <w:r w:rsidRPr="00CF6534">
        <w:rPr>
          <w:rFonts w:cs="Times New Roman"/>
          <w:i/>
          <w:szCs w:val="24"/>
        </w:rPr>
        <w:t>defects</w:t>
      </w:r>
      <w:r>
        <w:rPr>
          <w:rFonts w:cs="Times New Roman"/>
          <w:szCs w:val="24"/>
        </w:rPr>
        <w:t>” were not reasonably discoverable before then. The paragraph is in the following terms:</w:t>
      </w:r>
    </w:p>
    <w:p w14:paraId="26ED1D41" w14:textId="77777777" w:rsidR="00CF6534" w:rsidRDefault="00CF6534" w:rsidP="00CF6534">
      <w:pPr>
        <w:pStyle w:val="ListParagraph"/>
        <w:spacing w:line="480" w:lineRule="auto"/>
        <w:rPr>
          <w:rFonts w:cs="Times New Roman"/>
          <w:szCs w:val="24"/>
        </w:rPr>
      </w:pPr>
    </w:p>
    <w:p w14:paraId="71880613" w14:textId="77777777" w:rsidR="00584031" w:rsidRDefault="00CF6534" w:rsidP="00584031">
      <w:pPr>
        <w:pStyle w:val="ListParagraph"/>
        <w:spacing w:line="480" w:lineRule="auto"/>
        <w:ind w:left="1418"/>
        <w:rPr>
          <w:rFonts w:cs="Times New Roman"/>
          <w:i/>
          <w:szCs w:val="24"/>
        </w:rPr>
      </w:pPr>
      <w:r w:rsidRPr="00584031">
        <w:rPr>
          <w:rFonts w:cs="Times New Roman"/>
          <w:i/>
          <w:szCs w:val="24"/>
        </w:rPr>
        <w:lastRenderedPageBreak/>
        <w:t>“In view of the clear facts herein that the Plaintiffs could not reasonably be aware of the defects the subject-matter of these Proceedings until in or around June 2014 explain how it is alleged that the Statu</w:t>
      </w:r>
      <w:r w:rsidR="00380ED9">
        <w:rPr>
          <w:rFonts w:cs="Times New Roman"/>
          <w:i/>
          <w:szCs w:val="24"/>
        </w:rPr>
        <w:t>t</w:t>
      </w:r>
      <w:r w:rsidRPr="00584031">
        <w:rPr>
          <w:rFonts w:cs="Times New Roman"/>
          <w:i/>
          <w:szCs w:val="24"/>
        </w:rPr>
        <w:t>e of Limitations 1957 can be relied upon.”</w:t>
      </w:r>
    </w:p>
    <w:p w14:paraId="0A5E0157" w14:textId="77777777" w:rsidR="00584031" w:rsidRDefault="00584031" w:rsidP="00584031">
      <w:pPr>
        <w:pStyle w:val="ListParagraph"/>
        <w:spacing w:line="480" w:lineRule="auto"/>
        <w:ind w:left="1418"/>
        <w:rPr>
          <w:rFonts w:cs="Times New Roman"/>
          <w:i/>
          <w:szCs w:val="24"/>
        </w:rPr>
      </w:pPr>
    </w:p>
    <w:p w14:paraId="53661296" w14:textId="77777777" w:rsidR="00E9342D" w:rsidRDefault="00DD03DC" w:rsidP="00E9342D">
      <w:pPr>
        <w:pStyle w:val="ListParagraph"/>
        <w:spacing w:line="480" w:lineRule="auto"/>
        <w:ind w:left="709"/>
        <w:rPr>
          <w:rFonts w:cs="Times New Roman"/>
          <w:szCs w:val="24"/>
        </w:rPr>
      </w:pPr>
      <w:r>
        <w:rPr>
          <w:rFonts w:cs="Times New Roman"/>
          <w:szCs w:val="24"/>
        </w:rPr>
        <w:t xml:space="preserve">The reference to June </w:t>
      </w:r>
      <w:r w:rsidRPr="00DD03DC">
        <w:rPr>
          <w:rFonts w:cs="Times New Roman"/>
          <w:i/>
          <w:szCs w:val="24"/>
        </w:rPr>
        <w:t>2014</w:t>
      </w:r>
      <w:r>
        <w:rPr>
          <w:rFonts w:cs="Times New Roman"/>
          <w:szCs w:val="24"/>
        </w:rPr>
        <w:t xml:space="preserve"> appears to be an error and it seems that the reference should be to June </w:t>
      </w:r>
      <w:r w:rsidRPr="00DD03DC">
        <w:rPr>
          <w:rFonts w:cs="Times New Roman"/>
          <w:i/>
          <w:szCs w:val="24"/>
        </w:rPr>
        <w:t>2008</w:t>
      </w:r>
      <w:r>
        <w:rPr>
          <w:rFonts w:cs="Times New Roman"/>
          <w:szCs w:val="24"/>
        </w:rPr>
        <w:t xml:space="preserve">. </w:t>
      </w:r>
      <w:r w:rsidR="00F2411B">
        <w:rPr>
          <w:rFonts w:cs="Times New Roman"/>
          <w:szCs w:val="24"/>
        </w:rPr>
        <w:t xml:space="preserve">There is no dispute that the Plaintiff became aware of the </w:t>
      </w:r>
      <w:r w:rsidR="00F2411B" w:rsidRPr="00F2411B">
        <w:rPr>
          <w:rFonts w:cs="Times New Roman"/>
          <w:i/>
          <w:szCs w:val="24"/>
        </w:rPr>
        <w:t>“</w:t>
      </w:r>
      <w:r w:rsidR="00A8043E">
        <w:rPr>
          <w:rFonts w:cs="Times New Roman"/>
          <w:i/>
          <w:szCs w:val="24"/>
        </w:rPr>
        <w:t>d</w:t>
      </w:r>
      <w:r w:rsidR="00F2411B" w:rsidRPr="00F2411B">
        <w:rPr>
          <w:rFonts w:cs="Times New Roman"/>
          <w:i/>
          <w:szCs w:val="24"/>
        </w:rPr>
        <w:t>efects the subject-matter of these Proceedings</w:t>
      </w:r>
      <w:r w:rsidR="00F2411B">
        <w:rPr>
          <w:rFonts w:cs="Times New Roman"/>
          <w:szCs w:val="24"/>
        </w:rPr>
        <w:t xml:space="preserve">” at that time which of course serves to highlight the unexplained failure to bring those proceedings until May </w:t>
      </w:r>
      <w:r w:rsidR="00F2411B" w:rsidRPr="00F2411B">
        <w:rPr>
          <w:rFonts w:cs="Times New Roman"/>
          <w:i/>
          <w:szCs w:val="24"/>
        </w:rPr>
        <w:t>2014</w:t>
      </w:r>
      <w:r w:rsidR="00F2411B">
        <w:rPr>
          <w:rFonts w:cs="Times New Roman"/>
          <w:szCs w:val="24"/>
        </w:rPr>
        <w:t>.</w:t>
      </w:r>
    </w:p>
    <w:p w14:paraId="0DE3F63D" w14:textId="77777777" w:rsidR="00D44971" w:rsidRDefault="00D44971" w:rsidP="00E9342D">
      <w:pPr>
        <w:pStyle w:val="ListParagraph"/>
        <w:spacing w:line="480" w:lineRule="auto"/>
        <w:ind w:left="709"/>
        <w:rPr>
          <w:rFonts w:cs="Times New Roman"/>
          <w:szCs w:val="24"/>
        </w:rPr>
      </w:pPr>
    </w:p>
    <w:p w14:paraId="7D6A2B4B" w14:textId="77777777" w:rsidR="00D44971" w:rsidRDefault="00D44971" w:rsidP="00D44971">
      <w:pPr>
        <w:pStyle w:val="ListParagraph"/>
        <w:numPr>
          <w:ilvl w:val="0"/>
          <w:numId w:val="1"/>
        </w:numPr>
        <w:spacing w:line="480" w:lineRule="auto"/>
        <w:ind w:hanging="720"/>
        <w:rPr>
          <w:rFonts w:cs="Times New Roman"/>
          <w:szCs w:val="24"/>
        </w:rPr>
      </w:pPr>
      <w:r>
        <w:rPr>
          <w:rFonts w:cs="Times New Roman"/>
          <w:szCs w:val="24"/>
        </w:rPr>
        <w:t xml:space="preserve">Although the Plaintiff’s pleadings are considerably less clear on this point than one </w:t>
      </w:r>
      <w:r w:rsidR="00EE36CF">
        <w:rPr>
          <w:rFonts w:cs="Times New Roman"/>
          <w:szCs w:val="24"/>
        </w:rPr>
        <w:t>might</w:t>
      </w:r>
      <w:r>
        <w:rPr>
          <w:rFonts w:cs="Times New Roman"/>
          <w:szCs w:val="24"/>
        </w:rPr>
        <w:t xml:space="preserve"> expect, it appears that the damages sought by him include the loss arising from the loss of the sale of the Property.  </w:t>
      </w:r>
      <w:r w:rsidR="00F24CC4">
        <w:rPr>
          <w:rFonts w:cs="Times New Roman"/>
          <w:szCs w:val="24"/>
        </w:rPr>
        <w:t xml:space="preserve">There is no plea </w:t>
      </w:r>
      <w:r w:rsidR="00DD1515">
        <w:rPr>
          <w:rFonts w:cs="Times New Roman"/>
          <w:szCs w:val="24"/>
        </w:rPr>
        <w:t xml:space="preserve">in the Statement of Claim </w:t>
      </w:r>
      <w:r w:rsidR="00F24CC4">
        <w:rPr>
          <w:rFonts w:cs="Times New Roman"/>
          <w:szCs w:val="24"/>
        </w:rPr>
        <w:t>to the effect that this is a “</w:t>
      </w:r>
      <w:r w:rsidR="00F24CC4" w:rsidRPr="00F24CC4">
        <w:rPr>
          <w:rFonts w:cs="Times New Roman"/>
          <w:i/>
          <w:szCs w:val="24"/>
        </w:rPr>
        <w:t>no transaction”</w:t>
      </w:r>
      <w:r w:rsidR="00F24CC4">
        <w:rPr>
          <w:rFonts w:cs="Times New Roman"/>
          <w:szCs w:val="24"/>
        </w:rPr>
        <w:t xml:space="preserve"> case</w:t>
      </w:r>
      <w:r w:rsidR="003E2B4F">
        <w:rPr>
          <w:rFonts w:cs="Times New Roman"/>
          <w:szCs w:val="24"/>
        </w:rPr>
        <w:t>. In other words, i</w:t>
      </w:r>
      <w:r w:rsidR="00F24CC4">
        <w:rPr>
          <w:rFonts w:cs="Times New Roman"/>
          <w:szCs w:val="24"/>
        </w:rPr>
        <w:t xml:space="preserve">t is not pleaded that, </w:t>
      </w:r>
      <w:r w:rsidR="003E2B4F">
        <w:rPr>
          <w:rFonts w:cs="Times New Roman"/>
          <w:szCs w:val="24"/>
        </w:rPr>
        <w:t>had</w:t>
      </w:r>
      <w:r w:rsidR="00F24CC4">
        <w:rPr>
          <w:rFonts w:cs="Times New Roman"/>
          <w:szCs w:val="24"/>
        </w:rPr>
        <w:t xml:space="preserve"> the Solicitors </w:t>
      </w:r>
      <w:r w:rsidR="003E2B4F">
        <w:rPr>
          <w:rFonts w:cs="Times New Roman"/>
          <w:szCs w:val="24"/>
        </w:rPr>
        <w:t>fulfilled their duty of care, the Plaintiff and his wife would never have bought the Property nor – so far as on</w:t>
      </w:r>
      <w:r w:rsidR="00A7515C">
        <w:rPr>
          <w:rFonts w:cs="Times New Roman"/>
          <w:szCs w:val="24"/>
        </w:rPr>
        <w:t>e</w:t>
      </w:r>
      <w:r w:rsidR="003E2B4F">
        <w:rPr>
          <w:rFonts w:cs="Times New Roman"/>
          <w:szCs w:val="24"/>
        </w:rPr>
        <w:t xml:space="preserve"> can tell from the pleadings– are damages claimed on that basis.</w:t>
      </w:r>
    </w:p>
    <w:p w14:paraId="6D0BD1BB" w14:textId="77777777" w:rsidR="00A7515C" w:rsidRDefault="00A7515C">
      <w:pPr>
        <w:widowControl/>
        <w:spacing w:after="160" w:line="259" w:lineRule="auto"/>
        <w:jc w:val="left"/>
        <w:rPr>
          <w:rFonts w:cs="Times New Roman"/>
          <w:szCs w:val="24"/>
        </w:rPr>
      </w:pPr>
      <w:r>
        <w:rPr>
          <w:rFonts w:cs="Times New Roman"/>
          <w:szCs w:val="24"/>
        </w:rPr>
        <w:br w:type="page"/>
      </w:r>
    </w:p>
    <w:p w14:paraId="7979EBF1" w14:textId="77777777" w:rsidR="00E9342D" w:rsidRPr="00E9342D" w:rsidRDefault="00E9342D" w:rsidP="00E9342D">
      <w:pPr>
        <w:pStyle w:val="ListParagraph"/>
        <w:spacing w:line="480" w:lineRule="auto"/>
        <w:ind w:left="709"/>
        <w:rPr>
          <w:rFonts w:cs="Times New Roman"/>
          <w:szCs w:val="24"/>
        </w:rPr>
      </w:pPr>
    </w:p>
    <w:p w14:paraId="555D63E0" w14:textId="77777777" w:rsidR="00584031" w:rsidRPr="00584031" w:rsidRDefault="00007730" w:rsidP="00FB2120">
      <w:pPr>
        <w:pStyle w:val="ListParagraph"/>
        <w:spacing w:line="480" w:lineRule="auto"/>
        <w:ind w:left="0"/>
        <w:jc w:val="center"/>
        <w:rPr>
          <w:rFonts w:cs="Times New Roman"/>
          <w:b/>
          <w:szCs w:val="24"/>
        </w:rPr>
      </w:pPr>
      <w:r>
        <w:rPr>
          <w:rFonts w:cs="Times New Roman"/>
          <w:b/>
          <w:szCs w:val="24"/>
        </w:rPr>
        <w:t>MOTION AND HIGH COURT DECISION</w:t>
      </w:r>
    </w:p>
    <w:p w14:paraId="7ACD74CB" w14:textId="77777777" w:rsidR="00584031" w:rsidRPr="00584031" w:rsidRDefault="00584031" w:rsidP="00584031">
      <w:pPr>
        <w:pStyle w:val="ListParagraph"/>
        <w:spacing w:line="480" w:lineRule="auto"/>
        <w:ind w:left="709"/>
        <w:rPr>
          <w:rFonts w:cs="Times New Roman"/>
          <w:szCs w:val="24"/>
        </w:rPr>
      </w:pPr>
    </w:p>
    <w:p w14:paraId="37068995" w14:textId="77777777" w:rsidR="00CF6534" w:rsidRDefault="00007730" w:rsidP="00CF6534">
      <w:pPr>
        <w:pStyle w:val="ListParagraph"/>
        <w:numPr>
          <w:ilvl w:val="0"/>
          <w:numId w:val="1"/>
        </w:numPr>
        <w:spacing w:line="480" w:lineRule="auto"/>
        <w:ind w:hanging="720"/>
        <w:rPr>
          <w:rFonts w:cs="Times New Roman"/>
          <w:szCs w:val="24"/>
        </w:rPr>
      </w:pPr>
      <w:r>
        <w:rPr>
          <w:rFonts w:cs="Times New Roman"/>
          <w:szCs w:val="24"/>
        </w:rPr>
        <w:t>In July 2016 the Solicitor</w:t>
      </w:r>
      <w:r w:rsidR="003A338F">
        <w:rPr>
          <w:rFonts w:cs="Times New Roman"/>
          <w:szCs w:val="24"/>
        </w:rPr>
        <w:t>s</w:t>
      </w:r>
      <w:r>
        <w:rPr>
          <w:rFonts w:cs="Times New Roman"/>
          <w:szCs w:val="24"/>
        </w:rPr>
        <w:t xml:space="preserve"> brought a motion seeking to have the limitation issue tried as a preliminary issue.  </w:t>
      </w:r>
      <w:r w:rsidR="003A338F">
        <w:rPr>
          <w:rFonts w:cs="Times New Roman"/>
          <w:szCs w:val="24"/>
        </w:rPr>
        <w:t xml:space="preserve">While no formal order to that effect </w:t>
      </w:r>
      <w:r w:rsidR="004355AB">
        <w:rPr>
          <w:rFonts w:cs="Times New Roman"/>
          <w:szCs w:val="24"/>
        </w:rPr>
        <w:t xml:space="preserve">was </w:t>
      </w:r>
      <w:r w:rsidR="003A338F">
        <w:rPr>
          <w:rFonts w:cs="Times New Roman"/>
          <w:szCs w:val="24"/>
        </w:rPr>
        <w:t xml:space="preserve">made, the hearing of the motion appears to have been treated by agreement as the hearing of </w:t>
      </w:r>
      <w:r w:rsidR="00EE36CF">
        <w:rPr>
          <w:rFonts w:cs="Times New Roman"/>
          <w:szCs w:val="24"/>
        </w:rPr>
        <w:t>such</w:t>
      </w:r>
      <w:r w:rsidR="003A338F">
        <w:rPr>
          <w:rFonts w:cs="Times New Roman"/>
          <w:szCs w:val="24"/>
        </w:rPr>
        <w:t xml:space="preserve"> issue. The motion was heard on affidavit, without any oral evidence. Again, that appears to have been done by agreement of the parties.</w:t>
      </w:r>
    </w:p>
    <w:p w14:paraId="10D8DA18" w14:textId="77777777" w:rsidR="003A338F" w:rsidRDefault="003A338F" w:rsidP="003A338F">
      <w:pPr>
        <w:pStyle w:val="ListParagraph"/>
        <w:spacing w:line="480" w:lineRule="auto"/>
        <w:rPr>
          <w:rFonts w:cs="Times New Roman"/>
          <w:szCs w:val="24"/>
        </w:rPr>
      </w:pPr>
    </w:p>
    <w:p w14:paraId="6A3390B3" w14:textId="77777777" w:rsidR="003A338F" w:rsidRDefault="003A338F" w:rsidP="00CF6534">
      <w:pPr>
        <w:pStyle w:val="ListParagraph"/>
        <w:numPr>
          <w:ilvl w:val="0"/>
          <w:numId w:val="1"/>
        </w:numPr>
        <w:spacing w:line="480" w:lineRule="auto"/>
        <w:ind w:hanging="720"/>
        <w:rPr>
          <w:rFonts w:cs="Times New Roman"/>
          <w:szCs w:val="24"/>
        </w:rPr>
      </w:pPr>
      <w:r>
        <w:rPr>
          <w:rFonts w:cs="Times New Roman"/>
          <w:szCs w:val="24"/>
        </w:rPr>
        <w:t xml:space="preserve">The motion was grounded on an affidavit sworn by Ann Kelly, who </w:t>
      </w:r>
      <w:r w:rsidR="00A7499A">
        <w:rPr>
          <w:rFonts w:cs="Times New Roman"/>
          <w:szCs w:val="24"/>
        </w:rPr>
        <w:t>was by then</w:t>
      </w:r>
      <w:r>
        <w:rPr>
          <w:rFonts w:cs="Times New Roman"/>
          <w:szCs w:val="24"/>
        </w:rPr>
        <w:t xml:space="preserve"> the principal in the Solicitors. </w:t>
      </w:r>
      <w:r w:rsidR="00DD03DC">
        <w:rPr>
          <w:rFonts w:cs="Times New Roman"/>
          <w:szCs w:val="24"/>
        </w:rPr>
        <w:t>Her</w:t>
      </w:r>
      <w:r>
        <w:rPr>
          <w:rFonts w:cs="Times New Roman"/>
          <w:szCs w:val="24"/>
        </w:rPr>
        <w:t xml:space="preserve"> affidavit makes various points on the issue of liability </w:t>
      </w:r>
      <w:r w:rsidR="00FB3F2B">
        <w:rPr>
          <w:rFonts w:cs="Times New Roman"/>
          <w:szCs w:val="24"/>
        </w:rPr>
        <w:t xml:space="preserve">to which it is unnecessary to refer beyond recording that the Solicitors strongly maintain that they were not guilty of any wrongdoing </w:t>
      </w:r>
      <w:r w:rsidR="00FB3F2B" w:rsidRPr="00FB3F2B">
        <w:rPr>
          <w:rFonts w:cs="Times New Roman"/>
          <w:i/>
          <w:szCs w:val="24"/>
        </w:rPr>
        <w:t>vis</w:t>
      </w:r>
      <w:r w:rsidR="00A8043E">
        <w:rPr>
          <w:rFonts w:cs="Times New Roman"/>
          <w:i/>
          <w:szCs w:val="24"/>
        </w:rPr>
        <w:t>-à-</w:t>
      </w:r>
      <w:r w:rsidR="00FB3F2B" w:rsidRPr="00FB3F2B">
        <w:rPr>
          <w:rFonts w:cs="Times New Roman"/>
          <w:i/>
          <w:szCs w:val="24"/>
        </w:rPr>
        <w:t>vis</w:t>
      </w:r>
      <w:r w:rsidR="00FB3F2B">
        <w:rPr>
          <w:rFonts w:cs="Times New Roman"/>
          <w:szCs w:val="24"/>
        </w:rPr>
        <w:t xml:space="preserve"> the Plaintiff</w:t>
      </w:r>
      <w:r w:rsidR="00DA0B68">
        <w:rPr>
          <w:rFonts w:cs="Times New Roman"/>
          <w:szCs w:val="24"/>
        </w:rPr>
        <w:t xml:space="preserve"> and Ms Kelly avers that </w:t>
      </w:r>
      <w:r w:rsidR="006A7FCF">
        <w:rPr>
          <w:rFonts w:cs="Times New Roman"/>
          <w:szCs w:val="24"/>
        </w:rPr>
        <w:t>the Solicitors have obtained expert advice to the effect that they were entitled to rely on the Certificate of Compliance in the circumstances here.</w:t>
      </w:r>
      <w:r w:rsidR="00FB3F2B">
        <w:rPr>
          <w:rFonts w:cs="Times New Roman"/>
          <w:szCs w:val="24"/>
        </w:rPr>
        <w:t xml:space="preserve">  </w:t>
      </w:r>
      <w:r w:rsidR="006A7FCF">
        <w:rPr>
          <w:rFonts w:cs="Times New Roman"/>
          <w:szCs w:val="24"/>
        </w:rPr>
        <w:t xml:space="preserve">In any event, </w:t>
      </w:r>
      <w:r w:rsidR="00F51B88">
        <w:rPr>
          <w:rFonts w:cs="Times New Roman"/>
          <w:szCs w:val="24"/>
        </w:rPr>
        <w:t xml:space="preserve">Ms Kelly </w:t>
      </w:r>
      <w:r w:rsidR="006A7FCF">
        <w:rPr>
          <w:rFonts w:cs="Times New Roman"/>
          <w:szCs w:val="24"/>
        </w:rPr>
        <w:t>says,</w:t>
      </w:r>
      <w:r w:rsidR="00F51B88">
        <w:rPr>
          <w:rFonts w:cs="Times New Roman"/>
          <w:szCs w:val="24"/>
        </w:rPr>
        <w:t xml:space="preserve"> any claim arose on completion of the transaction in 2006</w:t>
      </w:r>
      <w:r w:rsidR="006A7FCF">
        <w:rPr>
          <w:rFonts w:cs="Times New Roman"/>
          <w:szCs w:val="24"/>
        </w:rPr>
        <w:t xml:space="preserve"> and is therefore statute-barred.</w:t>
      </w:r>
    </w:p>
    <w:p w14:paraId="574315E4" w14:textId="77777777" w:rsidR="00FB3F2B" w:rsidRDefault="00FB3F2B" w:rsidP="00FB3F2B">
      <w:pPr>
        <w:pStyle w:val="ListParagraph"/>
        <w:spacing w:line="480" w:lineRule="auto"/>
        <w:rPr>
          <w:rFonts w:cs="Times New Roman"/>
          <w:szCs w:val="24"/>
        </w:rPr>
      </w:pPr>
    </w:p>
    <w:p w14:paraId="43ABB720" w14:textId="77777777" w:rsidR="00FB3F2B" w:rsidRDefault="00F51B88" w:rsidP="00CF6534">
      <w:pPr>
        <w:pStyle w:val="ListParagraph"/>
        <w:numPr>
          <w:ilvl w:val="0"/>
          <w:numId w:val="1"/>
        </w:numPr>
        <w:spacing w:line="480" w:lineRule="auto"/>
        <w:ind w:hanging="720"/>
        <w:rPr>
          <w:rFonts w:cs="Times New Roman"/>
          <w:szCs w:val="24"/>
        </w:rPr>
      </w:pPr>
      <w:r>
        <w:rPr>
          <w:rFonts w:cs="Times New Roman"/>
          <w:szCs w:val="24"/>
        </w:rPr>
        <w:t xml:space="preserve">A replying affidavit was sworn on the Plaintiff’s behalf by Brian Leahy, a solicitor in the firm of Brendan T Muldowney, the </w:t>
      </w:r>
      <w:r w:rsidR="00DD03DC">
        <w:rPr>
          <w:rFonts w:cs="Times New Roman"/>
          <w:szCs w:val="24"/>
        </w:rPr>
        <w:t xml:space="preserve">solicitors acting for the </w:t>
      </w:r>
      <w:r>
        <w:rPr>
          <w:rFonts w:cs="Times New Roman"/>
          <w:szCs w:val="24"/>
        </w:rPr>
        <w:t xml:space="preserve">Plaintiff in these proceedings. </w:t>
      </w:r>
      <w:r w:rsidR="006A7FCF">
        <w:rPr>
          <w:rFonts w:cs="Times New Roman"/>
          <w:szCs w:val="24"/>
        </w:rPr>
        <w:t xml:space="preserve">Again, that affidavit focuses on </w:t>
      </w:r>
      <w:r>
        <w:rPr>
          <w:rFonts w:cs="Times New Roman"/>
          <w:szCs w:val="24"/>
        </w:rPr>
        <w:t>issue</w:t>
      </w:r>
      <w:r w:rsidR="006A7FCF">
        <w:rPr>
          <w:rFonts w:cs="Times New Roman"/>
          <w:szCs w:val="24"/>
        </w:rPr>
        <w:t>s</w:t>
      </w:r>
      <w:r>
        <w:rPr>
          <w:rFonts w:cs="Times New Roman"/>
          <w:szCs w:val="24"/>
        </w:rPr>
        <w:t xml:space="preserve"> of liability</w:t>
      </w:r>
      <w:r w:rsidR="006A7FCF">
        <w:rPr>
          <w:rFonts w:cs="Times New Roman"/>
          <w:szCs w:val="24"/>
        </w:rPr>
        <w:t xml:space="preserve"> rather than limitation, with Mr Leahy making extensive reference to Law Society material which, he suggests, provides support for the Plaintiff’s case against the Solicitors.</w:t>
      </w:r>
      <w:r>
        <w:rPr>
          <w:rFonts w:cs="Times New Roman"/>
          <w:szCs w:val="24"/>
        </w:rPr>
        <w:t xml:space="preserve"> In the course of the affidavit Mr Leahy says the following:</w:t>
      </w:r>
    </w:p>
    <w:p w14:paraId="2D9D24A9" w14:textId="77777777" w:rsidR="00F51B88" w:rsidRDefault="00F51B88" w:rsidP="00F51B88">
      <w:pPr>
        <w:pStyle w:val="ListParagraph"/>
        <w:spacing w:line="480" w:lineRule="auto"/>
        <w:rPr>
          <w:rFonts w:cs="Times New Roman"/>
          <w:szCs w:val="24"/>
        </w:rPr>
      </w:pPr>
    </w:p>
    <w:p w14:paraId="00943FAA" w14:textId="77777777" w:rsidR="00274DAF" w:rsidRPr="00274DAF" w:rsidRDefault="00F51B88" w:rsidP="00274DAF">
      <w:pPr>
        <w:pStyle w:val="ListParagraph"/>
        <w:spacing w:line="480" w:lineRule="auto"/>
        <w:ind w:left="1418"/>
        <w:rPr>
          <w:rFonts w:cs="Times New Roman"/>
          <w:i/>
          <w:szCs w:val="24"/>
        </w:rPr>
      </w:pPr>
      <w:r w:rsidRPr="00274DAF">
        <w:rPr>
          <w:rFonts w:cs="Times New Roman"/>
          <w:i/>
          <w:szCs w:val="24"/>
        </w:rPr>
        <w:t xml:space="preserve">“Moreover had the [Solicitors] advised the Plaintiff herein to engage the services of a competent independent qualified engineer or architect they would in the ordinary way have ascertained that there was a fundamental flaw in that the dwelling house was not built in compliance with Condition number 2 of the said Planning Permission in that the dwelling house as erected purporting to be in compliance with [the] original Planning Permission was not at all the same dwelling house nor built in accordance with the plans and design of the initial </w:t>
      </w:r>
      <w:r w:rsidR="00274DAF" w:rsidRPr="00274DAF">
        <w:rPr>
          <w:rFonts w:cs="Times New Roman"/>
          <w:i/>
          <w:szCs w:val="24"/>
        </w:rPr>
        <w:t>Planning Permission. …</w:t>
      </w:r>
    </w:p>
    <w:p w14:paraId="525B0F2F" w14:textId="77777777" w:rsidR="00274DAF" w:rsidRPr="00274DAF" w:rsidRDefault="00274DAF" w:rsidP="00274DAF">
      <w:pPr>
        <w:pStyle w:val="ListParagraph"/>
        <w:spacing w:line="480" w:lineRule="auto"/>
        <w:ind w:left="1418"/>
        <w:rPr>
          <w:rFonts w:cs="Times New Roman"/>
          <w:i/>
          <w:szCs w:val="24"/>
        </w:rPr>
      </w:pPr>
    </w:p>
    <w:p w14:paraId="0A626149" w14:textId="77777777" w:rsidR="00274DAF" w:rsidRDefault="00274DAF" w:rsidP="00274DAF">
      <w:pPr>
        <w:pStyle w:val="ListParagraph"/>
        <w:spacing w:line="480" w:lineRule="auto"/>
        <w:ind w:left="1418"/>
        <w:rPr>
          <w:rFonts w:cs="Times New Roman"/>
          <w:i/>
          <w:szCs w:val="24"/>
        </w:rPr>
      </w:pPr>
      <w:r w:rsidRPr="00274DAF">
        <w:rPr>
          <w:rFonts w:cs="Times New Roman"/>
          <w:i/>
          <w:szCs w:val="24"/>
        </w:rPr>
        <w:t>I say and believe that the kernel or fulcrum and crux of the matter is that the Plaintiff herein was allowed by the [Solicitors] in dereliction of the latter’s duties and responsibilities to purchase a dwelling house which was not in compliance with Planning Permission, had not good and marketable title and hence and thus the Plaintiff was deprived of his opportunity to sell the property and suffered loss and damage as a result thereof..”</w:t>
      </w:r>
    </w:p>
    <w:p w14:paraId="7B3AD8FA" w14:textId="77777777" w:rsidR="00F2411B" w:rsidRDefault="00F2411B" w:rsidP="00274DAF">
      <w:pPr>
        <w:pStyle w:val="ListParagraph"/>
        <w:spacing w:line="480" w:lineRule="auto"/>
        <w:ind w:left="1418"/>
        <w:rPr>
          <w:rFonts w:cs="Times New Roman"/>
          <w:i/>
          <w:szCs w:val="24"/>
        </w:rPr>
      </w:pPr>
    </w:p>
    <w:p w14:paraId="1BA2D626" w14:textId="77777777" w:rsidR="00F2411B" w:rsidRDefault="00F450B3" w:rsidP="00F2411B">
      <w:pPr>
        <w:pStyle w:val="ListParagraph"/>
        <w:spacing w:line="480" w:lineRule="auto"/>
        <w:ind w:left="709"/>
        <w:rPr>
          <w:rFonts w:cs="Times New Roman"/>
          <w:szCs w:val="24"/>
        </w:rPr>
      </w:pPr>
      <w:r>
        <w:rPr>
          <w:rFonts w:cs="Times New Roman"/>
          <w:szCs w:val="24"/>
        </w:rPr>
        <w:t>I will refer to this</w:t>
      </w:r>
      <w:r w:rsidR="00F2411B">
        <w:rPr>
          <w:rFonts w:cs="Times New Roman"/>
          <w:szCs w:val="24"/>
        </w:rPr>
        <w:t xml:space="preserve"> characterisation of the </w:t>
      </w:r>
      <w:r w:rsidR="00ED14D2">
        <w:rPr>
          <w:rFonts w:cs="Times New Roman"/>
          <w:szCs w:val="24"/>
        </w:rPr>
        <w:t>Plaintiff’s essential complaint</w:t>
      </w:r>
      <w:r>
        <w:rPr>
          <w:rFonts w:cs="Times New Roman"/>
          <w:szCs w:val="24"/>
        </w:rPr>
        <w:t xml:space="preserve"> – which appears to me to be entirely accurate– further below.</w:t>
      </w:r>
    </w:p>
    <w:p w14:paraId="50FE35DD" w14:textId="77777777" w:rsidR="00F2411B" w:rsidRPr="00F2411B" w:rsidRDefault="00F2411B" w:rsidP="00F2411B">
      <w:pPr>
        <w:pStyle w:val="ListParagraph"/>
        <w:spacing w:line="480" w:lineRule="auto"/>
        <w:ind w:left="709"/>
        <w:rPr>
          <w:rFonts w:cs="Times New Roman"/>
          <w:szCs w:val="24"/>
        </w:rPr>
      </w:pPr>
    </w:p>
    <w:p w14:paraId="436532C1" w14:textId="77777777" w:rsidR="00274DAF" w:rsidRPr="00A8043E" w:rsidRDefault="00274DAF" w:rsidP="00A8043E">
      <w:pPr>
        <w:pStyle w:val="ListParagraph"/>
        <w:numPr>
          <w:ilvl w:val="0"/>
          <w:numId w:val="1"/>
        </w:numPr>
        <w:spacing w:line="480" w:lineRule="auto"/>
        <w:ind w:hanging="720"/>
        <w:rPr>
          <w:rFonts w:cs="Times New Roman"/>
          <w:szCs w:val="24"/>
        </w:rPr>
      </w:pPr>
      <w:r w:rsidRPr="007D48D6">
        <w:rPr>
          <w:rFonts w:cs="Times New Roman"/>
          <w:szCs w:val="24"/>
        </w:rPr>
        <w:t>The</w:t>
      </w:r>
      <w:r>
        <w:rPr>
          <w:rFonts w:cs="Times New Roman"/>
          <w:szCs w:val="24"/>
        </w:rPr>
        <w:t xml:space="preserve"> motion was heard by Meenan J. For the reasons set out in his reserved judgment of 26 June 2018, </w:t>
      </w:r>
      <w:r w:rsidR="00DD03DC">
        <w:rPr>
          <w:rFonts w:cs="Times New Roman"/>
          <w:szCs w:val="24"/>
        </w:rPr>
        <w:t xml:space="preserve">the Judge </w:t>
      </w:r>
      <w:r>
        <w:rPr>
          <w:rFonts w:cs="Times New Roman"/>
          <w:szCs w:val="24"/>
        </w:rPr>
        <w:t>held</w:t>
      </w:r>
      <w:r w:rsidRPr="007D48D6">
        <w:rPr>
          <w:rFonts w:cs="Times New Roman"/>
          <w:szCs w:val="24"/>
        </w:rPr>
        <w:t xml:space="preserve"> that the Plaintiff’s claim</w:t>
      </w:r>
      <w:r>
        <w:rPr>
          <w:rFonts w:cs="Times New Roman"/>
          <w:szCs w:val="24"/>
        </w:rPr>
        <w:t xml:space="preserve"> in negligence and breach of duty</w:t>
      </w:r>
      <w:r w:rsidRPr="007D48D6">
        <w:rPr>
          <w:rFonts w:cs="Times New Roman"/>
          <w:szCs w:val="24"/>
        </w:rPr>
        <w:t xml:space="preserve"> against the Solicitor</w:t>
      </w:r>
      <w:r>
        <w:rPr>
          <w:rFonts w:cs="Times New Roman"/>
          <w:szCs w:val="24"/>
        </w:rPr>
        <w:t>s</w:t>
      </w:r>
      <w:r w:rsidRPr="007D48D6">
        <w:rPr>
          <w:rFonts w:cs="Times New Roman"/>
          <w:szCs w:val="24"/>
        </w:rPr>
        <w:t xml:space="preserve"> is not statute-barred. </w:t>
      </w:r>
      <w:r>
        <w:rPr>
          <w:rFonts w:cs="Times New Roman"/>
          <w:szCs w:val="24"/>
        </w:rPr>
        <w:t xml:space="preserve">Although not a property damage claim, the Judge considered that the principles set out in </w:t>
      </w:r>
      <w:r w:rsidRPr="00274DAF">
        <w:rPr>
          <w:rFonts w:cs="Times New Roman"/>
          <w:i/>
          <w:szCs w:val="24"/>
        </w:rPr>
        <w:t>Brandley v Deane</w:t>
      </w:r>
      <w:r>
        <w:rPr>
          <w:rFonts w:cs="Times New Roman"/>
          <w:szCs w:val="24"/>
        </w:rPr>
        <w:t xml:space="preserve"> applied</w:t>
      </w:r>
      <w:r w:rsidR="000A257D">
        <w:rPr>
          <w:rFonts w:cs="Times New Roman"/>
          <w:szCs w:val="24"/>
        </w:rPr>
        <w:t xml:space="preserve">. </w:t>
      </w:r>
      <w:r>
        <w:rPr>
          <w:rFonts w:cs="Times New Roman"/>
          <w:szCs w:val="24"/>
        </w:rPr>
        <w:lastRenderedPageBreak/>
        <w:t xml:space="preserve">The distinction drawn in </w:t>
      </w:r>
      <w:r w:rsidRPr="00274DAF">
        <w:rPr>
          <w:rFonts w:cs="Times New Roman"/>
          <w:i/>
          <w:szCs w:val="24"/>
        </w:rPr>
        <w:t>Brandley v Deane</w:t>
      </w:r>
      <w:r>
        <w:rPr>
          <w:rFonts w:cs="Times New Roman"/>
          <w:szCs w:val="24"/>
        </w:rPr>
        <w:t xml:space="preserve"> between “</w:t>
      </w:r>
      <w:r w:rsidRPr="00274DAF">
        <w:rPr>
          <w:rFonts w:cs="Times New Roman"/>
          <w:i/>
          <w:szCs w:val="24"/>
        </w:rPr>
        <w:t>defect</w:t>
      </w:r>
      <w:r>
        <w:rPr>
          <w:rFonts w:cs="Times New Roman"/>
          <w:szCs w:val="24"/>
        </w:rPr>
        <w:t>” and “</w:t>
      </w:r>
      <w:r w:rsidRPr="00274DAF">
        <w:rPr>
          <w:rFonts w:cs="Times New Roman"/>
          <w:i/>
          <w:szCs w:val="24"/>
        </w:rPr>
        <w:t>damage</w:t>
      </w:r>
      <w:r>
        <w:rPr>
          <w:rFonts w:cs="Times New Roman"/>
          <w:szCs w:val="24"/>
        </w:rPr>
        <w:t xml:space="preserve">” was, in the Judge’s view, </w:t>
      </w:r>
      <w:r w:rsidR="00591475">
        <w:rPr>
          <w:rFonts w:cs="Times New Roman"/>
          <w:szCs w:val="24"/>
        </w:rPr>
        <w:t>determinative of the limitation issue here. Whereas a “</w:t>
      </w:r>
      <w:r w:rsidR="00591475" w:rsidRPr="00591475">
        <w:rPr>
          <w:rFonts w:cs="Times New Roman"/>
          <w:i/>
          <w:szCs w:val="24"/>
        </w:rPr>
        <w:t>defect</w:t>
      </w:r>
      <w:r w:rsidR="00591475">
        <w:rPr>
          <w:rFonts w:cs="Times New Roman"/>
          <w:szCs w:val="24"/>
        </w:rPr>
        <w:t>” had occurred in July 2006 when the Compliance Certificate was purportedly relied on, the “</w:t>
      </w:r>
      <w:r w:rsidR="00591475" w:rsidRPr="00591475">
        <w:rPr>
          <w:rFonts w:cs="Times New Roman"/>
          <w:i/>
          <w:szCs w:val="24"/>
        </w:rPr>
        <w:t>damage</w:t>
      </w:r>
      <w:r w:rsidR="00591475">
        <w:rPr>
          <w:rFonts w:cs="Times New Roman"/>
          <w:szCs w:val="24"/>
        </w:rPr>
        <w:t>” did not occur until the contract for the sale of the property was rescinded in October 2008.</w:t>
      </w:r>
      <w:r w:rsidR="00591475">
        <w:rPr>
          <w:rStyle w:val="FootnoteReference"/>
          <w:rFonts w:cs="Times New Roman"/>
          <w:szCs w:val="24"/>
        </w:rPr>
        <w:footnoteReference w:id="14"/>
      </w:r>
      <w:r w:rsidR="00591475">
        <w:rPr>
          <w:rFonts w:cs="Times New Roman"/>
          <w:szCs w:val="24"/>
        </w:rPr>
        <w:t xml:space="preserve"> It would have been open to the purchaser to have completed the sale in which case no loss would have been suffered</w:t>
      </w:r>
      <w:r w:rsidR="00A8043E">
        <w:rPr>
          <w:rFonts w:cs="Times New Roman"/>
          <w:szCs w:val="24"/>
        </w:rPr>
        <w:t xml:space="preserve">. However, </w:t>
      </w:r>
      <w:r w:rsidR="00874582" w:rsidRPr="00A8043E">
        <w:rPr>
          <w:rFonts w:cs="Times New Roman"/>
          <w:szCs w:val="24"/>
        </w:rPr>
        <w:t xml:space="preserve">the purchaser </w:t>
      </w:r>
      <w:r w:rsidR="00591475" w:rsidRPr="00A8043E">
        <w:rPr>
          <w:rFonts w:cs="Times New Roman"/>
          <w:szCs w:val="24"/>
        </w:rPr>
        <w:t xml:space="preserve">having </w:t>
      </w:r>
      <w:r w:rsidR="00874582" w:rsidRPr="00A8043E">
        <w:rPr>
          <w:rFonts w:cs="Times New Roman"/>
          <w:szCs w:val="24"/>
        </w:rPr>
        <w:t>opted</w:t>
      </w:r>
      <w:r w:rsidR="00591475" w:rsidRPr="00A8043E">
        <w:rPr>
          <w:rFonts w:cs="Times New Roman"/>
          <w:szCs w:val="24"/>
        </w:rPr>
        <w:t xml:space="preserve"> to rescind the contract, it was at that point that the damage occurred.</w:t>
      </w:r>
      <w:r w:rsidR="00591475">
        <w:rPr>
          <w:rStyle w:val="FootnoteReference"/>
          <w:rFonts w:cs="Times New Roman"/>
          <w:szCs w:val="24"/>
        </w:rPr>
        <w:footnoteReference w:id="15"/>
      </w:r>
    </w:p>
    <w:p w14:paraId="1C58FD4B" w14:textId="77777777" w:rsidR="00274DAF" w:rsidRPr="007D48D6" w:rsidRDefault="00274DAF" w:rsidP="00274DAF">
      <w:pPr>
        <w:pStyle w:val="ListParagraph"/>
        <w:spacing w:line="480" w:lineRule="auto"/>
        <w:rPr>
          <w:rFonts w:cs="Times New Roman"/>
          <w:szCs w:val="24"/>
        </w:rPr>
      </w:pPr>
    </w:p>
    <w:p w14:paraId="1CF9DE4C" w14:textId="77777777" w:rsidR="00F51B88" w:rsidRDefault="00591475" w:rsidP="00CF6534">
      <w:pPr>
        <w:pStyle w:val="ListParagraph"/>
        <w:numPr>
          <w:ilvl w:val="0"/>
          <w:numId w:val="1"/>
        </w:numPr>
        <w:spacing w:line="480" w:lineRule="auto"/>
        <w:ind w:hanging="720"/>
        <w:rPr>
          <w:rFonts w:cs="Times New Roman"/>
          <w:szCs w:val="24"/>
        </w:rPr>
      </w:pPr>
      <w:r>
        <w:rPr>
          <w:rFonts w:cs="Times New Roman"/>
          <w:szCs w:val="24"/>
        </w:rPr>
        <w:t xml:space="preserve">The Judge referred to the decision of the Privy Council in </w:t>
      </w:r>
      <w:bookmarkStart w:id="7" w:name="_Hlk82521154"/>
      <w:r w:rsidRPr="00433113">
        <w:rPr>
          <w:rFonts w:cs="Times New Roman"/>
          <w:i/>
          <w:szCs w:val="24"/>
        </w:rPr>
        <w:t>Maharaj v Johnson</w:t>
      </w:r>
      <w:r>
        <w:rPr>
          <w:rFonts w:cs="Times New Roman"/>
          <w:szCs w:val="24"/>
        </w:rPr>
        <w:t xml:space="preserve"> </w:t>
      </w:r>
      <w:bookmarkEnd w:id="7"/>
      <w:r>
        <w:rPr>
          <w:rFonts w:cs="Times New Roman"/>
          <w:szCs w:val="24"/>
        </w:rPr>
        <w:t xml:space="preserve">[2015] UKPC 28, </w:t>
      </w:r>
      <w:r w:rsidR="00433113">
        <w:rPr>
          <w:rFonts w:cs="Times New Roman"/>
          <w:szCs w:val="24"/>
        </w:rPr>
        <w:t xml:space="preserve">[2015] 5 LRC 592 which had been relied on by the Solicitors. If one applied the reasoning of </w:t>
      </w:r>
      <w:r w:rsidR="005C409E">
        <w:rPr>
          <w:rFonts w:cs="Times New Roman"/>
          <w:szCs w:val="24"/>
        </w:rPr>
        <w:t xml:space="preserve">the </w:t>
      </w:r>
      <w:r w:rsidR="00433113">
        <w:rPr>
          <w:rFonts w:cs="Times New Roman"/>
          <w:szCs w:val="24"/>
        </w:rPr>
        <w:t>Board, it would follow that the 2006 transaction was a “</w:t>
      </w:r>
      <w:r w:rsidR="00433113" w:rsidRPr="00433113">
        <w:rPr>
          <w:rFonts w:cs="Times New Roman"/>
          <w:i/>
          <w:szCs w:val="24"/>
        </w:rPr>
        <w:t>flawed transaction</w:t>
      </w:r>
      <w:r w:rsidR="00433113">
        <w:rPr>
          <w:rFonts w:cs="Times New Roman"/>
          <w:szCs w:val="24"/>
        </w:rPr>
        <w:t xml:space="preserve">” and that it was at that point that damage occurred. However, the Judge considered that such reasoning was not consistent with </w:t>
      </w:r>
      <w:r w:rsidR="00433113" w:rsidRPr="00433113">
        <w:rPr>
          <w:rFonts w:cs="Times New Roman"/>
          <w:i/>
          <w:szCs w:val="24"/>
        </w:rPr>
        <w:t xml:space="preserve">Brandley </w:t>
      </w:r>
      <w:r w:rsidR="00433113">
        <w:rPr>
          <w:rFonts w:cs="Times New Roman"/>
          <w:szCs w:val="24"/>
        </w:rPr>
        <w:t xml:space="preserve">and in particular </w:t>
      </w:r>
      <w:r w:rsidR="00874582">
        <w:rPr>
          <w:rFonts w:cs="Times New Roman"/>
          <w:szCs w:val="24"/>
        </w:rPr>
        <w:t xml:space="preserve">he considered that the </w:t>
      </w:r>
      <w:r w:rsidR="00717264">
        <w:rPr>
          <w:rFonts w:cs="Times New Roman"/>
          <w:szCs w:val="24"/>
        </w:rPr>
        <w:t>B</w:t>
      </w:r>
      <w:r w:rsidR="00874582">
        <w:rPr>
          <w:rFonts w:cs="Times New Roman"/>
          <w:szCs w:val="24"/>
        </w:rPr>
        <w:t xml:space="preserve">oard </w:t>
      </w:r>
      <w:r w:rsidR="00433113">
        <w:rPr>
          <w:rFonts w:cs="Times New Roman"/>
          <w:szCs w:val="24"/>
        </w:rPr>
        <w:t>did not have regard to the “</w:t>
      </w:r>
      <w:r w:rsidR="00433113" w:rsidRPr="00433113">
        <w:rPr>
          <w:rFonts w:cs="Times New Roman"/>
          <w:i/>
          <w:szCs w:val="24"/>
        </w:rPr>
        <w:t>fundamental distinction”</w:t>
      </w:r>
      <w:r w:rsidR="00433113">
        <w:rPr>
          <w:rFonts w:cs="Times New Roman"/>
          <w:szCs w:val="24"/>
        </w:rPr>
        <w:t xml:space="preserve"> between “</w:t>
      </w:r>
      <w:r w:rsidR="00433113" w:rsidRPr="00433113">
        <w:rPr>
          <w:rFonts w:cs="Times New Roman"/>
          <w:i/>
          <w:szCs w:val="24"/>
        </w:rPr>
        <w:t>defect</w:t>
      </w:r>
      <w:r w:rsidR="00433113">
        <w:rPr>
          <w:rFonts w:cs="Times New Roman"/>
          <w:szCs w:val="24"/>
        </w:rPr>
        <w:t>” and “</w:t>
      </w:r>
      <w:r w:rsidR="00433113" w:rsidRPr="00433113">
        <w:rPr>
          <w:rFonts w:cs="Times New Roman"/>
          <w:i/>
          <w:szCs w:val="24"/>
        </w:rPr>
        <w:t>damage</w:t>
      </w:r>
      <w:r w:rsidR="00433113">
        <w:rPr>
          <w:rFonts w:cs="Times New Roman"/>
          <w:szCs w:val="24"/>
        </w:rPr>
        <w:t>”</w:t>
      </w:r>
      <w:r w:rsidR="00874582">
        <w:rPr>
          <w:rFonts w:cs="Times New Roman"/>
          <w:szCs w:val="24"/>
        </w:rPr>
        <w:t xml:space="preserve"> and, accordingly, </w:t>
      </w:r>
      <w:r w:rsidR="00874582" w:rsidRPr="00433113">
        <w:rPr>
          <w:rFonts w:cs="Times New Roman"/>
          <w:i/>
          <w:szCs w:val="24"/>
        </w:rPr>
        <w:t>Maharaj v Johnson</w:t>
      </w:r>
      <w:r w:rsidR="00874582">
        <w:rPr>
          <w:rFonts w:cs="Times New Roman"/>
          <w:i/>
          <w:szCs w:val="24"/>
        </w:rPr>
        <w:t xml:space="preserve"> </w:t>
      </w:r>
      <w:r w:rsidR="00874582">
        <w:rPr>
          <w:rFonts w:cs="Times New Roman"/>
          <w:szCs w:val="24"/>
        </w:rPr>
        <w:t>was not an authority on which the Solicitors could rely.</w:t>
      </w:r>
    </w:p>
    <w:p w14:paraId="38D1B7FE" w14:textId="77777777" w:rsidR="00874582" w:rsidRDefault="00874582" w:rsidP="00874582">
      <w:pPr>
        <w:pStyle w:val="ListParagraph"/>
        <w:spacing w:line="480" w:lineRule="auto"/>
        <w:rPr>
          <w:rFonts w:cs="Times New Roman"/>
          <w:szCs w:val="24"/>
        </w:rPr>
      </w:pPr>
    </w:p>
    <w:p w14:paraId="608C4F75" w14:textId="77777777" w:rsidR="00113B3B" w:rsidRPr="00113B3B" w:rsidRDefault="00874582" w:rsidP="00113B3B">
      <w:pPr>
        <w:pStyle w:val="ListParagraph"/>
        <w:numPr>
          <w:ilvl w:val="0"/>
          <w:numId w:val="1"/>
        </w:numPr>
        <w:spacing w:line="480" w:lineRule="auto"/>
        <w:ind w:hanging="720"/>
        <w:rPr>
          <w:rFonts w:cs="Times New Roman"/>
          <w:szCs w:val="24"/>
        </w:rPr>
      </w:pPr>
      <w:r>
        <w:rPr>
          <w:rFonts w:cs="Times New Roman"/>
          <w:szCs w:val="24"/>
        </w:rPr>
        <w:t>In the Judge’s view, the “</w:t>
      </w:r>
      <w:r w:rsidRPr="00874582">
        <w:rPr>
          <w:rFonts w:cs="Times New Roman"/>
          <w:i/>
          <w:szCs w:val="24"/>
        </w:rPr>
        <w:t>precise date</w:t>
      </w:r>
      <w:r>
        <w:rPr>
          <w:rFonts w:cs="Times New Roman"/>
          <w:szCs w:val="24"/>
        </w:rPr>
        <w:t xml:space="preserve">” that the Plaintiff’s cause of action </w:t>
      </w:r>
      <w:r w:rsidR="00752156">
        <w:rPr>
          <w:rFonts w:cs="Times New Roman"/>
          <w:szCs w:val="24"/>
        </w:rPr>
        <w:t>(in negligence) had accrued was 16 October 2008.</w:t>
      </w:r>
      <w:r w:rsidR="00752156">
        <w:rPr>
          <w:rStyle w:val="FootnoteReference"/>
          <w:rFonts w:cs="Times New Roman"/>
          <w:szCs w:val="24"/>
        </w:rPr>
        <w:footnoteReference w:id="16"/>
      </w:r>
      <w:r w:rsidR="00752156">
        <w:rPr>
          <w:rFonts w:cs="Times New Roman"/>
          <w:szCs w:val="24"/>
        </w:rPr>
        <w:t xml:space="preserve"> That was, of course, some months </w:t>
      </w:r>
      <w:r w:rsidR="00752156" w:rsidRPr="00752156">
        <w:rPr>
          <w:rFonts w:cs="Times New Roman"/>
          <w:i/>
          <w:szCs w:val="24"/>
        </w:rPr>
        <w:t>after</w:t>
      </w:r>
      <w:r w:rsidR="00752156">
        <w:rPr>
          <w:rFonts w:cs="Times New Roman"/>
          <w:szCs w:val="24"/>
        </w:rPr>
        <w:t xml:space="preserve"> the Plaintiff had first become aware of the issues around compliance with the </w:t>
      </w:r>
      <w:r w:rsidR="00752156">
        <w:rPr>
          <w:rFonts w:cs="Times New Roman"/>
          <w:szCs w:val="24"/>
        </w:rPr>
        <w:lastRenderedPageBreak/>
        <w:t xml:space="preserve">Planning Permission (on or around 10 June 2008). It follows from the Judge’s analysis that, in his view, the Plaintiff </w:t>
      </w:r>
      <w:r w:rsidR="00672376">
        <w:rPr>
          <w:rFonts w:cs="Times New Roman"/>
          <w:szCs w:val="24"/>
        </w:rPr>
        <w:t>had not suffered “</w:t>
      </w:r>
      <w:r w:rsidR="00672376" w:rsidRPr="00672376">
        <w:rPr>
          <w:rFonts w:cs="Times New Roman"/>
          <w:i/>
          <w:szCs w:val="24"/>
        </w:rPr>
        <w:t>damage</w:t>
      </w:r>
      <w:r w:rsidR="00672376">
        <w:rPr>
          <w:rFonts w:cs="Times New Roman"/>
          <w:szCs w:val="24"/>
        </w:rPr>
        <w:t xml:space="preserve">” - and therefore </w:t>
      </w:r>
      <w:r w:rsidR="00752156">
        <w:rPr>
          <w:rFonts w:cs="Times New Roman"/>
          <w:szCs w:val="24"/>
        </w:rPr>
        <w:t xml:space="preserve">had no cause of action in negligence against the Solicitors </w:t>
      </w:r>
      <w:r w:rsidR="00672376">
        <w:rPr>
          <w:rFonts w:cs="Times New Roman"/>
          <w:szCs w:val="24"/>
        </w:rPr>
        <w:t xml:space="preserve">- </w:t>
      </w:r>
      <w:r w:rsidR="00113B3B">
        <w:rPr>
          <w:rFonts w:cs="Times New Roman"/>
          <w:szCs w:val="24"/>
        </w:rPr>
        <w:t>as of</w:t>
      </w:r>
      <w:r w:rsidR="00752156">
        <w:rPr>
          <w:rFonts w:cs="Times New Roman"/>
          <w:szCs w:val="24"/>
        </w:rPr>
        <w:t xml:space="preserve"> June 2008</w:t>
      </w:r>
      <w:r w:rsidR="00F450B3">
        <w:rPr>
          <w:rFonts w:cs="Times New Roman"/>
          <w:szCs w:val="24"/>
        </w:rPr>
        <w:t xml:space="preserve">. </w:t>
      </w:r>
      <w:r w:rsidR="00113B3B">
        <w:rPr>
          <w:rFonts w:cs="Times New Roman"/>
          <w:szCs w:val="24"/>
        </w:rPr>
        <w:t xml:space="preserve">That seems </w:t>
      </w:r>
      <w:r w:rsidR="00F450B3">
        <w:rPr>
          <w:rFonts w:cs="Times New Roman"/>
          <w:szCs w:val="24"/>
        </w:rPr>
        <w:t>rather surprising</w:t>
      </w:r>
      <w:r w:rsidR="00113B3B">
        <w:rPr>
          <w:rFonts w:cs="Times New Roman"/>
          <w:szCs w:val="24"/>
        </w:rPr>
        <w:t xml:space="preserve">. As it was put by Mr Leahy in his affidavit, </w:t>
      </w:r>
      <w:r w:rsidR="00F450B3">
        <w:rPr>
          <w:rFonts w:cs="Times New Roman"/>
          <w:szCs w:val="24"/>
        </w:rPr>
        <w:t>there was a “</w:t>
      </w:r>
      <w:r w:rsidR="00F450B3" w:rsidRPr="00F450B3">
        <w:rPr>
          <w:rFonts w:cs="Times New Roman"/>
          <w:i/>
          <w:szCs w:val="24"/>
        </w:rPr>
        <w:t>fundamental flaw</w:t>
      </w:r>
      <w:r w:rsidR="00F450B3">
        <w:rPr>
          <w:rFonts w:cs="Times New Roman"/>
          <w:szCs w:val="24"/>
        </w:rPr>
        <w:t>” in the transaction in that the Property as built “</w:t>
      </w:r>
      <w:r w:rsidR="00F450B3" w:rsidRPr="00274DAF">
        <w:rPr>
          <w:rFonts w:cs="Times New Roman"/>
          <w:i/>
          <w:szCs w:val="24"/>
        </w:rPr>
        <w:t>was not at all the same dwelling house nor built in accordance with the plans and design of the initial Planning Permission</w:t>
      </w:r>
      <w:r w:rsidR="00F450B3">
        <w:rPr>
          <w:rFonts w:cs="Times New Roman"/>
          <w:i/>
          <w:szCs w:val="24"/>
        </w:rPr>
        <w:t xml:space="preserve">”. </w:t>
      </w:r>
      <w:r w:rsidR="00F450B3" w:rsidRPr="00E84D9C">
        <w:rPr>
          <w:rFonts w:cs="Times New Roman"/>
          <w:szCs w:val="24"/>
        </w:rPr>
        <w:t>T</w:t>
      </w:r>
      <w:r w:rsidR="00113B3B">
        <w:rPr>
          <w:rFonts w:cs="Times New Roman"/>
          <w:szCs w:val="24"/>
        </w:rPr>
        <w:t>he “</w:t>
      </w:r>
      <w:r w:rsidR="00113B3B" w:rsidRPr="00113B3B">
        <w:rPr>
          <w:rFonts w:cs="Times New Roman"/>
          <w:i/>
          <w:szCs w:val="24"/>
        </w:rPr>
        <w:t>crux</w:t>
      </w:r>
      <w:r w:rsidR="00113B3B">
        <w:rPr>
          <w:rFonts w:cs="Times New Roman"/>
          <w:szCs w:val="24"/>
        </w:rPr>
        <w:t>” of the Plaintiff’s case was that the negligence of the Solicitors had allowed him to “</w:t>
      </w:r>
      <w:r w:rsidR="00113B3B" w:rsidRPr="00274DAF">
        <w:rPr>
          <w:rFonts w:cs="Times New Roman"/>
          <w:i/>
          <w:szCs w:val="24"/>
        </w:rPr>
        <w:t>purchase a dwelling house which was not in compliance with Planning Permission</w:t>
      </w:r>
      <w:r w:rsidR="00113B3B">
        <w:rPr>
          <w:rFonts w:cs="Times New Roman"/>
          <w:i/>
          <w:szCs w:val="24"/>
        </w:rPr>
        <w:t xml:space="preserve">” </w:t>
      </w:r>
      <w:r w:rsidR="00113B3B">
        <w:rPr>
          <w:rFonts w:cs="Times New Roman"/>
          <w:szCs w:val="24"/>
        </w:rPr>
        <w:t>and which</w:t>
      </w:r>
      <w:r w:rsidR="00113B3B" w:rsidRPr="00274DAF">
        <w:rPr>
          <w:rFonts w:cs="Times New Roman"/>
          <w:i/>
          <w:szCs w:val="24"/>
        </w:rPr>
        <w:t xml:space="preserve"> </w:t>
      </w:r>
      <w:r w:rsidR="00113B3B">
        <w:rPr>
          <w:rFonts w:cs="Times New Roman"/>
          <w:i/>
          <w:szCs w:val="24"/>
        </w:rPr>
        <w:t>“</w:t>
      </w:r>
      <w:r w:rsidR="00113B3B" w:rsidRPr="00274DAF">
        <w:rPr>
          <w:rFonts w:cs="Times New Roman"/>
          <w:i/>
          <w:szCs w:val="24"/>
        </w:rPr>
        <w:t>had not good and marketable title</w:t>
      </w:r>
      <w:r w:rsidR="00113B3B">
        <w:rPr>
          <w:rFonts w:cs="Times New Roman"/>
          <w:i/>
          <w:szCs w:val="24"/>
        </w:rPr>
        <w:t>.”</w:t>
      </w:r>
      <w:r w:rsidR="00F450B3">
        <w:rPr>
          <w:rFonts w:cs="Times New Roman"/>
          <w:i/>
          <w:szCs w:val="24"/>
        </w:rPr>
        <w:t xml:space="preserve"> </w:t>
      </w:r>
      <w:r w:rsidR="00F450B3" w:rsidRPr="00F450B3">
        <w:rPr>
          <w:rFonts w:cs="Times New Roman"/>
          <w:i/>
          <w:szCs w:val="24"/>
        </w:rPr>
        <w:t xml:space="preserve"> </w:t>
      </w:r>
      <w:r w:rsidR="00113B3B">
        <w:rPr>
          <w:rFonts w:cs="Times New Roman"/>
          <w:szCs w:val="24"/>
        </w:rPr>
        <w:t xml:space="preserve">On the face of it, the absence of good marketable title </w:t>
      </w:r>
      <w:r w:rsidR="00F450B3">
        <w:rPr>
          <w:rFonts w:cs="Times New Roman"/>
          <w:szCs w:val="24"/>
        </w:rPr>
        <w:t>appears indeed to have been a “</w:t>
      </w:r>
      <w:r w:rsidR="00F450B3" w:rsidRPr="00F450B3">
        <w:rPr>
          <w:rFonts w:cs="Times New Roman"/>
          <w:i/>
          <w:szCs w:val="24"/>
        </w:rPr>
        <w:t>fundamental flaw</w:t>
      </w:r>
      <w:r w:rsidR="00F450B3">
        <w:rPr>
          <w:rFonts w:cs="Times New Roman"/>
          <w:szCs w:val="24"/>
        </w:rPr>
        <w:t xml:space="preserve">” </w:t>
      </w:r>
      <w:r w:rsidR="00672376">
        <w:rPr>
          <w:rFonts w:cs="Times New Roman"/>
          <w:szCs w:val="24"/>
        </w:rPr>
        <w:t xml:space="preserve">such as to </w:t>
      </w:r>
      <w:r w:rsidR="00113B3B">
        <w:rPr>
          <w:rFonts w:cs="Times New Roman"/>
          <w:szCs w:val="24"/>
        </w:rPr>
        <w:t xml:space="preserve">constitute </w:t>
      </w:r>
      <w:r w:rsidR="00672376">
        <w:rPr>
          <w:rFonts w:cs="Times New Roman"/>
          <w:szCs w:val="24"/>
        </w:rPr>
        <w:t>“</w:t>
      </w:r>
      <w:r w:rsidR="00113B3B" w:rsidRPr="00672376">
        <w:rPr>
          <w:rFonts w:cs="Times New Roman"/>
          <w:i/>
          <w:szCs w:val="24"/>
        </w:rPr>
        <w:t>damage</w:t>
      </w:r>
      <w:r w:rsidR="00672376">
        <w:rPr>
          <w:rFonts w:cs="Times New Roman"/>
          <w:szCs w:val="24"/>
        </w:rPr>
        <w:t>”. C</w:t>
      </w:r>
      <w:r w:rsidR="00113B3B">
        <w:rPr>
          <w:rFonts w:cs="Times New Roman"/>
          <w:szCs w:val="24"/>
        </w:rPr>
        <w:t>learly</w:t>
      </w:r>
      <w:r w:rsidR="00672376">
        <w:rPr>
          <w:rFonts w:cs="Times New Roman"/>
          <w:szCs w:val="24"/>
        </w:rPr>
        <w:t>, however,</w:t>
      </w:r>
      <w:r w:rsidR="00113B3B">
        <w:rPr>
          <w:rFonts w:cs="Times New Roman"/>
          <w:szCs w:val="24"/>
        </w:rPr>
        <w:t xml:space="preserve"> that was not the view taken by the Judge.</w:t>
      </w:r>
    </w:p>
    <w:p w14:paraId="01D12096" w14:textId="77777777" w:rsidR="00433113" w:rsidRDefault="00433113">
      <w:pPr>
        <w:widowControl/>
        <w:spacing w:after="160" w:line="259" w:lineRule="auto"/>
        <w:jc w:val="left"/>
        <w:rPr>
          <w:rFonts w:cs="Times New Roman"/>
          <w:szCs w:val="24"/>
        </w:rPr>
      </w:pPr>
      <w:r>
        <w:rPr>
          <w:rFonts w:cs="Times New Roman"/>
          <w:szCs w:val="24"/>
        </w:rPr>
        <w:br w:type="page"/>
      </w:r>
    </w:p>
    <w:p w14:paraId="4EDBCF3E" w14:textId="77777777" w:rsidR="004B40E5" w:rsidRPr="00433113" w:rsidRDefault="00433113" w:rsidP="00433113">
      <w:pPr>
        <w:pStyle w:val="ListParagraph"/>
        <w:spacing w:line="480" w:lineRule="auto"/>
        <w:ind w:left="0"/>
        <w:jc w:val="center"/>
        <w:rPr>
          <w:rFonts w:cs="Times New Roman"/>
          <w:b/>
          <w:szCs w:val="24"/>
        </w:rPr>
      </w:pPr>
      <w:r w:rsidRPr="00433113">
        <w:rPr>
          <w:rFonts w:cs="Times New Roman"/>
          <w:b/>
          <w:szCs w:val="24"/>
        </w:rPr>
        <w:lastRenderedPageBreak/>
        <w:t>APPEAL</w:t>
      </w:r>
    </w:p>
    <w:p w14:paraId="61AA5291" w14:textId="77777777" w:rsidR="00433113" w:rsidRDefault="00433113" w:rsidP="004B40E5">
      <w:pPr>
        <w:pStyle w:val="ListParagraph"/>
        <w:spacing w:line="480" w:lineRule="auto"/>
        <w:rPr>
          <w:rFonts w:cs="Times New Roman"/>
          <w:szCs w:val="24"/>
        </w:rPr>
      </w:pPr>
    </w:p>
    <w:p w14:paraId="5E2E7BBC" w14:textId="77777777" w:rsidR="00433113" w:rsidRDefault="00433113" w:rsidP="00433113">
      <w:pPr>
        <w:pStyle w:val="ListParagraph"/>
        <w:numPr>
          <w:ilvl w:val="0"/>
          <w:numId w:val="1"/>
        </w:numPr>
        <w:spacing w:line="480" w:lineRule="auto"/>
        <w:ind w:hanging="720"/>
        <w:rPr>
          <w:rFonts w:cs="Times New Roman"/>
          <w:szCs w:val="24"/>
        </w:rPr>
      </w:pPr>
      <w:r>
        <w:rPr>
          <w:rFonts w:cs="Times New Roman"/>
          <w:szCs w:val="24"/>
        </w:rPr>
        <w:t>The Solicitors appeal against the High Court’s decision.</w:t>
      </w:r>
      <w:r w:rsidR="001926D4">
        <w:rPr>
          <w:rFonts w:cs="Times New Roman"/>
          <w:szCs w:val="24"/>
        </w:rPr>
        <w:t xml:space="preserve"> They say that the Judge misapplied the principles in </w:t>
      </w:r>
      <w:r w:rsidR="001926D4" w:rsidRPr="001926D4">
        <w:rPr>
          <w:rFonts w:cs="Times New Roman"/>
          <w:i/>
          <w:szCs w:val="24"/>
        </w:rPr>
        <w:t xml:space="preserve">Brandley </w:t>
      </w:r>
      <w:r w:rsidR="001926D4">
        <w:rPr>
          <w:rFonts w:cs="Times New Roman"/>
          <w:szCs w:val="24"/>
        </w:rPr>
        <w:t xml:space="preserve">which, they suggest, are limited in their scope to property damage claims. The case as pleaded against the Solicitors was that there were </w:t>
      </w:r>
      <w:r w:rsidR="001926D4" w:rsidRPr="001926D4">
        <w:rPr>
          <w:rFonts w:cs="Times New Roman"/>
          <w:szCs w:val="24"/>
        </w:rPr>
        <w:t>defects</w:t>
      </w:r>
      <w:r w:rsidR="001926D4" w:rsidRPr="001926D4">
        <w:rPr>
          <w:rFonts w:cs="Times New Roman"/>
          <w:b/>
          <w:szCs w:val="24"/>
        </w:rPr>
        <w:t xml:space="preserve"> </w:t>
      </w:r>
      <w:r w:rsidR="001926D4">
        <w:rPr>
          <w:rFonts w:cs="Times New Roman"/>
          <w:szCs w:val="24"/>
        </w:rPr>
        <w:t xml:space="preserve">in the title to the Property. Those defects were present at completion and were capable of being ascertained at that point. The defects devalued the Property immediately and constituted damage. That there might have been difficulty and/or uncertainty in quantifying </w:t>
      </w:r>
      <w:r w:rsidR="00D15993">
        <w:rPr>
          <w:rFonts w:cs="Times New Roman"/>
          <w:szCs w:val="24"/>
        </w:rPr>
        <w:t xml:space="preserve">that damage in monetary terms did not take away from that fact that the Plaintiff had, on his case, suffered non-negligible loss in 2006. The Plaintiff had in 2006 acquired property that was less valuable than the property he should have acquired and </w:t>
      </w:r>
      <w:r w:rsidR="004355AB">
        <w:rPr>
          <w:rFonts w:cs="Times New Roman"/>
          <w:szCs w:val="24"/>
        </w:rPr>
        <w:t xml:space="preserve">he </w:t>
      </w:r>
      <w:r w:rsidR="00D15993">
        <w:rPr>
          <w:rFonts w:cs="Times New Roman"/>
          <w:szCs w:val="24"/>
        </w:rPr>
        <w:t xml:space="preserve">could at that point have sued the Solicitors for the difference in value or the cost of putting the title issues right.  Reliance was placed in this regard on the Supreme Court’s decision in </w:t>
      </w:r>
      <w:r w:rsidR="00D15993" w:rsidRPr="00D15993">
        <w:rPr>
          <w:rFonts w:cs="Times New Roman"/>
          <w:i/>
          <w:szCs w:val="24"/>
        </w:rPr>
        <w:t>Gallagher v ACC Bank plc</w:t>
      </w:r>
      <w:r w:rsidR="00242AB1">
        <w:rPr>
          <w:rFonts w:cs="Times New Roman"/>
          <w:i/>
          <w:szCs w:val="24"/>
        </w:rPr>
        <w:t xml:space="preserve"> </w:t>
      </w:r>
      <w:r w:rsidR="00242AB1">
        <w:rPr>
          <w:rFonts w:cs="Times New Roman"/>
          <w:szCs w:val="24"/>
        </w:rPr>
        <w:t>[2012] IESC 35, [2012] 2 IR 620</w:t>
      </w:r>
      <w:r w:rsidR="00D15993">
        <w:rPr>
          <w:rFonts w:cs="Times New Roman"/>
          <w:i/>
          <w:szCs w:val="24"/>
        </w:rPr>
        <w:t xml:space="preserve"> </w:t>
      </w:r>
      <w:r w:rsidR="00242AB1">
        <w:rPr>
          <w:rFonts w:cs="Times New Roman"/>
          <w:szCs w:val="24"/>
        </w:rPr>
        <w:t>(“</w:t>
      </w:r>
      <w:r w:rsidR="00242AB1" w:rsidRPr="00242AB1">
        <w:rPr>
          <w:rFonts w:cs="Times New Roman"/>
          <w:i/>
          <w:szCs w:val="24"/>
        </w:rPr>
        <w:t>Gallagher</w:t>
      </w:r>
      <w:r w:rsidR="00242AB1">
        <w:rPr>
          <w:rFonts w:cs="Times New Roman"/>
          <w:szCs w:val="24"/>
        </w:rPr>
        <w:t>”)</w:t>
      </w:r>
      <w:r w:rsidR="00672376">
        <w:rPr>
          <w:rFonts w:cs="Times New Roman"/>
          <w:szCs w:val="24"/>
        </w:rPr>
        <w:t xml:space="preserve"> </w:t>
      </w:r>
      <w:r w:rsidR="00D15993">
        <w:rPr>
          <w:rFonts w:cs="Times New Roman"/>
          <w:szCs w:val="24"/>
        </w:rPr>
        <w:t xml:space="preserve">and the decision of this Court in </w:t>
      </w:r>
      <w:r w:rsidR="00D15993" w:rsidRPr="00D15993">
        <w:rPr>
          <w:rFonts w:cs="Times New Roman"/>
          <w:i/>
          <w:szCs w:val="24"/>
        </w:rPr>
        <w:t>Cantrell v Allied Irish Banks plc</w:t>
      </w:r>
      <w:r w:rsidR="00D15993">
        <w:rPr>
          <w:rFonts w:cs="Times New Roman"/>
          <w:szCs w:val="24"/>
        </w:rPr>
        <w:t xml:space="preserve"> [2019] IECA 217. As regards </w:t>
      </w:r>
      <w:r w:rsidR="00D15993" w:rsidRPr="00D15993">
        <w:rPr>
          <w:rFonts w:cs="Times New Roman"/>
          <w:i/>
          <w:szCs w:val="24"/>
        </w:rPr>
        <w:t>Brandley,</w:t>
      </w:r>
      <w:r w:rsidR="00D15993">
        <w:rPr>
          <w:rFonts w:cs="Times New Roman"/>
          <w:szCs w:val="24"/>
        </w:rPr>
        <w:t xml:space="preserve"> it was said that, in any event, the Judge was wrong to equate the title defects here with the latent defects in the foundations that McKechnie J was addressing himself to. </w:t>
      </w:r>
      <w:r w:rsidR="00B26FD2">
        <w:rPr>
          <w:rFonts w:cs="Times New Roman"/>
          <w:szCs w:val="24"/>
        </w:rPr>
        <w:t xml:space="preserve">That had led him to hold that the cause of action accrued even later than the date on which the defects were actually discovered by the Plaintiff by </w:t>
      </w:r>
      <w:bookmarkStart w:id="8" w:name="_Hlk82776923"/>
      <w:r w:rsidR="00B26FD2">
        <w:rPr>
          <w:rFonts w:cs="Times New Roman"/>
          <w:szCs w:val="24"/>
        </w:rPr>
        <w:t>reference to a fortuity – the date of rescission of the contract – that had no intrinsic connection to the cause of action.</w:t>
      </w:r>
      <w:bookmarkEnd w:id="8"/>
    </w:p>
    <w:p w14:paraId="384DCD30" w14:textId="77777777" w:rsidR="00B26FD2" w:rsidRDefault="00B26FD2" w:rsidP="00B26FD2">
      <w:pPr>
        <w:pStyle w:val="ListParagraph"/>
        <w:spacing w:line="480" w:lineRule="auto"/>
        <w:rPr>
          <w:rFonts w:cs="Times New Roman"/>
          <w:szCs w:val="24"/>
        </w:rPr>
      </w:pPr>
    </w:p>
    <w:p w14:paraId="1BC587E0" w14:textId="77777777" w:rsidR="00B26FD2" w:rsidRDefault="00B26FD2" w:rsidP="00433113">
      <w:pPr>
        <w:pStyle w:val="ListParagraph"/>
        <w:numPr>
          <w:ilvl w:val="0"/>
          <w:numId w:val="1"/>
        </w:numPr>
        <w:spacing w:line="480" w:lineRule="auto"/>
        <w:ind w:hanging="720"/>
        <w:rPr>
          <w:rFonts w:cs="Times New Roman"/>
          <w:szCs w:val="24"/>
        </w:rPr>
      </w:pPr>
      <w:r>
        <w:rPr>
          <w:rFonts w:cs="Times New Roman"/>
          <w:szCs w:val="24"/>
        </w:rPr>
        <w:t xml:space="preserve">In response, the Plaintiff supports the analysis of the Judge. He says that he did not suffer any loss until the contract was rescinded. Until that point, any loss was a purely </w:t>
      </w:r>
      <w:r>
        <w:rPr>
          <w:rFonts w:cs="Times New Roman"/>
          <w:szCs w:val="24"/>
        </w:rPr>
        <w:lastRenderedPageBreak/>
        <w:t>contingent on</w:t>
      </w:r>
      <w:r w:rsidR="004355AB">
        <w:rPr>
          <w:rFonts w:cs="Times New Roman"/>
          <w:szCs w:val="24"/>
        </w:rPr>
        <w:t>e</w:t>
      </w:r>
      <w:r>
        <w:rPr>
          <w:rFonts w:cs="Times New Roman"/>
          <w:szCs w:val="24"/>
        </w:rPr>
        <w:t>; there was merely the “</w:t>
      </w:r>
      <w:r w:rsidRPr="00B26FD2">
        <w:rPr>
          <w:rFonts w:cs="Times New Roman"/>
          <w:i/>
          <w:szCs w:val="24"/>
        </w:rPr>
        <w:t>possibility of loss</w:t>
      </w:r>
      <w:r>
        <w:rPr>
          <w:rFonts w:cs="Times New Roman"/>
          <w:szCs w:val="24"/>
        </w:rPr>
        <w:t xml:space="preserve">” which was not sufficient  to complete the cause of action. </w:t>
      </w:r>
      <w:r w:rsidR="00AC7FC5">
        <w:rPr>
          <w:rFonts w:cs="Times New Roman"/>
          <w:szCs w:val="24"/>
        </w:rPr>
        <w:t xml:space="preserve">The </w:t>
      </w:r>
      <w:r w:rsidR="000A257D">
        <w:rPr>
          <w:rFonts w:cs="Times New Roman"/>
          <w:szCs w:val="24"/>
        </w:rPr>
        <w:t xml:space="preserve">Plaintiff cited the </w:t>
      </w:r>
      <w:r w:rsidR="00AC7FC5">
        <w:rPr>
          <w:rFonts w:cs="Times New Roman"/>
          <w:szCs w:val="24"/>
        </w:rPr>
        <w:t xml:space="preserve">decision of the Supreme Court in </w:t>
      </w:r>
      <w:r w:rsidR="00AC7FC5" w:rsidRPr="00991528">
        <w:rPr>
          <w:rFonts w:cs="Times New Roman"/>
          <w:i/>
          <w:szCs w:val="24"/>
        </w:rPr>
        <w:t xml:space="preserve">Gallagher </w:t>
      </w:r>
      <w:r w:rsidR="00AC7FC5">
        <w:rPr>
          <w:rFonts w:cs="Times New Roman"/>
          <w:szCs w:val="24"/>
        </w:rPr>
        <w:t xml:space="preserve">and that of the House of Lords in </w:t>
      </w:r>
      <w:r w:rsidR="00AC7FC5" w:rsidRPr="00991528">
        <w:rPr>
          <w:rFonts w:cs="Times New Roman"/>
          <w:i/>
          <w:szCs w:val="24"/>
        </w:rPr>
        <w:t>Law Society v Se</w:t>
      </w:r>
      <w:r w:rsidR="00A8043E">
        <w:rPr>
          <w:rFonts w:cs="Times New Roman"/>
          <w:i/>
          <w:szCs w:val="24"/>
        </w:rPr>
        <w:t>pht</w:t>
      </w:r>
      <w:r w:rsidR="00AC7FC5" w:rsidRPr="00991528">
        <w:rPr>
          <w:rFonts w:cs="Times New Roman"/>
          <w:i/>
          <w:szCs w:val="24"/>
        </w:rPr>
        <w:t>on &amp; Co (a firm)</w:t>
      </w:r>
      <w:r w:rsidR="00AC7FC5">
        <w:rPr>
          <w:rFonts w:cs="Times New Roman"/>
          <w:szCs w:val="24"/>
        </w:rPr>
        <w:t xml:space="preserve"> </w:t>
      </w:r>
      <w:r w:rsidR="00991528">
        <w:rPr>
          <w:rFonts w:cs="Times New Roman"/>
          <w:szCs w:val="24"/>
        </w:rPr>
        <w:t>[2006] UKHL 22, [2006] 2 AC 543</w:t>
      </w:r>
      <w:r w:rsidR="000A257D">
        <w:rPr>
          <w:rFonts w:cs="Times New Roman"/>
          <w:szCs w:val="24"/>
        </w:rPr>
        <w:t xml:space="preserve"> </w:t>
      </w:r>
      <w:r w:rsidR="00991528">
        <w:rPr>
          <w:rFonts w:cs="Times New Roman"/>
          <w:szCs w:val="24"/>
        </w:rPr>
        <w:t xml:space="preserve">in support of that proposition. </w:t>
      </w:r>
      <w:r>
        <w:rPr>
          <w:rFonts w:cs="Times New Roman"/>
          <w:szCs w:val="24"/>
        </w:rPr>
        <w:t>Damage was “</w:t>
      </w:r>
      <w:r w:rsidRPr="00B26FD2">
        <w:rPr>
          <w:rFonts w:cs="Times New Roman"/>
          <w:i/>
          <w:szCs w:val="24"/>
        </w:rPr>
        <w:t>manifested</w:t>
      </w:r>
      <w:r>
        <w:rPr>
          <w:rFonts w:cs="Times New Roman"/>
          <w:szCs w:val="24"/>
        </w:rPr>
        <w:t xml:space="preserve">” only when the purchaser elected not to proceed. Emphasis was placed on a passage from the judgment of Ryan P in this Court in </w:t>
      </w:r>
      <w:r w:rsidRPr="00B26FD2">
        <w:rPr>
          <w:rFonts w:cs="Times New Roman"/>
          <w:i/>
          <w:szCs w:val="24"/>
        </w:rPr>
        <w:t>Brandley v Deane</w:t>
      </w:r>
      <w:r w:rsidR="00AC7FC5">
        <w:rPr>
          <w:rFonts w:cs="Times New Roman"/>
          <w:szCs w:val="24"/>
        </w:rPr>
        <w:t xml:space="preserve">, which was cited by McKechnie J in his judgment, to the effect that no cause of action arose </w:t>
      </w:r>
      <w:r w:rsidR="004355AB">
        <w:rPr>
          <w:rFonts w:cs="Times New Roman"/>
          <w:szCs w:val="24"/>
        </w:rPr>
        <w:t xml:space="preserve">in that case </w:t>
      </w:r>
      <w:r w:rsidR="00AC7FC5">
        <w:rPr>
          <w:rFonts w:cs="Times New Roman"/>
          <w:szCs w:val="24"/>
        </w:rPr>
        <w:t>when the defective foundations were laid as those defects could have been identified and put right later in which case any loss would have been averted.</w:t>
      </w:r>
      <w:r w:rsidR="00AC7FC5">
        <w:rPr>
          <w:rStyle w:val="FootnoteReference"/>
          <w:rFonts w:cs="Times New Roman"/>
          <w:szCs w:val="24"/>
        </w:rPr>
        <w:footnoteReference w:id="17"/>
      </w:r>
      <w:r w:rsidR="00AC7FC5">
        <w:rPr>
          <w:rFonts w:cs="Times New Roman"/>
          <w:szCs w:val="24"/>
        </w:rPr>
        <w:t xml:space="preserve"> Here, similarly (so it was said) the title defects could have been remedied (as in fact they were subsequently remedied by obtaining retention permission) at any point up to the contract being rescinded and </w:t>
      </w:r>
      <w:r w:rsidR="00034D7B">
        <w:rPr>
          <w:rFonts w:cs="Times New Roman"/>
          <w:szCs w:val="24"/>
        </w:rPr>
        <w:t xml:space="preserve">that </w:t>
      </w:r>
      <w:r w:rsidR="00AC7FC5">
        <w:rPr>
          <w:rFonts w:cs="Times New Roman"/>
          <w:szCs w:val="24"/>
        </w:rPr>
        <w:t xml:space="preserve">would have avoided any loss. </w:t>
      </w:r>
    </w:p>
    <w:p w14:paraId="03FA6343" w14:textId="77777777" w:rsidR="00991528" w:rsidRDefault="00991528" w:rsidP="00991528">
      <w:pPr>
        <w:pStyle w:val="ListParagraph"/>
        <w:spacing w:line="480" w:lineRule="auto"/>
        <w:rPr>
          <w:rFonts w:cs="Times New Roman"/>
          <w:szCs w:val="24"/>
        </w:rPr>
      </w:pPr>
    </w:p>
    <w:p w14:paraId="37BEAE5F" w14:textId="77777777" w:rsidR="00B26FD2" w:rsidRPr="00B60B61" w:rsidRDefault="00113B3B" w:rsidP="00B60B61">
      <w:pPr>
        <w:widowControl/>
        <w:spacing w:after="160" w:line="259" w:lineRule="auto"/>
        <w:jc w:val="center"/>
        <w:rPr>
          <w:rFonts w:cs="Times New Roman"/>
          <w:szCs w:val="24"/>
        </w:rPr>
      </w:pPr>
      <w:r>
        <w:rPr>
          <w:rFonts w:cs="Times New Roman"/>
          <w:szCs w:val="24"/>
        </w:rPr>
        <w:br w:type="page"/>
      </w:r>
      <w:r w:rsidRPr="00113B3B">
        <w:rPr>
          <w:rFonts w:cs="Times New Roman"/>
          <w:b/>
          <w:szCs w:val="24"/>
        </w:rPr>
        <w:lastRenderedPageBreak/>
        <w:t>DISCUSSION</w:t>
      </w:r>
      <w:r w:rsidR="00F81F65">
        <w:rPr>
          <w:rFonts w:cs="Times New Roman"/>
          <w:b/>
          <w:szCs w:val="24"/>
        </w:rPr>
        <w:t xml:space="preserve"> </w:t>
      </w:r>
    </w:p>
    <w:p w14:paraId="293452B9" w14:textId="77777777" w:rsidR="00113B3B" w:rsidRDefault="00113B3B" w:rsidP="00B26FD2">
      <w:pPr>
        <w:pStyle w:val="ListParagraph"/>
        <w:spacing w:line="480" w:lineRule="auto"/>
        <w:rPr>
          <w:rFonts w:cs="Times New Roman"/>
          <w:szCs w:val="24"/>
        </w:rPr>
      </w:pPr>
    </w:p>
    <w:p w14:paraId="57563F60" w14:textId="77777777" w:rsidR="001E28AD" w:rsidRPr="00F259C6" w:rsidRDefault="00F259C6" w:rsidP="00B26FD2">
      <w:pPr>
        <w:pStyle w:val="ListParagraph"/>
        <w:spacing w:line="480" w:lineRule="auto"/>
        <w:rPr>
          <w:rFonts w:cs="Times New Roman"/>
          <w:b/>
          <w:i/>
          <w:szCs w:val="24"/>
        </w:rPr>
      </w:pPr>
      <w:r w:rsidRPr="00F259C6">
        <w:rPr>
          <w:rFonts w:cs="Times New Roman"/>
          <w:b/>
          <w:i/>
          <w:szCs w:val="24"/>
        </w:rPr>
        <w:t>Framework</w:t>
      </w:r>
    </w:p>
    <w:p w14:paraId="22CA1A3F" w14:textId="77777777" w:rsidR="001E28AD" w:rsidRDefault="001E28AD" w:rsidP="00B26FD2">
      <w:pPr>
        <w:pStyle w:val="ListParagraph"/>
        <w:spacing w:line="480" w:lineRule="auto"/>
        <w:rPr>
          <w:rFonts w:cs="Times New Roman"/>
          <w:szCs w:val="24"/>
        </w:rPr>
      </w:pPr>
    </w:p>
    <w:p w14:paraId="3E5DAA98" w14:textId="77777777" w:rsidR="00242AB1" w:rsidRDefault="007869B7" w:rsidP="00242AB1">
      <w:pPr>
        <w:pStyle w:val="ListParagraph"/>
        <w:numPr>
          <w:ilvl w:val="0"/>
          <w:numId w:val="1"/>
        </w:numPr>
        <w:spacing w:line="480" w:lineRule="auto"/>
        <w:ind w:hanging="720"/>
        <w:rPr>
          <w:rFonts w:cs="Times New Roman"/>
          <w:szCs w:val="24"/>
        </w:rPr>
      </w:pPr>
      <w:r>
        <w:rPr>
          <w:rFonts w:cs="Times New Roman"/>
          <w:szCs w:val="24"/>
        </w:rPr>
        <w:t xml:space="preserve">A large number of authorities, from both this jurisdiction and elsewhere, were </w:t>
      </w:r>
      <w:r w:rsidR="004D2AAF">
        <w:rPr>
          <w:rFonts w:cs="Times New Roman"/>
          <w:szCs w:val="24"/>
        </w:rPr>
        <w:t>referred to</w:t>
      </w:r>
      <w:r>
        <w:rPr>
          <w:rFonts w:cs="Times New Roman"/>
          <w:szCs w:val="24"/>
        </w:rPr>
        <w:t xml:space="preserve"> by the parties in their helpful written and oral submissions. </w:t>
      </w:r>
    </w:p>
    <w:p w14:paraId="2A665C8A" w14:textId="77777777" w:rsidR="00242AB1" w:rsidRDefault="00242AB1" w:rsidP="00242AB1">
      <w:pPr>
        <w:pStyle w:val="ListParagraph"/>
        <w:spacing w:line="480" w:lineRule="auto"/>
        <w:rPr>
          <w:rFonts w:cs="Times New Roman"/>
          <w:szCs w:val="24"/>
        </w:rPr>
      </w:pPr>
    </w:p>
    <w:p w14:paraId="33F8F360" w14:textId="77777777" w:rsidR="001E7045" w:rsidRDefault="009C74B9" w:rsidP="00242AB1">
      <w:pPr>
        <w:pStyle w:val="ListParagraph"/>
        <w:numPr>
          <w:ilvl w:val="0"/>
          <w:numId w:val="1"/>
        </w:numPr>
        <w:spacing w:line="480" w:lineRule="auto"/>
        <w:ind w:hanging="720"/>
        <w:rPr>
          <w:rFonts w:cs="Times New Roman"/>
          <w:szCs w:val="24"/>
        </w:rPr>
      </w:pPr>
      <w:bookmarkStart w:id="9" w:name="_Hlk83206853"/>
      <w:r>
        <w:rPr>
          <w:rFonts w:cs="Times New Roman"/>
          <w:szCs w:val="24"/>
        </w:rPr>
        <w:t xml:space="preserve">Of these authorities, the most significant are the decisions of the Supreme Court in </w:t>
      </w:r>
      <w:r w:rsidRPr="0025143A">
        <w:rPr>
          <w:rFonts w:cs="Times New Roman"/>
          <w:i/>
          <w:szCs w:val="24"/>
        </w:rPr>
        <w:t>Gallagher</w:t>
      </w:r>
      <w:r w:rsidR="00034D7B">
        <w:rPr>
          <w:rFonts w:cs="Times New Roman"/>
          <w:i/>
          <w:szCs w:val="24"/>
        </w:rPr>
        <w:t xml:space="preserve"> </w:t>
      </w:r>
      <w:r w:rsidR="00034D7B" w:rsidRPr="00034D7B">
        <w:rPr>
          <w:rFonts w:cs="Times New Roman"/>
          <w:szCs w:val="24"/>
        </w:rPr>
        <w:t>and</w:t>
      </w:r>
      <w:r w:rsidR="00034D7B">
        <w:rPr>
          <w:rFonts w:cs="Times New Roman"/>
          <w:i/>
          <w:szCs w:val="24"/>
        </w:rPr>
        <w:t xml:space="preserve"> </w:t>
      </w:r>
      <w:r>
        <w:rPr>
          <w:rFonts w:cs="Times New Roman"/>
          <w:i/>
          <w:szCs w:val="24"/>
        </w:rPr>
        <w:t>Brandley</w:t>
      </w:r>
      <w:r w:rsidR="00034D7B">
        <w:rPr>
          <w:rFonts w:cs="Times New Roman"/>
          <w:i/>
          <w:szCs w:val="24"/>
        </w:rPr>
        <w:t xml:space="preserve">. </w:t>
      </w:r>
      <w:r w:rsidR="00034D7B">
        <w:rPr>
          <w:rFonts w:cs="Times New Roman"/>
          <w:szCs w:val="24"/>
        </w:rPr>
        <w:t xml:space="preserve">The decision of this Court in </w:t>
      </w:r>
      <w:r w:rsidR="00034D7B" w:rsidRPr="001E28AD">
        <w:rPr>
          <w:rFonts w:cs="Times New Roman"/>
          <w:i/>
          <w:szCs w:val="24"/>
        </w:rPr>
        <w:t>Cantrell</w:t>
      </w:r>
      <w:r w:rsidR="00034D7B">
        <w:rPr>
          <w:rFonts w:cs="Times New Roman"/>
          <w:szCs w:val="24"/>
        </w:rPr>
        <w:t xml:space="preserve"> was also </w:t>
      </w:r>
      <w:r w:rsidR="001E28AD">
        <w:rPr>
          <w:rFonts w:cs="Times New Roman"/>
          <w:szCs w:val="24"/>
        </w:rPr>
        <w:t xml:space="preserve">cited extensively in argument. However, that decision has since been reversed by the </w:t>
      </w:r>
      <w:r w:rsidR="00034D7B">
        <w:rPr>
          <w:rFonts w:cs="Times New Roman"/>
          <w:szCs w:val="24"/>
        </w:rPr>
        <w:t>Supreme Court</w:t>
      </w:r>
      <w:r w:rsidR="001E28AD">
        <w:rPr>
          <w:rFonts w:cs="Times New Roman"/>
          <w:szCs w:val="24"/>
        </w:rPr>
        <w:t xml:space="preserve">. </w:t>
      </w:r>
      <w:r>
        <w:rPr>
          <w:rFonts w:cs="Times New Roman"/>
          <w:szCs w:val="24"/>
        </w:rPr>
        <w:t>The judgment of O</w:t>
      </w:r>
      <w:r w:rsidR="00E84D9C">
        <w:rPr>
          <w:rFonts w:cs="Times New Roman"/>
          <w:szCs w:val="24"/>
        </w:rPr>
        <w:t>’</w:t>
      </w:r>
      <w:r>
        <w:rPr>
          <w:rFonts w:cs="Times New Roman"/>
          <w:szCs w:val="24"/>
        </w:rPr>
        <w:t xml:space="preserve">Donnell J </w:t>
      </w:r>
      <w:r w:rsidR="00A8043E">
        <w:rPr>
          <w:rFonts w:cs="Times New Roman"/>
          <w:szCs w:val="24"/>
        </w:rPr>
        <w:t xml:space="preserve">(as he then was) </w:t>
      </w:r>
      <w:r>
        <w:rPr>
          <w:rFonts w:cs="Times New Roman"/>
          <w:szCs w:val="24"/>
        </w:rPr>
        <w:t xml:space="preserve">in </w:t>
      </w:r>
      <w:r w:rsidRPr="001E7045">
        <w:rPr>
          <w:rFonts w:cs="Times New Roman"/>
          <w:i/>
          <w:szCs w:val="24"/>
        </w:rPr>
        <w:t>Cantrell</w:t>
      </w:r>
      <w:r>
        <w:rPr>
          <w:rFonts w:cs="Times New Roman"/>
          <w:szCs w:val="24"/>
        </w:rPr>
        <w:t xml:space="preserve"> </w:t>
      </w:r>
      <w:r w:rsidR="00242AB1">
        <w:rPr>
          <w:rFonts w:cs="Times New Roman"/>
          <w:szCs w:val="24"/>
        </w:rPr>
        <w:t>(with which Clarke CJ and Dunne, Charleton and O’Malley JJ agreed)</w:t>
      </w:r>
      <w:r w:rsidR="001E7045">
        <w:rPr>
          <w:rFonts w:cs="Times New Roman"/>
          <w:szCs w:val="24"/>
        </w:rPr>
        <w:t xml:space="preserve"> contains a close analysis of </w:t>
      </w:r>
      <w:r w:rsidR="001E7045" w:rsidRPr="0025143A">
        <w:rPr>
          <w:rFonts w:cs="Times New Roman"/>
          <w:i/>
          <w:szCs w:val="24"/>
        </w:rPr>
        <w:t xml:space="preserve">Gallagher </w:t>
      </w:r>
      <w:r>
        <w:rPr>
          <w:rFonts w:cs="Times New Roman"/>
          <w:szCs w:val="24"/>
        </w:rPr>
        <w:t>a</w:t>
      </w:r>
      <w:r w:rsidR="001E7045">
        <w:rPr>
          <w:rFonts w:cs="Times New Roman"/>
          <w:szCs w:val="24"/>
        </w:rPr>
        <w:t xml:space="preserve">nd </w:t>
      </w:r>
      <w:r w:rsidR="001E7045" w:rsidRPr="0025143A">
        <w:rPr>
          <w:rFonts w:cs="Times New Roman"/>
          <w:i/>
          <w:szCs w:val="24"/>
        </w:rPr>
        <w:t>Brandle</w:t>
      </w:r>
      <w:r>
        <w:rPr>
          <w:rFonts w:cs="Times New Roman"/>
          <w:i/>
          <w:szCs w:val="24"/>
        </w:rPr>
        <w:t>y</w:t>
      </w:r>
      <w:r w:rsidR="000A257D">
        <w:rPr>
          <w:rFonts w:cs="Times New Roman"/>
          <w:i/>
          <w:szCs w:val="24"/>
        </w:rPr>
        <w:t xml:space="preserve"> </w:t>
      </w:r>
      <w:r w:rsidR="001E7045">
        <w:rPr>
          <w:rFonts w:cs="Times New Roman"/>
          <w:szCs w:val="24"/>
        </w:rPr>
        <w:t>– much discussed in this appeal also - as well as a</w:t>
      </w:r>
      <w:r w:rsidR="001E7045">
        <w:rPr>
          <w:rFonts w:cs="Times New Roman"/>
          <w:i/>
          <w:szCs w:val="24"/>
        </w:rPr>
        <w:t xml:space="preserve"> </w:t>
      </w:r>
      <w:r w:rsidR="001E7045">
        <w:rPr>
          <w:rFonts w:cs="Times New Roman"/>
          <w:szCs w:val="24"/>
        </w:rPr>
        <w:t xml:space="preserve">comprehensive survey of the numerous authorities considered in </w:t>
      </w:r>
      <w:r>
        <w:rPr>
          <w:rFonts w:cs="Times New Roman"/>
          <w:szCs w:val="24"/>
        </w:rPr>
        <w:t xml:space="preserve">those </w:t>
      </w:r>
      <w:r w:rsidR="001E7045">
        <w:rPr>
          <w:rFonts w:cs="Times New Roman"/>
          <w:szCs w:val="24"/>
        </w:rPr>
        <w:t>decisions</w:t>
      </w:r>
      <w:r w:rsidR="004D2AAF">
        <w:rPr>
          <w:rFonts w:cs="Times New Roman"/>
          <w:szCs w:val="24"/>
        </w:rPr>
        <w:t xml:space="preserve">, </w:t>
      </w:r>
      <w:r w:rsidR="001E7045">
        <w:rPr>
          <w:rFonts w:cs="Times New Roman"/>
          <w:szCs w:val="24"/>
        </w:rPr>
        <w:t xml:space="preserve">many of which were </w:t>
      </w:r>
      <w:r>
        <w:rPr>
          <w:rFonts w:cs="Times New Roman"/>
          <w:szCs w:val="24"/>
        </w:rPr>
        <w:t xml:space="preserve">also </w:t>
      </w:r>
      <w:r w:rsidR="001E7045">
        <w:rPr>
          <w:rFonts w:cs="Times New Roman"/>
          <w:szCs w:val="24"/>
        </w:rPr>
        <w:t>the subject of submission here.</w:t>
      </w:r>
    </w:p>
    <w:p w14:paraId="709D6A29" w14:textId="77777777" w:rsidR="001E7045" w:rsidRDefault="001E7045" w:rsidP="001E7045">
      <w:pPr>
        <w:pStyle w:val="ListParagraph"/>
        <w:spacing w:line="480" w:lineRule="auto"/>
        <w:rPr>
          <w:rFonts w:cs="Times New Roman"/>
          <w:szCs w:val="24"/>
        </w:rPr>
      </w:pPr>
      <w:r>
        <w:rPr>
          <w:rFonts w:cs="Times New Roman"/>
          <w:szCs w:val="24"/>
        </w:rPr>
        <w:t xml:space="preserve"> </w:t>
      </w:r>
    </w:p>
    <w:p w14:paraId="61FEA140" w14:textId="77777777" w:rsidR="00113B3B" w:rsidRDefault="00130D8A" w:rsidP="00113B3B">
      <w:pPr>
        <w:pStyle w:val="ListParagraph"/>
        <w:numPr>
          <w:ilvl w:val="0"/>
          <w:numId w:val="1"/>
        </w:numPr>
        <w:spacing w:line="480" w:lineRule="auto"/>
        <w:ind w:hanging="720"/>
        <w:rPr>
          <w:rFonts w:cs="Times New Roman"/>
          <w:szCs w:val="24"/>
        </w:rPr>
      </w:pPr>
      <w:r>
        <w:rPr>
          <w:rFonts w:cs="Times New Roman"/>
          <w:szCs w:val="24"/>
        </w:rPr>
        <w:t xml:space="preserve">I do not propose to </w:t>
      </w:r>
      <w:r w:rsidR="009C74B9">
        <w:rPr>
          <w:rFonts w:cs="Times New Roman"/>
          <w:szCs w:val="24"/>
        </w:rPr>
        <w:t xml:space="preserve">repeat the exercise undertaken by </w:t>
      </w:r>
      <w:r w:rsidR="00E928EB">
        <w:rPr>
          <w:rFonts w:cs="Times New Roman"/>
          <w:szCs w:val="24"/>
        </w:rPr>
        <w:t>O’Donnell</w:t>
      </w:r>
      <w:r w:rsidR="009C74B9">
        <w:rPr>
          <w:rFonts w:cs="Times New Roman"/>
          <w:szCs w:val="24"/>
        </w:rPr>
        <w:t xml:space="preserve"> J in </w:t>
      </w:r>
      <w:r w:rsidR="009C74B9" w:rsidRPr="009C74B9">
        <w:rPr>
          <w:rFonts w:cs="Times New Roman"/>
          <w:i/>
          <w:szCs w:val="24"/>
        </w:rPr>
        <w:t>Cantrell</w:t>
      </w:r>
      <w:r w:rsidR="008C7DC1">
        <w:rPr>
          <w:rFonts w:cs="Times New Roman"/>
          <w:szCs w:val="24"/>
        </w:rPr>
        <w:t xml:space="preserve"> (or the similar exercise previously undertaken by Fennelly J in </w:t>
      </w:r>
      <w:r w:rsidR="008C7DC1" w:rsidRPr="008C7DC1">
        <w:rPr>
          <w:rFonts w:cs="Times New Roman"/>
          <w:i/>
          <w:szCs w:val="24"/>
        </w:rPr>
        <w:t>Gallagher</w:t>
      </w:r>
      <w:r w:rsidR="008C7DC1">
        <w:rPr>
          <w:rFonts w:cs="Times New Roman"/>
          <w:szCs w:val="24"/>
        </w:rPr>
        <w:t>) t</w:t>
      </w:r>
      <w:r>
        <w:rPr>
          <w:rFonts w:cs="Times New Roman"/>
          <w:szCs w:val="24"/>
        </w:rPr>
        <w:t xml:space="preserve">hough it will be necessary to refer further to certain of the authorities considered by him. First, however, I </w:t>
      </w:r>
      <w:r w:rsidR="009C74B9">
        <w:rPr>
          <w:rFonts w:cs="Times New Roman"/>
          <w:szCs w:val="24"/>
        </w:rPr>
        <w:t xml:space="preserve">shall </w:t>
      </w:r>
      <w:r w:rsidR="006E5D01">
        <w:rPr>
          <w:rFonts w:cs="Times New Roman"/>
          <w:szCs w:val="24"/>
        </w:rPr>
        <w:t>endeavour</w:t>
      </w:r>
      <w:r w:rsidR="009C74B9">
        <w:rPr>
          <w:rFonts w:cs="Times New Roman"/>
          <w:szCs w:val="24"/>
        </w:rPr>
        <w:t xml:space="preserve"> to identify the </w:t>
      </w:r>
      <w:r>
        <w:rPr>
          <w:rFonts w:cs="Times New Roman"/>
          <w:szCs w:val="24"/>
        </w:rPr>
        <w:t>main</w:t>
      </w:r>
      <w:r w:rsidR="00D663E9">
        <w:rPr>
          <w:rFonts w:cs="Times New Roman"/>
          <w:szCs w:val="24"/>
        </w:rPr>
        <w:t xml:space="preserve"> </w:t>
      </w:r>
      <w:r w:rsidR="001E28AD">
        <w:rPr>
          <w:rFonts w:cs="Times New Roman"/>
          <w:szCs w:val="24"/>
        </w:rPr>
        <w:t>points</w:t>
      </w:r>
      <w:r w:rsidR="009C74B9">
        <w:rPr>
          <w:rFonts w:cs="Times New Roman"/>
          <w:szCs w:val="24"/>
        </w:rPr>
        <w:t xml:space="preserve"> </w:t>
      </w:r>
      <w:r w:rsidR="00E04373">
        <w:rPr>
          <w:rFonts w:cs="Times New Roman"/>
          <w:szCs w:val="24"/>
        </w:rPr>
        <w:t xml:space="preserve">to be drawn from the </w:t>
      </w:r>
      <w:r>
        <w:rPr>
          <w:rFonts w:cs="Times New Roman"/>
          <w:szCs w:val="24"/>
        </w:rPr>
        <w:t xml:space="preserve">Irish </w:t>
      </w:r>
      <w:r w:rsidR="00E04373">
        <w:rPr>
          <w:rFonts w:cs="Times New Roman"/>
          <w:szCs w:val="24"/>
        </w:rPr>
        <w:t>authorities</w:t>
      </w:r>
      <w:r>
        <w:rPr>
          <w:rFonts w:cs="Times New Roman"/>
          <w:szCs w:val="24"/>
        </w:rPr>
        <w:t>:</w:t>
      </w:r>
      <w:r w:rsidR="00D663E9">
        <w:rPr>
          <w:rFonts w:cs="Times New Roman"/>
          <w:szCs w:val="24"/>
        </w:rPr>
        <w:t xml:space="preserve"> </w:t>
      </w:r>
    </w:p>
    <w:p w14:paraId="007D05EC" w14:textId="77777777" w:rsidR="00D663E9" w:rsidRDefault="00D663E9" w:rsidP="00D663E9">
      <w:pPr>
        <w:pStyle w:val="ListParagraph"/>
        <w:spacing w:line="480" w:lineRule="auto"/>
        <w:ind w:left="1080"/>
        <w:rPr>
          <w:rFonts w:cs="Times New Roman"/>
          <w:szCs w:val="24"/>
        </w:rPr>
      </w:pPr>
    </w:p>
    <w:p w14:paraId="5758D0E7" w14:textId="77777777" w:rsidR="00E04373" w:rsidRDefault="00D663E9" w:rsidP="00D663E9">
      <w:pPr>
        <w:pStyle w:val="ListParagraph"/>
        <w:spacing w:line="480" w:lineRule="auto"/>
        <w:ind w:left="1080"/>
        <w:rPr>
          <w:rFonts w:cs="Times New Roman"/>
          <w:szCs w:val="24"/>
        </w:rPr>
      </w:pPr>
      <w:r>
        <w:rPr>
          <w:rFonts w:cs="Times New Roman"/>
          <w:szCs w:val="24"/>
        </w:rPr>
        <w:t xml:space="preserve">(1) </w:t>
      </w:r>
      <w:r w:rsidR="00E04373">
        <w:rPr>
          <w:rFonts w:cs="Times New Roman"/>
          <w:szCs w:val="24"/>
        </w:rPr>
        <w:t>A “</w:t>
      </w:r>
      <w:r w:rsidR="00E04373" w:rsidRPr="00E04373">
        <w:rPr>
          <w:rFonts w:cs="Times New Roman"/>
          <w:i/>
          <w:szCs w:val="24"/>
        </w:rPr>
        <w:t>cause of action</w:t>
      </w:r>
      <w:r w:rsidR="00E04373">
        <w:rPr>
          <w:rFonts w:cs="Times New Roman"/>
          <w:szCs w:val="24"/>
        </w:rPr>
        <w:t>” means “</w:t>
      </w:r>
      <w:r w:rsidR="00E04373" w:rsidRPr="00E04373">
        <w:rPr>
          <w:rFonts w:cs="Times New Roman"/>
          <w:i/>
          <w:szCs w:val="24"/>
        </w:rPr>
        <w:t xml:space="preserve">every fact which it would be necessary for the plaintiff to prove, if traversed, in order to support his right to the judgment of the </w:t>
      </w:r>
      <w:r w:rsidR="00E04373" w:rsidRPr="00E04373">
        <w:rPr>
          <w:rFonts w:cs="Times New Roman"/>
          <w:i/>
          <w:szCs w:val="24"/>
        </w:rPr>
        <w:lastRenderedPageBreak/>
        <w:t>Court</w:t>
      </w:r>
      <w:r w:rsidR="00E04373">
        <w:rPr>
          <w:rFonts w:cs="Times New Roman"/>
          <w:szCs w:val="24"/>
        </w:rPr>
        <w:t>”</w:t>
      </w:r>
      <w:r w:rsidR="0058616F">
        <w:rPr>
          <w:rFonts w:cs="Times New Roman"/>
          <w:szCs w:val="24"/>
        </w:rPr>
        <w:t xml:space="preserve">: </w:t>
      </w:r>
      <w:r w:rsidR="00E04373" w:rsidRPr="00E04373">
        <w:rPr>
          <w:rFonts w:cs="Times New Roman"/>
          <w:i/>
          <w:szCs w:val="24"/>
        </w:rPr>
        <w:t>Read v Brown</w:t>
      </w:r>
      <w:r w:rsidR="00E04373">
        <w:rPr>
          <w:rFonts w:cs="Times New Roman"/>
          <w:szCs w:val="24"/>
        </w:rPr>
        <w:t xml:space="preserve"> (1888) 22 QBD 128</w:t>
      </w:r>
      <w:r w:rsidR="0058616F">
        <w:rPr>
          <w:rFonts w:cs="Times New Roman"/>
          <w:szCs w:val="24"/>
        </w:rPr>
        <w:t xml:space="preserve">. This statement was described as </w:t>
      </w:r>
      <w:r w:rsidR="0058616F" w:rsidRPr="0058616F">
        <w:rPr>
          <w:rFonts w:cs="Times New Roman"/>
          <w:i/>
          <w:szCs w:val="24"/>
        </w:rPr>
        <w:t>“entirely uncontroversial”</w:t>
      </w:r>
      <w:r w:rsidR="0058616F">
        <w:rPr>
          <w:rFonts w:cs="Times New Roman"/>
          <w:szCs w:val="24"/>
        </w:rPr>
        <w:t xml:space="preserve"> by McKechnie J in </w:t>
      </w:r>
      <w:r w:rsidR="0058616F" w:rsidRPr="0058616F">
        <w:rPr>
          <w:rFonts w:cs="Times New Roman"/>
          <w:i/>
          <w:szCs w:val="24"/>
        </w:rPr>
        <w:t>Brandley</w:t>
      </w:r>
      <w:r w:rsidR="0066220B">
        <w:rPr>
          <w:rFonts w:cs="Times New Roman"/>
          <w:i/>
          <w:szCs w:val="24"/>
        </w:rPr>
        <w:t xml:space="preserve"> </w:t>
      </w:r>
      <w:r w:rsidR="0066220B">
        <w:rPr>
          <w:rFonts w:cs="Times New Roman"/>
          <w:szCs w:val="24"/>
        </w:rPr>
        <w:t>[</w:t>
      </w:r>
      <w:r w:rsidR="0058616F">
        <w:rPr>
          <w:rFonts w:cs="Times New Roman"/>
          <w:szCs w:val="24"/>
        </w:rPr>
        <w:t>at para 62</w:t>
      </w:r>
      <w:r w:rsidR="0066220B">
        <w:rPr>
          <w:rFonts w:cs="Times New Roman"/>
          <w:szCs w:val="24"/>
        </w:rPr>
        <w:t>].</w:t>
      </w:r>
    </w:p>
    <w:p w14:paraId="0553012B" w14:textId="77777777" w:rsidR="0058616F" w:rsidRDefault="0058616F" w:rsidP="0058616F">
      <w:pPr>
        <w:pStyle w:val="ListParagraph"/>
        <w:spacing w:line="480" w:lineRule="auto"/>
        <w:ind w:left="1080"/>
        <w:rPr>
          <w:rFonts w:cs="Times New Roman"/>
          <w:szCs w:val="24"/>
        </w:rPr>
      </w:pPr>
    </w:p>
    <w:p w14:paraId="5C6085FE" w14:textId="77777777" w:rsidR="0058616F" w:rsidRDefault="00D663E9" w:rsidP="00D663E9">
      <w:pPr>
        <w:pStyle w:val="ListParagraph"/>
        <w:spacing w:line="480" w:lineRule="auto"/>
        <w:ind w:left="1080"/>
        <w:rPr>
          <w:rFonts w:cs="Times New Roman"/>
          <w:szCs w:val="24"/>
        </w:rPr>
      </w:pPr>
      <w:r>
        <w:rPr>
          <w:rFonts w:cs="Times New Roman"/>
          <w:szCs w:val="24"/>
        </w:rPr>
        <w:t xml:space="preserve">(2) </w:t>
      </w:r>
      <w:r w:rsidR="0058616F">
        <w:rPr>
          <w:rFonts w:cs="Times New Roman"/>
          <w:szCs w:val="24"/>
        </w:rPr>
        <w:t xml:space="preserve">While certain torts are actionable </w:t>
      </w:r>
      <w:r w:rsidR="0058616F" w:rsidRPr="0058616F">
        <w:rPr>
          <w:rFonts w:cs="Times New Roman"/>
          <w:i/>
          <w:szCs w:val="24"/>
        </w:rPr>
        <w:t>per se</w:t>
      </w:r>
      <w:r w:rsidR="0058616F">
        <w:rPr>
          <w:rFonts w:cs="Times New Roman"/>
          <w:szCs w:val="24"/>
        </w:rPr>
        <w:t xml:space="preserve"> (for instance</w:t>
      </w:r>
      <w:r w:rsidR="001E28AD">
        <w:rPr>
          <w:rFonts w:cs="Times New Roman"/>
          <w:szCs w:val="24"/>
        </w:rPr>
        <w:t>,</w:t>
      </w:r>
      <w:r w:rsidR="0058616F">
        <w:rPr>
          <w:rFonts w:cs="Times New Roman"/>
          <w:szCs w:val="24"/>
        </w:rPr>
        <w:t xml:space="preserve"> defamation)</w:t>
      </w:r>
      <w:r w:rsidR="00CC08CE">
        <w:rPr>
          <w:rFonts w:cs="Times New Roman"/>
          <w:szCs w:val="24"/>
        </w:rPr>
        <w:t>, the tort of negligence is not. It is complete, and the cause of action accrues, only when damage occurs: “</w:t>
      </w:r>
      <w:r w:rsidR="00CC08CE" w:rsidRPr="00CC08CE">
        <w:rPr>
          <w:rFonts w:cs="Times New Roman"/>
          <w:i/>
          <w:szCs w:val="24"/>
        </w:rPr>
        <w:t>in negligence, some actual damage, beyond what can be regarded as negligible, must occur before the tort can be said to be complete. More accurately, without such damage a tortious cause of action does not exist. … Damage, injury, harm or loss, recognisable as such, is an essential requirement of the cause of action</w:t>
      </w:r>
      <w:r w:rsidR="008B783F">
        <w:rPr>
          <w:rFonts w:cs="Times New Roman"/>
          <w:szCs w:val="24"/>
        </w:rPr>
        <w:t>…</w:t>
      </w:r>
      <w:r w:rsidR="00CC08CE">
        <w:rPr>
          <w:rFonts w:cs="Times New Roman"/>
          <w:szCs w:val="24"/>
        </w:rPr>
        <w:t>” [</w:t>
      </w:r>
      <w:r w:rsidR="00CC08CE" w:rsidRPr="00CC08CE">
        <w:rPr>
          <w:rFonts w:cs="Times New Roman"/>
          <w:i/>
          <w:szCs w:val="24"/>
        </w:rPr>
        <w:t>Brandley</w:t>
      </w:r>
      <w:r w:rsidR="00CC08CE">
        <w:rPr>
          <w:rFonts w:cs="Times New Roman"/>
          <w:szCs w:val="24"/>
        </w:rPr>
        <w:t>, at para 63]</w:t>
      </w:r>
    </w:p>
    <w:p w14:paraId="7E014407" w14:textId="77777777" w:rsidR="00CC08CE" w:rsidRDefault="00CC08CE" w:rsidP="00CC08CE">
      <w:pPr>
        <w:pStyle w:val="ListParagraph"/>
        <w:spacing w:line="480" w:lineRule="auto"/>
        <w:ind w:left="1080"/>
        <w:rPr>
          <w:rFonts w:cs="Times New Roman"/>
          <w:szCs w:val="24"/>
        </w:rPr>
      </w:pPr>
    </w:p>
    <w:p w14:paraId="119BA9D2" w14:textId="77777777" w:rsidR="00CC08CE" w:rsidRDefault="00F0301E" w:rsidP="00F0301E">
      <w:pPr>
        <w:pStyle w:val="ListParagraph"/>
        <w:spacing w:line="480" w:lineRule="auto"/>
        <w:ind w:left="1080"/>
        <w:rPr>
          <w:rFonts w:cs="Times New Roman"/>
          <w:szCs w:val="24"/>
        </w:rPr>
      </w:pPr>
      <w:r>
        <w:rPr>
          <w:rFonts w:cs="Times New Roman"/>
          <w:szCs w:val="24"/>
        </w:rPr>
        <w:t xml:space="preserve">(3) </w:t>
      </w:r>
      <w:r w:rsidR="006038E7">
        <w:rPr>
          <w:rFonts w:cs="Times New Roman"/>
          <w:szCs w:val="24"/>
        </w:rPr>
        <w:t>“</w:t>
      </w:r>
      <w:r>
        <w:rPr>
          <w:rFonts w:cs="Times New Roman"/>
          <w:i/>
          <w:szCs w:val="24"/>
        </w:rPr>
        <w:t>T</w:t>
      </w:r>
      <w:r w:rsidR="006038E7" w:rsidRPr="006038E7">
        <w:rPr>
          <w:rFonts w:cs="Times New Roman"/>
          <w:i/>
          <w:szCs w:val="24"/>
        </w:rPr>
        <w:t>ime begins to run from the date of the manifestation of damag</w:t>
      </w:r>
      <w:r w:rsidR="006038E7">
        <w:rPr>
          <w:rFonts w:cs="Times New Roman"/>
          <w:i/>
          <w:szCs w:val="24"/>
        </w:rPr>
        <w:t>e, which means it runs from the t</w:t>
      </w:r>
      <w:r>
        <w:rPr>
          <w:rFonts w:cs="Times New Roman"/>
          <w:i/>
          <w:szCs w:val="24"/>
        </w:rPr>
        <w:t>i</w:t>
      </w:r>
      <w:r w:rsidR="006038E7">
        <w:rPr>
          <w:rFonts w:cs="Times New Roman"/>
          <w:i/>
          <w:szCs w:val="24"/>
        </w:rPr>
        <w:t xml:space="preserve">me that the damage was capable of being discovered and capable of being proved by the plaintiff” </w:t>
      </w:r>
      <w:r w:rsidR="006038E7">
        <w:rPr>
          <w:rFonts w:cs="Times New Roman"/>
          <w:szCs w:val="24"/>
        </w:rPr>
        <w:t>[</w:t>
      </w:r>
      <w:r w:rsidR="006038E7" w:rsidRPr="00130D8A">
        <w:rPr>
          <w:rFonts w:cs="Times New Roman"/>
          <w:i/>
          <w:szCs w:val="24"/>
        </w:rPr>
        <w:t>Brandley</w:t>
      </w:r>
      <w:r w:rsidR="006038E7">
        <w:rPr>
          <w:rFonts w:cs="Times New Roman"/>
          <w:szCs w:val="24"/>
        </w:rPr>
        <w:t>, at para 111]</w:t>
      </w:r>
      <w:r w:rsidR="00130D8A">
        <w:rPr>
          <w:rFonts w:cs="Times New Roman"/>
          <w:szCs w:val="24"/>
        </w:rPr>
        <w:t xml:space="preserve">. This </w:t>
      </w:r>
      <w:r>
        <w:rPr>
          <w:rFonts w:cs="Times New Roman"/>
          <w:szCs w:val="24"/>
        </w:rPr>
        <w:t>does</w:t>
      </w:r>
      <w:r w:rsidR="00130D8A">
        <w:rPr>
          <w:rFonts w:cs="Times New Roman"/>
          <w:szCs w:val="24"/>
        </w:rPr>
        <w:t xml:space="preserve"> not</w:t>
      </w:r>
      <w:r w:rsidR="001A5B63">
        <w:rPr>
          <w:rFonts w:cs="Times New Roman"/>
          <w:szCs w:val="24"/>
        </w:rPr>
        <w:t xml:space="preserve">, it should be emphasised, import </w:t>
      </w:r>
      <w:r w:rsidR="00130D8A">
        <w:rPr>
          <w:rFonts w:cs="Times New Roman"/>
          <w:szCs w:val="24"/>
        </w:rPr>
        <w:t xml:space="preserve">a discoverability test, nor is </w:t>
      </w:r>
      <w:r w:rsidR="000A257D">
        <w:rPr>
          <w:rFonts w:cs="Times New Roman"/>
          <w:szCs w:val="24"/>
        </w:rPr>
        <w:t>the date referable to</w:t>
      </w:r>
      <w:r w:rsidR="00130D8A">
        <w:rPr>
          <w:rFonts w:cs="Times New Roman"/>
          <w:szCs w:val="24"/>
        </w:rPr>
        <w:t xml:space="preserve"> the date on which damage is actually discovered. It is, rather, the date on which provable damage is objectively </w:t>
      </w:r>
      <w:r w:rsidR="00130D8A" w:rsidRPr="00F0301E">
        <w:rPr>
          <w:rFonts w:cs="Times New Roman"/>
          <w:i/>
          <w:szCs w:val="24"/>
        </w:rPr>
        <w:t>capable</w:t>
      </w:r>
      <w:r w:rsidR="00130D8A">
        <w:rPr>
          <w:rFonts w:cs="Times New Roman"/>
          <w:szCs w:val="24"/>
        </w:rPr>
        <w:t xml:space="preserve"> of being discovered</w:t>
      </w:r>
      <w:r>
        <w:rPr>
          <w:rFonts w:cs="Times New Roman"/>
          <w:szCs w:val="24"/>
        </w:rPr>
        <w:t>, “</w:t>
      </w:r>
      <w:r w:rsidRPr="001E28AD">
        <w:rPr>
          <w:rFonts w:cs="Times New Roman"/>
          <w:i/>
          <w:szCs w:val="24"/>
        </w:rPr>
        <w:t>even if there was no reasonable or realistic prospect of that being so</w:t>
      </w:r>
      <w:r>
        <w:rPr>
          <w:rFonts w:cs="Times New Roman"/>
          <w:szCs w:val="24"/>
        </w:rPr>
        <w:t>” [</w:t>
      </w:r>
      <w:r w:rsidRPr="00F0301E">
        <w:rPr>
          <w:rFonts w:cs="Times New Roman"/>
          <w:i/>
          <w:szCs w:val="24"/>
        </w:rPr>
        <w:t>Brandley</w:t>
      </w:r>
      <w:r>
        <w:rPr>
          <w:rFonts w:cs="Times New Roman"/>
          <w:szCs w:val="24"/>
        </w:rPr>
        <w:t>, at para 4(iii)]</w:t>
      </w:r>
    </w:p>
    <w:p w14:paraId="1BCE98B6" w14:textId="77777777" w:rsidR="00130D8A" w:rsidRDefault="00130D8A" w:rsidP="00130D8A">
      <w:pPr>
        <w:pStyle w:val="ListParagraph"/>
        <w:spacing w:line="480" w:lineRule="auto"/>
        <w:ind w:left="1080"/>
        <w:rPr>
          <w:rFonts w:cs="Times New Roman"/>
          <w:szCs w:val="24"/>
        </w:rPr>
      </w:pPr>
    </w:p>
    <w:p w14:paraId="5FC5332A" w14:textId="77777777" w:rsidR="00F0301E" w:rsidRDefault="00F0301E" w:rsidP="00F0301E">
      <w:pPr>
        <w:pStyle w:val="ListParagraph"/>
        <w:spacing w:line="480" w:lineRule="auto"/>
        <w:ind w:left="1080"/>
        <w:rPr>
          <w:rFonts w:cs="Times New Roman"/>
          <w:szCs w:val="24"/>
        </w:rPr>
      </w:pPr>
      <w:r>
        <w:rPr>
          <w:rFonts w:cs="Times New Roman"/>
          <w:szCs w:val="24"/>
        </w:rPr>
        <w:t>(4) Occurrence of damage and its manifestation will often be simultaneous</w:t>
      </w:r>
      <w:r w:rsidR="001557B3">
        <w:rPr>
          <w:rFonts w:cs="Times New Roman"/>
          <w:szCs w:val="24"/>
        </w:rPr>
        <w:t xml:space="preserve"> (as indeed was the position in </w:t>
      </w:r>
      <w:r w:rsidR="001557B3" w:rsidRPr="001557B3">
        <w:rPr>
          <w:rFonts w:cs="Times New Roman"/>
          <w:i/>
          <w:szCs w:val="24"/>
        </w:rPr>
        <w:t>Brandley</w:t>
      </w:r>
      <w:r w:rsidR="001E28AD">
        <w:rPr>
          <w:rFonts w:cs="Times New Roman"/>
          <w:szCs w:val="24"/>
        </w:rPr>
        <w:t xml:space="preserve"> itself</w:t>
      </w:r>
      <w:r w:rsidR="0038680B">
        <w:rPr>
          <w:rFonts w:cs="Times New Roman"/>
          <w:szCs w:val="24"/>
        </w:rPr>
        <w:t>:</w:t>
      </w:r>
      <w:r w:rsidR="001557B3">
        <w:rPr>
          <w:rFonts w:cs="Times New Roman"/>
          <w:szCs w:val="24"/>
        </w:rPr>
        <w:t xml:space="preserve"> see the </w:t>
      </w:r>
      <w:r w:rsidR="001A5B63">
        <w:rPr>
          <w:rFonts w:cs="Times New Roman"/>
          <w:szCs w:val="24"/>
        </w:rPr>
        <w:t>comments</w:t>
      </w:r>
      <w:r w:rsidR="001557B3">
        <w:rPr>
          <w:rFonts w:cs="Times New Roman"/>
          <w:szCs w:val="24"/>
        </w:rPr>
        <w:t xml:space="preserve"> of McKechnie J at para 137)</w:t>
      </w:r>
      <w:r w:rsidR="001E28AD">
        <w:rPr>
          <w:rFonts w:cs="Times New Roman"/>
          <w:szCs w:val="24"/>
        </w:rPr>
        <w:t>.</w:t>
      </w:r>
      <w:r>
        <w:rPr>
          <w:rFonts w:cs="Times New Roman"/>
          <w:szCs w:val="24"/>
        </w:rPr>
        <w:t xml:space="preserve"> Furthermore, cases in which it will be possible to distinguish between the two are likely to be more readily encountered in cases of physical damage </w:t>
      </w:r>
      <w:r>
        <w:rPr>
          <w:rFonts w:cs="Times New Roman"/>
          <w:szCs w:val="24"/>
        </w:rPr>
        <w:lastRenderedPageBreak/>
        <w:t xml:space="preserve">rather than </w:t>
      </w:r>
      <w:r w:rsidR="000A257D">
        <w:rPr>
          <w:rFonts w:cs="Times New Roman"/>
          <w:szCs w:val="24"/>
        </w:rPr>
        <w:t xml:space="preserve">cases of </w:t>
      </w:r>
      <w:r>
        <w:rPr>
          <w:rFonts w:cs="Times New Roman"/>
          <w:szCs w:val="24"/>
        </w:rPr>
        <w:t>financial loss [</w:t>
      </w:r>
      <w:r w:rsidRPr="00F0301E">
        <w:rPr>
          <w:rFonts w:cs="Times New Roman"/>
          <w:i/>
          <w:szCs w:val="24"/>
        </w:rPr>
        <w:t>Cantrell</w:t>
      </w:r>
      <w:r>
        <w:rPr>
          <w:rFonts w:cs="Times New Roman"/>
          <w:szCs w:val="24"/>
        </w:rPr>
        <w:t>, at para 141]</w:t>
      </w:r>
    </w:p>
    <w:p w14:paraId="2B48C32D" w14:textId="77777777" w:rsidR="00F0301E" w:rsidRDefault="00F0301E" w:rsidP="00F0301E">
      <w:pPr>
        <w:pStyle w:val="ListParagraph"/>
        <w:spacing w:line="480" w:lineRule="auto"/>
        <w:ind w:left="1080"/>
        <w:rPr>
          <w:rFonts w:cs="Times New Roman"/>
          <w:szCs w:val="24"/>
        </w:rPr>
      </w:pPr>
    </w:p>
    <w:p w14:paraId="217464EC" w14:textId="77777777" w:rsidR="00F0301E" w:rsidRDefault="00F0301E" w:rsidP="00F0301E">
      <w:pPr>
        <w:pStyle w:val="ListParagraph"/>
        <w:spacing w:line="480" w:lineRule="auto"/>
        <w:ind w:left="1080"/>
        <w:rPr>
          <w:rFonts w:cs="Times New Roman"/>
          <w:szCs w:val="24"/>
        </w:rPr>
      </w:pPr>
      <w:r>
        <w:rPr>
          <w:rFonts w:cs="Times New Roman"/>
          <w:szCs w:val="24"/>
        </w:rPr>
        <w:t xml:space="preserve">(5) In </w:t>
      </w:r>
      <w:r w:rsidR="001A5B63">
        <w:rPr>
          <w:rFonts w:cs="Times New Roman"/>
          <w:szCs w:val="24"/>
        </w:rPr>
        <w:t xml:space="preserve">the context of property damage claims (and, it appears, personal injury claims also) </w:t>
      </w:r>
      <w:r>
        <w:rPr>
          <w:rFonts w:cs="Times New Roman"/>
          <w:szCs w:val="24"/>
        </w:rPr>
        <w:t xml:space="preserve">a distinction </w:t>
      </w:r>
      <w:r w:rsidR="001A5B63">
        <w:rPr>
          <w:rFonts w:cs="Times New Roman"/>
          <w:szCs w:val="24"/>
        </w:rPr>
        <w:t xml:space="preserve">is to be drawn </w:t>
      </w:r>
      <w:r>
        <w:rPr>
          <w:rFonts w:cs="Times New Roman"/>
          <w:szCs w:val="24"/>
        </w:rPr>
        <w:t>between “</w:t>
      </w:r>
      <w:r w:rsidRPr="00F0301E">
        <w:rPr>
          <w:rFonts w:cs="Times New Roman"/>
          <w:i/>
          <w:szCs w:val="24"/>
        </w:rPr>
        <w:t>defect</w:t>
      </w:r>
      <w:r>
        <w:rPr>
          <w:rFonts w:cs="Times New Roman"/>
          <w:szCs w:val="24"/>
        </w:rPr>
        <w:t>” and “</w:t>
      </w:r>
      <w:r w:rsidRPr="00F0301E">
        <w:rPr>
          <w:rFonts w:cs="Times New Roman"/>
          <w:i/>
          <w:szCs w:val="24"/>
        </w:rPr>
        <w:t>damage</w:t>
      </w:r>
      <w:r>
        <w:rPr>
          <w:rFonts w:cs="Times New Roman"/>
          <w:szCs w:val="24"/>
        </w:rPr>
        <w:t>”.</w:t>
      </w:r>
      <w:r w:rsidR="00014084">
        <w:rPr>
          <w:rFonts w:cs="Times New Roman"/>
          <w:szCs w:val="24"/>
        </w:rPr>
        <w:t xml:space="preserve"> In property damages c</w:t>
      </w:r>
      <w:r w:rsidR="001A5B63">
        <w:rPr>
          <w:rFonts w:cs="Times New Roman"/>
          <w:szCs w:val="24"/>
        </w:rPr>
        <w:t xml:space="preserve">laims, </w:t>
      </w:r>
      <w:r w:rsidR="00014084">
        <w:rPr>
          <w:rFonts w:cs="Times New Roman"/>
          <w:szCs w:val="24"/>
        </w:rPr>
        <w:t xml:space="preserve">time will not begin to run unless and until a </w:t>
      </w:r>
      <w:r w:rsidR="00014084" w:rsidRPr="00014084">
        <w:rPr>
          <w:rFonts w:cs="Times New Roman"/>
          <w:i/>
          <w:szCs w:val="24"/>
        </w:rPr>
        <w:t>defect</w:t>
      </w:r>
      <w:r w:rsidR="00014084">
        <w:rPr>
          <w:rFonts w:cs="Times New Roman"/>
          <w:szCs w:val="24"/>
        </w:rPr>
        <w:t xml:space="preserve"> causes actual </w:t>
      </w:r>
      <w:r w:rsidR="00014084" w:rsidRPr="00014084">
        <w:rPr>
          <w:rFonts w:cs="Times New Roman"/>
          <w:i/>
          <w:szCs w:val="24"/>
        </w:rPr>
        <w:t>damage</w:t>
      </w:r>
      <w:r w:rsidR="00014084">
        <w:rPr>
          <w:rFonts w:cs="Times New Roman"/>
          <w:szCs w:val="24"/>
        </w:rPr>
        <w:t xml:space="preserve"> [</w:t>
      </w:r>
      <w:r w:rsidR="00014084" w:rsidRPr="00014084">
        <w:rPr>
          <w:rFonts w:cs="Times New Roman"/>
          <w:i/>
          <w:szCs w:val="24"/>
        </w:rPr>
        <w:t>Brandley</w:t>
      </w:r>
      <w:r w:rsidR="00014084">
        <w:rPr>
          <w:rFonts w:cs="Times New Roman"/>
          <w:szCs w:val="24"/>
        </w:rPr>
        <w:t>, at para 112 and following].</w:t>
      </w:r>
      <w:r w:rsidR="001A5B63" w:rsidRPr="001A5B63">
        <w:rPr>
          <w:rStyle w:val="FootnoteReference"/>
          <w:rFonts w:cs="Times New Roman"/>
          <w:szCs w:val="24"/>
        </w:rPr>
        <w:t xml:space="preserve"> </w:t>
      </w:r>
      <w:r w:rsidR="001A5B63">
        <w:rPr>
          <w:rStyle w:val="FootnoteReference"/>
          <w:rFonts w:cs="Times New Roman"/>
          <w:szCs w:val="24"/>
        </w:rPr>
        <w:footnoteReference w:id="18"/>
      </w:r>
      <w:r w:rsidR="001A5B63">
        <w:rPr>
          <w:rFonts w:cs="Times New Roman"/>
          <w:szCs w:val="24"/>
        </w:rPr>
        <w:t xml:space="preserve"> </w:t>
      </w:r>
      <w:r w:rsidR="00014084">
        <w:rPr>
          <w:rFonts w:cs="Times New Roman"/>
          <w:szCs w:val="24"/>
        </w:rPr>
        <w:t xml:space="preserve"> Thus, in </w:t>
      </w:r>
      <w:r w:rsidR="00014084" w:rsidRPr="00014084">
        <w:rPr>
          <w:rFonts w:cs="Times New Roman"/>
          <w:i/>
          <w:szCs w:val="24"/>
        </w:rPr>
        <w:t>Brandley</w:t>
      </w:r>
      <w:r w:rsidR="00014084">
        <w:rPr>
          <w:rFonts w:cs="Times New Roman"/>
          <w:szCs w:val="24"/>
        </w:rPr>
        <w:t xml:space="preserve"> itself, time did not begin to run when </w:t>
      </w:r>
      <w:r w:rsidR="001557B3">
        <w:rPr>
          <w:rFonts w:cs="Times New Roman"/>
          <w:szCs w:val="24"/>
        </w:rPr>
        <w:t xml:space="preserve">the defective foundations were laid (defective because of the use of unsuitable building materials). Rather, it was only at the point when the defective foundations caused </w:t>
      </w:r>
      <w:r w:rsidR="001557B3" w:rsidRPr="001557B3">
        <w:rPr>
          <w:rFonts w:cs="Times New Roman"/>
          <w:i/>
          <w:szCs w:val="24"/>
        </w:rPr>
        <w:t>“actual physical damage</w:t>
      </w:r>
      <w:r w:rsidR="001557B3">
        <w:rPr>
          <w:rFonts w:cs="Times New Roman"/>
          <w:szCs w:val="24"/>
        </w:rPr>
        <w:t>” in the form of visible cracks that there was “</w:t>
      </w:r>
      <w:r w:rsidR="001557B3" w:rsidRPr="001557B3">
        <w:rPr>
          <w:rFonts w:cs="Times New Roman"/>
          <w:i/>
          <w:szCs w:val="24"/>
        </w:rPr>
        <w:t>damage</w:t>
      </w:r>
      <w:r w:rsidR="001557B3">
        <w:rPr>
          <w:rFonts w:cs="Times New Roman"/>
          <w:szCs w:val="24"/>
        </w:rPr>
        <w:t>” such that the plaintiff’s cause of action accrued. This distinction between “</w:t>
      </w:r>
      <w:r w:rsidR="001557B3" w:rsidRPr="001557B3">
        <w:rPr>
          <w:rFonts w:cs="Times New Roman"/>
          <w:i/>
          <w:szCs w:val="24"/>
        </w:rPr>
        <w:t>defect</w:t>
      </w:r>
      <w:r w:rsidR="001557B3">
        <w:rPr>
          <w:rFonts w:cs="Times New Roman"/>
          <w:szCs w:val="24"/>
        </w:rPr>
        <w:t>” and “</w:t>
      </w:r>
      <w:r w:rsidR="001557B3" w:rsidRPr="001557B3">
        <w:rPr>
          <w:rFonts w:cs="Times New Roman"/>
          <w:i/>
          <w:szCs w:val="24"/>
        </w:rPr>
        <w:t>damage</w:t>
      </w:r>
      <w:r w:rsidR="001557B3">
        <w:rPr>
          <w:rFonts w:cs="Times New Roman"/>
          <w:szCs w:val="24"/>
        </w:rPr>
        <w:t xml:space="preserve">” was central to the reasoning of the Judge here </w:t>
      </w:r>
      <w:r w:rsidR="000B370C">
        <w:rPr>
          <w:rFonts w:cs="Times New Roman"/>
          <w:szCs w:val="24"/>
        </w:rPr>
        <w:t xml:space="preserve">(though of course this claim is a claim for financial loss, not one in respect of property damage or personal injury) </w:t>
      </w:r>
      <w:r w:rsidR="001557B3">
        <w:rPr>
          <w:rFonts w:cs="Times New Roman"/>
          <w:szCs w:val="24"/>
        </w:rPr>
        <w:t>and it will be necessary to consider the issue in more detail in due course</w:t>
      </w:r>
      <w:r w:rsidR="00410E94">
        <w:rPr>
          <w:rFonts w:cs="Times New Roman"/>
          <w:szCs w:val="24"/>
        </w:rPr>
        <w:t xml:space="preserve">. </w:t>
      </w:r>
    </w:p>
    <w:p w14:paraId="095087D5" w14:textId="77777777" w:rsidR="00F0301E" w:rsidRPr="00BB1AAD" w:rsidRDefault="00F0301E" w:rsidP="00F0301E">
      <w:pPr>
        <w:pStyle w:val="ListParagraph"/>
        <w:spacing w:line="480" w:lineRule="auto"/>
        <w:ind w:left="1080"/>
        <w:rPr>
          <w:rFonts w:cs="Times New Roman"/>
          <w:i/>
          <w:szCs w:val="24"/>
        </w:rPr>
      </w:pPr>
    </w:p>
    <w:p w14:paraId="71779E8A" w14:textId="77777777" w:rsidR="001B41BA" w:rsidRDefault="00F57DA3" w:rsidP="00F57DA3">
      <w:pPr>
        <w:pStyle w:val="ListParagraph"/>
        <w:spacing w:line="480" w:lineRule="auto"/>
        <w:ind w:left="1080"/>
        <w:rPr>
          <w:rFonts w:cs="Times New Roman"/>
          <w:szCs w:val="24"/>
        </w:rPr>
      </w:pPr>
      <w:r>
        <w:rPr>
          <w:rFonts w:cs="Times New Roman"/>
          <w:szCs w:val="24"/>
        </w:rPr>
        <w:t xml:space="preserve">(6) </w:t>
      </w:r>
      <w:r w:rsidR="00326B8B">
        <w:rPr>
          <w:rFonts w:cs="Times New Roman"/>
          <w:szCs w:val="24"/>
        </w:rPr>
        <w:t xml:space="preserve">Claims in negligence for economic loss present </w:t>
      </w:r>
      <w:r w:rsidR="00C03811" w:rsidRPr="00C03811">
        <w:rPr>
          <w:rFonts w:cs="Times New Roman"/>
          <w:i/>
          <w:szCs w:val="24"/>
        </w:rPr>
        <w:t>“</w:t>
      </w:r>
      <w:r w:rsidR="00326B8B" w:rsidRPr="00C03811">
        <w:rPr>
          <w:rFonts w:cs="Times New Roman"/>
          <w:i/>
          <w:szCs w:val="24"/>
        </w:rPr>
        <w:t>particular difficulties</w:t>
      </w:r>
      <w:r w:rsidR="00C03811" w:rsidRPr="00C03811">
        <w:rPr>
          <w:rFonts w:cs="Times New Roman"/>
          <w:i/>
          <w:szCs w:val="24"/>
        </w:rPr>
        <w:t>”</w:t>
      </w:r>
      <w:r>
        <w:rPr>
          <w:rFonts w:cs="Times New Roman"/>
          <w:szCs w:val="24"/>
        </w:rPr>
        <w:t xml:space="preserve"> in terms of determining </w:t>
      </w:r>
      <w:r w:rsidR="00C03811">
        <w:rPr>
          <w:rFonts w:cs="Times New Roman"/>
          <w:szCs w:val="24"/>
        </w:rPr>
        <w:t xml:space="preserve">when the cause of action accrues [per Fennelly J in </w:t>
      </w:r>
      <w:r w:rsidR="00C03811" w:rsidRPr="00C03811">
        <w:rPr>
          <w:rFonts w:cs="Times New Roman"/>
          <w:i/>
          <w:szCs w:val="24"/>
        </w:rPr>
        <w:t>Gallagher</w:t>
      </w:r>
      <w:r w:rsidR="00C03811">
        <w:rPr>
          <w:rFonts w:cs="Times New Roman"/>
          <w:szCs w:val="24"/>
        </w:rPr>
        <w:t>, at para 10</w:t>
      </w:r>
      <w:r w:rsidR="00656E12">
        <w:rPr>
          <w:rFonts w:cs="Times New Roman"/>
          <w:szCs w:val="24"/>
        </w:rPr>
        <w:t>4</w:t>
      </w:r>
      <w:r w:rsidR="00C03811">
        <w:rPr>
          <w:rFonts w:cs="Times New Roman"/>
          <w:szCs w:val="24"/>
        </w:rPr>
        <w:t>]</w:t>
      </w:r>
      <w:r>
        <w:rPr>
          <w:rFonts w:cs="Times New Roman"/>
          <w:szCs w:val="24"/>
        </w:rPr>
        <w:t>.</w:t>
      </w:r>
      <w:r w:rsidR="00326B8B">
        <w:rPr>
          <w:rFonts w:cs="Times New Roman"/>
          <w:szCs w:val="24"/>
        </w:rPr>
        <w:t xml:space="preserve"> </w:t>
      </w:r>
      <w:r w:rsidR="00C03811">
        <w:rPr>
          <w:rFonts w:cs="Times New Roman"/>
          <w:szCs w:val="24"/>
        </w:rPr>
        <w:t xml:space="preserve">While the fundamental principle </w:t>
      </w:r>
      <w:r w:rsidR="001E28AD">
        <w:rPr>
          <w:rFonts w:cs="Times New Roman"/>
          <w:szCs w:val="24"/>
        </w:rPr>
        <w:t>is</w:t>
      </w:r>
      <w:r w:rsidR="00C03811">
        <w:rPr>
          <w:rFonts w:cs="Times New Roman"/>
          <w:szCs w:val="24"/>
        </w:rPr>
        <w:t xml:space="preserve"> the same whether the damage takes the form of personal injury, damage to physical property or financial loss, the “</w:t>
      </w:r>
      <w:r w:rsidR="00C03811" w:rsidRPr="00C03811">
        <w:rPr>
          <w:rFonts w:cs="Times New Roman"/>
          <w:i/>
          <w:szCs w:val="24"/>
        </w:rPr>
        <w:t>problem is that actual financial loss may take many forms</w:t>
      </w:r>
      <w:r w:rsidR="00C03811">
        <w:rPr>
          <w:rFonts w:cs="Times New Roman"/>
          <w:szCs w:val="24"/>
        </w:rPr>
        <w:t xml:space="preserve">” </w:t>
      </w:r>
      <w:r w:rsidR="00C03811">
        <w:rPr>
          <w:rFonts w:cs="Times New Roman"/>
          <w:szCs w:val="24"/>
        </w:rPr>
        <w:lastRenderedPageBreak/>
        <w:t>[</w:t>
      </w:r>
      <w:r w:rsidR="00C03811" w:rsidRPr="00C03811">
        <w:rPr>
          <w:rFonts w:cs="Times New Roman"/>
          <w:i/>
          <w:szCs w:val="24"/>
        </w:rPr>
        <w:t>Gallagher</w:t>
      </w:r>
      <w:r w:rsidR="00C03811">
        <w:rPr>
          <w:rFonts w:cs="Times New Roman"/>
          <w:szCs w:val="24"/>
        </w:rPr>
        <w:t>, at para 10</w:t>
      </w:r>
      <w:r w:rsidR="00656E12">
        <w:rPr>
          <w:rFonts w:cs="Times New Roman"/>
          <w:szCs w:val="24"/>
        </w:rPr>
        <w:t>7</w:t>
      </w:r>
      <w:r w:rsidR="00C03811">
        <w:rPr>
          <w:rFonts w:cs="Times New Roman"/>
          <w:szCs w:val="24"/>
        </w:rPr>
        <w:t xml:space="preserve">]. The </w:t>
      </w:r>
      <w:r w:rsidR="00326B8B">
        <w:rPr>
          <w:rFonts w:cs="Times New Roman"/>
          <w:szCs w:val="24"/>
        </w:rPr>
        <w:t xml:space="preserve">case law has </w:t>
      </w:r>
      <w:r w:rsidR="001B41BA">
        <w:rPr>
          <w:rFonts w:cs="Times New Roman"/>
          <w:szCs w:val="24"/>
        </w:rPr>
        <w:t>not succeeded in producing any “</w:t>
      </w:r>
      <w:r w:rsidR="001B41BA" w:rsidRPr="001B41BA">
        <w:rPr>
          <w:rFonts w:cs="Times New Roman"/>
          <w:i/>
          <w:szCs w:val="24"/>
        </w:rPr>
        <w:t>entirely clear or satisfactory”</w:t>
      </w:r>
      <w:r w:rsidR="001B41BA">
        <w:rPr>
          <w:rFonts w:cs="Times New Roman"/>
          <w:szCs w:val="24"/>
        </w:rPr>
        <w:t xml:space="preserve"> principle</w:t>
      </w:r>
      <w:r w:rsidR="00326B8B">
        <w:rPr>
          <w:rFonts w:cs="Times New Roman"/>
          <w:szCs w:val="24"/>
        </w:rPr>
        <w:t xml:space="preserve"> </w:t>
      </w:r>
      <w:r>
        <w:rPr>
          <w:rFonts w:cs="Times New Roman"/>
          <w:szCs w:val="24"/>
        </w:rPr>
        <w:t>or “</w:t>
      </w:r>
      <w:r w:rsidR="001B41BA" w:rsidRPr="001B41BA">
        <w:rPr>
          <w:rFonts w:cs="Times New Roman"/>
          <w:i/>
          <w:szCs w:val="24"/>
        </w:rPr>
        <w:t>a single bright-line rule providing clear and satisfactory conclusions</w:t>
      </w:r>
      <w:r w:rsidR="001B41BA">
        <w:rPr>
          <w:rFonts w:cs="Times New Roman"/>
          <w:szCs w:val="24"/>
        </w:rPr>
        <w:t xml:space="preserve">.” </w:t>
      </w:r>
      <w:r>
        <w:rPr>
          <w:rFonts w:cs="Times New Roman"/>
          <w:szCs w:val="24"/>
        </w:rPr>
        <w:t>[</w:t>
      </w:r>
      <w:r w:rsidRPr="00F57DA3">
        <w:rPr>
          <w:rFonts w:cs="Times New Roman"/>
          <w:i/>
          <w:szCs w:val="24"/>
        </w:rPr>
        <w:t>Cantrell</w:t>
      </w:r>
      <w:r>
        <w:rPr>
          <w:rFonts w:cs="Times New Roman"/>
          <w:szCs w:val="24"/>
        </w:rPr>
        <w:t xml:space="preserve">, at </w:t>
      </w:r>
      <w:r w:rsidR="001B41BA">
        <w:rPr>
          <w:rFonts w:cs="Times New Roman"/>
          <w:szCs w:val="24"/>
        </w:rPr>
        <w:t>para 103</w:t>
      </w:r>
      <w:r>
        <w:rPr>
          <w:rFonts w:cs="Times New Roman"/>
          <w:szCs w:val="24"/>
        </w:rPr>
        <w:t>]</w:t>
      </w:r>
      <w:r w:rsidR="00C03811">
        <w:rPr>
          <w:rFonts w:cs="Times New Roman"/>
          <w:szCs w:val="24"/>
        </w:rPr>
        <w:t>.</w:t>
      </w:r>
    </w:p>
    <w:p w14:paraId="1509FBC3" w14:textId="77777777" w:rsidR="00F57DA3" w:rsidRDefault="00F57DA3" w:rsidP="00F57DA3">
      <w:pPr>
        <w:pStyle w:val="ListParagraph"/>
        <w:spacing w:line="480" w:lineRule="auto"/>
        <w:ind w:left="1080"/>
        <w:rPr>
          <w:rFonts w:cs="Times New Roman"/>
          <w:szCs w:val="24"/>
        </w:rPr>
      </w:pPr>
    </w:p>
    <w:p w14:paraId="3B0C2369" w14:textId="77777777" w:rsidR="00F57DA3" w:rsidRDefault="00F57DA3" w:rsidP="00F57DA3">
      <w:pPr>
        <w:pStyle w:val="ListParagraph"/>
        <w:spacing w:line="480" w:lineRule="auto"/>
        <w:ind w:left="1080"/>
        <w:rPr>
          <w:rFonts w:cs="Times New Roman"/>
          <w:szCs w:val="24"/>
        </w:rPr>
      </w:pPr>
      <w:r>
        <w:rPr>
          <w:rFonts w:cs="Times New Roman"/>
          <w:szCs w:val="24"/>
        </w:rPr>
        <w:t xml:space="preserve">(7) </w:t>
      </w:r>
      <w:r w:rsidR="00E621D2">
        <w:rPr>
          <w:rFonts w:cs="Times New Roman"/>
          <w:szCs w:val="24"/>
        </w:rPr>
        <w:t>Decisions from England and Wales in this area must be treated with caution given that, since the enactment of the Latent Damage Act 1986, the severity of the existing law had been mitigated by the introduction of a discoverability test. After this change in the law, it was possible to remedy any injustice and “</w:t>
      </w:r>
      <w:r w:rsidR="00E621D2" w:rsidRPr="00E621D2">
        <w:rPr>
          <w:rFonts w:cs="Times New Roman"/>
          <w:i/>
          <w:szCs w:val="24"/>
        </w:rPr>
        <w:t>courts may have been content to adopt a strict interpretation</w:t>
      </w:r>
      <w:r w:rsidR="00E621D2">
        <w:rPr>
          <w:rFonts w:cs="Times New Roman"/>
          <w:szCs w:val="24"/>
        </w:rPr>
        <w:t xml:space="preserve">” [per Fennelly J in </w:t>
      </w:r>
      <w:r w:rsidR="00E621D2" w:rsidRPr="00E621D2">
        <w:rPr>
          <w:rFonts w:cs="Times New Roman"/>
          <w:i/>
          <w:szCs w:val="24"/>
        </w:rPr>
        <w:t>Gallagher</w:t>
      </w:r>
      <w:r w:rsidR="00E621D2">
        <w:rPr>
          <w:rFonts w:cs="Times New Roman"/>
          <w:szCs w:val="24"/>
        </w:rPr>
        <w:t xml:space="preserve">, at para </w:t>
      </w:r>
      <w:r w:rsidR="00656E12">
        <w:rPr>
          <w:rFonts w:cs="Times New Roman"/>
          <w:szCs w:val="24"/>
        </w:rPr>
        <w:t>60</w:t>
      </w:r>
      <w:r w:rsidR="00E621D2">
        <w:rPr>
          <w:rFonts w:cs="Times New Roman"/>
          <w:szCs w:val="24"/>
        </w:rPr>
        <w:t xml:space="preserve">. A similar point is made by </w:t>
      </w:r>
      <w:r w:rsidR="00E928EB">
        <w:rPr>
          <w:rFonts w:cs="Times New Roman"/>
          <w:szCs w:val="24"/>
        </w:rPr>
        <w:t>O’Donnell</w:t>
      </w:r>
      <w:r w:rsidR="00E621D2">
        <w:rPr>
          <w:rFonts w:cs="Times New Roman"/>
          <w:szCs w:val="24"/>
        </w:rPr>
        <w:t xml:space="preserve"> J in </w:t>
      </w:r>
      <w:r w:rsidR="00E621D2" w:rsidRPr="00E621D2">
        <w:rPr>
          <w:rFonts w:cs="Times New Roman"/>
          <w:i/>
          <w:szCs w:val="24"/>
        </w:rPr>
        <w:t>Cantrell</w:t>
      </w:r>
      <w:r w:rsidR="00E621D2">
        <w:rPr>
          <w:rFonts w:cs="Times New Roman"/>
          <w:szCs w:val="24"/>
        </w:rPr>
        <w:t xml:space="preserve"> at para 110.]</w:t>
      </w:r>
    </w:p>
    <w:p w14:paraId="5BB73621" w14:textId="77777777" w:rsidR="00C03811" w:rsidRDefault="00C03811" w:rsidP="00F57DA3">
      <w:pPr>
        <w:pStyle w:val="ListParagraph"/>
        <w:spacing w:line="480" w:lineRule="auto"/>
        <w:ind w:left="1080"/>
        <w:rPr>
          <w:rFonts w:cs="Times New Roman"/>
          <w:szCs w:val="24"/>
        </w:rPr>
      </w:pPr>
    </w:p>
    <w:p w14:paraId="1EA478AA" w14:textId="77777777" w:rsidR="00C03811" w:rsidRDefault="00C03811" w:rsidP="00F57DA3">
      <w:pPr>
        <w:pStyle w:val="ListParagraph"/>
        <w:spacing w:line="480" w:lineRule="auto"/>
        <w:ind w:left="1080"/>
        <w:rPr>
          <w:rFonts w:cs="Times New Roman"/>
          <w:szCs w:val="24"/>
        </w:rPr>
      </w:pPr>
      <w:r>
        <w:rPr>
          <w:rFonts w:cs="Times New Roman"/>
          <w:szCs w:val="24"/>
        </w:rPr>
        <w:t xml:space="preserve">(8) </w:t>
      </w:r>
      <w:r w:rsidR="0018007B">
        <w:rPr>
          <w:rFonts w:cs="Times New Roman"/>
          <w:szCs w:val="24"/>
        </w:rPr>
        <w:t>The distinction drawn in the authorities from England and Wales between “</w:t>
      </w:r>
      <w:r w:rsidR="0018007B">
        <w:rPr>
          <w:rFonts w:cs="Times New Roman"/>
          <w:i/>
          <w:szCs w:val="24"/>
        </w:rPr>
        <w:t>[flawed] t</w:t>
      </w:r>
      <w:r w:rsidR="0018007B" w:rsidRPr="0018007B">
        <w:rPr>
          <w:rFonts w:cs="Times New Roman"/>
          <w:i/>
          <w:szCs w:val="24"/>
        </w:rPr>
        <w:t>ransaction</w:t>
      </w:r>
      <w:r w:rsidR="0018007B">
        <w:rPr>
          <w:rFonts w:cs="Times New Roman"/>
          <w:szCs w:val="24"/>
        </w:rPr>
        <w:t xml:space="preserve">” </w:t>
      </w:r>
      <w:r w:rsidR="00B31BC3">
        <w:rPr>
          <w:rFonts w:cs="Times New Roman"/>
          <w:szCs w:val="24"/>
        </w:rPr>
        <w:t xml:space="preserve">cases on the one hand </w:t>
      </w:r>
      <w:r w:rsidR="0018007B">
        <w:rPr>
          <w:rFonts w:cs="Times New Roman"/>
          <w:szCs w:val="24"/>
        </w:rPr>
        <w:t>and “</w:t>
      </w:r>
      <w:r w:rsidR="0018007B" w:rsidRPr="0018007B">
        <w:rPr>
          <w:rFonts w:cs="Times New Roman"/>
          <w:i/>
          <w:szCs w:val="24"/>
        </w:rPr>
        <w:t>no transaction”</w:t>
      </w:r>
      <w:r w:rsidR="0018007B">
        <w:rPr>
          <w:rFonts w:cs="Times New Roman"/>
          <w:i/>
          <w:szCs w:val="24"/>
        </w:rPr>
        <w:t xml:space="preserve"> </w:t>
      </w:r>
      <w:r w:rsidR="0018007B">
        <w:rPr>
          <w:rFonts w:cs="Times New Roman"/>
          <w:szCs w:val="24"/>
        </w:rPr>
        <w:t>cases</w:t>
      </w:r>
      <w:r w:rsidR="00B31BC3">
        <w:rPr>
          <w:rFonts w:cs="Times New Roman"/>
          <w:szCs w:val="24"/>
        </w:rPr>
        <w:t xml:space="preserve"> on the other</w:t>
      </w:r>
      <w:r w:rsidR="0018007B">
        <w:rPr>
          <w:rFonts w:cs="Times New Roman"/>
          <w:szCs w:val="24"/>
        </w:rPr>
        <w:t xml:space="preserve"> </w:t>
      </w:r>
      <w:r w:rsidR="00E17B30">
        <w:rPr>
          <w:rFonts w:cs="Times New Roman"/>
          <w:szCs w:val="24"/>
        </w:rPr>
        <w:t>is o</w:t>
      </w:r>
      <w:r w:rsidR="0018007B">
        <w:rPr>
          <w:rFonts w:cs="Times New Roman"/>
          <w:szCs w:val="24"/>
        </w:rPr>
        <w:t>f limited assistance. The distinction does not provide a basis for any general rule: in either case “</w:t>
      </w:r>
      <w:r w:rsidR="0018007B" w:rsidRPr="0018007B">
        <w:rPr>
          <w:rFonts w:cs="Times New Roman"/>
          <w:i/>
          <w:szCs w:val="24"/>
        </w:rPr>
        <w:t>there may be immediate damage or it may not be possible to say that there will be damage until a later date.”</w:t>
      </w:r>
      <w:r w:rsidR="0018007B">
        <w:rPr>
          <w:rFonts w:cs="Times New Roman"/>
          <w:szCs w:val="24"/>
        </w:rPr>
        <w:t xml:space="preserve"> [</w:t>
      </w:r>
      <w:r w:rsidR="00B31BC3">
        <w:rPr>
          <w:rFonts w:cs="Times New Roman"/>
          <w:szCs w:val="24"/>
        </w:rPr>
        <w:t xml:space="preserve">per Fennelly J in </w:t>
      </w:r>
      <w:r w:rsidR="0018007B" w:rsidRPr="0018007B">
        <w:rPr>
          <w:rFonts w:cs="Times New Roman"/>
          <w:i/>
          <w:szCs w:val="24"/>
        </w:rPr>
        <w:t>Gallagher</w:t>
      </w:r>
      <w:r w:rsidR="0018007B">
        <w:rPr>
          <w:rFonts w:cs="Times New Roman"/>
          <w:szCs w:val="24"/>
        </w:rPr>
        <w:t xml:space="preserve">, at para 105]. </w:t>
      </w:r>
      <w:r w:rsidR="00527E1E">
        <w:rPr>
          <w:rFonts w:cs="Times New Roman"/>
          <w:szCs w:val="24"/>
        </w:rPr>
        <w:t>It can, however, be “</w:t>
      </w:r>
      <w:r w:rsidR="00527E1E" w:rsidRPr="00527E1E">
        <w:rPr>
          <w:rFonts w:cs="Times New Roman"/>
          <w:i/>
          <w:szCs w:val="24"/>
        </w:rPr>
        <w:t>helpful but not decisive</w:t>
      </w:r>
      <w:r w:rsidR="00527E1E">
        <w:rPr>
          <w:rFonts w:cs="Times New Roman"/>
          <w:szCs w:val="24"/>
        </w:rPr>
        <w:t>” [</w:t>
      </w:r>
      <w:r w:rsidR="00527E1E" w:rsidRPr="00527E1E">
        <w:rPr>
          <w:rFonts w:cs="Times New Roman"/>
          <w:i/>
          <w:szCs w:val="24"/>
        </w:rPr>
        <w:t>Cantrell</w:t>
      </w:r>
      <w:r w:rsidR="00527E1E">
        <w:rPr>
          <w:rFonts w:cs="Times New Roman"/>
          <w:szCs w:val="24"/>
        </w:rPr>
        <w:t>, at para 145] and it is “</w:t>
      </w:r>
      <w:r w:rsidR="00527E1E" w:rsidRPr="00527E1E">
        <w:rPr>
          <w:rFonts w:cs="Times New Roman"/>
          <w:i/>
          <w:szCs w:val="24"/>
        </w:rPr>
        <w:t>generally easier to argue that damage occurs in a flawed transaction at the date of the transaction, since the plaintiff acquires something different and worth less than they ought to</w:t>
      </w:r>
      <w:r w:rsidR="00527E1E">
        <w:rPr>
          <w:rFonts w:cs="Times New Roman"/>
          <w:szCs w:val="24"/>
        </w:rPr>
        <w:t>” [</w:t>
      </w:r>
      <w:r w:rsidR="00527E1E" w:rsidRPr="00527E1E">
        <w:rPr>
          <w:rFonts w:cs="Times New Roman"/>
          <w:i/>
          <w:szCs w:val="24"/>
        </w:rPr>
        <w:t>Cantrell</w:t>
      </w:r>
      <w:r w:rsidR="00527E1E">
        <w:rPr>
          <w:rFonts w:cs="Times New Roman"/>
          <w:szCs w:val="24"/>
        </w:rPr>
        <w:t>, at para 97</w:t>
      </w:r>
      <w:r w:rsidR="00865985">
        <w:rPr>
          <w:rFonts w:cs="Times New Roman"/>
          <w:szCs w:val="24"/>
        </w:rPr>
        <w:t xml:space="preserve">] </w:t>
      </w:r>
    </w:p>
    <w:p w14:paraId="26B5E215" w14:textId="77777777" w:rsidR="00B31BC3" w:rsidRDefault="00B31BC3" w:rsidP="00F57DA3">
      <w:pPr>
        <w:pStyle w:val="ListParagraph"/>
        <w:spacing w:line="480" w:lineRule="auto"/>
        <w:ind w:left="1080"/>
        <w:rPr>
          <w:rFonts w:cs="Times New Roman"/>
          <w:szCs w:val="24"/>
        </w:rPr>
      </w:pPr>
    </w:p>
    <w:p w14:paraId="2AAF0EAE" w14:textId="77777777" w:rsidR="00A724D4" w:rsidRDefault="00A724D4" w:rsidP="00A724D4">
      <w:pPr>
        <w:pStyle w:val="ListParagraph"/>
        <w:spacing w:line="480" w:lineRule="auto"/>
        <w:ind w:left="1080"/>
        <w:rPr>
          <w:rFonts w:cs="Times New Roman"/>
          <w:i/>
          <w:szCs w:val="24"/>
        </w:rPr>
      </w:pPr>
      <w:r>
        <w:rPr>
          <w:rFonts w:cs="Times New Roman"/>
          <w:szCs w:val="24"/>
        </w:rPr>
        <w:t>(</w:t>
      </w:r>
      <w:r w:rsidR="001F1BF6">
        <w:rPr>
          <w:rFonts w:cs="Times New Roman"/>
          <w:szCs w:val="24"/>
        </w:rPr>
        <w:t>9</w:t>
      </w:r>
      <w:r>
        <w:rPr>
          <w:rFonts w:cs="Times New Roman"/>
          <w:szCs w:val="24"/>
        </w:rPr>
        <w:t xml:space="preserve">) </w:t>
      </w:r>
      <w:r w:rsidR="00BF5932">
        <w:rPr>
          <w:rFonts w:cs="Times New Roman"/>
          <w:szCs w:val="24"/>
        </w:rPr>
        <w:t xml:space="preserve">As a matter of pure logic, it may be possible to put a present value on any future contingent liability, thus allowing damages to be estimated and awarded. </w:t>
      </w:r>
      <w:r w:rsidR="00E17B30">
        <w:rPr>
          <w:rFonts w:cs="Times New Roman"/>
          <w:szCs w:val="24"/>
        </w:rPr>
        <w:lastRenderedPageBreak/>
        <w:t xml:space="preserve">There is, therefore, </w:t>
      </w:r>
      <w:r w:rsidR="00865985">
        <w:rPr>
          <w:rFonts w:cs="Times New Roman"/>
          <w:szCs w:val="24"/>
        </w:rPr>
        <w:t xml:space="preserve">logical force in </w:t>
      </w:r>
      <w:r w:rsidR="009E165A">
        <w:rPr>
          <w:rFonts w:cs="Times New Roman"/>
          <w:szCs w:val="24"/>
        </w:rPr>
        <w:t xml:space="preserve">the observation of Bingham LJ (as he then was) in </w:t>
      </w:r>
      <w:r w:rsidR="009E165A" w:rsidRPr="009E165A">
        <w:rPr>
          <w:rFonts w:cs="Times New Roman"/>
          <w:i/>
          <w:szCs w:val="24"/>
        </w:rPr>
        <w:t>DW Moore v Ferrier</w:t>
      </w:r>
      <w:r w:rsidR="009E165A">
        <w:rPr>
          <w:rFonts w:cs="Times New Roman"/>
          <w:szCs w:val="24"/>
        </w:rPr>
        <w:t xml:space="preserve"> [1988] 1 WLR 267 that, if the law of contract could award more than nominal damages for a breach of contractual obligation to use reasonable skill and care, then it must follow that the plaintiff has suffered sufficient damage to complete the parallel negligence claim</w:t>
      </w:r>
      <w:r w:rsidR="00E17B30">
        <w:rPr>
          <w:rFonts w:cs="Times New Roman"/>
          <w:szCs w:val="24"/>
        </w:rPr>
        <w:t xml:space="preserve">. However, </w:t>
      </w:r>
      <w:r w:rsidR="0026156E">
        <w:rPr>
          <w:rFonts w:cs="Times New Roman"/>
          <w:szCs w:val="24"/>
        </w:rPr>
        <w:t>such</w:t>
      </w:r>
      <w:r w:rsidR="009E165A">
        <w:rPr>
          <w:rFonts w:cs="Times New Roman"/>
          <w:szCs w:val="24"/>
        </w:rPr>
        <w:t xml:space="preserve"> logic “</w:t>
      </w:r>
      <w:r w:rsidR="009E165A" w:rsidRPr="009E165A">
        <w:rPr>
          <w:rFonts w:cs="Times New Roman"/>
          <w:i/>
          <w:szCs w:val="24"/>
        </w:rPr>
        <w:t>collides with reality.”</w:t>
      </w:r>
      <w:r w:rsidR="009E165A">
        <w:rPr>
          <w:rFonts w:cs="Times New Roman"/>
          <w:i/>
          <w:szCs w:val="24"/>
        </w:rPr>
        <w:t xml:space="preserve"> </w:t>
      </w:r>
      <w:r w:rsidR="009E165A">
        <w:rPr>
          <w:rFonts w:cs="Times New Roman"/>
          <w:szCs w:val="24"/>
        </w:rPr>
        <w:t xml:space="preserve">Such a definition of damage </w:t>
      </w:r>
      <w:r w:rsidR="00865985">
        <w:rPr>
          <w:rFonts w:cs="Times New Roman"/>
          <w:szCs w:val="24"/>
        </w:rPr>
        <w:t>is</w:t>
      </w:r>
      <w:r w:rsidR="009E165A">
        <w:rPr>
          <w:rFonts w:cs="Times New Roman"/>
          <w:szCs w:val="24"/>
        </w:rPr>
        <w:t xml:space="preserve"> far removed from reality. Most litigants are led to commence proceedings not by the identification of negligence or breach of contract but by suffering “</w:t>
      </w:r>
      <w:r w:rsidR="009E165A" w:rsidRPr="009E165A">
        <w:rPr>
          <w:rFonts w:cs="Times New Roman"/>
          <w:i/>
          <w:szCs w:val="24"/>
        </w:rPr>
        <w:t>actual damage”</w:t>
      </w:r>
      <w:r w:rsidR="009E165A">
        <w:rPr>
          <w:rFonts w:cs="Times New Roman"/>
          <w:szCs w:val="24"/>
        </w:rPr>
        <w:t xml:space="preserve"> </w:t>
      </w:r>
      <w:r>
        <w:rPr>
          <w:rFonts w:cs="Times New Roman"/>
          <w:szCs w:val="24"/>
        </w:rPr>
        <w:t>[</w:t>
      </w:r>
      <w:r w:rsidRPr="00A724D4">
        <w:rPr>
          <w:rFonts w:cs="Times New Roman"/>
          <w:i/>
          <w:szCs w:val="24"/>
        </w:rPr>
        <w:t>Cantrell</w:t>
      </w:r>
      <w:r>
        <w:rPr>
          <w:rFonts w:cs="Times New Roman"/>
          <w:szCs w:val="24"/>
        </w:rPr>
        <w:t xml:space="preserve">, at </w:t>
      </w:r>
      <w:r w:rsidR="009E165A">
        <w:rPr>
          <w:rFonts w:cs="Times New Roman"/>
          <w:szCs w:val="24"/>
        </w:rPr>
        <w:t>para</w:t>
      </w:r>
      <w:r w:rsidR="00E17B30">
        <w:rPr>
          <w:rFonts w:cs="Times New Roman"/>
          <w:szCs w:val="24"/>
        </w:rPr>
        <w:t>s 108</w:t>
      </w:r>
      <w:r w:rsidR="0066220B">
        <w:rPr>
          <w:rFonts w:cs="Times New Roman"/>
          <w:szCs w:val="24"/>
        </w:rPr>
        <w:t xml:space="preserve"> </w:t>
      </w:r>
      <w:r w:rsidR="00E17B30">
        <w:rPr>
          <w:rFonts w:cs="Times New Roman"/>
          <w:szCs w:val="24"/>
        </w:rPr>
        <w:t>-</w:t>
      </w:r>
      <w:r w:rsidR="009E165A">
        <w:rPr>
          <w:rFonts w:cs="Times New Roman"/>
          <w:szCs w:val="24"/>
        </w:rPr>
        <w:t>109</w:t>
      </w:r>
      <w:r>
        <w:rPr>
          <w:rFonts w:cs="Times New Roman"/>
          <w:szCs w:val="24"/>
        </w:rPr>
        <w:t>]</w:t>
      </w:r>
    </w:p>
    <w:p w14:paraId="18D2F4E4" w14:textId="77777777" w:rsidR="00A724D4" w:rsidRDefault="00A724D4" w:rsidP="00A724D4">
      <w:pPr>
        <w:pStyle w:val="ListParagraph"/>
        <w:spacing w:line="480" w:lineRule="auto"/>
        <w:ind w:left="1080"/>
        <w:rPr>
          <w:rFonts w:cs="Times New Roman"/>
          <w:szCs w:val="24"/>
        </w:rPr>
      </w:pPr>
    </w:p>
    <w:p w14:paraId="700993D6" w14:textId="77777777" w:rsidR="001F1BF6" w:rsidRDefault="00A724D4" w:rsidP="001F1BF6">
      <w:pPr>
        <w:pStyle w:val="ListParagraph"/>
        <w:spacing w:line="480" w:lineRule="auto"/>
        <w:ind w:left="1080"/>
        <w:rPr>
          <w:rFonts w:cs="Times New Roman"/>
          <w:i/>
          <w:szCs w:val="24"/>
        </w:rPr>
      </w:pPr>
      <w:r>
        <w:rPr>
          <w:rFonts w:cs="Times New Roman"/>
          <w:szCs w:val="24"/>
        </w:rPr>
        <w:t>(1</w:t>
      </w:r>
      <w:r w:rsidR="001F1BF6">
        <w:rPr>
          <w:rFonts w:cs="Times New Roman"/>
          <w:szCs w:val="24"/>
        </w:rPr>
        <w:t>0</w:t>
      </w:r>
      <w:r>
        <w:rPr>
          <w:rFonts w:cs="Times New Roman"/>
          <w:szCs w:val="24"/>
        </w:rPr>
        <w:t xml:space="preserve">) </w:t>
      </w:r>
      <w:r w:rsidRPr="00A724D4">
        <w:rPr>
          <w:rFonts w:cs="Times New Roman"/>
          <w:i/>
          <w:szCs w:val="24"/>
        </w:rPr>
        <w:t>Gallagher</w:t>
      </w:r>
      <w:r>
        <w:rPr>
          <w:rFonts w:cs="Times New Roman"/>
          <w:szCs w:val="24"/>
        </w:rPr>
        <w:t xml:space="preserve"> </w:t>
      </w:r>
      <w:r w:rsidR="009E165A">
        <w:rPr>
          <w:rFonts w:cs="Times New Roman"/>
          <w:szCs w:val="24"/>
        </w:rPr>
        <w:t>decisively reject</w:t>
      </w:r>
      <w:r>
        <w:rPr>
          <w:rFonts w:cs="Times New Roman"/>
          <w:szCs w:val="24"/>
        </w:rPr>
        <w:t>s</w:t>
      </w:r>
      <w:r w:rsidR="009E165A">
        <w:rPr>
          <w:rFonts w:cs="Times New Roman"/>
          <w:szCs w:val="24"/>
        </w:rPr>
        <w:t xml:space="preserve"> the “</w:t>
      </w:r>
      <w:r w:rsidR="002D6FDB" w:rsidRPr="002D6FDB">
        <w:rPr>
          <w:rFonts w:cs="Times New Roman"/>
          <w:i/>
          <w:szCs w:val="24"/>
        </w:rPr>
        <w:t>remorseless logic</w:t>
      </w:r>
      <w:r w:rsidR="002D6FDB">
        <w:rPr>
          <w:rFonts w:cs="Times New Roman"/>
          <w:szCs w:val="24"/>
        </w:rPr>
        <w:t xml:space="preserve">” of decisions such as </w:t>
      </w:r>
      <w:bookmarkStart w:id="10" w:name="_Hlk82609297"/>
      <w:r w:rsidR="002D6FDB" w:rsidRPr="002D6FDB">
        <w:rPr>
          <w:rFonts w:cs="Times New Roman"/>
          <w:i/>
          <w:szCs w:val="24"/>
        </w:rPr>
        <w:t>Shore v Sedgwick Financial Services Limited</w:t>
      </w:r>
      <w:r w:rsidR="002D6FDB">
        <w:rPr>
          <w:rFonts w:cs="Times New Roman"/>
          <w:szCs w:val="24"/>
        </w:rPr>
        <w:t xml:space="preserve"> </w:t>
      </w:r>
      <w:bookmarkEnd w:id="10"/>
      <w:r w:rsidR="002D6FDB">
        <w:rPr>
          <w:rFonts w:cs="Times New Roman"/>
          <w:szCs w:val="24"/>
        </w:rPr>
        <w:t>[2008] EWCA Civ 863 in favour of the “</w:t>
      </w:r>
      <w:r w:rsidR="002D6FDB" w:rsidRPr="002D6FDB">
        <w:rPr>
          <w:rFonts w:cs="Times New Roman"/>
          <w:i/>
          <w:szCs w:val="24"/>
        </w:rPr>
        <w:t>pragmatism</w:t>
      </w:r>
      <w:r w:rsidR="002D6FDB">
        <w:rPr>
          <w:rFonts w:cs="Times New Roman"/>
          <w:szCs w:val="24"/>
        </w:rPr>
        <w:t xml:space="preserve">” reflected in decisions such as </w:t>
      </w:r>
      <w:r w:rsidR="002D6FDB" w:rsidRPr="002D6FDB">
        <w:rPr>
          <w:rFonts w:cs="Times New Roman"/>
          <w:i/>
          <w:szCs w:val="24"/>
        </w:rPr>
        <w:t>Wardley</w:t>
      </w:r>
      <w:r w:rsidR="002D6FDB">
        <w:rPr>
          <w:rFonts w:cs="Times New Roman"/>
          <w:szCs w:val="24"/>
        </w:rPr>
        <w:t xml:space="preserve"> </w:t>
      </w:r>
      <w:r w:rsidR="002D6FDB" w:rsidRPr="002D6FDB">
        <w:rPr>
          <w:rFonts w:cs="Times New Roman"/>
          <w:i/>
          <w:szCs w:val="24"/>
        </w:rPr>
        <w:t>Australia Limited v State of Western Australia</w:t>
      </w:r>
      <w:r w:rsidR="002D6FDB">
        <w:rPr>
          <w:rFonts w:cs="Times New Roman"/>
          <w:szCs w:val="24"/>
        </w:rPr>
        <w:t xml:space="preserve"> (1992) 175 CLR 514 </w:t>
      </w:r>
      <w:r w:rsidR="00865985">
        <w:rPr>
          <w:rFonts w:cs="Times New Roman"/>
          <w:szCs w:val="24"/>
        </w:rPr>
        <w:t>(“</w:t>
      </w:r>
      <w:r w:rsidR="00865985" w:rsidRPr="00865985">
        <w:rPr>
          <w:rFonts w:cs="Times New Roman"/>
          <w:i/>
          <w:szCs w:val="24"/>
        </w:rPr>
        <w:t>Wardley</w:t>
      </w:r>
      <w:r w:rsidR="00865985">
        <w:rPr>
          <w:rFonts w:cs="Times New Roman"/>
          <w:szCs w:val="24"/>
        </w:rPr>
        <w:t xml:space="preserve">”) </w:t>
      </w:r>
      <w:r w:rsidR="002D6FDB">
        <w:rPr>
          <w:rFonts w:cs="Times New Roman"/>
          <w:szCs w:val="24"/>
        </w:rPr>
        <w:t xml:space="preserve">and </w:t>
      </w:r>
      <w:r w:rsidR="002D6FDB" w:rsidRPr="002D6FDB">
        <w:rPr>
          <w:rFonts w:cs="Times New Roman"/>
          <w:i/>
          <w:szCs w:val="24"/>
        </w:rPr>
        <w:t>Law Society v Sephton</w:t>
      </w:r>
      <w:r w:rsidR="002D6FDB">
        <w:rPr>
          <w:rFonts w:cs="Times New Roman"/>
          <w:szCs w:val="24"/>
        </w:rPr>
        <w:t xml:space="preserve"> [2006] UKHL 22, [2006] 2 AC 543</w:t>
      </w:r>
      <w:r w:rsidR="00E2565A">
        <w:rPr>
          <w:rFonts w:cs="Times New Roman"/>
          <w:szCs w:val="24"/>
        </w:rPr>
        <w:t xml:space="preserve"> (“</w:t>
      </w:r>
      <w:r w:rsidR="00E2565A" w:rsidRPr="00E2565A">
        <w:rPr>
          <w:rFonts w:cs="Times New Roman"/>
          <w:i/>
          <w:szCs w:val="24"/>
        </w:rPr>
        <w:t>Sephton</w:t>
      </w:r>
      <w:r w:rsidR="00E2565A">
        <w:rPr>
          <w:rFonts w:cs="Times New Roman"/>
          <w:szCs w:val="24"/>
        </w:rPr>
        <w:t xml:space="preserve">”) </w:t>
      </w:r>
      <w:r>
        <w:rPr>
          <w:rFonts w:cs="Times New Roman"/>
          <w:szCs w:val="24"/>
        </w:rPr>
        <w:t>[</w:t>
      </w:r>
      <w:r w:rsidRPr="00A724D4">
        <w:rPr>
          <w:rFonts w:cs="Times New Roman"/>
          <w:i/>
          <w:szCs w:val="24"/>
        </w:rPr>
        <w:t>Cantrell</w:t>
      </w:r>
      <w:r>
        <w:rPr>
          <w:rFonts w:cs="Times New Roman"/>
          <w:szCs w:val="24"/>
        </w:rPr>
        <w:t xml:space="preserve">, </w:t>
      </w:r>
      <w:r w:rsidR="002D6FDB">
        <w:rPr>
          <w:rFonts w:cs="Times New Roman"/>
          <w:szCs w:val="24"/>
        </w:rPr>
        <w:t>para 117</w:t>
      </w:r>
      <w:r>
        <w:rPr>
          <w:rFonts w:cs="Times New Roman"/>
          <w:szCs w:val="24"/>
        </w:rPr>
        <w:t>].</w:t>
      </w:r>
      <w:r w:rsidR="002D6FDB">
        <w:rPr>
          <w:rFonts w:cs="Times New Roman"/>
          <w:szCs w:val="24"/>
        </w:rPr>
        <w:t xml:space="preserve"> </w:t>
      </w:r>
      <w:r w:rsidR="002D6FDB" w:rsidRPr="002D6FDB">
        <w:rPr>
          <w:rFonts w:cs="Times New Roman"/>
          <w:i/>
          <w:szCs w:val="24"/>
        </w:rPr>
        <w:t>Gallagher</w:t>
      </w:r>
      <w:r w:rsidR="002D6FDB">
        <w:rPr>
          <w:rFonts w:cs="Times New Roman"/>
          <w:szCs w:val="24"/>
        </w:rPr>
        <w:t xml:space="preserve"> </w:t>
      </w:r>
      <w:r>
        <w:rPr>
          <w:rFonts w:cs="Times New Roman"/>
          <w:szCs w:val="24"/>
        </w:rPr>
        <w:t xml:space="preserve">is </w:t>
      </w:r>
      <w:r w:rsidR="002D6FDB">
        <w:rPr>
          <w:rFonts w:cs="Times New Roman"/>
          <w:szCs w:val="24"/>
        </w:rPr>
        <w:t>“</w:t>
      </w:r>
      <w:r w:rsidR="002D6FDB" w:rsidRPr="002D6FDB">
        <w:rPr>
          <w:rFonts w:cs="Times New Roman"/>
          <w:i/>
          <w:szCs w:val="24"/>
        </w:rPr>
        <w:t>clear in its instruction to prefer sensible pragmatism to relentless logic”</w:t>
      </w:r>
      <w:r w:rsidR="002D6FDB">
        <w:rPr>
          <w:rFonts w:cs="Times New Roman"/>
          <w:i/>
          <w:szCs w:val="24"/>
        </w:rPr>
        <w:t xml:space="preserve"> </w:t>
      </w:r>
      <w:r w:rsidR="001F1BF6">
        <w:rPr>
          <w:rFonts w:cs="Times New Roman"/>
          <w:szCs w:val="24"/>
        </w:rPr>
        <w:t>[</w:t>
      </w:r>
      <w:r w:rsidR="001F1BF6" w:rsidRPr="001F1BF6">
        <w:rPr>
          <w:rFonts w:cs="Times New Roman"/>
          <w:i/>
          <w:szCs w:val="24"/>
        </w:rPr>
        <w:t>Cantrell</w:t>
      </w:r>
      <w:r w:rsidR="001F1BF6">
        <w:rPr>
          <w:rFonts w:cs="Times New Roman"/>
          <w:szCs w:val="24"/>
        </w:rPr>
        <w:t xml:space="preserve">, </w:t>
      </w:r>
      <w:r w:rsidR="002D6FDB" w:rsidRPr="002D6FDB">
        <w:rPr>
          <w:rFonts w:cs="Times New Roman"/>
          <w:szCs w:val="24"/>
        </w:rPr>
        <w:t>para 139</w:t>
      </w:r>
      <w:r w:rsidR="001F1BF6">
        <w:rPr>
          <w:rFonts w:cs="Times New Roman"/>
          <w:szCs w:val="24"/>
        </w:rPr>
        <w:t>]</w:t>
      </w:r>
      <w:r w:rsidR="002D6FDB">
        <w:rPr>
          <w:rFonts w:cs="Times New Roman"/>
          <w:szCs w:val="24"/>
        </w:rPr>
        <w:t xml:space="preserve">. </w:t>
      </w:r>
    </w:p>
    <w:p w14:paraId="3A795DBF" w14:textId="77777777" w:rsidR="001F1BF6" w:rsidRDefault="001F1BF6" w:rsidP="001F1BF6">
      <w:pPr>
        <w:pStyle w:val="ListParagraph"/>
        <w:spacing w:line="480" w:lineRule="auto"/>
        <w:ind w:left="1080"/>
        <w:rPr>
          <w:rFonts w:cs="Times New Roman"/>
          <w:szCs w:val="24"/>
        </w:rPr>
      </w:pPr>
    </w:p>
    <w:p w14:paraId="5D0E3C88" w14:textId="77777777" w:rsidR="002D6FDB" w:rsidRDefault="001F1BF6" w:rsidP="001F1BF6">
      <w:pPr>
        <w:pStyle w:val="ListParagraph"/>
        <w:spacing w:line="480" w:lineRule="auto"/>
        <w:ind w:left="1080"/>
        <w:rPr>
          <w:rFonts w:cs="Times New Roman"/>
          <w:szCs w:val="24"/>
        </w:rPr>
      </w:pPr>
      <w:r>
        <w:rPr>
          <w:rFonts w:cs="Times New Roman"/>
          <w:szCs w:val="24"/>
        </w:rPr>
        <w:t xml:space="preserve">(11) </w:t>
      </w:r>
      <w:r w:rsidR="006C1890">
        <w:rPr>
          <w:rFonts w:cs="Times New Roman"/>
          <w:szCs w:val="24"/>
        </w:rPr>
        <w:t xml:space="preserve">The pragmatic approach mandated by </w:t>
      </w:r>
      <w:r w:rsidR="006C1890" w:rsidRPr="006C1890">
        <w:rPr>
          <w:rFonts w:cs="Times New Roman"/>
          <w:i/>
          <w:szCs w:val="24"/>
        </w:rPr>
        <w:t>Gallagher</w:t>
      </w:r>
      <w:r w:rsidR="006C1890">
        <w:rPr>
          <w:rFonts w:cs="Times New Roman"/>
          <w:szCs w:val="24"/>
        </w:rPr>
        <w:t xml:space="preserve"> is one in which the identification of damage for accrual of a cause of action must proceed on an incremental basis and that damage </w:t>
      </w:r>
      <w:r w:rsidR="006C1890" w:rsidRPr="006C1890">
        <w:rPr>
          <w:rFonts w:cs="Times New Roman"/>
          <w:i/>
          <w:szCs w:val="24"/>
        </w:rPr>
        <w:t>“must bear a close relationship to the layperson’s understanding of the term”</w:t>
      </w:r>
      <w:r w:rsidR="006C1890">
        <w:rPr>
          <w:rFonts w:cs="Times New Roman"/>
          <w:i/>
          <w:szCs w:val="24"/>
        </w:rPr>
        <w:t xml:space="preserve">, </w:t>
      </w:r>
      <w:r w:rsidR="006C1890">
        <w:rPr>
          <w:rFonts w:cs="Times New Roman"/>
          <w:szCs w:val="24"/>
        </w:rPr>
        <w:t>that is “</w:t>
      </w:r>
      <w:r w:rsidR="006C1890" w:rsidRPr="006C1890">
        <w:rPr>
          <w:rFonts w:cs="Times New Roman"/>
          <w:i/>
          <w:szCs w:val="24"/>
        </w:rPr>
        <w:t>real actual damage, which a person would consider commencing proceedings for”</w:t>
      </w:r>
      <w:r w:rsidR="006C1890">
        <w:rPr>
          <w:rFonts w:cs="Times New Roman"/>
          <w:szCs w:val="24"/>
        </w:rPr>
        <w:t xml:space="preserve"> </w:t>
      </w:r>
      <w:r w:rsidR="006C1890" w:rsidRPr="006C1890">
        <w:rPr>
          <w:rFonts w:cs="Times New Roman"/>
          <w:i/>
          <w:szCs w:val="24"/>
        </w:rPr>
        <w:t xml:space="preserve"> </w:t>
      </w:r>
      <w:r>
        <w:rPr>
          <w:rFonts w:cs="Times New Roman"/>
          <w:szCs w:val="24"/>
        </w:rPr>
        <w:t>[</w:t>
      </w:r>
      <w:r w:rsidRPr="001F1BF6">
        <w:rPr>
          <w:rFonts w:cs="Times New Roman"/>
          <w:i/>
          <w:szCs w:val="24"/>
        </w:rPr>
        <w:t>Cantrell</w:t>
      </w:r>
      <w:r>
        <w:rPr>
          <w:rFonts w:cs="Times New Roman"/>
          <w:szCs w:val="24"/>
        </w:rPr>
        <w:t xml:space="preserve">, </w:t>
      </w:r>
      <w:r w:rsidR="006C1890">
        <w:rPr>
          <w:rFonts w:cs="Times New Roman"/>
          <w:szCs w:val="24"/>
        </w:rPr>
        <w:t>para 132</w:t>
      </w:r>
      <w:r>
        <w:rPr>
          <w:rFonts w:cs="Times New Roman"/>
          <w:szCs w:val="24"/>
        </w:rPr>
        <w:t>]</w:t>
      </w:r>
      <w:r w:rsidR="006C1890">
        <w:rPr>
          <w:rFonts w:cs="Times New Roman"/>
          <w:szCs w:val="24"/>
        </w:rPr>
        <w:t>.</w:t>
      </w:r>
    </w:p>
    <w:p w14:paraId="06350693" w14:textId="77777777" w:rsidR="001F1BF6" w:rsidRDefault="001F1BF6" w:rsidP="001F1BF6">
      <w:pPr>
        <w:pStyle w:val="ListParagraph"/>
        <w:spacing w:line="480" w:lineRule="auto"/>
        <w:ind w:left="1080"/>
        <w:rPr>
          <w:rFonts w:cs="Times New Roman"/>
          <w:i/>
          <w:szCs w:val="24"/>
        </w:rPr>
      </w:pPr>
    </w:p>
    <w:p w14:paraId="3B49EEB9" w14:textId="77777777" w:rsidR="001F1BF6" w:rsidRDefault="001F1BF6" w:rsidP="001F1BF6">
      <w:pPr>
        <w:pStyle w:val="ListParagraph"/>
        <w:spacing w:line="480" w:lineRule="auto"/>
        <w:ind w:left="1080"/>
        <w:rPr>
          <w:rFonts w:cs="Times New Roman"/>
          <w:szCs w:val="24"/>
        </w:rPr>
      </w:pPr>
      <w:r>
        <w:rPr>
          <w:rFonts w:cs="Times New Roman"/>
          <w:szCs w:val="24"/>
        </w:rPr>
        <w:lastRenderedPageBreak/>
        <w:t xml:space="preserve">(12) The mere </w:t>
      </w:r>
      <w:r w:rsidRPr="00A724D4">
        <w:rPr>
          <w:rFonts w:cs="Times New Roman"/>
          <w:i/>
          <w:szCs w:val="24"/>
        </w:rPr>
        <w:t>possibility</w:t>
      </w:r>
      <w:r>
        <w:rPr>
          <w:rFonts w:cs="Times New Roman"/>
          <w:szCs w:val="24"/>
        </w:rPr>
        <w:t xml:space="preserve"> of loss and/or the exposure to a </w:t>
      </w:r>
      <w:r w:rsidRPr="00865985">
        <w:rPr>
          <w:rFonts w:cs="Times New Roman"/>
          <w:i/>
          <w:szCs w:val="24"/>
        </w:rPr>
        <w:t>risk</w:t>
      </w:r>
      <w:r>
        <w:rPr>
          <w:rFonts w:cs="Times New Roman"/>
          <w:szCs w:val="24"/>
        </w:rPr>
        <w:t xml:space="preserve"> or </w:t>
      </w:r>
      <w:r w:rsidRPr="00865985">
        <w:rPr>
          <w:rFonts w:cs="Times New Roman"/>
          <w:i/>
          <w:szCs w:val="24"/>
        </w:rPr>
        <w:t>increased risk</w:t>
      </w:r>
      <w:r>
        <w:rPr>
          <w:rFonts w:cs="Times New Roman"/>
          <w:szCs w:val="24"/>
        </w:rPr>
        <w:t xml:space="preserve"> of loss </w:t>
      </w:r>
      <w:r w:rsidR="001E28AD">
        <w:rPr>
          <w:rFonts w:cs="Times New Roman"/>
          <w:szCs w:val="24"/>
        </w:rPr>
        <w:t>will</w:t>
      </w:r>
      <w:r>
        <w:rPr>
          <w:rFonts w:cs="Times New Roman"/>
          <w:szCs w:val="24"/>
        </w:rPr>
        <w:t xml:space="preserve"> not, in itself, constitute damage sufficient to complete the tort of negligence, absent a present adverse effect on value [</w:t>
      </w:r>
      <w:r w:rsidRPr="00B31BC3">
        <w:rPr>
          <w:rFonts w:cs="Times New Roman"/>
          <w:i/>
          <w:szCs w:val="24"/>
        </w:rPr>
        <w:t>Gallagher</w:t>
      </w:r>
      <w:r>
        <w:rPr>
          <w:rFonts w:cs="Times New Roman"/>
          <w:szCs w:val="24"/>
        </w:rPr>
        <w:t xml:space="preserve">, at paras 109 – 110; </w:t>
      </w:r>
      <w:r w:rsidRPr="00A724D4">
        <w:rPr>
          <w:rFonts w:cs="Times New Roman"/>
          <w:i/>
          <w:szCs w:val="24"/>
        </w:rPr>
        <w:t>Cantrell</w:t>
      </w:r>
      <w:r>
        <w:rPr>
          <w:rFonts w:cs="Times New Roman"/>
          <w:szCs w:val="24"/>
        </w:rPr>
        <w:t xml:space="preserve"> at paras 134-135]. As </w:t>
      </w:r>
      <w:r w:rsidR="00E928EB">
        <w:rPr>
          <w:rFonts w:cs="Times New Roman"/>
          <w:szCs w:val="24"/>
        </w:rPr>
        <w:t>O’Donnell</w:t>
      </w:r>
      <w:r>
        <w:rPr>
          <w:rFonts w:cs="Times New Roman"/>
          <w:szCs w:val="24"/>
        </w:rPr>
        <w:t xml:space="preserve"> J explains in </w:t>
      </w:r>
      <w:r w:rsidRPr="00A724D4">
        <w:rPr>
          <w:rFonts w:cs="Times New Roman"/>
          <w:i/>
          <w:szCs w:val="24"/>
        </w:rPr>
        <w:t>Cantrell</w:t>
      </w:r>
      <w:r>
        <w:rPr>
          <w:rFonts w:cs="Times New Roman"/>
          <w:szCs w:val="24"/>
        </w:rPr>
        <w:t xml:space="preserve">, in </w:t>
      </w:r>
      <w:r w:rsidRPr="0026156E">
        <w:rPr>
          <w:rFonts w:cs="Times New Roman"/>
          <w:i/>
          <w:szCs w:val="24"/>
        </w:rPr>
        <w:t>Gallagher</w:t>
      </w:r>
      <w:r>
        <w:rPr>
          <w:rFonts w:cs="Times New Roman"/>
          <w:szCs w:val="24"/>
        </w:rPr>
        <w:t xml:space="preserve"> the underperformance of the investment was </w:t>
      </w:r>
      <w:r w:rsidRPr="00A724D4">
        <w:rPr>
          <w:rFonts w:cs="Times New Roman"/>
          <w:i/>
          <w:szCs w:val="24"/>
        </w:rPr>
        <w:t>probable</w:t>
      </w:r>
      <w:r>
        <w:rPr>
          <w:rFonts w:cs="Times New Roman"/>
          <w:szCs w:val="24"/>
        </w:rPr>
        <w:t xml:space="preserve"> and that probability had an immediate impact on the value of the investment. If the risk to the product had not rendered the investment less valuable, then no damage </w:t>
      </w:r>
      <w:r w:rsidR="000A257D">
        <w:rPr>
          <w:rFonts w:cs="Times New Roman"/>
          <w:szCs w:val="24"/>
        </w:rPr>
        <w:t>would have been</w:t>
      </w:r>
      <w:r>
        <w:rPr>
          <w:rFonts w:cs="Times New Roman"/>
          <w:szCs w:val="24"/>
        </w:rPr>
        <w:t xml:space="preserve"> suffered sufficient to complete the tort “</w:t>
      </w:r>
      <w:r w:rsidRPr="00A77A21">
        <w:rPr>
          <w:rFonts w:cs="Times New Roman"/>
          <w:i/>
          <w:szCs w:val="24"/>
        </w:rPr>
        <w:t>even</w:t>
      </w:r>
      <w:r w:rsidRPr="0026156E">
        <w:rPr>
          <w:rFonts w:cs="Times New Roman"/>
          <w:i/>
          <w:szCs w:val="24"/>
        </w:rPr>
        <w:t xml:space="preserve"> if the product could be said to be something other than that which the appellants sought, and to </w:t>
      </w:r>
      <w:r>
        <w:rPr>
          <w:rFonts w:cs="Times New Roman"/>
          <w:i/>
          <w:szCs w:val="24"/>
        </w:rPr>
        <w:t xml:space="preserve">that </w:t>
      </w:r>
      <w:r w:rsidRPr="0026156E">
        <w:rPr>
          <w:rFonts w:cs="Times New Roman"/>
          <w:i/>
          <w:szCs w:val="24"/>
        </w:rPr>
        <w:t>extent defective, and perhaps giving rise to a claim in contract</w:t>
      </w:r>
      <w:r>
        <w:rPr>
          <w:rFonts w:cs="Times New Roman"/>
          <w:szCs w:val="24"/>
        </w:rPr>
        <w:t>” (paras 134 &amp; 135). Later in his judgment</w:t>
      </w:r>
      <w:r w:rsidRPr="00A724D4">
        <w:rPr>
          <w:rFonts w:cs="Times New Roman"/>
          <w:szCs w:val="24"/>
        </w:rPr>
        <w:t xml:space="preserve"> </w:t>
      </w:r>
      <w:r>
        <w:rPr>
          <w:rFonts w:cs="Times New Roman"/>
          <w:szCs w:val="24"/>
        </w:rPr>
        <w:t xml:space="preserve">(para 139) </w:t>
      </w:r>
      <w:r w:rsidR="00E928EB">
        <w:rPr>
          <w:rFonts w:cs="Times New Roman"/>
          <w:szCs w:val="24"/>
        </w:rPr>
        <w:t>O’Donnell</w:t>
      </w:r>
      <w:r>
        <w:rPr>
          <w:rFonts w:cs="Times New Roman"/>
          <w:szCs w:val="24"/>
        </w:rPr>
        <w:t xml:space="preserve"> J re-iterated that </w:t>
      </w:r>
      <w:r w:rsidRPr="0026156E">
        <w:rPr>
          <w:rFonts w:cs="Times New Roman"/>
          <w:i/>
          <w:szCs w:val="24"/>
        </w:rPr>
        <w:t>“it is insufficient to identify increased risk alone as damage leading to the accrual of the cause of action.”</w:t>
      </w:r>
      <w:r>
        <w:rPr>
          <w:rFonts w:cs="Times New Roman"/>
          <w:i/>
          <w:szCs w:val="24"/>
        </w:rPr>
        <w:t xml:space="preserve"> </w:t>
      </w:r>
      <w:r w:rsidR="0074043D">
        <w:rPr>
          <w:rFonts w:cs="Times New Roman"/>
          <w:szCs w:val="24"/>
        </w:rPr>
        <w:t xml:space="preserve">It follows that decisions such as </w:t>
      </w:r>
      <w:r w:rsidR="0074043D" w:rsidRPr="002D6FDB">
        <w:rPr>
          <w:rFonts w:cs="Times New Roman"/>
          <w:i/>
          <w:szCs w:val="24"/>
        </w:rPr>
        <w:t>Shore v Sedgwick Financial Services Limited</w:t>
      </w:r>
      <w:r w:rsidR="0074043D">
        <w:rPr>
          <w:rFonts w:cs="Times New Roman"/>
          <w:i/>
          <w:szCs w:val="24"/>
        </w:rPr>
        <w:t xml:space="preserve"> </w:t>
      </w:r>
      <w:r w:rsidR="0074043D">
        <w:rPr>
          <w:rFonts w:cs="Times New Roman"/>
          <w:szCs w:val="24"/>
        </w:rPr>
        <w:t xml:space="preserve">– where the claimant’s cause of action was held </w:t>
      </w:r>
      <w:r w:rsidR="00A61533">
        <w:rPr>
          <w:rFonts w:cs="Times New Roman"/>
          <w:szCs w:val="24"/>
        </w:rPr>
        <w:t xml:space="preserve">to have accrued at the point when he transferred out of his occupational pension scheme into a personal income withdrawal plan on the basis of the riskier profile of the latter, even though he received full market value for the rights transferred – </w:t>
      </w:r>
      <w:r w:rsidR="000A257D">
        <w:rPr>
          <w:rFonts w:cs="Times New Roman"/>
          <w:szCs w:val="24"/>
        </w:rPr>
        <w:t>are</w:t>
      </w:r>
      <w:r w:rsidR="00A61533">
        <w:rPr>
          <w:rFonts w:cs="Times New Roman"/>
          <w:szCs w:val="24"/>
        </w:rPr>
        <w:t xml:space="preserve"> not good law in this jurisdiction [see also the discussion of </w:t>
      </w:r>
      <w:r w:rsidR="00A61533" w:rsidRPr="00A61533">
        <w:rPr>
          <w:rFonts w:cs="Times New Roman"/>
          <w:i/>
          <w:szCs w:val="24"/>
        </w:rPr>
        <w:t>Shore</w:t>
      </w:r>
      <w:r w:rsidR="00A61533">
        <w:rPr>
          <w:rFonts w:cs="Times New Roman"/>
          <w:szCs w:val="24"/>
        </w:rPr>
        <w:t xml:space="preserve"> in </w:t>
      </w:r>
      <w:r w:rsidR="00A61533" w:rsidRPr="00317343">
        <w:rPr>
          <w:rStyle w:val="SubtleEmphasis"/>
        </w:rPr>
        <w:t>Cantrell</w:t>
      </w:r>
      <w:r w:rsidR="00A61533">
        <w:rPr>
          <w:rFonts w:cs="Times New Roman"/>
          <w:szCs w:val="24"/>
        </w:rPr>
        <w:t xml:space="preserve">, para 136]   </w:t>
      </w:r>
    </w:p>
    <w:p w14:paraId="1E580753" w14:textId="77777777" w:rsidR="00FD0C5F" w:rsidRDefault="00FD0C5F" w:rsidP="001F1BF6">
      <w:pPr>
        <w:pStyle w:val="ListParagraph"/>
        <w:spacing w:line="480" w:lineRule="auto"/>
        <w:ind w:left="1080"/>
        <w:rPr>
          <w:rFonts w:cs="Times New Roman"/>
          <w:szCs w:val="24"/>
        </w:rPr>
      </w:pPr>
    </w:p>
    <w:p w14:paraId="321DC602" w14:textId="77777777" w:rsidR="00FD0C5F" w:rsidRPr="0074043D" w:rsidRDefault="00FD0C5F" w:rsidP="001F1BF6">
      <w:pPr>
        <w:pStyle w:val="ListParagraph"/>
        <w:spacing w:line="480" w:lineRule="auto"/>
        <w:ind w:left="1080"/>
        <w:rPr>
          <w:rFonts w:cs="Times New Roman"/>
          <w:szCs w:val="24"/>
        </w:rPr>
      </w:pPr>
      <w:bookmarkStart w:id="11" w:name="_Hlk83458467"/>
      <w:r>
        <w:rPr>
          <w:rFonts w:cs="Times New Roman"/>
          <w:szCs w:val="24"/>
        </w:rPr>
        <w:t xml:space="preserve">(13) Where loss is wholly prospective or contingent in character, it will not constitute damage in this context, even if such loss appears probable, in the absence of an immediate impact on value [this appears to follow from </w:t>
      </w:r>
      <w:r w:rsidRPr="00FD0C5F">
        <w:rPr>
          <w:rFonts w:cs="Times New Roman"/>
          <w:i/>
          <w:szCs w:val="24"/>
        </w:rPr>
        <w:t>Wardley</w:t>
      </w:r>
      <w:r>
        <w:rPr>
          <w:rFonts w:cs="Times New Roman"/>
          <w:szCs w:val="24"/>
        </w:rPr>
        <w:t xml:space="preserve"> and its approval in </w:t>
      </w:r>
      <w:r w:rsidRPr="00FD0C5F">
        <w:rPr>
          <w:rFonts w:cs="Times New Roman"/>
          <w:i/>
          <w:szCs w:val="24"/>
        </w:rPr>
        <w:t>Gallagher</w:t>
      </w:r>
      <w:r>
        <w:rPr>
          <w:rFonts w:cs="Times New Roman"/>
          <w:szCs w:val="24"/>
        </w:rPr>
        <w:t xml:space="preserve"> and </w:t>
      </w:r>
      <w:r w:rsidRPr="00FD0C5F">
        <w:rPr>
          <w:rFonts w:cs="Times New Roman"/>
          <w:i/>
          <w:szCs w:val="24"/>
        </w:rPr>
        <w:t>Cantrell</w:t>
      </w:r>
      <w:r>
        <w:rPr>
          <w:rFonts w:cs="Times New Roman"/>
          <w:i/>
          <w:szCs w:val="24"/>
        </w:rPr>
        <w:t xml:space="preserve"> </w:t>
      </w:r>
      <w:r w:rsidRPr="00FD0C5F">
        <w:rPr>
          <w:rFonts w:cs="Times New Roman"/>
          <w:szCs w:val="24"/>
        </w:rPr>
        <w:t>and</w:t>
      </w:r>
      <w:r>
        <w:rPr>
          <w:rFonts w:cs="Times New Roman"/>
          <w:szCs w:val="24"/>
        </w:rPr>
        <w:t xml:space="preserve"> is consistent with </w:t>
      </w:r>
      <w:r w:rsidRPr="00FD0C5F">
        <w:rPr>
          <w:rFonts w:cs="Times New Roman"/>
          <w:i/>
          <w:szCs w:val="24"/>
        </w:rPr>
        <w:t>Cantrell’s</w:t>
      </w:r>
      <w:r>
        <w:rPr>
          <w:rFonts w:cs="Times New Roman"/>
          <w:szCs w:val="24"/>
        </w:rPr>
        <w:t xml:space="preserve"> </w:t>
      </w:r>
      <w:r>
        <w:rPr>
          <w:rFonts w:cs="Times New Roman"/>
          <w:szCs w:val="24"/>
        </w:rPr>
        <w:lastRenderedPageBreak/>
        <w:t xml:space="preserve">analysis of </w:t>
      </w:r>
      <w:r w:rsidRPr="00FD0C5F">
        <w:rPr>
          <w:rFonts w:cs="Times New Roman"/>
          <w:i/>
          <w:szCs w:val="24"/>
        </w:rPr>
        <w:t>Gallagher</w:t>
      </w:r>
      <w:r>
        <w:rPr>
          <w:rFonts w:cs="Times New Roman"/>
          <w:szCs w:val="24"/>
        </w:rPr>
        <w:t>]</w:t>
      </w:r>
    </w:p>
    <w:bookmarkEnd w:id="11"/>
    <w:p w14:paraId="3B41FFD0" w14:textId="77777777" w:rsidR="006C1890" w:rsidRPr="006C1890" w:rsidRDefault="006C1890" w:rsidP="006C1890">
      <w:pPr>
        <w:pStyle w:val="ListParagraph"/>
        <w:spacing w:line="480" w:lineRule="auto"/>
        <w:ind w:left="1080"/>
        <w:rPr>
          <w:rFonts w:cs="Times New Roman"/>
          <w:i/>
          <w:szCs w:val="24"/>
        </w:rPr>
      </w:pPr>
    </w:p>
    <w:p w14:paraId="6DFF942B" w14:textId="77777777" w:rsidR="00844AE3" w:rsidRDefault="001F1BF6" w:rsidP="00844AE3">
      <w:pPr>
        <w:pStyle w:val="ListParagraph"/>
        <w:spacing w:line="480" w:lineRule="auto"/>
        <w:ind w:left="1080"/>
        <w:rPr>
          <w:rFonts w:cs="Times New Roman"/>
          <w:szCs w:val="24"/>
        </w:rPr>
      </w:pPr>
      <w:r>
        <w:rPr>
          <w:rFonts w:cs="Times New Roman"/>
          <w:szCs w:val="24"/>
        </w:rPr>
        <w:t>(1</w:t>
      </w:r>
      <w:r w:rsidR="00FD0C5F">
        <w:rPr>
          <w:rFonts w:cs="Times New Roman"/>
          <w:szCs w:val="24"/>
        </w:rPr>
        <w:t>4</w:t>
      </w:r>
      <w:r>
        <w:rPr>
          <w:rFonts w:cs="Times New Roman"/>
          <w:szCs w:val="24"/>
        </w:rPr>
        <w:t xml:space="preserve">) Where a transaction </w:t>
      </w:r>
      <w:r w:rsidR="00865985">
        <w:rPr>
          <w:rFonts w:cs="Times New Roman"/>
          <w:szCs w:val="24"/>
        </w:rPr>
        <w:t xml:space="preserve">involves benefits and burdens, loss or damage arises only if </w:t>
      </w:r>
      <w:r w:rsidR="001E28AD">
        <w:rPr>
          <w:rFonts w:cs="Times New Roman"/>
          <w:szCs w:val="24"/>
        </w:rPr>
        <w:t>the balance is</w:t>
      </w:r>
      <w:r w:rsidR="00865985">
        <w:rPr>
          <w:rFonts w:cs="Times New Roman"/>
          <w:szCs w:val="24"/>
        </w:rPr>
        <w:t xml:space="preserve"> adverse </w:t>
      </w:r>
      <w:r w:rsidR="001E28AD">
        <w:rPr>
          <w:rFonts w:cs="Times New Roman"/>
          <w:szCs w:val="24"/>
        </w:rPr>
        <w:t>to the plaintiff</w:t>
      </w:r>
      <w:r w:rsidR="00865985">
        <w:rPr>
          <w:rFonts w:cs="Times New Roman"/>
          <w:szCs w:val="24"/>
        </w:rPr>
        <w:t xml:space="preserve">. Where the balance </w:t>
      </w:r>
      <w:r>
        <w:rPr>
          <w:rFonts w:cs="Times New Roman"/>
          <w:szCs w:val="24"/>
        </w:rPr>
        <w:t>is dependent on a contingency, it is only when that contingency occurs, and affects value, or</w:t>
      </w:r>
      <w:r w:rsidR="00865985">
        <w:rPr>
          <w:rFonts w:cs="Times New Roman"/>
          <w:szCs w:val="24"/>
        </w:rPr>
        <w:t xml:space="preserve"> where</w:t>
      </w:r>
      <w:r>
        <w:rPr>
          <w:rFonts w:cs="Times New Roman"/>
          <w:szCs w:val="24"/>
        </w:rPr>
        <w:t xml:space="preserve"> the possibility of it occurring </w:t>
      </w:r>
      <w:r w:rsidR="00844AE3">
        <w:rPr>
          <w:rFonts w:cs="Times New Roman"/>
          <w:szCs w:val="24"/>
        </w:rPr>
        <w:t xml:space="preserve">in itself </w:t>
      </w:r>
      <w:r>
        <w:rPr>
          <w:rFonts w:cs="Times New Roman"/>
          <w:szCs w:val="24"/>
        </w:rPr>
        <w:t xml:space="preserve">affects value, such as to </w:t>
      </w:r>
      <w:r w:rsidR="00844AE3">
        <w:rPr>
          <w:rFonts w:cs="Times New Roman"/>
          <w:szCs w:val="24"/>
        </w:rPr>
        <w:t>give rise to</w:t>
      </w:r>
      <w:r w:rsidR="00AB20C5">
        <w:rPr>
          <w:rFonts w:cs="Times New Roman"/>
          <w:szCs w:val="24"/>
        </w:rPr>
        <w:t xml:space="preserve"> immediate </w:t>
      </w:r>
      <w:r>
        <w:rPr>
          <w:rFonts w:cs="Times New Roman"/>
          <w:szCs w:val="24"/>
        </w:rPr>
        <w:t xml:space="preserve"> loss, that a cause of action </w:t>
      </w:r>
      <w:r w:rsidR="00865985">
        <w:rPr>
          <w:rFonts w:cs="Times New Roman"/>
          <w:szCs w:val="24"/>
        </w:rPr>
        <w:t>will accrue [</w:t>
      </w:r>
      <w:r w:rsidR="00865985" w:rsidRPr="00865985">
        <w:rPr>
          <w:rFonts w:cs="Times New Roman"/>
          <w:i/>
          <w:szCs w:val="24"/>
        </w:rPr>
        <w:t>Gallagher</w:t>
      </w:r>
      <w:r w:rsidR="00865985">
        <w:rPr>
          <w:rFonts w:cs="Times New Roman"/>
          <w:szCs w:val="24"/>
        </w:rPr>
        <w:t xml:space="preserve">, para 111 (citing </w:t>
      </w:r>
      <w:r w:rsidR="00865985" w:rsidRPr="00865985">
        <w:rPr>
          <w:rFonts w:cs="Times New Roman"/>
          <w:i/>
          <w:szCs w:val="24"/>
        </w:rPr>
        <w:t>Wardley</w:t>
      </w:r>
      <w:r w:rsidR="00865985">
        <w:rPr>
          <w:rFonts w:cs="Times New Roman"/>
          <w:szCs w:val="24"/>
        </w:rPr>
        <w:t>)</w:t>
      </w:r>
      <w:r w:rsidR="00844AE3">
        <w:rPr>
          <w:rFonts w:cs="Times New Roman"/>
          <w:szCs w:val="24"/>
        </w:rPr>
        <w:t xml:space="preserve">; </w:t>
      </w:r>
      <w:r w:rsidR="00844AE3" w:rsidRPr="00844AE3">
        <w:rPr>
          <w:rFonts w:cs="Times New Roman"/>
          <w:i/>
          <w:szCs w:val="24"/>
        </w:rPr>
        <w:t>Cantrell</w:t>
      </w:r>
      <w:r w:rsidR="00844AE3">
        <w:rPr>
          <w:rFonts w:cs="Times New Roman"/>
          <w:szCs w:val="24"/>
        </w:rPr>
        <w:t xml:space="preserve">, </w:t>
      </w:r>
      <w:r>
        <w:rPr>
          <w:rFonts w:cs="Times New Roman"/>
          <w:szCs w:val="24"/>
        </w:rPr>
        <w:t>para 138</w:t>
      </w:r>
      <w:r w:rsidR="008B783F">
        <w:rPr>
          <w:rFonts w:cs="Times New Roman"/>
          <w:szCs w:val="24"/>
        </w:rPr>
        <w:t>]</w:t>
      </w:r>
    </w:p>
    <w:p w14:paraId="00E42C03" w14:textId="77777777" w:rsidR="00844AE3" w:rsidRDefault="00844AE3" w:rsidP="00844AE3">
      <w:pPr>
        <w:pStyle w:val="ListParagraph"/>
        <w:spacing w:line="480" w:lineRule="auto"/>
        <w:ind w:left="1080"/>
        <w:rPr>
          <w:rFonts w:cs="Times New Roman"/>
          <w:szCs w:val="24"/>
        </w:rPr>
      </w:pPr>
    </w:p>
    <w:p w14:paraId="4C792244" w14:textId="77777777" w:rsidR="007A3055" w:rsidRDefault="00844AE3" w:rsidP="007A3055">
      <w:pPr>
        <w:pStyle w:val="ListParagraph"/>
        <w:spacing w:line="480" w:lineRule="auto"/>
        <w:ind w:left="1080"/>
        <w:rPr>
          <w:rFonts w:cs="Times New Roman"/>
          <w:szCs w:val="24"/>
        </w:rPr>
      </w:pPr>
      <w:r>
        <w:rPr>
          <w:rFonts w:cs="Times New Roman"/>
          <w:szCs w:val="24"/>
        </w:rPr>
        <w:t>(1</w:t>
      </w:r>
      <w:r w:rsidR="00FD0C5F">
        <w:rPr>
          <w:rFonts w:cs="Times New Roman"/>
          <w:szCs w:val="24"/>
        </w:rPr>
        <w:t>5</w:t>
      </w:r>
      <w:r>
        <w:rPr>
          <w:rFonts w:cs="Times New Roman"/>
          <w:szCs w:val="24"/>
        </w:rPr>
        <w:t>) T</w:t>
      </w:r>
      <w:r w:rsidR="006C1890">
        <w:rPr>
          <w:rFonts w:cs="Times New Roman"/>
          <w:szCs w:val="24"/>
        </w:rPr>
        <w:t xml:space="preserve">here </w:t>
      </w:r>
      <w:r w:rsidR="00F35156">
        <w:rPr>
          <w:rFonts w:cs="Times New Roman"/>
          <w:szCs w:val="24"/>
        </w:rPr>
        <w:t xml:space="preserve">are </w:t>
      </w:r>
      <w:r w:rsidR="006C1890">
        <w:rPr>
          <w:rFonts w:cs="Times New Roman"/>
          <w:szCs w:val="24"/>
        </w:rPr>
        <w:t>cases in which it can be said that actual damage is suffered on the occurrence of the transaction</w:t>
      </w:r>
      <w:r w:rsidR="00A77A21">
        <w:rPr>
          <w:rFonts w:cs="Times New Roman"/>
          <w:szCs w:val="24"/>
        </w:rPr>
        <w:t>,</w:t>
      </w:r>
      <w:r w:rsidR="006C1890">
        <w:rPr>
          <w:rFonts w:cs="Times New Roman"/>
          <w:szCs w:val="24"/>
        </w:rPr>
        <w:t xml:space="preserve"> </w:t>
      </w:r>
      <w:r>
        <w:rPr>
          <w:rFonts w:cs="Times New Roman"/>
          <w:szCs w:val="24"/>
        </w:rPr>
        <w:t xml:space="preserve">even if there are difficulties of quantification and there are uncertainties and contingencies. </w:t>
      </w:r>
      <w:r w:rsidR="009B08ED">
        <w:rPr>
          <w:rFonts w:cs="Times New Roman"/>
          <w:szCs w:val="24"/>
        </w:rPr>
        <w:t>Such u</w:t>
      </w:r>
      <w:r>
        <w:rPr>
          <w:rFonts w:cs="Times New Roman"/>
          <w:szCs w:val="24"/>
        </w:rPr>
        <w:t>ncertainties do not in themselves prevent the accrual of a cause of action, provided that the plaintiff has suffered actual loss at the time of entering into the transaction. [</w:t>
      </w:r>
      <w:r w:rsidRPr="00844AE3">
        <w:rPr>
          <w:rFonts w:cs="Times New Roman"/>
          <w:i/>
          <w:szCs w:val="24"/>
        </w:rPr>
        <w:t>Gallagher</w:t>
      </w:r>
      <w:r>
        <w:rPr>
          <w:rFonts w:cs="Times New Roman"/>
          <w:szCs w:val="24"/>
        </w:rPr>
        <w:t xml:space="preserve">, para 113; </w:t>
      </w:r>
      <w:r w:rsidRPr="00AB20C5">
        <w:rPr>
          <w:rFonts w:cs="Times New Roman"/>
          <w:i/>
          <w:szCs w:val="24"/>
        </w:rPr>
        <w:t>Cantrell</w:t>
      </w:r>
      <w:r>
        <w:rPr>
          <w:rFonts w:cs="Times New Roman"/>
          <w:szCs w:val="24"/>
        </w:rPr>
        <w:t>, para 133]. Thus, in</w:t>
      </w:r>
      <w:r w:rsidR="006C1890">
        <w:rPr>
          <w:rFonts w:cs="Times New Roman"/>
          <w:szCs w:val="24"/>
        </w:rPr>
        <w:t xml:space="preserve"> </w:t>
      </w:r>
      <w:r w:rsidR="006C1890" w:rsidRPr="006C1890">
        <w:rPr>
          <w:rFonts w:cs="Times New Roman"/>
          <w:i/>
          <w:szCs w:val="24"/>
        </w:rPr>
        <w:t>Forster</w:t>
      </w:r>
      <w:r w:rsidR="006C1890">
        <w:rPr>
          <w:rFonts w:cs="Times New Roman"/>
          <w:szCs w:val="24"/>
        </w:rPr>
        <w:t xml:space="preserve"> </w:t>
      </w:r>
      <w:r w:rsidRPr="00875541">
        <w:rPr>
          <w:rFonts w:cs="Times New Roman"/>
          <w:i/>
          <w:szCs w:val="24"/>
        </w:rPr>
        <w:t>v</w:t>
      </w:r>
      <w:r>
        <w:rPr>
          <w:rFonts w:cs="Times New Roman"/>
          <w:szCs w:val="24"/>
        </w:rPr>
        <w:t xml:space="preserve"> </w:t>
      </w:r>
      <w:r w:rsidRPr="00844AE3">
        <w:rPr>
          <w:rFonts w:cs="Times New Roman"/>
          <w:i/>
          <w:szCs w:val="24"/>
        </w:rPr>
        <w:t>Outred</w:t>
      </w:r>
      <w:r w:rsidR="005D136C">
        <w:rPr>
          <w:rFonts w:cs="Times New Roman"/>
          <w:szCs w:val="24"/>
        </w:rPr>
        <w:t xml:space="preserve"> [1982] 2 All ER 753,</w:t>
      </w:r>
      <w:r w:rsidR="006C1890">
        <w:rPr>
          <w:rFonts w:cs="Times New Roman"/>
          <w:szCs w:val="24"/>
        </w:rPr>
        <w:t xml:space="preserve"> </w:t>
      </w:r>
      <w:r w:rsidR="00AB20C5">
        <w:rPr>
          <w:rFonts w:cs="Times New Roman"/>
          <w:szCs w:val="24"/>
        </w:rPr>
        <w:t xml:space="preserve">the execution of the mortgage had itself effected a </w:t>
      </w:r>
      <w:r w:rsidR="006C1890">
        <w:rPr>
          <w:rFonts w:cs="Times New Roman"/>
          <w:szCs w:val="24"/>
        </w:rPr>
        <w:t>diminution in value of the plaintiff’s interest in the land</w:t>
      </w:r>
      <w:r w:rsidR="00AB20C5">
        <w:rPr>
          <w:rFonts w:cs="Times New Roman"/>
          <w:szCs w:val="24"/>
        </w:rPr>
        <w:t xml:space="preserve">. </w:t>
      </w:r>
      <w:r w:rsidR="006C1890">
        <w:rPr>
          <w:rFonts w:cs="Times New Roman"/>
          <w:szCs w:val="24"/>
        </w:rPr>
        <w:t>That had “</w:t>
      </w:r>
      <w:r w:rsidR="006C1890" w:rsidRPr="00BB1AAD">
        <w:rPr>
          <w:rFonts w:cs="Times New Roman"/>
          <w:i/>
          <w:szCs w:val="24"/>
        </w:rPr>
        <w:t>an effect then and there on value</w:t>
      </w:r>
      <w:r w:rsidR="00BB1AAD" w:rsidRPr="00BB1AAD">
        <w:rPr>
          <w:rFonts w:cs="Times New Roman"/>
          <w:i/>
          <w:szCs w:val="24"/>
        </w:rPr>
        <w:t>”</w:t>
      </w:r>
      <w:r w:rsidR="006C1890" w:rsidRPr="00BB1AAD">
        <w:rPr>
          <w:rFonts w:cs="Times New Roman"/>
          <w:i/>
          <w:szCs w:val="24"/>
        </w:rPr>
        <w:t>,</w:t>
      </w:r>
      <w:r w:rsidR="006C1890">
        <w:rPr>
          <w:rFonts w:cs="Times New Roman"/>
          <w:szCs w:val="24"/>
        </w:rPr>
        <w:t xml:space="preserve"> irrespective </w:t>
      </w:r>
      <w:r w:rsidR="00BB1AAD">
        <w:rPr>
          <w:rFonts w:cs="Times New Roman"/>
          <w:szCs w:val="24"/>
        </w:rPr>
        <w:t xml:space="preserve">of whether the event in respect of which the security was created was more or less likely </w:t>
      </w:r>
      <w:r w:rsidR="00AB20C5">
        <w:rPr>
          <w:rFonts w:cs="Times New Roman"/>
          <w:szCs w:val="24"/>
        </w:rPr>
        <w:t xml:space="preserve"> [</w:t>
      </w:r>
      <w:r w:rsidR="00AB20C5" w:rsidRPr="00AB20C5">
        <w:rPr>
          <w:rFonts w:cs="Times New Roman"/>
          <w:i/>
          <w:szCs w:val="24"/>
        </w:rPr>
        <w:t>Cantrell</w:t>
      </w:r>
      <w:r w:rsidR="00AB20C5">
        <w:rPr>
          <w:rFonts w:cs="Times New Roman"/>
          <w:szCs w:val="24"/>
        </w:rPr>
        <w:t xml:space="preserve">, </w:t>
      </w:r>
      <w:r w:rsidR="00F35156">
        <w:rPr>
          <w:rFonts w:cs="Times New Roman"/>
          <w:szCs w:val="24"/>
        </w:rPr>
        <w:t xml:space="preserve">para </w:t>
      </w:r>
      <w:r w:rsidR="00BB1AAD">
        <w:rPr>
          <w:rFonts w:cs="Times New Roman"/>
          <w:szCs w:val="24"/>
        </w:rPr>
        <w:t>133</w:t>
      </w:r>
      <w:r w:rsidR="00F35156">
        <w:rPr>
          <w:rFonts w:cs="Times New Roman"/>
          <w:szCs w:val="24"/>
        </w:rPr>
        <w:t>]</w:t>
      </w:r>
    </w:p>
    <w:p w14:paraId="5E2466DD" w14:textId="77777777" w:rsidR="005441BD" w:rsidRDefault="005441BD" w:rsidP="007A3055">
      <w:pPr>
        <w:pStyle w:val="ListParagraph"/>
        <w:spacing w:line="480" w:lineRule="auto"/>
        <w:ind w:left="1080"/>
        <w:rPr>
          <w:rFonts w:cs="Times New Roman"/>
          <w:szCs w:val="24"/>
        </w:rPr>
      </w:pPr>
    </w:p>
    <w:p w14:paraId="358B21A0" w14:textId="77777777" w:rsidR="005441BD" w:rsidRDefault="005441BD" w:rsidP="007A3055">
      <w:pPr>
        <w:pStyle w:val="ListParagraph"/>
        <w:spacing w:line="480" w:lineRule="auto"/>
        <w:ind w:left="1080"/>
        <w:rPr>
          <w:rFonts w:cs="Times New Roman"/>
          <w:szCs w:val="24"/>
        </w:rPr>
      </w:pPr>
      <w:r>
        <w:rPr>
          <w:rFonts w:cs="Times New Roman"/>
          <w:szCs w:val="24"/>
        </w:rPr>
        <w:t>(1</w:t>
      </w:r>
      <w:r w:rsidR="00FD0C5F">
        <w:rPr>
          <w:rFonts w:cs="Times New Roman"/>
          <w:szCs w:val="24"/>
        </w:rPr>
        <w:t>6</w:t>
      </w:r>
      <w:r>
        <w:rPr>
          <w:rFonts w:cs="Times New Roman"/>
          <w:szCs w:val="24"/>
        </w:rPr>
        <w:t>) It follows from the above that there may be “</w:t>
      </w:r>
      <w:r w:rsidRPr="005441BD">
        <w:rPr>
          <w:rFonts w:cs="Times New Roman"/>
          <w:i/>
          <w:szCs w:val="24"/>
        </w:rPr>
        <w:t>damage</w:t>
      </w:r>
      <w:r>
        <w:rPr>
          <w:rFonts w:cs="Times New Roman"/>
          <w:szCs w:val="24"/>
        </w:rPr>
        <w:t>” sufficient for a cause of action in negligence to accrue, well before the point at which the plaintiff is in a position to quanti</w:t>
      </w:r>
      <w:r w:rsidR="00ED14D2">
        <w:rPr>
          <w:rFonts w:cs="Times New Roman"/>
          <w:szCs w:val="24"/>
        </w:rPr>
        <w:t>f</w:t>
      </w:r>
      <w:r>
        <w:rPr>
          <w:rFonts w:cs="Times New Roman"/>
          <w:szCs w:val="24"/>
        </w:rPr>
        <w:t>y a claim for “</w:t>
      </w:r>
      <w:r w:rsidRPr="005441BD">
        <w:rPr>
          <w:rFonts w:cs="Times New Roman"/>
          <w:i/>
          <w:szCs w:val="24"/>
        </w:rPr>
        <w:t>damages</w:t>
      </w:r>
      <w:r>
        <w:rPr>
          <w:rFonts w:cs="Times New Roman"/>
          <w:szCs w:val="24"/>
        </w:rPr>
        <w:t xml:space="preserve">”. Thus, in </w:t>
      </w:r>
      <w:r w:rsidRPr="005441BD">
        <w:rPr>
          <w:rFonts w:cs="Times New Roman"/>
          <w:i/>
          <w:szCs w:val="24"/>
        </w:rPr>
        <w:t>Gallagher</w:t>
      </w:r>
      <w:r>
        <w:rPr>
          <w:rFonts w:cs="Times New Roman"/>
          <w:i/>
          <w:szCs w:val="24"/>
        </w:rPr>
        <w:t xml:space="preserve">, </w:t>
      </w:r>
      <w:r>
        <w:rPr>
          <w:rFonts w:cs="Times New Roman"/>
          <w:szCs w:val="24"/>
        </w:rPr>
        <w:t xml:space="preserve">the plaintiff’s claim was held to have accrued at the time he entered into the investment even </w:t>
      </w:r>
      <w:r>
        <w:rPr>
          <w:rFonts w:cs="Times New Roman"/>
          <w:szCs w:val="24"/>
        </w:rPr>
        <w:lastRenderedPageBreak/>
        <w:t xml:space="preserve">though his actual loss could be quantified only at the end of its term, almost 6 years later. </w:t>
      </w:r>
      <w:r w:rsidR="008C7DC1">
        <w:rPr>
          <w:rFonts w:cs="Times New Roman"/>
          <w:szCs w:val="24"/>
        </w:rPr>
        <w:t xml:space="preserve">Similarly, in </w:t>
      </w:r>
      <w:r w:rsidR="008C7DC1" w:rsidRPr="008C7DC1">
        <w:rPr>
          <w:rFonts w:cs="Times New Roman"/>
          <w:i/>
          <w:szCs w:val="24"/>
        </w:rPr>
        <w:t>Cantrell</w:t>
      </w:r>
      <w:r w:rsidR="008C7DC1">
        <w:rPr>
          <w:rFonts w:cs="Times New Roman"/>
          <w:szCs w:val="24"/>
        </w:rPr>
        <w:t>, the time(s) of accrual identified by the Supreme Court significantly predated the point at which the investors’ loss could have been quantified or, indeed, the point at which it could be said with certainty that they would suffer a loss.</w:t>
      </w:r>
    </w:p>
    <w:p w14:paraId="3595BBD6" w14:textId="77777777" w:rsidR="007A3055" w:rsidRDefault="007A3055" w:rsidP="007A3055">
      <w:pPr>
        <w:pStyle w:val="ListParagraph"/>
        <w:spacing w:line="480" w:lineRule="auto"/>
        <w:ind w:left="1080"/>
        <w:rPr>
          <w:rFonts w:cs="Times New Roman"/>
          <w:szCs w:val="24"/>
        </w:rPr>
      </w:pPr>
    </w:p>
    <w:p w14:paraId="4C53C9DF" w14:textId="77777777" w:rsidR="00422D13" w:rsidRPr="007A3055" w:rsidRDefault="007A3055" w:rsidP="007A3055">
      <w:pPr>
        <w:pStyle w:val="ListParagraph"/>
        <w:spacing w:line="480" w:lineRule="auto"/>
        <w:ind w:left="1080"/>
        <w:rPr>
          <w:rFonts w:cs="Times New Roman"/>
          <w:szCs w:val="24"/>
        </w:rPr>
      </w:pPr>
      <w:r>
        <w:rPr>
          <w:rFonts w:cs="Times New Roman"/>
          <w:szCs w:val="24"/>
        </w:rPr>
        <w:t>(1</w:t>
      </w:r>
      <w:r w:rsidR="00FD0C5F">
        <w:rPr>
          <w:rFonts w:cs="Times New Roman"/>
          <w:szCs w:val="24"/>
        </w:rPr>
        <w:t>7</w:t>
      </w:r>
      <w:r>
        <w:rPr>
          <w:rFonts w:cs="Times New Roman"/>
          <w:szCs w:val="24"/>
        </w:rPr>
        <w:t xml:space="preserve">) </w:t>
      </w:r>
      <w:r w:rsidR="00422D13">
        <w:rPr>
          <w:rFonts w:cs="Times New Roman"/>
          <w:szCs w:val="24"/>
        </w:rPr>
        <w:t>Ultimately, t</w:t>
      </w:r>
      <w:r w:rsidR="000D018F">
        <w:rPr>
          <w:rFonts w:cs="Times New Roman"/>
          <w:szCs w:val="24"/>
        </w:rPr>
        <w:t>he “</w:t>
      </w:r>
      <w:r w:rsidR="000D018F" w:rsidRPr="000D018F">
        <w:rPr>
          <w:rFonts w:cs="Times New Roman"/>
          <w:i/>
          <w:szCs w:val="24"/>
        </w:rPr>
        <w:t>test</w:t>
      </w:r>
      <w:r w:rsidR="00A77A21">
        <w:rPr>
          <w:rFonts w:cs="Times New Roman"/>
          <w:i/>
          <w:szCs w:val="24"/>
        </w:rPr>
        <w:t xml:space="preserve"> is when </w:t>
      </w:r>
      <w:r w:rsidR="000D018F" w:rsidRPr="000D018F">
        <w:rPr>
          <w:rFonts w:cs="Times New Roman"/>
          <w:i/>
          <w:szCs w:val="24"/>
        </w:rPr>
        <w:t>provable injury capable of attracting compensation occurred, and that is when it is available to be proved and damage is, in the Bra</w:t>
      </w:r>
      <w:r w:rsidR="000D018F">
        <w:rPr>
          <w:rFonts w:cs="Times New Roman"/>
          <w:i/>
          <w:szCs w:val="24"/>
        </w:rPr>
        <w:t>n</w:t>
      </w:r>
      <w:r w:rsidR="000D018F" w:rsidRPr="000D018F">
        <w:rPr>
          <w:rFonts w:cs="Times New Roman"/>
          <w:i/>
          <w:szCs w:val="24"/>
        </w:rPr>
        <w:t>dley sense, manifest</w:t>
      </w:r>
      <w:r w:rsidR="000D018F">
        <w:rPr>
          <w:rFonts w:cs="Times New Roman"/>
          <w:szCs w:val="24"/>
        </w:rPr>
        <w:t xml:space="preserve">.” </w:t>
      </w:r>
      <w:r w:rsidR="00422D13">
        <w:rPr>
          <w:rFonts w:cs="Times New Roman"/>
          <w:szCs w:val="24"/>
        </w:rPr>
        <w:t>[</w:t>
      </w:r>
      <w:r w:rsidR="00422D13" w:rsidRPr="00422D13">
        <w:rPr>
          <w:rFonts w:cs="Times New Roman"/>
          <w:i/>
          <w:szCs w:val="24"/>
        </w:rPr>
        <w:t>Cantrell</w:t>
      </w:r>
      <w:r w:rsidR="00422D13">
        <w:rPr>
          <w:rFonts w:cs="Times New Roman"/>
          <w:szCs w:val="24"/>
        </w:rPr>
        <w:t xml:space="preserve">, para 140] </w:t>
      </w:r>
    </w:p>
    <w:p w14:paraId="457454A4" w14:textId="77777777" w:rsidR="008C7DC1" w:rsidRDefault="008C7DC1" w:rsidP="007869B7">
      <w:pPr>
        <w:pStyle w:val="ListParagraph"/>
        <w:spacing w:line="480" w:lineRule="auto"/>
        <w:rPr>
          <w:rFonts w:cs="Times New Roman"/>
          <w:szCs w:val="24"/>
        </w:rPr>
      </w:pPr>
    </w:p>
    <w:p w14:paraId="1ADFEF3F" w14:textId="77777777" w:rsidR="00FD0C5F" w:rsidRPr="00591991" w:rsidRDefault="00FD0C5F" w:rsidP="00FD0C5F">
      <w:pPr>
        <w:pStyle w:val="ListParagraph"/>
        <w:numPr>
          <w:ilvl w:val="0"/>
          <w:numId w:val="1"/>
        </w:numPr>
        <w:spacing w:line="480" w:lineRule="auto"/>
        <w:ind w:hanging="720"/>
        <w:rPr>
          <w:szCs w:val="24"/>
        </w:rPr>
      </w:pPr>
      <w:r>
        <w:rPr>
          <w:rFonts w:cs="Times New Roman"/>
          <w:szCs w:val="24"/>
        </w:rPr>
        <w:t xml:space="preserve">I </w:t>
      </w:r>
      <w:r w:rsidR="003D6258">
        <w:rPr>
          <w:rFonts w:cs="Times New Roman"/>
          <w:szCs w:val="24"/>
        </w:rPr>
        <w:t>have no illusions as</w:t>
      </w:r>
      <w:r>
        <w:rPr>
          <w:rFonts w:cs="Times New Roman"/>
          <w:szCs w:val="24"/>
        </w:rPr>
        <w:t xml:space="preserve"> to the practical utility of th</w:t>
      </w:r>
      <w:r w:rsidR="00514BBD">
        <w:rPr>
          <w:rFonts w:cs="Times New Roman"/>
          <w:szCs w:val="24"/>
        </w:rPr>
        <w:t>e above analysis. It does not, and does not purport to, provide any form of bright-line rule or principle of general applica</w:t>
      </w:r>
      <w:r w:rsidR="00A7515C">
        <w:rPr>
          <w:rFonts w:cs="Times New Roman"/>
          <w:szCs w:val="24"/>
        </w:rPr>
        <w:t>tion</w:t>
      </w:r>
      <w:r w:rsidR="00514BBD">
        <w:rPr>
          <w:rFonts w:cs="Times New Roman"/>
          <w:szCs w:val="24"/>
        </w:rPr>
        <w:t xml:space="preserve"> capable of producing predictable and repeatable results. </w:t>
      </w:r>
      <w:bookmarkStart w:id="12" w:name="_Hlk83990388"/>
      <w:r w:rsidR="005D136C">
        <w:rPr>
          <w:rFonts w:cs="Times New Roman"/>
          <w:szCs w:val="24"/>
        </w:rPr>
        <w:t>In the abstract</w:t>
      </w:r>
      <w:r>
        <w:rPr>
          <w:rFonts w:cs="Times New Roman"/>
          <w:szCs w:val="24"/>
        </w:rPr>
        <w:t>, the distinction between present loss and contingent/future loss m</w:t>
      </w:r>
      <w:r w:rsidR="00514BBD">
        <w:rPr>
          <w:rFonts w:cs="Times New Roman"/>
          <w:szCs w:val="24"/>
        </w:rPr>
        <w:t>ight</w:t>
      </w:r>
      <w:r>
        <w:rPr>
          <w:rFonts w:cs="Times New Roman"/>
          <w:szCs w:val="24"/>
        </w:rPr>
        <w:t xml:space="preserve"> seem clear-cut. In practice, however, the dividing line is blurry and imprecise and – inevitably - impressionistic. So too the distinction between the fact of damage/loss and its quantification. </w:t>
      </w:r>
      <w:bookmarkEnd w:id="12"/>
      <w:r w:rsidR="00514BBD">
        <w:rPr>
          <w:rFonts w:cs="Times New Roman"/>
          <w:szCs w:val="24"/>
        </w:rPr>
        <w:t xml:space="preserve">Pragmatism and predictability make uncomfortable companions.  </w:t>
      </w:r>
      <w:r>
        <w:rPr>
          <w:rFonts w:cs="Times New Roman"/>
          <w:szCs w:val="24"/>
        </w:rPr>
        <w:t xml:space="preserve">The resulting uncertainty as to the operation of section 11(2)(a) of the 1957 Act in the respect of claims in negligence for financial loss – a hugely significant area of the law - is wholly unsatisfactory. </w:t>
      </w:r>
    </w:p>
    <w:p w14:paraId="1BEA0B4C" w14:textId="77777777" w:rsidR="00FD0C5F" w:rsidRDefault="00FD0C5F" w:rsidP="00514BBD">
      <w:pPr>
        <w:pStyle w:val="ListParagraph"/>
        <w:spacing w:line="480" w:lineRule="auto"/>
        <w:rPr>
          <w:rFonts w:cs="Times New Roman"/>
          <w:szCs w:val="24"/>
        </w:rPr>
      </w:pPr>
    </w:p>
    <w:p w14:paraId="7CC01A0E" w14:textId="77777777" w:rsidR="006B49DD" w:rsidRDefault="006B49DD" w:rsidP="006B49DD">
      <w:pPr>
        <w:pStyle w:val="ListParagraph"/>
        <w:numPr>
          <w:ilvl w:val="0"/>
          <w:numId w:val="1"/>
        </w:numPr>
        <w:spacing w:line="480" w:lineRule="auto"/>
        <w:ind w:hanging="720"/>
        <w:rPr>
          <w:rFonts w:cs="Times New Roman"/>
          <w:szCs w:val="24"/>
        </w:rPr>
      </w:pPr>
      <w:r>
        <w:rPr>
          <w:rFonts w:cs="Times New Roman"/>
          <w:szCs w:val="24"/>
        </w:rPr>
        <w:t xml:space="preserve">One issue which does not appear to have been </w:t>
      </w:r>
      <w:r w:rsidR="004C5403">
        <w:rPr>
          <w:rFonts w:cs="Times New Roman"/>
          <w:szCs w:val="24"/>
        </w:rPr>
        <w:t xml:space="preserve">definitively </w:t>
      </w:r>
      <w:r>
        <w:rPr>
          <w:rFonts w:cs="Times New Roman"/>
          <w:szCs w:val="24"/>
        </w:rPr>
        <w:t xml:space="preserve">addressed in the Irish authorities to date - and which was not addressed </w:t>
      </w:r>
      <w:r w:rsidR="00274FCF">
        <w:rPr>
          <w:rFonts w:cs="Times New Roman"/>
          <w:szCs w:val="24"/>
        </w:rPr>
        <w:t>in</w:t>
      </w:r>
      <w:r>
        <w:rPr>
          <w:rFonts w:cs="Times New Roman"/>
          <w:szCs w:val="24"/>
        </w:rPr>
        <w:t xml:space="preserve"> the parties</w:t>
      </w:r>
      <w:r w:rsidR="00274FCF">
        <w:rPr>
          <w:rFonts w:cs="Times New Roman"/>
          <w:szCs w:val="24"/>
        </w:rPr>
        <w:t>’</w:t>
      </w:r>
      <w:r>
        <w:rPr>
          <w:rFonts w:cs="Times New Roman"/>
          <w:szCs w:val="24"/>
        </w:rPr>
        <w:t xml:space="preserve"> submissions either – is where the burden of proof lies when an issue of limitation </w:t>
      </w:r>
      <w:r w:rsidR="001B0B1D">
        <w:rPr>
          <w:rFonts w:cs="Times New Roman"/>
          <w:szCs w:val="24"/>
        </w:rPr>
        <w:t>falls</w:t>
      </w:r>
      <w:r>
        <w:rPr>
          <w:rFonts w:cs="Times New Roman"/>
          <w:szCs w:val="24"/>
        </w:rPr>
        <w:t xml:space="preserve"> for determination. </w:t>
      </w:r>
      <w:r w:rsidR="00D00FCF">
        <w:rPr>
          <w:rFonts w:cs="Times New Roman"/>
          <w:szCs w:val="24"/>
        </w:rPr>
        <w:lastRenderedPageBreak/>
        <w:t xml:space="preserve">Limitation is a matter of defence and it is clear from the authorities that in all cases where </w:t>
      </w:r>
      <w:r w:rsidR="001B0B1D">
        <w:rPr>
          <w:rFonts w:cs="Times New Roman"/>
          <w:szCs w:val="24"/>
        </w:rPr>
        <w:t>the</w:t>
      </w:r>
      <w:r w:rsidR="00D00FCF">
        <w:rPr>
          <w:rFonts w:cs="Times New Roman"/>
          <w:szCs w:val="24"/>
        </w:rPr>
        <w:t xml:space="preserve"> expiry of the</w:t>
      </w:r>
      <w:r w:rsidR="001B0B1D">
        <w:rPr>
          <w:rFonts w:cs="Times New Roman"/>
          <w:szCs w:val="24"/>
        </w:rPr>
        <w:t xml:space="preserve"> relevant</w:t>
      </w:r>
      <w:r w:rsidR="00D00FCF">
        <w:rPr>
          <w:rFonts w:cs="Times New Roman"/>
          <w:szCs w:val="24"/>
        </w:rPr>
        <w:t xml:space="preserve"> limitation period</w:t>
      </w:r>
      <w:r w:rsidR="001B0B1D">
        <w:rPr>
          <w:rFonts w:cs="Times New Roman"/>
          <w:szCs w:val="24"/>
        </w:rPr>
        <w:t xml:space="preserve"> simply</w:t>
      </w:r>
      <w:r w:rsidR="00D00FCF">
        <w:rPr>
          <w:rFonts w:cs="Times New Roman"/>
          <w:szCs w:val="24"/>
        </w:rPr>
        <w:t xml:space="preserve"> bars the remedy and not the right – and the limitation period in section 11(2)(a) operates in that way – a defendant </w:t>
      </w:r>
      <w:r w:rsidR="001B0B1D">
        <w:rPr>
          <w:rFonts w:cs="Times New Roman"/>
          <w:szCs w:val="24"/>
        </w:rPr>
        <w:t xml:space="preserve">who wishes to rely on a limitation defence </w:t>
      </w:r>
      <w:r w:rsidR="00D00FCF">
        <w:rPr>
          <w:rFonts w:cs="Times New Roman"/>
          <w:szCs w:val="24"/>
        </w:rPr>
        <w:t xml:space="preserve">must specifically plead </w:t>
      </w:r>
      <w:r w:rsidR="001B0B1D">
        <w:rPr>
          <w:rFonts w:cs="Times New Roman"/>
          <w:szCs w:val="24"/>
        </w:rPr>
        <w:t xml:space="preserve">it. </w:t>
      </w:r>
      <w:r w:rsidR="00D00FCF">
        <w:rPr>
          <w:rFonts w:cs="Times New Roman"/>
          <w:szCs w:val="24"/>
        </w:rPr>
        <w:t xml:space="preserve">So much is clear from the decision of the Supreme Court in </w:t>
      </w:r>
      <w:r w:rsidR="00D00FCF" w:rsidRPr="00D00FCF">
        <w:rPr>
          <w:rFonts w:cs="Times New Roman"/>
          <w:i/>
          <w:szCs w:val="24"/>
        </w:rPr>
        <w:t>O’ Reilly v Granville</w:t>
      </w:r>
      <w:r w:rsidR="00D00FCF">
        <w:rPr>
          <w:rFonts w:cs="Times New Roman"/>
          <w:szCs w:val="24"/>
        </w:rPr>
        <w:t xml:space="preserve"> [1971] IR 90 (itself a negligence claim).</w:t>
      </w:r>
      <w:r w:rsidR="001B0B1D">
        <w:rPr>
          <w:rFonts w:cs="Times New Roman"/>
          <w:szCs w:val="24"/>
        </w:rPr>
        <w:t xml:space="preserve"> It might be thought to follow that the burden of establishing that a claim is statute-barred should rest on the defendant and that </w:t>
      </w:r>
      <w:r w:rsidR="00A7515C">
        <w:rPr>
          <w:rFonts w:cs="Times New Roman"/>
          <w:szCs w:val="24"/>
        </w:rPr>
        <w:t xml:space="preserve">indeed </w:t>
      </w:r>
      <w:r w:rsidR="005D136C">
        <w:rPr>
          <w:rFonts w:cs="Times New Roman"/>
          <w:szCs w:val="24"/>
        </w:rPr>
        <w:t>is</w:t>
      </w:r>
      <w:r w:rsidR="001B0B1D">
        <w:rPr>
          <w:rFonts w:cs="Times New Roman"/>
          <w:szCs w:val="24"/>
        </w:rPr>
        <w:t xml:space="preserve"> the view expressed in Brady &amp; Kerr, </w:t>
      </w:r>
      <w:r w:rsidR="001B0B1D" w:rsidRPr="001B0B1D">
        <w:rPr>
          <w:rFonts w:cs="Times New Roman"/>
          <w:i/>
          <w:szCs w:val="24"/>
        </w:rPr>
        <w:t>The Limitation of Actions</w:t>
      </w:r>
      <w:r w:rsidR="001B0B1D">
        <w:rPr>
          <w:rFonts w:cs="Times New Roman"/>
          <w:szCs w:val="24"/>
        </w:rPr>
        <w:t xml:space="preserve"> (2</w:t>
      </w:r>
      <w:r w:rsidR="001B0B1D" w:rsidRPr="001B0B1D">
        <w:rPr>
          <w:rFonts w:cs="Times New Roman"/>
          <w:szCs w:val="24"/>
          <w:vertAlign w:val="superscript"/>
        </w:rPr>
        <w:t>nd</w:t>
      </w:r>
      <w:r w:rsidR="001B0B1D">
        <w:rPr>
          <w:rFonts w:cs="Times New Roman"/>
          <w:szCs w:val="24"/>
        </w:rPr>
        <w:t xml:space="preserve"> ed; 1994). </w:t>
      </w:r>
      <w:r w:rsidR="004C5403">
        <w:rPr>
          <w:rFonts w:cs="Times New Roman"/>
          <w:szCs w:val="24"/>
        </w:rPr>
        <w:t xml:space="preserve">It was also the approach adopted by Charleton J in </w:t>
      </w:r>
      <w:r w:rsidR="009A229D">
        <w:rPr>
          <w:rFonts w:cs="Times New Roman"/>
          <w:szCs w:val="24"/>
        </w:rPr>
        <w:t xml:space="preserve">the Supreme Court </w:t>
      </w:r>
      <w:r w:rsidR="004C5403" w:rsidRPr="004C5403">
        <w:rPr>
          <w:rFonts w:cs="Times New Roman"/>
          <w:i/>
          <w:szCs w:val="24"/>
        </w:rPr>
        <w:t>O’ Sullivan v Ireland</w:t>
      </w:r>
      <w:r w:rsidR="004C5403">
        <w:rPr>
          <w:rFonts w:cs="Times New Roman"/>
          <w:szCs w:val="24"/>
        </w:rPr>
        <w:t xml:space="preserve"> [2019] IESC 33, [2020] 1 IR 413, at para 70</w:t>
      </w:r>
      <w:r w:rsidR="009A229D">
        <w:rPr>
          <w:rFonts w:cs="Times New Roman"/>
          <w:szCs w:val="24"/>
        </w:rPr>
        <w:t>,</w:t>
      </w:r>
      <w:r w:rsidR="004C5403">
        <w:rPr>
          <w:rFonts w:cs="Times New Roman"/>
          <w:szCs w:val="24"/>
        </w:rPr>
        <w:t xml:space="preserve"> where he observed that “</w:t>
      </w:r>
      <w:r w:rsidR="009A229D" w:rsidRPr="009A229D">
        <w:rPr>
          <w:rFonts w:cs="Times New Roman"/>
          <w:i/>
          <w:szCs w:val="24"/>
        </w:rPr>
        <w:t>Ordinarily, the burden of demonstrating the application of a statutory</w:t>
      </w:r>
      <w:r w:rsidR="005D136C">
        <w:rPr>
          <w:rFonts w:cs="Times New Roman"/>
          <w:i/>
          <w:szCs w:val="24"/>
        </w:rPr>
        <w:t xml:space="preserve"> provision as to</w:t>
      </w:r>
      <w:r w:rsidR="009A229D" w:rsidRPr="009A229D">
        <w:rPr>
          <w:rFonts w:cs="Times New Roman"/>
          <w:i/>
          <w:szCs w:val="24"/>
        </w:rPr>
        <w:t xml:space="preserve"> limitations to the plaintiff is on the defendant</w:t>
      </w:r>
      <w:r w:rsidR="009A229D">
        <w:rPr>
          <w:rFonts w:cs="Times New Roman"/>
          <w:i/>
          <w:szCs w:val="24"/>
        </w:rPr>
        <w:t>.</w:t>
      </w:r>
      <w:r w:rsidR="009A229D">
        <w:rPr>
          <w:rFonts w:cs="Times New Roman"/>
          <w:szCs w:val="24"/>
        </w:rPr>
        <w:t xml:space="preserve">” </w:t>
      </w:r>
      <w:r w:rsidR="001B0B1D">
        <w:rPr>
          <w:rFonts w:cs="Times New Roman"/>
          <w:szCs w:val="24"/>
        </w:rPr>
        <w:t>As one distinguished commentator has observed “</w:t>
      </w:r>
      <w:r w:rsidR="001B0B1D" w:rsidRPr="001B0B1D">
        <w:rPr>
          <w:rFonts w:cs="Times New Roman"/>
          <w:i/>
          <w:szCs w:val="24"/>
        </w:rPr>
        <w:t>it seems very odd to require the defendant to plead limitation without having any onus of proof.”</w:t>
      </w:r>
      <w:r w:rsidR="001B0B1D">
        <w:rPr>
          <w:rStyle w:val="FootnoteReference"/>
          <w:rFonts w:cs="Times New Roman"/>
          <w:szCs w:val="24"/>
        </w:rPr>
        <w:footnoteReference w:id="19"/>
      </w:r>
      <w:r w:rsidR="000C4470">
        <w:rPr>
          <w:rFonts w:cs="Times New Roman"/>
          <w:szCs w:val="24"/>
        </w:rPr>
        <w:t xml:space="preserve"> Nevertheless, the position in England and Wales appears to be that </w:t>
      </w:r>
      <w:r w:rsidR="000C4470" w:rsidRPr="000C4470">
        <w:rPr>
          <w:rFonts w:cs="Times New Roman"/>
          <w:i/>
          <w:szCs w:val="24"/>
        </w:rPr>
        <w:t>“[w]here the defendant has pleaded that the claim is statute-barred, the burden of proving that the cause of action arose within the statutory period lies on the claimant</w:t>
      </w:r>
      <w:r w:rsidR="000C4470">
        <w:rPr>
          <w:rFonts w:cs="Times New Roman"/>
          <w:szCs w:val="24"/>
        </w:rPr>
        <w:t xml:space="preserve">”: </w:t>
      </w:r>
      <w:r w:rsidR="000C4470" w:rsidRPr="000C4470">
        <w:rPr>
          <w:rFonts w:cs="Times New Roman"/>
          <w:i/>
          <w:szCs w:val="24"/>
        </w:rPr>
        <w:t>Halsbury’s Laws of England</w:t>
      </w:r>
      <w:r w:rsidR="000C4470">
        <w:rPr>
          <w:rFonts w:cs="Times New Roman"/>
          <w:szCs w:val="24"/>
        </w:rPr>
        <w:t xml:space="preserve">, </w:t>
      </w:r>
      <w:r w:rsidR="000C4470" w:rsidRPr="000C4470">
        <w:rPr>
          <w:rFonts w:cs="Times New Roman"/>
          <w:i/>
          <w:szCs w:val="24"/>
        </w:rPr>
        <w:t>Limitation Periods</w:t>
      </w:r>
      <w:r w:rsidR="000C4470">
        <w:rPr>
          <w:rFonts w:cs="Times New Roman"/>
          <w:szCs w:val="24"/>
        </w:rPr>
        <w:t xml:space="preserve"> (2021) at para 1047</w:t>
      </w:r>
      <w:r w:rsidR="001A1F5B">
        <w:rPr>
          <w:rFonts w:cs="Times New Roman"/>
          <w:szCs w:val="24"/>
        </w:rPr>
        <w:t xml:space="preserve"> (See also McGee, </w:t>
      </w:r>
      <w:r w:rsidR="001A1F5B" w:rsidRPr="001A1F5B">
        <w:rPr>
          <w:rFonts w:cs="Times New Roman"/>
          <w:i/>
          <w:szCs w:val="24"/>
        </w:rPr>
        <w:t>Limitation Periods</w:t>
      </w:r>
      <w:r w:rsidR="001A1F5B">
        <w:rPr>
          <w:rFonts w:cs="Times New Roman"/>
          <w:szCs w:val="24"/>
        </w:rPr>
        <w:t xml:space="preserve"> (8</w:t>
      </w:r>
      <w:r w:rsidR="001A1F5B" w:rsidRPr="001A1F5B">
        <w:rPr>
          <w:rFonts w:cs="Times New Roman"/>
          <w:szCs w:val="24"/>
          <w:vertAlign w:val="superscript"/>
        </w:rPr>
        <w:t>th</w:t>
      </w:r>
      <w:r w:rsidR="001A1F5B">
        <w:rPr>
          <w:rFonts w:cs="Times New Roman"/>
          <w:szCs w:val="24"/>
        </w:rPr>
        <w:t xml:space="preserve"> ed, 2018) at para 21-014). </w:t>
      </w:r>
      <w:r w:rsidR="000C4470">
        <w:rPr>
          <w:rFonts w:cs="Times New Roman"/>
          <w:szCs w:val="24"/>
        </w:rPr>
        <w:t xml:space="preserve">A different view appears to have been taken in Australia and New Zealand: Canny, </w:t>
      </w:r>
      <w:r w:rsidR="000C4470" w:rsidRPr="000377A3">
        <w:rPr>
          <w:rFonts w:cs="Times New Roman"/>
          <w:i/>
          <w:szCs w:val="24"/>
        </w:rPr>
        <w:t>Limitation of Act</w:t>
      </w:r>
      <w:r w:rsidR="000377A3" w:rsidRPr="000377A3">
        <w:rPr>
          <w:rFonts w:cs="Times New Roman"/>
          <w:i/>
          <w:szCs w:val="24"/>
        </w:rPr>
        <w:t>ions</w:t>
      </w:r>
      <w:r w:rsidR="000377A3">
        <w:rPr>
          <w:rFonts w:cs="Times New Roman"/>
          <w:szCs w:val="24"/>
        </w:rPr>
        <w:t xml:space="preserve"> (2</w:t>
      </w:r>
      <w:r w:rsidR="000377A3" w:rsidRPr="000377A3">
        <w:rPr>
          <w:rFonts w:cs="Times New Roman"/>
          <w:szCs w:val="24"/>
          <w:vertAlign w:val="superscript"/>
        </w:rPr>
        <w:t>nd</w:t>
      </w:r>
      <w:r w:rsidR="000377A3">
        <w:rPr>
          <w:rFonts w:cs="Times New Roman"/>
          <w:szCs w:val="24"/>
        </w:rPr>
        <w:t xml:space="preserve"> ed; 2016) at para 2-1</w:t>
      </w:r>
      <w:r w:rsidR="009A229D">
        <w:rPr>
          <w:rFonts w:cs="Times New Roman"/>
          <w:szCs w:val="24"/>
        </w:rPr>
        <w:t>8</w:t>
      </w:r>
      <w:r w:rsidR="000377A3">
        <w:rPr>
          <w:rFonts w:cs="Times New Roman"/>
          <w:szCs w:val="24"/>
        </w:rPr>
        <w:t>.</w:t>
      </w:r>
      <w:r w:rsidR="00B52B69">
        <w:rPr>
          <w:rFonts w:cs="Times New Roman"/>
          <w:szCs w:val="24"/>
        </w:rPr>
        <w:t xml:space="preserve"> The author suggests, however, that the English approach is to be “</w:t>
      </w:r>
      <w:r w:rsidR="00B52B69" w:rsidRPr="00B52B69">
        <w:rPr>
          <w:rFonts w:cs="Times New Roman"/>
          <w:i/>
          <w:szCs w:val="24"/>
        </w:rPr>
        <w:t>preferred</w:t>
      </w:r>
      <w:r w:rsidR="00B52B69">
        <w:rPr>
          <w:rFonts w:cs="Times New Roman"/>
          <w:szCs w:val="24"/>
        </w:rPr>
        <w:t xml:space="preserve">.” </w:t>
      </w:r>
    </w:p>
    <w:p w14:paraId="70B474CF" w14:textId="77777777" w:rsidR="001A1F5B" w:rsidRDefault="001A1F5B" w:rsidP="001A1F5B">
      <w:pPr>
        <w:pStyle w:val="ListParagraph"/>
        <w:spacing w:line="480" w:lineRule="auto"/>
        <w:rPr>
          <w:rFonts w:cs="Times New Roman"/>
          <w:szCs w:val="24"/>
        </w:rPr>
      </w:pPr>
    </w:p>
    <w:p w14:paraId="55F20E6D" w14:textId="77777777" w:rsidR="000377A3" w:rsidRPr="00B52B69" w:rsidRDefault="005838D7" w:rsidP="00B52B69">
      <w:pPr>
        <w:pStyle w:val="ListParagraph"/>
        <w:numPr>
          <w:ilvl w:val="0"/>
          <w:numId w:val="1"/>
        </w:numPr>
        <w:spacing w:line="480" w:lineRule="auto"/>
        <w:ind w:hanging="720"/>
        <w:rPr>
          <w:rFonts w:cs="Times New Roman"/>
          <w:szCs w:val="24"/>
        </w:rPr>
      </w:pPr>
      <w:r>
        <w:rPr>
          <w:rFonts w:cs="Times New Roman"/>
          <w:szCs w:val="24"/>
        </w:rPr>
        <w:t>One</w:t>
      </w:r>
      <w:r w:rsidR="004A29E1">
        <w:rPr>
          <w:rFonts w:cs="Times New Roman"/>
          <w:szCs w:val="24"/>
        </w:rPr>
        <w:t xml:space="preserve"> can readily understand why, </w:t>
      </w:r>
      <w:r>
        <w:rPr>
          <w:rFonts w:cs="Times New Roman"/>
          <w:szCs w:val="24"/>
        </w:rPr>
        <w:t>where a</w:t>
      </w:r>
      <w:r w:rsidR="004A29E1">
        <w:rPr>
          <w:rFonts w:cs="Times New Roman"/>
          <w:szCs w:val="24"/>
        </w:rPr>
        <w:t xml:space="preserve"> plaintiff seeks to rely on a ground such as disability, mistake or fraudulent concealment to postpone or extend </w:t>
      </w:r>
      <w:r>
        <w:rPr>
          <w:rFonts w:cs="Times New Roman"/>
          <w:szCs w:val="24"/>
        </w:rPr>
        <w:t>a</w:t>
      </w:r>
      <w:r w:rsidR="004A29E1">
        <w:rPr>
          <w:rFonts w:cs="Times New Roman"/>
          <w:szCs w:val="24"/>
        </w:rPr>
        <w:t xml:space="preserve"> limitation period that would otherwise </w:t>
      </w:r>
      <w:r>
        <w:rPr>
          <w:rFonts w:cs="Times New Roman"/>
          <w:szCs w:val="24"/>
        </w:rPr>
        <w:t xml:space="preserve">bar the action, </w:t>
      </w:r>
      <w:r w:rsidR="004A29E1">
        <w:rPr>
          <w:rFonts w:cs="Times New Roman"/>
          <w:szCs w:val="24"/>
        </w:rPr>
        <w:t>the</w:t>
      </w:r>
      <w:r>
        <w:rPr>
          <w:rFonts w:cs="Times New Roman"/>
          <w:szCs w:val="24"/>
        </w:rPr>
        <w:t xml:space="preserve">y should bear the burden of </w:t>
      </w:r>
      <w:r w:rsidR="004A29E1">
        <w:rPr>
          <w:rFonts w:cs="Times New Roman"/>
          <w:szCs w:val="24"/>
        </w:rPr>
        <w:t xml:space="preserve">establishing </w:t>
      </w:r>
      <w:r>
        <w:rPr>
          <w:rFonts w:cs="Times New Roman"/>
          <w:szCs w:val="24"/>
        </w:rPr>
        <w:t>that</w:t>
      </w:r>
      <w:r w:rsidR="004A29E1">
        <w:rPr>
          <w:rFonts w:cs="Times New Roman"/>
          <w:szCs w:val="24"/>
        </w:rPr>
        <w:t xml:space="preserve"> ground</w:t>
      </w:r>
      <w:r>
        <w:rPr>
          <w:rFonts w:cs="Times New Roman"/>
          <w:szCs w:val="24"/>
        </w:rPr>
        <w:t xml:space="preserve">. </w:t>
      </w:r>
      <w:r w:rsidR="004A29E1">
        <w:rPr>
          <w:rFonts w:cs="Times New Roman"/>
          <w:szCs w:val="24"/>
        </w:rPr>
        <w:t>Equally, where a plaintiff asserts that their “</w:t>
      </w:r>
      <w:r w:rsidR="004A29E1" w:rsidRPr="005838D7">
        <w:rPr>
          <w:rFonts w:cs="Times New Roman"/>
          <w:i/>
          <w:szCs w:val="24"/>
        </w:rPr>
        <w:t>date of knowledge</w:t>
      </w:r>
      <w:r w:rsidR="004A29E1">
        <w:rPr>
          <w:rFonts w:cs="Times New Roman"/>
          <w:szCs w:val="24"/>
        </w:rPr>
        <w:t xml:space="preserve">” </w:t>
      </w:r>
      <w:r>
        <w:rPr>
          <w:rFonts w:cs="Times New Roman"/>
          <w:szCs w:val="24"/>
        </w:rPr>
        <w:t xml:space="preserve">was later than the date of accrual, one can see force in </w:t>
      </w:r>
      <w:r w:rsidRPr="005838D7">
        <w:rPr>
          <w:rFonts w:cs="Times New Roman"/>
          <w:szCs w:val="24"/>
        </w:rPr>
        <w:t xml:space="preserve">the argument that the burden of proof should lie </w:t>
      </w:r>
      <w:r w:rsidR="00C531F2">
        <w:rPr>
          <w:rFonts w:cs="Times New Roman"/>
          <w:szCs w:val="24"/>
        </w:rPr>
        <w:t>on</w:t>
      </w:r>
      <w:r w:rsidRPr="005838D7">
        <w:rPr>
          <w:rFonts w:cs="Times New Roman"/>
          <w:szCs w:val="24"/>
        </w:rPr>
        <w:t xml:space="preserve"> the plaintiff</w:t>
      </w:r>
      <w:r w:rsidR="009A229D">
        <w:rPr>
          <w:rFonts w:cs="Times New Roman"/>
          <w:szCs w:val="24"/>
        </w:rPr>
        <w:t xml:space="preserve">. That was the view of Charleton J in </w:t>
      </w:r>
      <w:r w:rsidR="009A229D" w:rsidRPr="009A229D">
        <w:rPr>
          <w:rFonts w:cs="Times New Roman"/>
          <w:i/>
          <w:szCs w:val="24"/>
        </w:rPr>
        <w:t>O’ Sullivan</w:t>
      </w:r>
      <w:r w:rsidR="009A229D">
        <w:rPr>
          <w:rFonts w:cs="Times New Roman"/>
          <w:szCs w:val="24"/>
        </w:rPr>
        <w:t xml:space="preserve"> (also at para 70) and, while the issue does not appear to have </w:t>
      </w:r>
      <w:r w:rsidR="00656E12">
        <w:rPr>
          <w:rFonts w:cs="Times New Roman"/>
          <w:szCs w:val="24"/>
        </w:rPr>
        <w:t xml:space="preserve">been </w:t>
      </w:r>
      <w:r w:rsidR="009A229D">
        <w:rPr>
          <w:rFonts w:cs="Times New Roman"/>
          <w:szCs w:val="24"/>
        </w:rPr>
        <w:t>discussed by Finlay Geoghegan J in her judgment in that appeal, it is nevertheless clear that she too thought that the burden was on the plaintiff in that respect (</w:t>
      </w:r>
      <w:r w:rsidR="005D136C">
        <w:rPr>
          <w:rFonts w:cs="Times New Roman"/>
          <w:szCs w:val="24"/>
        </w:rPr>
        <w:t xml:space="preserve">at </w:t>
      </w:r>
      <w:r w:rsidR="009A229D">
        <w:rPr>
          <w:rFonts w:cs="Times New Roman"/>
          <w:szCs w:val="24"/>
        </w:rPr>
        <w:t>para 151)</w:t>
      </w:r>
      <w:r w:rsidR="00A66E50">
        <w:rPr>
          <w:rFonts w:cs="Times New Roman"/>
          <w:szCs w:val="24"/>
        </w:rPr>
        <w:t>.</w:t>
      </w:r>
      <w:r w:rsidR="009A229D" w:rsidRPr="009A229D">
        <w:rPr>
          <w:rFonts w:cs="Times New Roman"/>
          <w:i/>
          <w:szCs w:val="24"/>
        </w:rPr>
        <w:t xml:space="preserve"> </w:t>
      </w:r>
      <w:r w:rsidRPr="005838D7">
        <w:rPr>
          <w:rFonts w:cs="Times New Roman"/>
          <w:szCs w:val="24"/>
        </w:rPr>
        <w:t xml:space="preserve"> Where, however, the issue is when a</w:t>
      </w:r>
      <w:r w:rsidRPr="001A1F5B">
        <w:rPr>
          <w:rFonts w:cs="Times New Roman"/>
          <w:szCs w:val="24"/>
        </w:rPr>
        <w:t xml:space="preserve"> cause of action accrued, the rationale for imposing </w:t>
      </w:r>
      <w:r w:rsidR="00B52B69">
        <w:rPr>
          <w:rFonts w:cs="Times New Roman"/>
          <w:szCs w:val="24"/>
        </w:rPr>
        <w:t>any</w:t>
      </w:r>
      <w:r w:rsidR="00B52B69" w:rsidRPr="001A1F5B">
        <w:rPr>
          <w:rFonts w:cs="Times New Roman"/>
          <w:szCs w:val="24"/>
        </w:rPr>
        <w:t xml:space="preserve"> </w:t>
      </w:r>
      <w:r w:rsidRPr="001A1F5B">
        <w:rPr>
          <w:rFonts w:cs="Times New Roman"/>
          <w:szCs w:val="24"/>
        </w:rPr>
        <w:t xml:space="preserve">burden on the plaintiff seems to me to be </w:t>
      </w:r>
      <w:r w:rsidR="00693AFB">
        <w:rPr>
          <w:rFonts w:cs="Times New Roman"/>
          <w:szCs w:val="24"/>
        </w:rPr>
        <w:t xml:space="preserve">highly contestable. </w:t>
      </w:r>
      <w:r w:rsidRPr="001A1F5B">
        <w:rPr>
          <w:rFonts w:cs="Times New Roman"/>
          <w:szCs w:val="24"/>
        </w:rPr>
        <w:t xml:space="preserve"> </w:t>
      </w:r>
      <w:r w:rsidR="001A1F5B">
        <w:rPr>
          <w:rFonts w:cs="Times New Roman"/>
          <w:szCs w:val="24"/>
        </w:rPr>
        <w:t xml:space="preserve">As I have said, however, the issue was not addressed in argument and for that reason – and also because the issue is not determinative of this appeal – it </w:t>
      </w:r>
      <w:r w:rsidR="00B52B69">
        <w:rPr>
          <w:rFonts w:cs="Times New Roman"/>
          <w:szCs w:val="24"/>
        </w:rPr>
        <w:t>does not appear appropriate to express</w:t>
      </w:r>
      <w:r w:rsidR="00B52B69" w:rsidRPr="00B52B69">
        <w:rPr>
          <w:rFonts w:cs="Times New Roman"/>
          <w:szCs w:val="24"/>
        </w:rPr>
        <w:t xml:space="preserve"> any </w:t>
      </w:r>
      <w:r w:rsidR="00B52B69">
        <w:rPr>
          <w:rFonts w:cs="Times New Roman"/>
          <w:szCs w:val="24"/>
        </w:rPr>
        <w:t xml:space="preserve">concluded views on it. </w:t>
      </w:r>
    </w:p>
    <w:p w14:paraId="422054B9" w14:textId="77777777" w:rsidR="006B49DD" w:rsidRDefault="006B49DD" w:rsidP="006B49DD">
      <w:pPr>
        <w:pStyle w:val="ListParagraph"/>
        <w:spacing w:line="480" w:lineRule="auto"/>
        <w:rPr>
          <w:rFonts w:cs="Times New Roman"/>
          <w:szCs w:val="24"/>
        </w:rPr>
      </w:pPr>
    </w:p>
    <w:bookmarkEnd w:id="9"/>
    <w:p w14:paraId="6D5F10F9" w14:textId="77777777" w:rsidR="0024308B" w:rsidRPr="00527E1E" w:rsidRDefault="0024308B" w:rsidP="007869B7">
      <w:pPr>
        <w:pStyle w:val="ListParagraph"/>
        <w:spacing w:line="480" w:lineRule="auto"/>
        <w:rPr>
          <w:rFonts w:cs="Times New Roman"/>
          <w:b/>
          <w:i/>
          <w:szCs w:val="24"/>
        </w:rPr>
      </w:pPr>
      <w:r w:rsidRPr="00527E1E">
        <w:rPr>
          <w:rFonts w:cs="Times New Roman"/>
          <w:b/>
          <w:i/>
          <w:szCs w:val="24"/>
        </w:rPr>
        <w:t xml:space="preserve">When </w:t>
      </w:r>
      <w:r w:rsidR="008C7DC1">
        <w:rPr>
          <w:rFonts w:cs="Times New Roman"/>
          <w:b/>
          <w:i/>
          <w:szCs w:val="24"/>
        </w:rPr>
        <w:t xml:space="preserve">was </w:t>
      </w:r>
      <w:bookmarkStart w:id="13" w:name="_Hlk82774136"/>
      <w:r w:rsidR="008C7DC1">
        <w:rPr>
          <w:rFonts w:cs="Times New Roman"/>
          <w:b/>
          <w:i/>
          <w:szCs w:val="24"/>
        </w:rPr>
        <w:t>“real actual</w:t>
      </w:r>
      <w:r w:rsidR="00527E1E" w:rsidRPr="00527E1E">
        <w:rPr>
          <w:rFonts w:cs="Times New Roman"/>
          <w:b/>
          <w:i/>
          <w:szCs w:val="24"/>
        </w:rPr>
        <w:t xml:space="preserve"> damage</w:t>
      </w:r>
      <w:r w:rsidR="008C7DC1">
        <w:rPr>
          <w:rFonts w:cs="Times New Roman"/>
          <w:b/>
          <w:i/>
          <w:szCs w:val="24"/>
        </w:rPr>
        <w:t>”</w:t>
      </w:r>
      <w:r w:rsidR="00527E1E" w:rsidRPr="00527E1E">
        <w:rPr>
          <w:rFonts w:cs="Times New Roman"/>
          <w:b/>
          <w:i/>
          <w:szCs w:val="24"/>
        </w:rPr>
        <w:t xml:space="preserve"> </w:t>
      </w:r>
      <w:bookmarkEnd w:id="13"/>
      <w:r w:rsidR="00527E1E" w:rsidRPr="00527E1E">
        <w:rPr>
          <w:rFonts w:cs="Times New Roman"/>
          <w:b/>
          <w:i/>
          <w:szCs w:val="24"/>
        </w:rPr>
        <w:t>manifest here?</w:t>
      </w:r>
    </w:p>
    <w:p w14:paraId="731B2381" w14:textId="77777777" w:rsidR="00527E1E" w:rsidRDefault="00527E1E" w:rsidP="007869B7">
      <w:pPr>
        <w:pStyle w:val="ListParagraph"/>
        <w:spacing w:line="480" w:lineRule="auto"/>
        <w:rPr>
          <w:rFonts w:cs="Times New Roman"/>
          <w:szCs w:val="24"/>
        </w:rPr>
      </w:pPr>
    </w:p>
    <w:p w14:paraId="732E0039" w14:textId="77777777" w:rsidR="00E5627B" w:rsidRDefault="00E5627B" w:rsidP="00E5627B">
      <w:pPr>
        <w:pStyle w:val="ListParagraph"/>
        <w:numPr>
          <w:ilvl w:val="0"/>
          <w:numId w:val="1"/>
        </w:numPr>
        <w:spacing w:line="480" w:lineRule="auto"/>
        <w:ind w:hanging="720"/>
        <w:rPr>
          <w:rFonts w:cs="Times New Roman"/>
          <w:szCs w:val="24"/>
        </w:rPr>
      </w:pPr>
      <w:r>
        <w:rPr>
          <w:rFonts w:cs="Times New Roman"/>
          <w:szCs w:val="24"/>
        </w:rPr>
        <w:t>The key question to be determined on this appeal is whether (as the Solicitors contend) the Plaintiff’s failure to obtain good marketable title in July 200</w:t>
      </w:r>
      <w:r w:rsidR="0038680B">
        <w:rPr>
          <w:rFonts w:cs="Times New Roman"/>
          <w:szCs w:val="24"/>
        </w:rPr>
        <w:t>6</w:t>
      </w:r>
      <w:r>
        <w:rPr>
          <w:rFonts w:cs="Times New Roman"/>
          <w:szCs w:val="24"/>
        </w:rPr>
        <w:t xml:space="preserve"> constituted </w:t>
      </w:r>
      <w:r w:rsidRPr="0038680B">
        <w:rPr>
          <w:rFonts w:cs="Times New Roman"/>
          <w:szCs w:val="24"/>
        </w:rPr>
        <w:t>damage</w:t>
      </w:r>
      <w:r>
        <w:rPr>
          <w:rFonts w:cs="Times New Roman"/>
          <w:szCs w:val="24"/>
        </w:rPr>
        <w:t xml:space="preserve"> sufficient to complete any claim in negligence that the Plaintiff may have had against the Solicitors or whether (as the Plaintiff contends) </w:t>
      </w:r>
      <w:r w:rsidR="0038680B">
        <w:rPr>
          <w:rFonts w:cs="Times New Roman"/>
          <w:szCs w:val="24"/>
        </w:rPr>
        <w:t xml:space="preserve">there was no such </w:t>
      </w:r>
      <w:r>
        <w:rPr>
          <w:rFonts w:cs="Times New Roman"/>
          <w:szCs w:val="24"/>
        </w:rPr>
        <w:t xml:space="preserve">damage </w:t>
      </w:r>
      <w:r w:rsidR="0038680B">
        <w:rPr>
          <w:rFonts w:cs="Times New Roman"/>
          <w:szCs w:val="24"/>
        </w:rPr>
        <w:t>until</w:t>
      </w:r>
      <w:r>
        <w:rPr>
          <w:rFonts w:cs="Times New Roman"/>
          <w:szCs w:val="24"/>
        </w:rPr>
        <w:t xml:space="preserve"> </w:t>
      </w:r>
      <w:r w:rsidR="0038680B">
        <w:rPr>
          <w:rFonts w:cs="Times New Roman"/>
          <w:szCs w:val="24"/>
        </w:rPr>
        <w:t>the sale of the Property was lost in October 2008.</w:t>
      </w:r>
    </w:p>
    <w:p w14:paraId="46CB8E5B" w14:textId="77777777" w:rsidR="0038680B" w:rsidRDefault="0038680B" w:rsidP="0038680B">
      <w:pPr>
        <w:pStyle w:val="ListParagraph"/>
        <w:spacing w:line="480" w:lineRule="auto"/>
        <w:rPr>
          <w:rFonts w:cs="Times New Roman"/>
          <w:szCs w:val="24"/>
        </w:rPr>
      </w:pPr>
    </w:p>
    <w:p w14:paraId="0A211872" w14:textId="77777777" w:rsidR="00E5627B" w:rsidRDefault="0038680B" w:rsidP="00E5627B">
      <w:pPr>
        <w:pStyle w:val="ListParagraph"/>
        <w:numPr>
          <w:ilvl w:val="0"/>
          <w:numId w:val="1"/>
        </w:numPr>
        <w:spacing w:line="480" w:lineRule="auto"/>
        <w:ind w:hanging="720"/>
        <w:rPr>
          <w:rFonts w:cs="Times New Roman"/>
          <w:szCs w:val="24"/>
        </w:rPr>
      </w:pPr>
      <w:r>
        <w:rPr>
          <w:rFonts w:cs="Times New Roman"/>
          <w:szCs w:val="24"/>
        </w:rPr>
        <w:lastRenderedPageBreak/>
        <w:t>In either scenario, there is no difference between the occurrence of the damage and its manifestation.</w:t>
      </w:r>
      <w:r w:rsidR="00C16283">
        <w:rPr>
          <w:rFonts w:cs="Times New Roman"/>
          <w:szCs w:val="24"/>
        </w:rPr>
        <w:t xml:space="preserve"> As is clear from </w:t>
      </w:r>
      <w:r w:rsidR="00C16283" w:rsidRPr="00C16283">
        <w:rPr>
          <w:rFonts w:cs="Times New Roman"/>
          <w:i/>
          <w:szCs w:val="24"/>
        </w:rPr>
        <w:t>Brandley</w:t>
      </w:r>
      <w:r w:rsidR="00C16283">
        <w:rPr>
          <w:rFonts w:cs="Times New Roman"/>
          <w:szCs w:val="24"/>
        </w:rPr>
        <w:t>, damage is</w:t>
      </w:r>
      <w:r w:rsidR="00E42246">
        <w:rPr>
          <w:rFonts w:cs="Times New Roman"/>
          <w:szCs w:val="24"/>
        </w:rPr>
        <w:t xml:space="preserve"> “</w:t>
      </w:r>
      <w:r w:rsidR="00C16283" w:rsidRPr="000D2671">
        <w:rPr>
          <w:rFonts w:cs="Times New Roman"/>
          <w:i/>
          <w:szCs w:val="24"/>
        </w:rPr>
        <w:t>manifest</w:t>
      </w:r>
      <w:r w:rsidR="000D2671">
        <w:rPr>
          <w:rFonts w:cs="Times New Roman"/>
          <w:szCs w:val="24"/>
        </w:rPr>
        <w:t>”</w:t>
      </w:r>
      <w:r w:rsidR="00C16283">
        <w:rPr>
          <w:rFonts w:cs="Times New Roman"/>
          <w:szCs w:val="24"/>
        </w:rPr>
        <w:t xml:space="preserve"> once it is “</w:t>
      </w:r>
      <w:r w:rsidR="00C16283" w:rsidRPr="000D2FCB">
        <w:rPr>
          <w:rFonts w:cs="Times New Roman"/>
          <w:i/>
          <w:szCs w:val="24"/>
          <w:u w:val="single"/>
        </w:rPr>
        <w:t>capable</w:t>
      </w:r>
      <w:r w:rsidR="00C16283">
        <w:rPr>
          <w:rFonts w:cs="Times New Roman"/>
          <w:i/>
          <w:szCs w:val="24"/>
        </w:rPr>
        <w:t xml:space="preserve"> of being discovered and </w:t>
      </w:r>
      <w:r w:rsidR="00C16283" w:rsidRPr="000D2FCB">
        <w:rPr>
          <w:rFonts w:cs="Times New Roman"/>
          <w:i/>
          <w:szCs w:val="24"/>
          <w:u w:val="single"/>
        </w:rPr>
        <w:t>capable</w:t>
      </w:r>
      <w:r w:rsidR="00C16283">
        <w:rPr>
          <w:rFonts w:cs="Times New Roman"/>
          <w:i/>
          <w:szCs w:val="24"/>
        </w:rPr>
        <w:t xml:space="preserve"> of being proved by the plaintiff”</w:t>
      </w:r>
      <w:r w:rsidR="000D2FCB">
        <w:rPr>
          <w:rFonts w:cs="Times New Roman"/>
          <w:i/>
          <w:szCs w:val="24"/>
        </w:rPr>
        <w:t xml:space="preserve"> </w:t>
      </w:r>
      <w:r w:rsidR="000D2FCB">
        <w:rPr>
          <w:rFonts w:cs="Times New Roman"/>
          <w:szCs w:val="24"/>
        </w:rPr>
        <w:t xml:space="preserve">(my emphasis). </w:t>
      </w:r>
      <w:r w:rsidR="00C16283">
        <w:rPr>
          <w:rFonts w:cs="Times New Roman"/>
          <w:szCs w:val="24"/>
        </w:rPr>
        <w:t xml:space="preserve">Here, the failure to obtain marketable title – specifically the fact that the Property had not been constructed in accordance with the Planning Permission – would have been apparent </w:t>
      </w:r>
      <w:r w:rsidR="00232953">
        <w:rPr>
          <w:rFonts w:cs="Times New Roman"/>
          <w:szCs w:val="24"/>
        </w:rPr>
        <w:t>upon</w:t>
      </w:r>
      <w:r w:rsidR="00C16283">
        <w:rPr>
          <w:rFonts w:cs="Times New Roman"/>
          <w:szCs w:val="24"/>
        </w:rPr>
        <w:t xml:space="preserve"> </w:t>
      </w:r>
      <w:r w:rsidR="00232953">
        <w:rPr>
          <w:rFonts w:cs="Times New Roman"/>
          <w:szCs w:val="24"/>
        </w:rPr>
        <w:t xml:space="preserve">appropriate </w:t>
      </w:r>
      <w:r w:rsidR="00C16283">
        <w:rPr>
          <w:rFonts w:cs="Times New Roman"/>
          <w:szCs w:val="24"/>
        </w:rPr>
        <w:t xml:space="preserve">inspection of the </w:t>
      </w:r>
      <w:r w:rsidR="00232953">
        <w:rPr>
          <w:rFonts w:cs="Times New Roman"/>
          <w:szCs w:val="24"/>
        </w:rPr>
        <w:t xml:space="preserve">Property and a comparison of the as-built development with the development authorised by the Planning Permission. As the Plaintiff himself says </w:t>
      </w:r>
      <w:r w:rsidR="00232953" w:rsidRPr="00232953">
        <w:rPr>
          <w:rFonts w:cs="Times New Roman"/>
          <w:i/>
          <w:szCs w:val="24"/>
        </w:rPr>
        <w:t>“[h]ad that been done then the defect on title and the fact that the dwelling house was not built in accordance with the terms and conditions of Planning Permission would have been immediately flagged.”</w:t>
      </w:r>
      <w:r w:rsidR="00232953">
        <w:rPr>
          <w:rFonts w:cs="Times New Roman"/>
          <w:szCs w:val="24"/>
        </w:rPr>
        <w:t xml:space="preserve"> </w:t>
      </w:r>
      <w:r w:rsidR="00232953">
        <w:rPr>
          <w:rStyle w:val="FootnoteReference"/>
          <w:rFonts w:cs="Times New Roman"/>
          <w:szCs w:val="24"/>
        </w:rPr>
        <w:footnoteReference w:id="20"/>
      </w:r>
      <w:r w:rsidR="00232953">
        <w:rPr>
          <w:rFonts w:cs="Times New Roman"/>
          <w:szCs w:val="24"/>
        </w:rPr>
        <w:t xml:space="preserve"> It follows that the </w:t>
      </w:r>
      <w:r w:rsidR="00232953" w:rsidRPr="00232953">
        <w:rPr>
          <w:rFonts w:cs="Times New Roman"/>
          <w:i/>
          <w:szCs w:val="24"/>
        </w:rPr>
        <w:t>“defect on title</w:t>
      </w:r>
      <w:r w:rsidR="00232953">
        <w:rPr>
          <w:rFonts w:cs="Times New Roman"/>
          <w:szCs w:val="24"/>
        </w:rPr>
        <w:t xml:space="preserve">” was </w:t>
      </w:r>
      <w:r w:rsidR="00C16283">
        <w:rPr>
          <w:rFonts w:cs="Times New Roman"/>
          <w:szCs w:val="24"/>
        </w:rPr>
        <w:t xml:space="preserve">capable of being discovered </w:t>
      </w:r>
      <w:r w:rsidR="00736ADE">
        <w:rPr>
          <w:rFonts w:cs="Times New Roman"/>
          <w:szCs w:val="24"/>
        </w:rPr>
        <w:t xml:space="preserve">(however unlikely such discovery may have been) </w:t>
      </w:r>
      <w:r w:rsidR="00C16283">
        <w:rPr>
          <w:rFonts w:cs="Times New Roman"/>
          <w:szCs w:val="24"/>
        </w:rPr>
        <w:t>and capable of being proved by the Plaintiff in July 200</w:t>
      </w:r>
      <w:r w:rsidR="00736ADE">
        <w:rPr>
          <w:rFonts w:cs="Times New Roman"/>
          <w:szCs w:val="24"/>
        </w:rPr>
        <w:t>6</w:t>
      </w:r>
      <w:r w:rsidR="00232953">
        <w:rPr>
          <w:rFonts w:cs="Times New Roman"/>
          <w:szCs w:val="24"/>
        </w:rPr>
        <w:t xml:space="preserve"> and insofar as that “</w:t>
      </w:r>
      <w:r w:rsidR="00232953" w:rsidRPr="00232953">
        <w:rPr>
          <w:rFonts w:cs="Times New Roman"/>
          <w:i/>
          <w:szCs w:val="24"/>
        </w:rPr>
        <w:t>defect</w:t>
      </w:r>
      <w:r w:rsidR="00232953">
        <w:rPr>
          <w:rFonts w:cs="Times New Roman"/>
          <w:szCs w:val="24"/>
        </w:rPr>
        <w:t>” constitutes t</w:t>
      </w:r>
      <w:r w:rsidR="000D2FCB">
        <w:rPr>
          <w:rFonts w:cs="Times New Roman"/>
          <w:szCs w:val="24"/>
        </w:rPr>
        <w:t>he</w:t>
      </w:r>
      <w:r w:rsidR="00232953">
        <w:rPr>
          <w:rFonts w:cs="Times New Roman"/>
          <w:szCs w:val="24"/>
        </w:rPr>
        <w:t xml:space="preserve"> </w:t>
      </w:r>
      <w:r w:rsidR="00232953" w:rsidRPr="00232953">
        <w:rPr>
          <w:rFonts w:cs="Times New Roman"/>
          <w:szCs w:val="24"/>
        </w:rPr>
        <w:t>relevant</w:t>
      </w:r>
      <w:r w:rsidR="00232953">
        <w:rPr>
          <w:rFonts w:cs="Times New Roman"/>
          <w:szCs w:val="24"/>
        </w:rPr>
        <w:t xml:space="preserve"> “</w:t>
      </w:r>
      <w:r w:rsidR="00232953" w:rsidRPr="00232953">
        <w:rPr>
          <w:rFonts w:cs="Times New Roman"/>
          <w:i/>
          <w:szCs w:val="24"/>
        </w:rPr>
        <w:t>damage</w:t>
      </w:r>
      <w:r w:rsidR="00232953">
        <w:rPr>
          <w:rFonts w:cs="Times New Roman"/>
          <w:szCs w:val="24"/>
        </w:rPr>
        <w:t xml:space="preserve">”, then such damage was </w:t>
      </w:r>
      <w:r w:rsidR="000D2FCB">
        <w:rPr>
          <w:rFonts w:cs="Times New Roman"/>
          <w:szCs w:val="24"/>
        </w:rPr>
        <w:t>manifest at that time. Equally, if it is the loss of the sale of the Property that constitutes the relevant “</w:t>
      </w:r>
      <w:r w:rsidR="000D2FCB" w:rsidRPr="000D2FCB">
        <w:rPr>
          <w:rFonts w:cs="Times New Roman"/>
          <w:i/>
          <w:szCs w:val="24"/>
        </w:rPr>
        <w:t>damage</w:t>
      </w:r>
      <w:r w:rsidR="000D2FCB">
        <w:rPr>
          <w:rFonts w:cs="Times New Roman"/>
          <w:szCs w:val="24"/>
        </w:rPr>
        <w:t xml:space="preserve">”, it was manifest immediately on its occurrence. </w:t>
      </w:r>
    </w:p>
    <w:p w14:paraId="32B389A8" w14:textId="77777777" w:rsidR="0038680B" w:rsidRPr="00E5627B" w:rsidRDefault="0038680B" w:rsidP="0038680B">
      <w:pPr>
        <w:pStyle w:val="ListParagraph"/>
        <w:spacing w:line="480" w:lineRule="auto"/>
        <w:rPr>
          <w:rFonts w:cs="Times New Roman"/>
          <w:szCs w:val="24"/>
        </w:rPr>
      </w:pPr>
    </w:p>
    <w:p w14:paraId="2CB4CD5F" w14:textId="77777777" w:rsidR="00C16283" w:rsidRDefault="000D2FCB" w:rsidP="00113B3B">
      <w:pPr>
        <w:pStyle w:val="ListParagraph"/>
        <w:numPr>
          <w:ilvl w:val="0"/>
          <w:numId w:val="1"/>
        </w:numPr>
        <w:spacing w:line="480" w:lineRule="auto"/>
        <w:ind w:hanging="720"/>
        <w:rPr>
          <w:rFonts w:cs="Times New Roman"/>
          <w:szCs w:val="24"/>
        </w:rPr>
      </w:pPr>
      <w:r>
        <w:rPr>
          <w:rFonts w:cs="Times New Roman"/>
          <w:szCs w:val="24"/>
        </w:rPr>
        <w:t>Did that “</w:t>
      </w:r>
      <w:r w:rsidRPr="000D2FCB">
        <w:rPr>
          <w:rFonts w:cs="Times New Roman"/>
          <w:i/>
          <w:szCs w:val="24"/>
        </w:rPr>
        <w:t>defect</w:t>
      </w:r>
      <w:r>
        <w:rPr>
          <w:rFonts w:cs="Times New Roman"/>
          <w:i/>
          <w:szCs w:val="24"/>
        </w:rPr>
        <w:t xml:space="preserve"> on title</w:t>
      </w:r>
      <w:r>
        <w:rPr>
          <w:rFonts w:cs="Times New Roman"/>
          <w:szCs w:val="24"/>
        </w:rPr>
        <w:t>” constitute “</w:t>
      </w:r>
      <w:r w:rsidRPr="000D2FCB">
        <w:rPr>
          <w:rFonts w:cs="Times New Roman"/>
          <w:i/>
          <w:szCs w:val="24"/>
        </w:rPr>
        <w:t>damage</w:t>
      </w:r>
      <w:r>
        <w:rPr>
          <w:rFonts w:cs="Times New Roman"/>
          <w:szCs w:val="24"/>
        </w:rPr>
        <w:t xml:space="preserve">” in the sense indicated in the authorities? </w:t>
      </w:r>
      <w:r w:rsidRPr="000D2FCB">
        <w:rPr>
          <w:rFonts w:cs="Times New Roman"/>
          <w:i/>
          <w:szCs w:val="24"/>
        </w:rPr>
        <w:t>Prima facie</w:t>
      </w:r>
      <w:r>
        <w:rPr>
          <w:rFonts w:cs="Times New Roman"/>
          <w:szCs w:val="24"/>
        </w:rPr>
        <w:t xml:space="preserve">, the conclusion might </w:t>
      </w:r>
      <w:r w:rsidR="006C32AD">
        <w:rPr>
          <w:rFonts w:cs="Times New Roman"/>
          <w:szCs w:val="24"/>
        </w:rPr>
        <w:t>seem</w:t>
      </w:r>
      <w:r>
        <w:rPr>
          <w:rFonts w:cs="Times New Roman"/>
          <w:szCs w:val="24"/>
        </w:rPr>
        <w:t xml:space="preserve"> inescapable. The Plaintiff </w:t>
      </w:r>
      <w:r w:rsidR="002D754A">
        <w:rPr>
          <w:rFonts w:cs="Times New Roman"/>
          <w:szCs w:val="24"/>
        </w:rPr>
        <w:t xml:space="preserve">and his wife </w:t>
      </w:r>
      <w:r>
        <w:rPr>
          <w:rFonts w:cs="Times New Roman"/>
          <w:szCs w:val="24"/>
        </w:rPr>
        <w:t xml:space="preserve">had agreed to </w:t>
      </w:r>
      <w:r w:rsidR="001B7786">
        <w:rPr>
          <w:rFonts w:cs="Times New Roman"/>
          <w:szCs w:val="24"/>
        </w:rPr>
        <w:t>purchase</w:t>
      </w:r>
      <w:r>
        <w:rPr>
          <w:rFonts w:cs="Times New Roman"/>
          <w:szCs w:val="24"/>
        </w:rPr>
        <w:t xml:space="preserve"> – and had been led to believe that </w:t>
      </w:r>
      <w:r w:rsidR="00C531F2">
        <w:rPr>
          <w:rFonts w:cs="Times New Roman"/>
          <w:szCs w:val="24"/>
        </w:rPr>
        <w:t>they</w:t>
      </w:r>
      <w:r>
        <w:rPr>
          <w:rFonts w:cs="Times New Roman"/>
          <w:szCs w:val="24"/>
        </w:rPr>
        <w:t xml:space="preserve"> had in fact </w:t>
      </w:r>
      <w:r w:rsidR="00C531F2">
        <w:rPr>
          <w:rFonts w:cs="Times New Roman"/>
          <w:szCs w:val="24"/>
        </w:rPr>
        <w:t>acquired</w:t>
      </w:r>
      <w:r>
        <w:rPr>
          <w:rFonts w:cs="Times New Roman"/>
          <w:szCs w:val="24"/>
        </w:rPr>
        <w:t xml:space="preserve"> - a dwelling </w:t>
      </w:r>
      <w:r w:rsidR="00FB2120">
        <w:rPr>
          <w:rFonts w:cs="Times New Roman"/>
          <w:szCs w:val="24"/>
        </w:rPr>
        <w:t>with good marketable ti</w:t>
      </w:r>
      <w:r w:rsidR="004F7943">
        <w:rPr>
          <w:rFonts w:cs="Times New Roman"/>
          <w:szCs w:val="24"/>
        </w:rPr>
        <w:t xml:space="preserve">tle which </w:t>
      </w:r>
      <w:r>
        <w:rPr>
          <w:rFonts w:cs="Times New Roman"/>
          <w:szCs w:val="24"/>
        </w:rPr>
        <w:t xml:space="preserve">was in substantial compliance with the terms of the Planning Permission. </w:t>
      </w:r>
      <w:r w:rsidR="006C32AD">
        <w:rPr>
          <w:rFonts w:cs="Times New Roman"/>
          <w:szCs w:val="24"/>
        </w:rPr>
        <w:t xml:space="preserve">That is not what </w:t>
      </w:r>
      <w:r w:rsidR="002D754A">
        <w:rPr>
          <w:rFonts w:cs="Times New Roman"/>
          <w:szCs w:val="24"/>
        </w:rPr>
        <w:t>they</w:t>
      </w:r>
      <w:r w:rsidR="006C32AD">
        <w:rPr>
          <w:rFonts w:cs="Times New Roman"/>
          <w:szCs w:val="24"/>
        </w:rPr>
        <w:t xml:space="preserve"> in fact obtained. </w:t>
      </w:r>
      <w:r w:rsidR="001B7786">
        <w:rPr>
          <w:rFonts w:cs="Times New Roman"/>
          <w:szCs w:val="24"/>
        </w:rPr>
        <w:t>Instead (s</w:t>
      </w:r>
      <w:r w:rsidR="00C531F2">
        <w:rPr>
          <w:rFonts w:cs="Times New Roman"/>
          <w:szCs w:val="24"/>
        </w:rPr>
        <w:t>o</w:t>
      </w:r>
      <w:r w:rsidR="001B7786">
        <w:rPr>
          <w:rFonts w:cs="Times New Roman"/>
          <w:szCs w:val="24"/>
        </w:rPr>
        <w:t xml:space="preserve"> </w:t>
      </w:r>
      <w:r w:rsidR="002D754A">
        <w:rPr>
          <w:rFonts w:cs="Times New Roman"/>
          <w:szCs w:val="24"/>
        </w:rPr>
        <w:t>t</w:t>
      </w:r>
      <w:r w:rsidR="001B7786">
        <w:rPr>
          <w:rFonts w:cs="Times New Roman"/>
          <w:szCs w:val="24"/>
        </w:rPr>
        <w:t xml:space="preserve">he </w:t>
      </w:r>
      <w:r w:rsidR="002D754A">
        <w:rPr>
          <w:rFonts w:cs="Times New Roman"/>
          <w:szCs w:val="24"/>
        </w:rPr>
        <w:t>Plaintiff claims in these proceedings</w:t>
      </w:r>
      <w:r w:rsidR="001B7786">
        <w:rPr>
          <w:rFonts w:cs="Times New Roman"/>
          <w:szCs w:val="24"/>
        </w:rPr>
        <w:t xml:space="preserve">) the conditions of the </w:t>
      </w:r>
      <w:r w:rsidR="00A7515C">
        <w:rPr>
          <w:rFonts w:cs="Times New Roman"/>
          <w:szCs w:val="24"/>
        </w:rPr>
        <w:t>Planning</w:t>
      </w:r>
      <w:r w:rsidR="001B7786">
        <w:rPr>
          <w:rFonts w:cs="Times New Roman"/>
          <w:szCs w:val="24"/>
        </w:rPr>
        <w:t xml:space="preserve"> </w:t>
      </w:r>
      <w:r w:rsidR="001B7786">
        <w:rPr>
          <w:rFonts w:cs="Times New Roman"/>
          <w:szCs w:val="24"/>
        </w:rPr>
        <w:lastRenderedPageBreak/>
        <w:t>Permission had not been complied with in multiple respects (see para 16 C) of the Statement of Claim). That had a number of obvious consequences:</w:t>
      </w:r>
    </w:p>
    <w:p w14:paraId="2F377919" w14:textId="77777777" w:rsidR="001B7786" w:rsidRDefault="001B7786" w:rsidP="001B7786">
      <w:pPr>
        <w:pStyle w:val="ListParagraph"/>
        <w:spacing w:line="480" w:lineRule="auto"/>
        <w:rPr>
          <w:rFonts w:cs="Times New Roman"/>
          <w:szCs w:val="24"/>
        </w:rPr>
      </w:pPr>
    </w:p>
    <w:p w14:paraId="7E2D87C6" w14:textId="77777777" w:rsidR="00247613" w:rsidRDefault="00247613" w:rsidP="00247613">
      <w:pPr>
        <w:pStyle w:val="ListParagraph"/>
        <w:numPr>
          <w:ilvl w:val="0"/>
          <w:numId w:val="5"/>
        </w:numPr>
        <w:spacing w:line="480" w:lineRule="auto"/>
        <w:rPr>
          <w:rFonts w:cs="Times New Roman"/>
          <w:szCs w:val="24"/>
        </w:rPr>
      </w:pPr>
      <w:r>
        <w:rPr>
          <w:rFonts w:cs="Times New Roman"/>
          <w:szCs w:val="24"/>
        </w:rPr>
        <w:t xml:space="preserve">The purchase of the Property had </w:t>
      </w:r>
      <w:r w:rsidR="00D01B74">
        <w:rPr>
          <w:rFonts w:cs="Times New Roman"/>
          <w:szCs w:val="24"/>
        </w:rPr>
        <w:t xml:space="preserve">proceeded (and </w:t>
      </w:r>
      <w:r w:rsidR="00146ABC">
        <w:rPr>
          <w:rFonts w:cs="Times New Roman"/>
          <w:szCs w:val="24"/>
        </w:rPr>
        <w:t xml:space="preserve">had </w:t>
      </w:r>
      <w:r>
        <w:rPr>
          <w:rFonts w:cs="Times New Roman"/>
          <w:szCs w:val="24"/>
        </w:rPr>
        <w:t xml:space="preserve">been funded </w:t>
      </w:r>
      <w:r w:rsidR="00146ABC">
        <w:rPr>
          <w:rFonts w:cs="Times New Roman"/>
          <w:szCs w:val="24"/>
        </w:rPr>
        <w:t xml:space="preserve">by Start Mortgages) </w:t>
      </w:r>
      <w:r>
        <w:rPr>
          <w:rFonts w:cs="Times New Roman"/>
          <w:szCs w:val="24"/>
        </w:rPr>
        <w:t>on the basis that the Plaintiff and his wife would obtain good title which was not the case.</w:t>
      </w:r>
    </w:p>
    <w:p w14:paraId="33BEB303" w14:textId="77777777" w:rsidR="00247613" w:rsidRDefault="00247613" w:rsidP="00247613">
      <w:pPr>
        <w:pStyle w:val="ListParagraph"/>
        <w:spacing w:line="480" w:lineRule="auto"/>
        <w:ind w:left="1440"/>
        <w:rPr>
          <w:rFonts w:cs="Times New Roman"/>
          <w:szCs w:val="24"/>
        </w:rPr>
      </w:pPr>
    </w:p>
    <w:p w14:paraId="35E64C23" w14:textId="77777777" w:rsidR="001B7786" w:rsidRDefault="001B7786" w:rsidP="001B7786">
      <w:pPr>
        <w:pStyle w:val="ListParagraph"/>
        <w:numPr>
          <w:ilvl w:val="0"/>
          <w:numId w:val="5"/>
        </w:numPr>
        <w:spacing w:line="480" w:lineRule="auto"/>
        <w:rPr>
          <w:rFonts w:cs="Times New Roman"/>
          <w:szCs w:val="24"/>
        </w:rPr>
      </w:pPr>
      <w:r>
        <w:rPr>
          <w:rFonts w:cs="Times New Roman"/>
          <w:szCs w:val="24"/>
        </w:rPr>
        <w:t>To the extent that the Property did not comply with the Planning Permission</w:t>
      </w:r>
      <w:r w:rsidR="006C32AD">
        <w:rPr>
          <w:rFonts w:cs="Times New Roman"/>
          <w:szCs w:val="24"/>
        </w:rPr>
        <w:t xml:space="preserve">, it was unauthorised development for the purposes of Part VIII of the Planning and Development Act 2000 (as amended) and </w:t>
      </w:r>
      <w:r w:rsidR="004F7943">
        <w:rPr>
          <w:rFonts w:cs="Times New Roman"/>
          <w:szCs w:val="24"/>
        </w:rPr>
        <w:t xml:space="preserve">the Plaintiff and his wife as owners and occupiers of it became </w:t>
      </w:r>
      <w:r w:rsidR="006C32AD">
        <w:rPr>
          <w:rFonts w:cs="Times New Roman"/>
          <w:szCs w:val="24"/>
        </w:rPr>
        <w:t xml:space="preserve">liable to enforcement action </w:t>
      </w:r>
      <w:r w:rsidR="00DF656F">
        <w:rPr>
          <w:rFonts w:cs="Times New Roman"/>
          <w:szCs w:val="24"/>
        </w:rPr>
        <w:t xml:space="preserve">(including, in certain circumstances, criminal prosecution) </w:t>
      </w:r>
      <w:r w:rsidR="006C32AD">
        <w:rPr>
          <w:rFonts w:cs="Times New Roman"/>
          <w:szCs w:val="24"/>
        </w:rPr>
        <w:t>by the Planning Authority.</w:t>
      </w:r>
      <w:r w:rsidR="00DF656F">
        <w:rPr>
          <w:rFonts w:cs="Times New Roman"/>
          <w:szCs w:val="24"/>
        </w:rPr>
        <w:t xml:space="preserve"> </w:t>
      </w:r>
    </w:p>
    <w:p w14:paraId="5F03B095" w14:textId="77777777" w:rsidR="006C32AD" w:rsidRDefault="006C32AD" w:rsidP="006C32AD">
      <w:pPr>
        <w:pStyle w:val="ListParagraph"/>
        <w:spacing w:line="480" w:lineRule="auto"/>
        <w:ind w:left="1440"/>
        <w:rPr>
          <w:rFonts w:cs="Times New Roman"/>
          <w:szCs w:val="24"/>
        </w:rPr>
      </w:pPr>
    </w:p>
    <w:p w14:paraId="2B9A241D" w14:textId="77777777" w:rsidR="002D754A" w:rsidRPr="002D754A" w:rsidRDefault="006C32AD" w:rsidP="002D754A">
      <w:pPr>
        <w:pStyle w:val="ListParagraph"/>
        <w:numPr>
          <w:ilvl w:val="0"/>
          <w:numId w:val="5"/>
        </w:numPr>
        <w:spacing w:line="480" w:lineRule="auto"/>
        <w:rPr>
          <w:rFonts w:cs="Times New Roman"/>
          <w:szCs w:val="24"/>
        </w:rPr>
      </w:pPr>
      <w:r>
        <w:rPr>
          <w:rFonts w:cs="Times New Roman"/>
          <w:szCs w:val="24"/>
        </w:rPr>
        <w:t>Any such action would have significant consequences for the Plaintiff</w:t>
      </w:r>
      <w:r w:rsidR="002D754A">
        <w:rPr>
          <w:rFonts w:cs="Times New Roman"/>
          <w:szCs w:val="24"/>
        </w:rPr>
        <w:t xml:space="preserve"> and his wife.</w:t>
      </w:r>
    </w:p>
    <w:p w14:paraId="53683A29" w14:textId="77777777" w:rsidR="006C32AD" w:rsidRDefault="006C32AD" w:rsidP="006C32AD">
      <w:pPr>
        <w:pStyle w:val="ListParagraph"/>
        <w:spacing w:line="480" w:lineRule="auto"/>
        <w:ind w:left="1440"/>
        <w:rPr>
          <w:rFonts w:cs="Times New Roman"/>
          <w:szCs w:val="24"/>
        </w:rPr>
      </w:pPr>
    </w:p>
    <w:p w14:paraId="608C17A0" w14:textId="77777777" w:rsidR="004F7943" w:rsidRDefault="006C32AD" w:rsidP="004F7943">
      <w:pPr>
        <w:pStyle w:val="ListParagraph"/>
        <w:numPr>
          <w:ilvl w:val="0"/>
          <w:numId w:val="5"/>
        </w:numPr>
        <w:spacing w:line="480" w:lineRule="auto"/>
        <w:rPr>
          <w:rFonts w:cs="Times New Roman"/>
          <w:szCs w:val="24"/>
        </w:rPr>
      </w:pPr>
      <w:r w:rsidRPr="004F7943">
        <w:rPr>
          <w:rFonts w:cs="Times New Roman"/>
          <w:szCs w:val="24"/>
        </w:rPr>
        <w:t>Even in the absence of enforcement action</w:t>
      </w:r>
      <w:r w:rsidR="00DF656F" w:rsidRPr="004F7943">
        <w:rPr>
          <w:rFonts w:cs="Times New Roman"/>
          <w:szCs w:val="24"/>
        </w:rPr>
        <w:t xml:space="preserve"> (which could be taken at any time within 7 years)</w:t>
      </w:r>
      <w:r w:rsidRPr="004F7943">
        <w:rPr>
          <w:rFonts w:cs="Times New Roman"/>
          <w:szCs w:val="24"/>
        </w:rPr>
        <w:t xml:space="preserve">, the Property was unauthorised </w:t>
      </w:r>
      <w:r w:rsidR="00F5566A" w:rsidRPr="004F7943">
        <w:rPr>
          <w:rFonts w:cs="Times New Roman"/>
          <w:szCs w:val="24"/>
        </w:rPr>
        <w:t xml:space="preserve">which clearly impacted adversely </w:t>
      </w:r>
      <w:r w:rsidR="00C531F2">
        <w:rPr>
          <w:rFonts w:cs="Times New Roman"/>
          <w:szCs w:val="24"/>
        </w:rPr>
        <w:t xml:space="preserve">and immediately </w:t>
      </w:r>
      <w:r w:rsidR="00F5566A" w:rsidRPr="004F7943">
        <w:rPr>
          <w:rFonts w:cs="Times New Roman"/>
          <w:szCs w:val="24"/>
        </w:rPr>
        <w:t xml:space="preserve">on its marketability and value. </w:t>
      </w:r>
      <w:r w:rsidR="004F7943" w:rsidRPr="004F7943">
        <w:rPr>
          <w:rFonts w:cs="Times New Roman"/>
          <w:szCs w:val="24"/>
        </w:rPr>
        <w:t xml:space="preserve"> </w:t>
      </w:r>
      <w:r w:rsidR="00736ADE">
        <w:rPr>
          <w:rFonts w:cs="Times New Roman"/>
          <w:szCs w:val="24"/>
        </w:rPr>
        <w:t xml:space="preserve">This is perhaps the key point. The price paid by the Plaintiff and his wife was for a dwelling house that was planning compliant. That is not what they obtained and, on any view, what they obtained was less valuable. </w:t>
      </w:r>
    </w:p>
    <w:p w14:paraId="79734211" w14:textId="77777777" w:rsidR="004F7943" w:rsidRPr="004F7943" w:rsidRDefault="004F7943" w:rsidP="004F7943">
      <w:pPr>
        <w:pStyle w:val="ListParagraph"/>
        <w:spacing w:line="480" w:lineRule="auto"/>
        <w:ind w:left="1440"/>
        <w:rPr>
          <w:rFonts w:cs="Times New Roman"/>
          <w:szCs w:val="24"/>
        </w:rPr>
      </w:pPr>
    </w:p>
    <w:p w14:paraId="55BA8A6C" w14:textId="77777777" w:rsidR="00F5566A" w:rsidRDefault="00F5566A" w:rsidP="001B7786">
      <w:pPr>
        <w:pStyle w:val="ListParagraph"/>
        <w:numPr>
          <w:ilvl w:val="0"/>
          <w:numId w:val="5"/>
        </w:numPr>
        <w:spacing w:line="480" w:lineRule="auto"/>
        <w:rPr>
          <w:rFonts w:cs="Times New Roman"/>
          <w:szCs w:val="24"/>
        </w:rPr>
      </w:pPr>
      <w:r>
        <w:rPr>
          <w:rFonts w:cs="Times New Roman"/>
          <w:szCs w:val="24"/>
        </w:rPr>
        <w:t xml:space="preserve">While it was open to the Plaintiff </w:t>
      </w:r>
      <w:r w:rsidR="002D754A">
        <w:rPr>
          <w:rFonts w:cs="Times New Roman"/>
          <w:szCs w:val="24"/>
        </w:rPr>
        <w:t xml:space="preserve">and his wife </w:t>
      </w:r>
      <w:r>
        <w:rPr>
          <w:rFonts w:cs="Times New Roman"/>
          <w:szCs w:val="24"/>
        </w:rPr>
        <w:t xml:space="preserve">to seek retention permission, </w:t>
      </w:r>
      <w:r>
        <w:rPr>
          <w:rFonts w:cs="Times New Roman"/>
          <w:szCs w:val="24"/>
        </w:rPr>
        <w:lastRenderedPageBreak/>
        <w:t>the preparation of such an application would involve expense, as well as the payment of a statutory fee to Leitrim County Council</w:t>
      </w:r>
      <w:r w:rsidR="005B3F16">
        <w:rPr>
          <w:rFonts w:cs="Times New Roman"/>
          <w:szCs w:val="24"/>
        </w:rPr>
        <w:t xml:space="preserve"> (in the event, of course, these costs seem to have been borne by the Vendors)</w:t>
      </w:r>
      <w:r>
        <w:rPr>
          <w:rFonts w:cs="Times New Roman"/>
          <w:szCs w:val="24"/>
        </w:rPr>
        <w:t xml:space="preserve">. Furthermore, an application for retention might be refused or granted subject to conditions involving further expenditure. (Retention permission was, of course, granted in 2008 but I do not think one can work backwards from that </w:t>
      </w:r>
      <w:r w:rsidR="00736ADE">
        <w:rPr>
          <w:rFonts w:cs="Times New Roman"/>
          <w:szCs w:val="24"/>
        </w:rPr>
        <w:t>decision</w:t>
      </w:r>
      <w:r>
        <w:rPr>
          <w:rFonts w:cs="Times New Roman"/>
          <w:szCs w:val="24"/>
        </w:rPr>
        <w:t xml:space="preserve"> and conclude that it was inevitable</w:t>
      </w:r>
      <w:r w:rsidR="00E42246">
        <w:rPr>
          <w:rFonts w:cs="Times New Roman"/>
          <w:szCs w:val="24"/>
        </w:rPr>
        <w:t xml:space="preserve"> </w:t>
      </w:r>
      <w:r w:rsidR="00736ADE">
        <w:rPr>
          <w:rFonts w:cs="Times New Roman"/>
          <w:szCs w:val="24"/>
        </w:rPr>
        <w:t>that such permission would be granted)</w:t>
      </w:r>
      <w:r w:rsidR="005B3F16">
        <w:rPr>
          <w:rFonts w:cs="Times New Roman"/>
          <w:szCs w:val="24"/>
        </w:rPr>
        <w:t>. If retention permission was sought and refused, it would presumably follow that the Plaintiff and his wife would have to carry such modifications to the Property as were necessary to bring it into compliance with the Planning Permission</w:t>
      </w:r>
      <w:r w:rsidR="004F7943">
        <w:rPr>
          <w:rFonts w:cs="Times New Roman"/>
          <w:szCs w:val="24"/>
        </w:rPr>
        <w:t xml:space="preserve"> (assuming that could be done).</w:t>
      </w:r>
    </w:p>
    <w:p w14:paraId="705D4200" w14:textId="77777777" w:rsidR="000D2FCB" w:rsidRDefault="000D2FCB" w:rsidP="000D2FCB">
      <w:pPr>
        <w:pStyle w:val="ListParagraph"/>
        <w:spacing w:line="480" w:lineRule="auto"/>
        <w:rPr>
          <w:rFonts w:cs="Times New Roman"/>
          <w:szCs w:val="24"/>
        </w:rPr>
      </w:pPr>
    </w:p>
    <w:p w14:paraId="44B9E200" w14:textId="77777777" w:rsidR="004F7943" w:rsidRDefault="002D754A" w:rsidP="00113B3B">
      <w:pPr>
        <w:pStyle w:val="ListParagraph"/>
        <w:numPr>
          <w:ilvl w:val="0"/>
          <w:numId w:val="1"/>
        </w:numPr>
        <w:spacing w:line="480" w:lineRule="auto"/>
        <w:ind w:hanging="720"/>
        <w:rPr>
          <w:rFonts w:cs="Times New Roman"/>
          <w:szCs w:val="24"/>
        </w:rPr>
      </w:pPr>
      <w:r>
        <w:rPr>
          <w:rFonts w:cs="Times New Roman"/>
          <w:szCs w:val="24"/>
        </w:rPr>
        <w:t xml:space="preserve">Having regard to these matters, it </w:t>
      </w:r>
      <w:r w:rsidR="00DF656F">
        <w:rPr>
          <w:rFonts w:cs="Times New Roman"/>
          <w:szCs w:val="24"/>
        </w:rPr>
        <w:t>seem</w:t>
      </w:r>
      <w:r w:rsidR="00736ADE">
        <w:rPr>
          <w:rFonts w:cs="Times New Roman"/>
          <w:szCs w:val="24"/>
        </w:rPr>
        <w:t>s</w:t>
      </w:r>
      <w:r>
        <w:rPr>
          <w:rFonts w:cs="Times New Roman"/>
          <w:szCs w:val="24"/>
        </w:rPr>
        <w:t xml:space="preserve"> difficult to avoid the conclusion that the Plaintiff (and his wife) “</w:t>
      </w:r>
      <w:r w:rsidRPr="002D754A">
        <w:rPr>
          <w:rFonts w:cs="Times New Roman"/>
          <w:i/>
          <w:szCs w:val="24"/>
        </w:rPr>
        <w:t>acquire[d] something different and worth less than they ought to</w:t>
      </w:r>
      <w:r>
        <w:rPr>
          <w:rFonts w:cs="Times New Roman"/>
          <w:szCs w:val="24"/>
        </w:rPr>
        <w:t>” in July 2006 and that, as a result, they suffered “</w:t>
      </w:r>
      <w:r w:rsidRPr="002D754A">
        <w:rPr>
          <w:rFonts w:cs="Times New Roman"/>
          <w:i/>
          <w:szCs w:val="24"/>
        </w:rPr>
        <w:t>real actual damage, which a person would consider commencing proceedings for</w:t>
      </w:r>
      <w:r>
        <w:rPr>
          <w:rFonts w:cs="Times New Roman"/>
          <w:szCs w:val="24"/>
        </w:rPr>
        <w:t xml:space="preserve">.”  </w:t>
      </w:r>
      <w:r w:rsidR="00C86841">
        <w:rPr>
          <w:rFonts w:cs="Times New Roman"/>
          <w:szCs w:val="24"/>
        </w:rPr>
        <w:t>Consider the position if</w:t>
      </w:r>
      <w:r w:rsidR="00DF656F">
        <w:rPr>
          <w:rFonts w:cs="Times New Roman"/>
          <w:szCs w:val="24"/>
        </w:rPr>
        <w:t xml:space="preserve"> the Plaintiff </w:t>
      </w:r>
      <w:r w:rsidR="00C86841">
        <w:rPr>
          <w:rFonts w:cs="Times New Roman"/>
          <w:szCs w:val="24"/>
        </w:rPr>
        <w:t xml:space="preserve">had </w:t>
      </w:r>
      <w:r w:rsidR="00DF656F">
        <w:rPr>
          <w:rFonts w:cs="Times New Roman"/>
          <w:szCs w:val="24"/>
        </w:rPr>
        <w:t>bec</w:t>
      </w:r>
      <w:r w:rsidR="00C86841">
        <w:rPr>
          <w:rFonts w:cs="Times New Roman"/>
          <w:szCs w:val="24"/>
        </w:rPr>
        <w:t>om</w:t>
      </w:r>
      <w:r w:rsidR="00DF656F">
        <w:rPr>
          <w:rFonts w:cs="Times New Roman"/>
          <w:szCs w:val="24"/>
        </w:rPr>
        <w:t>e aware of the planning issues in the</w:t>
      </w:r>
      <w:r w:rsidR="0050041F">
        <w:rPr>
          <w:rFonts w:cs="Times New Roman"/>
          <w:szCs w:val="24"/>
        </w:rPr>
        <w:t xml:space="preserve"> period</w:t>
      </w:r>
      <w:r w:rsidR="00DF656F">
        <w:rPr>
          <w:rFonts w:cs="Times New Roman"/>
          <w:szCs w:val="24"/>
        </w:rPr>
        <w:t xml:space="preserve"> immediate</w:t>
      </w:r>
      <w:r w:rsidR="004F7943">
        <w:rPr>
          <w:rFonts w:cs="Times New Roman"/>
          <w:szCs w:val="24"/>
        </w:rPr>
        <w:t xml:space="preserve">ly </w:t>
      </w:r>
      <w:r w:rsidR="00DF656F">
        <w:rPr>
          <w:rFonts w:cs="Times New Roman"/>
          <w:szCs w:val="24"/>
        </w:rPr>
        <w:t>after the purchase of the Property</w:t>
      </w:r>
      <w:r w:rsidR="005B3F16">
        <w:rPr>
          <w:rFonts w:cs="Times New Roman"/>
          <w:szCs w:val="24"/>
        </w:rPr>
        <w:t xml:space="preserve"> </w:t>
      </w:r>
      <w:r w:rsidR="00DF656F">
        <w:rPr>
          <w:rFonts w:cs="Times New Roman"/>
          <w:szCs w:val="24"/>
        </w:rPr>
        <w:t>and had consulted a solicitor</w:t>
      </w:r>
      <w:r w:rsidR="00C86841" w:rsidRPr="00C86841">
        <w:rPr>
          <w:rFonts w:cs="Times New Roman"/>
          <w:szCs w:val="24"/>
        </w:rPr>
        <w:t xml:space="preserve"> </w:t>
      </w:r>
      <w:r w:rsidR="00C86841">
        <w:rPr>
          <w:rFonts w:cs="Times New Roman"/>
          <w:szCs w:val="24"/>
        </w:rPr>
        <w:t>at that stage. Is it plausible to suggest that such</w:t>
      </w:r>
      <w:r w:rsidR="005B3F16">
        <w:rPr>
          <w:rFonts w:cs="Times New Roman"/>
          <w:szCs w:val="24"/>
        </w:rPr>
        <w:t xml:space="preserve"> a</w:t>
      </w:r>
      <w:r w:rsidR="00C86841">
        <w:rPr>
          <w:rFonts w:cs="Times New Roman"/>
          <w:szCs w:val="24"/>
        </w:rPr>
        <w:t xml:space="preserve"> solicitor </w:t>
      </w:r>
      <w:r w:rsidR="0070485B">
        <w:rPr>
          <w:rFonts w:cs="Times New Roman"/>
          <w:szCs w:val="24"/>
        </w:rPr>
        <w:t>should</w:t>
      </w:r>
      <w:r w:rsidR="00C86841">
        <w:rPr>
          <w:rFonts w:cs="Times New Roman"/>
          <w:szCs w:val="24"/>
        </w:rPr>
        <w:t xml:space="preserve"> have advised him that he and his wife had no claim in negligence against the Solicitors because they had not yet suffered “</w:t>
      </w:r>
      <w:r w:rsidR="00C86841" w:rsidRPr="00C86841">
        <w:rPr>
          <w:rFonts w:cs="Times New Roman"/>
          <w:i/>
          <w:szCs w:val="24"/>
        </w:rPr>
        <w:t>real actual damage</w:t>
      </w:r>
      <w:r w:rsidR="00C86841">
        <w:rPr>
          <w:rFonts w:cs="Times New Roman"/>
          <w:szCs w:val="24"/>
        </w:rPr>
        <w:t>”</w:t>
      </w:r>
      <w:r w:rsidR="00373F22">
        <w:rPr>
          <w:rFonts w:cs="Times New Roman"/>
          <w:szCs w:val="24"/>
        </w:rPr>
        <w:t xml:space="preserve">? </w:t>
      </w:r>
      <w:r w:rsidR="007E01CA">
        <w:rPr>
          <w:rFonts w:cs="Times New Roman"/>
          <w:szCs w:val="24"/>
        </w:rPr>
        <w:t>Or that such damage would arise only if they later sought to sell the Property and the planning issues caused the sale to collapse?</w:t>
      </w:r>
      <w:r w:rsidR="00373F22">
        <w:rPr>
          <w:rFonts w:cs="Times New Roman"/>
          <w:szCs w:val="24"/>
        </w:rPr>
        <w:t xml:space="preserve"> </w:t>
      </w:r>
      <w:r w:rsidR="005C7DF5">
        <w:rPr>
          <w:rFonts w:cs="Times New Roman"/>
          <w:szCs w:val="24"/>
        </w:rPr>
        <w:t xml:space="preserve">Given that </w:t>
      </w:r>
      <w:r w:rsidR="008D3C9A">
        <w:rPr>
          <w:rFonts w:cs="Times New Roman"/>
          <w:szCs w:val="24"/>
        </w:rPr>
        <w:t>the Property</w:t>
      </w:r>
      <w:r w:rsidR="005C7DF5">
        <w:rPr>
          <w:rFonts w:cs="Times New Roman"/>
          <w:szCs w:val="24"/>
        </w:rPr>
        <w:t xml:space="preserve"> was</w:t>
      </w:r>
      <w:r w:rsidR="008D3C9A">
        <w:rPr>
          <w:rFonts w:cs="Times New Roman"/>
          <w:szCs w:val="24"/>
        </w:rPr>
        <w:t xml:space="preserve"> </w:t>
      </w:r>
      <w:r w:rsidR="005C7DF5">
        <w:rPr>
          <w:rFonts w:cs="Times New Roman"/>
          <w:szCs w:val="24"/>
        </w:rPr>
        <w:t xml:space="preserve">necessarily </w:t>
      </w:r>
      <w:r w:rsidR="008D3C9A">
        <w:rPr>
          <w:rFonts w:cs="Times New Roman"/>
          <w:szCs w:val="24"/>
        </w:rPr>
        <w:t>dimin</w:t>
      </w:r>
      <w:r w:rsidR="005C7DF5">
        <w:rPr>
          <w:rFonts w:cs="Times New Roman"/>
          <w:szCs w:val="24"/>
        </w:rPr>
        <w:t>ished in</w:t>
      </w:r>
      <w:r w:rsidR="008D3C9A">
        <w:rPr>
          <w:rFonts w:cs="Times New Roman"/>
          <w:szCs w:val="24"/>
        </w:rPr>
        <w:t xml:space="preserve"> value </w:t>
      </w:r>
      <w:r w:rsidR="005C7DF5">
        <w:rPr>
          <w:rFonts w:cs="Times New Roman"/>
          <w:szCs w:val="24"/>
        </w:rPr>
        <w:t>because of the title defect</w:t>
      </w:r>
      <w:r w:rsidR="00EF4633">
        <w:rPr>
          <w:rFonts w:cs="Times New Roman"/>
          <w:szCs w:val="24"/>
        </w:rPr>
        <w:t xml:space="preserve"> – </w:t>
      </w:r>
      <w:r w:rsidR="007A0DDF">
        <w:rPr>
          <w:rFonts w:cs="Times New Roman"/>
          <w:szCs w:val="24"/>
        </w:rPr>
        <w:t>even if not wholly</w:t>
      </w:r>
      <w:r w:rsidR="00EF4633">
        <w:rPr>
          <w:rFonts w:cs="Times New Roman"/>
          <w:szCs w:val="24"/>
        </w:rPr>
        <w:t xml:space="preserve"> unmarketable</w:t>
      </w:r>
      <w:r w:rsidR="007A0DDF">
        <w:rPr>
          <w:rFonts w:cs="Times New Roman"/>
          <w:szCs w:val="24"/>
        </w:rPr>
        <w:t>, its marketability was clearly significantly impaired</w:t>
      </w:r>
      <w:r w:rsidR="00EF4633">
        <w:rPr>
          <w:rFonts w:cs="Times New Roman"/>
          <w:szCs w:val="24"/>
        </w:rPr>
        <w:t xml:space="preserve"> - </w:t>
      </w:r>
      <w:r w:rsidR="005C7DF5">
        <w:rPr>
          <w:rFonts w:cs="Times New Roman"/>
          <w:szCs w:val="24"/>
        </w:rPr>
        <w:t xml:space="preserve"> and </w:t>
      </w:r>
      <w:r w:rsidR="005C7DF5">
        <w:rPr>
          <w:rFonts w:cs="Times New Roman"/>
          <w:szCs w:val="24"/>
        </w:rPr>
        <w:lastRenderedPageBreak/>
        <w:t xml:space="preserve">where remedying the defect (assuming that it </w:t>
      </w:r>
      <w:r w:rsidR="007A0DDF">
        <w:rPr>
          <w:rFonts w:cs="Times New Roman"/>
          <w:szCs w:val="24"/>
        </w:rPr>
        <w:t>co</w:t>
      </w:r>
      <w:r w:rsidR="005C7DF5">
        <w:rPr>
          <w:rFonts w:cs="Times New Roman"/>
          <w:szCs w:val="24"/>
        </w:rPr>
        <w:t xml:space="preserve">uld be remedied) would necessarily involve expense (even if that was not </w:t>
      </w:r>
      <w:r w:rsidR="00BE2D71">
        <w:rPr>
          <w:rFonts w:cs="Times New Roman"/>
          <w:szCs w:val="24"/>
        </w:rPr>
        <w:t xml:space="preserve">fully </w:t>
      </w:r>
      <w:r w:rsidR="005C7DF5">
        <w:rPr>
          <w:rFonts w:cs="Times New Roman"/>
          <w:szCs w:val="24"/>
        </w:rPr>
        <w:t xml:space="preserve">quantifiable at that stage), any such </w:t>
      </w:r>
      <w:r w:rsidR="004F7943">
        <w:rPr>
          <w:rFonts w:cs="Times New Roman"/>
          <w:szCs w:val="24"/>
        </w:rPr>
        <w:t xml:space="preserve">suggestion would appear to fly in the </w:t>
      </w:r>
      <w:r w:rsidR="005C7DF5">
        <w:rPr>
          <w:rFonts w:cs="Times New Roman"/>
          <w:szCs w:val="24"/>
        </w:rPr>
        <w:t>teeth</w:t>
      </w:r>
      <w:r w:rsidR="004F7943">
        <w:rPr>
          <w:rFonts w:cs="Times New Roman"/>
          <w:szCs w:val="24"/>
        </w:rPr>
        <w:t xml:space="preserve"> of the clear injunction in </w:t>
      </w:r>
      <w:r w:rsidR="004F7943" w:rsidRPr="004F7943">
        <w:rPr>
          <w:rFonts w:cs="Times New Roman"/>
          <w:i/>
          <w:szCs w:val="24"/>
        </w:rPr>
        <w:t>Cantrell</w:t>
      </w:r>
      <w:r w:rsidR="004F7943">
        <w:rPr>
          <w:rFonts w:cs="Times New Roman"/>
          <w:i/>
          <w:szCs w:val="24"/>
        </w:rPr>
        <w:t xml:space="preserve"> </w:t>
      </w:r>
      <w:r w:rsidR="004F7943">
        <w:rPr>
          <w:rFonts w:cs="Times New Roman"/>
          <w:szCs w:val="24"/>
        </w:rPr>
        <w:t>to adopt a pragmatic and common-sense approach to what constitutes “</w:t>
      </w:r>
      <w:r w:rsidR="004F7943" w:rsidRPr="004F7943">
        <w:rPr>
          <w:rFonts w:cs="Times New Roman"/>
          <w:i/>
          <w:szCs w:val="24"/>
        </w:rPr>
        <w:t>damage</w:t>
      </w:r>
      <w:r w:rsidR="004F7943">
        <w:rPr>
          <w:rFonts w:cs="Times New Roman"/>
          <w:szCs w:val="24"/>
        </w:rPr>
        <w:t>” in this context.</w:t>
      </w:r>
      <w:r w:rsidR="008D3C9A">
        <w:rPr>
          <w:rFonts w:cs="Times New Roman"/>
          <w:szCs w:val="24"/>
        </w:rPr>
        <w:t xml:space="preserve"> </w:t>
      </w:r>
    </w:p>
    <w:p w14:paraId="2A1FF856" w14:textId="77777777" w:rsidR="00736ADE" w:rsidRDefault="00736ADE" w:rsidP="00736ADE">
      <w:pPr>
        <w:pStyle w:val="ListParagraph"/>
        <w:spacing w:line="480" w:lineRule="auto"/>
        <w:rPr>
          <w:rFonts w:cs="Times New Roman"/>
          <w:szCs w:val="24"/>
        </w:rPr>
      </w:pPr>
    </w:p>
    <w:p w14:paraId="2786C905" w14:textId="77777777" w:rsidR="00736ADE" w:rsidRPr="00634897" w:rsidRDefault="00736ADE" w:rsidP="00634897">
      <w:pPr>
        <w:pStyle w:val="ListParagraph"/>
        <w:numPr>
          <w:ilvl w:val="0"/>
          <w:numId w:val="1"/>
        </w:numPr>
        <w:spacing w:line="480" w:lineRule="auto"/>
        <w:ind w:hanging="720"/>
        <w:rPr>
          <w:rFonts w:cs="Times New Roman"/>
          <w:szCs w:val="24"/>
        </w:rPr>
      </w:pPr>
      <w:r>
        <w:rPr>
          <w:rFonts w:cs="Times New Roman"/>
          <w:szCs w:val="24"/>
        </w:rPr>
        <w:t xml:space="preserve">In this context, it is important to recall that the law does not require that </w:t>
      </w:r>
      <w:r w:rsidRPr="00736ADE">
        <w:rPr>
          <w:rFonts w:cs="Times New Roman"/>
          <w:i/>
          <w:szCs w:val="24"/>
        </w:rPr>
        <w:t>damages</w:t>
      </w:r>
      <w:r>
        <w:rPr>
          <w:rFonts w:cs="Times New Roman"/>
          <w:szCs w:val="24"/>
        </w:rPr>
        <w:t xml:space="preserve"> be quantified or quantifiable before </w:t>
      </w:r>
      <w:r w:rsidRPr="00736ADE">
        <w:rPr>
          <w:rFonts w:cs="Times New Roman"/>
          <w:i/>
          <w:szCs w:val="24"/>
        </w:rPr>
        <w:t>damage</w:t>
      </w:r>
      <w:r>
        <w:rPr>
          <w:rFonts w:cs="Times New Roman"/>
          <w:szCs w:val="24"/>
        </w:rPr>
        <w:t xml:space="preserve"> </w:t>
      </w:r>
      <w:r w:rsidR="00520F02">
        <w:rPr>
          <w:rFonts w:cs="Times New Roman"/>
          <w:szCs w:val="24"/>
        </w:rPr>
        <w:t>can be said to have been</w:t>
      </w:r>
      <w:r>
        <w:rPr>
          <w:rFonts w:cs="Times New Roman"/>
          <w:szCs w:val="24"/>
        </w:rPr>
        <w:t xml:space="preserve"> suffered such as to complete the tort of negligence. </w:t>
      </w:r>
      <w:r w:rsidR="00634897">
        <w:rPr>
          <w:rFonts w:cs="Times New Roman"/>
          <w:szCs w:val="24"/>
        </w:rPr>
        <w:t>If the Plaintiff had brought a claim in negligence against the Solicitors in the immediate aftermath of the 2006 transaction, and i</w:t>
      </w:r>
      <w:r w:rsidR="00EE13DA">
        <w:rPr>
          <w:rFonts w:cs="Times New Roman"/>
          <w:szCs w:val="24"/>
        </w:rPr>
        <w:t>f</w:t>
      </w:r>
      <w:r w:rsidR="00634897">
        <w:rPr>
          <w:rFonts w:cs="Times New Roman"/>
          <w:szCs w:val="24"/>
        </w:rPr>
        <w:t xml:space="preserve"> he succeeded in establishing negligence on their part, there would no doubt have been significant scope for dispute as to the </w:t>
      </w:r>
      <w:r w:rsidR="00520F02">
        <w:rPr>
          <w:rFonts w:cs="Times New Roman"/>
          <w:szCs w:val="24"/>
        </w:rPr>
        <w:t>correct assessment of damages</w:t>
      </w:r>
      <w:r w:rsidR="00634897">
        <w:rPr>
          <w:rFonts w:cs="Times New Roman"/>
          <w:szCs w:val="24"/>
        </w:rPr>
        <w:t xml:space="preserve">. The decision of the High Court (Clarke J as he then was) in </w:t>
      </w:r>
      <w:r w:rsidR="00634897" w:rsidRPr="00634897">
        <w:rPr>
          <w:rFonts w:cs="Times New Roman"/>
          <w:i/>
          <w:szCs w:val="24"/>
        </w:rPr>
        <w:t>Kelleher v O’ Connor</w:t>
      </w:r>
      <w:r w:rsidR="00634897">
        <w:rPr>
          <w:rFonts w:cs="Times New Roman"/>
          <w:szCs w:val="24"/>
        </w:rPr>
        <w:t xml:space="preserve"> [2010] IEHC 313, [2010] 4 IR 380 illustrates some of the complexities that </w:t>
      </w:r>
      <w:r w:rsidR="00C531F2">
        <w:rPr>
          <w:rFonts w:cs="Times New Roman"/>
          <w:szCs w:val="24"/>
        </w:rPr>
        <w:t>might</w:t>
      </w:r>
      <w:r w:rsidR="00634897">
        <w:rPr>
          <w:rFonts w:cs="Times New Roman"/>
          <w:szCs w:val="24"/>
        </w:rPr>
        <w:t xml:space="preserve"> have arisen. There </w:t>
      </w:r>
      <w:r w:rsidR="00C531F2">
        <w:rPr>
          <w:rFonts w:cs="Times New Roman"/>
          <w:szCs w:val="24"/>
        </w:rPr>
        <w:t>may</w:t>
      </w:r>
      <w:r w:rsidR="00146ABC">
        <w:rPr>
          <w:rFonts w:cs="Times New Roman"/>
          <w:szCs w:val="24"/>
        </w:rPr>
        <w:t xml:space="preserve"> </w:t>
      </w:r>
      <w:r w:rsidR="00634897">
        <w:rPr>
          <w:rFonts w:cs="Times New Roman"/>
          <w:szCs w:val="24"/>
        </w:rPr>
        <w:t xml:space="preserve">have been debate as to whether this was </w:t>
      </w:r>
      <w:r w:rsidR="00634897" w:rsidRPr="00634897">
        <w:rPr>
          <w:rFonts w:cs="Times New Roman"/>
          <w:szCs w:val="24"/>
        </w:rPr>
        <w:t>a “</w:t>
      </w:r>
      <w:r w:rsidR="00634897" w:rsidRPr="00634897">
        <w:rPr>
          <w:rFonts w:cs="Times New Roman"/>
          <w:i/>
          <w:szCs w:val="24"/>
        </w:rPr>
        <w:t>no transaction</w:t>
      </w:r>
      <w:r w:rsidR="00634897" w:rsidRPr="00634897">
        <w:rPr>
          <w:rFonts w:cs="Times New Roman"/>
          <w:szCs w:val="24"/>
        </w:rPr>
        <w:t xml:space="preserve">” or </w:t>
      </w:r>
      <w:r w:rsidR="00634897" w:rsidRPr="00634897">
        <w:rPr>
          <w:rFonts w:cs="Times New Roman"/>
          <w:i/>
          <w:szCs w:val="24"/>
        </w:rPr>
        <w:t>“flawed transaction”</w:t>
      </w:r>
      <w:r w:rsidR="00634897" w:rsidRPr="00634897">
        <w:rPr>
          <w:rFonts w:cs="Times New Roman"/>
          <w:szCs w:val="24"/>
        </w:rPr>
        <w:t xml:space="preserve"> </w:t>
      </w:r>
      <w:r w:rsidR="00634897">
        <w:rPr>
          <w:rFonts w:cs="Times New Roman"/>
          <w:szCs w:val="24"/>
        </w:rPr>
        <w:t>case or one that came within the category of intermediate case referred to by Clarke J</w:t>
      </w:r>
      <w:r w:rsidR="00656E12">
        <w:rPr>
          <w:rFonts w:cs="Times New Roman"/>
          <w:szCs w:val="24"/>
        </w:rPr>
        <w:t xml:space="preserve"> (at para 57)</w:t>
      </w:r>
      <w:r w:rsidR="00634897">
        <w:rPr>
          <w:rFonts w:cs="Times New Roman"/>
          <w:szCs w:val="24"/>
        </w:rPr>
        <w:t xml:space="preserve">. It is likely that there </w:t>
      </w:r>
      <w:r w:rsidR="00DC1E3D">
        <w:rPr>
          <w:rFonts w:cs="Times New Roman"/>
          <w:szCs w:val="24"/>
        </w:rPr>
        <w:t>would</w:t>
      </w:r>
      <w:r w:rsidR="00634897">
        <w:rPr>
          <w:rFonts w:cs="Times New Roman"/>
          <w:szCs w:val="24"/>
        </w:rPr>
        <w:t xml:space="preserve"> have been debate </w:t>
      </w:r>
      <w:r w:rsidR="00DC1E3D">
        <w:rPr>
          <w:rFonts w:cs="Times New Roman"/>
          <w:szCs w:val="24"/>
        </w:rPr>
        <w:t xml:space="preserve">as to whether the measure of damages should be diminution/difference of value or the cost of remedying the planning </w:t>
      </w:r>
      <w:r w:rsidR="00B6244C">
        <w:rPr>
          <w:rFonts w:cs="Times New Roman"/>
          <w:szCs w:val="24"/>
        </w:rPr>
        <w:t xml:space="preserve">issue (which would, in turn, </w:t>
      </w:r>
      <w:r w:rsidR="0070485B">
        <w:rPr>
          <w:rFonts w:cs="Times New Roman"/>
          <w:szCs w:val="24"/>
        </w:rPr>
        <w:t xml:space="preserve">depend </w:t>
      </w:r>
      <w:r w:rsidR="00B6244C">
        <w:rPr>
          <w:rFonts w:cs="Times New Roman"/>
          <w:szCs w:val="24"/>
        </w:rPr>
        <w:t xml:space="preserve"> on whether retention permission could be obtained)</w:t>
      </w:r>
      <w:r w:rsidR="00DC1E3D">
        <w:rPr>
          <w:rFonts w:cs="Times New Roman"/>
          <w:szCs w:val="24"/>
        </w:rPr>
        <w:t xml:space="preserve">. There may also have been debate around the awarding of general damages. But the issue raised by this appeal is not what </w:t>
      </w:r>
      <w:r w:rsidR="00DC1E3D" w:rsidRPr="00DC1E3D">
        <w:rPr>
          <w:rFonts w:cs="Times New Roman"/>
          <w:i/>
          <w:szCs w:val="24"/>
        </w:rPr>
        <w:t>damages</w:t>
      </w:r>
      <w:r w:rsidR="00DC1E3D">
        <w:rPr>
          <w:rFonts w:cs="Times New Roman"/>
          <w:szCs w:val="24"/>
        </w:rPr>
        <w:t xml:space="preserve"> might have been awarded to the Plaintiff in a scenario where he sued the Solicitors in the immediate aftermath of the 2006 transaction but rather whether, at that point, he had suffered </w:t>
      </w:r>
      <w:r w:rsidR="00DC1E3D" w:rsidRPr="00DC1E3D">
        <w:rPr>
          <w:rFonts w:cs="Times New Roman"/>
          <w:i/>
          <w:szCs w:val="24"/>
        </w:rPr>
        <w:t>“real actual damage”</w:t>
      </w:r>
      <w:r w:rsidR="00B6244C">
        <w:rPr>
          <w:rFonts w:cs="Times New Roman"/>
          <w:i/>
          <w:szCs w:val="24"/>
        </w:rPr>
        <w:t xml:space="preserve"> </w:t>
      </w:r>
      <w:r w:rsidR="00B6244C">
        <w:rPr>
          <w:rFonts w:cs="Times New Roman"/>
          <w:szCs w:val="24"/>
        </w:rPr>
        <w:t xml:space="preserve">such as to be in position to properly plead and </w:t>
      </w:r>
      <w:r w:rsidR="00B6244C">
        <w:rPr>
          <w:rFonts w:cs="Times New Roman"/>
          <w:szCs w:val="24"/>
        </w:rPr>
        <w:lastRenderedPageBreak/>
        <w:t>prove a</w:t>
      </w:r>
      <w:r w:rsidR="00520F02">
        <w:rPr>
          <w:rFonts w:cs="Times New Roman"/>
          <w:szCs w:val="24"/>
        </w:rPr>
        <w:t xml:space="preserve"> claim </w:t>
      </w:r>
      <w:r w:rsidR="00B6244C">
        <w:rPr>
          <w:rFonts w:cs="Times New Roman"/>
          <w:szCs w:val="24"/>
        </w:rPr>
        <w:t>in negligence.</w:t>
      </w:r>
    </w:p>
    <w:p w14:paraId="78DA8D1E" w14:textId="77777777" w:rsidR="004F7943" w:rsidRDefault="004F7943" w:rsidP="004F7943">
      <w:pPr>
        <w:pStyle w:val="ListParagraph"/>
        <w:spacing w:line="480" w:lineRule="auto"/>
        <w:rPr>
          <w:rFonts w:cs="Times New Roman"/>
          <w:szCs w:val="24"/>
        </w:rPr>
      </w:pPr>
    </w:p>
    <w:p w14:paraId="7364C2F6" w14:textId="77777777" w:rsidR="00A11FB4" w:rsidRDefault="004F7943" w:rsidP="00A11FB4">
      <w:pPr>
        <w:pStyle w:val="ListParagraph"/>
        <w:numPr>
          <w:ilvl w:val="0"/>
          <w:numId w:val="1"/>
        </w:numPr>
        <w:spacing w:line="480" w:lineRule="auto"/>
        <w:ind w:hanging="720"/>
        <w:rPr>
          <w:rFonts w:cs="Times New Roman"/>
          <w:szCs w:val="24"/>
        </w:rPr>
      </w:pPr>
      <w:r>
        <w:rPr>
          <w:rFonts w:cs="Times New Roman"/>
          <w:szCs w:val="24"/>
        </w:rPr>
        <w:t xml:space="preserve">Before </w:t>
      </w:r>
      <w:r w:rsidR="0070485B">
        <w:rPr>
          <w:rFonts w:cs="Times New Roman"/>
          <w:szCs w:val="24"/>
        </w:rPr>
        <w:t>reaching</w:t>
      </w:r>
      <w:r>
        <w:rPr>
          <w:rFonts w:cs="Times New Roman"/>
          <w:szCs w:val="24"/>
        </w:rPr>
        <w:t xml:space="preserve"> any definitive conclusion, however, the Judge’s analysis warrants further consideration.</w:t>
      </w:r>
      <w:r w:rsidR="00A11FB4">
        <w:rPr>
          <w:rFonts w:cs="Times New Roman"/>
          <w:szCs w:val="24"/>
        </w:rPr>
        <w:t xml:space="preserve"> As already mentioned, that analysis turns to a significant extent on the distinction between “</w:t>
      </w:r>
      <w:r w:rsidR="00A11FB4" w:rsidRPr="00A11FB4">
        <w:rPr>
          <w:rFonts w:cs="Times New Roman"/>
          <w:i/>
          <w:szCs w:val="24"/>
        </w:rPr>
        <w:t>defect</w:t>
      </w:r>
      <w:r w:rsidR="00A11FB4">
        <w:rPr>
          <w:rFonts w:cs="Times New Roman"/>
          <w:szCs w:val="24"/>
        </w:rPr>
        <w:t>” and “</w:t>
      </w:r>
      <w:r w:rsidR="00A11FB4" w:rsidRPr="00A11FB4">
        <w:rPr>
          <w:rFonts w:cs="Times New Roman"/>
          <w:i/>
          <w:szCs w:val="24"/>
        </w:rPr>
        <w:t>damage</w:t>
      </w:r>
      <w:r w:rsidR="00A11FB4">
        <w:rPr>
          <w:rFonts w:cs="Times New Roman"/>
          <w:szCs w:val="24"/>
        </w:rPr>
        <w:t xml:space="preserve">” </w:t>
      </w:r>
      <w:r w:rsidR="00C531F2">
        <w:rPr>
          <w:rFonts w:cs="Times New Roman"/>
          <w:szCs w:val="24"/>
        </w:rPr>
        <w:t>discussed</w:t>
      </w:r>
      <w:r w:rsidR="00A11FB4">
        <w:rPr>
          <w:rFonts w:cs="Times New Roman"/>
          <w:szCs w:val="24"/>
        </w:rPr>
        <w:t xml:space="preserve"> by McKechnie J in his judgment in </w:t>
      </w:r>
      <w:r w:rsidR="00A11FB4" w:rsidRPr="00A11FB4">
        <w:rPr>
          <w:rFonts w:cs="Times New Roman"/>
          <w:i/>
          <w:szCs w:val="24"/>
        </w:rPr>
        <w:t>Brandley</w:t>
      </w:r>
      <w:r w:rsidR="00A11FB4">
        <w:rPr>
          <w:rFonts w:cs="Times New Roman"/>
          <w:szCs w:val="24"/>
        </w:rPr>
        <w:t xml:space="preserve">. </w:t>
      </w:r>
      <w:r w:rsidR="00A11FB4" w:rsidRPr="00A11FB4">
        <w:rPr>
          <w:rFonts w:cs="Times New Roman"/>
          <w:i/>
          <w:szCs w:val="24"/>
        </w:rPr>
        <w:t>Brandley</w:t>
      </w:r>
      <w:r w:rsidR="00A11FB4">
        <w:rPr>
          <w:rFonts w:cs="Times New Roman"/>
          <w:szCs w:val="24"/>
        </w:rPr>
        <w:t xml:space="preserve"> was, of course, an action for property damage arising from latent building defects. However, its discussion of </w:t>
      </w:r>
      <w:r w:rsidR="00131383">
        <w:rPr>
          <w:rFonts w:cs="Times New Roman"/>
          <w:szCs w:val="24"/>
        </w:rPr>
        <w:t xml:space="preserve">the issue of </w:t>
      </w:r>
      <w:r w:rsidR="00A11FB4">
        <w:rPr>
          <w:rFonts w:cs="Times New Roman"/>
          <w:szCs w:val="24"/>
        </w:rPr>
        <w:t>when actions in tort for negligence “</w:t>
      </w:r>
      <w:r w:rsidR="00A11FB4" w:rsidRPr="00A11FB4">
        <w:rPr>
          <w:rFonts w:cs="Times New Roman"/>
          <w:i/>
          <w:szCs w:val="24"/>
        </w:rPr>
        <w:t>accrue</w:t>
      </w:r>
      <w:r w:rsidR="00A11FB4">
        <w:rPr>
          <w:rFonts w:cs="Times New Roman"/>
          <w:szCs w:val="24"/>
        </w:rPr>
        <w:t xml:space="preserve">” for the purposes of section 11(2)(a) is not </w:t>
      </w:r>
      <w:r w:rsidR="005C7DF5">
        <w:rPr>
          <w:rFonts w:cs="Times New Roman"/>
          <w:szCs w:val="24"/>
        </w:rPr>
        <w:t>limited</w:t>
      </w:r>
      <w:r w:rsidR="00A11FB4">
        <w:rPr>
          <w:rFonts w:cs="Times New Roman"/>
          <w:szCs w:val="24"/>
        </w:rPr>
        <w:t xml:space="preserve"> to such actions, As Fennelly J noted in </w:t>
      </w:r>
      <w:r w:rsidR="00A11FB4" w:rsidRPr="008D3C9A">
        <w:rPr>
          <w:rFonts w:cs="Times New Roman"/>
          <w:i/>
          <w:szCs w:val="24"/>
        </w:rPr>
        <w:t>Gallagher</w:t>
      </w:r>
      <w:r w:rsidR="00A11FB4">
        <w:rPr>
          <w:rFonts w:cs="Times New Roman"/>
          <w:szCs w:val="24"/>
        </w:rPr>
        <w:t xml:space="preserve">, </w:t>
      </w:r>
      <w:r w:rsidR="008D3C9A">
        <w:rPr>
          <w:rFonts w:cs="Times New Roman"/>
          <w:szCs w:val="24"/>
        </w:rPr>
        <w:t>“</w:t>
      </w:r>
      <w:r w:rsidR="00A11FB4" w:rsidRPr="008D3C9A">
        <w:rPr>
          <w:rFonts w:cs="Times New Roman"/>
          <w:i/>
          <w:szCs w:val="24"/>
        </w:rPr>
        <w:t xml:space="preserve">the principle </w:t>
      </w:r>
      <w:r w:rsidR="008D3C9A">
        <w:rPr>
          <w:rFonts w:cs="Times New Roman"/>
          <w:i/>
          <w:szCs w:val="24"/>
        </w:rPr>
        <w:t xml:space="preserve">must be </w:t>
      </w:r>
      <w:r w:rsidR="00A11FB4" w:rsidRPr="008D3C9A">
        <w:rPr>
          <w:rFonts w:cs="Times New Roman"/>
          <w:i/>
          <w:szCs w:val="24"/>
        </w:rPr>
        <w:t xml:space="preserve"> the same whether the damage takes the form of personal injury, damage to physical property or financial loss</w:t>
      </w:r>
      <w:r w:rsidR="008D3C9A" w:rsidRPr="008D3C9A">
        <w:rPr>
          <w:rFonts w:cs="Times New Roman"/>
          <w:i/>
          <w:szCs w:val="24"/>
        </w:rPr>
        <w:t>”</w:t>
      </w:r>
      <w:r w:rsidR="00584FB0">
        <w:rPr>
          <w:rFonts w:cs="Times New Roman"/>
          <w:i/>
          <w:szCs w:val="24"/>
        </w:rPr>
        <w:t xml:space="preserve"> </w:t>
      </w:r>
      <w:r w:rsidR="00584FB0">
        <w:rPr>
          <w:rFonts w:cs="Times New Roman"/>
          <w:szCs w:val="24"/>
        </w:rPr>
        <w:t>(at para 107)</w:t>
      </w:r>
      <w:r w:rsidR="008D3C9A">
        <w:rPr>
          <w:rFonts w:cs="Times New Roman"/>
          <w:i/>
          <w:szCs w:val="24"/>
        </w:rPr>
        <w:t>.</w:t>
      </w:r>
      <w:r w:rsidR="005C7DF5">
        <w:rPr>
          <w:rFonts w:cs="Times New Roman"/>
          <w:i/>
          <w:szCs w:val="24"/>
        </w:rPr>
        <w:t xml:space="preserve"> </w:t>
      </w:r>
      <w:r w:rsidR="005C7DF5">
        <w:rPr>
          <w:rFonts w:cs="Times New Roman"/>
          <w:szCs w:val="24"/>
        </w:rPr>
        <w:t xml:space="preserve">But </w:t>
      </w:r>
      <w:r w:rsidR="007B02EF">
        <w:rPr>
          <w:rFonts w:cs="Times New Roman"/>
          <w:szCs w:val="24"/>
        </w:rPr>
        <w:t xml:space="preserve">even </w:t>
      </w:r>
      <w:r w:rsidR="005C7DF5">
        <w:rPr>
          <w:rFonts w:cs="Times New Roman"/>
          <w:szCs w:val="24"/>
        </w:rPr>
        <w:t>if the principle is the same, its application is clearly context-</w:t>
      </w:r>
      <w:r w:rsidR="00131383">
        <w:rPr>
          <w:rFonts w:cs="Times New Roman"/>
          <w:szCs w:val="24"/>
        </w:rPr>
        <w:t>sensitive</w:t>
      </w:r>
      <w:r w:rsidR="003A26DE">
        <w:rPr>
          <w:rFonts w:cs="Times New Roman"/>
          <w:szCs w:val="24"/>
        </w:rPr>
        <w:t xml:space="preserve"> and it appears to me that</w:t>
      </w:r>
      <w:r w:rsidR="00E03FDB">
        <w:rPr>
          <w:rFonts w:cs="Times New Roman"/>
          <w:szCs w:val="24"/>
        </w:rPr>
        <w:t>, as is evident from the discussion</w:t>
      </w:r>
      <w:r w:rsidR="003A26DE">
        <w:rPr>
          <w:rFonts w:cs="Times New Roman"/>
          <w:szCs w:val="24"/>
        </w:rPr>
        <w:t xml:space="preserve"> </w:t>
      </w:r>
      <w:r w:rsidR="00E03FDB">
        <w:rPr>
          <w:rFonts w:cs="Times New Roman"/>
          <w:szCs w:val="24"/>
        </w:rPr>
        <w:t xml:space="preserve">in </w:t>
      </w:r>
      <w:r w:rsidR="00E03FDB" w:rsidRPr="00E03FDB">
        <w:rPr>
          <w:rFonts w:cs="Times New Roman"/>
          <w:i/>
          <w:szCs w:val="24"/>
        </w:rPr>
        <w:t>Brandley</w:t>
      </w:r>
      <w:r w:rsidR="00E03FDB">
        <w:rPr>
          <w:rFonts w:cs="Times New Roman"/>
          <w:szCs w:val="24"/>
        </w:rPr>
        <w:t xml:space="preserve"> itself, the </w:t>
      </w:r>
      <w:r w:rsidR="003A26DE" w:rsidRPr="003A26DE">
        <w:rPr>
          <w:rFonts w:cs="Times New Roman"/>
          <w:i/>
          <w:szCs w:val="24"/>
        </w:rPr>
        <w:t>defect</w:t>
      </w:r>
      <w:r w:rsidR="003A26DE">
        <w:rPr>
          <w:rFonts w:cs="Times New Roman"/>
          <w:szCs w:val="24"/>
        </w:rPr>
        <w:t>/</w:t>
      </w:r>
      <w:r w:rsidR="003A26DE" w:rsidRPr="003A26DE">
        <w:rPr>
          <w:rFonts w:cs="Times New Roman"/>
          <w:i/>
          <w:szCs w:val="24"/>
        </w:rPr>
        <w:t>damage</w:t>
      </w:r>
      <w:r w:rsidR="003A26DE">
        <w:rPr>
          <w:rFonts w:cs="Times New Roman"/>
          <w:szCs w:val="24"/>
        </w:rPr>
        <w:t xml:space="preserve"> </w:t>
      </w:r>
      <w:r w:rsidR="00E03FDB">
        <w:rPr>
          <w:rFonts w:cs="Times New Roman"/>
          <w:szCs w:val="24"/>
        </w:rPr>
        <w:t xml:space="preserve">distinction </w:t>
      </w:r>
      <w:r w:rsidR="003A26DE">
        <w:rPr>
          <w:rFonts w:cs="Times New Roman"/>
          <w:szCs w:val="24"/>
        </w:rPr>
        <w:t xml:space="preserve">has </w:t>
      </w:r>
      <w:r w:rsidR="0070485B">
        <w:rPr>
          <w:rFonts w:cs="Times New Roman"/>
          <w:szCs w:val="24"/>
        </w:rPr>
        <w:t>special</w:t>
      </w:r>
      <w:r w:rsidR="00E03FDB">
        <w:rPr>
          <w:rFonts w:cs="Times New Roman"/>
          <w:szCs w:val="24"/>
        </w:rPr>
        <w:t xml:space="preserve"> significance and </w:t>
      </w:r>
      <w:r w:rsidR="003A26DE">
        <w:rPr>
          <w:rFonts w:cs="Times New Roman"/>
          <w:szCs w:val="24"/>
        </w:rPr>
        <w:t xml:space="preserve">meaning in the </w:t>
      </w:r>
      <w:r w:rsidR="00E03FDB">
        <w:rPr>
          <w:rFonts w:cs="Times New Roman"/>
          <w:szCs w:val="24"/>
        </w:rPr>
        <w:t xml:space="preserve">context of defective building claims </w:t>
      </w:r>
    </w:p>
    <w:p w14:paraId="7B985C5D" w14:textId="77777777" w:rsidR="005C7DF5" w:rsidRDefault="005C7DF5" w:rsidP="005C7DF5">
      <w:pPr>
        <w:pStyle w:val="ListParagraph"/>
        <w:spacing w:line="480" w:lineRule="auto"/>
        <w:rPr>
          <w:rFonts w:cs="Times New Roman"/>
          <w:szCs w:val="24"/>
        </w:rPr>
      </w:pPr>
    </w:p>
    <w:p w14:paraId="1F1C4583" w14:textId="77777777" w:rsidR="005C7DF5" w:rsidRDefault="005C7DF5" w:rsidP="00A11FB4">
      <w:pPr>
        <w:pStyle w:val="ListParagraph"/>
        <w:numPr>
          <w:ilvl w:val="0"/>
          <w:numId w:val="1"/>
        </w:numPr>
        <w:spacing w:line="480" w:lineRule="auto"/>
        <w:ind w:hanging="720"/>
        <w:rPr>
          <w:rFonts w:cs="Times New Roman"/>
          <w:szCs w:val="24"/>
        </w:rPr>
      </w:pPr>
      <w:r>
        <w:rPr>
          <w:rFonts w:cs="Times New Roman"/>
          <w:szCs w:val="24"/>
        </w:rPr>
        <w:t xml:space="preserve">As is evident from </w:t>
      </w:r>
      <w:r w:rsidRPr="005C7DF5">
        <w:rPr>
          <w:rFonts w:cs="Times New Roman"/>
          <w:i/>
          <w:szCs w:val="24"/>
        </w:rPr>
        <w:t>Brandley</w:t>
      </w:r>
      <w:r>
        <w:rPr>
          <w:rFonts w:cs="Times New Roman"/>
          <w:szCs w:val="24"/>
        </w:rPr>
        <w:t>, th</w:t>
      </w:r>
      <w:r w:rsidR="00C531F2">
        <w:rPr>
          <w:rFonts w:cs="Times New Roman"/>
          <w:szCs w:val="24"/>
        </w:rPr>
        <w:t>at</w:t>
      </w:r>
      <w:r>
        <w:rPr>
          <w:rFonts w:cs="Times New Roman"/>
          <w:szCs w:val="24"/>
        </w:rPr>
        <w:t xml:space="preserve"> distinction has a long history in</w:t>
      </w:r>
      <w:r w:rsidR="00E03FDB">
        <w:rPr>
          <w:rFonts w:cs="Times New Roman"/>
          <w:szCs w:val="24"/>
        </w:rPr>
        <w:t xml:space="preserve"> that context</w:t>
      </w:r>
      <w:r w:rsidR="007F3787">
        <w:rPr>
          <w:rFonts w:cs="Times New Roman"/>
          <w:szCs w:val="24"/>
        </w:rPr>
        <w:t xml:space="preserve">, dating back at least to the decision of the House of Lords </w:t>
      </w:r>
      <w:r w:rsidR="00131383">
        <w:rPr>
          <w:rFonts w:cs="Times New Roman"/>
          <w:szCs w:val="24"/>
        </w:rPr>
        <w:t xml:space="preserve">in </w:t>
      </w:r>
      <w:r w:rsidR="00131383" w:rsidRPr="00131383">
        <w:rPr>
          <w:rFonts w:cs="Times New Roman"/>
          <w:i/>
          <w:szCs w:val="24"/>
        </w:rPr>
        <w:t>Pirelli v Oscar Faber &amp; Partners</w:t>
      </w:r>
      <w:r w:rsidR="00131383">
        <w:rPr>
          <w:rFonts w:cs="Times New Roman"/>
          <w:szCs w:val="24"/>
        </w:rPr>
        <w:t xml:space="preserve"> [1983] 2 AC 1</w:t>
      </w:r>
      <w:r w:rsidR="00655F36">
        <w:rPr>
          <w:rFonts w:cs="Times New Roman"/>
          <w:szCs w:val="24"/>
        </w:rPr>
        <w:t xml:space="preserve">. </w:t>
      </w:r>
      <w:r w:rsidR="006A5D48">
        <w:rPr>
          <w:rFonts w:cs="Times New Roman"/>
          <w:szCs w:val="24"/>
        </w:rPr>
        <w:t xml:space="preserve">As understood in </w:t>
      </w:r>
      <w:r w:rsidR="006A5D48" w:rsidRPr="006A5D48">
        <w:rPr>
          <w:rFonts w:cs="Times New Roman"/>
          <w:i/>
          <w:szCs w:val="24"/>
        </w:rPr>
        <w:t>Pirelli</w:t>
      </w:r>
      <w:r w:rsidR="006A5D48">
        <w:rPr>
          <w:rFonts w:cs="Times New Roman"/>
          <w:szCs w:val="24"/>
        </w:rPr>
        <w:t xml:space="preserve"> and subsequent decisions (many discussed in </w:t>
      </w:r>
      <w:r w:rsidR="006A5D48" w:rsidRPr="006A5D48">
        <w:rPr>
          <w:rFonts w:cs="Times New Roman"/>
          <w:i/>
          <w:szCs w:val="24"/>
        </w:rPr>
        <w:t>Brandley</w:t>
      </w:r>
      <w:r w:rsidR="006A5D48">
        <w:rPr>
          <w:rFonts w:cs="Times New Roman"/>
          <w:szCs w:val="24"/>
        </w:rPr>
        <w:t>),  a “</w:t>
      </w:r>
      <w:r w:rsidR="006A5D48" w:rsidRPr="006A5D48">
        <w:rPr>
          <w:rFonts w:cs="Times New Roman"/>
          <w:i/>
          <w:szCs w:val="24"/>
        </w:rPr>
        <w:t>defect</w:t>
      </w:r>
      <w:r w:rsidR="006A5D48">
        <w:rPr>
          <w:rFonts w:cs="Times New Roman"/>
          <w:szCs w:val="24"/>
        </w:rPr>
        <w:t>” is some latent condition</w:t>
      </w:r>
      <w:r w:rsidR="007F174A">
        <w:rPr>
          <w:rFonts w:cs="Times New Roman"/>
          <w:szCs w:val="24"/>
        </w:rPr>
        <w:t xml:space="preserve"> in a building</w:t>
      </w:r>
      <w:r w:rsidR="006A5D48">
        <w:rPr>
          <w:rFonts w:cs="Times New Roman"/>
          <w:szCs w:val="24"/>
        </w:rPr>
        <w:t xml:space="preserve">, whether resulting from design, material or method of construction, </w:t>
      </w:r>
      <w:r w:rsidR="007F174A">
        <w:rPr>
          <w:rFonts w:cs="Times New Roman"/>
          <w:szCs w:val="24"/>
        </w:rPr>
        <w:t xml:space="preserve">that may </w:t>
      </w:r>
      <w:r w:rsidR="007F174A" w:rsidRPr="00C531F2">
        <w:rPr>
          <w:rFonts w:cs="Times New Roman"/>
          <w:i/>
          <w:szCs w:val="24"/>
          <w:u w:val="single"/>
        </w:rPr>
        <w:t>or may not</w:t>
      </w:r>
      <w:r w:rsidR="007F174A">
        <w:rPr>
          <w:rFonts w:cs="Times New Roman"/>
          <w:szCs w:val="24"/>
        </w:rPr>
        <w:t xml:space="preserve"> </w:t>
      </w:r>
      <w:r w:rsidR="00DC1E3D">
        <w:rPr>
          <w:rFonts w:cs="Times New Roman"/>
          <w:szCs w:val="24"/>
        </w:rPr>
        <w:t>develop and give rise to</w:t>
      </w:r>
      <w:r w:rsidR="007F174A">
        <w:rPr>
          <w:rFonts w:cs="Times New Roman"/>
          <w:szCs w:val="24"/>
        </w:rPr>
        <w:t xml:space="preserve"> physical damage to the building. In </w:t>
      </w:r>
      <w:r w:rsidR="007F174A" w:rsidRPr="007F174A">
        <w:rPr>
          <w:rFonts w:cs="Times New Roman"/>
          <w:i/>
          <w:szCs w:val="24"/>
        </w:rPr>
        <w:t>Brandley</w:t>
      </w:r>
      <w:r w:rsidR="007F174A">
        <w:rPr>
          <w:rFonts w:cs="Times New Roman"/>
          <w:szCs w:val="24"/>
        </w:rPr>
        <w:t xml:space="preserve">, the defect involved the use of unsuitable materials in the foundation; in </w:t>
      </w:r>
      <w:r w:rsidR="007F174A" w:rsidRPr="007F174A">
        <w:rPr>
          <w:rFonts w:cs="Times New Roman"/>
          <w:i/>
          <w:szCs w:val="24"/>
        </w:rPr>
        <w:t>Pirelli</w:t>
      </w:r>
      <w:r w:rsidR="007F174A">
        <w:rPr>
          <w:rFonts w:cs="Times New Roman"/>
          <w:szCs w:val="24"/>
        </w:rPr>
        <w:t xml:space="preserve">, it was the use of unsuitable materials to line a very </w:t>
      </w:r>
      <w:r w:rsidR="00C531F2">
        <w:rPr>
          <w:rFonts w:cs="Times New Roman"/>
          <w:szCs w:val="24"/>
        </w:rPr>
        <w:t>tall</w:t>
      </w:r>
      <w:r w:rsidR="007F174A">
        <w:rPr>
          <w:rFonts w:cs="Times New Roman"/>
          <w:szCs w:val="24"/>
        </w:rPr>
        <w:t xml:space="preserve"> industrial chimney. In each case, it was held that it was only at the point that physical damage to the structure occurred (in the </w:t>
      </w:r>
      <w:r w:rsidR="007F174A">
        <w:rPr>
          <w:rFonts w:cs="Times New Roman"/>
          <w:szCs w:val="24"/>
        </w:rPr>
        <w:lastRenderedPageBreak/>
        <w:t>form of cracks) that a cause of action in tort for negligence accrued.</w:t>
      </w:r>
      <w:r w:rsidR="00520F02">
        <w:rPr>
          <w:rFonts w:cs="Times New Roman"/>
          <w:szCs w:val="24"/>
        </w:rPr>
        <w:t xml:space="preserve"> </w:t>
      </w:r>
      <w:r w:rsidR="003D7B90">
        <w:rPr>
          <w:rFonts w:cs="Times New Roman"/>
          <w:szCs w:val="24"/>
        </w:rPr>
        <w:t xml:space="preserve">An analogous approach arguably applies in the case of certain personal injury claims (see the judgment of Griffin J in </w:t>
      </w:r>
      <w:r w:rsidR="003D7B90" w:rsidRPr="003D7B90">
        <w:rPr>
          <w:rFonts w:cs="Times New Roman"/>
          <w:i/>
          <w:szCs w:val="24"/>
        </w:rPr>
        <w:t>Hegarty v O’ Loughran</w:t>
      </w:r>
      <w:r w:rsidR="003D7B90">
        <w:rPr>
          <w:rFonts w:cs="Times New Roman"/>
          <w:szCs w:val="24"/>
        </w:rPr>
        <w:t xml:space="preserve">, cited in this context by McKechnie J in </w:t>
      </w:r>
      <w:r w:rsidR="003D7B90" w:rsidRPr="003D7B90">
        <w:rPr>
          <w:rFonts w:cs="Times New Roman"/>
          <w:i/>
          <w:szCs w:val="24"/>
        </w:rPr>
        <w:t>Brandley</w:t>
      </w:r>
      <w:r w:rsidR="003D7B90">
        <w:rPr>
          <w:rFonts w:cs="Times New Roman"/>
          <w:szCs w:val="24"/>
        </w:rPr>
        <w:t>). For instance, exposure to asbestos may cause cellular change (defect) which may or may not progress to mesothelioma or other cancer (injury/damage).</w:t>
      </w:r>
    </w:p>
    <w:p w14:paraId="1AA37175" w14:textId="77777777" w:rsidR="003B7D09" w:rsidRDefault="003B7D09" w:rsidP="003B7D09">
      <w:pPr>
        <w:pStyle w:val="ListParagraph"/>
        <w:spacing w:line="480" w:lineRule="auto"/>
        <w:rPr>
          <w:rFonts w:cs="Times New Roman"/>
          <w:szCs w:val="24"/>
        </w:rPr>
      </w:pPr>
    </w:p>
    <w:p w14:paraId="0B445832" w14:textId="77777777" w:rsidR="003B7D09" w:rsidRDefault="003B7D09" w:rsidP="00A11FB4">
      <w:pPr>
        <w:pStyle w:val="ListParagraph"/>
        <w:numPr>
          <w:ilvl w:val="0"/>
          <w:numId w:val="1"/>
        </w:numPr>
        <w:spacing w:line="480" w:lineRule="auto"/>
        <w:ind w:hanging="720"/>
        <w:rPr>
          <w:rFonts w:cs="Times New Roman"/>
          <w:szCs w:val="24"/>
        </w:rPr>
      </w:pPr>
      <w:r>
        <w:rPr>
          <w:rFonts w:cs="Times New Roman"/>
          <w:szCs w:val="24"/>
        </w:rPr>
        <w:t>While the language of “</w:t>
      </w:r>
      <w:r w:rsidRPr="003B7D09">
        <w:rPr>
          <w:rFonts w:cs="Times New Roman"/>
          <w:i/>
          <w:szCs w:val="24"/>
        </w:rPr>
        <w:t>defect</w:t>
      </w:r>
      <w:r>
        <w:rPr>
          <w:rFonts w:cs="Times New Roman"/>
          <w:szCs w:val="24"/>
        </w:rPr>
        <w:t xml:space="preserve">” </w:t>
      </w:r>
      <w:r w:rsidR="002149B5">
        <w:rPr>
          <w:rFonts w:cs="Times New Roman"/>
          <w:szCs w:val="24"/>
        </w:rPr>
        <w:t>is</w:t>
      </w:r>
      <w:r>
        <w:rPr>
          <w:rFonts w:cs="Times New Roman"/>
          <w:szCs w:val="24"/>
        </w:rPr>
        <w:t xml:space="preserve"> also used here,</w:t>
      </w:r>
      <w:r w:rsidR="003D7B90">
        <w:rPr>
          <w:rFonts w:cs="Times New Roman"/>
          <w:szCs w:val="24"/>
        </w:rPr>
        <w:t xml:space="preserve"> in my view</w:t>
      </w:r>
      <w:r>
        <w:rPr>
          <w:rFonts w:cs="Times New Roman"/>
          <w:szCs w:val="24"/>
        </w:rPr>
        <w:t xml:space="preserve"> there is </w:t>
      </w:r>
      <w:r w:rsidR="002149B5">
        <w:rPr>
          <w:rFonts w:cs="Times New Roman"/>
          <w:szCs w:val="24"/>
        </w:rPr>
        <w:t xml:space="preserve">no meaningful </w:t>
      </w:r>
      <w:r>
        <w:rPr>
          <w:rFonts w:cs="Times New Roman"/>
          <w:szCs w:val="24"/>
        </w:rPr>
        <w:t xml:space="preserve">analogy with the position in </w:t>
      </w:r>
      <w:r w:rsidRPr="003B7D09">
        <w:rPr>
          <w:rFonts w:cs="Times New Roman"/>
          <w:i/>
          <w:szCs w:val="24"/>
        </w:rPr>
        <w:t>Brandley</w:t>
      </w:r>
      <w:r>
        <w:rPr>
          <w:rFonts w:cs="Times New Roman"/>
          <w:szCs w:val="24"/>
        </w:rPr>
        <w:t xml:space="preserve">. The issue is not one of nomenclature or label. The </w:t>
      </w:r>
      <w:r w:rsidRPr="003B7D09">
        <w:rPr>
          <w:rFonts w:cs="Times New Roman"/>
          <w:i/>
          <w:szCs w:val="24"/>
        </w:rPr>
        <w:t>defect</w:t>
      </w:r>
      <w:r>
        <w:rPr>
          <w:rFonts w:cs="Times New Roman"/>
          <w:szCs w:val="24"/>
        </w:rPr>
        <w:t xml:space="preserve"> here – the fact that the Property was not compliant with planning permission and </w:t>
      </w:r>
      <w:r w:rsidR="002149B5">
        <w:rPr>
          <w:rFonts w:cs="Times New Roman"/>
          <w:szCs w:val="24"/>
        </w:rPr>
        <w:t xml:space="preserve">was therefore </w:t>
      </w:r>
      <w:r>
        <w:rPr>
          <w:rFonts w:cs="Times New Roman"/>
          <w:szCs w:val="24"/>
        </w:rPr>
        <w:t xml:space="preserve">an unauthorised development – was an immediate and </w:t>
      </w:r>
      <w:r w:rsidR="00DC1E3D">
        <w:rPr>
          <w:rFonts w:cs="Times New Roman"/>
          <w:szCs w:val="24"/>
        </w:rPr>
        <w:t>significant</w:t>
      </w:r>
      <w:r>
        <w:rPr>
          <w:rFonts w:cs="Times New Roman"/>
          <w:szCs w:val="24"/>
        </w:rPr>
        <w:t xml:space="preserve"> blot on title, with concrete</w:t>
      </w:r>
      <w:r w:rsidR="002149B5">
        <w:rPr>
          <w:rFonts w:cs="Times New Roman"/>
          <w:szCs w:val="24"/>
        </w:rPr>
        <w:t xml:space="preserve"> adverse</w:t>
      </w:r>
      <w:r>
        <w:rPr>
          <w:rFonts w:cs="Times New Roman"/>
          <w:szCs w:val="24"/>
        </w:rPr>
        <w:t xml:space="preserve"> </w:t>
      </w:r>
      <w:r w:rsidR="002149B5">
        <w:rPr>
          <w:rFonts w:cs="Times New Roman"/>
          <w:szCs w:val="24"/>
        </w:rPr>
        <w:t>implications</w:t>
      </w:r>
      <w:r>
        <w:rPr>
          <w:rFonts w:cs="Times New Roman"/>
          <w:szCs w:val="24"/>
        </w:rPr>
        <w:t xml:space="preserve"> for the Plaintiff and his wife.</w:t>
      </w:r>
      <w:r w:rsidR="003D7B90">
        <w:rPr>
          <w:rFonts w:cs="Times New Roman"/>
          <w:szCs w:val="24"/>
        </w:rPr>
        <w:t xml:space="preserve"> It did not develop or progress to something different or more serious. The title defect that came to light in June</w:t>
      </w:r>
      <w:r w:rsidR="00FA2054">
        <w:rPr>
          <w:rFonts w:cs="Times New Roman"/>
          <w:szCs w:val="24"/>
        </w:rPr>
        <w:t xml:space="preserve"> 2008, and that led to the loss of the sale of the Property, was precisely the defect that existed and was capable of discovery in July 2006. </w:t>
      </w:r>
      <w:r w:rsidR="003D7B90">
        <w:rPr>
          <w:rFonts w:cs="Times New Roman"/>
          <w:szCs w:val="24"/>
        </w:rPr>
        <w:t xml:space="preserve"> </w:t>
      </w:r>
      <w:r w:rsidR="002149B5">
        <w:rPr>
          <w:rFonts w:cs="Times New Roman"/>
          <w:szCs w:val="24"/>
        </w:rPr>
        <w:t>I agree with the submission of the Solicitors that the critical questio</w:t>
      </w:r>
      <w:r w:rsidR="00EF4633">
        <w:rPr>
          <w:rFonts w:cs="Times New Roman"/>
          <w:szCs w:val="24"/>
        </w:rPr>
        <w:t xml:space="preserve">n is whether actionable loss was caused to the Plaintiff on completion of the purchase in July 2006. If it was – as appears to me to be the case – then it follows that the defect/damage distinction in </w:t>
      </w:r>
      <w:r w:rsidR="00EF4633" w:rsidRPr="00EF4633">
        <w:rPr>
          <w:rFonts w:cs="Times New Roman"/>
          <w:i/>
          <w:szCs w:val="24"/>
        </w:rPr>
        <w:t>Brandley</w:t>
      </w:r>
      <w:r w:rsidR="00EF4633">
        <w:rPr>
          <w:rFonts w:cs="Times New Roman"/>
          <w:szCs w:val="24"/>
        </w:rPr>
        <w:t xml:space="preserve"> </w:t>
      </w:r>
      <w:r w:rsidR="00FA2054">
        <w:rPr>
          <w:rFonts w:cs="Times New Roman"/>
          <w:szCs w:val="24"/>
        </w:rPr>
        <w:t xml:space="preserve">is of no </w:t>
      </w:r>
      <w:r w:rsidR="00EF4633">
        <w:rPr>
          <w:rFonts w:cs="Times New Roman"/>
          <w:szCs w:val="24"/>
        </w:rPr>
        <w:t>assist</w:t>
      </w:r>
      <w:r w:rsidR="00FA2054">
        <w:rPr>
          <w:rFonts w:cs="Times New Roman"/>
          <w:szCs w:val="24"/>
        </w:rPr>
        <w:t>ance</w:t>
      </w:r>
      <w:r w:rsidR="00584FB0">
        <w:rPr>
          <w:rFonts w:cs="Times New Roman"/>
          <w:szCs w:val="24"/>
        </w:rPr>
        <w:t xml:space="preserve"> to</w:t>
      </w:r>
      <w:r w:rsidR="00EF4633">
        <w:rPr>
          <w:rFonts w:cs="Times New Roman"/>
          <w:szCs w:val="24"/>
        </w:rPr>
        <w:t xml:space="preserve"> the Plaintiff.</w:t>
      </w:r>
    </w:p>
    <w:p w14:paraId="57F81C9A" w14:textId="77777777" w:rsidR="003B7D09" w:rsidRDefault="003B7D09" w:rsidP="003B7D09">
      <w:pPr>
        <w:pStyle w:val="ListParagraph"/>
        <w:spacing w:line="480" w:lineRule="auto"/>
        <w:rPr>
          <w:rFonts w:cs="Times New Roman"/>
          <w:szCs w:val="24"/>
        </w:rPr>
      </w:pPr>
    </w:p>
    <w:p w14:paraId="646E20C0" w14:textId="77777777" w:rsidR="003B7D09" w:rsidRDefault="003B7D09" w:rsidP="00A11FB4">
      <w:pPr>
        <w:pStyle w:val="ListParagraph"/>
        <w:numPr>
          <w:ilvl w:val="0"/>
          <w:numId w:val="1"/>
        </w:numPr>
        <w:spacing w:line="480" w:lineRule="auto"/>
        <w:ind w:hanging="720"/>
        <w:rPr>
          <w:rFonts w:cs="Times New Roman"/>
          <w:szCs w:val="24"/>
        </w:rPr>
      </w:pPr>
      <w:r>
        <w:rPr>
          <w:rFonts w:cs="Times New Roman"/>
          <w:szCs w:val="24"/>
        </w:rPr>
        <w:t xml:space="preserve">The fact that </w:t>
      </w:r>
      <w:r w:rsidR="00EF4633">
        <w:rPr>
          <w:rFonts w:cs="Times New Roman"/>
          <w:szCs w:val="24"/>
        </w:rPr>
        <w:t xml:space="preserve">that defect was capable of remedy – and was in fact remedied – does not point to any different conclusion. If the title defect constituted actionable damage </w:t>
      </w:r>
      <w:r w:rsidR="002452D2">
        <w:rPr>
          <w:rFonts w:cs="Times New Roman"/>
          <w:szCs w:val="24"/>
        </w:rPr>
        <w:t>as of</w:t>
      </w:r>
      <w:r w:rsidR="00EF4633">
        <w:rPr>
          <w:rFonts w:cs="Times New Roman"/>
          <w:szCs w:val="24"/>
        </w:rPr>
        <w:t xml:space="preserve"> completion, its subsequent remedy </w:t>
      </w:r>
      <w:r w:rsidR="00D46793">
        <w:rPr>
          <w:rFonts w:cs="Times New Roman"/>
          <w:szCs w:val="24"/>
        </w:rPr>
        <w:t>c</w:t>
      </w:r>
      <w:r w:rsidR="00EF4633">
        <w:rPr>
          <w:rFonts w:cs="Times New Roman"/>
          <w:szCs w:val="24"/>
        </w:rPr>
        <w:t xml:space="preserve">ould not retrospectively alter </w:t>
      </w:r>
      <w:r w:rsidR="00C531F2">
        <w:rPr>
          <w:rFonts w:cs="Times New Roman"/>
          <w:szCs w:val="24"/>
        </w:rPr>
        <w:t>its</w:t>
      </w:r>
      <w:r w:rsidR="00F93CAC">
        <w:rPr>
          <w:rFonts w:cs="Times New Roman"/>
          <w:szCs w:val="24"/>
        </w:rPr>
        <w:t xml:space="preserve"> character. </w:t>
      </w:r>
      <w:r w:rsidR="002452D2">
        <w:rPr>
          <w:rFonts w:cs="Times New Roman"/>
          <w:szCs w:val="24"/>
        </w:rPr>
        <w:t xml:space="preserve">Had the Plaintiff become aware of the defect at that time and successfully applied for retention, that </w:t>
      </w:r>
      <w:r w:rsidR="00F93CAC">
        <w:rPr>
          <w:rFonts w:cs="Times New Roman"/>
          <w:szCs w:val="24"/>
        </w:rPr>
        <w:t xml:space="preserve">clearly </w:t>
      </w:r>
      <w:r w:rsidR="002452D2">
        <w:rPr>
          <w:rFonts w:cs="Times New Roman"/>
          <w:szCs w:val="24"/>
        </w:rPr>
        <w:t xml:space="preserve">would not have precluded </w:t>
      </w:r>
      <w:r w:rsidR="00F93CAC">
        <w:rPr>
          <w:rFonts w:cs="Times New Roman"/>
          <w:szCs w:val="24"/>
        </w:rPr>
        <w:t xml:space="preserve">him from making </w:t>
      </w:r>
      <w:r w:rsidR="002452D2">
        <w:rPr>
          <w:rFonts w:cs="Times New Roman"/>
          <w:szCs w:val="24"/>
        </w:rPr>
        <w:t xml:space="preserve">a claim to </w:t>
      </w:r>
      <w:r w:rsidR="002452D2">
        <w:rPr>
          <w:rFonts w:cs="Times New Roman"/>
          <w:szCs w:val="24"/>
        </w:rPr>
        <w:lastRenderedPageBreak/>
        <w:t xml:space="preserve">recover the costs involved. The observations of Ryan P in </w:t>
      </w:r>
      <w:r w:rsidR="002452D2" w:rsidRPr="002452D2">
        <w:rPr>
          <w:rFonts w:cs="Times New Roman"/>
          <w:i/>
          <w:szCs w:val="24"/>
        </w:rPr>
        <w:t>Brandley</w:t>
      </w:r>
      <w:r w:rsidR="002452D2">
        <w:rPr>
          <w:rFonts w:cs="Times New Roman"/>
          <w:szCs w:val="24"/>
        </w:rPr>
        <w:t xml:space="preserve"> which the Plaintiff rely on do not, in my view, have the import suggested. The former President was addressing himself to the position in the period </w:t>
      </w:r>
      <w:r w:rsidR="003A33D1">
        <w:rPr>
          <w:rFonts w:cs="Times New Roman"/>
          <w:szCs w:val="24"/>
        </w:rPr>
        <w:t xml:space="preserve">between the installation of the foundations and </w:t>
      </w:r>
      <w:r w:rsidR="002452D2">
        <w:rPr>
          <w:rFonts w:cs="Times New Roman"/>
          <w:szCs w:val="24"/>
        </w:rPr>
        <w:t>the completion of the construction</w:t>
      </w:r>
      <w:r w:rsidR="003A33D1">
        <w:rPr>
          <w:rFonts w:cs="Times New Roman"/>
          <w:szCs w:val="24"/>
        </w:rPr>
        <w:t xml:space="preserve"> and its handover to the plaintiffs. In that period, the defendants could have identified the defects in the foundations and in that event they would have been entitled to remedy them. </w:t>
      </w:r>
      <w:r w:rsidR="00C531F2">
        <w:rPr>
          <w:rFonts w:cs="Times New Roman"/>
          <w:szCs w:val="24"/>
        </w:rPr>
        <w:t xml:space="preserve">In such a scenario, damage would have been averted. </w:t>
      </w:r>
      <w:r w:rsidR="003D14EA">
        <w:rPr>
          <w:rFonts w:cs="Times New Roman"/>
          <w:szCs w:val="24"/>
        </w:rPr>
        <w:t>While the</w:t>
      </w:r>
      <w:r w:rsidR="003A33D1">
        <w:rPr>
          <w:rFonts w:cs="Times New Roman"/>
          <w:szCs w:val="24"/>
        </w:rPr>
        <w:t xml:space="preserve"> former President regarded that as “</w:t>
      </w:r>
      <w:r w:rsidR="003A33D1" w:rsidRPr="003A33D1">
        <w:rPr>
          <w:rFonts w:cs="Times New Roman"/>
          <w:i/>
          <w:szCs w:val="24"/>
        </w:rPr>
        <w:t>an illustration of the absence of loss at that point and the unavailability to the plaintiffs of any right of action there and then</w:t>
      </w:r>
      <w:r w:rsidR="003A33D1">
        <w:rPr>
          <w:rFonts w:cs="Times New Roman"/>
          <w:szCs w:val="24"/>
        </w:rPr>
        <w:t>” (at para 18)</w:t>
      </w:r>
      <w:r w:rsidR="00F93CAC">
        <w:rPr>
          <w:rFonts w:cs="Times New Roman"/>
          <w:szCs w:val="24"/>
        </w:rPr>
        <w:t xml:space="preserve"> the </w:t>
      </w:r>
      <w:r w:rsidR="003D14EA">
        <w:rPr>
          <w:rFonts w:cs="Times New Roman"/>
          <w:szCs w:val="24"/>
        </w:rPr>
        <w:t xml:space="preserve">very </w:t>
      </w:r>
      <w:r w:rsidR="00F93CAC">
        <w:rPr>
          <w:rFonts w:cs="Times New Roman"/>
          <w:szCs w:val="24"/>
        </w:rPr>
        <w:t xml:space="preserve">same point could </w:t>
      </w:r>
      <w:r w:rsidR="003D14EA">
        <w:rPr>
          <w:rFonts w:cs="Times New Roman"/>
          <w:szCs w:val="24"/>
        </w:rPr>
        <w:t xml:space="preserve">in fact </w:t>
      </w:r>
      <w:r w:rsidR="00F93CAC">
        <w:rPr>
          <w:rFonts w:cs="Times New Roman"/>
          <w:szCs w:val="24"/>
        </w:rPr>
        <w:t xml:space="preserve">be made regarding physical damage to the buildings occurring during construction. Any such damage could equally have been identified and remedied before hand-over but that </w:t>
      </w:r>
      <w:r w:rsidR="003D14EA">
        <w:rPr>
          <w:rFonts w:cs="Times New Roman"/>
          <w:szCs w:val="24"/>
        </w:rPr>
        <w:t xml:space="preserve">does not imply </w:t>
      </w:r>
      <w:r w:rsidR="00F93CAC">
        <w:rPr>
          <w:rFonts w:cs="Times New Roman"/>
          <w:szCs w:val="24"/>
        </w:rPr>
        <w:t xml:space="preserve">that, if not identified and remedied, it would </w:t>
      </w:r>
      <w:r w:rsidR="003D14EA">
        <w:rPr>
          <w:rFonts w:cs="Times New Roman"/>
          <w:szCs w:val="24"/>
        </w:rPr>
        <w:t xml:space="preserve">not </w:t>
      </w:r>
      <w:r w:rsidR="004A7B8E">
        <w:rPr>
          <w:rFonts w:cs="Times New Roman"/>
          <w:szCs w:val="24"/>
        </w:rPr>
        <w:t>then</w:t>
      </w:r>
      <w:r w:rsidR="00146ABC">
        <w:rPr>
          <w:rFonts w:cs="Times New Roman"/>
          <w:szCs w:val="24"/>
        </w:rPr>
        <w:t xml:space="preserve"> have</w:t>
      </w:r>
      <w:r w:rsidR="004A7B8E">
        <w:rPr>
          <w:rFonts w:cs="Times New Roman"/>
          <w:szCs w:val="24"/>
        </w:rPr>
        <w:t xml:space="preserve"> </w:t>
      </w:r>
      <w:r w:rsidR="003D14EA">
        <w:rPr>
          <w:rFonts w:cs="Times New Roman"/>
          <w:szCs w:val="24"/>
        </w:rPr>
        <w:t>constitute</w:t>
      </w:r>
      <w:r w:rsidR="00146ABC">
        <w:rPr>
          <w:rFonts w:cs="Times New Roman"/>
          <w:szCs w:val="24"/>
        </w:rPr>
        <w:t>d</w:t>
      </w:r>
      <w:r w:rsidR="003D14EA">
        <w:rPr>
          <w:rFonts w:cs="Times New Roman"/>
          <w:szCs w:val="24"/>
        </w:rPr>
        <w:t xml:space="preserve"> actionable damage. </w:t>
      </w:r>
      <w:r w:rsidR="003A33D1">
        <w:rPr>
          <w:rFonts w:cs="Times New Roman"/>
          <w:szCs w:val="24"/>
        </w:rPr>
        <w:t xml:space="preserve">Here, it may be said, the Vendors could have remedied the planning issues in the period prior to completion and, if they had done so, </w:t>
      </w:r>
      <w:r w:rsidR="00F93CAC">
        <w:rPr>
          <w:rFonts w:cs="Times New Roman"/>
          <w:szCs w:val="24"/>
        </w:rPr>
        <w:t xml:space="preserve">no cause of action would have arisen. But the fact is that </w:t>
      </w:r>
      <w:r w:rsidR="003A33D1">
        <w:rPr>
          <w:rFonts w:cs="Times New Roman"/>
          <w:szCs w:val="24"/>
        </w:rPr>
        <w:t>they did not do so. Th</w:t>
      </w:r>
      <w:r w:rsidR="00F93CAC">
        <w:rPr>
          <w:rFonts w:cs="Times New Roman"/>
          <w:szCs w:val="24"/>
        </w:rPr>
        <w:t>at the</w:t>
      </w:r>
      <w:r w:rsidR="003A33D1">
        <w:rPr>
          <w:rFonts w:cs="Times New Roman"/>
          <w:szCs w:val="24"/>
        </w:rPr>
        <w:t xml:space="preserve">y did so </w:t>
      </w:r>
      <w:r w:rsidR="00F93CAC">
        <w:rPr>
          <w:rFonts w:cs="Times New Roman"/>
          <w:szCs w:val="24"/>
        </w:rPr>
        <w:t>subsequently</w:t>
      </w:r>
      <w:r w:rsidR="003D14EA">
        <w:rPr>
          <w:rFonts w:cs="Times New Roman"/>
          <w:szCs w:val="24"/>
        </w:rPr>
        <w:t xml:space="preserve">, at their expense, does not suggest that the Plaintiff </w:t>
      </w:r>
      <w:r w:rsidR="00D46793">
        <w:rPr>
          <w:rFonts w:cs="Times New Roman"/>
          <w:szCs w:val="24"/>
        </w:rPr>
        <w:t>did</w:t>
      </w:r>
      <w:r w:rsidR="003D14EA">
        <w:rPr>
          <w:rFonts w:cs="Times New Roman"/>
          <w:szCs w:val="24"/>
        </w:rPr>
        <w:t xml:space="preserve"> not suffer damage on completion;</w:t>
      </w:r>
      <w:r w:rsidR="00373F22">
        <w:rPr>
          <w:rFonts w:cs="Times New Roman"/>
          <w:szCs w:val="24"/>
        </w:rPr>
        <w:t xml:space="preserve"> it </w:t>
      </w:r>
      <w:r w:rsidR="00D46793">
        <w:rPr>
          <w:rFonts w:cs="Times New Roman"/>
          <w:szCs w:val="24"/>
        </w:rPr>
        <w:t xml:space="preserve">rather </w:t>
      </w:r>
      <w:r w:rsidR="00D31FFE">
        <w:rPr>
          <w:rFonts w:cs="Times New Roman"/>
          <w:szCs w:val="24"/>
        </w:rPr>
        <w:t>implies</w:t>
      </w:r>
      <w:r w:rsidR="00D46793">
        <w:rPr>
          <w:rFonts w:cs="Times New Roman"/>
          <w:szCs w:val="24"/>
        </w:rPr>
        <w:t xml:space="preserve"> </w:t>
      </w:r>
      <w:r w:rsidR="00373F22">
        <w:rPr>
          <w:rFonts w:cs="Times New Roman"/>
          <w:szCs w:val="24"/>
        </w:rPr>
        <w:t>the opposite</w:t>
      </w:r>
      <w:r w:rsidR="00D31FFE">
        <w:rPr>
          <w:rFonts w:cs="Times New Roman"/>
          <w:szCs w:val="24"/>
        </w:rPr>
        <w:t xml:space="preserve"> – a recognition of that damage and </w:t>
      </w:r>
      <w:r w:rsidR="00B6244C">
        <w:rPr>
          <w:rFonts w:cs="Times New Roman"/>
          <w:szCs w:val="24"/>
        </w:rPr>
        <w:t>of the Vendor’s liability to take</w:t>
      </w:r>
      <w:r w:rsidR="00C531F2">
        <w:rPr>
          <w:rFonts w:cs="Times New Roman"/>
          <w:szCs w:val="24"/>
        </w:rPr>
        <w:t xml:space="preserve"> the necessary</w:t>
      </w:r>
      <w:r w:rsidR="00B6244C">
        <w:rPr>
          <w:rFonts w:cs="Times New Roman"/>
          <w:szCs w:val="24"/>
        </w:rPr>
        <w:t xml:space="preserve"> steps to remedy it.</w:t>
      </w:r>
    </w:p>
    <w:p w14:paraId="6FEB59A9" w14:textId="77777777" w:rsidR="003D14EA" w:rsidRDefault="003D14EA" w:rsidP="003D14EA">
      <w:pPr>
        <w:pStyle w:val="ListParagraph"/>
        <w:spacing w:line="480" w:lineRule="auto"/>
        <w:rPr>
          <w:rFonts w:cs="Times New Roman"/>
          <w:szCs w:val="24"/>
        </w:rPr>
      </w:pPr>
    </w:p>
    <w:p w14:paraId="32DBA886" w14:textId="77777777" w:rsidR="00E7384A" w:rsidRDefault="00373F22" w:rsidP="008348DE">
      <w:pPr>
        <w:pStyle w:val="ListParagraph"/>
        <w:numPr>
          <w:ilvl w:val="0"/>
          <w:numId w:val="1"/>
        </w:numPr>
        <w:spacing w:line="480" w:lineRule="auto"/>
        <w:ind w:hanging="720"/>
        <w:rPr>
          <w:rFonts w:cs="Times New Roman"/>
          <w:szCs w:val="24"/>
        </w:rPr>
      </w:pPr>
      <w:r>
        <w:rPr>
          <w:rFonts w:cs="Times New Roman"/>
          <w:szCs w:val="24"/>
        </w:rPr>
        <w:t>T</w:t>
      </w:r>
      <w:r w:rsidR="003D14EA">
        <w:rPr>
          <w:rFonts w:cs="Times New Roman"/>
          <w:szCs w:val="24"/>
        </w:rPr>
        <w:t xml:space="preserve">he Judge’s </w:t>
      </w:r>
      <w:r>
        <w:rPr>
          <w:rFonts w:cs="Times New Roman"/>
          <w:szCs w:val="24"/>
        </w:rPr>
        <w:t>observation</w:t>
      </w:r>
      <w:r w:rsidR="003D14EA">
        <w:rPr>
          <w:rFonts w:cs="Times New Roman"/>
          <w:szCs w:val="24"/>
        </w:rPr>
        <w:t xml:space="preserve"> that</w:t>
      </w:r>
      <w:r w:rsidR="00523F29">
        <w:rPr>
          <w:rFonts w:cs="Times New Roman"/>
          <w:szCs w:val="24"/>
        </w:rPr>
        <w:t xml:space="preserve"> </w:t>
      </w:r>
      <w:r>
        <w:rPr>
          <w:rFonts w:cs="Times New Roman"/>
          <w:szCs w:val="24"/>
        </w:rPr>
        <w:t>the Plaintiff suffered no loss until 16 October 2008 because “</w:t>
      </w:r>
      <w:r w:rsidRPr="00373F22">
        <w:rPr>
          <w:rFonts w:cs="Times New Roman"/>
          <w:i/>
          <w:szCs w:val="24"/>
        </w:rPr>
        <w:t>it would have been open to the purchaser to complete the sale for the agreed price notwithstanding the defect in the title and thus the plaintiff would have suffered no loss</w:t>
      </w:r>
      <w:r>
        <w:rPr>
          <w:rFonts w:cs="Times New Roman"/>
          <w:i/>
          <w:szCs w:val="24"/>
        </w:rPr>
        <w:t xml:space="preserve">” </w:t>
      </w:r>
      <w:r>
        <w:rPr>
          <w:rFonts w:cs="Times New Roman"/>
          <w:szCs w:val="24"/>
        </w:rPr>
        <w:t xml:space="preserve">also appears to me to be problematic in a number of respects. </w:t>
      </w:r>
      <w:r w:rsidR="00EE0A6F">
        <w:rPr>
          <w:rFonts w:cs="Times New Roman"/>
          <w:szCs w:val="24"/>
        </w:rPr>
        <w:t xml:space="preserve">It is difficult to see </w:t>
      </w:r>
      <w:r w:rsidR="00414B28">
        <w:rPr>
          <w:rFonts w:cs="Times New Roman"/>
          <w:szCs w:val="24"/>
        </w:rPr>
        <w:t>how a transaction entered into in</w:t>
      </w:r>
      <w:r w:rsidR="00492CF6">
        <w:rPr>
          <w:rFonts w:cs="Times New Roman"/>
          <w:szCs w:val="24"/>
        </w:rPr>
        <w:t xml:space="preserve"> </w:t>
      </w:r>
      <w:r w:rsidR="00492CF6" w:rsidRPr="00EE0A6F">
        <w:rPr>
          <w:rFonts w:cs="Times New Roman"/>
          <w:i/>
          <w:szCs w:val="24"/>
        </w:rPr>
        <w:t>May 2008</w:t>
      </w:r>
      <w:r w:rsidR="00414B28">
        <w:rPr>
          <w:rFonts w:cs="Times New Roman"/>
          <w:szCs w:val="24"/>
        </w:rPr>
        <w:t xml:space="preserve"> might be relevant – still </w:t>
      </w:r>
      <w:r w:rsidR="00414B28">
        <w:rPr>
          <w:rFonts w:cs="Times New Roman"/>
          <w:szCs w:val="24"/>
        </w:rPr>
        <w:lastRenderedPageBreak/>
        <w:t xml:space="preserve">less </w:t>
      </w:r>
      <w:r w:rsidR="005D136C">
        <w:rPr>
          <w:rFonts w:cs="Times New Roman"/>
          <w:szCs w:val="24"/>
        </w:rPr>
        <w:t xml:space="preserve">be </w:t>
      </w:r>
      <w:r w:rsidR="00414B28">
        <w:rPr>
          <w:rFonts w:cs="Times New Roman"/>
          <w:szCs w:val="24"/>
        </w:rPr>
        <w:t xml:space="preserve">of decisive importance – to the question of whether the Plaintiff suffered </w:t>
      </w:r>
      <w:r w:rsidR="00414B28" w:rsidRPr="00492CF6">
        <w:rPr>
          <w:rFonts w:cs="Times New Roman"/>
          <w:szCs w:val="24"/>
        </w:rPr>
        <w:t>damage</w:t>
      </w:r>
      <w:r w:rsidR="00414B28">
        <w:rPr>
          <w:rFonts w:cs="Times New Roman"/>
          <w:szCs w:val="24"/>
        </w:rPr>
        <w:t xml:space="preserve"> upon completion of the purchase of the Property in </w:t>
      </w:r>
      <w:r w:rsidR="00414B28" w:rsidRPr="00EE0A6F">
        <w:rPr>
          <w:rFonts w:cs="Times New Roman"/>
          <w:i/>
          <w:szCs w:val="24"/>
        </w:rPr>
        <w:t>July 2006</w:t>
      </w:r>
      <w:r w:rsidR="00414B28">
        <w:rPr>
          <w:rFonts w:cs="Times New Roman"/>
          <w:szCs w:val="24"/>
        </w:rPr>
        <w:t>.</w:t>
      </w:r>
      <w:r w:rsidR="0070485B">
        <w:rPr>
          <w:rFonts w:cs="Times New Roman"/>
          <w:szCs w:val="24"/>
        </w:rPr>
        <w:t xml:space="preserve"> The May 2008 transaction might never have happened or might have happened </w:t>
      </w:r>
      <w:r w:rsidR="0084549F">
        <w:rPr>
          <w:rFonts w:cs="Times New Roman"/>
          <w:szCs w:val="24"/>
        </w:rPr>
        <w:t xml:space="preserve">at a different time. </w:t>
      </w:r>
      <w:r w:rsidR="00414B28">
        <w:rPr>
          <w:rFonts w:cs="Times New Roman"/>
          <w:szCs w:val="24"/>
        </w:rPr>
        <w:t xml:space="preserve"> </w:t>
      </w:r>
      <w:r w:rsidR="0084549F">
        <w:rPr>
          <w:rFonts w:cs="Times New Roman"/>
          <w:szCs w:val="24"/>
        </w:rPr>
        <w:t xml:space="preserve">The Plaintiff and his wife might have remained in the Property for many years. </w:t>
      </w:r>
      <w:r w:rsidR="00EE0A6F">
        <w:rPr>
          <w:rFonts w:cs="Times New Roman"/>
          <w:szCs w:val="24"/>
        </w:rPr>
        <w:t xml:space="preserve">In any event, the Judge’s analysis seems, with respect, </w:t>
      </w:r>
      <w:r w:rsidR="00D46793">
        <w:rPr>
          <w:rFonts w:cs="Times New Roman"/>
          <w:szCs w:val="24"/>
        </w:rPr>
        <w:t>somewhat</w:t>
      </w:r>
      <w:r w:rsidR="00EE0A6F">
        <w:rPr>
          <w:rFonts w:cs="Times New Roman"/>
          <w:szCs w:val="24"/>
        </w:rPr>
        <w:t xml:space="preserve"> artificial. It may indeed be the case that, had the 2008 transaction proceeded, </w:t>
      </w:r>
      <w:r w:rsidR="00E7384A">
        <w:rPr>
          <w:rFonts w:cs="Times New Roman"/>
          <w:szCs w:val="24"/>
        </w:rPr>
        <w:t xml:space="preserve">the Plaintiff could no longer have pursued a negligence claim against the Solicitors. That, </w:t>
      </w:r>
      <w:r w:rsidR="00D46793">
        <w:rPr>
          <w:rFonts w:cs="Times New Roman"/>
          <w:szCs w:val="24"/>
        </w:rPr>
        <w:t>of</w:t>
      </w:r>
      <w:r w:rsidR="00E7384A">
        <w:rPr>
          <w:rFonts w:cs="Times New Roman"/>
          <w:szCs w:val="24"/>
        </w:rPr>
        <w:t xml:space="preserve"> itself, does not indicate that he could not properly have brought such a claim </w:t>
      </w:r>
      <w:r w:rsidR="00D46793">
        <w:rPr>
          <w:rFonts w:cs="Times New Roman"/>
          <w:szCs w:val="24"/>
        </w:rPr>
        <w:t xml:space="preserve">in the period </w:t>
      </w:r>
      <w:r w:rsidR="00E7384A">
        <w:rPr>
          <w:rFonts w:cs="Times New Roman"/>
          <w:szCs w:val="24"/>
        </w:rPr>
        <w:t>prior to th</w:t>
      </w:r>
      <w:r w:rsidR="00D46793">
        <w:rPr>
          <w:rFonts w:cs="Times New Roman"/>
          <w:szCs w:val="24"/>
        </w:rPr>
        <w:t>at</w:t>
      </w:r>
      <w:r w:rsidR="00E7384A">
        <w:rPr>
          <w:rFonts w:cs="Times New Roman"/>
          <w:szCs w:val="24"/>
        </w:rPr>
        <w:t xml:space="preserve"> transaction. More </w:t>
      </w:r>
      <w:r w:rsidR="00D46793">
        <w:rPr>
          <w:rFonts w:cs="Times New Roman"/>
          <w:szCs w:val="24"/>
        </w:rPr>
        <w:t>significantly, per</w:t>
      </w:r>
      <w:r w:rsidR="00D31FFE">
        <w:rPr>
          <w:rFonts w:cs="Times New Roman"/>
          <w:szCs w:val="24"/>
        </w:rPr>
        <w:t>haps</w:t>
      </w:r>
      <w:r w:rsidR="00E7384A">
        <w:rPr>
          <w:rFonts w:cs="Times New Roman"/>
          <w:szCs w:val="24"/>
        </w:rPr>
        <w:t xml:space="preserve">, the reality is that the transaction did </w:t>
      </w:r>
      <w:r w:rsidR="00E7384A" w:rsidRPr="00E7384A">
        <w:rPr>
          <w:rFonts w:cs="Times New Roman"/>
          <w:i/>
          <w:szCs w:val="24"/>
        </w:rPr>
        <w:t>not</w:t>
      </w:r>
      <w:r w:rsidR="00E7384A">
        <w:rPr>
          <w:rFonts w:cs="Times New Roman"/>
          <w:szCs w:val="24"/>
        </w:rPr>
        <w:t xml:space="preserve"> proceed, precisely </w:t>
      </w:r>
      <w:r w:rsidR="00E7384A" w:rsidRPr="00E7384A">
        <w:rPr>
          <w:rFonts w:cs="Times New Roman"/>
          <w:i/>
          <w:szCs w:val="24"/>
        </w:rPr>
        <w:t>because</w:t>
      </w:r>
      <w:r w:rsidR="00E7384A">
        <w:rPr>
          <w:rFonts w:cs="Times New Roman"/>
          <w:szCs w:val="24"/>
        </w:rPr>
        <w:t xml:space="preserve"> the Plaintiff </w:t>
      </w:r>
      <w:r w:rsidR="00EE0A6F">
        <w:rPr>
          <w:rFonts w:cs="Times New Roman"/>
          <w:szCs w:val="24"/>
        </w:rPr>
        <w:t xml:space="preserve">was not in a position to </w:t>
      </w:r>
      <w:r w:rsidR="00E7384A">
        <w:rPr>
          <w:rFonts w:cs="Times New Roman"/>
          <w:szCs w:val="24"/>
        </w:rPr>
        <w:t xml:space="preserve">show good marketable title </w:t>
      </w:r>
      <w:r w:rsidR="00E7384A" w:rsidRPr="00146ABC">
        <w:rPr>
          <w:rFonts w:cs="Times New Roman"/>
          <w:i/>
          <w:szCs w:val="24"/>
        </w:rPr>
        <w:t>because</w:t>
      </w:r>
      <w:r w:rsidR="00E7384A">
        <w:rPr>
          <w:rFonts w:cs="Times New Roman"/>
          <w:szCs w:val="24"/>
        </w:rPr>
        <w:t xml:space="preserve"> he had not received such title in July 2006</w:t>
      </w:r>
      <w:r w:rsidR="00A7515C">
        <w:rPr>
          <w:rFonts w:cs="Times New Roman"/>
          <w:szCs w:val="24"/>
        </w:rPr>
        <w:t>,</w:t>
      </w:r>
      <w:r w:rsidR="00E7384A">
        <w:rPr>
          <w:rFonts w:cs="Times New Roman"/>
          <w:szCs w:val="24"/>
        </w:rPr>
        <w:t xml:space="preserve"> despite </w:t>
      </w:r>
      <w:r w:rsidR="008348DE">
        <w:rPr>
          <w:rFonts w:cs="Times New Roman"/>
          <w:szCs w:val="24"/>
        </w:rPr>
        <w:t>contracting</w:t>
      </w:r>
      <w:r w:rsidR="00E7384A">
        <w:rPr>
          <w:rFonts w:cs="Times New Roman"/>
          <w:szCs w:val="24"/>
        </w:rPr>
        <w:t xml:space="preserve"> for</w:t>
      </w:r>
      <w:r w:rsidR="00D31FFE">
        <w:rPr>
          <w:rFonts w:cs="Times New Roman"/>
          <w:szCs w:val="24"/>
        </w:rPr>
        <w:t xml:space="preserve"> and paying for</w:t>
      </w:r>
      <w:r w:rsidR="00E7384A">
        <w:rPr>
          <w:rFonts w:cs="Times New Roman"/>
          <w:szCs w:val="24"/>
        </w:rPr>
        <w:t xml:space="preserve"> it. On this view, the loss of the sale in 2008</w:t>
      </w:r>
      <w:r w:rsidR="008348DE">
        <w:rPr>
          <w:rFonts w:cs="Times New Roman"/>
          <w:szCs w:val="24"/>
        </w:rPr>
        <w:t xml:space="preserve">, while </w:t>
      </w:r>
      <w:r w:rsidR="00342F71">
        <w:rPr>
          <w:rFonts w:cs="Times New Roman"/>
          <w:szCs w:val="24"/>
        </w:rPr>
        <w:t xml:space="preserve">undoubtedly </w:t>
      </w:r>
      <w:r w:rsidR="008348DE">
        <w:rPr>
          <w:rFonts w:cs="Times New Roman"/>
          <w:szCs w:val="24"/>
        </w:rPr>
        <w:t>aggravating the loss that the Plaintiff</w:t>
      </w:r>
      <w:r w:rsidR="008348DE" w:rsidRPr="008348DE">
        <w:rPr>
          <w:rFonts w:cs="Times New Roman"/>
          <w:szCs w:val="24"/>
        </w:rPr>
        <w:t xml:space="preserve"> suffered </w:t>
      </w:r>
      <w:r w:rsidR="008348DE">
        <w:rPr>
          <w:rFonts w:cs="Times New Roman"/>
          <w:szCs w:val="24"/>
        </w:rPr>
        <w:t xml:space="preserve">as a result of the 2006 transaction, was </w:t>
      </w:r>
      <w:r w:rsidR="00D31FFE">
        <w:rPr>
          <w:rFonts w:cs="Times New Roman"/>
          <w:szCs w:val="24"/>
        </w:rPr>
        <w:t xml:space="preserve">merely a downstream </w:t>
      </w:r>
      <w:r w:rsidR="008348DE">
        <w:rPr>
          <w:rFonts w:cs="Times New Roman"/>
          <w:szCs w:val="24"/>
        </w:rPr>
        <w:t>consequen</w:t>
      </w:r>
      <w:r w:rsidR="00D31FFE">
        <w:rPr>
          <w:rFonts w:cs="Times New Roman"/>
          <w:szCs w:val="24"/>
        </w:rPr>
        <w:t>ce</w:t>
      </w:r>
      <w:r w:rsidR="008348DE">
        <w:rPr>
          <w:rFonts w:cs="Times New Roman"/>
          <w:szCs w:val="24"/>
        </w:rPr>
        <w:t xml:space="preserve"> o</w:t>
      </w:r>
      <w:r w:rsidR="00D31FFE">
        <w:rPr>
          <w:rFonts w:cs="Times New Roman"/>
          <w:szCs w:val="24"/>
        </w:rPr>
        <w:t>f</w:t>
      </w:r>
      <w:r w:rsidR="008348DE">
        <w:rPr>
          <w:rFonts w:cs="Times New Roman"/>
          <w:szCs w:val="24"/>
        </w:rPr>
        <w:t xml:space="preserve"> the damage already </w:t>
      </w:r>
      <w:r w:rsidR="00D31FFE">
        <w:rPr>
          <w:rFonts w:cs="Times New Roman"/>
          <w:szCs w:val="24"/>
        </w:rPr>
        <w:t>done in 2006.</w:t>
      </w:r>
    </w:p>
    <w:p w14:paraId="2FDCE789" w14:textId="77777777" w:rsidR="00D31FFE" w:rsidRDefault="00D31FFE" w:rsidP="00D31FFE">
      <w:pPr>
        <w:pStyle w:val="ListParagraph"/>
        <w:spacing w:line="480" w:lineRule="auto"/>
        <w:rPr>
          <w:rFonts w:cs="Times New Roman"/>
          <w:szCs w:val="24"/>
        </w:rPr>
      </w:pPr>
    </w:p>
    <w:p w14:paraId="48AB37DA" w14:textId="77777777" w:rsidR="00D31FFE" w:rsidRDefault="00D31FFE" w:rsidP="008348DE">
      <w:pPr>
        <w:pStyle w:val="ListParagraph"/>
        <w:numPr>
          <w:ilvl w:val="0"/>
          <w:numId w:val="1"/>
        </w:numPr>
        <w:spacing w:line="480" w:lineRule="auto"/>
        <w:ind w:hanging="720"/>
        <w:rPr>
          <w:rFonts w:cs="Times New Roman"/>
          <w:szCs w:val="24"/>
        </w:rPr>
      </w:pPr>
      <w:r>
        <w:rPr>
          <w:rFonts w:cs="Times New Roman"/>
          <w:szCs w:val="24"/>
        </w:rPr>
        <w:t>I</w:t>
      </w:r>
      <w:r w:rsidR="00B6244C">
        <w:rPr>
          <w:rFonts w:cs="Times New Roman"/>
          <w:szCs w:val="24"/>
        </w:rPr>
        <w:t xml:space="preserve"> therefore respectfully differ from the view taken by the Judge. In my opinion, the Plaintiff (and his wife) suffered damage at the time they purchased the Property and, accordingly, any claim in negligence against the Solicitors accrued at that point. It follows that any claim is statute-barred.</w:t>
      </w:r>
    </w:p>
    <w:p w14:paraId="6B8A922A" w14:textId="77777777" w:rsidR="00B6244C" w:rsidRDefault="00B6244C" w:rsidP="00B6244C">
      <w:pPr>
        <w:pStyle w:val="ListParagraph"/>
        <w:spacing w:line="480" w:lineRule="auto"/>
        <w:rPr>
          <w:rFonts w:cs="Times New Roman"/>
          <w:szCs w:val="24"/>
        </w:rPr>
      </w:pPr>
    </w:p>
    <w:p w14:paraId="3E164BA5" w14:textId="77777777" w:rsidR="00B6244C" w:rsidRPr="00F53EE6" w:rsidRDefault="00B6244C" w:rsidP="008348DE">
      <w:pPr>
        <w:pStyle w:val="ListParagraph"/>
        <w:numPr>
          <w:ilvl w:val="0"/>
          <w:numId w:val="1"/>
        </w:numPr>
        <w:spacing w:line="480" w:lineRule="auto"/>
        <w:ind w:hanging="720"/>
        <w:rPr>
          <w:rFonts w:cs="Times New Roman"/>
          <w:szCs w:val="24"/>
        </w:rPr>
      </w:pPr>
      <w:r>
        <w:rPr>
          <w:rFonts w:cs="Times New Roman"/>
          <w:szCs w:val="24"/>
        </w:rPr>
        <w:t>This conclusion is</w:t>
      </w:r>
      <w:r w:rsidR="00DB2D9B">
        <w:rPr>
          <w:rFonts w:cs="Times New Roman"/>
          <w:szCs w:val="24"/>
        </w:rPr>
        <w:t>, I believe, consistent with authorit</w:t>
      </w:r>
      <w:r w:rsidR="00413E34">
        <w:rPr>
          <w:rFonts w:cs="Times New Roman"/>
          <w:szCs w:val="24"/>
        </w:rPr>
        <w:t>y</w:t>
      </w:r>
      <w:r w:rsidR="00DB2D9B">
        <w:rPr>
          <w:rFonts w:cs="Times New Roman"/>
          <w:szCs w:val="24"/>
        </w:rPr>
        <w:t xml:space="preserve">. </w:t>
      </w:r>
      <w:r w:rsidR="00413E34">
        <w:t xml:space="preserve">Canny, </w:t>
      </w:r>
      <w:r w:rsidR="00413E34" w:rsidRPr="00413E34">
        <w:rPr>
          <w:i/>
        </w:rPr>
        <w:t>Limitations of Actions</w:t>
      </w:r>
      <w:r w:rsidR="00413E34">
        <w:t xml:space="preserve"> (2</w:t>
      </w:r>
      <w:r w:rsidR="00413E34" w:rsidRPr="00DB2D9B">
        <w:rPr>
          <w:vertAlign w:val="superscript"/>
        </w:rPr>
        <w:t>nd</w:t>
      </w:r>
      <w:r w:rsidR="00413E34">
        <w:t xml:space="preserve"> ed; 2016) s</w:t>
      </w:r>
      <w:r w:rsidR="00342F71">
        <w:t xml:space="preserve">uggests that where </w:t>
      </w:r>
      <w:r w:rsidR="00342F71" w:rsidRPr="00342F71">
        <w:rPr>
          <w:i/>
        </w:rPr>
        <w:t xml:space="preserve">“a party enters into a transaction (such as the purchase of an interest in land) as a result of negligent advice, and obtains less than </w:t>
      </w:r>
      <w:r w:rsidR="00342F71" w:rsidRPr="00342F71">
        <w:rPr>
          <w:i/>
        </w:rPr>
        <w:lastRenderedPageBreak/>
        <w:t>what he was told by his solicitor that he was going to obtain (such as if he purchased only a leasehold interest rather than a freehold) the cause of action accrues when he enters the transaction</w:t>
      </w:r>
      <w:r w:rsidR="00342F71">
        <w:rPr>
          <w:i/>
        </w:rPr>
        <w:t xml:space="preserve">” </w:t>
      </w:r>
      <w:r w:rsidR="00342F71">
        <w:t xml:space="preserve">(at para 12-27). </w:t>
      </w:r>
      <w:r w:rsidR="00551A13" w:rsidRPr="00551A13">
        <w:rPr>
          <w:i/>
        </w:rPr>
        <w:t>Tuohy v Courtney</w:t>
      </w:r>
      <w:r w:rsidR="00551A13">
        <w:t xml:space="preserve"> is cited in support of that proposition. There appears to be no available record of the judgment of the High Court (Blayney J) holding that the plaintiff’s claim in that case was statute-barred</w:t>
      </w:r>
      <w:r w:rsidR="00892B84">
        <w:t xml:space="preserve"> but it appears from the decision of the Supreme Court in the subsequent constitutional challenge that the Court was of the view that the cause of action had accrued either at the time of the contract or the conveyance of what the plaintiff understood to be freehold property but which was, in fact, leasehold property without any entitlement either to buy out the fee simple or to a new lease. These title issues were </w:t>
      </w:r>
      <w:r w:rsidR="003A26DE">
        <w:t xml:space="preserve">undoubtedly </w:t>
      </w:r>
      <w:r w:rsidR="00892B84">
        <w:t xml:space="preserve">more serious than the issues here but it seems to me that the differences are matters of degree rather </w:t>
      </w:r>
      <w:r w:rsidR="005D136C">
        <w:t xml:space="preserve">than </w:t>
      </w:r>
      <w:r w:rsidR="00892B84">
        <w:t>principle.</w:t>
      </w:r>
      <w:r w:rsidR="00F53EE6">
        <w:t xml:space="preserve"> Notably, the claim was held to be statute-barred notwithstanding the fact that (as the High Court held in the constitutional proceedings) the plaintiff’s loss had only crystallised many years after the transaction, when a sale of the house that he had negotiated fe</w:t>
      </w:r>
      <w:r w:rsidR="00B558BB">
        <w:t>l</w:t>
      </w:r>
      <w:r w:rsidR="00F53EE6">
        <w:t>l through because of the unsatisfactory nature of the plaintiff’s title.</w:t>
      </w:r>
    </w:p>
    <w:p w14:paraId="7860D27A" w14:textId="77777777" w:rsidR="00F53EE6" w:rsidRPr="00892B84" w:rsidRDefault="00F53EE6" w:rsidP="00F53EE6">
      <w:pPr>
        <w:pStyle w:val="ListParagraph"/>
        <w:spacing w:line="480" w:lineRule="auto"/>
        <w:rPr>
          <w:rFonts w:cs="Times New Roman"/>
          <w:szCs w:val="24"/>
        </w:rPr>
      </w:pPr>
    </w:p>
    <w:p w14:paraId="357794D9" w14:textId="77777777" w:rsidR="00892B84" w:rsidRDefault="006536E1" w:rsidP="008348DE">
      <w:pPr>
        <w:pStyle w:val="ListParagraph"/>
        <w:numPr>
          <w:ilvl w:val="0"/>
          <w:numId w:val="1"/>
        </w:numPr>
        <w:spacing w:line="480" w:lineRule="auto"/>
        <w:ind w:hanging="720"/>
        <w:rPr>
          <w:rFonts w:cs="Times New Roman"/>
          <w:szCs w:val="24"/>
        </w:rPr>
      </w:pPr>
      <w:r>
        <w:rPr>
          <w:rFonts w:cs="Times New Roman"/>
          <w:szCs w:val="24"/>
        </w:rPr>
        <w:t xml:space="preserve">In view of the observations made by the Supreme Court in </w:t>
      </w:r>
      <w:r w:rsidRPr="006536E1">
        <w:rPr>
          <w:rFonts w:cs="Times New Roman"/>
          <w:i/>
          <w:szCs w:val="24"/>
        </w:rPr>
        <w:t>Gallagher</w:t>
      </w:r>
      <w:r>
        <w:rPr>
          <w:rFonts w:cs="Times New Roman"/>
          <w:szCs w:val="24"/>
        </w:rPr>
        <w:t xml:space="preserve"> and </w:t>
      </w:r>
      <w:r w:rsidRPr="006536E1">
        <w:rPr>
          <w:rFonts w:cs="Times New Roman"/>
          <w:i/>
          <w:szCs w:val="24"/>
        </w:rPr>
        <w:t>Cantrell</w:t>
      </w:r>
      <w:r>
        <w:rPr>
          <w:rFonts w:cs="Times New Roman"/>
          <w:i/>
          <w:szCs w:val="24"/>
        </w:rPr>
        <w:t xml:space="preserve">, </w:t>
      </w:r>
      <w:r>
        <w:rPr>
          <w:rFonts w:cs="Times New Roman"/>
          <w:szCs w:val="24"/>
        </w:rPr>
        <w:t xml:space="preserve">decisions of the courts of England and Wales in this area must be treated with a degree of caution. Insofar as </w:t>
      </w:r>
      <w:r w:rsidRPr="006536E1">
        <w:rPr>
          <w:rFonts w:cs="Times New Roman"/>
          <w:i/>
          <w:szCs w:val="24"/>
        </w:rPr>
        <w:t>Forster v Outred</w:t>
      </w:r>
      <w:r>
        <w:rPr>
          <w:rFonts w:cs="Times New Roman"/>
          <w:szCs w:val="24"/>
        </w:rPr>
        <w:t xml:space="preserve"> </w:t>
      </w:r>
      <w:r w:rsidR="00BF7D69">
        <w:rPr>
          <w:rFonts w:cs="Times New Roman"/>
          <w:szCs w:val="24"/>
        </w:rPr>
        <w:t>suggests</w:t>
      </w:r>
      <w:r>
        <w:rPr>
          <w:rFonts w:cs="Times New Roman"/>
          <w:szCs w:val="24"/>
        </w:rPr>
        <w:t xml:space="preserve"> that a contingent liability </w:t>
      </w:r>
      <w:r w:rsidR="002566AB">
        <w:rPr>
          <w:rFonts w:cs="Times New Roman"/>
          <w:szCs w:val="24"/>
        </w:rPr>
        <w:t>constitutes a</w:t>
      </w:r>
      <w:r w:rsidR="00BF7D69">
        <w:rPr>
          <w:rFonts w:cs="Times New Roman"/>
          <w:szCs w:val="24"/>
        </w:rPr>
        <w:t xml:space="preserve">ctionable </w:t>
      </w:r>
      <w:r>
        <w:rPr>
          <w:rFonts w:cs="Times New Roman"/>
          <w:szCs w:val="24"/>
        </w:rPr>
        <w:t>“</w:t>
      </w:r>
      <w:r w:rsidRPr="006536E1">
        <w:rPr>
          <w:rFonts w:cs="Times New Roman"/>
          <w:i/>
          <w:szCs w:val="24"/>
        </w:rPr>
        <w:t>damage</w:t>
      </w:r>
      <w:r>
        <w:rPr>
          <w:rFonts w:cs="Times New Roman"/>
          <w:szCs w:val="24"/>
        </w:rPr>
        <w:t>”</w:t>
      </w:r>
      <w:r w:rsidR="002566AB">
        <w:rPr>
          <w:rFonts w:cs="Times New Roman"/>
          <w:szCs w:val="24"/>
        </w:rPr>
        <w:t xml:space="preserve"> in itself, </w:t>
      </w:r>
      <w:r w:rsidR="00BF7D69">
        <w:rPr>
          <w:rFonts w:cs="Times New Roman"/>
          <w:szCs w:val="24"/>
        </w:rPr>
        <w:t>regardless of the probability of the occurrence of the contingent event or the impact of that contingent liability on present value, it does not represent good law in this jurisdiction. Nevertheless, it seems clear</w:t>
      </w:r>
      <w:r w:rsidR="00E2565A">
        <w:rPr>
          <w:rFonts w:cs="Times New Roman"/>
          <w:szCs w:val="24"/>
        </w:rPr>
        <w:t xml:space="preserve"> that</w:t>
      </w:r>
      <w:r w:rsidR="00E2565A" w:rsidRPr="00E2565A">
        <w:rPr>
          <w:rFonts w:cs="Times New Roman"/>
          <w:szCs w:val="24"/>
        </w:rPr>
        <w:t xml:space="preserve"> </w:t>
      </w:r>
      <w:r w:rsidR="00E2565A">
        <w:rPr>
          <w:rFonts w:cs="Times New Roman"/>
          <w:szCs w:val="24"/>
        </w:rPr>
        <w:t xml:space="preserve">neither Fennelly J in </w:t>
      </w:r>
      <w:r w:rsidR="00E2565A" w:rsidRPr="00BF7D69">
        <w:rPr>
          <w:rFonts w:cs="Times New Roman"/>
          <w:i/>
          <w:szCs w:val="24"/>
        </w:rPr>
        <w:t>Gallagher</w:t>
      </w:r>
      <w:r w:rsidR="00E2565A">
        <w:rPr>
          <w:rFonts w:cs="Times New Roman"/>
          <w:szCs w:val="24"/>
        </w:rPr>
        <w:t xml:space="preserve"> nor </w:t>
      </w:r>
      <w:r w:rsidR="00E928EB">
        <w:rPr>
          <w:rFonts w:cs="Times New Roman"/>
          <w:szCs w:val="24"/>
        </w:rPr>
        <w:t>O’Donnell</w:t>
      </w:r>
      <w:r w:rsidR="00E2565A">
        <w:rPr>
          <w:rFonts w:cs="Times New Roman"/>
          <w:szCs w:val="24"/>
        </w:rPr>
        <w:t xml:space="preserve"> J in </w:t>
      </w:r>
      <w:r w:rsidR="00E2565A" w:rsidRPr="00BF7D69">
        <w:rPr>
          <w:rFonts w:cs="Times New Roman"/>
          <w:i/>
          <w:szCs w:val="24"/>
        </w:rPr>
        <w:t>Cantrell</w:t>
      </w:r>
      <w:r w:rsidR="00E2565A">
        <w:rPr>
          <w:rFonts w:cs="Times New Roman"/>
          <w:szCs w:val="24"/>
        </w:rPr>
        <w:t xml:space="preserve"> had any </w:t>
      </w:r>
      <w:r w:rsidR="002566AB">
        <w:rPr>
          <w:rFonts w:cs="Times New Roman"/>
          <w:szCs w:val="24"/>
        </w:rPr>
        <w:lastRenderedPageBreak/>
        <w:t>difficulty</w:t>
      </w:r>
      <w:r w:rsidR="00E2565A">
        <w:rPr>
          <w:rFonts w:cs="Times New Roman"/>
          <w:szCs w:val="24"/>
        </w:rPr>
        <w:t xml:space="preserve"> with the decision when read narrowly – as deciding no more tha</w:t>
      </w:r>
      <w:r w:rsidR="00584FB0">
        <w:rPr>
          <w:rFonts w:cs="Times New Roman"/>
          <w:szCs w:val="24"/>
        </w:rPr>
        <w:t xml:space="preserve">n that </w:t>
      </w:r>
      <w:r w:rsidR="00E2565A">
        <w:rPr>
          <w:rFonts w:cs="Times New Roman"/>
          <w:szCs w:val="24"/>
        </w:rPr>
        <w:t xml:space="preserve">the execution of the mortgage by the plaintiff had caused her immediate damage because it immediately diminished the value of the mortgaged land. That is how the High Court  of Australia explained the decision in </w:t>
      </w:r>
      <w:r w:rsidR="00E2565A" w:rsidRPr="00E2565A">
        <w:rPr>
          <w:rFonts w:cs="Times New Roman"/>
          <w:i/>
          <w:szCs w:val="24"/>
        </w:rPr>
        <w:t>Wardley</w:t>
      </w:r>
      <w:r w:rsidR="00E2565A">
        <w:rPr>
          <w:rFonts w:cs="Times New Roman"/>
          <w:szCs w:val="24"/>
        </w:rPr>
        <w:t xml:space="preserve"> and its analysis was </w:t>
      </w:r>
      <w:r w:rsidR="006510E1">
        <w:rPr>
          <w:rFonts w:cs="Times New Roman"/>
          <w:szCs w:val="24"/>
        </w:rPr>
        <w:t xml:space="preserve">approved by the House of Lords in </w:t>
      </w:r>
      <w:r w:rsidR="006510E1" w:rsidRPr="006510E1">
        <w:rPr>
          <w:rFonts w:cs="Times New Roman"/>
          <w:i/>
          <w:szCs w:val="24"/>
        </w:rPr>
        <w:t>Sephton</w:t>
      </w:r>
      <w:r w:rsidR="006510E1">
        <w:rPr>
          <w:rFonts w:cs="Times New Roman"/>
          <w:szCs w:val="24"/>
        </w:rPr>
        <w:t xml:space="preserve">. </w:t>
      </w:r>
      <w:r w:rsidR="006510E1" w:rsidRPr="00EE13DA">
        <w:rPr>
          <w:rFonts w:cs="Times New Roman"/>
          <w:i/>
          <w:szCs w:val="24"/>
        </w:rPr>
        <w:t>Wardley</w:t>
      </w:r>
      <w:r w:rsidR="006510E1">
        <w:rPr>
          <w:rFonts w:cs="Times New Roman"/>
          <w:szCs w:val="24"/>
        </w:rPr>
        <w:t xml:space="preserve"> and </w:t>
      </w:r>
      <w:r w:rsidR="006510E1" w:rsidRPr="00EE13DA">
        <w:rPr>
          <w:rFonts w:cs="Times New Roman"/>
          <w:i/>
          <w:szCs w:val="24"/>
        </w:rPr>
        <w:t>Sephton</w:t>
      </w:r>
      <w:r w:rsidR="006510E1">
        <w:rPr>
          <w:rFonts w:cs="Times New Roman"/>
          <w:szCs w:val="24"/>
        </w:rPr>
        <w:t xml:space="preserve"> were in turn </w:t>
      </w:r>
      <w:r w:rsidR="00EE13DA">
        <w:rPr>
          <w:rFonts w:cs="Times New Roman"/>
          <w:szCs w:val="24"/>
        </w:rPr>
        <w:t>discussed</w:t>
      </w:r>
      <w:r w:rsidR="006510E1">
        <w:rPr>
          <w:rFonts w:cs="Times New Roman"/>
          <w:szCs w:val="24"/>
        </w:rPr>
        <w:t xml:space="preserve"> with evident approval in </w:t>
      </w:r>
      <w:r w:rsidR="006510E1" w:rsidRPr="006510E1">
        <w:rPr>
          <w:rFonts w:cs="Times New Roman"/>
          <w:i/>
          <w:szCs w:val="24"/>
        </w:rPr>
        <w:t>Gallagher</w:t>
      </w:r>
      <w:r w:rsidR="006510E1">
        <w:rPr>
          <w:rFonts w:cs="Times New Roman"/>
          <w:szCs w:val="24"/>
        </w:rPr>
        <w:t xml:space="preserve"> and </w:t>
      </w:r>
      <w:r w:rsidR="006510E1" w:rsidRPr="006510E1">
        <w:rPr>
          <w:rFonts w:cs="Times New Roman"/>
          <w:i/>
          <w:szCs w:val="24"/>
        </w:rPr>
        <w:t>Cantrell</w:t>
      </w:r>
      <w:r w:rsidR="006510E1">
        <w:rPr>
          <w:rFonts w:cs="Times New Roman"/>
          <w:szCs w:val="24"/>
        </w:rPr>
        <w:t>.</w:t>
      </w:r>
    </w:p>
    <w:p w14:paraId="47960C7E" w14:textId="77777777" w:rsidR="009072FB" w:rsidRDefault="009072FB" w:rsidP="009072FB">
      <w:pPr>
        <w:pStyle w:val="ListParagraph"/>
        <w:spacing w:line="480" w:lineRule="auto"/>
        <w:rPr>
          <w:rFonts w:cs="Times New Roman"/>
          <w:szCs w:val="24"/>
        </w:rPr>
      </w:pPr>
    </w:p>
    <w:p w14:paraId="626A186F" w14:textId="77777777" w:rsidR="008F7827" w:rsidRDefault="006510E1" w:rsidP="008348DE">
      <w:pPr>
        <w:pStyle w:val="ListParagraph"/>
        <w:numPr>
          <w:ilvl w:val="0"/>
          <w:numId w:val="1"/>
        </w:numPr>
        <w:spacing w:line="480" w:lineRule="auto"/>
        <w:ind w:hanging="720"/>
        <w:rPr>
          <w:rFonts w:cs="Times New Roman"/>
          <w:szCs w:val="24"/>
        </w:rPr>
      </w:pPr>
      <w:r>
        <w:rPr>
          <w:rFonts w:cs="Times New Roman"/>
          <w:szCs w:val="24"/>
        </w:rPr>
        <w:t xml:space="preserve">Here, for the reasons </w:t>
      </w:r>
      <w:r w:rsidR="00584FB0">
        <w:rPr>
          <w:rFonts w:cs="Times New Roman"/>
          <w:szCs w:val="24"/>
        </w:rPr>
        <w:t>al</w:t>
      </w:r>
      <w:r>
        <w:rPr>
          <w:rFonts w:cs="Times New Roman"/>
          <w:szCs w:val="24"/>
        </w:rPr>
        <w:t xml:space="preserve">ready set out above, I consider that the Plaintiff was immediately and tangibly worse off as soon as the purchase of the Property </w:t>
      </w:r>
      <w:r w:rsidR="00584FB0">
        <w:rPr>
          <w:rFonts w:cs="Times New Roman"/>
          <w:szCs w:val="24"/>
        </w:rPr>
        <w:t xml:space="preserve">was </w:t>
      </w:r>
      <w:r>
        <w:rPr>
          <w:rFonts w:cs="Times New Roman"/>
          <w:szCs w:val="24"/>
        </w:rPr>
        <w:t>completed. Whether the transaction is viewed as a “</w:t>
      </w:r>
      <w:r w:rsidRPr="006510E1">
        <w:rPr>
          <w:rFonts w:cs="Times New Roman"/>
          <w:i/>
          <w:szCs w:val="24"/>
        </w:rPr>
        <w:t>flawed transaction”</w:t>
      </w:r>
      <w:r>
        <w:rPr>
          <w:rFonts w:cs="Times New Roman"/>
          <w:szCs w:val="24"/>
        </w:rPr>
        <w:t xml:space="preserve"> or a “</w:t>
      </w:r>
      <w:r w:rsidRPr="006510E1">
        <w:rPr>
          <w:rFonts w:cs="Times New Roman"/>
          <w:i/>
          <w:szCs w:val="24"/>
        </w:rPr>
        <w:t>no transaction</w:t>
      </w:r>
      <w:r>
        <w:rPr>
          <w:rFonts w:cs="Times New Roman"/>
          <w:szCs w:val="24"/>
        </w:rPr>
        <w:t xml:space="preserve">” or the intermediate category referred to by Clarke J in </w:t>
      </w:r>
      <w:r w:rsidRPr="006510E1">
        <w:rPr>
          <w:rFonts w:cs="Times New Roman"/>
          <w:i/>
          <w:szCs w:val="24"/>
        </w:rPr>
        <w:t>Kelleher</w:t>
      </w:r>
      <w:r>
        <w:rPr>
          <w:rFonts w:cs="Times New Roman"/>
          <w:szCs w:val="24"/>
        </w:rPr>
        <w:t xml:space="preserve">, the crucial point, in my view, is that, at that point, the Plaintiff and his wife received something manifestly less valuable than that which they had contracted for and which they had paid for. </w:t>
      </w:r>
      <w:r w:rsidR="008F7827">
        <w:rPr>
          <w:rFonts w:cs="Times New Roman"/>
          <w:szCs w:val="24"/>
        </w:rPr>
        <w:t>They paid €240,000 for a dwelling-house constructed in accordance with planning law. That is not what they received. What they received was something entirely different and less valuable.</w:t>
      </w:r>
      <w:r w:rsidR="009072FB">
        <w:rPr>
          <w:rFonts w:cs="Times New Roman"/>
          <w:szCs w:val="24"/>
        </w:rPr>
        <w:t xml:space="preserve"> They were therefore measurably worse off for having entered into the transaction.</w:t>
      </w:r>
      <w:r w:rsidR="008F7827">
        <w:rPr>
          <w:rFonts w:cs="Times New Roman"/>
          <w:szCs w:val="24"/>
        </w:rPr>
        <w:t xml:space="preserve"> </w:t>
      </w:r>
      <w:r w:rsidR="00F75C00">
        <w:rPr>
          <w:rFonts w:cs="Times New Roman"/>
          <w:szCs w:val="24"/>
        </w:rPr>
        <w:t xml:space="preserve">In the language of the caselaw, the balance of benefit and burden was clearly adverse at that point. </w:t>
      </w:r>
      <w:r w:rsidR="008F7827">
        <w:rPr>
          <w:rFonts w:cs="Times New Roman"/>
          <w:szCs w:val="24"/>
        </w:rPr>
        <w:t xml:space="preserve">Insofar as the position was remediable, any remedy would involve </w:t>
      </w:r>
      <w:r w:rsidR="009072FB">
        <w:rPr>
          <w:rFonts w:cs="Times New Roman"/>
          <w:szCs w:val="24"/>
        </w:rPr>
        <w:t xml:space="preserve">additional </w:t>
      </w:r>
      <w:r w:rsidR="008F7827">
        <w:rPr>
          <w:rFonts w:cs="Times New Roman"/>
          <w:szCs w:val="24"/>
        </w:rPr>
        <w:t xml:space="preserve">expense. There was therefore actionable damage </w:t>
      </w:r>
      <w:r w:rsidR="009072FB">
        <w:rPr>
          <w:rFonts w:cs="Times New Roman"/>
          <w:szCs w:val="24"/>
        </w:rPr>
        <w:t>i</w:t>
      </w:r>
      <w:r w:rsidR="008F7827">
        <w:rPr>
          <w:rFonts w:cs="Times New Roman"/>
          <w:szCs w:val="24"/>
        </w:rPr>
        <w:t xml:space="preserve">n the narrower sense </w:t>
      </w:r>
      <w:r w:rsidR="009072FB">
        <w:rPr>
          <w:rFonts w:cs="Times New Roman"/>
          <w:szCs w:val="24"/>
        </w:rPr>
        <w:t>applied in</w:t>
      </w:r>
      <w:r w:rsidR="008F7827">
        <w:rPr>
          <w:rFonts w:cs="Times New Roman"/>
          <w:szCs w:val="24"/>
        </w:rPr>
        <w:t xml:space="preserve"> </w:t>
      </w:r>
      <w:r w:rsidR="008F7827" w:rsidRPr="009072FB">
        <w:rPr>
          <w:rFonts w:cs="Times New Roman"/>
          <w:i/>
          <w:szCs w:val="24"/>
        </w:rPr>
        <w:t>Forster</w:t>
      </w:r>
      <w:r w:rsidR="008F7827">
        <w:rPr>
          <w:rFonts w:cs="Times New Roman"/>
          <w:szCs w:val="24"/>
        </w:rPr>
        <w:t xml:space="preserve"> </w:t>
      </w:r>
      <w:r w:rsidR="008F7827" w:rsidRPr="00C16CC9">
        <w:rPr>
          <w:rFonts w:cs="Times New Roman"/>
          <w:i/>
          <w:szCs w:val="24"/>
        </w:rPr>
        <w:t>v</w:t>
      </w:r>
      <w:r w:rsidR="008F7827">
        <w:rPr>
          <w:rFonts w:cs="Times New Roman"/>
          <w:szCs w:val="24"/>
        </w:rPr>
        <w:t xml:space="preserve"> </w:t>
      </w:r>
      <w:r w:rsidR="008F7827" w:rsidRPr="008F7827">
        <w:rPr>
          <w:rFonts w:cs="Times New Roman"/>
          <w:i/>
          <w:szCs w:val="24"/>
        </w:rPr>
        <w:t>Outred</w:t>
      </w:r>
      <w:r w:rsidR="008F7827">
        <w:rPr>
          <w:rFonts w:cs="Times New Roman"/>
          <w:szCs w:val="24"/>
        </w:rPr>
        <w:t>.</w:t>
      </w:r>
    </w:p>
    <w:p w14:paraId="1B385249" w14:textId="77777777" w:rsidR="008F7827" w:rsidRDefault="008F7827" w:rsidP="008F7827">
      <w:pPr>
        <w:pStyle w:val="ListParagraph"/>
        <w:spacing w:line="480" w:lineRule="auto"/>
        <w:rPr>
          <w:rFonts w:cs="Times New Roman"/>
          <w:szCs w:val="24"/>
        </w:rPr>
      </w:pPr>
    </w:p>
    <w:p w14:paraId="5AB98CF0" w14:textId="77777777" w:rsidR="006510E1" w:rsidRDefault="008F7827" w:rsidP="008348DE">
      <w:pPr>
        <w:pStyle w:val="ListParagraph"/>
        <w:numPr>
          <w:ilvl w:val="0"/>
          <w:numId w:val="1"/>
        </w:numPr>
        <w:spacing w:line="480" w:lineRule="auto"/>
        <w:ind w:hanging="720"/>
        <w:rPr>
          <w:rFonts w:cs="Times New Roman"/>
          <w:szCs w:val="24"/>
        </w:rPr>
      </w:pPr>
      <w:r>
        <w:rPr>
          <w:rFonts w:cs="Times New Roman"/>
          <w:szCs w:val="24"/>
        </w:rPr>
        <w:t xml:space="preserve"> </w:t>
      </w:r>
      <w:r w:rsidR="00086B18">
        <w:rPr>
          <w:rFonts w:cs="Times New Roman"/>
          <w:szCs w:val="24"/>
        </w:rPr>
        <w:t>On</w:t>
      </w:r>
      <w:r>
        <w:rPr>
          <w:rFonts w:cs="Times New Roman"/>
          <w:szCs w:val="24"/>
        </w:rPr>
        <w:t xml:space="preserve"> this analysis, </w:t>
      </w:r>
      <w:r w:rsidR="00086B18">
        <w:rPr>
          <w:rFonts w:cs="Times New Roman"/>
          <w:szCs w:val="24"/>
        </w:rPr>
        <w:t xml:space="preserve">this </w:t>
      </w:r>
      <w:r>
        <w:rPr>
          <w:rFonts w:cs="Times New Roman"/>
          <w:szCs w:val="24"/>
        </w:rPr>
        <w:t xml:space="preserve">is not a case where the loss </w:t>
      </w:r>
      <w:r w:rsidR="00086B18">
        <w:rPr>
          <w:rFonts w:cs="Times New Roman"/>
          <w:szCs w:val="24"/>
        </w:rPr>
        <w:t>was</w:t>
      </w:r>
      <w:r>
        <w:rPr>
          <w:rFonts w:cs="Times New Roman"/>
          <w:szCs w:val="24"/>
        </w:rPr>
        <w:t xml:space="preserve"> purely contingent, </w:t>
      </w:r>
      <w:r w:rsidR="002566AB">
        <w:rPr>
          <w:rFonts w:cs="Times New Roman"/>
          <w:szCs w:val="24"/>
        </w:rPr>
        <w:t xml:space="preserve">in contrast to the position </w:t>
      </w:r>
      <w:r w:rsidR="00086B18">
        <w:rPr>
          <w:rFonts w:cs="Times New Roman"/>
          <w:szCs w:val="24"/>
        </w:rPr>
        <w:t xml:space="preserve">in </w:t>
      </w:r>
      <w:r w:rsidR="00086B18" w:rsidRPr="00086B18">
        <w:rPr>
          <w:rFonts w:cs="Times New Roman"/>
          <w:i/>
          <w:szCs w:val="24"/>
        </w:rPr>
        <w:t>Wardley</w:t>
      </w:r>
      <w:r w:rsidR="00086B18">
        <w:rPr>
          <w:rFonts w:cs="Times New Roman"/>
          <w:szCs w:val="24"/>
        </w:rPr>
        <w:t xml:space="preserve"> and </w:t>
      </w:r>
      <w:r w:rsidR="00086B18" w:rsidRPr="00086B18">
        <w:rPr>
          <w:rFonts w:cs="Times New Roman"/>
          <w:i/>
          <w:szCs w:val="24"/>
        </w:rPr>
        <w:t>Sephton</w:t>
      </w:r>
      <w:r w:rsidR="00086B18">
        <w:rPr>
          <w:rFonts w:cs="Times New Roman"/>
          <w:szCs w:val="24"/>
        </w:rPr>
        <w:t xml:space="preserve">. The Plaintiff and his wife suffered  immediate financial detriment on completion, even if the full extent of that detriment </w:t>
      </w:r>
      <w:r w:rsidR="00086B18">
        <w:rPr>
          <w:rFonts w:cs="Times New Roman"/>
          <w:szCs w:val="24"/>
        </w:rPr>
        <w:lastRenderedPageBreak/>
        <w:t xml:space="preserve">may not have been capable of </w:t>
      </w:r>
      <w:r w:rsidR="0084549F">
        <w:rPr>
          <w:rFonts w:cs="Times New Roman"/>
          <w:szCs w:val="24"/>
        </w:rPr>
        <w:t xml:space="preserve">precise </w:t>
      </w:r>
      <w:r w:rsidR="00086B18">
        <w:rPr>
          <w:rFonts w:cs="Times New Roman"/>
          <w:szCs w:val="24"/>
        </w:rPr>
        <w:t xml:space="preserve">quantification at that point. For the same reason, </w:t>
      </w:r>
      <w:r w:rsidR="009072FB">
        <w:rPr>
          <w:rFonts w:cs="Times New Roman"/>
          <w:szCs w:val="24"/>
        </w:rPr>
        <w:t xml:space="preserve">there is a clear difference between the position here and that in </w:t>
      </w:r>
      <w:r w:rsidR="009072FB" w:rsidRPr="009072FB">
        <w:rPr>
          <w:rFonts w:cs="Times New Roman"/>
          <w:i/>
          <w:szCs w:val="24"/>
        </w:rPr>
        <w:t>DW Moore v Ferrier</w:t>
      </w:r>
      <w:r w:rsidR="009072FB">
        <w:rPr>
          <w:rFonts w:cs="Times New Roman"/>
          <w:szCs w:val="24"/>
        </w:rPr>
        <w:t xml:space="preserve"> or </w:t>
      </w:r>
      <w:r w:rsidR="009072FB" w:rsidRPr="009072FB">
        <w:rPr>
          <w:rFonts w:cs="Times New Roman"/>
          <w:i/>
          <w:szCs w:val="24"/>
        </w:rPr>
        <w:t>Shore v Sedgwick Financial Services</w:t>
      </w:r>
      <w:r w:rsidR="009072FB">
        <w:rPr>
          <w:rFonts w:cs="Times New Roman"/>
          <w:i/>
          <w:szCs w:val="24"/>
        </w:rPr>
        <w:t xml:space="preserve">. </w:t>
      </w:r>
      <w:r w:rsidR="000524E1">
        <w:rPr>
          <w:rFonts w:cs="Times New Roman"/>
          <w:szCs w:val="24"/>
        </w:rPr>
        <w:t xml:space="preserve"> In contrast to both of those cases, this is a not a case where there was merely a </w:t>
      </w:r>
      <w:r w:rsidR="000524E1" w:rsidRPr="000524E1">
        <w:rPr>
          <w:rFonts w:cs="Times New Roman"/>
          <w:i/>
          <w:szCs w:val="24"/>
        </w:rPr>
        <w:t>possibility</w:t>
      </w:r>
      <w:r w:rsidR="0084549F">
        <w:rPr>
          <w:rFonts w:cs="Times New Roman"/>
          <w:i/>
          <w:szCs w:val="24"/>
        </w:rPr>
        <w:t xml:space="preserve"> </w:t>
      </w:r>
      <w:r w:rsidR="0084549F" w:rsidRPr="005D136C">
        <w:rPr>
          <w:rFonts w:cs="Times New Roman"/>
          <w:szCs w:val="24"/>
        </w:rPr>
        <w:t>(</w:t>
      </w:r>
      <w:r w:rsidR="0084549F" w:rsidRPr="00AC1382">
        <w:rPr>
          <w:rFonts w:cs="Times New Roman"/>
          <w:szCs w:val="24"/>
        </w:rPr>
        <w:t>or even</w:t>
      </w:r>
      <w:r w:rsidR="0084549F">
        <w:rPr>
          <w:rFonts w:cs="Times New Roman"/>
          <w:szCs w:val="24"/>
        </w:rPr>
        <w:t xml:space="preserve"> a</w:t>
      </w:r>
      <w:r w:rsidR="0084549F">
        <w:rPr>
          <w:rFonts w:cs="Times New Roman"/>
          <w:i/>
          <w:szCs w:val="24"/>
        </w:rPr>
        <w:t xml:space="preserve"> probability</w:t>
      </w:r>
      <w:r w:rsidR="0084549F">
        <w:rPr>
          <w:rFonts w:cs="Times New Roman"/>
          <w:szCs w:val="24"/>
        </w:rPr>
        <w:t>)</w:t>
      </w:r>
      <w:r w:rsidR="000524E1">
        <w:rPr>
          <w:rFonts w:cs="Times New Roman"/>
          <w:szCs w:val="24"/>
        </w:rPr>
        <w:t xml:space="preserve"> of future loss at the time of the </w:t>
      </w:r>
      <w:r w:rsidR="004E0448">
        <w:rPr>
          <w:rFonts w:cs="Times New Roman"/>
          <w:szCs w:val="24"/>
        </w:rPr>
        <w:t xml:space="preserve">transaction </w:t>
      </w:r>
      <w:r w:rsidR="000524E1">
        <w:rPr>
          <w:rFonts w:cs="Times New Roman"/>
          <w:szCs w:val="24"/>
        </w:rPr>
        <w:t>nor</w:t>
      </w:r>
      <w:r w:rsidR="004E0448">
        <w:rPr>
          <w:rFonts w:cs="Times New Roman"/>
          <w:szCs w:val="24"/>
        </w:rPr>
        <w:t xml:space="preserve"> (in contrast to </w:t>
      </w:r>
      <w:r w:rsidR="004E0448" w:rsidRPr="004E0448">
        <w:rPr>
          <w:rFonts w:cs="Times New Roman"/>
          <w:i/>
          <w:szCs w:val="24"/>
        </w:rPr>
        <w:t>Shore</w:t>
      </w:r>
      <w:r w:rsidR="004E0448">
        <w:rPr>
          <w:rFonts w:cs="Times New Roman"/>
          <w:szCs w:val="24"/>
        </w:rPr>
        <w:t>)</w:t>
      </w:r>
      <w:r w:rsidR="000524E1">
        <w:rPr>
          <w:rFonts w:cs="Times New Roman"/>
          <w:szCs w:val="24"/>
        </w:rPr>
        <w:t xml:space="preserve"> is</w:t>
      </w:r>
      <w:r w:rsidR="004E0448">
        <w:rPr>
          <w:rFonts w:cs="Times New Roman"/>
          <w:szCs w:val="24"/>
        </w:rPr>
        <w:t xml:space="preserve"> it</w:t>
      </w:r>
      <w:r w:rsidR="000524E1">
        <w:rPr>
          <w:rFonts w:cs="Times New Roman"/>
          <w:szCs w:val="24"/>
        </w:rPr>
        <w:t xml:space="preserve"> a case where the analysis </w:t>
      </w:r>
      <w:r w:rsidR="004E0448">
        <w:rPr>
          <w:rFonts w:cs="Times New Roman"/>
          <w:szCs w:val="24"/>
        </w:rPr>
        <w:t>of loss is dependent on the subjective approach of the claimant to risk.</w:t>
      </w:r>
      <w:r w:rsidR="0084549F">
        <w:rPr>
          <w:rFonts w:cs="Times New Roman"/>
          <w:szCs w:val="24"/>
        </w:rPr>
        <w:t xml:space="preserve"> It is a case where immediate and tangible loss was sustained at the time of the transaction.</w:t>
      </w:r>
    </w:p>
    <w:p w14:paraId="1B60CBE6" w14:textId="77777777" w:rsidR="002566AB" w:rsidRDefault="002566AB" w:rsidP="002566AB">
      <w:pPr>
        <w:pStyle w:val="ListParagraph"/>
        <w:spacing w:line="480" w:lineRule="auto"/>
        <w:rPr>
          <w:rFonts w:cs="Times New Roman"/>
          <w:szCs w:val="24"/>
        </w:rPr>
      </w:pPr>
    </w:p>
    <w:p w14:paraId="6B7B01EE" w14:textId="77777777" w:rsidR="007873CC" w:rsidRDefault="004E0448" w:rsidP="007873CC">
      <w:pPr>
        <w:pStyle w:val="ListParagraph"/>
        <w:numPr>
          <w:ilvl w:val="0"/>
          <w:numId w:val="1"/>
        </w:numPr>
        <w:spacing w:line="480" w:lineRule="auto"/>
        <w:ind w:hanging="720"/>
        <w:rPr>
          <w:rFonts w:cs="Times New Roman"/>
          <w:szCs w:val="24"/>
        </w:rPr>
      </w:pPr>
      <w:r>
        <w:rPr>
          <w:rFonts w:cs="Times New Roman"/>
          <w:szCs w:val="24"/>
        </w:rPr>
        <w:t xml:space="preserve">Finally, I should </w:t>
      </w:r>
      <w:r w:rsidR="00D8782F">
        <w:rPr>
          <w:rFonts w:cs="Times New Roman"/>
          <w:szCs w:val="24"/>
        </w:rPr>
        <w:t xml:space="preserve">refer to </w:t>
      </w:r>
      <w:r>
        <w:rPr>
          <w:rFonts w:cs="Times New Roman"/>
          <w:szCs w:val="24"/>
        </w:rPr>
        <w:t xml:space="preserve">the Privy Council decision </w:t>
      </w:r>
      <w:r w:rsidR="00811EA8">
        <w:rPr>
          <w:rFonts w:cs="Times New Roman"/>
          <w:szCs w:val="24"/>
        </w:rPr>
        <w:t xml:space="preserve">(on appeal from the Court of Appeal of Trinidad and Tobago) </w:t>
      </w:r>
      <w:r>
        <w:rPr>
          <w:rFonts w:cs="Times New Roman"/>
          <w:szCs w:val="24"/>
        </w:rPr>
        <w:t xml:space="preserve">in </w:t>
      </w:r>
      <w:r w:rsidRPr="004E0448">
        <w:rPr>
          <w:rFonts w:cs="Times New Roman"/>
          <w:i/>
          <w:szCs w:val="24"/>
        </w:rPr>
        <w:t>Maharaj v Johnson</w:t>
      </w:r>
      <w:r>
        <w:rPr>
          <w:rFonts w:cs="Times New Roman"/>
          <w:szCs w:val="24"/>
        </w:rPr>
        <w:t xml:space="preserve"> to which the Judge referred to</w:t>
      </w:r>
      <w:r w:rsidR="00A7515C">
        <w:rPr>
          <w:rFonts w:cs="Times New Roman"/>
          <w:szCs w:val="24"/>
        </w:rPr>
        <w:t xml:space="preserve"> in</w:t>
      </w:r>
      <w:r>
        <w:rPr>
          <w:rFonts w:cs="Times New Roman"/>
          <w:szCs w:val="24"/>
        </w:rPr>
        <w:t xml:space="preserve"> his judgment. In </w:t>
      </w:r>
      <w:r w:rsidRPr="004E0448">
        <w:rPr>
          <w:rFonts w:cs="Times New Roman"/>
          <w:i/>
          <w:szCs w:val="24"/>
        </w:rPr>
        <w:t>Maharaj</w:t>
      </w:r>
      <w:r w:rsidR="00EA542D">
        <w:rPr>
          <w:rFonts w:cs="Times New Roman"/>
          <w:szCs w:val="24"/>
        </w:rPr>
        <w:t>, the claimants had engaged the defendant solic</w:t>
      </w:r>
      <w:r w:rsidR="004E3E95">
        <w:rPr>
          <w:rFonts w:cs="Times New Roman"/>
          <w:szCs w:val="24"/>
        </w:rPr>
        <w:t>itors to act on their behalf in the purchase of property in 1986.</w:t>
      </w:r>
      <w:r w:rsidR="005C2EA7">
        <w:rPr>
          <w:rFonts w:cs="Times New Roman"/>
          <w:szCs w:val="24"/>
        </w:rPr>
        <w:t xml:space="preserve"> The sale was effected by L</w:t>
      </w:r>
      <w:r w:rsidR="004E3E95">
        <w:rPr>
          <w:rFonts w:cs="Times New Roman"/>
          <w:szCs w:val="24"/>
        </w:rPr>
        <w:t xml:space="preserve"> </w:t>
      </w:r>
      <w:r w:rsidR="005C2EA7">
        <w:rPr>
          <w:rFonts w:cs="Times New Roman"/>
          <w:szCs w:val="24"/>
        </w:rPr>
        <w:t xml:space="preserve">as personal representative of her deceased’s husband’s estate. </w:t>
      </w:r>
      <w:r w:rsidR="004E3E95">
        <w:rPr>
          <w:rFonts w:cs="Times New Roman"/>
          <w:szCs w:val="24"/>
        </w:rPr>
        <w:t xml:space="preserve">In 2008, the </w:t>
      </w:r>
      <w:r w:rsidR="00811EA8">
        <w:rPr>
          <w:rFonts w:cs="Times New Roman"/>
          <w:szCs w:val="24"/>
        </w:rPr>
        <w:t>claimants contracted to sell the property to the developer for a substantial price</w:t>
      </w:r>
      <w:r w:rsidR="005C2EA7">
        <w:rPr>
          <w:rFonts w:cs="Times New Roman"/>
          <w:szCs w:val="24"/>
        </w:rPr>
        <w:t>, many multiples of what had been paid in 1986</w:t>
      </w:r>
      <w:r w:rsidR="00811EA8">
        <w:rPr>
          <w:rFonts w:cs="Times New Roman"/>
          <w:szCs w:val="24"/>
        </w:rPr>
        <w:t xml:space="preserve">. However, it then emerged that the claimants did not have good marketable title to the property because the 1986 conveyance had been executed </w:t>
      </w:r>
      <w:r w:rsidR="005C2EA7">
        <w:rPr>
          <w:rFonts w:cs="Times New Roman"/>
          <w:szCs w:val="24"/>
        </w:rPr>
        <w:t xml:space="preserve">on behalf of L </w:t>
      </w:r>
      <w:r w:rsidR="00811EA8">
        <w:rPr>
          <w:rFonts w:cs="Times New Roman"/>
          <w:szCs w:val="24"/>
        </w:rPr>
        <w:t>pursuant to a power of attorney that turned out to have been defective</w:t>
      </w:r>
      <w:r w:rsidR="005C2EA7">
        <w:rPr>
          <w:rFonts w:cs="Times New Roman"/>
          <w:szCs w:val="24"/>
        </w:rPr>
        <w:t xml:space="preserve"> (because it only authorised transactions carried </w:t>
      </w:r>
      <w:r w:rsidR="00C16CC9">
        <w:rPr>
          <w:rFonts w:cs="Times New Roman"/>
          <w:szCs w:val="24"/>
        </w:rPr>
        <w:t xml:space="preserve">out </w:t>
      </w:r>
      <w:r w:rsidR="005C2EA7">
        <w:rPr>
          <w:rFonts w:cs="Times New Roman"/>
          <w:szCs w:val="24"/>
        </w:rPr>
        <w:t xml:space="preserve">on behalf of L in respect of her own </w:t>
      </w:r>
      <w:r w:rsidR="007873CC">
        <w:rPr>
          <w:rFonts w:cs="Times New Roman"/>
          <w:szCs w:val="24"/>
        </w:rPr>
        <w:t xml:space="preserve">personal </w:t>
      </w:r>
      <w:r w:rsidR="005C2EA7">
        <w:rPr>
          <w:rFonts w:cs="Times New Roman"/>
          <w:szCs w:val="24"/>
        </w:rPr>
        <w:t>property and not in respect of property held by her as personal representative of the estate of her late husband)</w:t>
      </w:r>
      <w:r w:rsidR="00811EA8">
        <w:rPr>
          <w:rFonts w:cs="Times New Roman"/>
          <w:szCs w:val="24"/>
        </w:rPr>
        <w:t>. As a result, the legal</w:t>
      </w:r>
      <w:r w:rsidR="005C2EA7">
        <w:rPr>
          <w:rFonts w:cs="Times New Roman"/>
          <w:szCs w:val="24"/>
        </w:rPr>
        <w:t xml:space="preserve"> interest in the property had not vested in the claimants (though the equitable ownership had done so on payment of the consideration). </w:t>
      </w:r>
      <w:r w:rsidR="007873CC">
        <w:rPr>
          <w:rFonts w:cs="Times New Roman"/>
          <w:szCs w:val="24"/>
        </w:rPr>
        <w:t xml:space="preserve">Efforts were made to locate L and have her execute a deed of rectification prior to the  closing date of the sale to </w:t>
      </w:r>
      <w:r w:rsidR="007873CC">
        <w:rPr>
          <w:rFonts w:cs="Times New Roman"/>
          <w:szCs w:val="24"/>
        </w:rPr>
        <w:lastRenderedPageBreak/>
        <w:t>the developer were unsuccessful and the sale was lost. L was located shortly afterwards and executed the necessary deed which was duly registered.</w:t>
      </w:r>
    </w:p>
    <w:p w14:paraId="6905FD52" w14:textId="77777777" w:rsidR="007873CC" w:rsidRDefault="007873CC" w:rsidP="007873CC">
      <w:pPr>
        <w:pStyle w:val="ListParagraph"/>
        <w:spacing w:line="480" w:lineRule="auto"/>
        <w:rPr>
          <w:rFonts w:cs="Times New Roman"/>
          <w:szCs w:val="24"/>
        </w:rPr>
      </w:pPr>
    </w:p>
    <w:p w14:paraId="25D4285A" w14:textId="77777777" w:rsidR="004E3E95" w:rsidRDefault="007873CC" w:rsidP="005B34A7">
      <w:pPr>
        <w:pStyle w:val="ListParagraph"/>
        <w:numPr>
          <w:ilvl w:val="0"/>
          <w:numId w:val="1"/>
        </w:numPr>
        <w:spacing w:line="480" w:lineRule="auto"/>
        <w:ind w:hanging="720"/>
        <w:rPr>
          <w:rFonts w:cs="Times New Roman"/>
          <w:szCs w:val="24"/>
        </w:rPr>
      </w:pPr>
      <w:r>
        <w:rPr>
          <w:rFonts w:cs="Times New Roman"/>
          <w:szCs w:val="24"/>
        </w:rPr>
        <w:t xml:space="preserve">Lord Wilson gave the majority judgment of the Board. In its view, </w:t>
      </w:r>
      <w:r w:rsidR="005B34A7">
        <w:rPr>
          <w:rFonts w:cs="Times New Roman"/>
          <w:szCs w:val="24"/>
        </w:rPr>
        <w:t>had the difficulty with the power of attorney been identified at the time of the 1986 conveyance, it could and would have been addressed, either by L executing the conveyance personally or executing a further power of attorney in appropriate form (para 21</w:t>
      </w:r>
      <w:r w:rsidR="00C16CC9">
        <w:rPr>
          <w:rFonts w:cs="Times New Roman"/>
          <w:szCs w:val="24"/>
        </w:rPr>
        <w:t>)</w:t>
      </w:r>
      <w:r w:rsidR="005B34A7">
        <w:rPr>
          <w:rFonts w:cs="Times New Roman"/>
          <w:szCs w:val="24"/>
        </w:rPr>
        <w:t>. T</w:t>
      </w:r>
      <w:r>
        <w:rPr>
          <w:rFonts w:cs="Times New Roman"/>
          <w:szCs w:val="24"/>
        </w:rPr>
        <w:t xml:space="preserve">he case was </w:t>
      </w:r>
      <w:r w:rsidR="005B34A7">
        <w:rPr>
          <w:rFonts w:cs="Times New Roman"/>
          <w:szCs w:val="24"/>
        </w:rPr>
        <w:t xml:space="preserve">therefore </w:t>
      </w:r>
      <w:r w:rsidR="005B34A7" w:rsidRPr="005B34A7">
        <w:rPr>
          <w:rFonts w:cs="Times New Roman"/>
          <w:i/>
          <w:szCs w:val="24"/>
        </w:rPr>
        <w:t>“an obvious case of a</w:t>
      </w:r>
      <w:r w:rsidR="005B34A7">
        <w:rPr>
          <w:rFonts w:cs="Times New Roman"/>
          <w:szCs w:val="24"/>
        </w:rPr>
        <w:t xml:space="preserve"> </w:t>
      </w:r>
      <w:r w:rsidR="005B34A7" w:rsidRPr="00C16CC9">
        <w:rPr>
          <w:rFonts w:cs="Times New Roman"/>
          <w:i/>
          <w:szCs w:val="24"/>
        </w:rPr>
        <w:t>f</w:t>
      </w:r>
      <w:r w:rsidRPr="007873CC">
        <w:rPr>
          <w:rFonts w:cs="Times New Roman"/>
          <w:i/>
          <w:szCs w:val="24"/>
        </w:rPr>
        <w:t>lawed transaction</w:t>
      </w:r>
      <w:r w:rsidR="005B34A7">
        <w:rPr>
          <w:rFonts w:cs="Times New Roman"/>
          <w:szCs w:val="24"/>
        </w:rPr>
        <w:t>” (para 22)</w:t>
      </w:r>
      <w:r w:rsidRPr="005B34A7">
        <w:rPr>
          <w:rFonts w:cs="Times New Roman"/>
          <w:szCs w:val="24"/>
        </w:rPr>
        <w:t>.</w:t>
      </w:r>
      <w:r w:rsidR="00C16CC9">
        <w:rPr>
          <w:rFonts w:cs="Times New Roman"/>
          <w:szCs w:val="24"/>
        </w:rPr>
        <w:t xml:space="preserve"> </w:t>
      </w:r>
      <w:r w:rsidR="005B34A7">
        <w:rPr>
          <w:rFonts w:cs="Times New Roman"/>
          <w:szCs w:val="24"/>
        </w:rPr>
        <w:t>That did not mean, by itself, that the claimants suffered actual damage on entry into the transaction (para 26). However, on the facts such damage had been suffered. The equitable interest was “</w:t>
      </w:r>
      <w:r w:rsidR="005B34A7" w:rsidRPr="005B34A7">
        <w:rPr>
          <w:rFonts w:cs="Times New Roman"/>
          <w:i/>
          <w:szCs w:val="24"/>
        </w:rPr>
        <w:t>significantly less valuable to them than a legal interest would have been</w:t>
      </w:r>
      <w:r w:rsidR="005B34A7">
        <w:rPr>
          <w:rFonts w:cs="Times New Roman"/>
          <w:szCs w:val="24"/>
        </w:rPr>
        <w:t>” (para 27</w:t>
      </w:r>
      <w:r w:rsidR="002A778F">
        <w:rPr>
          <w:rFonts w:cs="Times New Roman"/>
          <w:szCs w:val="24"/>
        </w:rPr>
        <w:t>(b)</w:t>
      </w:r>
      <w:r w:rsidR="005B34A7">
        <w:rPr>
          <w:rFonts w:cs="Times New Roman"/>
          <w:szCs w:val="24"/>
        </w:rPr>
        <w:t xml:space="preserve">). </w:t>
      </w:r>
      <w:r w:rsidR="002A778F">
        <w:rPr>
          <w:rFonts w:cs="Times New Roman"/>
          <w:szCs w:val="24"/>
        </w:rPr>
        <w:t>While the flaw could be remedied, that was not in the sole power of either the claimants or defendants and there was a risk that further costs would have to be incurred (para 27(c)). These risks “</w:t>
      </w:r>
      <w:r w:rsidR="002A778F" w:rsidRPr="002A778F">
        <w:rPr>
          <w:rFonts w:cs="Times New Roman"/>
          <w:i/>
          <w:szCs w:val="24"/>
        </w:rPr>
        <w:t>were such as to generate an immediate and (no doubt with difficulty) a quantifiable reduction from the value of the asset which the claimants should have received on 6 February 1986 to the va</w:t>
      </w:r>
      <w:r w:rsidR="00ED14D2">
        <w:rPr>
          <w:rFonts w:cs="Times New Roman"/>
          <w:i/>
          <w:szCs w:val="24"/>
        </w:rPr>
        <w:t>l</w:t>
      </w:r>
      <w:r w:rsidR="002A778F" w:rsidRPr="002A778F">
        <w:rPr>
          <w:rFonts w:cs="Times New Roman"/>
          <w:i/>
          <w:szCs w:val="24"/>
        </w:rPr>
        <w:t>ue of the asset which they did receive</w:t>
      </w:r>
      <w:r w:rsidR="002A778F">
        <w:rPr>
          <w:rFonts w:cs="Times New Roman"/>
          <w:szCs w:val="24"/>
        </w:rPr>
        <w:t>.” (para 28). These risks were not, in the Board’s view, such as to render the claimant’s loss “</w:t>
      </w:r>
      <w:r w:rsidR="002A778F" w:rsidRPr="00FB7F0B">
        <w:rPr>
          <w:rFonts w:cs="Times New Roman"/>
          <w:i/>
          <w:szCs w:val="24"/>
        </w:rPr>
        <w:t>purely contingent</w:t>
      </w:r>
      <w:r w:rsidR="002A778F">
        <w:rPr>
          <w:rFonts w:cs="Times New Roman"/>
          <w:szCs w:val="24"/>
        </w:rPr>
        <w:t xml:space="preserve">” (ibid, referring to </w:t>
      </w:r>
      <w:r w:rsidR="002A778F" w:rsidRPr="002A778F">
        <w:rPr>
          <w:rFonts w:cs="Times New Roman"/>
          <w:i/>
          <w:szCs w:val="24"/>
        </w:rPr>
        <w:t>Sephton</w:t>
      </w:r>
      <w:r w:rsidR="002A778F">
        <w:rPr>
          <w:rFonts w:cs="Times New Roman"/>
          <w:szCs w:val="24"/>
        </w:rPr>
        <w:t>).</w:t>
      </w:r>
    </w:p>
    <w:p w14:paraId="571CDE4F" w14:textId="77777777" w:rsidR="002A778F" w:rsidRDefault="002A778F" w:rsidP="002A778F">
      <w:pPr>
        <w:pStyle w:val="ListParagraph"/>
        <w:spacing w:line="480" w:lineRule="auto"/>
        <w:rPr>
          <w:rFonts w:cs="Times New Roman"/>
          <w:szCs w:val="24"/>
        </w:rPr>
      </w:pPr>
    </w:p>
    <w:p w14:paraId="09895FD5" w14:textId="77777777" w:rsidR="002A778F" w:rsidRPr="005B34A7" w:rsidRDefault="002A778F" w:rsidP="005B34A7">
      <w:pPr>
        <w:pStyle w:val="ListParagraph"/>
        <w:numPr>
          <w:ilvl w:val="0"/>
          <w:numId w:val="1"/>
        </w:numPr>
        <w:spacing w:line="480" w:lineRule="auto"/>
        <w:ind w:hanging="720"/>
        <w:rPr>
          <w:rFonts w:cs="Times New Roman"/>
          <w:szCs w:val="24"/>
        </w:rPr>
      </w:pPr>
      <w:r>
        <w:rPr>
          <w:rFonts w:cs="Times New Roman"/>
          <w:szCs w:val="24"/>
        </w:rPr>
        <w:t>The Judge was of the view that</w:t>
      </w:r>
      <w:r w:rsidR="0005074F">
        <w:rPr>
          <w:rFonts w:cs="Times New Roman"/>
          <w:szCs w:val="24"/>
        </w:rPr>
        <w:t xml:space="preserve"> the reasoning of the Board in </w:t>
      </w:r>
      <w:r w:rsidR="0005074F" w:rsidRPr="0005074F">
        <w:rPr>
          <w:rFonts w:cs="Times New Roman"/>
          <w:i/>
          <w:szCs w:val="24"/>
        </w:rPr>
        <w:t>Maharaj</w:t>
      </w:r>
      <w:r>
        <w:rPr>
          <w:rFonts w:cs="Times New Roman"/>
          <w:szCs w:val="24"/>
        </w:rPr>
        <w:t xml:space="preserve"> </w:t>
      </w:r>
      <w:r w:rsidR="0005074F">
        <w:rPr>
          <w:rFonts w:cs="Times New Roman"/>
          <w:szCs w:val="24"/>
        </w:rPr>
        <w:t xml:space="preserve">is not consistent with the Supreme Court’s decision in </w:t>
      </w:r>
      <w:r w:rsidR="0005074F" w:rsidRPr="0005074F">
        <w:rPr>
          <w:rFonts w:cs="Times New Roman"/>
          <w:i/>
          <w:szCs w:val="24"/>
        </w:rPr>
        <w:t>Brandley</w:t>
      </w:r>
      <w:r w:rsidR="0005074F">
        <w:rPr>
          <w:rFonts w:cs="Times New Roman"/>
          <w:szCs w:val="24"/>
        </w:rPr>
        <w:t xml:space="preserve"> because it failed to have regard to the fundamental distinction between “</w:t>
      </w:r>
      <w:r w:rsidR="0005074F" w:rsidRPr="0005074F">
        <w:rPr>
          <w:rFonts w:cs="Times New Roman"/>
          <w:i/>
          <w:szCs w:val="24"/>
        </w:rPr>
        <w:t>defect</w:t>
      </w:r>
      <w:r w:rsidR="0005074F">
        <w:rPr>
          <w:rFonts w:cs="Times New Roman"/>
          <w:szCs w:val="24"/>
        </w:rPr>
        <w:t>” and “</w:t>
      </w:r>
      <w:r w:rsidR="0005074F" w:rsidRPr="0005074F">
        <w:rPr>
          <w:rFonts w:cs="Times New Roman"/>
          <w:i/>
          <w:szCs w:val="24"/>
        </w:rPr>
        <w:t>damage</w:t>
      </w:r>
      <w:r w:rsidR="0005074F">
        <w:rPr>
          <w:rFonts w:cs="Times New Roman"/>
          <w:szCs w:val="24"/>
        </w:rPr>
        <w:t>”</w:t>
      </w:r>
      <w:r w:rsidR="00A97CB7">
        <w:rPr>
          <w:rFonts w:cs="Times New Roman"/>
          <w:szCs w:val="24"/>
        </w:rPr>
        <w:t xml:space="preserve"> (Judgment, para 22). </w:t>
      </w:r>
      <w:r w:rsidR="0005074F">
        <w:rPr>
          <w:rFonts w:cs="Times New Roman"/>
          <w:szCs w:val="24"/>
        </w:rPr>
        <w:t xml:space="preserve">As I have </w:t>
      </w:r>
      <w:r w:rsidR="00FB7F0B">
        <w:rPr>
          <w:rFonts w:cs="Times New Roman"/>
          <w:szCs w:val="24"/>
        </w:rPr>
        <w:t>explained, I do no</w:t>
      </w:r>
      <w:r w:rsidR="00A97CB7">
        <w:rPr>
          <w:rFonts w:cs="Times New Roman"/>
          <w:szCs w:val="24"/>
        </w:rPr>
        <w:t>t</w:t>
      </w:r>
      <w:r w:rsidR="00FB7F0B">
        <w:rPr>
          <w:rFonts w:cs="Times New Roman"/>
          <w:szCs w:val="24"/>
        </w:rPr>
        <w:t xml:space="preserve"> consider that this case presents any </w:t>
      </w:r>
      <w:r w:rsidR="00FB7F0B">
        <w:rPr>
          <w:rFonts w:cs="Times New Roman"/>
          <w:szCs w:val="24"/>
        </w:rPr>
        <w:lastRenderedPageBreak/>
        <w:t xml:space="preserve">meaningful analogy with the position in </w:t>
      </w:r>
      <w:r w:rsidR="00FB7F0B" w:rsidRPr="003B7D09">
        <w:rPr>
          <w:rFonts w:cs="Times New Roman"/>
          <w:i/>
          <w:szCs w:val="24"/>
        </w:rPr>
        <w:t>Brandley</w:t>
      </w:r>
      <w:r w:rsidR="00FB7F0B">
        <w:rPr>
          <w:rFonts w:cs="Times New Roman"/>
          <w:szCs w:val="24"/>
        </w:rPr>
        <w:t xml:space="preserve">; nor, in my opinion, is there any inconsistency between </w:t>
      </w:r>
      <w:r w:rsidR="00FB7F0B" w:rsidRPr="00FB7F0B">
        <w:rPr>
          <w:rFonts w:cs="Times New Roman"/>
          <w:i/>
          <w:szCs w:val="24"/>
        </w:rPr>
        <w:t>Mahara</w:t>
      </w:r>
      <w:r w:rsidR="00FB7F0B">
        <w:rPr>
          <w:rFonts w:cs="Times New Roman"/>
          <w:i/>
          <w:szCs w:val="24"/>
        </w:rPr>
        <w:t>j</w:t>
      </w:r>
      <w:r w:rsidR="00FB7F0B">
        <w:rPr>
          <w:rFonts w:cs="Times New Roman"/>
          <w:szCs w:val="24"/>
        </w:rPr>
        <w:t xml:space="preserve"> and </w:t>
      </w:r>
      <w:r w:rsidR="00FB7F0B" w:rsidRPr="00FB7F0B">
        <w:rPr>
          <w:rFonts w:cs="Times New Roman"/>
          <w:i/>
          <w:szCs w:val="24"/>
        </w:rPr>
        <w:t>Brandley</w:t>
      </w:r>
      <w:r w:rsidR="00FB7F0B">
        <w:rPr>
          <w:rFonts w:cs="Times New Roman"/>
          <w:szCs w:val="24"/>
        </w:rPr>
        <w:t xml:space="preserve">, The analytical framework in </w:t>
      </w:r>
      <w:r w:rsidR="00FB7F0B" w:rsidRPr="00FB7F0B">
        <w:rPr>
          <w:rFonts w:cs="Times New Roman"/>
          <w:i/>
          <w:szCs w:val="24"/>
        </w:rPr>
        <w:t>Maharaj</w:t>
      </w:r>
      <w:r w:rsidR="00FB7F0B">
        <w:rPr>
          <w:rFonts w:cs="Times New Roman"/>
          <w:szCs w:val="24"/>
        </w:rPr>
        <w:t xml:space="preserve"> – and in particular its focus on the issue of whether the claimants suffered actual damage, and not merely contingent loss or damage, at the point of entering the 1986 transaction – appears to me to be entirely consistent with </w:t>
      </w:r>
      <w:r w:rsidR="00FB7F0B" w:rsidRPr="00FB7F0B">
        <w:rPr>
          <w:rFonts w:cs="Times New Roman"/>
          <w:i/>
          <w:szCs w:val="24"/>
        </w:rPr>
        <w:t>Gallagher</w:t>
      </w:r>
      <w:r w:rsidR="00FB7F0B">
        <w:rPr>
          <w:rFonts w:cs="Times New Roman"/>
          <w:szCs w:val="24"/>
        </w:rPr>
        <w:t xml:space="preserve">, </w:t>
      </w:r>
      <w:r w:rsidR="00FB7F0B" w:rsidRPr="00FB7F0B">
        <w:rPr>
          <w:rFonts w:cs="Times New Roman"/>
          <w:i/>
          <w:szCs w:val="24"/>
        </w:rPr>
        <w:t>Brandley</w:t>
      </w:r>
      <w:r w:rsidR="00FB7F0B">
        <w:rPr>
          <w:rFonts w:cs="Times New Roman"/>
          <w:szCs w:val="24"/>
        </w:rPr>
        <w:t xml:space="preserve"> and </w:t>
      </w:r>
      <w:r w:rsidR="00FB7F0B" w:rsidRPr="00FB7F0B">
        <w:rPr>
          <w:rFonts w:cs="Times New Roman"/>
          <w:i/>
          <w:szCs w:val="24"/>
        </w:rPr>
        <w:t>Cantrell</w:t>
      </w:r>
      <w:r w:rsidR="00FB7F0B">
        <w:rPr>
          <w:rFonts w:cs="Times New Roman"/>
          <w:szCs w:val="24"/>
        </w:rPr>
        <w:t xml:space="preserve">. </w:t>
      </w:r>
    </w:p>
    <w:p w14:paraId="762E2DC4" w14:textId="77777777" w:rsidR="000524E1" w:rsidRPr="000524E1" w:rsidRDefault="000524E1" w:rsidP="000524E1">
      <w:pPr>
        <w:pStyle w:val="ListParagraph"/>
        <w:spacing w:line="480" w:lineRule="auto"/>
        <w:rPr>
          <w:rFonts w:cs="Times New Roman"/>
          <w:szCs w:val="24"/>
        </w:rPr>
      </w:pPr>
    </w:p>
    <w:p w14:paraId="649EABAA" w14:textId="77777777" w:rsidR="00D8782F" w:rsidRDefault="00FB7F0B" w:rsidP="00674237">
      <w:pPr>
        <w:pStyle w:val="ListParagraph"/>
        <w:numPr>
          <w:ilvl w:val="0"/>
          <w:numId w:val="1"/>
        </w:numPr>
        <w:spacing w:line="480" w:lineRule="auto"/>
        <w:ind w:hanging="720"/>
        <w:rPr>
          <w:rFonts w:cs="Times New Roman"/>
          <w:szCs w:val="24"/>
        </w:rPr>
      </w:pPr>
      <w:r w:rsidRPr="00C11CBF">
        <w:rPr>
          <w:rFonts w:cs="Times New Roman"/>
          <w:szCs w:val="24"/>
        </w:rPr>
        <w:t xml:space="preserve">The Judge appears to have been of the view that, if the reasoning of the Board in </w:t>
      </w:r>
      <w:r w:rsidRPr="00C11CBF">
        <w:rPr>
          <w:rFonts w:cs="Times New Roman"/>
          <w:i/>
          <w:szCs w:val="24"/>
        </w:rPr>
        <w:t>Maharaj</w:t>
      </w:r>
      <w:r w:rsidRPr="00C11CBF">
        <w:rPr>
          <w:rFonts w:cs="Times New Roman"/>
          <w:szCs w:val="24"/>
        </w:rPr>
        <w:t xml:space="preserve"> were applied here, it would follow that the transaction of July 2006 was a </w:t>
      </w:r>
      <w:r w:rsidRPr="00C11CBF">
        <w:rPr>
          <w:rFonts w:cs="Times New Roman"/>
          <w:i/>
          <w:szCs w:val="24"/>
        </w:rPr>
        <w:t>“flawed transaction</w:t>
      </w:r>
      <w:r w:rsidRPr="00C11CBF">
        <w:rPr>
          <w:rFonts w:cs="Times New Roman"/>
          <w:szCs w:val="24"/>
        </w:rPr>
        <w:t>” and tha</w:t>
      </w:r>
      <w:r w:rsidR="00A97CB7" w:rsidRPr="00C11CBF">
        <w:rPr>
          <w:rFonts w:cs="Times New Roman"/>
          <w:szCs w:val="24"/>
        </w:rPr>
        <w:t xml:space="preserve">t it was at that point that the damage occurred (Judgment, at para 22). </w:t>
      </w:r>
      <w:r w:rsidR="00146ABC" w:rsidRPr="00C11CBF">
        <w:rPr>
          <w:rFonts w:cs="Times New Roman"/>
          <w:szCs w:val="24"/>
        </w:rPr>
        <w:t xml:space="preserve">In my view, there </w:t>
      </w:r>
      <w:r w:rsidR="0084549F" w:rsidRPr="00C11CBF">
        <w:rPr>
          <w:rFonts w:cs="Times New Roman"/>
          <w:szCs w:val="24"/>
        </w:rPr>
        <w:t>may be</w:t>
      </w:r>
      <w:r w:rsidR="00146ABC" w:rsidRPr="00C11CBF">
        <w:rPr>
          <w:rFonts w:cs="Times New Roman"/>
          <w:szCs w:val="24"/>
        </w:rPr>
        <w:t xml:space="preserve"> scope for argument as to whether </w:t>
      </w:r>
      <w:r w:rsidR="00A97CB7" w:rsidRPr="00C11CBF">
        <w:rPr>
          <w:rFonts w:cs="Times New Roman"/>
          <w:szCs w:val="24"/>
        </w:rPr>
        <w:t xml:space="preserve"> this is a “</w:t>
      </w:r>
      <w:r w:rsidR="00A97CB7" w:rsidRPr="00C11CBF">
        <w:rPr>
          <w:rFonts w:cs="Times New Roman"/>
          <w:i/>
          <w:szCs w:val="24"/>
        </w:rPr>
        <w:t>flawed transaction</w:t>
      </w:r>
      <w:r w:rsidR="00A97CB7" w:rsidRPr="00C11CBF">
        <w:rPr>
          <w:rFonts w:cs="Times New Roman"/>
          <w:szCs w:val="24"/>
        </w:rPr>
        <w:t>” case.</w:t>
      </w:r>
      <w:r w:rsidR="00146ABC" w:rsidRPr="00C11CBF">
        <w:rPr>
          <w:rFonts w:cs="Times New Roman"/>
          <w:szCs w:val="24"/>
        </w:rPr>
        <w:t xml:space="preserve"> </w:t>
      </w:r>
      <w:r w:rsidR="00A97CB7" w:rsidRPr="00C11CBF">
        <w:rPr>
          <w:rFonts w:cs="Times New Roman"/>
          <w:szCs w:val="24"/>
        </w:rPr>
        <w:t>If the planning issues had been identified prior to completion, it may be that they would have</w:t>
      </w:r>
      <w:r w:rsidR="00D8782F" w:rsidRPr="00C11CBF">
        <w:rPr>
          <w:rFonts w:cs="Times New Roman"/>
          <w:szCs w:val="24"/>
        </w:rPr>
        <w:t xml:space="preserve"> been</w:t>
      </w:r>
      <w:r w:rsidR="00A97CB7" w:rsidRPr="00C11CBF">
        <w:rPr>
          <w:rFonts w:cs="Times New Roman"/>
          <w:szCs w:val="24"/>
        </w:rPr>
        <w:t xml:space="preserve"> remedied and that the </w:t>
      </w:r>
      <w:r w:rsidR="00D8782F" w:rsidRPr="00C11CBF">
        <w:rPr>
          <w:rFonts w:cs="Times New Roman"/>
          <w:szCs w:val="24"/>
        </w:rPr>
        <w:t xml:space="preserve">purchase of the Property would have proceeded. The fact that the Vendors successfully applied for retention when the difficulties became apparent in 2008 </w:t>
      </w:r>
      <w:r w:rsidR="00005537" w:rsidRPr="00C11CBF">
        <w:rPr>
          <w:rFonts w:cs="Times New Roman"/>
          <w:szCs w:val="24"/>
        </w:rPr>
        <w:t xml:space="preserve">seems to </w:t>
      </w:r>
      <w:r w:rsidR="00D8782F" w:rsidRPr="00C11CBF">
        <w:rPr>
          <w:rFonts w:cs="Times New Roman"/>
          <w:szCs w:val="24"/>
        </w:rPr>
        <w:t xml:space="preserve">support such a supposition. But it may be that the Plaintiff  and his wife would not have proceeded in such circumstances. </w:t>
      </w:r>
      <w:r w:rsidR="000751B4" w:rsidRPr="00C11CBF">
        <w:rPr>
          <w:rFonts w:cs="Times New Roman"/>
          <w:szCs w:val="24"/>
        </w:rPr>
        <w:t xml:space="preserve">The Plaintiff’s pleadings are rather lacking in clarity on this issue. </w:t>
      </w:r>
      <w:r w:rsidR="0084549F" w:rsidRPr="00C11CBF">
        <w:rPr>
          <w:rFonts w:cs="Times New Roman"/>
          <w:szCs w:val="24"/>
        </w:rPr>
        <w:t>As I have observed, however, the claim is not pleaded as a “</w:t>
      </w:r>
      <w:r w:rsidR="0084549F" w:rsidRPr="00C11CBF">
        <w:rPr>
          <w:rFonts w:cs="Times New Roman"/>
          <w:i/>
          <w:szCs w:val="24"/>
        </w:rPr>
        <w:t>no-transaction”</w:t>
      </w:r>
      <w:r w:rsidR="0084549F" w:rsidRPr="00C11CBF">
        <w:rPr>
          <w:rFonts w:cs="Times New Roman"/>
          <w:szCs w:val="24"/>
        </w:rPr>
        <w:t xml:space="preserve"> case and </w:t>
      </w:r>
      <w:r w:rsidR="000751B4" w:rsidRPr="00C11CBF">
        <w:rPr>
          <w:rFonts w:cs="Times New Roman"/>
          <w:szCs w:val="24"/>
        </w:rPr>
        <w:t>the argument that the damage suffered by him was the loss of the sale in 2008 appears to suggest that the claim is indeed one based on a “</w:t>
      </w:r>
      <w:r w:rsidR="000751B4" w:rsidRPr="00C11CBF">
        <w:rPr>
          <w:rFonts w:cs="Times New Roman"/>
          <w:i/>
          <w:szCs w:val="24"/>
        </w:rPr>
        <w:t>flawed transaction”.</w:t>
      </w:r>
      <w:r w:rsidR="000751B4" w:rsidRPr="00C11CBF">
        <w:rPr>
          <w:rFonts w:cs="Times New Roman"/>
          <w:szCs w:val="24"/>
        </w:rPr>
        <w:t xml:space="preserve">  </w:t>
      </w:r>
      <w:r w:rsidR="00D8782F" w:rsidRPr="00C11CBF">
        <w:rPr>
          <w:rFonts w:cs="Times New Roman"/>
          <w:szCs w:val="24"/>
        </w:rPr>
        <w:t xml:space="preserve">But even if </w:t>
      </w:r>
      <w:r w:rsidR="000751B4" w:rsidRPr="00C11CBF">
        <w:rPr>
          <w:rFonts w:cs="Times New Roman"/>
          <w:szCs w:val="24"/>
        </w:rPr>
        <w:t xml:space="preserve">that is so, </w:t>
      </w:r>
      <w:r w:rsidR="00A97CB7" w:rsidRPr="00C11CBF">
        <w:rPr>
          <w:rFonts w:cs="Times New Roman"/>
          <w:szCs w:val="24"/>
        </w:rPr>
        <w:t xml:space="preserve">it </w:t>
      </w:r>
      <w:r w:rsidR="00005537" w:rsidRPr="00C11CBF">
        <w:rPr>
          <w:rFonts w:cs="Times New Roman"/>
          <w:szCs w:val="24"/>
        </w:rPr>
        <w:t>does</w:t>
      </w:r>
      <w:r w:rsidR="00A97CB7" w:rsidRPr="00C11CBF">
        <w:rPr>
          <w:rFonts w:cs="Times New Roman"/>
          <w:szCs w:val="24"/>
        </w:rPr>
        <w:t xml:space="preserve"> not </w:t>
      </w:r>
      <w:r w:rsidR="00A97CB7" w:rsidRPr="00C11CBF">
        <w:rPr>
          <w:rFonts w:cs="Times New Roman"/>
          <w:i/>
          <w:szCs w:val="24"/>
        </w:rPr>
        <w:t>necessarily</w:t>
      </w:r>
      <w:r w:rsidR="00A97CB7" w:rsidRPr="00C11CBF">
        <w:rPr>
          <w:rFonts w:cs="Times New Roman"/>
          <w:szCs w:val="24"/>
        </w:rPr>
        <w:t xml:space="preserve"> follow that the Plaintiff had suffered actual damage on entering into it. The issue is in every case to be assessed by reference to the particular facts, not </w:t>
      </w:r>
      <w:r w:rsidR="00C531F2">
        <w:rPr>
          <w:rFonts w:cs="Times New Roman"/>
          <w:szCs w:val="24"/>
        </w:rPr>
        <w:t xml:space="preserve">determined </w:t>
      </w:r>
      <w:r w:rsidR="00A97CB7" w:rsidRPr="00C11CBF">
        <w:rPr>
          <w:rFonts w:cs="Times New Roman"/>
          <w:szCs w:val="24"/>
        </w:rPr>
        <w:t xml:space="preserve">by the application of any </w:t>
      </w:r>
      <w:r w:rsidR="00A97CB7" w:rsidRPr="00C11CBF">
        <w:rPr>
          <w:rFonts w:cs="Times New Roman"/>
          <w:i/>
          <w:szCs w:val="24"/>
        </w:rPr>
        <w:t>a priori</w:t>
      </w:r>
      <w:r w:rsidR="00A97CB7" w:rsidRPr="00C11CBF">
        <w:rPr>
          <w:rFonts w:cs="Times New Roman"/>
          <w:szCs w:val="24"/>
        </w:rPr>
        <w:t xml:space="preserve"> rule. That point is made by Fennelly J in </w:t>
      </w:r>
      <w:r w:rsidR="00A97CB7" w:rsidRPr="00C11CBF">
        <w:rPr>
          <w:rFonts w:cs="Times New Roman"/>
          <w:i/>
          <w:szCs w:val="24"/>
        </w:rPr>
        <w:t>Gallagher</w:t>
      </w:r>
      <w:r w:rsidR="00A97CB7" w:rsidRPr="00C11CBF">
        <w:rPr>
          <w:rFonts w:cs="Times New Roman"/>
          <w:szCs w:val="24"/>
        </w:rPr>
        <w:t xml:space="preserve"> and by </w:t>
      </w:r>
      <w:r w:rsidR="00E928EB">
        <w:rPr>
          <w:rFonts w:cs="Times New Roman"/>
          <w:szCs w:val="24"/>
        </w:rPr>
        <w:t>O’Donnell</w:t>
      </w:r>
      <w:r w:rsidR="00A97CB7" w:rsidRPr="00C11CBF">
        <w:rPr>
          <w:rFonts w:cs="Times New Roman"/>
          <w:szCs w:val="24"/>
        </w:rPr>
        <w:t xml:space="preserve"> J in </w:t>
      </w:r>
      <w:r w:rsidR="00A97CB7" w:rsidRPr="00C11CBF">
        <w:rPr>
          <w:rFonts w:cs="Times New Roman"/>
          <w:i/>
          <w:szCs w:val="24"/>
        </w:rPr>
        <w:t>Cantrell</w:t>
      </w:r>
      <w:r w:rsidR="00A97CB7" w:rsidRPr="00C11CBF">
        <w:rPr>
          <w:rFonts w:cs="Times New Roman"/>
          <w:szCs w:val="24"/>
        </w:rPr>
        <w:t xml:space="preserve">. </w:t>
      </w:r>
      <w:r w:rsidR="00A97CB7" w:rsidRPr="00C11CBF">
        <w:rPr>
          <w:rFonts w:cs="Times New Roman"/>
          <w:szCs w:val="24"/>
        </w:rPr>
        <w:lastRenderedPageBreak/>
        <w:t xml:space="preserve">It is also made by the Board in </w:t>
      </w:r>
      <w:r w:rsidR="00A97CB7" w:rsidRPr="00C11CBF">
        <w:rPr>
          <w:rFonts w:cs="Times New Roman"/>
          <w:i/>
          <w:szCs w:val="24"/>
        </w:rPr>
        <w:t>Maharaj</w:t>
      </w:r>
      <w:r w:rsidR="00A97CB7" w:rsidRPr="00C11CBF">
        <w:rPr>
          <w:rFonts w:cs="Times New Roman"/>
          <w:szCs w:val="24"/>
        </w:rPr>
        <w:t>.</w:t>
      </w:r>
      <w:r w:rsidR="00D8782F" w:rsidRPr="00C11CBF">
        <w:rPr>
          <w:rFonts w:cs="Times New Roman"/>
          <w:szCs w:val="24"/>
        </w:rPr>
        <w:t xml:space="preserve"> So the question in all cases is when actual damage was suffered. For the reasons set out already, it seems to me that, however the 2006 transaction falls to be characterised in terms of “</w:t>
      </w:r>
      <w:r w:rsidR="00D8782F" w:rsidRPr="00C11CBF">
        <w:rPr>
          <w:rFonts w:cs="Times New Roman"/>
          <w:i/>
          <w:szCs w:val="24"/>
        </w:rPr>
        <w:t>no transaction</w:t>
      </w:r>
      <w:r w:rsidR="00D8782F" w:rsidRPr="00C11CBF">
        <w:rPr>
          <w:rFonts w:cs="Times New Roman"/>
          <w:szCs w:val="24"/>
        </w:rPr>
        <w:t>”, “</w:t>
      </w:r>
      <w:r w:rsidR="00D8782F" w:rsidRPr="00C11CBF">
        <w:rPr>
          <w:rFonts w:cs="Times New Roman"/>
          <w:i/>
          <w:szCs w:val="24"/>
        </w:rPr>
        <w:t>flawed transaction</w:t>
      </w:r>
      <w:r w:rsidR="00D8782F" w:rsidRPr="00C11CBF">
        <w:rPr>
          <w:rFonts w:cs="Times New Roman"/>
          <w:szCs w:val="24"/>
        </w:rPr>
        <w:t>” or “</w:t>
      </w:r>
      <w:r w:rsidR="00D8782F" w:rsidRPr="00C11CBF">
        <w:rPr>
          <w:rFonts w:cs="Times New Roman"/>
          <w:i/>
          <w:szCs w:val="24"/>
        </w:rPr>
        <w:t>intermediate transaction”</w:t>
      </w:r>
      <w:r w:rsidR="00D8782F" w:rsidRPr="00C11CBF">
        <w:rPr>
          <w:rFonts w:cs="Times New Roman"/>
          <w:szCs w:val="24"/>
        </w:rPr>
        <w:t>, immediate loss and damage was suffered by the Plaintiff and his wife in 2006.</w:t>
      </w:r>
    </w:p>
    <w:p w14:paraId="362C9584" w14:textId="77777777" w:rsidR="00B52B69" w:rsidRDefault="00B52B69">
      <w:pPr>
        <w:widowControl/>
        <w:spacing w:after="160" w:line="259" w:lineRule="auto"/>
        <w:jc w:val="left"/>
        <w:rPr>
          <w:rFonts w:cs="Times New Roman"/>
          <w:szCs w:val="24"/>
        </w:rPr>
      </w:pPr>
      <w:r>
        <w:rPr>
          <w:rFonts w:cs="Times New Roman"/>
          <w:szCs w:val="24"/>
        </w:rPr>
        <w:br w:type="page"/>
      </w:r>
    </w:p>
    <w:p w14:paraId="6770ACFC" w14:textId="77777777" w:rsidR="00B52B69" w:rsidRDefault="00B52B69">
      <w:pPr>
        <w:widowControl/>
        <w:spacing w:after="160" w:line="259" w:lineRule="auto"/>
        <w:jc w:val="left"/>
        <w:rPr>
          <w:rFonts w:cs="Times New Roman"/>
          <w:szCs w:val="24"/>
        </w:rPr>
      </w:pPr>
    </w:p>
    <w:p w14:paraId="68A93D0D" w14:textId="77777777" w:rsidR="00A97CB7" w:rsidRPr="00D8782F" w:rsidRDefault="00D8782F" w:rsidP="00D8782F">
      <w:pPr>
        <w:pStyle w:val="ListParagraph"/>
        <w:spacing w:line="480" w:lineRule="auto"/>
        <w:ind w:left="-142"/>
        <w:jc w:val="center"/>
        <w:rPr>
          <w:rFonts w:cs="Times New Roman"/>
          <w:b/>
          <w:szCs w:val="24"/>
        </w:rPr>
      </w:pPr>
      <w:bookmarkStart w:id="14" w:name="_Hlk83991644"/>
      <w:r w:rsidRPr="00D8782F">
        <w:rPr>
          <w:rFonts w:cs="Times New Roman"/>
          <w:b/>
          <w:szCs w:val="24"/>
        </w:rPr>
        <w:t>CONCLUSION</w:t>
      </w:r>
      <w:r w:rsidR="00005537">
        <w:rPr>
          <w:rFonts w:cs="Times New Roman"/>
          <w:b/>
          <w:szCs w:val="24"/>
        </w:rPr>
        <w:t>S</w:t>
      </w:r>
      <w:r w:rsidRPr="00D8782F">
        <w:rPr>
          <w:rFonts w:cs="Times New Roman"/>
          <w:b/>
          <w:szCs w:val="24"/>
        </w:rPr>
        <w:t xml:space="preserve"> AND ORDER</w:t>
      </w:r>
    </w:p>
    <w:p w14:paraId="3F97FF14" w14:textId="77777777" w:rsidR="00D31FFE" w:rsidRDefault="00D31FFE" w:rsidP="00D31FFE">
      <w:pPr>
        <w:pStyle w:val="ListParagraph"/>
        <w:spacing w:line="480" w:lineRule="auto"/>
        <w:rPr>
          <w:rFonts w:cs="Times New Roman"/>
          <w:szCs w:val="24"/>
        </w:rPr>
      </w:pPr>
    </w:p>
    <w:p w14:paraId="4521768F" w14:textId="77777777" w:rsidR="00F75C00" w:rsidRDefault="00D8782F" w:rsidP="00D8782F">
      <w:pPr>
        <w:pStyle w:val="ListParagraph"/>
        <w:numPr>
          <w:ilvl w:val="0"/>
          <w:numId w:val="1"/>
        </w:numPr>
        <w:spacing w:line="480" w:lineRule="auto"/>
        <w:ind w:hanging="862"/>
        <w:rPr>
          <w:rFonts w:cs="Times New Roman"/>
          <w:szCs w:val="24"/>
        </w:rPr>
      </w:pPr>
      <w:r>
        <w:rPr>
          <w:rFonts w:cs="Times New Roman"/>
          <w:szCs w:val="24"/>
        </w:rPr>
        <w:t>For the reasons set out in this judgment, I have come to a different view to that of the Judge</w:t>
      </w:r>
      <w:r w:rsidR="00E91A7D">
        <w:rPr>
          <w:rFonts w:cs="Times New Roman"/>
          <w:szCs w:val="24"/>
        </w:rPr>
        <w:t xml:space="preserve"> as to the appropriate resolution of the preliminary issue before the Court. In my view, any alleged negligence on the part of the Solicitors in relation to the purchase of the Property in July 2006 resulted in actual damage at the time of the transaction. </w:t>
      </w:r>
      <w:r w:rsidR="00F75C00">
        <w:rPr>
          <w:rFonts w:cs="Times New Roman"/>
          <w:szCs w:val="24"/>
        </w:rPr>
        <w:t xml:space="preserve">In arriving at that conclusion, I am conscious of the injunction in </w:t>
      </w:r>
      <w:r w:rsidR="00F75C00" w:rsidRPr="00F75C00">
        <w:rPr>
          <w:rFonts w:cs="Times New Roman"/>
          <w:i/>
          <w:szCs w:val="24"/>
        </w:rPr>
        <w:t>Cantrell</w:t>
      </w:r>
      <w:r w:rsidR="00F75C00">
        <w:rPr>
          <w:rFonts w:cs="Times New Roman"/>
          <w:szCs w:val="24"/>
        </w:rPr>
        <w:t xml:space="preserve"> to avoid any overly-refined or theoretical conception of damage and instead  to prefer </w:t>
      </w:r>
      <w:r w:rsidR="00F75C00" w:rsidRPr="00F75C00">
        <w:rPr>
          <w:rFonts w:cs="Times New Roman"/>
          <w:i/>
          <w:szCs w:val="24"/>
        </w:rPr>
        <w:t>“sensible pragmatism</w:t>
      </w:r>
      <w:r w:rsidR="00F75C00">
        <w:rPr>
          <w:rFonts w:cs="Times New Roman"/>
          <w:i/>
          <w:szCs w:val="24"/>
        </w:rPr>
        <w:t xml:space="preserve"> to relentless logic.”</w:t>
      </w:r>
      <w:r w:rsidR="008206BC">
        <w:rPr>
          <w:rFonts w:cs="Times New Roman"/>
          <w:i/>
          <w:szCs w:val="24"/>
        </w:rPr>
        <w:t xml:space="preserve"> </w:t>
      </w:r>
      <w:r w:rsidR="008206BC">
        <w:rPr>
          <w:rFonts w:cs="Times New Roman"/>
          <w:szCs w:val="24"/>
        </w:rPr>
        <w:t xml:space="preserve">In the particular circumstances here, that approach seems to me to point clearly to the conclusion that </w:t>
      </w:r>
      <w:r w:rsidR="008206BC" w:rsidRPr="008206BC">
        <w:rPr>
          <w:rFonts w:cs="Times New Roman"/>
          <w:i/>
          <w:szCs w:val="24"/>
        </w:rPr>
        <w:t>“real actual damage, which a person would consider commencing proceedings for</w:t>
      </w:r>
      <w:r w:rsidR="008206BC">
        <w:rPr>
          <w:rFonts w:cs="Times New Roman"/>
          <w:szCs w:val="24"/>
        </w:rPr>
        <w:t xml:space="preserve">” was sustained </w:t>
      </w:r>
      <w:r w:rsidR="00C16CC9">
        <w:rPr>
          <w:rFonts w:cs="Times New Roman"/>
          <w:szCs w:val="24"/>
        </w:rPr>
        <w:t xml:space="preserve">upon </w:t>
      </w:r>
      <w:r w:rsidR="008206BC">
        <w:rPr>
          <w:rFonts w:cs="Times New Roman"/>
          <w:szCs w:val="24"/>
        </w:rPr>
        <w:t xml:space="preserve">completion </w:t>
      </w:r>
      <w:r w:rsidR="00C16CC9">
        <w:rPr>
          <w:rFonts w:cs="Times New Roman"/>
          <w:szCs w:val="24"/>
        </w:rPr>
        <w:t>of the purchase</w:t>
      </w:r>
      <w:r w:rsidR="008206BC">
        <w:rPr>
          <w:rFonts w:cs="Times New Roman"/>
          <w:szCs w:val="24"/>
        </w:rPr>
        <w:t xml:space="preserve"> in July 2006.</w:t>
      </w:r>
      <w:r w:rsidR="003A26DE">
        <w:rPr>
          <w:rFonts w:cs="Times New Roman"/>
          <w:szCs w:val="24"/>
        </w:rPr>
        <w:t xml:space="preserve"> The damage here was </w:t>
      </w:r>
      <w:r w:rsidR="006A0CE6">
        <w:rPr>
          <w:rFonts w:cs="Times New Roman"/>
          <w:szCs w:val="24"/>
        </w:rPr>
        <w:t>not</w:t>
      </w:r>
      <w:r w:rsidR="003A26DE">
        <w:rPr>
          <w:rFonts w:cs="Times New Roman"/>
          <w:szCs w:val="24"/>
        </w:rPr>
        <w:t xml:space="preserve"> nominal or notional</w:t>
      </w:r>
      <w:r w:rsidR="006A0CE6">
        <w:rPr>
          <w:rFonts w:cs="Times New Roman"/>
          <w:szCs w:val="24"/>
        </w:rPr>
        <w:t>: i</w:t>
      </w:r>
      <w:r w:rsidR="003A26DE">
        <w:rPr>
          <w:rFonts w:cs="Times New Roman"/>
          <w:szCs w:val="24"/>
        </w:rPr>
        <w:t>t was real and significant.</w:t>
      </w:r>
    </w:p>
    <w:p w14:paraId="2FCE330D" w14:textId="77777777" w:rsidR="00F75C00" w:rsidRDefault="00F75C00" w:rsidP="00F75C00">
      <w:pPr>
        <w:pStyle w:val="ListParagraph"/>
        <w:spacing w:line="480" w:lineRule="auto"/>
        <w:rPr>
          <w:rFonts w:cs="Times New Roman"/>
          <w:szCs w:val="24"/>
        </w:rPr>
      </w:pPr>
    </w:p>
    <w:p w14:paraId="1489512B" w14:textId="77777777" w:rsidR="00E7384A" w:rsidRDefault="008206BC" w:rsidP="00D8782F">
      <w:pPr>
        <w:pStyle w:val="ListParagraph"/>
        <w:numPr>
          <w:ilvl w:val="0"/>
          <w:numId w:val="1"/>
        </w:numPr>
        <w:spacing w:line="480" w:lineRule="auto"/>
        <w:ind w:hanging="862"/>
        <w:rPr>
          <w:rFonts w:cs="Times New Roman"/>
          <w:szCs w:val="24"/>
        </w:rPr>
      </w:pPr>
      <w:r>
        <w:rPr>
          <w:rFonts w:cs="Times New Roman"/>
          <w:szCs w:val="24"/>
        </w:rPr>
        <w:t>It follows that</w:t>
      </w:r>
      <w:r w:rsidR="00005537">
        <w:rPr>
          <w:rFonts w:cs="Times New Roman"/>
          <w:szCs w:val="24"/>
        </w:rPr>
        <w:t xml:space="preserve"> the Plaintiff’s cause of action for the tort of negligence against the Solicitors accrued at</w:t>
      </w:r>
      <w:r w:rsidR="00F75C00">
        <w:rPr>
          <w:rFonts w:cs="Times New Roman"/>
          <w:szCs w:val="24"/>
        </w:rPr>
        <w:t xml:space="preserve"> that point</w:t>
      </w:r>
      <w:r w:rsidR="00E03FDB">
        <w:rPr>
          <w:rFonts w:cs="Times New Roman"/>
          <w:szCs w:val="24"/>
        </w:rPr>
        <w:t>. I</w:t>
      </w:r>
      <w:r w:rsidR="00C11CBF">
        <w:rPr>
          <w:rFonts w:cs="Times New Roman"/>
          <w:szCs w:val="24"/>
        </w:rPr>
        <w:t>t</w:t>
      </w:r>
      <w:r w:rsidR="00E03FDB">
        <w:rPr>
          <w:rFonts w:cs="Times New Roman"/>
          <w:szCs w:val="24"/>
        </w:rPr>
        <w:t xml:space="preserve"> is accepted that his cause of action in contract accrued at that point also.</w:t>
      </w:r>
      <w:r w:rsidR="006A0CE6">
        <w:rPr>
          <w:rFonts w:cs="Times New Roman"/>
          <w:szCs w:val="24"/>
        </w:rPr>
        <w:t xml:space="preserve"> </w:t>
      </w:r>
      <w:r w:rsidR="00F75C00">
        <w:rPr>
          <w:rFonts w:cs="Times New Roman"/>
          <w:szCs w:val="24"/>
        </w:rPr>
        <w:t xml:space="preserve">These proceedings were not commenced </w:t>
      </w:r>
      <w:r w:rsidR="00E91A7D">
        <w:rPr>
          <w:rFonts w:cs="Times New Roman"/>
          <w:szCs w:val="24"/>
        </w:rPr>
        <w:t>until 20</w:t>
      </w:r>
      <w:r w:rsidR="00005537">
        <w:rPr>
          <w:rFonts w:cs="Times New Roman"/>
          <w:szCs w:val="24"/>
        </w:rPr>
        <w:t>14</w:t>
      </w:r>
      <w:r w:rsidR="00F75C00">
        <w:rPr>
          <w:rFonts w:cs="Times New Roman"/>
          <w:szCs w:val="24"/>
        </w:rPr>
        <w:t>, significantly after the expiry of the six year limitation period provided for by section 11(2)(a) of the 1957 Act. I</w:t>
      </w:r>
      <w:r>
        <w:rPr>
          <w:rFonts w:cs="Times New Roman"/>
          <w:szCs w:val="24"/>
        </w:rPr>
        <w:t>n the absence of any suggestion of any factor that might affect the running of</w:t>
      </w:r>
      <w:r w:rsidR="00F75C00">
        <w:rPr>
          <w:rFonts w:cs="Times New Roman"/>
          <w:szCs w:val="24"/>
        </w:rPr>
        <w:t xml:space="preserve"> t</w:t>
      </w:r>
      <w:r>
        <w:rPr>
          <w:rFonts w:cs="Times New Roman"/>
          <w:szCs w:val="24"/>
        </w:rPr>
        <w:t xml:space="preserve">ime in the ordinary way – there is no suggestion of disability, </w:t>
      </w:r>
      <w:r w:rsidR="00C16CC9">
        <w:rPr>
          <w:rFonts w:cs="Times New Roman"/>
          <w:szCs w:val="24"/>
        </w:rPr>
        <w:t xml:space="preserve">concealment or </w:t>
      </w:r>
      <w:r>
        <w:rPr>
          <w:rFonts w:cs="Times New Roman"/>
          <w:szCs w:val="24"/>
        </w:rPr>
        <w:t xml:space="preserve">mistake - </w:t>
      </w:r>
      <w:r w:rsidR="00F75C00">
        <w:rPr>
          <w:rFonts w:cs="Times New Roman"/>
          <w:szCs w:val="24"/>
        </w:rPr>
        <w:t xml:space="preserve"> </w:t>
      </w:r>
      <w:r>
        <w:rPr>
          <w:rFonts w:cs="Times New Roman"/>
          <w:szCs w:val="24"/>
        </w:rPr>
        <w:t>the Plaintiff’s claim against the Solicitors is statute barred.</w:t>
      </w:r>
    </w:p>
    <w:p w14:paraId="72FB911F" w14:textId="77777777" w:rsidR="008206BC" w:rsidRDefault="008206BC" w:rsidP="008206BC">
      <w:pPr>
        <w:pStyle w:val="ListParagraph"/>
        <w:spacing w:line="480" w:lineRule="auto"/>
        <w:rPr>
          <w:rFonts w:cs="Times New Roman"/>
          <w:szCs w:val="24"/>
        </w:rPr>
      </w:pPr>
    </w:p>
    <w:p w14:paraId="37FB3C70" w14:textId="77777777" w:rsidR="008206BC" w:rsidRDefault="00110F6A" w:rsidP="00D8782F">
      <w:pPr>
        <w:pStyle w:val="ListParagraph"/>
        <w:numPr>
          <w:ilvl w:val="0"/>
          <w:numId w:val="1"/>
        </w:numPr>
        <w:spacing w:line="480" w:lineRule="auto"/>
        <w:ind w:hanging="862"/>
        <w:rPr>
          <w:rFonts w:cs="Times New Roman"/>
          <w:szCs w:val="24"/>
        </w:rPr>
      </w:pPr>
      <w:r>
        <w:rPr>
          <w:rFonts w:cs="Times New Roman"/>
          <w:szCs w:val="24"/>
        </w:rPr>
        <w:t xml:space="preserve">As </w:t>
      </w:r>
      <w:r w:rsidR="00E928EB">
        <w:rPr>
          <w:rFonts w:cs="Times New Roman"/>
          <w:szCs w:val="24"/>
        </w:rPr>
        <w:t>O’Donnell</w:t>
      </w:r>
      <w:r>
        <w:rPr>
          <w:rFonts w:cs="Times New Roman"/>
          <w:szCs w:val="24"/>
        </w:rPr>
        <w:t xml:space="preserve"> J observed in </w:t>
      </w:r>
      <w:r w:rsidRPr="00110F6A">
        <w:rPr>
          <w:rFonts w:cs="Times New Roman"/>
          <w:i/>
          <w:szCs w:val="24"/>
        </w:rPr>
        <w:t>Cantrell</w:t>
      </w:r>
      <w:r>
        <w:rPr>
          <w:rFonts w:cs="Times New Roman"/>
          <w:szCs w:val="24"/>
        </w:rPr>
        <w:t xml:space="preserve">, section 11(2)(a) is capable of operating in an </w:t>
      </w:r>
      <w:r>
        <w:rPr>
          <w:rFonts w:cs="Times New Roman"/>
          <w:szCs w:val="24"/>
        </w:rPr>
        <w:lastRenderedPageBreak/>
        <w:t>arbitrary</w:t>
      </w:r>
      <w:r w:rsidR="00CE08C4">
        <w:rPr>
          <w:rFonts w:cs="Times New Roman"/>
          <w:szCs w:val="24"/>
        </w:rPr>
        <w:t xml:space="preserve"> and random way that, in the absence of a discoverability provision, is capable of giving rise to significant injustice</w:t>
      </w:r>
      <w:r w:rsidR="003002AF">
        <w:rPr>
          <w:rFonts w:cs="Times New Roman"/>
          <w:szCs w:val="24"/>
        </w:rPr>
        <w:t xml:space="preserve"> for (potential) plaintiffs</w:t>
      </w:r>
      <w:r w:rsidR="00CE08C4">
        <w:rPr>
          <w:rFonts w:cs="Times New Roman"/>
          <w:szCs w:val="24"/>
        </w:rPr>
        <w:t xml:space="preserve">. </w:t>
      </w:r>
      <w:r w:rsidR="00ED14D2">
        <w:rPr>
          <w:rFonts w:cs="Times New Roman"/>
          <w:szCs w:val="24"/>
        </w:rPr>
        <w:t>As it happens</w:t>
      </w:r>
      <w:r w:rsidR="00CE08C4">
        <w:rPr>
          <w:rFonts w:cs="Times New Roman"/>
          <w:szCs w:val="24"/>
        </w:rPr>
        <w:t xml:space="preserve">, </w:t>
      </w:r>
      <w:r w:rsidR="003002AF">
        <w:rPr>
          <w:rFonts w:cs="Times New Roman"/>
          <w:szCs w:val="24"/>
        </w:rPr>
        <w:t>such</w:t>
      </w:r>
      <w:r w:rsidR="00CE08C4">
        <w:rPr>
          <w:rFonts w:cs="Times New Roman"/>
          <w:szCs w:val="24"/>
        </w:rPr>
        <w:t xml:space="preserve"> is not the position here. This is not a case where (as in </w:t>
      </w:r>
      <w:r w:rsidR="00CE08C4" w:rsidRPr="00CE08C4">
        <w:rPr>
          <w:rFonts w:cs="Times New Roman"/>
          <w:i/>
          <w:szCs w:val="24"/>
        </w:rPr>
        <w:t>Tuohy v Courtney</w:t>
      </w:r>
      <w:r w:rsidR="00CE08C4">
        <w:rPr>
          <w:rFonts w:cs="Times New Roman"/>
          <w:szCs w:val="24"/>
        </w:rPr>
        <w:t xml:space="preserve">) the plaintiff became aware of a potential claim only after any such claim had become statute-barred. The Plaintiff here became aware of the planning issues in June 2008. The sale of the Property </w:t>
      </w:r>
      <w:r w:rsidR="00C531F2">
        <w:rPr>
          <w:rFonts w:cs="Times New Roman"/>
          <w:szCs w:val="24"/>
        </w:rPr>
        <w:t xml:space="preserve">collapsed </w:t>
      </w:r>
      <w:r w:rsidR="00CE08C4">
        <w:rPr>
          <w:rFonts w:cs="Times New Roman"/>
          <w:szCs w:val="24"/>
        </w:rPr>
        <w:t xml:space="preserve">in September/October 2008. </w:t>
      </w:r>
      <w:r w:rsidR="003002AF">
        <w:rPr>
          <w:rFonts w:cs="Times New Roman"/>
          <w:szCs w:val="24"/>
        </w:rPr>
        <w:t xml:space="preserve">The Plaintiff then </w:t>
      </w:r>
      <w:r w:rsidR="00CE08C4">
        <w:rPr>
          <w:rFonts w:cs="Times New Roman"/>
          <w:szCs w:val="24"/>
        </w:rPr>
        <w:t>had until July 20</w:t>
      </w:r>
      <w:r w:rsidR="006A7D73">
        <w:rPr>
          <w:rFonts w:cs="Times New Roman"/>
          <w:szCs w:val="24"/>
        </w:rPr>
        <w:t>12 to commence</w:t>
      </w:r>
      <w:r w:rsidR="00CE08C4">
        <w:rPr>
          <w:rFonts w:cs="Times New Roman"/>
          <w:szCs w:val="24"/>
        </w:rPr>
        <w:t xml:space="preserve"> </w:t>
      </w:r>
      <w:r w:rsidR="006A7D73">
        <w:rPr>
          <w:rFonts w:cs="Times New Roman"/>
          <w:szCs w:val="24"/>
        </w:rPr>
        <w:t xml:space="preserve">proceedings. That was, on any view, more than ample time within which to seek advice and initiate litigation. </w:t>
      </w:r>
      <w:r w:rsidR="002D7AD8">
        <w:rPr>
          <w:rFonts w:cs="Times New Roman"/>
          <w:szCs w:val="24"/>
        </w:rPr>
        <w:t xml:space="preserve">That is, of course, happenstance to a certain extent and </w:t>
      </w:r>
      <w:r w:rsidR="00771DBE">
        <w:rPr>
          <w:rFonts w:cs="Times New Roman"/>
          <w:szCs w:val="24"/>
        </w:rPr>
        <w:t xml:space="preserve">it does not affect the issue of principle. </w:t>
      </w:r>
    </w:p>
    <w:p w14:paraId="3C4A5700" w14:textId="77777777" w:rsidR="00771DBE" w:rsidRDefault="00771DBE" w:rsidP="00771DBE">
      <w:pPr>
        <w:pStyle w:val="ListParagraph"/>
        <w:spacing w:line="480" w:lineRule="auto"/>
        <w:rPr>
          <w:rFonts w:cs="Times New Roman"/>
          <w:szCs w:val="24"/>
        </w:rPr>
      </w:pPr>
    </w:p>
    <w:p w14:paraId="0AF86B54" w14:textId="77777777" w:rsidR="00771DBE" w:rsidRDefault="00771DBE" w:rsidP="00D8782F">
      <w:pPr>
        <w:pStyle w:val="ListParagraph"/>
        <w:numPr>
          <w:ilvl w:val="0"/>
          <w:numId w:val="1"/>
        </w:numPr>
        <w:spacing w:line="480" w:lineRule="auto"/>
        <w:ind w:hanging="862"/>
        <w:rPr>
          <w:rFonts w:cs="Times New Roman"/>
          <w:szCs w:val="24"/>
        </w:rPr>
      </w:pPr>
      <w:r>
        <w:rPr>
          <w:rFonts w:cs="Times New Roman"/>
          <w:szCs w:val="24"/>
        </w:rPr>
        <w:t xml:space="preserve">I would therefore make an order allowing the Solicitors’ appeal and declaring that the Plaintiff’s claim against the Solicitors is statute-barred. </w:t>
      </w:r>
    </w:p>
    <w:p w14:paraId="773A1E33" w14:textId="77777777" w:rsidR="006A0CE6" w:rsidRDefault="006A0CE6" w:rsidP="006A0CE6">
      <w:pPr>
        <w:pStyle w:val="ListParagraph"/>
        <w:spacing w:line="480" w:lineRule="auto"/>
        <w:rPr>
          <w:rFonts w:cs="Times New Roman"/>
          <w:szCs w:val="24"/>
        </w:rPr>
      </w:pPr>
    </w:p>
    <w:p w14:paraId="0BA57C92" w14:textId="77777777" w:rsidR="00E12897" w:rsidRDefault="006A0CE6" w:rsidP="00E12897">
      <w:pPr>
        <w:pStyle w:val="ListParagraph"/>
        <w:numPr>
          <w:ilvl w:val="0"/>
          <w:numId w:val="1"/>
        </w:numPr>
        <w:spacing w:line="480" w:lineRule="auto"/>
        <w:ind w:hanging="862"/>
        <w:rPr>
          <w:rFonts w:cs="Times New Roman"/>
          <w:szCs w:val="24"/>
        </w:rPr>
      </w:pPr>
      <w:r>
        <w:rPr>
          <w:rFonts w:cs="Times New Roman"/>
          <w:szCs w:val="24"/>
        </w:rPr>
        <w:t xml:space="preserve">Before concluding, some observations about the procedure adopted here appear appropriate. As noted above, the application before the High Court was for an order seeking the trial of a preliminary issue on the Statute. No formal order in such terms appears to have </w:t>
      </w:r>
      <w:r w:rsidR="00A7515C">
        <w:rPr>
          <w:rFonts w:cs="Times New Roman"/>
          <w:szCs w:val="24"/>
        </w:rPr>
        <w:t xml:space="preserve">been </w:t>
      </w:r>
      <w:r>
        <w:rPr>
          <w:rFonts w:cs="Times New Roman"/>
          <w:szCs w:val="24"/>
        </w:rPr>
        <w:t xml:space="preserve">made and instead the parties appear to have agreed to treat the motion as the trial of the issue. No statement of agreed facts was put before the </w:t>
      </w:r>
      <w:r w:rsidR="00E12897">
        <w:rPr>
          <w:rFonts w:cs="Times New Roman"/>
          <w:szCs w:val="24"/>
        </w:rPr>
        <w:t>c</w:t>
      </w:r>
      <w:r w:rsidRPr="00E12897">
        <w:rPr>
          <w:rFonts w:cs="Times New Roman"/>
          <w:szCs w:val="24"/>
        </w:rPr>
        <w:t xml:space="preserve">ourt. </w:t>
      </w:r>
    </w:p>
    <w:p w14:paraId="66A8B232" w14:textId="77777777" w:rsidR="00E12897" w:rsidRPr="00E12897" w:rsidRDefault="00E12897" w:rsidP="00E12897">
      <w:pPr>
        <w:spacing w:line="480" w:lineRule="auto"/>
        <w:rPr>
          <w:rFonts w:cs="Times New Roman"/>
          <w:szCs w:val="24"/>
        </w:rPr>
      </w:pPr>
    </w:p>
    <w:p w14:paraId="70C91B1A" w14:textId="77777777" w:rsidR="006A0CE6" w:rsidRPr="00ED14D2" w:rsidRDefault="00966C2B" w:rsidP="00E12897">
      <w:pPr>
        <w:pStyle w:val="ListParagraph"/>
        <w:numPr>
          <w:ilvl w:val="0"/>
          <w:numId w:val="1"/>
        </w:numPr>
        <w:spacing w:line="480" w:lineRule="auto"/>
        <w:ind w:hanging="862"/>
        <w:rPr>
          <w:rFonts w:cs="Times New Roman"/>
          <w:szCs w:val="24"/>
        </w:rPr>
      </w:pPr>
      <w:r>
        <w:rPr>
          <w:rFonts w:cs="Times New Roman"/>
          <w:szCs w:val="24"/>
        </w:rPr>
        <w:t xml:space="preserve">The general principle in civil litigation is that all issues are addressed in a single unitary trial: per Charleton J in </w:t>
      </w:r>
      <w:r w:rsidRPr="00966C2B">
        <w:rPr>
          <w:rFonts w:cs="Times New Roman"/>
          <w:i/>
          <w:szCs w:val="24"/>
        </w:rPr>
        <w:t>O’ Sullivan</w:t>
      </w:r>
      <w:r w:rsidR="00584FB0">
        <w:rPr>
          <w:rFonts w:cs="Times New Roman"/>
          <w:szCs w:val="24"/>
        </w:rPr>
        <w:t xml:space="preserve"> (</w:t>
      </w:r>
      <w:r>
        <w:rPr>
          <w:rFonts w:cs="Times New Roman"/>
          <w:szCs w:val="24"/>
        </w:rPr>
        <w:t>at para 65</w:t>
      </w:r>
      <w:r w:rsidR="00584FB0">
        <w:rPr>
          <w:rFonts w:cs="Times New Roman"/>
          <w:szCs w:val="24"/>
        </w:rPr>
        <w:t>)</w:t>
      </w:r>
      <w:r>
        <w:rPr>
          <w:rFonts w:cs="Times New Roman"/>
          <w:szCs w:val="24"/>
        </w:rPr>
        <w:t xml:space="preserve">. </w:t>
      </w:r>
      <w:r w:rsidR="006A0CE6" w:rsidRPr="00ED14D2">
        <w:rPr>
          <w:rFonts w:cs="Times New Roman"/>
          <w:szCs w:val="24"/>
        </w:rPr>
        <w:t xml:space="preserve">There is an obvious practical benefit in having limitation issues determined on a preliminary basis, </w:t>
      </w:r>
      <w:r w:rsidR="006A0CE6" w:rsidRPr="00ED14D2">
        <w:rPr>
          <w:rFonts w:cs="Times New Roman"/>
          <w:i/>
          <w:szCs w:val="24"/>
        </w:rPr>
        <w:t>provided</w:t>
      </w:r>
      <w:r w:rsidR="006A0CE6" w:rsidRPr="00ED14D2">
        <w:rPr>
          <w:rFonts w:cs="Times New Roman"/>
          <w:szCs w:val="24"/>
        </w:rPr>
        <w:t xml:space="preserve"> </w:t>
      </w:r>
      <w:r w:rsidR="006A0CE6" w:rsidRPr="00C531F2">
        <w:rPr>
          <w:rFonts w:cs="Times New Roman"/>
          <w:i/>
          <w:szCs w:val="24"/>
        </w:rPr>
        <w:t>that</w:t>
      </w:r>
      <w:r w:rsidR="006A0CE6" w:rsidRPr="00ED14D2">
        <w:rPr>
          <w:rFonts w:cs="Times New Roman"/>
          <w:szCs w:val="24"/>
        </w:rPr>
        <w:t xml:space="preserve"> it can be done justly and fairly. </w:t>
      </w:r>
      <w:r w:rsidR="00E12897" w:rsidRPr="00ED14D2">
        <w:rPr>
          <w:rFonts w:cs="Times New Roman"/>
          <w:szCs w:val="24"/>
        </w:rPr>
        <w:t xml:space="preserve">As the High Court of Australia noted in </w:t>
      </w:r>
      <w:r w:rsidR="00E12897" w:rsidRPr="00ED14D2">
        <w:rPr>
          <w:rFonts w:cs="Times New Roman"/>
          <w:i/>
          <w:szCs w:val="24"/>
        </w:rPr>
        <w:t>Wardley</w:t>
      </w:r>
      <w:r w:rsidR="00E12897" w:rsidRPr="00ED14D2">
        <w:rPr>
          <w:rFonts w:cs="Times New Roman"/>
          <w:szCs w:val="24"/>
        </w:rPr>
        <w:t xml:space="preserve">, there is a risk that, at such a stage, </w:t>
      </w:r>
      <w:r w:rsidR="00E12897" w:rsidRPr="00ED14D2">
        <w:rPr>
          <w:rFonts w:cs="Times New Roman"/>
          <w:i/>
          <w:szCs w:val="24"/>
        </w:rPr>
        <w:t>“</w:t>
      </w:r>
      <w:r w:rsidR="00E12897" w:rsidRPr="00ED14D2">
        <w:rPr>
          <w:rFonts w:eastAsia="Times New Roman" w:cs="Times New Roman"/>
          <w:i/>
          <w:szCs w:val="24"/>
          <w:lang w:eastAsia="en-IE"/>
        </w:rPr>
        <w:t xml:space="preserve">insufficient is known of the damage sustained by </w:t>
      </w:r>
      <w:r w:rsidR="00E12897" w:rsidRPr="00ED14D2">
        <w:rPr>
          <w:rFonts w:eastAsia="Times New Roman" w:cs="Times New Roman"/>
          <w:i/>
          <w:szCs w:val="24"/>
          <w:lang w:eastAsia="en-IE"/>
        </w:rPr>
        <w:lastRenderedPageBreak/>
        <w:t xml:space="preserve">the plaintiff and of the circumstances in which it was sustained to justify a confident answer to the question” </w:t>
      </w:r>
      <w:r w:rsidR="00E12897" w:rsidRPr="00ED14D2">
        <w:rPr>
          <w:rFonts w:eastAsia="Times New Roman" w:cs="Times New Roman"/>
          <w:szCs w:val="24"/>
          <w:lang w:eastAsia="en-IE"/>
        </w:rPr>
        <w:t>of whether the claim is statute-barred or not.</w:t>
      </w:r>
      <w:r w:rsidR="00E12897" w:rsidRPr="00ED14D2">
        <w:rPr>
          <w:rFonts w:ascii="Arial" w:eastAsia="Times New Roman" w:hAnsi="Arial" w:cs="Arial"/>
          <w:sz w:val="21"/>
          <w:szCs w:val="21"/>
          <w:lang w:eastAsia="en-IE"/>
        </w:rPr>
        <w:t xml:space="preserve"> </w:t>
      </w:r>
      <w:r w:rsidR="00E12897" w:rsidRPr="00ED14D2">
        <w:rPr>
          <w:rFonts w:eastAsia="Times New Roman" w:cs="Times New Roman"/>
          <w:szCs w:val="24"/>
          <w:lang w:eastAsia="en-IE"/>
        </w:rPr>
        <w:t xml:space="preserve">Before the High Court is asked to </w:t>
      </w:r>
      <w:r>
        <w:rPr>
          <w:rFonts w:eastAsia="Times New Roman" w:cs="Times New Roman"/>
          <w:szCs w:val="24"/>
          <w:lang w:eastAsia="en-IE"/>
        </w:rPr>
        <w:t xml:space="preserve">depart from the general principle of a unitary trial by </w:t>
      </w:r>
      <w:r w:rsidR="00E12897" w:rsidRPr="00ED14D2">
        <w:rPr>
          <w:rFonts w:eastAsia="Times New Roman" w:cs="Times New Roman"/>
          <w:szCs w:val="24"/>
          <w:lang w:eastAsia="en-IE"/>
        </w:rPr>
        <w:t>direct</w:t>
      </w:r>
      <w:r>
        <w:rPr>
          <w:rFonts w:eastAsia="Times New Roman" w:cs="Times New Roman"/>
          <w:szCs w:val="24"/>
          <w:lang w:eastAsia="en-IE"/>
        </w:rPr>
        <w:t>ing</w:t>
      </w:r>
      <w:r w:rsidR="00E12897" w:rsidRPr="00ED14D2">
        <w:rPr>
          <w:rFonts w:eastAsia="Times New Roman" w:cs="Times New Roman"/>
          <w:szCs w:val="24"/>
          <w:lang w:eastAsia="en-IE"/>
        </w:rPr>
        <w:t xml:space="preserve"> the trial of a preliminary issue on the Statute</w:t>
      </w:r>
      <w:r w:rsidR="00631DFF" w:rsidRPr="00ED14D2">
        <w:rPr>
          <w:rFonts w:eastAsia="Times New Roman" w:cs="Times New Roman"/>
          <w:szCs w:val="24"/>
          <w:lang w:eastAsia="en-IE"/>
        </w:rPr>
        <w:t xml:space="preserve"> (and the decision is always one for the court to make; </w:t>
      </w:r>
      <w:r>
        <w:rPr>
          <w:rFonts w:eastAsia="Times New Roman" w:cs="Times New Roman"/>
          <w:szCs w:val="24"/>
          <w:lang w:eastAsia="en-IE"/>
        </w:rPr>
        <w:t>as Charleton J emphasi</w:t>
      </w:r>
      <w:r w:rsidR="00023C01">
        <w:rPr>
          <w:rFonts w:eastAsia="Times New Roman" w:cs="Times New Roman"/>
          <w:szCs w:val="24"/>
          <w:lang w:eastAsia="en-IE"/>
        </w:rPr>
        <w:t>s</w:t>
      </w:r>
      <w:r>
        <w:rPr>
          <w:rFonts w:eastAsia="Times New Roman" w:cs="Times New Roman"/>
          <w:szCs w:val="24"/>
          <w:lang w:eastAsia="en-IE"/>
        </w:rPr>
        <w:t xml:space="preserve">ed in </w:t>
      </w:r>
      <w:r w:rsidRPr="00023C01">
        <w:rPr>
          <w:rFonts w:eastAsia="Times New Roman" w:cs="Times New Roman"/>
          <w:i/>
          <w:szCs w:val="24"/>
          <w:lang w:eastAsia="en-IE"/>
        </w:rPr>
        <w:t>O’ Sullivan</w:t>
      </w:r>
      <w:r>
        <w:rPr>
          <w:rFonts w:eastAsia="Times New Roman" w:cs="Times New Roman"/>
          <w:szCs w:val="24"/>
          <w:lang w:eastAsia="en-IE"/>
        </w:rPr>
        <w:t xml:space="preserve">, it remains the responsibility </w:t>
      </w:r>
      <w:r w:rsidR="00023C01">
        <w:rPr>
          <w:rFonts w:eastAsia="Times New Roman" w:cs="Times New Roman"/>
          <w:szCs w:val="24"/>
          <w:lang w:eastAsia="en-IE"/>
        </w:rPr>
        <w:t>of the judge in every case to ensure that such a step will facilitate the effective and efficient administration of justice)</w:t>
      </w:r>
      <w:r w:rsidR="005D136C">
        <w:rPr>
          <w:rFonts w:eastAsia="Times New Roman" w:cs="Times New Roman"/>
          <w:szCs w:val="24"/>
          <w:lang w:eastAsia="en-IE"/>
        </w:rPr>
        <w:t>, t</w:t>
      </w:r>
      <w:r w:rsidR="00E12897" w:rsidRPr="00ED14D2">
        <w:rPr>
          <w:rFonts w:eastAsia="Times New Roman" w:cs="Times New Roman"/>
          <w:szCs w:val="24"/>
          <w:lang w:eastAsia="en-IE"/>
        </w:rPr>
        <w:t xml:space="preserve">he parties </w:t>
      </w:r>
      <w:r w:rsidR="005C3AF2" w:rsidRPr="00ED14D2">
        <w:rPr>
          <w:rFonts w:eastAsia="Times New Roman" w:cs="Times New Roman"/>
          <w:szCs w:val="24"/>
          <w:lang w:eastAsia="en-IE"/>
        </w:rPr>
        <w:t>and their legal advisers need to</w:t>
      </w:r>
      <w:r w:rsidR="00E12897" w:rsidRPr="00ED14D2">
        <w:rPr>
          <w:rFonts w:eastAsia="Times New Roman" w:cs="Times New Roman"/>
          <w:szCs w:val="24"/>
          <w:lang w:eastAsia="en-IE"/>
        </w:rPr>
        <w:t xml:space="preserve"> consider carefully whether the issue is suitable for determination in that way and what </w:t>
      </w:r>
      <w:r w:rsidR="005C3AF2" w:rsidRPr="00ED14D2">
        <w:rPr>
          <w:rFonts w:eastAsia="Times New Roman" w:cs="Times New Roman"/>
          <w:szCs w:val="24"/>
          <w:lang w:eastAsia="en-IE"/>
        </w:rPr>
        <w:t xml:space="preserve">material the court will require in order to determine the issue properly. Where the relevant facts can be agreed, a statement of agreed facts should be provided to the court for the purpose of considering whether to make the order sought. If the </w:t>
      </w:r>
      <w:r w:rsidR="00631DFF" w:rsidRPr="00ED14D2">
        <w:rPr>
          <w:rFonts w:eastAsia="Times New Roman" w:cs="Times New Roman"/>
          <w:szCs w:val="24"/>
          <w:lang w:eastAsia="en-IE"/>
        </w:rPr>
        <w:t xml:space="preserve">relevant </w:t>
      </w:r>
      <w:r w:rsidR="005C3AF2" w:rsidRPr="00ED14D2">
        <w:rPr>
          <w:rFonts w:eastAsia="Times New Roman" w:cs="Times New Roman"/>
          <w:szCs w:val="24"/>
          <w:lang w:eastAsia="en-IE"/>
        </w:rPr>
        <w:t>facts cannot be agreed, that may itself be an indicator that the issue is not suitable for preliminary determination (though, of course, the court has a residual power in an appropriate case to direct the trial of a preliminary issue on oral evidence).</w:t>
      </w:r>
      <w:r w:rsidR="00631DFF" w:rsidRPr="00ED14D2">
        <w:rPr>
          <w:rFonts w:eastAsia="Times New Roman" w:cs="Times New Roman"/>
          <w:szCs w:val="24"/>
          <w:lang w:eastAsia="en-IE"/>
        </w:rPr>
        <w:t xml:space="preserve"> In my opinion, a court cannot properly adjudicate on an application seeking the trial of a preliminary issue on the statute without knowing whether or not the relevant facts are agreed</w:t>
      </w:r>
      <w:r w:rsidR="008A49EE" w:rsidRPr="00ED14D2">
        <w:rPr>
          <w:rFonts w:eastAsia="Times New Roman" w:cs="Times New Roman"/>
          <w:szCs w:val="24"/>
          <w:lang w:eastAsia="en-IE"/>
        </w:rPr>
        <w:t xml:space="preserve">. Assuming that the facts are agreed, the court must then assess whether those agreed facts provide an adequate evidential basis for a just determination of the limitation issue or whether the issue is such that it can properly be determined only at the trial of the proceedings. </w:t>
      </w:r>
      <w:r w:rsidR="00131DEE" w:rsidRPr="00ED14D2">
        <w:rPr>
          <w:rFonts w:eastAsia="Times New Roman" w:cs="Times New Roman"/>
          <w:szCs w:val="24"/>
          <w:lang w:eastAsia="en-IE"/>
        </w:rPr>
        <w:t xml:space="preserve">As is all too evident from the authorities discussed above, in cases such as this an intense examination of the facts will be necessary in order to determine the issue of limitation and in </w:t>
      </w:r>
      <w:r w:rsidR="00F85EDE">
        <w:rPr>
          <w:rFonts w:eastAsia="Times New Roman" w:cs="Times New Roman"/>
          <w:szCs w:val="24"/>
          <w:lang w:eastAsia="en-IE"/>
        </w:rPr>
        <w:t>some</w:t>
      </w:r>
      <w:r w:rsidR="00F85EDE" w:rsidRPr="00ED14D2">
        <w:rPr>
          <w:rFonts w:eastAsia="Times New Roman" w:cs="Times New Roman"/>
          <w:szCs w:val="24"/>
          <w:lang w:eastAsia="en-IE"/>
        </w:rPr>
        <w:t xml:space="preserve"> </w:t>
      </w:r>
      <w:r w:rsidR="00131DEE" w:rsidRPr="00ED14D2">
        <w:rPr>
          <w:rFonts w:eastAsia="Times New Roman" w:cs="Times New Roman"/>
          <w:szCs w:val="24"/>
          <w:lang w:eastAsia="en-IE"/>
        </w:rPr>
        <w:t xml:space="preserve">instances that can only properly be done at trial.  </w:t>
      </w:r>
      <w:r w:rsidR="008A49EE" w:rsidRPr="00ED14D2">
        <w:rPr>
          <w:rFonts w:eastAsia="Times New Roman" w:cs="Times New Roman"/>
          <w:szCs w:val="24"/>
          <w:lang w:eastAsia="en-IE"/>
        </w:rPr>
        <w:t xml:space="preserve">In </w:t>
      </w:r>
      <w:r w:rsidR="00131DEE" w:rsidRPr="00ED14D2">
        <w:rPr>
          <w:rFonts w:eastAsia="Times New Roman" w:cs="Times New Roman"/>
          <w:szCs w:val="24"/>
          <w:lang w:eastAsia="en-IE"/>
        </w:rPr>
        <w:t>such</w:t>
      </w:r>
      <w:r w:rsidR="008A49EE" w:rsidRPr="00ED14D2">
        <w:rPr>
          <w:rFonts w:eastAsia="Times New Roman" w:cs="Times New Roman"/>
          <w:szCs w:val="24"/>
          <w:lang w:eastAsia="en-IE"/>
        </w:rPr>
        <w:t xml:space="preserve"> cases, the pragmatic attraction of an early determination of a limitation defence will have to yield to the </w:t>
      </w:r>
      <w:r w:rsidR="00023C01">
        <w:rPr>
          <w:rFonts w:eastAsia="Times New Roman" w:cs="Times New Roman"/>
          <w:szCs w:val="24"/>
          <w:lang w:eastAsia="en-IE"/>
        </w:rPr>
        <w:t>requirements</w:t>
      </w:r>
      <w:r w:rsidR="00023C01" w:rsidRPr="00ED14D2">
        <w:rPr>
          <w:rFonts w:eastAsia="Times New Roman" w:cs="Times New Roman"/>
          <w:szCs w:val="24"/>
          <w:lang w:eastAsia="en-IE"/>
        </w:rPr>
        <w:t xml:space="preserve"> </w:t>
      </w:r>
      <w:r w:rsidR="008A49EE" w:rsidRPr="00ED14D2">
        <w:rPr>
          <w:rFonts w:eastAsia="Times New Roman" w:cs="Times New Roman"/>
          <w:szCs w:val="24"/>
          <w:lang w:eastAsia="en-IE"/>
        </w:rPr>
        <w:t xml:space="preserve">of </w:t>
      </w:r>
      <w:r w:rsidR="008A49EE" w:rsidRPr="00ED14D2">
        <w:rPr>
          <w:rFonts w:eastAsia="Times New Roman" w:cs="Times New Roman"/>
          <w:szCs w:val="24"/>
          <w:lang w:eastAsia="en-IE"/>
        </w:rPr>
        <w:lastRenderedPageBreak/>
        <w:t xml:space="preserve">justice. </w:t>
      </w:r>
    </w:p>
    <w:p w14:paraId="6E21A6B5" w14:textId="77777777" w:rsidR="008A49EE" w:rsidRPr="008A49EE" w:rsidRDefault="008A49EE" w:rsidP="008A49EE">
      <w:pPr>
        <w:pStyle w:val="ListParagraph"/>
        <w:spacing w:line="480" w:lineRule="auto"/>
        <w:rPr>
          <w:rFonts w:cs="Times New Roman"/>
          <w:szCs w:val="24"/>
        </w:rPr>
      </w:pPr>
    </w:p>
    <w:p w14:paraId="1C056E1C" w14:textId="77777777" w:rsidR="008A49EE" w:rsidRPr="00E12897" w:rsidRDefault="008A49EE" w:rsidP="00E12897">
      <w:pPr>
        <w:pStyle w:val="ListParagraph"/>
        <w:numPr>
          <w:ilvl w:val="0"/>
          <w:numId w:val="1"/>
        </w:numPr>
        <w:spacing w:line="480" w:lineRule="auto"/>
        <w:ind w:hanging="862"/>
        <w:rPr>
          <w:rFonts w:cs="Times New Roman"/>
          <w:szCs w:val="24"/>
        </w:rPr>
      </w:pPr>
      <w:r>
        <w:rPr>
          <w:rFonts w:cs="Times New Roman"/>
          <w:szCs w:val="24"/>
        </w:rPr>
        <w:t>While th</w:t>
      </w:r>
      <w:r w:rsidR="00FE2556">
        <w:rPr>
          <w:rFonts w:cs="Times New Roman"/>
          <w:szCs w:val="24"/>
        </w:rPr>
        <w:t>is is not how matters proceeded in the High Court here</w:t>
      </w:r>
      <w:r w:rsidR="00F458CC">
        <w:rPr>
          <w:rFonts w:cs="Times New Roman"/>
          <w:szCs w:val="24"/>
        </w:rPr>
        <w:t xml:space="preserve">, the Judge nonetheless </w:t>
      </w:r>
      <w:r w:rsidR="00C72E2E">
        <w:rPr>
          <w:rFonts w:cs="Times New Roman"/>
          <w:szCs w:val="24"/>
        </w:rPr>
        <w:t>considered it appropriate to d</w:t>
      </w:r>
      <w:r w:rsidR="00131DEE">
        <w:rPr>
          <w:rFonts w:cs="Times New Roman"/>
          <w:szCs w:val="24"/>
        </w:rPr>
        <w:t>etermine the limitation issue</w:t>
      </w:r>
      <w:r w:rsidR="00C72E2E">
        <w:rPr>
          <w:rFonts w:cs="Times New Roman"/>
          <w:szCs w:val="24"/>
        </w:rPr>
        <w:t xml:space="preserve"> and </w:t>
      </w:r>
      <w:r w:rsidR="00C531F2">
        <w:rPr>
          <w:rFonts w:cs="Times New Roman"/>
          <w:szCs w:val="24"/>
        </w:rPr>
        <w:t xml:space="preserve">he </w:t>
      </w:r>
      <w:r w:rsidR="00C72E2E">
        <w:rPr>
          <w:rFonts w:cs="Times New Roman"/>
          <w:szCs w:val="24"/>
        </w:rPr>
        <w:t xml:space="preserve">obviously took the view that the material before him was sufficient for that purpose. In the circumstances, </w:t>
      </w:r>
      <w:bookmarkStart w:id="15" w:name="_Hlk83993432"/>
      <w:r w:rsidR="00C72E2E">
        <w:rPr>
          <w:rFonts w:cs="Times New Roman"/>
          <w:szCs w:val="24"/>
        </w:rPr>
        <w:t>and despite my misgivings as to the procedure followed here, I have considered it appropriate to determine this appeal on its merits</w:t>
      </w:r>
      <w:r w:rsidR="00C16CC9">
        <w:rPr>
          <w:rFonts w:cs="Times New Roman"/>
          <w:szCs w:val="24"/>
        </w:rPr>
        <w:t>.</w:t>
      </w:r>
      <w:bookmarkEnd w:id="15"/>
    </w:p>
    <w:p w14:paraId="175DE17F" w14:textId="77777777" w:rsidR="00771DBE" w:rsidRDefault="00771DBE" w:rsidP="00771DBE">
      <w:pPr>
        <w:pStyle w:val="ListParagraph"/>
        <w:spacing w:line="480" w:lineRule="auto"/>
        <w:rPr>
          <w:rFonts w:cs="Times New Roman"/>
          <w:szCs w:val="24"/>
        </w:rPr>
      </w:pPr>
    </w:p>
    <w:p w14:paraId="07A076E5" w14:textId="77777777" w:rsidR="00771DBE" w:rsidRPr="003214FA" w:rsidRDefault="006A0CE6" w:rsidP="00D8782F">
      <w:pPr>
        <w:pStyle w:val="ListParagraph"/>
        <w:numPr>
          <w:ilvl w:val="0"/>
          <w:numId w:val="1"/>
        </w:numPr>
        <w:spacing w:line="480" w:lineRule="auto"/>
        <w:ind w:hanging="862"/>
        <w:rPr>
          <w:rFonts w:cs="Times New Roman"/>
          <w:szCs w:val="24"/>
        </w:rPr>
      </w:pPr>
      <w:r>
        <w:rPr>
          <w:rFonts w:cs="Times New Roman"/>
          <w:szCs w:val="24"/>
        </w:rPr>
        <w:t>Finally, t</w:t>
      </w:r>
      <w:r w:rsidR="00DF0FBB">
        <w:rPr>
          <w:rFonts w:cs="Times New Roman"/>
          <w:szCs w:val="24"/>
        </w:rPr>
        <w:t xml:space="preserve">he Plaintiff was awarded the costs of the motion in the High Court. That order must be set aside and, in light of the outcome of this appeal, it appears to me that the Solicitors are entitled to the costs of the proceedings against them, including (but not limited to) the costs of the motion in the High Court and the costs of the appeal to this Court.  </w:t>
      </w:r>
      <w:r w:rsidR="00DA2158" w:rsidRPr="00DA2158">
        <w:rPr>
          <w:szCs w:val="24"/>
        </w:rPr>
        <w:t xml:space="preserve">If </w:t>
      </w:r>
      <w:r w:rsidR="00DA2158">
        <w:rPr>
          <w:szCs w:val="24"/>
        </w:rPr>
        <w:t xml:space="preserve">the Plaintiff </w:t>
      </w:r>
      <w:r w:rsidR="00DA2158" w:rsidRPr="00DA2158">
        <w:rPr>
          <w:szCs w:val="24"/>
        </w:rPr>
        <w:t xml:space="preserve">wishes to contend for a different order, </w:t>
      </w:r>
      <w:r w:rsidR="00DA2158">
        <w:rPr>
          <w:szCs w:val="24"/>
        </w:rPr>
        <w:t>he</w:t>
      </w:r>
      <w:r w:rsidR="00DA2158" w:rsidRPr="00DA2158">
        <w:rPr>
          <w:szCs w:val="24"/>
        </w:rPr>
        <w:t xml:space="preserve"> will have liberty to apply to the Court of Appeal Office within 14 days for a brief supplemental hearing on the issue of costs. If such hearing is requested and results in an order in the terms I have suggested, the </w:t>
      </w:r>
      <w:r w:rsidR="00DA2158">
        <w:rPr>
          <w:szCs w:val="24"/>
        </w:rPr>
        <w:t>Plaintiff</w:t>
      </w:r>
      <w:r w:rsidR="00DA2158" w:rsidRPr="00DA2158">
        <w:rPr>
          <w:szCs w:val="24"/>
        </w:rPr>
        <w:t xml:space="preserve"> may be liable for the additional costs of such hearing:  In default of receipt of such application, an order in the terms proposed will be made.</w:t>
      </w:r>
    </w:p>
    <w:p w14:paraId="31FDD3AF" w14:textId="77777777" w:rsidR="003214FA" w:rsidRPr="0090089A" w:rsidRDefault="003214FA" w:rsidP="003214FA">
      <w:pPr>
        <w:pStyle w:val="ListParagraph"/>
        <w:spacing w:line="480" w:lineRule="auto"/>
        <w:rPr>
          <w:rFonts w:cs="Times New Roman"/>
          <w:szCs w:val="24"/>
        </w:rPr>
      </w:pPr>
    </w:p>
    <w:p w14:paraId="71AEA5A8" w14:textId="77777777" w:rsidR="00373F22" w:rsidRDefault="003214FA" w:rsidP="00B26FD2">
      <w:pPr>
        <w:pStyle w:val="ListParagraph"/>
        <w:spacing w:line="480" w:lineRule="auto"/>
        <w:rPr>
          <w:rFonts w:cs="Times New Roman"/>
          <w:szCs w:val="24"/>
        </w:rPr>
      </w:pPr>
      <w:bookmarkStart w:id="16" w:name="_Hlk85453785"/>
      <w:bookmarkEnd w:id="14"/>
      <w:r>
        <w:rPr>
          <w:i/>
        </w:rPr>
        <w:t>Whelan and N</w:t>
      </w:r>
      <w:r w:rsidR="008429A6">
        <w:rPr>
          <w:rFonts w:cs="Times New Roman"/>
          <w:i/>
        </w:rPr>
        <w:t>í</w:t>
      </w:r>
      <w:r>
        <w:rPr>
          <w:i/>
        </w:rPr>
        <w:t xml:space="preserve"> Raifeartaigh JJ </w:t>
      </w:r>
      <w:r w:rsidRPr="00CD3777">
        <w:rPr>
          <w:i/>
        </w:rPr>
        <w:t>have authorised me to record their agreement with this judgment</w:t>
      </w:r>
      <w:r>
        <w:rPr>
          <w:i/>
        </w:rPr>
        <w:t xml:space="preserve"> and with the orders proposed.</w:t>
      </w:r>
      <w:bookmarkEnd w:id="16"/>
    </w:p>
    <w:sectPr w:rsidR="00373F22" w:rsidSect="001F7C7A">
      <w:footerReference w:type="default" r:id="rId9"/>
      <w:headerReference w:type="first" r:id="rId10"/>
      <w:pgSz w:w="11906" w:h="16838"/>
      <w:pgMar w:top="1985"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E5F06" w14:textId="77777777" w:rsidR="00674237" w:rsidRDefault="00674237" w:rsidP="00543826">
      <w:pPr>
        <w:spacing w:line="240" w:lineRule="auto"/>
      </w:pPr>
      <w:r>
        <w:separator/>
      </w:r>
    </w:p>
  </w:endnote>
  <w:endnote w:type="continuationSeparator" w:id="0">
    <w:p w14:paraId="083FA427" w14:textId="77777777" w:rsidR="00674237" w:rsidRDefault="00674237" w:rsidP="00543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703515"/>
      <w:docPartObj>
        <w:docPartGallery w:val="Page Numbers (Bottom of Page)"/>
        <w:docPartUnique/>
      </w:docPartObj>
    </w:sdtPr>
    <w:sdtEndPr/>
    <w:sdtContent>
      <w:sdt>
        <w:sdtPr>
          <w:id w:val="1728636285"/>
          <w:docPartObj>
            <w:docPartGallery w:val="Page Numbers (Top of Page)"/>
            <w:docPartUnique/>
          </w:docPartObj>
        </w:sdtPr>
        <w:sdtEndPr/>
        <w:sdtContent>
          <w:p w14:paraId="026D7BAE" w14:textId="77777777" w:rsidR="00674237" w:rsidRDefault="00674237">
            <w:pPr>
              <w:pStyle w:val="Footer"/>
              <w:jc w:val="center"/>
            </w:pPr>
            <w:r w:rsidRPr="00543826">
              <w:rPr>
                <w:b/>
                <w:i/>
                <w:sz w:val="20"/>
                <w:szCs w:val="20"/>
              </w:rPr>
              <w:t xml:space="preserve">Page </w:t>
            </w:r>
            <w:r w:rsidRPr="00543826">
              <w:rPr>
                <w:b/>
                <w:bCs/>
                <w:i/>
                <w:sz w:val="20"/>
                <w:szCs w:val="20"/>
              </w:rPr>
              <w:fldChar w:fldCharType="begin"/>
            </w:r>
            <w:r w:rsidRPr="00543826">
              <w:rPr>
                <w:b/>
                <w:bCs/>
                <w:i/>
                <w:sz w:val="20"/>
                <w:szCs w:val="20"/>
              </w:rPr>
              <w:instrText xml:space="preserve"> PAGE </w:instrText>
            </w:r>
            <w:r w:rsidRPr="00543826">
              <w:rPr>
                <w:b/>
                <w:bCs/>
                <w:i/>
                <w:sz w:val="20"/>
                <w:szCs w:val="20"/>
              </w:rPr>
              <w:fldChar w:fldCharType="separate"/>
            </w:r>
            <w:r w:rsidRPr="00543826">
              <w:rPr>
                <w:b/>
                <w:bCs/>
                <w:i/>
                <w:noProof/>
                <w:sz w:val="20"/>
                <w:szCs w:val="20"/>
              </w:rPr>
              <w:t>2</w:t>
            </w:r>
            <w:r w:rsidRPr="00543826">
              <w:rPr>
                <w:b/>
                <w:bCs/>
                <w:i/>
                <w:sz w:val="20"/>
                <w:szCs w:val="20"/>
              </w:rPr>
              <w:fldChar w:fldCharType="end"/>
            </w:r>
            <w:r w:rsidRPr="00543826">
              <w:rPr>
                <w:b/>
                <w:i/>
                <w:sz w:val="20"/>
                <w:szCs w:val="20"/>
              </w:rPr>
              <w:t xml:space="preserve"> of </w:t>
            </w:r>
            <w:r w:rsidRPr="00543826">
              <w:rPr>
                <w:b/>
                <w:bCs/>
                <w:i/>
                <w:sz w:val="20"/>
                <w:szCs w:val="20"/>
              </w:rPr>
              <w:fldChar w:fldCharType="begin"/>
            </w:r>
            <w:r w:rsidRPr="00543826">
              <w:rPr>
                <w:b/>
                <w:bCs/>
                <w:i/>
                <w:sz w:val="20"/>
                <w:szCs w:val="20"/>
              </w:rPr>
              <w:instrText xml:space="preserve"> NUMPAGES  </w:instrText>
            </w:r>
            <w:r w:rsidRPr="00543826">
              <w:rPr>
                <w:b/>
                <w:bCs/>
                <w:i/>
                <w:sz w:val="20"/>
                <w:szCs w:val="20"/>
              </w:rPr>
              <w:fldChar w:fldCharType="separate"/>
            </w:r>
            <w:r w:rsidRPr="00543826">
              <w:rPr>
                <w:b/>
                <w:bCs/>
                <w:i/>
                <w:noProof/>
                <w:sz w:val="20"/>
                <w:szCs w:val="20"/>
              </w:rPr>
              <w:t>2</w:t>
            </w:r>
            <w:r w:rsidRPr="00543826">
              <w:rPr>
                <w:b/>
                <w:bCs/>
                <w:i/>
                <w:sz w:val="20"/>
                <w:szCs w:val="20"/>
              </w:rPr>
              <w:fldChar w:fldCharType="end"/>
            </w:r>
          </w:p>
        </w:sdtContent>
      </w:sdt>
    </w:sdtContent>
  </w:sdt>
  <w:p w14:paraId="3D2E6F78" w14:textId="77777777" w:rsidR="00674237" w:rsidRDefault="00674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85EA" w14:textId="77777777" w:rsidR="00674237" w:rsidRDefault="00674237" w:rsidP="00543826">
      <w:pPr>
        <w:spacing w:line="240" w:lineRule="auto"/>
      </w:pPr>
      <w:r>
        <w:separator/>
      </w:r>
    </w:p>
  </w:footnote>
  <w:footnote w:type="continuationSeparator" w:id="0">
    <w:p w14:paraId="67984954" w14:textId="77777777" w:rsidR="00674237" w:rsidRDefault="00674237" w:rsidP="00543826">
      <w:pPr>
        <w:spacing w:line="240" w:lineRule="auto"/>
      </w:pPr>
      <w:r>
        <w:continuationSeparator/>
      </w:r>
    </w:p>
  </w:footnote>
  <w:footnote w:id="1">
    <w:p w14:paraId="5493800B" w14:textId="77777777" w:rsidR="00674237" w:rsidRDefault="00674237">
      <w:pPr>
        <w:pStyle w:val="FootnoteText"/>
      </w:pPr>
      <w:r w:rsidRPr="005C615C">
        <w:rPr>
          <w:rStyle w:val="FootnoteReference"/>
          <w:rFonts w:cs="Times New Roman"/>
        </w:rPr>
        <w:footnoteRef/>
      </w:r>
      <w:r>
        <w:rPr>
          <w:rFonts w:cs="Times New Roman"/>
          <w:i/>
          <w:iCs/>
          <w:color w:val="000000"/>
        </w:rPr>
        <w:t xml:space="preserve"> </w:t>
      </w:r>
      <w:r w:rsidRPr="005C615C">
        <w:rPr>
          <w:rFonts w:cs="Times New Roman"/>
          <w:i/>
          <w:iCs/>
          <w:color w:val="000000"/>
        </w:rPr>
        <w:t>An Act for Limitation of Actions, and for avoiding of Suits in Law</w:t>
      </w:r>
      <w:r>
        <w:rPr>
          <w:rFonts w:ascii="Calibri" w:hAnsi="Calibri" w:cs="Calibri"/>
          <w:i/>
          <w:iCs/>
          <w:color w:val="000000"/>
          <w:sz w:val="18"/>
          <w:szCs w:val="18"/>
        </w:rPr>
        <w:t> </w:t>
      </w:r>
      <w:r>
        <w:t xml:space="preserve"> (10 Chas 1, sess 2, c.6). This Act was assigned the short title of The Trespass Act by the Statute Law Revision Act 2007 before being finally repealed by the Statute Law Revision Act 2009.</w:t>
      </w:r>
    </w:p>
  </w:footnote>
  <w:footnote w:id="2">
    <w:p w14:paraId="39A4103F" w14:textId="77777777" w:rsidR="00674237" w:rsidRDefault="00674237" w:rsidP="00EB6524">
      <w:pPr>
        <w:pStyle w:val="FootnoteText"/>
      </w:pPr>
      <w:r>
        <w:rPr>
          <w:rStyle w:val="FootnoteReference"/>
        </w:rPr>
        <w:footnoteRef/>
      </w:r>
      <w:r>
        <w:t xml:space="preserve"> While it is convenient to refer to a discoverability </w:t>
      </w:r>
      <w:r w:rsidRPr="00E85930">
        <w:rPr>
          <w:i/>
        </w:rPr>
        <w:t>test</w:t>
      </w:r>
      <w:r>
        <w:t xml:space="preserve">, that should not obscure the fact that there </w:t>
      </w:r>
      <w:r w:rsidR="00A8043E">
        <w:t xml:space="preserve">are </w:t>
      </w:r>
      <w:r>
        <w:t xml:space="preserve">many possible variants of such a test: see per McKechnie J for the Supreme Court in </w:t>
      </w:r>
      <w:r w:rsidRPr="004355AB">
        <w:rPr>
          <w:i/>
        </w:rPr>
        <w:t>Brandley v Deane</w:t>
      </w:r>
      <w:r>
        <w:rPr>
          <w:i/>
        </w:rPr>
        <w:t xml:space="preserve">  </w:t>
      </w:r>
      <w:bookmarkStart w:id="2" w:name="_Hlk82515804"/>
      <w:r>
        <w:t xml:space="preserve">[2017] IESC </w:t>
      </w:r>
      <w:r w:rsidR="00A8043E">
        <w:t>8</w:t>
      </w:r>
      <w:r>
        <w:t>3, [2018] 2 IR 741</w:t>
      </w:r>
      <w:bookmarkEnd w:id="2"/>
      <w:r>
        <w:t xml:space="preserve">, at paragraphs 80 and 81. </w:t>
      </w:r>
    </w:p>
  </w:footnote>
  <w:footnote w:id="3">
    <w:p w14:paraId="66100A17" w14:textId="77777777" w:rsidR="00674237" w:rsidRDefault="00674237" w:rsidP="0035352C">
      <w:pPr>
        <w:pStyle w:val="FootnoteText"/>
      </w:pPr>
      <w:r>
        <w:rPr>
          <w:rStyle w:val="FootnoteReference"/>
        </w:rPr>
        <w:footnoteRef/>
      </w:r>
      <w:r>
        <w:t xml:space="preserve"> As enacted, section 11(2)(a) provided that, other than for actions for personal injuries and slander claims </w:t>
      </w:r>
      <w:r w:rsidRPr="00C055A6">
        <w:rPr>
          <w:i/>
          <w:color w:val="000000"/>
          <w:shd w:val="clear" w:color="auto" w:fill="FFFFFF"/>
        </w:rPr>
        <w:t>“an action founded on tort shall not be brought after the expiration of six years from the date on which the cause of action accrued.”</w:t>
      </w:r>
    </w:p>
  </w:footnote>
  <w:footnote w:id="4">
    <w:p w14:paraId="105FFFF5" w14:textId="77777777" w:rsidR="00674237" w:rsidRDefault="00674237" w:rsidP="0035352C">
      <w:pPr>
        <w:pStyle w:val="FootnoteText"/>
      </w:pPr>
      <w:r>
        <w:rPr>
          <w:rStyle w:val="FootnoteReference"/>
        </w:rPr>
        <w:footnoteRef/>
      </w:r>
      <w:r>
        <w:t xml:space="preserve"> At page 160.</w:t>
      </w:r>
    </w:p>
  </w:footnote>
  <w:footnote w:id="5">
    <w:p w14:paraId="4DEB072F" w14:textId="77777777" w:rsidR="00674237" w:rsidRPr="000C5B4F" w:rsidRDefault="00674237" w:rsidP="0035352C">
      <w:pPr>
        <w:pStyle w:val="FootnoteText"/>
      </w:pPr>
      <w:r>
        <w:rPr>
          <w:rStyle w:val="FootnoteReference"/>
        </w:rPr>
        <w:footnoteRef/>
      </w:r>
      <w:r>
        <w:t xml:space="preserve"> Section 11(2)(b) as enacted provided that actions for personal injuries “</w:t>
      </w:r>
      <w:r w:rsidRPr="000C5B4F">
        <w:rPr>
          <w:i/>
          <w:color w:val="000000"/>
          <w:shd w:val="clear" w:color="auto" w:fill="FFFFFF"/>
        </w:rPr>
        <w:t>shall not be brought after the expiration of three years from the date on which the cause of action accrued.”</w:t>
      </w:r>
      <w:r>
        <w:rPr>
          <w:i/>
          <w:color w:val="000000"/>
          <w:shd w:val="clear" w:color="auto" w:fill="FFFFFF"/>
        </w:rPr>
        <w:t xml:space="preserve"> </w:t>
      </w:r>
      <w:r>
        <w:rPr>
          <w:color w:val="000000"/>
          <w:shd w:val="clear" w:color="auto" w:fill="FFFFFF"/>
        </w:rPr>
        <w:t>Section 11(2)(b) was repealed by the Statute of Limitations (Amendment) Act 1991 and the governing provision for personal injuries actions is now section 3 of the 1991 Act.</w:t>
      </w:r>
    </w:p>
  </w:footnote>
  <w:footnote w:id="6">
    <w:p w14:paraId="4C7F8438" w14:textId="77777777" w:rsidR="00674237" w:rsidRDefault="00674237">
      <w:pPr>
        <w:pStyle w:val="FootnoteText"/>
      </w:pPr>
      <w:r w:rsidRPr="00A0643A">
        <w:rPr>
          <w:rStyle w:val="FootnoteReference"/>
        </w:rPr>
        <w:footnoteRef/>
      </w:r>
      <w:r w:rsidRPr="00A0643A">
        <w:t xml:space="preserve"> </w:t>
      </w:r>
      <w:r w:rsidRPr="00A0643A">
        <w:rPr>
          <w:rFonts w:eastAsia="Times New Roman" w:cs="Times New Roman"/>
          <w:i/>
          <w:lang w:eastAsia="en-IE"/>
        </w:rPr>
        <w:t>Report on the Statute of Limitations: Claims in respect of Latent Persona</w:t>
      </w:r>
      <w:r w:rsidR="00A8043E">
        <w:rPr>
          <w:rFonts w:eastAsia="Times New Roman" w:cs="Times New Roman"/>
          <w:i/>
          <w:lang w:eastAsia="en-IE"/>
        </w:rPr>
        <w:t>l</w:t>
      </w:r>
      <w:r w:rsidRPr="00A0643A">
        <w:rPr>
          <w:rFonts w:eastAsia="Times New Roman" w:cs="Times New Roman"/>
          <w:i/>
          <w:lang w:eastAsia="en-IE"/>
        </w:rPr>
        <w:t xml:space="preserve"> Injuries</w:t>
      </w:r>
      <w:r w:rsidRPr="00A0643A">
        <w:rPr>
          <w:rFonts w:eastAsia="Times New Roman" w:cs="Times New Roman"/>
          <w:lang w:eastAsia="en-IE"/>
        </w:rPr>
        <w:t xml:space="preserve"> (LRC 21-1987)</w:t>
      </w:r>
    </w:p>
  </w:footnote>
  <w:footnote w:id="7">
    <w:p w14:paraId="530032A2" w14:textId="77777777" w:rsidR="00674237" w:rsidRDefault="00674237">
      <w:pPr>
        <w:pStyle w:val="FootnoteText"/>
      </w:pPr>
      <w:r>
        <w:rPr>
          <w:rStyle w:val="FootnoteReference"/>
        </w:rPr>
        <w:footnoteRef/>
      </w:r>
      <w:r>
        <w:t xml:space="preserve"> In the words of McKechnie J, “</w:t>
      </w:r>
      <w:r w:rsidRPr="00ED3A57">
        <w:rPr>
          <w:i/>
        </w:rPr>
        <w:t>the courts have lamented the unjustness of this situation for many decades now</w:t>
      </w:r>
      <w:r>
        <w:t xml:space="preserve">”: </w:t>
      </w:r>
      <w:r w:rsidRPr="00ED3A57">
        <w:rPr>
          <w:i/>
        </w:rPr>
        <w:t>Brandley v Deane</w:t>
      </w:r>
      <w:r>
        <w:t xml:space="preserve"> at para 82 and following. See also the comments of </w:t>
      </w:r>
      <w:r w:rsidR="00E928EB">
        <w:t>O’Donnell</w:t>
      </w:r>
      <w:r>
        <w:t xml:space="preserve"> J in the recent decision of the Supreme Court in </w:t>
      </w:r>
      <w:r w:rsidRPr="00746147">
        <w:rPr>
          <w:rFonts w:cs="Times New Roman"/>
          <w:i/>
          <w:szCs w:val="24"/>
        </w:rPr>
        <w:t>Cantrell v Allied Irish Banks plc</w:t>
      </w:r>
      <w:r w:rsidRPr="00746147">
        <w:rPr>
          <w:rFonts w:cs="Times New Roman"/>
          <w:szCs w:val="24"/>
        </w:rPr>
        <w:t xml:space="preserve"> [2020] IESC 71</w:t>
      </w:r>
      <w:r>
        <w:rPr>
          <w:rFonts w:cs="Times New Roman"/>
          <w:szCs w:val="24"/>
        </w:rPr>
        <w:t xml:space="preserve">, </w:t>
      </w:r>
      <w:r w:rsidR="00D157CD">
        <w:rPr>
          <w:rFonts w:cs="Times New Roman"/>
          <w:szCs w:val="24"/>
        </w:rPr>
        <w:t xml:space="preserve">[2021] PNLR </w:t>
      </w:r>
      <w:r w:rsidR="00653435">
        <w:rPr>
          <w:rFonts w:cs="Times New Roman"/>
          <w:szCs w:val="24"/>
        </w:rPr>
        <w:t xml:space="preserve">9 </w:t>
      </w:r>
      <w:r>
        <w:rPr>
          <w:rFonts w:cs="Times New Roman"/>
          <w:szCs w:val="24"/>
        </w:rPr>
        <w:t>at paragraph</w:t>
      </w:r>
      <w:r w:rsidR="00AC1382">
        <w:rPr>
          <w:rFonts w:cs="Times New Roman"/>
          <w:szCs w:val="24"/>
        </w:rPr>
        <w:t xml:space="preserve"> 146 and following.</w:t>
      </w:r>
    </w:p>
  </w:footnote>
  <w:footnote w:id="8">
    <w:p w14:paraId="49A345F8" w14:textId="77777777" w:rsidR="00674237" w:rsidRDefault="00674237">
      <w:pPr>
        <w:pStyle w:val="FootnoteText"/>
      </w:pPr>
      <w:r>
        <w:rPr>
          <w:rStyle w:val="FootnoteReference"/>
        </w:rPr>
        <w:footnoteRef/>
      </w:r>
      <w:r>
        <w:t xml:space="preserve"> </w:t>
      </w:r>
      <w:r w:rsidRPr="000E045C">
        <w:rPr>
          <w:i/>
        </w:rPr>
        <w:t>Report on The Statute of Limitations: Claims in Contract and Tort in Respect of Latent Damage (Other than Personal Injury)</w:t>
      </w:r>
      <w:r>
        <w:t xml:space="preserve"> (LRC 64-2001) and </w:t>
      </w:r>
      <w:r w:rsidRPr="004B5186">
        <w:rPr>
          <w:i/>
        </w:rPr>
        <w:t>Limitation of Actions</w:t>
      </w:r>
      <w:r>
        <w:t xml:space="preserve"> (LRC 104-2011). Notably, in its 2011 Report the Commission recommended the introduction of a basic limitation period (of 2 years) for  civil claims, beginning on the date of knowledge of the person initiating the claim. That period would apply to both contract and tort claims (other than defamation claims).</w:t>
      </w:r>
    </w:p>
  </w:footnote>
  <w:footnote w:id="9">
    <w:p w14:paraId="17C0221F" w14:textId="77777777" w:rsidR="00674237" w:rsidRDefault="00674237">
      <w:pPr>
        <w:pStyle w:val="FootnoteText"/>
      </w:pPr>
      <w:r>
        <w:rPr>
          <w:rStyle w:val="FootnoteReference"/>
        </w:rPr>
        <w:footnoteRef/>
      </w:r>
      <w:r>
        <w:t xml:space="preserve">  The language of accrual in the 1957 Act was new and appears to have derived from the </w:t>
      </w:r>
      <w:r w:rsidR="001F4A4F">
        <w:t xml:space="preserve">(UK) </w:t>
      </w:r>
      <w:r>
        <w:t>Limitation Act 1939</w:t>
      </w:r>
      <w:r w:rsidR="001F4A4F">
        <w:t>.</w:t>
      </w:r>
    </w:p>
  </w:footnote>
  <w:footnote w:id="10">
    <w:p w14:paraId="40E9CFBC" w14:textId="77777777" w:rsidR="001F4A4F" w:rsidRPr="00874B24" w:rsidRDefault="001F4A4F" w:rsidP="001F4A4F">
      <w:pPr>
        <w:pStyle w:val="FootnoteText"/>
        <w:rPr>
          <w:rFonts w:cs="Times New Roman"/>
          <w:szCs w:val="24"/>
        </w:rPr>
      </w:pPr>
      <w:r>
        <w:rPr>
          <w:rStyle w:val="FootnoteReference"/>
        </w:rPr>
        <w:footnoteRef/>
      </w:r>
      <w:r>
        <w:rPr>
          <w:rFonts w:cs="Times New Roman"/>
          <w:szCs w:val="24"/>
        </w:rPr>
        <w:t xml:space="preserve"> O’ Sullivan, “The meaning of ‘damage’ in pure financial loss cases: contract and tort collide” (2012) 4 PN 248 – cited extensively by O’Donnell J in </w:t>
      </w:r>
      <w:r w:rsidRPr="00B67803">
        <w:rPr>
          <w:rFonts w:cs="Times New Roman"/>
          <w:i/>
          <w:szCs w:val="24"/>
        </w:rPr>
        <w:t>Cantrell</w:t>
      </w:r>
      <w:r>
        <w:rPr>
          <w:rFonts w:cs="Times New Roman"/>
          <w:szCs w:val="24"/>
        </w:rPr>
        <w:t xml:space="preserve"> – discusses some of the distorting effects of permitting concurrent tortious liability in respect of what in reality are contractual claims. In her view, </w:t>
      </w:r>
      <w:r w:rsidRPr="000B6718">
        <w:rPr>
          <w:rFonts w:cs="Times New Roman"/>
          <w:i/>
          <w:szCs w:val="24"/>
        </w:rPr>
        <w:t>“the limitation tail is wagging the substantive dog”</w:t>
      </w:r>
      <w:r>
        <w:rPr>
          <w:rFonts w:cs="Times New Roman"/>
          <w:i/>
          <w:szCs w:val="24"/>
        </w:rPr>
        <w:t xml:space="preserve">. </w:t>
      </w:r>
      <w:r>
        <w:rPr>
          <w:rFonts w:cs="Times New Roman"/>
          <w:szCs w:val="24"/>
        </w:rPr>
        <w:t>Writing extra-judicially, Jackson LJ (co-author of the standard work on professional negligence) has suggested that, if it is felt that the contractual limitation periods are unsatisfactory “</w:t>
      </w:r>
      <w:r w:rsidRPr="00091404">
        <w:rPr>
          <w:rFonts w:cs="Times New Roman"/>
          <w:i/>
          <w:szCs w:val="24"/>
        </w:rPr>
        <w:t>then surely the remedy is to amend the law of limitation, not to mangle the law of tort. The fact that a contractual claim is statute-barred is not a good reason to ‘invent’ a tortious claim.”</w:t>
      </w:r>
      <w:r>
        <w:rPr>
          <w:rFonts w:cs="Times New Roman"/>
          <w:szCs w:val="24"/>
        </w:rPr>
        <w:t xml:space="preserve"> (</w:t>
      </w:r>
      <w:r w:rsidRPr="00874B24">
        <w:rPr>
          <w:rFonts w:cs="Times New Roman"/>
          <w:i/>
          <w:szCs w:val="24"/>
        </w:rPr>
        <w:t>“Concurrent Liability: Where Have Things Gone Wrong</w:t>
      </w:r>
      <w:r>
        <w:rPr>
          <w:rFonts w:cs="Times New Roman"/>
          <w:szCs w:val="24"/>
        </w:rPr>
        <w:t>”;  Lecture to the Technology &amp; Construction Bar Association and the Society of Construction Law on 30 October 2014). In this context, it should be explained that section 14A of the (UK) Limitation Act 1980 (inserted by the Latent Damage Act 1986)</w:t>
      </w:r>
      <w:r w:rsidR="004F69F3">
        <w:rPr>
          <w:rFonts w:cs="Times New Roman"/>
          <w:szCs w:val="24"/>
        </w:rPr>
        <w:t>,</w:t>
      </w:r>
      <w:r>
        <w:rPr>
          <w:rFonts w:cs="Times New Roman"/>
          <w:szCs w:val="24"/>
        </w:rPr>
        <w:t xml:space="preserve"> which introduced a discoverability test for claims other than personal injury claims, applies only to claims in negligence and not to claims in contract. The Law Commission has recommended the adoption of a basic limitation period applicable to both claims in contract and claims in tort but that recommendation has not been implemented to date.</w:t>
      </w:r>
      <w:r w:rsidRPr="001F4A4F">
        <w:rPr>
          <w:rFonts w:cs="Times New Roman"/>
          <w:szCs w:val="24"/>
        </w:rPr>
        <w:t xml:space="preserve"> </w:t>
      </w:r>
      <w:r>
        <w:rPr>
          <w:rFonts w:cs="Times New Roman"/>
          <w:szCs w:val="24"/>
        </w:rPr>
        <w:t xml:space="preserve">As noted already, the Law Reform Commission </w:t>
      </w:r>
      <w:r w:rsidR="00EE36CF">
        <w:rPr>
          <w:rFonts w:cs="Times New Roman"/>
          <w:szCs w:val="24"/>
        </w:rPr>
        <w:t xml:space="preserve">here </w:t>
      </w:r>
      <w:r>
        <w:rPr>
          <w:rFonts w:cs="Times New Roman"/>
          <w:szCs w:val="24"/>
        </w:rPr>
        <w:t xml:space="preserve">has also recommended the introduction </w:t>
      </w:r>
      <w:r w:rsidR="00EE36CF">
        <w:rPr>
          <w:rFonts w:cs="Times New Roman"/>
          <w:szCs w:val="24"/>
        </w:rPr>
        <w:t>of a basic limitation period and i</w:t>
      </w:r>
      <w:r>
        <w:rPr>
          <w:rFonts w:cs="Times New Roman"/>
          <w:szCs w:val="24"/>
        </w:rPr>
        <w:t>mplementation of th</w:t>
      </w:r>
      <w:r w:rsidR="00EE36CF">
        <w:rPr>
          <w:rFonts w:cs="Times New Roman"/>
          <w:szCs w:val="24"/>
        </w:rPr>
        <w:t>at recommendation would bring significant clarity</w:t>
      </w:r>
      <w:r w:rsidR="00CB6BF5">
        <w:rPr>
          <w:rFonts w:cs="Times New Roman"/>
          <w:szCs w:val="24"/>
        </w:rPr>
        <w:t xml:space="preserve"> and rationality</w:t>
      </w:r>
      <w:r w:rsidR="00EE36CF">
        <w:rPr>
          <w:rFonts w:cs="Times New Roman"/>
          <w:szCs w:val="24"/>
        </w:rPr>
        <w:t xml:space="preserve"> to this area of the law.</w:t>
      </w:r>
    </w:p>
  </w:footnote>
  <w:footnote w:id="11">
    <w:p w14:paraId="64D33C48" w14:textId="77777777" w:rsidR="00674237" w:rsidRDefault="00674237" w:rsidP="00BB231C">
      <w:pPr>
        <w:pStyle w:val="FootnoteText"/>
      </w:pPr>
      <w:r>
        <w:rPr>
          <w:rStyle w:val="FootnoteReference"/>
        </w:rPr>
        <w:footnoteRef/>
      </w:r>
      <w:r>
        <w:t xml:space="preserve"> Every limitation regime involves some trade-off between certainty and flexibility. The introduction of a discoverability test in this area would necessarily increase uncertainty (though that could be mitigated by the introduction of a “</w:t>
      </w:r>
      <w:r w:rsidRPr="00BB231C">
        <w:rPr>
          <w:i/>
        </w:rPr>
        <w:t>long-stop</w:t>
      </w:r>
      <w:r>
        <w:t>” as recommended by the Law Reform Commission). However, in its current form section 11(2)(a) is arguably the wor</w:t>
      </w:r>
      <w:r w:rsidR="00274FCF">
        <w:t>s</w:t>
      </w:r>
      <w:r>
        <w:t xml:space="preserve">t of all worlds in that its operation is characterised by both inflexibility </w:t>
      </w:r>
      <w:r w:rsidR="00274FCF">
        <w:t xml:space="preserve">of </w:t>
      </w:r>
      <w:r>
        <w:t xml:space="preserve">application </w:t>
      </w:r>
      <w:r w:rsidRPr="003A26DE">
        <w:rPr>
          <w:i/>
        </w:rPr>
        <w:t>and</w:t>
      </w:r>
      <w:r>
        <w:t xml:space="preserve"> uncertainty of outcome.</w:t>
      </w:r>
    </w:p>
  </w:footnote>
  <w:footnote w:id="12">
    <w:p w14:paraId="16BC7FF5" w14:textId="77777777" w:rsidR="00674237" w:rsidRDefault="00674237" w:rsidP="000E7DB6">
      <w:pPr>
        <w:pStyle w:val="FootnoteText"/>
      </w:pPr>
      <w:r>
        <w:rPr>
          <w:rStyle w:val="FootnoteReference"/>
        </w:rPr>
        <w:footnoteRef/>
      </w:r>
      <w:r>
        <w:t xml:space="preserve"> Condition 2 of the Planning Permission  follows on a heading “</w:t>
      </w:r>
      <w:r w:rsidRPr="000E7DB6">
        <w:rPr>
          <w:b/>
          <w:i/>
        </w:rPr>
        <w:t xml:space="preserve">Pre-commencement conditions (requiring comprehensive submissions to be agreed in writing with the planning authority, prior to any works on site)” </w:t>
      </w:r>
      <w:r>
        <w:t>and provided that “</w:t>
      </w:r>
      <w:r w:rsidRPr="000E7DB6">
        <w:rPr>
          <w:i/>
        </w:rPr>
        <w:t>The applicant shall submit a revised dwelling design, particulars to be submitted to the Planning Authority for written approval, the revisions shall provide for: windows in the front elevation shall have a vertical emphasis. Glazing shall be clear and pla</w:t>
      </w:r>
      <w:r w:rsidR="00453D83">
        <w:rPr>
          <w:i/>
        </w:rPr>
        <w:t>i</w:t>
      </w:r>
      <w:r w:rsidRPr="000E7DB6">
        <w:rPr>
          <w:i/>
        </w:rPr>
        <w:t>n and shall not be Georgian or latticed</w:t>
      </w:r>
      <w:r>
        <w:t xml:space="preserve">.” </w:t>
      </w:r>
    </w:p>
  </w:footnote>
  <w:footnote w:id="13">
    <w:p w14:paraId="58859FC3" w14:textId="77777777" w:rsidR="00674237" w:rsidRDefault="00674237">
      <w:pPr>
        <w:pStyle w:val="FootnoteText"/>
      </w:pPr>
      <w:r>
        <w:rPr>
          <w:rStyle w:val="FootnoteReference"/>
        </w:rPr>
        <w:footnoteRef/>
      </w:r>
      <w:r>
        <w:t xml:space="preserve"> This is, of course, a standard requisition: see the discussion in Wylie &amp; Woods, </w:t>
      </w:r>
      <w:r w:rsidRPr="007B5C5B">
        <w:rPr>
          <w:i/>
        </w:rPr>
        <w:t>Irish Conveyancing Law</w:t>
      </w:r>
      <w:r>
        <w:t xml:space="preserve"> (4</w:t>
      </w:r>
      <w:r w:rsidRPr="007B5C5B">
        <w:rPr>
          <w:vertAlign w:val="superscript"/>
        </w:rPr>
        <w:t>th</w:t>
      </w:r>
      <w:r>
        <w:t xml:space="preserve"> ed; 2019) at para 8.61 and following, where condition 32 of the Law Society’s standard form contract is also discussed. The discussion in para 8.63 of certificates/opinions  of compliance is also worthy of note, suggesting as it does that it is normal practice for purchasers and their solicitors to rely on certificates provided by the vendor in transactions involving newly constructed property, subject to the certifier being appropriately qualified. The qualifications of the First Defendant do not appear to be impugned by the Plaintiff here.</w:t>
      </w:r>
    </w:p>
  </w:footnote>
  <w:footnote w:id="14">
    <w:p w14:paraId="194ED9CD" w14:textId="77777777" w:rsidR="00674237" w:rsidRDefault="00674237">
      <w:pPr>
        <w:pStyle w:val="FootnoteText"/>
      </w:pPr>
      <w:r>
        <w:rPr>
          <w:rStyle w:val="FootnoteReference"/>
        </w:rPr>
        <w:footnoteRef/>
      </w:r>
      <w:r>
        <w:t xml:space="preserve"> At para 19.</w:t>
      </w:r>
    </w:p>
  </w:footnote>
  <w:footnote w:id="15">
    <w:p w14:paraId="01065EC6" w14:textId="77777777" w:rsidR="00674237" w:rsidRDefault="00674237">
      <w:pPr>
        <w:pStyle w:val="FootnoteText"/>
      </w:pPr>
      <w:r>
        <w:rPr>
          <w:rStyle w:val="FootnoteReference"/>
        </w:rPr>
        <w:footnoteRef/>
      </w:r>
      <w:r>
        <w:t xml:space="preserve"> At para. 23.</w:t>
      </w:r>
    </w:p>
  </w:footnote>
  <w:footnote w:id="16">
    <w:p w14:paraId="6C6E887A" w14:textId="77777777" w:rsidR="00674237" w:rsidRDefault="00674237">
      <w:pPr>
        <w:pStyle w:val="FootnoteText"/>
      </w:pPr>
      <w:r>
        <w:rPr>
          <w:rStyle w:val="FootnoteReference"/>
        </w:rPr>
        <w:footnoteRef/>
      </w:r>
      <w:r>
        <w:t xml:space="preserve"> At para 23.</w:t>
      </w:r>
    </w:p>
  </w:footnote>
  <w:footnote w:id="17">
    <w:p w14:paraId="67769326" w14:textId="77777777" w:rsidR="00674237" w:rsidRDefault="00674237">
      <w:pPr>
        <w:pStyle w:val="FootnoteText"/>
      </w:pPr>
      <w:r>
        <w:rPr>
          <w:rStyle w:val="FootnoteReference"/>
        </w:rPr>
        <w:footnoteRef/>
      </w:r>
      <w:r>
        <w:t xml:space="preserve"> [2016] IECA 54, at para 18 cited at para 23 of the report of </w:t>
      </w:r>
      <w:r w:rsidRPr="00AC7FC5">
        <w:rPr>
          <w:i/>
        </w:rPr>
        <w:t>Brandley v Deane</w:t>
      </w:r>
      <w:r>
        <w:t>.</w:t>
      </w:r>
    </w:p>
  </w:footnote>
  <w:footnote w:id="18">
    <w:p w14:paraId="4AF814A9" w14:textId="77777777" w:rsidR="00674237" w:rsidRDefault="00674237" w:rsidP="001A5B63">
      <w:pPr>
        <w:pStyle w:val="FootnoteText"/>
      </w:pPr>
      <w:r>
        <w:rPr>
          <w:rStyle w:val="FootnoteReference"/>
        </w:rPr>
        <w:footnoteRef/>
      </w:r>
      <w:r>
        <w:t xml:space="preserve"> McKechnie J appeared to acknowledge that the position </w:t>
      </w:r>
      <w:r w:rsidRPr="00326B8B">
        <w:rPr>
          <w:i/>
        </w:rPr>
        <w:t>might</w:t>
      </w:r>
      <w:r>
        <w:t xml:space="preserve"> be different where a building claim was framed as a claim for pure economic loss: see his discussion of </w:t>
      </w:r>
      <w:r w:rsidRPr="00326B8B">
        <w:rPr>
          <w:i/>
        </w:rPr>
        <w:t xml:space="preserve">Irish Equine Foundation Ltd v Robinson </w:t>
      </w:r>
      <w:r w:rsidRPr="00326B8B">
        <w:t>[</w:t>
      </w:r>
      <w:r>
        <w:t xml:space="preserve">1999] 2 IR 442 at para 117 and following. </w:t>
      </w:r>
      <w:r w:rsidR="000A257D">
        <w:t>Fortunately, it is not</w:t>
      </w:r>
      <w:r>
        <w:t xml:space="preserve"> necessary to consider t</w:t>
      </w:r>
      <w:r w:rsidR="000A257D">
        <w:t xml:space="preserve">hat difficult </w:t>
      </w:r>
      <w:r>
        <w:t>issue further here.</w:t>
      </w:r>
    </w:p>
  </w:footnote>
  <w:footnote w:id="19">
    <w:p w14:paraId="2A3D7AE7" w14:textId="77777777" w:rsidR="00674237" w:rsidRPr="00C531F2" w:rsidRDefault="00674237">
      <w:pPr>
        <w:pStyle w:val="FootnoteText"/>
      </w:pPr>
      <w:r w:rsidRPr="00C531F2">
        <w:rPr>
          <w:rStyle w:val="FootnoteReference"/>
        </w:rPr>
        <w:footnoteRef/>
      </w:r>
      <w:r w:rsidRPr="00C531F2">
        <w:t xml:space="preserve"> Andrew Burrows (now Lord Burrows JSC)</w:t>
      </w:r>
      <w:r w:rsidRPr="00C531F2">
        <w:rPr>
          <w:rFonts w:cs="Times New Roman"/>
          <w:shd w:val="clear" w:color="auto" w:fill="FFFFFF"/>
        </w:rPr>
        <w:t xml:space="preserve">, “Some Recurring Issues in Relation to Limitation of Actions'” (January 3, 2014). in </w:t>
      </w:r>
      <w:r w:rsidRPr="00C531F2">
        <w:rPr>
          <w:rFonts w:cs="Times New Roman"/>
          <w:i/>
          <w:shd w:val="clear" w:color="auto" w:fill="FFFFFF"/>
        </w:rPr>
        <w:t xml:space="preserve">Defences in Tort </w:t>
      </w:r>
      <w:r w:rsidRPr="00C531F2">
        <w:rPr>
          <w:rFonts w:cs="Times New Roman"/>
          <w:shd w:val="clear" w:color="auto" w:fill="FFFFFF"/>
        </w:rPr>
        <w:t>(Eds Andrew Dyson, James Goudkamp and Frederick Wilmot-Smith, (2015), Oxford Legal Studies Research Paper No. 14/2018</w:t>
      </w:r>
      <w:r w:rsidRPr="00C531F2">
        <w:t xml:space="preserve">. </w:t>
      </w:r>
    </w:p>
  </w:footnote>
  <w:footnote w:id="20">
    <w:p w14:paraId="13A0ABCA" w14:textId="77777777" w:rsidR="00674237" w:rsidRDefault="00674237">
      <w:pPr>
        <w:pStyle w:val="FootnoteText"/>
      </w:pPr>
      <w:r>
        <w:rPr>
          <w:rStyle w:val="FootnoteReference"/>
        </w:rPr>
        <w:footnoteRef/>
      </w:r>
      <w:r>
        <w:t xml:space="preserve"> Replies to Notice of Particulars (29 June 2015), at paragraph 3(A). See also paragraph 4(A).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A624" w14:textId="77777777" w:rsidR="001F7C7A" w:rsidRPr="001F7C7A" w:rsidRDefault="001F7C7A">
    <w:pPr>
      <w:pStyle w:val="Header"/>
      <w:rPr>
        <w:b/>
        <w:bCs/>
        <w:i/>
        <w:iCs/>
      </w:rPr>
    </w:pPr>
    <w:r w:rsidRPr="001F7C7A">
      <w:rPr>
        <w:b/>
        <w:bCs/>
        <w:i/>
        <w:iCs/>
      </w:rPr>
      <w:t xml:space="preserve">Approved </w:t>
    </w:r>
  </w:p>
  <w:p w14:paraId="05CB7F82" w14:textId="77777777" w:rsidR="001F7C7A" w:rsidRPr="001F7C7A" w:rsidRDefault="001F7C7A">
    <w:pPr>
      <w:pStyle w:val="Header"/>
    </w:pPr>
    <w:r w:rsidRPr="001F7C7A">
      <w:rPr>
        <w:b/>
        <w:bCs/>
        <w:i/>
        <w:iCs/>
      </w:rPr>
      <w:t>No Redactions Required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6C40"/>
    <w:multiLevelType w:val="hybridMultilevel"/>
    <w:tmpl w:val="2630833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25282A4F"/>
    <w:multiLevelType w:val="hybridMultilevel"/>
    <w:tmpl w:val="6B701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BF0D22"/>
    <w:multiLevelType w:val="hybridMultilevel"/>
    <w:tmpl w:val="BC5230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FA5220"/>
    <w:multiLevelType w:val="hybridMultilevel"/>
    <w:tmpl w:val="DB96A97C"/>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4" w15:restartNumberingAfterBreak="0">
    <w:nsid w:val="4EB84185"/>
    <w:multiLevelType w:val="hybridMultilevel"/>
    <w:tmpl w:val="BB623A1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BFD36E4"/>
    <w:multiLevelType w:val="hybridMultilevel"/>
    <w:tmpl w:val="E8F236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68B23AEE"/>
    <w:multiLevelType w:val="hybridMultilevel"/>
    <w:tmpl w:val="06FC4A0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764D3A59"/>
    <w:multiLevelType w:val="hybridMultilevel"/>
    <w:tmpl w:val="6F80DCD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77401C0E"/>
    <w:multiLevelType w:val="hybridMultilevel"/>
    <w:tmpl w:val="0E82172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
  </w:num>
  <w:num w:numId="2">
    <w:abstractNumId w:val="8"/>
  </w:num>
  <w:num w:numId="3">
    <w:abstractNumId w:val="4"/>
  </w:num>
  <w:num w:numId="4">
    <w:abstractNumId w:val="5"/>
  </w:num>
  <w:num w:numId="5">
    <w:abstractNumId w:val="0"/>
  </w:num>
  <w:num w:numId="6">
    <w:abstractNumId w:val="6"/>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5"/>
    <w:rsid w:val="00005537"/>
    <w:rsid w:val="0000575D"/>
    <w:rsid w:val="00007730"/>
    <w:rsid w:val="00014084"/>
    <w:rsid w:val="0001763F"/>
    <w:rsid w:val="00023C01"/>
    <w:rsid w:val="000303FA"/>
    <w:rsid w:val="000336BE"/>
    <w:rsid w:val="00034D7B"/>
    <w:rsid w:val="000377A3"/>
    <w:rsid w:val="0005074F"/>
    <w:rsid w:val="000524E1"/>
    <w:rsid w:val="0007276B"/>
    <w:rsid w:val="000751B4"/>
    <w:rsid w:val="000804CC"/>
    <w:rsid w:val="0008070D"/>
    <w:rsid w:val="00086B18"/>
    <w:rsid w:val="00091404"/>
    <w:rsid w:val="000A257D"/>
    <w:rsid w:val="000B370C"/>
    <w:rsid w:val="000B6718"/>
    <w:rsid w:val="000C4470"/>
    <w:rsid w:val="000C5B4F"/>
    <w:rsid w:val="000D018F"/>
    <w:rsid w:val="000D2671"/>
    <w:rsid w:val="000D2FCB"/>
    <w:rsid w:val="000E045C"/>
    <w:rsid w:val="000E7DB6"/>
    <w:rsid w:val="000F4FE0"/>
    <w:rsid w:val="00110F6A"/>
    <w:rsid w:val="00113B3B"/>
    <w:rsid w:val="00113BCF"/>
    <w:rsid w:val="00130D8A"/>
    <w:rsid w:val="00131383"/>
    <w:rsid w:val="00131DEE"/>
    <w:rsid w:val="00134BB6"/>
    <w:rsid w:val="00146ABC"/>
    <w:rsid w:val="00150505"/>
    <w:rsid w:val="00152228"/>
    <w:rsid w:val="001557B3"/>
    <w:rsid w:val="001577C0"/>
    <w:rsid w:val="001707FE"/>
    <w:rsid w:val="0018007B"/>
    <w:rsid w:val="00183DE3"/>
    <w:rsid w:val="00185F89"/>
    <w:rsid w:val="001926D4"/>
    <w:rsid w:val="00195157"/>
    <w:rsid w:val="001A1F5B"/>
    <w:rsid w:val="001A5B63"/>
    <w:rsid w:val="001B0B1D"/>
    <w:rsid w:val="001B41BA"/>
    <w:rsid w:val="001B551F"/>
    <w:rsid w:val="001B7786"/>
    <w:rsid w:val="001E28AD"/>
    <w:rsid w:val="001E4531"/>
    <w:rsid w:val="001E7045"/>
    <w:rsid w:val="001E7635"/>
    <w:rsid w:val="001F1BF6"/>
    <w:rsid w:val="001F4A4F"/>
    <w:rsid w:val="001F7C7A"/>
    <w:rsid w:val="0021313F"/>
    <w:rsid w:val="002149B5"/>
    <w:rsid w:val="00223905"/>
    <w:rsid w:val="002268E2"/>
    <w:rsid w:val="00232953"/>
    <w:rsid w:val="00242AB1"/>
    <w:rsid w:val="0024308B"/>
    <w:rsid w:val="002452D2"/>
    <w:rsid w:val="00247613"/>
    <w:rsid w:val="0025143A"/>
    <w:rsid w:val="002566AB"/>
    <w:rsid w:val="0026156E"/>
    <w:rsid w:val="00264CC0"/>
    <w:rsid w:val="00274DAF"/>
    <w:rsid w:val="00274FCF"/>
    <w:rsid w:val="0028042F"/>
    <w:rsid w:val="002A1535"/>
    <w:rsid w:val="002A778F"/>
    <w:rsid w:val="002D6FDB"/>
    <w:rsid w:val="002D754A"/>
    <w:rsid w:val="002D7AD8"/>
    <w:rsid w:val="003002AF"/>
    <w:rsid w:val="00317343"/>
    <w:rsid w:val="0031754A"/>
    <w:rsid w:val="003214FA"/>
    <w:rsid w:val="00326B8B"/>
    <w:rsid w:val="00342F71"/>
    <w:rsid w:val="0035352C"/>
    <w:rsid w:val="003559DF"/>
    <w:rsid w:val="00356965"/>
    <w:rsid w:val="00371291"/>
    <w:rsid w:val="00373F22"/>
    <w:rsid w:val="00380ED9"/>
    <w:rsid w:val="0038680B"/>
    <w:rsid w:val="003901FA"/>
    <w:rsid w:val="003A26DE"/>
    <w:rsid w:val="003A338F"/>
    <w:rsid w:val="003A33D1"/>
    <w:rsid w:val="003B7D09"/>
    <w:rsid w:val="003D14EA"/>
    <w:rsid w:val="003D6258"/>
    <w:rsid w:val="003D7B90"/>
    <w:rsid w:val="003E2B4F"/>
    <w:rsid w:val="003E516E"/>
    <w:rsid w:val="003F2A7D"/>
    <w:rsid w:val="00407B14"/>
    <w:rsid w:val="00410E94"/>
    <w:rsid w:val="004127F4"/>
    <w:rsid w:val="00413E34"/>
    <w:rsid w:val="00414B28"/>
    <w:rsid w:val="004201BB"/>
    <w:rsid w:val="004206EA"/>
    <w:rsid w:val="0042131F"/>
    <w:rsid w:val="00422667"/>
    <w:rsid w:val="00422D13"/>
    <w:rsid w:val="00433113"/>
    <w:rsid w:val="004355AB"/>
    <w:rsid w:val="00436E4E"/>
    <w:rsid w:val="00436ED3"/>
    <w:rsid w:val="00453D83"/>
    <w:rsid w:val="00490A6B"/>
    <w:rsid w:val="00491455"/>
    <w:rsid w:val="00492CF6"/>
    <w:rsid w:val="004A29E1"/>
    <w:rsid w:val="004A6459"/>
    <w:rsid w:val="004A7B8E"/>
    <w:rsid w:val="004B40E5"/>
    <w:rsid w:val="004B5186"/>
    <w:rsid w:val="004C339C"/>
    <w:rsid w:val="004C5403"/>
    <w:rsid w:val="004D2AAF"/>
    <w:rsid w:val="004E0448"/>
    <w:rsid w:val="004E3E95"/>
    <w:rsid w:val="004E7931"/>
    <w:rsid w:val="004F4EC6"/>
    <w:rsid w:val="004F69F3"/>
    <w:rsid w:val="004F7943"/>
    <w:rsid w:val="004F7F74"/>
    <w:rsid w:val="0050041F"/>
    <w:rsid w:val="00510A6D"/>
    <w:rsid w:val="00514BBD"/>
    <w:rsid w:val="00520F02"/>
    <w:rsid w:val="00523C74"/>
    <w:rsid w:val="00523F29"/>
    <w:rsid w:val="00527E1E"/>
    <w:rsid w:val="00543826"/>
    <w:rsid w:val="005441BD"/>
    <w:rsid w:val="00551A13"/>
    <w:rsid w:val="00566298"/>
    <w:rsid w:val="005666A5"/>
    <w:rsid w:val="0057452A"/>
    <w:rsid w:val="005838D7"/>
    <w:rsid w:val="00584031"/>
    <w:rsid w:val="00584FB0"/>
    <w:rsid w:val="0058616F"/>
    <w:rsid w:val="00591190"/>
    <w:rsid w:val="00591475"/>
    <w:rsid w:val="00593EF6"/>
    <w:rsid w:val="005A533B"/>
    <w:rsid w:val="005A64EA"/>
    <w:rsid w:val="005B34A7"/>
    <w:rsid w:val="005B3F16"/>
    <w:rsid w:val="005C19D1"/>
    <w:rsid w:val="005C2EA7"/>
    <w:rsid w:val="005C3AF2"/>
    <w:rsid w:val="005C409E"/>
    <w:rsid w:val="005C615C"/>
    <w:rsid w:val="005C7DF5"/>
    <w:rsid w:val="005C7FDD"/>
    <w:rsid w:val="005D136C"/>
    <w:rsid w:val="005D1CD9"/>
    <w:rsid w:val="005F38F9"/>
    <w:rsid w:val="006038E7"/>
    <w:rsid w:val="00604989"/>
    <w:rsid w:val="0061227A"/>
    <w:rsid w:val="0062638B"/>
    <w:rsid w:val="006304B7"/>
    <w:rsid w:val="00631DFF"/>
    <w:rsid w:val="00634897"/>
    <w:rsid w:val="00635EE4"/>
    <w:rsid w:val="006510E1"/>
    <w:rsid w:val="00653435"/>
    <w:rsid w:val="006536E1"/>
    <w:rsid w:val="00655F36"/>
    <w:rsid w:val="00656E12"/>
    <w:rsid w:val="00660396"/>
    <w:rsid w:val="0066220B"/>
    <w:rsid w:val="00672376"/>
    <w:rsid w:val="006723FB"/>
    <w:rsid w:val="00674237"/>
    <w:rsid w:val="00690B60"/>
    <w:rsid w:val="00693AFB"/>
    <w:rsid w:val="006A0CE6"/>
    <w:rsid w:val="006A5D48"/>
    <w:rsid w:val="006A7D73"/>
    <w:rsid w:val="006A7FCF"/>
    <w:rsid w:val="006B49DD"/>
    <w:rsid w:val="006C1890"/>
    <w:rsid w:val="006C3236"/>
    <w:rsid w:val="006C32AD"/>
    <w:rsid w:val="006E5D01"/>
    <w:rsid w:val="006F6260"/>
    <w:rsid w:val="0070485B"/>
    <w:rsid w:val="00717264"/>
    <w:rsid w:val="00736ADE"/>
    <w:rsid w:val="0074043D"/>
    <w:rsid w:val="00746147"/>
    <w:rsid w:val="00752156"/>
    <w:rsid w:val="00764440"/>
    <w:rsid w:val="00771DBE"/>
    <w:rsid w:val="007869B7"/>
    <w:rsid w:val="007873CC"/>
    <w:rsid w:val="0079224E"/>
    <w:rsid w:val="007A0DDF"/>
    <w:rsid w:val="007A3055"/>
    <w:rsid w:val="007A4E95"/>
    <w:rsid w:val="007B02EF"/>
    <w:rsid w:val="007B5C5B"/>
    <w:rsid w:val="007B7799"/>
    <w:rsid w:val="007C3253"/>
    <w:rsid w:val="007D039C"/>
    <w:rsid w:val="007D09B8"/>
    <w:rsid w:val="007D48D6"/>
    <w:rsid w:val="007D4F56"/>
    <w:rsid w:val="007E01CA"/>
    <w:rsid w:val="007F174A"/>
    <w:rsid w:val="007F3787"/>
    <w:rsid w:val="007F597F"/>
    <w:rsid w:val="008003C2"/>
    <w:rsid w:val="00800651"/>
    <w:rsid w:val="00811EA8"/>
    <w:rsid w:val="008206BC"/>
    <w:rsid w:val="0082189E"/>
    <w:rsid w:val="00831248"/>
    <w:rsid w:val="008348DE"/>
    <w:rsid w:val="00834975"/>
    <w:rsid w:val="00837F9E"/>
    <w:rsid w:val="008426EB"/>
    <w:rsid w:val="008429A6"/>
    <w:rsid w:val="00844AE3"/>
    <w:rsid w:val="0084549F"/>
    <w:rsid w:val="00865985"/>
    <w:rsid w:val="00874582"/>
    <w:rsid w:val="00874B24"/>
    <w:rsid w:val="00875541"/>
    <w:rsid w:val="008813E7"/>
    <w:rsid w:val="00892B84"/>
    <w:rsid w:val="008A49EE"/>
    <w:rsid w:val="008B080F"/>
    <w:rsid w:val="008B783F"/>
    <w:rsid w:val="008C15A6"/>
    <w:rsid w:val="008C7DC1"/>
    <w:rsid w:val="008D3C9A"/>
    <w:rsid w:val="008E3F88"/>
    <w:rsid w:val="008F7827"/>
    <w:rsid w:val="0090089A"/>
    <w:rsid w:val="009042BF"/>
    <w:rsid w:val="009072FB"/>
    <w:rsid w:val="00912CF4"/>
    <w:rsid w:val="00914495"/>
    <w:rsid w:val="00917510"/>
    <w:rsid w:val="00922953"/>
    <w:rsid w:val="00922FB8"/>
    <w:rsid w:val="00927CC6"/>
    <w:rsid w:val="00937101"/>
    <w:rsid w:val="0094312B"/>
    <w:rsid w:val="0095777B"/>
    <w:rsid w:val="00966C2B"/>
    <w:rsid w:val="009719DD"/>
    <w:rsid w:val="00986BBD"/>
    <w:rsid w:val="00991528"/>
    <w:rsid w:val="00996FA5"/>
    <w:rsid w:val="009A229D"/>
    <w:rsid w:val="009B08ED"/>
    <w:rsid w:val="009B4976"/>
    <w:rsid w:val="009C74B9"/>
    <w:rsid w:val="009D20BB"/>
    <w:rsid w:val="009E165A"/>
    <w:rsid w:val="00A0643A"/>
    <w:rsid w:val="00A11FB4"/>
    <w:rsid w:val="00A12900"/>
    <w:rsid w:val="00A26B83"/>
    <w:rsid w:val="00A30EB3"/>
    <w:rsid w:val="00A51CCA"/>
    <w:rsid w:val="00A61533"/>
    <w:rsid w:val="00A6232F"/>
    <w:rsid w:val="00A6671A"/>
    <w:rsid w:val="00A66E50"/>
    <w:rsid w:val="00A724D4"/>
    <w:rsid w:val="00A7499A"/>
    <w:rsid w:val="00A7515C"/>
    <w:rsid w:val="00A77A21"/>
    <w:rsid w:val="00A8043E"/>
    <w:rsid w:val="00A83CBA"/>
    <w:rsid w:val="00A9175B"/>
    <w:rsid w:val="00A928E9"/>
    <w:rsid w:val="00A97CB7"/>
    <w:rsid w:val="00AB20C5"/>
    <w:rsid w:val="00AC1382"/>
    <w:rsid w:val="00AC7FC5"/>
    <w:rsid w:val="00B0238E"/>
    <w:rsid w:val="00B062D1"/>
    <w:rsid w:val="00B062E1"/>
    <w:rsid w:val="00B209AC"/>
    <w:rsid w:val="00B26FD2"/>
    <w:rsid w:val="00B30059"/>
    <w:rsid w:val="00B31BC3"/>
    <w:rsid w:val="00B32162"/>
    <w:rsid w:val="00B34C07"/>
    <w:rsid w:val="00B52B69"/>
    <w:rsid w:val="00B544A0"/>
    <w:rsid w:val="00B54DEF"/>
    <w:rsid w:val="00B558BB"/>
    <w:rsid w:val="00B60B61"/>
    <w:rsid w:val="00B6244C"/>
    <w:rsid w:val="00B65547"/>
    <w:rsid w:val="00B65F76"/>
    <w:rsid w:val="00B67803"/>
    <w:rsid w:val="00B83023"/>
    <w:rsid w:val="00BB1AAD"/>
    <w:rsid w:val="00BB231C"/>
    <w:rsid w:val="00BC4078"/>
    <w:rsid w:val="00BE2D71"/>
    <w:rsid w:val="00BF4313"/>
    <w:rsid w:val="00BF5932"/>
    <w:rsid w:val="00BF7D69"/>
    <w:rsid w:val="00C03811"/>
    <w:rsid w:val="00C055A6"/>
    <w:rsid w:val="00C06AFA"/>
    <w:rsid w:val="00C11CBF"/>
    <w:rsid w:val="00C16283"/>
    <w:rsid w:val="00C16CC9"/>
    <w:rsid w:val="00C34361"/>
    <w:rsid w:val="00C34A80"/>
    <w:rsid w:val="00C41650"/>
    <w:rsid w:val="00C531F2"/>
    <w:rsid w:val="00C6156A"/>
    <w:rsid w:val="00C64027"/>
    <w:rsid w:val="00C72E2E"/>
    <w:rsid w:val="00C86841"/>
    <w:rsid w:val="00C92817"/>
    <w:rsid w:val="00CB6BF5"/>
    <w:rsid w:val="00CC08CE"/>
    <w:rsid w:val="00CC0D0E"/>
    <w:rsid w:val="00CC1203"/>
    <w:rsid w:val="00CE08C4"/>
    <w:rsid w:val="00CF6534"/>
    <w:rsid w:val="00CF6F8A"/>
    <w:rsid w:val="00D00FCF"/>
    <w:rsid w:val="00D01B74"/>
    <w:rsid w:val="00D157CD"/>
    <w:rsid w:val="00D15993"/>
    <w:rsid w:val="00D23D0F"/>
    <w:rsid w:val="00D25715"/>
    <w:rsid w:val="00D277F7"/>
    <w:rsid w:val="00D31FFE"/>
    <w:rsid w:val="00D36A06"/>
    <w:rsid w:val="00D44971"/>
    <w:rsid w:val="00D46793"/>
    <w:rsid w:val="00D663E9"/>
    <w:rsid w:val="00D8259A"/>
    <w:rsid w:val="00D8782F"/>
    <w:rsid w:val="00D87C29"/>
    <w:rsid w:val="00D93185"/>
    <w:rsid w:val="00DA0B68"/>
    <w:rsid w:val="00DA2158"/>
    <w:rsid w:val="00DA5B5F"/>
    <w:rsid w:val="00DB2D9B"/>
    <w:rsid w:val="00DC1E3D"/>
    <w:rsid w:val="00DC6FC8"/>
    <w:rsid w:val="00DD03DC"/>
    <w:rsid w:val="00DD1515"/>
    <w:rsid w:val="00DE3EF0"/>
    <w:rsid w:val="00DE5E1C"/>
    <w:rsid w:val="00DF0FBB"/>
    <w:rsid w:val="00DF656F"/>
    <w:rsid w:val="00E03FDB"/>
    <w:rsid w:val="00E04373"/>
    <w:rsid w:val="00E12897"/>
    <w:rsid w:val="00E17B30"/>
    <w:rsid w:val="00E2565A"/>
    <w:rsid w:val="00E34926"/>
    <w:rsid w:val="00E42107"/>
    <w:rsid w:val="00E42246"/>
    <w:rsid w:val="00E5627B"/>
    <w:rsid w:val="00E6120F"/>
    <w:rsid w:val="00E621D2"/>
    <w:rsid w:val="00E7384A"/>
    <w:rsid w:val="00E84D9C"/>
    <w:rsid w:val="00E85930"/>
    <w:rsid w:val="00E91A7D"/>
    <w:rsid w:val="00E91A9E"/>
    <w:rsid w:val="00E928EB"/>
    <w:rsid w:val="00E9342D"/>
    <w:rsid w:val="00E94AE6"/>
    <w:rsid w:val="00EA542D"/>
    <w:rsid w:val="00EB0E8C"/>
    <w:rsid w:val="00EB3D03"/>
    <w:rsid w:val="00EB6524"/>
    <w:rsid w:val="00EB6BDD"/>
    <w:rsid w:val="00ED14D2"/>
    <w:rsid w:val="00ED3A57"/>
    <w:rsid w:val="00EE0A6F"/>
    <w:rsid w:val="00EE13DA"/>
    <w:rsid w:val="00EE36CF"/>
    <w:rsid w:val="00EF4633"/>
    <w:rsid w:val="00EF50DB"/>
    <w:rsid w:val="00F0301E"/>
    <w:rsid w:val="00F0554B"/>
    <w:rsid w:val="00F12A45"/>
    <w:rsid w:val="00F14A63"/>
    <w:rsid w:val="00F2411B"/>
    <w:rsid w:val="00F24CC4"/>
    <w:rsid w:val="00F25785"/>
    <w:rsid w:val="00F259C6"/>
    <w:rsid w:val="00F27E99"/>
    <w:rsid w:val="00F35156"/>
    <w:rsid w:val="00F450B3"/>
    <w:rsid w:val="00F458CC"/>
    <w:rsid w:val="00F51B88"/>
    <w:rsid w:val="00F53EE6"/>
    <w:rsid w:val="00F5566A"/>
    <w:rsid w:val="00F57DA3"/>
    <w:rsid w:val="00F6207F"/>
    <w:rsid w:val="00F667C2"/>
    <w:rsid w:val="00F75C00"/>
    <w:rsid w:val="00F81F65"/>
    <w:rsid w:val="00F85EDE"/>
    <w:rsid w:val="00F93CAC"/>
    <w:rsid w:val="00F95EAD"/>
    <w:rsid w:val="00F97A79"/>
    <w:rsid w:val="00FA2054"/>
    <w:rsid w:val="00FA2A2C"/>
    <w:rsid w:val="00FB2120"/>
    <w:rsid w:val="00FB3768"/>
    <w:rsid w:val="00FB3F2B"/>
    <w:rsid w:val="00FB7F0B"/>
    <w:rsid w:val="00FC5717"/>
    <w:rsid w:val="00FD0C5F"/>
    <w:rsid w:val="00FE25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996B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65"/>
    <w:pPr>
      <w:widowControl w:val="0"/>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6A"/>
    <w:pPr>
      <w:ind w:left="720"/>
      <w:contextualSpacing/>
    </w:pPr>
  </w:style>
  <w:style w:type="paragraph" w:styleId="Header">
    <w:name w:val="header"/>
    <w:basedOn w:val="Normal"/>
    <w:link w:val="HeaderChar"/>
    <w:uiPriority w:val="99"/>
    <w:unhideWhenUsed/>
    <w:rsid w:val="00543826"/>
    <w:pPr>
      <w:tabs>
        <w:tab w:val="center" w:pos="4513"/>
        <w:tab w:val="right" w:pos="9026"/>
      </w:tabs>
      <w:spacing w:line="240" w:lineRule="auto"/>
    </w:pPr>
  </w:style>
  <w:style w:type="character" w:customStyle="1" w:styleId="HeaderChar">
    <w:name w:val="Header Char"/>
    <w:basedOn w:val="DefaultParagraphFont"/>
    <w:link w:val="Header"/>
    <w:uiPriority w:val="99"/>
    <w:rsid w:val="00543826"/>
    <w:rPr>
      <w:rFonts w:ascii="Times New Roman" w:hAnsi="Times New Roman"/>
      <w:sz w:val="24"/>
    </w:rPr>
  </w:style>
  <w:style w:type="paragraph" w:styleId="Footer">
    <w:name w:val="footer"/>
    <w:basedOn w:val="Normal"/>
    <w:link w:val="FooterChar"/>
    <w:uiPriority w:val="99"/>
    <w:unhideWhenUsed/>
    <w:rsid w:val="00543826"/>
    <w:pPr>
      <w:tabs>
        <w:tab w:val="center" w:pos="4513"/>
        <w:tab w:val="right" w:pos="9026"/>
      </w:tabs>
      <w:spacing w:line="240" w:lineRule="auto"/>
    </w:pPr>
  </w:style>
  <w:style w:type="character" w:customStyle="1" w:styleId="FooterChar">
    <w:name w:val="Footer Char"/>
    <w:basedOn w:val="DefaultParagraphFont"/>
    <w:link w:val="Footer"/>
    <w:uiPriority w:val="99"/>
    <w:rsid w:val="00543826"/>
    <w:rPr>
      <w:rFonts w:ascii="Times New Roman" w:hAnsi="Times New Roman"/>
      <w:sz w:val="24"/>
    </w:rPr>
  </w:style>
  <w:style w:type="paragraph" w:styleId="FootnoteText">
    <w:name w:val="footnote text"/>
    <w:basedOn w:val="Normal"/>
    <w:link w:val="FootnoteTextChar"/>
    <w:uiPriority w:val="99"/>
    <w:unhideWhenUsed/>
    <w:rsid w:val="000E7DB6"/>
    <w:rPr>
      <w:sz w:val="20"/>
      <w:szCs w:val="20"/>
    </w:rPr>
  </w:style>
  <w:style w:type="character" w:customStyle="1" w:styleId="FootnoteTextChar">
    <w:name w:val="Footnote Text Char"/>
    <w:basedOn w:val="DefaultParagraphFont"/>
    <w:link w:val="FootnoteText"/>
    <w:uiPriority w:val="99"/>
    <w:rsid w:val="000E7DB6"/>
    <w:rPr>
      <w:rFonts w:ascii="Times New Roman" w:hAnsi="Times New Roman"/>
      <w:sz w:val="20"/>
      <w:szCs w:val="20"/>
    </w:rPr>
  </w:style>
  <w:style w:type="character" w:styleId="FootnoteReference">
    <w:name w:val="footnote reference"/>
    <w:basedOn w:val="DefaultParagraphFont"/>
    <w:uiPriority w:val="99"/>
    <w:semiHidden/>
    <w:unhideWhenUsed/>
    <w:rsid w:val="009042BF"/>
    <w:rPr>
      <w:vertAlign w:val="superscript"/>
    </w:rPr>
  </w:style>
  <w:style w:type="paragraph" w:styleId="BalloonText">
    <w:name w:val="Balloon Text"/>
    <w:basedOn w:val="Normal"/>
    <w:link w:val="BalloonTextChar"/>
    <w:uiPriority w:val="99"/>
    <w:semiHidden/>
    <w:unhideWhenUsed/>
    <w:rsid w:val="007644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440"/>
    <w:rPr>
      <w:rFonts w:ascii="Segoe UI" w:hAnsi="Segoe UI" w:cs="Segoe UI"/>
      <w:sz w:val="18"/>
      <w:szCs w:val="18"/>
    </w:rPr>
  </w:style>
  <w:style w:type="character" w:styleId="SubtleEmphasis">
    <w:name w:val="Subtle Emphasis"/>
    <w:basedOn w:val="DefaultParagraphFont"/>
    <w:uiPriority w:val="19"/>
    <w:qFormat/>
    <w:rsid w:val="00317343"/>
    <w:rPr>
      <w:i/>
      <w:iCs/>
      <w:color w:val="404040" w:themeColor="text1" w:themeTint="BF"/>
    </w:rPr>
  </w:style>
  <w:style w:type="paragraph" w:styleId="EndnoteText">
    <w:name w:val="endnote text"/>
    <w:basedOn w:val="Normal"/>
    <w:link w:val="EndnoteTextChar"/>
    <w:uiPriority w:val="99"/>
    <w:semiHidden/>
    <w:unhideWhenUsed/>
    <w:rsid w:val="00A0643A"/>
    <w:pPr>
      <w:spacing w:line="240" w:lineRule="auto"/>
    </w:pPr>
    <w:rPr>
      <w:sz w:val="20"/>
      <w:szCs w:val="20"/>
    </w:rPr>
  </w:style>
  <w:style w:type="character" w:customStyle="1" w:styleId="EndnoteTextChar">
    <w:name w:val="Endnote Text Char"/>
    <w:basedOn w:val="DefaultParagraphFont"/>
    <w:link w:val="EndnoteText"/>
    <w:uiPriority w:val="99"/>
    <w:semiHidden/>
    <w:rsid w:val="00A0643A"/>
    <w:rPr>
      <w:rFonts w:ascii="Times New Roman" w:hAnsi="Times New Roman"/>
      <w:sz w:val="20"/>
      <w:szCs w:val="20"/>
    </w:rPr>
  </w:style>
  <w:style w:type="character" w:styleId="EndnoteReference">
    <w:name w:val="endnote reference"/>
    <w:basedOn w:val="DefaultParagraphFont"/>
    <w:uiPriority w:val="99"/>
    <w:semiHidden/>
    <w:unhideWhenUsed/>
    <w:rsid w:val="00A0643A"/>
    <w:rPr>
      <w:vertAlign w:val="superscript"/>
    </w:rPr>
  </w:style>
  <w:style w:type="character" w:styleId="Hyperlink">
    <w:name w:val="Hyperlink"/>
    <w:basedOn w:val="DefaultParagraphFont"/>
    <w:uiPriority w:val="99"/>
    <w:semiHidden/>
    <w:unhideWhenUsed/>
    <w:rsid w:val="000C4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BB3C1-193F-408F-9ED6-62329EAA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11066</Words>
  <Characters>63078</Characters>
  <Application>Microsoft Office Word</Application>
  <DocSecurity>0</DocSecurity>
  <Lines>525</Lines>
  <Paragraphs>147</Paragraphs>
  <ScaleCrop>false</ScaleCrop>
  <Company/>
  <LinksUpToDate>false</LinksUpToDate>
  <CharactersWithSpaces>73997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2022-03-03T12:05:00Z</dcterms:created>
  <dcterms:modified xsi:type="dcterms:W3CDTF">2022-03-03T12:09:00Z</dcterms:modified>
</cp:coreProperties>
</file>