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7239" w14:textId="77777777" w:rsidR="00E949B9" w:rsidRPr="009500E9" w:rsidRDefault="00E949B9" w:rsidP="00E949B9">
      <w:pPr>
        <w:widowControl/>
        <w:shd w:val="clear" w:color="auto" w:fill="FFFFFF"/>
        <w:spacing w:line="240" w:lineRule="auto"/>
        <w:jc w:val="left"/>
        <w:rPr>
          <w:rFonts w:ascii="Arial" w:eastAsia="Times New Roman" w:hAnsi="Arial" w:cs="Arial"/>
          <w:color w:val="333333"/>
          <w:sz w:val="28"/>
          <w:szCs w:val="28"/>
          <w:lang w:eastAsia="en-IE"/>
        </w:rPr>
      </w:pPr>
      <w:bookmarkStart w:id="0" w:name="_GoBack"/>
      <w:bookmarkEnd w:id="0"/>
      <w:r>
        <w:rPr>
          <w:rFonts w:ascii="Arial" w:eastAsia="Times New Roman" w:hAnsi="Arial" w:cs="Arial"/>
          <w:color w:val="333333"/>
          <w:sz w:val="28"/>
          <w:szCs w:val="28"/>
          <w:lang w:eastAsia="en-IE"/>
        </w:rPr>
        <w:br w:type="textWrapping" w:clear="all"/>
      </w:r>
    </w:p>
    <w:p w14:paraId="5917AEC6" w14:textId="77777777" w:rsidR="009500E9" w:rsidRPr="006D2173" w:rsidRDefault="009500E9" w:rsidP="009500E9">
      <w:pPr>
        <w:widowControl/>
        <w:autoSpaceDE w:val="0"/>
        <w:autoSpaceDN w:val="0"/>
        <w:adjustRightInd w:val="0"/>
        <w:spacing w:line="480" w:lineRule="auto"/>
        <w:jc w:val="center"/>
        <w:rPr>
          <w:rFonts w:cs="Times New Roman"/>
          <w:b/>
          <w:bCs/>
          <w:sz w:val="28"/>
          <w:szCs w:val="28"/>
        </w:rPr>
      </w:pPr>
      <w:r w:rsidRPr="006D2173">
        <w:rPr>
          <w:rFonts w:cs="Times New Roman"/>
          <w:b/>
          <w:bCs/>
          <w:sz w:val="28"/>
          <w:szCs w:val="28"/>
        </w:rPr>
        <w:t>THE COURT OF APPEAL</w:t>
      </w:r>
    </w:p>
    <w:p w14:paraId="7C98D95D" w14:textId="77777777" w:rsidR="006D2173" w:rsidRDefault="009500E9" w:rsidP="006D2173">
      <w:pPr>
        <w:widowControl/>
        <w:autoSpaceDE w:val="0"/>
        <w:autoSpaceDN w:val="0"/>
        <w:adjustRightInd w:val="0"/>
        <w:spacing w:line="480" w:lineRule="auto"/>
        <w:jc w:val="center"/>
        <w:rPr>
          <w:rFonts w:cs="Times New Roman"/>
          <w:b/>
          <w:bCs/>
          <w:szCs w:val="24"/>
        </w:rPr>
      </w:pPr>
      <w:r w:rsidRPr="009500E9">
        <w:rPr>
          <w:rFonts w:cs="Times New Roman"/>
          <w:b/>
          <w:bCs/>
          <w:szCs w:val="24"/>
        </w:rPr>
        <w:t>CIVIL</w:t>
      </w:r>
    </w:p>
    <w:p w14:paraId="0ED7B328" w14:textId="77777777" w:rsidR="009500E9" w:rsidRPr="009500E9" w:rsidRDefault="006D2173" w:rsidP="006D2173">
      <w:pPr>
        <w:widowControl/>
        <w:autoSpaceDE w:val="0"/>
        <w:autoSpaceDN w:val="0"/>
        <w:adjustRightInd w:val="0"/>
        <w:spacing w:line="480" w:lineRule="auto"/>
        <w:jc w:val="right"/>
        <w:rPr>
          <w:rFonts w:cs="Times New Roman"/>
          <w:b/>
          <w:bCs/>
          <w:szCs w:val="24"/>
        </w:rPr>
      </w:pPr>
      <w:r>
        <w:rPr>
          <w:rFonts w:cs="Times New Roman"/>
          <w:b/>
          <w:bCs/>
          <w:szCs w:val="24"/>
        </w:rPr>
        <w:t>Neutral Citation [2021] IECA 269</w:t>
      </w:r>
    </w:p>
    <w:p w14:paraId="0400CE71" w14:textId="77777777" w:rsidR="009500E9" w:rsidRDefault="009500E9" w:rsidP="009500E9">
      <w:pPr>
        <w:widowControl/>
        <w:autoSpaceDE w:val="0"/>
        <w:autoSpaceDN w:val="0"/>
        <w:adjustRightInd w:val="0"/>
        <w:spacing w:line="480" w:lineRule="auto"/>
        <w:jc w:val="right"/>
        <w:rPr>
          <w:rFonts w:cs="Times New Roman"/>
          <w:b/>
          <w:bCs/>
          <w:szCs w:val="24"/>
        </w:rPr>
      </w:pPr>
      <w:r w:rsidRPr="000336BE">
        <w:rPr>
          <w:rFonts w:cs="Times New Roman"/>
          <w:b/>
          <w:bCs/>
          <w:szCs w:val="24"/>
        </w:rPr>
        <w:t>RECORD NUMBER 20</w:t>
      </w:r>
      <w:r>
        <w:rPr>
          <w:rFonts w:cs="Times New Roman"/>
          <w:b/>
          <w:bCs/>
          <w:szCs w:val="24"/>
        </w:rPr>
        <w:t>19/506</w:t>
      </w:r>
    </w:p>
    <w:p w14:paraId="2DFC6E6A" w14:textId="77777777" w:rsidR="009500E9" w:rsidRDefault="009500E9" w:rsidP="009500E9">
      <w:pPr>
        <w:widowControl/>
        <w:autoSpaceDE w:val="0"/>
        <w:autoSpaceDN w:val="0"/>
        <w:adjustRightInd w:val="0"/>
        <w:spacing w:line="480" w:lineRule="auto"/>
        <w:rPr>
          <w:rFonts w:cs="Times New Roman"/>
          <w:b/>
          <w:bCs/>
          <w:szCs w:val="24"/>
        </w:rPr>
      </w:pPr>
      <w:r>
        <w:rPr>
          <w:rFonts w:cs="Times New Roman"/>
          <w:b/>
          <w:bCs/>
          <w:szCs w:val="24"/>
        </w:rPr>
        <w:t>Donnelly J</w:t>
      </w:r>
    </w:p>
    <w:p w14:paraId="4824962C" w14:textId="77777777" w:rsidR="009500E9" w:rsidRPr="000336BE" w:rsidRDefault="009500E9" w:rsidP="009500E9">
      <w:pPr>
        <w:widowControl/>
        <w:spacing w:line="480" w:lineRule="auto"/>
        <w:ind w:left="709" w:hanging="720"/>
        <w:rPr>
          <w:b/>
          <w:szCs w:val="24"/>
        </w:rPr>
      </w:pPr>
      <w:r>
        <w:rPr>
          <w:b/>
          <w:szCs w:val="24"/>
        </w:rPr>
        <w:t xml:space="preserve">Faherty </w:t>
      </w:r>
      <w:r w:rsidRPr="000336BE">
        <w:rPr>
          <w:b/>
          <w:szCs w:val="24"/>
        </w:rPr>
        <w:t>J</w:t>
      </w:r>
    </w:p>
    <w:p w14:paraId="3EA202A1" w14:textId="77777777" w:rsidR="009500E9" w:rsidRDefault="009500E9" w:rsidP="009500E9">
      <w:pPr>
        <w:widowControl/>
        <w:autoSpaceDE w:val="0"/>
        <w:autoSpaceDN w:val="0"/>
        <w:adjustRightInd w:val="0"/>
        <w:spacing w:line="480" w:lineRule="auto"/>
        <w:jc w:val="left"/>
        <w:rPr>
          <w:rFonts w:cs="Times New Roman"/>
          <w:b/>
          <w:bCs/>
          <w:szCs w:val="24"/>
        </w:rPr>
      </w:pPr>
      <w:r>
        <w:rPr>
          <w:rFonts w:cs="Times New Roman"/>
          <w:b/>
          <w:bCs/>
          <w:szCs w:val="24"/>
        </w:rPr>
        <w:t>Collins J</w:t>
      </w:r>
    </w:p>
    <w:p w14:paraId="684BC2DC" w14:textId="77777777" w:rsidR="009500E9" w:rsidRPr="006D2173" w:rsidRDefault="009500E9" w:rsidP="009500E9">
      <w:pPr>
        <w:widowControl/>
        <w:autoSpaceDE w:val="0"/>
        <w:autoSpaceDN w:val="0"/>
        <w:adjustRightInd w:val="0"/>
        <w:spacing w:line="480" w:lineRule="auto"/>
        <w:jc w:val="left"/>
        <w:rPr>
          <w:rFonts w:cs="Times New Roman"/>
          <w:b/>
          <w:bCs/>
          <w:sz w:val="20"/>
          <w:szCs w:val="20"/>
        </w:rPr>
      </w:pPr>
      <w:r w:rsidRPr="006D2173">
        <w:rPr>
          <w:rFonts w:cs="Times New Roman"/>
          <w:b/>
          <w:bCs/>
          <w:sz w:val="20"/>
          <w:szCs w:val="20"/>
        </w:rPr>
        <w:t>BETWEEN</w:t>
      </w:r>
    </w:p>
    <w:p w14:paraId="3D7F7319" w14:textId="77777777" w:rsidR="009500E9" w:rsidRPr="006D2173" w:rsidRDefault="009500E9" w:rsidP="009500E9">
      <w:pPr>
        <w:widowControl/>
        <w:autoSpaceDE w:val="0"/>
        <w:autoSpaceDN w:val="0"/>
        <w:adjustRightInd w:val="0"/>
        <w:spacing w:line="480" w:lineRule="auto"/>
        <w:jc w:val="center"/>
        <w:rPr>
          <w:rFonts w:cs="Times New Roman"/>
          <w:b/>
          <w:bCs/>
          <w:sz w:val="20"/>
          <w:szCs w:val="20"/>
        </w:rPr>
      </w:pPr>
      <w:r w:rsidRPr="006D2173">
        <w:rPr>
          <w:rFonts w:cs="Times New Roman"/>
          <w:b/>
          <w:bCs/>
          <w:sz w:val="20"/>
          <w:szCs w:val="20"/>
        </w:rPr>
        <w:t xml:space="preserve">MICHAEL NOBLE </w:t>
      </w:r>
    </w:p>
    <w:p w14:paraId="5D6F659D" w14:textId="77777777" w:rsidR="009500E9" w:rsidRPr="006D2173" w:rsidRDefault="009500E9" w:rsidP="009500E9">
      <w:pPr>
        <w:widowControl/>
        <w:autoSpaceDE w:val="0"/>
        <w:autoSpaceDN w:val="0"/>
        <w:adjustRightInd w:val="0"/>
        <w:spacing w:line="480" w:lineRule="auto"/>
        <w:jc w:val="right"/>
        <w:rPr>
          <w:rFonts w:cs="Times New Roman"/>
          <w:bCs/>
          <w:i/>
          <w:sz w:val="20"/>
          <w:szCs w:val="20"/>
        </w:rPr>
      </w:pPr>
      <w:r w:rsidRPr="006D2173">
        <w:rPr>
          <w:rFonts w:cs="Times New Roman"/>
          <w:bCs/>
          <w:i/>
          <w:sz w:val="20"/>
          <w:szCs w:val="20"/>
        </w:rPr>
        <w:t>Plaintiff/Appellant</w:t>
      </w:r>
    </w:p>
    <w:p w14:paraId="159A2895" w14:textId="77777777" w:rsidR="009500E9" w:rsidRPr="006D2173" w:rsidRDefault="009500E9" w:rsidP="009500E9">
      <w:pPr>
        <w:widowControl/>
        <w:autoSpaceDE w:val="0"/>
        <w:autoSpaceDN w:val="0"/>
        <w:adjustRightInd w:val="0"/>
        <w:spacing w:line="480" w:lineRule="auto"/>
        <w:jc w:val="left"/>
        <w:rPr>
          <w:rFonts w:cs="Times New Roman"/>
          <w:b/>
          <w:bCs/>
          <w:sz w:val="20"/>
          <w:szCs w:val="20"/>
        </w:rPr>
      </w:pPr>
      <w:r w:rsidRPr="006D2173">
        <w:rPr>
          <w:rFonts w:cs="Times New Roman"/>
          <w:b/>
          <w:bCs/>
          <w:sz w:val="20"/>
          <w:szCs w:val="20"/>
        </w:rPr>
        <w:t>AND</w:t>
      </w:r>
    </w:p>
    <w:p w14:paraId="561388DC" w14:textId="77777777" w:rsidR="00764A12" w:rsidRPr="006D2173" w:rsidRDefault="00764A12" w:rsidP="009500E9">
      <w:pPr>
        <w:widowControl/>
        <w:shd w:val="clear" w:color="auto" w:fill="FFFFFF"/>
        <w:jc w:val="center"/>
        <w:rPr>
          <w:rFonts w:eastAsia="Times New Roman" w:cs="Times New Roman"/>
          <w:b/>
          <w:color w:val="333333"/>
          <w:sz w:val="20"/>
          <w:szCs w:val="20"/>
          <w:lang w:eastAsia="en-IE"/>
        </w:rPr>
      </w:pPr>
      <w:r w:rsidRPr="006D2173">
        <w:rPr>
          <w:rFonts w:eastAsia="Times New Roman" w:cs="Times New Roman"/>
          <w:b/>
          <w:color w:val="333333"/>
          <w:sz w:val="20"/>
          <w:szCs w:val="20"/>
          <w:lang w:eastAsia="en-IE"/>
        </w:rPr>
        <w:t>DEIRDRE-ANN </w:t>
      </w:r>
      <w:r w:rsidR="009500E9" w:rsidRPr="006D2173">
        <w:rPr>
          <w:rFonts w:eastAsia="Times New Roman" w:cs="Times New Roman"/>
          <w:b/>
          <w:color w:val="333333"/>
          <w:sz w:val="20"/>
          <w:szCs w:val="20"/>
          <w:lang w:eastAsia="en-IE"/>
        </w:rPr>
        <w:t>BARR,</w:t>
      </w:r>
      <w:r w:rsidRPr="006D2173">
        <w:rPr>
          <w:rFonts w:eastAsia="Times New Roman" w:cs="Times New Roman"/>
          <w:b/>
          <w:color w:val="333333"/>
          <w:sz w:val="20"/>
          <w:szCs w:val="20"/>
          <w:lang w:eastAsia="en-IE"/>
        </w:rPr>
        <w:t> JOSEPH BEASHEL</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ANN-MARIE BOHAN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FERGUS BOLSTER</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GEORGE E L BRADY</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BRIAN D BUGGY</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MICHAEL DAVID BYRNE</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ALAN S CHISWICK</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LIAM ANTHONY COLLINS</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ALAN CONNELL</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BONNIE A COSTELLOE</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DUALTA A COUNIHAN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NIAMH COUNIHAN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SHARON C DALY</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CHRISTIAN DONAGH</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BRIAN P DORAN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TARA M DOYLE</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JOSEPH DUFFY</w:t>
      </w:r>
      <w:r w:rsidR="009500E9" w:rsidRPr="006D2173">
        <w:rPr>
          <w:rFonts w:eastAsia="Times New Roman" w:cs="Times New Roman"/>
          <w:b/>
          <w:color w:val="333333"/>
          <w:sz w:val="20"/>
          <w:szCs w:val="20"/>
          <w:lang w:eastAsia="en-IE"/>
        </w:rPr>
        <w:t xml:space="preserve">, </w:t>
      </w:r>
      <w:r w:rsidRPr="006D2173">
        <w:rPr>
          <w:rFonts w:eastAsia="Times New Roman" w:cs="Times New Roman"/>
          <w:b/>
          <w:color w:val="333333"/>
          <w:sz w:val="20"/>
          <w:szCs w:val="20"/>
          <w:lang w:eastAsia="en-IE"/>
        </w:rPr>
        <w:t>NICOLA DUNLEAVY</w:t>
      </w:r>
      <w:r w:rsidR="009500E9" w:rsidRPr="006D2173">
        <w:rPr>
          <w:rFonts w:eastAsia="Times New Roman" w:cs="Times New Roman"/>
          <w:b/>
          <w:color w:val="333333"/>
          <w:sz w:val="20"/>
          <w:szCs w:val="20"/>
          <w:lang w:eastAsia="en-IE"/>
        </w:rPr>
        <w:t xml:space="preserve">, </w:t>
      </w:r>
      <w:r w:rsidRPr="006D2173">
        <w:rPr>
          <w:rFonts w:eastAsia="Times New Roman" w:cs="Times New Roman"/>
          <w:b/>
          <w:color w:val="333333"/>
          <w:sz w:val="20"/>
          <w:szCs w:val="20"/>
          <w:lang w:eastAsia="en-IE"/>
        </w:rPr>
        <w:t>BRYAN G DUNNE</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DEIRDRE DUNNE</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JOHN W DUNNE</w:t>
      </w:r>
      <w:r w:rsidR="009500E9" w:rsidRPr="006D2173">
        <w:rPr>
          <w:rFonts w:eastAsia="Times New Roman" w:cs="Times New Roman"/>
          <w:b/>
          <w:color w:val="333333"/>
          <w:sz w:val="20"/>
          <w:szCs w:val="20"/>
          <w:lang w:eastAsia="en-IE"/>
        </w:rPr>
        <w:t xml:space="preserve">, </w:t>
      </w:r>
      <w:r w:rsidRPr="006D2173">
        <w:rPr>
          <w:rFonts w:eastAsia="Times New Roman" w:cs="Times New Roman"/>
          <w:b/>
          <w:color w:val="333333"/>
          <w:sz w:val="20"/>
          <w:szCs w:val="20"/>
          <w:lang w:eastAsia="en-IE"/>
        </w:rPr>
        <w:t>PAT ENGLISH</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AIDAN FAHY</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TURLOUGH J GALVIN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LIBBY GARVEY</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JOHN F GILL</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THOMAS HAYES</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ROBERT HERON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SHANE HOGAN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NIALL HORGAN</w:t>
      </w:r>
      <w:r w:rsidR="009500E9" w:rsidRPr="006D2173">
        <w:rPr>
          <w:rFonts w:eastAsia="Times New Roman" w:cs="Times New Roman"/>
          <w:b/>
          <w:color w:val="333333"/>
          <w:sz w:val="20"/>
          <w:szCs w:val="20"/>
          <w:lang w:eastAsia="en-IE"/>
        </w:rPr>
        <w:t xml:space="preserve">, </w:t>
      </w:r>
      <w:r w:rsidRPr="006D2173">
        <w:rPr>
          <w:rFonts w:eastAsia="Times New Roman" w:cs="Times New Roman"/>
          <w:b/>
          <w:color w:val="333333"/>
          <w:sz w:val="20"/>
          <w:szCs w:val="20"/>
          <w:lang w:eastAsia="en-IE"/>
        </w:rPr>
        <w:t>RUTH HUNTER</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MICHAEL G JACKSON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HELEN G KELLY</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DAMIEN KEOGH</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CARINA MARY</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C.R LAWLOR </w:t>
      </w:r>
      <w:r w:rsidR="009500E9" w:rsidRPr="006D2173">
        <w:rPr>
          <w:rFonts w:eastAsia="Times New Roman" w:cs="Times New Roman"/>
          <w:b/>
          <w:color w:val="333333"/>
          <w:sz w:val="20"/>
          <w:szCs w:val="20"/>
          <w:lang w:eastAsia="en-IE"/>
        </w:rPr>
        <w:t xml:space="preserve">, </w:t>
      </w:r>
      <w:r w:rsidRPr="006D2173">
        <w:rPr>
          <w:rFonts w:eastAsia="Times New Roman" w:cs="Times New Roman"/>
          <w:b/>
          <w:color w:val="333333"/>
          <w:sz w:val="20"/>
          <w:szCs w:val="20"/>
          <w:lang w:eastAsia="en-IE"/>
        </w:rPr>
        <w:t>SHAY LYDON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RONAN F MCLOUGHLIN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PARAIC T MADIGAN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DARREN MAHER</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PATRICK G MOLLOY</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BRID MUNNELLY</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JULIE MURPHY-O'CONNOR</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HELEN</w:t>
      </w:r>
      <w:r w:rsidR="009500E9" w:rsidRPr="006D2173">
        <w:rPr>
          <w:rFonts w:eastAsia="Times New Roman" w:cs="Times New Roman"/>
          <w:b/>
          <w:color w:val="333333"/>
          <w:sz w:val="20"/>
          <w:szCs w:val="20"/>
          <w:lang w:eastAsia="en-IE"/>
        </w:rPr>
        <w:t xml:space="preserve"> NOBLE,</w:t>
      </w:r>
      <w:r w:rsidRPr="006D2173">
        <w:rPr>
          <w:rFonts w:eastAsia="Times New Roman" w:cs="Times New Roman"/>
          <w:b/>
          <w:color w:val="333333"/>
          <w:sz w:val="20"/>
          <w:szCs w:val="20"/>
          <w:lang w:eastAsia="en-IE"/>
        </w:rPr>
        <w:t> PETER O'BRIEN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JOHN C O'CONNOR</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MICHAEL M O'CONNOR</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PAULINE O'DONOVAN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ANTHONY G O'GRADY</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CARA D O'HAGAN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ROBERT G O'SHEA</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MARK O O'SULLIVAN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ALISTAIR PAYNE</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CHRISTOPHER J QUINN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WILLIAM A QUIRKE</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TIMOTHY SCANLON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PATRICK F.G SPICER</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PATRICK SWEETMAN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GERARD MARK THORNTON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STANLEY G WATSON</w:t>
      </w:r>
      <w:r w:rsidR="009500E9" w:rsidRPr="006D2173">
        <w:rPr>
          <w:rFonts w:eastAsia="Times New Roman" w:cs="Times New Roman"/>
          <w:b/>
          <w:color w:val="333333"/>
          <w:sz w:val="20"/>
          <w:szCs w:val="20"/>
          <w:lang w:eastAsia="en-IE"/>
        </w:rPr>
        <w:t>,</w:t>
      </w:r>
      <w:r w:rsidRPr="006D2173">
        <w:rPr>
          <w:rFonts w:eastAsia="Times New Roman" w:cs="Times New Roman"/>
          <w:b/>
          <w:color w:val="333333"/>
          <w:sz w:val="20"/>
          <w:szCs w:val="20"/>
          <w:lang w:eastAsia="en-IE"/>
        </w:rPr>
        <w:t xml:space="preserve"> (PRACTISING UNDER THE STYLE AND TITLE OF MATHESON SOLICITORS (A FIRM) FORMERLY KNOWN AS MATHESON ORMSBY PRENTICE SOLICITORS (A FIRM)</w:t>
      </w:r>
    </w:p>
    <w:p w14:paraId="46764A9F" w14:textId="77777777" w:rsidR="009500E9" w:rsidRDefault="009500E9" w:rsidP="009500E9">
      <w:pPr>
        <w:spacing w:line="480" w:lineRule="auto"/>
        <w:jc w:val="right"/>
        <w:rPr>
          <w:rFonts w:cs="Times New Roman"/>
          <w:i/>
          <w:sz w:val="20"/>
          <w:szCs w:val="20"/>
        </w:rPr>
      </w:pPr>
      <w:r w:rsidRPr="006D2173">
        <w:rPr>
          <w:rFonts w:cs="Times New Roman"/>
          <w:i/>
          <w:sz w:val="20"/>
          <w:szCs w:val="20"/>
        </w:rPr>
        <w:t>Defendants/Respondents</w:t>
      </w:r>
    </w:p>
    <w:p w14:paraId="4319826A" w14:textId="77777777" w:rsidR="006D2173" w:rsidRPr="006D2173" w:rsidRDefault="006D2173" w:rsidP="009500E9">
      <w:pPr>
        <w:spacing w:line="480" w:lineRule="auto"/>
        <w:jc w:val="right"/>
        <w:rPr>
          <w:rFonts w:cs="Times New Roman"/>
          <w:i/>
          <w:sz w:val="20"/>
          <w:szCs w:val="20"/>
        </w:rPr>
      </w:pPr>
    </w:p>
    <w:p w14:paraId="44ACEF61" w14:textId="77777777" w:rsidR="009500E9" w:rsidRPr="006D2173" w:rsidRDefault="009500E9" w:rsidP="006D2173">
      <w:pPr>
        <w:widowControl/>
        <w:spacing w:line="480" w:lineRule="auto"/>
        <w:ind w:left="709" w:hanging="720"/>
        <w:jc w:val="center"/>
        <w:rPr>
          <w:b/>
          <w:sz w:val="20"/>
          <w:szCs w:val="20"/>
          <w:u w:val="single"/>
        </w:rPr>
      </w:pPr>
      <w:r w:rsidRPr="006D2173">
        <w:rPr>
          <w:b/>
          <w:sz w:val="20"/>
          <w:szCs w:val="20"/>
          <w:u w:val="single"/>
        </w:rPr>
        <w:t xml:space="preserve">JUDGMENT of Mr Justice Maurice Collins delivered on </w:t>
      </w:r>
      <w:r w:rsidR="00120CCE" w:rsidRPr="006D2173">
        <w:rPr>
          <w:b/>
          <w:sz w:val="20"/>
          <w:szCs w:val="20"/>
          <w:u w:val="single"/>
        </w:rPr>
        <w:t xml:space="preserve">21 </w:t>
      </w:r>
      <w:r w:rsidR="005A43A0" w:rsidRPr="006D2173">
        <w:rPr>
          <w:b/>
          <w:sz w:val="20"/>
          <w:szCs w:val="20"/>
          <w:u w:val="single"/>
        </w:rPr>
        <w:t>October</w:t>
      </w:r>
      <w:r w:rsidRPr="006D2173">
        <w:rPr>
          <w:b/>
          <w:sz w:val="20"/>
          <w:szCs w:val="20"/>
          <w:u w:val="single"/>
        </w:rPr>
        <w:t xml:space="preserve"> 2021</w:t>
      </w:r>
    </w:p>
    <w:p w14:paraId="39683208" w14:textId="77777777" w:rsidR="009500E9" w:rsidRPr="0017030B" w:rsidRDefault="009B126D" w:rsidP="0017030B">
      <w:pPr>
        <w:pStyle w:val="ListParagraph"/>
        <w:spacing w:line="480" w:lineRule="auto"/>
        <w:ind w:left="0"/>
        <w:jc w:val="center"/>
        <w:rPr>
          <w:rFonts w:cs="Times New Roman"/>
          <w:b/>
          <w:szCs w:val="24"/>
        </w:rPr>
      </w:pPr>
      <w:r>
        <w:rPr>
          <w:rFonts w:cs="Times New Roman"/>
          <w:b/>
          <w:szCs w:val="24"/>
        </w:rPr>
        <w:lastRenderedPageBreak/>
        <w:t>BACKGROUND</w:t>
      </w:r>
    </w:p>
    <w:p w14:paraId="6D5435EB" w14:textId="77777777" w:rsidR="0017030B" w:rsidRPr="0017030B" w:rsidRDefault="0017030B" w:rsidP="009500E9">
      <w:pPr>
        <w:pStyle w:val="ListParagraph"/>
        <w:spacing w:line="480" w:lineRule="auto"/>
        <w:rPr>
          <w:rFonts w:cs="Times New Roman"/>
          <w:szCs w:val="24"/>
        </w:rPr>
      </w:pPr>
    </w:p>
    <w:p w14:paraId="52A5707B" w14:textId="77777777" w:rsidR="009500E9" w:rsidRDefault="0017030B" w:rsidP="00E949B9">
      <w:pPr>
        <w:pStyle w:val="ListParagraph"/>
        <w:numPr>
          <w:ilvl w:val="0"/>
          <w:numId w:val="1"/>
        </w:numPr>
        <w:spacing w:line="480" w:lineRule="auto"/>
        <w:ind w:hanging="720"/>
        <w:rPr>
          <w:rFonts w:cs="Times New Roman"/>
          <w:szCs w:val="24"/>
        </w:rPr>
      </w:pPr>
      <w:r>
        <w:rPr>
          <w:rFonts w:cs="Times New Roman"/>
          <w:szCs w:val="24"/>
        </w:rPr>
        <w:t>This appeal raises once again the difficult issue of when a cause of action in tort for negligence accrues for the purposes of section 11(2)(a) of the Statute of Limitations Act 1957 (“</w:t>
      </w:r>
      <w:r w:rsidRPr="0017030B">
        <w:rPr>
          <w:rFonts w:cs="Times New Roman"/>
          <w:i/>
          <w:szCs w:val="24"/>
        </w:rPr>
        <w:t>the 1957 Act</w:t>
      </w:r>
      <w:r>
        <w:rPr>
          <w:rFonts w:cs="Times New Roman"/>
          <w:szCs w:val="24"/>
        </w:rPr>
        <w:t>”)</w:t>
      </w:r>
      <w:r w:rsidR="006D2173">
        <w:rPr>
          <w:rFonts w:cs="Times New Roman"/>
          <w:szCs w:val="24"/>
        </w:rPr>
        <w:t>. That issue arises</w:t>
      </w:r>
      <w:r>
        <w:rPr>
          <w:rFonts w:cs="Times New Roman"/>
          <w:szCs w:val="24"/>
        </w:rPr>
        <w:t xml:space="preserve"> in the context of a claim for the recovery of financial loss arising from alleged professional negligence.</w:t>
      </w:r>
    </w:p>
    <w:p w14:paraId="2FD8FF1E" w14:textId="77777777" w:rsidR="0017030B" w:rsidRDefault="0017030B" w:rsidP="0017030B">
      <w:pPr>
        <w:pStyle w:val="ListParagraph"/>
        <w:spacing w:line="480" w:lineRule="auto"/>
        <w:rPr>
          <w:rFonts w:cs="Times New Roman"/>
          <w:szCs w:val="24"/>
        </w:rPr>
      </w:pPr>
    </w:p>
    <w:p w14:paraId="32BFF2F9" w14:textId="77777777" w:rsidR="009B126D" w:rsidRDefault="009B126D" w:rsidP="0017030B">
      <w:pPr>
        <w:pStyle w:val="ListParagraph"/>
        <w:numPr>
          <w:ilvl w:val="0"/>
          <w:numId w:val="1"/>
        </w:numPr>
        <w:spacing w:line="480" w:lineRule="auto"/>
        <w:ind w:hanging="720"/>
        <w:rPr>
          <w:rFonts w:cs="Times New Roman"/>
          <w:szCs w:val="24"/>
        </w:rPr>
      </w:pPr>
      <w:r>
        <w:rPr>
          <w:rFonts w:cs="Times New Roman"/>
          <w:szCs w:val="24"/>
        </w:rPr>
        <w:t xml:space="preserve">The High Court (O’ Regan J) heard a preliminary issue as to whether the Plaintiff’s claim was statute-barred and, for the reasons set out in her reserved judgment ([2019] IEHC 590) the Judge </w:t>
      </w:r>
      <w:r w:rsidR="007C0520">
        <w:rPr>
          <w:rFonts w:cs="Times New Roman"/>
          <w:szCs w:val="24"/>
        </w:rPr>
        <w:t>held</w:t>
      </w:r>
      <w:r>
        <w:rPr>
          <w:rFonts w:cs="Times New Roman"/>
          <w:szCs w:val="24"/>
        </w:rPr>
        <w:t xml:space="preserve"> that it was. The Plaintiff </w:t>
      </w:r>
      <w:r w:rsidR="005A43A0">
        <w:rPr>
          <w:rFonts w:cs="Times New Roman"/>
          <w:szCs w:val="24"/>
        </w:rPr>
        <w:t xml:space="preserve">now </w:t>
      </w:r>
      <w:r>
        <w:rPr>
          <w:rFonts w:cs="Times New Roman"/>
          <w:szCs w:val="24"/>
        </w:rPr>
        <w:t>appeals from that de</w:t>
      </w:r>
      <w:r w:rsidR="00120CCE">
        <w:rPr>
          <w:rFonts w:cs="Times New Roman"/>
          <w:szCs w:val="24"/>
        </w:rPr>
        <w:t>cision</w:t>
      </w:r>
      <w:r>
        <w:rPr>
          <w:rFonts w:cs="Times New Roman"/>
          <w:szCs w:val="24"/>
        </w:rPr>
        <w:t xml:space="preserve">. </w:t>
      </w:r>
      <w:r w:rsidR="006D2173">
        <w:rPr>
          <w:rFonts w:cs="Times New Roman"/>
          <w:szCs w:val="24"/>
        </w:rPr>
        <w:t>The Plaintiff accepts</w:t>
      </w:r>
      <w:r>
        <w:rPr>
          <w:rFonts w:cs="Times New Roman"/>
          <w:szCs w:val="24"/>
        </w:rPr>
        <w:t xml:space="preserve"> that </w:t>
      </w:r>
      <w:r w:rsidR="00CC5C23">
        <w:rPr>
          <w:rFonts w:cs="Times New Roman"/>
          <w:szCs w:val="24"/>
        </w:rPr>
        <w:t xml:space="preserve">any breach of contract </w:t>
      </w:r>
      <w:r w:rsidR="006D2173">
        <w:rPr>
          <w:rFonts w:cs="Times New Roman"/>
          <w:szCs w:val="24"/>
        </w:rPr>
        <w:t xml:space="preserve">claim he has </w:t>
      </w:r>
      <w:r w:rsidR="00CC5C23">
        <w:rPr>
          <w:rFonts w:cs="Times New Roman"/>
          <w:szCs w:val="24"/>
        </w:rPr>
        <w:t xml:space="preserve">is statute-barred and </w:t>
      </w:r>
      <w:r w:rsidR="006D2173">
        <w:rPr>
          <w:rFonts w:cs="Times New Roman"/>
          <w:szCs w:val="24"/>
        </w:rPr>
        <w:t xml:space="preserve">accordingly </w:t>
      </w:r>
      <w:r w:rsidR="00CC5C23">
        <w:rPr>
          <w:rFonts w:cs="Times New Roman"/>
          <w:szCs w:val="24"/>
        </w:rPr>
        <w:t>the appeal is concerned only with the claim for negligence and breach of duty.</w:t>
      </w:r>
    </w:p>
    <w:p w14:paraId="08D90278" w14:textId="77777777" w:rsidR="00D60746" w:rsidRDefault="00D60746" w:rsidP="009B126D">
      <w:pPr>
        <w:pStyle w:val="ListParagraph"/>
        <w:spacing w:line="480" w:lineRule="auto"/>
        <w:rPr>
          <w:rFonts w:cs="Times New Roman"/>
          <w:szCs w:val="24"/>
        </w:rPr>
      </w:pPr>
    </w:p>
    <w:p w14:paraId="08405811" w14:textId="77777777" w:rsidR="00482389" w:rsidRDefault="00E22683" w:rsidP="001D1F36">
      <w:pPr>
        <w:pStyle w:val="ListParagraph"/>
        <w:numPr>
          <w:ilvl w:val="0"/>
          <w:numId w:val="1"/>
        </w:numPr>
        <w:spacing w:line="480" w:lineRule="auto"/>
        <w:ind w:hanging="720"/>
        <w:rPr>
          <w:rFonts w:cs="Times New Roman"/>
          <w:szCs w:val="24"/>
        </w:rPr>
      </w:pPr>
      <w:r w:rsidRPr="00472C82">
        <w:rPr>
          <w:rFonts w:cs="Times New Roman"/>
          <w:szCs w:val="24"/>
        </w:rPr>
        <w:t xml:space="preserve">The </w:t>
      </w:r>
      <w:r w:rsidR="00CC5C23" w:rsidRPr="00472C82">
        <w:rPr>
          <w:rFonts w:cs="Times New Roman"/>
          <w:szCs w:val="24"/>
        </w:rPr>
        <w:t>action has its</w:t>
      </w:r>
      <w:r w:rsidRPr="00472C82">
        <w:rPr>
          <w:rFonts w:cs="Times New Roman"/>
          <w:szCs w:val="24"/>
        </w:rPr>
        <w:t xml:space="preserve"> origin</w:t>
      </w:r>
      <w:r w:rsidR="009B126D" w:rsidRPr="00472C82">
        <w:rPr>
          <w:rFonts w:cs="Times New Roman"/>
          <w:szCs w:val="24"/>
        </w:rPr>
        <w:t xml:space="preserve"> in two option agreements entered into by the Plaintiff with Celtic Waste Limited </w:t>
      </w:r>
      <w:r w:rsidR="00472C82" w:rsidRPr="00472C82">
        <w:rPr>
          <w:rFonts w:cs="Times New Roman"/>
          <w:szCs w:val="24"/>
        </w:rPr>
        <w:t xml:space="preserve">(which </w:t>
      </w:r>
      <w:r w:rsidR="007C4CDB">
        <w:rPr>
          <w:rFonts w:cs="Times New Roman"/>
          <w:szCs w:val="24"/>
        </w:rPr>
        <w:t xml:space="preserve">later </w:t>
      </w:r>
      <w:r w:rsidR="00472C82" w:rsidRPr="00472C82">
        <w:rPr>
          <w:rFonts w:cs="Times New Roman"/>
          <w:szCs w:val="24"/>
        </w:rPr>
        <w:t>changed its name to Greenstar Holdings Limite</w:t>
      </w:r>
      <w:r w:rsidR="007C4CDB">
        <w:rPr>
          <w:rFonts w:cs="Times New Roman"/>
          <w:szCs w:val="24"/>
        </w:rPr>
        <w:t>d</w:t>
      </w:r>
      <w:r w:rsidR="00472C82" w:rsidRPr="00472C82">
        <w:rPr>
          <w:rFonts w:cs="Times New Roman"/>
          <w:szCs w:val="24"/>
        </w:rPr>
        <w:t xml:space="preserve">) </w:t>
      </w:r>
      <w:r w:rsidR="009B126D" w:rsidRPr="00472C82">
        <w:rPr>
          <w:rFonts w:cs="Times New Roman"/>
          <w:szCs w:val="24"/>
        </w:rPr>
        <w:t xml:space="preserve">on 24 November 2000. </w:t>
      </w:r>
      <w:r w:rsidR="00472C82">
        <w:rPr>
          <w:rFonts w:cs="Times New Roman"/>
          <w:szCs w:val="24"/>
        </w:rPr>
        <w:t xml:space="preserve">These agreements appear to have been part of a larger transaction </w:t>
      </w:r>
      <w:r w:rsidR="00F429FD">
        <w:rPr>
          <w:rFonts w:cs="Times New Roman"/>
          <w:szCs w:val="24"/>
        </w:rPr>
        <w:t xml:space="preserve">whereby Celtic Waste Limited acquired the waste business of Noble Waste Disposal Limited, a company </w:t>
      </w:r>
      <w:r w:rsidR="005A43A0">
        <w:rPr>
          <w:rFonts w:cs="Times New Roman"/>
          <w:szCs w:val="24"/>
        </w:rPr>
        <w:t xml:space="preserve">connected to </w:t>
      </w:r>
      <w:r w:rsidR="00F429FD">
        <w:rPr>
          <w:rFonts w:cs="Times New Roman"/>
          <w:szCs w:val="24"/>
        </w:rPr>
        <w:t>the Plaintiff.</w:t>
      </w:r>
    </w:p>
    <w:p w14:paraId="277F2692" w14:textId="77777777" w:rsidR="00472C82" w:rsidRPr="00472C82" w:rsidRDefault="00472C82" w:rsidP="00472C82">
      <w:pPr>
        <w:pStyle w:val="ListParagraph"/>
        <w:spacing w:line="480" w:lineRule="auto"/>
        <w:rPr>
          <w:rFonts w:cs="Times New Roman"/>
          <w:szCs w:val="24"/>
        </w:rPr>
      </w:pPr>
    </w:p>
    <w:p w14:paraId="53F770D3" w14:textId="77777777" w:rsidR="009500E9" w:rsidRDefault="009B126D" w:rsidP="0017030B">
      <w:pPr>
        <w:pStyle w:val="ListParagraph"/>
        <w:numPr>
          <w:ilvl w:val="0"/>
          <w:numId w:val="1"/>
        </w:numPr>
        <w:spacing w:line="480" w:lineRule="auto"/>
        <w:ind w:hanging="720"/>
        <w:rPr>
          <w:rFonts w:cs="Times New Roman"/>
          <w:szCs w:val="24"/>
        </w:rPr>
      </w:pPr>
      <w:r>
        <w:rPr>
          <w:rFonts w:cs="Times New Roman"/>
          <w:szCs w:val="24"/>
        </w:rPr>
        <w:t xml:space="preserve">By the first of those options </w:t>
      </w:r>
      <w:r w:rsidRPr="009B126D">
        <w:rPr>
          <w:rFonts w:cs="Times New Roman"/>
          <w:i/>
          <w:szCs w:val="24"/>
        </w:rPr>
        <w:t>(“the First Option</w:t>
      </w:r>
      <w:r>
        <w:rPr>
          <w:rFonts w:cs="Times New Roman"/>
          <w:szCs w:val="24"/>
        </w:rPr>
        <w:t>”)</w:t>
      </w:r>
      <w:r w:rsidR="00CC5C23">
        <w:rPr>
          <w:rFonts w:cs="Times New Roman"/>
          <w:szCs w:val="24"/>
        </w:rPr>
        <w:t xml:space="preserve"> the Plaintiff granted Celtic Waste</w:t>
      </w:r>
      <w:r w:rsidR="006D2173">
        <w:rPr>
          <w:rFonts w:cs="Times New Roman"/>
          <w:szCs w:val="24"/>
        </w:rPr>
        <w:t xml:space="preserve"> Limited</w:t>
      </w:r>
      <w:r w:rsidR="00CC5C23">
        <w:rPr>
          <w:rFonts w:cs="Times New Roman"/>
          <w:szCs w:val="24"/>
        </w:rPr>
        <w:t xml:space="preserve"> an option to acquire certain lands at Ballynagran, County Wicklow</w:t>
      </w:r>
      <w:r w:rsidR="00482389">
        <w:rPr>
          <w:rFonts w:cs="Times New Roman"/>
          <w:szCs w:val="24"/>
        </w:rPr>
        <w:t xml:space="preserve"> (“</w:t>
      </w:r>
      <w:r w:rsidR="00482389" w:rsidRPr="00482389">
        <w:rPr>
          <w:rFonts w:cs="Times New Roman"/>
          <w:i/>
          <w:szCs w:val="24"/>
        </w:rPr>
        <w:t>the Ballynagran Lands</w:t>
      </w:r>
      <w:r w:rsidR="00482389">
        <w:rPr>
          <w:rFonts w:cs="Times New Roman"/>
          <w:szCs w:val="24"/>
        </w:rPr>
        <w:t>”)</w:t>
      </w:r>
      <w:r w:rsidR="004009F4">
        <w:rPr>
          <w:rFonts w:cs="Times New Roman"/>
          <w:szCs w:val="24"/>
        </w:rPr>
        <w:t>, comprising some 102 acres in total,</w:t>
      </w:r>
      <w:r w:rsidR="00CC5C23">
        <w:rPr>
          <w:rFonts w:cs="Times New Roman"/>
          <w:szCs w:val="24"/>
        </w:rPr>
        <w:t xml:space="preserve"> for the purposes of</w:t>
      </w:r>
      <w:r w:rsidR="004009F4">
        <w:rPr>
          <w:rFonts w:cs="Times New Roman"/>
          <w:szCs w:val="24"/>
        </w:rPr>
        <w:t xml:space="preserve"> </w:t>
      </w:r>
      <w:r w:rsidR="00CC5C23">
        <w:rPr>
          <w:rFonts w:cs="Times New Roman"/>
          <w:szCs w:val="24"/>
        </w:rPr>
        <w:t xml:space="preserve">developing a </w:t>
      </w:r>
      <w:r w:rsidR="00482389">
        <w:rPr>
          <w:rFonts w:cs="Times New Roman"/>
          <w:szCs w:val="24"/>
        </w:rPr>
        <w:t xml:space="preserve">waste </w:t>
      </w:r>
      <w:r w:rsidR="00CC5C23">
        <w:rPr>
          <w:rFonts w:cs="Times New Roman"/>
          <w:szCs w:val="24"/>
        </w:rPr>
        <w:t>landfill</w:t>
      </w:r>
      <w:r w:rsidR="004009F4">
        <w:rPr>
          <w:rFonts w:cs="Times New Roman"/>
          <w:szCs w:val="24"/>
        </w:rPr>
        <w:t xml:space="preserve"> on a portion of the lands (</w:t>
      </w:r>
      <w:r w:rsidR="005A43A0">
        <w:rPr>
          <w:rFonts w:cs="Times New Roman"/>
          <w:szCs w:val="24"/>
        </w:rPr>
        <w:t xml:space="preserve">ultimately </w:t>
      </w:r>
      <w:r w:rsidR="004009F4">
        <w:rPr>
          <w:rFonts w:cs="Times New Roman"/>
          <w:szCs w:val="24"/>
        </w:rPr>
        <w:t>comprising 48 acres)</w:t>
      </w:r>
      <w:r w:rsidR="00CC5C23">
        <w:rPr>
          <w:rFonts w:cs="Times New Roman"/>
          <w:szCs w:val="24"/>
        </w:rPr>
        <w:t xml:space="preserve">. </w:t>
      </w:r>
      <w:r w:rsidR="00CC5C23">
        <w:rPr>
          <w:rFonts w:cs="Times New Roman"/>
          <w:szCs w:val="24"/>
        </w:rPr>
        <w:lastRenderedPageBreak/>
        <w:t xml:space="preserve">The Plaintiff did not own the lands at the time but </w:t>
      </w:r>
      <w:r w:rsidR="006D2173">
        <w:rPr>
          <w:rFonts w:cs="Times New Roman"/>
          <w:szCs w:val="24"/>
        </w:rPr>
        <w:t xml:space="preserve">he </w:t>
      </w:r>
      <w:r w:rsidR="00CC5C23">
        <w:rPr>
          <w:rFonts w:cs="Times New Roman"/>
          <w:szCs w:val="24"/>
        </w:rPr>
        <w:t xml:space="preserve">held options to acquire them. The First Option provided that, on </w:t>
      </w:r>
      <w:r w:rsidR="00E96D51">
        <w:rPr>
          <w:rFonts w:cs="Times New Roman"/>
          <w:szCs w:val="24"/>
        </w:rPr>
        <w:t>its</w:t>
      </w:r>
      <w:r w:rsidR="00CC5C23">
        <w:rPr>
          <w:rFonts w:cs="Times New Roman"/>
          <w:szCs w:val="24"/>
        </w:rPr>
        <w:t xml:space="preserve"> exercise, Celtic Waste Limited would pay the Plaintiff</w:t>
      </w:r>
      <w:r w:rsidR="000D0143">
        <w:rPr>
          <w:rFonts w:cs="Times New Roman"/>
          <w:szCs w:val="24"/>
        </w:rPr>
        <w:t xml:space="preserve"> </w:t>
      </w:r>
      <w:r w:rsidR="00CC5C23">
        <w:rPr>
          <w:rFonts w:cs="Times New Roman"/>
          <w:szCs w:val="24"/>
        </w:rPr>
        <w:t xml:space="preserve"> the “</w:t>
      </w:r>
      <w:r w:rsidR="00CC5C23" w:rsidRPr="00CC5C23">
        <w:rPr>
          <w:rFonts w:cs="Times New Roman"/>
          <w:i/>
          <w:szCs w:val="24"/>
        </w:rPr>
        <w:t>Agreed Consideration</w:t>
      </w:r>
      <w:r w:rsidR="00CC5C23">
        <w:rPr>
          <w:rFonts w:cs="Times New Roman"/>
          <w:szCs w:val="24"/>
        </w:rPr>
        <w:t xml:space="preserve">” (€3.25 million) </w:t>
      </w:r>
      <w:r w:rsidR="000D0143">
        <w:rPr>
          <w:rFonts w:cs="Times New Roman"/>
          <w:szCs w:val="24"/>
        </w:rPr>
        <w:t>and thereafter would pay “</w:t>
      </w:r>
      <w:r w:rsidR="000D0143" w:rsidRPr="000D0143">
        <w:rPr>
          <w:rFonts w:cs="Times New Roman"/>
          <w:i/>
          <w:szCs w:val="24"/>
        </w:rPr>
        <w:t xml:space="preserve">the Royalty Payments” </w:t>
      </w:r>
      <w:r w:rsidR="000D0143">
        <w:rPr>
          <w:rFonts w:cs="Times New Roman"/>
          <w:szCs w:val="24"/>
        </w:rPr>
        <w:t xml:space="preserve">in the manner set out in the Schedule to the First Option. The Schedule provided for </w:t>
      </w:r>
      <w:r w:rsidR="005B72DB">
        <w:rPr>
          <w:rFonts w:cs="Times New Roman"/>
          <w:szCs w:val="24"/>
        </w:rPr>
        <w:t>an annual payment, amounting to</w:t>
      </w:r>
      <w:r w:rsidR="000D0143">
        <w:rPr>
          <w:rFonts w:cs="Times New Roman"/>
          <w:szCs w:val="24"/>
        </w:rPr>
        <w:t xml:space="preserve"> 10% of the “</w:t>
      </w:r>
      <w:r w:rsidR="000D0143" w:rsidRPr="000D0143">
        <w:rPr>
          <w:rFonts w:cs="Times New Roman"/>
          <w:i/>
          <w:szCs w:val="24"/>
        </w:rPr>
        <w:t>Net Income</w:t>
      </w:r>
      <w:r w:rsidR="000D0143">
        <w:rPr>
          <w:rFonts w:cs="Times New Roman"/>
          <w:szCs w:val="24"/>
        </w:rPr>
        <w:t xml:space="preserve">” </w:t>
      </w:r>
      <w:r w:rsidR="005A43A0">
        <w:rPr>
          <w:rFonts w:cs="Times New Roman"/>
          <w:szCs w:val="24"/>
        </w:rPr>
        <w:t xml:space="preserve">arising from the operation of the landfill </w:t>
      </w:r>
      <w:r w:rsidR="000D0143">
        <w:rPr>
          <w:rFonts w:cs="Times New Roman"/>
          <w:szCs w:val="24"/>
        </w:rPr>
        <w:t>(</w:t>
      </w:r>
      <w:r w:rsidR="005A43A0">
        <w:rPr>
          <w:rFonts w:cs="Times New Roman"/>
          <w:szCs w:val="24"/>
        </w:rPr>
        <w:t xml:space="preserve">to be </w:t>
      </w:r>
      <w:r w:rsidR="000D0143">
        <w:rPr>
          <w:rFonts w:cs="Times New Roman"/>
          <w:szCs w:val="24"/>
        </w:rPr>
        <w:t xml:space="preserve">calculated in the manner provided for in </w:t>
      </w:r>
      <w:r w:rsidR="005A43A0">
        <w:rPr>
          <w:rFonts w:cs="Times New Roman"/>
          <w:szCs w:val="24"/>
        </w:rPr>
        <w:t xml:space="preserve">detail in the </w:t>
      </w:r>
      <w:r w:rsidR="000D0143">
        <w:rPr>
          <w:rFonts w:cs="Times New Roman"/>
          <w:szCs w:val="24"/>
        </w:rPr>
        <w:t>Schedule)</w:t>
      </w:r>
      <w:r w:rsidR="004009F4">
        <w:rPr>
          <w:rFonts w:cs="Times New Roman"/>
          <w:szCs w:val="24"/>
        </w:rPr>
        <w:t>.</w:t>
      </w:r>
      <w:r w:rsidR="0024641A">
        <w:rPr>
          <w:rStyle w:val="FootnoteReference"/>
          <w:rFonts w:cs="Times New Roman"/>
          <w:szCs w:val="24"/>
        </w:rPr>
        <w:footnoteReference w:id="1"/>
      </w:r>
      <w:r w:rsidR="001A33EF">
        <w:rPr>
          <w:rFonts w:cs="Times New Roman"/>
          <w:szCs w:val="24"/>
        </w:rPr>
        <w:t xml:space="preserve"> However, no Royalty Payments would be payable until the point when</w:t>
      </w:r>
      <w:r w:rsidR="005A43A0">
        <w:rPr>
          <w:rFonts w:cs="Times New Roman"/>
          <w:szCs w:val="24"/>
        </w:rPr>
        <w:t xml:space="preserve"> accrued payments </w:t>
      </w:r>
      <w:r w:rsidR="001A33EF">
        <w:rPr>
          <w:rFonts w:cs="Times New Roman"/>
          <w:szCs w:val="24"/>
        </w:rPr>
        <w:t>exceeded the “</w:t>
      </w:r>
      <w:r w:rsidR="001A33EF" w:rsidRPr="001A33EF">
        <w:rPr>
          <w:rFonts w:cs="Times New Roman"/>
          <w:i/>
          <w:szCs w:val="24"/>
        </w:rPr>
        <w:t>Initial Payment</w:t>
      </w:r>
      <w:r w:rsidR="001A33EF">
        <w:rPr>
          <w:rFonts w:cs="Times New Roman"/>
          <w:szCs w:val="24"/>
        </w:rPr>
        <w:t xml:space="preserve">” (€3 million) and </w:t>
      </w:r>
      <w:r w:rsidR="005A43A0">
        <w:rPr>
          <w:rFonts w:cs="Times New Roman"/>
          <w:szCs w:val="24"/>
        </w:rPr>
        <w:t xml:space="preserve">then </w:t>
      </w:r>
      <w:r w:rsidR="001A33EF">
        <w:rPr>
          <w:rFonts w:cs="Times New Roman"/>
          <w:szCs w:val="24"/>
        </w:rPr>
        <w:t xml:space="preserve">only </w:t>
      </w:r>
      <w:r w:rsidR="005A43A0">
        <w:rPr>
          <w:rFonts w:cs="Times New Roman"/>
          <w:szCs w:val="24"/>
        </w:rPr>
        <w:t xml:space="preserve">in </w:t>
      </w:r>
      <w:r w:rsidR="001A33EF">
        <w:rPr>
          <w:rFonts w:cs="Times New Roman"/>
          <w:szCs w:val="24"/>
        </w:rPr>
        <w:t xml:space="preserve">the amount </w:t>
      </w:r>
      <w:r w:rsidR="005A43A0">
        <w:rPr>
          <w:rFonts w:cs="Times New Roman"/>
          <w:szCs w:val="24"/>
        </w:rPr>
        <w:t>of the</w:t>
      </w:r>
      <w:r w:rsidR="001A33EF">
        <w:rPr>
          <w:rFonts w:cs="Times New Roman"/>
          <w:szCs w:val="24"/>
        </w:rPr>
        <w:t xml:space="preserve"> excess</w:t>
      </w:r>
      <w:r w:rsidR="005A43A0">
        <w:rPr>
          <w:rFonts w:cs="Times New Roman"/>
          <w:szCs w:val="24"/>
        </w:rPr>
        <w:t>.</w:t>
      </w:r>
      <w:r w:rsidR="001A33EF">
        <w:rPr>
          <w:rStyle w:val="FootnoteReference"/>
          <w:rFonts w:cs="Times New Roman"/>
          <w:szCs w:val="24"/>
        </w:rPr>
        <w:footnoteReference w:id="2"/>
      </w:r>
      <w:r w:rsidR="00E96D51">
        <w:rPr>
          <w:rFonts w:cs="Times New Roman"/>
          <w:szCs w:val="24"/>
        </w:rPr>
        <w:t xml:space="preserve"> In the absence of any time-limit on the payment of royalties, </w:t>
      </w:r>
      <w:r w:rsidR="005A43A0">
        <w:rPr>
          <w:rFonts w:cs="Times New Roman"/>
          <w:szCs w:val="24"/>
        </w:rPr>
        <w:t>i</w:t>
      </w:r>
      <w:r w:rsidR="00E96D51">
        <w:rPr>
          <w:rFonts w:cs="Times New Roman"/>
          <w:szCs w:val="24"/>
        </w:rPr>
        <w:t>t appears that they were intended to continue throughout the working life of the landfill (sub</w:t>
      </w:r>
      <w:r w:rsidR="005A43A0">
        <w:rPr>
          <w:rFonts w:cs="Times New Roman"/>
          <w:szCs w:val="24"/>
        </w:rPr>
        <w:t>j</w:t>
      </w:r>
      <w:r w:rsidR="00E96D51">
        <w:rPr>
          <w:rFonts w:cs="Times New Roman"/>
          <w:szCs w:val="24"/>
        </w:rPr>
        <w:t>ect of course to their being “</w:t>
      </w:r>
      <w:r w:rsidR="00E96D51" w:rsidRPr="00E96D51">
        <w:rPr>
          <w:rFonts w:cs="Times New Roman"/>
          <w:i/>
          <w:szCs w:val="24"/>
        </w:rPr>
        <w:t>Net Income</w:t>
      </w:r>
      <w:r w:rsidR="00E96D51">
        <w:rPr>
          <w:rFonts w:cs="Times New Roman"/>
          <w:szCs w:val="24"/>
        </w:rPr>
        <w:t>” in any given accounting period).</w:t>
      </w:r>
    </w:p>
    <w:p w14:paraId="56B03AEC" w14:textId="77777777" w:rsidR="005B72DB" w:rsidRDefault="005B72DB" w:rsidP="005B72DB">
      <w:pPr>
        <w:pStyle w:val="ListParagraph"/>
        <w:spacing w:line="480" w:lineRule="auto"/>
        <w:rPr>
          <w:rFonts w:cs="Times New Roman"/>
          <w:szCs w:val="24"/>
        </w:rPr>
      </w:pPr>
    </w:p>
    <w:p w14:paraId="41D15BA2" w14:textId="77777777" w:rsidR="005B72DB" w:rsidRDefault="005B72DB" w:rsidP="0017030B">
      <w:pPr>
        <w:pStyle w:val="ListParagraph"/>
        <w:numPr>
          <w:ilvl w:val="0"/>
          <w:numId w:val="1"/>
        </w:numPr>
        <w:spacing w:line="480" w:lineRule="auto"/>
        <w:ind w:hanging="720"/>
        <w:rPr>
          <w:rFonts w:cs="Times New Roman"/>
          <w:szCs w:val="24"/>
        </w:rPr>
      </w:pPr>
      <w:r>
        <w:rPr>
          <w:rFonts w:cs="Times New Roman"/>
          <w:szCs w:val="24"/>
        </w:rPr>
        <w:t>The First Option provided that Celtic Waste Limited was entitled to assign its rights and obligations under it to any “</w:t>
      </w:r>
      <w:r w:rsidRPr="005B72DB">
        <w:rPr>
          <w:rFonts w:cs="Times New Roman"/>
          <w:i/>
          <w:szCs w:val="24"/>
        </w:rPr>
        <w:t>Related Company</w:t>
      </w:r>
      <w:r>
        <w:rPr>
          <w:rFonts w:cs="Times New Roman"/>
          <w:szCs w:val="24"/>
        </w:rPr>
        <w:t>” (defined by reference to section 140(5) of the Companies Act 1990). In contrast, the Plaintiff was not permitted to assign or transfer his rights</w:t>
      </w:r>
      <w:r w:rsidR="006D2173">
        <w:rPr>
          <w:rFonts w:cs="Times New Roman"/>
          <w:szCs w:val="24"/>
        </w:rPr>
        <w:t xml:space="preserve"> under the First Option.</w:t>
      </w:r>
    </w:p>
    <w:p w14:paraId="17B51EE9" w14:textId="77777777" w:rsidR="00482389" w:rsidRDefault="00482389" w:rsidP="00482389">
      <w:pPr>
        <w:pStyle w:val="ListParagraph"/>
        <w:spacing w:line="480" w:lineRule="auto"/>
        <w:rPr>
          <w:rFonts w:cs="Times New Roman"/>
          <w:szCs w:val="24"/>
        </w:rPr>
      </w:pPr>
    </w:p>
    <w:p w14:paraId="1A6F87F2" w14:textId="77777777" w:rsidR="00482389" w:rsidRDefault="00482389" w:rsidP="0017030B">
      <w:pPr>
        <w:pStyle w:val="ListParagraph"/>
        <w:numPr>
          <w:ilvl w:val="0"/>
          <w:numId w:val="1"/>
        </w:numPr>
        <w:spacing w:line="480" w:lineRule="auto"/>
        <w:ind w:hanging="720"/>
        <w:rPr>
          <w:rFonts w:cs="Times New Roman"/>
          <w:szCs w:val="24"/>
        </w:rPr>
      </w:pPr>
      <w:r>
        <w:rPr>
          <w:rFonts w:cs="Times New Roman"/>
          <w:szCs w:val="24"/>
        </w:rPr>
        <w:t>By the second option agreement (“</w:t>
      </w:r>
      <w:r w:rsidRPr="00482389">
        <w:rPr>
          <w:rFonts w:cs="Times New Roman"/>
          <w:i/>
          <w:szCs w:val="24"/>
        </w:rPr>
        <w:t>the Second Option”)</w:t>
      </w:r>
      <w:r>
        <w:rPr>
          <w:rFonts w:cs="Times New Roman"/>
          <w:szCs w:val="24"/>
        </w:rPr>
        <w:t xml:space="preserve"> Celtic Waste Limited granted the Plaintiff an option to re-acquire the Ballynagran Lands, exercisable within a year of the “</w:t>
      </w:r>
      <w:r w:rsidRPr="00482389">
        <w:rPr>
          <w:rFonts w:cs="Times New Roman"/>
          <w:i/>
          <w:szCs w:val="24"/>
        </w:rPr>
        <w:t>Determination Date</w:t>
      </w:r>
      <w:r>
        <w:rPr>
          <w:rFonts w:cs="Times New Roman"/>
          <w:szCs w:val="24"/>
        </w:rPr>
        <w:t xml:space="preserve">”, that being the date on which Celtic Waste Limited received </w:t>
      </w:r>
      <w:r>
        <w:rPr>
          <w:rFonts w:cs="Times New Roman"/>
          <w:szCs w:val="24"/>
        </w:rPr>
        <w:lastRenderedPageBreak/>
        <w:t>notice from the Environmental Protection Agency that the “</w:t>
      </w:r>
      <w:r w:rsidRPr="00482389">
        <w:rPr>
          <w:rFonts w:cs="Times New Roman"/>
          <w:i/>
          <w:szCs w:val="24"/>
        </w:rPr>
        <w:t>Aftercare Process</w:t>
      </w:r>
      <w:r>
        <w:rPr>
          <w:rFonts w:cs="Times New Roman"/>
          <w:szCs w:val="24"/>
        </w:rPr>
        <w:t>” (in essence the remediation of the landfill site at the end of its life) had been completed to its satisfaction.</w:t>
      </w:r>
      <w:r w:rsidR="00AE2EA6">
        <w:rPr>
          <w:rFonts w:cs="Times New Roman"/>
          <w:szCs w:val="24"/>
        </w:rPr>
        <w:t xml:space="preserve"> The Option Price was €1.</w:t>
      </w:r>
    </w:p>
    <w:p w14:paraId="43BF0457" w14:textId="77777777" w:rsidR="005B72DB" w:rsidRDefault="005B72DB" w:rsidP="005B72DB">
      <w:pPr>
        <w:pStyle w:val="ListParagraph"/>
        <w:spacing w:line="480" w:lineRule="auto"/>
        <w:rPr>
          <w:rFonts w:cs="Times New Roman"/>
          <w:szCs w:val="24"/>
        </w:rPr>
      </w:pPr>
    </w:p>
    <w:p w14:paraId="121644A4" w14:textId="77777777" w:rsidR="005B72DB" w:rsidRDefault="005B72DB" w:rsidP="0017030B">
      <w:pPr>
        <w:pStyle w:val="ListParagraph"/>
        <w:numPr>
          <w:ilvl w:val="0"/>
          <w:numId w:val="1"/>
        </w:numPr>
        <w:spacing w:line="480" w:lineRule="auto"/>
        <w:ind w:hanging="720"/>
        <w:rPr>
          <w:rFonts w:cs="Times New Roman"/>
          <w:szCs w:val="24"/>
        </w:rPr>
      </w:pPr>
      <w:r>
        <w:rPr>
          <w:rFonts w:cs="Times New Roman"/>
          <w:szCs w:val="24"/>
        </w:rPr>
        <w:t xml:space="preserve">The Second Option </w:t>
      </w:r>
      <w:r w:rsidR="000B4151">
        <w:rPr>
          <w:rFonts w:cs="Times New Roman"/>
          <w:szCs w:val="24"/>
        </w:rPr>
        <w:t>permitted Celtic Waste Limited to assign its interest under the agreement to a Related Company. Again, the Plaintiff was not permitted to assign or transfer his rights</w:t>
      </w:r>
      <w:r w:rsidR="00731AB0">
        <w:rPr>
          <w:rFonts w:cs="Times New Roman"/>
          <w:szCs w:val="24"/>
        </w:rPr>
        <w:t xml:space="preserve"> under the Second Option.</w:t>
      </w:r>
    </w:p>
    <w:p w14:paraId="7B54028B" w14:textId="77777777" w:rsidR="000B4151" w:rsidRDefault="000B4151" w:rsidP="000B4151">
      <w:pPr>
        <w:pStyle w:val="ListParagraph"/>
        <w:spacing w:line="480" w:lineRule="auto"/>
        <w:rPr>
          <w:rFonts w:cs="Times New Roman"/>
          <w:szCs w:val="24"/>
        </w:rPr>
      </w:pPr>
    </w:p>
    <w:p w14:paraId="60F28CD3" w14:textId="77777777" w:rsidR="000B4151" w:rsidRDefault="000B4151" w:rsidP="0017030B">
      <w:pPr>
        <w:pStyle w:val="ListParagraph"/>
        <w:numPr>
          <w:ilvl w:val="0"/>
          <w:numId w:val="1"/>
        </w:numPr>
        <w:spacing w:line="480" w:lineRule="auto"/>
        <w:ind w:hanging="720"/>
        <w:rPr>
          <w:rFonts w:cs="Times New Roman"/>
          <w:szCs w:val="24"/>
        </w:rPr>
      </w:pPr>
      <w:r>
        <w:rPr>
          <w:rFonts w:cs="Times New Roman"/>
          <w:szCs w:val="24"/>
        </w:rPr>
        <w:t xml:space="preserve">On 20 January 2005, Arthur Cox solicitors </w:t>
      </w:r>
      <w:r w:rsidR="00472C82">
        <w:rPr>
          <w:rFonts w:cs="Times New Roman"/>
          <w:szCs w:val="24"/>
        </w:rPr>
        <w:t xml:space="preserve">wrote to the Plaintiff giving notice on behalf of Greenstar Holdings Limited </w:t>
      </w:r>
      <w:r w:rsidR="00731AB0">
        <w:rPr>
          <w:rFonts w:cs="Times New Roman"/>
          <w:szCs w:val="24"/>
        </w:rPr>
        <w:t xml:space="preserve">(as Celtic Waste Limited was by then called) </w:t>
      </w:r>
      <w:r w:rsidR="00472C82">
        <w:rPr>
          <w:rFonts w:cs="Times New Roman"/>
          <w:szCs w:val="24"/>
        </w:rPr>
        <w:t xml:space="preserve">that it was exercising its option to acquire the Ballynagran Lands. </w:t>
      </w:r>
    </w:p>
    <w:p w14:paraId="54115E15" w14:textId="77777777" w:rsidR="00F429FD" w:rsidRDefault="00F429FD" w:rsidP="00F429FD">
      <w:pPr>
        <w:pStyle w:val="ListParagraph"/>
        <w:spacing w:line="480" w:lineRule="auto"/>
        <w:rPr>
          <w:rFonts w:cs="Times New Roman"/>
          <w:szCs w:val="24"/>
        </w:rPr>
      </w:pPr>
    </w:p>
    <w:p w14:paraId="395326E4" w14:textId="77777777" w:rsidR="00F429FD" w:rsidRDefault="00F429FD" w:rsidP="0017030B">
      <w:pPr>
        <w:pStyle w:val="ListParagraph"/>
        <w:numPr>
          <w:ilvl w:val="0"/>
          <w:numId w:val="1"/>
        </w:numPr>
        <w:spacing w:line="480" w:lineRule="auto"/>
        <w:ind w:hanging="720"/>
        <w:rPr>
          <w:rFonts w:cs="Times New Roman"/>
          <w:szCs w:val="24"/>
        </w:rPr>
      </w:pPr>
      <w:r>
        <w:rPr>
          <w:rFonts w:cs="Times New Roman"/>
          <w:szCs w:val="24"/>
        </w:rPr>
        <w:t xml:space="preserve">A draft contract for sale </w:t>
      </w:r>
      <w:r w:rsidR="005A43A0">
        <w:rPr>
          <w:rFonts w:cs="Times New Roman"/>
          <w:szCs w:val="24"/>
        </w:rPr>
        <w:t>was</w:t>
      </w:r>
      <w:r>
        <w:rPr>
          <w:rFonts w:cs="Times New Roman"/>
          <w:szCs w:val="24"/>
        </w:rPr>
        <w:t xml:space="preserve"> appended to the First Option</w:t>
      </w:r>
      <w:r w:rsidR="0024641A">
        <w:rPr>
          <w:rFonts w:cs="Times New Roman"/>
          <w:szCs w:val="24"/>
        </w:rPr>
        <w:t xml:space="preserve"> and on the exercise of the option it was that form of contract that the parties were to execute. </w:t>
      </w:r>
      <w:r>
        <w:rPr>
          <w:rFonts w:cs="Times New Roman"/>
          <w:szCs w:val="24"/>
        </w:rPr>
        <w:t>It named Greenstar Holdings Limited as purchaser. However, when the contract for sale came to be executed on 23 February 2005, it identified the purchaser as Greenstar Properties Limited</w:t>
      </w:r>
      <w:r w:rsidR="007C4CDB">
        <w:rPr>
          <w:rFonts w:cs="Times New Roman"/>
          <w:szCs w:val="24"/>
        </w:rPr>
        <w:t xml:space="preserve">. </w:t>
      </w:r>
      <w:r w:rsidR="002D6490">
        <w:rPr>
          <w:rFonts w:cs="Times New Roman"/>
          <w:szCs w:val="24"/>
        </w:rPr>
        <w:t xml:space="preserve">The contract for sale made no reference to royalty payments. </w:t>
      </w:r>
      <w:r w:rsidR="007C4CDB">
        <w:rPr>
          <w:rFonts w:cs="Times New Roman"/>
          <w:szCs w:val="24"/>
        </w:rPr>
        <w:t xml:space="preserve">The precise circumstances in which Greenstar Properties Limited came to be substituted for Greenstar Holdings Limited are unclear </w:t>
      </w:r>
      <w:r w:rsidR="002D6490">
        <w:rPr>
          <w:rFonts w:cs="Times New Roman"/>
          <w:szCs w:val="24"/>
        </w:rPr>
        <w:t>- t</w:t>
      </w:r>
      <w:r w:rsidR="002D6490">
        <w:t xml:space="preserve">he issue is studiously avoided in the affidavit evidence put before the High Court by the Defendants </w:t>
      </w:r>
      <w:r w:rsidR="009066C5">
        <w:t>(“</w:t>
      </w:r>
      <w:r w:rsidR="009066C5" w:rsidRPr="009066C5">
        <w:rPr>
          <w:i/>
        </w:rPr>
        <w:t>Matheson</w:t>
      </w:r>
      <w:r w:rsidR="009066C5">
        <w:t xml:space="preserve">”) </w:t>
      </w:r>
      <w:r w:rsidR="00950190">
        <w:t xml:space="preserve">- </w:t>
      </w:r>
      <w:r w:rsidR="002D6490">
        <w:t xml:space="preserve"> </w:t>
      </w:r>
      <w:r w:rsidR="007C4CDB">
        <w:rPr>
          <w:rFonts w:cs="Times New Roman"/>
          <w:szCs w:val="24"/>
        </w:rPr>
        <w:t xml:space="preserve">but it seems to have occurred late in the day and </w:t>
      </w:r>
      <w:r w:rsidR="00F25047">
        <w:rPr>
          <w:rFonts w:cs="Times New Roman"/>
          <w:szCs w:val="24"/>
        </w:rPr>
        <w:t xml:space="preserve">it appears that </w:t>
      </w:r>
      <w:r w:rsidR="009066C5">
        <w:rPr>
          <w:rFonts w:cs="Times New Roman"/>
          <w:szCs w:val="24"/>
        </w:rPr>
        <w:t xml:space="preserve">Matheson </w:t>
      </w:r>
      <w:r w:rsidR="007C4CDB">
        <w:rPr>
          <w:rFonts w:cs="Times New Roman"/>
          <w:szCs w:val="24"/>
        </w:rPr>
        <w:t xml:space="preserve">(who were at all material times acting for the Plaintiff) either failed to notice </w:t>
      </w:r>
      <w:r w:rsidR="00D67DF3">
        <w:rPr>
          <w:rFonts w:cs="Times New Roman"/>
          <w:szCs w:val="24"/>
        </w:rPr>
        <w:t>the change</w:t>
      </w:r>
      <w:r w:rsidR="007C4CDB">
        <w:rPr>
          <w:rFonts w:cs="Times New Roman"/>
          <w:szCs w:val="24"/>
        </w:rPr>
        <w:t xml:space="preserve"> or failed to appreciate its potential significance.</w:t>
      </w:r>
    </w:p>
    <w:p w14:paraId="4607DBCF" w14:textId="77777777" w:rsidR="00F25047" w:rsidRDefault="00F25047" w:rsidP="00F25047">
      <w:pPr>
        <w:pStyle w:val="ListParagraph"/>
        <w:spacing w:line="480" w:lineRule="auto"/>
        <w:rPr>
          <w:rFonts w:cs="Times New Roman"/>
          <w:szCs w:val="24"/>
        </w:rPr>
      </w:pPr>
    </w:p>
    <w:p w14:paraId="36886C04" w14:textId="77777777" w:rsidR="00F25047" w:rsidRDefault="00F25047" w:rsidP="0017030B">
      <w:pPr>
        <w:pStyle w:val="ListParagraph"/>
        <w:numPr>
          <w:ilvl w:val="0"/>
          <w:numId w:val="1"/>
        </w:numPr>
        <w:spacing w:line="480" w:lineRule="auto"/>
        <w:ind w:hanging="720"/>
        <w:rPr>
          <w:rFonts w:cs="Times New Roman"/>
          <w:szCs w:val="24"/>
        </w:rPr>
      </w:pPr>
      <w:r>
        <w:rPr>
          <w:rFonts w:cs="Times New Roman"/>
          <w:szCs w:val="24"/>
        </w:rPr>
        <w:lastRenderedPageBreak/>
        <w:t xml:space="preserve">In any event, the Ballynagran Lands were duly </w:t>
      </w:r>
      <w:r w:rsidR="0057305F">
        <w:rPr>
          <w:rFonts w:cs="Times New Roman"/>
          <w:szCs w:val="24"/>
        </w:rPr>
        <w:t>transferred</w:t>
      </w:r>
      <w:r>
        <w:rPr>
          <w:rFonts w:cs="Times New Roman"/>
          <w:szCs w:val="24"/>
        </w:rPr>
        <w:t xml:space="preserve"> to Greenstar Properties Limited and </w:t>
      </w:r>
      <w:r w:rsidR="005A43A0">
        <w:rPr>
          <w:rFonts w:cs="Times New Roman"/>
          <w:szCs w:val="24"/>
        </w:rPr>
        <w:t>with effect from</w:t>
      </w:r>
      <w:r>
        <w:rPr>
          <w:rFonts w:cs="Times New Roman"/>
          <w:szCs w:val="24"/>
        </w:rPr>
        <w:t xml:space="preserve"> 29 September 2005 </w:t>
      </w:r>
      <w:r w:rsidR="00AE2EA6">
        <w:rPr>
          <w:rFonts w:cs="Times New Roman"/>
          <w:szCs w:val="24"/>
        </w:rPr>
        <w:t>that company</w:t>
      </w:r>
      <w:r>
        <w:rPr>
          <w:rFonts w:cs="Times New Roman"/>
          <w:szCs w:val="24"/>
        </w:rPr>
        <w:t xml:space="preserve"> was registered as full owner in Folios WW21186F and WW16658F.</w:t>
      </w:r>
      <w:r w:rsidR="00BF05C6">
        <w:rPr>
          <w:rStyle w:val="FootnoteReference"/>
          <w:rFonts w:cs="Times New Roman"/>
          <w:szCs w:val="24"/>
        </w:rPr>
        <w:footnoteReference w:id="3"/>
      </w:r>
      <w:r w:rsidR="0057305F">
        <w:rPr>
          <w:rFonts w:cs="Times New Roman"/>
          <w:szCs w:val="24"/>
        </w:rPr>
        <w:t xml:space="preserve"> I shall refer to the transaction leading to this transfer as the 2005 transaction.  </w:t>
      </w:r>
    </w:p>
    <w:p w14:paraId="2AA4AACC" w14:textId="77777777" w:rsidR="00F25047" w:rsidRDefault="00F25047" w:rsidP="00F25047">
      <w:pPr>
        <w:pStyle w:val="ListParagraph"/>
        <w:spacing w:line="480" w:lineRule="auto"/>
        <w:rPr>
          <w:rFonts w:cs="Times New Roman"/>
          <w:szCs w:val="24"/>
        </w:rPr>
      </w:pPr>
    </w:p>
    <w:p w14:paraId="0A3929AE" w14:textId="77777777" w:rsidR="00F25047" w:rsidRDefault="00AE2EA6" w:rsidP="0017030B">
      <w:pPr>
        <w:pStyle w:val="ListParagraph"/>
        <w:numPr>
          <w:ilvl w:val="0"/>
          <w:numId w:val="1"/>
        </w:numPr>
        <w:spacing w:line="480" w:lineRule="auto"/>
        <w:ind w:hanging="720"/>
        <w:rPr>
          <w:rFonts w:cs="Times New Roman"/>
          <w:szCs w:val="24"/>
        </w:rPr>
      </w:pPr>
      <w:r>
        <w:rPr>
          <w:rFonts w:cs="Times New Roman"/>
          <w:szCs w:val="24"/>
        </w:rPr>
        <w:t xml:space="preserve">Royalty payments were made to the Plaintiff as they fell due </w:t>
      </w:r>
      <w:r w:rsidR="00E96D51">
        <w:rPr>
          <w:rFonts w:cs="Times New Roman"/>
          <w:szCs w:val="24"/>
        </w:rPr>
        <w:t xml:space="preserve">in the period </w:t>
      </w:r>
      <w:r>
        <w:rPr>
          <w:rFonts w:cs="Times New Roman"/>
          <w:szCs w:val="24"/>
        </w:rPr>
        <w:t xml:space="preserve">up to 31 December 2011. </w:t>
      </w:r>
      <w:r w:rsidR="00E96D51">
        <w:rPr>
          <w:rFonts w:cs="Times New Roman"/>
          <w:szCs w:val="24"/>
        </w:rPr>
        <w:t xml:space="preserve">As already explained, it was only when accrued </w:t>
      </w:r>
      <w:r w:rsidR="0086476E">
        <w:rPr>
          <w:rFonts w:cs="Times New Roman"/>
          <w:szCs w:val="24"/>
        </w:rPr>
        <w:t>royalty payments exceeded the “</w:t>
      </w:r>
      <w:r w:rsidR="0086476E" w:rsidRPr="0086476E">
        <w:rPr>
          <w:rFonts w:cs="Times New Roman"/>
          <w:i/>
          <w:szCs w:val="24"/>
        </w:rPr>
        <w:t>Initial Payment</w:t>
      </w:r>
      <w:r w:rsidR="0086476E">
        <w:rPr>
          <w:rFonts w:cs="Times New Roman"/>
          <w:szCs w:val="24"/>
        </w:rPr>
        <w:t xml:space="preserve">” of €3 million that any </w:t>
      </w:r>
      <w:r w:rsidR="005A43A0">
        <w:rPr>
          <w:rFonts w:cs="Times New Roman"/>
          <w:szCs w:val="24"/>
        </w:rPr>
        <w:t xml:space="preserve">further </w:t>
      </w:r>
      <w:r w:rsidR="0086476E">
        <w:rPr>
          <w:rFonts w:cs="Times New Roman"/>
          <w:szCs w:val="24"/>
        </w:rPr>
        <w:t xml:space="preserve">sum actually became </w:t>
      </w:r>
      <w:r w:rsidR="0064257B">
        <w:rPr>
          <w:rFonts w:cs="Times New Roman"/>
          <w:szCs w:val="24"/>
        </w:rPr>
        <w:t>payable</w:t>
      </w:r>
      <w:r w:rsidR="0086476E">
        <w:rPr>
          <w:rFonts w:cs="Times New Roman"/>
          <w:szCs w:val="24"/>
        </w:rPr>
        <w:t xml:space="preserve">. The first such payment -  in the sum of </w:t>
      </w:r>
      <w:r w:rsidR="005A43A0">
        <w:rPr>
          <w:rFonts w:cs="Times New Roman"/>
          <w:szCs w:val="24"/>
        </w:rPr>
        <w:t>€</w:t>
      </w:r>
      <w:r w:rsidR="0086476E">
        <w:rPr>
          <w:rFonts w:cs="Times New Roman"/>
          <w:szCs w:val="24"/>
        </w:rPr>
        <w:t xml:space="preserve">571,048 – was made in 2011 for the year ended 31 December 2010. A further payment of €524,549 </w:t>
      </w:r>
      <w:r w:rsidR="00120CCE">
        <w:rPr>
          <w:rFonts w:cs="Times New Roman"/>
          <w:szCs w:val="24"/>
        </w:rPr>
        <w:t xml:space="preserve">was made </w:t>
      </w:r>
      <w:r w:rsidR="005A43A0">
        <w:rPr>
          <w:rFonts w:cs="Times New Roman"/>
          <w:szCs w:val="24"/>
        </w:rPr>
        <w:t xml:space="preserve">in 2012 </w:t>
      </w:r>
      <w:r w:rsidR="0086476E">
        <w:rPr>
          <w:rFonts w:cs="Times New Roman"/>
          <w:szCs w:val="24"/>
        </w:rPr>
        <w:t xml:space="preserve">for the year ended 31 December 2011. According </w:t>
      </w:r>
      <w:r>
        <w:rPr>
          <w:rFonts w:cs="Times New Roman"/>
          <w:szCs w:val="24"/>
        </w:rPr>
        <w:t>the Statement of Claim, those payments were made by Greenstar Holdings Limited “</w:t>
      </w:r>
      <w:r w:rsidRPr="001C553F">
        <w:rPr>
          <w:rFonts w:cs="Times New Roman"/>
          <w:i/>
          <w:szCs w:val="24"/>
        </w:rPr>
        <w:t xml:space="preserve">or another company in the Greenstar </w:t>
      </w:r>
      <w:r w:rsidR="001C553F" w:rsidRPr="001C553F">
        <w:rPr>
          <w:rFonts w:cs="Times New Roman"/>
          <w:i/>
          <w:szCs w:val="24"/>
        </w:rPr>
        <w:t>group.”</w:t>
      </w:r>
    </w:p>
    <w:p w14:paraId="4E00BC52" w14:textId="77777777" w:rsidR="00AE2EA6" w:rsidRDefault="00AE2EA6" w:rsidP="00AE2EA6">
      <w:pPr>
        <w:pStyle w:val="ListParagraph"/>
        <w:spacing w:line="480" w:lineRule="auto"/>
        <w:rPr>
          <w:rFonts w:cs="Times New Roman"/>
          <w:szCs w:val="24"/>
        </w:rPr>
      </w:pPr>
    </w:p>
    <w:p w14:paraId="0D4573E7" w14:textId="77777777" w:rsidR="00AE2EA6" w:rsidRDefault="00AE2EA6" w:rsidP="0017030B">
      <w:pPr>
        <w:pStyle w:val="ListParagraph"/>
        <w:numPr>
          <w:ilvl w:val="0"/>
          <w:numId w:val="1"/>
        </w:numPr>
        <w:spacing w:line="480" w:lineRule="auto"/>
        <w:ind w:hanging="720"/>
        <w:rPr>
          <w:rFonts w:cs="Times New Roman"/>
          <w:szCs w:val="24"/>
        </w:rPr>
      </w:pPr>
      <w:r>
        <w:rPr>
          <w:rFonts w:cs="Times New Roman"/>
          <w:szCs w:val="24"/>
        </w:rPr>
        <w:t xml:space="preserve">On 23 August 2012, </w:t>
      </w:r>
      <w:r w:rsidR="00D60746">
        <w:rPr>
          <w:rFonts w:cs="Times New Roman"/>
          <w:szCs w:val="24"/>
        </w:rPr>
        <w:t>David Carson of Deloitte was appointed recei</w:t>
      </w:r>
      <w:r>
        <w:rPr>
          <w:rFonts w:cs="Times New Roman"/>
          <w:szCs w:val="24"/>
        </w:rPr>
        <w:t>ver</w:t>
      </w:r>
      <w:r w:rsidR="00195BE4">
        <w:rPr>
          <w:rFonts w:cs="Times New Roman"/>
          <w:szCs w:val="24"/>
        </w:rPr>
        <w:t xml:space="preserve"> </w:t>
      </w:r>
      <w:r w:rsidR="001C553F">
        <w:rPr>
          <w:rFonts w:cs="Times New Roman"/>
          <w:szCs w:val="24"/>
        </w:rPr>
        <w:t xml:space="preserve">over </w:t>
      </w:r>
      <w:r w:rsidR="002140F5">
        <w:rPr>
          <w:rFonts w:cs="Times New Roman"/>
          <w:szCs w:val="24"/>
        </w:rPr>
        <w:t>the</w:t>
      </w:r>
      <w:r w:rsidR="001C553F">
        <w:rPr>
          <w:rFonts w:cs="Times New Roman"/>
          <w:szCs w:val="24"/>
        </w:rPr>
        <w:t xml:space="preserve"> assets of Greenstar Holdings Limited and of another Greenstar company, Greenstar Limited.</w:t>
      </w:r>
      <w:r w:rsidR="00DD6ABF">
        <w:rPr>
          <w:rFonts w:cs="Times New Roman"/>
          <w:szCs w:val="24"/>
        </w:rPr>
        <w:t xml:space="preserve"> The appointment did not extend to Greenstar Properties Limited.</w:t>
      </w:r>
    </w:p>
    <w:p w14:paraId="3C7C1DCA" w14:textId="77777777" w:rsidR="00DD6ABF" w:rsidRDefault="00DD6ABF" w:rsidP="00DD6ABF">
      <w:pPr>
        <w:pStyle w:val="ListParagraph"/>
        <w:spacing w:line="480" w:lineRule="auto"/>
        <w:rPr>
          <w:rFonts w:cs="Times New Roman"/>
          <w:szCs w:val="24"/>
        </w:rPr>
      </w:pPr>
    </w:p>
    <w:p w14:paraId="008FA30E" w14:textId="77777777" w:rsidR="001C553F" w:rsidRDefault="001C553F" w:rsidP="0017030B">
      <w:pPr>
        <w:pStyle w:val="ListParagraph"/>
        <w:numPr>
          <w:ilvl w:val="0"/>
          <w:numId w:val="1"/>
        </w:numPr>
        <w:spacing w:line="480" w:lineRule="auto"/>
        <w:ind w:hanging="720"/>
        <w:rPr>
          <w:rFonts w:cs="Times New Roman"/>
          <w:szCs w:val="24"/>
        </w:rPr>
      </w:pPr>
      <w:r>
        <w:rPr>
          <w:rFonts w:cs="Times New Roman"/>
          <w:szCs w:val="24"/>
        </w:rPr>
        <w:t xml:space="preserve">The Plaintiff says in his Statement of Claim that </w:t>
      </w:r>
      <w:bookmarkStart w:id="1" w:name="_Hlk83029881"/>
      <w:r>
        <w:rPr>
          <w:rFonts w:cs="Times New Roman"/>
          <w:szCs w:val="24"/>
        </w:rPr>
        <w:t>Greenstar Holding</w:t>
      </w:r>
      <w:r w:rsidR="002D7C44">
        <w:rPr>
          <w:rFonts w:cs="Times New Roman"/>
          <w:szCs w:val="24"/>
        </w:rPr>
        <w:t>s</w:t>
      </w:r>
      <w:r>
        <w:rPr>
          <w:rFonts w:cs="Times New Roman"/>
          <w:szCs w:val="24"/>
        </w:rPr>
        <w:t xml:space="preserve"> Limited</w:t>
      </w:r>
      <w:r w:rsidR="0086476E">
        <w:rPr>
          <w:rFonts w:cs="Times New Roman"/>
          <w:szCs w:val="24"/>
        </w:rPr>
        <w:t xml:space="preserve"> calculated that </w:t>
      </w:r>
      <w:bookmarkEnd w:id="1"/>
      <w:r>
        <w:rPr>
          <w:rFonts w:cs="Times New Roman"/>
          <w:szCs w:val="24"/>
        </w:rPr>
        <w:t>a royalty payment of €502,069 was due to h</w:t>
      </w:r>
      <w:r w:rsidR="00221048">
        <w:rPr>
          <w:rFonts w:cs="Times New Roman"/>
          <w:szCs w:val="24"/>
        </w:rPr>
        <w:t>i</w:t>
      </w:r>
      <w:r>
        <w:rPr>
          <w:rFonts w:cs="Times New Roman"/>
          <w:szCs w:val="24"/>
        </w:rPr>
        <w:t xml:space="preserve">m in respect of the period 1 January 2012 – 22 August 2012. However, he was informed by the solicitors acting for </w:t>
      </w:r>
      <w:r>
        <w:rPr>
          <w:rFonts w:cs="Times New Roman"/>
          <w:szCs w:val="24"/>
        </w:rPr>
        <w:lastRenderedPageBreak/>
        <w:t>Greenstar Holding</w:t>
      </w:r>
      <w:r w:rsidR="002D7C44">
        <w:rPr>
          <w:rFonts w:cs="Times New Roman"/>
          <w:szCs w:val="24"/>
        </w:rPr>
        <w:t>s</w:t>
      </w:r>
      <w:r>
        <w:rPr>
          <w:rFonts w:cs="Times New Roman"/>
          <w:szCs w:val="24"/>
        </w:rPr>
        <w:t xml:space="preserve"> Limited that this sum would not be paid. The Plaintiff did receive a payment of €116,538 in respect of the period from 23 August 2012 to 31 December 2012. </w:t>
      </w:r>
      <w:r w:rsidR="00195BE4">
        <w:rPr>
          <w:rFonts w:cs="Times New Roman"/>
          <w:szCs w:val="24"/>
        </w:rPr>
        <w:t xml:space="preserve"> During that period the Ballynagran landfill was operated by another Greenstar company, Greenstar South East Limited</w:t>
      </w:r>
      <w:r w:rsidR="00120CCE">
        <w:rPr>
          <w:rFonts w:cs="Times New Roman"/>
          <w:szCs w:val="24"/>
        </w:rPr>
        <w:t>,</w:t>
      </w:r>
      <w:r w:rsidR="00195BE4">
        <w:rPr>
          <w:rFonts w:cs="Times New Roman"/>
          <w:szCs w:val="24"/>
        </w:rPr>
        <w:t xml:space="preserve"> and </w:t>
      </w:r>
      <w:r w:rsidR="005A43A0">
        <w:rPr>
          <w:rFonts w:cs="Times New Roman"/>
          <w:szCs w:val="24"/>
        </w:rPr>
        <w:t xml:space="preserve">that company appears to have made </w:t>
      </w:r>
      <w:r w:rsidR="00195BE4">
        <w:rPr>
          <w:rFonts w:cs="Times New Roman"/>
          <w:szCs w:val="24"/>
        </w:rPr>
        <w:t>that payment.</w:t>
      </w:r>
    </w:p>
    <w:p w14:paraId="216F0D4E" w14:textId="77777777" w:rsidR="0086476E" w:rsidRDefault="0086476E" w:rsidP="0086476E">
      <w:pPr>
        <w:pStyle w:val="ListParagraph"/>
        <w:spacing w:line="480" w:lineRule="auto"/>
        <w:rPr>
          <w:rFonts w:cs="Times New Roman"/>
          <w:szCs w:val="24"/>
        </w:rPr>
      </w:pPr>
    </w:p>
    <w:p w14:paraId="3C5E2C2C" w14:textId="77777777" w:rsidR="0086476E" w:rsidRDefault="0086476E" w:rsidP="0017030B">
      <w:pPr>
        <w:pStyle w:val="ListParagraph"/>
        <w:numPr>
          <w:ilvl w:val="0"/>
          <w:numId w:val="1"/>
        </w:numPr>
        <w:spacing w:line="480" w:lineRule="auto"/>
        <w:ind w:hanging="720"/>
        <w:rPr>
          <w:rFonts w:cs="Times New Roman"/>
          <w:szCs w:val="24"/>
        </w:rPr>
      </w:pPr>
      <w:r>
        <w:rPr>
          <w:rFonts w:cs="Times New Roman"/>
          <w:szCs w:val="24"/>
        </w:rPr>
        <w:t>It seems that Greenstar Holdings Limited operated the landfill in the period prior to the appointment of the receiver</w:t>
      </w:r>
      <w:r w:rsidR="004921E8">
        <w:rPr>
          <w:rFonts w:cs="Times New Roman"/>
          <w:szCs w:val="24"/>
        </w:rPr>
        <w:t xml:space="preserve"> and that, certainly, is the position contemplated by the First Option</w:t>
      </w:r>
      <w:r w:rsidR="005A43A0">
        <w:rPr>
          <w:rFonts w:cs="Times New Roman"/>
          <w:szCs w:val="24"/>
        </w:rPr>
        <w:t>.</w:t>
      </w:r>
    </w:p>
    <w:p w14:paraId="03D17A3A" w14:textId="77777777" w:rsidR="00DD6ABF" w:rsidRDefault="00DD6ABF" w:rsidP="00DD6ABF">
      <w:pPr>
        <w:pStyle w:val="ListParagraph"/>
        <w:spacing w:line="480" w:lineRule="auto"/>
        <w:rPr>
          <w:rFonts w:cs="Times New Roman"/>
          <w:szCs w:val="24"/>
        </w:rPr>
      </w:pPr>
    </w:p>
    <w:p w14:paraId="164AC3F6" w14:textId="77777777" w:rsidR="00DD6ABF" w:rsidRDefault="00DD6ABF" w:rsidP="0017030B">
      <w:pPr>
        <w:pStyle w:val="ListParagraph"/>
        <w:numPr>
          <w:ilvl w:val="0"/>
          <w:numId w:val="1"/>
        </w:numPr>
        <w:spacing w:line="480" w:lineRule="auto"/>
        <w:ind w:hanging="720"/>
        <w:rPr>
          <w:rFonts w:cs="Times New Roman"/>
          <w:szCs w:val="24"/>
        </w:rPr>
      </w:pPr>
      <w:r>
        <w:rPr>
          <w:rFonts w:cs="Times New Roman"/>
          <w:szCs w:val="24"/>
        </w:rPr>
        <w:t xml:space="preserve">According to the Statement of Claim, </w:t>
      </w:r>
      <w:r w:rsidR="00D60746">
        <w:rPr>
          <w:rFonts w:cs="Times New Roman"/>
          <w:szCs w:val="24"/>
        </w:rPr>
        <w:t xml:space="preserve">Greenstar Properties Limited has made it clear to the Plaintiff that </w:t>
      </w:r>
      <w:r w:rsidR="00D60746" w:rsidRPr="00D60746">
        <w:rPr>
          <w:rFonts w:cs="Times New Roman"/>
          <w:i/>
          <w:szCs w:val="24"/>
        </w:rPr>
        <w:t>“it does not intend to be and is not bound by the terms of the First and Second Option and has claimed that it is under no contractual duty to pay the royalty payments or to transfer the lands pursuant to the Second Option</w:t>
      </w:r>
      <w:r w:rsidR="002140F5">
        <w:rPr>
          <w:rFonts w:cs="Times New Roman"/>
          <w:i/>
          <w:szCs w:val="24"/>
        </w:rPr>
        <w:t xml:space="preserve">” </w:t>
      </w:r>
      <w:r w:rsidR="002140F5">
        <w:rPr>
          <w:rFonts w:cs="Times New Roman"/>
          <w:szCs w:val="24"/>
        </w:rPr>
        <w:t>(para 27).</w:t>
      </w:r>
    </w:p>
    <w:p w14:paraId="4D4C7362" w14:textId="77777777" w:rsidR="00195BE4" w:rsidRDefault="00195BE4" w:rsidP="00195BE4">
      <w:pPr>
        <w:pStyle w:val="ListParagraph"/>
        <w:spacing w:line="480" w:lineRule="auto"/>
        <w:rPr>
          <w:rFonts w:cs="Times New Roman"/>
          <w:szCs w:val="24"/>
        </w:rPr>
      </w:pPr>
    </w:p>
    <w:p w14:paraId="08F3473A" w14:textId="77777777" w:rsidR="00195BE4" w:rsidRDefault="00721841" w:rsidP="0017030B">
      <w:pPr>
        <w:pStyle w:val="ListParagraph"/>
        <w:numPr>
          <w:ilvl w:val="0"/>
          <w:numId w:val="1"/>
        </w:numPr>
        <w:spacing w:line="480" w:lineRule="auto"/>
        <w:ind w:hanging="720"/>
        <w:rPr>
          <w:rFonts w:cs="Times New Roman"/>
          <w:szCs w:val="24"/>
        </w:rPr>
      </w:pPr>
      <w:r>
        <w:rPr>
          <w:rFonts w:cs="Times New Roman"/>
          <w:szCs w:val="24"/>
        </w:rPr>
        <w:t>In fact, i</w:t>
      </w:r>
      <w:r w:rsidR="00D60746">
        <w:rPr>
          <w:rFonts w:cs="Times New Roman"/>
          <w:szCs w:val="24"/>
        </w:rPr>
        <w:t xml:space="preserve">t appears that Greenstar Properties Limited no longer owns the Ballynagran Lands. According to the </w:t>
      </w:r>
      <w:r w:rsidR="00DD6ABF">
        <w:rPr>
          <w:rFonts w:cs="Times New Roman"/>
          <w:szCs w:val="24"/>
        </w:rPr>
        <w:t>Statement of Claim</w:t>
      </w:r>
      <w:r w:rsidR="00D60746">
        <w:rPr>
          <w:rFonts w:cs="Times New Roman"/>
          <w:szCs w:val="24"/>
        </w:rPr>
        <w:t xml:space="preserve">, </w:t>
      </w:r>
      <w:r w:rsidR="00DD6ABF">
        <w:rPr>
          <w:rFonts w:cs="Times New Roman"/>
          <w:szCs w:val="24"/>
        </w:rPr>
        <w:t xml:space="preserve"> </w:t>
      </w:r>
      <w:r w:rsidR="00D60746">
        <w:rPr>
          <w:rFonts w:cs="Times New Roman"/>
          <w:szCs w:val="24"/>
        </w:rPr>
        <w:t>Greenstar Properties Limited transferred those Lands to a company called Ballynagran Landfill Limited o</w:t>
      </w:r>
      <w:r w:rsidR="00DD6ABF">
        <w:rPr>
          <w:rFonts w:cs="Times New Roman"/>
          <w:szCs w:val="24"/>
        </w:rPr>
        <w:t>n 3 March 2014</w:t>
      </w:r>
      <w:r w:rsidR="00D60746">
        <w:rPr>
          <w:rFonts w:cs="Times New Roman"/>
          <w:szCs w:val="24"/>
        </w:rPr>
        <w:t xml:space="preserve">. </w:t>
      </w:r>
      <w:r w:rsidR="00DD6ABF">
        <w:rPr>
          <w:rFonts w:cs="Times New Roman"/>
          <w:szCs w:val="24"/>
        </w:rPr>
        <w:t xml:space="preserve"> </w:t>
      </w:r>
      <w:r w:rsidR="007B3DBB">
        <w:rPr>
          <w:rFonts w:cs="Times New Roman"/>
          <w:szCs w:val="24"/>
        </w:rPr>
        <w:t>Prior to th</w:t>
      </w:r>
      <w:r w:rsidR="005A43A0">
        <w:rPr>
          <w:rFonts w:cs="Times New Roman"/>
          <w:szCs w:val="24"/>
        </w:rPr>
        <w:t>at</w:t>
      </w:r>
      <w:r w:rsidR="007B3DBB">
        <w:rPr>
          <w:rFonts w:cs="Times New Roman"/>
          <w:szCs w:val="24"/>
        </w:rPr>
        <w:t>, the</w:t>
      </w:r>
      <w:r w:rsidR="00DD6ABF">
        <w:rPr>
          <w:rFonts w:cs="Times New Roman"/>
          <w:szCs w:val="24"/>
        </w:rPr>
        <w:t xml:space="preserve"> Plaintiff had brought proceedings against </w:t>
      </w:r>
      <w:r w:rsidR="007B3DBB">
        <w:rPr>
          <w:rFonts w:cs="Times New Roman"/>
          <w:szCs w:val="24"/>
        </w:rPr>
        <w:t xml:space="preserve">Greenstar Properties Limited </w:t>
      </w:r>
      <w:r w:rsidR="00DD6ABF">
        <w:rPr>
          <w:rFonts w:cs="Times New Roman"/>
          <w:szCs w:val="24"/>
        </w:rPr>
        <w:t>and</w:t>
      </w:r>
      <w:r w:rsidR="005A43A0">
        <w:rPr>
          <w:rFonts w:cs="Times New Roman"/>
          <w:szCs w:val="24"/>
        </w:rPr>
        <w:t>,</w:t>
      </w:r>
      <w:r w:rsidR="00DD6ABF">
        <w:rPr>
          <w:rFonts w:cs="Times New Roman"/>
          <w:szCs w:val="24"/>
        </w:rPr>
        <w:t xml:space="preserve"> </w:t>
      </w:r>
      <w:r w:rsidR="007B3DBB">
        <w:rPr>
          <w:rFonts w:cs="Times New Roman"/>
          <w:szCs w:val="24"/>
        </w:rPr>
        <w:t>following the transfer</w:t>
      </w:r>
      <w:r w:rsidR="005A43A0">
        <w:rPr>
          <w:rFonts w:cs="Times New Roman"/>
          <w:szCs w:val="24"/>
        </w:rPr>
        <w:t>,</w:t>
      </w:r>
      <w:r w:rsidR="007B3DBB">
        <w:rPr>
          <w:rFonts w:cs="Times New Roman"/>
          <w:szCs w:val="24"/>
        </w:rPr>
        <w:t xml:space="preserve"> </w:t>
      </w:r>
      <w:r w:rsidR="00DD6ABF">
        <w:rPr>
          <w:rFonts w:cs="Times New Roman"/>
          <w:szCs w:val="24"/>
        </w:rPr>
        <w:t xml:space="preserve">Ballynagran Landfill Limited </w:t>
      </w:r>
      <w:r w:rsidR="007B3DBB">
        <w:rPr>
          <w:rFonts w:cs="Times New Roman"/>
          <w:szCs w:val="24"/>
        </w:rPr>
        <w:t>was</w:t>
      </w:r>
      <w:r w:rsidR="00DD6ABF">
        <w:rPr>
          <w:rFonts w:cs="Times New Roman"/>
          <w:szCs w:val="24"/>
        </w:rPr>
        <w:t xml:space="preserve"> joined as a defendant in those proceedings. A copy of the Amended Statement of Claim in those proceedings was provided to the Court.</w:t>
      </w:r>
      <w:r w:rsidR="007B3DBB">
        <w:rPr>
          <w:rFonts w:cs="Times New Roman"/>
          <w:szCs w:val="24"/>
        </w:rPr>
        <w:t xml:space="preserve"> According to the Plaintiff, a full defence has been delivered by Greenstar Properties Limited denying any liability to him and asserting that it is under no contractual duty to make royalty payments or to transfer the Ballynagran Lands back </w:t>
      </w:r>
      <w:r w:rsidR="007B3DBB">
        <w:rPr>
          <w:rFonts w:cs="Times New Roman"/>
          <w:szCs w:val="24"/>
        </w:rPr>
        <w:lastRenderedPageBreak/>
        <w:t>to the Plaintiff pursuant to the Second Option.</w:t>
      </w:r>
      <w:r w:rsidR="001D1F36">
        <w:rPr>
          <w:rFonts w:cs="Times New Roman"/>
          <w:szCs w:val="24"/>
        </w:rPr>
        <w:t xml:space="preserve"> It appears that the Plaintiff has also issued separate proceedings against Greenstar South East Limited and Mr Carson</w:t>
      </w:r>
      <w:r w:rsidR="007F297A">
        <w:rPr>
          <w:rFonts w:cs="Times New Roman"/>
          <w:szCs w:val="24"/>
        </w:rPr>
        <w:t>. T</w:t>
      </w:r>
      <w:r w:rsidR="001D1F36">
        <w:rPr>
          <w:rFonts w:cs="Times New Roman"/>
          <w:szCs w:val="24"/>
        </w:rPr>
        <w:t xml:space="preserve">he nature of </w:t>
      </w:r>
      <w:r w:rsidR="007F297A">
        <w:rPr>
          <w:rFonts w:cs="Times New Roman"/>
          <w:szCs w:val="24"/>
        </w:rPr>
        <w:t>those</w:t>
      </w:r>
      <w:r w:rsidR="001D1F36">
        <w:rPr>
          <w:rFonts w:cs="Times New Roman"/>
          <w:szCs w:val="24"/>
        </w:rPr>
        <w:t xml:space="preserve"> </w:t>
      </w:r>
      <w:r w:rsidR="007F297A">
        <w:rPr>
          <w:rFonts w:cs="Times New Roman"/>
          <w:szCs w:val="24"/>
        </w:rPr>
        <w:t xml:space="preserve">proceedings </w:t>
      </w:r>
      <w:r w:rsidR="001D1F36">
        <w:rPr>
          <w:rFonts w:cs="Times New Roman"/>
          <w:szCs w:val="24"/>
        </w:rPr>
        <w:t xml:space="preserve">is </w:t>
      </w:r>
      <w:r w:rsidR="007846CC">
        <w:rPr>
          <w:rFonts w:cs="Times New Roman"/>
          <w:szCs w:val="24"/>
        </w:rPr>
        <w:t>unclear.</w:t>
      </w:r>
    </w:p>
    <w:p w14:paraId="780040A0" w14:textId="77777777" w:rsidR="008A7DD7" w:rsidRDefault="008A7DD7" w:rsidP="008A7DD7">
      <w:pPr>
        <w:pStyle w:val="ListParagraph"/>
        <w:spacing w:line="480" w:lineRule="auto"/>
        <w:rPr>
          <w:rFonts w:cs="Times New Roman"/>
          <w:szCs w:val="24"/>
        </w:rPr>
      </w:pPr>
    </w:p>
    <w:p w14:paraId="3CBC420C" w14:textId="77777777" w:rsidR="008A7DD7" w:rsidRDefault="00120CCE" w:rsidP="0017030B">
      <w:pPr>
        <w:pStyle w:val="ListParagraph"/>
        <w:numPr>
          <w:ilvl w:val="0"/>
          <w:numId w:val="1"/>
        </w:numPr>
        <w:spacing w:line="480" w:lineRule="auto"/>
        <w:ind w:hanging="720"/>
        <w:rPr>
          <w:rFonts w:cs="Times New Roman"/>
          <w:szCs w:val="24"/>
        </w:rPr>
      </w:pPr>
      <w:r>
        <w:rPr>
          <w:rFonts w:cs="Times New Roman"/>
          <w:szCs w:val="24"/>
        </w:rPr>
        <w:t xml:space="preserve">It is not </w:t>
      </w:r>
      <w:r w:rsidR="009066C5">
        <w:rPr>
          <w:rFonts w:cs="Times New Roman"/>
          <w:szCs w:val="24"/>
        </w:rPr>
        <w:t>apparent</w:t>
      </w:r>
      <w:r>
        <w:rPr>
          <w:rFonts w:cs="Times New Roman"/>
          <w:szCs w:val="24"/>
        </w:rPr>
        <w:t xml:space="preserve"> from the</w:t>
      </w:r>
      <w:r w:rsidR="007F1D44">
        <w:rPr>
          <w:rFonts w:cs="Times New Roman"/>
          <w:szCs w:val="24"/>
        </w:rPr>
        <w:t xml:space="preserve"> material provided to </w:t>
      </w:r>
      <w:r w:rsidR="008A7DD7">
        <w:rPr>
          <w:rFonts w:cs="Times New Roman"/>
          <w:szCs w:val="24"/>
        </w:rPr>
        <w:t xml:space="preserve">the Court </w:t>
      </w:r>
      <w:r w:rsidR="007F1D44">
        <w:rPr>
          <w:rFonts w:cs="Times New Roman"/>
          <w:szCs w:val="24"/>
        </w:rPr>
        <w:t xml:space="preserve">whether </w:t>
      </w:r>
      <w:r w:rsidR="008A7DD7">
        <w:rPr>
          <w:rFonts w:cs="Times New Roman"/>
          <w:szCs w:val="24"/>
        </w:rPr>
        <w:t>Ballynagran Landfill Limited continue</w:t>
      </w:r>
      <w:r w:rsidR="00625BDC">
        <w:rPr>
          <w:rFonts w:cs="Times New Roman"/>
          <w:szCs w:val="24"/>
        </w:rPr>
        <w:t>s</w:t>
      </w:r>
      <w:r w:rsidR="008A7DD7">
        <w:rPr>
          <w:rFonts w:cs="Times New Roman"/>
          <w:szCs w:val="24"/>
        </w:rPr>
        <w:t xml:space="preserve"> </w:t>
      </w:r>
      <w:r w:rsidR="007F1D44">
        <w:rPr>
          <w:rFonts w:cs="Times New Roman"/>
          <w:szCs w:val="24"/>
        </w:rPr>
        <w:t xml:space="preserve">to own the Ballynagran Lands and/or </w:t>
      </w:r>
      <w:r w:rsidR="008A7DD7">
        <w:rPr>
          <w:rFonts w:cs="Times New Roman"/>
          <w:szCs w:val="24"/>
        </w:rPr>
        <w:t xml:space="preserve">to operate a landfill </w:t>
      </w:r>
      <w:r w:rsidR="007F1D44">
        <w:rPr>
          <w:rFonts w:cs="Times New Roman"/>
          <w:szCs w:val="24"/>
        </w:rPr>
        <w:t>there.</w:t>
      </w:r>
    </w:p>
    <w:p w14:paraId="1D3E8D05" w14:textId="77777777" w:rsidR="00DD6ABF" w:rsidRDefault="00DD6ABF" w:rsidP="00DD6ABF">
      <w:pPr>
        <w:pStyle w:val="ListParagraph"/>
        <w:spacing w:line="480" w:lineRule="auto"/>
        <w:rPr>
          <w:rFonts w:cs="Times New Roman"/>
          <w:szCs w:val="24"/>
        </w:rPr>
      </w:pPr>
    </w:p>
    <w:p w14:paraId="03B4B750" w14:textId="77777777" w:rsidR="00DD6ABF" w:rsidRDefault="002140F5" w:rsidP="0017030B">
      <w:pPr>
        <w:pStyle w:val="ListParagraph"/>
        <w:numPr>
          <w:ilvl w:val="0"/>
          <w:numId w:val="1"/>
        </w:numPr>
        <w:spacing w:line="480" w:lineRule="auto"/>
        <w:ind w:hanging="720"/>
        <w:rPr>
          <w:rFonts w:cs="Times New Roman"/>
          <w:szCs w:val="24"/>
        </w:rPr>
      </w:pPr>
      <w:r>
        <w:rPr>
          <w:rFonts w:cs="Times New Roman"/>
          <w:szCs w:val="24"/>
        </w:rPr>
        <w:t xml:space="preserve">In September 2013 the Plaintiff issued proceedings for negligence and breach of contract against </w:t>
      </w:r>
      <w:r w:rsidR="009066C5">
        <w:rPr>
          <w:rFonts w:cs="Times New Roman"/>
          <w:szCs w:val="24"/>
        </w:rPr>
        <w:t xml:space="preserve">Matheson. </w:t>
      </w:r>
      <w:r>
        <w:rPr>
          <w:rFonts w:cs="Times New Roman"/>
          <w:szCs w:val="24"/>
        </w:rPr>
        <w:t>Matheson had a</w:t>
      </w:r>
      <w:r w:rsidR="006F0AD3">
        <w:rPr>
          <w:rFonts w:cs="Times New Roman"/>
          <w:szCs w:val="24"/>
        </w:rPr>
        <w:t xml:space="preserve">cted as the Plaintiff’s solicitors in relation to the negotiation of the two Options in 2000 and the sale of the Ballynagran Lands in 2005. </w:t>
      </w:r>
    </w:p>
    <w:p w14:paraId="46E917E8" w14:textId="77777777" w:rsidR="006F0AD3" w:rsidRDefault="006F0AD3" w:rsidP="006F0AD3">
      <w:pPr>
        <w:pStyle w:val="ListParagraph"/>
        <w:spacing w:line="480" w:lineRule="auto"/>
        <w:rPr>
          <w:rFonts w:cs="Times New Roman"/>
          <w:szCs w:val="24"/>
        </w:rPr>
      </w:pPr>
    </w:p>
    <w:p w14:paraId="774700AF" w14:textId="77777777" w:rsidR="006F0AD3" w:rsidRDefault="007B3DBB" w:rsidP="0017030B">
      <w:pPr>
        <w:pStyle w:val="ListParagraph"/>
        <w:numPr>
          <w:ilvl w:val="0"/>
          <w:numId w:val="1"/>
        </w:numPr>
        <w:spacing w:line="480" w:lineRule="auto"/>
        <w:ind w:hanging="720"/>
        <w:rPr>
          <w:rFonts w:cs="Times New Roman"/>
          <w:szCs w:val="24"/>
        </w:rPr>
      </w:pPr>
      <w:r>
        <w:rPr>
          <w:rFonts w:cs="Times New Roman"/>
          <w:szCs w:val="24"/>
        </w:rPr>
        <w:t xml:space="preserve">The Plaintiff’s </w:t>
      </w:r>
      <w:r w:rsidR="002140F5">
        <w:rPr>
          <w:rFonts w:cs="Times New Roman"/>
          <w:szCs w:val="24"/>
        </w:rPr>
        <w:t xml:space="preserve">Statement of Claim </w:t>
      </w:r>
      <w:r w:rsidR="00120CCE">
        <w:rPr>
          <w:rFonts w:cs="Times New Roman"/>
          <w:szCs w:val="24"/>
        </w:rPr>
        <w:t>(</w:t>
      </w:r>
      <w:r w:rsidR="002140F5">
        <w:rPr>
          <w:rFonts w:cs="Times New Roman"/>
          <w:szCs w:val="24"/>
        </w:rPr>
        <w:t>delivered on 11 February 2015</w:t>
      </w:r>
      <w:r w:rsidR="00120CCE">
        <w:rPr>
          <w:rFonts w:cs="Times New Roman"/>
          <w:szCs w:val="24"/>
        </w:rPr>
        <w:t>)</w:t>
      </w:r>
      <w:r>
        <w:rPr>
          <w:rFonts w:cs="Times New Roman"/>
          <w:szCs w:val="24"/>
        </w:rPr>
        <w:t xml:space="preserve"> sets out in some detail the alleged negligence of Matheson. </w:t>
      </w:r>
      <w:r w:rsidR="007820A5">
        <w:rPr>
          <w:rFonts w:cs="Times New Roman"/>
          <w:szCs w:val="24"/>
        </w:rPr>
        <w:t xml:space="preserve">According to the Plaintiff, Matheson should have advised him not to sign the contract of sale with Greenstar Properties Limited. However, the Plaintiff’s fundamental </w:t>
      </w:r>
      <w:r>
        <w:rPr>
          <w:rFonts w:cs="Times New Roman"/>
          <w:szCs w:val="24"/>
        </w:rPr>
        <w:t xml:space="preserve">complaint </w:t>
      </w:r>
      <w:r w:rsidR="007820A5">
        <w:rPr>
          <w:rFonts w:cs="Times New Roman"/>
          <w:szCs w:val="24"/>
        </w:rPr>
        <w:t xml:space="preserve">is that Matheson failed to ensure that the obligations undertaken by Greenstar Holdings Limited under the First and Second Options were binding on Greenstar Properties Limited and failed to ensure that there was an adequate mechanism for enforcing those obligations against Greenstar Properties Limited. The Plaintiff says that </w:t>
      </w:r>
      <w:r w:rsidR="00662666">
        <w:rPr>
          <w:rFonts w:cs="Times New Roman"/>
          <w:szCs w:val="24"/>
        </w:rPr>
        <w:t>provision should have been made for the registration of his right to a royalty payment and/or his option to re-acquire the Ballynagran Lands as a burden in the Land Registry.</w:t>
      </w:r>
      <w:r w:rsidR="00221048">
        <w:rPr>
          <w:rStyle w:val="FootnoteReference"/>
          <w:rFonts w:cs="Times New Roman"/>
          <w:szCs w:val="24"/>
        </w:rPr>
        <w:footnoteReference w:id="4"/>
      </w:r>
      <w:r w:rsidR="00662666">
        <w:rPr>
          <w:rFonts w:cs="Times New Roman"/>
          <w:szCs w:val="24"/>
        </w:rPr>
        <w:t xml:space="preserve"> Alternatively, a charge should </w:t>
      </w:r>
      <w:r w:rsidR="00662666">
        <w:rPr>
          <w:rFonts w:cs="Times New Roman"/>
          <w:szCs w:val="24"/>
        </w:rPr>
        <w:lastRenderedPageBreak/>
        <w:t>have been executed by Greenstar Holdings Limited and/or Greenstar Properties Limited and registered as a burden or inhibition on the folios at the time of the transfer from the Plaintiff. It is also said that Matheson failed to ensure that “</w:t>
      </w:r>
      <w:r w:rsidR="00662666" w:rsidRPr="00662666">
        <w:rPr>
          <w:rFonts w:cs="Times New Roman"/>
          <w:i/>
          <w:szCs w:val="24"/>
        </w:rPr>
        <w:t>the contracts</w:t>
      </w:r>
      <w:r w:rsidR="00662666">
        <w:rPr>
          <w:rFonts w:cs="Times New Roman"/>
          <w:szCs w:val="24"/>
        </w:rPr>
        <w:t>” contained any adequate protection for the Plaintiff in the event that Greenstar Holdings Limited went into receivership or liquidation.</w:t>
      </w:r>
    </w:p>
    <w:p w14:paraId="79F23EDE" w14:textId="77777777" w:rsidR="002D6490" w:rsidRDefault="002D6490" w:rsidP="002D6490">
      <w:pPr>
        <w:pStyle w:val="ListParagraph"/>
        <w:spacing w:line="480" w:lineRule="auto"/>
        <w:rPr>
          <w:rFonts w:cs="Times New Roman"/>
          <w:szCs w:val="24"/>
        </w:rPr>
      </w:pPr>
    </w:p>
    <w:p w14:paraId="5D62D03E" w14:textId="77777777" w:rsidR="002D6490" w:rsidRDefault="002D6490" w:rsidP="0017030B">
      <w:pPr>
        <w:pStyle w:val="ListParagraph"/>
        <w:numPr>
          <w:ilvl w:val="0"/>
          <w:numId w:val="1"/>
        </w:numPr>
        <w:spacing w:line="480" w:lineRule="auto"/>
        <w:ind w:hanging="720"/>
        <w:rPr>
          <w:rFonts w:cs="Times New Roman"/>
          <w:szCs w:val="24"/>
        </w:rPr>
      </w:pPr>
      <w:r>
        <w:rPr>
          <w:rFonts w:cs="Times New Roman"/>
          <w:szCs w:val="24"/>
        </w:rPr>
        <w:t>As a result of the Matheson’s negligence and breach of duty</w:t>
      </w:r>
      <w:r w:rsidR="00E73F18">
        <w:rPr>
          <w:rFonts w:cs="Times New Roman"/>
          <w:szCs w:val="24"/>
        </w:rPr>
        <w:t xml:space="preserve"> (so </w:t>
      </w:r>
      <w:r>
        <w:rPr>
          <w:rFonts w:cs="Times New Roman"/>
          <w:szCs w:val="24"/>
        </w:rPr>
        <w:t>it is pleaded</w:t>
      </w:r>
      <w:r w:rsidR="00E73F18">
        <w:rPr>
          <w:rFonts w:cs="Times New Roman"/>
          <w:szCs w:val="24"/>
        </w:rPr>
        <w:t>)</w:t>
      </w:r>
      <w:r>
        <w:rPr>
          <w:rFonts w:cs="Times New Roman"/>
          <w:szCs w:val="24"/>
        </w:rPr>
        <w:t xml:space="preserve">, </w:t>
      </w:r>
      <w:r w:rsidR="00950190">
        <w:rPr>
          <w:rFonts w:cs="Times New Roman"/>
          <w:szCs w:val="24"/>
        </w:rPr>
        <w:t>the Plaintiff suffered loss, damage, inconvenience and expense. The Statement of Claim identifies  value of royalty payment, loss of interest, value of lands (buy-back) and costs in the proceedings against Greenstar Properties Limited as items of loss and damage in this context, with the quantum of loss “</w:t>
      </w:r>
      <w:r w:rsidR="00950190" w:rsidRPr="00950190">
        <w:rPr>
          <w:rFonts w:cs="Times New Roman"/>
          <w:i/>
          <w:szCs w:val="24"/>
        </w:rPr>
        <w:t>to be ascertained”</w:t>
      </w:r>
      <w:r w:rsidR="00950190">
        <w:rPr>
          <w:rFonts w:cs="Times New Roman"/>
          <w:szCs w:val="24"/>
        </w:rPr>
        <w:t xml:space="preserve"> in every case.</w:t>
      </w:r>
    </w:p>
    <w:p w14:paraId="32DBD5A2" w14:textId="77777777" w:rsidR="00662666" w:rsidRDefault="00662666" w:rsidP="00662666">
      <w:pPr>
        <w:pStyle w:val="ListParagraph"/>
        <w:spacing w:line="480" w:lineRule="auto"/>
        <w:rPr>
          <w:rFonts w:cs="Times New Roman"/>
          <w:szCs w:val="24"/>
        </w:rPr>
      </w:pPr>
    </w:p>
    <w:p w14:paraId="369F6C0A" w14:textId="77777777" w:rsidR="00662666" w:rsidRDefault="0015055F" w:rsidP="0017030B">
      <w:pPr>
        <w:pStyle w:val="ListParagraph"/>
        <w:numPr>
          <w:ilvl w:val="0"/>
          <w:numId w:val="1"/>
        </w:numPr>
        <w:spacing w:line="480" w:lineRule="auto"/>
        <w:ind w:hanging="720"/>
        <w:rPr>
          <w:rFonts w:cs="Times New Roman"/>
          <w:szCs w:val="24"/>
        </w:rPr>
      </w:pPr>
      <w:r>
        <w:rPr>
          <w:rFonts w:cs="Times New Roman"/>
          <w:szCs w:val="24"/>
        </w:rPr>
        <w:lastRenderedPageBreak/>
        <w:t xml:space="preserve">Matheson’s Defence traverses </w:t>
      </w:r>
      <w:r w:rsidR="002D6490">
        <w:rPr>
          <w:rFonts w:cs="Times New Roman"/>
          <w:szCs w:val="24"/>
        </w:rPr>
        <w:t xml:space="preserve">virtually </w:t>
      </w:r>
      <w:r>
        <w:rPr>
          <w:rFonts w:cs="Times New Roman"/>
          <w:szCs w:val="24"/>
        </w:rPr>
        <w:t>every aspect of the Plaintiff</w:t>
      </w:r>
      <w:r w:rsidR="002D6490">
        <w:rPr>
          <w:rFonts w:cs="Times New Roman"/>
          <w:szCs w:val="24"/>
        </w:rPr>
        <w:t>’s claim, including the fact of their retainer on his behalf. It also denies the fact of the Options. For present purposes, however, it is the plea in paragraph 1 to the effect that the Plaintiff’s claim is statute-barred that is most significant</w:t>
      </w:r>
      <w:r w:rsidR="00950190">
        <w:rPr>
          <w:rFonts w:cs="Times New Roman"/>
          <w:szCs w:val="24"/>
        </w:rPr>
        <w:t>.</w:t>
      </w:r>
    </w:p>
    <w:p w14:paraId="1D007A5A" w14:textId="77777777" w:rsidR="00A97F78" w:rsidRDefault="00A97F78">
      <w:pPr>
        <w:widowControl/>
        <w:spacing w:after="160" w:line="259" w:lineRule="auto"/>
        <w:jc w:val="left"/>
        <w:rPr>
          <w:rFonts w:cs="Times New Roman"/>
          <w:szCs w:val="24"/>
        </w:rPr>
      </w:pPr>
      <w:r>
        <w:rPr>
          <w:rFonts w:cs="Times New Roman"/>
          <w:szCs w:val="24"/>
        </w:rPr>
        <w:br w:type="page"/>
      </w:r>
    </w:p>
    <w:p w14:paraId="36628372" w14:textId="77777777" w:rsidR="00950190" w:rsidRDefault="00950190" w:rsidP="00950190">
      <w:pPr>
        <w:pStyle w:val="ListParagraph"/>
        <w:spacing w:line="480" w:lineRule="auto"/>
        <w:rPr>
          <w:rFonts w:cs="Times New Roman"/>
          <w:szCs w:val="24"/>
        </w:rPr>
      </w:pPr>
    </w:p>
    <w:p w14:paraId="7C598174" w14:textId="77777777" w:rsidR="00950190" w:rsidRPr="00950190" w:rsidRDefault="00950190" w:rsidP="00950190">
      <w:pPr>
        <w:spacing w:line="480" w:lineRule="auto"/>
        <w:contextualSpacing/>
        <w:jc w:val="center"/>
        <w:rPr>
          <w:rFonts w:cs="Times New Roman"/>
          <w:b/>
          <w:szCs w:val="24"/>
        </w:rPr>
      </w:pPr>
      <w:r w:rsidRPr="00950190">
        <w:rPr>
          <w:rFonts w:cs="Times New Roman"/>
          <w:b/>
          <w:szCs w:val="24"/>
        </w:rPr>
        <w:t>MOTION AND HIGH COURT DECISION</w:t>
      </w:r>
    </w:p>
    <w:p w14:paraId="10C84591" w14:textId="77777777" w:rsidR="00950190" w:rsidRDefault="00950190" w:rsidP="00950190">
      <w:pPr>
        <w:pStyle w:val="ListParagraph"/>
        <w:spacing w:line="480" w:lineRule="auto"/>
        <w:rPr>
          <w:rFonts w:cs="Times New Roman"/>
          <w:szCs w:val="24"/>
        </w:rPr>
      </w:pPr>
    </w:p>
    <w:p w14:paraId="6E217A0E" w14:textId="77777777" w:rsidR="00445FC9" w:rsidRDefault="00EE5C51" w:rsidP="00445FC9">
      <w:pPr>
        <w:pStyle w:val="ListParagraph"/>
        <w:numPr>
          <w:ilvl w:val="0"/>
          <w:numId w:val="1"/>
        </w:numPr>
        <w:spacing w:line="480" w:lineRule="auto"/>
        <w:ind w:hanging="720"/>
        <w:rPr>
          <w:rFonts w:cs="Times New Roman"/>
          <w:szCs w:val="24"/>
        </w:rPr>
      </w:pPr>
      <w:r>
        <w:rPr>
          <w:rFonts w:cs="Times New Roman"/>
          <w:szCs w:val="24"/>
        </w:rPr>
        <w:t xml:space="preserve">On 23 June 2017 Matheson issued a motion seeking an order </w:t>
      </w:r>
      <w:r w:rsidR="00271669">
        <w:rPr>
          <w:rFonts w:cs="Times New Roman"/>
          <w:szCs w:val="24"/>
        </w:rPr>
        <w:t>pursuant to Order 25 RSC directing the trial of a preliminary issue as to whether the Plaintiff’s</w:t>
      </w:r>
      <w:r w:rsidR="00063849">
        <w:rPr>
          <w:rFonts w:cs="Times New Roman"/>
          <w:szCs w:val="24"/>
        </w:rPr>
        <w:t xml:space="preserve"> claim</w:t>
      </w:r>
      <w:r w:rsidR="00271669">
        <w:rPr>
          <w:rFonts w:cs="Times New Roman"/>
          <w:szCs w:val="24"/>
        </w:rPr>
        <w:t xml:space="preserve"> is </w:t>
      </w:r>
      <w:r w:rsidR="00961247">
        <w:rPr>
          <w:rFonts w:cs="Times New Roman"/>
          <w:szCs w:val="24"/>
        </w:rPr>
        <w:t>statute-</w:t>
      </w:r>
      <w:r w:rsidR="00271669">
        <w:rPr>
          <w:rFonts w:cs="Times New Roman"/>
          <w:szCs w:val="24"/>
        </w:rPr>
        <w:t xml:space="preserve">barred. </w:t>
      </w:r>
      <w:r w:rsidR="00961247">
        <w:rPr>
          <w:rFonts w:cs="Times New Roman"/>
          <w:szCs w:val="24"/>
        </w:rPr>
        <w:t>At that point</w:t>
      </w:r>
      <w:r w:rsidR="00A95FAE">
        <w:rPr>
          <w:rFonts w:cs="Times New Roman"/>
          <w:szCs w:val="24"/>
        </w:rPr>
        <w:t xml:space="preserve"> the </w:t>
      </w:r>
      <w:r w:rsidR="00063849">
        <w:rPr>
          <w:rFonts w:cs="Times New Roman"/>
          <w:szCs w:val="24"/>
        </w:rPr>
        <w:t xml:space="preserve">pleadings were closed and </w:t>
      </w:r>
      <w:r w:rsidR="00A95FAE">
        <w:rPr>
          <w:rFonts w:cs="Times New Roman"/>
          <w:szCs w:val="24"/>
        </w:rPr>
        <w:t xml:space="preserve">discovery </w:t>
      </w:r>
      <w:r w:rsidR="00063849">
        <w:rPr>
          <w:rFonts w:cs="Times New Roman"/>
          <w:szCs w:val="24"/>
        </w:rPr>
        <w:t>had</w:t>
      </w:r>
      <w:r w:rsidR="00A95FAE">
        <w:rPr>
          <w:rFonts w:cs="Times New Roman"/>
          <w:szCs w:val="24"/>
        </w:rPr>
        <w:t xml:space="preserve"> been made</w:t>
      </w:r>
      <w:r w:rsidR="00063849">
        <w:rPr>
          <w:rFonts w:cs="Times New Roman"/>
          <w:szCs w:val="24"/>
        </w:rPr>
        <w:t xml:space="preserve">. </w:t>
      </w:r>
      <w:r w:rsidR="00271669">
        <w:rPr>
          <w:rFonts w:cs="Times New Roman"/>
          <w:szCs w:val="24"/>
        </w:rPr>
        <w:t>The motion was grounded on an affidavit sworn by Paul Glenfield, described as Matheson’s “</w:t>
      </w:r>
      <w:r w:rsidR="00271669" w:rsidRPr="00271669">
        <w:rPr>
          <w:rFonts w:cs="Times New Roman"/>
          <w:i/>
          <w:szCs w:val="24"/>
        </w:rPr>
        <w:t>general counsel</w:t>
      </w:r>
      <w:r w:rsidR="00271669">
        <w:rPr>
          <w:rFonts w:cs="Times New Roman"/>
          <w:szCs w:val="24"/>
        </w:rPr>
        <w:t xml:space="preserve">”. </w:t>
      </w:r>
      <w:r w:rsidR="000C7466">
        <w:rPr>
          <w:rFonts w:cs="Times New Roman"/>
          <w:szCs w:val="24"/>
        </w:rPr>
        <w:t xml:space="preserve">Mr Glenfield does not appear to have had any direct involvement in Matheson’s dealings with the Plaintiff. In his affidavit, he </w:t>
      </w:r>
      <w:r w:rsidR="00271669">
        <w:rPr>
          <w:rFonts w:cs="Times New Roman"/>
          <w:szCs w:val="24"/>
        </w:rPr>
        <w:t>set</w:t>
      </w:r>
      <w:r w:rsidR="007846CC">
        <w:rPr>
          <w:rFonts w:cs="Times New Roman"/>
          <w:szCs w:val="24"/>
        </w:rPr>
        <w:t>s</w:t>
      </w:r>
      <w:r w:rsidR="00271669">
        <w:rPr>
          <w:rFonts w:cs="Times New Roman"/>
          <w:szCs w:val="24"/>
        </w:rPr>
        <w:t xml:space="preserve"> out a version of the facts as already narrated (though, as the Plaintiff later observed, he remained </w:t>
      </w:r>
      <w:r w:rsidR="00271669" w:rsidRPr="00271669">
        <w:rPr>
          <w:rFonts w:cs="Times New Roman"/>
          <w:i/>
          <w:szCs w:val="24"/>
        </w:rPr>
        <w:t>“notably silent”</w:t>
      </w:r>
      <w:r w:rsidR="00271669">
        <w:rPr>
          <w:rFonts w:cs="Times New Roman"/>
          <w:szCs w:val="24"/>
        </w:rPr>
        <w:t xml:space="preserve">  on the issue of whether Matheson had picked up on the fact that the contract for sale involved </w:t>
      </w:r>
      <w:r w:rsidR="00FB2D7D">
        <w:rPr>
          <w:rFonts w:cs="Times New Roman"/>
          <w:szCs w:val="24"/>
        </w:rPr>
        <w:t xml:space="preserve">a </w:t>
      </w:r>
      <w:r w:rsidR="00271669">
        <w:rPr>
          <w:rFonts w:cs="Times New Roman"/>
          <w:szCs w:val="24"/>
        </w:rPr>
        <w:t>new company</w:t>
      </w:r>
      <w:r w:rsidR="00D32C10">
        <w:rPr>
          <w:rFonts w:cs="Times New Roman"/>
          <w:szCs w:val="24"/>
        </w:rPr>
        <w:t xml:space="preserve"> as purchaser</w:t>
      </w:r>
      <w:r w:rsidR="00271669">
        <w:rPr>
          <w:rFonts w:cs="Times New Roman"/>
          <w:szCs w:val="24"/>
        </w:rPr>
        <w:t>). Notwithstanding the pleading in the Defence, Mr Glenfield d</w:t>
      </w:r>
      <w:r w:rsidR="007846CC">
        <w:rPr>
          <w:rFonts w:cs="Times New Roman"/>
          <w:szCs w:val="24"/>
        </w:rPr>
        <w:t>oes</w:t>
      </w:r>
      <w:r w:rsidR="00271669">
        <w:rPr>
          <w:rFonts w:cs="Times New Roman"/>
          <w:szCs w:val="24"/>
        </w:rPr>
        <w:t xml:space="preserve"> not dispute that Matheson had in fact been retained by the Plaintiff. </w:t>
      </w:r>
      <w:r w:rsidR="007846CC">
        <w:rPr>
          <w:rFonts w:cs="Times New Roman"/>
          <w:szCs w:val="24"/>
        </w:rPr>
        <w:t xml:space="preserve"> He notes that the Plaintiff’s claim relates to advices provided in 2000 and 2005. He says that any alleged cause of action in relation to the advice given in 2000 became statute barred on 23 November 2006. As regards the “</w:t>
      </w:r>
      <w:r w:rsidR="007846CC" w:rsidRPr="007846CC">
        <w:rPr>
          <w:rFonts w:cs="Times New Roman"/>
          <w:i/>
          <w:szCs w:val="24"/>
        </w:rPr>
        <w:t>second engagement</w:t>
      </w:r>
      <w:r w:rsidR="007846CC">
        <w:rPr>
          <w:rFonts w:cs="Times New Roman"/>
          <w:szCs w:val="24"/>
        </w:rPr>
        <w:t>” in relation to the exercise of the First Option, Mr Glenfield asserts that on the basis of the matters pleaded by the Plaintiff, his loss – “</w:t>
      </w:r>
      <w:r w:rsidR="007846CC" w:rsidRPr="007846CC">
        <w:rPr>
          <w:rFonts w:cs="Times New Roman"/>
          <w:i/>
          <w:szCs w:val="24"/>
        </w:rPr>
        <w:t>if any</w:t>
      </w:r>
      <w:r w:rsidR="007846CC">
        <w:rPr>
          <w:rFonts w:cs="Times New Roman"/>
          <w:szCs w:val="24"/>
        </w:rPr>
        <w:t>” – was “</w:t>
      </w:r>
      <w:r w:rsidR="007846CC" w:rsidRPr="007846CC">
        <w:rPr>
          <w:rFonts w:cs="Times New Roman"/>
          <w:i/>
          <w:szCs w:val="24"/>
        </w:rPr>
        <w:t>complete</w:t>
      </w:r>
      <w:r w:rsidR="007846CC">
        <w:rPr>
          <w:rFonts w:cs="Times New Roman"/>
          <w:szCs w:val="24"/>
        </w:rPr>
        <w:t>” as at 29 September 2005 when Greenstar Properties Limited became registered as full owner of the Ballynagran Lands.  As and from that date, Greenstar Holdings Limited did “</w:t>
      </w:r>
      <w:r w:rsidR="007846CC" w:rsidRPr="00445FC9">
        <w:rPr>
          <w:rFonts w:cs="Times New Roman"/>
          <w:i/>
          <w:szCs w:val="24"/>
        </w:rPr>
        <w:t xml:space="preserve">not have the necessary interest in the Lands to perform the option if called upon by the Plaintiff to do so [and] The Plaintiff did not have an option which identified GPL as party obliged to re-convey </w:t>
      </w:r>
      <w:r w:rsidR="00445FC9" w:rsidRPr="00445FC9">
        <w:rPr>
          <w:rFonts w:cs="Times New Roman"/>
          <w:i/>
          <w:szCs w:val="24"/>
        </w:rPr>
        <w:t>the Lands”</w:t>
      </w:r>
      <w:r w:rsidR="007846CC" w:rsidRPr="00445FC9">
        <w:rPr>
          <w:rFonts w:cs="Times New Roman"/>
          <w:i/>
          <w:szCs w:val="24"/>
        </w:rPr>
        <w:t xml:space="preserve"> </w:t>
      </w:r>
      <w:r w:rsidR="00445FC9">
        <w:rPr>
          <w:rFonts w:cs="Times New Roman"/>
          <w:i/>
          <w:szCs w:val="24"/>
        </w:rPr>
        <w:t xml:space="preserve"> </w:t>
      </w:r>
      <w:r w:rsidR="00445FC9">
        <w:rPr>
          <w:rFonts w:cs="Times New Roman"/>
          <w:szCs w:val="24"/>
        </w:rPr>
        <w:t>(para 2</w:t>
      </w:r>
      <w:r w:rsidR="00063849">
        <w:rPr>
          <w:rFonts w:cs="Times New Roman"/>
          <w:szCs w:val="24"/>
        </w:rPr>
        <w:t>5</w:t>
      </w:r>
      <w:r w:rsidR="00445FC9">
        <w:rPr>
          <w:rFonts w:cs="Times New Roman"/>
          <w:szCs w:val="24"/>
        </w:rPr>
        <w:t>). On that basis, according to Mr Glenfield, any claim arising from the 2005 advice became statute barred on 28 September 2011</w:t>
      </w:r>
      <w:r w:rsidR="0057305F">
        <w:rPr>
          <w:rFonts w:cs="Times New Roman"/>
          <w:szCs w:val="24"/>
        </w:rPr>
        <w:t>.</w:t>
      </w:r>
    </w:p>
    <w:p w14:paraId="155455A3" w14:textId="77777777" w:rsidR="00445FC9" w:rsidRDefault="00445FC9" w:rsidP="00445FC9">
      <w:pPr>
        <w:pStyle w:val="ListParagraph"/>
        <w:spacing w:line="480" w:lineRule="auto"/>
        <w:rPr>
          <w:rFonts w:cs="Times New Roman"/>
          <w:szCs w:val="24"/>
        </w:rPr>
      </w:pPr>
    </w:p>
    <w:p w14:paraId="5F660D14" w14:textId="77777777" w:rsidR="00445FC9" w:rsidRDefault="00445FC9" w:rsidP="00445FC9">
      <w:pPr>
        <w:pStyle w:val="ListParagraph"/>
        <w:numPr>
          <w:ilvl w:val="0"/>
          <w:numId w:val="1"/>
        </w:numPr>
        <w:spacing w:line="480" w:lineRule="auto"/>
        <w:ind w:hanging="720"/>
        <w:rPr>
          <w:rFonts w:cs="Times New Roman"/>
          <w:szCs w:val="24"/>
        </w:rPr>
      </w:pPr>
      <w:r w:rsidRPr="00445FC9">
        <w:rPr>
          <w:rFonts w:cs="Times New Roman"/>
          <w:szCs w:val="24"/>
        </w:rPr>
        <w:t xml:space="preserve">Mr Glenfield’s analysis </w:t>
      </w:r>
      <w:r w:rsidR="00063849">
        <w:rPr>
          <w:rFonts w:cs="Times New Roman"/>
          <w:szCs w:val="24"/>
        </w:rPr>
        <w:t xml:space="preserve">is disputed by the </w:t>
      </w:r>
      <w:r w:rsidRPr="00445FC9">
        <w:rPr>
          <w:rFonts w:cs="Times New Roman"/>
          <w:szCs w:val="24"/>
        </w:rPr>
        <w:t>Plaintiff</w:t>
      </w:r>
      <w:r>
        <w:rPr>
          <w:rFonts w:cs="Times New Roman"/>
          <w:szCs w:val="24"/>
        </w:rPr>
        <w:t xml:space="preserve">. In </w:t>
      </w:r>
      <w:r w:rsidR="00063849">
        <w:rPr>
          <w:rFonts w:cs="Times New Roman"/>
          <w:szCs w:val="24"/>
        </w:rPr>
        <w:t xml:space="preserve">his </w:t>
      </w:r>
      <w:r>
        <w:rPr>
          <w:rFonts w:cs="Times New Roman"/>
          <w:szCs w:val="24"/>
        </w:rPr>
        <w:t xml:space="preserve">replying affidavit, </w:t>
      </w:r>
      <w:r w:rsidR="00063849">
        <w:rPr>
          <w:rFonts w:cs="Times New Roman"/>
          <w:szCs w:val="24"/>
        </w:rPr>
        <w:t>he</w:t>
      </w:r>
      <w:r>
        <w:rPr>
          <w:rFonts w:cs="Times New Roman"/>
          <w:szCs w:val="24"/>
        </w:rPr>
        <w:t xml:space="preserve"> expresses disappointment that Matheson had </w:t>
      </w:r>
      <w:r w:rsidR="000C7466">
        <w:rPr>
          <w:rFonts w:cs="Times New Roman"/>
          <w:szCs w:val="24"/>
        </w:rPr>
        <w:t>n</w:t>
      </w:r>
      <w:r>
        <w:rPr>
          <w:rFonts w:cs="Times New Roman"/>
          <w:szCs w:val="24"/>
        </w:rPr>
        <w:t>ot “</w:t>
      </w:r>
      <w:r w:rsidRPr="000C7466">
        <w:rPr>
          <w:rFonts w:cs="Times New Roman"/>
          <w:i/>
          <w:szCs w:val="24"/>
        </w:rPr>
        <w:t>set out in evidence to the Court what transpired and what resulted in GPL taking the transfer</w:t>
      </w:r>
      <w:r w:rsidR="000C7466">
        <w:rPr>
          <w:rFonts w:cs="Times New Roman"/>
          <w:i/>
          <w:szCs w:val="24"/>
        </w:rPr>
        <w:t xml:space="preserve">” </w:t>
      </w:r>
      <w:r w:rsidR="000C7466">
        <w:rPr>
          <w:rFonts w:cs="Times New Roman"/>
          <w:szCs w:val="24"/>
        </w:rPr>
        <w:t xml:space="preserve">and </w:t>
      </w:r>
      <w:r w:rsidR="00063849">
        <w:rPr>
          <w:rFonts w:cs="Times New Roman"/>
          <w:szCs w:val="24"/>
        </w:rPr>
        <w:t>states his b</w:t>
      </w:r>
      <w:r w:rsidR="000C7466">
        <w:rPr>
          <w:rFonts w:cs="Times New Roman"/>
          <w:szCs w:val="24"/>
        </w:rPr>
        <w:t>elief that the change of purchaser was not picked up by Matheson,  as</w:t>
      </w:r>
      <w:r w:rsidR="00063849">
        <w:rPr>
          <w:rFonts w:cs="Times New Roman"/>
          <w:szCs w:val="24"/>
        </w:rPr>
        <w:t xml:space="preserve"> he says</w:t>
      </w:r>
      <w:r w:rsidR="000C7466">
        <w:rPr>
          <w:rFonts w:cs="Times New Roman"/>
          <w:szCs w:val="24"/>
        </w:rPr>
        <w:t xml:space="preserve"> it should have been. If it was picked up – so the Plaintiff says – Matheson ought to have drawn it to his attention and advised him of the legal consequences of it. As to the issue of whether the proceedings are statute-barred, the Plaintiff maintains that he first suffered loss and damage </w:t>
      </w:r>
      <w:r w:rsidR="008A7DD7">
        <w:rPr>
          <w:rFonts w:cs="Times New Roman"/>
          <w:szCs w:val="24"/>
        </w:rPr>
        <w:t>only in August 2012 “</w:t>
      </w:r>
      <w:r w:rsidR="008A7DD7" w:rsidRPr="008A7DD7">
        <w:rPr>
          <w:rFonts w:cs="Times New Roman"/>
          <w:i/>
          <w:szCs w:val="24"/>
        </w:rPr>
        <w:t>when Greenstar refused to pay the royalty payment”</w:t>
      </w:r>
      <w:r w:rsidR="00625BDC">
        <w:rPr>
          <w:rFonts w:cs="Times New Roman"/>
          <w:i/>
          <w:szCs w:val="24"/>
        </w:rPr>
        <w:t xml:space="preserve">: </w:t>
      </w:r>
      <w:r w:rsidR="00625BDC">
        <w:rPr>
          <w:rFonts w:cs="Times New Roman"/>
          <w:szCs w:val="24"/>
        </w:rPr>
        <w:t>u</w:t>
      </w:r>
      <w:r w:rsidR="008A7DD7">
        <w:rPr>
          <w:rFonts w:cs="Times New Roman"/>
          <w:szCs w:val="24"/>
        </w:rPr>
        <w:t xml:space="preserve">p to that point, </w:t>
      </w:r>
      <w:r w:rsidR="00625BDC">
        <w:rPr>
          <w:rFonts w:cs="Times New Roman"/>
          <w:szCs w:val="24"/>
        </w:rPr>
        <w:t>he says</w:t>
      </w:r>
      <w:r w:rsidR="002D7C44">
        <w:rPr>
          <w:rFonts w:cs="Times New Roman"/>
          <w:szCs w:val="24"/>
        </w:rPr>
        <w:t>,</w:t>
      </w:r>
      <w:r w:rsidR="00625BDC">
        <w:rPr>
          <w:rFonts w:cs="Times New Roman"/>
          <w:szCs w:val="24"/>
        </w:rPr>
        <w:t xml:space="preserve"> </w:t>
      </w:r>
      <w:r w:rsidR="008A7DD7">
        <w:rPr>
          <w:rFonts w:cs="Times New Roman"/>
          <w:szCs w:val="24"/>
        </w:rPr>
        <w:t xml:space="preserve">all royalty payments had been made and he had not suffered any loss or damage. </w:t>
      </w:r>
    </w:p>
    <w:p w14:paraId="6910A150" w14:textId="77777777" w:rsidR="00063849" w:rsidRPr="00445FC9" w:rsidRDefault="00063849" w:rsidP="00063849">
      <w:pPr>
        <w:pStyle w:val="ListParagraph"/>
        <w:spacing w:line="480" w:lineRule="auto"/>
        <w:rPr>
          <w:rFonts w:cs="Times New Roman"/>
          <w:szCs w:val="24"/>
        </w:rPr>
      </w:pPr>
    </w:p>
    <w:p w14:paraId="3E096D3A" w14:textId="77777777" w:rsidR="00A95FAE" w:rsidRDefault="00A95FAE" w:rsidP="0017030B">
      <w:pPr>
        <w:pStyle w:val="ListParagraph"/>
        <w:numPr>
          <w:ilvl w:val="0"/>
          <w:numId w:val="1"/>
        </w:numPr>
        <w:spacing w:line="480" w:lineRule="auto"/>
        <w:ind w:hanging="720"/>
        <w:rPr>
          <w:rFonts w:cs="Times New Roman"/>
          <w:szCs w:val="24"/>
        </w:rPr>
      </w:pPr>
      <w:r>
        <w:rPr>
          <w:rFonts w:cs="Times New Roman"/>
          <w:szCs w:val="24"/>
        </w:rPr>
        <w:t xml:space="preserve">A further affidavit was sworn by the First Defendant on behalf of Matheson but </w:t>
      </w:r>
      <w:r w:rsidR="00A5405F">
        <w:rPr>
          <w:rFonts w:cs="Times New Roman"/>
          <w:szCs w:val="24"/>
        </w:rPr>
        <w:t xml:space="preserve">it says </w:t>
      </w:r>
      <w:r>
        <w:rPr>
          <w:rFonts w:cs="Times New Roman"/>
          <w:szCs w:val="24"/>
        </w:rPr>
        <w:t>n</w:t>
      </w:r>
      <w:r w:rsidR="00063849">
        <w:rPr>
          <w:rFonts w:cs="Times New Roman"/>
          <w:szCs w:val="24"/>
        </w:rPr>
        <w:t>o</w:t>
      </w:r>
      <w:r>
        <w:rPr>
          <w:rFonts w:cs="Times New Roman"/>
          <w:szCs w:val="24"/>
        </w:rPr>
        <w:t>thing of substance</w:t>
      </w:r>
      <w:r w:rsidR="00A5405F">
        <w:rPr>
          <w:rFonts w:cs="Times New Roman"/>
          <w:szCs w:val="24"/>
        </w:rPr>
        <w:t>.</w:t>
      </w:r>
    </w:p>
    <w:p w14:paraId="0AB02AE2" w14:textId="77777777" w:rsidR="00A95FAE" w:rsidRDefault="00A95FAE" w:rsidP="00A95FAE">
      <w:pPr>
        <w:pStyle w:val="ListParagraph"/>
        <w:spacing w:line="480" w:lineRule="auto"/>
        <w:rPr>
          <w:rFonts w:cs="Times New Roman"/>
          <w:szCs w:val="24"/>
        </w:rPr>
      </w:pPr>
    </w:p>
    <w:p w14:paraId="2369C74B" w14:textId="77777777" w:rsidR="00445FC9" w:rsidRDefault="00625BDC" w:rsidP="0017030B">
      <w:pPr>
        <w:pStyle w:val="ListParagraph"/>
        <w:numPr>
          <w:ilvl w:val="0"/>
          <w:numId w:val="1"/>
        </w:numPr>
        <w:spacing w:line="480" w:lineRule="auto"/>
        <w:ind w:hanging="720"/>
        <w:rPr>
          <w:rFonts w:cs="Times New Roman"/>
          <w:szCs w:val="24"/>
        </w:rPr>
      </w:pPr>
      <w:r>
        <w:rPr>
          <w:rFonts w:cs="Times New Roman"/>
          <w:szCs w:val="24"/>
        </w:rPr>
        <w:t xml:space="preserve">The motion came on before the Judge </w:t>
      </w:r>
      <w:r w:rsidR="00A95FAE">
        <w:rPr>
          <w:rFonts w:cs="Times New Roman"/>
          <w:szCs w:val="24"/>
        </w:rPr>
        <w:t xml:space="preserve">in July 2019. </w:t>
      </w:r>
      <w:r w:rsidR="00063849">
        <w:rPr>
          <w:rFonts w:cs="Times New Roman"/>
          <w:szCs w:val="24"/>
        </w:rPr>
        <w:t>Despite the fact that</w:t>
      </w:r>
      <w:r w:rsidR="00A95FAE">
        <w:rPr>
          <w:rFonts w:cs="Times New Roman"/>
          <w:szCs w:val="24"/>
        </w:rPr>
        <w:t xml:space="preserve"> the only relief sought in the notice of motion was an order directing the trial of a preliminary issue on </w:t>
      </w:r>
      <w:r w:rsidR="00051084">
        <w:rPr>
          <w:rFonts w:cs="Times New Roman"/>
          <w:szCs w:val="24"/>
        </w:rPr>
        <w:t xml:space="preserve">the statute, the hearing appears to have proceeded as </w:t>
      </w:r>
      <w:r w:rsidR="00063849">
        <w:rPr>
          <w:rFonts w:cs="Times New Roman"/>
          <w:szCs w:val="24"/>
        </w:rPr>
        <w:t>though</w:t>
      </w:r>
      <w:r w:rsidR="00051084">
        <w:rPr>
          <w:rFonts w:cs="Times New Roman"/>
          <w:szCs w:val="24"/>
        </w:rPr>
        <w:t xml:space="preserve"> that issue was before the Court for determination.</w:t>
      </w:r>
      <w:r w:rsidR="0086476E">
        <w:rPr>
          <w:rFonts w:cs="Times New Roman"/>
          <w:szCs w:val="24"/>
        </w:rPr>
        <w:t xml:space="preserve"> That </w:t>
      </w:r>
      <w:r w:rsidR="00307F72">
        <w:rPr>
          <w:rFonts w:cs="Times New Roman"/>
          <w:szCs w:val="24"/>
        </w:rPr>
        <w:t>may</w:t>
      </w:r>
      <w:r w:rsidR="0086476E">
        <w:rPr>
          <w:rFonts w:cs="Times New Roman"/>
          <w:szCs w:val="24"/>
        </w:rPr>
        <w:t xml:space="preserve"> explain why there is no agreed statement of facts. </w:t>
      </w:r>
      <w:r w:rsidR="00307F72">
        <w:rPr>
          <w:rFonts w:cs="Times New Roman"/>
          <w:szCs w:val="24"/>
        </w:rPr>
        <w:t xml:space="preserve">The Judge was, however, </w:t>
      </w:r>
      <w:r w:rsidR="00221048">
        <w:rPr>
          <w:rFonts w:cs="Times New Roman"/>
          <w:szCs w:val="24"/>
        </w:rPr>
        <w:t>content to proceed on the basis of the facts as pleaded in the Plaintiff’s Statement</w:t>
      </w:r>
      <w:r w:rsidR="00963469">
        <w:rPr>
          <w:rFonts w:cs="Times New Roman"/>
          <w:szCs w:val="24"/>
        </w:rPr>
        <w:t xml:space="preserve"> of Claim.</w:t>
      </w:r>
      <w:r w:rsidR="00221048">
        <w:rPr>
          <w:rFonts w:cs="Times New Roman"/>
          <w:szCs w:val="24"/>
        </w:rPr>
        <w:t xml:space="preserve"> </w:t>
      </w:r>
    </w:p>
    <w:p w14:paraId="2C0F3BA6" w14:textId="77777777" w:rsidR="00051084" w:rsidRDefault="00051084" w:rsidP="00051084">
      <w:pPr>
        <w:pStyle w:val="ListParagraph"/>
        <w:spacing w:line="480" w:lineRule="auto"/>
        <w:rPr>
          <w:rFonts w:cs="Times New Roman"/>
          <w:szCs w:val="24"/>
        </w:rPr>
      </w:pPr>
    </w:p>
    <w:p w14:paraId="5F701A02" w14:textId="77777777" w:rsidR="00A87587" w:rsidRDefault="00BF05C6" w:rsidP="00A87587">
      <w:pPr>
        <w:pStyle w:val="ListParagraph"/>
        <w:numPr>
          <w:ilvl w:val="0"/>
          <w:numId w:val="1"/>
        </w:numPr>
        <w:spacing w:line="480" w:lineRule="auto"/>
        <w:ind w:hanging="720"/>
        <w:rPr>
          <w:rFonts w:cs="Times New Roman"/>
          <w:szCs w:val="24"/>
        </w:rPr>
      </w:pPr>
      <w:r>
        <w:rPr>
          <w:rFonts w:cs="Times New Roman"/>
          <w:szCs w:val="24"/>
        </w:rPr>
        <w:t xml:space="preserve">For the reasons set out in her judgment, the Judge concluded that the Plaintiff’s claim is statute-barred. In her view, the Plaintiff had suffered loss immediately on the </w:t>
      </w:r>
      <w:r>
        <w:rPr>
          <w:rFonts w:cs="Times New Roman"/>
          <w:szCs w:val="24"/>
        </w:rPr>
        <w:lastRenderedPageBreak/>
        <w:t>conclusion of the 2005 tr</w:t>
      </w:r>
      <w:r w:rsidR="00EB37F4">
        <w:rPr>
          <w:rFonts w:cs="Times New Roman"/>
          <w:szCs w:val="24"/>
        </w:rPr>
        <w:t xml:space="preserve">ansaction and could at that point have </w:t>
      </w:r>
      <w:r w:rsidR="00095D47">
        <w:rPr>
          <w:rFonts w:cs="Times New Roman"/>
          <w:szCs w:val="24"/>
        </w:rPr>
        <w:t xml:space="preserve">proceeded with </w:t>
      </w:r>
      <w:r w:rsidR="004009F4">
        <w:rPr>
          <w:rFonts w:cs="Times New Roman"/>
          <w:szCs w:val="24"/>
        </w:rPr>
        <w:t>an action against Matheson in respect of (a) the loss of a right to enforce the payment of royalties and (b) the loss of a right to exercise the option to buy back the 102 acres property (the Ballynagran Lands). That loss or damage was, in the Judge’s view, not the</w:t>
      </w:r>
      <w:r w:rsidR="004009F4" w:rsidRPr="00A87587">
        <w:rPr>
          <w:rFonts w:cs="Times New Roman"/>
          <w:i/>
          <w:szCs w:val="24"/>
        </w:rPr>
        <w:t xml:space="preserve"> “mere possibility of loss</w:t>
      </w:r>
      <w:r w:rsidR="004009F4">
        <w:rPr>
          <w:rFonts w:cs="Times New Roman"/>
          <w:szCs w:val="24"/>
        </w:rPr>
        <w:t xml:space="preserve">” but rather amounted to actual, </w:t>
      </w:r>
      <w:r w:rsidR="004009F4" w:rsidRPr="004009F4">
        <w:rPr>
          <w:rFonts w:cs="Times New Roman"/>
          <w:szCs w:val="24"/>
        </w:rPr>
        <w:t>if unquantifiable, loss</w:t>
      </w:r>
      <w:r w:rsidR="004009F4">
        <w:rPr>
          <w:rFonts w:cs="Times New Roman"/>
          <w:szCs w:val="24"/>
        </w:rPr>
        <w:t xml:space="preserve"> (para 30(2))</w:t>
      </w:r>
      <w:r w:rsidR="0081354F">
        <w:rPr>
          <w:rFonts w:cs="Times New Roman"/>
          <w:szCs w:val="24"/>
        </w:rPr>
        <w:t>.</w:t>
      </w:r>
    </w:p>
    <w:p w14:paraId="6AA29C3C" w14:textId="77777777" w:rsidR="00A87587" w:rsidRDefault="00A87587" w:rsidP="00A87587">
      <w:pPr>
        <w:pStyle w:val="ListParagraph"/>
        <w:spacing w:line="480" w:lineRule="auto"/>
        <w:rPr>
          <w:rFonts w:cs="Times New Roman"/>
          <w:szCs w:val="24"/>
        </w:rPr>
      </w:pPr>
    </w:p>
    <w:p w14:paraId="7B509E02" w14:textId="77777777" w:rsidR="00A87587" w:rsidRDefault="00A87587" w:rsidP="00A87587">
      <w:pPr>
        <w:pStyle w:val="ListParagraph"/>
        <w:numPr>
          <w:ilvl w:val="0"/>
          <w:numId w:val="1"/>
        </w:numPr>
        <w:spacing w:line="480" w:lineRule="auto"/>
        <w:ind w:hanging="720"/>
        <w:rPr>
          <w:rFonts w:cs="Times New Roman"/>
          <w:szCs w:val="24"/>
        </w:rPr>
      </w:pPr>
      <w:r>
        <w:rPr>
          <w:rFonts w:cs="Times New Roman"/>
          <w:szCs w:val="24"/>
        </w:rPr>
        <w:t>The Judge was satisfied that</w:t>
      </w:r>
      <w:r w:rsidRPr="00A87587">
        <w:rPr>
          <w:rFonts w:cs="Times New Roman"/>
          <w:szCs w:val="24"/>
        </w:rPr>
        <w:t xml:space="preserve"> </w:t>
      </w:r>
      <w:r>
        <w:rPr>
          <w:rFonts w:cs="Times New Roman"/>
          <w:szCs w:val="24"/>
        </w:rPr>
        <w:t xml:space="preserve">the Supreme Court’s decision in </w:t>
      </w:r>
      <w:r w:rsidRPr="00D15993">
        <w:rPr>
          <w:rFonts w:cs="Times New Roman"/>
          <w:i/>
          <w:szCs w:val="24"/>
        </w:rPr>
        <w:t>Gallagher v ACC Bank plc</w:t>
      </w:r>
      <w:r>
        <w:rPr>
          <w:rFonts w:cs="Times New Roman"/>
          <w:i/>
          <w:szCs w:val="24"/>
        </w:rPr>
        <w:t xml:space="preserve"> </w:t>
      </w:r>
      <w:r>
        <w:rPr>
          <w:rFonts w:cs="Times New Roman"/>
          <w:szCs w:val="24"/>
        </w:rPr>
        <w:t>[2012] IESC 35, [2012] 2 IR 620</w:t>
      </w:r>
      <w:r>
        <w:rPr>
          <w:rFonts w:cs="Times New Roman"/>
          <w:i/>
          <w:szCs w:val="24"/>
        </w:rPr>
        <w:t xml:space="preserve"> </w:t>
      </w:r>
      <w:r>
        <w:rPr>
          <w:rFonts w:cs="Times New Roman"/>
          <w:szCs w:val="24"/>
        </w:rPr>
        <w:t>(“</w:t>
      </w:r>
      <w:r w:rsidRPr="00242AB1">
        <w:rPr>
          <w:rFonts w:cs="Times New Roman"/>
          <w:i/>
          <w:szCs w:val="24"/>
        </w:rPr>
        <w:t>Gallagher</w:t>
      </w:r>
      <w:r>
        <w:rPr>
          <w:rFonts w:cs="Times New Roman"/>
          <w:szCs w:val="24"/>
        </w:rPr>
        <w:t xml:space="preserve">”) remained the relevant jurisprudence in </w:t>
      </w:r>
      <w:r w:rsidR="00A5405F">
        <w:rPr>
          <w:rFonts w:cs="Times New Roman"/>
          <w:szCs w:val="24"/>
        </w:rPr>
        <w:t xml:space="preserve">cases of </w:t>
      </w:r>
      <w:r>
        <w:rPr>
          <w:rFonts w:cs="Times New Roman"/>
          <w:szCs w:val="24"/>
        </w:rPr>
        <w:t xml:space="preserve">economic loss. While the Plaintiff had relied on the subsequent decision of that Court in </w:t>
      </w:r>
      <w:r w:rsidRPr="00746147">
        <w:rPr>
          <w:rFonts w:cs="Times New Roman"/>
          <w:i/>
          <w:szCs w:val="24"/>
        </w:rPr>
        <w:t>Brandley v Deane</w:t>
      </w:r>
      <w:r w:rsidRPr="00746147">
        <w:rPr>
          <w:rFonts w:cs="Times New Roman"/>
          <w:szCs w:val="24"/>
        </w:rPr>
        <w:t xml:space="preserve"> </w:t>
      </w:r>
      <w:r>
        <w:t xml:space="preserve">[2017] IESC </w:t>
      </w:r>
      <w:r w:rsidR="000B32BB">
        <w:t>83</w:t>
      </w:r>
      <w:r>
        <w:t>, [2018] 2 IR 741 (“</w:t>
      </w:r>
      <w:r w:rsidRPr="00593EF6">
        <w:rPr>
          <w:i/>
        </w:rPr>
        <w:t>Brandley</w:t>
      </w:r>
      <w:r>
        <w:t>”)</w:t>
      </w:r>
      <w:r>
        <w:rPr>
          <w:rFonts w:cs="Times New Roman"/>
          <w:szCs w:val="24"/>
        </w:rPr>
        <w:t xml:space="preserve">, it is evident that the Judge did not consider it to be relevant where the claim was one for financial loss rather than property damage. However, even if she was incorrect in that regard, the Judge considered that loss and damage was manifest in 2005, in that it was then capable of being discovered and being proved and the fact that the Plaintiff may not have any actual knowledge </w:t>
      </w:r>
      <w:r w:rsidR="00B56CD2">
        <w:rPr>
          <w:rFonts w:cs="Times New Roman"/>
          <w:szCs w:val="24"/>
        </w:rPr>
        <w:t xml:space="preserve">of any negligence </w:t>
      </w:r>
      <w:r w:rsidR="00A5405F">
        <w:rPr>
          <w:rFonts w:cs="Times New Roman"/>
          <w:szCs w:val="24"/>
        </w:rPr>
        <w:t>at that point</w:t>
      </w:r>
      <w:r w:rsidR="00B56CD2">
        <w:rPr>
          <w:rFonts w:cs="Times New Roman"/>
          <w:szCs w:val="24"/>
        </w:rPr>
        <w:t xml:space="preserve"> was “</w:t>
      </w:r>
      <w:r w:rsidR="00B56CD2" w:rsidRPr="00063849">
        <w:rPr>
          <w:rFonts w:cs="Times New Roman"/>
          <w:i/>
          <w:szCs w:val="24"/>
        </w:rPr>
        <w:t>immaterial</w:t>
      </w:r>
      <w:r w:rsidR="00B56CD2">
        <w:rPr>
          <w:rFonts w:cs="Times New Roman"/>
          <w:szCs w:val="24"/>
        </w:rPr>
        <w:t>” to the accrual of the cause of action (para 30(5)).</w:t>
      </w:r>
    </w:p>
    <w:p w14:paraId="5ECAA85D" w14:textId="77777777" w:rsidR="00063849" w:rsidRDefault="00063849" w:rsidP="00063849">
      <w:pPr>
        <w:pStyle w:val="ListParagraph"/>
        <w:spacing w:line="480" w:lineRule="auto"/>
        <w:rPr>
          <w:rFonts w:cs="Times New Roman"/>
          <w:szCs w:val="24"/>
        </w:rPr>
      </w:pPr>
    </w:p>
    <w:p w14:paraId="1FA9D885" w14:textId="77777777" w:rsidR="00063849" w:rsidRDefault="00063849" w:rsidP="00A87587">
      <w:pPr>
        <w:pStyle w:val="ListParagraph"/>
        <w:numPr>
          <w:ilvl w:val="0"/>
          <w:numId w:val="1"/>
        </w:numPr>
        <w:spacing w:line="480" w:lineRule="auto"/>
        <w:ind w:hanging="720"/>
        <w:rPr>
          <w:rFonts w:cs="Times New Roman"/>
          <w:szCs w:val="24"/>
        </w:rPr>
      </w:pPr>
      <w:r>
        <w:rPr>
          <w:rFonts w:cs="Times New Roman"/>
          <w:szCs w:val="24"/>
        </w:rPr>
        <w:t>The Judge noted that both parties had adopted the position that the First and Second Options were part of “</w:t>
      </w:r>
      <w:r w:rsidRPr="00063849">
        <w:rPr>
          <w:rFonts w:cs="Times New Roman"/>
          <w:i/>
          <w:szCs w:val="24"/>
        </w:rPr>
        <w:t>an integrated transaction</w:t>
      </w:r>
      <w:r w:rsidR="00EE67AF">
        <w:rPr>
          <w:rFonts w:cs="Times New Roman"/>
          <w:szCs w:val="24"/>
        </w:rPr>
        <w:t>”, observing that this was consistent with the fact that, when payment of the royalty payments ceased, the Plaintiff had issued proceedings not just in relation to the non-payment but also in relation to the non-availability of the buy-back option (para 30(1)). This issue assumed considerable importance in argument before this Court and it will be necessary to consider it further</w:t>
      </w:r>
      <w:r w:rsidR="00316B9D">
        <w:rPr>
          <w:rFonts w:cs="Times New Roman"/>
          <w:szCs w:val="24"/>
        </w:rPr>
        <w:t xml:space="preserve"> </w:t>
      </w:r>
      <w:r w:rsidR="00F429B5">
        <w:rPr>
          <w:rFonts w:cs="Times New Roman"/>
          <w:szCs w:val="24"/>
        </w:rPr>
        <w:t>in the context of considering the so-called “</w:t>
      </w:r>
      <w:r w:rsidR="00F429B5" w:rsidRPr="00F429B5">
        <w:rPr>
          <w:rFonts w:cs="Times New Roman"/>
          <w:i/>
          <w:szCs w:val="24"/>
        </w:rPr>
        <w:t>single action rule</w:t>
      </w:r>
      <w:r w:rsidR="00120CCE">
        <w:rPr>
          <w:rFonts w:cs="Times New Roman"/>
          <w:i/>
          <w:szCs w:val="24"/>
        </w:rPr>
        <w:t>.</w:t>
      </w:r>
      <w:r w:rsidR="00F429B5" w:rsidRPr="00F429B5">
        <w:rPr>
          <w:rFonts w:cs="Times New Roman"/>
          <w:i/>
          <w:szCs w:val="24"/>
        </w:rPr>
        <w:t>”</w:t>
      </w:r>
      <w:r w:rsidR="00F429B5">
        <w:rPr>
          <w:rFonts w:cs="Times New Roman"/>
          <w:szCs w:val="24"/>
        </w:rPr>
        <w:t xml:space="preserve"> </w:t>
      </w:r>
    </w:p>
    <w:p w14:paraId="51E42CE6" w14:textId="77777777" w:rsidR="00B56CD2" w:rsidRDefault="00B56CD2" w:rsidP="00B56CD2">
      <w:pPr>
        <w:pStyle w:val="ListParagraph"/>
        <w:spacing w:line="480" w:lineRule="auto"/>
        <w:rPr>
          <w:rFonts w:cs="Times New Roman"/>
          <w:szCs w:val="24"/>
        </w:rPr>
      </w:pPr>
    </w:p>
    <w:p w14:paraId="399B5171" w14:textId="77777777" w:rsidR="00221048" w:rsidRDefault="00B56CD2" w:rsidP="00221048">
      <w:pPr>
        <w:pStyle w:val="ListParagraph"/>
        <w:numPr>
          <w:ilvl w:val="0"/>
          <w:numId w:val="1"/>
        </w:numPr>
        <w:spacing w:line="480" w:lineRule="auto"/>
        <w:ind w:hanging="720"/>
        <w:rPr>
          <w:rFonts w:cs="Times New Roman"/>
          <w:szCs w:val="24"/>
        </w:rPr>
      </w:pPr>
      <w:r>
        <w:rPr>
          <w:rFonts w:cs="Times New Roman"/>
          <w:szCs w:val="24"/>
        </w:rPr>
        <w:t>A number of authorities from England and Wales were opened in submission and they were the subject of considerable debate but the Judge was satisfied that it was possible to resolve the issue without reference to them (para 19).</w:t>
      </w:r>
    </w:p>
    <w:p w14:paraId="16902662" w14:textId="77777777" w:rsidR="00816A08" w:rsidRDefault="00816A08">
      <w:pPr>
        <w:widowControl/>
        <w:spacing w:after="160" w:line="259" w:lineRule="auto"/>
        <w:jc w:val="left"/>
        <w:rPr>
          <w:rFonts w:cs="Times New Roman"/>
          <w:szCs w:val="24"/>
        </w:rPr>
      </w:pPr>
      <w:r>
        <w:rPr>
          <w:rFonts w:cs="Times New Roman"/>
          <w:szCs w:val="24"/>
        </w:rPr>
        <w:br w:type="page"/>
      </w:r>
    </w:p>
    <w:p w14:paraId="331D3846" w14:textId="77777777" w:rsidR="00816A08" w:rsidRPr="00816A08" w:rsidRDefault="00816A08" w:rsidP="00816A08">
      <w:pPr>
        <w:pStyle w:val="ListParagraph"/>
        <w:spacing w:line="480" w:lineRule="auto"/>
        <w:rPr>
          <w:rFonts w:cs="Times New Roman"/>
          <w:szCs w:val="24"/>
        </w:rPr>
      </w:pPr>
    </w:p>
    <w:p w14:paraId="03049187" w14:textId="77777777" w:rsidR="00221048" w:rsidRPr="00221048" w:rsidRDefault="00221048" w:rsidP="00221048">
      <w:pPr>
        <w:pStyle w:val="ListParagraph"/>
        <w:spacing w:line="480" w:lineRule="auto"/>
        <w:ind w:left="0"/>
        <w:jc w:val="center"/>
        <w:rPr>
          <w:rFonts w:cs="Times New Roman"/>
          <w:b/>
          <w:szCs w:val="24"/>
        </w:rPr>
      </w:pPr>
      <w:r w:rsidRPr="00221048">
        <w:rPr>
          <w:rFonts w:cs="Times New Roman"/>
          <w:b/>
          <w:szCs w:val="24"/>
        </w:rPr>
        <w:t>THE APPEAL</w:t>
      </w:r>
    </w:p>
    <w:p w14:paraId="614F8F14" w14:textId="77777777" w:rsidR="00221048" w:rsidRDefault="00221048" w:rsidP="00221048">
      <w:pPr>
        <w:pStyle w:val="ListParagraph"/>
        <w:spacing w:line="480" w:lineRule="auto"/>
        <w:rPr>
          <w:rFonts w:cs="Times New Roman"/>
          <w:szCs w:val="24"/>
        </w:rPr>
      </w:pPr>
    </w:p>
    <w:p w14:paraId="4430E475" w14:textId="77777777" w:rsidR="00E9202F" w:rsidRDefault="00907641" w:rsidP="00E9202F">
      <w:pPr>
        <w:pStyle w:val="ListParagraph"/>
        <w:numPr>
          <w:ilvl w:val="0"/>
          <w:numId w:val="1"/>
        </w:numPr>
        <w:spacing w:line="480" w:lineRule="auto"/>
        <w:ind w:hanging="720"/>
        <w:rPr>
          <w:rFonts w:cs="Times New Roman"/>
          <w:szCs w:val="24"/>
        </w:rPr>
      </w:pPr>
      <w:r>
        <w:rPr>
          <w:rFonts w:cs="Times New Roman"/>
          <w:szCs w:val="24"/>
        </w:rPr>
        <w:t xml:space="preserve">The Plaintiff says that the Judge erred in holding as she did. As regards the royalty payments, the Judge was wrong to suggest that the Plaintiff had suffered the loss of the right to enforce the royalty payments in 2005. </w:t>
      </w:r>
      <w:r w:rsidR="00B15A2A">
        <w:rPr>
          <w:rFonts w:cs="Times New Roman"/>
          <w:szCs w:val="24"/>
        </w:rPr>
        <w:t>The contractual right to royalty payments remained and was being honoured, with substantial payments – in excess of €1 million in total – being made for 2010 and 2011. There was – so the Plaintiff says – “</w:t>
      </w:r>
      <w:r w:rsidR="00B15A2A" w:rsidRPr="00B15A2A">
        <w:rPr>
          <w:rFonts w:cs="Times New Roman"/>
          <w:i/>
          <w:szCs w:val="24"/>
        </w:rPr>
        <w:t>an air of complete unreality and artificialness”</w:t>
      </w:r>
      <w:r w:rsidR="00B15A2A">
        <w:rPr>
          <w:rFonts w:cs="Times New Roman"/>
          <w:szCs w:val="24"/>
        </w:rPr>
        <w:t xml:space="preserve"> in the suggestion that he should have sued Matheson for loss of royalty payments prior the appointment of the receiver and the non-payment of royalties triggered by it. Any such claim would have been met with the argument that it was premature given that no loss had actually occurred at that point and any future loss was entirely contingent. To hold that the Plaintiff’s loss occurred in 2005 was </w:t>
      </w:r>
      <w:r w:rsidR="00E9202F">
        <w:rPr>
          <w:rFonts w:cs="Times New Roman"/>
          <w:szCs w:val="24"/>
        </w:rPr>
        <w:t xml:space="preserve">to follow the logic of cases such as </w:t>
      </w:r>
      <w:r w:rsidR="00E9202F" w:rsidRPr="00E9202F">
        <w:rPr>
          <w:rFonts w:cs="Times New Roman"/>
          <w:i/>
          <w:szCs w:val="24"/>
        </w:rPr>
        <w:t>DW Moore &amp; Co v Ferrier</w:t>
      </w:r>
      <w:r w:rsidR="00E9202F">
        <w:rPr>
          <w:rFonts w:cs="Times New Roman"/>
          <w:szCs w:val="24"/>
        </w:rPr>
        <w:t xml:space="preserve"> [1988] 1 WLR 267, </w:t>
      </w:r>
      <w:r w:rsidR="00E9202F" w:rsidRPr="00E9202F">
        <w:rPr>
          <w:rFonts w:cs="Times New Roman"/>
          <w:i/>
          <w:szCs w:val="24"/>
        </w:rPr>
        <w:t>Bell v Peter Browne &amp; Co</w:t>
      </w:r>
      <w:r w:rsidR="00E9202F">
        <w:rPr>
          <w:rFonts w:cs="Times New Roman"/>
          <w:szCs w:val="24"/>
        </w:rPr>
        <w:t xml:space="preserve"> [199</w:t>
      </w:r>
      <w:r w:rsidR="000B32BB">
        <w:rPr>
          <w:rFonts w:cs="Times New Roman"/>
          <w:szCs w:val="24"/>
        </w:rPr>
        <w:t>0</w:t>
      </w:r>
      <w:r w:rsidR="00E9202F">
        <w:rPr>
          <w:rFonts w:cs="Times New Roman"/>
          <w:szCs w:val="24"/>
        </w:rPr>
        <w:t xml:space="preserve">] 2 QB 495 and </w:t>
      </w:r>
      <w:r w:rsidR="00E9202F" w:rsidRPr="00E9202F">
        <w:rPr>
          <w:rFonts w:cs="Times New Roman"/>
          <w:i/>
          <w:szCs w:val="24"/>
        </w:rPr>
        <w:t>Shore v Sedgwick Financial Services Ltd</w:t>
      </w:r>
      <w:r w:rsidR="00E9202F">
        <w:rPr>
          <w:rFonts w:cs="Times New Roman"/>
          <w:szCs w:val="24"/>
        </w:rPr>
        <w:t xml:space="preserve"> [2008] PNLR 37  from England and Wales which had been considered and rejected by the Supreme Court in </w:t>
      </w:r>
      <w:r w:rsidR="00E9202F" w:rsidRPr="00D15993">
        <w:rPr>
          <w:rFonts w:cs="Times New Roman"/>
          <w:i/>
          <w:szCs w:val="24"/>
        </w:rPr>
        <w:t>Gallagher v ACC Bank plc</w:t>
      </w:r>
      <w:r w:rsidR="00E9202F">
        <w:rPr>
          <w:rFonts w:cs="Times New Roman"/>
          <w:i/>
          <w:szCs w:val="24"/>
        </w:rPr>
        <w:t xml:space="preserve"> </w:t>
      </w:r>
      <w:r w:rsidR="00E9202F">
        <w:rPr>
          <w:rFonts w:cs="Times New Roman"/>
          <w:szCs w:val="24"/>
        </w:rPr>
        <w:t>[2012] IESC 35, [2012] 2 IR 620</w:t>
      </w:r>
      <w:r w:rsidR="00E9202F">
        <w:rPr>
          <w:rFonts w:cs="Times New Roman"/>
          <w:i/>
          <w:szCs w:val="24"/>
        </w:rPr>
        <w:t xml:space="preserve"> </w:t>
      </w:r>
      <w:r w:rsidR="00E9202F">
        <w:rPr>
          <w:rFonts w:cs="Times New Roman"/>
          <w:szCs w:val="24"/>
        </w:rPr>
        <w:t>(“</w:t>
      </w:r>
      <w:r w:rsidR="00E9202F" w:rsidRPr="00242AB1">
        <w:rPr>
          <w:rFonts w:cs="Times New Roman"/>
          <w:i/>
          <w:szCs w:val="24"/>
        </w:rPr>
        <w:t>Gallagher</w:t>
      </w:r>
      <w:r w:rsidR="00E9202F">
        <w:rPr>
          <w:rFonts w:cs="Times New Roman"/>
          <w:szCs w:val="24"/>
        </w:rPr>
        <w:t xml:space="preserve">”). </w:t>
      </w:r>
      <w:r w:rsidR="00E9202F" w:rsidRPr="00E9202F">
        <w:rPr>
          <w:rFonts w:cs="Times New Roman"/>
          <w:i/>
          <w:szCs w:val="24"/>
        </w:rPr>
        <w:t>Gallagher</w:t>
      </w:r>
      <w:r w:rsidR="00E9202F">
        <w:rPr>
          <w:rFonts w:cs="Times New Roman"/>
          <w:szCs w:val="24"/>
        </w:rPr>
        <w:t xml:space="preserve"> made it clear that the approach taken in those cases was not the law in this jurisdiction: the mere risk of loss does not constitute actual damage such as is required to complete the tort of negligence</w:t>
      </w:r>
      <w:r w:rsidR="00A264FD">
        <w:rPr>
          <w:rFonts w:cs="Times New Roman"/>
          <w:szCs w:val="24"/>
        </w:rPr>
        <w:t xml:space="preserve">. </w:t>
      </w:r>
    </w:p>
    <w:p w14:paraId="22B94674" w14:textId="77777777" w:rsidR="00A264FD" w:rsidRDefault="00A264FD" w:rsidP="00A264FD">
      <w:pPr>
        <w:pStyle w:val="ListParagraph"/>
        <w:spacing w:line="480" w:lineRule="auto"/>
        <w:rPr>
          <w:rFonts w:cs="Times New Roman"/>
          <w:szCs w:val="24"/>
        </w:rPr>
      </w:pPr>
    </w:p>
    <w:p w14:paraId="38D0A3D6" w14:textId="77777777" w:rsidR="00A264FD" w:rsidRDefault="00A264FD" w:rsidP="00A264FD">
      <w:pPr>
        <w:pStyle w:val="ListParagraph"/>
        <w:numPr>
          <w:ilvl w:val="0"/>
          <w:numId w:val="1"/>
        </w:numPr>
        <w:spacing w:line="480" w:lineRule="auto"/>
        <w:ind w:hanging="720"/>
        <w:rPr>
          <w:rFonts w:cs="Times New Roman"/>
          <w:szCs w:val="24"/>
        </w:rPr>
      </w:pPr>
      <w:r>
        <w:rPr>
          <w:rFonts w:cs="Times New Roman"/>
          <w:szCs w:val="24"/>
        </w:rPr>
        <w:t>Similarly, as</w:t>
      </w:r>
      <w:r w:rsidRPr="00A264FD">
        <w:rPr>
          <w:rFonts w:cs="Times New Roman"/>
          <w:szCs w:val="24"/>
        </w:rPr>
        <w:t xml:space="preserve"> regards the Second Option</w:t>
      </w:r>
      <w:r w:rsidR="002915ED">
        <w:rPr>
          <w:rFonts w:cs="Times New Roman"/>
          <w:szCs w:val="24"/>
        </w:rPr>
        <w:t xml:space="preserve"> and the effect on </w:t>
      </w:r>
      <w:r w:rsidR="008A4B9E">
        <w:rPr>
          <w:rFonts w:cs="Times New Roman"/>
          <w:szCs w:val="24"/>
        </w:rPr>
        <w:t xml:space="preserve">that option </w:t>
      </w:r>
      <w:r w:rsidR="002915ED">
        <w:rPr>
          <w:rFonts w:cs="Times New Roman"/>
          <w:szCs w:val="24"/>
        </w:rPr>
        <w:t>of the transfer in 2005,</w:t>
      </w:r>
      <w:r w:rsidRPr="00A264FD">
        <w:rPr>
          <w:rFonts w:cs="Times New Roman"/>
          <w:szCs w:val="24"/>
        </w:rPr>
        <w:t xml:space="preserve"> </w:t>
      </w:r>
      <w:r>
        <w:rPr>
          <w:rFonts w:cs="Times New Roman"/>
          <w:szCs w:val="24"/>
        </w:rPr>
        <w:t xml:space="preserve">only a potential for loss, rather than any actual loss, had arisen in 2005 when the Ballynagran Lands were transferred to Greenstar Properties Limited. </w:t>
      </w:r>
      <w:r w:rsidR="00D4496E">
        <w:rPr>
          <w:rFonts w:cs="Times New Roman"/>
          <w:szCs w:val="24"/>
        </w:rPr>
        <w:t xml:space="preserve">According to the </w:t>
      </w:r>
      <w:r w:rsidR="00D4496E">
        <w:rPr>
          <w:rFonts w:cs="Times New Roman"/>
          <w:szCs w:val="24"/>
        </w:rPr>
        <w:lastRenderedPageBreak/>
        <w:t xml:space="preserve">Plaintiff, had </w:t>
      </w:r>
      <w:r>
        <w:rPr>
          <w:rFonts w:cs="Times New Roman"/>
          <w:szCs w:val="24"/>
        </w:rPr>
        <w:t>the Determination Date occurred prior to August 2012</w:t>
      </w:r>
      <w:r w:rsidR="00D4496E">
        <w:rPr>
          <w:rFonts w:cs="Times New Roman"/>
          <w:szCs w:val="24"/>
        </w:rPr>
        <w:t xml:space="preserve"> (</w:t>
      </w:r>
      <w:r>
        <w:rPr>
          <w:rFonts w:cs="Times New Roman"/>
          <w:szCs w:val="24"/>
        </w:rPr>
        <w:t>when the Greenstar Group began to break up and a receive</w:t>
      </w:r>
      <w:r w:rsidR="00D4496E">
        <w:rPr>
          <w:rFonts w:cs="Times New Roman"/>
          <w:szCs w:val="24"/>
        </w:rPr>
        <w:t>r</w:t>
      </w:r>
      <w:r>
        <w:rPr>
          <w:rFonts w:cs="Times New Roman"/>
          <w:szCs w:val="24"/>
        </w:rPr>
        <w:t xml:space="preserve"> was appointed to Greenstar Holdings Limited</w:t>
      </w:r>
      <w:r w:rsidR="00D4496E">
        <w:rPr>
          <w:rFonts w:cs="Times New Roman"/>
          <w:szCs w:val="24"/>
        </w:rPr>
        <w:t>)</w:t>
      </w:r>
      <w:r w:rsidR="00FB2D7D">
        <w:rPr>
          <w:rFonts w:cs="Times New Roman"/>
          <w:szCs w:val="24"/>
        </w:rPr>
        <w:t>,</w:t>
      </w:r>
      <w:r>
        <w:rPr>
          <w:rFonts w:cs="Times New Roman"/>
          <w:szCs w:val="24"/>
        </w:rPr>
        <w:t xml:space="preserve"> </w:t>
      </w:r>
      <w:r w:rsidR="00D4496E">
        <w:rPr>
          <w:rFonts w:cs="Times New Roman"/>
          <w:szCs w:val="24"/>
        </w:rPr>
        <w:t>Greenstar Holdings Limited would have been in a</w:t>
      </w:r>
      <w:r>
        <w:rPr>
          <w:rFonts w:cs="Times New Roman"/>
          <w:szCs w:val="24"/>
        </w:rPr>
        <w:t xml:space="preserve"> position to ensure the transfer of the Lands back to the Plaintiff and would have done so. </w:t>
      </w:r>
      <w:r w:rsidR="00FE1BD0">
        <w:rPr>
          <w:rFonts w:cs="Times New Roman"/>
          <w:szCs w:val="24"/>
        </w:rPr>
        <w:t xml:space="preserve">Actual loss only occurred in 2012 when Greenstar Holdings Limited lost the ability to ensure that the buy-back option would be respected. </w:t>
      </w:r>
    </w:p>
    <w:p w14:paraId="372A1E76" w14:textId="77777777" w:rsidR="00D4496E" w:rsidRDefault="00D4496E" w:rsidP="00D4496E">
      <w:pPr>
        <w:pStyle w:val="ListParagraph"/>
        <w:spacing w:line="480" w:lineRule="auto"/>
        <w:rPr>
          <w:rFonts w:cs="Times New Roman"/>
          <w:szCs w:val="24"/>
        </w:rPr>
      </w:pPr>
    </w:p>
    <w:p w14:paraId="65DF66E9" w14:textId="77777777" w:rsidR="00A05199" w:rsidRPr="000B32BB" w:rsidRDefault="00D4496E" w:rsidP="00F45EE4">
      <w:pPr>
        <w:pStyle w:val="ListParagraph"/>
        <w:numPr>
          <w:ilvl w:val="0"/>
          <w:numId w:val="1"/>
        </w:numPr>
        <w:spacing w:line="480" w:lineRule="auto"/>
        <w:ind w:hanging="720"/>
        <w:rPr>
          <w:szCs w:val="24"/>
        </w:rPr>
      </w:pPr>
      <w:r w:rsidRPr="000B32BB">
        <w:rPr>
          <w:rFonts w:cs="Times New Roman"/>
          <w:szCs w:val="24"/>
        </w:rPr>
        <w:t xml:space="preserve">Matheson accepts that the mere possibility of loss does not equate to damage but says that the Plaintiff suffered actual loss and damage in 2005. While the Plaintiff retained the same contractual entitlement to be paid royalty payments after 2005, the fact that Greenstar Holdings Limited did not acquire the interest in the Ballynagran Lands had the result that </w:t>
      </w:r>
      <w:r w:rsidRPr="000B32BB">
        <w:rPr>
          <w:rFonts w:cs="Times New Roman"/>
          <w:i/>
          <w:szCs w:val="24"/>
        </w:rPr>
        <w:t>“the prospect of on-going royalty paym</w:t>
      </w:r>
      <w:r w:rsidR="00714B24" w:rsidRPr="000B32BB">
        <w:rPr>
          <w:rFonts w:cs="Times New Roman"/>
          <w:i/>
          <w:szCs w:val="24"/>
        </w:rPr>
        <w:t>e</w:t>
      </w:r>
      <w:r w:rsidRPr="000B32BB">
        <w:rPr>
          <w:rFonts w:cs="Times New Roman"/>
          <w:i/>
          <w:szCs w:val="24"/>
        </w:rPr>
        <w:t xml:space="preserve">nts was undermined and the right to enforce in </w:t>
      </w:r>
      <w:r w:rsidR="00714B24" w:rsidRPr="000B32BB">
        <w:rPr>
          <w:rFonts w:cs="Times New Roman"/>
          <w:i/>
          <w:szCs w:val="24"/>
        </w:rPr>
        <w:t>the absence of payment was lost”</w:t>
      </w:r>
      <w:r w:rsidR="00714B24" w:rsidRPr="000B32BB">
        <w:rPr>
          <w:rFonts w:cs="Times New Roman"/>
          <w:szCs w:val="24"/>
        </w:rPr>
        <w:t>. The Plaintiff was in a “</w:t>
      </w:r>
      <w:r w:rsidR="00714B24" w:rsidRPr="000B32BB">
        <w:rPr>
          <w:rFonts w:cs="Times New Roman"/>
          <w:i/>
          <w:szCs w:val="24"/>
        </w:rPr>
        <w:t>worse position</w:t>
      </w:r>
      <w:r w:rsidR="00714B24" w:rsidRPr="000B32BB">
        <w:rPr>
          <w:rFonts w:cs="Times New Roman"/>
          <w:szCs w:val="24"/>
        </w:rPr>
        <w:t xml:space="preserve">” as a result of the 2000 and 2005 transactions and that was – so it was said – the test to be derived from the decision of this Court in  </w:t>
      </w:r>
      <w:r w:rsidR="00714B24" w:rsidRPr="000B32BB">
        <w:rPr>
          <w:rFonts w:cs="Times New Roman"/>
          <w:i/>
          <w:szCs w:val="24"/>
        </w:rPr>
        <w:t>Cantrell v Allied Irish Banks plc</w:t>
      </w:r>
      <w:r w:rsidR="00714B24" w:rsidRPr="000B32BB">
        <w:rPr>
          <w:rFonts w:cs="Times New Roman"/>
          <w:szCs w:val="24"/>
        </w:rPr>
        <w:t xml:space="preserve"> [2019] IECA 217. That decision issued after the hearing in the High Court and was not considered by the Judge. Significant reliance was placed on it in Matheson’s written and oral submissions. </w:t>
      </w:r>
      <w:r w:rsidR="00967A5B" w:rsidRPr="000B32BB">
        <w:rPr>
          <w:rFonts w:cs="Times New Roman"/>
          <w:szCs w:val="24"/>
        </w:rPr>
        <w:t xml:space="preserve">However, subsequent to the hearing of this appeal, </w:t>
      </w:r>
      <w:r w:rsidR="00816A08" w:rsidRPr="000B32BB">
        <w:rPr>
          <w:rFonts w:cs="Times New Roman"/>
          <w:szCs w:val="24"/>
        </w:rPr>
        <w:t xml:space="preserve">the decision of this Court in </w:t>
      </w:r>
      <w:r w:rsidR="00816A08" w:rsidRPr="000B32BB">
        <w:rPr>
          <w:rFonts w:cs="Times New Roman"/>
          <w:i/>
          <w:szCs w:val="24"/>
        </w:rPr>
        <w:t>Cantrell</w:t>
      </w:r>
      <w:r w:rsidR="00816A08" w:rsidRPr="000B32BB">
        <w:rPr>
          <w:rFonts w:cs="Times New Roman"/>
          <w:szCs w:val="24"/>
        </w:rPr>
        <w:t xml:space="preserve"> was reversed by the Supreme Court: [2020] IESC 71</w:t>
      </w:r>
      <w:r w:rsidR="003604D7">
        <w:rPr>
          <w:rFonts w:cs="Times New Roman"/>
          <w:szCs w:val="24"/>
        </w:rPr>
        <w:t>, [2021] PNLR 9</w:t>
      </w:r>
      <w:r w:rsidR="00816A08" w:rsidRPr="000B32BB">
        <w:rPr>
          <w:rFonts w:cs="Times New Roman"/>
          <w:szCs w:val="24"/>
        </w:rPr>
        <w:t xml:space="preserve">. </w:t>
      </w:r>
      <w:r w:rsidR="00714B24" w:rsidRPr="000B32BB">
        <w:rPr>
          <w:rFonts w:cs="Times New Roman"/>
          <w:szCs w:val="24"/>
        </w:rPr>
        <w:t xml:space="preserve">As to the Plaintiff’s argument that any claim in relation to the royalty payments would have been met with a plea it was premature, </w:t>
      </w:r>
      <w:r w:rsidR="007E2BCA" w:rsidRPr="000B32BB">
        <w:rPr>
          <w:rFonts w:cs="Times New Roman"/>
          <w:szCs w:val="24"/>
        </w:rPr>
        <w:t xml:space="preserve">Matheson says that </w:t>
      </w:r>
      <w:r w:rsidR="00714B24" w:rsidRPr="000B32BB">
        <w:rPr>
          <w:rFonts w:cs="Times New Roman"/>
          <w:szCs w:val="24"/>
        </w:rPr>
        <w:t xml:space="preserve">a claim could and should have been made at that stage as to the failure </w:t>
      </w:r>
      <w:r w:rsidR="002915ED" w:rsidRPr="000B32BB">
        <w:rPr>
          <w:rFonts w:cs="Times New Roman"/>
          <w:szCs w:val="24"/>
        </w:rPr>
        <w:t xml:space="preserve">to ensure that there was a right to enforce in respect of the royalty payments. As regards the </w:t>
      </w:r>
      <w:r w:rsidR="00A5405F" w:rsidRPr="000B32BB">
        <w:rPr>
          <w:rFonts w:cs="Times New Roman"/>
          <w:szCs w:val="24"/>
        </w:rPr>
        <w:t>S</w:t>
      </w:r>
      <w:r w:rsidR="002915ED" w:rsidRPr="000B32BB">
        <w:rPr>
          <w:rFonts w:cs="Times New Roman"/>
          <w:szCs w:val="24"/>
        </w:rPr>
        <w:t xml:space="preserve">econd </w:t>
      </w:r>
      <w:r w:rsidR="00A5405F" w:rsidRPr="000B32BB">
        <w:rPr>
          <w:rFonts w:cs="Times New Roman"/>
          <w:szCs w:val="24"/>
        </w:rPr>
        <w:t>Op</w:t>
      </w:r>
      <w:r w:rsidR="002915ED" w:rsidRPr="000B32BB">
        <w:rPr>
          <w:rFonts w:cs="Times New Roman"/>
          <w:szCs w:val="24"/>
        </w:rPr>
        <w:t xml:space="preserve">tion, once the Ballynagran Lands were conveyed to an entity other than Greenstar Holdings </w:t>
      </w:r>
      <w:r w:rsidR="002915ED" w:rsidRPr="000B32BB">
        <w:rPr>
          <w:rFonts w:cs="Times New Roman"/>
          <w:szCs w:val="24"/>
        </w:rPr>
        <w:lastRenderedPageBreak/>
        <w:t>Limited in 2005, the Plaintiff no longer had any enforc</w:t>
      </w:r>
      <w:r w:rsidR="002D7C44" w:rsidRPr="000B32BB">
        <w:rPr>
          <w:rFonts w:cs="Times New Roman"/>
          <w:szCs w:val="24"/>
        </w:rPr>
        <w:t>eable</w:t>
      </w:r>
      <w:r w:rsidR="002915ED" w:rsidRPr="000B32BB">
        <w:rPr>
          <w:rFonts w:cs="Times New Roman"/>
          <w:szCs w:val="24"/>
        </w:rPr>
        <w:t xml:space="preserve"> contractual entitlement to buy back the Lands and this </w:t>
      </w:r>
      <w:r w:rsidR="00A5405F" w:rsidRPr="000B32BB">
        <w:rPr>
          <w:rFonts w:cs="Times New Roman"/>
          <w:szCs w:val="24"/>
        </w:rPr>
        <w:t xml:space="preserve">had </w:t>
      </w:r>
      <w:r w:rsidR="002915ED" w:rsidRPr="000B32BB">
        <w:rPr>
          <w:rFonts w:cs="Times New Roman"/>
          <w:szCs w:val="24"/>
        </w:rPr>
        <w:t xml:space="preserve">caused immediate loss to him. </w:t>
      </w:r>
    </w:p>
    <w:p w14:paraId="467BF4E0" w14:textId="77777777" w:rsidR="00967A5B" w:rsidRPr="00816A08" w:rsidRDefault="00967A5B" w:rsidP="004B633C">
      <w:pPr>
        <w:widowControl/>
        <w:spacing w:after="160" w:line="259" w:lineRule="auto"/>
        <w:jc w:val="center"/>
        <w:rPr>
          <w:b/>
          <w:szCs w:val="24"/>
        </w:rPr>
      </w:pPr>
      <w:r>
        <w:rPr>
          <w:sz w:val="20"/>
          <w:szCs w:val="20"/>
        </w:rPr>
        <w:br w:type="page"/>
      </w:r>
      <w:r w:rsidRPr="00816A08">
        <w:rPr>
          <w:b/>
          <w:szCs w:val="24"/>
        </w:rPr>
        <w:lastRenderedPageBreak/>
        <w:t>ANALYSIS</w:t>
      </w:r>
    </w:p>
    <w:p w14:paraId="1C6E155C" w14:textId="77777777" w:rsidR="00967A5B" w:rsidRPr="00816A08" w:rsidRDefault="00967A5B" w:rsidP="00967A5B">
      <w:pPr>
        <w:pStyle w:val="ListParagraph"/>
        <w:spacing w:line="480" w:lineRule="auto"/>
        <w:rPr>
          <w:szCs w:val="24"/>
        </w:rPr>
      </w:pPr>
    </w:p>
    <w:p w14:paraId="4636380C" w14:textId="77777777" w:rsidR="00F96C02" w:rsidRPr="00F96C02" w:rsidRDefault="00816A08" w:rsidP="00F96C02">
      <w:pPr>
        <w:pStyle w:val="ListParagraph"/>
        <w:numPr>
          <w:ilvl w:val="0"/>
          <w:numId w:val="1"/>
        </w:numPr>
        <w:spacing w:line="480" w:lineRule="auto"/>
        <w:ind w:hanging="720"/>
        <w:rPr>
          <w:szCs w:val="24"/>
        </w:rPr>
      </w:pPr>
      <w:r>
        <w:rPr>
          <w:szCs w:val="24"/>
        </w:rPr>
        <w:t xml:space="preserve">A multitude of authorities were cited by the parties in their submissions. </w:t>
      </w:r>
      <w:r w:rsidR="004921E8">
        <w:rPr>
          <w:szCs w:val="24"/>
        </w:rPr>
        <w:t xml:space="preserve">Since the hearing of this appeal, the Supreme Court </w:t>
      </w:r>
      <w:r w:rsidR="00F96C02">
        <w:rPr>
          <w:szCs w:val="24"/>
        </w:rPr>
        <w:t xml:space="preserve">gave </w:t>
      </w:r>
      <w:r w:rsidR="004921E8">
        <w:rPr>
          <w:szCs w:val="24"/>
        </w:rPr>
        <w:t xml:space="preserve">judgment in </w:t>
      </w:r>
      <w:r w:rsidR="004921E8" w:rsidRPr="004921E8">
        <w:rPr>
          <w:i/>
          <w:szCs w:val="24"/>
        </w:rPr>
        <w:t>Cantrell</w:t>
      </w:r>
      <w:r w:rsidR="004921E8">
        <w:rPr>
          <w:szCs w:val="24"/>
        </w:rPr>
        <w:t xml:space="preserve">. </w:t>
      </w:r>
      <w:r w:rsidR="00A5405F">
        <w:rPr>
          <w:szCs w:val="24"/>
        </w:rPr>
        <w:t>In his j</w:t>
      </w:r>
      <w:r w:rsidR="004921E8">
        <w:rPr>
          <w:szCs w:val="24"/>
        </w:rPr>
        <w:t xml:space="preserve">udgment in </w:t>
      </w:r>
      <w:r w:rsidR="004921E8" w:rsidRPr="004921E8">
        <w:rPr>
          <w:i/>
          <w:szCs w:val="24"/>
        </w:rPr>
        <w:t>Cantrell</w:t>
      </w:r>
      <w:r w:rsidR="004921E8">
        <w:rPr>
          <w:szCs w:val="24"/>
        </w:rPr>
        <w:t xml:space="preserve"> </w:t>
      </w:r>
      <w:r w:rsidR="004921E8" w:rsidRPr="004921E8">
        <w:rPr>
          <w:rFonts w:cs="Times New Roman"/>
          <w:szCs w:val="24"/>
        </w:rPr>
        <w:t xml:space="preserve">(with which Clarke CJ and Dunne, Charleton and O’ Malley JJ agreed) </w:t>
      </w:r>
      <w:r w:rsidR="00A5405F">
        <w:rPr>
          <w:szCs w:val="24"/>
        </w:rPr>
        <w:t xml:space="preserve">O’ Donnell J </w:t>
      </w:r>
      <w:r w:rsidR="004921E8">
        <w:rPr>
          <w:rFonts w:cs="Times New Roman"/>
          <w:szCs w:val="24"/>
        </w:rPr>
        <w:t>undert</w:t>
      </w:r>
      <w:r w:rsidR="003604D7">
        <w:rPr>
          <w:rFonts w:cs="Times New Roman"/>
          <w:szCs w:val="24"/>
        </w:rPr>
        <w:t>ook</w:t>
      </w:r>
      <w:r w:rsidR="004921E8" w:rsidRPr="004921E8">
        <w:rPr>
          <w:rFonts w:cs="Times New Roman"/>
          <w:szCs w:val="24"/>
        </w:rPr>
        <w:t xml:space="preserve"> a </w:t>
      </w:r>
      <w:r w:rsidR="004921E8">
        <w:rPr>
          <w:rFonts w:cs="Times New Roman"/>
          <w:szCs w:val="24"/>
        </w:rPr>
        <w:t xml:space="preserve">comprehensive </w:t>
      </w:r>
      <w:r w:rsidR="004921E8" w:rsidRPr="004921E8">
        <w:rPr>
          <w:rFonts w:cs="Times New Roman"/>
          <w:szCs w:val="24"/>
        </w:rPr>
        <w:t xml:space="preserve">survey </w:t>
      </w:r>
      <w:r w:rsidR="004921E8">
        <w:rPr>
          <w:rFonts w:cs="Times New Roman"/>
          <w:szCs w:val="24"/>
        </w:rPr>
        <w:t xml:space="preserve">of the authorities, including a close analysis of the </w:t>
      </w:r>
      <w:r w:rsidR="00F96C02">
        <w:rPr>
          <w:rFonts w:cs="Times New Roman"/>
          <w:szCs w:val="24"/>
        </w:rPr>
        <w:t xml:space="preserve">Supreme Court’s </w:t>
      </w:r>
      <w:r w:rsidR="0057305F">
        <w:rPr>
          <w:rFonts w:cs="Times New Roman"/>
          <w:szCs w:val="24"/>
        </w:rPr>
        <w:t>earlier</w:t>
      </w:r>
      <w:r w:rsidR="00F96C02">
        <w:rPr>
          <w:rFonts w:cs="Times New Roman"/>
          <w:szCs w:val="24"/>
        </w:rPr>
        <w:t xml:space="preserve"> decisions in </w:t>
      </w:r>
      <w:r w:rsidR="004921E8" w:rsidRPr="004921E8">
        <w:rPr>
          <w:rFonts w:cs="Times New Roman"/>
          <w:i/>
          <w:szCs w:val="24"/>
        </w:rPr>
        <w:t xml:space="preserve">Gallagher </w:t>
      </w:r>
      <w:r w:rsidR="004921E8" w:rsidRPr="004921E8">
        <w:rPr>
          <w:rFonts w:cs="Times New Roman"/>
          <w:szCs w:val="24"/>
        </w:rPr>
        <w:t xml:space="preserve">and </w:t>
      </w:r>
      <w:r w:rsidR="004921E8" w:rsidRPr="004921E8">
        <w:rPr>
          <w:rFonts w:cs="Times New Roman"/>
          <w:i/>
          <w:szCs w:val="24"/>
        </w:rPr>
        <w:t>Brandley</w:t>
      </w:r>
      <w:r w:rsidR="004921E8">
        <w:rPr>
          <w:rFonts w:cs="Times New Roman"/>
          <w:szCs w:val="24"/>
        </w:rPr>
        <w:t>.</w:t>
      </w:r>
    </w:p>
    <w:p w14:paraId="29110518" w14:textId="77777777" w:rsidR="00F96C02" w:rsidRPr="00F96C02" w:rsidRDefault="00F96C02" w:rsidP="00F96C02">
      <w:pPr>
        <w:pStyle w:val="ListParagraph"/>
        <w:spacing w:line="480" w:lineRule="auto"/>
        <w:rPr>
          <w:szCs w:val="24"/>
        </w:rPr>
      </w:pPr>
    </w:p>
    <w:p w14:paraId="0CFD304E" w14:textId="77777777" w:rsidR="004921E8" w:rsidRPr="00F96C02" w:rsidRDefault="00F96C02" w:rsidP="00F96C02">
      <w:pPr>
        <w:pStyle w:val="ListParagraph"/>
        <w:numPr>
          <w:ilvl w:val="0"/>
          <w:numId w:val="1"/>
        </w:numPr>
        <w:spacing w:line="480" w:lineRule="auto"/>
        <w:ind w:hanging="720"/>
        <w:rPr>
          <w:szCs w:val="24"/>
        </w:rPr>
      </w:pPr>
      <w:r>
        <w:rPr>
          <w:rFonts w:cs="Times New Roman"/>
          <w:szCs w:val="24"/>
        </w:rPr>
        <w:t xml:space="preserve">No useful purpose would be served by </w:t>
      </w:r>
      <w:r w:rsidR="004921E8" w:rsidRPr="00F96C02">
        <w:rPr>
          <w:rFonts w:cs="Times New Roman"/>
          <w:szCs w:val="24"/>
        </w:rPr>
        <w:t>repeat</w:t>
      </w:r>
      <w:r>
        <w:rPr>
          <w:rFonts w:cs="Times New Roman"/>
          <w:szCs w:val="24"/>
        </w:rPr>
        <w:t>ing</w:t>
      </w:r>
      <w:r w:rsidR="004921E8" w:rsidRPr="00F96C02">
        <w:rPr>
          <w:rFonts w:cs="Times New Roman"/>
          <w:szCs w:val="24"/>
        </w:rPr>
        <w:t xml:space="preserve"> the exercise undertaken by O’ Donnell J in </w:t>
      </w:r>
      <w:r w:rsidR="004921E8" w:rsidRPr="00F96C02">
        <w:rPr>
          <w:rFonts w:cs="Times New Roman"/>
          <w:i/>
          <w:szCs w:val="24"/>
        </w:rPr>
        <w:t>Cantrell</w:t>
      </w:r>
      <w:r w:rsidR="004921E8" w:rsidRPr="00F96C02">
        <w:rPr>
          <w:rFonts w:cs="Times New Roman"/>
          <w:szCs w:val="24"/>
        </w:rPr>
        <w:t xml:space="preserve"> (or the similar exercise previously undertaken by Fennelly J in </w:t>
      </w:r>
      <w:r w:rsidR="004921E8" w:rsidRPr="00F96C02">
        <w:rPr>
          <w:rFonts w:cs="Times New Roman"/>
          <w:i/>
          <w:szCs w:val="24"/>
        </w:rPr>
        <w:t>Gallagher</w:t>
      </w:r>
      <w:r w:rsidR="004921E8" w:rsidRPr="00F96C02">
        <w:rPr>
          <w:rFonts w:cs="Times New Roman"/>
          <w:szCs w:val="24"/>
        </w:rPr>
        <w:t>)</w:t>
      </w:r>
      <w:r>
        <w:rPr>
          <w:rFonts w:cs="Times New Roman"/>
          <w:szCs w:val="24"/>
        </w:rPr>
        <w:t xml:space="preserve">. In my recent judgment in </w:t>
      </w:r>
      <w:r w:rsidRPr="00F96C02">
        <w:rPr>
          <w:rFonts w:cs="Times New Roman"/>
          <w:i/>
          <w:szCs w:val="24"/>
        </w:rPr>
        <w:t>Sm</w:t>
      </w:r>
      <w:r w:rsidR="00A5405F">
        <w:rPr>
          <w:rFonts w:cs="Times New Roman"/>
          <w:i/>
          <w:szCs w:val="24"/>
        </w:rPr>
        <w:t>i</w:t>
      </w:r>
      <w:r w:rsidRPr="00F96C02">
        <w:rPr>
          <w:rFonts w:cs="Times New Roman"/>
          <w:i/>
          <w:szCs w:val="24"/>
        </w:rPr>
        <w:t>th v Cunningham</w:t>
      </w:r>
      <w:r>
        <w:rPr>
          <w:rFonts w:cs="Times New Roman"/>
          <w:szCs w:val="24"/>
        </w:rPr>
        <w:t xml:space="preserve"> [2021] IECA </w:t>
      </w:r>
      <w:r w:rsidR="000B32BB">
        <w:rPr>
          <w:rFonts w:cs="Times New Roman"/>
          <w:szCs w:val="24"/>
        </w:rPr>
        <w:t>268</w:t>
      </w:r>
      <w:r>
        <w:rPr>
          <w:rFonts w:cs="Times New Roman"/>
          <w:szCs w:val="24"/>
        </w:rPr>
        <w:t xml:space="preserve"> (with which Whelan and Ni Raifeartaigh JJ agreed), I identified what appeared to me to be </w:t>
      </w:r>
      <w:r w:rsidR="004921E8" w:rsidRPr="00F96C02">
        <w:rPr>
          <w:rFonts w:cs="Times New Roman"/>
          <w:szCs w:val="24"/>
        </w:rPr>
        <w:t>the main points to be drawn from the Irish authorities</w:t>
      </w:r>
      <w:r>
        <w:rPr>
          <w:rFonts w:cs="Times New Roman"/>
          <w:szCs w:val="24"/>
        </w:rPr>
        <w:t>, as follows:</w:t>
      </w:r>
    </w:p>
    <w:p w14:paraId="6832D7DB" w14:textId="77777777" w:rsidR="004921E8" w:rsidRPr="004921E8" w:rsidRDefault="004921E8" w:rsidP="004921E8">
      <w:pPr>
        <w:spacing w:line="480" w:lineRule="auto"/>
        <w:ind w:left="1080"/>
        <w:contextualSpacing/>
        <w:rPr>
          <w:rFonts w:cs="Times New Roman"/>
          <w:szCs w:val="24"/>
        </w:rPr>
      </w:pPr>
    </w:p>
    <w:p w14:paraId="018FDD41" w14:textId="77777777" w:rsidR="004921E8" w:rsidRPr="004921E8" w:rsidRDefault="00F96C02" w:rsidP="004921E8">
      <w:pPr>
        <w:spacing w:line="480" w:lineRule="auto"/>
        <w:ind w:left="1080"/>
        <w:contextualSpacing/>
        <w:rPr>
          <w:rFonts w:cs="Times New Roman"/>
          <w:i/>
          <w:szCs w:val="24"/>
        </w:rPr>
      </w:pPr>
      <w:r w:rsidRPr="00F96C02">
        <w:rPr>
          <w:rFonts w:cs="Times New Roman"/>
          <w:i/>
          <w:szCs w:val="24"/>
        </w:rPr>
        <w:t>“</w:t>
      </w:r>
      <w:r w:rsidR="004921E8" w:rsidRPr="004921E8">
        <w:rPr>
          <w:rFonts w:cs="Times New Roman"/>
          <w:i/>
          <w:szCs w:val="24"/>
        </w:rPr>
        <w:t>(1) A “cause of action” means “every fact which it would be necessary for the plaintiff to prove, if traversed, in order to support his right to the judgment of the Court”: Read v Brown (1888) 22 QBD 128. This statement was described as “entirely uncontroversial” by McKechnie J in Brandley (at para 62).</w:t>
      </w:r>
    </w:p>
    <w:p w14:paraId="0727C149" w14:textId="77777777" w:rsidR="004921E8" w:rsidRPr="004921E8" w:rsidRDefault="004921E8" w:rsidP="004921E8">
      <w:pPr>
        <w:spacing w:line="480" w:lineRule="auto"/>
        <w:ind w:left="1080"/>
        <w:contextualSpacing/>
        <w:rPr>
          <w:rFonts w:cs="Times New Roman"/>
          <w:i/>
          <w:szCs w:val="24"/>
        </w:rPr>
      </w:pPr>
    </w:p>
    <w:p w14:paraId="1B2EC99E"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t xml:space="preserve">(2) While certain torts are actionable per se (for instance, defamation), the tort of negligence is not. It is complete, and the cause of action accrues, only when damage occurs: “in negligence, some actual damage, beyond what can be regarded as negligible, must occur before the tort can be said to be complete. More accurately, without such damage a tortious cause of action does not exist. … Damage, injury, </w:t>
      </w:r>
      <w:r w:rsidRPr="004921E8">
        <w:rPr>
          <w:rFonts w:cs="Times New Roman"/>
          <w:i/>
          <w:szCs w:val="24"/>
        </w:rPr>
        <w:lastRenderedPageBreak/>
        <w:t>harm or loss, recognisable as such, is an essential requirement of the cause of action ..” [Brandley, at para 63]</w:t>
      </w:r>
    </w:p>
    <w:p w14:paraId="6CF964EF" w14:textId="77777777" w:rsidR="004921E8" w:rsidRPr="004921E8" w:rsidRDefault="004921E8" w:rsidP="004921E8">
      <w:pPr>
        <w:spacing w:line="480" w:lineRule="auto"/>
        <w:ind w:left="1080"/>
        <w:contextualSpacing/>
        <w:rPr>
          <w:rFonts w:cs="Times New Roman"/>
          <w:i/>
          <w:szCs w:val="24"/>
        </w:rPr>
      </w:pPr>
    </w:p>
    <w:p w14:paraId="36A225AA"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t xml:space="preserve">(3) “Time begins to run from the date of the manifestation of damage, which means that it runs from the time that the damage was capable of being discovered and capable of being proved by the plaintiff” [Brandley, at para 111]. This does not, it should be emphasised, import a discoverability test, nor is </w:t>
      </w:r>
      <w:r w:rsidR="00120CCE">
        <w:rPr>
          <w:rFonts w:cs="Times New Roman"/>
          <w:i/>
          <w:szCs w:val="24"/>
        </w:rPr>
        <w:t xml:space="preserve">the date referable to </w:t>
      </w:r>
      <w:r w:rsidRPr="004921E8">
        <w:rPr>
          <w:rFonts w:cs="Times New Roman"/>
          <w:i/>
          <w:szCs w:val="24"/>
        </w:rPr>
        <w:t>the date on which damage is actually discovered. It is, rather, the date on which provable damage is objectively capable of being discovered, “even if there was no reasonable or realistic prospect of that being so” [Brandley, at para 4(iii)]</w:t>
      </w:r>
    </w:p>
    <w:p w14:paraId="058BBE28" w14:textId="77777777" w:rsidR="004921E8" w:rsidRPr="004921E8" w:rsidRDefault="004921E8" w:rsidP="004921E8">
      <w:pPr>
        <w:spacing w:line="480" w:lineRule="auto"/>
        <w:ind w:left="1080"/>
        <w:contextualSpacing/>
        <w:rPr>
          <w:rFonts w:cs="Times New Roman"/>
          <w:i/>
          <w:szCs w:val="24"/>
        </w:rPr>
      </w:pPr>
    </w:p>
    <w:p w14:paraId="5D0ABE60"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t xml:space="preserve">(4) Occurrence of damage and its manifestation will often be simultaneous (as indeed was the position in Brandley itself: see the comments of McKechnie J at para 137). Furthermore, cases in which it will be possible to distinguish between the two are likely to be more readily encountered in cases of physical damage rather than </w:t>
      </w:r>
      <w:r w:rsidR="00120CCE">
        <w:rPr>
          <w:rFonts w:cs="Times New Roman"/>
          <w:i/>
          <w:szCs w:val="24"/>
        </w:rPr>
        <w:t xml:space="preserve">cases of </w:t>
      </w:r>
      <w:r w:rsidRPr="004921E8">
        <w:rPr>
          <w:rFonts w:cs="Times New Roman"/>
          <w:i/>
          <w:szCs w:val="24"/>
        </w:rPr>
        <w:t>financial loss [Cantrell, at para 141]</w:t>
      </w:r>
    </w:p>
    <w:p w14:paraId="00364B69" w14:textId="77777777" w:rsidR="004921E8" w:rsidRPr="004921E8" w:rsidRDefault="004921E8" w:rsidP="004921E8">
      <w:pPr>
        <w:spacing w:line="480" w:lineRule="auto"/>
        <w:ind w:left="1080"/>
        <w:contextualSpacing/>
        <w:rPr>
          <w:rFonts w:cs="Times New Roman"/>
          <w:i/>
          <w:szCs w:val="24"/>
        </w:rPr>
      </w:pPr>
    </w:p>
    <w:p w14:paraId="3DF7A927"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t xml:space="preserve">(5) In the context of property damage claims (and, it appears, personal injury claims also) a distinction is to be drawn between “defect” and “damage”. In property damages claims, time will not begin to run unless and until a defect causes actual damage [Brandley, at para 112 and following].  Thus, in Brandley itself, time did not begin to run when the defective foundations were laid (defective because of the use of unsuitable building materials). Rather, it was only at the point when the defective foundations caused “actual physical damage” in the form of </w:t>
      </w:r>
      <w:r w:rsidRPr="004921E8">
        <w:rPr>
          <w:rFonts w:cs="Times New Roman"/>
          <w:i/>
          <w:szCs w:val="24"/>
        </w:rPr>
        <w:lastRenderedPageBreak/>
        <w:t xml:space="preserve">visible cracks that there was “damage” such that the plaintiff’s cause of action accrued. </w:t>
      </w:r>
      <w:r w:rsidR="0043452A">
        <w:rPr>
          <w:rFonts w:cs="Times New Roman"/>
          <w:i/>
          <w:szCs w:val="24"/>
        </w:rPr>
        <w:t>…</w:t>
      </w:r>
      <w:r w:rsidRPr="004921E8">
        <w:rPr>
          <w:rFonts w:cs="Times New Roman"/>
          <w:i/>
          <w:szCs w:val="24"/>
        </w:rPr>
        <w:t xml:space="preserve"> </w:t>
      </w:r>
    </w:p>
    <w:p w14:paraId="612104E0" w14:textId="77777777" w:rsidR="004921E8" w:rsidRPr="004921E8" w:rsidRDefault="004921E8" w:rsidP="004921E8">
      <w:pPr>
        <w:spacing w:line="480" w:lineRule="auto"/>
        <w:ind w:left="1080"/>
        <w:contextualSpacing/>
        <w:rPr>
          <w:rFonts w:cs="Times New Roman"/>
          <w:i/>
          <w:szCs w:val="24"/>
        </w:rPr>
      </w:pPr>
    </w:p>
    <w:p w14:paraId="4AC4E715"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t>(6) Claims in negligence for economic loss present “particular difficulties” in terms of determining when the cause of action accrues [per Fennelly J in Gallagher, at para 104]. While the fundamental principle is the same whether the damage takes the form of personal injury, damage to physical property or financial loss, the “problem is that actual financial loss may take many forms” [Gallagher, at para 107]. The case law has not succeeded in producing any “entirely clear or satisfactory” principle or “a single bright-line rule providing clear and satisfactory conclusions.” [Cantrell, at para 103].</w:t>
      </w:r>
    </w:p>
    <w:p w14:paraId="7EE1E512" w14:textId="77777777" w:rsidR="004921E8" w:rsidRPr="004921E8" w:rsidRDefault="004921E8" w:rsidP="004921E8">
      <w:pPr>
        <w:spacing w:line="480" w:lineRule="auto"/>
        <w:ind w:left="1080"/>
        <w:contextualSpacing/>
        <w:rPr>
          <w:rFonts w:cs="Times New Roman"/>
          <w:i/>
          <w:szCs w:val="24"/>
        </w:rPr>
      </w:pPr>
    </w:p>
    <w:p w14:paraId="3B1DD894"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t>(7) Decisions from England and Wales in this area must be treated with caution given that, since the enactment of the Latent Damage Act 1986, the severity of the existing law had been mitigated by the introduction of a discoverability test. After this change in the law, it was possible to remedy any injustice and “courts may have been content to adopt a strict interpretation” [per Fennelly J in Gallagher, at para 60. A similar point is made by O’ Donnell J in Cantrell at para 110.]</w:t>
      </w:r>
    </w:p>
    <w:p w14:paraId="030A751E" w14:textId="77777777" w:rsidR="004921E8" w:rsidRPr="004921E8" w:rsidRDefault="004921E8" w:rsidP="004921E8">
      <w:pPr>
        <w:spacing w:line="480" w:lineRule="auto"/>
        <w:ind w:left="1080"/>
        <w:contextualSpacing/>
        <w:rPr>
          <w:rFonts w:cs="Times New Roman"/>
          <w:i/>
          <w:szCs w:val="24"/>
        </w:rPr>
      </w:pPr>
    </w:p>
    <w:p w14:paraId="433BC116"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t xml:space="preserve">(8) The distinction drawn in the authorities from England and Wales between “[flawed] transaction” cases on the one hand and “no transaction” cases on the other is of limited assistance. The distinction does not provide a basis for any general rule: in either case “there may be immediate damage or it may not be possible to say that there will be damage until a later date.” [per Fennelly J in </w:t>
      </w:r>
      <w:r w:rsidRPr="004921E8">
        <w:rPr>
          <w:rFonts w:cs="Times New Roman"/>
          <w:i/>
          <w:szCs w:val="24"/>
        </w:rPr>
        <w:lastRenderedPageBreak/>
        <w:t xml:space="preserve">Gallagher, at para 105]. It can, however, be “helpful but not decisive” [Cantrell, at para 145] and it is “generally easier to argue that damage occurs in a flawed transaction at the date of the transaction, since the plaintiff acquires something different and worth less than they ought to” [Cantrell, at para 97] </w:t>
      </w:r>
    </w:p>
    <w:p w14:paraId="666B43E1" w14:textId="77777777" w:rsidR="004921E8" w:rsidRPr="004921E8" w:rsidRDefault="004921E8" w:rsidP="004921E8">
      <w:pPr>
        <w:spacing w:line="480" w:lineRule="auto"/>
        <w:ind w:left="1080"/>
        <w:contextualSpacing/>
        <w:rPr>
          <w:rFonts w:cs="Times New Roman"/>
          <w:i/>
          <w:szCs w:val="24"/>
        </w:rPr>
      </w:pPr>
    </w:p>
    <w:p w14:paraId="3C180C3E"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t>(9) As a matter of pure logic, it may be possible to put a present value on any future contingent liability, thus allowing damages to be estimated and awarded. There is, therefore, logical force in the observation of Bingham LJ (as he then was) in DW Moore v Ferrier [1988] 1 WLR 267 that, if the law of contract could award more than nominal damages for a breach of contractual obligation to use reasonable skill and care, then it must follow that the plaintiff has suffered sufficient damage to complete the parallel negligence claim. However, such logic “collides with reality.” Such a definition of damage is far removed from reality. Most litigants are led to commence proceedings not by the identification of negligence or breach of contract but by suffering “actual damage” [Cantrell, at paras 108- 109]</w:t>
      </w:r>
    </w:p>
    <w:p w14:paraId="019A89E2" w14:textId="77777777" w:rsidR="004921E8" w:rsidRPr="004921E8" w:rsidRDefault="004921E8" w:rsidP="004921E8">
      <w:pPr>
        <w:spacing w:line="480" w:lineRule="auto"/>
        <w:ind w:left="1080"/>
        <w:contextualSpacing/>
        <w:rPr>
          <w:rFonts w:cs="Times New Roman"/>
          <w:i/>
          <w:szCs w:val="24"/>
        </w:rPr>
      </w:pPr>
    </w:p>
    <w:p w14:paraId="20A85109"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t xml:space="preserve">(10) Gallagher decisively rejects the “remorseless logic” of decisions such as </w:t>
      </w:r>
      <w:bookmarkStart w:id="3" w:name="_Hlk82609297"/>
      <w:r w:rsidRPr="004921E8">
        <w:rPr>
          <w:rFonts w:cs="Times New Roman"/>
          <w:i/>
          <w:szCs w:val="24"/>
        </w:rPr>
        <w:t xml:space="preserve">Shore v Sedgwick Financial Services Limited </w:t>
      </w:r>
      <w:bookmarkEnd w:id="3"/>
      <w:r w:rsidRPr="004921E8">
        <w:rPr>
          <w:rFonts w:cs="Times New Roman"/>
          <w:i/>
          <w:szCs w:val="24"/>
        </w:rPr>
        <w:t xml:space="preserve">[2008] EWCA Civ 863 in favour of the “pragmatism” reflected in decisions such as Wardley Australia Limited v State of Western Australia (1992) 175 CLR 514 (“Wardley”) and Law Society v Sephton [2006] UKHL 22, [2006] 2 AC 543 (“Sephton”) [Cantrell, para 117]. Gallagher is “clear in its instruction to prefer sensible pragmatism to relentless logic” [Cantrell, para 139]. </w:t>
      </w:r>
    </w:p>
    <w:p w14:paraId="74398702" w14:textId="77777777" w:rsidR="004921E8" w:rsidRPr="004921E8" w:rsidRDefault="004921E8" w:rsidP="004921E8">
      <w:pPr>
        <w:spacing w:line="480" w:lineRule="auto"/>
        <w:ind w:left="1080"/>
        <w:contextualSpacing/>
        <w:rPr>
          <w:rFonts w:cs="Times New Roman"/>
          <w:i/>
          <w:szCs w:val="24"/>
        </w:rPr>
      </w:pPr>
    </w:p>
    <w:p w14:paraId="5DFD3AAB"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lastRenderedPageBreak/>
        <w:t>(11) The pragmatic approach mandated by Gallagher is one in which the identification of damage for accrual of a cause of action must proceed on an incremental basis and that damage “must bear a close relationship to the layperson’s understanding of the term”, that is “real actual damage, which a person would consider commencing proceedings for”  [Cantrell, para 132].</w:t>
      </w:r>
    </w:p>
    <w:p w14:paraId="56C099BF" w14:textId="77777777" w:rsidR="004921E8" w:rsidRPr="004921E8" w:rsidRDefault="004921E8" w:rsidP="004921E8">
      <w:pPr>
        <w:spacing w:line="480" w:lineRule="auto"/>
        <w:ind w:left="1080"/>
        <w:contextualSpacing/>
        <w:rPr>
          <w:rFonts w:cs="Times New Roman"/>
          <w:i/>
          <w:szCs w:val="24"/>
        </w:rPr>
      </w:pPr>
    </w:p>
    <w:p w14:paraId="35D7163E" w14:textId="77777777" w:rsidR="004921E8" w:rsidRDefault="004921E8" w:rsidP="004921E8">
      <w:pPr>
        <w:spacing w:line="480" w:lineRule="auto"/>
        <w:ind w:left="1080"/>
        <w:contextualSpacing/>
        <w:rPr>
          <w:rFonts w:cs="Times New Roman"/>
          <w:i/>
          <w:szCs w:val="24"/>
        </w:rPr>
      </w:pPr>
      <w:r w:rsidRPr="004921E8">
        <w:rPr>
          <w:rFonts w:cs="Times New Roman"/>
          <w:i/>
          <w:szCs w:val="24"/>
        </w:rPr>
        <w:t>(12) The mere possibility of loss and/or the exposure to a risk or increased risk of loss will not, in itself, constitute damage sufficient to complete the tort of negligence, absent a present adverse effect on value [Gallagher, at paras 109 – 110; Cantrell at paras 134-135]. As O’ Donnell J explains in Cantrell, in Gallagher the underperformance of the investment was probable and that probability had an immediate impact on the value of the investment. If the risk to the product had not rendered the investment less valuable, then no damage w</w:t>
      </w:r>
      <w:r w:rsidR="00120CCE">
        <w:rPr>
          <w:rFonts w:cs="Times New Roman"/>
          <w:i/>
          <w:szCs w:val="24"/>
        </w:rPr>
        <w:t xml:space="preserve">ould have been </w:t>
      </w:r>
      <w:r w:rsidRPr="004921E8">
        <w:rPr>
          <w:rFonts w:cs="Times New Roman"/>
          <w:i/>
          <w:szCs w:val="24"/>
        </w:rPr>
        <w:t xml:space="preserve">suffered sufficient to complete the tort “even if the product could be said to be something other than that which the appellants sought, and to that extent defective, and perhaps giving rise to a claim in contract” (paras 134 &amp; 135). Later in his judgment (para 139) O’ Donnell J re-iterated that “it is insufficient to identify increased risk alone as damage leading to the accrual of the cause of action.” It follows that decisions such as Shore v Sedgwick Financial Services Limited – where the claimant’s cause of action was held to have accrued at the point when he transferred out of his occupational pension scheme into a personal income withdrawal plan on the basis of the riskier profile of the latter, even though he received full market value for the rights transferred – </w:t>
      </w:r>
      <w:r w:rsidR="00120CCE">
        <w:rPr>
          <w:rFonts w:cs="Times New Roman"/>
          <w:i/>
          <w:szCs w:val="24"/>
        </w:rPr>
        <w:t>are</w:t>
      </w:r>
      <w:r w:rsidRPr="004921E8">
        <w:rPr>
          <w:rFonts w:cs="Times New Roman"/>
          <w:i/>
          <w:szCs w:val="24"/>
        </w:rPr>
        <w:t xml:space="preserve"> not good law in this jurisdiction [see also the discussion of Shore in </w:t>
      </w:r>
      <w:r w:rsidRPr="00F96C02">
        <w:rPr>
          <w:i/>
          <w:iCs/>
          <w:color w:val="404040" w:themeColor="text1" w:themeTint="BF"/>
        </w:rPr>
        <w:t>Cantrell</w:t>
      </w:r>
      <w:r w:rsidRPr="004921E8">
        <w:rPr>
          <w:rFonts w:cs="Times New Roman"/>
          <w:i/>
          <w:szCs w:val="24"/>
        </w:rPr>
        <w:t xml:space="preserve">, para 136]   </w:t>
      </w:r>
    </w:p>
    <w:p w14:paraId="177D2AE8" w14:textId="77777777" w:rsidR="00B72139" w:rsidRPr="00B72139" w:rsidRDefault="00B72139" w:rsidP="00B72139">
      <w:pPr>
        <w:pStyle w:val="ListParagraph"/>
        <w:spacing w:line="480" w:lineRule="auto"/>
        <w:ind w:left="1080"/>
        <w:rPr>
          <w:rFonts w:cs="Times New Roman"/>
          <w:i/>
          <w:szCs w:val="24"/>
        </w:rPr>
      </w:pPr>
      <w:r w:rsidRPr="00B72139">
        <w:rPr>
          <w:rFonts w:cs="Times New Roman"/>
          <w:i/>
          <w:szCs w:val="24"/>
        </w:rPr>
        <w:lastRenderedPageBreak/>
        <w:t>(13) Where loss is wholly prospective or contingent in character, it will not constitute damage in this context, even if such loss appears probable, in the absence of an immediate impact on value [this appears to follow from Wardley and its approval in Gallagher and Cantrell and is consistent with Cantrell’s analysis of Gallagher]</w:t>
      </w:r>
    </w:p>
    <w:p w14:paraId="37E3CCB7" w14:textId="77777777" w:rsidR="00B72139" w:rsidRPr="004921E8" w:rsidRDefault="00B72139" w:rsidP="004921E8">
      <w:pPr>
        <w:spacing w:line="480" w:lineRule="auto"/>
        <w:ind w:left="1080"/>
        <w:contextualSpacing/>
        <w:rPr>
          <w:rFonts w:cs="Times New Roman"/>
          <w:i/>
          <w:szCs w:val="24"/>
        </w:rPr>
      </w:pPr>
    </w:p>
    <w:p w14:paraId="3931586E" w14:textId="77777777" w:rsidR="004921E8" w:rsidRPr="004921E8" w:rsidRDefault="004921E8" w:rsidP="004921E8">
      <w:pPr>
        <w:spacing w:line="480" w:lineRule="auto"/>
        <w:ind w:left="1080"/>
        <w:contextualSpacing/>
        <w:rPr>
          <w:rFonts w:cs="Times New Roman"/>
          <w:i/>
          <w:szCs w:val="24"/>
        </w:rPr>
      </w:pPr>
    </w:p>
    <w:p w14:paraId="351A4688"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t>(1</w:t>
      </w:r>
      <w:r w:rsidR="00B72139">
        <w:rPr>
          <w:rFonts w:cs="Times New Roman"/>
          <w:i/>
          <w:szCs w:val="24"/>
        </w:rPr>
        <w:t>4</w:t>
      </w:r>
      <w:r w:rsidRPr="004921E8">
        <w:rPr>
          <w:rFonts w:cs="Times New Roman"/>
          <w:i/>
          <w:szCs w:val="24"/>
        </w:rPr>
        <w:t>) Where a transaction involves benefits and burdens, loss or damage arises only if the balance is adverse to the plaintiff. Where the balance is dependent on a contingency, it is only when that contingency occurs, and affects value, or where the possibility of it occurring in itself affects value, such as to give rise to immediate  loss, that a cause of action will accrue [Gallagher, para 111 (citing Wardley); Cantrell, para 138).</w:t>
      </w:r>
    </w:p>
    <w:p w14:paraId="4C10AFB0" w14:textId="77777777" w:rsidR="004921E8" w:rsidRPr="004921E8" w:rsidRDefault="004921E8" w:rsidP="004921E8">
      <w:pPr>
        <w:spacing w:line="480" w:lineRule="auto"/>
        <w:ind w:left="1080"/>
        <w:contextualSpacing/>
        <w:rPr>
          <w:rFonts w:cs="Times New Roman"/>
          <w:i/>
          <w:szCs w:val="24"/>
        </w:rPr>
      </w:pPr>
    </w:p>
    <w:p w14:paraId="3730DC70"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t>(1</w:t>
      </w:r>
      <w:r w:rsidR="00B72139">
        <w:rPr>
          <w:rFonts w:cs="Times New Roman"/>
          <w:i/>
          <w:szCs w:val="24"/>
        </w:rPr>
        <w:t>5</w:t>
      </w:r>
      <w:r w:rsidRPr="004921E8">
        <w:rPr>
          <w:rFonts w:cs="Times New Roman"/>
          <w:i/>
          <w:szCs w:val="24"/>
        </w:rPr>
        <w:t>) There are cases in which it can be said that actual damage is suffered on the occurrence of the transaction, even if there are difficulties of quantification and there are uncertainties and contingencies. Uncertainties do not in themselves prevent do not in themselves prevent the accrual of a cause of action, provided that the plaintiff has suffered actual loss at the time of entering into the transaction. [Gallagher, para 113; Cantrell, para 133]. Thus, in Forster v Outred, the execution of the mortgage had itself effected a diminution in value of the plaintiff’s interest in the land. That had “an effect then and there on value”, irrespective of whether the event in respect of which the security was created was more or less likely  [Cantrell, para 133]</w:t>
      </w:r>
    </w:p>
    <w:p w14:paraId="688584EF" w14:textId="77777777" w:rsidR="004921E8" w:rsidRPr="004921E8" w:rsidRDefault="004921E8" w:rsidP="004921E8">
      <w:pPr>
        <w:spacing w:line="480" w:lineRule="auto"/>
        <w:ind w:left="1080"/>
        <w:contextualSpacing/>
        <w:rPr>
          <w:rFonts w:cs="Times New Roman"/>
          <w:i/>
          <w:szCs w:val="24"/>
        </w:rPr>
      </w:pPr>
    </w:p>
    <w:p w14:paraId="6549B344"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t>(1</w:t>
      </w:r>
      <w:r w:rsidR="00B72139">
        <w:rPr>
          <w:rFonts w:cs="Times New Roman"/>
          <w:i/>
          <w:szCs w:val="24"/>
        </w:rPr>
        <w:t>6</w:t>
      </w:r>
      <w:r w:rsidRPr="004921E8">
        <w:rPr>
          <w:rFonts w:cs="Times New Roman"/>
          <w:i/>
          <w:szCs w:val="24"/>
        </w:rPr>
        <w:t>) It follows from the above that there may be “damage” sufficient for a cause of action in negligence to accrue, well before the point at which the plaintiff is in a position to quantity a claim for “damages”. Thus, in Gallagher, the plaintiff’s claim was held to have accrued at the time he entered into the investment even though his actual loss could be quantified only at the end of its term, almost 6 years later. Similarly, in Cantrell, the time(s) of accrual identified by the Supreme Court significantly predated the point at which the investors’ loss could have been quantified or, indeed, the point at which it could be said with certainty that they would suffer a loss.</w:t>
      </w:r>
    </w:p>
    <w:p w14:paraId="576F2DDD" w14:textId="77777777" w:rsidR="004921E8" w:rsidRPr="004921E8" w:rsidRDefault="004921E8" w:rsidP="004921E8">
      <w:pPr>
        <w:spacing w:line="480" w:lineRule="auto"/>
        <w:ind w:left="1080"/>
        <w:contextualSpacing/>
        <w:rPr>
          <w:rFonts w:cs="Times New Roman"/>
          <w:i/>
          <w:szCs w:val="24"/>
        </w:rPr>
      </w:pPr>
    </w:p>
    <w:p w14:paraId="5F3F6248" w14:textId="77777777" w:rsidR="004921E8" w:rsidRPr="004921E8" w:rsidRDefault="004921E8" w:rsidP="004921E8">
      <w:pPr>
        <w:spacing w:line="480" w:lineRule="auto"/>
        <w:ind w:left="1080"/>
        <w:contextualSpacing/>
        <w:rPr>
          <w:rFonts w:cs="Times New Roman"/>
          <w:i/>
          <w:szCs w:val="24"/>
        </w:rPr>
      </w:pPr>
      <w:r w:rsidRPr="004921E8">
        <w:rPr>
          <w:rFonts w:cs="Times New Roman"/>
          <w:i/>
          <w:szCs w:val="24"/>
        </w:rPr>
        <w:t>(1</w:t>
      </w:r>
      <w:r w:rsidR="00B72139">
        <w:rPr>
          <w:rFonts w:cs="Times New Roman"/>
          <w:i/>
          <w:szCs w:val="24"/>
        </w:rPr>
        <w:t>7</w:t>
      </w:r>
      <w:r w:rsidRPr="004921E8">
        <w:rPr>
          <w:rFonts w:cs="Times New Roman"/>
          <w:i/>
          <w:szCs w:val="24"/>
        </w:rPr>
        <w:t xml:space="preserve">) Ultimately, the “test is when provable injury capable of attracting compensation occurred, and that is when it is available to be proved and damage is, in the Brandley sense, manifest.” [Cantrell, para 140] </w:t>
      </w:r>
      <w:r w:rsidR="00F96C02">
        <w:rPr>
          <w:rFonts w:cs="Times New Roman"/>
          <w:i/>
          <w:szCs w:val="24"/>
        </w:rPr>
        <w:t>“</w:t>
      </w:r>
    </w:p>
    <w:p w14:paraId="1DAA4CAF" w14:textId="77777777" w:rsidR="004921E8" w:rsidRPr="004921E8" w:rsidRDefault="004921E8" w:rsidP="004921E8">
      <w:pPr>
        <w:spacing w:line="480" w:lineRule="auto"/>
        <w:ind w:left="720"/>
        <w:contextualSpacing/>
        <w:rPr>
          <w:rFonts w:cs="Times New Roman"/>
          <w:szCs w:val="24"/>
        </w:rPr>
      </w:pPr>
    </w:p>
    <w:p w14:paraId="294C97F6" w14:textId="77777777" w:rsidR="0043463B" w:rsidRPr="00403A5C" w:rsidRDefault="00B87332" w:rsidP="0043463B">
      <w:pPr>
        <w:pStyle w:val="ListParagraph"/>
        <w:numPr>
          <w:ilvl w:val="0"/>
          <w:numId w:val="1"/>
        </w:numPr>
        <w:spacing w:line="480" w:lineRule="auto"/>
        <w:ind w:hanging="720"/>
        <w:rPr>
          <w:szCs w:val="24"/>
        </w:rPr>
      </w:pPr>
      <w:bookmarkStart w:id="4" w:name="_Hlk83458514"/>
      <w:r>
        <w:rPr>
          <w:rFonts w:cs="Times New Roman"/>
          <w:szCs w:val="24"/>
        </w:rPr>
        <w:t xml:space="preserve">As I acknowledged in </w:t>
      </w:r>
      <w:r w:rsidRPr="00B87332">
        <w:rPr>
          <w:rFonts w:cs="Times New Roman"/>
          <w:i/>
          <w:szCs w:val="24"/>
        </w:rPr>
        <w:t>Sm</w:t>
      </w:r>
      <w:r w:rsidR="00A75197">
        <w:rPr>
          <w:rFonts w:cs="Times New Roman"/>
          <w:i/>
          <w:szCs w:val="24"/>
        </w:rPr>
        <w:t>i</w:t>
      </w:r>
      <w:r w:rsidRPr="00B87332">
        <w:rPr>
          <w:rFonts w:cs="Times New Roman"/>
          <w:i/>
          <w:szCs w:val="24"/>
        </w:rPr>
        <w:t>th v Cunningham</w:t>
      </w:r>
      <w:r>
        <w:rPr>
          <w:rFonts w:cs="Times New Roman"/>
          <w:szCs w:val="24"/>
        </w:rPr>
        <w:t xml:space="preserve">, </w:t>
      </w:r>
      <w:r w:rsidR="00B177DA">
        <w:rPr>
          <w:rFonts w:cs="Times New Roman"/>
          <w:szCs w:val="24"/>
        </w:rPr>
        <w:t xml:space="preserve"> this analysis is</w:t>
      </w:r>
      <w:r w:rsidR="0043463B">
        <w:rPr>
          <w:rFonts w:cs="Times New Roman"/>
          <w:szCs w:val="24"/>
        </w:rPr>
        <w:t xml:space="preserve"> of limited practical </w:t>
      </w:r>
      <w:r w:rsidR="00120CCE">
        <w:rPr>
          <w:rFonts w:cs="Times New Roman"/>
          <w:szCs w:val="24"/>
        </w:rPr>
        <w:t>utility</w:t>
      </w:r>
      <w:r w:rsidR="0043463B">
        <w:rPr>
          <w:rFonts w:cs="Times New Roman"/>
          <w:szCs w:val="24"/>
        </w:rPr>
        <w:t xml:space="preserve"> and it does not pretend to</w:t>
      </w:r>
      <w:r w:rsidR="0043463B" w:rsidRPr="0043463B">
        <w:rPr>
          <w:rFonts w:cs="Times New Roman"/>
          <w:szCs w:val="24"/>
        </w:rPr>
        <w:t xml:space="preserve"> provide any form of bright-line rule or principle of general applica</w:t>
      </w:r>
      <w:r w:rsidR="00120CCE">
        <w:rPr>
          <w:rFonts w:cs="Times New Roman"/>
          <w:szCs w:val="24"/>
        </w:rPr>
        <w:t>tion</w:t>
      </w:r>
      <w:r w:rsidR="0043463B" w:rsidRPr="0043463B">
        <w:rPr>
          <w:rFonts w:cs="Times New Roman"/>
          <w:szCs w:val="24"/>
        </w:rPr>
        <w:t xml:space="preserve"> capable of producing predictable and repeatable results. The uncertainty as to the operation of section 11(2)(a) of the 1957 Act in the respect of claims in negligence for financial loss – a hugely significant area of the law - is wholly unsatisfactory. </w:t>
      </w:r>
    </w:p>
    <w:p w14:paraId="7A6E8FA8" w14:textId="77777777" w:rsidR="00403A5C" w:rsidRPr="0043463B" w:rsidRDefault="00403A5C" w:rsidP="00403A5C">
      <w:pPr>
        <w:pStyle w:val="ListParagraph"/>
        <w:spacing w:line="480" w:lineRule="auto"/>
        <w:rPr>
          <w:szCs w:val="24"/>
        </w:rPr>
      </w:pPr>
    </w:p>
    <w:p w14:paraId="7E8A1152" w14:textId="77777777" w:rsidR="004921E8" w:rsidRPr="00591991" w:rsidRDefault="00403A5C" w:rsidP="00F96C02">
      <w:pPr>
        <w:pStyle w:val="ListParagraph"/>
        <w:numPr>
          <w:ilvl w:val="0"/>
          <w:numId w:val="1"/>
        </w:numPr>
        <w:spacing w:line="480" w:lineRule="auto"/>
        <w:ind w:hanging="720"/>
        <w:rPr>
          <w:szCs w:val="24"/>
        </w:rPr>
      </w:pPr>
      <w:r>
        <w:rPr>
          <w:rFonts w:cs="Times New Roman"/>
          <w:szCs w:val="24"/>
        </w:rPr>
        <w:t xml:space="preserve">I would also refer to my comments in </w:t>
      </w:r>
      <w:r w:rsidRPr="00403A5C">
        <w:rPr>
          <w:rFonts w:cs="Times New Roman"/>
          <w:i/>
          <w:szCs w:val="24"/>
        </w:rPr>
        <w:t>Sm</w:t>
      </w:r>
      <w:r w:rsidR="00A75197">
        <w:rPr>
          <w:rFonts w:cs="Times New Roman"/>
          <w:i/>
          <w:szCs w:val="24"/>
        </w:rPr>
        <w:t>i</w:t>
      </w:r>
      <w:r w:rsidRPr="00403A5C">
        <w:rPr>
          <w:rFonts w:cs="Times New Roman"/>
          <w:i/>
          <w:szCs w:val="24"/>
        </w:rPr>
        <w:t>th v Cunningham</w:t>
      </w:r>
      <w:r>
        <w:rPr>
          <w:rFonts w:cs="Times New Roman"/>
          <w:szCs w:val="24"/>
        </w:rPr>
        <w:t xml:space="preserve"> on the issue of the burden of proof</w:t>
      </w:r>
      <w:r w:rsidR="009E4887">
        <w:rPr>
          <w:rFonts w:cs="Times New Roman"/>
          <w:szCs w:val="24"/>
        </w:rPr>
        <w:t xml:space="preserve">. That issue was not the subject of </w:t>
      </w:r>
      <w:r w:rsidR="00120CCE">
        <w:rPr>
          <w:rFonts w:cs="Times New Roman"/>
          <w:szCs w:val="24"/>
        </w:rPr>
        <w:t xml:space="preserve">any significant </w:t>
      </w:r>
      <w:r w:rsidR="009E4887">
        <w:rPr>
          <w:rFonts w:cs="Times New Roman"/>
          <w:szCs w:val="24"/>
        </w:rPr>
        <w:t xml:space="preserve">discussion in this appeal. </w:t>
      </w:r>
    </w:p>
    <w:bookmarkEnd w:id="4"/>
    <w:p w14:paraId="11C76935" w14:textId="77777777" w:rsidR="00591991" w:rsidRDefault="00591991" w:rsidP="00591991">
      <w:pPr>
        <w:pStyle w:val="ListParagraph"/>
        <w:spacing w:line="480" w:lineRule="auto"/>
        <w:rPr>
          <w:szCs w:val="24"/>
        </w:rPr>
      </w:pPr>
    </w:p>
    <w:p w14:paraId="2A1BD7D1" w14:textId="77777777" w:rsidR="0043452A" w:rsidRPr="0043452A" w:rsidRDefault="0043452A" w:rsidP="00591991">
      <w:pPr>
        <w:pStyle w:val="ListParagraph"/>
        <w:spacing w:line="480" w:lineRule="auto"/>
        <w:rPr>
          <w:b/>
          <w:i/>
          <w:szCs w:val="24"/>
        </w:rPr>
      </w:pPr>
      <w:r w:rsidRPr="0043452A">
        <w:rPr>
          <w:b/>
          <w:i/>
          <w:szCs w:val="24"/>
        </w:rPr>
        <w:lastRenderedPageBreak/>
        <w:t>The Transaction</w:t>
      </w:r>
      <w:r>
        <w:rPr>
          <w:b/>
          <w:i/>
          <w:szCs w:val="24"/>
        </w:rPr>
        <w:t>(</w:t>
      </w:r>
      <w:r w:rsidRPr="0043452A">
        <w:rPr>
          <w:b/>
          <w:i/>
          <w:szCs w:val="24"/>
        </w:rPr>
        <w:t>s</w:t>
      </w:r>
      <w:r>
        <w:rPr>
          <w:b/>
          <w:i/>
          <w:szCs w:val="24"/>
        </w:rPr>
        <w:t>)</w:t>
      </w:r>
      <w:r w:rsidRPr="0043452A">
        <w:rPr>
          <w:b/>
          <w:i/>
          <w:szCs w:val="24"/>
        </w:rPr>
        <w:t xml:space="preserve"> Here</w:t>
      </w:r>
    </w:p>
    <w:p w14:paraId="0933444C" w14:textId="77777777" w:rsidR="0043452A" w:rsidRPr="00591991" w:rsidRDefault="0043452A" w:rsidP="00591991">
      <w:pPr>
        <w:pStyle w:val="ListParagraph"/>
        <w:spacing w:line="480" w:lineRule="auto"/>
        <w:rPr>
          <w:szCs w:val="24"/>
        </w:rPr>
      </w:pPr>
    </w:p>
    <w:p w14:paraId="0ECFC325" w14:textId="77777777" w:rsidR="00BF15F6" w:rsidRDefault="0043452A" w:rsidP="00F96C02">
      <w:pPr>
        <w:pStyle w:val="ListParagraph"/>
        <w:numPr>
          <w:ilvl w:val="0"/>
          <w:numId w:val="1"/>
        </w:numPr>
        <w:spacing w:line="480" w:lineRule="auto"/>
        <w:ind w:hanging="720"/>
        <w:rPr>
          <w:szCs w:val="24"/>
        </w:rPr>
      </w:pPr>
      <w:r>
        <w:rPr>
          <w:szCs w:val="24"/>
        </w:rPr>
        <w:t xml:space="preserve">The First and Second Options are clearly connected. The Second Option had no purpose or effect in the absence of the First Option and to that extent was </w:t>
      </w:r>
      <w:r w:rsidR="00A75197">
        <w:rPr>
          <w:szCs w:val="24"/>
        </w:rPr>
        <w:t xml:space="preserve">clearly </w:t>
      </w:r>
      <w:r>
        <w:rPr>
          <w:szCs w:val="24"/>
        </w:rPr>
        <w:t xml:space="preserve">dependent on it. </w:t>
      </w:r>
      <w:r w:rsidR="00A75197">
        <w:rPr>
          <w:szCs w:val="24"/>
        </w:rPr>
        <w:t>However, t</w:t>
      </w:r>
      <w:r>
        <w:rPr>
          <w:szCs w:val="24"/>
        </w:rPr>
        <w:t>he converse is not the case</w:t>
      </w:r>
      <w:r w:rsidR="00A75197">
        <w:rPr>
          <w:szCs w:val="24"/>
        </w:rPr>
        <w:t>.</w:t>
      </w:r>
      <w:r>
        <w:rPr>
          <w:szCs w:val="24"/>
        </w:rPr>
        <w:t xml:space="preserve"> The First Option was not dependent on the Second Option and could have been entered into in</w:t>
      </w:r>
      <w:r w:rsidR="004B633C">
        <w:rPr>
          <w:szCs w:val="24"/>
        </w:rPr>
        <w:t xml:space="preserve">dependently of </w:t>
      </w:r>
      <w:r>
        <w:rPr>
          <w:szCs w:val="24"/>
        </w:rPr>
        <w:t xml:space="preserve">any agreement that the Plaintiff should </w:t>
      </w:r>
      <w:r w:rsidR="00A75197">
        <w:rPr>
          <w:szCs w:val="24"/>
        </w:rPr>
        <w:t xml:space="preserve">have </w:t>
      </w:r>
      <w:r>
        <w:rPr>
          <w:szCs w:val="24"/>
        </w:rPr>
        <w:t>an option to re-acquire the Ballynagran Lands after they ceased to be used as a landfill and had been remediated</w:t>
      </w:r>
      <w:r w:rsidR="00BF15F6">
        <w:rPr>
          <w:szCs w:val="24"/>
        </w:rPr>
        <w:t xml:space="preserve"> satisfactorily</w:t>
      </w:r>
      <w:r>
        <w:rPr>
          <w:szCs w:val="24"/>
        </w:rPr>
        <w:t>.</w:t>
      </w:r>
      <w:r w:rsidR="00483D9D">
        <w:rPr>
          <w:szCs w:val="24"/>
        </w:rPr>
        <w:t xml:space="preserve"> </w:t>
      </w:r>
    </w:p>
    <w:p w14:paraId="537E2A5F" w14:textId="77777777" w:rsidR="00BF15F6" w:rsidRDefault="00BF15F6" w:rsidP="00BF15F6">
      <w:pPr>
        <w:pStyle w:val="ListParagraph"/>
        <w:spacing w:line="480" w:lineRule="auto"/>
        <w:rPr>
          <w:szCs w:val="24"/>
        </w:rPr>
      </w:pPr>
    </w:p>
    <w:p w14:paraId="2A2C66BD" w14:textId="77777777" w:rsidR="00A53DC8" w:rsidRDefault="00483D9D" w:rsidP="00F96C02">
      <w:pPr>
        <w:pStyle w:val="ListParagraph"/>
        <w:numPr>
          <w:ilvl w:val="0"/>
          <w:numId w:val="1"/>
        </w:numPr>
        <w:spacing w:line="480" w:lineRule="auto"/>
        <w:ind w:hanging="720"/>
        <w:rPr>
          <w:szCs w:val="24"/>
        </w:rPr>
      </w:pPr>
      <w:r>
        <w:rPr>
          <w:szCs w:val="24"/>
        </w:rPr>
        <w:t>As I understand the Plaintiff’s case, t</w:t>
      </w:r>
      <w:r w:rsidR="00BF15F6">
        <w:rPr>
          <w:szCs w:val="24"/>
        </w:rPr>
        <w:t xml:space="preserve">he essence of </w:t>
      </w:r>
      <w:r>
        <w:rPr>
          <w:szCs w:val="24"/>
        </w:rPr>
        <w:t>his</w:t>
      </w:r>
      <w:r w:rsidR="00BF15F6">
        <w:rPr>
          <w:szCs w:val="24"/>
        </w:rPr>
        <w:t xml:space="preserve"> complaint in relation to the First Option is that </w:t>
      </w:r>
      <w:r w:rsidR="00A53DC8">
        <w:rPr>
          <w:szCs w:val="24"/>
        </w:rPr>
        <w:t>neither the option itself nor the draft cont</w:t>
      </w:r>
      <w:r w:rsidR="00464FFF">
        <w:rPr>
          <w:szCs w:val="24"/>
        </w:rPr>
        <w:t>r</w:t>
      </w:r>
      <w:r w:rsidR="00A53DC8">
        <w:rPr>
          <w:szCs w:val="24"/>
        </w:rPr>
        <w:t xml:space="preserve">act annexed to it made </w:t>
      </w:r>
      <w:r w:rsidR="00A75197">
        <w:rPr>
          <w:szCs w:val="24"/>
        </w:rPr>
        <w:t xml:space="preserve">appropriate </w:t>
      </w:r>
      <w:r w:rsidR="00A53DC8">
        <w:rPr>
          <w:szCs w:val="24"/>
        </w:rPr>
        <w:t xml:space="preserve">provision for </w:t>
      </w:r>
      <w:r w:rsidR="00A75197">
        <w:rPr>
          <w:szCs w:val="24"/>
        </w:rPr>
        <w:t>Greenstar Holdings Limited’s</w:t>
      </w:r>
      <w:r w:rsidR="00BF15F6">
        <w:rPr>
          <w:szCs w:val="24"/>
        </w:rPr>
        <w:t xml:space="preserve"> liability to make </w:t>
      </w:r>
      <w:r w:rsidR="00A53DC8">
        <w:rPr>
          <w:szCs w:val="24"/>
        </w:rPr>
        <w:t xml:space="preserve">the </w:t>
      </w:r>
      <w:r w:rsidR="00BF15F6">
        <w:rPr>
          <w:szCs w:val="24"/>
        </w:rPr>
        <w:t xml:space="preserve">royalty payments </w:t>
      </w:r>
      <w:r w:rsidR="00A53DC8">
        <w:rPr>
          <w:szCs w:val="24"/>
        </w:rPr>
        <w:t>to</w:t>
      </w:r>
      <w:r>
        <w:rPr>
          <w:szCs w:val="24"/>
        </w:rPr>
        <w:t xml:space="preserve"> be secured on the Ballynagran Lands</w:t>
      </w:r>
      <w:r w:rsidR="00BD60FA">
        <w:rPr>
          <w:szCs w:val="24"/>
        </w:rPr>
        <w:t xml:space="preserve"> </w:t>
      </w:r>
      <w:r w:rsidR="00F45EE4">
        <w:rPr>
          <w:szCs w:val="24"/>
        </w:rPr>
        <w:t xml:space="preserve">in the event </w:t>
      </w:r>
      <w:r w:rsidR="00A75197">
        <w:rPr>
          <w:szCs w:val="24"/>
        </w:rPr>
        <w:t>that t</w:t>
      </w:r>
      <w:r w:rsidR="00F45EE4">
        <w:rPr>
          <w:szCs w:val="24"/>
        </w:rPr>
        <w:t xml:space="preserve">he option </w:t>
      </w:r>
      <w:r w:rsidR="00A75197">
        <w:rPr>
          <w:szCs w:val="24"/>
        </w:rPr>
        <w:t>was</w:t>
      </w:r>
      <w:r w:rsidR="00F45EE4">
        <w:rPr>
          <w:szCs w:val="24"/>
        </w:rPr>
        <w:t xml:space="preserve"> exercised. If the liability was secured as it ought to have been</w:t>
      </w:r>
      <w:r w:rsidR="00BD60FA">
        <w:rPr>
          <w:szCs w:val="24"/>
        </w:rPr>
        <w:t xml:space="preserve"> – so the Plaintiff says –</w:t>
      </w:r>
      <w:r w:rsidR="00F45EE4">
        <w:rPr>
          <w:szCs w:val="24"/>
        </w:rPr>
        <w:t xml:space="preserve"> </w:t>
      </w:r>
      <w:r w:rsidR="00BD60FA">
        <w:rPr>
          <w:szCs w:val="24"/>
        </w:rPr>
        <w:t xml:space="preserve">he </w:t>
      </w:r>
      <w:r w:rsidR="00F45EE4">
        <w:rPr>
          <w:szCs w:val="24"/>
        </w:rPr>
        <w:t>would have been protected when Greenstar Holdings Limited was put into receivership in 2012 and would not have suffered the loss he did arising from the non-payment of royalty payments in respect of the period from 1 January 2012 to 22 August 2012 and</w:t>
      </w:r>
      <w:r w:rsidR="00D5786C">
        <w:rPr>
          <w:szCs w:val="24"/>
        </w:rPr>
        <w:t>, presumably,</w:t>
      </w:r>
      <w:r w:rsidR="00F45EE4">
        <w:rPr>
          <w:szCs w:val="24"/>
        </w:rPr>
        <w:t xml:space="preserve"> subsequent periods</w:t>
      </w:r>
      <w:r w:rsidR="00D5786C">
        <w:rPr>
          <w:szCs w:val="24"/>
        </w:rPr>
        <w:t xml:space="preserve"> also (in fact the Statement of Claim is far from clear as to the claim - if any – being made in respect of subsequent periods).</w:t>
      </w:r>
    </w:p>
    <w:p w14:paraId="046E2D8A" w14:textId="77777777" w:rsidR="00A53DC8" w:rsidRDefault="00A53DC8" w:rsidP="00F45EE4">
      <w:pPr>
        <w:pStyle w:val="ListParagraph"/>
        <w:spacing w:line="480" w:lineRule="auto"/>
        <w:rPr>
          <w:szCs w:val="24"/>
        </w:rPr>
      </w:pPr>
    </w:p>
    <w:p w14:paraId="11D5C88C" w14:textId="77777777" w:rsidR="00F45EE4" w:rsidRDefault="00F45EE4" w:rsidP="00F96C02">
      <w:pPr>
        <w:pStyle w:val="ListParagraph"/>
        <w:numPr>
          <w:ilvl w:val="0"/>
          <w:numId w:val="1"/>
        </w:numPr>
        <w:spacing w:line="480" w:lineRule="auto"/>
        <w:ind w:hanging="720"/>
        <w:rPr>
          <w:szCs w:val="24"/>
        </w:rPr>
      </w:pPr>
      <w:r>
        <w:rPr>
          <w:szCs w:val="24"/>
        </w:rPr>
        <w:t>The Plaintiff does not appear to have any complaint regarding the Second Option.</w:t>
      </w:r>
      <w:r w:rsidR="00DA48E8">
        <w:rPr>
          <w:szCs w:val="24"/>
        </w:rPr>
        <w:t xml:space="preserve"> While it is said in the Statement of Claim that Matheson was negligent in advising the Plaintiff </w:t>
      </w:r>
      <w:r w:rsidR="00DA48E8" w:rsidRPr="00DA48E8">
        <w:rPr>
          <w:i/>
          <w:szCs w:val="24"/>
        </w:rPr>
        <w:t xml:space="preserve">“to enter into the Second Option with a company with no interest in the Lands and without the ability to transfer back the lands to the Plaintiff rendering the Opinion </w:t>
      </w:r>
      <w:r w:rsidR="00DA48E8" w:rsidRPr="00DA48E8">
        <w:rPr>
          <w:i/>
          <w:szCs w:val="24"/>
        </w:rPr>
        <w:lastRenderedPageBreak/>
        <w:t>ineffective</w:t>
      </w:r>
      <w:r w:rsidR="00DA48E8">
        <w:rPr>
          <w:szCs w:val="24"/>
        </w:rPr>
        <w:t>”</w:t>
      </w:r>
      <w:r w:rsidR="00464FFF">
        <w:rPr>
          <w:szCs w:val="24"/>
        </w:rPr>
        <w:t>,</w:t>
      </w:r>
      <w:r w:rsidR="004B633C">
        <w:rPr>
          <w:szCs w:val="24"/>
        </w:rPr>
        <w:t xml:space="preserve"> that does not accurately reflect the position as of November 2000 and the </w:t>
      </w:r>
      <w:r w:rsidR="00A75197">
        <w:rPr>
          <w:szCs w:val="24"/>
        </w:rPr>
        <w:t xml:space="preserve">reference to the Second Option appears to be an error: the substantive </w:t>
      </w:r>
      <w:r w:rsidR="004B633C">
        <w:rPr>
          <w:szCs w:val="24"/>
        </w:rPr>
        <w:t xml:space="preserve">complaint </w:t>
      </w:r>
      <w:r w:rsidR="00A75197">
        <w:rPr>
          <w:szCs w:val="24"/>
        </w:rPr>
        <w:t xml:space="preserve">appears to be </w:t>
      </w:r>
      <w:r w:rsidR="004B633C">
        <w:rPr>
          <w:szCs w:val="24"/>
        </w:rPr>
        <w:t>directed to the 2005 transaction rather than the Second Option.</w:t>
      </w:r>
      <w:r w:rsidR="00A75197">
        <w:rPr>
          <w:szCs w:val="24"/>
        </w:rPr>
        <w:t xml:space="preserve"> </w:t>
      </w:r>
    </w:p>
    <w:p w14:paraId="517B6C4A" w14:textId="77777777" w:rsidR="00F45EE4" w:rsidRDefault="00F45EE4" w:rsidP="00F45EE4">
      <w:pPr>
        <w:pStyle w:val="ListParagraph"/>
        <w:spacing w:line="480" w:lineRule="auto"/>
        <w:rPr>
          <w:szCs w:val="24"/>
        </w:rPr>
      </w:pPr>
    </w:p>
    <w:p w14:paraId="06F62D06" w14:textId="77777777" w:rsidR="00F45EE4" w:rsidRDefault="00F45EE4" w:rsidP="00F96C02">
      <w:pPr>
        <w:pStyle w:val="ListParagraph"/>
        <w:numPr>
          <w:ilvl w:val="0"/>
          <w:numId w:val="1"/>
        </w:numPr>
        <w:spacing w:line="480" w:lineRule="auto"/>
        <w:ind w:hanging="720"/>
        <w:rPr>
          <w:szCs w:val="24"/>
        </w:rPr>
      </w:pPr>
      <w:r>
        <w:rPr>
          <w:szCs w:val="24"/>
        </w:rPr>
        <w:t xml:space="preserve"> </w:t>
      </w:r>
      <w:bookmarkStart w:id="5" w:name="_Hlk83280029"/>
      <w:r w:rsidR="00BD60FA">
        <w:rPr>
          <w:szCs w:val="24"/>
        </w:rPr>
        <w:t xml:space="preserve">Insofar as Matheson </w:t>
      </w:r>
      <w:r w:rsidR="00307F72">
        <w:rPr>
          <w:szCs w:val="24"/>
        </w:rPr>
        <w:t>was</w:t>
      </w:r>
      <w:r w:rsidR="00BD60FA">
        <w:rPr>
          <w:szCs w:val="24"/>
        </w:rPr>
        <w:t xml:space="preserve"> negligent in advising the Plaintiff about the First Option – and, for the purposes of the preliminary issue, the Plaintiff’s claim must be taken at its height – that negligence occurred in the period leading up to the execution of the </w:t>
      </w:r>
      <w:r w:rsidR="00357996">
        <w:rPr>
          <w:szCs w:val="24"/>
        </w:rPr>
        <w:t>First Option</w:t>
      </w:r>
      <w:r w:rsidR="00BD60FA">
        <w:rPr>
          <w:szCs w:val="24"/>
        </w:rPr>
        <w:t xml:space="preserve"> in November 2000. There is no dispute as to that: the dispute is as to when </w:t>
      </w:r>
      <w:r w:rsidR="00FA7137">
        <w:rPr>
          <w:szCs w:val="24"/>
        </w:rPr>
        <w:t xml:space="preserve">any resulting </w:t>
      </w:r>
      <w:r w:rsidR="00BD60FA">
        <w:rPr>
          <w:szCs w:val="24"/>
        </w:rPr>
        <w:t xml:space="preserve">damage was sustained by the Plaintiff. </w:t>
      </w:r>
      <w:bookmarkEnd w:id="5"/>
    </w:p>
    <w:p w14:paraId="2D2A065D" w14:textId="77777777" w:rsidR="00F45EE4" w:rsidRDefault="00F45EE4" w:rsidP="00F45EE4">
      <w:pPr>
        <w:pStyle w:val="ListParagraph"/>
        <w:spacing w:line="480" w:lineRule="auto"/>
        <w:rPr>
          <w:szCs w:val="24"/>
        </w:rPr>
      </w:pPr>
    </w:p>
    <w:p w14:paraId="4042E6B1" w14:textId="77777777" w:rsidR="00DA48E8" w:rsidRDefault="00BD60FA" w:rsidP="00F96C02">
      <w:pPr>
        <w:pStyle w:val="ListParagraph"/>
        <w:numPr>
          <w:ilvl w:val="0"/>
          <w:numId w:val="1"/>
        </w:numPr>
        <w:spacing w:line="480" w:lineRule="auto"/>
        <w:ind w:hanging="720"/>
        <w:rPr>
          <w:szCs w:val="24"/>
        </w:rPr>
      </w:pPr>
      <w:r>
        <w:rPr>
          <w:szCs w:val="24"/>
        </w:rPr>
        <w:t xml:space="preserve">Before addressing that question </w:t>
      </w:r>
      <w:r w:rsidR="00F45EE4">
        <w:rPr>
          <w:szCs w:val="24"/>
        </w:rPr>
        <w:t xml:space="preserve"> </w:t>
      </w:r>
      <w:r w:rsidR="00FA7137">
        <w:rPr>
          <w:szCs w:val="24"/>
        </w:rPr>
        <w:t xml:space="preserve">further, it is necessary to look at the 2005 transaction. A number of complaints are made by the Plaintiff but the essential complaint is that Matheson permitted the Ballynagran Lands to be conveyed to </w:t>
      </w:r>
      <w:bookmarkStart w:id="6" w:name="_Hlk96691693"/>
      <w:r w:rsidR="00FA7137">
        <w:rPr>
          <w:szCs w:val="24"/>
        </w:rPr>
        <w:t>Greenstar Properties Limited</w:t>
      </w:r>
      <w:r w:rsidR="00307F72">
        <w:rPr>
          <w:szCs w:val="24"/>
        </w:rPr>
        <w:t xml:space="preserve"> </w:t>
      </w:r>
      <w:bookmarkEnd w:id="6"/>
      <w:r w:rsidR="00307F72">
        <w:rPr>
          <w:szCs w:val="24"/>
        </w:rPr>
        <w:t>either at all</w:t>
      </w:r>
      <w:r w:rsidR="008A4B9E">
        <w:rPr>
          <w:szCs w:val="24"/>
        </w:rPr>
        <w:t xml:space="preserve">, or at least without </w:t>
      </w:r>
      <w:r w:rsidR="00307F72">
        <w:rPr>
          <w:szCs w:val="24"/>
        </w:rPr>
        <w:t xml:space="preserve">first </w:t>
      </w:r>
      <w:r w:rsidR="00FA7137">
        <w:rPr>
          <w:szCs w:val="24"/>
        </w:rPr>
        <w:t xml:space="preserve">ensuring that </w:t>
      </w:r>
      <w:r w:rsidR="003604D7">
        <w:rPr>
          <w:szCs w:val="24"/>
        </w:rPr>
        <w:t xml:space="preserve">Greenstar Properties Limited </w:t>
      </w:r>
      <w:r w:rsidR="00DA48E8">
        <w:rPr>
          <w:szCs w:val="24"/>
        </w:rPr>
        <w:t>was</w:t>
      </w:r>
      <w:r w:rsidR="00FA7137">
        <w:rPr>
          <w:szCs w:val="24"/>
        </w:rPr>
        <w:t xml:space="preserve"> bound by the obligations undertaken by Greenstar Holdings Limited under the First and Second Options. </w:t>
      </w:r>
      <w:r w:rsidR="0014625A">
        <w:rPr>
          <w:szCs w:val="24"/>
        </w:rPr>
        <w:t>On the Plaintiff’s case, the Ballynagran Lands should either have been transferred to Greenstar Holdings Limited as provided for in the First Op</w:t>
      </w:r>
      <w:r w:rsidR="00307F72">
        <w:rPr>
          <w:szCs w:val="24"/>
        </w:rPr>
        <w:t>tion</w:t>
      </w:r>
      <w:r w:rsidR="0014625A">
        <w:rPr>
          <w:szCs w:val="24"/>
        </w:rPr>
        <w:t xml:space="preserve"> or, in the alternative, in the event that the Lands were to be transferred to </w:t>
      </w:r>
      <w:bookmarkStart w:id="7" w:name="_Hlk83279597"/>
      <w:r w:rsidR="0014625A">
        <w:rPr>
          <w:szCs w:val="24"/>
        </w:rPr>
        <w:t>Greenstar Properties Limited</w:t>
      </w:r>
      <w:bookmarkEnd w:id="7"/>
      <w:r w:rsidR="0014625A">
        <w:rPr>
          <w:szCs w:val="24"/>
        </w:rPr>
        <w:t>, the necessary steps should have been taken (and Matheson should have advised the Plaintiff of the need for such steps to be taken) to ensure that Greenstar Properties Limited would stand fully in the shoes of Greenstar Holdings Limited as regards all of its obligations under the First and Second Options (including the obligation to make royalty payments)</w:t>
      </w:r>
      <w:r w:rsidR="00064CA0">
        <w:rPr>
          <w:szCs w:val="24"/>
        </w:rPr>
        <w:t xml:space="preserve"> </w:t>
      </w:r>
      <w:r w:rsidR="0014625A">
        <w:rPr>
          <w:szCs w:val="24"/>
        </w:rPr>
        <w:t>so that the First and Second Options could be enforced effectively against Greenstar Properties Limited.</w:t>
      </w:r>
    </w:p>
    <w:p w14:paraId="6198E406" w14:textId="77777777" w:rsidR="00DA48E8" w:rsidRDefault="00DA48E8" w:rsidP="00DA48E8">
      <w:pPr>
        <w:pStyle w:val="ListParagraph"/>
        <w:spacing w:line="480" w:lineRule="auto"/>
        <w:rPr>
          <w:szCs w:val="24"/>
        </w:rPr>
      </w:pPr>
    </w:p>
    <w:p w14:paraId="41709E36" w14:textId="77777777" w:rsidR="00591991" w:rsidRDefault="00FA7137" w:rsidP="00F96C02">
      <w:pPr>
        <w:pStyle w:val="ListParagraph"/>
        <w:numPr>
          <w:ilvl w:val="0"/>
          <w:numId w:val="1"/>
        </w:numPr>
        <w:spacing w:line="480" w:lineRule="auto"/>
        <w:ind w:hanging="720"/>
        <w:rPr>
          <w:szCs w:val="24"/>
        </w:rPr>
      </w:pPr>
      <w:r>
        <w:rPr>
          <w:szCs w:val="24"/>
        </w:rPr>
        <w:t xml:space="preserve"> </w:t>
      </w:r>
      <w:r w:rsidR="0057305F">
        <w:rPr>
          <w:szCs w:val="24"/>
        </w:rPr>
        <w:t xml:space="preserve">Insofar as Matheson may have been negligent in advising the Plaintiff about the 2005 transaction – and, again, the Plaintiff’s claim here </w:t>
      </w:r>
      <w:r w:rsidR="00A75197">
        <w:rPr>
          <w:szCs w:val="24"/>
        </w:rPr>
        <w:t>must</w:t>
      </w:r>
      <w:r w:rsidR="0057305F">
        <w:rPr>
          <w:szCs w:val="24"/>
        </w:rPr>
        <w:t xml:space="preserve"> be taken at its height – </w:t>
      </w:r>
      <w:r w:rsidR="00A75197">
        <w:rPr>
          <w:szCs w:val="24"/>
        </w:rPr>
        <w:t>such</w:t>
      </w:r>
      <w:r w:rsidR="0057305F">
        <w:rPr>
          <w:szCs w:val="24"/>
        </w:rPr>
        <w:t xml:space="preserve"> negligence occurred in the period leading up to the transfer of the Ballynagran Lands to Greenstar Properties in 2005. Again, there is no dispute as to that: the material dispute is, once again, as to when any resulting damage was sustained by the Plaintiff.</w:t>
      </w:r>
    </w:p>
    <w:p w14:paraId="187243E7" w14:textId="77777777" w:rsidR="0043452A" w:rsidRDefault="0043452A" w:rsidP="0043452A">
      <w:pPr>
        <w:pStyle w:val="ListParagraph"/>
        <w:spacing w:line="480" w:lineRule="auto"/>
        <w:rPr>
          <w:szCs w:val="24"/>
        </w:rPr>
      </w:pPr>
    </w:p>
    <w:p w14:paraId="72A3B6ED" w14:textId="77777777" w:rsidR="0043452A" w:rsidRDefault="0057305F" w:rsidP="00F96C02">
      <w:pPr>
        <w:pStyle w:val="ListParagraph"/>
        <w:numPr>
          <w:ilvl w:val="0"/>
          <w:numId w:val="1"/>
        </w:numPr>
        <w:spacing w:line="480" w:lineRule="auto"/>
        <w:ind w:hanging="720"/>
        <w:rPr>
          <w:szCs w:val="24"/>
        </w:rPr>
      </w:pPr>
      <w:r>
        <w:rPr>
          <w:szCs w:val="24"/>
        </w:rPr>
        <w:t>Although there is a</w:t>
      </w:r>
      <w:r w:rsidR="008A49CD">
        <w:rPr>
          <w:szCs w:val="24"/>
        </w:rPr>
        <w:t xml:space="preserve"> clear </w:t>
      </w:r>
      <w:r>
        <w:rPr>
          <w:szCs w:val="24"/>
        </w:rPr>
        <w:t>connection between the First and Second Options on the one hand and the 200</w:t>
      </w:r>
      <w:r w:rsidR="007D3AF8">
        <w:rPr>
          <w:szCs w:val="24"/>
        </w:rPr>
        <w:t xml:space="preserve">5 transaction on the other, they </w:t>
      </w:r>
      <w:r w:rsidR="00A75197">
        <w:rPr>
          <w:szCs w:val="24"/>
        </w:rPr>
        <w:t>were</w:t>
      </w:r>
      <w:r w:rsidR="007D3AF8">
        <w:rPr>
          <w:szCs w:val="24"/>
        </w:rPr>
        <w:t xml:space="preserve"> separate transactions</w:t>
      </w:r>
      <w:r w:rsidR="00A75197">
        <w:rPr>
          <w:szCs w:val="24"/>
        </w:rPr>
        <w:t xml:space="preserve"> and give ri</w:t>
      </w:r>
      <w:r w:rsidR="007D3AF8">
        <w:rPr>
          <w:szCs w:val="24"/>
        </w:rPr>
        <w:t xml:space="preserve">se to separate claims against Matheson. Even if no complaint was made as to the adequacy of the advice provided by Matheson in relation to the terms of the First </w:t>
      </w:r>
      <w:r w:rsidR="00A75197">
        <w:rPr>
          <w:szCs w:val="24"/>
        </w:rPr>
        <w:t>Option</w:t>
      </w:r>
      <w:r w:rsidR="007D3AF8">
        <w:rPr>
          <w:szCs w:val="24"/>
        </w:rPr>
        <w:t xml:space="preserve">, the complaint regarding the 2005 transaction would nonetheless arise. Conversely, even if the Ballynagran Lands had been transferred to Greenstar Holdings Limited in 2005, or if they had been transferred to Greenstar Properties Limited on terms which bound that company to the </w:t>
      </w:r>
      <w:r w:rsidR="008A49CD">
        <w:rPr>
          <w:szCs w:val="24"/>
        </w:rPr>
        <w:t xml:space="preserve">terms of the </w:t>
      </w:r>
      <w:r w:rsidR="007D3AF8">
        <w:rPr>
          <w:szCs w:val="24"/>
        </w:rPr>
        <w:t xml:space="preserve">First and Second Options, the Plaintiff’s complaint regarding the adequacy of those terms, and in particular his complaint that the terms of the First Option (including the conditions of the contract appended to it) did not adequately secure or protect his entitlement to royalty payments, would remain. </w:t>
      </w:r>
    </w:p>
    <w:p w14:paraId="0DADA347" w14:textId="77777777" w:rsidR="004001A6" w:rsidRDefault="004001A6" w:rsidP="004001A6">
      <w:pPr>
        <w:pStyle w:val="ListParagraph"/>
        <w:spacing w:line="480" w:lineRule="auto"/>
        <w:rPr>
          <w:szCs w:val="24"/>
        </w:rPr>
      </w:pPr>
    </w:p>
    <w:p w14:paraId="595D93F6" w14:textId="77777777" w:rsidR="00BE2F25" w:rsidRDefault="004A22C5" w:rsidP="00514634">
      <w:pPr>
        <w:pStyle w:val="ListParagraph"/>
        <w:numPr>
          <w:ilvl w:val="0"/>
          <w:numId w:val="1"/>
        </w:numPr>
        <w:spacing w:line="480" w:lineRule="auto"/>
        <w:ind w:hanging="720"/>
        <w:rPr>
          <w:szCs w:val="24"/>
        </w:rPr>
      </w:pPr>
      <w:r w:rsidRPr="00F360BC">
        <w:rPr>
          <w:szCs w:val="24"/>
        </w:rPr>
        <w:t xml:space="preserve">Canny, </w:t>
      </w:r>
      <w:r w:rsidRPr="00F360BC">
        <w:rPr>
          <w:i/>
          <w:szCs w:val="24"/>
        </w:rPr>
        <w:t>Limitation of Actions</w:t>
      </w:r>
      <w:r w:rsidRPr="00F360BC">
        <w:rPr>
          <w:szCs w:val="24"/>
        </w:rPr>
        <w:t xml:space="preserve"> (2</w:t>
      </w:r>
      <w:r w:rsidRPr="00F360BC">
        <w:rPr>
          <w:szCs w:val="24"/>
          <w:vertAlign w:val="superscript"/>
        </w:rPr>
        <w:t>nd</w:t>
      </w:r>
      <w:r w:rsidRPr="00F360BC">
        <w:rPr>
          <w:szCs w:val="24"/>
        </w:rPr>
        <w:t xml:space="preserve"> ed; 2016) expresses the “</w:t>
      </w:r>
      <w:r w:rsidRPr="00F360BC">
        <w:rPr>
          <w:i/>
          <w:szCs w:val="24"/>
        </w:rPr>
        <w:t>single action rule</w:t>
      </w:r>
      <w:r w:rsidRPr="00F360BC">
        <w:rPr>
          <w:szCs w:val="24"/>
        </w:rPr>
        <w:t xml:space="preserve">” in the following terms: </w:t>
      </w:r>
      <w:r w:rsidRPr="00F360BC">
        <w:rPr>
          <w:i/>
          <w:szCs w:val="24"/>
        </w:rPr>
        <w:t xml:space="preserve">“[i]t is a long established rule at common law that if a plaintiff has suffered actionable damage as a result of a defendant’s breach of duty, in a case where damage is the gist of the action (such as in negligence), he can </w:t>
      </w:r>
      <w:r w:rsidRPr="00F360BC">
        <w:rPr>
          <w:i/>
          <w:szCs w:val="24"/>
          <w:u w:val="single"/>
        </w:rPr>
        <w:t>and must</w:t>
      </w:r>
      <w:r w:rsidRPr="00F360BC">
        <w:rPr>
          <w:i/>
          <w:szCs w:val="24"/>
        </w:rPr>
        <w:t xml:space="preserve"> claim damages </w:t>
      </w:r>
      <w:r w:rsidRPr="00F360BC">
        <w:rPr>
          <w:i/>
          <w:szCs w:val="24"/>
        </w:rPr>
        <w:lastRenderedPageBreak/>
        <w:t>in a single action for all the damage which he has suffered or will suffer in consequence of that breach of duty</w:t>
      </w:r>
      <w:r w:rsidRPr="00F360BC">
        <w:rPr>
          <w:szCs w:val="24"/>
        </w:rPr>
        <w:t xml:space="preserve">” (para 12-04); original emphasis). </w:t>
      </w:r>
      <w:r w:rsidR="00501D89" w:rsidRPr="00F360BC">
        <w:rPr>
          <w:szCs w:val="24"/>
        </w:rPr>
        <w:t xml:space="preserve">Once </w:t>
      </w:r>
      <w:r w:rsidR="00501D89" w:rsidRPr="00F360BC">
        <w:rPr>
          <w:i/>
          <w:szCs w:val="24"/>
        </w:rPr>
        <w:t>any</w:t>
      </w:r>
      <w:r w:rsidR="00501D89" w:rsidRPr="00F360BC">
        <w:rPr>
          <w:szCs w:val="24"/>
        </w:rPr>
        <w:t xml:space="preserve"> actionable damage is suffered, time begins to run. Any further damage that may subsequently arise from the same breach of duty does not give rise to a further cause of action. </w:t>
      </w:r>
      <w:r w:rsidR="00501D89" w:rsidRPr="00F360BC">
        <w:rPr>
          <w:i/>
          <w:szCs w:val="24"/>
        </w:rPr>
        <w:t>All</w:t>
      </w:r>
      <w:r w:rsidR="00501D89" w:rsidRPr="00F360BC">
        <w:rPr>
          <w:szCs w:val="24"/>
        </w:rPr>
        <w:t xml:space="preserve"> damage, including prospective or contingent damage, must be claimed in the first action: the </w:t>
      </w:r>
      <w:r w:rsidR="00F360BC" w:rsidRPr="00F360BC">
        <w:rPr>
          <w:i/>
          <w:szCs w:val="24"/>
        </w:rPr>
        <w:t>“</w:t>
      </w:r>
      <w:r w:rsidR="00501D89" w:rsidRPr="00F360BC">
        <w:rPr>
          <w:i/>
          <w:szCs w:val="24"/>
        </w:rPr>
        <w:t xml:space="preserve">rule is that damages for loss resulting from a single cause of action will include </w:t>
      </w:r>
      <w:r w:rsidR="00F360BC" w:rsidRPr="00F360BC">
        <w:rPr>
          <w:i/>
          <w:szCs w:val="24"/>
        </w:rPr>
        <w:t>compensation not only for damage accruing between the time the cause of action arose and the time that the action was commenced, but also for the future or prospective damage reasonably anticipated as the result of the defendant’s wrong, whether such future damage is certain or contingent.”</w:t>
      </w:r>
      <w:r w:rsidR="00F360BC" w:rsidRPr="00F360BC">
        <w:rPr>
          <w:szCs w:val="24"/>
        </w:rPr>
        <w:t xml:space="preserve"> </w:t>
      </w:r>
      <w:r w:rsidR="00F360BC">
        <w:rPr>
          <w:szCs w:val="24"/>
        </w:rPr>
        <w:t>(</w:t>
      </w:r>
      <w:r w:rsidR="00F360BC" w:rsidRPr="00F360BC">
        <w:rPr>
          <w:i/>
          <w:szCs w:val="24"/>
        </w:rPr>
        <w:t>McGregor on Damages</w:t>
      </w:r>
      <w:r w:rsidR="00F360BC">
        <w:rPr>
          <w:szCs w:val="24"/>
        </w:rPr>
        <w:t xml:space="preserve"> (20</w:t>
      </w:r>
      <w:r w:rsidR="00F360BC" w:rsidRPr="00F360BC">
        <w:rPr>
          <w:szCs w:val="24"/>
          <w:vertAlign w:val="superscript"/>
        </w:rPr>
        <w:t>th</w:t>
      </w:r>
      <w:r w:rsidR="00F360BC">
        <w:rPr>
          <w:szCs w:val="24"/>
        </w:rPr>
        <w:t xml:space="preserve"> ed; 2018) at para 11-024)</w:t>
      </w:r>
    </w:p>
    <w:p w14:paraId="760234E8" w14:textId="77777777" w:rsidR="00F360BC" w:rsidRPr="00F360BC" w:rsidRDefault="00F360BC" w:rsidP="00F360BC">
      <w:pPr>
        <w:pStyle w:val="ListParagraph"/>
        <w:spacing w:line="480" w:lineRule="auto"/>
        <w:rPr>
          <w:szCs w:val="24"/>
        </w:rPr>
      </w:pPr>
    </w:p>
    <w:p w14:paraId="4DB4A1BD" w14:textId="77777777" w:rsidR="004001A6" w:rsidRDefault="004A22C5" w:rsidP="00F96C02">
      <w:pPr>
        <w:pStyle w:val="ListParagraph"/>
        <w:numPr>
          <w:ilvl w:val="0"/>
          <w:numId w:val="1"/>
        </w:numPr>
        <w:spacing w:line="480" w:lineRule="auto"/>
        <w:ind w:hanging="720"/>
        <w:rPr>
          <w:szCs w:val="24"/>
        </w:rPr>
      </w:pPr>
      <w:r>
        <w:rPr>
          <w:szCs w:val="24"/>
        </w:rPr>
        <w:t xml:space="preserve">Where, however, there are separate </w:t>
      </w:r>
      <w:r w:rsidR="00974891">
        <w:rPr>
          <w:szCs w:val="24"/>
        </w:rPr>
        <w:t xml:space="preserve">and distinct </w:t>
      </w:r>
      <w:r>
        <w:rPr>
          <w:szCs w:val="24"/>
        </w:rPr>
        <w:t>breaches of duty</w:t>
      </w:r>
      <w:r w:rsidR="00974891">
        <w:rPr>
          <w:szCs w:val="24"/>
        </w:rPr>
        <w:t xml:space="preserve">, separate causes of action arise in respect of each and the issue of whether </w:t>
      </w:r>
      <w:r w:rsidR="004603CA">
        <w:rPr>
          <w:szCs w:val="24"/>
        </w:rPr>
        <w:t xml:space="preserve">any such </w:t>
      </w:r>
      <w:r w:rsidR="00974891">
        <w:rPr>
          <w:szCs w:val="24"/>
        </w:rPr>
        <w:t xml:space="preserve">causes of action are statute-barred requires separate assessment. The position is aptly stated by Coulson LJ in </w:t>
      </w:r>
      <w:r w:rsidR="00974891" w:rsidRPr="00974891">
        <w:rPr>
          <w:i/>
          <w:szCs w:val="24"/>
        </w:rPr>
        <w:t>Sciortino v Beaumont</w:t>
      </w:r>
      <w:r w:rsidR="00974891">
        <w:rPr>
          <w:i/>
          <w:szCs w:val="24"/>
        </w:rPr>
        <w:t xml:space="preserve"> </w:t>
      </w:r>
      <w:r w:rsidR="00974891">
        <w:rPr>
          <w:szCs w:val="24"/>
        </w:rPr>
        <w:t xml:space="preserve">[2021] EWCA Civ 786, [2021] </w:t>
      </w:r>
      <w:r w:rsidR="004603CA">
        <w:rPr>
          <w:szCs w:val="24"/>
        </w:rPr>
        <w:t>3 WLR 343</w:t>
      </w:r>
      <w:r w:rsidR="008A4B9E">
        <w:rPr>
          <w:szCs w:val="24"/>
        </w:rPr>
        <w:t xml:space="preserve"> (at para 62)</w:t>
      </w:r>
      <w:r w:rsidR="004603CA">
        <w:rPr>
          <w:szCs w:val="24"/>
        </w:rPr>
        <w:t>:</w:t>
      </w:r>
    </w:p>
    <w:p w14:paraId="25ADBA6F" w14:textId="77777777" w:rsidR="004603CA" w:rsidRDefault="004603CA" w:rsidP="004603CA">
      <w:pPr>
        <w:spacing w:line="480" w:lineRule="auto"/>
        <w:rPr>
          <w:szCs w:val="24"/>
        </w:rPr>
      </w:pPr>
    </w:p>
    <w:p w14:paraId="14D607F2" w14:textId="77777777" w:rsidR="004603CA" w:rsidRDefault="004603CA" w:rsidP="00BE2F25">
      <w:pPr>
        <w:spacing w:line="480" w:lineRule="auto"/>
        <w:ind w:left="1418"/>
        <w:rPr>
          <w:i/>
          <w:szCs w:val="24"/>
        </w:rPr>
      </w:pPr>
      <w:r w:rsidRPr="00BE2F25">
        <w:rPr>
          <w:i/>
          <w:szCs w:val="24"/>
        </w:rPr>
        <w:t xml:space="preserve">“In short, in a case where are two (or more) allegedly negligent advices, and therefore two separate breaches of duty, there is no general principle of logic or common sense which requires any sort of ‘relation’ back, such as to say that the limitation </w:t>
      </w:r>
      <w:r w:rsidR="00BE2F25" w:rsidRPr="00BE2F25">
        <w:rPr>
          <w:i/>
          <w:szCs w:val="24"/>
        </w:rPr>
        <w:t>period was triggered by the first occasion on which the negligen</w:t>
      </w:r>
      <w:r w:rsidR="008A4B9E">
        <w:rPr>
          <w:i/>
          <w:szCs w:val="24"/>
        </w:rPr>
        <w:t>t</w:t>
      </w:r>
      <w:r w:rsidR="00BE2F25" w:rsidRPr="00BE2F25">
        <w:rPr>
          <w:i/>
          <w:szCs w:val="24"/>
        </w:rPr>
        <w:t xml:space="preserve"> advice was given, regardless of any subsequent breaches of duty.” </w:t>
      </w:r>
    </w:p>
    <w:p w14:paraId="71FB9DA9" w14:textId="77777777" w:rsidR="004F5E2C" w:rsidRDefault="004F5E2C" w:rsidP="00BE2F25">
      <w:pPr>
        <w:spacing w:line="480" w:lineRule="auto"/>
        <w:ind w:left="1418"/>
        <w:rPr>
          <w:i/>
          <w:szCs w:val="24"/>
        </w:rPr>
      </w:pPr>
    </w:p>
    <w:p w14:paraId="5CDC58ED" w14:textId="77777777" w:rsidR="00D5786C" w:rsidRPr="00C12AF1" w:rsidRDefault="0047415F" w:rsidP="0047415F">
      <w:pPr>
        <w:pStyle w:val="ListParagraph"/>
        <w:numPr>
          <w:ilvl w:val="0"/>
          <w:numId w:val="1"/>
        </w:numPr>
        <w:spacing w:line="480" w:lineRule="auto"/>
        <w:ind w:hanging="720"/>
        <w:rPr>
          <w:szCs w:val="24"/>
        </w:rPr>
      </w:pPr>
      <w:r>
        <w:rPr>
          <w:szCs w:val="24"/>
        </w:rPr>
        <w:t>Such</w:t>
      </w:r>
      <w:r w:rsidR="004F5E2C">
        <w:rPr>
          <w:szCs w:val="24"/>
        </w:rPr>
        <w:t xml:space="preserve"> is the position here</w:t>
      </w:r>
      <w:r>
        <w:rPr>
          <w:szCs w:val="24"/>
        </w:rPr>
        <w:t xml:space="preserve">, in my view. On the Plaintiff’s case, a breach of duty occurred </w:t>
      </w:r>
      <w:r>
        <w:rPr>
          <w:szCs w:val="24"/>
        </w:rPr>
        <w:lastRenderedPageBreak/>
        <w:t xml:space="preserve">in 2000 and a further and </w:t>
      </w:r>
      <w:r w:rsidR="00C12AF1">
        <w:rPr>
          <w:szCs w:val="24"/>
        </w:rPr>
        <w:t>distinct</w:t>
      </w:r>
      <w:r>
        <w:rPr>
          <w:szCs w:val="24"/>
        </w:rPr>
        <w:t xml:space="preserve"> breach of duty took place in 2005. According to the Plaintiff, each breach gave rise to actionable loss and damage.  The crucial question is when such loss and damage occurred and, in addressing that question, the 2000 and 2005 transactions must be considered separately. </w:t>
      </w:r>
    </w:p>
    <w:p w14:paraId="0C4C51BF" w14:textId="77777777" w:rsidR="00D5786C" w:rsidRDefault="00D5786C" w:rsidP="0047415F">
      <w:pPr>
        <w:pStyle w:val="ListParagraph"/>
        <w:spacing w:line="480" w:lineRule="auto"/>
        <w:rPr>
          <w:szCs w:val="24"/>
        </w:rPr>
      </w:pPr>
    </w:p>
    <w:p w14:paraId="66E8B119" w14:textId="77777777" w:rsidR="0047415F" w:rsidRPr="0047415F" w:rsidRDefault="0047415F" w:rsidP="0047415F">
      <w:pPr>
        <w:pStyle w:val="ListParagraph"/>
        <w:spacing w:line="480" w:lineRule="auto"/>
        <w:rPr>
          <w:b/>
          <w:i/>
          <w:szCs w:val="24"/>
        </w:rPr>
      </w:pPr>
      <w:r w:rsidRPr="0047415F">
        <w:rPr>
          <w:b/>
          <w:i/>
          <w:szCs w:val="24"/>
        </w:rPr>
        <w:t>The First Option</w:t>
      </w:r>
    </w:p>
    <w:p w14:paraId="07DF0C70" w14:textId="77777777" w:rsidR="0047415F" w:rsidRDefault="0047415F" w:rsidP="0047415F">
      <w:pPr>
        <w:pStyle w:val="ListParagraph"/>
        <w:spacing w:line="480" w:lineRule="auto"/>
        <w:rPr>
          <w:szCs w:val="24"/>
        </w:rPr>
      </w:pPr>
    </w:p>
    <w:p w14:paraId="12ECDDF0" w14:textId="77777777" w:rsidR="00D94279" w:rsidRDefault="0047415F" w:rsidP="00D94279">
      <w:pPr>
        <w:pStyle w:val="ListParagraph"/>
        <w:numPr>
          <w:ilvl w:val="0"/>
          <w:numId w:val="1"/>
        </w:numPr>
        <w:spacing w:line="480" w:lineRule="auto"/>
        <w:ind w:hanging="720"/>
        <w:rPr>
          <w:szCs w:val="24"/>
        </w:rPr>
      </w:pPr>
      <w:r>
        <w:rPr>
          <w:szCs w:val="24"/>
        </w:rPr>
        <w:t xml:space="preserve"> According to the Plaintiff, Matheson was negligent in advising on the First Option and, as a result of that negligence, the obligation of Greenstar Holdings Limited to make the royalty payments was not secured as it ought and the </w:t>
      </w:r>
      <w:r w:rsidR="00D5786C">
        <w:rPr>
          <w:szCs w:val="24"/>
        </w:rPr>
        <w:t>entitlement</w:t>
      </w:r>
      <w:r>
        <w:rPr>
          <w:szCs w:val="24"/>
        </w:rPr>
        <w:t xml:space="preserve"> of the Plaintiff </w:t>
      </w:r>
      <w:r w:rsidR="00D5786C">
        <w:rPr>
          <w:szCs w:val="24"/>
        </w:rPr>
        <w:t xml:space="preserve">to such payments </w:t>
      </w:r>
      <w:r>
        <w:rPr>
          <w:szCs w:val="24"/>
        </w:rPr>
        <w:t xml:space="preserve">was not protected to the extent that it could and should have been. On the Plaintiff’s analysis, that </w:t>
      </w:r>
      <w:r w:rsidR="00D5786C">
        <w:rPr>
          <w:szCs w:val="24"/>
        </w:rPr>
        <w:t>gave rise to a r</w:t>
      </w:r>
      <w:r w:rsidR="00C12AF1">
        <w:rPr>
          <w:szCs w:val="24"/>
        </w:rPr>
        <w:t xml:space="preserve">isk </w:t>
      </w:r>
      <w:r w:rsidR="00D5786C">
        <w:rPr>
          <w:szCs w:val="24"/>
        </w:rPr>
        <w:t xml:space="preserve">(or, perhaps, an increased risk) that he would suffer loss and damage in the event that Greenstar Holdings Limited became insolvent or otherwise defaulted. However (so the Plaintiff says) any loss suffered by the Plaintiff at that point was at most a contingent loss. </w:t>
      </w:r>
      <w:r w:rsidR="00F47F62">
        <w:rPr>
          <w:szCs w:val="24"/>
        </w:rPr>
        <w:t>Greenstar Holdings Limited was contractually bound to make the payments in the event that the First Option was exercised (assuming of course that the operation of the landfill generated sufficient “</w:t>
      </w:r>
      <w:r w:rsidR="00F47F62" w:rsidRPr="00F47F62">
        <w:rPr>
          <w:i/>
          <w:szCs w:val="24"/>
        </w:rPr>
        <w:t>Net Income</w:t>
      </w:r>
      <w:r w:rsidR="00F47F62">
        <w:rPr>
          <w:szCs w:val="24"/>
        </w:rPr>
        <w:t xml:space="preserve">”) and substantial payments were duly made by it and/or on its behalf. </w:t>
      </w:r>
      <w:r w:rsidR="00D5786C">
        <w:rPr>
          <w:szCs w:val="24"/>
        </w:rPr>
        <w:t xml:space="preserve"> It was only when </w:t>
      </w:r>
      <w:r w:rsidR="00F47F62">
        <w:rPr>
          <w:szCs w:val="24"/>
        </w:rPr>
        <w:t xml:space="preserve">Greenstar Holdings Limited went into receivership and as a result (and for the first time) it failed to make a royalty payment, that the Plaintiff suffered actionable damage and </w:t>
      </w:r>
      <w:r w:rsidR="00D94279">
        <w:rPr>
          <w:szCs w:val="24"/>
        </w:rPr>
        <w:t>his</w:t>
      </w:r>
      <w:r w:rsidR="00F47F62">
        <w:rPr>
          <w:szCs w:val="24"/>
        </w:rPr>
        <w:t xml:space="preserve"> cause of action in negligence accrued. </w:t>
      </w:r>
    </w:p>
    <w:p w14:paraId="240AEAF9" w14:textId="77777777" w:rsidR="00D94279" w:rsidRDefault="00D94279" w:rsidP="00D94279">
      <w:pPr>
        <w:pStyle w:val="ListParagraph"/>
        <w:spacing w:line="480" w:lineRule="auto"/>
        <w:rPr>
          <w:szCs w:val="24"/>
        </w:rPr>
      </w:pPr>
    </w:p>
    <w:p w14:paraId="51E5216E" w14:textId="77777777" w:rsidR="00D94279" w:rsidRDefault="00FE22CD" w:rsidP="00D94279">
      <w:pPr>
        <w:pStyle w:val="ListParagraph"/>
        <w:numPr>
          <w:ilvl w:val="0"/>
          <w:numId w:val="1"/>
        </w:numPr>
        <w:spacing w:line="480" w:lineRule="auto"/>
        <w:ind w:hanging="720"/>
        <w:rPr>
          <w:szCs w:val="24"/>
        </w:rPr>
      </w:pPr>
      <w:r>
        <w:rPr>
          <w:szCs w:val="24"/>
        </w:rPr>
        <w:t xml:space="preserve">The Plaintiff claims support for this analysis from certain observations of Lord Nicholls in </w:t>
      </w:r>
      <w:r w:rsidRPr="00E87103">
        <w:rPr>
          <w:i/>
          <w:szCs w:val="24"/>
        </w:rPr>
        <w:t xml:space="preserve">Nykredit Mortgage Bank plc v Edward Erdman Group Ltd </w:t>
      </w:r>
      <w:r w:rsidR="00E87103" w:rsidRPr="00E87103">
        <w:rPr>
          <w:i/>
          <w:szCs w:val="24"/>
        </w:rPr>
        <w:t>(No 2)</w:t>
      </w:r>
      <w:r w:rsidR="00E87103">
        <w:rPr>
          <w:szCs w:val="24"/>
        </w:rPr>
        <w:t xml:space="preserve"> [1997] 1 WLR </w:t>
      </w:r>
      <w:r w:rsidR="00E87103">
        <w:rPr>
          <w:szCs w:val="24"/>
        </w:rPr>
        <w:lastRenderedPageBreak/>
        <w:t xml:space="preserve">1627. In </w:t>
      </w:r>
      <w:r w:rsidR="00E87103" w:rsidRPr="00E87103">
        <w:rPr>
          <w:i/>
          <w:szCs w:val="24"/>
        </w:rPr>
        <w:t>Nykredit</w:t>
      </w:r>
      <w:r w:rsidR="00E87103">
        <w:rPr>
          <w:szCs w:val="24"/>
        </w:rPr>
        <w:t>,  an issue arose as to when the bank’s claim in negligence against the defendant (a property valuer) in respect of the negligent over-valuation of proposed security for a loan had arisen. The context was a claim for interest, rather than any issue of limitation</w:t>
      </w:r>
      <w:bookmarkStart w:id="8" w:name="_Hlk83304771"/>
      <w:r w:rsidR="00E87103">
        <w:rPr>
          <w:szCs w:val="24"/>
        </w:rPr>
        <w:t xml:space="preserve">. </w:t>
      </w:r>
      <w:r w:rsidR="0004481D">
        <w:rPr>
          <w:szCs w:val="24"/>
        </w:rPr>
        <w:t>In such cases, according to Lord Nicholls, “</w:t>
      </w:r>
      <w:r w:rsidR="0004481D" w:rsidRPr="0004481D">
        <w:rPr>
          <w:i/>
          <w:szCs w:val="24"/>
        </w:rPr>
        <w:t>the basic comparison</w:t>
      </w:r>
      <w:r w:rsidR="0004481D">
        <w:rPr>
          <w:szCs w:val="24"/>
        </w:rPr>
        <w:t>” was between (a) what the plaintiff’s position would have been if the defendant had fulfilled his duty of care and (b) the plaintiff’s actual positions. Where the plaintiff would not have entered into the transaction if proper</w:t>
      </w:r>
      <w:r w:rsidR="00464FFF">
        <w:rPr>
          <w:szCs w:val="24"/>
        </w:rPr>
        <w:t>l</w:t>
      </w:r>
      <w:r w:rsidR="0004481D">
        <w:rPr>
          <w:szCs w:val="24"/>
        </w:rPr>
        <w:t xml:space="preserve">y advised </w:t>
      </w:r>
      <w:bookmarkEnd w:id="8"/>
      <w:r w:rsidR="0004481D">
        <w:rPr>
          <w:szCs w:val="24"/>
        </w:rPr>
        <w:t xml:space="preserve">– the </w:t>
      </w:r>
      <w:r w:rsidR="0004481D" w:rsidRPr="0004481D">
        <w:rPr>
          <w:i/>
          <w:szCs w:val="24"/>
        </w:rPr>
        <w:t xml:space="preserve">“no transaction” </w:t>
      </w:r>
      <w:r w:rsidR="0004481D">
        <w:rPr>
          <w:szCs w:val="24"/>
        </w:rPr>
        <w:t xml:space="preserve">case – the relevant comparison was between the plaintiff’s position had he not entered into the transaction and their position under the transaction. In a negligent valuation case, the basic comparison called for was between (a) the amount of money lent by the plaintiff, which he would still have in the absence of the loan transaction, plus appropriate interest and (b) the value of the rights acquired, namely the borrower’s covenant and the true value of the </w:t>
      </w:r>
      <w:r w:rsidR="00346FCD">
        <w:rPr>
          <w:szCs w:val="24"/>
        </w:rPr>
        <w:t>overvalued covenant (page 1631D-F).</w:t>
      </w:r>
    </w:p>
    <w:p w14:paraId="5E406408" w14:textId="77777777" w:rsidR="00346FCD" w:rsidRDefault="00346FCD" w:rsidP="00346FCD">
      <w:pPr>
        <w:pStyle w:val="ListParagraph"/>
        <w:spacing w:line="480" w:lineRule="auto"/>
        <w:rPr>
          <w:szCs w:val="24"/>
        </w:rPr>
      </w:pPr>
    </w:p>
    <w:p w14:paraId="674A7666" w14:textId="77777777" w:rsidR="00346FCD" w:rsidRDefault="00346FCD" w:rsidP="00D94279">
      <w:pPr>
        <w:pStyle w:val="ListParagraph"/>
        <w:numPr>
          <w:ilvl w:val="0"/>
          <w:numId w:val="1"/>
        </w:numPr>
        <w:spacing w:line="480" w:lineRule="auto"/>
        <w:ind w:hanging="720"/>
        <w:rPr>
          <w:szCs w:val="24"/>
        </w:rPr>
      </w:pPr>
      <w:r>
        <w:rPr>
          <w:szCs w:val="24"/>
        </w:rPr>
        <w:t>The point at which that “</w:t>
      </w:r>
      <w:r w:rsidRPr="00346FCD">
        <w:rPr>
          <w:i/>
          <w:szCs w:val="24"/>
        </w:rPr>
        <w:t>basic comparison</w:t>
      </w:r>
      <w:r>
        <w:rPr>
          <w:szCs w:val="24"/>
        </w:rPr>
        <w:t>” first revealed a loss w</w:t>
      </w:r>
      <w:r w:rsidR="008A660C">
        <w:rPr>
          <w:szCs w:val="24"/>
        </w:rPr>
        <w:t>ould</w:t>
      </w:r>
      <w:r>
        <w:rPr>
          <w:szCs w:val="24"/>
        </w:rPr>
        <w:t>, Lord Nicholls continued, depend on the facts. In his view, it ought not to be “</w:t>
      </w:r>
      <w:r w:rsidRPr="00346FCD">
        <w:rPr>
          <w:i/>
          <w:szCs w:val="24"/>
        </w:rPr>
        <w:t>unduly troublesome”</w:t>
      </w:r>
      <w:r>
        <w:rPr>
          <w:szCs w:val="24"/>
        </w:rPr>
        <w:t xml:space="preserve"> to ascribe a value to the borrower’s covenan</w:t>
      </w:r>
      <w:r w:rsidR="00245676">
        <w:rPr>
          <w:szCs w:val="24"/>
        </w:rPr>
        <w:t>t, given that it was a “</w:t>
      </w:r>
      <w:r w:rsidR="00245676" w:rsidRPr="00245676">
        <w:rPr>
          <w:i/>
          <w:szCs w:val="24"/>
        </w:rPr>
        <w:t>routine matter</w:t>
      </w:r>
      <w:r w:rsidR="00245676">
        <w:rPr>
          <w:szCs w:val="24"/>
        </w:rPr>
        <w:t xml:space="preserve">” to value a lessee’s covenant when </w:t>
      </w:r>
      <w:r w:rsidR="00116D53">
        <w:rPr>
          <w:szCs w:val="24"/>
        </w:rPr>
        <w:t xml:space="preserve">valuing </w:t>
      </w:r>
      <w:r w:rsidR="00BE0372">
        <w:rPr>
          <w:szCs w:val="24"/>
        </w:rPr>
        <w:t>property. He went on:</w:t>
      </w:r>
    </w:p>
    <w:p w14:paraId="2EAD0BAF" w14:textId="77777777" w:rsidR="00BE0372" w:rsidRDefault="00BE0372" w:rsidP="00BE0372">
      <w:pPr>
        <w:spacing w:line="480" w:lineRule="auto"/>
        <w:rPr>
          <w:szCs w:val="24"/>
        </w:rPr>
      </w:pPr>
    </w:p>
    <w:p w14:paraId="3FA6103E" w14:textId="77777777" w:rsidR="00BE0372" w:rsidRPr="00CA3BF0" w:rsidRDefault="00BE0372" w:rsidP="00BE0372">
      <w:pPr>
        <w:spacing w:line="480" w:lineRule="auto"/>
        <w:ind w:left="1418"/>
        <w:rPr>
          <w:rFonts w:cs="Times New Roman"/>
          <w:szCs w:val="24"/>
        </w:rPr>
      </w:pPr>
      <w:r w:rsidRPr="00BE0372">
        <w:rPr>
          <w:rFonts w:cs="Times New Roman"/>
          <w:i/>
          <w:szCs w:val="24"/>
          <w:shd w:val="clear" w:color="auto" w:fill="FFFFFF"/>
        </w:rPr>
        <w:t xml:space="preserve">“Sometimes the comparison will reveal a loss from the inception of the loan transaction. The borrower may be a company with no other assets, its sole business may comprise redeveloping and reselling the property, and for repayment the lender may be looking solely to his security. In such a case, if the property is worth less than the amount of the loan, relevant and measurable loss </w:t>
      </w:r>
      <w:r w:rsidRPr="00BE0372">
        <w:rPr>
          <w:rFonts w:cs="Times New Roman"/>
          <w:i/>
          <w:szCs w:val="24"/>
          <w:shd w:val="clear" w:color="auto" w:fill="FFFFFF"/>
        </w:rPr>
        <w:lastRenderedPageBreak/>
        <w:t>will be sustained at once.</w:t>
      </w:r>
      <w:r w:rsidRPr="00BE0372">
        <w:rPr>
          <w:rFonts w:cs="Times New Roman"/>
          <w:i/>
          <w:szCs w:val="24"/>
          <w:u w:val="single"/>
          <w:shd w:val="clear" w:color="auto" w:fill="FFFFFF"/>
        </w:rPr>
        <w:t xml:space="preserve"> In other cases the borrower's covenant may have value, and until there is default the lender may presently sustain no loss even though the security is worth less than the amount of the loan. </w:t>
      </w:r>
      <w:r w:rsidRPr="00BE0372">
        <w:rPr>
          <w:rFonts w:cs="Times New Roman"/>
          <w:i/>
          <w:szCs w:val="24"/>
          <w:shd w:val="clear" w:color="auto" w:fill="FFFFFF"/>
        </w:rPr>
        <w:t>Conversely, in some cases there may be no loss even when the borrower defaults. A borrower may default after a while but when he does so, despite the overvaluation, the security may still be adequate.”</w:t>
      </w:r>
      <w:r w:rsidR="00CA3BF0">
        <w:rPr>
          <w:rFonts w:cs="Times New Roman"/>
          <w:i/>
          <w:szCs w:val="24"/>
          <w:shd w:val="clear" w:color="auto" w:fill="FFFFFF"/>
        </w:rPr>
        <w:t xml:space="preserve"> </w:t>
      </w:r>
      <w:r w:rsidR="00CA3BF0">
        <w:rPr>
          <w:rFonts w:cs="Times New Roman"/>
          <w:szCs w:val="24"/>
          <w:shd w:val="clear" w:color="auto" w:fill="FFFFFF"/>
        </w:rPr>
        <w:t>(at page 1632 C-E; my emphasis)</w:t>
      </w:r>
    </w:p>
    <w:p w14:paraId="60C9E1EE" w14:textId="77777777" w:rsidR="00BE0372" w:rsidRDefault="00BE0372" w:rsidP="00BE0372">
      <w:pPr>
        <w:spacing w:line="480" w:lineRule="auto"/>
        <w:rPr>
          <w:szCs w:val="24"/>
        </w:rPr>
      </w:pPr>
    </w:p>
    <w:p w14:paraId="3BED4546" w14:textId="77777777" w:rsidR="00F7521B" w:rsidRDefault="00B45C54" w:rsidP="00F7521B">
      <w:pPr>
        <w:spacing w:line="480" w:lineRule="auto"/>
        <w:ind w:left="851"/>
        <w:rPr>
          <w:szCs w:val="24"/>
        </w:rPr>
      </w:pPr>
      <w:r>
        <w:rPr>
          <w:szCs w:val="24"/>
        </w:rPr>
        <w:t>Lord Nicholls went on to observe that, in the case before</w:t>
      </w:r>
      <w:r w:rsidR="00464FFF">
        <w:rPr>
          <w:szCs w:val="24"/>
        </w:rPr>
        <w:t xml:space="preserve"> him</w:t>
      </w:r>
      <w:r>
        <w:rPr>
          <w:szCs w:val="24"/>
        </w:rPr>
        <w:t>, the borrower’s covenant was “</w:t>
      </w:r>
      <w:r w:rsidRPr="00B45C54">
        <w:rPr>
          <w:i/>
          <w:szCs w:val="24"/>
        </w:rPr>
        <w:t>worthless</w:t>
      </w:r>
      <w:r>
        <w:rPr>
          <w:szCs w:val="24"/>
        </w:rPr>
        <w:t>” and he had defaulted at once</w:t>
      </w:r>
      <w:r w:rsidR="00464FFF">
        <w:rPr>
          <w:szCs w:val="24"/>
        </w:rPr>
        <w:t>.</w:t>
      </w:r>
      <w:r w:rsidR="00F7521B">
        <w:rPr>
          <w:szCs w:val="24"/>
        </w:rPr>
        <w:t xml:space="preserve"> Given that the amount lent at all times exceeded the true value of the property, it followed in his view that the cause of action had arisen at the time of the transaction</w:t>
      </w:r>
      <w:r w:rsidR="00F54883">
        <w:rPr>
          <w:szCs w:val="24"/>
        </w:rPr>
        <w:t xml:space="preserve"> in March 1990</w:t>
      </w:r>
      <w:r w:rsidR="00F7521B">
        <w:rPr>
          <w:szCs w:val="24"/>
        </w:rPr>
        <w:t xml:space="preserve"> “</w:t>
      </w:r>
      <w:r w:rsidR="00F7521B" w:rsidRPr="00F7521B">
        <w:rPr>
          <w:i/>
          <w:szCs w:val="24"/>
        </w:rPr>
        <w:t>or thereabouts</w:t>
      </w:r>
      <w:r w:rsidR="00F7521B">
        <w:rPr>
          <w:i/>
          <w:szCs w:val="24"/>
        </w:rPr>
        <w:t>”</w:t>
      </w:r>
      <w:r w:rsidR="00F54883">
        <w:rPr>
          <w:i/>
          <w:szCs w:val="24"/>
        </w:rPr>
        <w:t xml:space="preserve">. </w:t>
      </w:r>
      <w:r w:rsidR="00F54883">
        <w:rPr>
          <w:szCs w:val="24"/>
        </w:rPr>
        <w:t xml:space="preserve">As </w:t>
      </w:r>
      <w:r w:rsidR="00F7521B">
        <w:rPr>
          <w:i/>
          <w:szCs w:val="24"/>
        </w:rPr>
        <w:t xml:space="preserve"> </w:t>
      </w:r>
      <w:r w:rsidR="00F54883">
        <w:rPr>
          <w:szCs w:val="24"/>
        </w:rPr>
        <w:t xml:space="preserve">interest was claimed by the Bank only from December 1990, </w:t>
      </w:r>
      <w:r w:rsidR="00F7521B">
        <w:rPr>
          <w:szCs w:val="24"/>
        </w:rPr>
        <w:t xml:space="preserve">it was not strictly necessary to determine precisely when the cause of action had arisen, provided that it arose before </w:t>
      </w:r>
      <w:r w:rsidR="00F54883">
        <w:rPr>
          <w:szCs w:val="24"/>
        </w:rPr>
        <w:t xml:space="preserve">December 1990 rather than </w:t>
      </w:r>
      <w:r w:rsidR="00F7521B">
        <w:rPr>
          <w:szCs w:val="24"/>
        </w:rPr>
        <w:t>at the (much later) time that the property was sold and the bank’s loss was quantified</w:t>
      </w:r>
      <w:r w:rsidR="00F54883">
        <w:rPr>
          <w:szCs w:val="24"/>
        </w:rPr>
        <w:t>, as the defendant valuer had contended</w:t>
      </w:r>
      <w:r w:rsidR="00464FFF">
        <w:rPr>
          <w:szCs w:val="24"/>
        </w:rPr>
        <w:t xml:space="preserve"> </w:t>
      </w:r>
      <w:r w:rsidR="00F7521B">
        <w:rPr>
          <w:szCs w:val="24"/>
        </w:rPr>
        <w:t>(page 1635A-B),</w:t>
      </w:r>
    </w:p>
    <w:p w14:paraId="188751CB" w14:textId="77777777" w:rsidR="00F7521B" w:rsidRDefault="00F7521B" w:rsidP="00F7521B">
      <w:pPr>
        <w:spacing w:line="480" w:lineRule="auto"/>
        <w:ind w:left="851"/>
        <w:rPr>
          <w:szCs w:val="24"/>
        </w:rPr>
      </w:pPr>
    </w:p>
    <w:p w14:paraId="1A59978A" w14:textId="77777777" w:rsidR="008A660C" w:rsidRDefault="00B45C54" w:rsidP="00B45C54">
      <w:pPr>
        <w:pStyle w:val="ListParagraph"/>
        <w:numPr>
          <w:ilvl w:val="0"/>
          <w:numId w:val="1"/>
        </w:numPr>
        <w:spacing w:line="480" w:lineRule="auto"/>
        <w:ind w:hanging="720"/>
        <w:rPr>
          <w:szCs w:val="24"/>
        </w:rPr>
      </w:pPr>
      <w:r>
        <w:rPr>
          <w:szCs w:val="24"/>
        </w:rPr>
        <w:t>In a separate speech, Lord Hoffman observed that:</w:t>
      </w:r>
    </w:p>
    <w:p w14:paraId="7A1744D9" w14:textId="77777777" w:rsidR="00B45C54" w:rsidRPr="00B45C54" w:rsidRDefault="00B45C54" w:rsidP="00930628">
      <w:pPr>
        <w:pStyle w:val="ListParagraph"/>
        <w:spacing w:line="480" w:lineRule="auto"/>
        <w:rPr>
          <w:szCs w:val="24"/>
        </w:rPr>
      </w:pPr>
    </w:p>
    <w:p w14:paraId="69B9301E" w14:textId="77777777" w:rsidR="00B45C54" w:rsidRPr="00F7521B" w:rsidRDefault="00B45C54" w:rsidP="00930628">
      <w:pPr>
        <w:pStyle w:val="ListParagraph"/>
        <w:widowControl/>
        <w:spacing w:line="480" w:lineRule="auto"/>
        <w:ind w:left="1418"/>
        <w:contextualSpacing w:val="0"/>
        <w:textAlignment w:val="baseline"/>
        <w:rPr>
          <w:rFonts w:eastAsia="Times New Roman" w:cs="Times New Roman"/>
          <w:i/>
          <w:color w:val="000000" w:themeColor="text1"/>
          <w:szCs w:val="24"/>
          <w:lang w:eastAsia="en-IE"/>
        </w:rPr>
      </w:pPr>
      <w:r w:rsidRPr="00F7521B">
        <w:rPr>
          <w:rFonts w:eastAsia="Times New Roman" w:cs="Times New Roman"/>
          <w:i/>
          <w:color w:val="000000" w:themeColor="text1"/>
          <w:szCs w:val="24"/>
          <w:lang w:eastAsia="en-IE"/>
        </w:rPr>
        <w:t xml:space="preserve">“Proof of loss attributable to a breach of the relevant duty of care is an essential element in a cause of action for the tort of negligence. Given that there has been negligence, the cause of action will therefore arise when the plaintiff has suffered loss in respect of which the duty was owed. It follows that in the present case such loss will be suffered when the lender can show that he is worse off than he would have been if the security had been worth the sum advised by the </w:t>
      </w:r>
      <w:r w:rsidRPr="00F7521B">
        <w:rPr>
          <w:rFonts w:eastAsia="Times New Roman" w:cs="Times New Roman"/>
          <w:i/>
          <w:color w:val="000000" w:themeColor="text1"/>
          <w:szCs w:val="24"/>
          <w:lang w:eastAsia="en-IE"/>
        </w:rPr>
        <w:lastRenderedPageBreak/>
        <w:t>valuer. The comparison is between the lender's actual position and what it would have been if the valuation had been correct.</w:t>
      </w:r>
    </w:p>
    <w:p w14:paraId="0077CF56" w14:textId="77777777" w:rsidR="00B45C54" w:rsidRPr="00F7521B" w:rsidRDefault="00B45C54" w:rsidP="00930628">
      <w:pPr>
        <w:pStyle w:val="ListParagraph"/>
        <w:widowControl/>
        <w:spacing w:line="480" w:lineRule="auto"/>
        <w:ind w:left="1418"/>
        <w:contextualSpacing w:val="0"/>
        <w:textAlignment w:val="baseline"/>
        <w:rPr>
          <w:rFonts w:eastAsia="Times New Roman" w:cs="Times New Roman"/>
          <w:i/>
          <w:color w:val="000000" w:themeColor="text1"/>
          <w:szCs w:val="24"/>
          <w:lang w:eastAsia="en-IE"/>
        </w:rPr>
      </w:pPr>
    </w:p>
    <w:p w14:paraId="0F59C0F4" w14:textId="77777777" w:rsidR="00B45C54" w:rsidRPr="00F7521B" w:rsidRDefault="00B45C54" w:rsidP="00930628">
      <w:pPr>
        <w:pStyle w:val="ListParagraph"/>
        <w:widowControl/>
        <w:spacing w:line="480" w:lineRule="auto"/>
        <w:ind w:left="1418"/>
        <w:contextualSpacing w:val="0"/>
        <w:textAlignment w:val="baseline"/>
        <w:rPr>
          <w:rFonts w:eastAsia="Times New Roman" w:cs="Times New Roman"/>
          <w:i/>
          <w:color w:val="000000" w:themeColor="text1"/>
          <w:szCs w:val="24"/>
          <w:lang w:eastAsia="en-IE"/>
        </w:rPr>
      </w:pPr>
      <w:r w:rsidRPr="00F7521B">
        <w:rPr>
          <w:rFonts w:eastAsia="Times New Roman" w:cs="Times New Roman"/>
          <w:i/>
          <w:color w:val="000000" w:themeColor="text1"/>
          <w:szCs w:val="24"/>
          <w:lang w:eastAsia="en-IE"/>
        </w:rPr>
        <w:t>There may be cases in which it is possible to demonstrate that such loss is suffered immediately upon the loan being made. The lender may be able to show that the rights which he has acquired as lender are worth less in the open market than they would have been if the security had not been overvalued. But I think that this would be difficult to prove in a case in which the lender's personal covenant still appears good and interest payments are being duly made. On the other hand, loss will easily be demonstrable if the borrower has defaulted, so that</w:t>
      </w:r>
    </w:p>
    <w:p w14:paraId="014C18A7" w14:textId="77777777" w:rsidR="00B45C54" w:rsidRPr="00F7521B" w:rsidRDefault="00B45C54" w:rsidP="00930628">
      <w:pPr>
        <w:pStyle w:val="ListParagraph"/>
        <w:widowControl/>
        <w:spacing w:line="480" w:lineRule="auto"/>
        <w:ind w:left="1418"/>
        <w:contextualSpacing w:val="0"/>
        <w:textAlignment w:val="baseline"/>
        <w:rPr>
          <w:rFonts w:eastAsia="Times New Roman" w:cs="Times New Roman"/>
          <w:i/>
          <w:color w:val="000000" w:themeColor="text1"/>
          <w:szCs w:val="24"/>
          <w:lang w:eastAsia="en-IE"/>
        </w:rPr>
      </w:pPr>
    </w:p>
    <w:p w14:paraId="5F5A6CA3" w14:textId="77777777" w:rsidR="00F7521B" w:rsidRDefault="00B45C54" w:rsidP="00930628">
      <w:pPr>
        <w:pStyle w:val="ListParagraph"/>
        <w:widowControl/>
        <w:spacing w:line="480" w:lineRule="auto"/>
        <w:ind w:left="1418"/>
        <w:contextualSpacing w:val="0"/>
        <w:textAlignment w:val="baseline"/>
        <w:rPr>
          <w:rFonts w:eastAsia="Times New Roman" w:cs="Times New Roman"/>
          <w:i/>
          <w:color w:val="000000" w:themeColor="text1"/>
          <w:szCs w:val="24"/>
          <w:lang w:eastAsia="en-IE"/>
        </w:rPr>
      </w:pPr>
      <w:r w:rsidRPr="00F7521B">
        <w:rPr>
          <w:rFonts w:eastAsia="Times New Roman" w:cs="Times New Roman"/>
          <w:i/>
          <w:color w:val="000000" w:themeColor="text1"/>
          <w:szCs w:val="24"/>
          <w:lang w:eastAsia="en-IE"/>
        </w:rPr>
        <w:t>The lender's recovery has become dependent upon the realisation of his security and that security is inadequate. On the other hand, I do not accept Mr Berry's submission that no loss can be shown until the security has actually been realised. Relevant loss is suffered when the lender is financially worse off by reason of a breach of the duty of care than he would otherwise have been. This is, I think, in accordance with the decisions of the Court of Appeal in </w:t>
      </w:r>
      <w:r w:rsidRPr="00F7521B">
        <w:rPr>
          <w:rFonts w:eastAsia="Times New Roman" w:cs="Times New Roman"/>
          <w:i/>
          <w:iCs/>
          <w:color w:val="000000" w:themeColor="text1"/>
          <w:szCs w:val="24"/>
          <w:bdr w:val="none" w:sz="0" w:space="0" w:color="auto" w:frame="1"/>
          <w:lang w:eastAsia="en-IE"/>
        </w:rPr>
        <w:t>UBAF Ltd v European American Banking Corp</w:t>
      </w:r>
      <w:r w:rsidRPr="00F7521B">
        <w:rPr>
          <w:rFonts w:eastAsia="Times New Roman" w:cs="Times New Roman"/>
          <w:i/>
          <w:color w:val="000000" w:themeColor="text1"/>
          <w:szCs w:val="24"/>
          <w:lang w:eastAsia="en-IE"/>
        </w:rPr>
        <w:t> </w:t>
      </w:r>
      <w:hyperlink r:id="rId8" w:tgtFrame="_parent" w:history="1">
        <w:r w:rsidRPr="00F7521B">
          <w:rPr>
            <w:rFonts w:eastAsia="Times New Roman" w:cs="Times New Roman"/>
            <w:i/>
            <w:color w:val="000000" w:themeColor="text1"/>
            <w:szCs w:val="24"/>
            <w:bdr w:val="none" w:sz="0" w:space="0" w:color="auto" w:frame="1"/>
            <w:lang w:eastAsia="en-IE"/>
          </w:rPr>
          <w:t>[1984] 2 All ER 226</w:t>
        </w:r>
      </w:hyperlink>
      <w:r w:rsidRPr="00F7521B">
        <w:rPr>
          <w:rFonts w:eastAsia="Times New Roman" w:cs="Times New Roman"/>
          <w:i/>
          <w:color w:val="000000" w:themeColor="text1"/>
          <w:szCs w:val="24"/>
          <w:lang w:eastAsia="en-IE"/>
        </w:rPr>
        <w:t>, </w:t>
      </w:r>
      <w:hyperlink r:id="rId9" w:tgtFrame="_parent" w:history="1">
        <w:r w:rsidRPr="00F7521B">
          <w:rPr>
            <w:rFonts w:eastAsia="Times New Roman" w:cs="Times New Roman"/>
            <w:i/>
            <w:color w:val="000000" w:themeColor="text1"/>
            <w:szCs w:val="24"/>
            <w:bdr w:val="none" w:sz="0" w:space="0" w:color="auto" w:frame="1"/>
            <w:lang w:eastAsia="en-IE"/>
          </w:rPr>
          <w:t>[1984] QB 713</w:t>
        </w:r>
      </w:hyperlink>
      <w:r w:rsidRPr="00F7521B">
        <w:rPr>
          <w:rFonts w:eastAsia="Times New Roman" w:cs="Times New Roman"/>
          <w:i/>
          <w:color w:val="000000" w:themeColor="text1"/>
          <w:szCs w:val="24"/>
          <w:lang w:eastAsia="en-IE"/>
        </w:rPr>
        <w:t> and </w:t>
      </w:r>
      <w:r w:rsidRPr="00F7521B">
        <w:rPr>
          <w:rFonts w:eastAsia="Times New Roman" w:cs="Times New Roman"/>
          <w:i/>
          <w:iCs/>
          <w:color w:val="000000" w:themeColor="text1"/>
          <w:szCs w:val="24"/>
          <w:bdr w:val="none" w:sz="0" w:space="0" w:color="auto" w:frame="1"/>
          <w:lang w:eastAsia="en-IE"/>
        </w:rPr>
        <w:t>First National Commercial Bank plc v Humberts (a firm)</w:t>
      </w:r>
      <w:r w:rsidRPr="00F7521B">
        <w:rPr>
          <w:rFonts w:eastAsia="Times New Roman" w:cs="Times New Roman"/>
          <w:i/>
          <w:color w:val="000000" w:themeColor="text1"/>
          <w:szCs w:val="24"/>
          <w:lang w:eastAsia="en-IE"/>
        </w:rPr>
        <w:t> </w:t>
      </w:r>
      <w:hyperlink r:id="rId10" w:tgtFrame="_parent" w:history="1">
        <w:r w:rsidRPr="00F7521B">
          <w:rPr>
            <w:rFonts w:eastAsia="Times New Roman" w:cs="Times New Roman"/>
            <w:i/>
            <w:color w:val="000000" w:themeColor="text1"/>
            <w:szCs w:val="24"/>
            <w:bdr w:val="none" w:sz="0" w:space="0" w:color="auto" w:frame="1"/>
            <w:lang w:eastAsia="en-IE"/>
          </w:rPr>
          <w:t>[1995] 2 All ER 673</w:t>
        </w:r>
      </w:hyperlink>
      <w:r w:rsidRPr="00F7521B">
        <w:rPr>
          <w:rFonts w:eastAsia="Times New Roman" w:cs="Times New Roman"/>
          <w:i/>
          <w:color w:val="000000" w:themeColor="text1"/>
          <w:szCs w:val="24"/>
          <w:lang w:eastAsia="en-IE"/>
        </w:rPr>
        <w:t>.”</w:t>
      </w:r>
    </w:p>
    <w:p w14:paraId="2B06809F" w14:textId="77777777" w:rsidR="00F7521B" w:rsidRDefault="00F7521B" w:rsidP="00F7521B">
      <w:pPr>
        <w:pStyle w:val="ListParagraph"/>
        <w:widowControl/>
        <w:ind w:left="1418"/>
        <w:contextualSpacing w:val="0"/>
        <w:textAlignment w:val="baseline"/>
        <w:rPr>
          <w:rFonts w:eastAsia="Times New Roman" w:cs="Times New Roman"/>
          <w:i/>
          <w:color w:val="000000" w:themeColor="text1"/>
          <w:szCs w:val="24"/>
          <w:lang w:eastAsia="en-IE"/>
        </w:rPr>
      </w:pPr>
    </w:p>
    <w:p w14:paraId="33812177" w14:textId="77777777" w:rsidR="00514634" w:rsidRDefault="00514634" w:rsidP="00930628">
      <w:pPr>
        <w:pStyle w:val="ListParagraph"/>
        <w:widowControl/>
        <w:spacing w:line="480" w:lineRule="auto"/>
        <w:ind w:left="851"/>
        <w:contextualSpacing w:val="0"/>
        <w:textAlignment w:val="baseline"/>
        <w:rPr>
          <w:rFonts w:eastAsia="Times New Roman" w:cs="Times New Roman"/>
          <w:color w:val="000000" w:themeColor="text1"/>
          <w:szCs w:val="24"/>
          <w:lang w:eastAsia="en-IE"/>
        </w:rPr>
      </w:pPr>
      <w:r>
        <w:rPr>
          <w:rFonts w:eastAsia="Times New Roman" w:cs="Times New Roman"/>
          <w:color w:val="000000" w:themeColor="text1"/>
          <w:szCs w:val="24"/>
          <w:lang w:eastAsia="en-IE"/>
        </w:rPr>
        <w:t>Lord Hoffman al</w:t>
      </w:r>
      <w:r w:rsidR="00F7521B">
        <w:rPr>
          <w:rFonts w:eastAsia="Times New Roman" w:cs="Times New Roman"/>
          <w:color w:val="000000" w:themeColor="text1"/>
          <w:szCs w:val="24"/>
          <w:lang w:eastAsia="en-IE"/>
        </w:rPr>
        <w:t>so emphasised</w:t>
      </w:r>
      <w:r>
        <w:rPr>
          <w:rFonts w:eastAsia="Times New Roman" w:cs="Times New Roman"/>
          <w:color w:val="000000" w:themeColor="text1"/>
          <w:szCs w:val="24"/>
          <w:lang w:eastAsia="en-IE"/>
        </w:rPr>
        <w:t xml:space="preserve"> that the borrower had defaulted almost at once, well before the date in December 1990 from which the bank claimed interest and thought </w:t>
      </w:r>
      <w:r>
        <w:rPr>
          <w:rFonts w:eastAsia="Times New Roman" w:cs="Times New Roman"/>
          <w:color w:val="000000" w:themeColor="text1"/>
          <w:szCs w:val="24"/>
          <w:lang w:eastAsia="en-IE"/>
        </w:rPr>
        <w:lastRenderedPageBreak/>
        <w:t>that there was “</w:t>
      </w:r>
      <w:r w:rsidRPr="00514634">
        <w:rPr>
          <w:rFonts w:eastAsia="Times New Roman" w:cs="Times New Roman"/>
          <w:i/>
          <w:color w:val="000000" w:themeColor="text1"/>
          <w:szCs w:val="24"/>
          <w:lang w:eastAsia="en-IE"/>
        </w:rPr>
        <w:t>ample evidence of relevant loss having been suffered before that date”</w:t>
      </w:r>
      <w:r>
        <w:rPr>
          <w:rFonts w:eastAsia="Times New Roman" w:cs="Times New Roman"/>
          <w:color w:val="000000" w:themeColor="text1"/>
          <w:szCs w:val="24"/>
          <w:lang w:eastAsia="en-IE"/>
        </w:rPr>
        <w:t xml:space="preserve"> (1639E).</w:t>
      </w:r>
    </w:p>
    <w:p w14:paraId="7BED9391" w14:textId="77777777" w:rsidR="00514634" w:rsidRPr="00F7521B" w:rsidRDefault="00514634" w:rsidP="00F7521B">
      <w:pPr>
        <w:pStyle w:val="ListParagraph"/>
        <w:widowControl/>
        <w:ind w:left="851"/>
        <w:contextualSpacing w:val="0"/>
        <w:textAlignment w:val="baseline"/>
        <w:rPr>
          <w:rFonts w:eastAsia="Times New Roman" w:cs="Times New Roman"/>
          <w:color w:val="000000" w:themeColor="text1"/>
          <w:szCs w:val="24"/>
          <w:lang w:eastAsia="en-IE"/>
        </w:rPr>
      </w:pPr>
    </w:p>
    <w:p w14:paraId="64430A80" w14:textId="77777777" w:rsidR="005034AD" w:rsidRDefault="005034AD" w:rsidP="00930628">
      <w:pPr>
        <w:pStyle w:val="ListParagraph"/>
        <w:numPr>
          <w:ilvl w:val="0"/>
          <w:numId w:val="1"/>
        </w:numPr>
        <w:spacing w:line="480" w:lineRule="auto"/>
        <w:ind w:hanging="720"/>
        <w:rPr>
          <w:szCs w:val="24"/>
        </w:rPr>
      </w:pPr>
      <w:r w:rsidRPr="005034AD">
        <w:rPr>
          <w:i/>
          <w:szCs w:val="24"/>
        </w:rPr>
        <w:t>Nyk</w:t>
      </w:r>
      <w:r>
        <w:rPr>
          <w:i/>
          <w:szCs w:val="24"/>
        </w:rPr>
        <w:t>r</w:t>
      </w:r>
      <w:r w:rsidRPr="005034AD">
        <w:rPr>
          <w:i/>
          <w:szCs w:val="24"/>
        </w:rPr>
        <w:t>edit</w:t>
      </w:r>
      <w:r>
        <w:rPr>
          <w:szCs w:val="24"/>
        </w:rPr>
        <w:t xml:space="preserve"> was considered by the Supreme Court in </w:t>
      </w:r>
      <w:r w:rsidRPr="005034AD">
        <w:rPr>
          <w:i/>
          <w:szCs w:val="24"/>
        </w:rPr>
        <w:t>Gallagher</w:t>
      </w:r>
      <w:r>
        <w:rPr>
          <w:szCs w:val="24"/>
        </w:rPr>
        <w:t xml:space="preserve"> and in </w:t>
      </w:r>
      <w:r w:rsidRPr="005034AD">
        <w:rPr>
          <w:i/>
          <w:szCs w:val="24"/>
        </w:rPr>
        <w:t>Cantrell</w:t>
      </w:r>
      <w:r>
        <w:rPr>
          <w:i/>
          <w:szCs w:val="24"/>
        </w:rPr>
        <w:t xml:space="preserve">. </w:t>
      </w:r>
      <w:r>
        <w:rPr>
          <w:szCs w:val="24"/>
        </w:rPr>
        <w:t xml:space="preserve">In </w:t>
      </w:r>
      <w:r w:rsidRPr="005034AD">
        <w:rPr>
          <w:i/>
          <w:szCs w:val="24"/>
        </w:rPr>
        <w:t>Gallagher</w:t>
      </w:r>
      <w:r>
        <w:rPr>
          <w:szCs w:val="24"/>
        </w:rPr>
        <w:t xml:space="preserve">, </w:t>
      </w:r>
      <w:r w:rsidRPr="005034AD">
        <w:rPr>
          <w:szCs w:val="24"/>
        </w:rPr>
        <w:t>Fennelly</w:t>
      </w:r>
      <w:r>
        <w:rPr>
          <w:szCs w:val="24"/>
        </w:rPr>
        <w:t xml:space="preserve"> J observed that the decision “</w:t>
      </w:r>
      <w:r w:rsidRPr="005034AD">
        <w:rPr>
          <w:i/>
          <w:szCs w:val="24"/>
        </w:rPr>
        <w:t>clearly gives rise to great uncertainty”</w:t>
      </w:r>
      <w:r>
        <w:rPr>
          <w:szCs w:val="24"/>
        </w:rPr>
        <w:t xml:space="preserve"> (para 7</w:t>
      </w:r>
      <w:r w:rsidR="008A4B9E">
        <w:rPr>
          <w:szCs w:val="24"/>
        </w:rPr>
        <w:t>7</w:t>
      </w:r>
      <w:r>
        <w:rPr>
          <w:szCs w:val="24"/>
        </w:rPr>
        <w:t xml:space="preserve">). He noted that Lord Nicholls had left room for the possibility that, in some cases, the borrower’s covenant might have value and no loss might be sustained until there was default but also noted that </w:t>
      </w:r>
      <w:r w:rsidR="009F301F">
        <w:rPr>
          <w:szCs w:val="24"/>
        </w:rPr>
        <w:t xml:space="preserve">he had also stressed that difficulties of assessment at the earlier stage did not lead to the conclusion that it was only when the assessment became more straightforward or final that loss first arises and with it the cause of action. (para 77). Later in his judgment, he </w:t>
      </w:r>
      <w:r w:rsidR="00441182">
        <w:rPr>
          <w:szCs w:val="24"/>
        </w:rPr>
        <w:t>cited</w:t>
      </w:r>
      <w:r w:rsidR="009F301F">
        <w:rPr>
          <w:szCs w:val="24"/>
        </w:rPr>
        <w:t xml:space="preserve"> </w:t>
      </w:r>
      <w:r w:rsidR="009F301F" w:rsidRPr="00441182">
        <w:rPr>
          <w:i/>
          <w:szCs w:val="24"/>
        </w:rPr>
        <w:t>Nykredit</w:t>
      </w:r>
      <w:r w:rsidR="009F301F">
        <w:rPr>
          <w:szCs w:val="24"/>
        </w:rPr>
        <w:t xml:space="preserve"> as showing how difficult it was to devise anything like a straightforward rule based on the distinction between </w:t>
      </w:r>
      <w:r w:rsidR="009F301F" w:rsidRPr="009F301F">
        <w:rPr>
          <w:i/>
          <w:szCs w:val="24"/>
        </w:rPr>
        <w:t>transaction</w:t>
      </w:r>
      <w:r w:rsidR="009F301F">
        <w:rPr>
          <w:szCs w:val="24"/>
        </w:rPr>
        <w:t xml:space="preserve"> and </w:t>
      </w:r>
      <w:r w:rsidR="009F301F" w:rsidRPr="009F301F">
        <w:rPr>
          <w:i/>
          <w:szCs w:val="24"/>
        </w:rPr>
        <w:t>no transaction</w:t>
      </w:r>
      <w:r w:rsidR="009F301F">
        <w:rPr>
          <w:szCs w:val="24"/>
        </w:rPr>
        <w:t xml:space="preserve"> cases: “</w:t>
      </w:r>
      <w:r w:rsidR="009F301F" w:rsidRPr="009F301F">
        <w:rPr>
          <w:i/>
          <w:szCs w:val="24"/>
        </w:rPr>
        <w:t>In either case</w:t>
      </w:r>
      <w:r w:rsidR="009F301F">
        <w:rPr>
          <w:szCs w:val="24"/>
        </w:rPr>
        <w:t>”, in his view, “</w:t>
      </w:r>
      <w:r w:rsidR="009F301F" w:rsidRPr="009F301F">
        <w:rPr>
          <w:i/>
          <w:szCs w:val="24"/>
        </w:rPr>
        <w:t>there may be immediate damage or it may not be possible to say that there will be damage until a later date</w:t>
      </w:r>
      <w:r w:rsidR="00F41955">
        <w:rPr>
          <w:szCs w:val="24"/>
        </w:rPr>
        <w:t xml:space="preserve">” (para </w:t>
      </w:r>
      <w:r w:rsidR="00441182">
        <w:rPr>
          <w:szCs w:val="24"/>
        </w:rPr>
        <w:t xml:space="preserve">105). </w:t>
      </w:r>
    </w:p>
    <w:p w14:paraId="7AF6AED5" w14:textId="77777777" w:rsidR="00441182" w:rsidRDefault="00441182" w:rsidP="00441182">
      <w:pPr>
        <w:pStyle w:val="ListParagraph"/>
        <w:spacing w:line="480" w:lineRule="auto"/>
        <w:rPr>
          <w:szCs w:val="24"/>
        </w:rPr>
      </w:pPr>
    </w:p>
    <w:p w14:paraId="649E1584" w14:textId="77777777" w:rsidR="00441182" w:rsidRDefault="00441182" w:rsidP="000875C3">
      <w:pPr>
        <w:pStyle w:val="ListParagraph"/>
        <w:numPr>
          <w:ilvl w:val="0"/>
          <w:numId w:val="1"/>
        </w:numPr>
        <w:spacing w:line="480" w:lineRule="auto"/>
        <w:ind w:hanging="720"/>
        <w:rPr>
          <w:szCs w:val="24"/>
        </w:rPr>
      </w:pPr>
      <w:r>
        <w:rPr>
          <w:szCs w:val="24"/>
        </w:rPr>
        <w:t xml:space="preserve">In </w:t>
      </w:r>
      <w:r w:rsidRPr="00441182">
        <w:rPr>
          <w:i/>
          <w:szCs w:val="24"/>
        </w:rPr>
        <w:t>Cantrell</w:t>
      </w:r>
      <w:r>
        <w:rPr>
          <w:szCs w:val="24"/>
        </w:rPr>
        <w:t xml:space="preserve">, </w:t>
      </w:r>
      <w:r w:rsidR="000875C3">
        <w:rPr>
          <w:szCs w:val="24"/>
        </w:rPr>
        <w:t xml:space="preserve">O’ Donnell J cited, with apparent approval, the passages from the speeches of Lord Nicholls and Lord Hoffman set out above, observing that it appeared </w:t>
      </w:r>
      <w:r w:rsidR="000875C3" w:rsidRPr="000875C3">
        <w:rPr>
          <w:i/>
          <w:szCs w:val="24"/>
        </w:rPr>
        <w:t xml:space="preserve">“that the House of Lords in Nykredit rejected the stark propositions that loss only occurred when it was crystallised, on the one hand, or that it inevitably occurred on the entry into the transaction, on the other.”  </w:t>
      </w:r>
      <w:r w:rsidR="000875C3" w:rsidRPr="000875C3">
        <w:rPr>
          <w:szCs w:val="24"/>
        </w:rPr>
        <w:t>It follow</w:t>
      </w:r>
      <w:r w:rsidR="000875C3">
        <w:rPr>
          <w:szCs w:val="24"/>
        </w:rPr>
        <w:t xml:space="preserve">ed that </w:t>
      </w:r>
      <w:r w:rsidR="000875C3" w:rsidRPr="000875C3">
        <w:rPr>
          <w:i/>
          <w:szCs w:val="24"/>
        </w:rPr>
        <w:t>“in some cases, damage will occur and a cause of action accrue at an intermediate point</w:t>
      </w:r>
      <w:r w:rsidR="000875C3">
        <w:rPr>
          <w:szCs w:val="24"/>
        </w:rPr>
        <w:t xml:space="preserve">” (para 73). O Donnell J also referred to the speech of Lord Hoffman in </w:t>
      </w:r>
      <w:r w:rsidR="000875C3" w:rsidRPr="000875C3">
        <w:rPr>
          <w:i/>
          <w:szCs w:val="24"/>
        </w:rPr>
        <w:t>Sephton</w:t>
      </w:r>
      <w:r w:rsidR="000875C3">
        <w:rPr>
          <w:szCs w:val="24"/>
        </w:rPr>
        <w:t xml:space="preserve"> in which he revisited </w:t>
      </w:r>
      <w:r w:rsidR="000875C3" w:rsidRPr="000875C3">
        <w:rPr>
          <w:i/>
          <w:szCs w:val="24"/>
        </w:rPr>
        <w:t>Ny</w:t>
      </w:r>
      <w:r w:rsidR="008A4B9E">
        <w:rPr>
          <w:i/>
          <w:szCs w:val="24"/>
        </w:rPr>
        <w:t>k</w:t>
      </w:r>
      <w:r w:rsidR="000875C3" w:rsidRPr="000875C3">
        <w:rPr>
          <w:i/>
          <w:szCs w:val="24"/>
        </w:rPr>
        <w:t>redit</w:t>
      </w:r>
      <w:r w:rsidR="00AA0C65">
        <w:rPr>
          <w:szCs w:val="24"/>
        </w:rPr>
        <w:t xml:space="preserve">, explaining that </w:t>
      </w:r>
      <w:r w:rsidR="00AA0C65" w:rsidRPr="00AA0C65">
        <w:rPr>
          <w:i/>
          <w:szCs w:val="24"/>
        </w:rPr>
        <w:t>Ny</w:t>
      </w:r>
      <w:r w:rsidR="008A4B9E">
        <w:rPr>
          <w:i/>
          <w:szCs w:val="24"/>
        </w:rPr>
        <w:t>k</w:t>
      </w:r>
      <w:r w:rsidR="00AA0C65" w:rsidRPr="00AA0C65">
        <w:rPr>
          <w:i/>
          <w:szCs w:val="24"/>
        </w:rPr>
        <w:t>redit</w:t>
      </w:r>
      <w:r w:rsidR="00AA0C65">
        <w:rPr>
          <w:szCs w:val="24"/>
        </w:rPr>
        <w:t xml:space="preserve"> </w:t>
      </w:r>
      <w:r w:rsidR="00930628">
        <w:rPr>
          <w:szCs w:val="24"/>
        </w:rPr>
        <w:t xml:space="preserve">had </w:t>
      </w:r>
      <w:r w:rsidR="00AA0C65">
        <w:rPr>
          <w:szCs w:val="24"/>
        </w:rPr>
        <w:t xml:space="preserve">not involved any question of mere contingent liability and could be </w:t>
      </w:r>
      <w:r w:rsidR="00AA0C65">
        <w:rPr>
          <w:szCs w:val="24"/>
        </w:rPr>
        <w:lastRenderedPageBreak/>
        <w:t>analysed as deciding that in a</w:t>
      </w:r>
      <w:r w:rsidR="00930628">
        <w:rPr>
          <w:szCs w:val="24"/>
        </w:rPr>
        <w:t xml:space="preserve"> bilateral</w:t>
      </w:r>
      <w:r w:rsidR="00AA0C65">
        <w:rPr>
          <w:szCs w:val="24"/>
        </w:rPr>
        <w:t xml:space="preserve"> transaction where </w:t>
      </w:r>
      <w:r w:rsidR="008A4B9E">
        <w:rPr>
          <w:szCs w:val="24"/>
        </w:rPr>
        <w:t xml:space="preserve">there </w:t>
      </w:r>
      <w:r w:rsidR="00AA0C65">
        <w:rPr>
          <w:szCs w:val="24"/>
        </w:rPr>
        <w:t xml:space="preserve">were benefits and burdens, and the measure of damages is the extent to which the lender was worse than it would have been if they had not entered into the transaction, the lender suffers loss and damage only when it is possible to say that </w:t>
      </w:r>
      <w:r w:rsidR="00B555F9">
        <w:rPr>
          <w:szCs w:val="24"/>
        </w:rPr>
        <w:t xml:space="preserve">they are </w:t>
      </w:r>
      <w:r w:rsidR="00AA0C65">
        <w:rPr>
          <w:szCs w:val="24"/>
        </w:rPr>
        <w:t>on balance worse</w:t>
      </w:r>
      <w:r w:rsidR="00B555F9">
        <w:rPr>
          <w:szCs w:val="24"/>
        </w:rPr>
        <w:t xml:space="preserve"> off</w:t>
      </w:r>
      <w:r w:rsidR="00930628">
        <w:rPr>
          <w:szCs w:val="24"/>
        </w:rPr>
        <w:t>.</w:t>
      </w:r>
    </w:p>
    <w:p w14:paraId="1FAC57C6" w14:textId="77777777" w:rsidR="00930628" w:rsidRDefault="00930628" w:rsidP="00930628">
      <w:pPr>
        <w:pStyle w:val="ListParagraph"/>
        <w:spacing w:line="480" w:lineRule="auto"/>
        <w:rPr>
          <w:szCs w:val="24"/>
        </w:rPr>
      </w:pPr>
    </w:p>
    <w:p w14:paraId="31B01335" w14:textId="77777777" w:rsidR="00CC5DDB" w:rsidRDefault="00930628" w:rsidP="000875C3">
      <w:pPr>
        <w:pStyle w:val="ListParagraph"/>
        <w:numPr>
          <w:ilvl w:val="0"/>
          <w:numId w:val="1"/>
        </w:numPr>
        <w:spacing w:line="480" w:lineRule="auto"/>
        <w:ind w:hanging="720"/>
        <w:rPr>
          <w:szCs w:val="24"/>
        </w:rPr>
      </w:pPr>
      <w:r>
        <w:rPr>
          <w:szCs w:val="24"/>
        </w:rPr>
        <w:t>This is not a lender claim and the Plaintiff’s claim</w:t>
      </w:r>
      <w:r w:rsidR="00C12AF1">
        <w:rPr>
          <w:szCs w:val="24"/>
        </w:rPr>
        <w:t xml:space="preserve"> here</w:t>
      </w:r>
      <w:r>
        <w:rPr>
          <w:szCs w:val="24"/>
        </w:rPr>
        <w:t xml:space="preserve"> is not </w:t>
      </w:r>
      <w:r w:rsidR="00015FCB">
        <w:rPr>
          <w:szCs w:val="24"/>
        </w:rPr>
        <w:t>advanced</w:t>
      </w:r>
      <w:r>
        <w:rPr>
          <w:szCs w:val="24"/>
        </w:rPr>
        <w:t xml:space="preserve"> as a “</w:t>
      </w:r>
      <w:r w:rsidRPr="00930628">
        <w:rPr>
          <w:i/>
          <w:szCs w:val="24"/>
        </w:rPr>
        <w:t>no transaction”</w:t>
      </w:r>
      <w:r>
        <w:rPr>
          <w:szCs w:val="24"/>
        </w:rPr>
        <w:t xml:space="preserve"> case. The Plaintiff does not make the case that  he would not have entered into the First Option if prope</w:t>
      </w:r>
      <w:r w:rsidR="00CE5209">
        <w:rPr>
          <w:szCs w:val="24"/>
        </w:rPr>
        <w:t>rl</w:t>
      </w:r>
      <w:r>
        <w:rPr>
          <w:szCs w:val="24"/>
        </w:rPr>
        <w:t>y advised</w:t>
      </w:r>
      <w:r w:rsidR="00CE5209">
        <w:rPr>
          <w:szCs w:val="24"/>
        </w:rPr>
        <w:t xml:space="preserve"> by Matheson</w:t>
      </w:r>
      <w:r>
        <w:rPr>
          <w:szCs w:val="24"/>
        </w:rPr>
        <w:t xml:space="preserve">. </w:t>
      </w:r>
      <w:r w:rsidR="00015FCB">
        <w:rPr>
          <w:szCs w:val="24"/>
        </w:rPr>
        <w:t>Rather, his case</w:t>
      </w:r>
      <w:r>
        <w:rPr>
          <w:szCs w:val="24"/>
        </w:rPr>
        <w:t xml:space="preserve"> is that, if</w:t>
      </w:r>
      <w:r w:rsidR="00CE5209">
        <w:rPr>
          <w:szCs w:val="24"/>
        </w:rPr>
        <w:t xml:space="preserve"> he had been</w:t>
      </w:r>
      <w:r>
        <w:rPr>
          <w:szCs w:val="24"/>
        </w:rPr>
        <w:t xml:space="preserve"> properly advised, </w:t>
      </w:r>
      <w:r w:rsidR="00CE5209">
        <w:rPr>
          <w:szCs w:val="24"/>
        </w:rPr>
        <w:t xml:space="preserve">his (contingent) right to receive royalty payments in the event of the exercise of the option would </w:t>
      </w:r>
      <w:r w:rsidR="00B555F9">
        <w:rPr>
          <w:szCs w:val="24"/>
        </w:rPr>
        <w:t xml:space="preserve">have </w:t>
      </w:r>
      <w:r w:rsidR="00CE5209">
        <w:rPr>
          <w:szCs w:val="24"/>
        </w:rPr>
        <w:t>be</w:t>
      </w:r>
      <w:r w:rsidR="00464FFF">
        <w:rPr>
          <w:szCs w:val="24"/>
        </w:rPr>
        <w:t>en</w:t>
      </w:r>
      <w:r w:rsidR="00CE5209">
        <w:rPr>
          <w:szCs w:val="24"/>
        </w:rPr>
        <w:t xml:space="preserve"> secured on the Ballynagran Lands, thus protecting his position in the event that Greenstar Holdings Limited became insolvent or otherwise defaulted on payment. This is, therefore, a “</w:t>
      </w:r>
      <w:r w:rsidR="00CE5209" w:rsidRPr="00CE5209">
        <w:rPr>
          <w:i/>
          <w:szCs w:val="24"/>
        </w:rPr>
        <w:t>flawed transaction</w:t>
      </w:r>
      <w:r w:rsidR="00CE5209">
        <w:rPr>
          <w:szCs w:val="24"/>
        </w:rPr>
        <w:t xml:space="preserve">” in terms of the classification or categorisation found in the authorities from England and Wales. </w:t>
      </w:r>
      <w:r w:rsidR="00B555F9">
        <w:rPr>
          <w:szCs w:val="24"/>
        </w:rPr>
        <w:t>But</w:t>
      </w:r>
      <w:r w:rsidR="00E671AB">
        <w:rPr>
          <w:szCs w:val="24"/>
        </w:rPr>
        <w:t>,</w:t>
      </w:r>
      <w:r w:rsidR="00B555F9">
        <w:rPr>
          <w:szCs w:val="24"/>
        </w:rPr>
        <w:t xml:space="preserve"> however the case may be classified, the essential question is the same, namely when actionable loss occurred</w:t>
      </w:r>
      <w:r w:rsidR="00CC5DDB">
        <w:rPr>
          <w:szCs w:val="24"/>
        </w:rPr>
        <w:t xml:space="preserve"> and in that contex</w:t>
      </w:r>
      <w:r w:rsidR="00C12AF1">
        <w:rPr>
          <w:szCs w:val="24"/>
        </w:rPr>
        <w:t xml:space="preserve">t the </w:t>
      </w:r>
      <w:r w:rsidR="00CC5DDB">
        <w:rPr>
          <w:szCs w:val="24"/>
        </w:rPr>
        <w:t xml:space="preserve">analysis in </w:t>
      </w:r>
      <w:r w:rsidR="00CC5DDB" w:rsidRPr="00CC5DDB">
        <w:rPr>
          <w:i/>
          <w:szCs w:val="24"/>
        </w:rPr>
        <w:t>Ny</w:t>
      </w:r>
      <w:r w:rsidR="003604D7">
        <w:rPr>
          <w:i/>
          <w:szCs w:val="24"/>
        </w:rPr>
        <w:t>k</w:t>
      </w:r>
      <w:r w:rsidR="00CC5DDB" w:rsidRPr="00CC5DDB">
        <w:rPr>
          <w:i/>
          <w:szCs w:val="24"/>
        </w:rPr>
        <w:t>redit</w:t>
      </w:r>
      <w:r w:rsidR="00CC5DDB">
        <w:rPr>
          <w:szCs w:val="24"/>
        </w:rPr>
        <w:t xml:space="preserve"> </w:t>
      </w:r>
      <w:r w:rsidR="00C12AF1">
        <w:rPr>
          <w:szCs w:val="24"/>
        </w:rPr>
        <w:t>appears to me to be of</w:t>
      </w:r>
      <w:r w:rsidR="00CC5DDB">
        <w:rPr>
          <w:szCs w:val="24"/>
        </w:rPr>
        <w:t xml:space="preserve"> </w:t>
      </w:r>
      <w:r w:rsidR="00C12AF1">
        <w:rPr>
          <w:szCs w:val="24"/>
        </w:rPr>
        <w:t xml:space="preserve">some </w:t>
      </w:r>
      <w:r w:rsidR="00E671AB">
        <w:rPr>
          <w:szCs w:val="24"/>
        </w:rPr>
        <w:t>assistance</w:t>
      </w:r>
      <w:r w:rsidR="00CC5DDB">
        <w:rPr>
          <w:szCs w:val="24"/>
        </w:rPr>
        <w:t>.</w:t>
      </w:r>
    </w:p>
    <w:p w14:paraId="4ADDAEA5" w14:textId="77777777" w:rsidR="00CC5DDB" w:rsidRDefault="00CC5DDB" w:rsidP="00CC5DDB">
      <w:pPr>
        <w:pStyle w:val="ListParagraph"/>
        <w:spacing w:line="480" w:lineRule="auto"/>
        <w:rPr>
          <w:szCs w:val="24"/>
        </w:rPr>
      </w:pPr>
    </w:p>
    <w:p w14:paraId="3581DA57" w14:textId="77777777" w:rsidR="00B555F9" w:rsidRDefault="00CC5DDB" w:rsidP="000875C3">
      <w:pPr>
        <w:pStyle w:val="ListParagraph"/>
        <w:numPr>
          <w:ilvl w:val="0"/>
          <w:numId w:val="1"/>
        </w:numPr>
        <w:spacing w:line="480" w:lineRule="auto"/>
        <w:ind w:hanging="720"/>
        <w:rPr>
          <w:szCs w:val="24"/>
        </w:rPr>
      </w:pPr>
      <w:r>
        <w:rPr>
          <w:szCs w:val="24"/>
        </w:rPr>
        <w:t xml:space="preserve">As </w:t>
      </w:r>
      <w:r w:rsidRPr="00CC5DDB">
        <w:rPr>
          <w:i/>
          <w:szCs w:val="24"/>
        </w:rPr>
        <w:t>Nykredit</w:t>
      </w:r>
      <w:r>
        <w:rPr>
          <w:szCs w:val="24"/>
        </w:rPr>
        <w:t xml:space="preserve"> recognises, where a bank lends money on foot of security that turns out to be inadequate (or non-existent), loss is not </w:t>
      </w:r>
      <w:r w:rsidR="00595C9C">
        <w:rPr>
          <w:szCs w:val="24"/>
        </w:rPr>
        <w:t xml:space="preserve">necessarily </w:t>
      </w:r>
      <w:r>
        <w:rPr>
          <w:szCs w:val="24"/>
        </w:rPr>
        <w:t>inevitable or even probable. The absence of adequate security may not, in fact, impact the lender at all: if the borrower repays the loan in accordance with its terms, the lender will suffer no loss.</w:t>
      </w:r>
      <w:r w:rsidR="00643232">
        <w:rPr>
          <w:szCs w:val="24"/>
        </w:rPr>
        <w:t xml:space="preserve"> The absence of security may increase the risk of loss on the loan – because in the event of default the bank will not have recourse to security adequate to recoup the sum advanced – but</w:t>
      </w:r>
      <w:r w:rsidR="00EB395B">
        <w:rPr>
          <w:szCs w:val="24"/>
        </w:rPr>
        <w:t xml:space="preserve">, </w:t>
      </w:r>
      <w:r w:rsidR="00EB395B" w:rsidRPr="00EB395B">
        <w:rPr>
          <w:i/>
          <w:szCs w:val="24"/>
        </w:rPr>
        <w:t>prima facie</w:t>
      </w:r>
      <w:r w:rsidR="00EB395B">
        <w:rPr>
          <w:szCs w:val="24"/>
        </w:rPr>
        <w:t>,</w:t>
      </w:r>
      <w:r w:rsidR="00643232">
        <w:rPr>
          <w:szCs w:val="24"/>
        </w:rPr>
        <w:t xml:space="preserve"> loss </w:t>
      </w:r>
      <w:r w:rsidR="00EB395B">
        <w:rPr>
          <w:szCs w:val="24"/>
        </w:rPr>
        <w:t>will be</w:t>
      </w:r>
      <w:r w:rsidR="00643232">
        <w:rPr>
          <w:szCs w:val="24"/>
        </w:rPr>
        <w:t xml:space="preserve"> contingent upon borrower default. </w:t>
      </w:r>
      <w:r w:rsidR="00DD392D">
        <w:rPr>
          <w:szCs w:val="24"/>
        </w:rPr>
        <w:t xml:space="preserve">However, as </w:t>
      </w:r>
      <w:r w:rsidR="00DD392D" w:rsidRPr="00DD392D">
        <w:rPr>
          <w:i/>
          <w:szCs w:val="24"/>
        </w:rPr>
        <w:t>Ny</w:t>
      </w:r>
      <w:r w:rsidR="008A4B9E">
        <w:rPr>
          <w:i/>
          <w:szCs w:val="24"/>
        </w:rPr>
        <w:t>k</w:t>
      </w:r>
      <w:r w:rsidR="00DD392D" w:rsidRPr="00DD392D">
        <w:rPr>
          <w:i/>
          <w:szCs w:val="24"/>
        </w:rPr>
        <w:t>redit</w:t>
      </w:r>
      <w:r w:rsidR="00207CB1">
        <w:rPr>
          <w:i/>
          <w:szCs w:val="24"/>
        </w:rPr>
        <w:t xml:space="preserve"> </w:t>
      </w:r>
      <w:r w:rsidR="00207CB1" w:rsidRPr="00207CB1">
        <w:rPr>
          <w:szCs w:val="24"/>
        </w:rPr>
        <w:t>also</w:t>
      </w:r>
      <w:r w:rsidR="00DD392D">
        <w:rPr>
          <w:szCs w:val="24"/>
        </w:rPr>
        <w:t xml:space="preserve"> </w:t>
      </w:r>
      <w:r w:rsidR="00DD392D">
        <w:rPr>
          <w:szCs w:val="24"/>
        </w:rPr>
        <w:lastRenderedPageBreak/>
        <w:t>suggests, there will be cases where borrower’s covenant is</w:t>
      </w:r>
      <w:r w:rsidR="00EB395B">
        <w:rPr>
          <w:szCs w:val="24"/>
        </w:rPr>
        <w:t xml:space="preserve"> </w:t>
      </w:r>
      <w:r w:rsidR="00DD392D">
        <w:rPr>
          <w:szCs w:val="24"/>
        </w:rPr>
        <w:t xml:space="preserve">of such </w:t>
      </w:r>
      <w:r w:rsidR="00EB395B">
        <w:rPr>
          <w:szCs w:val="24"/>
        </w:rPr>
        <w:t>questionable</w:t>
      </w:r>
      <w:r w:rsidR="00DD392D">
        <w:rPr>
          <w:szCs w:val="24"/>
        </w:rPr>
        <w:t xml:space="preserve"> value that, in the absence of adequate security, </w:t>
      </w:r>
      <w:r w:rsidR="00EB395B">
        <w:rPr>
          <w:szCs w:val="24"/>
        </w:rPr>
        <w:t>there</w:t>
      </w:r>
      <w:r w:rsidR="00DD392D">
        <w:rPr>
          <w:szCs w:val="24"/>
        </w:rPr>
        <w:t xml:space="preserve"> is a probability of </w:t>
      </w:r>
      <w:r w:rsidR="00EB395B">
        <w:rPr>
          <w:szCs w:val="24"/>
        </w:rPr>
        <w:t>default</w:t>
      </w:r>
      <w:r w:rsidR="00DD392D">
        <w:rPr>
          <w:szCs w:val="24"/>
        </w:rPr>
        <w:t xml:space="preserve"> such as to have an immediate impact on the value of the loan, thus giving rise to immediate </w:t>
      </w:r>
      <w:r w:rsidR="00EB395B">
        <w:rPr>
          <w:szCs w:val="24"/>
        </w:rPr>
        <w:t>damage.  Loans are tradeable commodities and the likelihood of future loss can and is priced into present value, both in the market and by way of write-down in a bank’s accounts.</w:t>
      </w:r>
    </w:p>
    <w:p w14:paraId="51A212BF" w14:textId="77777777" w:rsidR="00DD392D" w:rsidRDefault="00DD392D" w:rsidP="00DD392D">
      <w:pPr>
        <w:pStyle w:val="ListParagraph"/>
        <w:spacing w:line="480" w:lineRule="auto"/>
        <w:rPr>
          <w:szCs w:val="24"/>
        </w:rPr>
      </w:pPr>
    </w:p>
    <w:p w14:paraId="51B60CBE" w14:textId="77777777" w:rsidR="00DD392D" w:rsidRDefault="00EB395B" w:rsidP="000875C3">
      <w:pPr>
        <w:pStyle w:val="ListParagraph"/>
        <w:numPr>
          <w:ilvl w:val="0"/>
          <w:numId w:val="1"/>
        </w:numPr>
        <w:spacing w:line="480" w:lineRule="auto"/>
        <w:ind w:hanging="720"/>
        <w:rPr>
          <w:szCs w:val="24"/>
        </w:rPr>
      </w:pPr>
      <w:r>
        <w:rPr>
          <w:szCs w:val="24"/>
        </w:rPr>
        <w:t>Here, the Plaintiff had a contractual right to payment of royalty</w:t>
      </w:r>
      <w:r w:rsidR="00D72E11">
        <w:rPr>
          <w:szCs w:val="24"/>
        </w:rPr>
        <w:t xml:space="preserve"> payments</w:t>
      </w:r>
      <w:r>
        <w:rPr>
          <w:szCs w:val="24"/>
        </w:rPr>
        <w:t xml:space="preserve">. </w:t>
      </w:r>
      <w:r w:rsidR="00D72E11">
        <w:rPr>
          <w:szCs w:val="24"/>
        </w:rPr>
        <w:t>However, t</w:t>
      </w:r>
      <w:r>
        <w:rPr>
          <w:szCs w:val="24"/>
        </w:rPr>
        <w:t>hat right was contingent in a number of</w:t>
      </w:r>
      <w:r w:rsidR="00721841">
        <w:rPr>
          <w:szCs w:val="24"/>
        </w:rPr>
        <w:t xml:space="preserve"> significant</w:t>
      </w:r>
      <w:r>
        <w:rPr>
          <w:szCs w:val="24"/>
        </w:rPr>
        <w:t xml:space="preserve"> respects. In the first place, and fundamentally, it was contingent on the exercise by Greenstar Holdings Limited of its option to purchase the Ballynagran Lands. </w:t>
      </w:r>
      <w:r w:rsidR="00D72E11">
        <w:rPr>
          <w:szCs w:val="24"/>
        </w:rPr>
        <w:t xml:space="preserve">In practice –if not formally – the exercise of that option was in turn contingent on compliance with the </w:t>
      </w:r>
      <w:r w:rsidR="00D72E11" w:rsidRPr="00D72E11">
        <w:rPr>
          <w:i/>
          <w:szCs w:val="24"/>
        </w:rPr>
        <w:t>“Pre-Conditions”</w:t>
      </w:r>
      <w:r w:rsidR="00D72E11">
        <w:rPr>
          <w:szCs w:val="24"/>
        </w:rPr>
        <w:t xml:space="preserve"> set out in the First Option, namely receipt by Greenstar Holdings Limited of all “</w:t>
      </w:r>
      <w:r w:rsidR="00D72E11" w:rsidRPr="00D72E11">
        <w:rPr>
          <w:i/>
          <w:szCs w:val="24"/>
        </w:rPr>
        <w:t>Consents</w:t>
      </w:r>
      <w:r w:rsidR="00D72E11">
        <w:rPr>
          <w:szCs w:val="24"/>
        </w:rPr>
        <w:t>” required for the operation of the Landfill. On the exercise of the option, the Plaintiff’s right to receive royalty payments was contingent on the operation of the landfill generating sufficient “</w:t>
      </w:r>
      <w:r w:rsidR="00D72E11" w:rsidRPr="00D72E11">
        <w:rPr>
          <w:i/>
          <w:szCs w:val="24"/>
        </w:rPr>
        <w:t>Net Income”</w:t>
      </w:r>
      <w:r w:rsidR="00D72E11">
        <w:rPr>
          <w:i/>
          <w:szCs w:val="24"/>
        </w:rPr>
        <w:t xml:space="preserve"> </w:t>
      </w:r>
      <w:r w:rsidR="00D72E11">
        <w:rPr>
          <w:szCs w:val="24"/>
        </w:rPr>
        <w:t>over its lifetime to trigger a liability on the part of Greenstar Holdings Limited over and above the “</w:t>
      </w:r>
      <w:r w:rsidR="00D72E11" w:rsidRPr="00D72E11">
        <w:rPr>
          <w:i/>
          <w:szCs w:val="24"/>
        </w:rPr>
        <w:t>Initial Payment</w:t>
      </w:r>
      <w:r w:rsidR="00D72E11">
        <w:rPr>
          <w:szCs w:val="24"/>
        </w:rPr>
        <w:t>” provided for by the First Option.</w:t>
      </w:r>
    </w:p>
    <w:p w14:paraId="5013A951" w14:textId="77777777" w:rsidR="00D72E11" w:rsidRPr="00D72E11" w:rsidRDefault="00D72E11" w:rsidP="00D72E11">
      <w:pPr>
        <w:pStyle w:val="ListParagraph"/>
        <w:spacing w:line="480" w:lineRule="auto"/>
        <w:rPr>
          <w:szCs w:val="24"/>
        </w:rPr>
      </w:pPr>
    </w:p>
    <w:p w14:paraId="1D536F88" w14:textId="77777777" w:rsidR="00346A65" w:rsidRDefault="00DA363B" w:rsidP="007F5772">
      <w:pPr>
        <w:pStyle w:val="ListParagraph"/>
        <w:numPr>
          <w:ilvl w:val="0"/>
          <w:numId w:val="1"/>
        </w:numPr>
        <w:spacing w:line="480" w:lineRule="auto"/>
        <w:ind w:hanging="720"/>
        <w:rPr>
          <w:szCs w:val="24"/>
        </w:rPr>
      </w:pPr>
      <w:r>
        <w:rPr>
          <w:szCs w:val="24"/>
        </w:rPr>
        <w:t>On the hypothesis that</w:t>
      </w:r>
      <w:r w:rsidR="00D72E11">
        <w:rPr>
          <w:szCs w:val="24"/>
        </w:rPr>
        <w:t xml:space="preserve"> </w:t>
      </w:r>
      <w:r>
        <w:rPr>
          <w:szCs w:val="24"/>
        </w:rPr>
        <w:t xml:space="preserve">the Plaintiff sought independent legal advice about the terms of the First Option in the period prior to the exercise of the option in 2005,  what advice </w:t>
      </w:r>
      <w:r w:rsidR="00595C9C">
        <w:rPr>
          <w:szCs w:val="24"/>
        </w:rPr>
        <w:t>should</w:t>
      </w:r>
      <w:r>
        <w:rPr>
          <w:szCs w:val="24"/>
        </w:rPr>
        <w:t xml:space="preserve"> he </w:t>
      </w:r>
      <w:r w:rsidR="00CC4162">
        <w:rPr>
          <w:szCs w:val="24"/>
        </w:rPr>
        <w:t xml:space="preserve">then </w:t>
      </w:r>
      <w:r>
        <w:rPr>
          <w:szCs w:val="24"/>
        </w:rPr>
        <w:t xml:space="preserve">have received? Assuming that he would have been advised that the terms of the First Option (including the draft contract annexed to it) did not adequately protect him against the risk of Greenstar Holdings Limited becoming insolvent or otherwise defaulting on payment (as the Plaintiff contends), is it plausible to suggest that he could </w:t>
      </w:r>
      <w:r>
        <w:rPr>
          <w:szCs w:val="24"/>
        </w:rPr>
        <w:lastRenderedPageBreak/>
        <w:t xml:space="preserve">properly have been advised that he had already suffered damage such as to warrant a claim in negligence against Matheson? I </w:t>
      </w:r>
      <w:r w:rsidR="00CC4162">
        <w:rPr>
          <w:szCs w:val="24"/>
        </w:rPr>
        <w:t xml:space="preserve">do not believe so. A prudent legal advisor would, I believe, have advised the Plaintiff that, while he had been exposed to a risk (or increased risk) of loss, any loss was highly contingent and might never eventuate. The option might not be exercised. </w:t>
      </w:r>
      <w:r w:rsidR="00C12AF1">
        <w:rPr>
          <w:szCs w:val="24"/>
        </w:rPr>
        <w:t xml:space="preserve">In that scenario, there would be no loss. </w:t>
      </w:r>
      <w:r w:rsidR="00CC4162">
        <w:rPr>
          <w:szCs w:val="24"/>
        </w:rPr>
        <w:t xml:space="preserve">If </w:t>
      </w:r>
      <w:r w:rsidR="00C12AF1">
        <w:rPr>
          <w:szCs w:val="24"/>
        </w:rPr>
        <w:t xml:space="preserve">the option was </w:t>
      </w:r>
      <w:r w:rsidR="00CC4162">
        <w:rPr>
          <w:szCs w:val="24"/>
        </w:rPr>
        <w:t>exercised, it might be possible to negotiate the inclusion in the contract for sale of further special conditions that would provide additional protection for the Plaintiff. In any event, no royalty payments might become payable above and beyond the “</w:t>
      </w:r>
      <w:r w:rsidR="00CC4162" w:rsidRPr="00CC4162">
        <w:rPr>
          <w:i/>
          <w:szCs w:val="24"/>
        </w:rPr>
        <w:t>Initial Payment</w:t>
      </w:r>
      <w:r w:rsidR="009548CD">
        <w:rPr>
          <w:i/>
          <w:szCs w:val="24"/>
        </w:rPr>
        <w:t xml:space="preserve">” </w:t>
      </w:r>
      <w:r w:rsidR="009548CD">
        <w:rPr>
          <w:szCs w:val="24"/>
        </w:rPr>
        <w:t xml:space="preserve">(and it is important to recall that, quite apart from any future royalty payments, the First Option provided for the immediate payment of a very substantial amount to the Plaintiff upon the exercise of the option and the transfer of the Ballynagran Lands). </w:t>
      </w:r>
      <w:r w:rsidR="00C12AF1">
        <w:rPr>
          <w:szCs w:val="24"/>
        </w:rPr>
        <w:t xml:space="preserve">Again, in that scenario, there would be no loss. </w:t>
      </w:r>
      <w:r w:rsidR="00CC4162">
        <w:rPr>
          <w:szCs w:val="24"/>
        </w:rPr>
        <w:t xml:space="preserve">Finally – and critically - the Plaintiff would have a contractual right to payment, enforceable against Greenstar Holdings Limited. </w:t>
      </w:r>
      <w:r w:rsidR="00346A65">
        <w:rPr>
          <w:szCs w:val="24"/>
        </w:rPr>
        <w:t>If Greenstar Holdings Limited performed its contractual obligations, again there would be no loss.</w:t>
      </w:r>
    </w:p>
    <w:p w14:paraId="24EA657C" w14:textId="77777777" w:rsidR="00346A65" w:rsidRDefault="00346A65" w:rsidP="00346A65">
      <w:pPr>
        <w:pStyle w:val="ListParagraph"/>
        <w:spacing w:line="480" w:lineRule="auto"/>
        <w:rPr>
          <w:szCs w:val="24"/>
        </w:rPr>
      </w:pPr>
    </w:p>
    <w:p w14:paraId="4F441EE9" w14:textId="77777777" w:rsidR="007F5772" w:rsidRPr="00346A65" w:rsidRDefault="00346A65" w:rsidP="00D92B77">
      <w:pPr>
        <w:pStyle w:val="ListParagraph"/>
        <w:numPr>
          <w:ilvl w:val="0"/>
          <w:numId w:val="1"/>
        </w:numPr>
        <w:spacing w:line="480" w:lineRule="auto"/>
        <w:ind w:hanging="720"/>
        <w:rPr>
          <w:szCs w:val="24"/>
        </w:rPr>
      </w:pPr>
      <w:r w:rsidRPr="00346A65">
        <w:rPr>
          <w:szCs w:val="24"/>
        </w:rPr>
        <w:t xml:space="preserve"> </w:t>
      </w:r>
      <w:r w:rsidR="00CC4162" w:rsidRPr="00346A65">
        <w:rPr>
          <w:szCs w:val="24"/>
        </w:rPr>
        <w:t xml:space="preserve">There is no reason to suppose – and certainly </w:t>
      </w:r>
      <w:r w:rsidR="00A4459C" w:rsidRPr="00346A65">
        <w:rPr>
          <w:szCs w:val="24"/>
        </w:rPr>
        <w:t xml:space="preserve">there is </w:t>
      </w:r>
      <w:r w:rsidR="00CC4162" w:rsidRPr="00346A65">
        <w:rPr>
          <w:szCs w:val="24"/>
        </w:rPr>
        <w:t xml:space="preserve">no evidence to suggest – that </w:t>
      </w:r>
      <w:r w:rsidR="003C1D85" w:rsidRPr="00346A65">
        <w:rPr>
          <w:szCs w:val="24"/>
        </w:rPr>
        <w:t>Greenstar Holdings Limited’s covenant to pay royalty payments would have been discounted or dismissed as “</w:t>
      </w:r>
      <w:r w:rsidR="003C1D85" w:rsidRPr="00346A65">
        <w:rPr>
          <w:i/>
          <w:szCs w:val="24"/>
        </w:rPr>
        <w:t>worthless</w:t>
      </w:r>
      <w:r w:rsidR="003C1D85" w:rsidRPr="00346A65">
        <w:rPr>
          <w:szCs w:val="24"/>
        </w:rPr>
        <w:t xml:space="preserve">” in the period prior to the 2005 transaction. </w:t>
      </w:r>
    </w:p>
    <w:p w14:paraId="0362BAD2" w14:textId="77777777" w:rsidR="003C1D85" w:rsidRDefault="003C1D85" w:rsidP="003C1D85">
      <w:pPr>
        <w:pStyle w:val="ListParagraph"/>
        <w:spacing w:line="480" w:lineRule="auto"/>
        <w:rPr>
          <w:szCs w:val="24"/>
        </w:rPr>
      </w:pPr>
    </w:p>
    <w:p w14:paraId="7DA5CC86" w14:textId="77777777" w:rsidR="003C1D85" w:rsidRDefault="003C1D85" w:rsidP="000875C3">
      <w:pPr>
        <w:pStyle w:val="ListParagraph"/>
        <w:numPr>
          <w:ilvl w:val="0"/>
          <w:numId w:val="1"/>
        </w:numPr>
        <w:spacing w:line="480" w:lineRule="auto"/>
        <w:ind w:hanging="720"/>
        <w:rPr>
          <w:szCs w:val="24"/>
        </w:rPr>
      </w:pPr>
      <w:r>
        <w:rPr>
          <w:szCs w:val="24"/>
        </w:rPr>
        <w:t>If the Plaintiff had sued in negligence at th</w:t>
      </w:r>
      <w:r w:rsidR="00A4459C">
        <w:rPr>
          <w:szCs w:val="24"/>
        </w:rPr>
        <w:t>at</w:t>
      </w:r>
      <w:r>
        <w:rPr>
          <w:szCs w:val="24"/>
        </w:rPr>
        <w:t xml:space="preserve"> point (i.e. prior to the 2005 transaction) I do not believe that he would have been able to establish “</w:t>
      </w:r>
      <w:r w:rsidRPr="003C1D85">
        <w:rPr>
          <w:i/>
          <w:szCs w:val="24"/>
        </w:rPr>
        <w:t>real actual damage.”</w:t>
      </w:r>
      <w:r>
        <w:rPr>
          <w:szCs w:val="24"/>
        </w:rPr>
        <w:t xml:space="preserve"> All that he could have pointed to was a </w:t>
      </w:r>
      <w:r w:rsidRPr="003C1D85">
        <w:rPr>
          <w:i/>
          <w:szCs w:val="24"/>
        </w:rPr>
        <w:t>possibility</w:t>
      </w:r>
      <w:r>
        <w:rPr>
          <w:szCs w:val="24"/>
        </w:rPr>
        <w:t xml:space="preserve"> of future loss </w:t>
      </w:r>
      <w:r w:rsidR="00595C9C">
        <w:rPr>
          <w:szCs w:val="24"/>
        </w:rPr>
        <w:t>(the non-payment in the future of Royalty Payments payable by Greenstar Holdings Limited) and/</w:t>
      </w:r>
      <w:r>
        <w:rPr>
          <w:szCs w:val="24"/>
        </w:rPr>
        <w:t xml:space="preserve">or the exposure to a </w:t>
      </w:r>
      <w:r w:rsidRPr="003C1D85">
        <w:rPr>
          <w:i/>
          <w:szCs w:val="24"/>
        </w:rPr>
        <w:lastRenderedPageBreak/>
        <w:t>risk</w:t>
      </w:r>
      <w:r>
        <w:rPr>
          <w:szCs w:val="24"/>
        </w:rPr>
        <w:t xml:space="preserve"> or </w:t>
      </w:r>
      <w:r w:rsidRPr="003C1D85">
        <w:rPr>
          <w:i/>
          <w:szCs w:val="24"/>
        </w:rPr>
        <w:t>increased risk</w:t>
      </w:r>
      <w:r>
        <w:rPr>
          <w:i/>
          <w:szCs w:val="24"/>
        </w:rPr>
        <w:t xml:space="preserve"> </w:t>
      </w:r>
      <w:r>
        <w:rPr>
          <w:szCs w:val="24"/>
        </w:rPr>
        <w:t xml:space="preserve">of such loss. In argument, counsel for Matheson maintained that </w:t>
      </w:r>
      <w:r w:rsidR="00B401CE">
        <w:rPr>
          <w:szCs w:val="24"/>
        </w:rPr>
        <w:t xml:space="preserve">this was sufficient to constitute actionable loss, citing the observations of Baker J in this Court in </w:t>
      </w:r>
      <w:r w:rsidR="00B401CE" w:rsidRPr="00B401CE">
        <w:rPr>
          <w:i/>
          <w:szCs w:val="24"/>
        </w:rPr>
        <w:t>Cantrell</w:t>
      </w:r>
      <w:r w:rsidR="00B401CE">
        <w:rPr>
          <w:szCs w:val="24"/>
        </w:rPr>
        <w:t xml:space="preserve"> at para 123, where she suggested that it was an error to apply the </w:t>
      </w:r>
      <w:r w:rsidR="00B401CE" w:rsidRPr="00B401CE">
        <w:rPr>
          <w:i/>
          <w:szCs w:val="24"/>
        </w:rPr>
        <w:t>Wardley</w:t>
      </w:r>
      <w:r w:rsidR="00B401CE">
        <w:rPr>
          <w:szCs w:val="24"/>
        </w:rPr>
        <w:t xml:space="preserve"> approach to contingent liability (which, she noted, had found favour with the Supreme Court in </w:t>
      </w:r>
      <w:r w:rsidR="00B401CE" w:rsidRPr="00B401CE">
        <w:rPr>
          <w:i/>
          <w:szCs w:val="24"/>
        </w:rPr>
        <w:t>Gallagher</w:t>
      </w:r>
      <w:r w:rsidR="00B401CE">
        <w:rPr>
          <w:szCs w:val="24"/>
        </w:rPr>
        <w:t xml:space="preserve"> and </w:t>
      </w:r>
      <w:r w:rsidR="00B401CE" w:rsidRPr="00B401CE">
        <w:rPr>
          <w:i/>
          <w:szCs w:val="24"/>
        </w:rPr>
        <w:t>Brandley</w:t>
      </w:r>
      <w:r w:rsidR="00B401CE">
        <w:rPr>
          <w:szCs w:val="24"/>
        </w:rPr>
        <w:t xml:space="preserve">) to a claim for financial loss based on increased risk. Such risk, in her opinion, was not contingent but actual. The risk that Baker J was referring to in </w:t>
      </w:r>
      <w:r w:rsidR="00B401CE" w:rsidRPr="00B401CE">
        <w:rPr>
          <w:i/>
          <w:szCs w:val="24"/>
        </w:rPr>
        <w:t>Cantrell</w:t>
      </w:r>
      <w:r w:rsidR="00B401CE">
        <w:rPr>
          <w:szCs w:val="24"/>
        </w:rPr>
        <w:t xml:space="preserve"> was the risk of foreclosure to which the Belfry investment vehicles were exposed </w:t>
      </w:r>
      <w:r w:rsidR="00A86885">
        <w:rPr>
          <w:szCs w:val="24"/>
        </w:rPr>
        <w:t>when their directors negotiated loans which were subject to loan to value (LTV) covenants and for the reasons set out in her judgment, she concluded that the risk constituted actual damage such that the investors’ cause of action in negligence accrued at that point.</w:t>
      </w:r>
    </w:p>
    <w:p w14:paraId="5CA42065" w14:textId="77777777" w:rsidR="00A86885" w:rsidRDefault="00A86885" w:rsidP="00A86885">
      <w:pPr>
        <w:pStyle w:val="ListParagraph"/>
        <w:spacing w:line="480" w:lineRule="auto"/>
        <w:rPr>
          <w:szCs w:val="24"/>
        </w:rPr>
      </w:pPr>
    </w:p>
    <w:p w14:paraId="1F7BBC4D" w14:textId="77777777" w:rsidR="009548CD" w:rsidRDefault="00A86885" w:rsidP="009548CD">
      <w:pPr>
        <w:pStyle w:val="ListParagraph"/>
        <w:numPr>
          <w:ilvl w:val="0"/>
          <w:numId w:val="1"/>
        </w:numPr>
        <w:spacing w:line="480" w:lineRule="auto"/>
        <w:ind w:hanging="720"/>
        <w:rPr>
          <w:szCs w:val="24"/>
        </w:rPr>
      </w:pPr>
      <w:r>
        <w:rPr>
          <w:szCs w:val="24"/>
        </w:rPr>
        <w:t xml:space="preserve">The transactions here differ from the transactions in </w:t>
      </w:r>
      <w:r w:rsidRPr="00A86885">
        <w:rPr>
          <w:i/>
          <w:szCs w:val="24"/>
        </w:rPr>
        <w:t>Cantrell</w:t>
      </w:r>
      <w:r>
        <w:rPr>
          <w:i/>
          <w:szCs w:val="24"/>
        </w:rPr>
        <w:t xml:space="preserve">. </w:t>
      </w:r>
      <w:r>
        <w:rPr>
          <w:szCs w:val="24"/>
        </w:rPr>
        <w:t xml:space="preserve">In any event, the Supreme Court adopted a </w:t>
      </w:r>
      <w:r w:rsidR="007F5772">
        <w:rPr>
          <w:szCs w:val="24"/>
        </w:rPr>
        <w:t xml:space="preserve">materially </w:t>
      </w:r>
      <w:r>
        <w:rPr>
          <w:szCs w:val="24"/>
        </w:rPr>
        <w:t xml:space="preserve">different analysis of loss on appeal in </w:t>
      </w:r>
      <w:r w:rsidRPr="00A86885">
        <w:rPr>
          <w:i/>
          <w:szCs w:val="24"/>
        </w:rPr>
        <w:t>Cantrell</w:t>
      </w:r>
      <w:r>
        <w:rPr>
          <w:szCs w:val="24"/>
        </w:rPr>
        <w:t xml:space="preserve">. In his judgment, O’ Donnell J acknowledged the logic of this Court’s decision </w:t>
      </w:r>
      <w:r w:rsidR="009548CD">
        <w:rPr>
          <w:szCs w:val="24"/>
        </w:rPr>
        <w:t xml:space="preserve">but considered that </w:t>
      </w:r>
      <w:r w:rsidR="009548CD" w:rsidRPr="009548CD">
        <w:rPr>
          <w:i/>
          <w:szCs w:val="24"/>
        </w:rPr>
        <w:t>Gallagher</w:t>
      </w:r>
      <w:r w:rsidR="009548CD">
        <w:rPr>
          <w:szCs w:val="24"/>
        </w:rPr>
        <w:t xml:space="preserve"> was </w:t>
      </w:r>
      <w:r w:rsidR="009548CD" w:rsidRPr="009548CD">
        <w:rPr>
          <w:i/>
          <w:szCs w:val="24"/>
        </w:rPr>
        <w:t xml:space="preserve">“clear in its instruction to prefer sensible pragmatism to relentless logic” </w:t>
      </w:r>
      <w:r w:rsidR="009548CD">
        <w:rPr>
          <w:szCs w:val="24"/>
        </w:rPr>
        <w:t>and, on that basis</w:t>
      </w:r>
      <w:r w:rsidR="009548CD" w:rsidRPr="009548CD">
        <w:rPr>
          <w:i/>
          <w:szCs w:val="24"/>
        </w:rPr>
        <w:t>, “it is insufficient to identify increased risk alone as damage leading to the accrual of the cause of action at that point</w:t>
      </w:r>
      <w:r w:rsidR="009548CD">
        <w:rPr>
          <w:i/>
          <w:szCs w:val="24"/>
        </w:rPr>
        <w:t xml:space="preserve"> </w:t>
      </w:r>
      <w:r w:rsidR="009548CD">
        <w:rPr>
          <w:szCs w:val="24"/>
        </w:rPr>
        <w:t xml:space="preserve">(para 139). In his view, the LTV claims accrued only at the point when the LTV covenants had a negative impact on valuation (para 144). </w:t>
      </w:r>
    </w:p>
    <w:p w14:paraId="68F3A83E" w14:textId="77777777" w:rsidR="009548CD" w:rsidRDefault="009548CD" w:rsidP="009548CD">
      <w:pPr>
        <w:pStyle w:val="ListParagraph"/>
        <w:spacing w:line="480" w:lineRule="auto"/>
        <w:rPr>
          <w:szCs w:val="24"/>
        </w:rPr>
      </w:pPr>
    </w:p>
    <w:p w14:paraId="668A3D4B" w14:textId="77777777" w:rsidR="004A1EE2" w:rsidRDefault="007F5772" w:rsidP="009548CD">
      <w:pPr>
        <w:pStyle w:val="ListParagraph"/>
        <w:numPr>
          <w:ilvl w:val="0"/>
          <w:numId w:val="1"/>
        </w:numPr>
        <w:spacing w:line="480" w:lineRule="auto"/>
        <w:ind w:hanging="720"/>
        <w:rPr>
          <w:szCs w:val="24"/>
        </w:rPr>
      </w:pPr>
      <w:r>
        <w:rPr>
          <w:szCs w:val="24"/>
        </w:rPr>
        <w:t xml:space="preserve">Counsel for Matheson acknowledged in debate that difficulties of quantification would have arisen in the event that negligence proceedings had been brought at this point. In my opinion, however, </w:t>
      </w:r>
      <w:r w:rsidR="00FB2D7D">
        <w:rPr>
          <w:szCs w:val="24"/>
        </w:rPr>
        <w:t>such</w:t>
      </w:r>
      <w:r>
        <w:rPr>
          <w:szCs w:val="24"/>
        </w:rPr>
        <w:t xml:space="preserve"> difficulties would have gone </w:t>
      </w:r>
      <w:r w:rsidR="00FB2D7D">
        <w:rPr>
          <w:szCs w:val="24"/>
        </w:rPr>
        <w:t xml:space="preserve">well </w:t>
      </w:r>
      <w:r>
        <w:rPr>
          <w:szCs w:val="24"/>
        </w:rPr>
        <w:t xml:space="preserve">beyond </w:t>
      </w:r>
      <w:r w:rsidR="00595C9C">
        <w:rPr>
          <w:szCs w:val="24"/>
        </w:rPr>
        <w:t xml:space="preserve">mere </w:t>
      </w:r>
      <w:r>
        <w:rPr>
          <w:szCs w:val="24"/>
        </w:rPr>
        <w:t xml:space="preserve">difficulties </w:t>
      </w:r>
      <w:r>
        <w:rPr>
          <w:szCs w:val="24"/>
        </w:rPr>
        <w:lastRenderedPageBreak/>
        <w:t>of quantification</w:t>
      </w:r>
      <w:r w:rsidR="00FB2D7D">
        <w:rPr>
          <w:szCs w:val="24"/>
        </w:rPr>
        <w:t xml:space="preserve">. The Plaintiff would not have been able to establish real actual loss at that point in my view. </w:t>
      </w:r>
      <w:r>
        <w:rPr>
          <w:szCs w:val="24"/>
        </w:rPr>
        <w:t xml:space="preserve"> </w:t>
      </w:r>
      <w:bookmarkStart w:id="9" w:name="_Hlk83981598"/>
      <w:r w:rsidR="00FB2D7D">
        <w:rPr>
          <w:szCs w:val="24"/>
        </w:rPr>
        <w:t>Even if it would have possible for an actuary</w:t>
      </w:r>
      <w:r w:rsidR="004A1EE2">
        <w:rPr>
          <w:szCs w:val="24"/>
        </w:rPr>
        <w:t xml:space="preserve"> by some complex calculation</w:t>
      </w:r>
      <w:r w:rsidR="00FB2D7D">
        <w:rPr>
          <w:szCs w:val="24"/>
        </w:rPr>
        <w:t xml:space="preserve"> to put a present value on the increased risk – and given the contingent nature of the royalty payments, both as to whether and when any payments would be made and as to their amount</w:t>
      </w:r>
      <w:r w:rsidR="00346A65">
        <w:rPr>
          <w:szCs w:val="24"/>
        </w:rPr>
        <w:t xml:space="preserve"> if payable</w:t>
      </w:r>
      <w:r w:rsidR="00FB2D7D">
        <w:rPr>
          <w:szCs w:val="24"/>
        </w:rPr>
        <w:t xml:space="preserve">, that may not have been possible </w:t>
      </w:r>
      <w:r w:rsidR="004A1EE2">
        <w:rPr>
          <w:szCs w:val="24"/>
        </w:rPr>
        <w:t>–</w:t>
      </w:r>
      <w:r w:rsidR="00FB2D7D">
        <w:rPr>
          <w:szCs w:val="24"/>
        </w:rPr>
        <w:t xml:space="preserve"> </w:t>
      </w:r>
      <w:r w:rsidR="004A1EE2">
        <w:rPr>
          <w:szCs w:val="24"/>
        </w:rPr>
        <w:t xml:space="preserve">it is clear from </w:t>
      </w:r>
      <w:r w:rsidR="004A1EE2" w:rsidRPr="004A1EE2">
        <w:rPr>
          <w:i/>
          <w:szCs w:val="24"/>
        </w:rPr>
        <w:t>Cantrell</w:t>
      </w:r>
      <w:r w:rsidR="004A1EE2">
        <w:rPr>
          <w:szCs w:val="24"/>
        </w:rPr>
        <w:t xml:space="preserve"> that such would not suffice to establish actual damage (paras 108-109).</w:t>
      </w:r>
    </w:p>
    <w:bookmarkEnd w:id="9"/>
    <w:p w14:paraId="605E603A" w14:textId="77777777" w:rsidR="004A1EE2" w:rsidRDefault="004A1EE2" w:rsidP="004A1EE2">
      <w:pPr>
        <w:pStyle w:val="ListParagraph"/>
        <w:spacing w:line="480" w:lineRule="auto"/>
        <w:rPr>
          <w:szCs w:val="24"/>
        </w:rPr>
      </w:pPr>
    </w:p>
    <w:p w14:paraId="1F9E862F" w14:textId="77777777" w:rsidR="00BA5077" w:rsidRDefault="004A1EE2" w:rsidP="00BA5077">
      <w:pPr>
        <w:pStyle w:val="ListParagraph"/>
        <w:numPr>
          <w:ilvl w:val="0"/>
          <w:numId w:val="1"/>
        </w:numPr>
        <w:spacing w:line="480" w:lineRule="auto"/>
        <w:ind w:hanging="720"/>
        <w:rPr>
          <w:szCs w:val="24"/>
        </w:rPr>
      </w:pPr>
      <w:r>
        <w:rPr>
          <w:szCs w:val="24"/>
        </w:rPr>
        <w:t xml:space="preserve"> It remains to be considered whether the position changed in 2005 on the transfer of the Ballynagran Lands to Greenstar Properties Limited rather than to Greenstar Holdings Limited. At that point, did the Plaintiff suffer damage arising from the First Option</w:t>
      </w:r>
      <w:r w:rsidR="008A4B9E">
        <w:rPr>
          <w:szCs w:val="24"/>
        </w:rPr>
        <w:t xml:space="preserve"> </w:t>
      </w:r>
      <w:r>
        <w:rPr>
          <w:szCs w:val="24"/>
        </w:rPr>
        <w:t>(the issue of when the Plaintiff suffered damage arising from the Second Option is addressed separately below)</w:t>
      </w:r>
      <w:r w:rsidR="008A4B9E">
        <w:rPr>
          <w:szCs w:val="24"/>
        </w:rPr>
        <w:t xml:space="preserve"> </w:t>
      </w:r>
      <w:r w:rsidR="00AB2B9D">
        <w:rPr>
          <w:szCs w:val="24"/>
        </w:rPr>
        <w:t xml:space="preserve">? </w:t>
      </w:r>
      <w:r w:rsidR="00010AC6">
        <w:rPr>
          <w:rFonts w:cs="Times New Roman"/>
          <w:szCs w:val="24"/>
        </w:rPr>
        <w:t xml:space="preserve">Matheson argues that </w:t>
      </w:r>
      <w:r w:rsidR="00346A65">
        <w:rPr>
          <w:rFonts w:cs="Times New Roman"/>
          <w:szCs w:val="24"/>
        </w:rPr>
        <w:t xml:space="preserve">the fact that </w:t>
      </w:r>
      <w:r w:rsidR="00010AC6">
        <w:rPr>
          <w:rFonts w:cs="Times New Roman"/>
          <w:szCs w:val="24"/>
        </w:rPr>
        <w:t xml:space="preserve">Greenstar Holdings Limited did not acquire the interest in the Ballynagran Lands had the result that </w:t>
      </w:r>
      <w:r w:rsidR="00010AC6" w:rsidRPr="00714B24">
        <w:rPr>
          <w:rFonts w:cs="Times New Roman"/>
          <w:i/>
          <w:szCs w:val="24"/>
        </w:rPr>
        <w:t>“the prospect of on-going royalty payments was undermined and the right to enforce in the absence of payment was lost</w:t>
      </w:r>
      <w:r w:rsidR="00BA5077">
        <w:rPr>
          <w:rFonts w:cs="Times New Roman"/>
          <w:i/>
          <w:szCs w:val="24"/>
        </w:rPr>
        <w:t>.</w:t>
      </w:r>
      <w:r w:rsidR="00010AC6" w:rsidRPr="00714B24">
        <w:rPr>
          <w:rFonts w:cs="Times New Roman"/>
          <w:i/>
          <w:szCs w:val="24"/>
        </w:rPr>
        <w:t>”</w:t>
      </w:r>
      <w:r w:rsidR="00BA5077">
        <w:rPr>
          <w:rFonts w:cs="Times New Roman"/>
          <w:szCs w:val="24"/>
        </w:rPr>
        <w:t xml:space="preserve"> </w:t>
      </w:r>
      <w:r w:rsidR="00BA5077">
        <w:rPr>
          <w:szCs w:val="24"/>
        </w:rPr>
        <w:t xml:space="preserve">The Judge accepted that argument. In her view, actionable damage was suffered by the Plaintiff in 2005. That damage was, in her view, </w:t>
      </w:r>
      <w:r w:rsidR="00BA5077" w:rsidRPr="00A609FF">
        <w:rPr>
          <w:i/>
          <w:szCs w:val="24"/>
        </w:rPr>
        <w:t>“a loss of a right to enforce the payment of royalties”</w:t>
      </w:r>
      <w:r w:rsidR="00BA5077">
        <w:rPr>
          <w:szCs w:val="24"/>
        </w:rPr>
        <w:t xml:space="preserve"> (Judgment, para 30(2)).</w:t>
      </w:r>
    </w:p>
    <w:p w14:paraId="1F8E8F3E" w14:textId="77777777" w:rsidR="00BA5077" w:rsidRDefault="00BA5077" w:rsidP="00BA5077">
      <w:pPr>
        <w:pStyle w:val="ListParagraph"/>
        <w:spacing w:line="480" w:lineRule="auto"/>
        <w:rPr>
          <w:szCs w:val="24"/>
        </w:rPr>
      </w:pPr>
    </w:p>
    <w:p w14:paraId="3B1A1304" w14:textId="77777777" w:rsidR="00BA5077" w:rsidRDefault="00BA5077" w:rsidP="00BA5077">
      <w:pPr>
        <w:pStyle w:val="ListParagraph"/>
        <w:numPr>
          <w:ilvl w:val="0"/>
          <w:numId w:val="1"/>
        </w:numPr>
        <w:spacing w:line="480" w:lineRule="auto"/>
        <w:ind w:hanging="720"/>
        <w:rPr>
          <w:szCs w:val="24"/>
        </w:rPr>
      </w:pPr>
      <w:r>
        <w:rPr>
          <w:szCs w:val="24"/>
        </w:rPr>
        <w:t xml:space="preserve">I do not consider that the Plaintiff lost the right to enforce the payment of royalties in 2005. As Counsel for Matheson accepted, Greenstar Holding Limited’s contractual obligation to make royalty payments was not discharged or released in 2005 and remained a binding – if contingent - obligation of that company. If a royalty payment had subsequently become payable but Greenstar Holdings Limited refused to pay it, the Plaintiff could have sued. </w:t>
      </w:r>
    </w:p>
    <w:p w14:paraId="725863F5" w14:textId="77777777" w:rsidR="00BA5077" w:rsidRDefault="00BA5077" w:rsidP="00BA5077">
      <w:pPr>
        <w:pStyle w:val="ListParagraph"/>
        <w:spacing w:line="480" w:lineRule="auto"/>
        <w:rPr>
          <w:szCs w:val="24"/>
        </w:rPr>
      </w:pPr>
    </w:p>
    <w:p w14:paraId="43FF903C" w14:textId="77777777" w:rsidR="00721841" w:rsidRPr="00BA5077" w:rsidRDefault="00BA5077" w:rsidP="00BA5077">
      <w:pPr>
        <w:pStyle w:val="ListParagraph"/>
        <w:numPr>
          <w:ilvl w:val="0"/>
          <w:numId w:val="1"/>
        </w:numPr>
        <w:spacing w:line="480" w:lineRule="auto"/>
        <w:ind w:hanging="720"/>
        <w:rPr>
          <w:szCs w:val="24"/>
        </w:rPr>
      </w:pPr>
      <w:r>
        <w:rPr>
          <w:rFonts w:cs="Times New Roman"/>
          <w:szCs w:val="24"/>
        </w:rPr>
        <w:t>It is the case that, h</w:t>
      </w:r>
      <w:r w:rsidR="00010AC6" w:rsidRPr="00BA5077">
        <w:rPr>
          <w:rFonts w:cs="Times New Roman"/>
          <w:szCs w:val="24"/>
        </w:rPr>
        <w:t xml:space="preserve">ad the land been transferred to Greenstar Holdings Limited, it would </w:t>
      </w:r>
      <w:r w:rsidR="00595C9C" w:rsidRPr="00BA5077">
        <w:rPr>
          <w:rFonts w:cs="Times New Roman"/>
          <w:i/>
          <w:szCs w:val="24"/>
        </w:rPr>
        <w:t>prima facie</w:t>
      </w:r>
      <w:r w:rsidR="00595C9C" w:rsidRPr="00BA5077">
        <w:rPr>
          <w:rFonts w:cs="Times New Roman"/>
          <w:szCs w:val="24"/>
        </w:rPr>
        <w:t xml:space="preserve"> </w:t>
      </w:r>
      <w:r w:rsidR="00010AC6" w:rsidRPr="00BA5077">
        <w:rPr>
          <w:rFonts w:cs="Times New Roman"/>
          <w:szCs w:val="24"/>
        </w:rPr>
        <w:t xml:space="preserve">have been available as an asset against which to execute any judgment that the Plaintiff might obtain against the company. However, in the event that Greenstar Holdings Limited became insolvent, that may have been of little or no practical value (the position of the Plaintiff might have been different if he had some form of charge on the Lands but, on his case, the absence of such a charge was the result of Matheson’s negligent advice in 2000 rather than </w:t>
      </w:r>
      <w:r w:rsidR="00120CCE">
        <w:rPr>
          <w:rFonts w:cs="Times New Roman"/>
          <w:szCs w:val="24"/>
        </w:rPr>
        <w:t xml:space="preserve">a consequence </w:t>
      </w:r>
      <w:r>
        <w:rPr>
          <w:rFonts w:cs="Times New Roman"/>
          <w:szCs w:val="24"/>
        </w:rPr>
        <w:t xml:space="preserve">of </w:t>
      </w:r>
      <w:r w:rsidR="00010AC6" w:rsidRPr="00BA5077">
        <w:rPr>
          <w:rFonts w:cs="Times New Roman"/>
          <w:szCs w:val="24"/>
        </w:rPr>
        <w:t xml:space="preserve">the 2005 transaction).  But </w:t>
      </w:r>
      <w:r w:rsidR="00721841" w:rsidRPr="00BA5077">
        <w:rPr>
          <w:rFonts w:cs="Times New Roman"/>
          <w:szCs w:val="24"/>
        </w:rPr>
        <w:t>even if it can</w:t>
      </w:r>
      <w:r w:rsidR="00010AC6" w:rsidRPr="00BA5077">
        <w:rPr>
          <w:rFonts w:cs="Times New Roman"/>
          <w:szCs w:val="24"/>
        </w:rPr>
        <w:t xml:space="preserve"> be said that the transfer of the lands </w:t>
      </w:r>
      <w:r w:rsidR="00721841" w:rsidRPr="00BA5077">
        <w:rPr>
          <w:rFonts w:cs="Times New Roman"/>
          <w:szCs w:val="24"/>
        </w:rPr>
        <w:t xml:space="preserve">to Greenstar Properties </w:t>
      </w:r>
      <w:r w:rsidR="00D7749F">
        <w:rPr>
          <w:rFonts w:cs="Times New Roman"/>
          <w:szCs w:val="24"/>
        </w:rPr>
        <w:t xml:space="preserve">Limited </w:t>
      </w:r>
      <w:r w:rsidR="00721841" w:rsidRPr="00BA5077">
        <w:rPr>
          <w:rFonts w:cs="Times New Roman"/>
          <w:szCs w:val="24"/>
        </w:rPr>
        <w:t xml:space="preserve">in 2005 resulted in </w:t>
      </w:r>
      <w:r w:rsidR="00595C9C" w:rsidRPr="00BA5077">
        <w:rPr>
          <w:rFonts w:cs="Times New Roman"/>
          <w:szCs w:val="24"/>
        </w:rPr>
        <w:t>an</w:t>
      </w:r>
      <w:r w:rsidR="00721841" w:rsidRPr="00BA5077">
        <w:rPr>
          <w:rFonts w:cs="Times New Roman"/>
          <w:szCs w:val="24"/>
        </w:rPr>
        <w:t xml:space="preserve"> increased risk of loss to the Plaintiff, that does not change the analysis</w:t>
      </w:r>
      <w:r w:rsidR="00595C9C" w:rsidRPr="00BA5077">
        <w:rPr>
          <w:rFonts w:cs="Times New Roman"/>
          <w:szCs w:val="24"/>
        </w:rPr>
        <w:t xml:space="preserve"> in my view. </w:t>
      </w:r>
    </w:p>
    <w:p w14:paraId="3E4D2CBB" w14:textId="77777777" w:rsidR="00721841" w:rsidRPr="00721841" w:rsidRDefault="00721841" w:rsidP="00721841">
      <w:pPr>
        <w:pStyle w:val="ListParagraph"/>
        <w:spacing w:line="480" w:lineRule="auto"/>
        <w:rPr>
          <w:szCs w:val="24"/>
        </w:rPr>
      </w:pPr>
    </w:p>
    <w:p w14:paraId="31B9E118" w14:textId="77777777" w:rsidR="00595C9C" w:rsidRDefault="00721841" w:rsidP="00721841">
      <w:pPr>
        <w:pStyle w:val="ListParagraph"/>
        <w:numPr>
          <w:ilvl w:val="0"/>
          <w:numId w:val="1"/>
        </w:numPr>
        <w:spacing w:line="480" w:lineRule="auto"/>
        <w:ind w:hanging="720"/>
        <w:rPr>
          <w:szCs w:val="24"/>
        </w:rPr>
      </w:pPr>
      <w:r>
        <w:rPr>
          <w:rFonts w:cs="Times New Roman"/>
          <w:szCs w:val="24"/>
        </w:rPr>
        <w:t>As the Plaintiff submits, the 2005 transaction did not affect the (contingent) contractual obligation of Greenstar Holdings Limited to make royalty payments in accordance with the Schedule to the First Option.</w:t>
      </w:r>
      <w:r w:rsidRPr="00721841">
        <w:rPr>
          <w:szCs w:val="24"/>
        </w:rPr>
        <w:t xml:space="preserve"> </w:t>
      </w:r>
      <w:r>
        <w:rPr>
          <w:szCs w:val="24"/>
        </w:rPr>
        <w:t>Again, there is no reason to suppose, and no evidence to suggest, that Greenstar Holdings Limited’s covenant to pay royalty payments would have been discounted or dismissed as “</w:t>
      </w:r>
      <w:r w:rsidRPr="003C1D85">
        <w:rPr>
          <w:i/>
          <w:szCs w:val="24"/>
        </w:rPr>
        <w:t>worthless</w:t>
      </w:r>
      <w:r>
        <w:rPr>
          <w:szCs w:val="24"/>
        </w:rPr>
        <w:t xml:space="preserve">” as </w:t>
      </w:r>
      <w:r w:rsidR="007C0520">
        <w:rPr>
          <w:szCs w:val="24"/>
        </w:rPr>
        <w:t xml:space="preserve">at the time of </w:t>
      </w:r>
      <w:r>
        <w:rPr>
          <w:szCs w:val="24"/>
        </w:rPr>
        <w:t xml:space="preserve">the 2005 transaction or in the period after </w:t>
      </w:r>
      <w:r w:rsidR="00595C9C">
        <w:rPr>
          <w:szCs w:val="24"/>
        </w:rPr>
        <w:t>that transaction up to the point when Mr Carson was appointed as receiver.</w:t>
      </w:r>
    </w:p>
    <w:p w14:paraId="42FD236B" w14:textId="77777777" w:rsidR="00595C9C" w:rsidRDefault="00595C9C" w:rsidP="00595C9C">
      <w:pPr>
        <w:pStyle w:val="ListParagraph"/>
        <w:spacing w:line="480" w:lineRule="auto"/>
        <w:rPr>
          <w:szCs w:val="24"/>
        </w:rPr>
      </w:pPr>
    </w:p>
    <w:p w14:paraId="0444A793" w14:textId="77777777" w:rsidR="00595C9C" w:rsidRPr="00BF7F6E" w:rsidRDefault="00F64ECF" w:rsidP="00CD29C0">
      <w:pPr>
        <w:pStyle w:val="ListParagraph"/>
        <w:numPr>
          <w:ilvl w:val="0"/>
          <w:numId w:val="1"/>
        </w:numPr>
        <w:spacing w:line="480" w:lineRule="auto"/>
        <w:ind w:hanging="720"/>
        <w:rPr>
          <w:szCs w:val="24"/>
        </w:rPr>
      </w:pPr>
      <w:r>
        <w:rPr>
          <w:szCs w:val="24"/>
        </w:rPr>
        <w:t xml:space="preserve">Even if it could be said that, at some point prior to August 2012, the financial position of Greenstar Holdings Limited was such that what had been a </w:t>
      </w:r>
      <w:r w:rsidRPr="00F64ECF">
        <w:rPr>
          <w:i/>
          <w:szCs w:val="24"/>
        </w:rPr>
        <w:t>possibility</w:t>
      </w:r>
      <w:r>
        <w:rPr>
          <w:szCs w:val="24"/>
        </w:rPr>
        <w:t xml:space="preserve"> of loss became a </w:t>
      </w:r>
      <w:r w:rsidRPr="00F64ECF">
        <w:rPr>
          <w:i/>
          <w:szCs w:val="24"/>
        </w:rPr>
        <w:t>probability</w:t>
      </w:r>
      <w:r>
        <w:rPr>
          <w:i/>
          <w:szCs w:val="24"/>
        </w:rPr>
        <w:t xml:space="preserve">, </w:t>
      </w:r>
      <w:r>
        <w:rPr>
          <w:szCs w:val="24"/>
        </w:rPr>
        <w:t xml:space="preserve">as I read </w:t>
      </w:r>
      <w:r w:rsidRPr="00F64ECF">
        <w:rPr>
          <w:i/>
          <w:szCs w:val="24"/>
        </w:rPr>
        <w:t>Cantrell</w:t>
      </w:r>
      <w:r>
        <w:rPr>
          <w:szCs w:val="24"/>
        </w:rPr>
        <w:t xml:space="preserve">, a probability of </w:t>
      </w:r>
      <w:r w:rsidRPr="00F64ECF">
        <w:rPr>
          <w:i/>
          <w:szCs w:val="24"/>
        </w:rPr>
        <w:t>future</w:t>
      </w:r>
      <w:r>
        <w:rPr>
          <w:szCs w:val="24"/>
        </w:rPr>
        <w:t xml:space="preserve"> loss will not in itself constitute damage. Something more – a </w:t>
      </w:r>
      <w:r w:rsidR="007C0520">
        <w:rPr>
          <w:szCs w:val="24"/>
        </w:rPr>
        <w:t>concrete</w:t>
      </w:r>
      <w:r>
        <w:rPr>
          <w:szCs w:val="24"/>
        </w:rPr>
        <w:t xml:space="preserve"> impact on present value</w:t>
      </w:r>
      <w:r w:rsidR="00B92287">
        <w:rPr>
          <w:szCs w:val="24"/>
        </w:rPr>
        <w:t xml:space="preserve">, whether of property or </w:t>
      </w:r>
      <w:r w:rsidR="00B92287">
        <w:rPr>
          <w:szCs w:val="24"/>
        </w:rPr>
        <w:lastRenderedPageBreak/>
        <w:t>other asset</w:t>
      </w:r>
      <w:r w:rsidR="00AB2B9D">
        <w:rPr>
          <w:szCs w:val="24"/>
        </w:rPr>
        <w:t>s</w:t>
      </w:r>
      <w:r w:rsidR="00120CCE">
        <w:rPr>
          <w:szCs w:val="24"/>
        </w:rPr>
        <w:t>, such as a financial investment</w:t>
      </w:r>
      <w:r>
        <w:rPr>
          <w:szCs w:val="24"/>
        </w:rPr>
        <w:t xml:space="preserve"> – is required. Where is that to be found here?</w:t>
      </w:r>
      <w:r w:rsidR="00064A86">
        <w:rPr>
          <w:szCs w:val="24"/>
        </w:rPr>
        <w:t xml:space="preserve"> </w:t>
      </w:r>
      <w:r>
        <w:rPr>
          <w:szCs w:val="24"/>
        </w:rPr>
        <w:t xml:space="preserve"> </w:t>
      </w:r>
      <w:r w:rsidR="00064A86">
        <w:rPr>
          <w:szCs w:val="24"/>
        </w:rPr>
        <w:t>T</w:t>
      </w:r>
      <w:r w:rsidRPr="00346A65">
        <w:rPr>
          <w:szCs w:val="24"/>
        </w:rPr>
        <w:t>he Plaintiff’s rights under the First Option were not marketable commodities: he was expressly prohibited from assigning or transferring his rights under it.</w:t>
      </w:r>
      <w:r w:rsidR="00064A86">
        <w:rPr>
          <w:szCs w:val="24"/>
        </w:rPr>
        <w:t xml:space="preserve"> </w:t>
      </w:r>
      <w:r w:rsidR="00B92287">
        <w:rPr>
          <w:szCs w:val="24"/>
        </w:rPr>
        <w:t xml:space="preserve">His rights </w:t>
      </w:r>
      <w:r w:rsidR="00064A86">
        <w:rPr>
          <w:szCs w:val="24"/>
        </w:rPr>
        <w:t xml:space="preserve">had no market value (unlike the financial investments in </w:t>
      </w:r>
      <w:r w:rsidR="00064A86" w:rsidRPr="00064A86">
        <w:rPr>
          <w:i/>
          <w:szCs w:val="24"/>
        </w:rPr>
        <w:t>Gallagher</w:t>
      </w:r>
      <w:r w:rsidR="00064A86">
        <w:rPr>
          <w:szCs w:val="24"/>
        </w:rPr>
        <w:t xml:space="preserve"> and </w:t>
      </w:r>
      <w:r w:rsidR="00064A86" w:rsidRPr="00064A86">
        <w:rPr>
          <w:i/>
          <w:szCs w:val="24"/>
        </w:rPr>
        <w:t>Cantrell</w:t>
      </w:r>
      <w:r w:rsidR="00064A86">
        <w:rPr>
          <w:szCs w:val="24"/>
        </w:rPr>
        <w:t>).</w:t>
      </w:r>
      <w:r w:rsidR="00B92287">
        <w:rPr>
          <w:szCs w:val="24"/>
        </w:rPr>
        <w:t xml:space="preserve"> While the exercise of the </w:t>
      </w:r>
      <w:r w:rsidR="00CD29C0">
        <w:rPr>
          <w:szCs w:val="24"/>
        </w:rPr>
        <w:t xml:space="preserve">First Option had removed one </w:t>
      </w:r>
      <w:r w:rsidR="00120CCE">
        <w:rPr>
          <w:szCs w:val="24"/>
        </w:rPr>
        <w:t xml:space="preserve">significant </w:t>
      </w:r>
      <w:r w:rsidR="00CD29C0">
        <w:rPr>
          <w:szCs w:val="24"/>
        </w:rPr>
        <w:t xml:space="preserve">contingency, the Plaintiff’s right to receive royalty payments remained contingent as of 2005 and the risk that Greenstar Holdings Limited would default was contingent and uncertain. Even if a value could be ascribed to that risk, </w:t>
      </w:r>
      <w:r w:rsidR="00E671AB">
        <w:rPr>
          <w:szCs w:val="24"/>
        </w:rPr>
        <w:t xml:space="preserve">that would be </w:t>
      </w:r>
      <w:r w:rsidR="00CD29C0">
        <w:rPr>
          <w:szCs w:val="24"/>
        </w:rPr>
        <w:t xml:space="preserve">too remote to constitute actionable damage. </w:t>
      </w:r>
    </w:p>
    <w:p w14:paraId="58DD74DD" w14:textId="77777777" w:rsidR="001F26AE" w:rsidRDefault="001F26AE" w:rsidP="001F26AE">
      <w:pPr>
        <w:pStyle w:val="ListParagraph"/>
        <w:spacing w:line="480" w:lineRule="auto"/>
        <w:rPr>
          <w:szCs w:val="24"/>
        </w:rPr>
      </w:pPr>
    </w:p>
    <w:p w14:paraId="42D9208C" w14:textId="77777777" w:rsidR="007C0520" w:rsidRDefault="001F26AE" w:rsidP="007C0520">
      <w:pPr>
        <w:pStyle w:val="ListParagraph"/>
        <w:numPr>
          <w:ilvl w:val="0"/>
          <w:numId w:val="1"/>
        </w:numPr>
        <w:spacing w:line="480" w:lineRule="auto"/>
        <w:ind w:hanging="720"/>
        <w:rPr>
          <w:szCs w:val="24"/>
        </w:rPr>
      </w:pPr>
      <w:r>
        <w:rPr>
          <w:szCs w:val="24"/>
        </w:rPr>
        <w:t xml:space="preserve">These proceedings were commenced on 12 September 2013. The Plaintiff’s cause of action in negligence arising from the First Option is statute-barred only if that cause of action accrued before 13 September 2007. The cause of action accrued only if actual damage was sustained by the Plaintiff prior to that date. </w:t>
      </w:r>
      <w:r w:rsidR="00064A86">
        <w:rPr>
          <w:szCs w:val="24"/>
        </w:rPr>
        <w:t>Even if (contrary to the view just expressed) a probability of future</w:t>
      </w:r>
      <w:r w:rsidR="007C0520">
        <w:rPr>
          <w:szCs w:val="24"/>
        </w:rPr>
        <w:t xml:space="preserve"> loss</w:t>
      </w:r>
      <w:r w:rsidR="00064A86">
        <w:rPr>
          <w:szCs w:val="24"/>
        </w:rPr>
        <w:t xml:space="preserve"> is sufficient to constitute damage, the question arises as </w:t>
      </w:r>
      <w:r w:rsidR="00AB2B9D">
        <w:rPr>
          <w:szCs w:val="24"/>
        </w:rPr>
        <w:t xml:space="preserve">to </w:t>
      </w:r>
      <w:r w:rsidR="00064A86">
        <w:rPr>
          <w:szCs w:val="24"/>
        </w:rPr>
        <w:t xml:space="preserve">whether there is evidence from which </w:t>
      </w:r>
      <w:bookmarkStart w:id="10" w:name="_Hlk83981553"/>
      <w:r w:rsidR="00064A86">
        <w:rPr>
          <w:szCs w:val="24"/>
        </w:rPr>
        <w:t>it could properly be inferred that loss became probable at some point prior to September 2007.</w:t>
      </w:r>
      <w:bookmarkEnd w:id="10"/>
    </w:p>
    <w:p w14:paraId="1EC261AB" w14:textId="77777777" w:rsidR="007C0520" w:rsidRDefault="007C0520" w:rsidP="007C0520">
      <w:pPr>
        <w:pStyle w:val="ListParagraph"/>
        <w:spacing w:line="480" w:lineRule="auto"/>
        <w:rPr>
          <w:szCs w:val="24"/>
        </w:rPr>
      </w:pPr>
    </w:p>
    <w:p w14:paraId="2229A98D" w14:textId="77777777" w:rsidR="00F64ECF" w:rsidRDefault="00F64ECF" w:rsidP="007C0520">
      <w:pPr>
        <w:pStyle w:val="ListParagraph"/>
        <w:numPr>
          <w:ilvl w:val="0"/>
          <w:numId w:val="1"/>
        </w:numPr>
        <w:spacing w:line="480" w:lineRule="auto"/>
        <w:ind w:hanging="720"/>
        <w:rPr>
          <w:szCs w:val="24"/>
        </w:rPr>
      </w:pPr>
      <w:r w:rsidRPr="007C0520">
        <w:rPr>
          <w:szCs w:val="24"/>
        </w:rPr>
        <w:t xml:space="preserve">Clearly, by August 2012 </w:t>
      </w:r>
      <w:r w:rsidR="0024641A">
        <w:rPr>
          <w:szCs w:val="24"/>
        </w:rPr>
        <w:t xml:space="preserve">Greenstar Holdings Limited </w:t>
      </w:r>
      <w:r w:rsidR="00B92287">
        <w:rPr>
          <w:szCs w:val="24"/>
        </w:rPr>
        <w:t>was i</w:t>
      </w:r>
      <w:r w:rsidRPr="007C0520">
        <w:rPr>
          <w:szCs w:val="24"/>
        </w:rPr>
        <w:t>n se</w:t>
      </w:r>
      <w:r w:rsidR="007C0520">
        <w:rPr>
          <w:szCs w:val="24"/>
        </w:rPr>
        <w:t xml:space="preserve">rious </w:t>
      </w:r>
      <w:r w:rsidRPr="007C0520">
        <w:rPr>
          <w:szCs w:val="24"/>
        </w:rPr>
        <w:t>financial difficult</w:t>
      </w:r>
      <w:r w:rsidR="007C0520">
        <w:rPr>
          <w:szCs w:val="24"/>
        </w:rPr>
        <w:t>ies</w:t>
      </w:r>
      <w:r w:rsidRPr="007C0520">
        <w:rPr>
          <w:szCs w:val="24"/>
        </w:rPr>
        <w:t>. However, there is</w:t>
      </w:r>
      <w:r w:rsidR="007C0520">
        <w:rPr>
          <w:szCs w:val="24"/>
        </w:rPr>
        <w:t xml:space="preserve"> a complete absence of </w:t>
      </w:r>
      <w:r w:rsidRPr="007C0520">
        <w:rPr>
          <w:szCs w:val="24"/>
        </w:rPr>
        <w:t xml:space="preserve">evidence as to when </w:t>
      </w:r>
      <w:r w:rsidR="00B92287">
        <w:rPr>
          <w:szCs w:val="24"/>
        </w:rPr>
        <w:t>those</w:t>
      </w:r>
      <w:r w:rsidRPr="007C0520">
        <w:rPr>
          <w:szCs w:val="24"/>
        </w:rPr>
        <w:t xml:space="preserve"> difficulties began or </w:t>
      </w:r>
      <w:r w:rsidR="007C0520">
        <w:rPr>
          <w:szCs w:val="24"/>
        </w:rPr>
        <w:t xml:space="preserve">as to </w:t>
      </w:r>
      <w:r w:rsidRPr="007C0520">
        <w:rPr>
          <w:szCs w:val="24"/>
        </w:rPr>
        <w:t xml:space="preserve">the financial position of the company in the period between 2005 and 2012. The only (indirect) evidence is that significant royalty payments were in fact made in 2011 (for 2010) and 2012 (for 2011), prior to the appointment of the receiver, though it is not clear whether those payments were made by Greenstar </w:t>
      </w:r>
      <w:r w:rsidRPr="007C0520">
        <w:rPr>
          <w:szCs w:val="24"/>
        </w:rPr>
        <w:lastRenderedPageBreak/>
        <w:t xml:space="preserve">Holdings Limited or by a related company or companies. It follows from the fact that these payments were made that, in the period between 2005 and 2009, royalty payments equivalent to the amount of the </w:t>
      </w:r>
      <w:r w:rsidRPr="007C0520">
        <w:rPr>
          <w:i/>
          <w:szCs w:val="24"/>
        </w:rPr>
        <w:t xml:space="preserve">Initial Payment </w:t>
      </w:r>
      <w:r w:rsidRPr="007C0520">
        <w:rPr>
          <w:szCs w:val="24"/>
        </w:rPr>
        <w:t>of €3 million must have be</w:t>
      </w:r>
      <w:r w:rsidR="00B92287">
        <w:rPr>
          <w:szCs w:val="24"/>
        </w:rPr>
        <w:t>en generated</w:t>
      </w:r>
      <w:r w:rsidRPr="007C0520">
        <w:rPr>
          <w:szCs w:val="24"/>
        </w:rPr>
        <w:t xml:space="preserve">. That in turn indicates that, in the same period, the operation of the landfill had generated </w:t>
      </w:r>
      <w:r w:rsidRPr="007C0520">
        <w:rPr>
          <w:i/>
          <w:szCs w:val="24"/>
        </w:rPr>
        <w:t>Net Income</w:t>
      </w:r>
      <w:r w:rsidRPr="007C0520">
        <w:rPr>
          <w:szCs w:val="24"/>
        </w:rPr>
        <w:t xml:space="preserve"> of €30 million</w:t>
      </w:r>
      <w:r w:rsidR="0024641A">
        <w:rPr>
          <w:szCs w:val="24"/>
        </w:rPr>
        <w:t xml:space="preserve">. The </w:t>
      </w:r>
      <w:r w:rsidR="0024641A" w:rsidRPr="0024641A">
        <w:rPr>
          <w:i/>
          <w:szCs w:val="24"/>
        </w:rPr>
        <w:t>Net Income</w:t>
      </w:r>
      <w:r w:rsidR="0024641A">
        <w:rPr>
          <w:szCs w:val="24"/>
        </w:rPr>
        <w:t xml:space="preserve"> </w:t>
      </w:r>
      <w:r w:rsidR="00B92287">
        <w:rPr>
          <w:szCs w:val="24"/>
        </w:rPr>
        <w:t xml:space="preserve">in </w:t>
      </w:r>
      <w:r w:rsidR="0024641A">
        <w:rPr>
          <w:szCs w:val="24"/>
        </w:rPr>
        <w:t xml:space="preserve">each of 2010 and 2011 </w:t>
      </w:r>
      <w:r w:rsidR="003747BB">
        <w:rPr>
          <w:szCs w:val="24"/>
        </w:rPr>
        <w:t>was in excess of</w:t>
      </w:r>
      <w:r w:rsidR="0024641A">
        <w:rPr>
          <w:szCs w:val="24"/>
        </w:rPr>
        <w:t xml:space="preserve"> €5 million. While these figures </w:t>
      </w:r>
      <w:r w:rsidR="00120CCE">
        <w:rPr>
          <w:szCs w:val="24"/>
        </w:rPr>
        <w:t xml:space="preserve">are </w:t>
      </w:r>
      <w:r w:rsidR="0024641A">
        <w:rPr>
          <w:szCs w:val="24"/>
        </w:rPr>
        <w:t>not to be equated with profit, they are nonetheless substantial</w:t>
      </w:r>
      <w:r w:rsidR="003747BB">
        <w:rPr>
          <w:szCs w:val="24"/>
        </w:rPr>
        <w:t xml:space="preserve"> and suggest that the Ballynagran landfill was generating very significant revenue f</w:t>
      </w:r>
      <w:r w:rsidR="00B92287">
        <w:rPr>
          <w:szCs w:val="24"/>
        </w:rPr>
        <w:t>rom</w:t>
      </w:r>
      <w:r w:rsidR="003747BB">
        <w:rPr>
          <w:szCs w:val="24"/>
        </w:rPr>
        <w:t xml:space="preserve"> which royalty payments could be made.</w:t>
      </w:r>
    </w:p>
    <w:p w14:paraId="335A4431" w14:textId="77777777" w:rsidR="0024641A" w:rsidRDefault="0024641A" w:rsidP="0024641A">
      <w:pPr>
        <w:pStyle w:val="ListParagraph"/>
        <w:spacing w:line="480" w:lineRule="auto"/>
        <w:rPr>
          <w:szCs w:val="24"/>
        </w:rPr>
      </w:pPr>
    </w:p>
    <w:p w14:paraId="28F6C798" w14:textId="77777777" w:rsidR="0024641A" w:rsidRDefault="003747BB" w:rsidP="007C0520">
      <w:pPr>
        <w:pStyle w:val="ListParagraph"/>
        <w:numPr>
          <w:ilvl w:val="0"/>
          <w:numId w:val="1"/>
        </w:numPr>
        <w:spacing w:line="480" w:lineRule="auto"/>
        <w:ind w:hanging="720"/>
        <w:rPr>
          <w:szCs w:val="24"/>
        </w:rPr>
      </w:pPr>
      <w:r>
        <w:rPr>
          <w:szCs w:val="24"/>
        </w:rPr>
        <w:t xml:space="preserve">In my opinion, this (limited) evidence simply does not </w:t>
      </w:r>
      <w:r w:rsidR="00120CCE">
        <w:rPr>
          <w:szCs w:val="24"/>
        </w:rPr>
        <w:t>allow</w:t>
      </w:r>
      <w:r>
        <w:rPr>
          <w:szCs w:val="24"/>
        </w:rPr>
        <w:t xml:space="preserve"> any inference that loss became probable at any point prior to September 2007.</w:t>
      </w:r>
    </w:p>
    <w:p w14:paraId="1E53EA1D" w14:textId="77777777" w:rsidR="007B3299" w:rsidRDefault="007B3299" w:rsidP="007B3299">
      <w:pPr>
        <w:pStyle w:val="ListParagraph"/>
        <w:spacing w:line="480" w:lineRule="auto"/>
        <w:rPr>
          <w:szCs w:val="24"/>
        </w:rPr>
      </w:pPr>
    </w:p>
    <w:p w14:paraId="1449107D" w14:textId="77777777" w:rsidR="007E1637" w:rsidRDefault="00E671AB" w:rsidP="00E671AB">
      <w:pPr>
        <w:pStyle w:val="ListParagraph"/>
        <w:numPr>
          <w:ilvl w:val="0"/>
          <w:numId w:val="1"/>
        </w:numPr>
        <w:spacing w:line="480" w:lineRule="auto"/>
        <w:ind w:hanging="720"/>
        <w:rPr>
          <w:szCs w:val="24"/>
        </w:rPr>
      </w:pPr>
      <w:r>
        <w:rPr>
          <w:szCs w:val="24"/>
        </w:rPr>
        <w:t xml:space="preserve">I therefore conclude that the Plaintiff’s claim in respect of the First Option is not statute-barred. Insofar as </w:t>
      </w:r>
      <w:r w:rsidR="007B3299" w:rsidRPr="00E671AB">
        <w:rPr>
          <w:i/>
          <w:szCs w:val="24"/>
        </w:rPr>
        <w:t>Bell v Peter Browne &amp; Co</w:t>
      </w:r>
      <w:r w:rsidR="007B3299" w:rsidRPr="00E671AB">
        <w:rPr>
          <w:szCs w:val="24"/>
        </w:rPr>
        <w:t xml:space="preserve"> [1990] 2 QB 495</w:t>
      </w:r>
      <w:r>
        <w:rPr>
          <w:szCs w:val="24"/>
        </w:rPr>
        <w:t xml:space="preserve"> </w:t>
      </w:r>
      <w:r w:rsidR="00701A2B">
        <w:rPr>
          <w:szCs w:val="24"/>
        </w:rPr>
        <w:t>may</w:t>
      </w:r>
      <w:r>
        <w:rPr>
          <w:szCs w:val="24"/>
        </w:rPr>
        <w:t xml:space="preserve"> be said to point to a different conclusion</w:t>
      </w:r>
      <w:r w:rsidR="007E1637">
        <w:rPr>
          <w:szCs w:val="24"/>
        </w:rPr>
        <w:t xml:space="preserve"> – and I do not think that it necessarily does - I</w:t>
      </w:r>
      <w:r>
        <w:rPr>
          <w:szCs w:val="24"/>
        </w:rPr>
        <w:t xml:space="preserve"> agree with Counsel for the Plaintiff that, in light of </w:t>
      </w:r>
      <w:r w:rsidRPr="00E671AB">
        <w:rPr>
          <w:i/>
          <w:szCs w:val="24"/>
        </w:rPr>
        <w:t>Gallagher</w:t>
      </w:r>
      <w:r>
        <w:rPr>
          <w:szCs w:val="24"/>
        </w:rPr>
        <w:t xml:space="preserve"> (and </w:t>
      </w:r>
      <w:r w:rsidRPr="00E671AB">
        <w:rPr>
          <w:i/>
          <w:szCs w:val="24"/>
        </w:rPr>
        <w:t>Cantrell</w:t>
      </w:r>
      <w:r>
        <w:rPr>
          <w:szCs w:val="24"/>
        </w:rPr>
        <w:t xml:space="preserve"> subsequently), </w:t>
      </w:r>
      <w:r w:rsidR="00701A2B">
        <w:rPr>
          <w:szCs w:val="24"/>
        </w:rPr>
        <w:t xml:space="preserve">the decision should not be followed here. In </w:t>
      </w:r>
      <w:r w:rsidR="00701A2B" w:rsidRPr="00701A2B">
        <w:rPr>
          <w:i/>
          <w:szCs w:val="24"/>
        </w:rPr>
        <w:t>Gallagher</w:t>
      </w:r>
      <w:r w:rsidR="00701A2B">
        <w:rPr>
          <w:i/>
          <w:szCs w:val="24"/>
        </w:rPr>
        <w:t xml:space="preserve">, </w:t>
      </w:r>
      <w:r w:rsidR="00701A2B">
        <w:rPr>
          <w:szCs w:val="24"/>
        </w:rPr>
        <w:t>Fennelly J characterised the decision as resting on an “</w:t>
      </w:r>
      <w:r w:rsidR="00701A2B" w:rsidRPr="00701A2B">
        <w:rPr>
          <w:i/>
          <w:szCs w:val="24"/>
        </w:rPr>
        <w:t>assumption</w:t>
      </w:r>
      <w:r w:rsidR="00701A2B">
        <w:rPr>
          <w:szCs w:val="24"/>
        </w:rPr>
        <w:t>” that the plaintiff’s wife would fail to account for his one-sixth share of the property and dissipate the proceeds of sale</w:t>
      </w:r>
      <w:r w:rsidR="00DE446B">
        <w:rPr>
          <w:szCs w:val="24"/>
        </w:rPr>
        <w:t xml:space="preserve"> (at para 98).</w:t>
      </w:r>
      <w:r w:rsidR="00701A2B">
        <w:rPr>
          <w:szCs w:val="24"/>
        </w:rPr>
        <w:t xml:space="preserve"> It is clear from his judgment that Fennelly J </w:t>
      </w:r>
      <w:r w:rsidR="00DE446B">
        <w:rPr>
          <w:szCs w:val="24"/>
        </w:rPr>
        <w:t>regarded</w:t>
      </w:r>
      <w:r w:rsidR="00701A2B">
        <w:rPr>
          <w:szCs w:val="24"/>
        </w:rPr>
        <w:t xml:space="preserve"> such an approach </w:t>
      </w:r>
      <w:r w:rsidR="00DE446B">
        <w:rPr>
          <w:szCs w:val="24"/>
        </w:rPr>
        <w:t>as i</w:t>
      </w:r>
      <w:r w:rsidR="00701A2B">
        <w:rPr>
          <w:szCs w:val="24"/>
        </w:rPr>
        <w:t>n</w:t>
      </w:r>
      <w:r w:rsidR="00DE446B">
        <w:rPr>
          <w:szCs w:val="24"/>
        </w:rPr>
        <w:t>a</w:t>
      </w:r>
      <w:r w:rsidR="00701A2B">
        <w:rPr>
          <w:szCs w:val="24"/>
        </w:rPr>
        <w:t>ppropriate</w:t>
      </w:r>
      <w:r w:rsidR="007E1637">
        <w:rPr>
          <w:szCs w:val="24"/>
        </w:rPr>
        <w:t xml:space="preserve">. Here, equally, it would be inappropriate to conclude that the alleged negligence of Matheson in relation to the terms of the First Option caused damage in 2000 or 2005 based on an assumption that Greenstar Holdings Limited would become insolvent or otherwise default on its contractual obligations. </w:t>
      </w:r>
    </w:p>
    <w:p w14:paraId="520A367E" w14:textId="77777777" w:rsidR="007E1637" w:rsidRDefault="007E1637" w:rsidP="007E1637">
      <w:pPr>
        <w:pStyle w:val="ListParagraph"/>
        <w:spacing w:line="480" w:lineRule="auto"/>
        <w:rPr>
          <w:szCs w:val="24"/>
        </w:rPr>
      </w:pPr>
    </w:p>
    <w:p w14:paraId="6CD96A9E" w14:textId="77777777" w:rsidR="007E1637" w:rsidRPr="007E1637" w:rsidRDefault="007E1637" w:rsidP="007E1637">
      <w:pPr>
        <w:pStyle w:val="ListParagraph"/>
        <w:spacing w:line="480" w:lineRule="auto"/>
        <w:rPr>
          <w:b/>
          <w:i/>
          <w:szCs w:val="24"/>
        </w:rPr>
      </w:pPr>
      <w:r w:rsidRPr="007E1637">
        <w:rPr>
          <w:b/>
          <w:i/>
          <w:szCs w:val="24"/>
        </w:rPr>
        <w:t>The 2005 Transaction</w:t>
      </w:r>
    </w:p>
    <w:p w14:paraId="6BDC3059" w14:textId="77777777" w:rsidR="007E1637" w:rsidRDefault="007E1637" w:rsidP="007E1637">
      <w:pPr>
        <w:pStyle w:val="ListParagraph"/>
        <w:spacing w:line="480" w:lineRule="auto"/>
        <w:rPr>
          <w:szCs w:val="24"/>
        </w:rPr>
      </w:pPr>
    </w:p>
    <w:p w14:paraId="7937B765" w14:textId="77777777" w:rsidR="00D02139" w:rsidRDefault="0082360C" w:rsidP="009329B4">
      <w:pPr>
        <w:pStyle w:val="ListParagraph"/>
        <w:numPr>
          <w:ilvl w:val="0"/>
          <w:numId w:val="1"/>
        </w:numPr>
        <w:spacing w:line="480" w:lineRule="auto"/>
        <w:ind w:hanging="720"/>
        <w:rPr>
          <w:szCs w:val="24"/>
        </w:rPr>
      </w:pPr>
      <w:r>
        <w:rPr>
          <w:szCs w:val="24"/>
        </w:rPr>
        <w:t xml:space="preserve">The claim arising from the 2005 transaction is, in my view, in a different position. </w:t>
      </w:r>
    </w:p>
    <w:p w14:paraId="6983A1A3" w14:textId="77777777" w:rsidR="0082360C" w:rsidRDefault="0082360C" w:rsidP="0082360C">
      <w:pPr>
        <w:pStyle w:val="ListParagraph"/>
        <w:spacing w:line="480" w:lineRule="auto"/>
        <w:rPr>
          <w:szCs w:val="24"/>
        </w:rPr>
      </w:pPr>
    </w:p>
    <w:p w14:paraId="79DCE578" w14:textId="77777777" w:rsidR="00CC7AC4" w:rsidRDefault="0082360C" w:rsidP="00CC7AC4">
      <w:pPr>
        <w:pStyle w:val="ListParagraph"/>
        <w:numPr>
          <w:ilvl w:val="0"/>
          <w:numId w:val="1"/>
        </w:numPr>
        <w:spacing w:line="480" w:lineRule="auto"/>
        <w:ind w:hanging="720"/>
        <w:rPr>
          <w:szCs w:val="24"/>
        </w:rPr>
      </w:pPr>
      <w:r>
        <w:rPr>
          <w:szCs w:val="24"/>
        </w:rPr>
        <w:t xml:space="preserve">The transfer of the Ballynagran </w:t>
      </w:r>
      <w:r w:rsidR="001308D0">
        <w:rPr>
          <w:szCs w:val="24"/>
        </w:rPr>
        <w:t>L</w:t>
      </w:r>
      <w:r>
        <w:rPr>
          <w:szCs w:val="24"/>
        </w:rPr>
        <w:t xml:space="preserve">ands to Greenstar Properties Limited in 2005 effectively </w:t>
      </w:r>
      <w:r w:rsidR="001308D0">
        <w:rPr>
          <w:szCs w:val="24"/>
        </w:rPr>
        <w:t>negated</w:t>
      </w:r>
      <w:r>
        <w:rPr>
          <w:szCs w:val="24"/>
        </w:rPr>
        <w:t xml:space="preserve"> the Second Option</w:t>
      </w:r>
      <w:r w:rsidR="00FE1BD0">
        <w:rPr>
          <w:szCs w:val="24"/>
        </w:rPr>
        <w:t xml:space="preserve">. </w:t>
      </w:r>
      <w:r w:rsidR="001308D0">
        <w:rPr>
          <w:szCs w:val="24"/>
        </w:rPr>
        <w:t xml:space="preserve">Whatever value that the Second Option had </w:t>
      </w:r>
      <w:r w:rsidR="00A4459C">
        <w:rPr>
          <w:szCs w:val="24"/>
        </w:rPr>
        <w:t xml:space="preserve">to the Plaintiff </w:t>
      </w:r>
      <w:r w:rsidR="001308D0">
        <w:rPr>
          <w:szCs w:val="24"/>
        </w:rPr>
        <w:t>was</w:t>
      </w:r>
      <w:r w:rsidR="00826964">
        <w:rPr>
          <w:szCs w:val="24"/>
        </w:rPr>
        <w:t xml:space="preserve"> therefore</w:t>
      </w:r>
      <w:r w:rsidR="001308D0">
        <w:rPr>
          <w:szCs w:val="24"/>
        </w:rPr>
        <w:t xml:space="preserve"> lost </w:t>
      </w:r>
      <w:r w:rsidR="00826964">
        <w:rPr>
          <w:szCs w:val="24"/>
        </w:rPr>
        <w:t>at</w:t>
      </w:r>
      <w:r w:rsidR="001308D0">
        <w:rPr>
          <w:szCs w:val="24"/>
        </w:rPr>
        <w:t xml:space="preserve"> that point. The possibility that Greenstar Properties Limited might </w:t>
      </w:r>
      <w:r w:rsidR="00120CCE">
        <w:rPr>
          <w:szCs w:val="24"/>
        </w:rPr>
        <w:t xml:space="preserve">have voluntarily </w:t>
      </w:r>
      <w:r w:rsidR="001308D0">
        <w:rPr>
          <w:szCs w:val="24"/>
        </w:rPr>
        <w:t>agree</w:t>
      </w:r>
      <w:r w:rsidR="00120CCE">
        <w:rPr>
          <w:szCs w:val="24"/>
        </w:rPr>
        <w:t>d</w:t>
      </w:r>
      <w:r w:rsidR="001308D0">
        <w:rPr>
          <w:szCs w:val="24"/>
        </w:rPr>
        <w:t xml:space="preserve"> to sell the Lands back to the Plaintiff when the Greenstar Group was finished with them d</w:t>
      </w:r>
      <w:r w:rsidR="00826964">
        <w:rPr>
          <w:szCs w:val="24"/>
        </w:rPr>
        <w:t>oes</w:t>
      </w:r>
      <w:r w:rsidR="001308D0">
        <w:rPr>
          <w:szCs w:val="24"/>
        </w:rPr>
        <w:t xml:space="preserve"> not alter that position. </w:t>
      </w:r>
      <w:r w:rsidR="00CC7AC4">
        <w:rPr>
          <w:szCs w:val="24"/>
        </w:rPr>
        <w:t xml:space="preserve">Under the Second Option, the Plaintiff had a legally enforceable </w:t>
      </w:r>
      <w:r w:rsidR="00CC7AC4" w:rsidRPr="00120CCE">
        <w:rPr>
          <w:i/>
          <w:szCs w:val="24"/>
          <w:u w:val="single"/>
        </w:rPr>
        <w:t>right</w:t>
      </w:r>
      <w:r w:rsidR="00CC7AC4">
        <w:rPr>
          <w:szCs w:val="24"/>
        </w:rPr>
        <w:t xml:space="preserve"> to buy back the Lands, for a nominal consideration, following their remediation. </w:t>
      </w:r>
      <w:r w:rsidR="00680932">
        <w:rPr>
          <w:szCs w:val="24"/>
        </w:rPr>
        <w:t>Th</w:t>
      </w:r>
      <w:r w:rsidR="00CC7AC4">
        <w:rPr>
          <w:szCs w:val="24"/>
        </w:rPr>
        <w:t>at right was lost on the transfer of the Lands to Greenstar Properties Limited</w:t>
      </w:r>
      <w:r w:rsidR="00AB2B9D">
        <w:rPr>
          <w:szCs w:val="24"/>
        </w:rPr>
        <w:t>.</w:t>
      </w:r>
    </w:p>
    <w:p w14:paraId="2A5C2515" w14:textId="77777777" w:rsidR="00CC7AC4" w:rsidRPr="00CC7AC4" w:rsidRDefault="00CC7AC4" w:rsidP="00CC7AC4">
      <w:pPr>
        <w:pStyle w:val="ListParagraph"/>
        <w:spacing w:line="480" w:lineRule="auto"/>
        <w:rPr>
          <w:szCs w:val="24"/>
        </w:rPr>
      </w:pPr>
    </w:p>
    <w:p w14:paraId="2C074D1A" w14:textId="77777777" w:rsidR="00FE1032" w:rsidRDefault="00FE1032" w:rsidP="00FE1032">
      <w:pPr>
        <w:pStyle w:val="ListParagraph"/>
        <w:numPr>
          <w:ilvl w:val="0"/>
          <w:numId w:val="1"/>
        </w:numPr>
        <w:spacing w:line="480" w:lineRule="auto"/>
        <w:ind w:hanging="720"/>
        <w:rPr>
          <w:szCs w:val="24"/>
        </w:rPr>
      </w:pPr>
      <w:r>
        <w:rPr>
          <w:szCs w:val="24"/>
        </w:rPr>
        <w:t xml:space="preserve">In my view, the loss of that right constituted actionable damage and the Plaintiff’s cause of action in tort accrued at the time of the 2005 transaction. No doubt, it would have been difficult to quantify the Plaintiff’s loss at that point. But difficulties and uncertainties in quantifying loss often present themselves and courts are often called upon to value </w:t>
      </w:r>
      <w:r w:rsidR="00CE6C9D">
        <w:rPr>
          <w:szCs w:val="24"/>
        </w:rPr>
        <w:t xml:space="preserve">the </w:t>
      </w:r>
      <w:r>
        <w:rPr>
          <w:szCs w:val="24"/>
        </w:rPr>
        <w:t>loss of opportunity</w:t>
      </w:r>
      <w:r w:rsidR="00A82224">
        <w:rPr>
          <w:szCs w:val="24"/>
        </w:rPr>
        <w:t xml:space="preserve">: see for example </w:t>
      </w:r>
      <w:r w:rsidR="00A82224" w:rsidRPr="00A82224">
        <w:rPr>
          <w:i/>
          <w:szCs w:val="24"/>
        </w:rPr>
        <w:t>Philp v Ryan</w:t>
      </w:r>
      <w:r w:rsidR="00A82224">
        <w:rPr>
          <w:szCs w:val="24"/>
        </w:rPr>
        <w:t xml:space="preserve"> [2004] IESC 105, [2004] 4 IR 241 (possible loss of life expectancy due to the loss of opportunity to avail of medical treatment) </w:t>
      </w:r>
      <w:r>
        <w:rPr>
          <w:szCs w:val="24"/>
        </w:rPr>
        <w:t xml:space="preserve"> </w:t>
      </w:r>
      <w:r w:rsidR="00A82224">
        <w:rPr>
          <w:szCs w:val="24"/>
        </w:rPr>
        <w:t xml:space="preserve">and </w:t>
      </w:r>
      <w:r w:rsidR="00A82224" w:rsidRPr="00A82224">
        <w:rPr>
          <w:i/>
          <w:szCs w:val="24"/>
        </w:rPr>
        <w:t>Moloney v Liddy</w:t>
      </w:r>
      <w:r w:rsidR="00A82224">
        <w:rPr>
          <w:szCs w:val="24"/>
        </w:rPr>
        <w:t xml:space="preserve"> [2010] IEHC 218 (loss of opportunity to pursue a legal action). </w:t>
      </w:r>
      <w:r w:rsidR="00984FB9">
        <w:rPr>
          <w:szCs w:val="24"/>
        </w:rPr>
        <w:t xml:space="preserve">With appropriate expert evidence, a court could have made an assessment of the value of the option that was lost in 2005 and compensated the Plaintiff accordingly. </w:t>
      </w:r>
    </w:p>
    <w:p w14:paraId="2F25BA4F" w14:textId="77777777" w:rsidR="00BF7F6E" w:rsidRDefault="00BF7F6E" w:rsidP="00BF7F6E">
      <w:pPr>
        <w:pStyle w:val="ListParagraph"/>
        <w:spacing w:line="480" w:lineRule="auto"/>
        <w:rPr>
          <w:szCs w:val="24"/>
        </w:rPr>
      </w:pPr>
    </w:p>
    <w:p w14:paraId="556936B3" w14:textId="77777777" w:rsidR="00392BA5" w:rsidRDefault="00A4459C" w:rsidP="00FE1032">
      <w:pPr>
        <w:pStyle w:val="ListParagraph"/>
        <w:numPr>
          <w:ilvl w:val="0"/>
          <w:numId w:val="1"/>
        </w:numPr>
        <w:spacing w:line="480" w:lineRule="auto"/>
        <w:ind w:hanging="720"/>
        <w:rPr>
          <w:szCs w:val="24"/>
        </w:rPr>
      </w:pPr>
      <w:r>
        <w:rPr>
          <w:szCs w:val="24"/>
        </w:rPr>
        <w:t>In any event, p</w:t>
      </w:r>
      <w:r w:rsidR="00FE1BD0">
        <w:rPr>
          <w:szCs w:val="24"/>
        </w:rPr>
        <w:t>recisely the</w:t>
      </w:r>
      <w:r w:rsidR="00BF7F6E">
        <w:rPr>
          <w:szCs w:val="24"/>
        </w:rPr>
        <w:t xml:space="preserve"> </w:t>
      </w:r>
      <w:r w:rsidR="00FE1BD0">
        <w:rPr>
          <w:szCs w:val="24"/>
        </w:rPr>
        <w:t xml:space="preserve">same difficulties of quantification would have presented themselves in 2012 when, according to the Plaintiff, actual loss was first suffered by him and his cause of action accrued. It was only at that point, the </w:t>
      </w:r>
      <w:r w:rsidR="00BF7F6E">
        <w:rPr>
          <w:szCs w:val="24"/>
        </w:rPr>
        <w:t>Plaintiff s</w:t>
      </w:r>
      <w:r w:rsidR="00FE1BD0">
        <w:rPr>
          <w:szCs w:val="24"/>
        </w:rPr>
        <w:t xml:space="preserve">ays, that the benefit of the Second Option was lost. That argument </w:t>
      </w:r>
      <w:r w:rsidR="00D64C57">
        <w:rPr>
          <w:szCs w:val="24"/>
        </w:rPr>
        <w:t xml:space="preserve">depends </w:t>
      </w:r>
      <w:r w:rsidR="00FE1BD0">
        <w:rPr>
          <w:szCs w:val="24"/>
        </w:rPr>
        <w:t xml:space="preserve">fundamentally on </w:t>
      </w:r>
      <w:r w:rsidR="00D64C57">
        <w:rPr>
          <w:szCs w:val="24"/>
        </w:rPr>
        <w:t>the</w:t>
      </w:r>
      <w:r w:rsidR="00FE1BD0">
        <w:rPr>
          <w:szCs w:val="24"/>
        </w:rPr>
        <w:t xml:space="preserve"> assertion </w:t>
      </w:r>
      <w:r w:rsidR="00D64C57">
        <w:rPr>
          <w:szCs w:val="24"/>
        </w:rPr>
        <w:t xml:space="preserve">that Greenstar Holdings Limited could and would have ensured the transfer of the Lands back to the Plaintiff by Greenstar Properties Limited. </w:t>
      </w:r>
      <w:r w:rsidR="002975DA">
        <w:rPr>
          <w:szCs w:val="24"/>
        </w:rPr>
        <w:t>However, t</w:t>
      </w:r>
      <w:r w:rsidR="00D64C57">
        <w:rPr>
          <w:szCs w:val="24"/>
        </w:rPr>
        <w:t xml:space="preserve">here is no evidence whatever to support that </w:t>
      </w:r>
      <w:r w:rsidR="002975DA">
        <w:rPr>
          <w:szCs w:val="24"/>
        </w:rPr>
        <w:t>assertion</w:t>
      </w:r>
      <w:r w:rsidR="00D64C57">
        <w:rPr>
          <w:szCs w:val="24"/>
        </w:rPr>
        <w:t xml:space="preserve">. In his oral submissions, </w:t>
      </w:r>
      <w:r w:rsidR="00FE1BD0">
        <w:rPr>
          <w:szCs w:val="24"/>
        </w:rPr>
        <w:t xml:space="preserve">Counsel for the Plaintiff </w:t>
      </w:r>
      <w:r w:rsidR="00D64C57">
        <w:rPr>
          <w:szCs w:val="24"/>
        </w:rPr>
        <w:t>accepted that, as of the 2005 transaction, t</w:t>
      </w:r>
      <w:r w:rsidR="00FE1BD0">
        <w:rPr>
          <w:szCs w:val="24"/>
        </w:rPr>
        <w:t>he buy-back option was “</w:t>
      </w:r>
      <w:r w:rsidR="00FE1BD0" w:rsidRPr="001308D0">
        <w:rPr>
          <w:i/>
          <w:szCs w:val="24"/>
        </w:rPr>
        <w:t>gone</w:t>
      </w:r>
      <w:r w:rsidR="00FE1BD0">
        <w:rPr>
          <w:szCs w:val="24"/>
        </w:rPr>
        <w:t xml:space="preserve">”. </w:t>
      </w:r>
      <w:r w:rsidR="00D64C57">
        <w:rPr>
          <w:szCs w:val="24"/>
        </w:rPr>
        <w:t xml:space="preserve"> That certainly </w:t>
      </w:r>
      <w:r w:rsidR="002975DA">
        <w:rPr>
          <w:szCs w:val="24"/>
        </w:rPr>
        <w:t>was</w:t>
      </w:r>
      <w:r w:rsidR="00D64C57">
        <w:rPr>
          <w:szCs w:val="24"/>
        </w:rPr>
        <w:t xml:space="preserve"> the position as a matter of law and no argument was made to the effect that the option could have been enforced against Greenstar Properties Limited, </w:t>
      </w:r>
      <w:r w:rsidR="00120CCE">
        <w:rPr>
          <w:szCs w:val="24"/>
        </w:rPr>
        <w:t xml:space="preserve">whether </w:t>
      </w:r>
      <w:r w:rsidR="00D64C57">
        <w:rPr>
          <w:szCs w:val="24"/>
        </w:rPr>
        <w:t>directly or indirectly (</w:t>
      </w:r>
      <w:r w:rsidR="00120CCE">
        <w:rPr>
          <w:szCs w:val="24"/>
        </w:rPr>
        <w:t>by way of action against</w:t>
      </w:r>
      <w:r w:rsidR="00D64C57">
        <w:rPr>
          <w:szCs w:val="24"/>
        </w:rPr>
        <w:t xml:space="preserve"> Greenstar Holdings Limited). Therefore, while I agree with the Plaintiff that </w:t>
      </w:r>
      <w:r w:rsidR="00392BA5">
        <w:rPr>
          <w:szCs w:val="24"/>
        </w:rPr>
        <w:t xml:space="preserve">he suffered </w:t>
      </w:r>
      <w:r w:rsidR="00D64C57">
        <w:rPr>
          <w:szCs w:val="24"/>
        </w:rPr>
        <w:t>loss and damage when</w:t>
      </w:r>
      <w:r w:rsidR="002975DA">
        <w:rPr>
          <w:szCs w:val="24"/>
        </w:rPr>
        <w:t xml:space="preserve"> he lost</w:t>
      </w:r>
      <w:r w:rsidR="00D64C57">
        <w:rPr>
          <w:szCs w:val="24"/>
        </w:rPr>
        <w:t xml:space="preserve"> the benefit of the Second Option</w:t>
      </w:r>
      <w:r w:rsidR="00392BA5">
        <w:rPr>
          <w:szCs w:val="24"/>
        </w:rPr>
        <w:t>, I do not accept that that occurred only in 2012. In my opinion, it is clear</w:t>
      </w:r>
      <w:r w:rsidR="002975DA">
        <w:rPr>
          <w:szCs w:val="24"/>
        </w:rPr>
        <w:t xml:space="preserve"> that the Plaintiff lost the </w:t>
      </w:r>
      <w:r w:rsidR="00392BA5">
        <w:rPr>
          <w:szCs w:val="24"/>
        </w:rPr>
        <w:t>benefit of the Second Option in 2005.</w:t>
      </w:r>
      <w:r w:rsidR="00B66122">
        <w:rPr>
          <w:szCs w:val="24"/>
        </w:rPr>
        <w:t xml:space="preserve"> </w:t>
      </w:r>
      <w:r w:rsidR="00D56AFD">
        <w:rPr>
          <w:szCs w:val="24"/>
        </w:rPr>
        <w:t>I also disagree with the alternative argument made by the Plaintiff namely that, even if loss occurred in 2005, it became manifest only in 2012. As the Judge observed, the transfer of the Ballynagran Lands to a company other than Greenstar Holdings Limited was capable of discovery in 2005 and the loss arising from that transfer was therefore “</w:t>
      </w:r>
      <w:r w:rsidR="00D56AFD" w:rsidRPr="00D56AFD">
        <w:rPr>
          <w:i/>
          <w:szCs w:val="24"/>
        </w:rPr>
        <w:t>manifest</w:t>
      </w:r>
      <w:r w:rsidR="00D56AFD">
        <w:rPr>
          <w:szCs w:val="24"/>
        </w:rPr>
        <w:t xml:space="preserve">”, in the sense used in </w:t>
      </w:r>
      <w:r w:rsidR="00D56AFD" w:rsidRPr="00D56AFD">
        <w:rPr>
          <w:i/>
          <w:szCs w:val="24"/>
        </w:rPr>
        <w:t>Brandley</w:t>
      </w:r>
      <w:r w:rsidR="00D56AFD">
        <w:rPr>
          <w:i/>
          <w:szCs w:val="24"/>
        </w:rPr>
        <w:t xml:space="preserve">, </w:t>
      </w:r>
      <w:r w:rsidR="00D56AFD">
        <w:rPr>
          <w:szCs w:val="24"/>
        </w:rPr>
        <w:t>at that point.</w:t>
      </w:r>
    </w:p>
    <w:p w14:paraId="40644E3D" w14:textId="77777777" w:rsidR="00392BA5" w:rsidRDefault="00392BA5" w:rsidP="00392BA5">
      <w:pPr>
        <w:pStyle w:val="ListParagraph"/>
        <w:spacing w:line="480" w:lineRule="auto"/>
        <w:rPr>
          <w:szCs w:val="24"/>
        </w:rPr>
      </w:pPr>
    </w:p>
    <w:p w14:paraId="631A5280" w14:textId="77777777" w:rsidR="00BF7F6E" w:rsidRDefault="00B31762" w:rsidP="00FE1032">
      <w:pPr>
        <w:pStyle w:val="ListParagraph"/>
        <w:numPr>
          <w:ilvl w:val="0"/>
          <w:numId w:val="1"/>
        </w:numPr>
        <w:spacing w:line="480" w:lineRule="auto"/>
        <w:ind w:hanging="720"/>
        <w:rPr>
          <w:szCs w:val="24"/>
        </w:rPr>
      </w:pPr>
      <w:r>
        <w:rPr>
          <w:szCs w:val="24"/>
        </w:rPr>
        <w:t>It was not argued that any</w:t>
      </w:r>
      <w:r w:rsidR="002975DA">
        <w:rPr>
          <w:szCs w:val="24"/>
        </w:rPr>
        <w:t xml:space="preserve"> cause of action </w:t>
      </w:r>
      <w:r>
        <w:rPr>
          <w:szCs w:val="24"/>
        </w:rPr>
        <w:t xml:space="preserve">in tort arising from the 2005 transaction would accrue only on </w:t>
      </w:r>
      <w:r w:rsidR="00FE1BD0">
        <w:rPr>
          <w:szCs w:val="24"/>
        </w:rPr>
        <w:t xml:space="preserve">the </w:t>
      </w:r>
      <w:r w:rsidR="00FE1BD0" w:rsidRPr="00CE6C9D">
        <w:rPr>
          <w:i/>
          <w:szCs w:val="24"/>
        </w:rPr>
        <w:t>Determination Date</w:t>
      </w:r>
      <w:r w:rsidR="00FE1BD0">
        <w:rPr>
          <w:szCs w:val="24"/>
        </w:rPr>
        <w:t xml:space="preserve"> </w:t>
      </w:r>
      <w:r w:rsidR="00BF7F6E">
        <w:rPr>
          <w:szCs w:val="24"/>
        </w:rPr>
        <w:t xml:space="preserve">(when the buy-back option granted by the Second Option </w:t>
      </w:r>
      <w:r>
        <w:rPr>
          <w:szCs w:val="24"/>
        </w:rPr>
        <w:t>would have become</w:t>
      </w:r>
      <w:r w:rsidR="00BF7F6E">
        <w:rPr>
          <w:szCs w:val="24"/>
        </w:rPr>
        <w:t xml:space="preserve"> exercisable)</w:t>
      </w:r>
      <w:r>
        <w:rPr>
          <w:szCs w:val="24"/>
        </w:rPr>
        <w:t xml:space="preserve"> or that any loss suffered by the Plaintiff </w:t>
      </w:r>
      <w:r>
        <w:rPr>
          <w:szCs w:val="24"/>
        </w:rPr>
        <w:lastRenderedPageBreak/>
        <w:t xml:space="preserve">was merely contingent until that point. That is unsurprising. Any such argument would </w:t>
      </w:r>
      <w:r w:rsidR="005C38C1">
        <w:rPr>
          <w:szCs w:val="24"/>
        </w:rPr>
        <w:t>b</w:t>
      </w:r>
      <w:r w:rsidR="00093B14">
        <w:rPr>
          <w:szCs w:val="24"/>
        </w:rPr>
        <w:t>e</w:t>
      </w:r>
      <w:r w:rsidR="005C38C1">
        <w:rPr>
          <w:szCs w:val="24"/>
        </w:rPr>
        <w:t xml:space="preserve"> i</w:t>
      </w:r>
      <w:r>
        <w:rPr>
          <w:szCs w:val="24"/>
        </w:rPr>
        <w:t xml:space="preserve">nconsistent with the fact that the Plaintiff issued proceedings </w:t>
      </w:r>
      <w:r w:rsidR="00093B14">
        <w:rPr>
          <w:szCs w:val="24"/>
        </w:rPr>
        <w:t xml:space="preserve">in September 2013 making a claim in respect of the loss of the option. The cause of action had to have accrued at that point (and, on the Plaintiff’s case, it had </w:t>
      </w:r>
      <w:r w:rsidR="00120CCE">
        <w:rPr>
          <w:szCs w:val="24"/>
        </w:rPr>
        <w:t xml:space="preserve">accrued </w:t>
      </w:r>
      <w:r w:rsidR="00093B14">
        <w:rPr>
          <w:szCs w:val="24"/>
        </w:rPr>
        <w:t xml:space="preserve">in 2012). There is no suggestion that the </w:t>
      </w:r>
      <w:r w:rsidR="00093B14" w:rsidRPr="00093B14">
        <w:rPr>
          <w:i/>
          <w:szCs w:val="24"/>
        </w:rPr>
        <w:t>Determination Date</w:t>
      </w:r>
      <w:r w:rsidR="00093B14">
        <w:rPr>
          <w:szCs w:val="24"/>
        </w:rPr>
        <w:t xml:space="preserve"> occurred prior to the commencement of the proceedings. In fact there is no evidence </w:t>
      </w:r>
      <w:r w:rsidR="00120CCE">
        <w:rPr>
          <w:szCs w:val="24"/>
        </w:rPr>
        <w:t xml:space="preserve">as to </w:t>
      </w:r>
      <w:r w:rsidR="00093B14">
        <w:rPr>
          <w:szCs w:val="24"/>
        </w:rPr>
        <w:t xml:space="preserve">whether a landfill continues in operation on </w:t>
      </w:r>
      <w:r w:rsidR="00093B14">
        <w:rPr>
          <w:rFonts w:cs="Times New Roman"/>
          <w:szCs w:val="24"/>
        </w:rPr>
        <w:t xml:space="preserve">Ballynagran Lands or, if not, </w:t>
      </w:r>
      <w:r w:rsidR="00680932">
        <w:rPr>
          <w:rFonts w:cs="Times New Roman"/>
          <w:szCs w:val="24"/>
        </w:rPr>
        <w:t>whether the Lands have been remediated or not and none of these issues were canvassed</w:t>
      </w:r>
      <w:r w:rsidR="00680932">
        <w:rPr>
          <w:szCs w:val="24"/>
        </w:rPr>
        <w:t xml:space="preserve"> in argument. The Plaintiff’s claim is squarely based on the loss of the benefit of the Second Option which he says occurred in 2012 but which, for the reasons I have set out, I consider occurred in 2005.</w:t>
      </w:r>
    </w:p>
    <w:p w14:paraId="03DBD843" w14:textId="77777777" w:rsidR="00984FB9" w:rsidRDefault="00984FB9" w:rsidP="00984FB9">
      <w:pPr>
        <w:pStyle w:val="ListParagraph"/>
        <w:spacing w:line="480" w:lineRule="auto"/>
        <w:rPr>
          <w:szCs w:val="24"/>
        </w:rPr>
      </w:pPr>
    </w:p>
    <w:p w14:paraId="24043B10" w14:textId="77777777" w:rsidR="001B6A38" w:rsidRPr="00BF7F6E" w:rsidRDefault="00984FB9" w:rsidP="00D92B77">
      <w:pPr>
        <w:pStyle w:val="ListParagraph"/>
        <w:numPr>
          <w:ilvl w:val="0"/>
          <w:numId w:val="1"/>
        </w:numPr>
        <w:spacing w:line="480" w:lineRule="auto"/>
        <w:ind w:hanging="720"/>
        <w:rPr>
          <w:szCs w:val="24"/>
        </w:rPr>
      </w:pPr>
      <w:r w:rsidRPr="00D24AB3">
        <w:rPr>
          <w:rFonts w:cs="Times New Roman"/>
          <w:szCs w:val="24"/>
        </w:rPr>
        <w:t xml:space="preserve">As I noted in </w:t>
      </w:r>
      <w:r w:rsidRPr="00D24AB3">
        <w:rPr>
          <w:rFonts w:cs="Times New Roman"/>
          <w:i/>
          <w:szCs w:val="24"/>
        </w:rPr>
        <w:t>Smith v Cunningham</w:t>
      </w:r>
      <w:r w:rsidRPr="00D24AB3">
        <w:rPr>
          <w:rFonts w:cs="Times New Roman"/>
          <w:szCs w:val="24"/>
        </w:rPr>
        <w:t xml:space="preserve">, while the distinction between present loss and contingent/future loss might </w:t>
      </w:r>
      <w:r w:rsidR="00A4459C">
        <w:rPr>
          <w:rFonts w:cs="Times New Roman"/>
          <w:szCs w:val="24"/>
        </w:rPr>
        <w:t>give</w:t>
      </w:r>
      <w:r w:rsidRPr="00D24AB3">
        <w:rPr>
          <w:rFonts w:cs="Times New Roman"/>
          <w:szCs w:val="24"/>
        </w:rPr>
        <w:t xml:space="preserve"> the appearance of solidity</w:t>
      </w:r>
      <w:r w:rsidR="00680932">
        <w:rPr>
          <w:rFonts w:cs="Times New Roman"/>
          <w:szCs w:val="24"/>
        </w:rPr>
        <w:t xml:space="preserve">, </w:t>
      </w:r>
      <w:r w:rsidRPr="00D24AB3">
        <w:rPr>
          <w:rFonts w:cs="Times New Roman"/>
          <w:szCs w:val="24"/>
        </w:rPr>
        <w:t xml:space="preserve">in </w:t>
      </w:r>
      <w:r w:rsidR="00680932">
        <w:rPr>
          <w:rFonts w:cs="Times New Roman"/>
          <w:szCs w:val="24"/>
        </w:rPr>
        <w:t xml:space="preserve">reality </w:t>
      </w:r>
      <w:r w:rsidRPr="00D24AB3">
        <w:rPr>
          <w:rFonts w:cs="Times New Roman"/>
          <w:szCs w:val="24"/>
        </w:rPr>
        <w:t>the dividing line is blurry, imprecise and inevitably impressionistic. So too the distinction between the fact of damage/loss and its quantification. However that may be, it appears to me that the claim arising from the 2005 transaction falls on the</w:t>
      </w:r>
      <w:r w:rsidR="00120CCE">
        <w:rPr>
          <w:rFonts w:cs="Times New Roman"/>
          <w:szCs w:val="24"/>
        </w:rPr>
        <w:t xml:space="preserve"> other</w:t>
      </w:r>
      <w:r w:rsidRPr="00D24AB3">
        <w:rPr>
          <w:rFonts w:cs="Times New Roman"/>
          <w:szCs w:val="24"/>
        </w:rPr>
        <w:t xml:space="preserve"> side of the line from the claim arising from the First Option. The First Option gave valuable (if contingent) rights to the Plaintiff. The fact that the First Option did not provide for the right to royalty payment</w:t>
      </w:r>
      <w:r w:rsidR="00120CCE">
        <w:rPr>
          <w:rFonts w:cs="Times New Roman"/>
          <w:szCs w:val="24"/>
        </w:rPr>
        <w:t>s</w:t>
      </w:r>
      <w:r w:rsidRPr="00D24AB3">
        <w:rPr>
          <w:rFonts w:cs="Times New Roman"/>
          <w:szCs w:val="24"/>
        </w:rPr>
        <w:t xml:space="preserve"> to be secured on the Ballynagran Lands</w:t>
      </w:r>
      <w:r w:rsidR="001B6A38" w:rsidRPr="00D24AB3">
        <w:rPr>
          <w:rFonts w:cs="Times New Roman"/>
          <w:szCs w:val="24"/>
        </w:rPr>
        <w:t xml:space="preserve">, and the fact that those Lands ended up being transferred to a company other than Greenstar Holdings Limited, did not cause any immediate loss to the Plaintiff. He </w:t>
      </w:r>
      <w:r w:rsidR="00BF7F6E">
        <w:rPr>
          <w:rFonts w:cs="Times New Roman"/>
          <w:szCs w:val="24"/>
        </w:rPr>
        <w:t>might</w:t>
      </w:r>
      <w:r w:rsidR="001B6A38" w:rsidRPr="00D24AB3">
        <w:rPr>
          <w:rFonts w:cs="Times New Roman"/>
          <w:szCs w:val="24"/>
        </w:rPr>
        <w:t xml:space="preserve"> still</w:t>
      </w:r>
      <w:r w:rsidR="00680932">
        <w:rPr>
          <w:rFonts w:cs="Times New Roman"/>
          <w:szCs w:val="24"/>
        </w:rPr>
        <w:t xml:space="preserve"> have</w:t>
      </w:r>
      <w:r w:rsidR="001B6A38" w:rsidRPr="00D24AB3">
        <w:rPr>
          <w:rFonts w:cs="Times New Roman"/>
          <w:szCs w:val="24"/>
        </w:rPr>
        <w:t xml:space="preserve"> receive</w:t>
      </w:r>
      <w:r w:rsidR="00680932">
        <w:rPr>
          <w:rFonts w:cs="Times New Roman"/>
          <w:szCs w:val="24"/>
        </w:rPr>
        <w:t>d</w:t>
      </w:r>
      <w:r w:rsidR="001B6A38" w:rsidRPr="00D24AB3">
        <w:rPr>
          <w:rFonts w:cs="Times New Roman"/>
          <w:szCs w:val="24"/>
        </w:rPr>
        <w:t xml:space="preserve"> every payment due to him under the First Option. In contrast, the Plaintiff irrevocably lost his rights under the Second Option in 2005. Those rights had a value and their loss caused immediate and real loss to the Plaintiff. </w:t>
      </w:r>
      <w:r w:rsidR="00D24AB3" w:rsidRPr="00D24AB3">
        <w:rPr>
          <w:rFonts w:cs="Times New Roman"/>
          <w:szCs w:val="24"/>
        </w:rPr>
        <w:t xml:space="preserve">Here </w:t>
      </w:r>
      <w:r w:rsidR="00680932">
        <w:rPr>
          <w:rFonts w:cs="Times New Roman"/>
          <w:szCs w:val="24"/>
        </w:rPr>
        <w:t>“</w:t>
      </w:r>
      <w:r w:rsidR="00D24AB3" w:rsidRPr="00D24AB3">
        <w:rPr>
          <w:rFonts w:cs="Times New Roman"/>
          <w:i/>
          <w:szCs w:val="24"/>
        </w:rPr>
        <w:t xml:space="preserve">real actual damage, which a person </w:t>
      </w:r>
      <w:r w:rsidR="00D24AB3" w:rsidRPr="00D24AB3">
        <w:rPr>
          <w:rFonts w:cs="Times New Roman"/>
          <w:i/>
          <w:szCs w:val="24"/>
        </w:rPr>
        <w:lastRenderedPageBreak/>
        <w:t>would consider commencing proceedings for</w:t>
      </w:r>
      <w:r w:rsidR="00D24AB3" w:rsidRPr="00D24AB3">
        <w:rPr>
          <w:rFonts w:cs="Times New Roman"/>
          <w:szCs w:val="24"/>
        </w:rPr>
        <w:t>” was sustained upon completion of the 2005 transaction.</w:t>
      </w:r>
      <w:r w:rsidR="00D24AB3">
        <w:rPr>
          <w:rFonts w:cs="Times New Roman"/>
          <w:szCs w:val="24"/>
        </w:rPr>
        <w:t xml:space="preserve"> </w:t>
      </w:r>
    </w:p>
    <w:p w14:paraId="515A9B8B" w14:textId="77777777" w:rsidR="00D24AB3" w:rsidRPr="00D24AB3" w:rsidRDefault="00D24AB3" w:rsidP="00D24AB3">
      <w:pPr>
        <w:pStyle w:val="ListParagraph"/>
        <w:spacing w:line="480" w:lineRule="auto"/>
        <w:rPr>
          <w:szCs w:val="24"/>
        </w:rPr>
      </w:pPr>
    </w:p>
    <w:p w14:paraId="1C0E0F52" w14:textId="77777777" w:rsidR="00D24AB3" w:rsidRDefault="00D24AB3" w:rsidP="001B6A38">
      <w:pPr>
        <w:pStyle w:val="ListParagraph"/>
        <w:numPr>
          <w:ilvl w:val="0"/>
          <w:numId w:val="1"/>
        </w:numPr>
        <w:spacing w:line="480" w:lineRule="auto"/>
        <w:ind w:hanging="720"/>
        <w:rPr>
          <w:szCs w:val="24"/>
        </w:rPr>
      </w:pPr>
      <w:r>
        <w:rPr>
          <w:rFonts w:cs="Times New Roman"/>
          <w:szCs w:val="24"/>
        </w:rPr>
        <w:t xml:space="preserve">Proceedings not having issued within six years of that transaction, as required by section 11(2)(a) of the 1957 Act, the </w:t>
      </w:r>
      <w:r w:rsidR="001B6A38">
        <w:rPr>
          <w:szCs w:val="24"/>
        </w:rPr>
        <w:t>Plaintiff’s claim in respect of the 2005 transaction is statute</w:t>
      </w:r>
      <w:r w:rsidR="00AB2B9D">
        <w:rPr>
          <w:szCs w:val="24"/>
        </w:rPr>
        <w:t>-</w:t>
      </w:r>
      <w:r w:rsidR="001B6A38">
        <w:rPr>
          <w:szCs w:val="24"/>
        </w:rPr>
        <w:t>barred. The Plaintiff cannot therefore pursue his claim for loss arising from the loss of the Second Option</w:t>
      </w:r>
      <w:r>
        <w:rPr>
          <w:szCs w:val="24"/>
        </w:rPr>
        <w:t xml:space="preserve"> or for any other loss or damage claimed to arise from the 2005 transaction.</w:t>
      </w:r>
    </w:p>
    <w:p w14:paraId="626E7EE0" w14:textId="77777777" w:rsidR="00D24AB3" w:rsidRDefault="00D24AB3">
      <w:pPr>
        <w:widowControl/>
        <w:spacing w:after="160" w:line="259" w:lineRule="auto"/>
        <w:jc w:val="left"/>
        <w:rPr>
          <w:szCs w:val="24"/>
        </w:rPr>
      </w:pPr>
      <w:r>
        <w:rPr>
          <w:szCs w:val="24"/>
        </w:rPr>
        <w:br w:type="page"/>
      </w:r>
    </w:p>
    <w:p w14:paraId="44063928" w14:textId="77777777" w:rsidR="00D24AB3" w:rsidRDefault="00D24AB3" w:rsidP="00D24AB3">
      <w:pPr>
        <w:pStyle w:val="ListParagraph"/>
        <w:spacing w:line="480" w:lineRule="auto"/>
        <w:rPr>
          <w:szCs w:val="24"/>
        </w:rPr>
      </w:pPr>
    </w:p>
    <w:p w14:paraId="3DCB8EF2" w14:textId="77777777" w:rsidR="00D24AB3" w:rsidRPr="00D8782F" w:rsidRDefault="00D24AB3" w:rsidP="00D24AB3">
      <w:pPr>
        <w:pStyle w:val="ListParagraph"/>
        <w:spacing w:line="480" w:lineRule="auto"/>
        <w:ind w:left="-142"/>
        <w:jc w:val="center"/>
        <w:rPr>
          <w:rFonts w:cs="Times New Roman"/>
          <w:b/>
          <w:szCs w:val="24"/>
        </w:rPr>
      </w:pPr>
      <w:r w:rsidRPr="00D8782F">
        <w:rPr>
          <w:rFonts w:cs="Times New Roman"/>
          <w:b/>
          <w:szCs w:val="24"/>
        </w:rPr>
        <w:t>CONCLUSION</w:t>
      </w:r>
      <w:r>
        <w:rPr>
          <w:rFonts w:cs="Times New Roman"/>
          <w:b/>
          <w:szCs w:val="24"/>
        </w:rPr>
        <w:t>S</w:t>
      </w:r>
      <w:r w:rsidRPr="00D8782F">
        <w:rPr>
          <w:rFonts w:cs="Times New Roman"/>
          <w:b/>
          <w:szCs w:val="24"/>
        </w:rPr>
        <w:t xml:space="preserve"> AND ORDER</w:t>
      </w:r>
    </w:p>
    <w:p w14:paraId="4537A478" w14:textId="77777777" w:rsidR="00D24AB3" w:rsidRDefault="00D24AB3" w:rsidP="00D24AB3">
      <w:pPr>
        <w:pStyle w:val="ListParagraph"/>
        <w:spacing w:line="480" w:lineRule="auto"/>
        <w:rPr>
          <w:rFonts w:cs="Times New Roman"/>
          <w:szCs w:val="24"/>
        </w:rPr>
      </w:pPr>
    </w:p>
    <w:p w14:paraId="02AD5F2C" w14:textId="77777777" w:rsidR="00D24AB3" w:rsidRDefault="00D24AB3" w:rsidP="00D24AB3">
      <w:pPr>
        <w:pStyle w:val="ListParagraph"/>
        <w:numPr>
          <w:ilvl w:val="0"/>
          <w:numId w:val="1"/>
        </w:numPr>
        <w:spacing w:line="480" w:lineRule="auto"/>
        <w:ind w:hanging="720"/>
        <w:rPr>
          <w:rFonts w:cs="Times New Roman"/>
          <w:szCs w:val="24"/>
        </w:rPr>
      </w:pPr>
      <w:r>
        <w:rPr>
          <w:rFonts w:cs="Times New Roman"/>
          <w:szCs w:val="24"/>
        </w:rPr>
        <w:t xml:space="preserve">For the reasons set out in this judgment, I have come to a different view, in part, to that of the Judge as to the appropriate resolution of the preliminary issue before the Court. </w:t>
      </w:r>
    </w:p>
    <w:p w14:paraId="5028CAB7" w14:textId="77777777" w:rsidR="00D24AB3" w:rsidRDefault="00D24AB3" w:rsidP="00D24AB3">
      <w:pPr>
        <w:pStyle w:val="ListParagraph"/>
        <w:spacing w:line="480" w:lineRule="auto"/>
        <w:rPr>
          <w:rFonts w:cs="Times New Roman"/>
          <w:szCs w:val="24"/>
        </w:rPr>
      </w:pPr>
    </w:p>
    <w:p w14:paraId="47F59D02" w14:textId="77777777" w:rsidR="00D24AB3" w:rsidRDefault="00D24AB3" w:rsidP="00D92B77">
      <w:pPr>
        <w:pStyle w:val="ListParagraph"/>
        <w:numPr>
          <w:ilvl w:val="0"/>
          <w:numId w:val="1"/>
        </w:numPr>
        <w:spacing w:line="480" w:lineRule="auto"/>
        <w:ind w:hanging="720"/>
        <w:rPr>
          <w:rFonts w:cs="Times New Roman"/>
          <w:szCs w:val="24"/>
        </w:rPr>
      </w:pPr>
      <w:r>
        <w:rPr>
          <w:rFonts w:cs="Times New Roman"/>
          <w:szCs w:val="24"/>
        </w:rPr>
        <w:t xml:space="preserve">As O’Donnell J observed in </w:t>
      </w:r>
      <w:r w:rsidRPr="00110F6A">
        <w:rPr>
          <w:rFonts w:cs="Times New Roman"/>
          <w:i/>
          <w:szCs w:val="24"/>
        </w:rPr>
        <w:t>Cantrell</w:t>
      </w:r>
      <w:r>
        <w:rPr>
          <w:rFonts w:cs="Times New Roman"/>
          <w:szCs w:val="24"/>
        </w:rPr>
        <w:t xml:space="preserve">, section 11(2)(a) is capable of operating in an arbitrary and random way that, in the absence of a discoverability provision, </w:t>
      </w:r>
      <w:r w:rsidR="00E549CB">
        <w:rPr>
          <w:rFonts w:cs="Times New Roman"/>
          <w:szCs w:val="24"/>
        </w:rPr>
        <w:t>may give ri</w:t>
      </w:r>
      <w:r>
        <w:rPr>
          <w:rFonts w:cs="Times New Roman"/>
          <w:szCs w:val="24"/>
        </w:rPr>
        <w:t xml:space="preserve">se to significant injustice for (potential) plaintiffs. </w:t>
      </w:r>
      <w:r w:rsidR="00D92B77">
        <w:rPr>
          <w:rFonts w:cs="Times New Roman"/>
          <w:szCs w:val="24"/>
        </w:rPr>
        <w:t xml:space="preserve">The outcome of this appeal provides a concrete illustration of these effects. The claim made by the Plaintiff arising from Matheson’s retainer in 2000 is not statute-barred, whereas the claim arising from the later retainer in 2005 is. That outcome is likely to leave both parties dissatisfied and reflects little credit on the law in this area. </w:t>
      </w:r>
    </w:p>
    <w:p w14:paraId="34952DFE" w14:textId="77777777" w:rsidR="00D24AB3" w:rsidRDefault="00D24AB3" w:rsidP="00D24AB3">
      <w:pPr>
        <w:pStyle w:val="ListParagraph"/>
        <w:spacing w:line="480" w:lineRule="auto"/>
        <w:rPr>
          <w:rFonts w:cs="Times New Roman"/>
          <w:szCs w:val="24"/>
        </w:rPr>
      </w:pPr>
    </w:p>
    <w:p w14:paraId="5A124210" w14:textId="77777777" w:rsidR="00D24AB3" w:rsidRDefault="00D24AB3" w:rsidP="00D92B77">
      <w:pPr>
        <w:pStyle w:val="ListParagraph"/>
        <w:numPr>
          <w:ilvl w:val="0"/>
          <w:numId w:val="1"/>
        </w:numPr>
        <w:spacing w:line="480" w:lineRule="auto"/>
        <w:ind w:hanging="720"/>
        <w:rPr>
          <w:rFonts w:cs="Times New Roman"/>
          <w:szCs w:val="24"/>
        </w:rPr>
      </w:pPr>
      <w:r>
        <w:rPr>
          <w:rFonts w:cs="Times New Roman"/>
          <w:szCs w:val="24"/>
        </w:rPr>
        <w:t>I would t</w:t>
      </w:r>
      <w:r w:rsidR="00D92B77">
        <w:rPr>
          <w:rFonts w:cs="Times New Roman"/>
          <w:szCs w:val="24"/>
        </w:rPr>
        <w:t xml:space="preserve">herefore </w:t>
      </w:r>
      <w:r>
        <w:rPr>
          <w:rFonts w:cs="Times New Roman"/>
          <w:szCs w:val="24"/>
        </w:rPr>
        <w:t xml:space="preserve">allow the </w:t>
      </w:r>
      <w:r w:rsidR="00D92B77">
        <w:rPr>
          <w:rFonts w:cs="Times New Roman"/>
          <w:szCs w:val="24"/>
        </w:rPr>
        <w:t>Plaintiff’s</w:t>
      </w:r>
      <w:r>
        <w:rPr>
          <w:rFonts w:cs="Times New Roman"/>
          <w:szCs w:val="24"/>
        </w:rPr>
        <w:t xml:space="preserve"> appeal </w:t>
      </w:r>
      <w:r w:rsidR="00D92B77">
        <w:rPr>
          <w:rFonts w:cs="Times New Roman"/>
          <w:szCs w:val="24"/>
        </w:rPr>
        <w:t xml:space="preserve">to the extent indicated above. The parties should have an opportunity to be heard on the precise form of order to be made in the circumstances. </w:t>
      </w:r>
    </w:p>
    <w:p w14:paraId="097D4305" w14:textId="77777777" w:rsidR="00D92B77" w:rsidRDefault="00D92B77" w:rsidP="00D92B77">
      <w:pPr>
        <w:pStyle w:val="ListParagraph"/>
        <w:spacing w:line="480" w:lineRule="auto"/>
        <w:rPr>
          <w:rFonts w:cs="Times New Roman"/>
          <w:szCs w:val="24"/>
        </w:rPr>
      </w:pPr>
    </w:p>
    <w:p w14:paraId="2580DD2D" w14:textId="77777777" w:rsidR="00124A5A" w:rsidRPr="00124A5A" w:rsidRDefault="00124A5A" w:rsidP="00124A5A">
      <w:pPr>
        <w:pStyle w:val="ListParagraph"/>
        <w:numPr>
          <w:ilvl w:val="0"/>
          <w:numId w:val="1"/>
        </w:numPr>
        <w:spacing w:line="480" w:lineRule="auto"/>
        <w:ind w:hanging="720"/>
        <w:rPr>
          <w:rFonts w:cs="Times New Roman"/>
          <w:szCs w:val="24"/>
        </w:rPr>
      </w:pPr>
      <w:r>
        <w:rPr>
          <w:rFonts w:cs="Times New Roman"/>
          <w:szCs w:val="24"/>
        </w:rPr>
        <w:t>T</w:t>
      </w:r>
      <w:r w:rsidR="00D92B77">
        <w:rPr>
          <w:rFonts w:cs="Times New Roman"/>
          <w:szCs w:val="24"/>
        </w:rPr>
        <w:t>he</w:t>
      </w:r>
      <w:r>
        <w:rPr>
          <w:rFonts w:cs="Times New Roman"/>
          <w:szCs w:val="24"/>
        </w:rPr>
        <w:t xml:space="preserve"> High Court ordered the</w:t>
      </w:r>
      <w:r w:rsidR="00D92B77">
        <w:rPr>
          <w:rFonts w:cs="Times New Roman"/>
          <w:szCs w:val="24"/>
        </w:rPr>
        <w:t xml:space="preserve"> Plaintiff </w:t>
      </w:r>
      <w:r>
        <w:rPr>
          <w:rFonts w:cs="Times New Roman"/>
          <w:szCs w:val="24"/>
        </w:rPr>
        <w:t>to pay the costs of the proceedings. It appears to me that that</w:t>
      </w:r>
      <w:r w:rsidR="00D92B77">
        <w:rPr>
          <w:rFonts w:cs="Times New Roman"/>
          <w:szCs w:val="24"/>
        </w:rPr>
        <w:t xml:space="preserve"> order must be set aside </w:t>
      </w:r>
      <w:r>
        <w:rPr>
          <w:rFonts w:cs="Times New Roman"/>
          <w:szCs w:val="24"/>
        </w:rPr>
        <w:t>but</w:t>
      </w:r>
      <w:r w:rsidR="00D92B77">
        <w:rPr>
          <w:rFonts w:cs="Times New Roman"/>
          <w:szCs w:val="24"/>
        </w:rPr>
        <w:t xml:space="preserve">, in light of the outcome of this appeal, it appears </w:t>
      </w:r>
      <w:r>
        <w:rPr>
          <w:rFonts w:cs="Times New Roman"/>
          <w:szCs w:val="24"/>
        </w:rPr>
        <w:t xml:space="preserve">to me that it would be appropriate to hear the parties before any further order is made  in relation to costs. A brief hearing to deal with the form of order and with costs will be </w:t>
      </w:r>
      <w:r w:rsidR="00D92B77">
        <w:rPr>
          <w:rFonts w:cs="Times New Roman"/>
          <w:szCs w:val="24"/>
        </w:rPr>
        <w:t xml:space="preserve"> </w:t>
      </w:r>
      <w:r>
        <w:rPr>
          <w:rFonts w:cs="Times New Roman"/>
          <w:szCs w:val="24"/>
        </w:rPr>
        <w:t>arranged and the parties will be notified of that.</w:t>
      </w:r>
    </w:p>
    <w:p w14:paraId="5BB1D054" w14:textId="77777777" w:rsidR="00D92B77" w:rsidRDefault="00D92B77" w:rsidP="00D92B77">
      <w:pPr>
        <w:pStyle w:val="ListParagraph"/>
        <w:spacing w:line="480" w:lineRule="auto"/>
        <w:rPr>
          <w:rFonts w:cs="Times New Roman"/>
          <w:szCs w:val="24"/>
        </w:rPr>
      </w:pPr>
    </w:p>
    <w:p w14:paraId="4F91FD35" w14:textId="77777777" w:rsidR="00D24AB3" w:rsidRDefault="00D24AB3" w:rsidP="00D24AB3">
      <w:pPr>
        <w:pStyle w:val="ListParagraph"/>
        <w:spacing w:line="480" w:lineRule="auto"/>
        <w:rPr>
          <w:rFonts w:cs="Times New Roman"/>
          <w:szCs w:val="24"/>
        </w:rPr>
      </w:pPr>
    </w:p>
    <w:p w14:paraId="2EABBA2A" w14:textId="77777777" w:rsidR="00D24AB3" w:rsidRDefault="00D24AB3" w:rsidP="00124A5A">
      <w:pPr>
        <w:pStyle w:val="ListParagraph"/>
        <w:numPr>
          <w:ilvl w:val="0"/>
          <w:numId w:val="1"/>
        </w:numPr>
        <w:spacing w:line="480" w:lineRule="auto"/>
        <w:ind w:hanging="720"/>
        <w:rPr>
          <w:rFonts w:cs="Times New Roman"/>
          <w:szCs w:val="24"/>
        </w:rPr>
      </w:pPr>
      <w:r>
        <w:rPr>
          <w:rFonts w:cs="Times New Roman"/>
          <w:szCs w:val="24"/>
        </w:rPr>
        <w:t xml:space="preserve">Before concluding, </w:t>
      </w:r>
      <w:r w:rsidR="00124A5A">
        <w:rPr>
          <w:rFonts w:cs="Times New Roman"/>
          <w:szCs w:val="24"/>
        </w:rPr>
        <w:t>I would draw attention to the observations that I made in</w:t>
      </w:r>
      <w:r w:rsidR="00124A5A" w:rsidRPr="00124A5A">
        <w:rPr>
          <w:rFonts w:cs="Times New Roman"/>
          <w:i/>
          <w:szCs w:val="24"/>
        </w:rPr>
        <w:t xml:space="preserve"> Smith v Cunningham</w:t>
      </w:r>
      <w:r w:rsidR="00124A5A">
        <w:rPr>
          <w:rFonts w:cs="Times New Roman"/>
          <w:szCs w:val="24"/>
        </w:rPr>
        <w:t xml:space="preserve"> </w:t>
      </w:r>
      <w:r w:rsidR="008F55D7">
        <w:rPr>
          <w:rFonts w:cs="Times New Roman"/>
          <w:szCs w:val="24"/>
        </w:rPr>
        <w:t xml:space="preserve">regarding </w:t>
      </w:r>
      <w:r w:rsidR="00A609FF">
        <w:rPr>
          <w:rFonts w:cs="Times New Roman"/>
          <w:szCs w:val="24"/>
        </w:rPr>
        <w:t xml:space="preserve">the procedure </w:t>
      </w:r>
      <w:r>
        <w:rPr>
          <w:rFonts w:cs="Times New Roman"/>
          <w:szCs w:val="24"/>
        </w:rPr>
        <w:t xml:space="preserve">adopted </w:t>
      </w:r>
      <w:r w:rsidR="00A609FF">
        <w:rPr>
          <w:rFonts w:cs="Times New Roman"/>
          <w:szCs w:val="24"/>
        </w:rPr>
        <w:t xml:space="preserve">in that case. The same procedure was adopted here. That is not how preliminary issues on the Statute ought to be determined. However, </w:t>
      </w:r>
      <w:r w:rsidRPr="00E12897">
        <w:rPr>
          <w:rFonts w:cs="Times New Roman"/>
          <w:szCs w:val="24"/>
        </w:rPr>
        <w:t xml:space="preserve"> </w:t>
      </w:r>
      <w:r w:rsidR="00A609FF">
        <w:rPr>
          <w:rFonts w:cs="Times New Roman"/>
          <w:szCs w:val="24"/>
        </w:rPr>
        <w:t>despite my misgivings as to the procedure followed here, I have considered it appropriate to determine this appeal on its merits.</w:t>
      </w:r>
    </w:p>
    <w:p w14:paraId="0D11A3EB" w14:textId="77777777" w:rsidR="00D24AB3" w:rsidRPr="00E12897" w:rsidRDefault="00D24AB3" w:rsidP="00D24AB3">
      <w:pPr>
        <w:spacing w:line="480" w:lineRule="auto"/>
        <w:rPr>
          <w:rFonts w:cs="Times New Roman"/>
          <w:szCs w:val="24"/>
        </w:rPr>
      </w:pPr>
    </w:p>
    <w:p w14:paraId="78CA2CDC" w14:textId="77777777" w:rsidR="00E4644A" w:rsidRDefault="00E4644A" w:rsidP="00E4644A">
      <w:pPr>
        <w:pStyle w:val="ListParagraph"/>
        <w:spacing w:line="480" w:lineRule="auto"/>
        <w:rPr>
          <w:rFonts w:cs="Times New Roman"/>
          <w:szCs w:val="24"/>
        </w:rPr>
      </w:pPr>
      <w:r>
        <w:rPr>
          <w:i/>
        </w:rPr>
        <w:t xml:space="preserve">Donnelly and Faherty JJ </w:t>
      </w:r>
      <w:r w:rsidRPr="00CD3777">
        <w:rPr>
          <w:i/>
        </w:rPr>
        <w:t>have authorised me to record their agreement with this judgment</w:t>
      </w:r>
      <w:r>
        <w:rPr>
          <w:i/>
        </w:rPr>
        <w:t xml:space="preserve"> and with the orders proposed.</w:t>
      </w:r>
    </w:p>
    <w:p w14:paraId="7F27E07D" w14:textId="77777777" w:rsidR="00D24AB3" w:rsidRDefault="00D24AB3" w:rsidP="00D24AB3">
      <w:pPr>
        <w:pStyle w:val="ListParagraph"/>
        <w:spacing w:line="480" w:lineRule="auto"/>
        <w:rPr>
          <w:rFonts w:cs="Times New Roman"/>
          <w:szCs w:val="24"/>
        </w:rPr>
      </w:pPr>
    </w:p>
    <w:p w14:paraId="37DC2342" w14:textId="77777777" w:rsidR="001B6A38" w:rsidRPr="001B6A38" w:rsidRDefault="001B6A38" w:rsidP="005C38C1">
      <w:pPr>
        <w:pStyle w:val="ListParagraph"/>
        <w:spacing w:line="480" w:lineRule="auto"/>
        <w:rPr>
          <w:szCs w:val="24"/>
        </w:rPr>
      </w:pPr>
    </w:p>
    <w:p w14:paraId="13415A98" w14:textId="77777777" w:rsidR="00FB2D7D" w:rsidRPr="000875C3" w:rsidRDefault="00FB2D7D" w:rsidP="009329B4">
      <w:pPr>
        <w:pStyle w:val="ListParagraph"/>
        <w:spacing w:line="480" w:lineRule="auto"/>
        <w:rPr>
          <w:szCs w:val="24"/>
        </w:rPr>
      </w:pPr>
    </w:p>
    <w:sectPr w:rsidR="00FB2D7D" w:rsidRPr="000875C3" w:rsidSect="00E949B9">
      <w:footerReference w:type="default" r:id="rId11"/>
      <w:headerReference w:type="first" r:id="rId12"/>
      <w:pgSz w:w="11906" w:h="16838"/>
      <w:pgMar w:top="1814" w:right="1440" w:bottom="1814"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A6A78" w14:textId="77777777" w:rsidR="00D92B77" w:rsidRDefault="00D92B77" w:rsidP="009500E9">
      <w:pPr>
        <w:spacing w:line="240" w:lineRule="auto"/>
      </w:pPr>
      <w:r>
        <w:separator/>
      </w:r>
    </w:p>
  </w:endnote>
  <w:endnote w:type="continuationSeparator" w:id="0">
    <w:p w14:paraId="64B8B6D4" w14:textId="77777777" w:rsidR="00D92B77" w:rsidRDefault="00D92B77" w:rsidP="009500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001144"/>
      <w:docPartObj>
        <w:docPartGallery w:val="Page Numbers (Bottom of Page)"/>
        <w:docPartUnique/>
      </w:docPartObj>
    </w:sdtPr>
    <w:sdtEndPr/>
    <w:sdtContent>
      <w:sdt>
        <w:sdtPr>
          <w:id w:val="-564255908"/>
          <w:docPartObj>
            <w:docPartGallery w:val="Page Numbers (Top of Page)"/>
            <w:docPartUnique/>
          </w:docPartObj>
        </w:sdtPr>
        <w:sdtEndPr/>
        <w:sdtContent>
          <w:p w14:paraId="57A92A51" w14:textId="77777777" w:rsidR="00D92B77" w:rsidRDefault="00D92B77">
            <w:pPr>
              <w:pStyle w:val="Footer"/>
              <w:jc w:val="center"/>
            </w:pPr>
            <w:r w:rsidRPr="0057305F">
              <w:rPr>
                <w:b/>
                <w:i/>
                <w:sz w:val="20"/>
                <w:szCs w:val="20"/>
              </w:rPr>
              <w:t xml:space="preserve">Page </w:t>
            </w:r>
            <w:r w:rsidRPr="0057305F">
              <w:rPr>
                <w:b/>
                <w:bCs/>
                <w:i/>
                <w:sz w:val="20"/>
                <w:szCs w:val="20"/>
              </w:rPr>
              <w:fldChar w:fldCharType="begin"/>
            </w:r>
            <w:r w:rsidRPr="0057305F">
              <w:rPr>
                <w:b/>
                <w:bCs/>
                <w:i/>
                <w:sz w:val="20"/>
                <w:szCs w:val="20"/>
              </w:rPr>
              <w:instrText xml:space="preserve"> PAGE </w:instrText>
            </w:r>
            <w:r w:rsidRPr="0057305F">
              <w:rPr>
                <w:b/>
                <w:bCs/>
                <w:i/>
                <w:sz w:val="20"/>
                <w:szCs w:val="20"/>
              </w:rPr>
              <w:fldChar w:fldCharType="separate"/>
            </w:r>
            <w:r w:rsidRPr="0057305F">
              <w:rPr>
                <w:b/>
                <w:bCs/>
                <w:i/>
                <w:noProof/>
                <w:sz w:val="20"/>
                <w:szCs w:val="20"/>
              </w:rPr>
              <w:t>2</w:t>
            </w:r>
            <w:r w:rsidRPr="0057305F">
              <w:rPr>
                <w:b/>
                <w:bCs/>
                <w:i/>
                <w:sz w:val="20"/>
                <w:szCs w:val="20"/>
              </w:rPr>
              <w:fldChar w:fldCharType="end"/>
            </w:r>
            <w:r w:rsidRPr="0057305F">
              <w:rPr>
                <w:b/>
                <w:i/>
                <w:sz w:val="20"/>
                <w:szCs w:val="20"/>
              </w:rPr>
              <w:t xml:space="preserve"> of </w:t>
            </w:r>
            <w:r w:rsidRPr="0057305F">
              <w:rPr>
                <w:b/>
                <w:bCs/>
                <w:i/>
                <w:sz w:val="20"/>
                <w:szCs w:val="20"/>
              </w:rPr>
              <w:fldChar w:fldCharType="begin"/>
            </w:r>
            <w:r w:rsidRPr="0057305F">
              <w:rPr>
                <w:b/>
                <w:bCs/>
                <w:i/>
                <w:sz w:val="20"/>
                <w:szCs w:val="20"/>
              </w:rPr>
              <w:instrText xml:space="preserve"> NUMPAGES  </w:instrText>
            </w:r>
            <w:r w:rsidRPr="0057305F">
              <w:rPr>
                <w:b/>
                <w:bCs/>
                <w:i/>
                <w:sz w:val="20"/>
                <w:szCs w:val="20"/>
              </w:rPr>
              <w:fldChar w:fldCharType="separate"/>
            </w:r>
            <w:r w:rsidRPr="0057305F">
              <w:rPr>
                <w:b/>
                <w:bCs/>
                <w:i/>
                <w:noProof/>
                <w:sz w:val="20"/>
                <w:szCs w:val="20"/>
              </w:rPr>
              <w:t>2</w:t>
            </w:r>
            <w:r w:rsidRPr="0057305F">
              <w:rPr>
                <w:b/>
                <w:bCs/>
                <w:i/>
                <w:sz w:val="20"/>
                <w:szCs w:val="20"/>
              </w:rPr>
              <w:fldChar w:fldCharType="end"/>
            </w:r>
          </w:p>
        </w:sdtContent>
      </w:sdt>
    </w:sdtContent>
  </w:sdt>
  <w:p w14:paraId="0FC93BAC" w14:textId="77777777" w:rsidR="00D92B77" w:rsidRDefault="00D92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1CC3D" w14:textId="77777777" w:rsidR="00D92B77" w:rsidRDefault="00D92B77" w:rsidP="009500E9">
      <w:pPr>
        <w:spacing w:line="240" w:lineRule="auto"/>
      </w:pPr>
      <w:r>
        <w:separator/>
      </w:r>
    </w:p>
  </w:footnote>
  <w:footnote w:type="continuationSeparator" w:id="0">
    <w:p w14:paraId="397E512E" w14:textId="77777777" w:rsidR="00D92B77" w:rsidRDefault="00D92B77" w:rsidP="009500E9">
      <w:pPr>
        <w:spacing w:line="240" w:lineRule="auto"/>
      </w:pPr>
      <w:r>
        <w:continuationSeparator/>
      </w:r>
    </w:p>
  </w:footnote>
  <w:footnote w:id="1">
    <w:p w14:paraId="64EEABF3" w14:textId="77777777" w:rsidR="00D92B77" w:rsidRDefault="00D92B77">
      <w:pPr>
        <w:pStyle w:val="FootnoteText"/>
      </w:pPr>
      <w:r>
        <w:rPr>
          <w:rStyle w:val="FootnoteReference"/>
        </w:rPr>
        <w:footnoteRef/>
      </w:r>
      <w:r>
        <w:t xml:space="preserve"> In essence, “</w:t>
      </w:r>
      <w:r w:rsidRPr="0024641A">
        <w:rPr>
          <w:i/>
        </w:rPr>
        <w:t>Net Income</w:t>
      </w:r>
      <w:r>
        <w:t xml:space="preserve">” was gross income from landfill operations less VAT, statutory charges and rates. </w:t>
      </w:r>
    </w:p>
  </w:footnote>
  <w:footnote w:id="2">
    <w:p w14:paraId="334769A3" w14:textId="77777777" w:rsidR="00D92B77" w:rsidRDefault="00D92B77">
      <w:pPr>
        <w:pStyle w:val="FootnoteText"/>
      </w:pPr>
      <w:r>
        <w:rPr>
          <w:rStyle w:val="FootnoteReference"/>
        </w:rPr>
        <w:footnoteRef/>
      </w:r>
      <w:r>
        <w:t xml:space="preserve"> It appears</w:t>
      </w:r>
      <w:r w:rsidRPr="00E96D51">
        <w:t xml:space="preserve"> </w:t>
      </w:r>
      <w:r>
        <w:t>that, in effect, the first €3 million of royalty payments was regarded as included in the Agreed Consideration.</w:t>
      </w:r>
    </w:p>
  </w:footnote>
  <w:footnote w:id="3">
    <w:p w14:paraId="55AC5C51" w14:textId="77777777" w:rsidR="00D92B77" w:rsidRDefault="00D92B77">
      <w:pPr>
        <w:pStyle w:val="FootnoteText"/>
      </w:pPr>
      <w:r>
        <w:rPr>
          <w:rStyle w:val="FootnoteReference"/>
        </w:rPr>
        <w:footnoteRef/>
      </w:r>
      <w:r>
        <w:t xml:space="preserve"> In fact, it appears that, in error, a different </w:t>
      </w:r>
      <w:r w:rsidR="00120CCE">
        <w:t>entity</w:t>
      </w:r>
      <w:r>
        <w:t xml:space="preserve"> was registered as owner in 2005 but that was rectified in September 2012. </w:t>
      </w:r>
    </w:p>
  </w:footnote>
  <w:footnote w:id="4">
    <w:p w14:paraId="505E81EA" w14:textId="77777777" w:rsidR="00D92B77" w:rsidRPr="00221048" w:rsidRDefault="00D92B77" w:rsidP="00221048">
      <w:pPr>
        <w:pStyle w:val="ListParagraph"/>
        <w:spacing w:line="480" w:lineRule="auto"/>
        <w:ind w:left="0"/>
        <w:rPr>
          <w:rFonts w:cs="Times New Roman"/>
          <w:sz w:val="20"/>
          <w:szCs w:val="20"/>
        </w:rPr>
      </w:pPr>
      <w:r w:rsidRPr="00221048">
        <w:rPr>
          <w:rStyle w:val="FootnoteReference"/>
          <w:sz w:val="20"/>
          <w:szCs w:val="20"/>
        </w:rPr>
        <w:footnoteRef/>
      </w:r>
      <w:r w:rsidRPr="00221048">
        <w:rPr>
          <w:sz w:val="20"/>
          <w:szCs w:val="20"/>
        </w:rPr>
        <w:t xml:space="preserve"> </w:t>
      </w:r>
      <w:r>
        <w:rPr>
          <w:sz w:val="20"/>
          <w:szCs w:val="20"/>
        </w:rPr>
        <w:t xml:space="preserve">The Plaintiff had assented to the registration of the First Option as a burden on </w:t>
      </w:r>
      <w:r w:rsidRPr="00221048">
        <w:rPr>
          <w:rFonts w:cs="Times New Roman"/>
          <w:sz w:val="20"/>
          <w:szCs w:val="20"/>
        </w:rPr>
        <w:t>the “</w:t>
      </w:r>
      <w:r w:rsidRPr="00221048">
        <w:rPr>
          <w:rFonts w:cs="Times New Roman"/>
          <w:i/>
          <w:sz w:val="20"/>
          <w:szCs w:val="20"/>
        </w:rPr>
        <w:t>relevant folios</w:t>
      </w:r>
      <w:r w:rsidRPr="00221048">
        <w:rPr>
          <w:rFonts w:cs="Times New Roman"/>
          <w:sz w:val="20"/>
          <w:szCs w:val="20"/>
        </w:rPr>
        <w:t>”</w:t>
      </w:r>
      <w:r>
        <w:rPr>
          <w:rFonts w:cs="Times New Roman"/>
          <w:sz w:val="20"/>
          <w:szCs w:val="20"/>
        </w:rPr>
        <w:t xml:space="preserve"> (though not </w:t>
      </w:r>
      <w:r w:rsidRPr="00221048">
        <w:rPr>
          <w:rFonts w:cs="Times New Roman"/>
          <w:sz w:val="20"/>
          <w:szCs w:val="20"/>
        </w:rPr>
        <w:t>identified in the agreement</w:t>
      </w:r>
      <w:r>
        <w:rPr>
          <w:rFonts w:cs="Times New Roman"/>
          <w:sz w:val="20"/>
          <w:szCs w:val="20"/>
        </w:rPr>
        <w:t xml:space="preserve">, this appears to be a reference to </w:t>
      </w:r>
      <w:r w:rsidRPr="00221048">
        <w:rPr>
          <w:rFonts w:cs="Times New Roman"/>
          <w:sz w:val="20"/>
          <w:szCs w:val="20"/>
        </w:rPr>
        <w:t>Folios WW21186F and WW16658F</w:t>
      </w:r>
      <w:r>
        <w:rPr>
          <w:rFonts w:cs="Times New Roman"/>
          <w:sz w:val="20"/>
          <w:szCs w:val="20"/>
        </w:rPr>
        <w:t>): see c</w:t>
      </w:r>
      <w:r>
        <w:rPr>
          <w:sz w:val="20"/>
          <w:szCs w:val="20"/>
        </w:rPr>
        <w:t xml:space="preserve">lause 9.2 of the First Option. That appears to have been intended to allow Greenstar Holdings Limited to register its option to purchase the Ballynagran Lands  as a burden in order to protect its position pending the possible exercise of the option. </w:t>
      </w:r>
      <w:r w:rsidRPr="00221048">
        <w:rPr>
          <w:rFonts w:cs="Times New Roman"/>
          <w:sz w:val="20"/>
          <w:szCs w:val="20"/>
        </w:rPr>
        <w:t xml:space="preserve">No such burden was ever registered on those folios. </w:t>
      </w:r>
      <w:r>
        <w:rPr>
          <w:rFonts w:cs="Times New Roman"/>
          <w:sz w:val="20"/>
          <w:szCs w:val="20"/>
        </w:rPr>
        <w:t>Otherwise the parties agreed to keep the existence and terms of the First Option confidential: c</w:t>
      </w:r>
      <w:r>
        <w:rPr>
          <w:sz w:val="20"/>
          <w:szCs w:val="20"/>
        </w:rPr>
        <w:t>lause 9.1</w:t>
      </w:r>
      <w:bookmarkStart w:id="2" w:name="_Hlk83028641"/>
      <w:r w:rsidRPr="00221048">
        <w:rPr>
          <w:rFonts w:cs="Times New Roman"/>
          <w:sz w:val="20"/>
          <w:szCs w:val="20"/>
        </w:rPr>
        <w:t>.</w:t>
      </w:r>
      <w:bookmarkEnd w:id="2"/>
      <w:r w:rsidRPr="00221048">
        <w:rPr>
          <w:rFonts w:cs="Times New Roman"/>
          <w:sz w:val="20"/>
          <w:szCs w:val="20"/>
        </w:rPr>
        <w:t xml:space="preserve"> </w:t>
      </w:r>
      <w:r>
        <w:rPr>
          <w:rFonts w:cs="Times New Roman"/>
          <w:sz w:val="20"/>
          <w:szCs w:val="20"/>
        </w:rPr>
        <w:t xml:space="preserve"> The Second Option contained similar provisions: by clause 6(2) the Grantor (Celtic Waste Limited as it then was) assented to the registration of the agreement as a burden “</w:t>
      </w:r>
      <w:r w:rsidRPr="004B633C">
        <w:rPr>
          <w:rFonts w:cs="Times New Roman"/>
          <w:i/>
          <w:sz w:val="20"/>
          <w:szCs w:val="20"/>
        </w:rPr>
        <w:t>on the relevant folio in the Land Registry after the date that the Grantee exercises its option to purchase the Subject Property</w:t>
      </w:r>
      <w:r>
        <w:rPr>
          <w:rFonts w:cs="Times New Roman"/>
          <w:sz w:val="20"/>
          <w:szCs w:val="20"/>
        </w:rPr>
        <w:t xml:space="preserve">”. The benefit of this provision to the Plaintiff seems questionable given that it would become operative only </w:t>
      </w:r>
      <w:r w:rsidRPr="00ED11CF">
        <w:rPr>
          <w:rFonts w:cs="Times New Roman"/>
          <w:i/>
          <w:sz w:val="20"/>
          <w:szCs w:val="20"/>
        </w:rPr>
        <w:t>after</w:t>
      </w:r>
      <w:r>
        <w:rPr>
          <w:rFonts w:cs="Times New Roman"/>
          <w:sz w:val="20"/>
          <w:szCs w:val="20"/>
        </w:rPr>
        <w:t xml:space="preserve"> the Plaintiff exercised the buy-back option (and therefore would provide no protection to the Plaintiff in the period between the exercise of the First Option and the point in time – likely to be many years later -  when the Second Option became exercisable). In any event, whatever the value of clause 6.2 to the Plaintiff, it appears to have been lost when the Ballynagran Lands were transferred to Greenstar Properties Limited in 2005.</w:t>
      </w:r>
    </w:p>
    <w:p w14:paraId="54AADCD3" w14:textId="77777777" w:rsidR="00D92B77" w:rsidRDefault="00D92B7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49284" w14:textId="77777777" w:rsidR="00E949B9" w:rsidRDefault="000D78C0" w:rsidP="00E949B9">
    <w:pPr>
      <w:pStyle w:val="Header"/>
      <w:rPr>
        <w:b/>
        <w:i/>
      </w:rPr>
    </w:pPr>
    <w:r>
      <w:rPr>
        <w:b/>
        <w:i/>
      </w:rPr>
      <w:t>Approved</w:t>
    </w:r>
  </w:p>
  <w:p w14:paraId="15458E33" w14:textId="77777777" w:rsidR="000D78C0" w:rsidRDefault="000D78C0" w:rsidP="00E949B9">
    <w:pPr>
      <w:pStyle w:val="Header"/>
      <w:rPr>
        <w:b/>
        <w:i/>
      </w:rPr>
    </w:pPr>
    <w:r>
      <w:rPr>
        <w:b/>
        <w:i/>
      </w:rPr>
      <w:t>No redactions required</w:t>
    </w:r>
  </w:p>
  <w:p w14:paraId="286CEF81" w14:textId="77777777" w:rsidR="00E949B9" w:rsidRDefault="00E949B9">
    <w:pPr>
      <w:pStyle w:val="Header"/>
    </w:pPr>
    <w:r w:rsidRPr="009C3941">
      <w:rPr>
        <w:noProof/>
      </w:rPr>
      <w:drawing>
        <wp:anchor distT="0" distB="0" distL="114300" distR="114300" simplePos="0" relativeHeight="251659264" behindDoc="0" locked="0" layoutInCell="1" allowOverlap="1" wp14:anchorId="3307EDC0" wp14:editId="5238B7C4">
          <wp:simplePos x="0" y="0"/>
          <wp:positionH relativeFrom="column">
            <wp:posOffset>2586250</wp:posOffset>
          </wp:positionH>
          <wp:positionV relativeFrom="paragraph">
            <wp:posOffset>-891</wp:posOffset>
          </wp:positionV>
          <wp:extent cx="390525" cy="600075"/>
          <wp:effectExtent l="0" t="0" r="9525" b="9525"/>
          <wp:wrapSquare wrapText="bothSides"/>
          <wp:docPr id="2" name="Picture 2"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82A4F"/>
    <w:multiLevelType w:val="hybridMultilevel"/>
    <w:tmpl w:val="77BE466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BF0D22"/>
    <w:multiLevelType w:val="hybridMultilevel"/>
    <w:tmpl w:val="1BB8BE4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A9E73AD"/>
    <w:multiLevelType w:val="hybridMultilevel"/>
    <w:tmpl w:val="01162440"/>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 w15:restartNumberingAfterBreak="0">
    <w:nsid w:val="3F0149FA"/>
    <w:multiLevelType w:val="hybridMultilevel"/>
    <w:tmpl w:val="78106EFC"/>
    <w:lvl w:ilvl="0" w:tplc="1809000F">
      <w:start w:val="1"/>
      <w:numFmt w:val="decimal"/>
      <w:lvlText w:val="%1."/>
      <w:lvlJc w:val="left"/>
      <w:pPr>
        <w:ind w:left="2138" w:hanging="360"/>
      </w:pPr>
    </w:lvl>
    <w:lvl w:ilvl="1" w:tplc="18090019" w:tentative="1">
      <w:start w:val="1"/>
      <w:numFmt w:val="lowerLetter"/>
      <w:lvlText w:val="%2."/>
      <w:lvlJc w:val="left"/>
      <w:pPr>
        <w:ind w:left="2858" w:hanging="360"/>
      </w:pPr>
    </w:lvl>
    <w:lvl w:ilvl="2" w:tplc="1809001B" w:tentative="1">
      <w:start w:val="1"/>
      <w:numFmt w:val="lowerRoman"/>
      <w:lvlText w:val="%3."/>
      <w:lvlJc w:val="right"/>
      <w:pPr>
        <w:ind w:left="3578" w:hanging="180"/>
      </w:pPr>
    </w:lvl>
    <w:lvl w:ilvl="3" w:tplc="1809000F" w:tentative="1">
      <w:start w:val="1"/>
      <w:numFmt w:val="decimal"/>
      <w:lvlText w:val="%4."/>
      <w:lvlJc w:val="left"/>
      <w:pPr>
        <w:ind w:left="4298" w:hanging="360"/>
      </w:pPr>
    </w:lvl>
    <w:lvl w:ilvl="4" w:tplc="18090019" w:tentative="1">
      <w:start w:val="1"/>
      <w:numFmt w:val="lowerLetter"/>
      <w:lvlText w:val="%5."/>
      <w:lvlJc w:val="left"/>
      <w:pPr>
        <w:ind w:left="5018" w:hanging="360"/>
      </w:pPr>
    </w:lvl>
    <w:lvl w:ilvl="5" w:tplc="1809001B" w:tentative="1">
      <w:start w:val="1"/>
      <w:numFmt w:val="lowerRoman"/>
      <w:lvlText w:val="%6."/>
      <w:lvlJc w:val="right"/>
      <w:pPr>
        <w:ind w:left="5738" w:hanging="180"/>
      </w:pPr>
    </w:lvl>
    <w:lvl w:ilvl="6" w:tplc="1809000F" w:tentative="1">
      <w:start w:val="1"/>
      <w:numFmt w:val="decimal"/>
      <w:lvlText w:val="%7."/>
      <w:lvlJc w:val="left"/>
      <w:pPr>
        <w:ind w:left="6458" w:hanging="360"/>
      </w:pPr>
    </w:lvl>
    <w:lvl w:ilvl="7" w:tplc="18090019" w:tentative="1">
      <w:start w:val="1"/>
      <w:numFmt w:val="lowerLetter"/>
      <w:lvlText w:val="%8."/>
      <w:lvlJc w:val="left"/>
      <w:pPr>
        <w:ind w:left="7178" w:hanging="360"/>
      </w:pPr>
    </w:lvl>
    <w:lvl w:ilvl="8" w:tplc="1809001B" w:tentative="1">
      <w:start w:val="1"/>
      <w:numFmt w:val="lowerRoman"/>
      <w:lvlText w:val="%9."/>
      <w:lvlJc w:val="right"/>
      <w:pPr>
        <w:ind w:left="7898" w:hanging="180"/>
      </w:pPr>
    </w:lvl>
  </w:abstractNum>
  <w:abstractNum w:abstractNumId="4" w15:restartNumberingAfterBreak="0">
    <w:nsid w:val="4D7678F8"/>
    <w:multiLevelType w:val="hybridMultilevel"/>
    <w:tmpl w:val="E7F8D4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07D06D6"/>
    <w:multiLevelType w:val="hybridMultilevel"/>
    <w:tmpl w:val="EBC4484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6F061446"/>
    <w:multiLevelType w:val="hybridMultilevel"/>
    <w:tmpl w:val="FFFAE554"/>
    <w:lvl w:ilvl="0" w:tplc="18090001">
      <w:start w:val="1"/>
      <w:numFmt w:val="bullet"/>
      <w:lvlText w:val=""/>
      <w:lvlJc w:val="left"/>
      <w:pPr>
        <w:ind w:left="2138" w:hanging="360"/>
      </w:pPr>
      <w:rPr>
        <w:rFonts w:ascii="Symbol" w:hAnsi="Symbol" w:hint="default"/>
      </w:rPr>
    </w:lvl>
    <w:lvl w:ilvl="1" w:tplc="18090003" w:tentative="1">
      <w:start w:val="1"/>
      <w:numFmt w:val="bullet"/>
      <w:lvlText w:val="o"/>
      <w:lvlJc w:val="left"/>
      <w:pPr>
        <w:ind w:left="2858" w:hanging="360"/>
      </w:pPr>
      <w:rPr>
        <w:rFonts w:ascii="Courier New" w:hAnsi="Courier New" w:cs="Courier New" w:hint="default"/>
      </w:rPr>
    </w:lvl>
    <w:lvl w:ilvl="2" w:tplc="18090005" w:tentative="1">
      <w:start w:val="1"/>
      <w:numFmt w:val="bullet"/>
      <w:lvlText w:val=""/>
      <w:lvlJc w:val="left"/>
      <w:pPr>
        <w:ind w:left="3578" w:hanging="360"/>
      </w:pPr>
      <w:rPr>
        <w:rFonts w:ascii="Wingdings" w:hAnsi="Wingdings" w:hint="default"/>
      </w:rPr>
    </w:lvl>
    <w:lvl w:ilvl="3" w:tplc="18090001" w:tentative="1">
      <w:start w:val="1"/>
      <w:numFmt w:val="bullet"/>
      <w:lvlText w:val=""/>
      <w:lvlJc w:val="left"/>
      <w:pPr>
        <w:ind w:left="4298" w:hanging="360"/>
      </w:pPr>
      <w:rPr>
        <w:rFonts w:ascii="Symbol" w:hAnsi="Symbol" w:hint="default"/>
      </w:rPr>
    </w:lvl>
    <w:lvl w:ilvl="4" w:tplc="18090003" w:tentative="1">
      <w:start w:val="1"/>
      <w:numFmt w:val="bullet"/>
      <w:lvlText w:val="o"/>
      <w:lvlJc w:val="left"/>
      <w:pPr>
        <w:ind w:left="5018" w:hanging="360"/>
      </w:pPr>
      <w:rPr>
        <w:rFonts w:ascii="Courier New" w:hAnsi="Courier New" w:cs="Courier New" w:hint="default"/>
      </w:rPr>
    </w:lvl>
    <w:lvl w:ilvl="5" w:tplc="18090005" w:tentative="1">
      <w:start w:val="1"/>
      <w:numFmt w:val="bullet"/>
      <w:lvlText w:val=""/>
      <w:lvlJc w:val="left"/>
      <w:pPr>
        <w:ind w:left="5738" w:hanging="360"/>
      </w:pPr>
      <w:rPr>
        <w:rFonts w:ascii="Wingdings" w:hAnsi="Wingdings" w:hint="default"/>
      </w:rPr>
    </w:lvl>
    <w:lvl w:ilvl="6" w:tplc="18090001" w:tentative="1">
      <w:start w:val="1"/>
      <w:numFmt w:val="bullet"/>
      <w:lvlText w:val=""/>
      <w:lvlJc w:val="left"/>
      <w:pPr>
        <w:ind w:left="6458" w:hanging="360"/>
      </w:pPr>
      <w:rPr>
        <w:rFonts w:ascii="Symbol" w:hAnsi="Symbol" w:hint="default"/>
      </w:rPr>
    </w:lvl>
    <w:lvl w:ilvl="7" w:tplc="18090003" w:tentative="1">
      <w:start w:val="1"/>
      <w:numFmt w:val="bullet"/>
      <w:lvlText w:val="o"/>
      <w:lvlJc w:val="left"/>
      <w:pPr>
        <w:ind w:left="7178" w:hanging="360"/>
      </w:pPr>
      <w:rPr>
        <w:rFonts w:ascii="Courier New" w:hAnsi="Courier New" w:cs="Courier New" w:hint="default"/>
      </w:rPr>
    </w:lvl>
    <w:lvl w:ilvl="8" w:tplc="18090005" w:tentative="1">
      <w:start w:val="1"/>
      <w:numFmt w:val="bullet"/>
      <w:lvlText w:val=""/>
      <w:lvlJc w:val="left"/>
      <w:pPr>
        <w:ind w:left="7898"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A12"/>
    <w:rsid w:val="00010AC6"/>
    <w:rsid w:val="00015FCB"/>
    <w:rsid w:val="0004481D"/>
    <w:rsid w:val="00051084"/>
    <w:rsid w:val="00063849"/>
    <w:rsid w:val="00064A86"/>
    <w:rsid w:val="00064CA0"/>
    <w:rsid w:val="000875C3"/>
    <w:rsid w:val="00093B14"/>
    <w:rsid w:val="00095D47"/>
    <w:rsid w:val="000B32BB"/>
    <w:rsid w:val="000B4151"/>
    <w:rsid w:val="000B475C"/>
    <w:rsid w:val="000C7466"/>
    <w:rsid w:val="000D0143"/>
    <w:rsid w:val="000D78C0"/>
    <w:rsid w:val="000F6351"/>
    <w:rsid w:val="00116D53"/>
    <w:rsid w:val="00120CCE"/>
    <w:rsid w:val="00124A5A"/>
    <w:rsid w:val="001308D0"/>
    <w:rsid w:val="0014625A"/>
    <w:rsid w:val="0015055F"/>
    <w:rsid w:val="0017030B"/>
    <w:rsid w:val="00195BE4"/>
    <w:rsid w:val="001A33EF"/>
    <w:rsid w:val="001B6A38"/>
    <w:rsid w:val="001C553F"/>
    <w:rsid w:val="001D1F36"/>
    <w:rsid w:val="001E05E1"/>
    <w:rsid w:val="001E200E"/>
    <w:rsid w:val="001F26AE"/>
    <w:rsid w:val="00207CB1"/>
    <w:rsid w:val="002140F5"/>
    <w:rsid w:val="00221048"/>
    <w:rsid w:val="00245676"/>
    <w:rsid w:val="0024641A"/>
    <w:rsid w:val="00271669"/>
    <w:rsid w:val="002915ED"/>
    <w:rsid w:val="002975DA"/>
    <w:rsid w:val="002A60F9"/>
    <w:rsid w:val="002D6490"/>
    <w:rsid w:val="002D7C44"/>
    <w:rsid w:val="0030050F"/>
    <w:rsid w:val="00307F72"/>
    <w:rsid w:val="00316B9D"/>
    <w:rsid w:val="00346A65"/>
    <w:rsid w:val="00346FCD"/>
    <w:rsid w:val="00356965"/>
    <w:rsid w:val="00357996"/>
    <w:rsid w:val="003604D7"/>
    <w:rsid w:val="003747BB"/>
    <w:rsid w:val="00392BA5"/>
    <w:rsid w:val="003C1D85"/>
    <w:rsid w:val="003C3FF8"/>
    <w:rsid w:val="004001A6"/>
    <w:rsid w:val="004009F4"/>
    <w:rsid w:val="00403A5C"/>
    <w:rsid w:val="0043452A"/>
    <w:rsid w:val="0043463B"/>
    <w:rsid w:val="00441182"/>
    <w:rsid w:val="00445FC9"/>
    <w:rsid w:val="004603CA"/>
    <w:rsid w:val="00464FFF"/>
    <w:rsid w:val="00472C82"/>
    <w:rsid w:val="0047415F"/>
    <w:rsid w:val="00482389"/>
    <w:rsid w:val="00483D9D"/>
    <w:rsid w:val="004921E8"/>
    <w:rsid w:val="004A1EE2"/>
    <w:rsid w:val="004A22C5"/>
    <w:rsid w:val="004A2F52"/>
    <w:rsid w:val="004A7AC4"/>
    <w:rsid w:val="004B633C"/>
    <w:rsid w:val="004F5E2C"/>
    <w:rsid w:val="00501D89"/>
    <w:rsid w:val="005034AD"/>
    <w:rsid w:val="00514634"/>
    <w:rsid w:val="0057305F"/>
    <w:rsid w:val="00591991"/>
    <w:rsid w:val="00595C9C"/>
    <w:rsid w:val="005A43A0"/>
    <w:rsid w:val="005B72DB"/>
    <w:rsid w:val="005C38C1"/>
    <w:rsid w:val="00625BDC"/>
    <w:rsid w:val="0064257B"/>
    <w:rsid w:val="00643232"/>
    <w:rsid w:val="00662666"/>
    <w:rsid w:val="00680932"/>
    <w:rsid w:val="006C65D2"/>
    <w:rsid w:val="006D2173"/>
    <w:rsid w:val="006F0AD3"/>
    <w:rsid w:val="00701A2B"/>
    <w:rsid w:val="00710707"/>
    <w:rsid w:val="00714B24"/>
    <w:rsid w:val="00720AD7"/>
    <w:rsid w:val="00721841"/>
    <w:rsid w:val="00731AB0"/>
    <w:rsid w:val="00764A12"/>
    <w:rsid w:val="007820A5"/>
    <w:rsid w:val="007846CC"/>
    <w:rsid w:val="007B3299"/>
    <w:rsid w:val="007B3DBB"/>
    <w:rsid w:val="007C0520"/>
    <w:rsid w:val="007C2941"/>
    <w:rsid w:val="007C4CDB"/>
    <w:rsid w:val="007D3AF8"/>
    <w:rsid w:val="007E1637"/>
    <w:rsid w:val="007E2BCA"/>
    <w:rsid w:val="007F1D44"/>
    <w:rsid w:val="007F297A"/>
    <w:rsid w:val="007F5772"/>
    <w:rsid w:val="0080072A"/>
    <w:rsid w:val="0081354F"/>
    <w:rsid w:val="00816A08"/>
    <w:rsid w:val="0082360C"/>
    <w:rsid w:val="00823DB6"/>
    <w:rsid w:val="00826964"/>
    <w:rsid w:val="00857419"/>
    <w:rsid w:val="0086476E"/>
    <w:rsid w:val="00867142"/>
    <w:rsid w:val="00890D12"/>
    <w:rsid w:val="008A49CD"/>
    <w:rsid w:val="008A4B9E"/>
    <w:rsid w:val="008A660C"/>
    <w:rsid w:val="008A7DD7"/>
    <w:rsid w:val="008E7749"/>
    <w:rsid w:val="008F55D7"/>
    <w:rsid w:val="008F7AED"/>
    <w:rsid w:val="009066C5"/>
    <w:rsid w:val="00907641"/>
    <w:rsid w:val="00930628"/>
    <w:rsid w:val="009329B4"/>
    <w:rsid w:val="009500E9"/>
    <w:rsid w:val="00950190"/>
    <w:rsid w:val="009548CD"/>
    <w:rsid w:val="00961247"/>
    <w:rsid w:val="00963469"/>
    <w:rsid w:val="00967A5B"/>
    <w:rsid w:val="00972790"/>
    <w:rsid w:val="00974891"/>
    <w:rsid w:val="00984FB9"/>
    <w:rsid w:val="009B126D"/>
    <w:rsid w:val="009E4887"/>
    <w:rsid w:val="009F301F"/>
    <w:rsid w:val="00A05199"/>
    <w:rsid w:val="00A264FD"/>
    <w:rsid w:val="00A4459C"/>
    <w:rsid w:val="00A53DC8"/>
    <w:rsid w:val="00A5405F"/>
    <w:rsid w:val="00A609FF"/>
    <w:rsid w:val="00A62ABB"/>
    <w:rsid w:val="00A75197"/>
    <w:rsid w:val="00A82224"/>
    <w:rsid w:val="00A86885"/>
    <w:rsid w:val="00A87587"/>
    <w:rsid w:val="00A95FAE"/>
    <w:rsid w:val="00A97F78"/>
    <w:rsid w:val="00AA0C65"/>
    <w:rsid w:val="00AA753D"/>
    <w:rsid w:val="00AB2B9D"/>
    <w:rsid w:val="00AE2EA6"/>
    <w:rsid w:val="00B15A2A"/>
    <w:rsid w:val="00B177DA"/>
    <w:rsid w:val="00B31762"/>
    <w:rsid w:val="00B401CE"/>
    <w:rsid w:val="00B45C54"/>
    <w:rsid w:val="00B555F9"/>
    <w:rsid w:val="00B56CD2"/>
    <w:rsid w:val="00B66122"/>
    <w:rsid w:val="00B72139"/>
    <w:rsid w:val="00B85707"/>
    <w:rsid w:val="00B87332"/>
    <w:rsid w:val="00B92287"/>
    <w:rsid w:val="00BA5077"/>
    <w:rsid w:val="00BD60FA"/>
    <w:rsid w:val="00BE0372"/>
    <w:rsid w:val="00BE2F25"/>
    <w:rsid w:val="00BE3676"/>
    <w:rsid w:val="00BF05C6"/>
    <w:rsid w:val="00BF15F6"/>
    <w:rsid w:val="00BF7F6E"/>
    <w:rsid w:val="00C04112"/>
    <w:rsid w:val="00C12AF1"/>
    <w:rsid w:val="00C35096"/>
    <w:rsid w:val="00CA3BF0"/>
    <w:rsid w:val="00CC4162"/>
    <w:rsid w:val="00CC5C23"/>
    <w:rsid w:val="00CC5DDB"/>
    <w:rsid w:val="00CC7AC4"/>
    <w:rsid w:val="00CD29C0"/>
    <w:rsid w:val="00CE5209"/>
    <w:rsid w:val="00CE6C9D"/>
    <w:rsid w:val="00D02139"/>
    <w:rsid w:val="00D24AB3"/>
    <w:rsid w:val="00D32C10"/>
    <w:rsid w:val="00D4496E"/>
    <w:rsid w:val="00D56AFD"/>
    <w:rsid w:val="00D5786C"/>
    <w:rsid w:val="00D60746"/>
    <w:rsid w:val="00D64C57"/>
    <w:rsid w:val="00D677B5"/>
    <w:rsid w:val="00D67DF3"/>
    <w:rsid w:val="00D72E11"/>
    <w:rsid w:val="00D7749F"/>
    <w:rsid w:val="00D92B77"/>
    <w:rsid w:val="00D94279"/>
    <w:rsid w:val="00DA363B"/>
    <w:rsid w:val="00DA48E8"/>
    <w:rsid w:val="00DD392D"/>
    <w:rsid w:val="00DD6ABF"/>
    <w:rsid w:val="00DE446B"/>
    <w:rsid w:val="00E00BBB"/>
    <w:rsid w:val="00E0370F"/>
    <w:rsid w:val="00E11743"/>
    <w:rsid w:val="00E22683"/>
    <w:rsid w:val="00E4644A"/>
    <w:rsid w:val="00E549CB"/>
    <w:rsid w:val="00E671AB"/>
    <w:rsid w:val="00E73F18"/>
    <w:rsid w:val="00E87103"/>
    <w:rsid w:val="00E9202F"/>
    <w:rsid w:val="00E949B9"/>
    <w:rsid w:val="00E96D51"/>
    <w:rsid w:val="00EB37F4"/>
    <w:rsid w:val="00EB395B"/>
    <w:rsid w:val="00ED11CF"/>
    <w:rsid w:val="00EE5C51"/>
    <w:rsid w:val="00EE67AF"/>
    <w:rsid w:val="00F25047"/>
    <w:rsid w:val="00F360BC"/>
    <w:rsid w:val="00F41955"/>
    <w:rsid w:val="00F429B5"/>
    <w:rsid w:val="00F429FD"/>
    <w:rsid w:val="00F45EE4"/>
    <w:rsid w:val="00F47F62"/>
    <w:rsid w:val="00F54883"/>
    <w:rsid w:val="00F64ECF"/>
    <w:rsid w:val="00F7521B"/>
    <w:rsid w:val="00F96C02"/>
    <w:rsid w:val="00FA1B0E"/>
    <w:rsid w:val="00FA1F69"/>
    <w:rsid w:val="00FA7137"/>
    <w:rsid w:val="00FB2D7D"/>
    <w:rsid w:val="00FE1032"/>
    <w:rsid w:val="00FE1BD0"/>
    <w:rsid w:val="00FE22CD"/>
    <w:rsid w:val="00FF73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8F763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965"/>
    <w:pPr>
      <w:widowControl w:val="0"/>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0370F"/>
    <w:pPr>
      <w:keepNext/>
      <w:keepLines/>
      <w:widowControl/>
      <w:spacing w:line="480" w:lineRule="auto"/>
      <w:jc w:val="center"/>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E11743"/>
    <w:pPr>
      <w:keepNext/>
      <w:keepLines/>
      <w:spacing w:before="40"/>
      <w:ind w:left="7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11743"/>
    <w:pPr>
      <w:keepNext/>
      <w:keepLines/>
      <w:ind w:left="72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autoRedefine/>
    <w:uiPriority w:val="99"/>
    <w:unhideWhenUsed/>
    <w:rsid w:val="00867142"/>
    <w:pPr>
      <w:widowControl/>
      <w:spacing w:line="480" w:lineRule="auto"/>
    </w:pPr>
    <w:rPr>
      <w:sz w:val="20"/>
      <w:szCs w:val="20"/>
    </w:rPr>
  </w:style>
  <w:style w:type="character" w:customStyle="1" w:styleId="FootnoteTextChar">
    <w:name w:val="Footnote Text Char"/>
    <w:basedOn w:val="DefaultParagraphFont"/>
    <w:link w:val="FootnoteText"/>
    <w:uiPriority w:val="99"/>
    <w:rsid w:val="00867142"/>
    <w:rPr>
      <w:rFonts w:ascii="Times New Roman" w:hAnsi="Times New Roman"/>
      <w:sz w:val="20"/>
      <w:szCs w:val="20"/>
    </w:rPr>
  </w:style>
  <w:style w:type="character" w:customStyle="1" w:styleId="Heading1Char">
    <w:name w:val="Heading 1 Char"/>
    <w:basedOn w:val="DefaultParagraphFont"/>
    <w:link w:val="Heading1"/>
    <w:uiPriority w:val="9"/>
    <w:rsid w:val="00E0370F"/>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E11743"/>
    <w:rPr>
      <w:rFonts w:ascii="Times New Roman" w:eastAsiaTheme="majorEastAsia" w:hAnsi="Times New Roman" w:cstheme="majorBidi"/>
      <w:i/>
      <w:color w:val="000000" w:themeColor="text1"/>
      <w:sz w:val="24"/>
      <w:szCs w:val="24"/>
    </w:rPr>
  </w:style>
  <w:style w:type="character" w:customStyle="1" w:styleId="Heading2Char">
    <w:name w:val="Heading 2 Char"/>
    <w:basedOn w:val="DefaultParagraphFont"/>
    <w:link w:val="Heading2"/>
    <w:uiPriority w:val="9"/>
    <w:rsid w:val="00E11743"/>
    <w:rPr>
      <w:rFonts w:ascii="Times New Roman" w:eastAsiaTheme="majorEastAsia" w:hAnsi="Times New Roman" w:cstheme="majorBidi"/>
      <w:b/>
      <w:color w:val="000000" w:themeColor="text1"/>
      <w:sz w:val="24"/>
      <w:szCs w:val="26"/>
    </w:rPr>
  </w:style>
  <w:style w:type="character" w:customStyle="1" w:styleId="text-highlight">
    <w:name w:val="text-highlight"/>
    <w:basedOn w:val="DefaultParagraphFont"/>
    <w:rsid w:val="00764A12"/>
  </w:style>
  <w:style w:type="paragraph" w:styleId="Header">
    <w:name w:val="header"/>
    <w:basedOn w:val="Normal"/>
    <w:link w:val="HeaderChar"/>
    <w:uiPriority w:val="99"/>
    <w:unhideWhenUsed/>
    <w:rsid w:val="009500E9"/>
    <w:pPr>
      <w:tabs>
        <w:tab w:val="center" w:pos="4513"/>
        <w:tab w:val="right" w:pos="9026"/>
      </w:tabs>
      <w:spacing w:line="240" w:lineRule="auto"/>
    </w:pPr>
  </w:style>
  <w:style w:type="character" w:customStyle="1" w:styleId="HeaderChar">
    <w:name w:val="Header Char"/>
    <w:basedOn w:val="DefaultParagraphFont"/>
    <w:link w:val="Header"/>
    <w:uiPriority w:val="99"/>
    <w:rsid w:val="009500E9"/>
    <w:rPr>
      <w:rFonts w:ascii="Times New Roman" w:hAnsi="Times New Roman"/>
      <w:sz w:val="24"/>
    </w:rPr>
  </w:style>
  <w:style w:type="paragraph" w:styleId="Footer">
    <w:name w:val="footer"/>
    <w:basedOn w:val="Normal"/>
    <w:link w:val="FooterChar"/>
    <w:uiPriority w:val="99"/>
    <w:unhideWhenUsed/>
    <w:rsid w:val="009500E9"/>
    <w:pPr>
      <w:tabs>
        <w:tab w:val="center" w:pos="4513"/>
        <w:tab w:val="right" w:pos="9026"/>
      </w:tabs>
      <w:spacing w:line="240" w:lineRule="auto"/>
    </w:pPr>
  </w:style>
  <w:style w:type="character" w:customStyle="1" w:styleId="FooterChar">
    <w:name w:val="Footer Char"/>
    <w:basedOn w:val="DefaultParagraphFont"/>
    <w:link w:val="Footer"/>
    <w:uiPriority w:val="99"/>
    <w:rsid w:val="009500E9"/>
    <w:rPr>
      <w:rFonts w:ascii="Times New Roman" w:hAnsi="Times New Roman"/>
      <w:sz w:val="24"/>
    </w:rPr>
  </w:style>
  <w:style w:type="paragraph" w:styleId="ListParagraph">
    <w:name w:val="List Paragraph"/>
    <w:basedOn w:val="Normal"/>
    <w:uiPriority w:val="34"/>
    <w:qFormat/>
    <w:rsid w:val="009500E9"/>
    <w:pPr>
      <w:ind w:left="720"/>
      <w:contextualSpacing/>
    </w:pPr>
  </w:style>
  <w:style w:type="character" w:styleId="FootnoteReference">
    <w:name w:val="footnote reference"/>
    <w:basedOn w:val="DefaultParagraphFont"/>
    <w:uiPriority w:val="99"/>
    <w:semiHidden/>
    <w:unhideWhenUsed/>
    <w:rsid w:val="002D6490"/>
    <w:rPr>
      <w:vertAlign w:val="superscript"/>
    </w:rPr>
  </w:style>
  <w:style w:type="paragraph" w:styleId="NormalWeb">
    <w:name w:val="Normal (Web)"/>
    <w:basedOn w:val="Normal"/>
    <w:uiPriority w:val="99"/>
    <w:semiHidden/>
    <w:unhideWhenUsed/>
    <w:rsid w:val="00B45C54"/>
    <w:pPr>
      <w:widowControl/>
      <w:spacing w:before="100" w:beforeAutospacing="1" w:after="100" w:afterAutospacing="1" w:line="240" w:lineRule="auto"/>
      <w:jc w:val="left"/>
    </w:pPr>
    <w:rPr>
      <w:rFonts w:eastAsia="Times New Roman" w:cs="Times New Roman"/>
      <w:szCs w:val="24"/>
      <w:lang w:eastAsia="en-IE"/>
    </w:rPr>
  </w:style>
  <w:style w:type="character" w:styleId="Emphasis">
    <w:name w:val="Emphasis"/>
    <w:basedOn w:val="DefaultParagraphFont"/>
    <w:uiPriority w:val="20"/>
    <w:qFormat/>
    <w:rsid w:val="00B45C54"/>
    <w:rPr>
      <w:i/>
      <w:iCs/>
    </w:rPr>
  </w:style>
  <w:style w:type="character" w:styleId="Hyperlink">
    <w:name w:val="Hyperlink"/>
    <w:basedOn w:val="DefaultParagraphFont"/>
    <w:uiPriority w:val="99"/>
    <w:semiHidden/>
    <w:unhideWhenUsed/>
    <w:rsid w:val="00B45C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193905">
      <w:bodyDiv w:val="1"/>
      <w:marLeft w:val="0"/>
      <w:marRight w:val="0"/>
      <w:marTop w:val="0"/>
      <w:marBottom w:val="0"/>
      <w:divBdr>
        <w:top w:val="none" w:sz="0" w:space="0" w:color="auto"/>
        <w:left w:val="none" w:sz="0" w:space="0" w:color="auto"/>
        <w:bottom w:val="none" w:sz="0" w:space="0" w:color="auto"/>
        <w:right w:val="none" w:sz="0" w:space="0" w:color="auto"/>
      </w:divBdr>
      <w:divsChild>
        <w:div w:id="675232723">
          <w:marLeft w:val="0"/>
          <w:marRight w:val="0"/>
          <w:marTop w:val="150"/>
          <w:marBottom w:val="150"/>
          <w:divBdr>
            <w:top w:val="none" w:sz="0" w:space="0" w:color="auto"/>
            <w:left w:val="none" w:sz="0" w:space="0" w:color="auto"/>
            <w:bottom w:val="none" w:sz="0" w:space="0" w:color="auto"/>
            <w:right w:val="none" w:sz="0" w:space="0" w:color="auto"/>
          </w:divBdr>
        </w:div>
        <w:div w:id="600067068">
          <w:marLeft w:val="0"/>
          <w:marRight w:val="0"/>
          <w:marTop w:val="150"/>
          <w:marBottom w:val="150"/>
          <w:divBdr>
            <w:top w:val="none" w:sz="0" w:space="0" w:color="auto"/>
            <w:left w:val="none" w:sz="0" w:space="0" w:color="auto"/>
            <w:bottom w:val="none" w:sz="0" w:space="0" w:color="auto"/>
            <w:right w:val="none" w:sz="0" w:space="0" w:color="auto"/>
          </w:divBdr>
        </w:div>
      </w:divsChild>
    </w:div>
    <w:div w:id="167503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xisnexis.com/uk/legal/search/enhRunRemoteLink.do?linkInfo=F%23GB%23ALLER%23sel1%251984%25vol%252%25year%251984%25page%25226%25sel2%252%25&amp;A=0.14583820360529443&amp;backKey=20_T312856176&amp;service=citation&amp;ersKey=23_T312856169&amp;langcountry=GB"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lexisnexis.com/uk/legal/search/enhRunRemoteLink.do?linkInfo=F%23GB%23ALLER%23sel1%251995%25vol%252%25year%251995%25page%25673%25sel2%252%25&amp;A=0.43548618076004086&amp;backKey=20_T312856176&amp;service=citation&amp;ersKey=23_T312856169&amp;langcountry=GB" TargetMode="External"/><Relationship Id="rId4" Type="http://schemas.openxmlformats.org/officeDocument/2006/relationships/settings" Target="settings.xml"/><Relationship Id="rId9" Type="http://schemas.openxmlformats.org/officeDocument/2006/relationships/hyperlink" Target="https://www.lexisnexis.com/uk/legal/search/enhRunRemoteLink.do?linkInfo=F%23GB%23QB%23sel1%251984%25year%251984%25page%25713%25&amp;A=0.14108707287893152&amp;backKey=20_T312856176&amp;service=citation&amp;ersKey=23_T312856169&amp;langcountry=GB"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38C39-F63A-4BE6-A0B9-DD38B80AD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10498</Words>
  <Characters>59840</Characters>
  <Application>Microsoft Office Word</Application>
  <DocSecurity>0</DocSecurity>
  <Lines>498</Lines>
  <Paragraphs>140</Paragraphs>
  <ScaleCrop>false</ScaleCrop>
  <Company/>
  <LinksUpToDate>false</LinksUpToDate>
  <CharactersWithSpaces>70198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2022-02-28T12:26:00Z</dcterms:created>
  <dcterms:modified xsi:type="dcterms:W3CDTF">2022-02-28T12:29:00Z</dcterms:modified>
</cp:coreProperties>
</file>