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91B4C" w14:textId="0CEE140A" w:rsidR="00D226B9" w:rsidRPr="00A20F72" w:rsidRDefault="0056302E" w:rsidP="00A20F72">
      <w:pPr>
        <w:spacing w:line="360" w:lineRule="auto"/>
        <w:jc w:val="center"/>
        <w:rPr>
          <w:rFonts w:ascii="Verdana" w:hAnsi="Verdana"/>
          <w:b/>
          <w:sz w:val="18"/>
          <w:szCs w:val="18"/>
        </w:rPr>
      </w:pPr>
      <w:r w:rsidRPr="00A20F72">
        <w:rPr>
          <w:rFonts w:ascii="Verdana" w:hAnsi="Verdana"/>
          <w:b/>
          <w:sz w:val="18"/>
          <w:szCs w:val="18"/>
        </w:rPr>
        <w:t>THE HIGH COURT</w:t>
      </w:r>
    </w:p>
    <w:p w14:paraId="458F783D" w14:textId="0CDC248E" w:rsidR="00D33C86" w:rsidRPr="00A20F72" w:rsidRDefault="0056302E" w:rsidP="00A20F72">
      <w:pPr>
        <w:spacing w:line="360" w:lineRule="auto"/>
        <w:jc w:val="center"/>
        <w:rPr>
          <w:rFonts w:ascii="Verdana" w:hAnsi="Verdana"/>
          <w:b/>
          <w:sz w:val="18"/>
          <w:szCs w:val="18"/>
        </w:rPr>
      </w:pPr>
      <w:bookmarkStart w:id="0" w:name="_Hlk25144983"/>
      <w:r w:rsidRPr="00A20F72">
        <w:rPr>
          <w:rFonts w:ascii="Verdana" w:hAnsi="Verdana"/>
          <w:b/>
          <w:sz w:val="18"/>
          <w:szCs w:val="18"/>
        </w:rPr>
        <w:t>JUDICIAL REVIEW</w:t>
      </w:r>
    </w:p>
    <w:p w14:paraId="19E551EA" w14:textId="77777777" w:rsidR="00BE756B" w:rsidRPr="00A20F72" w:rsidRDefault="00BE756B" w:rsidP="00A20F72">
      <w:pPr>
        <w:spacing w:line="360" w:lineRule="auto"/>
        <w:jc w:val="right"/>
        <w:rPr>
          <w:rFonts w:ascii="Verdana" w:hAnsi="Verdana"/>
          <w:b/>
          <w:sz w:val="18"/>
          <w:szCs w:val="18"/>
        </w:rPr>
      </w:pPr>
      <w:r w:rsidRPr="00A20F72">
        <w:rPr>
          <w:rFonts w:ascii="Verdana" w:hAnsi="Verdana"/>
          <w:b/>
          <w:sz w:val="18"/>
          <w:szCs w:val="18"/>
        </w:rPr>
        <w:t>[2021] IEHC 610</w:t>
      </w:r>
    </w:p>
    <w:p w14:paraId="39567440" w14:textId="6711332E" w:rsidR="00D33C86" w:rsidRPr="00A20F72" w:rsidRDefault="0056302E" w:rsidP="00A20F72">
      <w:pPr>
        <w:spacing w:line="360" w:lineRule="auto"/>
        <w:jc w:val="right"/>
        <w:rPr>
          <w:rFonts w:ascii="Verdana" w:hAnsi="Verdana"/>
          <w:b/>
          <w:sz w:val="18"/>
          <w:szCs w:val="18"/>
        </w:rPr>
      </w:pPr>
      <w:r w:rsidRPr="00A20F72">
        <w:rPr>
          <w:rFonts w:ascii="Verdana" w:hAnsi="Verdana"/>
          <w:b/>
          <w:sz w:val="18"/>
          <w:szCs w:val="18"/>
        </w:rPr>
        <w:t xml:space="preserve">[2020 No. 1030 JR]     </w:t>
      </w:r>
      <w:r w:rsidRPr="00A20F72">
        <w:rPr>
          <w:rFonts w:ascii="Verdana" w:hAnsi="Verdana"/>
          <w:sz w:val="18"/>
          <w:szCs w:val="18"/>
        </w:rPr>
        <w:t xml:space="preserve">                                                           </w:t>
      </w:r>
    </w:p>
    <w:p w14:paraId="2A29748C" w14:textId="339D66B2" w:rsidR="00D33C86" w:rsidRPr="00A20F72" w:rsidRDefault="0056302E" w:rsidP="00A20F72">
      <w:pPr>
        <w:spacing w:line="360" w:lineRule="auto"/>
        <w:jc w:val="center"/>
        <w:rPr>
          <w:rFonts w:ascii="Verdana" w:hAnsi="Verdana"/>
          <w:b/>
          <w:sz w:val="18"/>
          <w:szCs w:val="18"/>
        </w:rPr>
      </w:pPr>
      <w:r w:rsidRPr="00A20F72">
        <w:rPr>
          <w:rFonts w:ascii="Verdana" w:hAnsi="Verdana"/>
          <w:b/>
          <w:sz w:val="18"/>
          <w:szCs w:val="18"/>
        </w:rPr>
        <w:t xml:space="preserve">IN THE MATTER OF SECTION 50 OF THE </w:t>
      </w:r>
    </w:p>
    <w:p w14:paraId="15407323" w14:textId="10B7C626" w:rsidR="0056302E" w:rsidRPr="00A20F72" w:rsidRDefault="0056302E" w:rsidP="00A20F72">
      <w:pPr>
        <w:spacing w:line="360" w:lineRule="auto"/>
        <w:jc w:val="center"/>
        <w:rPr>
          <w:rFonts w:ascii="Verdana" w:hAnsi="Verdana"/>
          <w:b/>
          <w:sz w:val="18"/>
          <w:szCs w:val="18"/>
        </w:rPr>
      </w:pPr>
      <w:r w:rsidRPr="00A20F72">
        <w:rPr>
          <w:rFonts w:ascii="Verdana" w:hAnsi="Verdana"/>
          <w:b/>
          <w:sz w:val="18"/>
          <w:szCs w:val="18"/>
        </w:rPr>
        <w:t>PLANNING AND DEVELOPMENT ACT 2000, AS AMENDED</w:t>
      </w:r>
    </w:p>
    <w:p w14:paraId="044A2DFC" w14:textId="77777777" w:rsidR="003E1CC3" w:rsidRPr="00A20F72" w:rsidRDefault="003E1CC3" w:rsidP="00A20F72">
      <w:pPr>
        <w:spacing w:line="360" w:lineRule="auto"/>
        <w:rPr>
          <w:rFonts w:ascii="Verdana" w:hAnsi="Verdana"/>
          <w:b/>
          <w:sz w:val="18"/>
          <w:szCs w:val="18"/>
        </w:rPr>
      </w:pPr>
      <w:r w:rsidRPr="00A20F72">
        <w:rPr>
          <w:rFonts w:ascii="Verdana" w:hAnsi="Verdana"/>
          <w:b/>
          <w:sz w:val="18"/>
          <w:szCs w:val="18"/>
        </w:rPr>
        <w:t>BETWEEN</w:t>
      </w:r>
    </w:p>
    <w:p w14:paraId="2CD2D1E6" w14:textId="77777777" w:rsidR="003E1CC3" w:rsidRPr="00A20F72" w:rsidRDefault="003E1CC3" w:rsidP="00A20F72">
      <w:pPr>
        <w:spacing w:line="360" w:lineRule="auto"/>
        <w:jc w:val="center"/>
        <w:rPr>
          <w:rFonts w:ascii="Verdana" w:hAnsi="Verdana"/>
          <w:b/>
          <w:sz w:val="18"/>
          <w:szCs w:val="18"/>
        </w:rPr>
      </w:pPr>
      <w:r w:rsidRPr="00A20F72">
        <w:rPr>
          <w:rFonts w:ascii="Verdana" w:hAnsi="Verdana"/>
          <w:b/>
          <w:sz w:val="18"/>
          <w:szCs w:val="18"/>
        </w:rPr>
        <w:t>ECO ADVOCACY CLG</w:t>
      </w:r>
    </w:p>
    <w:p w14:paraId="2ECB249F" w14:textId="77777777" w:rsidR="003E1CC3" w:rsidRPr="00A20F72" w:rsidRDefault="003E1CC3" w:rsidP="00A20F72">
      <w:pPr>
        <w:spacing w:line="360" w:lineRule="auto"/>
        <w:jc w:val="right"/>
        <w:rPr>
          <w:rFonts w:ascii="Verdana" w:hAnsi="Verdana"/>
          <w:b/>
          <w:sz w:val="18"/>
          <w:szCs w:val="18"/>
        </w:rPr>
      </w:pPr>
      <w:r w:rsidRPr="00A20F72">
        <w:rPr>
          <w:rFonts w:ascii="Verdana" w:hAnsi="Verdana"/>
          <w:b/>
          <w:sz w:val="18"/>
          <w:szCs w:val="18"/>
        </w:rPr>
        <w:t>APPLICANT</w:t>
      </w:r>
    </w:p>
    <w:p w14:paraId="278A00AF" w14:textId="17AFFCC9" w:rsidR="00955BA1" w:rsidRPr="00A20F72" w:rsidRDefault="003E1CC3" w:rsidP="00A20F72">
      <w:pPr>
        <w:spacing w:line="360" w:lineRule="auto"/>
        <w:jc w:val="center"/>
        <w:rPr>
          <w:rFonts w:ascii="Verdana" w:hAnsi="Verdana"/>
          <w:b/>
          <w:sz w:val="18"/>
          <w:szCs w:val="18"/>
        </w:rPr>
      </w:pPr>
      <w:r w:rsidRPr="00A20F72">
        <w:rPr>
          <w:rFonts w:ascii="Verdana" w:hAnsi="Verdana"/>
          <w:b/>
          <w:sz w:val="18"/>
          <w:szCs w:val="18"/>
        </w:rPr>
        <w:t>AND</w:t>
      </w:r>
    </w:p>
    <w:p w14:paraId="7835D0C9" w14:textId="77777777" w:rsidR="003E1CC3" w:rsidRPr="00A20F72" w:rsidRDefault="003E1CC3" w:rsidP="00A20F72">
      <w:pPr>
        <w:spacing w:line="360" w:lineRule="auto"/>
        <w:jc w:val="center"/>
        <w:rPr>
          <w:rFonts w:ascii="Verdana" w:hAnsi="Verdana"/>
          <w:b/>
          <w:sz w:val="18"/>
          <w:szCs w:val="18"/>
        </w:rPr>
      </w:pPr>
      <w:r w:rsidRPr="00A20F72">
        <w:rPr>
          <w:rFonts w:ascii="Verdana" w:hAnsi="Verdana"/>
          <w:b/>
          <w:sz w:val="18"/>
          <w:szCs w:val="18"/>
        </w:rPr>
        <w:t xml:space="preserve">AN BORD PLEANÁLA </w:t>
      </w:r>
    </w:p>
    <w:p w14:paraId="439795D2" w14:textId="77777777" w:rsidR="003E1CC3" w:rsidRPr="00A20F72" w:rsidRDefault="003E1CC3" w:rsidP="00A20F72">
      <w:pPr>
        <w:spacing w:line="360" w:lineRule="auto"/>
        <w:jc w:val="right"/>
        <w:rPr>
          <w:rFonts w:ascii="Verdana" w:hAnsi="Verdana"/>
          <w:b/>
          <w:sz w:val="18"/>
          <w:szCs w:val="18"/>
        </w:rPr>
      </w:pPr>
      <w:r w:rsidRPr="00A20F72">
        <w:rPr>
          <w:rFonts w:ascii="Verdana" w:hAnsi="Verdana"/>
          <w:b/>
          <w:sz w:val="18"/>
          <w:szCs w:val="18"/>
        </w:rPr>
        <w:t>RESPONDENT</w:t>
      </w:r>
    </w:p>
    <w:p w14:paraId="2E0E0E23" w14:textId="6C41142D" w:rsidR="00955BA1" w:rsidRPr="00A20F72" w:rsidRDefault="003E1CC3" w:rsidP="00A20F72">
      <w:pPr>
        <w:spacing w:line="360" w:lineRule="auto"/>
        <w:jc w:val="center"/>
        <w:rPr>
          <w:rFonts w:ascii="Verdana" w:hAnsi="Verdana"/>
          <w:b/>
          <w:sz w:val="18"/>
          <w:szCs w:val="18"/>
        </w:rPr>
      </w:pPr>
      <w:r w:rsidRPr="00A20F72">
        <w:rPr>
          <w:rFonts w:ascii="Verdana" w:hAnsi="Verdana"/>
          <w:b/>
          <w:sz w:val="18"/>
          <w:szCs w:val="18"/>
        </w:rPr>
        <w:t>AND</w:t>
      </w:r>
    </w:p>
    <w:p w14:paraId="3592FCB2" w14:textId="77777777" w:rsidR="003E1CC3" w:rsidRPr="00A20F72" w:rsidRDefault="003E1CC3" w:rsidP="00A20F72">
      <w:pPr>
        <w:spacing w:line="360" w:lineRule="auto"/>
        <w:jc w:val="center"/>
        <w:rPr>
          <w:rFonts w:ascii="Verdana" w:hAnsi="Verdana"/>
          <w:b/>
          <w:sz w:val="18"/>
          <w:szCs w:val="18"/>
        </w:rPr>
      </w:pPr>
      <w:r w:rsidRPr="00A20F72">
        <w:rPr>
          <w:rFonts w:ascii="Verdana" w:hAnsi="Verdana"/>
          <w:b/>
          <w:sz w:val="18"/>
          <w:szCs w:val="18"/>
        </w:rPr>
        <w:t>KEEGAN LAND HOLDINGS LIMITED</w:t>
      </w:r>
    </w:p>
    <w:p w14:paraId="2D5AD55B" w14:textId="30656EE3" w:rsidR="003E1CC3" w:rsidRPr="00A20F72" w:rsidRDefault="003E1CC3" w:rsidP="00A20F72">
      <w:pPr>
        <w:spacing w:line="360" w:lineRule="auto"/>
        <w:jc w:val="right"/>
        <w:rPr>
          <w:rFonts w:ascii="Verdana" w:hAnsi="Verdana"/>
          <w:b/>
          <w:sz w:val="18"/>
          <w:szCs w:val="18"/>
        </w:rPr>
      </w:pPr>
      <w:r w:rsidRPr="00A20F72">
        <w:rPr>
          <w:rFonts w:ascii="Verdana" w:hAnsi="Verdana"/>
          <w:b/>
          <w:sz w:val="18"/>
          <w:szCs w:val="18"/>
        </w:rPr>
        <w:t>NOTICE PARTY</w:t>
      </w:r>
    </w:p>
    <w:p w14:paraId="3E5BDA13" w14:textId="79FB10B8" w:rsidR="008A634D" w:rsidRPr="00A20F72" w:rsidRDefault="008A634D" w:rsidP="00A20F72">
      <w:pPr>
        <w:spacing w:line="360" w:lineRule="auto"/>
        <w:jc w:val="center"/>
        <w:rPr>
          <w:rFonts w:ascii="Verdana" w:hAnsi="Verdana"/>
          <w:b/>
          <w:sz w:val="18"/>
          <w:szCs w:val="18"/>
        </w:rPr>
      </w:pPr>
      <w:r w:rsidRPr="00A20F72">
        <w:rPr>
          <w:rFonts w:ascii="Verdana" w:hAnsi="Verdana"/>
          <w:b/>
          <w:sz w:val="18"/>
          <w:szCs w:val="18"/>
        </w:rPr>
        <w:t>AND BY ORDER</w:t>
      </w:r>
    </w:p>
    <w:p w14:paraId="5E9947AD" w14:textId="77777777" w:rsidR="00A829B3" w:rsidRPr="00A20F72" w:rsidRDefault="008A634D" w:rsidP="00A20F72">
      <w:pPr>
        <w:spacing w:line="360" w:lineRule="auto"/>
        <w:jc w:val="center"/>
        <w:rPr>
          <w:rFonts w:ascii="Verdana" w:hAnsi="Verdana"/>
          <w:b/>
          <w:sz w:val="18"/>
          <w:szCs w:val="18"/>
        </w:rPr>
      </w:pPr>
      <w:r w:rsidRPr="00A20F72">
        <w:rPr>
          <w:rFonts w:ascii="Verdana" w:hAnsi="Verdana"/>
          <w:b/>
          <w:sz w:val="18"/>
          <w:szCs w:val="18"/>
        </w:rPr>
        <w:t>AN TAISCE – THE NATIONAL TRUST FOR IRELAND</w:t>
      </w:r>
    </w:p>
    <w:p w14:paraId="06B1A71C" w14:textId="77777777" w:rsidR="00947C7A" w:rsidRPr="00A20F72" w:rsidRDefault="008A634D" w:rsidP="00A20F72">
      <w:pPr>
        <w:spacing w:line="360" w:lineRule="auto"/>
        <w:jc w:val="center"/>
        <w:rPr>
          <w:rFonts w:ascii="Verdana" w:hAnsi="Verdana"/>
          <w:b/>
          <w:sz w:val="18"/>
          <w:szCs w:val="18"/>
        </w:rPr>
      </w:pPr>
      <w:r w:rsidRPr="00A20F72">
        <w:rPr>
          <w:rFonts w:ascii="Verdana" w:hAnsi="Verdana"/>
          <w:b/>
          <w:sz w:val="18"/>
          <w:szCs w:val="18"/>
        </w:rPr>
        <w:t xml:space="preserve">AND </w:t>
      </w:r>
    </w:p>
    <w:p w14:paraId="10230E62" w14:textId="2D99F751" w:rsidR="008A634D" w:rsidRPr="00A20F72" w:rsidRDefault="008A634D" w:rsidP="00A20F72">
      <w:pPr>
        <w:spacing w:line="360" w:lineRule="auto"/>
        <w:jc w:val="center"/>
        <w:rPr>
          <w:rFonts w:ascii="Verdana" w:hAnsi="Verdana"/>
          <w:b/>
          <w:sz w:val="18"/>
          <w:szCs w:val="18"/>
        </w:rPr>
      </w:pPr>
      <w:r w:rsidRPr="00A20F72">
        <w:rPr>
          <w:rFonts w:ascii="Verdana" w:hAnsi="Verdana"/>
          <w:b/>
          <w:sz w:val="18"/>
          <w:szCs w:val="18"/>
        </w:rPr>
        <w:t>CLIENTEARTH</w:t>
      </w:r>
      <w:r w:rsidR="00955BA1" w:rsidRPr="00A20F72">
        <w:rPr>
          <w:rFonts w:ascii="Verdana" w:hAnsi="Verdana"/>
          <w:b/>
          <w:sz w:val="18"/>
          <w:szCs w:val="18"/>
        </w:rPr>
        <w:t xml:space="preserve"> </w:t>
      </w:r>
      <w:r w:rsidR="00A829B3" w:rsidRPr="00A20F72">
        <w:rPr>
          <w:rFonts w:ascii="Verdana" w:hAnsi="Verdana"/>
          <w:b/>
          <w:sz w:val="18"/>
          <w:szCs w:val="18"/>
        </w:rPr>
        <w:t>AISBL</w:t>
      </w:r>
    </w:p>
    <w:p w14:paraId="6A0EE902" w14:textId="2FBD66F2" w:rsidR="008A634D" w:rsidRPr="00A20F72" w:rsidRDefault="008A634D" w:rsidP="00A20F72">
      <w:pPr>
        <w:spacing w:line="360" w:lineRule="auto"/>
        <w:jc w:val="right"/>
        <w:rPr>
          <w:rFonts w:ascii="Verdana" w:hAnsi="Verdana"/>
          <w:b/>
          <w:sz w:val="18"/>
          <w:szCs w:val="18"/>
        </w:rPr>
      </w:pPr>
      <w:r w:rsidRPr="00A20F72">
        <w:rPr>
          <w:rFonts w:ascii="Verdana" w:hAnsi="Verdana"/>
          <w:b/>
          <w:sz w:val="18"/>
          <w:szCs w:val="18"/>
        </w:rPr>
        <w:t>AMICI CURIAE</w:t>
      </w:r>
    </w:p>
    <w:p w14:paraId="78A42D1E" w14:textId="07ED400F" w:rsidR="0056302E" w:rsidRPr="00A20F72" w:rsidRDefault="0056302E" w:rsidP="00A20F72">
      <w:pPr>
        <w:spacing w:line="360" w:lineRule="auto"/>
        <w:jc w:val="center"/>
        <w:rPr>
          <w:rFonts w:ascii="Verdana" w:hAnsi="Verdana"/>
          <w:b/>
          <w:sz w:val="18"/>
          <w:szCs w:val="18"/>
        </w:rPr>
      </w:pPr>
      <w:r w:rsidRPr="00A20F72">
        <w:rPr>
          <w:rFonts w:ascii="Verdana" w:hAnsi="Verdana"/>
          <w:b/>
          <w:sz w:val="18"/>
          <w:szCs w:val="18"/>
        </w:rPr>
        <w:t>(N</w:t>
      </w:r>
      <w:r w:rsidR="008A634D" w:rsidRPr="00A20F72">
        <w:rPr>
          <w:rFonts w:ascii="Verdana" w:hAnsi="Verdana"/>
          <w:b/>
          <w:sz w:val="18"/>
          <w:szCs w:val="18"/>
        </w:rPr>
        <w:t>o</w:t>
      </w:r>
      <w:r w:rsidRPr="00A20F72">
        <w:rPr>
          <w:rFonts w:ascii="Verdana" w:hAnsi="Verdana"/>
          <w:b/>
          <w:sz w:val="18"/>
          <w:szCs w:val="18"/>
        </w:rPr>
        <w:t>. 2)</w:t>
      </w:r>
    </w:p>
    <w:bookmarkEnd w:id="0"/>
    <w:p w14:paraId="2DA78ACB" w14:textId="29BE7D91" w:rsidR="00D226B9" w:rsidRPr="00A20F72" w:rsidRDefault="00D226B9" w:rsidP="00A20F72">
      <w:pPr>
        <w:spacing w:line="360" w:lineRule="auto"/>
        <w:rPr>
          <w:rFonts w:ascii="Verdana" w:hAnsi="Verdana"/>
          <w:sz w:val="18"/>
          <w:szCs w:val="18"/>
        </w:rPr>
      </w:pPr>
      <w:r w:rsidRPr="00A20F72">
        <w:rPr>
          <w:rFonts w:ascii="Verdana" w:hAnsi="Verdana"/>
          <w:b/>
          <w:sz w:val="18"/>
          <w:szCs w:val="18"/>
          <w:u w:val="single"/>
        </w:rPr>
        <w:t xml:space="preserve">JUDGMENT of Humphreys </w:t>
      </w:r>
      <w:r w:rsidR="008F7F3C" w:rsidRPr="00A20F72">
        <w:rPr>
          <w:rFonts w:ascii="Verdana" w:hAnsi="Verdana"/>
          <w:b/>
          <w:sz w:val="18"/>
          <w:szCs w:val="18"/>
          <w:u w:val="single"/>
        </w:rPr>
        <w:t xml:space="preserve">J. </w:t>
      </w:r>
      <w:r w:rsidRPr="00A20F72">
        <w:rPr>
          <w:rFonts w:ascii="Verdana" w:hAnsi="Verdana"/>
          <w:b/>
          <w:sz w:val="18"/>
          <w:szCs w:val="18"/>
          <w:u w:val="single"/>
        </w:rPr>
        <w:t xml:space="preserve">delivered on </w:t>
      </w:r>
      <w:r w:rsidR="00E46F57" w:rsidRPr="00E46F57">
        <w:rPr>
          <w:rFonts w:ascii="Verdana" w:hAnsi="Verdana"/>
          <w:b/>
          <w:sz w:val="18"/>
          <w:szCs w:val="18"/>
          <w:u w:val="single"/>
        </w:rPr>
        <w:t>Monday</w:t>
      </w:r>
      <w:r w:rsidR="00DC6C46" w:rsidRPr="00E46F57">
        <w:rPr>
          <w:rFonts w:ascii="Verdana" w:hAnsi="Verdana"/>
          <w:b/>
          <w:sz w:val="18"/>
          <w:szCs w:val="18"/>
          <w:u w:val="single"/>
        </w:rPr>
        <w:t xml:space="preserve"> </w:t>
      </w:r>
      <w:r w:rsidRPr="00E46F57">
        <w:rPr>
          <w:rFonts w:ascii="Verdana" w:hAnsi="Verdana"/>
          <w:b/>
          <w:sz w:val="18"/>
          <w:szCs w:val="18"/>
          <w:u w:val="single"/>
        </w:rPr>
        <w:t xml:space="preserve">the </w:t>
      </w:r>
      <w:r w:rsidR="00E46F57" w:rsidRPr="00E46F57">
        <w:rPr>
          <w:rFonts w:ascii="Verdana" w:hAnsi="Verdana"/>
          <w:b/>
          <w:sz w:val="18"/>
          <w:szCs w:val="18"/>
          <w:u w:val="single"/>
        </w:rPr>
        <w:t>4th</w:t>
      </w:r>
      <w:r w:rsidR="00DC6C46" w:rsidRPr="00E46F57">
        <w:rPr>
          <w:rFonts w:ascii="Verdana" w:hAnsi="Verdana"/>
          <w:b/>
          <w:sz w:val="18"/>
          <w:szCs w:val="18"/>
          <w:u w:val="single"/>
        </w:rPr>
        <w:t xml:space="preserve"> </w:t>
      </w:r>
      <w:r w:rsidRPr="00E46F57">
        <w:rPr>
          <w:rFonts w:ascii="Verdana" w:hAnsi="Verdana"/>
          <w:b/>
          <w:sz w:val="18"/>
          <w:szCs w:val="18"/>
          <w:u w:val="single"/>
        </w:rPr>
        <w:t xml:space="preserve">day of </w:t>
      </w:r>
      <w:r w:rsidR="00E46F57">
        <w:rPr>
          <w:rFonts w:ascii="Verdana" w:hAnsi="Verdana"/>
          <w:b/>
          <w:sz w:val="18"/>
          <w:szCs w:val="18"/>
          <w:u w:val="single"/>
        </w:rPr>
        <w:t>October</w:t>
      </w:r>
      <w:r w:rsidR="00DC6C46" w:rsidRPr="00A20F72">
        <w:rPr>
          <w:rFonts w:ascii="Verdana" w:hAnsi="Verdana"/>
          <w:b/>
          <w:sz w:val="18"/>
          <w:szCs w:val="18"/>
          <w:u w:val="single"/>
        </w:rPr>
        <w:t>,</w:t>
      </w:r>
      <w:r w:rsidRPr="00A20F72">
        <w:rPr>
          <w:rFonts w:ascii="Verdana" w:hAnsi="Verdana"/>
          <w:b/>
          <w:sz w:val="18"/>
          <w:szCs w:val="18"/>
          <w:u w:val="single"/>
        </w:rPr>
        <w:t xml:space="preserve"> 202</w:t>
      </w:r>
      <w:r w:rsidR="009C708D" w:rsidRPr="00A20F72">
        <w:rPr>
          <w:rFonts w:ascii="Verdana" w:hAnsi="Verdana"/>
          <w:b/>
          <w:sz w:val="18"/>
          <w:szCs w:val="18"/>
          <w:u w:val="single"/>
        </w:rPr>
        <w:t>1</w:t>
      </w:r>
    </w:p>
    <w:p w14:paraId="52BD96F2" w14:textId="65DF5EF1" w:rsidR="003D489D" w:rsidRPr="00A20F72" w:rsidRDefault="003D489D" w:rsidP="00A20F72">
      <w:pPr>
        <w:spacing w:line="360" w:lineRule="auto"/>
        <w:rPr>
          <w:rFonts w:ascii="Verdana" w:hAnsi="Verdana"/>
          <w:b/>
          <w:sz w:val="18"/>
          <w:szCs w:val="18"/>
          <w:u w:val="single"/>
        </w:rPr>
      </w:pPr>
      <w:r w:rsidRPr="00A20F72">
        <w:rPr>
          <w:rFonts w:ascii="Verdana" w:hAnsi="Verdana"/>
          <w:b/>
          <w:sz w:val="18"/>
          <w:szCs w:val="18"/>
          <w:u w:val="single"/>
        </w:rPr>
        <w:t>Subject matter of the dispute</w:t>
      </w:r>
    </w:p>
    <w:p w14:paraId="3E6063E7" w14:textId="21829C28" w:rsidR="00D33C86" w:rsidRPr="00A20F72"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action is a challenge by way of judicial review </w:t>
      </w:r>
      <w:r w:rsidR="008A634D" w:rsidRPr="00A20F72">
        <w:rPr>
          <w:rFonts w:ascii="Verdana" w:hAnsi="Verdana"/>
          <w:sz w:val="18"/>
          <w:szCs w:val="18"/>
        </w:rPr>
        <w:t>of</w:t>
      </w:r>
      <w:r w:rsidRPr="00A20F72">
        <w:rPr>
          <w:rFonts w:ascii="Verdana" w:hAnsi="Verdana"/>
          <w:sz w:val="18"/>
          <w:szCs w:val="18"/>
        </w:rPr>
        <w:t xml:space="preserve"> the validity of a permission, granted by the respondent An Board Plean</w:t>
      </w:r>
      <w:r w:rsidR="009C708D" w:rsidRPr="00A20F72">
        <w:rPr>
          <w:rFonts w:ascii="Verdana" w:hAnsi="Verdana"/>
          <w:sz w:val="18"/>
          <w:szCs w:val="18"/>
        </w:rPr>
        <w:t>á</w:t>
      </w:r>
      <w:r w:rsidRPr="00A20F72">
        <w:rPr>
          <w:rFonts w:ascii="Verdana" w:hAnsi="Verdana"/>
          <w:sz w:val="18"/>
          <w:szCs w:val="18"/>
        </w:rPr>
        <w:t>la (“the board”) to the notice party</w:t>
      </w:r>
      <w:r w:rsidR="008A634D" w:rsidRPr="00A20F72">
        <w:rPr>
          <w:rFonts w:ascii="Verdana" w:hAnsi="Verdana"/>
          <w:sz w:val="18"/>
          <w:szCs w:val="18"/>
        </w:rPr>
        <w:t xml:space="preserve"> developer</w:t>
      </w:r>
      <w:r w:rsidRPr="00A20F72">
        <w:rPr>
          <w:rFonts w:ascii="Verdana" w:hAnsi="Verdana"/>
          <w:sz w:val="18"/>
          <w:szCs w:val="18"/>
        </w:rPr>
        <w:t xml:space="preserve">, for a </w:t>
      </w:r>
      <w:r w:rsidR="008A634D" w:rsidRPr="00A20F72">
        <w:rPr>
          <w:rFonts w:ascii="Verdana" w:hAnsi="Verdana"/>
          <w:sz w:val="18"/>
          <w:szCs w:val="18"/>
        </w:rPr>
        <w:t xml:space="preserve">housing </w:t>
      </w:r>
      <w:r w:rsidRPr="00A20F72">
        <w:rPr>
          <w:rFonts w:ascii="Verdana" w:hAnsi="Verdana"/>
          <w:sz w:val="18"/>
          <w:szCs w:val="18"/>
        </w:rPr>
        <w:t xml:space="preserve">development in Trim, </w:t>
      </w:r>
      <w:r w:rsidR="008A634D" w:rsidRPr="00A20F72">
        <w:rPr>
          <w:rFonts w:ascii="Verdana" w:hAnsi="Verdana"/>
          <w:sz w:val="18"/>
          <w:szCs w:val="18"/>
        </w:rPr>
        <w:t>Co. Meath</w:t>
      </w:r>
      <w:r w:rsidRPr="00A20F72">
        <w:rPr>
          <w:rFonts w:ascii="Verdana" w:hAnsi="Verdana"/>
          <w:sz w:val="18"/>
          <w:szCs w:val="18"/>
        </w:rPr>
        <w:t>.  The proposal is for the construction of 320 dwellings at Charterschool Land, Manorlands, in the vicinity of the River Boyne and River Blackwater Special Area of Conservation (SAC) and Special Protection Area (SPA).</w:t>
      </w:r>
    </w:p>
    <w:p w14:paraId="20499CE1" w14:textId="77777777" w:rsidR="003D489D" w:rsidRPr="00A20F72" w:rsidRDefault="003D489D" w:rsidP="00A20F72">
      <w:pPr>
        <w:spacing w:line="360" w:lineRule="auto"/>
        <w:rPr>
          <w:rFonts w:ascii="Verdana" w:hAnsi="Verdana"/>
          <w:b/>
          <w:sz w:val="18"/>
          <w:szCs w:val="18"/>
          <w:u w:val="single"/>
        </w:rPr>
      </w:pPr>
      <w:r w:rsidRPr="00A20F72">
        <w:rPr>
          <w:rFonts w:ascii="Verdana" w:hAnsi="Verdana"/>
          <w:b/>
          <w:sz w:val="18"/>
          <w:szCs w:val="18"/>
          <w:u w:val="single"/>
        </w:rPr>
        <w:t>Facts</w:t>
      </w:r>
    </w:p>
    <w:p w14:paraId="2D1323DF" w14:textId="12E10E90" w:rsidR="00D33C86"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There were a number of previous refusals of development on the site.  In 2008 a development was refused due to the lack of a sustainable drainage (SUDS) system.</w:t>
      </w:r>
    </w:p>
    <w:p w14:paraId="5EF861E8" w14:textId="77777777" w:rsidR="00A20F72" w:rsidRPr="00A20F72" w:rsidRDefault="00A20F72" w:rsidP="00A20F72">
      <w:pPr>
        <w:pStyle w:val="ListParagraph"/>
        <w:spacing w:line="360" w:lineRule="auto"/>
        <w:ind w:left="567"/>
        <w:rPr>
          <w:rFonts w:ascii="Verdana" w:hAnsi="Verdana"/>
          <w:sz w:val="18"/>
          <w:szCs w:val="18"/>
        </w:rPr>
      </w:pPr>
    </w:p>
    <w:p w14:paraId="6CEC4A50" w14:textId="79D0F8F0" w:rsidR="00D33C86"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In 2009 a development was rejected due to poor quality design having regard to the site being a prominent area in the historic town of Trim, a heritage town close to a zone of archaeological potential and an architectural conservation area.</w:t>
      </w:r>
    </w:p>
    <w:p w14:paraId="35301BB3" w14:textId="77777777" w:rsidR="00A20F72" w:rsidRPr="00A20F72" w:rsidRDefault="00A20F72" w:rsidP="00A20F72">
      <w:pPr>
        <w:pStyle w:val="ListParagraph"/>
        <w:rPr>
          <w:rFonts w:ascii="Verdana" w:hAnsi="Verdana"/>
          <w:sz w:val="18"/>
          <w:szCs w:val="18"/>
        </w:rPr>
      </w:pPr>
    </w:p>
    <w:p w14:paraId="0F53637C" w14:textId="127AFE76" w:rsidR="00D33C86"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A further proposed development was rejected in 2011 due to design issues and the conclusion that it would represent a low standard of residential development.</w:t>
      </w:r>
    </w:p>
    <w:p w14:paraId="1380A007" w14:textId="77777777" w:rsidR="00A20F72" w:rsidRPr="00A20F72" w:rsidRDefault="00A20F72" w:rsidP="00A20F72">
      <w:pPr>
        <w:spacing w:line="360" w:lineRule="auto"/>
        <w:rPr>
          <w:rFonts w:ascii="Verdana" w:hAnsi="Verdana"/>
          <w:sz w:val="18"/>
          <w:szCs w:val="18"/>
        </w:rPr>
      </w:pPr>
    </w:p>
    <w:p w14:paraId="1BA4B715" w14:textId="692DE899" w:rsidR="00D33C86"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The lands were originally zoned for commercial or industrial use in the Trim Town Development Area Plan 2014 to 2020, but since changed to residential use.</w:t>
      </w:r>
    </w:p>
    <w:p w14:paraId="21411EB5" w14:textId="77777777" w:rsidR="00A20F72" w:rsidRPr="00A20F72" w:rsidRDefault="00A20F72" w:rsidP="00A20F72">
      <w:pPr>
        <w:spacing w:line="360" w:lineRule="auto"/>
        <w:rPr>
          <w:rFonts w:ascii="Verdana" w:hAnsi="Verdana"/>
          <w:sz w:val="18"/>
          <w:szCs w:val="18"/>
        </w:rPr>
      </w:pPr>
    </w:p>
    <w:p w14:paraId="62030E5E" w14:textId="53B15FEC" w:rsidR="00D33C86"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lastRenderedPageBreak/>
        <w:t xml:space="preserve">A pre-planning meeting took place between the notice party and </w:t>
      </w:r>
      <w:r w:rsidR="00160CD6">
        <w:rPr>
          <w:rFonts w:ascii="Verdana" w:hAnsi="Verdana"/>
          <w:sz w:val="18"/>
          <w:szCs w:val="18"/>
        </w:rPr>
        <w:t xml:space="preserve">the local authority, </w:t>
      </w:r>
      <w:r w:rsidRPr="00A20F72">
        <w:rPr>
          <w:rFonts w:ascii="Verdana" w:hAnsi="Verdana"/>
          <w:sz w:val="18"/>
          <w:szCs w:val="18"/>
        </w:rPr>
        <w:t xml:space="preserve">Meath County Council </w:t>
      </w:r>
      <w:r w:rsidR="008A634D" w:rsidRPr="00A20F72">
        <w:rPr>
          <w:rFonts w:ascii="Verdana" w:hAnsi="Verdana"/>
          <w:sz w:val="18"/>
          <w:szCs w:val="18"/>
        </w:rPr>
        <w:t>(“the council”)</w:t>
      </w:r>
      <w:r w:rsidR="00160CD6">
        <w:rPr>
          <w:rFonts w:ascii="Verdana" w:hAnsi="Verdana"/>
          <w:sz w:val="18"/>
          <w:szCs w:val="18"/>
        </w:rPr>
        <w:t>,</w:t>
      </w:r>
      <w:r w:rsidR="008A634D" w:rsidRPr="00A20F72">
        <w:rPr>
          <w:rFonts w:ascii="Verdana" w:hAnsi="Verdana"/>
          <w:sz w:val="18"/>
          <w:szCs w:val="18"/>
        </w:rPr>
        <w:t xml:space="preserve"> </w:t>
      </w:r>
      <w:r w:rsidRPr="00A20F72">
        <w:rPr>
          <w:rFonts w:ascii="Verdana" w:hAnsi="Verdana"/>
          <w:sz w:val="18"/>
          <w:szCs w:val="18"/>
        </w:rPr>
        <w:t>on 3</w:t>
      </w:r>
      <w:r w:rsidRPr="00A20F72">
        <w:rPr>
          <w:rFonts w:ascii="Verdana" w:hAnsi="Verdana"/>
          <w:sz w:val="18"/>
          <w:szCs w:val="18"/>
          <w:vertAlign w:val="superscript"/>
        </w:rPr>
        <w:t>rd</w:t>
      </w:r>
      <w:r w:rsidRPr="00A20F72">
        <w:rPr>
          <w:rFonts w:ascii="Verdana" w:hAnsi="Verdana"/>
          <w:sz w:val="18"/>
          <w:szCs w:val="18"/>
        </w:rPr>
        <w:t xml:space="preserve"> September, 2019.</w:t>
      </w:r>
    </w:p>
    <w:p w14:paraId="3C8DF57D" w14:textId="77777777" w:rsidR="00A20F72" w:rsidRPr="00A20F72" w:rsidRDefault="00A20F72" w:rsidP="00A20F72">
      <w:pPr>
        <w:spacing w:line="360" w:lineRule="auto"/>
        <w:rPr>
          <w:rFonts w:ascii="Verdana" w:hAnsi="Verdana"/>
          <w:sz w:val="18"/>
          <w:szCs w:val="18"/>
        </w:rPr>
      </w:pPr>
    </w:p>
    <w:p w14:paraId="0536E696" w14:textId="2ED9EB28" w:rsidR="00D33C86"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A first appropriate assessment (</w:t>
      </w:r>
      <w:r w:rsidR="004E6B6B" w:rsidRPr="00A20F72">
        <w:rPr>
          <w:rFonts w:ascii="Verdana" w:hAnsi="Verdana"/>
          <w:sz w:val="18"/>
          <w:szCs w:val="18"/>
        </w:rPr>
        <w:t>“</w:t>
      </w:r>
      <w:r w:rsidRPr="00A20F72">
        <w:rPr>
          <w:rFonts w:ascii="Verdana" w:hAnsi="Verdana"/>
          <w:sz w:val="18"/>
          <w:szCs w:val="18"/>
        </w:rPr>
        <w:t>AA</w:t>
      </w:r>
      <w:r w:rsidR="004E6B6B" w:rsidRPr="00A20F72">
        <w:rPr>
          <w:rFonts w:ascii="Verdana" w:hAnsi="Verdana"/>
          <w:sz w:val="18"/>
          <w:szCs w:val="18"/>
        </w:rPr>
        <w:t>”</w:t>
      </w:r>
      <w:r w:rsidRPr="00A20F72">
        <w:rPr>
          <w:rFonts w:ascii="Verdana" w:hAnsi="Verdana"/>
          <w:sz w:val="18"/>
          <w:szCs w:val="18"/>
        </w:rPr>
        <w:t>) screening report was prepared in November 2019.</w:t>
      </w:r>
    </w:p>
    <w:p w14:paraId="3BC1BE86" w14:textId="77777777" w:rsidR="00A20F72" w:rsidRPr="00A20F72" w:rsidRDefault="00A20F72" w:rsidP="00A20F72">
      <w:pPr>
        <w:pStyle w:val="ListParagraph"/>
        <w:rPr>
          <w:rFonts w:ascii="Verdana" w:hAnsi="Verdana"/>
          <w:sz w:val="18"/>
          <w:szCs w:val="18"/>
        </w:rPr>
      </w:pPr>
    </w:p>
    <w:p w14:paraId="5B101FF8" w14:textId="1DE0696A" w:rsidR="00D33C86"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On 20</w:t>
      </w:r>
      <w:r w:rsidRPr="00A20F72">
        <w:rPr>
          <w:rFonts w:ascii="Verdana" w:hAnsi="Verdana"/>
          <w:sz w:val="18"/>
          <w:szCs w:val="18"/>
          <w:vertAlign w:val="superscript"/>
        </w:rPr>
        <w:t>th</w:t>
      </w:r>
      <w:r w:rsidRPr="00A20F72">
        <w:rPr>
          <w:rFonts w:ascii="Verdana" w:hAnsi="Verdana"/>
          <w:sz w:val="18"/>
          <w:szCs w:val="18"/>
        </w:rPr>
        <w:t xml:space="preserve"> December, 2019, the notice party lodged an application for a pre-planning opinion as to whether the development would constitute strategic housing development.</w:t>
      </w:r>
    </w:p>
    <w:p w14:paraId="4538CB3E" w14:textId="77777777" w:rsidR="00A20F72" w:rsidRPr="00A20F72" w:rsidRDefault="00A20F72" w:rsidP="00A20F72">
      <w:pPr>
        <w:pStyle w:val="ListParagraph"/>
        <w:spacing w:line="360" w:lineRule="auto"/>
        <w:ind w:left="567"/>
        <w:rPr>
          <w:rFonts w:ascii="Verdana" w:hAnsi="Verdana"/>
          <w:sz w:val="18"/>
          <w:szCs w:val="18"/>
        </w:rPr>
      </w:pPr>
    </w:p>
    <w:p w14:paraId="3F6815AF" w14:textId="3961D7CB" w:rsidR="00D33C86"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On 13</w:t>
      </w:r>
      <w:r w:rsidRPr="00A20F72">
        <w:rPr>
          <w:rFonts w:ascii="Verdana" w:hAnsi="Verdana"/>
          <w:sz w:val="18"/>
          <w:szCs w:val="18"/>
          <w:vertAlign w:val="superscript"/>
        </w:rPr>
        <w:t>th</w:t>
      </w:r>
      <w:r w:rsidRPr="00A20F72">
        <w:rPr>
          <w:rFonts w:ascii="Verdana" w:hAnsi="Verdana"/>
          <w:sz w:val="18"/>
          <w:szCs w:val="18"/>
        </w:rPr>
        <w:t xml:space="preserve"> February, 2020, the developer held a pre-planning meeting with the board and on 2</w:t>
      </w:r>
      <w:r w:rsidRPr="00A20F72">
        <w:rPr>
          <w:rFonts w:ascii="Verdana" w:hAnsi="Verdana"/>
          <w:sz w:val="18"/>
          <w:szCs w:val="18"/>
          <w:vertAlign w:val="superscript"/>
        </w:rPr>
        <w:t>nd</w:t>
      </w:r>
      <w:r w:rsidRPr="00A20F72">
        <w:rPr>
          <w:rFonts w:ascii="Verdana" w:hAnsi="Verdana"/>
          <w:sz w:val="18"/>
          <w:szCs w:val="18"/>
        </w:rPr>
        <w:t xml:space="preserve"> March, 2020 the board decided that the application needed further consideration or amendment.</w:t>
      </w:r>
    </w:p>
    <w:p w14:paraId="79A062AE" w14:textId="77777777" w:rsidR="00A20F72" w:rsidRPr="00A20F72" w:rsidRDefault="00A20F72" w:rsidP="00A20F72">
      <w:pPr>
        <w:spacing w:line="360" w:lineRule="auto"/>
        <w:rPr>
          <w:rFonts w:ascii="Verdana" w:hAnsi="Verdana"/>
          <w:sz w:val="18"/>
          <w:szCs w:val="18"/>
        </w:rPr>
      </w:pPr>
    </w:p>
    <w:p w14:paraId="4DFD8ECB" w14:textId="6CF900F1" w:rsidR="00D33C86"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On 7</w:t>
      </w:r>
      <w:r w:rsidRPr="00A20F72">
        <w:rPr>
          <w:rFonts w:ascii="Verdana" w:hAnsi="Verdana"/>
          <w:sz w:val="18"/>
          <w:szCs w:val="18"/>
          <w:vertAlign w:val="superscript"/>
        </w:rPr>
        <w:t>th</w:t>
      </w:r>
      <w:r w:rsidRPr="00A20F72">
        <w:rPr>
          <w:rFonts w:ascii="Verdana" w:hAnsi="Verdana"/>
          <w:sz w:val="18"/>
          <w:szCs w:val="18"/>
        </w:rPr>
        <w:t xml:space="preserve"> April, 2020, conservation objectives for the River Boyne and River Blackwater SAC were adopted by the National Parks and Wildlife Service.</w:t>
      </w:r>
    </w:p>
    <w:p w14:paraId="27A62074" w14:textId="77777777" w:rsidR="00A20F72" w:rsidRPr="00A20F72" w:rsidRDefault="00A20F72" w:rsidP="00A20F72">
      <w:pPr>
        <w:spacing w:line="360" w:lineRule="auto"/>
        <w:rPr>
          <w:rFonts w:ascii="Verdana" w:hAnsi="Verdana"/>
          <w:sz w:val="18"/>
          <w:szCs w:val="18"/>
        </w:rPr>
      </w:pPr>
    </w:p>
    <w:p w14:paraId="62FBF413" w14:textId="56674D8C" w:rsidR="00C23D4E"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A second AA screening report was prepared in June 2020</w:t>
      </w:r>
      <w:r w:rsidR="00C23D4E" w:rsidRPr="00A20F72">
        <w:rPr>
          <w:rFonts w:ascii="Verdana" w:hAnsi="Verdana"/>
          <w:sz w:val="18"/>
          <w:szCs w:val="18"/>
        </w:rPr>
        <w:t>.</w:t>
      </w:r>
    </w:p>
    <w:p w14:paraId="0C67C07A" w14:textId="77777777" w:rsidR="00A20F72" w:rsidRPr="00A20F72" w:rsidRDefault="00A20F72" w:rsidP="00A20F72">
      <w:pPr>
        <w:pStyle w:val="ListParagraph"/>
        <w:rPr>
          <w:rFonts w:ascii="Verdana" w:hAnsi="Verdana"/>
          <w:sz w:val="18"/>
          <w:szCs w:val="18"/>
        </w:rPr>
      </w:pPr>
    </w:p>
    <w:p w14:paraId="070132B8" w14:textId="5010EF25" w:rsidR="00D33C86"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Th</w:t>
      </w:r>
      <w:r w:rsidR="00D33C86" w:rsidRPr="00A20F72">
        <w:rPr>
          <w:rFonts w:ascii="Verdana" w:hAnsi="Verdana"/>
          <w:sz w:val="18"/>
          <w:szCs w:val="18"/>
        </w:rPr>
        <w:t>e formal planning application in the present case was submitted on 8</w:t>
      </w:r>
      <w:r w:rsidR="00D33C86" w:rsidRPr="00A20F72">
        <w:rPr>
          <w:rFonts w:ascii="Verdana" w:hAnsi="Verdana"/>
          <w:sz w:val="18"/>
          <w:szCs w:val="18"/>
          <w:vertAlign w:val="superscript"/>
        </w:rPr>
        <w:t>th</w:t>
      </w:r>
      <w:r w:rsidR="00D33C86" w:rsidRPr="00A20F72">
        <w:rPr>
          <w:rFonts w:ascii="Verdana" w:hAnsi="Verdana"/>
          <w:sz w:val="18"/>
          <w:szCs w:val="18"/>
        </w:rPr>
        <w:t xml:space="preserve"> July, 2020.</w:t>
      </w:r>
    </w:p>
    <w:p w14:paraId="5A40D6CD" w14:textId="77777777" w:rsidR="00A20F72" w:rsidRPr="00A20F72" w:rsidRDefault="00A20F72" w:rsidP="00A20F72">
      <w:pPr>
        <w:pStyle w:val="ListParagraph"/>
        <w:rPr>
          <w:rFonts w:ascii="Verdana" w:hAnsi="Verdana"/>
          <w:sz w:val="18"/>
          <w:szCs w:val="18"/>
        </w:rPr>
      </w:pPr>
    </w:p>
    <w:p w14:paraId="1FE442E4" w14:textId="62ED446E" w:rsidR="00C23D4E" w:rsidRDefault="008A634D"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The design provides that d</w:t>
      </w:r>
      <w:r w:rsidR="00C23D4E" w:rsidRPr="00A20F72">
        <w:rPr>
          <w:rFonts w:ascii="Verdana" w:hAnsi="Verdana"/>
          <w:sz w:val="18"/>
          <w:szCs w:val="18"/>
        </w:rPr>
        <w:t>uring the operational phase of the site, surface water run-off will be collected below ground in attenuation storage tanks.</w:t>
      </w:r>
      <w:r w:rsidR="004E6B6B" w:rsidRPr="00A20F72">
        <w:rPr>
          <w:rFonts w:ascii="Verdana" w:hAnsi="Verdana"/>
          <w:sz w:val="18"/>
          <w:szCs w:val="18"/>
        </w:rPr>
        <w:t xml:space="preserve">  </w:t>
      </w:r>
      <w:r w:rsidR="00C23D4E" w:rsidRPr="00A20F72">
        <w:rPr>
          <w:rFonts w:ascii="Verdana" w:hAnsi="Verdana"/>
          <w:sz w:val="18"/>
          <w:szCs w:val="18"/>
        </w:rPr>
        <w:t>They will operate in conjunction with suitable flow control devices which will be fitted to the outlet manhole of each attenuation tank.</w:t>
      </w:r>
      <w:r w:rsidR="004E6B6B" w:rsidRPr="00A20F72">
        <w:rPr>
          <w:rFonts w:ascii="Verdana" w:hAnsi="Verdana"/>
          <w:sz w:val="18"/>
          <w:szCs w:val="18"/>
        </w:rPr>
        <w:t xml:space="preserve">  </w:t>
      </w:r>
      <w:r w:rsidR="00C23D4E" w:rsidRPr="00A20F72">
        <w:rPr>
          <w:rFonts w:ascii="Verdana" w:hAnsi="Verdana"/>
          <w:sz w:val="18"/>
          <w:szCs w:val="18"/>
        </w:rPr>
        <w:t>A class 1 bypass separator will be installed on the inlet pipe to all tanks in order to treat the surface water and remove any potential contaminants prior to entering the tank and ultimately prior to discharge.</w:t>
      </w:r>
      <w:r w:rsidR="004E6B6B" w:rsidRPr="00A20F72">
        <w:rPr>
          <w:rFonts w:ascii="Verdana" w:hAnsi="Verdana"/>
          <w:sz w:val="18"/>
          <w:szCs w:val="18"/>
        </w:rPr>
        <w:t xml:space="preserve">  </w:t>
      </w:r>
      <w:r w:rsidR="00C23D4E" w:rsidRPr="00A20F72">
        <w:rPr>
          <w:rFonts w:ascii="Verdana" w:hAnsi="Verdana"/>
          <w:sz w:val="18"/>
          <w:szCs w:val="18"/>
        </w:rPr>
        <w:t>The water will outfall to a stream around 100 metres south of the development, a tributary of the Boyne.</w:t>
      </w:r>
    </w:p>
    <w:p w14:paraId="63FB231E" w14:textId="77777777" w:rsidR="00A20F72" w:rsidRPr="00A20F72" w:rsidRDefault="00A20F72" w:rsidP="00A20F72">
      <w:pPr>
        <w:pStyle w:val="ListParagraph"/>
        <w:rPr>
          <w:rFonts w:ascii="Verdana" w:hAnsi="Verdana"/>
          <w:sz w:val="18"/>
          <w:szCs w:val="18"/>
        </w:rPr>
      </w:pPr>
    </w:p>
    <w:p w14:paraId="45179F92" w14:textId="5727214A" w:rsidR="00C23D4E"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The Boyne itself is approximately 640 metres to the north of the development.</w:t>
      </w:r>
      <w:r w:rsidR="004E6B6B" w:rsidRPr="00A20F72">
        <w:rPr>
          <w:rFonts w:ascii="Verdana" w:hAnsi="Verdana"/>
          <w:sz w:val="18"/>
          <w:szCs w:val="18"/>
        </w:rPr>
        <w:t xml:space="preserve">  </w:t>
      </w:r>
      <w:r w:rsidRPr="00A20F72">
        <w:rPr>
          <w:rFonts w:ascii="Verdana" w:hAnsi="Verdana"/>
          <w:sz w:val="18"/>
          <w:szCs w:val="18"/>
        </w:rPr>
        <w:t>It is part of the River Boyne and River Blackwater SPA (reference number 004232) for which a qualifying interest is the Kingfisher (Alcedo atthis) [A229].</w:t>
      </w:r>
    </w:p>
    <w:p w14:paraId="712BDCE5" w14:textId="77777777" w:rsidR="00A20F72" w:rsidRPr="00A20F72" w:rsidRDefault="00A20F72" w:rsidP="00A20F72">
      <w:pPr>
        <w:pStyle w:val="ListParagraph"/>
        <w:rPr>
          <w:rFonts w:ascii="Verdana" w:hAnsi="Verdana"/>
          <w:sz w:val="18"/>
          <w:szCs w:val="18"/>
        </w:rPr>
      </w:pPr>
    </w:p>
    <w:p w14:paraId="01ACD4BC" w14:textId="1C15F5AC" w:rsidR="00C23D4E"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The River Boyne and River Blackwater SAC (reference number 002299) is approximately 700 metres north of the site. The qualifying interests are Alkaline fens [7230], Alluvial forests with Alnus glutinosa and Fraxinus excelsior (Alno-Padion, Alnion incanae, Salicion albae) [91E0], Lampetra fluviatilis (River Lamprey) [1099], Salmo salar (Salmon) [1106] and Lutra lutra (Otter) [1355].</w:t>
      </w:r>
    </w:p>
    <w:p w14:paraId="3D8D720A" w14:textId="77777777" w:rsidR="00A20F72" w:rsidRPr="00A20F72" w:rsidRDefault="00A20F72" w:rsidP="00A20F72">
      <w:pPr>
        <w:pStyle w:val="ListParagraph"/>
        <w:rPr>
          <w:rFonts w:ascii="Verdana" w:hAnsi="Verdana"/>
          <w:sz w:val="18"/>
          <w:szCs w:val="18"/>
        </w:rPr>
      </w:pPr>
    </w:p>
    <w:p w14:paraId="4DA84155" w14:textId="355C88AB" w:rsidR="00D33C86"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An </w:t>
      </w:r>
      <w:r w:rsidR="00EC7BD9" w:rsidRPr="00A20F72">
        <w:rPr>
          <w:rFonts w:ascii="Verdana" w:hAnsi="Verdana"/>
          <w:sz w:val="18"/>
          <w:szCs w:val="18"/>
        </w:rPr>
        <w:t>environmental impact assessment (“</w:t>
      </w:r>
      <w:r w:rsidRPr="00A20F72">
        <w:rPr>
          <w:rFonts w:ascii="Verdana" w:hAnsi="Verdana"/>
          <w:sz w:val="18"/>
          <w:szCs w:val="18"/>
        </w:rPr>
        <w:t>EIA</w:t>
      </w:r>
      <w:r w:rsidR="00EC7BD9" w:rsidRPr="00A20F72">
        <w:rPr>
          <w:rFonts w:ascii="Verdana" w:hAnsi="Verdana"/>
          <w:sz w:val="18"/>
          <w:szCs w:val="18"/>
        </w:rPr>
        <w:t>”)</w:t>
      </w:r>
      <w:r w:rsidRPr="00A20F72">
        <w:rPr>
          <w:rFonts w:ascii="Verdana" w:hAnsi="Verdana"/>
          <w:sz w:val="18"/>
          <w:szCs w:val="18"/>
        </w:rPr>
        <w:t xml:space="preserve"> screening report was prepared dated July 2020 as well as an ecological impact assessment which included a number of proposed mitigation measures.  A habitats directive screening report was also submitted which concluded that there would be no impact on Natura 2000 sites.</w:t>
      </w:r>
    </w:p>
    <w:p w14:paraId="588D15F0" w14:textId="77777777" w:rsidR="00A20F72" w:rsidRPr="00A20F72" w:rsidRDefault="00A20F72" w:rsidP="00A20F72">
      <w:pPr>
        <w:pStyle w:val="ListParagraph"/>
        <w:rPr>
          <w:rFonts w:ascii="Verdana" w:hAnsi="Verdana"/>
          <w:sz w:val="18"/>
          <w:szCs w:val="18"/>
        </w:rPr>
      </w:pPr>
    </w:p>
    <w:p w14:paraId="7821E20E" w14:textId="3EDB853E" w:rsidR="00D33C86"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The applicant and other bodies made submissions on the application.</w:t>
      </w:r>
    </w:p>
    <w:p w14:paraId="60D9902A" w14:textId="77777777" w:rsidR="00A20F72" w:rsidRPr="00A20F72" w:rsidRDefault="00A20F72" w:rsidP="00A20F72">
      <w:pPr>
        <w:pStyle w:val="ListParagraph"/>
        <w:rPr>
          <w:rFonts w:ascii="Verdana" w:hAnsi="Verdana"/>
          <w:sz w:val="18"/>
          <w:szCs w:val="18"/>
        </w:rPr>
      </w:pPr>
    </w:p>
    <w:p w14:paraId="3A1B6BDE" w14:textId="06D6EC4F" w:rsidR="005D233B"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lastRenderedPageBreak/>
        <w:t>On 11</w:t>
      </w:r>
      <w:r w:rsidRPr="00A20F72">
        <w:rPr>
          <w:rFonts w:ascii="Verdana" w:hAnsi="Verdana"/>
          <w:sz w:val="18"/>
          <w:szCs w:val="18"/>
          <w:vertAlign w:val="superscript"/>
        </w:rPr>
        <w:t>th</w:t>
      </w:r>
      <w:r w:rsidRPr="00A20F72">
        <w:rPr>
          <w:rFonts w:ascii="Verdana" w:hAnsi="Verdana"/>
          <w:sz w:val="18"/>
          <w:szCs w:val="18"/>
        </w:rPr>
        <w:t xml:space="preserve"> August, 2020, a submission was made on behalf of An Taisce </w:t>
      </w:r>
      <w:r w:rsidR="00CA06D4" w:rsidRPr="00A20F72">
        <w:rPr>
          <w:rFonts w:ascii="Verdana" w:hAnsi="Verdana"/>
          <w:sz w:val="18"/>
          <w:szCs w:val="18"/>
        </w:rPr>
        <w:t>(the National Trust for Ireland</w:t>
      </w:r>
      <w:r w:rsidR="00160CD6">
        <w:rPr>
          <w:rFonts w:ascii="Verdana" w:hAnsi="Verdana"/>
          <w:sz w:val="18"/>
          <w:szCs w:val="18"/>
        </w:rPr>
        <w:t xml:space="preserve">, </w:t>
      </w:r>
      <w:r w:rsidR="00CA06D4" w:rsidRPr="00A20F72">
        <w:rPr>
          <w:rFonts w:ascii="Verdana" w:hAnsi="Verdana"/>
          <w:sz w:val="18"/>
          <w:szCs w:val="18"/>
        </w:rPr>
        <w:t>a statutory planning consultee</w:t>
      </w:r>
      <w:r w:rsidR="008A634D" w:rsidRPr="00A20F72">
        <w:rPr>
          <w:rFonts w:ascii="Verdana" w:hAnsi="Verdana"/>
          <w:sz w:val="18"/>
          <w:szCs w:val="18"/>
        </w:rPr>
        <w:t xml:space="preserve"> and the first </w:t>
      </w:r>
      <w:r w:rsidR="008A634D" w:rsidRPr="00A20F72">
        <w:rPr>
          <w:rFonts w:ascii="Verdana" w:hAnsi="Verdana"/>
          <w:i/>
          <w:iCs/>
          <w:sz w:val="18"/>
          <w:szCs w:val="18"/>
        </w:rPr>
        <w:t>amicus curiae</w:t>
      </w:r>
      <w:r w:rsidR="008A634D" w:rsidRPr="00A20F72">
        <w:rPr>
          <w:rFonts w:ascii="Verdana" w:hAnsi="Verdana"/>
          <w:sz w:val="18"/>
          <w:szCs w:val="18"/>
        </w:rPr>
        <w:t xml:space="preserve"> added by order of the court</w:t>
      </w:r>
      <w:r w:rsidR="00CA06D4" w:rsidRPr="00A20F72">
        <w:rPr>
          <w:rFonts w:ascii="Verdana" w:hAnsi="Verdana"/>
          <w:sz w:val="18"/>
          <w:szCs w:val="18"/>
        </w:rPr>
        <w:t xml:space="preserve">) </w:t>
      </w:r>
      <w:r w:rsidRPr="00A20F72">
        <w:rPr>
          <w:rFonts w:ascii="Verdana" w:hAnsi="Verdana"/>
          <w:sz w:val="18"/>
          <w:szCs w:val="18"/>
        </w:rPr>
        <w:t>noting the potential for impact on the European sites.</w:t>
      </w:r>
    </w:p>
    <w:p w14:paraId="5E8A30B1" w14:textId="77777777" w:rsidR="00A20F72" w:rsidRPr="00A20F72" w:rsidRDefault="00A20F72" w:rsidP="00A20F72">
      <w:pPr>
        <w:pStyle w:val="ListParagraph"/>
        <w:rPr>
          <w:rFonts w:ascii="Verdana" w:hAnsi="Verdana"/>
          <w:sz w:val="18"/>
          <w:szCs w:val="18"/>
        </w:rPr>
      </w:pPr>
    </w:p>
    <w:p w14:paraId="129AC3B5" w14:textId="574D4203" w:rsidR="00D33C86"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On 31</w:t>
      </w:r>
      <w:r w:rsidRPr="00A20F72">
        <w:rPr>
          <w:rFonts w:ascii="Verdana" w:hAnsi="Verdana"/>
          <w:sz w:val="18"/>
          <w:szCs w:val="18"/>
          <w:vertAlign w:val="superscript"/>
        </w:rPr>
        <w:t>st</w:t>
      </w:r>
      <w:r w:rsidRPr="00A20F72">
        <w:rPr>
          <w:rFonts w:ascii="Verdana" w:hAnsi="Verdana"/>
          <w:sz w:val="18"/>
          <w:szCs w:val="18"/>
        </w:rPr>
        <w:t xml:space="preserve"> August, 2020, the CEO of </w:t>
      </w:r>
      <w:r w:rsidR="008A634D" w:rsidRPr="00A20F72">
        <w:rPr>
          <w:rFonts w:ascii="Verdana" w:hAnsi="Verdana"/>
          <w:sz w:val="18"/>
          <w:szCs w:val="18"/>
        </w:rPr>
        <w:t>the c</w:t>
      </w:r>
      <w:r w:rsidRPr="00A20F72">
        <w:rPr>
          <w:rFonts w:ascii="Verdana" w:hAnsi="Verdana"/>
          <w:sz w:val="18"/>
          <w:szCs w:val="18"/>
        </w:rPr>
        <w:t>ouncil reported on the application.</w:t>
      </w:r>
    </w:p>
    <w:p w14:paraId="3F5EBFB7" w14:textId="77777777" w:rsidR="00A20F72" w:rsidRPr="00A20F72" w:rsidRDefault="00A20F72" w:rsidP="00A20F72">
      <w:pPr>
        <w:pStyle w:val="ListParagraph"/>
        <w:rPr>
          <w:rFonts w:ascii="Verdana" w:hAnsi="Verdana"/>
          <w:sz w:val="18"/>
          <w:szCs w:val="18"/>
        </w:rPr>
      </w:pPr>
    </w:p>
    <w:p w14:paraId="19EA55A6" w14:textId="47FE9DCB" w:rsidR="00CA06D4" w:rsidRDefault="00CA06D4"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Both submissions are included in exhibit KC1 at tab 5.</w:t>
      </w:r>
      <w:r w:rsidR="004E6B6B" w:rsidRPr="00A20F72">
        <w:rPr>
          <w:rFonts w:ascii="Verdana" w:hAnsi="Verdana"/>
          <w:sz w:val="18"/>
          <w:szCs w:val="18"/>
        </w:rPr>
        <w:t xml:space="preserve"> </w:t>
      </w:r>
      <w:r w:rsidR="005D233B" w:rsidRPr="00A20F72">
        <w:rPr>
          <w:rFonts w:ascii="Verdana" w:hAnsi="Verdana"/>
          <w:sz w:val="18"/>
          <w:szCs w:val="18"/>
        </w:rPr>
        <w:t xml:space="preserve"> </w:t>
      </w:r>
      <w:r w:rsidRPr="00A20F72">
        <w:rPr>
          <w:rFonts w:ascii="Verdana" w:hAnsi="Verdana"/>
          <w:sz w:val="18"/>
          <w:szCs w:val="18"/>
        </w:rPr>
        <w:t xml:space="preserve">As regards the council, a memorandum from </w:t>
      </w:r>
      <w:r w:rsidR="008A634D" w:rsidRPr="00A20F72">
        <w:rPr>
          <w:rFonts w:ascii="Verdana" w:hAnsi="Verdana"/>
          <w:sz w:val="18"/>
          <w:szCs w:val="18"/>
        </w:rPr>
        <w:t>its</w:t>
      </w:r>
      <w:r w:rsidRPr="00A20F72">
        <w:rPr>
          <w:rFonts w:ascii="Verdana" w:hAnsi="Verdana"/>
          <w:sz w:val="18"/>
          <w:szCs w:val="18"/>
        </w:rPr>
        <w:t xml:space="preserve"> heritage officer was prepared entitled “Comments Screening Statement for Appropriate Assessment and EcIA for residential development Charterschool Land, Manorlands, Trim, Co. Meath”</w:t>
      </w:r>
      <w:r w:rsidR="008A634D" w:rsidRPr="00A20F72">
        <w:rPr>
          <w:rFonts w:ascii="Verdana" w:hAnsi="Verdana"/>
          <w:sz w:val="18"/>
          <w:szCs w:val="18"/>
        </w:rPr>
        <w:t xml:space="preserve"> and dated 30</w:t>
      </w:r>
      <w:r w:rsidR="008A634D" w:rsidRPr="00A20F72">
        <w:rPr>
          <w:rFonts w:ascii="Verdana" w:hAnsi="Verdana"/>
          <w:sz w:val="18"/>
          <w:szCs w:val="18"/>
          <w:vertAlign w:val="superscript"/>
        </w:rPr>
        <w:t>th</w:t>
      </w:r>
      <w:r w:rsidR="008A634D" w:rsidRPr="00A20F72">
        <w:rPr>
          <w:rFonts w:ascii="Verdana" w:hAnsi="Verdana"/>
          <w:sz w:val="18"/>
          <w:szCs w:val="18"/>
        </w:rPr>
        <w:t xml:space="preserve"> August, 2020</w:t>
      </w:r>
      <w:r w:rsidRPr="00A20F72">
        <w:rPr>
          <w:rFonts w:ascii="Verdana" w:hAnsi="Verdana"/>
          <w:sz w:val="18"/>
          <w:szCs w:val="18"/>
        </w:rPr>
        <w:t>.</w:t>
      </w:r>
    </w:p>
    <w:p w14:paraId="082B3658" w14:textId="77777777" w:rsidR="00A20F72" w:rsidRPr="00A20F72" w:rsidRDefault="00A20F72" w:rsidP="00A20F72">
      <w:pPr>
        <w:pStyle w:val="ListParagraph"/>
        <w:rPr>
          <w:rFonts w:ascii="Verdana" w:hAnsi="Verdana"/>
          <w:sz w:val="18"/>
          <w:szCs w:val="18"/>
        </w:rPr>
      </w:pPr>
    </w:p>
    <w:p w14:paraId="6793AA3C" w14:textId="330189B5" w:rsidR="00FD0CA3" w:rsidRDefault="00CA06D4"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It begins by dealing with terrestrial habitats and bats. </w:t>
      </w:r>
      <w:r w:rsidR="004E6B6B" w:rsidRPr="00A20F72">
        <w:rPr>
          <w:rFonts w:ascii="Verdana" w:hAnsi="Verdana"/>
          <w:sz w:val="18"/>
          <w:szCs w:val="18"/>
        </w:rPr>
        <w:t xml:space="preserve"> </w:t>
      </w:r>
      <w:r w:rsidRPr="00A20F72">
        <w:rPr>
          <w:rFonts w:ascii="Verdana" w:hAnsi="Verdana"/>
          <w:sz w:val="18"/>
          <w:szCs w:val="18"/>
        </w:rPr>
        <w:t>Among the key points made were as follows:</w:t>
      </w:r>
    </w:p>
    <w:p w14:paraId="4C0729C1" w14:textId="77777777" w:rsidR="00A20F72" w:rsidRPr="00A20F72" w:rsidRDefault="00A20F72" w:rsidP="00A20F72">
      <w:pPr>
        <w:pStyle w:val="ListParagraph"/>
        <w:rPr>
          <w:rFonts w:ascii="Verdana" w:hAnsi="Verdana"/>
          <w:sz w:val="18"/>
          <w:szCs w:val="18"/>
        </w:rPr>
      </w:pPr>
    </w:p>
    <w:p w14:paraId="07516228" w14:textId="77777777" w:rsidR="00FD0CA3" w:rsidRPr="00A20F72" w:rsidRDefault="00CA06D4" w:rsidP="00A20F72">
      <w:pPr>
        <w:pStyle w:val="ListParagraph"/>
        <w:numPr>
          <w:ilvl w:val="1"/>
          <w:numId w:val="1"/>
        </w:numPr>
        <w:spacing w:line="360" w:lineRule="auto"/>
        <w:rPr>
          <w:rFonts w:ascii="Verdana" w:hAnsi="Verdana"/>
          <w:sz w:val="18"/>
          <w:szCs w:val="18"/>
        </w:rPr>
      </w:pPr>
      <w:r w:rsidRPr="00A20F72">
        <w:rPr>
          <w:rFonts w:ascii="Verdana" w:hAnsi="Verdana"/>
          <w:sz w:val="18"/>
          <w:szCs w:val="18"/>
        </w:rPr>
        <w:t>habitats on the site are not used by qualifying interests in the associated European site;</w:t>
      </w:r>
    </w:p>
    <w:p w14:paraId="4459B989" w14:textId="669EE80E" w:rsidR="00FD0CA3" w:rsidRPr="00A20F72" w:rsidRDefault="00CA06D4" w:rsidP="00A20F72">
      <w:pPr>
        <w:pStyle w:val="ListParagraph"/>
        <w:numPr>
          <w:ilvl w:val="1"/>
          <w:numId w:val="1"/>
        </w:numPr>
        <w:spacing w:line="360" w:lineRule="auto"/>
        <w:rPr>
          <w:rFonts w:ascii="Verdana" w:hAnsi="Verdana"/>
          <w:sz w:val="18"/>
          <w:szCs w:val="18"/>
        </w:rPr>
      </w:pPr>
      <w:r w:rsidRPr="00A20F72">
        <w:rPr>
          <w:rFonts w:ascii="Verdana" w:hAnsi="Verdana"/>
          <w:sz w:val="18"/>
          <w:szCs w:val="18"/>
        </w:rPr>
        <w:t>no assessment of the extent and cumulative impact of hedgerow removal was undertaken;</w:t>
      </w:r>
    </w:p>
    <w:p w14:paraId="5B1EE140" w14:textId="77777777" w:rsidR="00FD0CA3" w:rsidRPr="00A20F72" w:rsidRDefault="00CA06D4" w:rsidP="00A20F72">
      <w:pPr>
        <w:pStyle w:val="ListParagraph"/>
        <w:numPr>
          <w:ilvl w:val="1"/>
          <w:numId w:val="1"/>
        </w:numPr>
        <w:spacing w:line="360" w:lineRule="auto"/>
        <w:rPr>
          <w:rFonts w:ascii="Verdana" w:hAnsi="Verdana"/>
          <w:sz w:val="18"/>
          <w:szCs w:val="18"/>
        </w:rPr>
      </w:pPr>
      <w:r w:rsidRPr="00A20F72">
        <w:rPr>
          <w:rFonts w:ascii="Verdana" w:hAnsi="Verdana"/>
          <w:sz w:val="18"/>
          <w:szCs w:val="18"/>
        </w:rPr>
        <w:t>the bat survey period was late in the active season for bats and does not provide information on bat usage during the spring when maternity roosts are active;</w:t>
      </w:r>
    </w:p>
    <w:p w14:paraId="07A2BBE8" w14:textId="77777777" w:rsidR="00FD0CA3" w:rsidRPr="00A20F72" w:rsidRDefault="00CA06D4" w:rsidP="00A20F72">
      <w:pPr>
        <w:pStyle w:val="ListParagraph"/>
        <w:numPr>
          <w:ilvl w:val="1"/>
          <w:numId w:val="1"/>
        </w:numPr>
        <w:spacing w:line="360" w:lineRule="auto"/>
        <w:rPr>
          <w:rFonts w:ascii="Verdana" w:hAnsi="Verdana"/>
          <w:sz w:val="18"/>
          <w:szCs w:val="18"/>
        </w:rPr>
      </w:pPr>
      <w:r w:rsidRPr="00A20F72">
        <w:rPr>
          <w:rFonts w:ascii="Verdana" w:hAnsi="Verdana"/>
          <w:sz w:val="18"/>
          <w:szCs w:val="18"/>
        </w:rPr>
        <w:t>the bat presence was dominated by common pipistrelles followed by soprano pipistrelles, with a limited level of other species including Leisler’s bat and Myotis species;</w:t>
      </w:r>
    </w:p>
    <w:p w14:paraId="29D50019" w14:textId="77777777" w:rsidR="00FD0CA3" w:rsidRPr="00A20F72" w:rsidRDefault="00CA06D4" w:rsidP="00A20F72">
      <w:pPr>
        <w:pStyle w:val="ListParagraph"/>
        <w:numPr>
          <w:ilvl w:val="1"/>
          <w:numId w:val="1"/>
        </w:numPr>
        <w:spacing w:line="360" w:lineRule="auto"/>
        <w:rPr>
          <w:rFonts w:ascii="Verdana" w:hAnsi="Verdana"/>
          <w:sz w:val="18"/>
          <w:szCs w:val="18"/>
        </w:rPr>
      </w:pPr>
      <w:r w:rsidRPr="00A20F72">
        <w:rPr>
          <w:rFonts w:ascii="Verdana" w:hAnsi="Verdana"/>
          <w:sz w:val="18"/>
          <w:szCs w:val="18"/>
        </w:rPr>
        <w:t>the bat assemblage was a feature of local higher importance;</w:t>
      </w:r>
    </w:p>
    <w:p w14:paraId="6567637C" w14:textId="77777777" w:rsidR="00FD0CA3" w:rsidRPr="00A20F72" w:rsidRDefault="00CA06D4" w:rsidP="00A20F72">
      <w:pPr>
        <w:pStyle w:val="ListParagraph"/>
        <w:numPr>
          <w:ilvl w:val="1"/>
          <w:numId w:val="1"/>
        </w:numPr>
        <w:spacing w:line="360" w:lineRule="auto"/>
        <w:rPr>
          <w:rFonts w:ascii="Verdana" w:hAnsi="Verdana"/>
          <w:sz w:val="18"/>
          <w:szCs w:val="18"/>
        </w:rPr>
      </w:pPr>
      <w:r w:rsidRPr="00A20F72">
        <w:rPr>
          <w:rFonts w:ascii="Verdana" w:hAnsi="Verdana"/>
          <w:sz w:val="18"/>
          <w:szCs w:val="18"/>
        </w:rPr>
        <w:t>a number of mitigation measures were outlined in the ecology impact assessment at para. 6.1;</w:t>
      </w:r>
    </w:p>
    <w:p w14:paraId="1EABFA43" w14:textId="77777777" w:rsidR="00FD0CA3" w:rsidRPr="00A20F72" w:rsidRDefault="00CA06D4" w:rsidP="00A20F72">
      <w:pPr>
        <w:pStyle w:val="ListParagraph"/>
        <w:numPr>
          <w:ilvl w:val="1"/>
          <w:numId w:val="1"/>
        </w:numPr>
        <w:spacing w:line="360" w:lineRule="auto"/>
        <w:rPr>
          <w:rFonts w:ascii="Verdana" w:hAnsi="Verdana"/>
          <w:sz w:val="18"/>
          <w:szCs w:val="18"/>
        </w:rPr>
      </w:pPr>
      <w:r w:rsidRPr="00A20F72">
        <w:rPr>
          <w:rFonts w:ascii="Verdana" w:hAnsi="Verdana"/>
          <w:sz w:val="18"/>
          <w:szCs w:val="18"/>
        </w:rPr>
        <w:t>these mitigation measures should be implemented under the supervision of a suitably qualified ecologist and bat specialist;</w:t>
      </w:r>
    </w:p>
    <w:p w14:paraId="61A31BDA" w14:textId="77777777" w:rsidR="00FD0CA3" w:rsidRPr="00A20F72" w:rsidRDefault="00CA06D4" w:rsidP="00A20F72">
      <w:pPr>
        <w:pStyle w:val="ListParagraph"/>
        <w:numPr>
          <w:ilvl w:val="1"/>
          <w:numId w:val="1"/>
        </w:numPr>
        <w:spacing w:line="360" w:lineRule="auto"/>
        <w:rPr>
          <w:rFonts w:ascii="Verdana" w:hAnsi="Verdana"/>
          <w:sz w:val="18"/>
          <w:szCs w:val="18"/>
        </w:rPr>
      </w:pPr>
      <w:r w:rsidRPr="00A20F72">
        <w:rPr>
          <w:rFonts w:ascii="Verdana" w:hAnsi="Verdana"/>
          <w:sz w:val="18"/>
          <w:szCs w:val="18"/>
        </w:rPr>
        <w:t>hedges and trees should not be removed during the nesting season;</w:t>
      </w:r>
      <w:r w:rsidR="00FD0CA3" w:rsidRPr="00A20F72">
        <w:rPr>
          <w:rFonts w:ascii="Verdana" w:hAnsi="Verdana"/>
          <w:sz w:val="18"/>
          <w:szCs w:val="18"/>
        </w:rPr>
        <w:t xml:space="preserve"> </w:t>
      </w:r>
      <w:r w:rsidRPr="00A20F72">
        <w:rPr>
          <w:rFonts w:ascii="Verdana" w:hAnsi="Verdana"/>
          <w:sz w:val="18"/>
          <w:szCs w:val="18"/>
        </w:rPr>
        <w:t>and</w:t>
      </w:r>
    </w:p>
    <w:p w14:paraId="79E5D2A8" w14:textId="47679081" w:rsidR="00CA06D4" w:rsidRDefault="00CA06D4" w:rsidP="00A20F72">
      <w:pPr>
        <w:pStyle w:val="ListParagraph"/>
        <w:numPr>
          <w:ilvl w:val="1"/>
          <w:numId w:val="1"/>
        </w:numPr>
        <w:spacing w:line="360" w:lineRule="auto"/>
        <w:rPr>
          <w:rFonts w:ascii="Verdana" w:hAnsi="Verdana"/>
          <w:sz w:val="18"/>
          <w:szCs w:val="18"/>
        </w:rPr>
      </w:pPr>
      <w:r w:rsidRPr="00A20F72">
        <w:rPr>
          <w:rFonts w:ascii="Verdana" w:hAnsi="Verdana"/>
          <w:sz w:val="18"/>
          <w:szCs w:val="18"/>
        </w:rPr>
        <w:t>preventative measures should be detailed within the construction environment management plan to ensure that non-native invasive species are not introduced into the site. These measures should follow the national roads authority document (The Management of Noxious Weeds and Non-Native Invasive Plant Species on National Roads, 2010) and take cognisance of the Best Practice Management Guidelines produced by Invasive Species Ireland (Maguire et al 2009).</w:t>
      </w:r>
    </w:p>
    <w:p w14:paraId="57F94CDB" w14:textId="77777777" w:rsidR="00A20F72" w:rsidRDefault="00A20F72" w:rsidP="00A20F72">
      <w:pPr>
        <w:pStyle w:val="ListParagraph"/>
        <w:spacing w:line="360" w:lineRule="auto"/>
        <w:ind w:left="567"/>
        <w:rPr>
          <w:rFonts w:ascii="Verdana" w:hAnsi="Verdana"/>
          <w:sz w:val="18"/>
          <w:szCs w:val="18"/>
        </w:rPr>
      </w:pPr>
    </w:p>
    <w:p w14:paraId="25AC280F" w14:textId="7E344B91" w:rsidR="00CA06D4" w:rsidRPr="00A20F72" w:rsidRDefault="00CA06D4"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As regards water treatment, the author of the report noted the water being piped from an attenuation tank on the site to a stream 100 metres south of the site, being a tributary of the River Boyne. </w:t>
      </w:r>
      <w:r w:rsidR="004E6B6B" w:rsidRPr="00A20F72">
        <w:rPr>
          <w:rFonts w:ascii="Verdana" w:hAnsi="Verdana"/>
          <w:sz w:val="18"/>
          <w:szCs w:val="18"/>
        </w:rPr>
        <w:t xml:space="preserve"> </w:t>
      </w:r>
      <w:r w:rsidRPr="00A20F72">
        <w:rPr>
          <w:rFonts w:ascii="Verdana" w:hAnsi="Verdana"/>
          <w:sz w:val="18"/>
          <w:szCs w:val="18"/>
        </w:rPr>
        <w:t>She went on to say</w:t>
      </w:r>
      <w:r w:rsidR="00160CD6">
        <w:rPr>
          <w:rFonts w:ascii="Verdana" w:hAnsi="Verdana"/>
          <w:sz w:val="18"/>
          <w:szCs w:val="18"/>
        </w:rPr>
        <w:t>:</w:t>
      </w:r>
      <w:r w:rsidRPr="00A20F72">
        <w:rPr>
          <w:rFonts w:ascii="Verdana" w:hAnsi="Verdana"/>
          <w:sz w:val="18"/>
          <w:szCs w:val="18"/>
        </w:rPr>
        <w:t xml:space="preserve"> “in relation to the Appropriate Assessment the Board should satisfy themselves of the efficacy of the SUDS Strategy and surface water management on the site to ensure that there will be no significant effects (direct or indirect) on the qualifying interest of any Natura 2000 sites (European sites), either individually or in combination with any other plans or projects”. </w:t>
      </w:r>
    </w:p>
    <w:p w14:paraId="1755E207" w14:textId="3716D2F1" w:rsidR="00CA06D4" w:rsidRDefault="00CA06D4"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The CEO’s report is dated 31</w:t>
      </w:r>
      <w:r w:rsidR="004E6B6B" w:rsidRPr="00A20F72">
        <w:rPr>
          <w:rFonts w:ascii="Verdana" w:hAnsi="Verdana"/>
          <w:sz w:val="18"/>
          <w:szCs w:val="18"/>
          <w:vertAlign w:val="superscript"/>
        </w:rPr>
        <w:t>st</w:t>
      </w:r>
      <w:r w:rsidR="004E6B6B" w:rsidRPr="00A20F72">
        <w:rPr>
          <w:rFonts w:ascii="Verdana" w:hAnsi="Verdana"/>
          <w:sz w:val="18"/>
          <w:szCs w:val="18"/>
        </w:rPr>
        <w:t xml:space="preserve"> </w:t>
      </w:r>
      <w:r w:rsidRPr="00A20F72">
        <w:rPr>
          <w:rFonts w:ascii="Verdana" w:hAnsi="Verdana"/>
          <w:sz w:val="18"/>
          <w:szCs w:val="18"/>
        </w:rPr>
        <w:t xml:space="preserve">August, 2020 and is issued under s. 8(5)(a) of the Planning and Development (Housing) and Residential Tenancies Act 2016. </w:t>
      </w:r>
      <w:r w:rsidR="004E6B6B" w:rsidRPr="00A20F72">
        <w:rPr>
          <w:rFonts w:ascii="Verdana" w:hAnsi="Verdana"/>
          <w:sz w:val="18"/>
          <w:szCs w:val="18"/>
        </w:rPr>
        <w:t xml:space="preserve"> </w:t>
      </w:r>
      <w:r w:rsidRPr="00A20F72">
        <w:rPr>
          <w:rFonts w:ascii="Verdana" w:hAnsi="Verdana"/>
          <w:sz w:val="18"/>
          <w:szCs w:val="18"/>
        </w:rPr>
        <w:t xml:space="preserve">Section 7.13 of the report, as one might normally expect, repeats the heritage officer’s concerns </w:t>
      </w:r>
      <w:r w:rsidRPr="00A20F72">
        <w:rPr>
          <w:rFonts w:ascii="Verdana" w:hAnsi="Verdana"/>
          <w:i/>
          <w:iCs/>
          <w:sz w:val="18"/>
          <w:szCs w:val="18"/>
        </w:rPr>
        <w:t>verbatim</w:t>
      </w:r>
      <w:r w:rsidRPr="00A20F72">
        <w:rPr>
          <w:rFonts w:ascii="Verdana" w:hAnsi="Verdana"/>
          <w:sz w:val="18"/>
          <w:szCs w:val="18"/>
        </w:rPr>
        <w:t>.</w:t>
      </w:r>
    </w:p>
    <w:p w14:paraId="01A73BD9" w14:textId="77777777" w:rsidR="00A20F72" w:rsidRDefault="00A20F72" w:rsidP="00A20F72">
      <w:pPr>
        <w:pStyle w:val="ListParagraph"/>
        <w:spacing w:line="360" w:lineRule="auto"/>
        <w:ind w:left="567"/>
        <w:rPr>
          <w:rFonts w:ascii="Verdana" w:hAnsi="Verdana"/>
          <w:sz w:val="18"/>
          <w:szCs w:val="18"/>
        </w:rPr>
      </w:pPr>
    </w:p>
    <w:p w14:paraId="4E4132B1" w14:textId="7AAF1C7A" w:rsidR="00CA06D4" w:rsidRDefault="00CA06D4"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Turning to the submission of An Taisce, </w:t>
      </w:r>
      <w:r w:rsidR="008A634D" w:rsidRPr="00A20F72">
        <w:rPr>
          <w:rFonts w:ascii="Verdana" w:hAnsi="Verdana"/>
          <w:sz w:val="18"/>
          <w:szCs w:val="18"/>
        </w:rPr>
        <w:t>a</w:t>
      </w:r>
      <w:r w:rsidRPr="00A20F72">
        <w:rPr>
          <w:rFonts w:ascii="Verdana" w:hAnsi="Verdana"/>
          <w:sz w:val="18"/>
          <w:szCs w:val="18"/>
        </w:rPr>
        <w:t xml:space="preserve"> submission dated 11</w:t>
      </w:r>
      <w:r w:rsidR="004E6B6B" w:rsidRPr="00A20F72">
        <w:rPr>
          <w:rFonts w:ascii="Verdana" w:hAnsi="Verdana"/>
          <w:sz w:val="18"/>
          <w:szCs w:val="18"/>
          <w:vertAlign w:val="superscript"/>
        </w:rPr>
        <w:t>th</w:t>
      </w:r>
      <w:r w:rsidR="004E6B6B" w:rsidRPr="00A20F72">
        <w:rPr>
          <w:rFonts w:ascii="Verdana" w:hAnsi="Verdana"/>
          <w:sz w:val="18"/>
          <w:szCs w:val="18"/>
        </w:rPr>
        <w:t xml:space="preserve"> </w:t>
      </w:r>
      <w:r w:rsidRPr="00A20F72">
        <w:rPr>
          <w:rFonts w:ascii="Verdana" w:hAnsi="Verdana"/>
          <w:sz w:val="18"/>
          <w:szCs w:val="18"/>
        </w:rPr>
        <w:t>August, 2020 prepared by Ms. Phoebe Duvall, Planning and Environmental Policy Officer, noted the potential for impact on the spawning habitat for trout and potential impact on European sites.</w:t>
      </w:r>
    </w:p>
    <w:p w14:paraId="1AEAE839" w14:textId="77777777" w:rsidR="00A20F72" w:rsidRPr="00A20F72" w:rsidRDefault="00A20F72" w:rsidP="00A20F72">
      <w:pPr>
        <w:pStyle w:val="ListParagraph"/>
        <w:rPr>
          <w:rFonts w:ascii="Verdana" w:hAnsi="Verdana"/>
          <w:sz w:val="18"/>
          <w:szCs w:val="18"/>
        </w:rPr>
      </w:pPr>
    </w:p>
    <w:p w14:paraId="6628B8D2" w14:textId="2B2311D5" w:rsidR="00CA06D4" w:rsidRDefault="00CA06D4"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The submission stated as follows: “A stream runs approximately 100m from the site boundary and flows into the River Boyne.</w:t>
      </w:r>
      <w:r w:rsidR="0042670D" w:rsidRPr="00A20F72">
        <w:rPr>
          <w:rFonts w:ascii="Verdana" w:hAnsi="Verdana"/>
          <w:sz w:val="18"/>
          <w:szCs w:val="18"/>
        </w:rPr>
        <w:t xml:space="preserve"> </w:t>
      </w:r>
      <w:r w:rsidRPr="00A20F72">
        <w:rPr>
          <w:rFonts w:ascii="Verdana" w:hAnsi="Verdana"/>
          <w:sz w:val="18"/>
          <w:szCs w:val="18"/>
        </w:rPr>
        <w:t xml:space="preserve">The Boyne is not only an SAC- and SPA-designated site as mentioned previously, but also supplies the drinking water for Trim. An Taisce has concerns that the water quality in this stream could be degraded as a result [of] the proposed works – the intention as per the plans is to have storm drains sending surface water to the stream that would be partially filtered in attenuation tanks. We note that this stream is likely to be a spawning ground for trout and submit that the potential ecological deterioration of the stream was not adequately considered in the Ecological Impact Assessment”. </w:t>
      </w:r>
      <w:r w:rsidR="0042670D" w:rsidRPr="00A20F72">
        <w:rPr>
          <w:rFonts w:ascii="Verdana" w:hAnsi="Verdana"/>
          <w:sz w:val="18"/>
          <w:szCs w:val="18"/>
        </w:rPr>
        <w:t xml:space="preserve"> </w:t>
      </w:r>
      <w:r w:rsidRPr="00A20F72">
        <w:rPr>
          <w:rFonts w:ascii="Verdana" w:hAnsi="Verdana"/>
          <w:sz w:val="18"/>
          <w:szCs w:val="18"/>
        </w:rPr>
        <w:t>It is also worth specifically noting that An Taisce’s comment that the filtration was only “partial” does not seem to have been specifically resolved subsequently.</w:t>
      </w:r>
    </w:p>
    <w:p w14:paraId="0C64F14B" w14:textId="77777777" w:rsidR="00A20F72" w:rsidRPr="00A20F72" w:rsidRDefault="00A20F72" w:rsidP="00A20F72">
      <w:pPr>
        <w:pStyle w:val="ListParagraph"/>
        <w:rPr>
          <w:rFonts w:ascii="Verdana" w:hAnsi="Verdana"/>
          <w:sz w:val="18"/>
          <w:szCs w:val="18"/>
        </w:rPr>
      </w:pPr>
    </w:p>
    <w:p w14:paraId="27240F3B" w14:textId="2BF03B48" w:rsidR="00D33C86"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On 6</w:t>
      </w:r>
      <w:r w:rsidRPr="00A20F72">
        <w:rPr>
          <w:rFonts w:ascii="Verdana" w:hAnsi="Verdana"/>
          <w:sz w:val="18"/>
          <w:szCs w:val="18"/>
          <w:vertAlign w:val="superscript"/>
        </w:rPr>
        <w:t>th</w:t>
      </w:r>
      <w:r w:rsidRPr="00A20F72">
        <w:rPr>
          <w:rFonts w:ascii="Verdana" w:hAnsi="Verdana"/>
          <w:sz w:val="18"/>
          <w:szCs w:val="18"/>
        </w:rPr>
        <w:t xml:space="preserve"> October, 2020, the board’s inspector reported recommending that permission be granted and concluding, following the EIA and AA screening, that a full assessment was not required.</w:t>
      </w:r>
    </w:p>
    <w:p w14:paraId="513A7F92" w14:textId="77777777" w:rsidR="00A20F72" w:rsidRPr="00A20F72" w:rsidRDefault="00A20F72" w:rsidP="00A20F72">
      <w:pPr>
        <w:pStyle w:val="ListParagraph"/>
        <w:rPr>
          <w:rFonts w:ascii="Verdana" w:hAnsi="Verdana"/>
          <w:sz w:val="18"/>
          <w:szCs w:val="18"/>
        </w:rPr>
      </w:pPr>
    </w:p>
    <w:p w14:paraId="5458B3FA" w14:textId="3743F4B5" w:rsidR="00D33C86"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The template used by the inspector in annex A of her report uses a format for EIA screening that differs in material respects from annex III</w:t>
      </w:r>
      <w:r w:rsidR="00CA06D4" w:rsidRPr="00A20F72">
        <w:rPr>
          <w:rFonts w:ascii="Verdana" w:hAnsi="Verdana"/>
          <w:sz w:val="18"/>
          <w:szCs w:val="18"/>
        </w:rPr>
        <w:t xml:space="preserve"> of the EIA directive</w:t>
      </w:r>
      <w:r w:rsidRPr="00A20F72">
        <w:rPr>
          <w:rFonts w:ascii="Verdana" w:hAnsi="Verdana"/>
          <w:sz w:val="18"/>
          <w:szCs w:val="18"/>
        </w:rPr>
        <w:t>.</w:t>
      </w:r>
      <w:r w:rsidR="00CA06D4" w:rsidRPr="00A20F72">
        <w:rPr>
          <w:rFonts w:ascii="Verdana" w:hAnsi="Verdana"/>
          <w:sz w:val="18"/>
          <w:szCs w:val="18"/>
        </w:rPr>
        <w:t xml:space="preserve">  The board suggested (rather at the eleventh hour, in submissions after the main hearing) that the headings in annex III could be found if one combs through the inspector’s report</w:t>
      </w:r>
      <w:r w:rsidR="0042670D" w:rsidRPr="00A20F72">
        <w:rPr>
          <w:rFonts w:ascii="Verdana" w:hAnsi="Verdana"/>
          <w:sz w:val="18"/>
          <w:szCs w:val="18"/>
        </w:rPr>
        <w:t>,</w:t>
      </w:r>
      <w:r w:rsidR="00CA06D4" w:rsidRPr="00A20F72">
        <w:rPr>
          <w:rFonts w:ascii="Verdana" w:hAnsi="Verdana"/>
          <w:sz w:val="18"/>
          <w:szCs w:val="18"/>
        </w:rPr>
        <w:t xml:space="preserve"> but I don’t accept that.  The correspondence between annex III and the inspector’s report seems far too opaque</w:t>
      </w:r>
      <w:r w:rsidR="008A634D" w:rsidRPr="00A20F72">
        <w:rPr>
          <w:rFonts w:ascii="Verdana" w:hAnsi="Verdana"/>
          <w:sz w:val="18"/>
          <w:szCs w:val="18"/>
        </w:rPr>
        <w:t>.</w:t>
      </w:r>
    </w:p>
    <w:p w14:paraId="2AA15226" w14:textId="77777777" w:rsidR="00A20F72" w:rsidRPr="00A20F72" w:rsidRDefault="00A20F72" w:rsidP="00A20F72">
      <w:pPr>
        <w:spacing w:line="360" w:lineRule="auto"/>
        <w:rPr>
          <w:rFonts w:ascii="Verdana" w:hAnsi="Verdana"/>
          <w:sz w:val="18"/>
          <w:szCs w:val="18"/>
        </w:rPr>
      </w:pPr>
    </w:p>
    <w:p w14:paraId="73B0264E" w14:textId="315F9ACC" w:rsidR="00CA06D4" w:rsidRPr="00A20F72" w:rsidRDefault="00CA06D4"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Turning then to the way in which the submissions from An Taisce and the council were addressed by the inspector, section 12 of her report deals with appropriate assessment.</w:t>
      </w:r>
      <w:r w:rsidR="0042670D" w:rsidRPr="00A20F72">
        <w:rPr>
          <w:rFonts w:ascii="Verdana" w:hAnsi="Verdana"/>
          <w:sz w:val="18"/>
          <w:szCs w:val="18"/>
        </w:rPr>
        <w:t xml:space="preserve">  </w:t>
      </w:r>
      <w:r w:rsidRPr="00A20F72">
        <w:rPr>
          <w:rFonts w:ascii="Verdana" w:hAnsi="Verdana"/>
          <w:sz w:val="18"/>
          <w:szCs w:val="18"/>
        </w:rPr>
        <w:t xml:space="preserve">Paragraph 12.1 notes the screening submission. </w:t>
      </w:r>
      <w:r w:rsidR="0042670D" w:rsidRPr="00A20F72">
        <w:rPr>
          <w:rFonts w:ascii="Verdana" w:hAnsi="Verdana"/>
          <w:sz w:val="18"/>
          <w:szCs w:val="18"/>
        </w:rPr>
        <w:t xml:space="preserve"> </w:t>
      </w:r>
      <w:r w:rsidRPr="00A20F72">
        <w:rPr>
          <w:rFonts w:ascii="Verdana" w:hAnsi="Verdana"/>
          <w:sz w:val="18"/>
          <w:szCs w:val="18"/>
        </w:rPr>
        <w:t xml:space="preserve">Paragraph 12.2 describes the development and para. 12.3 notes the proximity of European sites and qualifying interests. </w:t>
      </w:r>
      <w:r w:rsidR="0042670D" w:rsidRPr="00A20F72">
        <w:rPr>
          <w:rFonts w:ascii="Verdana" w:hAnsi="Verdana"/>
          <w:sz w:val="18"/>
          <w:szCs w:val="18"/>
        </w:rPr>
        <w:t xml:space="preserve"> </w:t>
      </w:r>
      <w:r w:rsidRPr="00A20F72">
        <w:rPr>
          <w:rFonts w:ascii="Verdana" w:hAnsi="Verdana"/>
          <w:sz w:val="18"/>
          <w:szCs w:val="18"/>
        </w:rPr>
        <w:t xml:space="preserve">Paragraphs 12.4 and 12.5 describe the conservation objectives of the European sites. </w:t>
      </w:r>
      <w:r w:rsidR="0042670D" w:rsidRPr="00A20F72">
        <w:rPr>
          <w:rFonts w:ascii="Verdana" w:hAnsi="Verdana"/>
          <w:sz w:val="18"/>
          <w:szCs w:val="18"/>
        </w:rPr>
        <w:t xml:space="preserve"> </w:t>
      </w:r>
      <w:r w:rsidRPr="00A20F72">
        <w:rPr>
          <w:rFonts w:ascii="Verdana" w:hAnsi="Verdana"/>
          <w:sz w:val="18"/>
          <w:szCs w:val="18"/>
        </w:rPr>
        <w:t xml:space="preserve">Paragraph 12.6 notes the location of the Kingfisher along the Boyne and Blackwater system and says that no habitats associated with this species are identified on the site. </w:t>
      </w:r>
      <w:r w:rsidR="0042670D" w:rsidRPr="00A20F72">
        <w:rPr>
          <w:rFonts w:ascii="Verdana" w:hAnsi="Verdana"/>
          <w:sz w:val="18"/>
          <w:szCs w:val="18"/>
        </w:rPr>
        <w:t xml:space="preserve"> </w:t>
      </w:r>
      <w:r w:rsidRPr="00A20F72">
        <w:rPr>
          <w:rFonts w:ascii="Verdana" w:hAnsi="Verdana"/>
          <w:sz w:val="18"/>
          <w:szCs w:val="18"/>
        </w:rPr>
        <w:t xml:space="preserve">It contends that the design of the surface water treatment takes account of the scale and nature of the proposed development and says that a road be constructed operated “in accordance with standard environmental features associated with a residential development”. </w:t>
      </w:r>
      <w:r w:rsidR="0042670D" w:rsidRPr="00A20F72">
        <w:rPr>
          <w:rFonts w:ascii="Verdana" w:hAnsi="Verdana"/>
          <w:sz w:val="18"/>
          <w:szCs w:val="18"/>
        </w:rPr>
        <w:t xml:space="preserve"> </w:t>
      </w:r>
      <w:r w:rsidRPr="00A20F72">
        <w:rPr>
          <w:rFonts w:ascii="Verdana" w:hAnsi="Verdana"/>
          <w:sz w:val="18"/>
          <w:szCs w:val="18"/>
        </w:rPr>
        <w:t xml:space="preserve">It asserts that it would not have the potential to have a significant impact on the water quality and hence qualifying interests of the SAC and SPA. </w:t>
      </w:r>
    </w:p>
    <w:p w14:paraId="47BA7FBD" w14:textId="0B98864F" w:rsidR="00CA06D4" w:rsidRDefault="00CA06D4"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Reference is made to the An Taisce submission, following which the inspector comments: “[t]rout is not listed as a qualifying interest for the River Boyne and River Blackwater SAC. I do not consider there is potential for any impact on the River Boyne through any hydrological connections via surface, ground and waste water pathway and therefore no potential for any significant adverse impact from the proposed development, on the qualifying criteria of River Boyne and River Blackwater SAC.”</w:t>
      </w:r>
    </w:p>
    <w:p w14:paraId="75654D01" w14:textId="77777777" w:rsidR="00F66F92" w:rsidRPr="00A20F72" w:rsidRDefault="00F66F92" w:rsidP="00F66F92">
      <w:pPr>
        <w:pStyle w:val="ListParagraph"/>
        <w:spacing w:line="360" w:lineRule="auto"/>
        <w:ind w:left="567"/>
        <w:rPr>
          <w:rFonts w:ascii="Verdana" w:hAnsi="Verdana"/>
          <w:sz w:val="18"/>
          <w:szCs w:val="18"/>
        </w:rPr>
      </w:pPr>
    </w:p>
    <w:p w14:paraId="58C343CF" w14:textId="47D0DECF" w:rsidR="00CA06D4" w:rsidRDefault="00CA06D4"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The conclusion of no impact is repeated at para. 12.7 in relation to both European sites and it is concluded at para. 12.8 that appropriate assessment is not required following the screening exercise.</w:t>
      </w:r>
    </w:p>
    <w:p w14:paraId="330094D9" w14:textId="77777777" w:rsidR="00F66F92" w:rsidRPr="00F66F92" w:rsidRDefault="00F66F92" w:rsidP="00F66F92">
      <w:pPr>
        <w:spacing w:line="360" w:lineRule="auto"/>
        <w:rPr>
          <w:rFonts w:ascii="Verdana" w:hAnsi="Verdana"/>
          <w:sz w:val="18"/>
          <w:szCs w:val="18"/>
        </w:rPr>
      </w:pPr>
    </w:p>
    <w:p w14:paraId="560D4758" w14:textId="00741153" w:rsidR="00CA06D4" w:rsidRDefault="00160CD6" w:rsidP="00A20F72">
      <w:pPr>
        <w:pStyle w:val="ListParagraph"/>
        <w:numPr>
          <w:ilvl w:val="0"/>
          <w:numId w:val="1"/>
        </w:numPr>
        <w:spacing w:line="360" w:lineRule="auto"/>
        <w:ind w:left="567" w:hanging="567"/>
        <w:rPr>
          <w:rFonts w:ascii="Verdana" w:hAnsi="Verdana"/>
          <w:sz w:val="18"/>
          <w:szCs w:val="18"/>
        </w:rPr>
      </w:pPr>
      <w:r>
        <w:rPr>
          <w:rFonts w:ascii="Verdana" w:hAnsi="Verdana"/>
          <w:sz w:val="18"/>
          <w:szCs w:val="18"/>
        </w:rPr>
        <w:t>In the report,</w:t>
      </w:r>
      <w:r w:rsidR="00CA06D4" w:rsidRPr="00A20F72">
        <w:rPr>
          <w:rFonts w:ascii="Verdana" w:hAnsi="Verdana"/>
          <w:sz w:val="18"/>
          <w:szCs w:val="18"/>
        </w:rPr>
        <w:t xml:space="preserve"> there are a variety of conditions proposed, for example ultimately condition 14 which requires the SUDS system to be agreed with the council</w:t>
      </w:r>
      <w:r>
        <w:rPr>
          <w:rFonts w:ascii="Verdana" w:hAnsi="Verdana"/>
          <w:sz w:val="18"/>
          <w:szCs w:val="18"/>
        </w:rPr>
        <w:t xml:space="preserve">; </w:t>
      </w:r>
      <w:r w:rsidR="00CA06D4" w:rsidRPr="00A20F72">
        <w:rPr>
          <w:rFonts w:ascii="Verdana" w:hAnsi="Verdana"/>
          <w:sz w:val="18"/>
          <w:szCs w:val="18"/>
        </w:rPr>
        <w:t xml:space="preserve">and one can see perhaps some relationship between some of the conditions and some of the points made, but the board or its inspector does not address those points in an explicit and detailed mode of reasoning. </w:t>
      </w:r>
      <w:r w:rsidR="00EC7BD9" w:rsidRPr="00A20F72">
        <w:rPr>
          <w:rFonts w:ascii="Verdana" w:hAnsi="Verdana"/>
          <w:sz w:val="18"/>
          <w:szCs w:val="18"/>
        </w:rPr>
        <w:t xml:space="preserve"> </w:t>
      </w:r>
      <w:r w:rsidR="00CA06D4" w:rsidRPr="00A20F72">
        <w:rPr>
          <w:rFonts w:ascii="Verdana" w:hAnsi="Verdana"/>
          <w:sz w:val="18"/>
          <w:szCs w:val="18"/>
        </w:rPr>
        <w:t xml:space="preserve">Even the requirement that the SUDS system be agreed with the council does not </w:t>
      </w:r>
      <w:r>
        <w:rPr>
          <w:rFonts w:ascii="Verdana" w:hAnsi="Verdana"/>
          <w:sz w:val="18"/>
          <w:szCs w:val="18"/>
        </w:rPr>
        <w:t>specifically</w:t>
      </w:r>
      <w:r w:rsidR="00CA06D4" w:rsidRPr="00A20F72">
        <w:rPr>
          <w:rFonts w:ascii="Verdana" w:hAnsi="Verdana"/>
          <w:sz w:val="18"/>
          <w:szCs w:val="18"/>
        </w:rPr>
        <w:t xml:space="preserve"> answer the point made by the council that </w:t>
      </w:r>
      <w:r w:rsidR="00CA06D4" w:rsidRPr="00160CD6">
        <w:rPr>
          <w:rFonts w:ascii="Verdana" w:hAnsi="Verdana"/>
          <w:i/>
          <w:sz w:val="18"/>
          <w:szCs w:val="18"/>
        </w:rPr>
        <w:t>the board</w:t>
      </w:r>
      <w:r w:rsidR="00CA06D4" w:rsidRPr="00A20F72">
        <w:rPr>
          <w:rFonts w:ascii="Verdana" w:hAnsi="Verdana"/>
          <w:sz w:val="18"/>
          <w:szCs w:val="18"/>
        </w:rPr>
        <w:t xml:space="preserve"> </w:t>
      </w:r>
      <w:r>
        <w:rPr>
          <w:rFonts w:ascii="Verdana" w:hAnsi="Verdana"/>
          <w:sz w:val="18"/>
          <w:szCs w:val="18"/>
        </w:rPr>
        <w:t xml:space="preserve">(that is, the competent authority granting development consent) </w:t>
      </w:r>
      <w:r w:rsidR="00CA06D4" w:rsidRPr="00A20F72">
        <w:rPr>
          <w:rFonts w:ascii="Verdana" w:hAnsi="Verdana"/>
          <w:sz w:val="18"/>
          <w:szCs w:val="18"/>
        </w:rPr>
        <w:t>should satisfy itself as to the adequacy of the system.</w:t>
      </w:r>
    </w:p>
    <w:p w14:paraId="37F18EBE" w14:textId="77777777" w:rsidR="00F66F92" w:rsidRPr="00F66F92" w:rsidRDefault="00F66F92" w:rsidP="00F66F92">
      <w:pPr>
        <w:spacing w:line="360" w:lineRule="auto"/>
        <w:rPr>
          <w:rFonts w:ascii="Verdana" w:hAnsi="Verdana"/>
          <w:sz w:val="18"/>
          <w:szCs w:val="18"/>
        </w:rPr>
      </w:pPr>
    </w:p>
    <w:p w14:paraId="163E6B89" w14:textId="7CF16212" w:rsidR="00CA06D4" w:rsidRDefault="00A939B7"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Thus the submissions were not </w:t>
      </w:r>
      <w:r w:rsidR="004B0CD4" w:rsidRPr="00A20F72">
        <w:rPr>
          <w:rFonts w:ascii="Verdana" w:hAnsi="Verdana"/>
          <w:sz w:val="18"/>
          <w:szCs w:val="18"/>
        </w:rPr>
        <w:t>individually</w:t>
      </w:r>
      <w:r w:rsidRPr="00A20F72">
        <w:rPr>
          <w:rFonts w:ascii="Verdana" w:hAnsi="Verdana"/>
          <w:sz w:val="18"/>
          <w:szCs w:val="18"/>
        </w:rPr>
        <w:t xml:space="preserve"> addressed</w:t>
      </w:r>
      <w:r w:rsidR="00160CD6">
        <w:rPr>
          <w:rFonts w:ascii="Verdana" w:hAnsi="Verdana"/>
          <w:sz w:val="18"/>
          <w:szCs w:val="18"/>
        </w:rPr>
        <w:t>,</w:t>
      </w:r>
      <w:r w:rsidRPr="00A20F72">
        <w:rPr>
          <w:rFonts w:ascii="Verdana" w:hAnsi="Verdana"/>
          <w:sz w:val="18"/>
          <w:szCs w:val="18"/>
        </w:rPr>
        <w:t xml:space="preserve"> </w:t>
      </w:r>
      <w:r w:rsidR="004B0CD4" w:rsidRPr="00A20F72">
        <w:rPr>
          <w:rFonts w:ascii="Verdana" w:hAnsi="Verdana"/>
          <w:sz w:val="18"/>
          <w:szCs w:val="18"/>
        </w:rPr>
        <w:t>raising</w:t>
      </w:r>
      <w:r w:rsidRPr="00A20F72">
        <w:rPr>
          <w:rFonts w:ascii="Verdana" w:hAnsi="Verdana"/>
          <w:sz w:val="18"/>
          <w:szCs w:val="18"/>
        </w:rPr>
        <w:t xml:space="preserve"> the question as to whether the competent authority must give an explicit and detailed statement of reasons capable of dispelling all reasonable scientific doubt concerning the effects of the works envisaged on the European site concerned, and that expressly and individually removes each of the doubts raised in that regard during the public participation process.</w:t>
      </w:r>
    </w:p>
    <w:p w14:paraId="735337EE" w14:textId="77777777" w:rsidR="00F66F92" w:rsidRPr="00F66F92" w:rsidRDefault="00F66F92" w:rsidP="00F66F92">
      <w:pPr>
        <w:spacing w:line="360" w:lineRule="auto"/>
        <w:rPr>
          <w:rFonts w:ascii="Verdana" w:hAnsi="Verdana"/>
          <w:sz w:val="18"/>
          <w:szCs w:val="18"/>
        </w:rPr>
      </w:pPr>
    </w:p>
    <w:p w14:paraId="7126BF3B" w14:textId="53ED2861" w:rsidR="00D33C86"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On 22</w:t>
      </w:r>
      <w:r w:rsidRPr="00A20F72">
        <w:rPr>
          <w:rFonts w:ascii="Verdana" w:hAnsi="Verdana"/>
          <w:sz w:val="18"/>
          <w:szCs w:val="18"/>
          <w:vertAlign w:val="superscript"/>
        </w:rPr>
        <w:t>nd</w:t>
      </w:r>
      <w:r w:rsidRPr="00A20F72">
        <w:rPr>
          <w:rFonts w:ascii="Verdana" w:hAnsi="Verdana"/>
          <w:sz w:val="18"/>
          <w:szCs w:val="18"/>
        </w:rPr>
        <w:t xml:space="preserve"> October, 2020, the board </w:t>
      </w:r>
      <w:r w:rsidR="00160CD6">
        <w:rPr>
          <w:rFonts w:ascii="Verdana" w:hAnsi="Verdana"/>
          <w:sz w:val="18"/>
          <w:szCs w:val="18"/>
        </w:rPr>
        <w:t>gave</w:t>
      </w:r>
      <w:r w:rsidRPr="00A20F72">
        <w:rPr>
          <w:rFonts w:ascii="Verdana" w:hAnsi="Verdana"/>
          <w:sz w:val="18"/>
          <w:szCs w:val="18"/>
        </w:rPr>
        <w:t xml:space="preserve"> a direction to grant permission generally in accordance with the inspector’s recommendation and on 27</w:t>
      </w:r>
      <w:r w:rsidRPr="00A20F72">
        <w:rPr>
          <w:rFonts w:ascii="Verdana" w:hAnsi="Verdana"/>
          <w:sz w:val="18"/>
          <w:szCs w:val="18"/>
          <w:vertAlign w:val="superscript"/>
        </w:rPr>
        <w:t>th</w:t>
      </w:r>
      <w:r w:rsidRPr="00A20F72">
        <w:rPr>
          <w:rFonts w:ascii="Verdana" w:hAnsi="Verdana"/>
          <w:sz w:val="18"/>
          <w:szCs w:val="18"/>
        </w:rPr>
        <w:t xml:space="preserve"> October, 2020 permission was formally granted by decision of the board under the strategic housing development procedure.</w:t>
      </w:r>
    </w:p>
    <w:p w14:paraId="4BCEDDF3" w14:textId="77777777" w:rsidR="00F66F92" w:rsidRPr="00F66F92" w:rsidRDefault="00F66F92" w:rsidP="00F66F92">
      <w:pPr>
        <w:spacing w:line="360" w:lineRule="auto"/>
        <w:rPr>
          <w:rFonts w:ascii="Verdana" w:hAnsi="Verdana"/>
          <w:sz w:val="18"/>
          <w:szCs w:val="18"/>
        </w:rPr>
      </w:pPr>
    </w:p>
    <w:p w14:paraId="422BF4BE" w14:textId="494EB99E" w:rsidR="00E95E2C" w:rsidRDefault="00E95E2C"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board didn’t spell out in what documents exactly </w:t>
      </w:r>
      <w:r w:rsidR="00A939B7" w:rsidRPr="00A20F72">
        <w:rPr>
          <w:rFonts w:ascii="Verdana" w:hAnsi="Verdana"/>
          <w:sz w:val="18"/>
          <w:szCs w:val="18"/>
        </w:rPr>
        <w:t xml:space="preserve">contained the reasoning for the purposes of EIA and AA.  It seems to have been the intention that the reasoning is contained in the </w:t>
      </w:r>
      <w:r w:rsidR="004B0CD4" w:rsidRPr="00A20F72">
        <w:rPr>
          <w:rFonts w:ascii="Verdana" w:hAnsi="Verdana"/>
          <w:sz w:val="18"/>
          <w:szCs w:val="18"/>
        </w:rPr>
        <w:t>inspector’s</w:t>
      </w:r>
      <w:r w:rsidR="00A939B7" w:rsidRPr="00A20F72">
        <w:rPr>
          <w:rFonts w:ascii="Verdana" w:hAnsi="Verdana"/>
          <w:sz w:val="18"/>
          <w:szCs w:val="18"/>
        </w:rPr>
        <w:t xml:space="preserve"> report, </w:t>
      </w:r>
      <w:r w:rsidR="0042670D" w:rsidRPr="00A20F72">
        <w:rPr>
          <w:rFonts w:ascii="Verdana" w:hAnsi="Verdana"/>
          <w:sz w:val="18"/>
          <w:szCs w:val="18"/>
        </w:rPr>
        <w:t>a</w:t>
      </w:r>
      <w:r w:rsidR="00A939B7" w:rsidRPr="00A20F72">
        <w:rPr>
          <w:rFonts w:ascii="Verdana" w:hAnsi="Verdana"/>
          <w:sz w:val="18"/>
          <w:szCs w:val="18"/>
        </w:rPr>
        <w:t>ppendix A of that document, and the reports submitted by the developer where referred to by the inspector</w:t>
      </w:r>
      <w:r w:rsidR="0042670D" w:rsidRPr="00A20F72">
        <w:rPr>
          <w:rFonts w:ascii="Verdana" w:hAnsi="Verdana"/>
          <w:sz w:val="18"/>
          <w:szCs w:val="18"/>
        </w:rPr>
        <w:t>,</w:t>
      </w:r>
      <w:r w:rsidR="00A939B7" w:rsidRPr="00A20F72">
        <w:rPr>
          <w:rFonts w:ascii="Verdana" w:hAnsi="Verdana"/>
          <w:sz w:val="18"/>
          <w:szCs w:val="18"/>
        </w:rPr>
        <w:t xml:space="preserve"> which presumably was intended to be a form of adoption of that material.</w:t>
      </w:r>
    </w:p>
    <w:p w14:paraId="6C33BABD" w14:textId="77777777" w:rsidR="00F66F92" w:rsidRPr="00F66F92" w:rsidRDefault="00F66F92" w:rsidP="00F66F92">
      <w:pPr>
        <w:spacing w:line="360" w:lineRule="auto"/>
        <w:rPr>
          <w:rFonts w:ascii="Verdana" w:hAnsi="Verdana"/>
          <w:sz w:val="18"/>
          <w:szCs w:val="18"/>
        </w:rPr>
      </w:pPr>
    </w:p>
    <w:p w14:paraId="575EADB6" w14:textId="01B3F5B4" w:rsidR="00D33C86"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On 14</w:t>
      </w:r>
      <w:r w:rsidRPr="00A20F72">
        <w:rPr>
          <w:rFonts w:ascii="Verdana" w:hAnsi="Verdana"/>
          <w:sz w:val="18"/>
          <w:szCs w:val="18"/>
          <w:vertAlign w:val="superscript"/>
        </w:rPr>
        <w:t>th</w:t>
      </w:r>
      <w:r w:rsidRPr="00A20F72">
        <w:rPr>
          <w:rFonts w:ascii="Verdana" w:hAnsi="Verdana"/>
          <w:sz w:val="18"/>
          <w:szCs w:val="18"/>
        </w:rPr>
        <w:t xml:space="preserve"> January, 2021, I granted leave in the present proceedings, the primary relief sought being an order of </w:t>
      </w:r>
      <w:r w:rsidRPr="00A20F72">
        <w:rPr>
          <w:rFonts w:ascii="Verdana" w:hAnsi="Verdana"/>
          <w:i/>
          <w:iCs/>
          <w:sz w:val="18"/>
          <w:szCs w:val="18"/>
        </w:rPr>
        <w:t>certiorari</w:t>
      </w:r>
      <w:r w:rsidRPr="00A20F72">
        <w:rPr>
          <w:rFonts w:ascii="Verdana" w:hAnsi="Verdana"/>
          <w:sz w:val="18"/>
          <w:szCs w:val="18"/>
        </w:rPr>
        <w:t xml:space="preserve"> directed to the decision of 27</w:t>
      </w:r>
      <w:r w:rsidRPr="00A20F72">
        <w:rPr>
          <w:rFonts w:ascii="Verdana" w:hAnsi="Verdana"/>
          <w:sz w:val="18"/>
          <w:szCs w:val="18"/>
          <w:vertAlign w:val="superscript"/>
        </w:rPr>
        <w:t>th</w:t>
      </w:r>
      <w:r w:rsidRPr="00A20F72">
        <w:rPr>
          <w:rFonts w:ascii="Verdana" w:hAnsi="Verdana"/>
          <w:sz w:val="18"/>
          <w:szCs w:val="18"/>
        </w:rPr>
        <w:t xml:space="preserve"> October, 2020.</w:t>
      </w:r>
    </w:p>
    <w:p w14:paraId="6FE5BCED" w14:textId="77777777" w:rsidR="00F66F92" w:rsidRPr="00F66F92" w:rsidRDefault="00F66F92" w:rsidP="00F66F92">
      <w:pPr>
        <w:spacing w:line="360" w:lineRule="auto"/>
        <w:rPr>
          <w:rFonts w:ascii="Verdana" w:hAnsi="Verdana"/>
          <w:sz w:val="18"/>
          <w:szCs w:val="18"/>
        </w:rPr>
      </w:pPr>
    </w:p>
    <w:p w14:paraId="25B33D52" w14:textId="3CA23E4D" w:rsidR="00D33C86"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The matter was heard on 23</w:t>
      </w:r>
      <w:r w:rsidRPr="00A20F72">
        <w:rPr>
          <w:rFonts w:ascii="Verdana" w:hAnsi="Verdana"/>
          <w:sz w:val="18"/>
          <w:szCs w:val="18"/>
          <w:vertAlign w:val="superscript"/>
        </w:rPr>
        <w:t>rd</w:t>
      </w:r>
      <w:r w:rsidRPr="00A20F72">
        <w:rPr>
          <w:rFonts w:ascii="Verdana" w:hAnsi="Verdana"/>
          <w:sz w:val="18"/>
          <w:szCs w:val="18"/>
        </w:rPr>
        <w:t xml:space="preserve"> to 25</w:t>
      </w:r>
      <w:r w:rsidRPr="00A20F72">
        <w:rPr>
          <w:rFonts w:ascii="Verdana" w:hAnsi="Verdana"/>
          <w:sz w:val="18"/>
          <w:szCs w:val="18"/>
          <w:vertAlign w:val="superscript"/>
        </w:rPr>
        <w:t>th</w:t>
      </w:r>
      <w:r w:rsidRPr="00A20F72">
        <w:rPr>
          <w:rFonts w:ascii="Verdana" w:hAnsi="Verdana"/>
          <w:sz w:val="18"/>
          <w:szCs w:val="18"/>
        </w:rPr>
        <w:t xml:space="preserve"> February, 2021, and at the conclusion of the hearing I permitted the applicant to put in a further formal affidavit exhibiting an additional document</w:t>
      </w:r>
      <w:r w:rsidR="008A634D" w:rsidRPr="00A20F72">
        <w:rPr>
          <w:rFonts w:ascii="Verdana" w:hAnsi="Verdana"/>
          <w:sz w:val="18"/>
          <w:szCs w:val="18"/>
        </w:rPr>
        <w:t xml:space="preserve"> (the statement of grounds in a separate but relevant set of proceedings)</w:t>
      </w:r>
      <w:r w:rsidRPr="00A20F72">
        <w:rPr>
          <w:rFonts w:ascii="Verdana" w:hAnsi="Verdana"/>
          <w:sz w:val="18"/>
          <w:szCs w:val="18"/>
        </w:rPr>
        <w:t xml:space="preserve"> subject to further follow-up written submissions and replies</w:t>
      </w:r>
      <w:r w:rsidR="00F66F92">
        <w:rPr>
          <w:rFonts w:ascii="Verdana" w:hAnsi="Verdana"/>
          <w:sz w:val="18"/>
          <w:szCs w:val="18"/>
        </w:rPr>
        <w:t>.</w:t>
      </w:r>
    </w:p>
    <w:p w14:paraId="373CDB34" w14:textId="77777777" w:rsidR="00F66F92" w:rsidRPr="00F66F92" w:rsidRDefault="00F66F92" w:rsidP="00F66F92">
      <w:pPr>
        <w:spacing w:line="360" w:lineRule="auto"/>
        <w:rPr>
          <w:rFonts w:ascii="Verdana" w:hAnsi="Verdana"/>
          <w:sz w:val="18"/>
          <w:szCs w:val="18"/>
        </w:rPr>
      </w:pPr>
    </w:p>
    <w:p w14:paraId="7F71BC6C" w14:textId="09960943" w:rsidR="00D33C86"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Following further submissions I reserved judgment</w:t>
      </w:r>
      <w:r w:rsidR="000509FB" w:rsidRPr="00A20F72">
        <w:rPr>
          <w:rFonts w:ascii="Verdana" w:hAnsi="Verdana"/>
          <w:sz w:val="18"/>
          <w:szCs w:val="18"/>
        </w:rPr>
        <w:t xml:space="preserve"> and in</w:t>
      </w:r>
      <w:r w:rsidRPr="00A20F72">
        <w:rPr>
          <w:rFonts w:ascii="Verdana" w:hAnsi="Verdana"/>
          <w:sz w:val="18"/>
          <w:szCs w:val="18"/>
        </w:rPr>
        <w:t xml:space="preserve"> </w:t>
      </w:r>
      <w:r w:rsidRPr="00A20F72">
        <w:rPr>
          <w:rFonts w:ascii="Verdana" w:hAnsi="Verdana"/>
          <w:i/>
          <w:iCs/>
          <w:sz w:val="18"/>
          <w:szCs w:val="18"/>
        </w:rPr>
        <w:t>Eco Advocacy</w:t>
      </w:r>
      <w:r w:rsidR="0042670D" w:rsidRPr="00A20F72">
        <w:rPr>
          <w:rFonts w:ascii="Verdana" w:hAnsi="Verdana"/>
          <w:i/>
          <w:iCs/>
          <w:sz w:val="18"/>
          <w:szCs w:val="18"/>
        </w:rPr>
        <w:t xml:space="preserve"> CLG</w:t>
      </w:r>
      <w:r w:rsidRPr="00A20F72">
        <w:rPr>
          <w:rFonts w:ascii="Verdana" w:hAnsi="Verdana"/>
          <w:i/>
          <w:iCs/>
          <w:sz w:val="18"/>
          <w:szCs w:val="18"/>
        </w:rPr>
        <w:t xml:space="preserve"> v. An Bord Pleanála</w:t>
      </w:r>
      <w:r w:rsidR="00EC7BD9" w:rsidRPr="00A20F72">
        <w:rPr>
          <w:rFonts w:ascii="Verdana" w:hAnsi="Verdana"/>
          <w:i/>
          <w:iCs/>
          <w:sz w:val="18"/>
          <w:szCs w:val="18"/>
        </w:rPr>
        <w:t xml:space="preserve"> (No. 1)</w:t>
      </w:r>
      <w:r w:rsidRPr="00A20F72">
        <w:rPr>
          <w:rFonts w:ascii="Verdana" w:hAnsi="Verdana"/>
          <w:sz w:val="18"/>
          <w:szCs w:val="18"/>
        </w:rPr>
        <w:t xml:space="preserve"> [2021] IEHC 265</w:t>
      </w:r>
      <w:r w:rsidR="0042670D" w:rsidRPr="00A20F72">
        <w:rPr>
          <w:rFonts w:ascii="Verdana" w:hAnsi="Verdana"/>
          <w:sz w:val="18"/>
          <w:szCs w:val="18"/>
        </w:rPr>
        <w:t xml:space="preserve"> (Unreported, High Court, 27</w:t>
      </w:r>
      <w:r w:rsidR="0042670D" w:rsidRPr="00A20F72">
        <w:rPr>
          <w:rFonts w:ascii="Verdana" w:hAnsi="Verdana"/>
          <w:sz w:val="18"/>
          <w:szCs w:val="18"/>
          <w:vertAlign w:val="superscript"/>
        </w:rPr>
        <w:t>th</w:t>
      </w:r>
      <w:r w:rsidR="0042670D" w:rsidRPr="00A20F72">
        <w:rPr>
          <w:rFonts w:ascii="Verdana" w:hAnsi="Verdana"/>
          <w:sz w:val="18"/>
          <w:szCs w:val="18"/>
        </w:rPr>
        <w:t xml:space="preserve"> May, 2021),</w:t>
      </w:r>
      <w:r w:rsidRPr="00A20F72">
        <w:rPr>
          <w:rFonts w:ascii="Verdana" w:hAnsi="Verdana"/>
          <w:sz w:val="18"/>
          <w:szCs w:val="18"/>
        </w:rPr>
        <w:t xml:space="preserve"> I rejected certain preliminary objections to the challenge and then rejected the challenge insofar as it was based on </w:t>
      </w:r>
      <w:r w:rsidR="00160CD6">
        <w:rPr>
          <w:rFonts w:ascii="Verdana" w:hAnsi="Verdana"/>
          <w:sz w:val="18"/>
          <w:szCs w:val="18"/>
        </w:rPr>
        <w:t>domestic</w:t>
      </w:r>
      <w:r w:rsidRPr="00A20F72">
        <w:rPr>
          <w:rFonts w:ascii="Verdana" w:hAnsi="Verdana"/>
          <w:sz w:val="18"/>
          <w:szCs w:val="18"/>
        </w:rPr>
        <w:t xml:space="preserve"> law</w:t>
      </w:r>
      <w:r w:rsidR="008A634D" w:rsidRPr="00A20F72">
        <w:rPr>
          <w:rFonts w:ascii="Verdana" w:hAnsi="Verdana"/>
          <w:sz w:val="18"/>
          <w:szCs w:val="18"/>
        </w:rPr>
        <w:t xml:space="preserve">.  I </w:t>
      </w:r>
      <w:r w:rsidRPr="00A20F72">
        <w:rPr>
          <w:rFonts w:ascii="Verdana" w:hAnsi="Verdana"/>
          <w:sz w:val="18"/>
          <w:szCs w:val="18"/>
        </w:rPr>
        <w:t>also rejected certain EU law points.  I decided in principle to refer the remaining EU law questions to the CJEU under art. 267 TFEU.</w:t>
      </w:r>
    </w:p>
    <w:p w14:paraId="1489AF1B" w14:textId="77777777" w:rsidR="00F66F92" w:rsidRPr="00F66F92" w:rsidRDefault="00F66F92" w:rsidP="00F66F92">
      <w:pPr>
        <w:spacing w:line="360" w:lineRule="auto"/>
        <w:rPr>
          <w:rFonts w:ascii="Verdana" w:hAnsi="Verdana"/>
          <w:sz w:val="18"/>
          <w:szCs w:val="18"/>
        </w:rPr>
      </w:pPr>
    </w:p>
    <w:p w14:paraId="0A3AB3B4" w14:textId="60E7385E" w:rsidR="00D33C86" w:rsidRDefault="00D33C86"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When the matter was listed for mention on 12</w:t>
      </w:r>
      <w:r w:rsidRPr="00A20F72">
        <w:rPr>
          <w:rFonts w:ascii="Verdana" w:hAnsi="Verdana"/>
          <w:sz w:val="18"/>
          <w:szCs w:val="18"/>
          <w:vertAlign w:val="superscript"/>
        </w:rPr>
        <w:t>th</w:t>
      </w:r>
      <w:r w:rsidRPr="00A20F72">
        <w:rPr>
          <w:rFonts w:ascii="Verdana" w:hAnsi="Verdana"/>
          <w:sz w:val="18"/>
          <w:szCs w:val="18"/>
        </w:rPr>
        <w:t xml:space="preserve"> July, 2021 the solicitor for An Taisce and ClientEarth indicated </w:t>
      </w:r>
      <w:r w:rsidR="00947C7A" w:rsidRPr="00A20F72">
        <w:rPr>
          <w:rFonts w:ascii="Verdana" w:hAnsi="Verdana"/>
          <w:sz w:val="18"/>
          <w:szCs w:val="18"/>
        </w:rPr>
        <w:t>a willingness</w:t>
      </w:r>
      <w:r w:rsidRPr="00A20F72">
        <w:rPr>
          <w:rFonts w:ascii="Verdana" w:hAnsi="Verdana"/>
          <w:sz w:val="18"/>
          <w:szCs w:val="18"/>
        </w:rPr>
        <w:t xml:space="preserve"> to be heard as </w:t>
      </w:r>
      <w:r w:rsidRPr="00A20F72">
        <w:rPr>
          <w:rFonts w:ascii="Verdana" w:hAnsi="Verdana"/>
          <w:i/>
          <w:iCs/>
          <w:sz w:val="18"/>
          <w:szCs w:val="18"/>
        </w:rPr>
        <w:t>amici curiae</w:t>
      </w:r>
      <w:r w:rsidRPr="00A20F72">
        <w:rPr>
          <w:rFonts w:ascii="Verdana" w:hAnsi="Verdana"/>
          <w:sz w:val="18"/>
          <w:szCs w:val="18"/>
        </w:rPr>
        <w:t xml:space="preserve">.  </w:t>
      </w:r>
      <w:r w:rsidR="00160CD6">
        <w:rPr>
          <w:rFonts w:ascii="Verdana" w:hAnsi="Verdana"/>
          <w:sz w:val="18"/>
          <w:szCs w:val="18"/>
        </w:rPr>
        <w:t xml:space="preserve">On the applicant’s application, </w:t>
      </w:r>
      <w:r w:rsidRPr="00A20F72">
        <w:rPr>
          <w:rFonts w:ascii="Verdana" w:hAnsi="Verdana"/>
          <w:sz w:val="18"/>
          <w:szCs w:val="18"/>
        </w:rPr>
        <w:t xml:space="preserve">I </w:t>
      </w:r>
      <w:r w:rsidR="00947C7A" w:rsidRPr="00A20F72">
        <w:rPr>
          <w:rFonts w:ascii="Verdana" w:hAnsi="Verdana"/>
          <w:sz w:val="18"/>
          <w:szCs w:val="18"/>
        </w:rPr>
        <w:t xml:space="preserve">joined those parties as </w:t>
      </w:r>
      <w:r w:rsidR="00947C7A" w:rsidRPr="00A20F72">
        <w:rPr>
          <w:rFonts w:ascii="Verdana" w:hAnsi="Verdana"/>
          <w:i/>
          <w:iCs/>
          <w:sz w:val="18"/>
          <w:szCs w:val="18"/>
        </w:rPr>
        <w:t>amici</w:t>
      </w:r>
      <w:r w:rsidR="00947C7A" w:rsidRPr="00A20F72">
        <w:rPr>
          <w:rFonts w:ascii="Verdana" w:hAnsi="Verdana"/>
          <w:sz w:val="18"/>
          <w:szCs w:val="18"/>
        </w:rPr>
        <w:t xml:space="preserve"> on 27</w:t>
      </w:r>
      <w:r w:rsidRPr="00A20F72">
        <w:rPr>
          <w:rFonts w:ascii="Verdana" w:hAnsi="Verdana"/>
          <w:sz w:val="18"/>
          <w:szCs w:val="18"/>
          <w:vertAlign w:val="superscript"/>
        </w:rPr>
        <w:t>th</w:t>
      </w:r>
      <w:r w:rsidRPr="00A20F72">
        <w:rPr>
          <w:rFonts w:ascii="Verdana" w:hAnsi="Verdana"/>
          <w:sz w:val="18"/>
          <w:szCs w:val="18"/>
        </w:rPr>
        <w:t xml:space="preserve"> July, 2021</w:t>
      </w:r>
      <w:r w:rsidR="00947C7A" w:rsidRPr="00A20F72">
        <w:rPr>
          <w:rFonts w:ascii="Verdana" w:hAnsi="Verdana"/>
          <w:sz w:val="18"/>
          <w:szCs w:val="18"/>
        </w:rPr>
        <w:t>.</w:t>
      </w:r>
      <w:r w:rsidR="002E6F9F">
        <w:rPr>
          <w:rFonts w:ascii="Verdana" w:hAnsi="Verdana"/>
          <w:sz w:val="18"/>
          <w:szCs w:val="18"/>
        </w:rPr>
        <w:t xml:space="preserve">  As well as the parties proper, the </w:t>
      </w:r>
      <w:r w:rsidR="002E6F9F" w:rsidRPr="00047CAD">
        <w:rPr>
          <w:rFonts w:ascii="Verdana" w:hAnsi="Verdana"/>
          <w:i/>
          <w:iCs/>
          <w:sz w:val="18"/>
          <w:szCs w:val="18"/>
        </w:rPr>
        <w:t>amici</w:t>
      </w:r>
      <w:r w:rsidR="002E6F9F">
        <w:rPr>
          <w:rFonts w:ascii="Verdana" w:hAnsi="Verdana"/>
          <w:sz w:val="18"/>
          <w:szCs w:val="18"/>
        </w:rPr>
        <w:t xml:space="preserve"> were also given the opportunity to make submissions, which</w:t>
      </w:r>
      <w:r w:rsidR="00047CAD">
        <w:rPr>
          <w:rFonts w:ascii="Verdana" w:hAnsi="Verdana"/>
          <w:sz w:val="18"/>
          <w:szCs w:val="18"/>
        </w:rPr>
        <w:t>,</w:t>
      </w:r>
      <w:r w:rsidR="002E6F9F">
        <w:rPr>
          <w:rFonts w:ascii="Verdana" w:hAnsi="Verdana"/>
          <w:sz w:val="18"/>
          <w:szCs w:val="18"/>
        </w:rPr>
        <w:t xml:space="preserve"> without taking in any way </w:t>
      </w:r>
      <w:r w:rsidR="00047CAD">
        <w:rPr>
          <w:rFonts w:ascii="Verdana" w:hAnsi="Verdana"/>
          <w:sz w:val="18"/>
          <w:szCs w:val="18"/>
        </w:rPr>
        <w:t xml:space="preserve">whatsoever </w:t>
      </w:r>
      <w:r w:rsidR="002E6F9F">
        <w:rPr>
          <w:rFonts w:ascii="Verdana" w:hAnsi="Verdana"/>
          <w:sz w:val="18"/>
          <w:szCs w:val="18"/>
        </w:rPr>
        <w:t xml:space="preserve">from </w:t>
      </w:r>
      <w:r w:rsidR="00047CAD">
        <w:rPr>
          <w:rFonts w:ascii="Verdana" w:hAnsi="Verdana"/>
          <w:sz w:val="18"/>
          <w:szCs w:val="18"/>
        </w:rPr>
        <w:t>the excellent submissions made by everyone</w:t>
      </w:r>
      <w:r w:rsidR="002E6F9F">
        <w:rPr>
          <w:rFonts w:ascii="Verdana" w:hAnsi="Verdana"/>
          <w:sz w:val="18"/>
          <w:szCs w:val="18"/>
        </w:rPr>
        <w:t xml:space="preserve"> else, I found to be particularly helpful in </w:t>
      </w:r>
      <w:r w:rsidR="00047CAD">
        <w:rPr>
          <w:rFonts w:ascii="Verdana" w:hAnsi="Verdana"/>
          <w:sz w:val="18"/>
          <w:szCs w:val="18"/>
        </w:rPr>
        <w:t>crystallising</w:t>
      </w:r>
      <w:r w:rsidR="002E6F9F">
        <w:rPr>
          <w:rFonts w:ascii="Verdana" w:hAnsi="Verdana"/>
          <w:sz w:val="18"/>
          <w:szCs w:val="18"/>
        </w:rPr>
        <w:t xml:space="preserve"> the issues and clarifying my own thinking.  </w:t>
      </w:r>
      <w:r w:rsidR="00047CAD">
        <w:rPr>
          <w:rFonts w:ascii="Verdana" w:hAnsi="Verdana"/>
          <w:sz w:val="18"/>
          <w:szCs w:val="18"/>
        </w:rPr>
        <w:t xml:space="preserve">I think this case demonstrates that the applicant was very well advised to apply to apply for the joinder the </w:t>
      </w:r>
      <w:r w:rsidR="00047CAD" w:rsidRPr="00047CAD">
        <w:rPr>
          <w:rFonts w:ascii="Verdana" w:hAnsi="Verdana"/>
          <w:i/>
          <w:iCs/>
          <w:sz w:val="18"/>
          <w:szCs w:val="18"/>
        </w:rPr>
        <w:t>amici</w:t>
      </w:r>
      <w:r w:rsidR="00047CAD">
        <w:rPr>
          <w:rFonts w:ascii="Verdana" w:hAnsi="Verdana"/>
          <w:sz w:val="18"/>
          <w:szCs w:val="18"/>
        </w:rPr>
        <w:t xml:space="preserve"> here, which was a genuinely helpful exercise, as far as I am concerned.   </w:t>
      </w:r>
    </w:p>
    <w:p w14:paraId="44C151B7" w14:textId="77777777" w:rsidR="00F66F92" w:rsidRPr="00F66F92" w:rsidRDefault="00F66F92" w:rsidP="00F66F92">
      <w:pPr>
        <w:spacing w:line="360" w:lineRule="auto"/>
        <w:rPr>
          <w:rFonts w:ascii="Verdana" w:hAnsi="Verdana"/>
          <w:sz w:val="18"/>
          <w:szCs w:val="18"/>
        </w:rPr>
      </w:pPr>
    </w:p>
    <w:p w14:paraId="38FB5C77" w14:textId="06AAC75B" w:rsidR="00281A6F" w:rsidRPr="00A20F72" w:rsidRDefault="00281A6F" w:rsidP="00A20F72">
      <w:pPr>
        <w:pStyle w:val="ListParagraph"/>
        <w:spacing w:line="360" w:lineRule="auto"/>
        <w:ind w:left="567" w:hanging="567"/>
        <w:rPr>
          <w:rFonts w:ascii="Verdana" w:hAnsi="Verdana"/>
          <w:b/>
          <w:bCs/>
          <w:sz w:val="18"/>
          <w:szCs w:val="18"/>
          <w:u w:val="single"/>
        </w:rPr>
      </w:pPr>
      <w:r w:rsidRPr="00A20F72">
        <w:rPr>
          <w:rFonts w:ascii="Verdana" w:hAnsi="Verdana"/>
          <w:b/>
          <w:bCs/>
          <w:sz w:val="18"/>
          <w:szCs w:val="18"/>
          <w:u w:val="single"/>
        </w:rPr>
        <w:t>Relevant legal materials</w:t>
      </w:r>
    </w:p>
    <w:p w14:paraId="650CAF92" w14:textId="31A9CF09" w:rsidR="00F66F92" w:rsidRDefault="00281A6F" w:rsidP="00F66F9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A list of the relevant EU, international and domestic legal material is set out in the appendix to the judgment together with web links.</w:t>
      </w:r>
    </w:p>
    <w:p w14:paraId="5A78600A" w14:textId="77777777" w:rsidR="00F66F92" w:rsidRPr="00F66F92" w:rsidRDefault="00F66F92" w:rsidP="00F66F92">
      <w:pPr>
        <w:pStyle w:val="ListParagraph"/>
        <w:spacing w:line="360" w:lineRule="auto"/>
        <w:ind w:left="567"/>
        <w:rPr>
          <w:rFonts w:ascii="Verdana" w:hAnsi="Verdana"/>
          <w:sz w:val="18"/>
          <w:szCs w:val="18"/>
        </w:rPr>
      </w:pPr>
    </w:p>
    <w:p w14:paraId="56C3956D" w14:textId="5300EEA2" w:rsidR="00940A45" w:rsidRPr="00A20F72" w:rsidRDefault="00940A45" w:rsidP="00A20F72">
      <w:pPr>
        <w:spacing w:line="360" w:lineRule="auto"/>
        <w:ind w:left="567" w:hanging="567"/>
        <w:rPr>
          <w:rFonts w:ascii="Verdana" w:hAnsi="Verdana"/>
          <w:b/>
          <w:sz w:val="18"/>
          <w:szCs w:val="18"/>
          <w:u w:val="single"/>
        </w:rPr>
      </w:pPr>
      <w:r w:rsidRPr="00A20F72">
        <w:rPr>
          <w:rFonts w:ascii="Verdana" w:hAnsi="Verdana"/>
          <w:b/>
          <w:sz w:val="18"/>
          <w:szCs w:val="18"/>
          <w:u w:val="single"/>
        </w:rPr>
        <w:t>The</w:t>
      </w:r>
      <w:r w:rsidR="008F7F3C" w:rsidRPr="00A20F72">
        <w:rPr>
          <w:rFonts w:ascii="Verdana" w:hAnsi="Verdana"/>
          <w:b/>
          <w:sz w:val="18"/>
          <w:szCs w:val="18"/>
          <w:u w:val="single"/>
        </w:rPr>
        <w:t xml:space="preserve"> relevant</w:t>
      </w:r>
      <w:r w:rsidRPr="00A20F72">
        <w:rPr>
          <w:rFonts w:ascii="Verdana" w:hAnsi="Verdana"/>
          <w:b/>
          <w:sz w:val="18"/>
          <w:szCs w:val="18"/>
          <w:u w:val="single"/>
        </w:rPr>
        <w:t xml:space="preserve"> grounds of challenge</w:t>
      </w:r>
    </w:p>
    <w:p w14:paraId="28485F20" w14:textId="57093C51" w:rsidR="000E0570" w:rsidRDefault="00E95E2C"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Leaving aside points already rejected in the No. 1 judgment, the remaining grounds of challenge as sought to be supplemented in oral submissions can be summarised as follows:</w:t>
      </w:r>
    </w:p>
    <w:p w14:paraId="49A8E714" w14:textId="74EE48AD" w:rsidR="00E95E2C" w:rsidRPr="00F66F92" w:rsidRDefault="00FD0CA3" w:rsidP="00F66F92">
      <w:pPr>
        <w:pStyle w:val="ListParagraph"/>
        <w:numPr>
          <w:ilvl w:val="1"/>
          <w:numId w:val="1"/>
        </w:numPr>
        <w:spacing w:line="360" w:lineRule="auto"/>
        <w:rPr>
          <w:rFonts w:ascii="Verdana" w:hAnsi="Verdana"/>
          <w:sz w:val="18"/>
          <w:szCs w:val="18"/>
        </w:rPr>
      </w:pPr>
      <w:r w:rsidRPr="00F66F92">
        <w:rPr>
          <w:rFonts w:ascii="Verdana" w:hAnsi="Verdana"/>
          <w:sz w:val="18"/>
          <w:szCs w:val="18"/>
        </w:rPr>
        <w:t>t</w:t>
      </w:r>
      <w:r w:rsidR="00E95E2C" w:rsidRPr="00F66F92">
        <w:rPr>
          <w:rFonts w:ascii="Verdana" w:hAnsi="Verdana"/>
          <w:sz w:val="18"/>
          <w:szCs w:val="18"/>
        </w:rPr>
        <w:t>he board and inspector gave inadequate consideration to matters required to be considered under the EIA directive;</w:t>
      </w:r>
    </w:p>
    <w:p w14:paraId="72FEDFED" w14:textId="4958EADB" w:rsidR="00E95E2C" w:rsidRPr="00A20F72" w:rsidRDefault="00FD0CA3" w:rsidP="00F66F92">
      <w:pPr>
        <w:pStyle w:val="ListParagraph"/>
        <w:numPr>
          <w:ilvl w:val="1"/>
          <w:numId w:val="1"/>
        </w:numPr>
        <w:spacing w:line="360" w:lineRule="auto"/>
        <w:rPr>
          <w:rFonts w:ascii="Verdana" w:hAnsi="Verdana"/>
          <w:sz w:val="18"/>
          <w:szCs w:val="18"/>
        </w:rPr>
      </w:pPr>
      <w:r w:rsidRPr="00A20F72">
        <w:rPr>
          <w:rFonts w:ascii="Verdana" w:hAnsi="Verdana"/>
          <w:sz w:val="18"/>
          <w:szCs w:val="18"/>
        </w:rPr>
        <w:t>t</w:t>
      </w:r>
      <w:r w:rsidR="00E95E2C" w:rsidRPr="00A20F72">
        <w:rPr>
          <w:rFonts w:ascii="Verdana" w:hAnsi="Verdana"/>
          <w:sz w:val="18"/>
          <w:szCs w:val="18"/>
        </w:rPr>
        <w:t>here is not an express statement of what documents exactly set out the reasoning of the competent authority</w:t>
      </w:r>
      <w:r w:rsidRPr="00A20F72">
        <w:rPr>
          <w:rFonts w:ascii="Verdana" w:hAnsi="Verdana"/>
          <w:sz w:val="18"/>
          <w:szCs w:val="18"/>
        </w:rPr>
        <w:t>;</w:t>
      </w:r>
    </w:p>
    <w:p w14:paraId="7BB6B999" w14:textId="12D7FD0B" w:rsidR="00E95E2C" w:rsidRPr="00A20F72" w:rsidRDefault="00FD0CA3" w:rsidP="00F66F92">
      <w:pPr>
        <w:pStyle w:val="ListParagraph"/>
        <w:numPr>
          <w:ilvl w:val="1"/>
          <w:numId w:val="1"/>
        </w:numPr>
        <w:spacing w:line="360" w:lineRule="auto"/>
        <w:rPr>
          <w:rFonts w:ascii="Verdana" w:hAnsi="Verdana"/>
          <w:sz w:val="18"/>
          <w:szCs w:val="18"/>
        </w:rPr>
      </w:pPr>
      <w:r w:rsidRPr="00A20F72">
        <w:rPr>
          <w:rFonts w:ascii="Verdana" w:hAnsi="Verdana"/>
          <w:sz w:val="18"/>
          <w:szCs w:val="18"/>
        </w:rPr>
        <w:t>t</w:t>
      </w:r>
      <w:r w:rsidR="00E95E2C" w:rsidRPr="00A20F72">
        <w:rPr>
          <w:rFonts w:ascii="Verdana" w:hAnsi="Verdana"/>
          <w:sz w:val="18"/>
          <w:szCs w:val="18"/>
        </w:rPr>
        <w:t>he board failed to expressly address all specific headings and sub headings in annex III of the EIA directive;</w:t>
      </w:r>
    </w:p>
    <w:p w14:paraId="3D184C58" w14:textId="0FD7AD62" w:rsidR="00E95E2C" w:rsidRPr="00A20F72" w:rsidRDefault="00FD0CA3" w:rsidP="00F66F92">
      <w:pPr>
        <w:pStyle w:val="ListParagraph"/>
        <w:numPr>
          <w:ilvl w:val="1"/>
          <w:numId w:val="1"/>
        </w:numPr>
        <w:spacing w:line="360" w:lineRule="auto"/>
        <w:rPr>
          <w:rFonts w:ascii="Verdana" w:hAnsi="Verdana"/>
          <w:sz w:val="18"/>
          <w:szCs w:val="18"/>
        </w:rPr>
      </w:pPr>
      <w:r w:rsidRPr="00A20F72">
        <w:rPr>
          <w:rFonts w:ascii="Verdana" w:hAnsi="Verdana"/>
          <w:sz w:val="18"/>
          <w:szCs w:val="18"/>
        </w:rPr>
        <w:t>t</w:t>
      </w:r>
      <w:r w:rsidR="00E95E2C" w:rsidRPr="00A20F72">
        <w:rPr>
          <w:rFonts w:ascii="Verdana" w:hAnsi="Verdana"/>
          <w:sz w:val="18"/>
          <w:szCs w:val="18"/>
        </w:rPr>
        <w:t>he board improperly took account of mitigation measures at the screening stage contrary to the habitats directive</w:t>
      </w:r>
      <w:r w:rsidRPr="00A20F72">
        <w:rPr>
          <w:rFonts w:ascii="Verdana" w:hAnsi="Verdana"/>
          <w:sz w:val="18"/>
          <w:szCs w:val="18"/>
        </w:rPr>
        <w:t>; and</w:t>
      </w:r>
    </w:p>
    <w:p w14:paraId="4C6FB3D2" w14:textId="316F0F65" w:rsidR="00E95E2C" w:rsidRDefault="00FD0CA3" w:rsidP="00F66F92">
      <w:pPr>
        <w:pStyle w:val="ListParagraph"/>
        <w:numPr>
          <w:ilvl w:val="1"/>
          <w:numId w:val="1"/>
        </w:numPr>
        <w:spacing w:line="360" w:lineRule="auto"/>
        <w:rPr>
          <w:rFonts w:ascii="Verdana" w:hAnsi="Verdana"/>
          <w:sz w:val="18"/>
          <w:szCs w:val="18"/>
        </w:rPr>
      </w:pPr>
      <w:r w:rsidRPr="00A20F72">
        <w:rPr>
          <w:rFonts w:ascii="Verdana" w:hAnsi="Verdana"/>
          <w:sz w:val="18"/>
          <w:szCs w:val="18"/>
        </w:rPr>
        <w:t>t</w:t>
      </w:r>
      <w:r w:rsidR="00E95E2C" w:rsidRPr="00A20F72">
        <w:rPr>
          <w:rFonts w:ascii="Verdana" w:hAnsi="Verdana"/>
          <w:sz w:val="18"/>
          <w:szCs w:val="18"/>
        </w:rPr>
        <w:t xml:space="preserve">he board failed to remove all scientific doubt about the impact on the integrity of European sites by failing to deal with the submissions and matters raised in the submissions by An Taisce and </w:t>
      </w:r>
      <w:r w:rsidR="008A634D" w:rsidRPr="00A20F72">
        <w:rPr>
          <w:rFonts w:ascii="Verdana" w:hAnsi="Verdana"/>
          <w:sz w:val="18"/>
          <w:szCs w:val="18"/>
        </w:rPr>
        <w:t>the c</w:t>
      </w:r>
      <w:r w:rsidR="00E95E2C" w:rsidRPr="00A20F72">
        <w:rPr>
          <w:rFonts w:ascii="Verdana" w:hAnsi="Verdana"/>
          <w:sz w:val="18"/>
          <w:szCs w:val="18"/>
        </w:rPr>
        <w:t>ouncil.</w:t>
      </w:r>
    </w:p>
    <w:p w14:paraId="0CAE58C1" w14:textId="77777777" w:rsidR="00F66F92" w:rsidRPr="00A20F72" w:rsidRDefault="00F66F92" w:rsidP="00F66F92">
      <w:pPr>
        <w:pStyle w:val="ListParagraph"/>
        <w:spacing w:line="360" w:lineRule="auto"/>
        <w:ind w:left="1080"/>
        <w:rPr>
          <w:rFonts w:ascii="Verdana" w:hAnsi="Verdana"/>
          <w:sz w:val="18"/>
          <w:szCs w:val="18"/>
        </w:rPr>
      </w:pPr>
    </w:p>
    <w:p w14:paraId="3B9DC657" w14:textId="77777777" w:rsidR="00EC2E43" w:rsidRPr="00A20F72" w:rsidRDefault="00EC2E43" w:rsidP="00A20F72">
      <w:pPr>
        <w:spacing w:line="360" w:lineRule="auto"/>
        <w:ind w:left="567" w:hanging="567"/>
        <w:rPr>
          <w:rFonts w:ascii="Verdana" w:hAnsi="Verdana"/>
          <w:b/>
          <w:sz w:val="18"/>
          <w:szCs w:val="18"/>
          <w:u w:val="single"/>
        </w:rPr>
      </w:pPr>
      <w:r w:rsidRPr="00A20F72">
        <w:rPr>
          <w:rFonts w:ascii="Verdana" w:hAnsi="Verdana"/>
          <w:b/>
          <w:sz w:val="18"/>
          <w:szCs w:val="18"/>
          <w:u w:val="single"/>
        </w:rPr>
        <w:t>Questions of European law arising</w:t>
      </w:r>
    </w:p>
    <w:p w14:paraId="2ECEC755" w14:textId="178FAD65" w:rsidR="00EC2E43" w:rsidRDefault="00EC2E43"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 </w:t>
      </w:r>
      <w:r w:rsidR="00B22E30" w:rsidRPr="00A20F72">
        <w:rPr>
          <w:rFonts w:ascii="Verdana" w:hAnsi="Verdana"/>
          <w:sz w:val="18"/>
          <w:szCs w:val="18"/>
        </w:rPr>
        <w:t>As discussed in the No. 1 judgment, i</w:t>
      </w:r>
      <w:r w:rsidRPr="00A20F72">
        <w:rPr>
          <w:rFonts w:ascii="Verdana" w:hAnsi="Verdana"/>
          <w:sz w:val="18"/>
          <w:szCs w:val="18"/>
        </w:rPr>
        <w:t xml:space="preserve">t seems to me that </w:t>
      </w:r>
      <w:r w:rsidR="00B22E30" w:rsidRPr="00A20F72">
        <w:rPr>
          <w:rFonts w:ascii="Verdana" w:hAnsi="Verdana"/>
          <w:sz w:val="18"/>
          <w:szCs w:val="18"/>
        </w:rPr>
        <w:t>six</w:t>
      </w:r>
      <w:r w:rsidRPr="00A20F72">
        <w:rPr>
          <w:rFonts w:ascii="Verdana" w:hAnsi="Verdana"/>
          <w:sz w:val="18"/>
          <w:szCs w:val="18"/>
        </w:rPr>
        <w:t xml:space="preserve"> questions of European law</w:t>
      </w:r>
      <w:r w:rsidR="00B22E30" w:rsidRPr="00A20F72">
        <w:rPr>
          <w:rFonts w:ascii="Verdana" w:hAnsi="Verdana"/>
          <w:sz w:val="18"/>
          <w:szCs w:val="18"/>
        </w:rPr>
        <w:t xml:space="preserve"> that relate to the interpretation of EU law and that are necessary for the decision</w:t>
      </w:r>
      <w:r w:rsidRPr="00A20F72">
        <w:rPr>
          <w:rFonts w:ascii="Verdana" w:hAnsi="Verdana"/>
          <w:sz w:val="18"/>
          <w:szCs w:val="18"/>
        </w:rPr>
        <w:t xml:space="preserve"> arise from the substantive grounds identified above, and I consider it appropriate in all circumstances to make a reference to the Court of Justice under art. 267 of the TFEU.</w:t>
      </w:r>
    </w:p>
    <w:p w14:paraId="7DFBC7E4" w14:textId="77777777" w:rsidR="00F66F92" w:rsidRPr="00A20F72" w:rsidRDefault="00F66F92" w:rsidP="00F66F92">
      <w:pPr>
        <w:pStyle w:val="ListParagraph"/>
        <w:spacing w:line="360" w:lineRule="auto"/>
        <w:ind w:left="567"/>
        <w:rPr>
          <w:rFonts w:ascii="Verdana" w:hAnsi="Verdana"/>
          <w:sz w:val="18"/>
          <w:szCs w:val="18"/>
        </w:rPr>
      </w:pPr>
    </w:p>
    <w:p w14:paraId="00C05F1B" w14:textId="3F306B9E" w:rsidR="00947C7A" w:rsidRDefault="00947C7A"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The notice party and the State did not make specific submissions in response to the proposed questions so I am recording only the views of the other parties below.</w:t>
      </w:r>
    </w:p>
    <w:p w14:paraId="7C24375A" w14:textId="77777777" w:rsidR="00F66F92" w:rsidRDefault="00F66F92" w:rsidP="00E46F57">
      <w:pPr>
        <w:spacing w:line="360" w:lineRule="auto"/>
        <w:rPr>
          <w:rFonts w:ascii="Verdana" w:hAnsi="Verdana"/>
          <w:b/>
          <w:sz w:val="18"/>
          <w:szCs w:val="18"/>
          <w:u w:val="single"/>
        </w:rPr>
      </w:pPr>
    </w:p>
    <w:p w14:paraId="3F49FD4A" w14:textId="69B5BD18" w:rsidR="001B4960" w:rsidRPr="00A20F72" w:rsidRDefault="001B4960" w:rsidP="00A20F72">
      <w:pPr>
        <w:spacing w:line="360" w:lineRule="auto"/>
        <w:ind w:left="567" w:hanging="567"/>
        <w:rPr>
          <w:rFonts w:ascii="Verdana" w:hAnsi="Verdana"/>
          <w:b/>
          <w:sz w:val="18"/>
          <w:szCs w:val="18"/>
          <w:u w:val="single"/>
        </w:rPr>
      </w:pPr>
      <w:r w:rsidRPr="00A20F72">
        <w:rPr>
          <w:rFonts w:ascii="Verdana" w:hAnsi="Verdana"/>
          <w:b/>
          <w:sz w:val="18"/>
          <w:szCs w:val="18"/>
          <w:u w:val="single"/>
        </w:rPr>
        <w:t xml:space="preserve">The first question </w:t>
      </w:r>
    </w:p>
    <w:p w14:paraId="6AC42329" w14:textId="146C7EA5" w:rsidR="00797E5E" w:rsidRPr="00A20F72" w:rsidRDefault="001B4960"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The first question is</w:t>
      </w:r>
      <w:r w:rsidR="0050093C" w:rsidRPr="00A20F72">
        <w:rPr>
          <w:rFonts w:ascii="Verdana" w:hAnsi="Verdana"/>
          <w:sz w:val="18"/>
          <w:szCs w:val="18"/>
        </w:rPr>
        <w:t>:</w:t>
      </w:r>
    </w:p>
    <w:p w14:paraId="2C8F3717" w14:textId="130AC63F" w:rsidR="00473316" w:rsidRDefault="00210674" w:rsidP="00F66F92">
      <w:pPr>
        <w:pStyle w:val="ListParagraph"/>
        <w:spacing w:line="360" w:lineRule="auto"/>
        <w:ind w:left="567"/>
        <w:rPr>
          <w:rFonts w:ascii="Verdana" w:hAnsi="Verdana"/>
          <w:b/>
          <w:bCs/>
          <w:sz w:val="18"/>
          <w:szCs w:val="18"/>
        </w:rPr>
      </w:pPr>
      <w:r w:rsidRPr="00A20F72">
        <w:rPr>
          <w:rFonts w:ascii="Verdana" w:hAnsi="Verdana"/>
          <w:b/>
          <w:bCs/>
          <w:sz w:val="18"/>
          <w:szCs w:val="18"/>
        </w:rPr>
        <w:t>Does the general principle of the primacy of EU law and/or of co-operation in good faith have the effect that, either generally</w:t>
      </w:r>
      <w:r w:rsidR="00160CD6">
        <w:rPr>
          <w:rFonts w:ascii="Verdana" w:hAnsi="Verdana"/>
          <w:b/>
          <w:bCs/>
          <w:sz w:val="18"/>
          <w:szCs w:val="18"/>
        </w:rPr>
        <w:t>,</w:t>
      </w:r>
      <w:r w:rsidRPr="00A20F72">
        <w:rPr>
          <w:rFonts w:ascii="Verdana" w:hAnsi="Verdana"/>
          <w:b/>
          <w:bCs/>
          <w:sz w:val="18"/>
          <w:szCs w:val="18"/>
        </w:rPr>
        <w:t xml:space="preserve"> or in the specific context of environmental law, where a party brings proceedings challenging the validity of an administrative measure by reference, expressly or impliedly, to a particular instrument of EU law, but does not specify which provisions of the instrument have been infringed, or by reference to which precise interpretation, the domestic court before which proceedings are brought must, or may, examine the complaint, notwithstanding any rule of domestic procedure requiring the specific breaches concerned to be set out in the party’s written pleadings.</w:t>
      </w:r>
    </w:p>
    <w:p w14:paraId="2AE1987E" w14:textId="77777777" w:rsidR="00F66F92" w:rsidRPr="00F66F92" w:rsidRDefault="00F66F92" w:rsidP="00F66F92">
      <w:pPr>
        <w:spacing w:line="360" w:lineRule="auto"/>
        <w:rPr>
          <w:rFonts w:ascii="Verdana" w:hAnsi="Verdana"/>
          <w:b/>
          <w:bCs/>
          <w:sz w:val="18"/>
          <w:szCs w:val="18"/>
        </w:rPr>
      </w:pPr>
    </w:p>
    <w:p w14:paraId="0E02D43C" w14:textId="7FEC4FDA" w:rsidR="00E95E2C" w:rsidRDefault="001B4960"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applicant’s position is that </w:t>
      </w:r>
      <w:r w:rsidR="00E95E2C" w:rsidRPr="00A20F72">
        <w:rPr>
          <w:rFonts w:ascii="Verdana" w:hAnsi="Verdana"/>
          <w:sz w:val="18"/>
          <w:szCs w:val="18"/>
        </w:rPr>
        <w:t xml:space="preserve">this question is simply answered in the affirmative. </w:t>
      </w:r>
      <w:r w:rsidR="00797E5E" w:rsidRPr="00A20F72">
        <w:rPr>
          <w:rFonts w:ascii="Verdana" w:hAnsi="Verdana"/>
          <w:sz w:val="18"/>
          <w:szCs w:val="18"/>
        </w:rPr>
        <w:t xml:space="preserve"> </w:t>
      </w:r>
      <w:r w:rsidR="00E95E2C" w:rsidRPr="00A20F72">
        <w:rPr>
          <w:rFonts w:ascii="Verdana" w:hAnsi="Verdana"/>
          <w:sz w:val="18"/>
          <w:szCs w:val="18"/>
        </w:rPr>
        <w:t xml:space="preserve">In </w:t>
      </w:r>
      <w:r w:rsidR="005810F1">
        <w:rPr>
          <w:rFonts w:ascii="Verdana" w:hAnsi="Verdana"/>
          <w:sz w:val="18"/>
          <w:szCs w:val="18"/>
        </w:rPr>
        <w:t>this</w:t>
      </w:r>
      <w:r w:rsidR="00E95E2C" w:rsidRPr="00A20F72">
        <w:rPr>
          <w:rFonts w:ascii="Verdana" w:hAnsi="Verdana"/>
          <w:sz w:val="18"/>
          <w:szCs w:val="18"/>
        </w:rPr>
        <w:t xml:space="preserve"> case, the applicant raised a complaint in respect of the assessments conduct under the EIA and </w:t>
      </w:r>
      <w:r w:rsidR="00797E5E" w:rsidRPr="00A20F72">
        <w:rPr>
          <w:rFonts w:ascii="Verdana" w:hAnsi="Verdana"/>
          <w:sz w:val="18"/>
          <w:szCs w:val="18"/>
        </w:rPr>
        <w:t>h</w:t>
      </w:r>
      <w:r w:rsidR="00E95E2C" w:rsidRPr="00A20F72">
        <w:rPr>
          <w:rFonts w:ascii="Verdana" w:hAnsi="Verdana"/>
          <w:sz w:val="18"/>
          <w:szCs w:val="18"/>
        </w:rPr>
        <w:t xml:space="preserve">abitats </w:t>
      </w:r>
      <w:r w:rsidR="00797E5E" w:rsidRPr="00A20F72">
        <w:rPr>
          <w:rFonts w:ascii="Verdana" w:hAnsi="Verdana"/>
          <w:sz w:val="18"/>
          <w:szCs w:val="18"/>
        </w:rPr>
        <w:t>d</w:t>
      </w:r>
      <w:r w:rsidR="00E95E2C" w:rsidRPr="00A20F72">
        <w:rPr>
          <w:rFonts w:ascii="Verdana" w:hAnsi="Verdana"/>
          <w:sz w:val="18"/>
          <w:szCs w:val="18"/>
        </w:rPr>
        <w:t xml:space="preserve">irectives. </w:t>
      </w:r>
      <w:r w:rsidR="00797E5E" w:rsidRPr="00A20F72">
        <w:rPr>
          <w:rFonts w:ascii="Verdana" w:hAnsi="Verdana"/>
          <w:sz w:val="18"/>
          <w:szCs w:val="18"/>
        </w:rPr>
        <w:t xml:space="preserve"> </w:t>
      </w:r>
      <w:r w:rsidR="00E95E2C" w:rsidRPr="00A20F72">
        <w:rPr>
          <w:rFonts w:ascii="Verdana" w:hAnsi="Verdana"/>
          <w:sz w:val="18"/>
          <w:szCs w:val="18"/>
        </w:rPr>
        <w:t>In particular</w:t>
      </w:r>
      <w:r w:rsidR="00797E5E" w:rsidRPr="00A20F72">
        <w:rPr>
          <w:rFonts w:ascii="Verdana" w:hAnsi="Verdana"/>
          <w:sz w:val="18"/>
          <w:szCs w:val="18"/>
        </w:rPr>
        <w:t>,</w:t>
      </w:r>
      <w:r w:rsidR="00E95E2C" w:rsidRPr="00A20F72">
        <w:rPr>
          <w:rFonts w:ascii="Verdana" w:hAnsi="Verdana"/>
          <w:sz w:val="18"/>
          <w:szCs w:val="18"/>
        </w:rPr>
        <w:t xml:space="preserve"> the applicant raised a complaint respect of a failure to make those assessments available. </w:t>
      </w:r>
      <w:r w:rsidR="00797E5E" w:rsidRPr="00A20F72">
        <w:rPr>
          <w:rFonts w:ascii="Verdana" w:hAnsi="Verdana"/>
          <w:sz w:val="18"/>
          <w:szCs w:val="18"/>
        </w:rPr>
        <w:t xml:space="preserve"> </w:t>
      </w:r>
      <w:r w:rsidR="00E95E2C" w:rsidRPr="00A20F72">
        <w:rPr>
          <w:rFonts w:ascii="Verdana" w:hAnsi="Verdana"/>
          <w:sz w:val="18"/>
          <w:szCs w:val="18"/>
        </w:rPr>
        <w:t xml:space="preserve">The applicant raised a specific complaint that the reasons and considerations and the matters considered were not set out in the EIA screening determination. </w:t>
      </w:r>
      <w:r w:rsidR="00797E5E" w:rsidRPr="00A20F72">
        <w:rPr>
          <w:rFonts w:ascii="Verdana" w:hAnsi="Verdana"/>
          <w:sz w:val="18"/>
          <w:szCs w:val="18"/>
        </w:rPr>
        <w:t xml:space="preserve"> </w:t>
      </w:r>
      <w:r w:rsidR="00E95E2C" w:rsidRPr="00A20F72">
        <w:rPr>
          <w:rFonts w:ascii="Verdana" w:hAnsi="Verdana"/>
          <w:sz w:val="18"/>
          <w:szCs w:val="18"/>
        </w:rPr>
        <w:t xml:space="preserve">Leave was granted on these grounds without greater particularity being sought. </w:t>
      </w:r>
      <w:r w:rsidR="00797E5E" w:rsidRPr="00A20F72">
        <w:rPr>
          <w:rFonts w:ascii="Verdana" w:hAnsi="Verdana"/>
          <w:sz w:val="18"/>
          <w:szCs w:val="18"/>
        </w:rPr>
        <w:t xml:space="preserve"> </w:t>
      </w:r>
      <w:r w:rsidR="00E95E2C" w:rsidRPr="00A20F72">
        <w:rPr>
          <w:rFonts w:ascii="Verdana" w:hAnsi="Verdana"/>
          <w:sz w:val="18"/>
          <w:szCs w:val="18"/>
        </w:rPr>
        <w:t xml:space="preserve">No particulars were raised by the respondent or notice party. </w:t>
      </w:r>
      <w:r w:rsidR="00797E5E" w:rsidRPr="00A20F72">
        <w:rPr>
          <w:rFonts w:ascii="Verdana" w:hAnsi="Verdana"/>
          <w:sz w:val="18"/>
          <w:szCs w:val="18"/>
        </w:rPr>
        <w:t xml:space="preserve"> </w:t>
      </w:r>
      <w:r w:rsidR="00E95E2C" w:rsidRPr="00A20F72">
        <w:rPr>
          <w:rFonts w:ascii="Verdana" w:hAnsi="Verdana"/>
          <w:sz w:val="18"/>
          <w:szCs w:val="18"/>
        </w:rPr>
        <w:t xml:space="preserve">No objections to the pleadings were raised by the respondent. </w:t>
      </w:r>
      <w:r w:rsidR="00797E5E" w:rsidRPr="00A20F72">
        <w:rPr>
          <w:rFonts w:ascii="Verdana" w:hAnsi="Verdana"/>
          <w:sz w:val="18"/>
          <w:szCs w:val="18"/>
        </w:rPr>
        <w:t xml:space="preserve"> </w:t>
      </w:r>
      <w:r w:rsidR="00E95E2C" w:rsidRPr="00A20F72">
        <w:rPr>
          <w:rFonts w:ascii="Verdana" w:hAnsi="Verdana"/>
          <w:sz w:val="18"/>
          <w:szCs w:val="18"/>
        </w:rPr>
        <w:t xml:space="preserve">It is submitted that the applicant cannot be shut out from its rights under </w:t>
      </w:r>
      <w:r w:rsidR="00797E5E" w:rsidRPr="00A20F72">
        <w:rPr>
          <w:rFonts w:ascii="Verdana" w:hAnsi="Verdana"/>
          <w:sz w:val="18"/>
          <w:szCs w:val="18"/>
        </w:rPr>
        <w:t>a</w:t>
      </w:r>
      <w:r w:rsidR="00E95E2C" w:rsidRPr="00A20F72">
        <w:rPr>
          <w:rFonts w:ascii="Verdana" w:hAnsi="Verdana"/>
          <w:sz w:val="18"/>
          <w:szCs w:val="18"/>
        </w:rPr>
        <w:t>rt</w:t>
      </w:r>
      <w:r w:rsidR="00797E5E" w:rsidRPr="00A20F72">
        <w:rPr>
          <w:rFonts w:ascii="Verdana" w:hAnsi="Verdana"/>
          <w:sz w:val="18"/>
          <w:szCs w:val="18"/>
        </w:rPr>
        <w:t xml:space="preserve">. </w:t>
      </w:r>
      <w:r w:rsidR="00E95E2C" w:rsidRPr="00A20F72">
        <w:rPr>
          <w:rFonts w:ascii="Verdana" w:hAnsi="Verdana"/>
          <w:sz w:val="18"/>
          <w:szCs w:val="18"/>
        </w:rPr>
        <w:t>11</w:t>
      </w:r>
      <w:r w:rsidR="00797E5E" w:rsidRPr="00A20F72">
        <w:rPr>
          <w:rFonts w:ascii="Verdana" w:hAnsi="Verdana"/>
          <w:sz w:val="18"/>
          <w:szCs w:val="18"/>
        </w:rPr>
        <w:t xml:space="preserve"> of the</w:t>
      </w:r>
      <w:r w:rsidR="00E95E2C" w:rsidRPr="00A20F72">
        <w:rPr>
          <w:rFonts w:ascii="Verdana" w:hAnsi="Verdana"/>
          <w:sz w:val="18"/>
          <w:szCs w:val="18"/>
        </w:rPr>
        <w:t xml:space="preserve"> EIA</w:t>
      </w:r>
      <w:r w:rsidR="00797E5E" w:rsidRPr="00A20F72">
        <w:rPr>
          <w:rFonts w:ascii="Verdana" w:hAnsi="Verdana"/>
          <w:sz w:val="18"/>
          <w:szCs w:val="18"/>
        </w:rPr>
        <w:t xml:space="preserve"> directive</w:t>
      </w:r>
      <w:r w:rsidR="00E95E2C" w:rsidRPr="00A20F72">
        <w:rPr>
          <w:rFonts w:ascii="Verdana" w:hAnsi="Verdana"/>
          <w:sz w:val="18"/>
          <w:szCs w:val="18"/>
        </w:rPr>
        <w:t xml:space="preserve"> by nothing more than a failure to mention </w:t>
      </w:r>
      <w:r w:rsidR="00797E5E" w:rsidRPr="00A20F72">
        <w:rPr>
          <w:rFonts w:ascii="Verdana" w:hAnsi="Verdana"/>
          <w:sz w:val="18"/>
          <w:szCs w:val="18"/>
        </w:rPr>
        <w:t>a</w:t>
      </w:r>
      <w:r w:rsidR="00E95E2C" w:rsidRPr="00A20F72">
        <w:rPr>
          <w:rFonts w:ascii="Verdana" w:hAnsi="Verdana"/>
          <w:sz w:val="18"/>
          <w:szCs w:val="18"/>
        </w:rPr>
        <w:t>rt</w:t>
      </w:r>
      <w:r w:rsidR="00797E5E" w:rsidRPr="00A20F72">
        <w:rPr>
          <w:rFonts w:ascii="Verdana" w:hAnsi="Verdana"/>
          <w:sz w:val="18"/>
          <w:szCs w:val="18"/>
        </w:rPr>
        <w:t>.</w:t>
      </w:r>
      <w:r w:rsidR="00E95E2C" w:rsidRPr="00A20F72">
        <w:rPr>
          <w:rFonts w:ascii="Verdana" w:hAnsi="Verdana"/>
          <w:sz w:val="18"/>
          <w:szCs w:val="18"/>
        </w:rPr>
        <w:t xml:space="preserve"> 4</w:t>
      </w:r>
      <w:r w:rsidR="00797E5E" w:rsidRPr="00A20F72">
        <w:rPr>
          <w:rFonts w:ascii="Verdana" w:hAnsi="Verdana"/>
          <w:sz w:val="18"/>
          <w:szCs w:val="18"/>
        </w:rPr>
        <w:t xml:space="preserve"> of the</w:t>
      </w:r>
      <w:r w:rsidR="00E95E2C" w:rsidRPr="00A20F72">
        <w:rPr>
          <w:rFonts w:ascii="Verdana" w:hAnsi="Verdana"/>
          <w:sz w:val="18"/>
          <w:szCs w:val="18"/>
        </w:rPr>
        <w:t xml:space="preserve"> EIA</w:t>
      </w:r>
      <w:r w:rsidR="00797E5E" w:rsidRPr="00A20F72">
        <w:rPr>
          <w:rFonts w:ascii="Verdana" w:hAnsi="Verdana"/>
          <w:sz w:val="18"/>
          <w:szCs w:val="18"/>
        </w:rPr>
        <w:t xml:space="preserve"> directive</w:t>
      </w:r>
      <w:r w:rsidR="00E95E2C" w:rsidRPr="00A20F72">
        <w:rPr>
          <w:rFonts w:ascii="Verdana" w:hAnsi="Verdana"/>
          <w:sz w:val="18"/>
          <w:szCs w:val="18"/>
        </w:rPr>
        <w:t xml:space="preserve"> or </w:t>
      </w:r>
      <w:r w:rsidR="00797E5E" w:rsidRPr="00A20F72">
        <w:rPr>
          <w:rFonts w:ascii="Verdana" w:hAnsi="Verdana"/>
          <w:sz w:val="18"/>
          <w:szCs w:val="18"/>
        </w:rPr>
        <w:t>a</w:t>
      </w:r>
      <w:r w:rsidR="00E95E2C" w:rsidRPr="00A20F72">
        <w:rPr>
          <w:rFonts w:ascii="Verdana" w:hAnsi="Verdana"/>
          <w:sz w:val="18"/>
          <w:szCs w:val="18"/>
        </w:rPr>
        <w:t>rt</w:t>
      </w:r>
      <w:r w:rsidR="00797E5E" w:rsidRPr="00A20F72">
        <w:rPr>
          <w:rFonts w:ascii="Verdana" w:hAnsi="Verdana"/>
          <w:sz w:val="18"/>
          <w:szCs w:val="18"/>
        </w:rPr>
        <w:t>.</w:t>
      </w:r>
      <w:r w:rsidR="00E95E2C" w:rsidRPr="00A20F72">
        <w:rPr>
          <w:rFonts w:ascii="Verdana" w:hAnsi="Verdana"/>
          <w:sz w:val="18"/>
          <w:szCs w:val="18"/>
        </w:rPr>
        <w:t xml:space="preserve"> 6 of the </w:t>
      </w:r>
      <w:r w:rsidR="00797E5E" w:rsidRPr="00A20F72">
        <w:rPr>
          <w:rFonts w:ascii="Verdana" w:hAnsi="Verdana"/>
          <w:sz w:val="18"/>
          <w:szCs w:val="18"/>
        </w:rPr>
        <w:t>h</w:t>
      </w:r>
      <w:r w:rsidR="00E95E2C" w:rsidRPr="00A20F72">
        <w:rPr>
          <w:rFonts w:ascii="Verdana" w:hAnsi="Verdana"/>
          <w:sz w:val="18"/>
          <w:szCs w:val="18"/>
        </w:rPr>
        <w:t xml:space="preserve">abitats </w:t>
      </w:r>
      <w:r w:rsidR="00797E5E" w:rsidRPr="00A20F72">
        <w:rPr>
          <w:rFonts w:ascii="Verdana" w:hAnsi="Verdana"/>
          <w:sz w:val="18"/>
          <w:szCs w:val="18"/>
        </w:rPr>
        <w:t>d</w:t>
      </w:r>
      <w:r w:rsidR="00E95E2C" w:rsidRPr="00A20F72">
        <w:rPr>
          <w:rFonts w:ascii="Verdana" w:hAnsi="Verdana"/>
          <w:sz w:val="18"/>
          <w:szCs w:val="18"/>
        </w:rPr>
        <w:t xml:space="preserve">irective. </w:t>
      </w:r>
      <w:r w:rsidR="00797E5E" w:rsidRPr="00A20F72">
        <w:rPr>
          <w:rFonts w:ascii="Verdana" w:hAnsi="Verdana"/>
          <w:sz w:val="18"/>
          <w:szCs w:val="18"/>
        </w:rPr>
        <w:t xml:space="preserve"> </w:t>
      </w:r>
      <w:r w:rsidR="00E95E2C" w:rsidRPr="00A20F72">
        <w:rPr>
          <w:rFonts w:ascii="Verdana" w:hAnsi="Verdana"/>
          <w:sz w:val="18"/>
          <w:szCs w:val="18"/>
        </w:rPr>
        <w:t>These obligations only arise under these provisions.</w:t>
      </w:r>
    </w:p>
    <w:p w14:paraId="0B4D1871" w14:textId="77777777" w:rsidR="00F66F92" w:rsidRPr="00A20F72" w:rsidRDefault="00F66F92" w:rsidP="00F66F92">
      <w:pPr>
        <w:pStyle w:val="ListParagraph"/>
        <w:spacing w:line="360" w:lineRule="auto"/>
        <w:ind w:left="567"/>
        <w:rPr>
          <w:rFonts w:ascii="Verdana" w:hAnsi="Verdana"/>
          <w:sz w:val="18"/>
          <w:szCs w:val="18"/>
        </w:rPr>
      </w:pPr>
    </w:p>
    <w:p w14:paraId="41F0BED6" w14:textId="0CF9C3BE" w:rsidR="0022434D" w:rsidRPr="009F3937" w:rsidRDefault="00155EA2"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color w:val="000000"/>
          <w:sz w:val="18"/>
          <w:szCs w:val="18"/>
        </w:rPr>
        <w:t xml:space="preserve">The board’s position is that </w:t>
      </w:r>
      <w:r w:rsidR="0022434D" w:rsidRPr="00A20F72">
        <w:rPr>
          <w:rFonts w:ascii="Verdana" w:hAnsi="Verdana"/>
          <w:bCs/>
          <w:sz w:val="18"/>
          <w:szCs w:val="18"/>
          <w:lang w:val="en-GB"/>
        </w:rPr>
        <w:t xml:space="preserve">as a matter of European law, national courts are </w:t>
      </w:r>
      <w:r w:rsidR="0022434D" w:rsidRPr="00A20F72">
        <w:rPr>
          <w:rFonts w:ascii="Verdana" w:hAnsi="Verdana"/>
          <w:bCs/>
          <w:i/>
          <w:sz w:val="18"/>
          <w:szCs w:val="18"/>
          <w:lang w:val="en-GB"/>
        </w:rPr>
        <w:t>entitled</w:t>
      </w:r>
      <w:r w:rsidR="0022434D" w:rsidRPr="00A20F72">
        <w:rPr>
          <w:rFonts w:ascii="Verdana" w:hAnsi="Verdana"/>
          <w:bCs/>
          <w:sz w:val="18"/>
          <w:szCs w:val="18"/>
          <w:lang w:val="en-GB"/>
        </w:rPr>
        <w:t xml:space="preserve"> to raise points of European law of their own motion </w:t>
      </w:r>
      <w:r w:rsidR="0022434D" w:rsidRPr="00A20F72">
        <w:rPr>
          <w:rFonts w:ascii="Verdana" w:hAnsi="Verdana"/>
          <w:bCs/>
          <w:i/>
          <w:iCs/>
          <w:sz w:val="18"/>
          <w:szCs w:val="18"/>
          <w:lang w:val="en-GB"/>
        </w:rPr>
        <w:t>or ex officio</w:t>
      </w:r>
      <w:r w:rsidR="0022434D" w:rsidRPr="00A20F72">
        <w:rPr>
          <w:rFonts w:ascii="Verdana" w:hAnsi="Verdana"/>
          <w:bCs/>
          <w:sz w:val="18"/>
          <w:szCs w:val="18"/>
          <w:lang w:val="en-GB"/>
        </w:rPr>
        <w:t xml:space="preserve"> in certain circumstances, but they are not </w:t>
      </w:r>
      <w:r w:rsidR="0022434D" w:rsidRPr="00A20F72">
        <w:rPr>
          <w:rFonts w:ascii="Verdana" w:hAnsi="Verdana"/>
          <w:bCs/>
          <w:i/>
          <w:sz w:val="18"/>
          <w:szCs w:val="18"/>
          <w:lang w:val="en-GB"/>
        </w:rPr>
        <w:t>obliged</w:t>
      </w:r>
      <w:r w:rsidR="0022434D" w:rsidRPr="00A20F72">
        <w:rPr>
          <w:rFonts w:ascii="Verdana" w:hAnsi="Verdana"/>
          <w:bCs/>
          <w:sz w:val="18"/>
          <w:szCs w:val="18"/>
          <w:lang w:val="en-GB"/>
        </w:rPr>
        <w:t xml:space="preserve"> to do so. </w:t>
      </w:r>
      <w:r w:rsidR="00454CF4" w:rsidRPr="00A20F72">
        <w:rPr>
          <w:rFonts w:ascii="Verdana" w:hAnsi="Verdana"/>
          <w:bCs/>
          <w:sz w:val="18"/>
          <w:szCs w:val="18"/>
          <w:lang w:val="en-GB"/>
        </w:rPr>
        <w:t xml:space="preserve"> </w:t>
      </w:r>
      <w:r w:rsidR="0022434D" w:rsidRPr="00A20F72">
        <w:rPr>
          <w:rFonts w:ascii="Verdana" w:hAnsi="Verdana"/>
          <w:bCs/>
          <w:sz w:val="18"/>
          <w:szCs w:val="18"/>
          <w:lang w:val="en-GB"/>
        </w:rPr>
        <w:t xml:space="preserve">In deciding whether or not to exercise their discretion to raise such a point </w:t>
      </w:r>
      <w:r w:rsidR="0022434D" w:rsidRPr="00A20F72">
        <w:rPr>
          <w:rFonts w:ascii="Verdana" w:hAnsi="Verdana"/>
          <w:bCs/>
          <w:i/>
          <w:sz w:val="18"/>
          <w:szCs w:val="18"/>
          <w:lang w:val="en-GB"/>
        </w:rPr>
        <w:t>ex officio</w:t>
      </w:r>
      <w:r w:rsidR="0022434D" w:rsidRPr="00A20F72">
        <w:rPr>
          <w:rFonts w:ascii="Verdana" w:hAnsi="Verdana"/>
          <w:bCs/>
          <w:sz w:val="18"/>
          <w:szCs w:val="18"/>
          <w:lang w:val="en-GB"/>
        </w:rPr>
        <w:t>, a national court may validly take into account rules of domestic procedural law requiring the specific breaches concerned to be set out in the party’s written pleadings, and may refuse to consider the point at issue on this basis.</w:t>
      </w:r>
    </w:p>
    <w:p w14:paraId="64D7116F" w14:textId="77777777" w:rsidR="009F3937" w:rsidRPr="009F3937" w:rsidRDefault="009F3937" w:rsidP="009F3937">
      <w:pPr>
        <w:spacing w:line="360" w:lineRule="auto"/>
        <w:rPr>
          <w:rFonts w:ascii="Verdana" w:hAnsi="Verdana"/>
          <w:sz w:val="18"/>
          <w:szCs w:val="18"/>
        </w:rPr>
      </w:pPr>
    </w:p>
    <w:p w14:paraId="74CAABB5" w14:textId="402C30F2" w:rsidR="00947C7A" w:rsidRPr="009F3937" w:rsidRDefault="00947C7A"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w:t>
      </w:r>
      <w:r w:rsidRPr="00A20F72">
        <w:rPr>
          <w:rFonts w:ascii="Verdana" w:hAnsi="Verdana"/>
          <w:i/>
          <w:iCs/>
          <w:sz w:val="18"/>
          <w:szCs w:val="18"/>
        </w:rPr>
        <w:t>amici’s</w:t>
      </w:r>
      <w:r w:rsidRPr="00A20F72">
        <w:rPr>
          <w:rFonts w:ascii="Verdana" w:hAnsi="Verdana"/>
          <w:sz w:val="18"/>
          <w:szCs w:val="18"/>
        </w:rPr>
        <w:t xml:space="preserve"> joint position is that </w:t>
      </w:r>
      <w:r w:rsidRPr="00A20F72">
        <w:rPr>
          <w:rFonts w:ascii="Verdana" w:hAnsi="Verdana"/>
          <w:sz w:val="18"/>
          <w:szCs w:val="18"/>
          <w:lang w:val="en-GB"/>
        </w:rPr>
        <w:t xml:space="preserve">national courts are </w:t>
      </w:r>
      <w:r w:rsidRPr="00A20F72">
        <w:rPr>
          <w:rFonts w:ascii="Verdana" w:hAnsi="Verdana"/>
          <w:i/>
          <w:iCs/>
          <w:sz w:val="18"/>
          <w:szCs w:val="18"/>
          <w:lang w:val="en-GB"/>
        </w:rPr>
        <w:t>entitled</w:t>
      </w:r>
      <w:r w:rsidRPr="00A20F72">
        <w:rPr>
          <w:rFonts w:ascii="Verdana" w:hAnsi="Verdana"/>
          <w:sz w:val="18"/>
          <w:szCs w:val="18"/>
          <w:lang w:val="en-GB"/>
        </w:rPr>
        <w:t xml:space="preserve"> to raise points of European law of their own motion </w:t>
      </w:r>
      <w:r w:rsidRPr="00A20F72">
        <w:rPr>
          <w:rFonts w:ascii="Verdana" w:hAnsi="Verdana"/>
          <w:i/>
          <w:iCs/>
          <w:sz w:val="18"/>
          <w:szCs w:val="18"/>
          <w:lang w:val="en-GB"/>
        </w:rPr>
        <w:t>or ex officio</w:t>
      </w:r>
      <w:r w:rsidRPr="00A20F72">
        <w:rPr>
          <w:rFonts w:ascii="Verdana" w:hAnsi="Verdana"/>
          <w:sz w:val="18"/>
          <w:szCs w:val="18"/>
          <w:lang w:val="en-GB"/>
        </w:rPr>
        <w:t xml:space="preserve"> in certain circumstances, and they are </w:t>
      </w:r>
      <w:r w:rsidRPr="00A20F72">
        <w:rPr>
          <w:rFonts w:ascii="Verdana" w:hAnsi="Verdana"/>
          <w:i/>
          <w:iCs/>
          <w:sz w:val="18"/>
          <w:szCs w:val="18"/>
          <w:lang w:val="en-GB"/>
        </w:rPr>
        <w:t>obliged</w:t>
      </w:r>
      <w:r w:rsidRPr="00A20F72">
        <w:rPr>
          <w:rFonts w:ascii="Verdana" w:hAnsi="Verdana"/>
          <w:sz w:val="18"/>
          <w:szCs w:val="18"/>
          <w:lang w:val="en-GB"/>
        </w:rPr>
        <w:t xml:space="preserve"> to do so where not to do so could lead to a breach of EU law going unremedied. </w:t>
      </w:r>
      <w:r w:rsidR="001209F4" w:rsidRPr="00A20F72">
        <w:rPr>
          <w:rFonts w:ascii="Verdana" w:hAnsi="Verdana"/>
          <w:sz w:val="18"/>
          <w:szCs w:val="18"/>
          <w:lang w:val="en-GB"/>
        </w:rPr>
        <w:t xml:space="preserve"> </w:t>
      </w:r>
      <w:r w:rsidRPr="00A20F72">
        <w:rPr>
          <w:rFonts w:ascii="Verdana" w:hAnsi="Verdana"/>
          <w:sz w:val="18"/>
          <w:szCs w:val="18"/>
          <w:lang w:val="en-GB"/>
        </w:rPr>
        <w:t xml:space="preserve">In deciding whether or not to raise such a point </w:t>
      </w:r>
      <w:r w:rsidRPr="00A20F72">
        <w:rPr>
          <w:rFonts w:ascii="Verdana" w:hAnsi="Verdana"/>
          <w:i/>
          <w:iCs/>
          <w:sz w:val="18"/>
          <w:szCs w:val="18"/>
          <w:lang w:val="en-GB"/>
        </w:rPr>
        <w:t>ex officio</w:t>
      </w:r>
      <w:r w:rsidRPr="00A20F72">
        <w:rPr>
          <w:rFonts w:ascii="Verdana" w:hAnsi="Verdana"/>
          <w:sz w:val="18"/>
          <w:szCs w:val="18"/>
          <w:lang w:val="en-GB"/>
        </w:rPr>
        <w:t xml:space="preserve">, a national court must take into account all of the pleadings exchanged between the parties. </w:t>
      </w:r>
      <w:r w:rsidR="001209F4" w:rsidRPr="00A20F72">
        <w:rPr>
          <w:rFonts w:ascii="Verdana" w:hAnsi="Verdana"/>
          <w:sz w:val="18"/>
          <w:szCs w:val="18"/>
          <w:lang w:val="en-GB"/>
        </w:rPr>
        <w:t xml:space="preserve"> </w:t>
      </w:r>
      <w:r w:rsidRPr="00A20F72">
        <w:rPr>
          <w:rFonts w:ascii="Verdana" w:hAnsi="Verdana"/>
          <w:sz w:val="18"/>
          <w:szCs w:val="18"/>
          <w:lang w:val="en-GB"/>
        </w:rPr>
        <w:t xml:space="preserve">It is also for the national court to protect the rights of the parties by using national procedural rules to ensure, for example, that the parties have the opportunity to be heard on any points raised </w:t>
      </w:r>
      <w:r w:rsidRPr="00A20F72">
        <w:rPr>
          <w:rFonts w:ascii="Verdana" w:hAnsi="Verdana"/>
          <w:i/>
          <w:iCs/>
          <w:sz w:val="18"/>
          <w:szCs w:val="18"/>
          <w:lang w:val="en-GB"/>
        </w:rPr>
        <w:t>ex officio</w:t>
      </w:r>
      <w:r w:rsidRPr="00A20F72">
        <w:rPr>
          <w:rFonts w:ascii="Verdana" w:hAnsi="Verdana"/>
          <w:sz w:val="18"/>
          <w:szCs w:val="18"/>
          <w:lang w:val="en-GB"/>
        </w:rPr>
        <w:t xml:space="preserve">. </w:t>
      </w:r>
      <w:r w:rsidR="001209F4" w:rsidRPr="00A20F72">
        <w:rPr>
          <w:rFonts w:ascii="Verdana" w:hAnsi="Verdana"/>
          <w:sz w:val="18"/>
          <w:szCs w:val="18"/>
          <w:lang w:val="en-GB"/>
        </w:rPr>
        <w:t xml:space="preserve"> </w:t>
      </w:r>
      <w:r w:rsidRPr="00A20F72">
        <w:rPr>
          <w:rFonts w:ascii="Verdana" w:hAnsi="Verdana"/>
          <w:sz w:val="18"/>
          <w:szCs w:val="18"/>
          <w:lang w:val="en-GB"/>
        </w:rPr>
        <w:t xml:space="preserve">Where a national court is required by national procedural law to raise a point </w:t>
      </w:r>
      <w:r w:rsidRPr="00A20F72">
        <w:rPr>
          <w:rFonts w:ascii="Verdana" w:hAnsi="Verdana"/>
          <w:i/>
          <w:iCs/>
          <w:sz w:val="18"/>
          <w:szCs w:val="18"/>
          <w:lang w:val="en-GB"/>
        </w:rPr>
        <w:t>ex officio</w:t>
      </w:r>
      <w:r w:rsidRPr="00A20F72">
        <w:rPr>
          <w:rFonts w:ascii="Verdana" w:hAnsi="Verdana"/>
          <w:sz w:val="18"/>
          <w:szCs w:val="18"/>
          <w:lang w:val="en-GB"/>
        </w:rPr>
        <w:t xml:space="preserve"> in relation to national law it must also do so in relation to EU law issues.</w:t>
      </w:r>
    </w:p>
    <w:p w14:paraId="7A5E97B7" w14:textId="77777777" w:rsidR="009F3937" w:rsidRPr="009F3937" w:rsidRDefault="009F3937" w:rsidP="009F3937">
      <w:pPr>
        <w:spacing w:line="360" w:lineRule="auto"/>
        <w:rPr>
          <w:rFonts w:ascii="Verdana" w:hAnsi="Verdana"/>
          <w:sz w:val="18"/>
          <w:szCs w:val="18"/>
        </w:rPr>
      </w:pPr>
    </w:p>
    <w:p w14:paraId="548EB613" w14:textId="43DABE98" w:rsidR="00473316" w:rsidRDefault="003D563B"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My</w:t>
      </w:r>
      <w:r w:rsidR="00E5147A" w:rsidRPr="00A20F72">
        <w:rPr>
          <w:rFonts w:ascii="Verdana" w:hAnsi="Verdana"/>
          <w:sz w:val="18"/>
          <w:szCs w:val="18"/>
        </w:rPr>
        <w:t xml:space="preserve"> proposed</w:t>
      </w:r>
      <w:r w:rsidRPr="00A20F72">
        <w:rPr>
          <w:rFonts w:ascii="Verdana" w:hAnsi="Verdana"/>
          <w:sz w:val="18"/>
          <w:szCs w:val="18"/>
        </w:rPr>
        <w:t xml:space="preserve"> answer to the question </w:t>
      </w:r>
      <w:r w:rsidR="00E5147A" w:rsidRPr="00A20F72">
        <w:rPr>
          <w:rFonts w:ascii="Verdana" w:hAnsi="Verdana"/>
          <w:sz w:val="18"/>
          <w:szCs w:val="18"/>
        </w:rPr>
        <w:t>is</w:t>
      </w:r>
      <w:r w:rsidRPr="00A20F72">
        <w:rPr>
          <w:rFonts w:ascii="Verdana" w:hAnsi="Verdana"/>
          <w:sz w:val="18"/>
          <w:szCs w:val="18"/>
        </w:rPr>
        <w:t xml:space="preserve"> </w:t>
      </w:r>
      <w:r w:rsidR="005810F1">
        <w:rPr>
          <w:rFonts w:ascii="Verdana" w:hAnsi="Verdana"/>
          <w:sz w:val="18"/>
          <w:szCs w:val="18"/>
        </w:rPr>
        <w:t>in the affirmative; EU law in general obliges a domestic court to apply Union law that has been raised by a party even if the particular provision or interpretation has not been specifically pleaded</w:t>
      </w:r>
      <w:r w:rsidRPr="00A20F72">
        <w:rPr>
          <w:rFonts w:ascii="Verdana" w:hAnsi="Verdana"/>
          <w:sz w:val="18"/>
          <w:szCs w:val="18"/>
        </w:rPr>
        <w:t xml:space="preserve">. </w:t>
      </w:r>
      <w:r w:rsidR="004A64BB" w:rsidRPr="00A20F72">
        <w:rPr>
          <w:rFonts w:ascii="Verdana" w:hAnsi="Verdana"/>
          <w:sz w:val="18"/>
          <w:szCs w:val="18"/>
        </w:rPr>
        <w:t xml:space="preserve"> </w:t>
      </w:r>
      <w:r w:rsidR="00F14A36" w:rsidRPr="00A20F72">
        <w:rPr>
          <w:rFonts w:ascii="Verdana" w:hAnsi="Verdana"/>
          <w:sz w:val="18"/>
          <w:szCs w:val="18"/>
        </w:rPr>
        <w:t xml:space="preserve">The effective implementation of Union law requires the national court to take an expansive and purposive approach to </w:t>
      </w:r>
      <w:r w:rsidR="005810F1">
        <w:rPr>
          <w:rFonts w:ascii="Verdana" w:hAnsi="Verdana"/>
          <w:sz w:val="18"/>
          <w:szCs w:val="18"/>
        </w:rPr>
        <w:t>remedies envisaged by Union law</w:t>
      </w:r>
      <w:r w:rsidR="00F14A36" w:rsidRPr="00A20F72">
        <w:rPr>
          <w:rFonts w:ascii="Verdana" w:hAnsi="Verdana"/>
          <w:sz w:val="18"/>
          <w:szCs w:val="18"/>
        </w:rPr>
        <w:t xml:space="preserve">.  Where an effective remedy is sought for any alleged breach of Union law, and the applicant makes reference to the particular Union legislation concerned, whether expressly or impliedly, the domestic court should be required to consider the complaint even if domestic requirements of pleadings would ordinarily require the particular provisions of the law </w:t>
      </w:r>
      <w:r w:rsidR="005810F1">
        <w:rPr>
          <w:rFonts w:ascii="Verdana" w:hAnsi="Verdana"/>
          <w:sz w:val="18"/>
          <w:szCs w:val="18"/>
        </w:rPr>
        <w:t xml:space="preserve"> or particular interpretation </w:t>
      </w:r>
      <w:r w:rsidR="00F14A36" w:rsidRPr="00A20F72">
        <w:rPr>
          <w:rFonts w:ascii="Verdana" w:hAnsi="Verdana"/>
          <w:sz w:val="18"/>
          <w:szCs w:val="18"/>
        </w:rPr>
        <w:t xml:space="preserve">relied on to be set out.  The adoption of such </w:t>
      </w:r>
      <w:r w:rsidR="00D04A5C" w:rsidRPr="00A20F72">
        <w:rPr>
          <w:rFonts w:ascii="Verdana" w:hAnsi="Verdana"/>
          <w:sz w:val="18"/>
          <w:szCs w:val="18"/>
        </w:rPr>
        <w:t>an approach</w:t>
      </w:r>
      <w:r w:rsidR="00F14A36" w:rsidRPr="00A20F72">
        <w:rPr>
          <w:rFonts w:ascii="Verdana" w:hAnsi="Verdana"/>
          <w:sz w:val="18"/>
          <w:szCs w:val="18"/>
        </w:rPr>
        <w:t xml:space="preserve"> by domestic courts would significantly enhance </w:t>
      </w:r>
      <w:r w:rsidR="00D04A5C" w:rsidRPr="00A20F72">
        <w:rPr>
          <w:rFonts w:ascii="Verdana" w:hAnsi="Verdana"/>
          <w:sz w:val="18"/>
          <w:szCs w:val="18"/>
        </w:rPr>
        <w:t>the accessibility of Union law and</w:t>
      </w:r>
      <w:r w:rsidR="005810F1">
        <w:rPr>
          <w:rFonts w:ascii="Verdana" w:hAnsi="Verdana"/>
          <w:sz w:val="18"/>
          <w:szCs w:val="18"/>
        </w:rPr>
        <w:t xml:space="preserve"> the effectiveness of</w:t>
      </w:r>
      <w:r w:rsidR="00D04A5C" w:rsidRPr="00A20F72">
        <w:rPr>
          <w:rFonts w:ascii="Verdana" w:hAnsi="Verdana"/>
          <w:sz w:val="18"/>
          <w:szCs w:val="18"/>
        </w:rPr>
        <w:t xml:space="preserve"> remedies thereunder, would eliminate technical obstacles to access to Union legal remedies that might arise from domestic procedural rules, and would ensure that breaches of Union law would not go unremedied in such circumstances.  </w:t>
      </w:r>
      <w:r w:rsidR="00382C88" w:rsidRPr="00A20F72">
        <w:rPr>
          <w:rFonts w:ascii="Verdana" w:hAnsi="Verdana"/>
          <w:sz w:val="18"/>
          <w:szCs w:val="18"/>
        </w:rPr>
        <w:t>An affirmative answer to this question would significantly enhance the extent in practice to which Union law became embedded in the legal order of member states.</w:t>
      </w:r>
    </w:p>
    <w:p w14:paraId="41823F3C" w14:textId="77777777" w:rsidR="003546ED" w:rsidRPr="00A20F72" w:rsidRDefault="003546ED" w:rsidP="003546ED">
      <w:pPr>
        <w:pStyle w:val="ListParagraph"/>
        <w:spacing w:line="360" w:lineRule="auto"/>
        <w:ind w:left="567"/>
        <w:rPr>
          <w:rFonts w:ascii="Verdana" w:hAnsi="Verdana"/>
          <w:sz w:val="18"/>
          <w:szCs w:val="18"/>
        </w:rPr>
      </w:pPr>
    </w:p>
    <w:p w14:paraId="13D725D5" w14:textId="3CC0C786" w:rsidR="001B4960" w:rsidRDefault="008F7F3C"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The reason for the reference of this question is that</w:t>
      </w:r>
      <w:r w:rsidR="007757D5" w:rsidRPr="00A20F72">
        <w:rPr>
          <w:rFonts w:ascii="Verdana" w:hAnsi="Verdana"/>
          <w:sz w:val="18"/>
          <w:szCs w:val="18"/>
        </w:rPr>
        <w:t xml:space="preserve"> </w:t>
      </w:r>
      <w:r w:rsidR="00C23D4E" w:rsidRPr="00A20F72">
        <w:rPr>
          <w:rFonts w:ascii="Verdana" w:hAnsi="Verdana"/>
          <w:sz w:val="18"/>
          <w:szCs w:val="18"/>
        </w:rPr>
        <w:t xml:space="preserve">if the answer is </w:t>
      </w:r>
      <w:r w:rsidR="00797E5E" w:rsidRPr="00A20F72">
        <w:rPr>
          <w:rFonts w:ascii="Verdana" w:hAnsi="Verdana"/>
          <w:sz w:val="18"/>
          <w:szCs w:val="18"/>
        </w:rPr>
        <w:t>“</w:t>
      </w:r>
      <w:r w:rsidR="00C23D4E" w:rsidRPr="00A20F72">
        <w:rPr>
          <w:rFonts w:ascii="Verdana" w:hAnsi="Verdana"/>
          <w:sz w:val="18"/>
          <w:szCs w:val="18"/>
        </w:rPr>
        <w:t>Yes</w:t>
      </w:r>
      <w:r w:rsidR="00797E5E" w:rsidRPr="00A20F72">
        <w:rPr>
          <w:rFonts w:ascii="Verdana" w:hAnsi="Verdana"/>
          <w:sz w:val="18"/>
          <w:szCs w:val="18"/>
        </w:rPr>
        <w:t>”</w:t>
      </w:r>
      <w:r w:rsidR="00C23D4E" w:rsidRPr="00A20F72">
        <w:rPr>
          <w:rFonts w:ascii="Verdana" w:hAnsi="Verdana"/>
          <w:sz w:val="18"/>
          <w:szCs w:val="18"/>
        </w:rPr>
        <w:t xml:space="preserve"> then the applicant can pursue a wider range of grounds of challenge to the impugned permission</w:t>
      </w:r>
      <w:r w:rsidR="007757D5" w:rsidRPr="00A20F72">
        <w:rPr>
          <w:rFonts w:ascii="Verdana" w:hAnsi="Verdana"/>
          <w:sz w:val="18"/>
          <w:szCs w:val="18"/>
        </w:rPr>
        <w:t>.</w:t>
      </w:r>
    </w:p>
    <w:p w14:paraId="4AB33AA4" w14:textId="77777777" w:rsidR="003546ED" w:rsidRPr="003546ED" w:rsidRDefault="003546ED" w:rsidP="003546ED">
      <w:pPr>
        <w:spacing w:line="360" w:lineRule="auto"/>
        <w:rPr>
          <w:rFonts w:ascii="Verdana" w:hAnsi="Verdana"/>
          <w:sz w:val="18"/>
          <w:szCs w:val="18"/>
        </w:rPr>
      </w:pPr>
    </w:p>
    <w:p w14:paraId="7B4CA747" w14:textId="323D715A" w:rsidR="00C23D4E" w:rsidRPr="00A20F72" w:rsidRDefault="00C23D4E" w:rsidP="00A20F72">
      <w:pPr>
        <w:spacing w:line="360" w:lineRule="auto"/>
        <w:ind w:left="567" w:hanging="567"/>
        <w:rPr>
          <w:rFonts w:ascii="Verdana" w:hAnsi="Verdana"/>
          <w:b/>
          <w:sz w:val="18"/>
          <w:szCs w:val="18"/>
          <w:u w:val="single"/>
        </w:rPr>
      </w:pPr>
      <w:r w:rsidRPr="00A20F72">
        <w:rPr>
          <w:rFonts w:ascii="Verdana" w:hAnsi="Verdana"/>
          <w:b/>
          <w:sz w:val="18"/>
          <w:szCs w:val="18"/>
          <w:u w:val="single"/>
        </w:rPr>
        <w:t xml:space="preserve">The second question </w:t>
      </w:r>
    </w:p>
    <w:p w14:paraId="41172640" w14:textId="77777777" w:rsidR="00797E5E" w:rsidRPr="00A20F72"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The second question is:</w:t>
      </w:r>
    </w:p>
    <w:p w14:paraId="3F3ED6CB" w14:textId="352537F1" w:rsidR="00C23D4E" w:rsidRDefault="00C23D4E" w:rsidP="003546ED">
      <w:pPr>
        <w:pStyle w:val="ListParagraph"/>
        <w:spacing w:line="360" w:lineRule="auto"/>
        <w:ind w:left="567"/>
        <w:rPr>
          <w:rFonts w:ascii="Verdana" w:hAnsi="Verdana"/>
          <w:b/>
          <w:bCs/>
          <w:sz w:val="18"/>
          <w:szCs w:val="18"/>
        </w:rPr>
      </w:pPr>
      <w:r w:rsidRPr="00A20F72">
        <w:rPr>
          <w:rFonts w:ascii="Verdana" w:hAnsi="Verdana"/>
          <w:b/>
          <w:bCs/>
          <w:sz w:val="18"/>
          <w:szCs w:val="18"/>
        </w:rPr>
        <w:t>If the answer to the first question is “</w:t>
      </w:r>
      <w:r w:rsidR="00797E5E" w:rsidRPr="00A20F72">
        <w:rPr>
          <w:rFonts w:ascii="Verdana" w:hAnsi="Verdana"/>
          <w:b/>
          <w:bCs/>
          <w:sz w:val="18"/>
          <w:szCs w:val="18"/>
        </w:rPr>
        <w:t>Y</w:t>
      </w:r>
      <w:r w:rsidRPr="00A20F72">
        <w:rPr>
          <w:rFonts w:ascii="Verdana" w:hAnsi="Verdana"/>
          <w:b/>
          <w:bCs/>
          <w:sz w:val="18"/>
          <w:szCs w:val="18"/>
        </w:rPr>
        <w:t>es”, whether art. 4(2), (3), (4) and/or (5) and/or Annex III of the EIA directive 2011/92 and/or the directive read in the light of the principle of legal certainty and good administration under art. 41 of the Charter of Fundamental Rights of the European Union have the consequence that, where a competent authority decides not to subject a proposal for development consent to the process of environmental impact assessment, there should be an express</w:t>
      </w:r>
      <w:r w:rsidR="0022434D" w:rsidRPr="00A20F72">
        <w:rPr>
          <w:rFonts w:ascii="Verdana" w:hAnsi="Verdana"/>
          <w:b/>
          <w:bCs/>
          <w:sz w:val="18"/>
          <w:szCs w:val="18"/>
        </w:rPr>
        <w:t>, discrete and/or specific</w:t>
      </w:r>
      <w:r w:rsidRPr="00A20F72">
        <w:rPr>
          <w:rFonts w:ascii="Verdana" w:hAnsi="Verdana"/>
          <w:b/>
          <w:bCs/>
          <w:sz w:val="18"/>
          <w:szCs w:val="18"/>
        </w:rPr>
        <w:t xml:space="preserve"> statement as to what documents exactly set out the reasons of the competent authority</w:t>
      </w:r>
      <w:r w:rsidR="00797E5E" w:rsidRPr="00A20F72">
        <w:rPr>
          <w:rFonts w:ascii="Verdana" w:hAnsi="Verdana"/>
          <w:b/>
          <w:bCs/>
          <w:sz w:val="18"/>
          <w:szCs w:val="18"/>
        </w:rPr>
        <w:t>.</w:t>
      </w:r>
    </w:p>
    <w:p w14:paraId="6FDFE2F4" w14:textId="77777777" w:rsidR="003546ED" w:rsidRPr="003546ED" w:rsidRDefault="003546ED" w:rsidP="003546ED">
      <w:pPr>
        <w:spacing w:line="360" w:lineRule="auto"/>
        <w:rPr>
          <w:rFonts w:ascii="Verdana" w:hAnsi="Verdana"/>
          <w:b/>
          <w:bCs/>
          <w:sz w:val="18"/>
          <w:szCs w:val="18"/>
        </w:rPr>
      </w:pPr>
    </w:p>
    <w:p w14:paraId="25B8DBBA" w14:textId="2430A466" w:rsidR="00C23D4E"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applicant’s position is </w:t>
      </w:r>
      <w:r w:rsidR="0056302E" w:rsidRPr="00A20F72">
        <w:rPr>
          <w:rFonts w:ascii="Verdana" w:hAnsi="Verdana"/>
          <w:sz w:val="18"/>
          <w:szCs w:val="18"/>
        </w:rPr>
        <w:t>that</w:t>
      </w:r>
      <w:r w:rsidRPr="00A20F72">
        <w:rPr>
          <w:rFonts w:ascii="Verdana" w:hAnsi="Verdana"/>
          <w:sz w:val="18"/>
          <w:szCs w:val="18"/>
        </w:rPr>
        <w:t xml:space="preserve"> the answer to this question is in the affirmative. </w:t>
      </w:r>
      <w:r w:rsidR="00797E5E" w:rsidRPr="00A20F72">
        <w:rPr>
          <w:rFonts w:ascii="Verdana" w:hAnsi="Verdana"/>
          <w:sz w:val="18"/>
          <w:szCs w:val="18"/>
        </w:rPr>
        <w:t xml:space="preserve"> </w:t>
      </w:r>
      <w:r w:rsidRPr="00A20F72">
        <w:rPr>
          <w:rFonts w:ascii="Verdana" w:hAnsi="Verdana"/>
          <w:sz w:val="18"/>
          <w:szCs w:val="18"/>
        </w:rPr>
        <w:t xml:space="preserve">In the alternative, the reasons and considerations along with the matters considered must be clearly and expressly made available to the public. </w:t>
      </w:r>
      <w:r w:rsidR="00797E5E" w:rsidRPr="00A20F72">
        <w:rPr>
          <w:rFonts w:ascii="Verdana" w:hAnsi="Verdana"/>
          <w:sz w:val="18"/>
          <w:szCs w:val="18"/>
        </w:rPr>
        <w:t xml:space="preserve"> </w:t>
      </w:r>
      <w:r w:rsidRPr="00A20F72">
        <w:rPr>
          <w:rFonts w:ascii="Verdana" w:hAnsi="Verdana"/>
          <w:sz w:val="18"/>
          <w:szCs w:val="18"/>
        </w:rPr>
        <w:t>Failure to do so gives rise to uncertainty and confusion.</w:t>
      </w:r>
    </w:p>
    <w:p w14:paraId="791F9CD1" w14:textId="77777777" w:rsidR="003546ED" w:rsidRPr="00A20F72" w:rsidRDefault="003546ED" w:rsidP="003546ED">
      <w:pPr>
        <w:pStyle w:val="ListParagraph"/>
        <w:spacing w:line="360" w:lineRule="auto"/>
        <w:ind w:left="567"/>
        <w:rPr>
          <w:rFonts w:ascii="Verdana" w:hAnsi="Verdana"/>
          <w:sz w:val="18"/>
          <w:szCs w:val="18"/>
        </w:rPr>
      </w:pPr>
    </w:p>
    <w:p w14:paraId="372C1934" w14:textId="4CCFEDDE" w:rsidR="0022434D" w:rsidRPr="003546ED"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color w:val="000000"/>
          <w:sz w:val="18"/>
          <w:szCs w:val="18"/>
        </w:rPr>
        <w:t xml:space="preserve">The board’s position is that </w:t>
      </w:r>
      <w:r w:rsidR="0022434D" w:rsidRPr="00A20F72">
        <w:rPr>
          <w:rFonts w:ascii="Verdana" w:hAnsi="Verdana"/>
          <w:sz w:val="18"/>
          <w:szCs w:val="18"/>
          <w:lang w:val="en-GB"/>
        </w:rPr>
        <w:t xml:space="preserve">as a matter of both domestic and European law there is no requirement for an </w:t>
      </w:r>
      <w:r w:rsidR="0022434D" w:rsidRPr="00A20F72">
        <w:rPr>
          <w:rFonts w:ascii="Verdana" w:hAnsi="Verdana"/>
          <w:color w:val="000000"/>
          <w:sz w:val="18"/>
          <w:szCs w:val="18"/>
          <w:lang w:val="en-GB"/>
        </w:rPr>
        <w:t xml:space="preserve">express statement as to what documents exactly set out the reasons of the competent authority, provided that the reasons can be readily ascertained from the documentation as a whole. </w:t>
      </w:r>
      <w:r w:rsidR="00454CF4" w:rsidRPr="00A20F72">
        <w:rPr>
          <w:rFonts w:ascii="Verdana" w:hAnsi="Verdana"/>
          <w:color w:val="000000"/>
          <w:sz w:val="18"/>
          <w:szCs w:val="18"/>
          <w:lang w:val="en-GB"/>
        </w:rPr>
        <w:t xml:space="preserve"> </w:t>
      </w:r>
      <w:r w:rsidR="0022434D" w:rsidRPr="00A20F72">
        <w:rPr>
          <w:rFonts w:ascii="Verdana" w:hAnsi="Verdana"/>
          <w:color w:val="000000"/>
          <w:sz w:val="18"/>
          <w:szCs w:val="18"/>
          <w:lang w:val="en-GB"/>
        </w:rPr>
        <w:t xml:space="preserve">The </w:t>
      </w:r>
      <w:r w:rsidR="00454CF4" w:rsidRPr="00A20F72">
        <w:rPr>
          <w:rFonts w:ascii="Verdana" w:hAnsi="Verdana"/>
          <w:color w:val="000000"/>
          <w:sz w:val="18"/>
          <w:szCs w:val="18"/>
          <w:lang w:val="en-GB"/>
        </w:rPr>
        <w:t>b</w:t>
      </w:r>
      <w:r w:rsidR="0022434D" w:rsidRPr="00A20F72">
        <w:rPr>
          <w:rFonts w:ascii="Verdana" w:hAnsi="Verdana"/>
          <w:color w:val="000000"/>
          <w:sz w:val="18"/>
          <w:szCs w:val="18"/>
          <w:lang w:val="en-GB"/>
        </w:rPr>
        <w:t xml:space="preserve">oard will rely </w:t>
      </w:r>
      <w:r w:rsidR="0022434D" w:rsidRPr="00A20F72">
        <w:rPr>
          <w:rFonts w:ascii="Verdana" w:hAnsi="Verdana"/>
          <w:i/>
          <w:color w:val="000000"/>
          <w:sz w:val="18"/>
          <w:szCs w:val="18"/>
          <w:lang w:val="en-GB"/>
        </w:rPr>
        <w:t>inter alia</w:t>
      </w:r>
      <w:r w:rsidR="0022434D" w:rsidRPr="00A20F72">
        <w:rPr>
          <w:rFonts w:ascii="Verdana" w:hAnsi="Verdana"/>
          <w:color w:val="000000"/>
          <w:sz w:val="18"/>
          <w:szCs w:val="18"/>
          <w:lang w:val="en-GB"/>
        </w:rPr>
        <w:t xml:space="preserve"> on the CJEU decision in </w:t>
      </w:r>
      <w:r w:rsidR="0022434D" w:rsidRPr="00A20F72">
        <w:rPr>
          <w:rFonts w:ascii="Verdana" w:hAnsi="Verdana"/>
          <w:i/>
          <w:iCs/>
          <w:color w:val="000000"/>
          <w:sz w:val="18"/>
          <w:szCs w:val="18"/>
          <w:lang w:val="en-GB"/>
        </w:rPr>
        <w:t>Mellor</w:t>
      </w:r>
      <w:r w:rsidR="0022434D" w:rsidRPr="00A20F72">
        <w:rPr>
          <w:rFonts w:ascii="Verdana" w:hAnsi="Verdana"/>
          <w:color w:val="000000"/>
          <w:sz w:val="18"/>
          <w:szCs w:val="18"/>
          <w:lang w:val="en-GB"/>
        </w:rPr>
        <w:t xml:space="preserve"> (C-75/08).</w:t>
      </w:r>
    </w:p>
    <w:p w14:paraId="5FE545DF" w14:textId="77777777" w:rsidR="003546ED" w:rsidRPr="003546ED" w:rsidRDefault="003546ED" w:rsidP="003546ED">
      <w:pPr>
        <w:spacing w:line="360" w:lineRule="auto"/>
        <w:rPr>
          <w:rFonts w:ascii="Verdana" w:hAnsi="Verdana"/>
          <w:sz w:val="18"/>
          <w:szCs w:val="18"/>
        </w:rPr>
      </w:pPr>
    </w:p>
    <w:p w14:paraId="28D7B7DB" w14:textId="3750412B" w:rsidR="00947C7A" w:rsidRPr="003546ED" w:rsidRDefault="00947C7A"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w:t>
      </w:r>
      <w:r w:rsidRPr="00A20F72">
        <w:rPr>
          <w:rFonts w:ascii="Verdana" w:hAnsi="Verdana"/>
          <w:i/>
          <w:iCs/>
          <w:sz w:val="18"/>
          <w:szCs w:val="18"/>
        </w:rPr>
        <w:t>amici’s</w:t>
      </w:r>
      <w:r w:rsidRPr="00A20F72">
        <w:rPr>
          <w:rFonts w:ascii="Verdana" w:hAnsi="Verdana"/>
          <w:sz w:val="18"/>
          <w:szCs w:val="18"/>
        </w:rPr>
        <w:t xml:space="preserve"> joint position is that </w:t>
      </w:r>
      <w:r w:rsidRPr="00A20F72">
        <w:rPr>
          <w:rFonts w:ascii="Verdana" w:hAnsi="Verdana"/>
          <w:sz w:val="18"/>
          <w:szCs w:val="18"/>
          <w:lang w:val="en-GB"/>
        </w:rPr>
        <w:t xml:space="preserve">where a competent authority decides that an environmental impact assessment is not required, </w:t>
      </w:r>
      <w:r w:rsidR="001209F4" w:rsidRPr="00A20F72">
        <w:rPr>
          <w:rFonts w:ascii="Verdana" w:hAnsi="Verdana"/>
          <w:sz w:val="18"/>
          <w:szCs w:val="18"/>
          <w:lang w:val="en-GB"/>
        </w:rPr>
        <w:t>art.</w:t>
      </w:r>
      <w:r w:rsidRPr="00A20F72">
        <w:rPr>
          <w:rFonts w:ascii="Verdana" w:hAnsi="Verdana"/>
          <w:sz w:val="18"/>
          <w:szCs w:val="18"/>
          <w:lang w:val="en-GB"/>
        </w:rPr>
        <w:t xml:space="preserve"> 4(5)(b) of the EIA </w:t>
      </w:r>
      <w:r w:rsidR="001209F4" w:rsidRPr="00A20F72">
        <w:rPr>
          <w:rFonts w:ascii="Verdana" w:hAnsi="Verdana"/>
          <w:sz w:val="18"/>
          <w:szCs w:val="18"/>
          <w:lang w:val="en-GB"/>
        </w:rPr>
        <w:t>d</w:t>
      </w:r>
      <w:r w:rsidRPr="00A20F72">
        <w:rPr>
          <w:rFonts w:ascii="Verdana" w:hAnsi="Verdana"/>
          <w:sz w:val="18"/>
          <w:szCs w:val="18"/>
          <w:lang w:val="en-GB"/>
        </w:rPr>
        <w:t xml:space="preserve">irective requires a discrete express statement of the main reasons for not requiring such assessment. </w:t>
      </w:r>
      <w:r w:rsidR="001209F4" w:rsidRPr="00A20F72">
        <w:rPr>
          <w:rFonts w:ascii="Verdana" w:hAnsi="Verdana"/>
          <w:sz w:val="18"/>
          <w:szCs w:val="18"/>
          <w:lang w:val="en-GB"/>
        </w:rPr>
        <w:t xml:space="preserve"> </w:t>
      </w:r>
      <w:r w:rsidRPr="00A20F72">
        <w:rPr>
          <w:rFonts w:ascii="Verdana" w:hAnsi="Verdana"/>
          <w:sz w:val="18"/>
          <w:szCs w:val="18"/>
          <w:lang w:val="en-GB"/>
        </w:rPr>
        <w:t xml:space="preserve">Where the express statement refers to sections of other </w:t>
      </w:r>
      <w:r w:rsidRPr="00A20F72">
        <w:rPr>
          <w:rFonts w:ascii="Verdana" w:hAnsi="Verdana"/>
          <w:color w:val="000000" w:themeColor="text1"/>
          <w:sz w:val="18"/>
          <w:szCs w:val="18"/>
          <w:lang w:val="en-GB"/>
        </w:rPr>
        <w:t xml:space="preserve">documents these references should be referred to explicitly provided always that the reasons and references to sections of other documents which set out the reasons can be manifestly identified by an average member of the public participating in the procedure who does not have any particular expertise in law or environmental assessment. </w:t>
      </w:r>
      <w:r w:rsidR="001209F4" w:rsidRPr="00A20F72">
        <w:rPr>
          <w:rFonts w:ascii="Verdana" w:hAnsi="Verdana"/>
          <w:color w:val="000000" w:themeColor="text1"/>
          <w:sz w:val="18"/>
          <w:szCs w:val="18"/>
          <w:lang w:val="en-GB"/>
        </w:rPr>
        <w:t xml:space="preserve"> </w:t>
      </w:r>
      <w:r w:rsidRPr="00A20F72">
        <w:rPr>
          <w:rFonts w:ascii="Verdana" w:hAnsi="Verdana"/>
          <w:color w:val="000000" w:themeColor="text1"/>
          <w:sz w:val="18"/>
          <w:szCs w:val="18"/>
          <w:lang w:val="en-GB"/>
        </w:rPr>
        <w:t>The statement of reasons must be sufficient to enable a member of the public and a national court to review the lawfulness of the decision without further explanation or elaboration from the competent authority.</w:t>
      </w:r>
    </w:p>
    <w:p w14:paraId="1CE0CD1D" w14:textId="77777777" w:rsidR="003546ED" w:rsidRPr="003546ED" w:rsidRDefault="003546ED" w:rsidP="003546ED">
      <w:pPr>
        <w:spacing w:line="360" w:lineRule="auto"/>
        <w:rPr>
          <w:rFonts w:ascii="Verdana" w:hAnsi="Verdana"/>
          <w:sz w:val="18"/>
          <w:szCs w:val="18"/>
        </w:rPr>
      </w:pPr>
    </w:p>
    <w:p w14:paraId="20DB4A8D" w14:textId="179A56EE" w:rsidR="00C23D4E"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My proposed answer to the question is </w:t>
      </w:r>
      <w:r w:rsidR="005810F1">
        <w:rPr>
          <w:rFonts w:ascii="Verdana" w:hAnsi="Verdana"/>
          <w:sz w:val="18"/>
          <w:szCs w:val="18"/>
        </w:rPr>
        <w:t>in the affirmative; any screening decision should be accompanied by express, discrete and specific reasons</w:t>
      </w:r>
      <w:r w:rsidRPr="00A20F72">
        <w:rPr>
          <w:rFonts w:ascii="Verdana" w:hAnsi="Verdana"/>
          <w:sz w:val="18"/>
          <w:szCs w:val="18"/>
        </w:rPr>
        <w:t xml:space="preserve">.  </w:t>
      </w:r>
      <w:r w:rsidR="00D04A5C" w:rsidRPr="00A20F72">
        <w:rPr>
          <w:rFonts w:ascii="Verdana" w:hAnsi="Verdana"/>
          <w:sz w:val="18"/>
          <w:szCs w:val="18"/>
        </w:rPr>
        <w:t>While domestic substantive law can provide considerable latitude to decision-makers in a purely domestic context as to the form of the decision, a lack of transparency as to reasoning in the Union context significantly dilutes the objectives of public participation and good administration that apply to relevant Union legislation.  The minimum content required to ensure transparency is that the reasoning of the competent authority be set out in express, specific and discrete terms by reference to identifi</w:t>
      </w:r>
      <w:r w:rsidR="005810F1">
        <w:rPr>
          <w:rFonts w:ascii="Verdana" w:hAnsi="Verdana"/>
          <w:sz w:val="18"/>
          <w:szCs w:val="18"/>
        </w:rPr>
        <w:t>ed</w:t>
      </w:r>
      <w:r w:rsidR="00D04A5C" w:rsidRPr="00A20F72">
        <w:rPr>
          <w:rFonts w:ascii="Verdana" w:hAnsi="Verdana"/>
          <w:sz w:val="18"/>
          <w:szCs w:val="18"/>
        </w:rPr>
        <w:t xml:space="preserve"> documents setting out such reasoning.  A process where it might be inferentially assumed without being stated expressly that a competent authority has accepted a document prepared by a developer</w:t>
      </w:r>
      <w:r w:rsidR="005810F1">
        <w:rPr>
          <w:rFonts w:ascii="Verdana" w:hAnsi="Verdana"/>
          <w:sz w:val="18"/>
          <w:szCs w:val="18"/>
        </w:rPr>
        <w:t xml:space="preserve">, or a document prepared by another official, or both, </w:t>
      </w:r>
      <w:r w:rsidR="00D04A5C" w:rsidRPr="00A20F72">
        <w:rPr>
          <w:rFonts w:ascii="Verdana" w:hAnsi="Verdana"/>
          <w:sz w:val="18"/>
          <w:szCs w:val="18"/>
        </w:rPr>
        <w:t xml:space="preserve">which latter document </w:t>
      </w:r>
      <w:r w:rsidR="005810F1">
        <w:rPr>
          <w:rFonts w:ascii="Verdana" w:hAnsi="Verdana"/>
          <w:sz w:val="18"/>
          <w:szCs w:val="18"/>
        </w:rPr>
        <w:t xml:space="preserve">or documents </w:t>
      </w:r>
      <w:r w:rsidR="00D04A5C" w:rsidRPr="00A20F72">
        <w:rPr>
          <w:rFonts w:ascii="Verdana" w:hAnsi="Verdana"/>
          <w:sz w:val="18"/>
          <w:szCs w:val="18"/>
        </w:rPr>
        <w:t>therefore impliedly set out the official reasoning</w:t>
      </w:r>
      <w:r w:rsidR="005810F1">
        <w:rPr>
          <w:rFonts w:ascii="Verdana" w:hAnsi="Verdana"/>
          <w:sz w:val="18"/>
          <w:szCs w:val="18"/>
        </w:rPr>
        <w:t xml:space="preserve"> (assuming that can even be clearly identified), creates room for disagreement as to interpretation, introduces uncertainty, and</w:t>
      </w:r>
      <w:r w:rsidR="00D04A5C" w:rsidRPr="00A20F72">
        <w:rPr>
          <w:rFonts w:ascii="Verdana" w:hAnsi="Verdana"/>
          <w:sz w:val="18"/>
          <w:szCs w:val="18"/>
        </w:rPr>
        <w:t xml:space="preserve"> lacks adequate transparency </w:t>
      </w:r>
      <w:r w:rsidR="005810F1">
        <w:rPr>
          <w:rFonts w:ascii="Verdana" w:hAnsi="Verdana"/>
          <w:sz w:val="18"/>
          <w:szCs w:val="18"/>
        </w:rPr>
        <w:t>and</w:t>
      </w:r>
      <w:r w:rsidR="00D04A5C" w:rsidRPr="00A20F72">
        <w:rPr>
          <w:rFonts w:ascii="Verdana" w:hAnsi="Verdana"/>
          <w:sz w:val="18"/>
          <w:szCs w:val="18"/>
        </w:rPr>
        <w:t xml:space="preserve"> procedural safeguards</w:t>
      </w:r>
      <w:r w:rsidRPr="00A20F72">
        <w:rPr>
          <w:rFonts w:ascii="Verdana" w:hAnsi="Verdana"/>
          <w:sz w:val="18"/>
          <w:szCs w:val="18"/>
        </w:rPr>
        <w:t>.</w:t>
      </w:r>
      <w:r w:rsidR="005810F1">
        <w:rPr>
          <w:rFonts w:ascii="Verdana" w:hAnsi="Verdana"/>
          <w:sz w:val="18"/>
          <w:szCs w:val="18"/>
        </w:rPr>
        <w:t xml:space="preserve">  This impairs the effective implementation of Union law, particularly in the context where an applicant may seek to invoke judicial remedies against the decision of the competent authority.  An obligation to give such reasons is in no way onerous on the competent authority. </w:t>
      </w:r>
    </w:p>
    <w:p w14:paraId="166B12CB" w14:textId="77777777" w:rsidR="003546ED" w:rsidRPr="003546ED" w:rsidRDefault="003546ED" w:rsidP="003546ED">
      <w:pPr>
        <w:spacing w:line="360" w:lineRule="auto"/>
        <w:rPr>
          <w:rFonts w:ascii="Verdana" w:hAnsi="Verdana"/>
          <w:sz w:val="18"/>
          <w:szCs w:val="18"/>
        </w:rPr>
      </w:pPr>
    </w:p>
    <w:p w14:paraId="17C7D8DE" w14:textId="36877998" w:rsidR="00C23D4E"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reason for the reference of this question is that </w:t>
      </w:r>
      <w:r w:rsidR="00B22E30" w:rsidRPr="00A20F72">
        <w:rPr>
          <w:rFonts w:ascii="Verdana" w:hAnsi="Verdana"/>
          <w:sz w:val="18"/>
          <w:szCs w:val="18"/>
        </w:rPr>
        <w:t>the decision here did not expressly state what documents set out the reasoning of the competent authority regarding EIA.  If there was an implied EU law obligation to do so then the applicant would succeed under that heading</w:t>
      </w:r>
      <w:r w:rsidRPr="00A20F72">
        <w:rPr>
          <w:rFonts w:ascii="Verdana" w:hAnsi="Verdana"/>
          <w:sz w:val="18"/>
          <w:szCs w:val="18"/>
        </w:rPr>
        <w:t>.</w:t>
      </w:r>
    </w:p>
    <w:p w14:paraId="06509B9B" w14:textId="77777777" w:rsidR="003546ED" w:rsidRPr="003546ED" w:rsidRDefault="003546ED" w:rsidP="003546ED">
      <w:pPr>
        <w:spacing w:line="360" w:lineRule="auto"/>
        <w:rPr>
          <w:rFonts w:ascii="Verdana" w:hAnsi="Verdana"/>
          <w:sz w:val="18"/>
          <w:szCs w:val="18"/>
        </w:rPr>
      </w:pPr>
    </w:p>
    <w:p w14:paraId="68D787B9" w14:textId="0294E4A1" w:rsidR="00C23D4E" w:rsidRPr="00A20F72" w:rsidRDefault="00C23D4E" w:rsidP="00A20F72">
      <w:pPr>
        <w:spacing w:line="360" w:lineRule="auto"/>
        <w:ind w:left="567" w:hanging="567"/>
        <w:rPr>
          <w:rFonts w:ascii="Verdana" w:hAnsi="Verdana"/>
          <w:b/>
          <w:sz w:val="18"/>
          <w:szCs w:val="18"/>
          <w:u w:val="single"/>
        </w:rPr>
      </w:pPr>
      <w:r w:rsidRPr="00A20F72">
        <w:rPr>
          <w:rFonts w:ascii="Verdana" w:hAnsi="Verdana"/>
          <w:b/>
          <w:sz w:val="18"/>
          <w:szCs w:val="18"/>
          <w:u w:val="single"/>
        </w:rPr>
        <w:t xml:space="preserve">The third question </w:t>
      </w:r>
    </w:p>
    <w:p w14:paraId="3ECB5D2F" w14:textId="77777777" w:rsidR="00797E5E" w:rsidRPr="00A20F72"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w:t>
      </w:r>
      <w:r w:rsidR="00797E5E" w:rsidRPr="00A20F72">
        <w:rPr>
          <w:rFonts w:ascii="Verdana" w:hAnsi="Verdana"/>
          <w:sz w:val="18"/>
          <w:szCs w:val="18"/>
        </w:rPr>
        <w:t>third</w:t>
      </w:r>
      <w:r w:rsidRPr="00A20F72">
        <w:rPr>
          <w:rFonts w:ascii="Verdana" w:hAnsi="Verdana"/>
          <w:sz w:val="18"/>
          <w:szCs w:val="18"/>
        </w:rPr>
        <w:t xml:space="preserve"> question is:</w:t>
      </w:r>
    </w:p>
    <w:p w14:paraId="09F2F4C6" w14:textId="16256186" w:rsidR="00C23D4E" w:rsidRDefault="00C23D4E" w:rsidP="003546ED">
      <w:pPr>
        <w:pStyle w:val="ListParagraph"/>
        <w:spacing w:line="360" w:lineRule="auto"/>
        <w:ind w:left="567"/>
        <w:rPr>
          <w:rFonts w:ascii="Verdana" w:hAnsi="Verdana"/>
          <w:b/>
          <w:bCs/>
          <w:sz w:val="18"/>
          <w:szCs w:val="18"/>
        </w:rPr>
      </w:pPr>
      <w:r w:rsidRPr="00A20F72">
        <w:rPr>
          <w:rFonts w:ascii="Verdana" w:hAnsi="Verdana"/>
          <w:b/>
          <w:bCs/>
          <w:sz w:val="18"/>
          <w:szCs w:val="18"/>
        </w:rPr>
        <w:t>If the answer to the first question is “</w:t>
      </w:r>
      <w:r w:rsidR="00797E5E" w:rsidRPr="00A20F72">
        <w:rPr>
          <w:rFonts w:ascii="Verdana" w:hAnsi="Verdana"/>
          <w:b/>
          <w:bCs/>
          <w:sz w:val="18"/>
          <w:szCs w:val="18"/>
        </w:rPr>
        <w:t>Y</w:t>
      </w:r>
      <w:r w:rsidRPr="00A20F72">
        <w:rPr>
          <w:rFonts w:ascii="Verdana" w:hAnsi="Verdana"/>
          <w:b/>
          <w:bCs/>
          <w:sz w:val="18"/>
          <w:szCs w:val="18"/>
        </w:rPr>
        <w:t>es”, whether art. 4(2), (3), (4) and/or (5) and/or Annex III of the EIA directive 2011/92 and/or the directive read in the light of the principle of legal certainty and good administration under art. 41 of the Charter of Fundamental Rights of the European Union have the consequence that, where a competent authority decides not to subject a proposal for development consent to the process of environmental impact assessment, there is an obligation to expressly set out consideration of all specific headings and sub-headings in annex III of the EIA directive, insofar as those headings and sub-headings are potentially relevant to the development.</w:t>
      </w:r>
    </w:p>
    <w:p w14:paraId="331B1C02" w14:textId="77777777" w:rsidR="003546ED" w:rsidRPr="003546ED" w:rsidRDefault="003546ED" w:rsidP="003546ED">
      <w:pPr>
        <w:spacing w:line="360" w:lineRule="auto"/>
        <w:rPr>
          <w:rFonts w:ascii="Verdana" w:hAnsi="Verdana"/>
          <w:b/>
          <w:bCs/>
          <w:sz w:val="18"/>
          <w:szCs w:val="18"/>
        </w:rPr>
      </w:pPr>
    </w:p>
    <w:p w14:paraId="15A97848" w14:textId="3D714206" w:rsidR="0056302E"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applicant’s position is </w:t>
      </w:r>
      <w:r w:rsidR="0056302E" w:rsidRPr="00A20F72">
        <w:rPr>
          <w:rFonts w:ascii="Verdana" w:hAnsi="Verdana"/>
          <w:sz w:val="18"/>
          <w:szCs w:val="18"/>
        </w:rPr>
        <w:t xml:space="preserve">that again, the answer is in the affirmative. </w:t>
      </w:r>
      <w:r w:rsidR="000509FB" w:rsidRPr="00A20F72">
        <w:rPr>
          <w:rFonts w:ascii="Verdana" w:hAnsi="Verdana"/>
          <w:sz w:val="18"/>
          <w:szCs w:val="18"/>
        </w:rPr>
        <w:t xml:space="preserve"> </w:t>
      </w:r>
      <w:r w:rsidR="0056302E" w:rsidRPr="00A20F72">
        <w:rPr>
          <w:rFonts w:ascii="Verdana" w:hAnsi="Verdana"/>
          <w:sz w:val="18"/>
          <w:szCs w:val="18"/>
        </w:rPr>
        <w:t>Article 4(5)(</w:t>
      </w:r>
      <w:r w:rsidR="00B22E30" w:rsidRPr="00A20F72">
        <w:rPr>
          <w:rFonts w:ascii="Verdana" w:hAnsi="Verdana"/>
          <w:sz w:val="18"/>
          <w:szCs w:val="18"/>
        </w:rPr>
        <w:t>b</w:t>
      </w:r>
      <w:r w:rsidR="0056302E" w:rsidRPr="00A20F72">
        <w:rPr>
          <w:rFonts w:ascii="Verdana" w:hAnsi="Verdana"/>
          <w:sz w:val="18"/>
          <w:szCs w:val="18"/>
        </w:rPr>
        <w:t xml:space="preserve">) of the </w:t>
      </w:r>
      <w:r w:rsidR="00285D59" w:rsidRPr="00A20F72">
        <w:rPr>
          <w:rFonts w:ascii="Verdana" w:hAnsi="Verdana"/>
          <w:sz w:val="18"/>
          <w:szCs w:val="18"/>
        </w:rPr>
        <w:t>d</w:t>
      </w:r>
      <w:r w:rsidR="0056302E" w:rsidRPr="00A20F72">
        <w:rPr>
          <w:rFonts w:ascii="Verdana" w:hAnsi="Verdana"/>
          <w:sz w:val="18"/>
          <w:szCs w:val="18"/>
        </w:rPr>
        <w:t xml:space="preserve">irective is express in its terms. </w:t>
      </w:r>
      <w:r w:rsidR="000509FB" w:rsidRPr="00A20F72">
        <w:rPr>
          <w:rFonts w:ascii="Verdana" w:hAnsi="Verdana"/>
          <w:sz w:val="18"/>
          <w:szCs w:val="18"/>
        </w:rPr>
        <w:t xml:space="preserve"> </w:t>
      </w:r>
      <w:r w:rsidR="0056302E" w:rsidRPr="00A20F72">
        <w:rPr>
          <w:rFonts w:ascii="Verdana" w:hAnsi="Verdana"/>
          <w:sz w:val="18"/>
          <w:szCs w:val="18"/>
        </w:rPr>
        <w:t>It states: “</w:t>
      </w:r>
      <w:r w:rsidR="0056302E" w:rsidRPr="00A20F72">
        <w:rPr>
          <w:rFonts w:ascii="Verdana" w:hAnsi="Verdana"/>
          <w:iCs/>
          <w:sz w:val="18"/>
          <w:szCs w:val="18"/>
        </w:rPr>
        <w:t xml:space="preserve">where it is decided that an environmental impact assessment is not required, state the main reasons for not requiring such assessment with reference to the relevant criteria listed in Annex III, and, where proposed by the developer, state any features of the project and/or measures envisaged to avoid or prevent what might otherwise have been significant adverse effects on the environment.” </w:t>
      </w:r>
      <w:r w:rsidR="000509FB" w:rsidRPr="00A20F72">
        <w:rPr>
          <w:rFonts w:ascii="Verdana" w:hAnsi="Verdana"/>
          <w:iCs/>
          <w:sz w:val="18"/>
          <w:szCs w:val="18"/>
        </w:rPr>
        <w:t xml:space="preserve"> </w:t>
      </w:r>
      <w:r w:rsidR="0056302E" w:rsidRPr="00A20F72">
        <w:rPr>
          <w:rFonts w:ascii="Verdana" w:hAnsi="Verdana"/>
          <w:sz w:val="18"/>
          <w:szCs w:val="18"/>
        </w:rPr>
        <w:t>This obligation is clear and unequivocal and it has not been met.</w:t>
      </w:r>
    </w:p>
    <w:p w14:paraId="3CFEB154" w14:textId="77777777" w:rsidR="003546ED" w:rsidRPr="003546ED" w:rsidRDefault="003546ED" w:rsidP="003546ED">
      <w:pPr>
        <w:spacing w:line="360" w:lineRule="auto"/>
        <w:rPr>
          <w:rFonts w:ascii="Verdana" w:hAnsi="Verdana"/>
          <w:sz w:val="18"/>
          <w:szCs w:val="18"/>
        </w:rPr>
      </w:pPr>
    </w:p>
    <w:p w14:paraId="4FEDBA22" w14:textId="730930D0" w:rsidR="0022434D" w:rsidRPr="003546ED"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color w:val="000000"/>
          <w:sz w:val="18"/>
          <w:szCs w:val="18"/>
        </w:rPr>
        <w:t xml:space="preserve">The board’s position is that </w:t>
      </w:r>
      <w:r w:rsidR="00454CF4" w:rsidRPr="00A20F72">
        <w:rPr>
          <w:rFonts w:ascii="Verdana" w:hAnsi="Verdana"/>
          <w:sz w:val="18"/>
          <w:szCs w:val="18"/>
          <w:lang w:val="en-GB"/>
        </w:rPr>
        <w:t>a</w:t>
      </w:r>
      <w:r w:rsidR="0022434D" w:rsidRPr="00A20F72">
        <w:rPr>
          <w:rFonts w:ascii="Verdana" w:hAnsi="Verdana"/>
          <w:sz w:val="18"/>
          <w:szCs w:val="18"/>
          <w:lang w:val="en-GB"/>
        </w:rPr>
        <w:t>rt</w:t>
      </w:r>
      <w:r w:rsidR="00454CF4" w:rsidRPr="00A20F72">
        <w:rPr>
          <w:rFonts w:ascii="Verdana" w:hAnsi="Verdana"/>
          <w:sz w:val="18"/>
          <w:szCs w:val="18"/>
          <w:lang w:val="en-GB"/>
        </w:rPr>
        <w:t>.</w:t>
      </w:r>
      <w:r w:rsidR="0022434D" w:rsidRPr="00A20F72">
        <w:rPr>
          <w:rFonts w:ascii="Verdana" w:hAnsi="Verdana"/>
          <w:sz w:val="18"/>
          <w:szCs w:val="18"/>
          <w:lang w:val="en-GB"/>
        </w:rPr>
        <w:t xml:space="preserve"> 4(3) of the EIA </w:t>
      </w:r>
      <w:r w:rsidR="00454CF4" w:rsidRPr="00A20F72">
        <w:rPr>
          <w:rFonts w:ascii="Verdana" w:hAnsi="Verdana"/>
          <w:sz w:val="18"/>
          <w:szCs w:val="18"/>
          <w:lang w:val="en-GB"/>
        </w:rPr>
        <w:t>d</w:t>
      </w:r>
      <w:r w:rsidR="0022434D" w:rsidRPr="00A20F72">
        <w:rPr>
          <w:rFonts w:ascii="Verdana" w:hAnsi="Verdana"/>
          <w:sz w:val="18"/>
          <w:szCs w:val="18"/>
          <w:lang w:val="en-GB"/>
        </w:rPr>
        <w:t xml:space="preserve">irective provides that where a case-by-case examination is carried out or thresholds or criteria are set, the </w:t>
      </w:r>
      <w:r w:rsidR="0022434D" w:rsidRPr="00A20F72">
        <w:rPr>
          <w:rFonts w:ascii="Verdana" w:hAnsi="Verdana"/>
          <w:i/>
          <w:iCs/>
          <w:sz w:val="18"/>
          <w:szCs w:val="18"/>
          <w:lang w:val="en-GB"/>
        </w:rPr>
        <w:t>relevant</w:t>
      </w:r>
      <w:r w:rsidR="0022434D" w:rsidRPr="00A20F72">
        <w:rPr>
          <w:rFonts w:ascii="Verdana" w:hAnsi="Verdana"/>
          <w:sz w:val="18"/>
          <w:szCs w:val="18"/>
          <w:lang w:val="en-GB"/>
        </w:rPr>
        <w:t xml:space="preserve"> selection criteria set out in </w:t>
      </w:r>
      <w:r w:rsidR="00454CF4" w:rsidRPr="00A20F72">
        <w:rPr>
          <w:rFonts w:ascii="Verdana" w:hAnsi="Verdana"/>
          <w:sz w:val="18"/>
          <w:szCs w:val="18"/>
          <w:lang w:val="en-GB"/>
        </w:rPr>
        <w:t>a</w:t>
      </w:r>
      <w:r w:rsidR="0022434D" w:rsidRPr="00A20F72">
        <w:rPr>
          <w:rFonts w:ascii="Verdana" w:hAnsi="Verdana"/>
          <w:sz w:val="18"/>
          <w:szCs w:val="18"/>
          <w:lang w:val="en-GB"/>
        </w:rPr>
        <w:t xml:space="preserve">nnex III shall </w:t>
      </w:r>
      <w:r w:rsidR="0022434D" w:rsidRPr="00A20F72">
        <w:rPr>
          <w:rFonts w:ascii="Verdana" w:hAnsi="Verdana"/>
          <w:i/>
          <w:iCs/>
          <w:sz w:val="18"/>
          <w:szCs w:val="18"/>
          <w:lang w:val="en-GB"/>
        </w:rPr>
        <w:t>be taken into account</w:t>
      </w:r>
      <w:r w:rsidR="0022434D" w:rsidRPr="00A20F72">
        <w:rPr>
          <w:rFonts w:ascii="Verdana" w:hAnsi="Verdana"/>
          <w:sz w:val="18"/>
          <w:szCs w:val="18"/>
          <w:lang w:val="en-GB"/>
        </w:rPr>
        <w:t xml:space="preserve">. </w:t>
      </w:r>
      <w:r w:rsidR="00454CF4" w:rsidRPr="00A20F72">
        <w:rPr>
          <w:rFonts w:ascii="Verdana" w:hAnsi="Verdana"/>
          <w:sz w:val="18"/>
          <w:szCs w:val="18"/>
          <w:lang w:val="en-GB"/>
        </w:rPr>
        <w:t xml:space="preserve"> </w:t>
      </w:r>
      <w:r w:rsidR="0022434D" w:rsidRPr="00A20F72">
        <w:rPr>
          <w:rFonts w:ascii="Verdana" w:hAnsi="Verdana"/>
          <w:sz w:val="18"/>
          <w:szCs w:val="18"/>
          <w:lang w:val="en-GB"/>
        </w:rPr>
        <w:t xml:space="preserve">This does not necessarily require that all the criteria in </w:t>
      </w:r>
      <w:r w:rsidR="00454CF4" w:rsidRPr="00A20F72">
        <w:rPr>
          <w:rFonts w:ascii="Verdana" w:hAnsi="Verdana"/>
          <w:sz w:val="18"/>
          <w:szCs w:val="18"/>
          <w:lang w:val="en-GB"/>
        </w:rPr>
        <w:t>a</w:t>
      </w:r>
      <w:r w:rsidR="0022434D" w:rsidRPr="00A20F72">
        <w:rPr>
          <w:rFonts w:ascii="Verdana" w:hAnsi="Verdana"/>
          <w:sz w:val="18"/>
          <w:szCs w:val="18"/>
          <w:lang w:val="en-GB"/>
        </w:rPr>
        <w:t>nnex III are expressly identified or listed in the administrative decision.</w:t>
      </w:r>
      <w:r w:rsidR="00454CF4" w:rsidRPr="00A20F72">
        <w:rPr>
          <w:rFonts w:ascii="Verdana" w:hAnsi="Verdana"/>
          <w:sz w:val="18"/>
          <w:szCs w:val="18"/>
          <w:lang w:val="en-GB"/>
        </w:rPr>
        <w:t xml:space="preserve">  </w:t>
      </w:r>
      <w:r w:rsidR="0022434D" w:rsidRPr="00A20F72">
        <w:rPr>
          <w:rFonts w:ascii="Verdana" w:hAnsi="Verdana"/>
          <w:sz w:val="18"/>
          <w:szCs w:val="18"/>
          <w:lang w:val="en-GB"/>
        </w:rPr>
        <w:t xml:space="preserve">Rather, it requires the competent authority to take account of the relevant criteria, the determination of which must be assessed on a case-by-case basis, depending upon the proposed development at issue. </w:t>
      </w:r>
      <w:r w:rsidR="00454CF4" w:rsidRPr="00A20F72">
        <w:rPr>
          <w:rFonts w:ascii="Verdana" w:hAnsi="Verdana"/>
          <w:sz w:val="18"/>
          <w:szCs w:val="18"/>
          <w:lang w:val="en-GB"/>
        </w:rPr>
        <w:t xml:space="preserve"> </w:t>
      </w:r>
      <w:r w:rsidR="0022434D" w:rsidRPr="00A20F72">
        <w:rPr>
          <w:rFonts w:ascii="Verdana" w:hAnsi="Verdana"/>
          <w:sz w:val="18"/>
          <w:szCs w:val="18"/>
          <w:lang w:val="en-GB"/>
        </w:rPr>
        <w:t xml:space="preserve">Where this has occurred, there is no requirement for a certain form to be employed, or for a formulaic or mechanical recitation of the individual </w:t>
      </w:r>
      <w:r w:rsidR="00454CF4" w:rsidRPr="00A20F72">
        <w:rPr>
          <w:rFonts w:ascii="Verdana" w:hAnsi="Verdana"/>
          <w:sz w:val="18"/>
          <w:szCs w:val="18"/>
          <w:lang w:val="en-GB"/>
        </w:rPr>
        <w:t>a</w:t>
      </w:r>
      <w:r w:rsidR="0022434D" w:rsidRPr="00A20F72">
        <w:rPr>
          <w:rFonts w:ascii="Verdana" w:hAnsi="Verdana"/>
          <w:sz w:val="18"/>
          <w:szCs w:val="18"/>
          <w:lang w:val="en-GB"/>
        </w:rPr>
        <w:t>nnex III criteria.</w:t>
      </w:r>
    </w:p>
    <w:p w14:paraId="42A29FBC" w14:textId="77777777" w:rsidR="003546ED" w:rsidRPr="003546ED" w:rsidRDefault="003546ED" w:rsidP="003546ED">
      <w:pPr>
        <w:spacing w:line="360" w:lineRule="auto"/>
        <w:rPr>
          <w:rFonts w:ascii="Verdana" w:hAnsi="Verdana"/>
          <w:sz w:val="18"/>
          <w:szCs w:val="18"/>
        </w:rPr>
      </w:pPr>
    </w:p>
    <w:p w14:paraId="5A8BFA7D" w14:textId="6AF7F5A6" w:rsidR="00947C7A" w:rsidRPr="003546ED" w:rsidRDefault="00947C7A"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w:t>
      </w:r>
      <w:r w:rsidRPr="00A20F72">
        <w:rPr>
          <w:rFonts w:ascii="Verdana" w:hAnsi="Verdana"/>
          <w:i/>
          <w:iCs/>
          <w:sz w:val="18"/>
          <w:szCs w:val="18"/>
        </w:rPr>
        <w:t>amici’s</w:t>
      </w:r>
      <w:r w:rsidRPr="00A20F72">
        <w:rPr>
          <w:rFonts w:ascii="Verdana" w:hAnsi="Verdana"/>
          <w:sz w:val="18"/>
          <w:szCs w:val="18"/>
        </w:rPr>
        <w:t xml:space="preserve"> joint position is that art. </w:t>
      </w:r>
      <w:r w:rsidRPr="00A20F72">
        <w:rPr>
          <w:rFonts w:ascii="Verdana" w:hAnsi="Verdana"/>
          <w:sz w:val="18"/>
          <w:szCs w:val="18"/>
          <w:lang w:val="en-GB"/>
        </w:rPr>
        <w:t xml:space="preserve">4(3) of the EIA </w:t>
      </w:r>
      <w:r w:rsidR="001209F4" w:rsidRPr="00A20F72">
        <w:rPr>
          <w:rFonts w:ascii="Verdana" w:hAnsi="Verdana"/>
          <w:sz w:val="18"/>
          <w:szCs w:val="18"/>
          <w:lang w:val="en-GB"/>
        </w:rPr>
        <w:t>d</w:t>
      </w:r>
      <w:r w:rsidRPr="00A20F72">
        <w:rPr>
          <w:rFonts w:ascii="Verdana" w:hAnsi="Verdana"/>
          <w:sz w:val="18"/>
          <w:szCs w:val="18"/>
          <w:lang w:val="en-GB"/>
        </w:rPr>
        <w:t xml:space="preserve">irective provides that where a case-by-case examination is carried out or thresholds or criteria are set, the relevant selection criteria set out in </w:t>
      </w:r>
      <w:r w:rsidR="001209F4" w:rsidRPr="00A20F72">
        <w:rPr>
          <w:rFonts w:ascii="Verdana" w:hAnsi="Verdana"/>
          <w:sz w:val="18"/>
          <w:szCs w:val="18"/>
          <w:lang w:val="en-GB"/>
        </w:rPr>
        <w:t>a</w:t>
      </w:r>
      <w:r w:rsidRPr="00A20F72">
        <w:rPr>
          <w:rFonts w:ascii="Verdana" w:hAnsi="Verdana"/>
          <w:sz w:val="18"/>
          <w:szCs w:val="18"/>
          <w:lang w:val="en-GB"/>
        </w:rPr>
        <w:t xml:space="preserve">nnex III shall be taken into account. </w:t>
      </w:r>
      <w:r w:rsidR="001209F4" w:rsidRPr="00A20F72">
        <w:rPr>
          <w:rFonts w:ascii="Verdana" w:hAnsi="Verdana"/>
          <w:sz w:val="18"/>
          <w:szCs w:val="18"/>
          <w:lang w:val="en-GB"/>
        </w:rPr>
        <w:t xml:space="preserve"> </w:t>
      </w:r>
      <w:r w:rsidRPr="00A20F72">
        <w:rPr>
          <w:rFonts w:ascii="Verdana" w:hAnsi="Verdana"/>
          <w:sz w:val="18"/>
          <w:szCs w:val="18"/>
          <w:lang w:val="en-GB"/>
        </w:rPr>
        <w:t xml:space="preserve">This requires that the statement of the main reasons under art. 4(5)(b) must identify all of the relevant selection criteria set out in </w:t>
      </w:r>
      <w:r w:rsidR="001209F4" w:rsidRPr="00A20F72">
        <w:rPr>
          <w:rFonts w:ascii="Verdana" w:hAnsi="Verdana"/>
          <w:sz w:val="18"/>
          <w:szCs w:val="18"/>
          <w:lang w:val="en-GB"/>
        </w:rPr>
        <w:t>a</w:t>
      </w:r>
      <w:r w:rsidRPr="00A20F72">
        <w:rPr>
          <w:rFonts w:ascii="Verdana" w:hAnsi="Verdana"/>
          <w:sz w:val="18"/>
          <w:szCs w:val="18"/>
          <w:lang w:val="en-GB"/>
        </w:rPr>
        <w:t xml:space="preserve">nnex III and state how they have been taken into account. </w:t>
      </w:r>
      <w:r w:rsidR="001209F4" w:rsidRPr="00A20F72">
        <w:rPr>
          <w:rFonts w:ascii="Verdana" w:hAnsi="Verdana"/>
          <w:sz w:val="18"/>
          <w:szCs w:val="18"/>
          <w:lang w:val="en-GB"/>
        </w:rPr>
        <w:t xml:space="preserve"> </w:t>
      </w:r>
      <w:r w:rsidRPr="00A20F72">
        <w:rPr>
          <w:rFonts w:ascii="Verdana" w:hAnsi="Verdana"/>
          <w:sz w:val="18"/>
          <w:szCs w:val="18"/>
          <w:lang w:val="en-GB"/>
        </w:rPr>
        <w:t>Where public submissions have identified selection criteria which the competent authority does not consider to be relevant, the competent authority must give reasons why it does not consider those selection criteria to be relevant, such reasons to be sufficient to enable members of the public and a national court to review the lawfulness of the screening determination without further explanation or elaboration from the competent authority.</w:t>
      </w:r>
    </w:p>
    <w:p w14:paraId="4597C15D" w14:textId="77777777" w:rsidR="003546ED" w:rsidRPr="003546ED" w:rsidRDefault="003546ED" w:rsidP="003546ED">
      <w:pPr>
        <w:spacing w:line="360" w:lineRule="auto"/>
        <w:rPr>
          <w:rFonts w:ascii="Verdana" w:hAnsi="Verdana"/>
          <w:sz w:val="18"/>
          <w:szCs w:val="18"/>
        </w:rPr>
      </w:pPr>
    </w:p>
    <w:p w14:paraId="79920ADD" w14:textId="666B54D0" w:rsidR="00C23D4E"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My proposed answer to the question is </w:t>
      </w:r>
      <w:r w:rsidR="005810F1">
        <w:rPr>
          <w:rFonts w:ascii="Verdana" w:hAnsi="Verdana"/>
          <w:sz w:val="18"/>
          <w:szCs w:val="18"/>
        </w:rPr>
        <w:t>in the affirmative.</w:t>
      </w:r>
      <w:r w:rsidRPr="00A20F72">
        <w:rPr>
          <w:rFonts w:ascii="Verdana" w:hAnsi="Verdana"/>
          <w:sz w:val="18"/>
          <w:szCs w:val="18"/>
        </w:rPr>
        <w:t xml:space="preserve">  </w:t>
      </w:r>
      <w:r w:rsidR="007A41B5" w:rsidRPr="00A20F72">
        <w:rPr>
          <w:rFonts w:ascii="Verdana" w:hAnsi="Verdana"/>
          <w:sz w:val="18"/>
          <w:szCs w:val="18"/>
        </w:rPr>
        <w:t xml:space="preserve">Transparency, </w:t>
      </w:r>
      <w:r w:rsidR="005810F1">
        <w:rPr>
          <w:rFonts w:ascii="Verdana" w:hAnsi="Verdana"/>
          <w:sz w:val="18"/>
          <w:szCs w:val="18"/>
        </w:rPr>
        <w:t xml:space="preserve">effective </w:t>
      </w:r>
      <w:r w:rsidR="007A41B5" w:rsidRPr="00A20F72">
        <w:rPr>
          <w:rFonts w:ascii="Verdana" w:hAnsi="Verdana"/>
          <w:sz w:val="18"/>
          <w:szCs w:val="18"/>
        </w:rPr>
        <w:t>public participation and</w:t>
      </w:r>
      <w:r w:rsidR="005810F1">
        <w:rPr>
          <w:rFonts w:ascii="Verdana" w:hAnsi="Verdana"/>
          <w:sz w:val="18"/>
          <w:szCs w:val="18"/>
        </w:rPr>
        <w:t xml:space="preserve"> principles of</w:t>
      </w:r>
      <w:r w:rsidR="007A41B5" w:rsidRPr="00A20F72">
        <w:rPr>
          <w:rFonts w:ascii="Verdana" w:hAnsi="Verdana"/>
          <w:sz w:val="18"/>
          <w:szCs w:val="18"/>
        </w:rPr>
        <w:t xml:space="preserve"> good administration require that all relevant headings </w:t>
      </w:r>
      <w:r w:rsidR="005810F1">
        <w:rPr>
          <w:rFonts w:ascii="Verdana" w:hAnsi="Verdana"/>
          <w:sz w:val="18"/>
          <w:szCs w:val="18"/>
        </w:rPr>
        <w:t xml:space="preserve">regarding EIA </w:t>
      </w:r>
      <w:r w:rsidR="007A41B5" w:rsidRPr="00A20F72">
        <w:rPr>
          <w:rFonts w:ascii="Verdana" w:hAnsi="Verdana"/>
          <w:sz w:val="18"/>
          <w:szCs w:val="18"/>
        </w:rPr>
        <w:t xml:space="preserve">should be expressly addressed.  If the competent authority considers that a heading is not relevant, but a participant in the public participation process has argued otherwise, then the competent authority should expressly explain with reasons why the heading is not relevant.  A decision that fails to expressly address the </w:t>
      </w:r>
      <w:r w:rsidR="001209F4" w:rsidRPr="00A20F72">
        <w:rPr>
          <w:rFonts w:ascii="Verdana" w:hAnsi="Verdana"/>
          <w:sz w:val="18"/>
          <w:szCs w:val="18"/>
        </w:rPr>
        <w:t>a</w:t>
      </w:r>
      <w:r w:rsidR="007A41B5" w:rsidRPr="00A20F72">
        <w:rPr>
          <w:rFonts w:ascii="Verdana" w:hAnsi="Verdana"/>
          <w:sz w:val="18"/>
          <w:szCs w:val="18"/>
        </w:rPr>
        <w:t>nnex III headings in this manner</w:t>
      </w:r>
      <w:r w:rsidR="005810F1">
        <w:rPr>
          <w:rFonts w:ascii="Verdana" w:hAnsi="Verdana"/>
          <w:sz w:val="18"/>
          <w:szCs w:val="18"/>
        </w:rPr>
        <w:t xml:space="preserve"> does not comport with principles of good administration,</w:t>
      </w:r>
      <w:r w:rsidR="007A41B5" w:rsidRPr="00A20F72">
        <w:rPr>
          <w:rFonts w:ascii="Verdana" w:hAnsi="Verdana"/>
          <w:sz w:val="18"/>
          <w:szCs w:val="18"/>
        </w:rPr>
        <w:t xml:space="preserve"> create</w:t>
      </w:r>
      <w:r w:rsidR="005810F1">
        <w:rPr>
          <w:rFonts w:ascii="Verdana" w:hAnsi="Verdana"/>
          <w:sz w:val="18"/>
          <w:szCs w:val="18"/>
        </w:rPr>
        <w:t>s</w:t>
      </w:r>
      <w:r w:rsidR="007A41B5" w:rsidRPr="00A20F72">
        <w:rPr>
          <w:rFonts w:ascii="Verdana" w:hAnsi="Verdana"/>
          <w:sz w:val="18"/>
          <w:szCs w:val="18"/>
        </w:rPr>
        <w:t xml:space="preserve"> an obstacle to</w:t>
      </w:r>
      <w:r w:rsidR="00212B18" w:rsidRPr="00A20F72">
        <w:rPr>
          <w:rFonts w:ascii="Verdana" w:hAnsi="Verdana"/>
          <w:sz w:val="18"/>
          <w:szCs w:val="18"/>
        </w:rPr>
        <w:t xml:space="preserve"> meaningful and accessible</w:t>
      </w:r>
      <w:r w:rsidR="007A41B5" w:rsidRPr="00A20F72">
        <w:rPr>
          <w:rFonts w:ascii="Verdana" w:hAnsi="Verdana"/>
          <w:sz w:val="18"/>
          <w:szCs w:val="18"/>
        </w:rPr>
        <w:t xml:space="preserve"> public </w:t>
      </w:r>
      <w:r w:rsidR="00212B18" w:rsidRPr="00A20F72">
        <w:rPr>
          <w:rFonts w:ascii="Verdana" w:hAnsi="Verdana"/>
          <w:sz w:val="18"/>
          <w:szCs w:val="18"/>
        </w:rPr>
        <w:t>participation</w:t>
      </w:r>
      <w:r w:rsidR="007A41B5" w:rsidRPr="00A20F72">
        <w:rPr>
          <w:rFonts w:ascii="Verdana" w:hAnsi="Verdana"/>
          <w:sz w:val="18"/>
          <w:szCs w:val="18"/>
        </w:rPr>
        <w:t xml:space="preserve"> and </w:t>
      </w:r>
      <w:r w:rsidR="00212B18" w:rsidRPr="00A20F72">
        <w:rPr>
          <w:rFonts w:ascii="Verdana" w:hAnsi="Verdana"/>
          <w:sz w:val="18"/>
          <w:szCs w:val="18"/>
        </w:rPr>
        <w:t>obscures the necessary transparency of Union law</w:t>
      </w:r>
      <w:r w:rsidRPr="00A20F72">
        <w:rPr>
          <w:rFonts w:ascii="Verdana" w:hAnsi="Verdana"/>
          <w:sz w:val="18"/>
          <w:szCs w:val="18"/>
        </w:rPr>
        <w:t>.</w:t>
      </w:r>
      <w:r w:rsidR="005810F1">
        <w:rPr>
          <w:rFonts w:ascii="Verdana" w:hAnsi="Verdana"/>
          <w:sz w:val="18"/>
          <w:szCs w:val="18"/>
        </w:rPr>
        <w:t xml:space="preserve">  A requirement to address each relevant heading, and to give a reason why any heading contended to be relevant is not relevant in the view of the competent authority, is a very light obligation and in no way onerous on the competent authority. </w:t>
      </w:r>
    </w:p>
    <w:p w14:paraId="1C29676A" w14:textId="77777777" w:rsidR="003546ED" w:rsidRPr="003546ED" w:rsidRDefault="003546ED" w:rsidP="003546ED">
      <w:pPr>
        <w:spacing w:line="360" w:lineRule="auto"/>
        <w:rPr>
          <w:rFonts w:ascii="Verdana" w:hAnsi="Verdana"/>
          <w:sz w:val="18"/>
          <w:szCs w:val="18"/>
        </w:rPr>
      </w:pPr>
    </w:p>
    <w:p w14:paraId="72B7AE34" w14:textId="26B61EE2" w:rsidR="00C23D4E"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reason for the reference of this question is that </w:t>
      </w:r>
      <w:r w:rsidR="00B22E30" w:rsidRPr="00A20F72">
        <w:rPr>
          <w:rFonts w:ascii="Verdana" w:hAnsi="Verdana"/>
          <w:sz w:val="18"/>
          <w:szCs w:val="18"/>
        </w:rPr>
        <w:t>the format of the inspector’s report which the board argues can permissibly, under EU law, be read together with the decision, does not expressly address each specific heading and sub-heading in annex III of the EIA directive.  If there is an obligation to do so then the applicant would succeed under this heading.</w:t>
      </w:r>
    </w:p>
    <w:p w14:paraId="33CB84FE" w14:textId="77777777" w:rsidR="003546ED" w:rsidRPr="003546ED" w:rsidRDefault="003546ED" w:rsidP="003546ED">
      <w:pPr>
        <w:spacing w:line="360" w:lineRule="auto"/>
        <w:rPr>
          <w:rFonts w:ascii="Verdana" w:hAnsi="Verdana"/>
          <w:sz w:val="18"/>
          <w:szCs w:val="18"/>
        </w:rPr>
      </w:pPr>
    </w:p>
    <w:p w14:paraId="0BA2ECB7" w14:textId="6A642D89" w:rsidR="00C23D4E" w:rsidRPr="00A20F72" w:rsidRDefault="00C23D4E" w:rsidP="00A20F72">
      <w:pPr>
        <w:spacing w:line="360" w:lineRule="auto"/>
        <w:ind w:left="567" w:hanging="567"/>
        <w:rPr>
          <w:rFonts w:ascii="Verdana" w:hAnsi="Verdana"/>
          <w:b/>
          <w:sz w:val="18"/>
          <w:szCs w:val="18"/>
          <w:u w:val="single"/>
        </w:rPr>
      </w:pPr>
      <w:r w:rsidRPr="00A20F72">
        <w:rPr>
          <w:rFonts w:ascii="Verdana" w:hAnsi="Verdana"/>
          <w:b/>
          <w:sz w:val="18"/>
          <w:szCs w:val="18"/>
          <w:u w:val="single"/>
        </w:rPr>
        <w:t xml:space="preserve">The fourth question </w:t>
      </w:r>
    </w:p>
    <w:p w14:paraId="6601C786" w14:textId="38923E5C" w:rsidR="00797E5E" w:rsidRPr="00A20F72"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w:t>
      </w:r>
      <w:r w:rsidR="00797E5E" w:rsidRPr="00A20F72">
        <w:rPr>
          <w:rFonts w:ascii="Verdana" w:hAnsi="Verdana"/>
          <w:sz w:val="18"/>
          <w:szCs w:val="18"/>
        </w:rPr>
        <w:t>fourth</w:t>
      </w:r>
      <w:r w:rsidRPr="00A20F72">
        <w:rPr>
          <w:rFonts w:ascii="Verdana" w:hAnsi="Verdana"/>
          <w:sz w:val="18"/>
          <w:szCs w:val="18"/>
        </w:rPr>
        <w:t xml:space="preserve"> question is:</w:t>
      </w:r>
    </w:p>
    <w:p w14:paraId="114BC916" w14:textId="459FF2C2" w:rsidR="00C23D4E" w:rsidRDefault="00C23D4E" w:rsidP="003546ED">
      <w:pPr>
        <w:pStyle w:val="ListParagraph"/>
        <w:spacing w:line="360" w:lineRule="auto"/>
        <w:ind w:left="567"/>
        <w:rPr>
          <w:rFonts w:ascii="Verdana" w:hAnsi="Verdana"/>
          <w:b/>
          <w:bCs/>
          <w:sz w:val="18"/>
          <w:szCs w:val="18"/>
        </w:rPr>
      </w:pPr>
      <w:r w:rsidRPr="00A20F72">
        <w:rPr>
          <w:rFonts w:ascii="Verdana" w:hAnsi="Verdana"/>
          <w:b/>
          <w:bCs/>
          <w:sz w:val="18"/>
          <w:szCs w:val="18"/>
        </w:rPr>
        <w:t>Whether art. 6(3) of directive 92/43/EEC is to be interpreted as meaning that, in the application of the principle that in order to determine whether it is necessary to carry out, subsequently, an appropriate assessment of the implications, for a site concerned, of a plan or project, it is not appropriate, at the screening stage, to take account of the measures intended to avoid or reduce the harmful effects of the plan or project on that site, the competent authority of a member state is entitled to take account of features of the plan or project involving the removal of contaminants that may have the effect of reducing harmful effects on the European site solely on the grounds that those features are not intended as mitigation measures even if they have that effect, and that they would have been incorporated in the design as standard features irrespective of any effect on the European site concerned.</w:t>
      </w:r>
    </w:p>
    <w:p w14:paraId="2430D68B" w14:textId="77777777" w:rsidR="003546ED" w:rsidRPr="003546ED" w:rsidRDefault="003546ED" w:rsidP="003546ED">
      <w:pPr>
        <w:spacing w:line="360" w:lineRule="auto"/>
        <w:rPr>
          <w:rFonts w:ascii="Verdana" w:hAnsi="Verdana"/>
          <w:b/>
          <w:bCs/>
          <w:sz w:val="18"/>
          <w:szCs w:val="18"/>
        </w:rPr>
      </w:pPr>
    </w:p>
    <w:p w14:paraId="7C6E57AE" w14:textId="574584F2" w:rsidR="0022434D"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applicant’s position is </w:t>
      </w:r>
      <w:r w:rsidR="0056302E" w:rsidRPr="00A20F72">
        <w:rPr>
          <w:rFonts w:ascii="Verdana" w:hAnsi="Verdana"/>
          <w:sz w:val="18"/>
          <w:szCs w:val="18"/>
        </w:rPr>
        <w:t xml:space="preserve">that the applicant contends the answer is yes. </w:t>
      </w:r>
      <w:r w:rsidR="00797E5E" w:rsidRPr="00A20F72">
        <w:rPr>
          <w:rFonts w:ascii="Verdana" w:hAnsi="Verdana"/>
          <w:sz w:val="18"/>
          <w:szCs w:val="18"/>
        </w:rPr>
        <w:t xml:space="preserve"> </w:t>
      </w:r>
      <w:r w:rsidR="0056302E" w:rsidRPr="00A20F72">
        <w:rPr>
          <w:rFonts w:ascii="Verdana" w:hAnsi="Verdana"/>
          <w:sz w:val="18"/>
          <w:szCs w:val="18"/>
        </w:rPr>
        <w:t xml:space="preserve">Mitigation measures either have the effect of mitigating the effects or they do not. </w:t>
      </w:r>
      <w:r w:rsidR="00797E5E" w:rsidRPr="00A20F72">
        <w:rPr>
          <w:rFonts w:ascii="Verdana" w:hAnsi="Verdana"/>
          <w:sz w:val="18"/>
          <w:szCs w:val="18"/>
        </w:rPr>
        <w:t xml:space="preserve"> </w:t>
      </w:r>
      <w:r w:rsidR="0056302E" w:rsidRPr="00A20F72">
        <w:rPr>
          <w:rFonts w:ascii="Verdana" w:hAnsi="Verdana"/>
          <w:sz w:val="18"/>
          <w:szCs w:val="18"/>
        </w:rPr>
        <w:t xml:space="preserve">Whether they are specifically designed or intended to mitigate a specific impact on a site cannot be determinative. </w:t>
      </w:r>
      <w:r w:rsidR="00797E5E" w:rsidRPr="00A20F72">
        <w:rPr>
          <w:rFonts w:ascii="Verdana" w:hAnsi="Verdana"/>
          <w:sz w:val="18"/>
          <w:szCs w:val="18"/>
        </w:rPr>
        <w:t xml:space="preserve"> </w:t>
      </w:r>
      <w:r w:rsidR="0056302E" w:rsidRPr="00A20F72">
        <w:rPr>
          <w:rFonts w:ascii="Verdana" w:hAnsi="Verdana"/>
          <w:sz w:val="18"/>
          <w:szCs w:val="18"/>
        </w:rPr>
        <w:t xml:space="preserve">The measures are either protective or they or not, and the they will either be effective or they will not. </w:t>
      </w:r>
      <w:r w:rsidR="00932923" w:rsidRPr="00A20F72">
        <w:rPr>
          <w:rFonts w:ascii="Verdana" w:hAnsi="Verdana"/>
          <w:sz w:val="18"/>
          <w:szCs w:val="18"/>
        </w:rPr>
        <w:t xml:space="preserve"> </w:t>
      </w:r>
      <w:r w:rsidR="0056302E" w:rsidRPr="00A20F72">
        <w:rPr>
          <w:rFonts w:ascii="Verdana" w:hAnsi="Verdana"/>
          <w:sz w:val="18"/>
          <w:szCs w:val="18"/>
        </w:rPr>
        <w:t xml:space="preserve">Accordingly, they cannot be excluded on the basis that they are not unique, or uniquely developed or designed or applied. </w:t>
      </w:r>
      <w:r w:rsidR="00932923" w:rsidRPr="00A20F72">
        <w:rPr>
          <w:rFonts w:ascii="Verdana" w:hAnsi="Verdana"/>
          <w:sz w:val="18"/>
          <w:szCs w:val="18"/>
        </w:rPr>
        <w:t xml:space="preserve"> </w:t>
      </w:r>
      <w:r w:rsidR="0056302E" w:rsidRPr="00A20F72">
        <w:rPr>
          <w:rFonts w:ascii="Verdana" w:hAnsi="Verdana"/>
          <w:sz w:val="18"/>
          <w:szCs w:val="18"/>
        </w:rPr>
        <w:t>As was pointed out in submissions, the measures at issue in Case C-323/17</w:t>
      </w:r>
      <w:r w:rsidR="009C41D4" w:rsidRPr="00A20F72">
        <w:rPr>
          <w:rFonts w:ascii="Verdana" w:hAnsi="Verdana"/>
          <w:sz w:val="18"/>
          <w:szCs w:val="18"/>
        </w:rPr>
        <w:t xml:space="preserve"> </w:t>
      </w:r>
      <w:r w:rsidR="009C41D4" w:rsidRPr="00A20F72">
        <w:rPr>
          <w:rFonts w:ascii="Verdana" w:hAnsi="Verdana"/>
          <w:i/>
          <w:sz w:val="18"/>
          <w:szCs w:val="18"/>
        </w:rPr>
        <w:t>People Over Wind v. Coillte Teoranta</w:t>
      </w:r>
      <w:r w:rsidR="0056302E" w:rsidRPr="00A20F72">
        <w:rPr>
          <w:rFonts w:ascii="Verdana" w:hAnsi="Verdana"/>
          <w:sz w:val="18"/>
          <w:szCs w:val="18"/>
        </w:rPr>
        <w:t xml:space="preserve"> were largely standard SUD</w:t>
      </w:r>
      <w:r w:rsidR="00A829B3" w:rsidRPr="00A20F72">
        <w:rPr>
          <w:rFonts w:ascii="Verdana" w:hAnsi="Verdana"/>
          <w:sz w:val="18"/>
          <w:szCs w:val="18"/>
        </w:rPr>
        <w:t>S</w:t>
      </w:r>
      <w:r w:rsidR="0056302E" w:rsidRPr="00A20F72">
        <w:rPr>
          <w:rFonts w:ascii="Verdana" w:hAnsi="Verdana"/>
          <w:sz w:val="18"/>
          <w:szCs w:val="18"/>
        </w:rPr>
        <w:t xml:space="preserve"> measures, yet, they were considered by the Court of Justice to be mitigatory.</w:t>
      </w:r>
    </w:p>
    <w:p w14:paraId="210A2EC1" w14:textId="77777777" w:rsidR="003546ED" w:rsidRPr="003546ED" w:rsidRDefault="003546ED" w:rsidP="003546ED">
      <w:pPr>
        <w:spacing w:line="360" w:lineRule="auto"/>
        <w:rPr>
          <w:rFonts w:ascii="Verdana" w:hAnsi="Verdana"/>
          <w:sz w:val="18"/>
          <w:szCs w:val="18"/>
        </w:rPr>
      </w:pPr>
    </w:p>
    <w:p w14:paraId="2F4C3FC4" w14:textId="182579C3" w:rsidR="00454CF4" w:rsidRPr="003546ED"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color w:val="000000"/>
          <w:sz w:val="18"/>
          <w:szCs w:val="18"/>
        </w:rPr>
        <w:t xml:space="preserve">The board’s position is that </w:t>
      </w:r>
      <w:r w:rsidR="0022434D" w:rsidRPr="00A20F72">
        <w:rPr>
          <w:rFonts w:ascii="Verdana" w:hAnsi="Verdana"/>
          <w:sz w:val="18"/>
          <w:szCs w:val="18"/>
          <w:lang w:val="en-GB"/>
        </w:rPr>
        <w:t>the competent authority of a member state should be entitled to take account of features of the plan or project involving the removal of contaminants that may have the effect of reducing harmful effects on the European site on the grounds that those features</w:t>
      </w:r>
      <w:r w:rsidR="00454CF4" w:rsidRPr="00A20F72">
        <w:rPr>
          <w:rFonts w:ascii="Verdana" w:hAnsi="Verdana"/>
          <w:sz w:val="18"/>
          <w:szCs w:val="18"/>
          <w:lang w:val="en-GB"/>
        </w:rPr>
        <w:t>:</w:t>
      </w:r>
    </w:p>
    <w:p w14:paraId="1A8401EF" w14:textId="77777777" w:rsidR="003546ED" w:rsidRPr="003546ED" w:rsidRDefault="003546ED" w:rsidP="003546ED">
      <w:pPr>
        <w:pStyle w:val="ListParagraph"/>
        <w:rPr>
          <w:rFonts w:ascii="Verdana" w:hAnsi="Verdana"/>
          <w:sz w:val="18"/>
          <w:szCs w:val="18"/>
        </w:rPr>
      </w:pPr>
    </w:p>
    <w:p w14:paraId="7B322401" w14:textId="7CCF0338" w:rsidR="00454CF4" w:rsidRPr="003546ED" w:rsidRDefault="0022434D" w:rsidP="003546ED">
      <w:pPr>
        <w:pStyle w:val="ListParagraph"/>
        <w:numPr>
          <w:ilvl w:val="1"/>
          <w:numId w:val="1"/>
        </w:numPr>
        <w:spacing w:line="360" w:lineRule="auto"/>
        <w:rPr>
          <w:rFonts w:ascii="Verdana" w:hAnsi="Verdana"/>
          <w:sz w:val="18"/>
          <w:szCs w:val="18"/>
        </w:rPr>
      </w:pPr>
      <w:r w:rsidRPr="003546ED">
        <w:rPr>
          <w:rFonts w:ascii="Verdana" w:hAnsi="Verdana"/>
          <w:sz w:val="18"/>
          <w:szCs w:val="18"/>
          <w:lang w:val="en-GB"/>
        </w:rPr>
        <w:t>are not intended as mitigation measures, or aimed in any way at avoiding harmful effects on a European site, even if they might be said to have that effect incidentally</w:t>
      </w:r>
      <w:r w:rsidR="000D0605" w:rsidRPr="003546ED">
        <w:rPr>
          <w:rFonts w:ascii="Verdana" w:hAnsi="Verdana"/>
          <w:sz w:val="18"/>
          <w:szCs w:val="18"/>
          <w:lang w:val="en-GB"/>
        </w:rPr>
        <w:t>;</w:t>
      </w:r>
      <w:r w:rsidRPr="003546ED">
        <w:rPr>
          <w:rFonts w:ascii="Verdana" w:hAnsi="Verdana"/>
          <w:sz w:val="18"/>
          <w:szCs w:val="18"/>
          <w:lang w:val="en-GB"/>
        </w:rPr>
        <w:t xml:space="preserve"> and</w:t>
      </w:r>
    </w:p>
    <w:p w14:paraId="22664D0C" w14:textId="12EA4441" w:rsidR="0022434D" w:rsidRDefault="0022434D" w:rsidP="003546ED">
      <w:pPr>
        <w:pStyle w:val="ListParagraph"/>
        <w:numPr>
          <w:ilvl w:val="1"/>
          <w:numId w:val="1"/>
        </w:numPr>
        <w:spacing w:line="360" w:lineRule="auto"/>
        <w:rPr>
          <w:rFonts w:ascii="Verdana" w:hAnsi="Verdana"/>
          <w:sz w:val="18"/>
          <w:szCs w:val="18"/>
          <w:lang w:val="en-GB"/>
        </w:rPr>
      </w:pPr>
      <w:r w:rsidRPr="00A20F72">
        <w:rPr>
          <w:rFonts w:ascii="Verdana" w:hAnsi="Verdana"/>
          <w:sz w:val="18"/>
          <w:szCs w:val="18"/>
          <w:lang w:val="en-GB"/>
        </w:rPr>
        <w:t xml:space="preserve">would have been incorporated in the design as standard features irrespective of any proximity to, or effect on, a European site, </w:t>
      </w:r>
      <w:r w:rsidR="00454CF4" w:rsidRPr="003546ED">
        <w:rPr>
          <w:rFonts w:ascii="Verdana" w:hAnsi="Verdana"/>
          <w:sz w:val="18"/>
          <w:szCs w:val="18"/>
          <w:lang w:val="en-GB"/>
        </w:rPr>
        <w:t>i.e.,</w:t>
      </w:r>
      <w:r w:rsidRPr="00A20F72">
        <w:rPr>
          <w:rFonts w:ascii="Verdana" w:hAnsi="Verdana"/>
          <w:sz w:val="18"/>
          <w:szCs w:val="18"/>
          <w:lang w:val="en-GB"/>
        </w:rPr>
        <w:t xml:space="preserve"> they constitute so-called “best practice measures” that are applied irrespective of location as standard design features of all such projects.</w:t>
      </w:r>
    </w:p>
    <w:p w14:paraId="40492B02" w14:textId="77777777" w:rsidR="003546ED" w:rsidRPr="003546ED" w:rsidRDefault="003546ED" w:rsidP="003546ED">
      <w:pPr>
        <w:spacing w:line="360" w:lineRule="auto"/>
        <w:rPr>
          <w:rFonts w:ascii="Verdana" w:hAnsi="Verdana"/>
          <w:sz w:val="18"/>
          <w:szCs w:val="18"/>
          <w:lang w:val="en-GB"/>
        </w:rPr>
      </w:pPr>
    </w:p>
    <w:p w14:paraId="30C40378" w14:textId="2930F4F1" w:rsidR="00947C7A" w:rsidRPr="003546ED" w:rsidRDefault="00947C7A"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w:t>
      </w:r>
      <w:r w:rsidRPr="00A20F72">
        <w:rPr>
          <w:rFonts w:ascii="Verdana" w:hAnsi="Verdana"/>
          <w:i/>
          <w:iCs/>
          <w:sz w:val="18"/>
          <w:szCs w:val="18"/>
        </w:rPr>
        <w:t>amici’s</w:t>
      </w:r>
      <w:r w:rsidRPr="00A20F72">
        <w:rPr>
          <w:rFonts w:ascii="Verdana" w:hAnsi="Verdana"/>
          <w:sz w:val="18"/>
          <w:szCs w:val="18"/>
        </w:rPr>
        <w:t xml:space="preserve"> joint position is that when </w:t>
      </w:r>
      <w:r w:rsidRPr="00A20F72">
        <w:rPr>
          <w:rFonts w:ascii="Verdana" w:hAnsi="Verdana"/>
          <w:sz w:val="18"/>
          <w:szCs w:val="18"/>
          <w:lang w:val="en-GB"/>
        </w:rPr>
        <w:t xml:space="preserve">the competent authority of a member state is determining whether it is necessary to carry out an appropriate assessment of the implications, for a site concerned, of a plan or project, it is not appropriate to take account of such features. </w:t>
      </w:r>
      <w:r w:rsidR="001209F4" w:rsidRPr="00A20F72">
        <w:rPr>
          <w:rFonts w:ascii="Verdana" w:hAnsi="Verdana"/>
          <w:sz w:val="18"/>
          <w:szCs w:val="18"/>
          <w:lang w:val="en-GB"/>
        </w:rPr>
        <w:t xml:space="preserve"> </w:t>
      </w:r>
      <w:r w:rsidRPr="00A20F72">
        <w:rPr>
          <w:rFonts w:ascii="Verdana" w:hAnsi="Verdana"/>
          <w:sz w:val="18"/>
          <w:szCs w:val="18"/>
          <w:lang w:val="en-GB"/>
        </w:rPr>
        <w:t>The concept of what is or isn’t a “</w:t>
      </w:r>
      <w:r w:rsidRPr="00A20F72">
        <w:rPr>
          <w:rFonts w:ascii="Verdana" w:hAnsi="Verdana"/>
          <w:i/>
          <w:iCs/>
          <w:sz w:val="18"/>
          <w:szCs w:val="18"/>
          <w:lang w:val="en-GB"/>
        </w:rPr>
        <w:t>measure intended to avoid or reduce the harmful effects of the plan or project on [a] site</w:t>
      </w:r>
      <w:r w:rsidRPr="00A20F72">
        <w:rPr>
          <w:rFonts w:ascii="Verdana" w:hAnsi="Verdana"/>
          <w:sz w:val="18"/>
          <w:szCs w:val="18"/>
          <w:lang w:val="en-GB"/>
        </w:rPr>
        <w:t xml:space="preserve">” (as defined on Case C-323/17 </w:t>
      </w:r>
      <w:r w:rsidRPr="00A20F72">
        <w:rPr>
          <w:rFonts w:ascii="Verdana" w:hAnsi="Verdana"/>
          <w:i/>
          <w:iCs/>
          <w:sz w:val="18"/>
          <w:szCs w:val="18"/>
          <w:lang w:val="en-GB"/>
        </w:rPr>
        <w:t>People over Wind</w:t>
      </w:r>
      <w:r w:rsidRPr="00A20F72">
        <w:rPr>
          <w:rFonts w:ascii="Verdana" w:hAnsi="Verdana"/>
          <w:sz w:val="18"/>
          <w:szCs w:val="18"/>
          <w:lang w:val="en-GB"/>
        </w:rPr>
        <w:t>) must be examined objectively rather being based on subjective intent and does not depend on the measure being designed specifically for the plan or project, but even “best practice” or “standard” measures which nonetheless have the effect of avoiding or reducing effects of the plan or project on a European site are measures which cannot be taken into account for the purpose of appropriate assessment screening.  The CJEU has consistently taken a precautionary approach to the question of whether a plan or project will have a likely significant effect, and therefore a precautionary bar is set for the screening at that stage.  Similar precaution and objectivity ought to be applied to the question of what constitute “mitigation measures” at the same stage.</w:t>
      </w:r>
    </w:p>
    <w:p w14:paraId="56317FAA" w14:textId="77777777" w:rsidR="003546ED" w:rsidRPr="003546ED" w:rsidRDefault="003546ED" w:rsidP="003546ED">
      <w:pPr>
        <w:spacing w:line="360" w:lineRule="auto"/>
        <w:rPr>
          <w:rFonts w:ascii="Verdana" w:hAnsi="Verdana"/>
          <w:sz w:val="18"/>
          <w:szCs w:val="18"/>
        </w:rPr>
      </w:pPr>
    </w:p>
    <w:p w14:paraId="00CF0FCE" w14:textId="5925BE6C" w:rsidR="00C23D4E"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My proposed answer to the question is </w:t>
      </w:r>
      <w:r w:rsidR="003D7ADA">
        <w:rPr>
          <w:rFonts w:ascii="Verdana" w:hAnsi="Verdana"/>
          <w:sz w:val="18"/>
          <w:szCs w:val="18"/>
        </w:rPr>
        <w:t>in the affirmative</w:t>
      </w:r>
      <w:r w:rsidRPr="00A20F72">
        <w:rPr>
          <w:rFonts w:ascii="Verdana" w:hAnsi="Verdana"/>
          <w:sz w:val="18"/>
          <w:szCs w:val="18"/>
        </w:rPr>
        <w:t>.</w:t>
      </w:r>
      <w:r w:rsidR="003D7ADA">
        <w:rPr>
          <w:rFonts w:ascii="Verdana" w:hAnsi="Verdana"/>
          <w:sz w:val="18"/>
          <w:szCs w:val="18"/>
        </w:rPr>
        <w:t xml:space="preserve">  The standard of whether measures are “intended” as mitigation or not is hopelessly subjective.  The protection of the environment must be advanced by objective criteria, and the only objective criterion here is whether the measures have the effect of mitigation, not whether they are intended to do so.  Whether the measures are standard or not is</w:t>
      </w:r>
      <w:r w:rsidR="002E6F9F">
        <w:rPr>
          <w:rFonts w:ascii="Verdana" w:hAnsi="Verdana"/>
          <w:sz w:val="18"/>
          <w:szCs w:val="18"/>
        </w:rPr>
        <w:t xml:space="preserve"> also</w:t>
      </w:r>
      <w:r w:rsidR="003D7ADA">
        <w:rPr>
          <w:rFonts w:ascii="Verdana" w:hAnsi="Verdana"/>
          <w:sz w:val="18"/>
          <w:szCs w:val="18"/>
        </w:rPr>
        <w:t xml:space="preserve"> not relevant to this question.  The foregoing approach is reinforced by the precautionary principle. </w:t>
      </w:r>
    </w:p>
    <w:p w14:paraId="744DDB22" w14:textId="77777777" w:rsidR="003546ED" w:rsidRPr="003546ED" w:rsidRDefault="003546ED" w:rsidP="003546ED">
      <w:pPr>
        <w:spacing w:line="360" w:lineRule="auto"/>
        <w:rPr>
          <w:rFonts w:ascii="Verdana" w:hAnsi="Verdana"/>
          <w:sz w:val="18"/>
          <w:szCs w:val="18"/>
        </w:rPr>
      </w:pPr>
    </w:p>
    <w:p w14:paraId="229E04CA" w14:textId="5865E5AA" w:rsidR="00C23D4E"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reason for the reference of this question is that </w:t>
      </w:r>
      <w:r w:rsidR="00B22E30" w:rsidRPr="00A20F72">
        <w:rPr>
          <w:rFonts w:ascii="Verdana" w:hAnsi="Verdana"/>
          <w:sz w:val="18"/>
          <w:szCs w:val="18"/>
        </w:rPr>
        <w:t>the competent authority here did not consider the SUDS system to be a mitigation measure because it was not intended as such and because it was a standard feature of such housing developments.  If a measure constitutes a mitigation measure notwithstanding those factors then the applicant would succeed under this heading in the contention that mitigation measures were impermissibly considered at the AA screening stage</w:t>
      </w:r>
      <w:r w:rsidRPr="00A20F72">
        <w:rPr>
          <w:rFonts w:ascii="Verdana" w:hAnsi="Verdana"/>
          <w:sz w:val="18"/>
          <w:szCs w:val="18"/>
        </w:rPr>
        <w:t>.</w:t>
      </w:r>
    </w:p>
    <w:p w14:paraId="5828923C" w14:textId="77777777" w:rsidR="003546ED" w:rsidRPr="003546ED" w:rsidRDefault="003546ED" w:rsidP="003546ED">
      <w:pPr>
        <w:spacing w:line="360" w:lineRule="auto"/>
        <w:rPr>
          <w:rFonts w:ascii="Verdana" w:hAnsi="Verdana"/>
          <w:sz w:val="18"/>
          <w:szCs w:val="18"/>
        </w:rPr>
      </w:pPr>
    </w:p>
    <w:p w14:paraId="232A80A5" w14:textId="655D2804" w:rsidR="00C23D4E" w:rsidRPr="00A20F72" w:rsidRDefault="00C23D4E" w:rsidP="00A20F72">
      <w:pPr>
        <w:spacing w:line="360" w:lineRule="auto"/>
        <w:ind w:left="567" w:hanging="567"/>
        <w:rPr>
          <w:rFonts w:ascii="Verdana" w:hAnsi="Verdana"/>
          <w:b/>
          <w:sz w:val="18"/>
          <w:szCs w:val="18"/>
          <w:u w:val="single"/>
        </w:rPr>
      </w:pPr>
      <w:r w:rsidRPr="00A20F72">
        <w:rPr>
          <w:rFonts w:ascii="Verdana" w:hAnsi="Verdana"/>
          <w:b/>
          <w:sz w:val="18"/>
          <w:szCs w:val="18"/>
          <w:u w:val="single"/>
        </w:rPr>
        <w:t xml:space="preserve">The fifth question </w:t>
      </w:r>
    </w:p>
    <w:p w14:paraId="5CEE91E6" w14:textId="77777777" w:rsidR="00932923" w:rsidRPr="00A20F72"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w:t>
      </w:r>
      <w:r w:rsidR="00932923" w:rsidRPr="00A20F72">
        <w:rPr>
          <w:rFonts w:ascii="Verdana" w:hAnsi="Verdana"/>
          <w:sz w:val="18"/>
          <w:szCs w:val="18"/>
        </w:rPr>
        <w:t>fifth</w:t>
      </w:r>
      <w:r w:rsidRPr="00A20F72">
        <w:rPr>
          <w:rFonts w:ascii="Verdana" w:hAnsi="Verdana"/>
          <w:sz w:val="18"/>
          <w:szCs w:val="18"/>
        </w:rPr>
        <w:t xml:space="preserve"> question is:</w:t>
      </w:r>
    </w:p>
    <w:p w14:paraId="483CC232" w14:textId="4DCF1BF1" w:rsidR="003546ED" w:rsidRDefault="00C23D4E" w:rsidP="003546ED">
      <w:pPr>
        <w:pStyle w:val="ListParagraph"/>
        <w:spacing w:line="360" w:lineRule="auto"/>
        <w:ind w:left="567"/>
        <w:rPr>
          <w:rFonts w:ascii="Verdana" w:hAnsi="Verdana"/>
          <w:b/>
          <w:bCs/>
          <w:sz w:val="18"/>
          <w:szCs w:val="18"/>
        </w:rPr>
      </w:pPr>
      <w:r w:rsidRPr="00A20F72">
        <w:rPr>
          <w:rFonts w:ascii="Verdana" w:hAnsi="Verdana"/>
          <w:b/>
          <w:bCs/>
          <w:sz w:val="18"/>
          <w:szCs w:val="18"/>
        </w:rPr>
        <w:t>Whether art. 6(3) of directive 92/43/EEC is to be interpreted as meaning that, where the competent authority of a member state is satisfied notwithstanding the questions or concerns expressed by expert bodies in holding at the screening stage that no appropriate assessment is required, the authority must give an explicit and detailed statement of reasons capable of dispelling all reasonable scientific doubt concerning the effects of the works envisaged on the European site concerned, and that expressly and individually removes each of the doubts raised in that regard during the public participation process.</w:t>
      </w:r>
    </w:p>
    <w:p w14:paraId="1D6FBB74" w14:textId="77777777" w:rsidR="003546ED" w:rsidRPr="003546ED" w:rsidRDefault="003546ED" w:rsidP="003546ED">
      <w:pPr>
        <w:spacing w:line="360" w:lineRule="auto"/>
        <w:rPr>
          <w:rFonts w:ascii="Verdana" w:hAnsi="Verdana"/>
          <w:b/>
          <w:bCs/>
          <w:sz w:val="18"/>
          <w:szCs w:val="18"/>
        </w:rPr>
      </w:pPr>
    </w:p>
    <w:p w14:paraId="58A6362D" w14:textId="4449C074" w:rsidR="0056302E" w:rsidRDefault="0056302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applicant’s position is that this should be answered in the affirmative (as </w:t>
      </w:r>
      <w:r w:rsidR="002E6F9F">
        <w:rPr>
          <w:rFonts w:ascii="Verdana" w:hAnsi="Verdana"/>
          <w:sz w:val="18"/>
          <w:szCs w:val="18"/>
        </w:rPr>
        <w:t>outlined</w:t>
      </w:r>
      <w:r w:rsidRPr="00A20F72">
        <w:rPr>
          <w:rFonts w:ascii="Verdana" w:hAnsi="Verdana"/>
          <w:sz w:val="18"/>
          <w:szCs w:val="18"/>
        </w:rPr>
        <w:t xml:space="preserve"> in oral submissions, although inadvertently the applicant’s written submissions did not answer this question specifically although they did address the corresponding question as regards EIA).</w:t>
      </w:r>
    </w:p>
    <w:p w14:paraId="7083DAFB" w14:textId="77777777" w:rsidR="003546ED" w:rsidRPr="00A20F72" w:rsidRDefault="003546ED" w:rsidP="003546ED">
      <w:pPr>
        <w:pStyle w:val="ListParagraph"/>
        <w:spacing w:line="360" w:lineRule="auto"/>
        <w:ind w:left="567"/>
        <w:rPr>
          <w:rFonts w:ascii="Verdana" w:hAnsi="Verdana"/>
          <w:sz w:val="18"/>
          <w:szCs w:val="18"/>
        </w:rPr>
      </w:pPr>
    </w:p>
    <w:p w14:paraId="3C0B6742" w14:textId="69BF2BA1" w:rsidR="0022434D" w:rsidRPr="003546ED"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color w:val="000000"/>
          <w:sz w:val="18"/>
          <w:szCs w:val="18"/>
        </w:rPr>
        <w:t xml:space="preserve">The board’s position is that </w:t>
      </w:r>
      <w:r w:rsidR="0022434D" w:rsidRPr="00A20F72">
        <w:rPr>
          <w:rFonts w:ascii="Verdana" w:hAnsi="Verdana"/>
          <w:sz w:val="18"/>
          <w:szCs w:val="18"/>
          <w:lang w:val="en-GB"/>
        </w:rPr>
        <w:t xml:space="preserve">a competent authority may be required to give specific reasons dispelling all reasonable scientific doubt </w:t>
      </w:r>
      <w:r w:rsidR="0022434D" w:rsidRPr="00A20F72">
        <w:rPr>
          <w:rFonts w:ascii="Verdana" w:hAnsi="Verdana"/>
          <w:color w:val="000000"/>
          <w:sz w:val="18"/>
          <w:szCs w:val="18"/>
          <w:lang w:val="en-GB"/>
        </w:rPr>
        <w:t>concerning the effects of the works envisaged on the European site concerned, and that removes reasonable doubts raised in that regard during the public participation process at the appropriate assessment screening stage.</w:t>
      </w:r>
      <w:r w:rsidR="000D0605" w:rsidRPr="00A20F72">
        <w:rPr>
          <w:rFonts w:ascii="Verdana" w:hAnsi="Verdana"/>
          <w:color w:val="000000"/>
          <w:sz w:val="18"/>
          <w:szCs w:val="18"/>
          <w:lang w:val="en-GB"/>
        </w:rPr>
        <w:t xml:space="preserve">  </w:t>
      </w:r>
      <w:r w:rsidR="0022434D" w:rsidRPr="00A20F72">
        <w:rPr>
          <w:rFonts w:ascii="Verdana" w:hAnsi="Verdana"/>
          <w:color w:val="000000"/>
          <w:sz w:val="18"/>
          <w:szCs w:val="18"/>
          <w:lang w:val="en-GB"/>
        </w:rPr>
        <w:t xml:space="preserve">However, the appropriate manner in which such doubts are removed will depend on all the circumstances, including </w:t>
      </w:r>
      <w:r w:rsidR="0022434D" w:rsidRPr="00A20F72">
        <w:rPr>
          <w:rFonts w:ascii="Verdana" w:hAnsi="Verdana"/>
          <w:sz w:val="18"/>
          <w:szCs w:val="18"/>
          <w:lang w:val="en-GB"/>
        </w:rPr>
        <w:t>the nature of the submission that is made, the degree of scientific uncertainty raised in the submission and the nature and scientific expertise of the stakeholder. Submissions may be responded to thematically, and there is no requirement to list each submission separately and respond to it individually.</w:t>
      </w:r>
    </w:p>
    <w:p w14:paraId="65F99F2B" w14:textId="77777777" w:rsidR="003546ED" w:rsidRPr="003546ED" w:rsidRDefault="003546ED" w:rsidP="003546ED">
      <w:pPr>
        <w:spacing w:line="360" w:lineRule="auto"/>
        <w:rPr>
          <w:rFonts w:ascii="Verdana" w:hAnsi="Verdana"/>
          <w:sz w:val="18"/>
          <w:szCs w:val="18"/>
        </w:rPr>
      </w:pPr>
    </w:p>
    <w:p w14:paraId="7D571F05" w14:textId="1A3AE08D" w:rsidR="00947C7A" w:rsidRPr="003546ED" w:rsidRDefault="00947C7A" w:rsidP="00A20F72">
      <w:pPr>
        <w:pStyle w:val="ListParagraph"/>
        <w:numPr>
          <w:ilvl w:val="0"/>
          <w:numId w:val="1"/>
        </w:numPr>
        <w:spacing w:after="160" w:line="360" w:lineRule="auto"/>
        <w:ind w:left="567" w:hanging="567"/>
        <w:contextualSpacing w:val="0"/>
        <w:rPr>
          <w:rFonts w:ascii="Verdana" w:hAnsi="Verdana"/>
          <w:sz w:val="18"/>
          <w:szCs w:val="18"/>
        </w:rPr>
      </w:pPr>
      <w:r w:rsidRPr="00A20F72">
        <w:rPr>
          <w:rFonts w:ascii="Verdana" w:hAnsi="Verdana"/>
          <w:sz w:val="18"/>
          <w:szCs w:val="18"/>
        </w:rPr>
        <w:t xml:space="preserve">The </w:t>
      </w:r>
      <w:r w:rsidRPr="00A20F72">
        <w:rPr>
          <w:rFonts w:ascii="Verdana" w:hAnsi="Verdana"/>
          <w:i/>
          <w:iCs/>
          <w:sz w:val="18"/>
          <w:szCs w:val="18"/>
        </w:rPr>
        <w:t>amici’s</w:t>
      </w:r>
      <w:r w:rsidRPr="00A20F72">
        <w:rPr>
          <w:rFonts w:ascii="Verdana" w:hAnsi="Verdana"/>
          <w:sz w:val="18"/>
          <w:szCs w:val="18"/>
        </w:rPr>
        <w:t xml:space="preserve"> joint position is that </w:t>
      </w:r>
      <w:r w:rsidRPr="00A20F72">
        <w:rPr>
          <w:rFonts w:ascii="Verdana" w:hAnsi="Verdana"/>
          <w:sz w:val="18"/>
          <w:szCs w:val="18"/>
          <w:lang w:val="en-GB"/>
        </w:rPr>
        <w:t xml:space="preserve">a competent authority is required to give precise and definitive findings and conclusions capable of removing all reasonable scientific doubt </w:t>
      </w:r>
      <w:r w:rsidRPr="00A20F72">
        <w:rPr>
          <w:rFonts w:ascii="Verdana" w:hAnsi="Verdana"/>
          <w:color w:val="000000" w:themeColor="text1"/>
          <w:sz w:val="18"/>
          <w:szCs w:val="18"/>
          <w:lang w:val="en-GB"/>
        </w:rPr>
        <w:t xml:space="preserve">concerning the effects of the works envisaged on the European site concerned, including removing reasonable doubts raised in that regard during the public participation process at the appropriate assessment screening stage. </w:t>
      </w:r>
      <w:r w:rsidR="001209F4" w:rsidRPr="00A20F72">
        <w:rPr>
          <w:rFonts w:ascii="Verdana" w:hAnsi="Verdana"/>
          <w:color w:val="000000" w:themeColor="text1"/>
          <w:sz w:val="18"/>
          <w:szCs w:val="18"/>
          <w:lang w:val="en-GB"/>
        </w:rPr>
        <w:t xml:space="preserve"> </w:t>
      </w:r>
      <w:r w:rsidRPr="00A20F72">
        <w:rPr>
          <w:rFonts w:ascii="Verdana" w:hAnsi="Verdana"/>
          <w:color w:val="000000" w:themeColor="text1"/>
          <w:sz w:val="18"/>
          <w:szCs w:val="18"/>
          <w:lang w:val="en-GB"/>
        </w:rPr>
        <w:t>The precise and definitive findings must clearly identify and describe</w:t>
      </w:r>
      <w:r w:rsidR="001209F4" w:rsidRPr="00A20F72">
        <w:rPr>
          <w:rFonts w:ascii="Verdana" w:hAnsi="Verdana"/>
          <w:color w:val="000000" w:themeColor="text1"/>
          <w:sz w:val="18"/>
          <w:szCs w:val="18"/>
          <w:lang w:val="en-GB"/>
        </w:rPr>
        <w:t>:</w:t>
      </w:r>
    </w:p>
    <w:p w14:paraId="2F85BA88" w14:textId="77777777" w:rsidR="003546ED" w:rsidRPr="003546ED" w:rsidRDefault="003546ED" w:rsidP="003546ED">
      <w:pPr>
        <w:pStyle w:val="ListParagraph"/>
        <w:rPr>
          <w:rFonts w:ascii="Verdana" w:hAnsi="Verdana"/>
          <w:sz w:val="18"/>
          <w:szCs w:val="18"/>
        </w:rPr>
      </w:pPr>
    </w:p>
    <w:p w14:paraId="124DF636" w14:textId="68967EB2" w:rsidR="00947C7A" w:rsidRPr="003546ED" w:rsidRDefault="00947C7A" w:rsidP="003546ED">
      <w:pPr>
        <w:pStyle w:val="ListParagraph"/>
        <w:numPr>
          <w:ilvl w:val="1"/>
          <w:numId w:val="1"/>
        </w:numPr>
        <w:spacing w:after="160" w:line="360" w:lineRule="auto"/>
        <w:contextualSpacing w:val="0"/>
        <w:rPr>
          <w:rFonts w:ascii="Verdana" w:hAnsi="Verdana"/>
          <w:sz w:val="18"/>
          <w:szCs w:val="18"/>
        </w:rPr>
      </w:pPr>
      <w:r w:rsidRPr="003546ED">
        <w:rPr>
          <w:rFonts w:ascii="Verdana" w:hAnsi="Verdana"/>
          <w:color w:val="000000" w:themeColor="text1"/>
          <w:sz w:val="18"/>
          <w:szCs w:val="18"/>
          <w:lang w:val="en-GB"/>
        </w:rPr>
        <w:t>the best scientific knowledge in the field relevant to the decision</w:t>
      </w:r>
      <w:r w:rsidR="001209F4" w:rsidRPr="003546ED">
        <w:rPr>
          <w:rFonts w:ascii="Verdana" w:hAnsi="Verdana"/>
          <w:color w:val="000000" w:themeColor="text1"/>
          <w:sz w:val="18"/>
          <w:szCs w:val="18"/>
          <w:lang w:val="en-GB"/>
        </w:rPr>
        <w:t>;</w:t>
      </w:r>
    </w:p>
    <w:p w14:paraId="53EB1E9A" w14:textId="73D2A31D" w:rsidR="00947C7A" w:rsidRPr="003546ED" w:rsidRDefault="00947C7A" w:rsidP="003546ED">
      <w:pPr>
        <w:pStyle w:val="ListParagraph"/>
        <w:numPr>
          <w:ilvl w:val="1"/>
          <w:numId w:val="1"/>
        </w:numPr>
        <w:spacing w:after="160" w:line="360" w:lineRule="auto"/>
        <w:contextualSpacing w:val="0"/>
        <w:rPr>
          <w:rFonts w:ascii="Verdana" w:hAnsi="Verdana"/>
          <w:color w:val="000000" w:themeColor="text1"/>
          <w:sz w:val="18"/>
          <w:szCs w:val="18"/>
          <w:lang w:val="en-GB"/>
        </w:rPr>
      </w:pPr>
      <w:r w:rsidRPr="00A20F72">
        <w:rPr>
          <w:rFonts w:ascii="Verdana" w:hAnsi="Verdana"/>
          <w:color w:val="000000" w:themeColor="text1"/>
          <w:sz w:val="18"/>
          <w:szCs w:val="18"/>
          <w:lang w:val="en-GB"/>
        </w:rPr>
        <w:t>the examination and analysis of all aspects of the project which can, by itself, or in combination with other plans or projects affect the European site in light of its conservation objectives;</w:t>
      </w:r>
      <w:r w:rsidR="001209F4" w:rsidRPr="00A20F72">
        <w:rPr>
          <w:rFonts w:ascii="Verdana" w:hAnsi="Verdana"/>
          <w:color w:val="000000" w:themeColor="text1"/>
          <w:sz w:val="18"/>
          <w:szCs w:val="18"/>
          <w:lang w:val="en-GB"/>
        </w:rPr>
        <w:t xml:space="preserve"> and</w:t>
      </w:r>
    </w:p>
    <w:p w14:paraId="7E01E17E" w14:textId="77777777" w:rsidR="00947C7A" w:rsidRPr="00A20F72" w:rsidRDefault="00947C7A" w:rsidP="003546ED">
      <w:pPr>
        <w:pStyle w:val="ListParagraph"/>
        <w:numPr>
          <w:ilvl w:val="1"/>
          <w:numId w:val="1"/>
        </w:numPr>
        <w:spacing w:after="160" w:line="360" w:lineRule="auto"/>
        <w:contextualSpacing w:val="0"/>
        <w:rPr>
          <w:rFonts w:ascii="Verdana" w:hAnsi="Verdana"/>
          <w:color w:val="000000" w:themeColor="text1"/>
          <w:sz w:val="18"/>
          <w:szCs w:val="18"/>
          <w:lang w:val="en-GB"/>
        </w:rPr>
      </w:pPr>
      <w:r w:rsidRPr="00A20F72">
        <w:rPr>
          <w:rFonts w:ascii="Verdana" w:hAnsi="Verdana"/>
          <w:color w:val="000000" w:themeColor="text1"/>
          <w:sz w:val="18"/>
          <w:szCs w:val="18"/>
          <w:lang w:val="en-GB"/>
        </w:rPr>
        <w:t>findings and conclusions following an evaluation of all of the relevant information, including information gathered during the public participation procedure, in light of the best scientific knowledge.</w:t>
      </w:r>
    </w:p>
    <w:p w14:paraId="2934A007" w14:textId="31FE09A0" w:rsidR="00947C7A" w:rsidRPr="00A20F72" w:rsidRDefault="00947C7A" w:rsidP="00A20F72">
      <w:pPr>
        <w:pStyle w:val="ListParagraph"/>
        <w:numPr>
          <w:ilvl w:val="0"/>
          <w:numId w:val="1"/>
        </w:numPr>
        <w:spacing w:after="160" w:line="360" w:lineRule="auto"/>
        <w:ind w:left="567" w:hanging="567"/>
        <w:contextualSpacing w:val="0"/>
        <w:rPr>
          <w:rFonts w:ascii="Verdana" w:hAnsi="Verdana"/>
          <w:color w:val="000000" w:themeColor="text1"/>
          <w:sz w:val="18"/>
          <w:szCs w:val="18"/>
          <w:lang w:val="en-GB"/>
        </w:rPr>
      </w:pPr>
      <w:r w:rsidRPr="00A20F72">
        <w:rPr>
          <w:rFonts w:ascii="Verdana" w:hAnsi="Verdana"/>
          <w:sz w:val="18"/>
          <w:szCs w:val="18"/>
        </w:rPr>
        <w:t>The</w:t>
      </w:r>
      <w:r w:rsidRPr="00A20F72">
        <w:rPr>
          <w:rFonts w:ascii="Verdana" w:hAnsi="Verdana"/>
          <w:color w:val="000000" w:themeColor="text1"/>
          <w:sz w:val="18"/>
          <w:szCs w:val="18"/>
          <w:lang w:val="en-GB"/>
        </w:rPr>
        <w:t xml:space="preserve"> duty to state reasons in environmental decision making arises not only as a matter of good administration, but is also a duty held by Ireland under </w:t>
      </w:r>
      <w:r w:rsidR="001209F4" w:rsidRPr="00A20F72">
        <w:rPr>
          <w:rFonts w:ascii="Verdana" w:hAnsi="Verdana"/>
          <w:color w:val="000000" w:themeColor="text1"/>
          <w:sz w:val="18"/>
          <w:szCs w:val="18"/>
          <w:lang w:val="en-GB"/>
        </w:rPr>
        <w:t>a</w:t>
      </w:r>
      <w:r w:rsidRPr="00A20F72">
        <w:rPr>
          <w:rFonts w:ascii="Verdana" w:hAnsi="Verdana"/>
          <w:color w:val="000000" w:themeColor="text1"/>
          <w:sz w:val="18"/>
          <w:szCs w:val="18"/>
          <w:lang w:val="en-GB"/>
        </w:rPr>
        <w:t>rt</w:t>
      </w:r>
      <w:r w:rsidR="001209F4" w:rsidRPr="00A20F72">
        <w:rPr>
          <w:rFonts w:ascii="Verdana" w:hAnsi="Verdana"/>
          <w:color w:val="000000" w:themeColor="text1"/>
          <w:sz w:val="18"/>
          <w:szCs w:val="18"/>
          <w:lang w:val="en-GB"/>
        </w:rPr>
        <w:t>.</w:t>
      </w:r>
      <w:r w:rsidRPr="00A20F72">
        <w:rPr>
          <w:rFonts w:ascii="Verdana" w:hAnsi="Verdana"/>
          <w:color w:val="000000" w:themeColor="text1"/>
          <w:sz w:val="18"/>
          <w:szCs w:val="18"/>
          <w:lang w:val="en-GB"/>
        </w:rPr>
        <w:t xml:space="preserve"> 6(9) of the Aarhus Convention. </w:t>
      </w:r>
    </w:p>
    <w:p w14:paraId="68A00B41" w14:textId="3A6E50E9" w:rsidR="00C23D4E" w:rsidRPr="00A20F72" w:rsidRDefault="00C23D4E" w:rsidP="00A20F72">
      <w:pPr>
        <w:pStyle w:val="ListParagraph"/>
        <w:numPr>
          <w:ilvl w:val="0"/>
          <w:numId w:val="1"/>
        </w:numPr>
        <w:spacing w:after="160" w:line="360" w:lineRule="auto"/>
        <w:ind w:left="567" w:hanging="567"/>
        <w:contextualSpacing w:val="0"/>
        <w:rPr>
          <w:rFonts w:ascii="Verdana" w:hAnsi="Verdana"/>
          <w:sz w:val="18"/>
          <w:szCs w:val="18"/>
        </w:rPr>
      </w:pPr>
      <w:r w:rsidRPr="00A20F72">
        <w:rPr>
          <w:rFonts w:ascii="Verdana" w:hAnsi="Verdana"/>
          <w:sz w:val="18"/>
          <w:szCs w:val="18"/>
        </w:rPr>
        <w:t xml:space="preserve">My proposed answer to the question is </w:t>
      </w:r>
      <w:r w:rsidR="002E6F9F">
        <w:rPr>
          <w:rFonts w:ascii="Verdana" w:hAnsi="Verdana"/>
          <w:sz w:val="18"/>
          <w:szCs w:val="18"/>
        </w:rPr>
        <w:t>in the affirmative</w:t>
      </w:r>
      <w:r w:rsidRPr="00A20F72">
        <w:rPr>
          <w:rFonts w:ascii="Verdana" w:hAnsi="Verdana"/>
          <w:sz w:val="18"/>
          <w:szCs w:val="18"/>
        </w:rPr>
        <w:t xml:space="preserve">.  </w:t>
      </w:r>
      <w:r w:rsidR="00382C88" w:rsidRPr="00A20F72">
        <w:rPr>
          <w:rFonts w:ascii="Verdana" w:hAnsi="Verdana"/>
          <w:sz w:val="18"/>
          <w:szCs w:val="18"/>
        </w:rPr>
        <w:t xml:space="preserve">Such </w:t>
      </w:r>
      <w:r w:rsidR="002E6F9F">
        <w:rPr>
          <w:rFonts w:ascii="Verdana" w:hAnsi="Verdana"/>
          <w:sz w:val="18"/>
          <w:szCs w:val="18"/>
        </w:rPr>
        <w:t>a rule</w:t>
      </w:r>
      <w:r w:rsidR="00382C88" w:rsidRPr="00A20F72">
        <w:rPr>
          <w:rFonts w:ascii="Verdana" w:hAnsi="Verdana"/>
          <w:sz w:val="18"/>
          <w:szCs w:val="18"/>
        </w:rPr>
        <w:t xml:space="preserve"> insofar as it applies to the screening stage would provide coherence with the jurisprudence of the CJEU on the requirement for removal of scientific doubt and use of best scientific knowledge in the context of appropriate assessment generally</w:t>
      </w:r>
      <w:r w:rsidRPr="00A20F72">
        <w:rPr>
          <w:rFonts w:ascii="Verdana" w:hAnsi="Verdana"/>
          <w:sz w:val="18"/>
          <w:szCs w:val="18"/>
        </w:rPr>
        <w:t>.</w:t>
      </w:r>
      <w:r w:rsidR="00382C88" w:rsidRPr="00A20F72">
        <w:rPr>
          <w:rFonts w:ascii="Verdana" w:hAnsi="Verdana"/>
          <w:sz w:val="18"/>
          <w:szCs w:val="18"/>
        </w:rPr>
        <w:t xml:space="preserve">  In addition, the requirement to individually address potential doubts raised (in </w:t>
      </w:r>
      <w:r w:rsidR="00611AB8" w:rsidRPr="00A20F72">
        <w:rPr>
          <w:rFonts w:ascii="Verdana" w:hAnsi="Verdana"/>
          <w:sz w:val="18"/>
          <w:szCs w:val="18"/>
        </w:rPr>
        <w:t>particular</w:t>
      </w:r>
      <w:r w:rsidR="00382C88" w:rsidRPr="00A20F72">
        <w:rPr>
          <w:rFonts w:ascii="Verdana" w:hAnsi="Verdana"/>
          <w:sz w:val="18"/>
          <w:szCs w:val="18"/>
        </w:rPr>
        <w:t xml:space="preserve"> raised by </w:t>
      </w:r>
      <w:r w:rsidR="00382C88" w:rsidRPr="00A20F72">
        <w:rPr>
          <w:rFonts w:ascii="Verdana" w:hAnsi="Verdana"/>
          <w:i/>
          <w:iCs/>
          <w:sz w:val="18"/>
          <w:szCs w:val="18"/>
        </w:rPr>
        <w:t>bona fide</w:t>
      </w:r>
      <w:r w:rsidR="00382C88" w:rsidRPr="00A20F72">
        <w:rPr>
          <w:rFonts w:ascii="Verdana" w:hAnsi="Verdana"/>
          <w:sz w:val="18"/>
          <w:szCs w:val="18"/>
        </w:rPr>
        <w:t xml:space="preserve"> </w:t>
      </w:r>
      <w:r w:rsidR="00611AB8" w:rsidRPr="00A20F72">
        <w:rPr>
          <w:rFonts w:ascii="Verdana" w:hAnsi="Verdana"/>
          <w:sz w:val="18"/>
          <w:szCs w:val="18"/>
        </w:rPr>
        <w:t>participants</w:t>
      </w:r>
      <w:r w:rsidR="00382C88" w:rsidRPr="00A20F72">
        <w:rPr>
          <w:rFonts w:ascii="Verdana" w:hAnsi="Verdana"/>
          <w:sz w:val="18"/>
          <w:szCs w:val="18"/>
        </w:rPr>
        <w:t xml:space="preserve"> in the consultation process such as the first named </w:t>
      </w:r>
      <w:r w:rsidR="00382C88" w:rsidRPr="00A20F72">
        <w:rPr>
          <w:rFonts w:ascii="Verdana" w:hAnsi="Verdana"/>
          <w:i/>
          <w:iCs/>
          <w:sz w:val="18"/>
          <w:szCs w:val="18"/>
        </w:rPr>
        <w:t>amicus</w:t>
      </w:r>
      <w:r w:rsidR="002E6F9F">
        <w:rPr>
          <w:rFonts w:ascii="Verdana" w:hAnsi="Verdana"/>
          <w:i/>
          <w:iCs/>
          <w:sz w:val="18"/>
          <w:szCs w:val="18"/>
        </w:rPr>
        <w:t xml:space="preserve"> curiae</w:t>
      </w:r>
      <w:r w:rsidR="00382C88" w:rsidRPr="00A20F72">
        <w:rPr>
          <w:rFonts w:ascii="Verdana" w:hAnsi="Verdana"/>
          <w:sz w:val="18"/>
          <w:szCs w:val="18"/>
        </w:rPr>
        <w:t xml:space="preserve">) ensures transparency as to the removal of scientific doubt and promotes good administration by requiring the competent authority to expressly consider and address such points of potential impact on European sites.  As the present case demonstrates, where only two submissions really raised questions that needed addressing (one from a </w:t>
      </w:r>
      <w:r w:rsidR="00611AB8" w:rsidRPr="00A20F72">
        <w:rPr>
          <w:rFonts w:ascii="Verdana" w:hAnsi="Verdana"/>
          <w:sz w:val="18"/>
          <w:szCs w:val="18"/>
        </w:rPr>
        <w:t>statutory</w:t>
      </w:r>
      <w:r w:rsidR="00382C88" w:rsidRPr="00A20F72">
        <w:rPr>
          <w:rFonts w:ascii="Verdana" w:hAnsi="Verdana"/>
          <w:sz w:val="18"/>
          <w:szCs w:val="18"/>
        </w:rPr>
        <w:t xml:space="preserve"> consultee, the other from a local authority), </w:t>
      </w:r>
      <w:r w:rsidR="002E6F9F">
        <w:rPr>
          <w:rFonts w:ascii="Verdana" w:hAnsi="Verdana"/>
          <w:sz w:val="18"/>
          <w:szCs w:val="18"/>
        </w:rPr>
        <w:t xml:space="preserve">these are points made by entities of some substance, and </w:t>
      </w:r>
      <w:r w:rsidR="00382C88" w:rsidRPr="00A20F72">
        <w:rPr>
          <w:rFonts w:ascii="Verdana" w:hAnsi="Verdana"/>
          <w:sz w:val="18"/>
          <w:szCs w:val="18"/>
        </w:rPr>
        <w:t xml:space="preserve">it would not have been </w:t>
      </w:r>
      <w:r w:rsidR="002E6F9F">
        <w:rPr>
          <w:rFonts w:ascii="Verdana" w:hAnsi="Verdana"/>
          <w:sz w:val="18"/>
          <w:szCs w:val="18"/>
        </w:rPr>
        <w:t>in any way onerous</w:t>
      </w:r>
      <w:r w:rsidR="00382C88" w:rsidRPr="00A20F72">
        <w:rPr>
          <w:rFonts w:ascii="Verdana" w:hAnsi="Verdana"/>
          <w:sz w:val="18"/>
          <w:szCs w:val="18"/>
        </w:rPr>
        <w:t xml:space="preserve"> for the competent authority to expressly address these, and doing so would have ensured </w:t>
      </w:r>
      <w:r w:rsidR="002E6F9F">
        <w:rPr>
          <w:rFonts w:ascii="Verdana" w:hAnsi="Verdana"/>
          <w:sz w:val="18"/>
          <w:szCs w:val="18"/>
        </w:rPr>
        <w:t xml:space="preserve">both that the habitats directive was upheld but also was seen to be upheld, thereby ensuring </w:t>
      </w:r>
      <w:r w:rsidR="00382C88" w:rsidRPr="00A20F72">
        <w:rPr>
          <w:rFonts w:ascii="Verdana" w:hAnsi="Verdana"/>
          <w:sz w:val="18"/>
          <w:szCs w:val="18"/>
        </w:rPr>
        <w:t xml:space="preserve">transparency in the removal of scientific doubt as to the impact on European sites. </w:t>
      </w:r>
    </w:p>
    <w:p w14:paraId="5EDC9E2B" w14:textId="61F2AE81" w:rsidR="00C23D4E"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reason for the reference of this question is that </w:t>
      </w:r>
      <w:r w:rsidR="00A31E73" w:rsidRPr="00A20F72">
        <w:rPr>
          <w:rFonts w:ascii="Verdana" w:hAnsi="Verdana"/>
          <w:sz w:val="18"/>
          <w:szCs w:val="18"/>
        </w:rPr>
        <w:t>the competent authority did not expressly address the doubts that arose from the submissions by the council and An Taisce.  If there was an obligation to do so then the applicant would succeed under this heading</w:t>
      </w:r>
      <w:r w:rsidRPr="00A20F72">
        <w:rPr>
          <w:rFonts w:ascii="Verdana" w:hAnsi="Verdana"/>
          <w:sz w:val="18"/>
          <w:szCs w:val="18"/>
        </w:rPr>
        <w:t>.</w:t>
      </w:r>
    </w:p>
    <w:p w14:paraId="361D78A2" w14:textId="77777777" w:rsidR="003546ED" w:rsidRPr="00A20F72" w:rsidRDefault="003546ED" w:rsidP="003546ED">
      <w:pPr>
        <w:pStyle w:val="ListParagraph"/>
        <w:spacing w:line="360" w:lineRule="auto"/>
        <w:ind w:left="567"/>
        <w:rPr>
          <w:rFonts w:ascii="Verdana" w:hAnsi="Verdana"/>
          <w:sz w:val="18"/>
          <w:szCs w:val="18"/>
        </w:rPr>
      </w:pPr>
    </w:p>
    <w:p w14:paraId="50ACC47E" w14:textId="1E4DCF9E" w:rsidR="00C23D4E" w:rsidRPr="00A20F72" w:rsidRDefault="00C23D4E" w:rsidP="00A20F72">
      <w:pPr>
        <w:spacing w:line="360" w:lineRule="auto"/>
        <w:ind w:left="567" w:hanging="567"/>
        <w:rPr>
          <w:rFonts w:ascii="Verdana" w:hAnsi="Verdana"/>
          <w:b/>
          <w:sz w:val="18"/>
          <w:szCs w:val="18"/>
          <w:u w:val="single"/>
        </w:rPr>
      </w:pPr>
      <w:r w:rsidRPr="00A20F72">
        <w:rPr>
          <w:rFonts w:ascii="Verdana" w:hAnsi="Verdana"/>
          <w:b/>
          <w:sz w:val="18"/>
          <w:szCs w:val="18"/>
          <w:u w:val="single"/>
        </w:rPr>
        <w:t xml:space="preserve">The sixth question </w:t>
      </w:r>
    </w:p>
    <w:p w14:paraId="61D1E39D" w14:textId="77777777" w:rsidR="00932923" w:rsidRPr="00A20F72"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The s</w:t>
      </w:r>
      <w:r w:rsidR="00932923" w:rsidRPr="00A20F72">
        <w:rPr>
          <w:rFonts w:ascii="Verdana" w:hAnsi="Verdana"/>
          <w:sz w:val="18"/>
          <w:szCs w:val="18"/>
        </w:rPr>
        <w:t>ixth</w:t>
      </w:r>
      <w:r w:rsidRPr="00A20F72">
        <w:rPr>
          <w:rFonts w:ascii="Verdana" w:hAnsi="Verdana"/>
          <w:sz w:val="18"/>
          <w:szCs w:val="18"/>
        </w:rPr>
        <w:t xml:space="preserve"> question is:</w:t>
      </w:r>
    </w:p>
    <w:p w14:paraId="493F1D83" w14:textId="23A9BCAA" w:rsidR="00C23D4E" w:rsidRDefault="00C23D4E" w:rsidP="003546ED">
      <w:pPr>
        <w:pStyle w:val="ListParagraph"/>
        <w:spacing w:line="360" w:lineRule="auto"/>
        <w:ind w:left="567"/>
        <w:rPr>
          <w:rFonts w:ascii="Verdana" w:hAnsi="Verdana"/>
          <w:b/>
          <w:bCs/>
          <w:sz w:val="18"/>
          <w:szCs w:val="18"/>
        </w:rPr>
      </w:pPr>
      <w:r w:rsidRPr="00A20F72">
        <w:rPr>
          <w:rFonts w:ascii="Verdana" w:hAnsi="Verdana"/>
          <w:b/>
          <w:bCs/>
          <w:sz w:val="18"/>
          <w:szCs w:val="18"/>
        </w:rPr>
        <w:t>If the answer to the first question is “</w:t>
      </w:r>
      <w:r w:rsidR="00932923" w:rsidRPr="00A20F72">
        <w:rPr>
          <w:rFonts w:ascii="Verdana" w:hAnsi="Verdana"/>
          <w:b/>
          <w:bCs/>
          <w:sz w:val="18"/>
          <w:szCs w:val="18"/>
        </w:rPr>
        <w:t>Y</w:t>
      </w:r>
      <w:r w:rsidRPr="00A20F72">
        <w:rPr>
          <w:rFonts w:ascii="Verdana" w:hAnsi="Verdana"/>
          <w:b/>
          <w:bCs/>
          <w:sz w:val="18"/>
          <w:szCs w:val="18"/>
        </w:rPr>
        <w:t>es”, whether art. 6 (3) of the habitats directive 92/43 and/or the directive read in the light of the principle of legal certainty and good administration under art. 41 of the Charter of Fundamental Rights of the European Union has the consequence that, where a competent authority decides not to subject a proposal for development consent to the process of appropriate assessment, there should be an express</w:t>
      </w:r>
      <w:r w:rsidR="0022434D" w:rsidRPr="00A20F72">
        <w:rPr>
          <w:rFonts w:ascii="Verdana" w:hAnsi="Verdana"/>
          <w:b/>
          <w:bCs/>
          <w:sz w:val="18"/>
          <w:szCs w:val="18"/>
        </w:rPr>
        <w:t xml:space="preserve">, discrete and/or specific </w:t>
      </w:r>
      <w:r w:rsidRPr="00A20F72">
        <w:rPr>
          <w:rFonts w:ascii="Verdana" w:hAnsi="Verdana"/>
          <w:b/>
          <w:bCs/>
          <w:sz w:val="18"/>
          <w:szCs w:val="18"/>
        </w:rPr>
        <w:t>statement as to what documents exactly set out the reason of the competent authority.</w:t>
      </w:r>
    </w:p>
    <w:p w14:paraId="41B7891E" w14:textId="77777777" w:rsidR="003546ED" w:rsidRPr="00A20F72" w:rsidRDefault="003546ED" w:rsidP="003546ED">
      <w:pPr>
        <w:pStyle w:val="ListParagraph"/>
        <w:spacing w:line="360" w:lineRule="auto"/>
        <w:ind w:left="567"/>
        <w:rPr>
          <w:rFonts w:ascii="Verdana" w:hAnsi="Verdana"/>
          <w:b/>
          <w:bCs/>
          <w:sz w:val="18"/>
          <w:szCs w:val="18"/>
        </w:rPr>
      </w:pPr>
    </w:p>
    <w:p w14:paraId="433A4827" w14:textId="75612A98" w:rsidR="0056302E" w:rsidRDefault="0056302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applicant’s position is that this should be answered in the affirmative (as set out in  oral submissions, although </w:t>
      </w:r>
      <w:r w:rsidR="002E6F9F">
        <w:rPr>
          <w:rFonts w:ascii="Verdana" w:hAnsi="Verdana"/>
          <w:sz w:val="18"/>
          <w:szCs w:val="18"/>
        </w:rPr>
        <w:t>again</w:t>
      </w:r>
      <w:r w:rsidRPr="00A20F72">
        <w:rPr>
          <w:rFonts w:ascii="Verdana" w:hAnsi="Verdana"/>
          <w:sz w:val="18"/>
          <w:szCs w:val="18"/>
        </w:rPr>
        <w:t xml:space="preserve"> inadvertently the applicant’s written submissions did not answer this question specifically although they did address the corresponding question as regards EIA).</w:t>
      </w:r>
    </w:p>
    <w:p w14:paraId="6D1FE4C2" w14:textId="77777777" w:rsidR="003546ED" w:rsidRPr="00A20F72" w:rsidRDefault="003546ED" w:rsidP="003546ED">
      <w:pPr>
        <w:pStyle w:val="ListParagraph"/>
        <w:spacing w:line="360" w:lineRule="auto"/>
        <w:ind w:left="567"/>
        <w:rPr>
          <w:rFonts w:ascii="Verdana" w:hAnsi="Verdana"/>
          <w:sz w:val="18"/>
          <w:szCs w:val="18"/>
        </w:rPr>
      </w:pPr>
    </w:p>
    <w:p w14:paraId="1BA32954" w14:textId="08B6A9CC" w:rsidR="0022434D" w:rsidRPr="003546ED"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color w:val="000000"/>
          <w:sz w:val="18"/>
          <w:szCs w:val="18"/>
        </w:rPr>
        <w:t xml:space="preserve">The board’s position is </w:t>
      </w:r>
      <w:r w:rsidR="0022434D" w:rsidRPr="00A20F72">
        <w:rPr>
          <w:rFonts w:ascii="Verdana" w:hAnsi="Verdana"/>
          <w:sz w:val="18"/>
          <w:szCs w:val="18"/>
          <w:lang w:val="en-GB"/>
        </w:rPr>
        <w:t xml:space="preserve">that as a matter of both domestic and European law there is no requirement for an </w:t>
      </w:r>
      <w:r w:rsidR="0022434D" w:rsidRPr="00A20F72">
        <w:rPr>
          <w:rFonts w:ascii="Verdana" w:hAnsi="Verdana"/>
          <w:color w:val="000000"/>
          <w:sz w:val="18"/>
          <w:szCs w:val="18"/>
          <w:lang w:val="en-GB"/>
        </w:rPr>
        <w:t>express statement as to what documents exactly set out the reasons of the competent authority, provided that the reasons for the outcome of the appropriate assessment screening can be readily ascertained from the documentation as a whole.</w:t>
      </w:r>
    </w:p>
    <w:p w14:paraId="629C9FCB" w14:textId="77777777" w:rsidR="003546ED" w:rsidRPr="003546ED" w:rsidRDefault="003546ED" w:rsidP="003546ED">
      <w:pPr>
        <w:spacing w:line="360" w:lineRule="auto"/>
        <w:rPr>
          <w:rFonts w:ascii="Verdana" w:hAnsi="Verdana"/>
          <w:sz w:val="18"/>
          <w:szCs w:val="18"/>
        </w:rPr>
      </w:pPr>
    </w:p>
    <w:p w14:paraId="097B3E8D" w14:textId="4D36D96E" w:rsidR="000E4E4E" w:rsidRPr="003546ED" w:rsidRDefault="00947C7A"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w:t>
      </w:r>
      <w:r w:rsidRPr="00A20F72">
        <w:rPr>
          <w:rFonts w:ascii="Verdana" w:hAnsi="Verdana"/>
          <w:i/>
          <w:iCs/>
          <w:sz w:val="18"/>
          <w:szCs w:val="18"/>
        </w:rPr>
        <w:t>amici’s</w:t>
      </w:r>
      <w:r w:rsidRPr="00A20F72">
        <w:rPr>
          <w:rFonts w:ascii="Verdana" w:hAnsi="Verdana"/>
          <w:sz w:val="18"/>
          <w:szCs w:val="18"/>
        </w:rPr>
        <w:t xml:space="preserve"> joint position is that </w:t>
      </w:r>
      <w:r w:rsidR="000E4E4E" w:rsidRPr="00A20F72">
        <w:rPr>
          <w:rFonts w:ascii="Verdana" w:hAnsi="Verdana"/>
          <w:sz w:val="18"/>
          <w:szCs w:val="18"/>
          <w:lang w:val="en-GB"/>
        </w:rPr>
        <w:t xml:space="preserve">where the competent authority decides not to subject a proposal for development consent to the process of appropriate assessment, there should be a discrete express statement as to what documents (and which precise sections of those documents) exactly set out the reason of the competent authority </w:t>
      </w:r>
      <w:r w:rsidR="000E4E4E" w:rsidRPr="00A20F72">
        <w:rPr>
          <w:rFonts w:ascii="Verdana" w:hAnsi="Verdana"/>
          <w:color w:val="000000" w:themeColor="text1"/>
          <w:sz w:val="18"/>
          <w:szCs w:val="18"/>
          <w:lang w:val="en-GB"/>
        </w:rPr>
        <w:t xml:space="preserve">provided always that the reasons and references to sections of other documents which set out the reasons can be manifestly identified by an average member of the public participating in the procedure who does not have any particular expertise in law or environmental assessment. </w:t>
      </w:r>
      <w:r w:rsidR="001209F4" w:rsidRPr="00A20F72">
        <w:rPr>
          <w:rFonts w:ascii="Verdana" w:hAnsi="Verdana"/>
          <w:color w:val="000000" w:themeColor="text1"/>
          <w:sz w:val="18"/>
          <w:szCs w:val="18"/>
          <w:lang w:val="en-GB"/>
        </w:rPr>
        <w:t xml:space="preserve"> </w:t>
      </w:r>
      <w:r w:rsidR="000E4E4E" w:rsidRPr="00A20F72">
        <w:rPr>
          <w:rFonts w:ascii="Verdana" w:hAnsi="Verdana"/>
          <w:color w:val="000000" w:themeColor="text1"/>
          <w:sz w:val="18"/>
          <w:szCs w:val="18"/>
          <w:lang w:val="en-GB"/>
        </w:rPr>
        <w:t>The statement of reasons must be sufficient to enable a member of the public and a national court to review the lawfulness of the decision without further explanation or elaboration from the competent authority.</w:t>
      </w:r>
    </w:p>
    <w:p w14:paraId="4C403930" w14:textId="77777777" w:rsidR="003546ED" w:rsidRPr="003546ED" w:rsidRDefault="003546ED" w:rsidP="003546ED">
      <w:pPr>
        <w:spacing w:line="360" w:lineRule="auto"/>
        <w:rPr>
          <w:rFonts w:ascii="Verdana" w:hAnsi="Verdana"/>
          <w:sz w:val="18"/>
          <w:szCs w:val="18"/>
        </w:rPr>
      </w:pPr>
    </w:p>
    <w:p w14:paraId="0893F04A" w14:textId="66B4751A" w:rsidR="00C23D4E"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My proposed answer to the question is </w:t>
      </w:r>
      <w:r w:rsidR="002E6F9F">
        <w:rPr>
          <w:rFonts w:ascii="Verdana" w:hAnsi="Verdana"/>
          <w:sz w:val="18"/>
          <w:szCs w:val="18"/>
        </w:rPr>
        <w:t>in the affirmative</w:t>
      </w:r>
      <w:r w:rsidR="00382C88" w:rsidRPr="00A20F72">
        <w:rPr>
          <w:rFonts w:ascii="Verdana" w:hAnsi="Verdana"/>
          <w:sz w:val="18"/>
          <w:szCs w:val="18"/>
        </w:rPr>
        <w:t>, for analogous reasons to those applying to the second question in relation to the need for an express, discrete and specific statement of the documents containing the reasons for the decision in the EIA context</w:t>
      </w:r>
      <w:r w:rsidRPr="00A20F72">
        <w:rPr>
          <w:rFonts w:ascii="Verdana" w:hAnsi="Verdana"/>
          <w:sz w:val="18"/>
          <w:szCs w:val="18"/>
        </w:rPr>
        <w:t>.</w:t>
      </w:r>
    </w:p>
    <w:p w14:paraId="2558F2CA" w14:textId="77777777" w:rsidR="003546ED" w:rsidRPr="003546ED" w:rsidRDefault="003546ED" w:rsidP="003546ED">
      <w:pPr>
        <w:spacing w:line="360" w:lineRule="auto"/>
        <w:rPr>
          <w:rFonts w:ascii="Verdana" w:hAnsi="Verdana"/>
          <w:sz w:val="18"/>
          <w:szCs w:val="18"/>
        </w:rPr>
      </w:pPr>
    </w:p>
    <w:p w14:paraId="2E75EC0C" w14:textId="37A66986" w:rsidR="00C23D4E" w:rsidRDefault="00C23D4E" w:rsidP="00A20F72">
      <w:pPr>
        <w:pStyle w:val="ListParagraph"/>
        <w:numPr>
          <w:ilvl w:val="0"/>
          <w:numId w:val="1"/>
        </w:numPr>
        <w:spacing w:line="360" w:lineRule="auto"/>
        <w:ind w:left="567" w:hanging="567"/>
        <w:rPr>
          <w:rFonts w:ascii="Verdana" w:hAnsi="Verdana"/>
          <w:sz w:val="18"/>
          <w:szCs w:val="18"/>
        </w:rPr>
      </w:pPr>
      <w:r w:rsidRPr="00A20F72">
        <w:rPr>
          <w:rFonts w:ascii="Verdana" w:hAnsi="Verdana"/>
          <w:sz w:val="18"/>
          <w:szCs w:val="18"/>
        </w:rPr>
        <w:t xml:space="preserve">The reason for the reference of this question is that </w:t>
      </w:r>
      <w:r w:rsidR="00A31E73" w:rsidRPr="00A20F72">
        <w:rPr>
          <w:rFonts w:ascii="Verdana" w:hAnsi="Verdana"/>
          <w:sz w:val="18"/>
          <w:szCs w:val="18"/>
        </w:rPr>
        <w:t>the board’s decision did not set out expressly which documents set out the reasoning in relation to AA screening.  If there was an obligation to do so then the applicant would succeed under this heading</w:t>
      </w:r>
      <w:r w:rsidRPr="00A20F72">
        <w:rPr>
          <w:rFonts w:ascii="Verdana" w:hAnsi="Verdana"/>
          <w:sz w:val="18"/>
          <w:szCs w:val="18"/>
        </w:rPr>
        <w:t>.</w:t>
      </w:r>
    </w:p>
    <w:p w14:paraId="062B073A" w14:textId="77777777" w:rsidR="003546ED" w:rsidRPr="003546ED" w:rsidRDefault="003546ED" w:rsidP="003546ED">
      <w:pPr>
        <w:spacing w:line="360" w:lineRule="auto"/>
        <w:rPr>
          <w:rFonts w:ascii="Verdana" w:hAnsi="Verdana"/>
          <w:sz w:val="18"/>
          <w:szCs w:val="18"/>
        </w:rPr>
      </w:pPr>
    </w:p>
    <w:p w14:paraId="562D7F12" w14:textId="77777777" w:rsidR="008F426D" w:rsidRPr="00A20F72" w:rsidRDefault="008F426D" w:rsidP="00A20F72">
      <w:pPr>
        <w:spacing w:line="360" w:lineRule="auto"/>
        <w:rPr>
          <w:rFonts w:ascii="Verdana" w:hAnsi="Verdana"/>
          <w:b/>
          <w:sz w:val="18"/>
          <w:szCs w:val="18"/>
          <w:u w:val="single"/>
        </w:rPr>
      </w:pPr>
      <w:r w:rsidRPr="00A20F72">
        <w:rPr>
          <w:rFonts w:ascii="Verdana" w:hAnsi="Verdana"/>
          <w:b/>
          <w:sz w:val="18"/>
          <w:szCs w:val="18"/>
          <w:u w:val="single"/>
        </w:rPr>
        <w:t xml:space="preserve">Order </w:t>
      </w:r>
    </w:p>
    <w:p w14:paraId="2A70BE24" w14:textId="2FE63FBD" w:rsidR="0026287B" w:rsidRDefault="008F426D" w:rsidP="00A20F72">
      <w:pPr>
        <w:pStyle w:val="ListParagraph"/>
        <w:numPr>
          <w:ilvl w:val="0"/>
          <w:numId w:val="1"/>
        </w:numPr>
        <w:spacing w:line="360" w:lineRule="auto"/>
        <w:ind w:left="0" w:firstLine="0"/>
        <w:rPr>
          <w:rFonts w:ascii="Verdana" w:hAnsi="Verdana"/>
          <w:sz w:val="18"/>
          <w:szCs w:val="18"/>
        </w:rPr>
      </w:pPr>
      <w:r w:rsidRPr="00A20F72">
        <w:rPr>
          <w:rFonts w:ascii="Verdana" w:hAnsi="Verdana"/>
          <w:sz w:val="18"/>
          <w:szCs w:val="18"/>
        </w:rPr>
        <w:t>Accordingly, the order will be</w:t>
      </w:r>
      <w:r w:rsidR="00055352" w:rsidRPr="00A20F72">
        <w:rPr>
          <w:rFonts w:ascii="Verdana" w:hAnsi="Verdana"/>
          <w:sz w:val="18"/>
          <w:szCs w:val="18"/>
        </w:rPr>
        <w:t>:</w:t>
      </w:r>
    </w:p>
    <w:p w14:paraId="380CB466" w14:textId="7EB7A0AB" w:rsidR="008F7F3C" w:rsidRPr="003546ED" w:rsidRDefault="008F7F3C" w:rsidP="003546ED">
      <w:pPr>
        <w:pStyle w:val="ListParagraph"/>
        <w:numPr>
          <w:ilvl w:val="1"/>
          <w:numId w:val="1"/>
        </w:numPr>
        <w:spacing w:line="360" w:lineRule="auto"/>
        <w:rPr>
          <w:rFonts w:ascii="Verdana" w:hAnsi="Verdana"/>
          <w:sz w:val="18"/>
          <w:szCs w:val="18"/>
        </w:rPr>
      </w:pPr>
      <w:bookmarkStart w:id="1" w:name="_Hlk77019611"/>
      <w:r w:rsidRPr="003546ED">
        <w:rPr>
          <w:rFonts w:ascii="Verdana" w:hAnsi="Verdana"/>
          <w:sz w:val="18"/>
          <w:szCs w:val="18"/>
        </w:rPr>
        <w:t>I will direct</w:t>
      </w:r>
      <w:r w:rsidR="006F327F" w:rsidRPr="003546ED">
        <w:rPr>
          <w:rFonts w:ascii="Verdana" w:hAnsi="Verdana"/>
          <w:sz w:val="18"/>
          <w:szCs w:val="18"/>
        </w:rPr>
        <w:t xml:space="preserve"> that the </w:t>
      </w:r>
      <w:r w:rsidRPr="003546ED">
        <w:rPr>
          <w:rFonts w:ascii="Verdana" w:hAnsi="Verdana"/>
          <w:sz w:val="18"/>
          <w:szCs w:val="18"/>
        </w:rPr>
        <w:t xml:space="preserve">applicant </w:t>
      </w:r>
      <w:r w:rsidR="006F327F" w:rsidRPr="003546ED">
        <w:rPr>
          <w:rFonts w:ascii="Verdana" w:hAnsi="Verdana"/>
          <w:sz w:val="18"/>
          <w:szCs w:val="18"/>
        </w:rPr>
        <w:t>do</w:t>
      </w:r>
      <w:r w:rsidRPr="003546ED">
        <w:rPr>
          <w:rFonts w:ascii="Verdana" w:hAnsi="Verdana"/>
          <w:sz w:val="18"/>
          <w:szCs w:val="18"/>
        </w:rPr>
        <w:t xml:space="preserve"> lodge hard copy books of all pleadings </w:t>
      </w:r>
      <w:r w:rsidR="002E6F9F">
        <w:rPr>
          <w:rFonts w:ascii="Verdana" w:hAnsi="Verdana"/>
          <w:sz w:val="18"/>
          <w:szCs w:val="18"/>
        </w:rPr>
        <w:t xml:space="preserve">directly with </w:t>
      </w:r>
      <w:r w:rsidRPr="003546ED">
        <w:rPr>
          <w:rFonts w:ascii="Verdana" w:hAnsi="Verdana"/>
          <w:sz w:val="18"/>
          <w:szCs w:val="18"/>
        </w:rPr>
        <w:t xml:space="preserve">the Principal Registrar within 28 days </w:t>
      </w:r>
      <w:r w:rsidR="006F327F" w:rsidRPr="003546ED">
        <w:rPr>
          <w:rFonts w:ascii="Verdana" w:hAnsi="Verdana"/>
          <w:sz w:val="18"/>
          <w:szCs w:val="18"/>
        </w:rPr>
        <w:t xml:space="preserve">of the </w:t>
      </w:r>
      <w:r w:rsidR="002E6F9F">
        <w:rPr>
          <w:rFonts w:ascii="Verdana" w:hAnsi="Verdana"/>
          <w:sz w:val="18"/>
          <w:szCs w:val="18"/>
        </w:rPr>
        <w:t xml:space="preserve">date of </w:t>
      </w:r>
      <w:r w:rsidR="006F327F" w:rsidRPr="003546ED">
        <w:rPr>
          <w:rFonts w:ascii="Verdana" w:hAnsi="Verdana"/>
          <w:sz w:val="18"/>
          <w:szCs w:val="18"/>
        </w:rPr>
        <w:t xml:space="preserve">delivery of this judgment </w:t>
      </w:r>
      <w:r w:rsidRPr="003546ED">
        <w:rPr>
          <w:rFonts w:ascii="Verdana" w:hAnsi="Verdana"/>
          <w:sz w:val="18"/>
          <w:szCs w:val="18"/>
        </w:rPr>
        <w:t>for transmission to the CJEU</w:t>
      </w:r>
      <w:r w:rsidR="006F327F" w:rsidRPr="003546ED">
        <w:rPr>
          <w:rFonts w:ascii="Verdana" w:hAnsi="Verdana"/>
          <w:sz w:val="18"/>
          <w:szCs w:val="18"/>
        </w:rPr>
        <w:t>;</w:t>
      </w:r>
      <w:r w:rsidRPr="003546ED">
        <w:rPr>
          <w:rFonts w:ascii="Verdana" w:hAnsi="Verdana"/>
          <w:sz w:val="18"/>
          <w:szCs w:val="18"/>
        </w:rPr>
        <w:t xml:space="preserve"> and </w:t>
      </w:r>
      <w:r w:rsidR="006F327F" w:rsidRPr="003546ED">
        <w:rPr>
          <w:rFonts w:ascii="Verdana" w:hAnsi="Verdana"/>
          <w:sz w:val="18"/>
          <w:szCs w:val="18"/>
        </w:rPr>
        <w:t xml:space="preserve">I </w:t>
      </w:r>
      <w:r w:rsidRPr="003546ED">
        <w:rPr>
          <w:rFonts w:ascii="Verdana" w:hAnsi="Verdana"/>
          <w:sz w:val="18"/>
          <w:szCs w:val="18"/>
        </w:rPr>
        <w:t xml:space="preserve">will adjourn the balance of the </w:t>
      </w:r>
      <w:r w:rsidR="002E6F9F">
        <w:rPr>
          <w:rFonts w:ascii="Verdana" w:hAnsi="Verdana"/>
          <w:sz w:val="18"/>
          <w:szCs w:val="18"/>
        </w:rPr>
        <w:t>proceedings</w:t>
      </w:r>
      <w:r w:rsidRPr="003546ED">
        <w:rPr>
          <w:rFonts w:ascii="Verdana" w:hAnsi="Verdana"/>
          <w:sz w:val="18"/>
          <w:szCs w:val="18"/>
        </w:rPr>
        <w:t xml:space="preserve"> pending the decision of the CJEU.</w:t>
      </w:r>
    </w:p>
    <w:bookmarkEnd w:id="1"/>
    <w:p w14:paraId="24825A2F" w14:textId="4160EEB7" w:rsidR="0050093C" w:rsidRPr="00A20F72" w:rsidRDefault="004852A8" w:rsidP="00A20F72">
      <w:pPr>
        <w:pStyle w:val="ListParagraph"/>
        <w:numPr>
          <w:ilvl w:val="1"/>
          <w:numId w:val="1"/>
        </w:numPr>
        <w:spacing w:line="360" w:lineRule="auto"/>
        <w:rPr>
          <w:rFonts w:ascii="Verdana" w:hAnsi="Verdana"/>
          <w:sz w:val="18"/>
          <w:szCs w:val="18"/>
        </w:rPr>
      </w:pPr>
      <w:r w:rsidRPr="00A20F72">
        <w:rPr>
          <w:rFonts w:ascii="Verdana" w:hAnsi="Verdana"/>
          <w:sz w:val="18"/>
          <w:szCs w:val="18"/>
        </w:rPr>
        <w:t xml:space="preserve">I will refer the following questions to the CJEU </w:t>
      </w:r>
      <w:r w:rsidR="008F7F3C" w:rsidRPr="00A20F72">
        <w:rPr>
          <w:rFonts w:ascii="Verdana" w:hAnsi="Verdana"/>
          <w:sz w:val="18"/>
          <w:szCs w:val="18"/>
        </w:rPr>
        <w:t>pursuant to</w:t>
      </w:r>
      <w:r w:rsidRPr="00A20F72">
        <w:rPr>
          <w:rFonts w:ascii="Verdana" w:hAnsi="Verdana"/>
          <w:sz w:val="18"/>
          <w:szCs w:val="18"/>
        </w:rPr>
        <w:t xml:space="preserve"> </w:t>
      </w:r>
      <w:r w:rsidR="00055352" w:rsidRPr="00A20F72">
        <w:rPr>
          <w:rFonts w:ascii="Verdana" w:hAnsi="Verdana"/>
          <w:sz w:val="18"/>
          <w:szCs w:val="18"/>
        </w:rPr>
        <w:t>a</w:t>
      </w:r>
      <w:r w:rsidRPr="00A20F72">
        <w:rPr>
          <w:rFonts w:ascii="Verdana" w:hAnsi="Verdana"/>
          <w:sz w:val="18"/>
          <w:szCs w:val="18"/>
        </w:rPr>
        <w:t>rt</w:t>
      </w:r>
      <w:r w:rsidR="00055352" w:rsidRPr="00A20F72">
        <w:rPr>
          <w:rFonts w:ascii="Verdana" w:hAnsi="Verdana"/>
          <w:sz w:val="18"/>
          <w:szCs w:val="18"/>
        </w:rPr>
        <w:t>.</w:t>
      </w:r>
      <w:r w:rsidRPr="00A20F72">
        <w:rPr>
          <w:rFonts w:ascii="Verdana" w:hAnsi="Verdana"/>
          <w:sz w:val="18"/>
          <w:szCs w:val="18"/>
        </w:rPr>
        <w:t xml:space="preserve"> 267 of the TFEU</w:t>
      </w:r>
      <w:r w:rsidR="0050093C" w:rsidRPr="00A20F72">
        <w:rPr>
          <w:rFonts w:ascii="Verdana" w:hAnsi="Verdana"/>
          <w:sz w:val="18"/>
          <w:szCs w:val="18"/>
        </w:rPr>
        <w:t>:</w:t>
      </w:r>
    </w:p>
    <w:p w14:paraId="2917DB83" w14:textId="468A920A" w:rsidR="00E5147A" w:rsidRPr="00A20F72" w:rsidRDefault="00932923" w:rsidP="00A20F72">
      <w:pPr>
        <w:pStyle w:val="ListParagraph"/>
        <w:numPr>
          <w:ilvl w:val="2"/>
          <w:numId w:val="1"/>
        </w:numPr>
        <w:spacing w:line="360" w:lineRule="auto"/>
        <w:rPr>
          <w:rFonts w:ascii="Verdana" w:hAnsi="Verdana"/>
          <w:b/>
          <w:bCs/>
          <w:sz w:val="18"/>
          <w:szCs w:val="18"/>
        </w:rPr>
      </w:pPr>
      <w:r w:rsidRPr="00A20F72">
        <w:rPr>
          <w:rFonts w:ascii="Verdana" w:hAnsi="Verdana"/>
          <w:b/>
          <w:bCs/>
          <w:sz w:val="18"/>
          <w:szCs w:val="18"/>
        </w:rPr>
        <w:t>Does the general principle of the primacy of EU law and/or of co-operation in good faith have the effect that, either generally or in the specific context of environmental law, where a party brings proceedings challenging the validity of an administrative measure by reference, expressly or impliedly, to a particular instrument of EU law, but does not specify which provisions of the instrument have been infringed, or by reference to which precise interpretation, the domestic court before which proceedings are brought must, or may, examine the complaint, notwithstanding any rule of domestic procedure requiring the specific breaches concerned to be set out in the party’s written pleadings.</w:t>
      </w:r>
    </w:p>
    <w:p w14:paraId="11564BD5" w14:textId="52F5001B" w:rsidR="0056302E" w:rsidRPr="00A20F72" w:rsidRDefault="00932923" w:rsidP="00A20F72">
      <w:pPr>
        <w:pStyle w:val="ListParagraph"/>
        <w:numPr>
          <w:ilvl w:val="2"/>
          <w:numId w:val="1"/>
        </w:numPr>
        <w:spacing w:line="360" w:lineRule="auto"/>
        <w:rPr>
          <w:rFonts w:ascii="Verdana" w:hAnsi="Verdana"/>
          <w:b/>
          <w:bCs/>
          <w:sz w:val="18"/>
          <w:szCs w:val="18"/>
        </w:rPr>
      </w:pPr>
      <w:r w:rsidRPr="00A20F72">
        <w:rPr>
          <w:rFonts w:ascii="Verdana" w:hAnsi="Verdana"/>
          <w:b/>
          <w:bCs/>
          <w:sz w:val="18"/>
          <w:szCs w:val="18"/>
        </w:rPr>
        <w:t xml:space="preserve">If the answer to the first question is “Yes”, whether art. 4(2), (3), (4) and/or (5) and/or Annex III of the EIA directive 2011/92 and/or the directive read in the light of the principle of legal certainty and good administration under art. 41 of the Charter of Fundamental Rights of the European Union have the consequence that, where a competent authority decides not to subject a proposal for development consent to the process of environmental impact assessment, there should be an </w:t>
      </w:r>
      <w:r w:rsidR="0022434D" w:rsidRPr="00A20F72">
        <w:rPr>
          <w:rFonts w:ascii="Verdana" w:hAnsi="Verdana"/>
          <w:b/>
          <w:bCs/>
          <w:sz w:val="18"/>
          <w:szCs w:val="18"/>
        </w:rPr>
        <w:t xml:space="preserve">express, discrete and/or specific </w:t>
      </w:r>
      <w:r w:rsidRPr="00A20F72">
        <w:rPr>
          <w:rFonts w:ascii="Verdana" w:hAnsi="Verdana"/>
          <w:b/>
          <w:bCs/>
          <w:sz w:val="18"/>
          <w:szCs w:val="18"/>
        </w:rPr>
        <w:t>statement as to what documents exactly set out the reasons of the competent authority.</w:t>
      </w:r>
    </w:p>
    <w:p w14:paraId="0F7B4614" w14:textId="502019EC" w:rsidR="00932923" w:rsidRPr="00A20F72" w:rsidRDefault="00932923" w:rsidP="00A20F72">
      <w:pPr>
        <w:pStyle w:val="ListParagraph"/>
        <w:numPr>
          <w:ilvl w:val="2"/>
          <w:numId w:val="1"/>
        </w:numPr>
        <w:spacing w:line="360" w:lineRule="auto"/>
        <w:rPr>
          <w:rFonts w:ascii="Verdana" w:hAnsi="Verdana"/>
          <w:b/>
          <w:bCs/>
          <w:sz w:val="18"/>
          <w:szCs w:val="18"/>
        </w:rPr>
      </w:pPr>
      <w:r w:rsidRPr="00A20F72">
        <w:rPr>
          <w:rFonts w:ascii="Verdana" w:hAnsi="Verdana"/>
          <w:b/>
          <w:bCs/>
          <w:sz w:val="18"/>
          <w:szCs w:val="18"/>
        </w:rPr>
        <w:t>If the answer to the first question is “Yes”, whether art. 4(2), (3), (4) and/or (5) and/or Annex III of the EIA directive 2011/92 and/or the directive read in the light of the principle of legal certainty and good administration under art. 41 of the Charter of Fundamental Rights of the European Union have the consequence that, where a competent authority decides not to subject a proposal for development consent to the process of environmental impact assessment, there is an obligation to expressly set out consideration of all specific headings and sub-headings in annex III of the EIA directive, insofar as those headings and sub-headings are potentially relevant to the development.</w:t>
      </w:r>
    </w:p>
    <w:p w14:paraId="7A8F54BD" w14:textId="70D82046" w:rsidR="00932923" w:rsidRPr="00A20F72" w:rsidRDefault="00932923" w:rsidP="00A20F72">
      <w:pPr>
        <w:pStyle w:val="ListParagraph"/>
        <w:numPr>
          <w:ilvl w:val="2"/>
          <w:numId w:val="1"/>
        </w:numPr>
        <w:spacing w:line="360" w:lineRule="auto"/>
        <w:rPr>
          <w:rFonts w:ascii="Verdana" w:hAnsi="Verdana"/>
          <w:b/>
          <w:bCs/>
          <w:sz w:val="18"/>
          <w:szCs w:val="18"/>
        </w:rPr>
      </w:pPr>
      <w:r w:rsidRPr="00A20F72">
        <w:rPr>
          <w:rFonts w:ascii="Verdana" w:hAnsi="Verdana"/>
          <w:b/>
          <w:bCs/>
          <w:sz w:val="18"/>
          <w:szCs w:val="18"/>
        </w:rPr>
        <w:t>Whether art. 6(</w:t>
      </w:r>
      <w:bookmarkStart w:id="2" w:name="_GoBack"/>
      <w:bookmarkEnd w:id="2"/>
      <w:r w:rsidRPr="00A20F72">
        <w:rPr>
          <w:rFonts w:ascii="Verdana" w:hAnsi="Verdana"/>
          <w:b/>
          <w:bCs/>
          <w:sz w:val="18"/>
          <w:szCs w:val="18"/>
        </w:rPr>
        <w:t>3) of directive 92/43/EEC is to be interpreted as meaning that, in the application of the principle that in order to determine whether it is necessary to carry out, subsequently, an appropriate assessment of the implications, for a site concerned, of a plan or project, it is not appropriate, at the screening stage, to take account of the measures intended to avoid or reduce the harmful effects of the plan or project on that site, the competent authority of a member state is entitled to take account of features of the plan or project involving the removal of contaminants that may have the effect of reducing harmful effects on the European site solely on the grounds that those features are not intended as mitigation measures even if they have that effect, and that they would have been incorporated in the design as standard features irrespective of any effect on the European site concerned.</w:t>
      </w:r>
    </w:p>
    <w:p w14:paraId="2E5B104C" w14:textId="23012724" w:rsidR="00932923" w:rsidRPr="00A20F72" w:rsidRDefault="00932923" w:rsidP="00A20F72">
      <w:pPr>
        <w:pStyle w:val="ListParagraph"/>
        <w:numPr>
          <w:ilvl w:val="2"/>
          <w:numId w:val="1"/>
        </w:numPr>
        <w:spacing w:line="360" w:lineRule="auto"/>
        <w:rPr>
          <w:rFonts w:ascii="Verdana" w:hAnsi="Verdana"/>
          <w:b/>
          <w:bCs/>
          <w:sz w:val="18"/>
          <w:szCs w:val="18"/>
        </w:rPr>
      </w:pPr>
      <w:r w:rsidRPr="00A20F72">
        <w:rPr>
          <w:rFonts w:ascii="Verdana" w:hAnsi="Verdana"/>
          <w:b/>
          <w:bCs/>
          <w:sz w:val="18"/>
          <w:szCs w:val="18"/>
        </w:rPr>
        <w:t>Whether art. 6(3) of directive 92/43/EEC is to be interpreted as meaning that, where the competent authority of a member state is satisfied notwithstanding the questions or concerns expressed by expert bodies in holding at the screening stage that no appropriate assessment is required, the authority must give an explicit and detailed statement of reasons capable of dispelling all reasonable scientific doubt concerning the effects of the works envisaged on the European site concerned, and that expressly and individually removes each of the doubts raised in that regard during the public participation process.</w:t>
      </w:r>
    </w:p>
    <w:p w14:paraId="3698FF2A" w14:textId="6F3C0292" w:rsidR="00965C69" w:rsidRPr="00A20F72" w:rsidRDefault="00932923" w:rsidP="00A20F72">
      <w:pPr>
        <w:pStyle w:val="ListParagraph"/>
        <w:numPr>
          <w:ilvl w:val="2"/>
          <w:numId w:val="1"/>
        </w:numPr>
        <w:spacing w:line="360" w:lineRule="auto"/>
        <w:rPr>
          <w:rFonts w:ascii="Verdana" w:hAnsi="Verdana"/>
          <w:b/>
          <w:bCs/>
          <w:sz w:val="18"/>
          <w:szCs w:val="18"/>
        </w:rPr>
      </w:pPr>
      <w:r w:rsidRPr="00A20F72">
        <w:rPr>
          <w:rFonts w:ascii="Verdana" w:hAnsi="Verdana"/>
          <w:b/>
          <w:bCs/>
          <w:sz w:val="18"/>
          <w:szCs w:val="18"/>
        </w:rPr>
        <w:t xml:space="preserve">If the answer to the first question is “Yes”, whether art. 6 (3) of the habitats directive 92/43 and/or the directive read in the light of the principle of legal certainty and good administration under art. 41 of the Charter of Fundamental Rights of the European Union has the consequence that, where a competent authority decides not to subject a proposal for development consent to the process of appropriate assessment, there should be an </w:t>
      </w:r>
      <w:r w:rsidR="0022434D" w:rsidRPr="00A20F72">
        <w:rPr>
          <w:rFonts w:ascii="Verdana" w:hAnsi="Verdana"/>
          <w:b/>
          <w:bCs/>
          <w:sz w:val="18"/>
          <w:szCs w:val="18"/>
        </w:rPr>
        <w:t xml:space="preserve">express, discrete and/or specific </w:t>
      </w:r>
      <w:r w:rsidRPr="00A20F72">
        <w:rPr>
          <w:rFonts w:ascii="Verdana" w:hAnsi="Verdana"/>
          <w:b/>
          <w:bCs/>
          <w:sz w:val="18"/>
          <w:szCs w:val="18"/>
        </w:rPr>
        <w:t>statement as to what documents exactly set out the reason of the competent authorit</w:t>
      </w:r>
      <w:r w:rsidR="003F6A4D" w:rsidRPr="00A20F72">
        <w:rPr>
          <w:rFonts w:ascii="Verdana" w:hAnsi="Verdana"/>
          <w:b/>
          <w:bCs/>
          <w:sz w:val="18"/>
          <w:szCs w:val="18"/>
        </w:rPr>
        <w:t>y</w:t>
      </w:r>
      <w:r w:rsidR="0083227C" w:rsidRPr="00A20F72">
        <w:rPr>
          <w:rFonts w:ascii="Verdana" w:hAnsi="Verdana"/>
          <w:b/>
          <w:bCs/>
          <w:sz w:val="18"/>
          <w:szCs w:val="18"/>
        </w:rPr>
        <w:t>.</w:t>
      </w:r>
      <w:r w:rsidR="00965C69" w:rsidRPr="00A20F72">
        <w:rPr>
          <w:rFonts w:ascii="Verdana" w:hAnsi="Verdana"/>
          <w:b/>
          <w:bCs/>
          <w:sz w:val="18"/>
          <w:szCs w:val="18"/>
        </w:rPr>
        <w:br w:type="page"/>
      </w:r>
    </w:p>
    <w:p w14:paraId="2681C6D3" w14:textId="56411D8E" w:rsidR="0056302E" w:rsidRPr="00A20F72" w:rsidRDefault="0056302E" w:rsidP="00A20F72">
      <w:pPr>
        <w:spacing w:line="360" w:lineRule="auto"/>
        <w:jc w:val="center"/>
        <w:rPr>
          <w:rFonts w:ascii="Verdana" w:hAnsi="Verdana"/>
          <w:b/>
          <w:bCs/>
          <w:sz w:val="18"/>
          <w:szCs w:val="18"/>
        </w:rPr>
      </w:pPr>
      <w:r w:rsidRPr="00A20F72">
        <w:rPr>
          <w:rFonts w:ascii="Verdana" w:hAnsi="Verdana"/>
          <w:b/>
          <w:bCs/>
          <w:sz w:val="18"/>
          <w:szCs w:val="18"/>
        </w:rPr>
        <w:t xml:space="preserve">APPENDIX – </w:t>
      </w:r>
      <w:r w:rsidR="00281A6F" w:rsidRPr="00A20F72">
        <w:rPr>
          <w:rFonts w:ascii="Verdana" w:hAnsi="Verdana"/>
          <w:b/>
          <w:bCs/>
          <w:sz w:val="18"/>
          <w:szCs w:val="18"/>
        </w:rPr>
        <w:t>RELEVANT LEGAL MATERIALS</w:t>
      </w:r>
    </w:p>
    <w:p w14:paraId="60AC43C0" w14:textId="77777777" w:rsidR="00E76881" w:rsidRPr="00A20F72" w:rsidRDefault="00E76881" w:rsidP="00A20F72">
      <w:pPr>
        <w:spacing w:line="360" w:lineRule="auto"/>
        <w:rPr>
          <w:rFonts w:ascii="Verdana" w:hAnsi="Verdana"/>
          <w:b/>
          <w:sz w:val="18"/>
          <w:szCs w:val="18"/>
        </w:rPr>
      </w:pPr>
    </w:p>
    <w:p w14:paraId="5BB55AF3" w14:textId="17778EC1" w:rsidR="0056302E" w:rsidRPr="00A20F72" w:rsidRDefault="0056302E" w:rsidP="00A20F72">
      <w:pPr>
        <w:spacing w:line="360" w:lineRule="auto"/>
        <w:rPr>
          <w:rFonts w:ascii="Verdana" w:hAnsi="Verdana"/>
          <w:b/>
          <w:sz w:val="18"/>
          <w:szCs w:val="18"/>
        </w:rPr>
      </w:pPr>
      <w:r w:rsidRPr="00A20F72">
        <w:rPr>
          <w:rFonts w:ascii="Verdana" w:hAnsi="Verdana"/>
          <w:b/>
          <w:sz w:val="18"/>
          <w:szCs w:val="18"/>
        </w:rPr>
        <w:t>European law</w:t>
      </w:r>
    </w:p>
    <w:p w14:paraId="16A5100D" w14:textId="1B99C1D1" w:rsidR="005F77F7" w:rsidRPr="00A20F72" w:rsidRDefault="005F77F7" w:rsidP="00A20F72">
      <w:pPr>
        <w:numPr>
          <w:ilvl w:val="0"/>
          <w:numId w:val="5"/>
        </w:numPr>
        <w:spacing w:line="360" w:lineRule="auto"/>
        <w:ind w:left="993"/>
        <w:rPr>
          <w:rFonts w:ascii="Verdana" w:hAnsi="Verdana"/>
          <w:sz w:val="18"/>
          <w:szCs w:val="18"/>
        </w:rPr>
      </w:pPr>
      <w:r w:rsidRPr="00A20F72">
        <w:rPr>
          <w:rFonts w:ascii="Verdana" w:hAnsi="Verdana"/>
          <w:sz w:val="18"/>
          <w:szCs w:val="18"/>
        </w:rPr>
        <w:t>Consolidated version of the Treaty on European Union, OJ C 326 , 26.10.2012 p. 0001 – 0390</w:t>
      </w:r>
    </w:p>
    <w:p w14:paraId="5EE22CDD" w14:textId="1F16A081" w:rsidR="005F77F7" w:rsidRPr="00A20F72" w:rsidRDefault="004F6CAE" w:rsidP="00A20F72">
      <w:pPr>
        <w:spacing w:line="360" w:lineRule="auto"/>
        <w:ind w:left="993"/>
        <w:rPr>
          <w:rFonts w:ascii="Verdana" w:hAnsi="Verdana"/>
          <w:sz w:val="18"/>
          <w:szCs w:val="18"/>
        </w:rPr>
      </w:pPr>
      <w:hyperlink r:id="rId8" w:history="1">
        <w:r w:rsidR="005F77F7" w:rsidRPr="00A20F72">
          <w:rPr>
            <w:rStyle w:val="Hyperlink"/>
            <w:rFonts w:ascii="Verdana" w:hAnsi="Verdana"/>
            <w:sz w:val="18"/>
            <w:szCs w:val="18"/>
          </w:rPr>
          <w:t>https://eur-lex.europa.eu/legal-content/EN/TXT/HTML/?uri=CELEX:12012M/TXT&amp;from=en</w:t>
        </w:r>
      </w:hyperlink>
    </w:p>
    <w:p w14:paraId="7B41A762" w14:textId="24584B53" w:rsidR="00014D88" w:rsidRPr="00A20F72" w:rsidRDefault="00014D88" w:rsidP="00A20F72">
      <w:pPr>
        <w:numPr>
          <w:ilvl w:val="0"/>
          <w:numId w:val="5"/>
        </w:numPr>
        <w:spacing w:line="360" w:lineRule="auto"/>
        <w:ind w:left="993"/>
        <w:rPr>
          <w:rFonts w:ascii="Verdana" w:hAnsi="Verdana"/>
          <w:sz w:val="18"/>
          <w:szCs w:val="18"/>
        </w:rPr>
      </w:pPr>
      <w:r w:rsidRPr="00A20F72">
        <w:rPr>
          <w:rFonts w:ascii="Verdana" w:hAnsi="Verdana"/>
          <w:sz w:val="18"/>
          <w:szCs w:val="18"/>
        </w:rPr>
        <w:t>Charter of Fundamental Rights of the European Union</w:t>
      </w:r>
      <w:r w:rsidR="00BA415E" w:rsidRPr="00A20F72">
        <w:rPr>
          <w:rFonts w:ascii="Verdana" w:hAnsi="Verdana"/>
          <w:sz w:val="18"/>
          <w:szCs w:val="18"/>
        </w:rPr>
        <w:t>, OJ C 326, 26.10.2012, p. 391</w:t>
      </w:r>
      <w:r w:rsidR="005F77F7" w:rsidRPr="00A20F72">
        <w:rPr>
          <w:rFonts w:ascii="Verdana" w:hAnsi="Verdana"/>
          <w:sz w:val="18"/>
          <w:szCs w:val="18"/>
        </w:rPr>
        <w:t xml:space="preserve"> - </w:t>
      </w:r>
      <w:r w:rsidR="00BA415E" w:rsidRPr="00A20F72">
        <w:rPr>
          <w:rFonts w:ascii="Verdana" w:hAnsi="Verdana"/>
          <w:sz w:val="18"/>
          <w:szCs w:val="18"/>
        </w:rPr>
        <w:t>407, in particular art. 41</w:t>
      </w:r>
      <w:r w:rsidRPr="00A20F72">
        <w:rPr>
          <w:rFonts w:ascii="Verdana" w:hAnsi="Verdana"/>
          <w:sz w:val="18"/>
          <w:szCs w:val="18"/>
        </w:rPr>
        <w:t>.</w:t>
      </w:r>
    </w:p>
    <w:p w14:paraId="1BBF7090" w14:textId="2263CA64" w:rsidR="007C7669" w:rsidRPr="00A20F72" w:rsidRDefault="004F6CAE" w:rsidP="00A20F72">
      <w:pPr>
        <w:pStyle w:val="ListParagraph"/>
        <w:spacing w:line="360" w:lineRule="auto"/>
        <w:ind w:left="993"/>
        <w:rPr>
          <w:rFonts w:ascii="Verdana" w:hAnsi="Verdana"/>
          <w:sz w:val="18"/>
          <w:szCs w:val="18"/>
        </w:rPr>
      </w:pPr>
      <w:hyperlink r:id="rId9" w:history="1">
        <w:r w:rsidR="007824F2" w:rsidRPr="00A20F72">
          <w:rPr>
            <w:rStyle w:val="Hyperlink"/>
            <w:rFonts w:ascii="Verdana" w:hAnsi="Verdana"/>
            <w:sz w:val="18"/>
            <w:szCs w:val="18"/>
          </w:rPr>
          <w:t>https://www.europarl.europa.eu/charter/pdf/text_en.pdf</w:t>
        </w:r>
      </w:hyperlink>
    </w:p>
    <w:p w14:paraId="014C3A41" w14:textId="6EACE675" w:rsidR="007C7669" w:rsidRPr="00A20F72" w:rsidRDefault="007C7669" w:rsidP="00A20F72">
      <w:pPr>
        <w:numPr>
          <w:ilvl w:val="0"/>
          <w:numId w:val="5"/>
        </w:numPr>
        <w:spacing w:line="360" w:lineRule="auto"/>
        <w:ind w:left="993"/>
        <w:rPr>
          <w:rFonts w:ascii="Verdana" w:hAnsi="Verdana"/>
          <w:sz w:val="18"/>
          <w:szCs w:val="18"/>
        </w:rPr>
      </w:pPr>
      <w:r w:rsidRPr="00A20F72">
        <w:rPr>
          <w:rFonts w:ascii="Verdana" w:hAnsi="Verdana"/>
          <w:color w:val="000000"/>
          <w:sz w:val="18"/>
          <w:szCs w:val="18"/>
          <w:lang w:eastAsia="en-GB"/>
        </w:rPr>
        <w:t>Council directive 92/43/EEC of 21</w:t>
      </w:r>
      <w:r w:rsidRPr="00A20F72">
        <w:rPr>
          <w:rFonts w:ascii="Verdana" w:hAnsi="Verdana"/>
          <w:color w:val="000000"/>
          <w:sz w:val="18"/>
          <w:szCs w:val="18"/>
          <w:vertAlign w:val="superscript"/>
          <w:lang w:eastAsia="en-GB"/>
        </w:rPr>
        <w:t>st</w:t>
      </w:r>
      <w:r w:rsidRPr="00A20F72">
        <w:rPr>
          <w:rFonts w:ascii="Verdana" w:hAnsi="Verdana"/>
          <w:color w:val="000000"/>
          <w:sz w:val="18"/>
          <w:szCs w:val="18"/>
          <w:lang w:eastAsia="en-GB"/>
        </w:rPr>
        <w:t xml:space="preserve"> May, 1992 on the conservation of natural habitats and of wild fauna and flora (OJ L 206, 22</w:t>
      </w:r>
      <w:r w:rsidR="009E322E" w:rsidRPr="00A20F72">
        <w:rPr>
          <w:rFonts w:ascii="Verdana" w:hAnsi="Verdana"/>
          <w:color w:val="000000"/>
          <w:sz w:val="18"/>
          <w:szCs w:val="18"/>
          <w:lang w:eastAsia="en-GB"/>
        </w:rPr>
        <w:t>.</w:t>
      </w:r>
      <w:r w:rsidRPr="00A20F72">
        <w:rPr>
          <w:rFonts w:ascii="Verdana" w:hAnsi="Verdana"/>
          <w:color w:val="000000"/>
          <w:sz w:val="18"/>
          <w:szCs w:val="18"/>
          <w:lang w:eastAsia="en-GB"/>
        </w:rPr>
        <w:t>7</w:t>
      </w:r>
      <w:r w:rsidR="009E322E" w:rsidRPr="00A20F72">
        <w:rPr>
          <w:rFonts w:ascii="Verdana" w:hAnsi="Verdana"/>
          <w:color w:val="000000"/>
          <w:sz w:val="18"/>
          <w:szCs w:val="18"/>
          <w:lang w:eastAsia="en-GB"/>
        </w:rPr>
        <w:t>.</w:t>
      </w:r>
      <w:r w:rsidRPr="00A20F72">
        <w:rPr>
          <w:rFonts w:ascii="Verdana" w:hAnsi="Verdana"/>
          <w:color w:val="000000"/>
          <w:sz w:val="18"/>
          <w:szCs w:val="18"/>
          <w:lang w:eastAsia="en-GB"/>
        </w:rPr>
        <w:t>1992, P.</w:t>
      </w:r>
      <w:r w:rsidR="009E322E" w:rsidRPr="00A20F72">
        <w:rPr>
          <w:rFonts w:ascii="Verdana" w:hAnsi="Verdana"/>
          <w:color w:val="000000"/>
          <w:sz w:val="18"/>
          <w:szCs w:val="18"/>
          <w:lang w:eastAsia="en-GB"/>
        </w:rPr>
        <w:t xml:space="preserve"> </w:t>
      </w:r>
      <w:r w:rsidRPr="00A20F72">
        <w:rPr>
          <w:rFonts w:ascii="Verdana" w:hAnsi="Verdana"/>
          <w:color w:val="000000"/>
          <w:sz w:val="18"/>
          <w:szCs w:val="18"/>
          <w:lang w:eastAsia="en-GB"/>
        </w:rPr>
        <w:t>7-50), in particular art. 6.</w:t>
      </w:r>
    </w:p>
    <w:p w14:paraId="1879C641" w14:textId="1190F679" w:rsidR="00014D88" w:rsidRPr="00A20F72" w:rsidRDefault="004F6CAE" w:rsidP="00A20F72">
      <w:pPr>
        <w:spacing w:line="360" w:lineRule="auto"/>
        <w:ind w:left="993"/>
        <w:rPr>
          <w:rFonts w:ascii="Verdana" w:hAnsi="Verdana"/>
          <w:color w:val="000000"/>
          <w:sz w:val="18"/>
          <w:szCs w:val="18"/>
          <w:lang w:eastAsia="en-GB"/>
        </w:rPr>
      </w:pPr>
      <w:hyperlink r:id="rId10" w:history="1">
        <w:r w:rsidR="009A7349" w:rsidRPr="00A20F72">
          <w:rPr>
            <w:rStyle w:val="Hyperlink"/>
            <w:rFonts w:ascii="Verdana" w:hAnsi="Verdana"/>
            <w:sz w:val="18"/>
            <w:szCs w:val="18"/>
            <w:lang w:eastAsia="en-GB"/>
          </w:rPr>
          <w:t>https://eur-lex.europa.eu/legal-content/EN/TXT/HTML/?uri=CELEX:31992L0043&amp;from=EN</w:t>
        </w:r>
      </w:hyperlink>
    </w:p>
    <w:p w14:paraId="53A5BC60" w14:textId="77777777" w:rsidR="00B42EA7" w:rsidRPr="00A20F72" w:rsidRDefault="007824F2" w:rsidP="00A20F72">
      <w:pPr>
        <w:pStyle w:val="ListParagraph"/>
        <w:numPr>
          <w:ilvl w:val="1"/>
          <w:numId w:val="1"/>
        </w:numPr>
        <w:spacing w:line="360" w:lineRule="auto"/>
        <w:ind w:left="993"/>
        <w:rPr>
          <w:rFonts w:ascii="Verdana" w:hAnsi="Verdana"/>
          <w:sz w:val="18"/>
          <w:szCs w:val="18"/>
        </w:rPr>
      </w:pPr>
      <w:r w:rsidRPr="00A20F72">
        <w:rPr>
          <w:rFonts w:ascii="Verdana" w:hAnsi="Verdana"/>
          <w:sz w:val="18"/>
          <w:szCs w:val="18"/>
          <w:shd w:val="clear" w:color="auto" w:fill="FFFFFF"/>
        </w:rPr>
        <w:t>Directive 2011/92/EU of the European Parliament and of the Council of 13</w:t>
      </w:r>
      <w:r w:rsidRPr="00A20F72">
        <w:rPr>
          <w:rFonts w:ascii="Verdana" w:hAnsi="Verdana"/>
          <w:sz w:val="18"/>
          <w:szCs w:val="18"/>
          <w:shd w:val="clear" w:color="auto" w:fill="FFFFFF"/>
          <w:vertAlign w:val="superscript"/>
        </w:rPr>
        <w:t>th</w:t>
      </w:r>
      <w:r w:rsidRPr="00A20F72">
        <w:rPr>
          <w:rFonts w:ascii="Verdana" w:hAnsi="Verdana"/>
          <w:sz w:val="18"/>
          <w:szCs w:val="18"/>
          <w:shd w:val="clear" w:color="auto" w:fill="FFFFFF"/>
        </w:rPr>
        <w:t xml:space="preserve"> December, 2011 on the assessment of the effects of certain public and private projects on the environment (codification) (OJ L 26, 28.1.2012, pp. 1-21)</w:t>
      </w:r>
      <w:r w:rsidR="00B42EA7" w:rsidRPr="00A20F72">
        <w:rPr>
          <w:rFonts w:ascii="Verdana" w:hAnsi="Verdana"/>
          <w:sz w:val="18"/>
          <w:szCs w:val="18"/>
          <w:shd w:val="clear" w:color="auto" w:fill="FFFFFF"/>
        </w:rPr>
        <w:t>.</w:t>
      </w:r>
    </w:p>
    <w:p w14:paraId="4ADC11EC" w14:textId="4232A65A" w:rsidR="00B42EA7" w:rsidRPr="00A20F72" w:rsidRDefault="004F6CAE" w:rsidP="00A20F72">
      <w:pPr>
        <w:pStyle w:val="ListParagraph"/>
        <w:spacing w:line="360" w:lineRule="auto"/>
        <w:ind w:left="993"/>
        <w:rPr>
          <w:rFonts w:ascii="Verdana" w:hAnsi="Verdana"/>
          <w:sz w:val="18"/>
          <w:szCs w:val="18"/>
        </w:rPr>
      </w:pPr>
      <w:hyperlink r:id="rId11" w:history="1">
        <w:r w:rsidR="00B42EA7" w:rsidRPr="00A20F72">
          <w:rPr>
            <w:rStyle w:val="Hyperlink"/>
            <w:rFonts w:ascii="Verdana" w:hAnsi="Verdana"/>
            <w:sz w:val="18"/>
            <w:szCs w:val="18"/>
          </w:rPr>
          <w:t>https://eur-lex.europa.eu/eli/dir/2011/92/oj</w:t>
        </w:r>
      </w:hyperlink>
    </w:p>
    <w:p w14:paraId="653AFD81" w14:textId="57060E04" w:rsidR="00D1008C" w:rsidRPr="00A20F72" w:rsidRDefault="00D1008C" w:rsidP="00A20F72">
      <w:pPr>
        <w:pStyle w:val="ListParagraph"/>
        <w:numPr>
          <w:ilvl w:val="1"/>
          <w:numId w:val="1"/>
        </w:numPr>
        <w:spacing w:line="360" w:lineRule="auto"/>
        <w:ind w:left="993"/>
        <w:rPr>
          <w:rFonts w:ascii="Verdana" w:hAnsi="Verdana"/>
          <w:sz w:val="18"/>
          <w:szCs w:val="18"/>
        </w:rPr>
      </w:pPr>
      <w:r w:rsidRPr="00A20F72">
        <w:rPr>
          <w:rFonts w:ascii="Verdana" w:hAnsi="Verdana"/>
          <w:sz w:val="18"/>
          <w:szCs w:val="18"/>
        </w:rPr>
        <w:t>Directive 2014/52/EU of the European Parliament and of the Council of 16</w:t>
      </w:r>
      <w:r w:rsidRPr="00A20F72">
        <w:rPr>
          <w:rFonts w:ascii="Verdana" w:hAnsi="Verdana"/>
          <w:sz w:val="18"/>
          <w:szCs w:val="18"/>
          <w:vertAlign w:val="superscript"/>
        </w:rPr>
        <w:t>th</w:t>
      </w:r>
      <w:r w:rsidRPr="00A20F72">
        <w:rPr>
          <w:rFonts w:ascii="Verdana" w:hAnsi="Verdana"/>
          <w:sz w:val="18"/>
          <w:szCs w:val="18"/>
        </w:rPr>
        <w:t xml:space="preserve"> April, 2014 amending Directive 2011/92/EU on the assessment of the effects of certain public and private projects on the environment (OJ L 124, 25.4.2014, p. 1–18).</w:t>
      </w:r>
    </w:p>
    <w:p w14:paraId="4F8277CC" w14:textId="62711140" w:rsidR="00D1008C" w:rsidRPr="00A20F72" w:rsidRDefault="004F6CAE" w:rsidP="00A20F72">
      <w:pPr>
        <w:pStyle w:val="ListParagraph"/>
        <w:spacing w:line="360" w:lineRule="auto"/>
        <w:ind w:left="993"/>
        <w:rPr>
          <w:rFonts w:ascii="Verdana" w:hAnsi="Verdana"/>
          <w:sz w:val="18"/>
          <w:szCs w:val="18"/>
        </w:rPr>
      </w:pPr>
      <w:hyperlink r:id="rId12" w:history="1">
        <w:r w:rsidR="00D1008C" w:rsidRPr="00A20F72">
          <w:rPr>
            <w:rStyle w:val="Hyperlink"/>
            <w:rFonts w:ascii="Verdana" w:hAnsi="Verdana"/>
            <w:sz w:val="18"/>
            <w:szCs w:val="18"/>
          </w:rPr>
          <w:t>https://eur-lex.europa.eu/eli/dir/2014/52/oj</w:t>
        </w:r>
      </w:hyperlink>
    </w:p>
    <w:p w14:paraId="728B9C45" w14:textId="77777777" w:rsidR="00EB4BFD" w:rsidRPr="00A20F72" w:rsidRDefault="00EB4BFD" w:rsidP="00A20F72">
      <w:pPr>
        <w:spacing w:line="360" w:lineRule="auto"/>
        <w:rPr>
          <w:rFonts w:ascii="Verdana" w:hAnsi="Verdana"/>
          <w:b/>
          <w:bCs/>
          <w:sz w:val="18"/>
          <w:szCs w:val="18"/>
        </w:rPr>
      </w:pPr>
    </w:p>
    <w:p w14:paraId="02406393" w14:textId="308AB9F1" w:rsidR="0056302E" w:rsidRPr="00A20F72" w:rsidRDefault="0056302E" w:rsidP="00A20F72">
      <w:pPr>
        <w:spacing w:line="360" w:lineRule="auto"/>
        <w:rPr>
          <w:rFonts w:ascii="Verdana" w:hAnsi="Verdana"/>
          <w:b/>
          <w:bCs/>
          <w:sz w:val="18"/>
          <w:szCs w:val="18"/>
        </w:rPr>
      </w:pPr>
      <w:r w:rsidRPr="00A20F72">
        <w:rPr>
          <w:rFonts w:ascii="Verdana" w:hAnsi="Verdana"/>
          <w:b/>
          <w:bCs/>
          <w:sz w:val="18"/>
          <w:szCs w:val="18"/>
        </w:rPr>
        <w:t xml:space="preserve">European </w:t>
      </w:r>
      <w:r w:rsidR="002E6F9F">
        <w:rPr>
          <w:rFonts w:ascii="Verdana" w:hAnsi="Verdana"/>
          <w:b/>
          <w:bCs/>
          <w:sz w:val="18"/>
          <w:szCs w:val="18"/>
        </w:rPr>
        <w:t>c</w:t>
      </w:r>
      <w:r w:rsidRPr="00A20F72">
        <w:rPr>
          <w:rFonts w:ascii="Verdana" w:hAnsi="Verdana"/>
          <w:b/>
          <w:bCs/>
          <w:sz w:val="18"/>
          <w:szCs w:val="18"/>
        </w:rPr>
        <w:t>aselaw</w:t>
      </w:r>
    </w:p>
    <w:p w14:paraId="1B4A48E5" w14:textId="366D9803" w:rsidR="007C48B8" w:rsidRPr="00A20F72" w:rsidRDefault="007C48B8" w:rsidP="00A20F72">
      <w:pPr>
        <w:pStyle w:val="ListParagraph"/>
        <w:numPr>
          <w:ilvl w:val="0"/>
          <w:numId w:val="7"/>
        </w:numPr>
        <w:spacing w:line="360" w:lineRule="auto"/>
        <w:ind w:left="993"/>
        <w:rPr>
          <w:rFonts w:ascii="Verdana" w:hAnsi="Verdana"/>
          <w:iCs/>
          <w:sz w:val="18"/>
          <w:szCs w:val="18"/>
        </w:rPr>
      </w:pPr>
      <w:r w:rsidRPr="00A20F72">
        <w:rPr>
          <w:rFonts w:ascii="Verdana" w:hAnsi="Verdana"/>
          <w:iCs/>
          <w:sz w:val="18"/>
          <w:szCs w:val="18"/>
        </w:rPr>
        <w:t xml:space="preserve">Case C-312/93 </w:t>
      </w:r>
      <w:r w:rsidRPr="00A20F72">
        <w:rPr>
          <w:rFonts w:ascii="Verdana" w:hAnsi="Verdana"/>
          <w:i/>
          <w:sz w:val="18"/>
          <w:szCs w:val="18"/>
        </w:rPr>
        <w:t xml:space="preserve">Peterbroeck, Van Campenhout &amp; Cie SCS v. Belgian State </w:t>
      </w:r>
      <w:r w:rsidRPr="00A20F72">
        <w:rPr>
          <w:rFonts w:ascii="Verdana" w:hAnsi="Verdana"/>
          <w:iCs/>
          <w:sz w:val="18"/>
          <w:szCs w:val="18"/>
        </w:rPr>
        <w:t>(Court of Justice of the European Union, 14</w:t>
      </w:r>
      <w:r w:rsidRPr="00A20F72">
        <w:rPr>
          <w:rFonts w:ascii="Verdana" w:hAnsi="Verdana"/>
          <w:iCs/>
          <w:sz w:val="18"/>
          <w:szCs w:val="18"/>
          <w:vertAlign w:val="superscript"/>
        </w:rPr>
        <w:t>th</w:t>
      </w:r>
      <w:r w:rsidRPr="00A20F72">
        <w:rPr>
          <w:rFonts w:ascii="Verdana" w:hAnsi="Verdana"/>
          <w:iCs/>
          <w:sz w:val="18"/>
          <w:szCs w:val="18"/>
        </w:rPr>
        <w:t xml:space="preserve"> December, 1995, ECLI:EU:C:1995:437, [1995] E.C.R. I-45990</w:t>
      </w:r>
      <w:r w:rsidR="00BD6F50" w:rsidRPr="00A20F72">
        <w:rPr>
          <w:rFonts w:ascii="Verdana" w:hAnsi="Verdana"/>
          <w:iCs/>
          <w:sz w:val="18"/>
          <w:szCs w:val="18"/>
        </w:rPr>
        <w:t>.</w:t>
      </w:r>
    </w:p>
    <w:p w14:paraId="256D812F" w14:textId="1D8D6F94" w:rsidR="00BD6F50" w:rsidRPr="00A20F72" w:rsidRDefault="004F6CAE" w:rsidP="00A20F72">
      <w:pPr>
        <w:pStyle w:val="ListParagraph"/>
        <w:spacing w:line="360" w:lineRule="auto"/>
        <w:ind w:left="993"/>
        <w:rPr>
          <w:rFonts w:ascii="Verdana" w:hAnsi="Verdana"/>
          <w:iCs/>
          <w:sz w:val="18"/>
          <w:szCs w:val="18"/>
        </w:rPr>
      </w:pPr>
      <w:hyperlink r:id="rId13" w:history="1">
        <w:r w:rsidR="002A5D6E" w:rsidRPr="00A20F72">
          <w:rPr>
            <w:rStyle w:val="Hyperlink"/>
            <w:rFonts w:ascii="Verdana" w:hAnsi="Verdana"/>
            <w:iCs/>
            <w:sz w:val="18"/>
            <w:szCs w:val="18"/>
          </w:rPr>
          <w:t>https://eur-lex.europa.eu/legal-content/EN/TXT/HTML/?uri=CELEX:61993CJ0312&amp;qid=1626358150066&amp;from=EN</w:t>
        </w:r>
      </w:hyperlink>
    </w:p>
    <w:p w14:paraId="092A8A4A" w14:textId="558662CD" w:rsidR="00BD6F50" w:rsidRPr="00A20F72" w:rsidRDefault="007C48B8" w:rsidP="00A20F72">
      <w:pPr>
        <w:pStyle w:val="ListParagraph"/>
        <w:numPr>
          <w:ilvl w:val="0"/>
          <w:numId w:val="7"/>
        </w:numPr>
        <w:spacing w:line="360" w:lineRule="auto"/>
        <w:ind w:left="993"/>
        <w:rPr>
          <w:rFonts w:ascii="Verdana" w:hAnsi="Verdana"/>
          <w:iCs/>
          <w:sz w:val="18"/>
          <w:szCs w:val="18"/>
        </w:rPr>
      </w:pPr>
      <w:r w:rsidRPr="00A20F72">
        <w:rPr>
          <w:rFonts w:ascii="Verdana" w:hAnsi="Verdana"/>
          <w:iCs/>
          <w:sz w:val="18"/>
          <w:szCs w:val="18"/>
        </w:rPr>
        <w:t xml:space="preserve">Joined Cases C-430/93 and C-431/93 </w:t>
      </w:r>
      <w:r w:rsidRPr="00A20F72">
        <w:rPr>
          <w:rFonts w:ascii="Verdana" w:hAnsi="Verdana"/>
          <w:i/>
          <w:sz w:val="18"/>
          <w:szCs w:val="18"/>
        </w:rPr>
        <w:t xml:space="preserve">van Schijndel and van Veen v. Stichting Pensioenfonds voor Fysiotherapeuten </w:t>
      </w:r>
      <w:r w:rsidRPr="00A20F72">
        <w:rPr>
          <w:rFonts w:ascii="Verdana" w:hAnsi="Verdana"/>
          <w:iCs/>
          <w:sz w:val="18"/>
          <w:szCs w:val="18"/>
        </w:rPr>
        <w:t>(Court of Justice of the European Union, 14</w:t>
      </w:r>
      <w:r w:rsidRPr="00A20F72">
        <w:rPr>
          <w:rFonts w:ascii="Verdana" w:hAnsi="Verdana"/>
          <w:iCs/>
          <w:sz w:val="18"/>
          <w:szCs w:val="18"/>
          <w:vertAlign w:val="superscript"/>
        </w:rPr>
        <w:t>th</w:t>
      </w:r>
      <w:r w:rsidRPr="00A20F72">
        <w:rPr>
          <w:rFonts w:ascii="Verdana" w:hAnsi="Verdana"/>
          <w:iCs/>
          <w:sz w:val="18"/>
          <w:szCs w:val="18"/>
        </w:rPr>
        <w:t xml:space="preserve"> December, 1995, ECLI:EU:C:1995:441, [1995] ECR I-04705)</w:t>
      </w:r>
      <w:r w:rsidR="00BD6F50" w:rsidRPr="00A20F72">
        <w:rPr>
          <w:rFonts w:ascii="Verdana" w:hAnsi="Verdana"/>
          <w:iCs/>
          <w:sz w:val="18"/>
          <w:szCs w:val="18"/>
        </w:rPr>
        <w:t>.</w:t>
      </w:r>
    </w:p>
    <w:p w14:paraId="6D13E39E" w14:textId="2E235C01" w:rsidR="00BD6F50" w:rsidRPr="00A20F72" w:rsidRDefault="004F6CAE" w:rsidP="00A20F72">
      <w:pPr>
        <w:pStyle w:val="ListParagraph"/>
        <w:spacing w:line="360" w:lineRule="auto"/>
        <w:ind w:left="993"/>
        <w:rPr>
          <w:rFonts w:ascii="Verdana" w:hAnsi="Verdana"/>
          <w:iCs/>
          <w:sz w:val="18"/>
          <w:szCs w:val="18"/>
        </w:rPr>
      </w:pPr>
      <w:hyperlink r:id="rId14" w:history="1">
        <w:r w:rsidR="002A5D6E" w:rsidRPr="00A20F72">
          <w:rPr>
            <w:rStyle w:val="Hyperlink"/>
            <w:rFonts w:ascii="Verdana" w:hAnsi="Verdana"/>
            <w:iCs/>
            <w:sz w:val="18"/>
            <w:szCs w:val="18"/>
          </w:rPr>
          <w:t>https://eur-lex.europa.eu/legal-content/EN/TXT/HTML/?uri=CELEX:61993CJ0430&amp;qid=1626358224464&amp;from=EN</w:t>
        </w:r>
      </w:hyperlink>
    </w:p>
    <w:p w14:paraId="2D0DFF76" w14:textId="0726409C" w:rsidR="00AB552E" w:rsidRPr="00A20F72" w:rsidRDefault="00AB552E"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w:t>
      </w:r>
      <w:r w:rsidRPr="00A20F72">
        <w:rPr>
          <w:rFonts w:ascii="Verdana" w:eastAsia="TimesNewRomanPSMT" w:hAnsi="Verdana"/>
          <w:sz w:val="18"/>
          <w:szCs w:val="18"/>
          <w:lang w:val="en-GB"/>
        </w:rPr>
        <w:t>C-72/95</w:t>
      </w:r>
      <w:r w:rsidRPr="00A20F72">
        <w:rPr>
          <w:rFonts w:ascii="Verdana" w:hAnsi="Verdana"/>
          <w:sz w:val="18"/>
          <w:szCs w:val="18"/>
          <w:lang w:val="en-GB"/>
        </w:rPr>
        <w:t xml:space="preserve"> </w:t>
      </w:r>
      <w:r w:rsidRPr="00A20F72">
        <w:rPr>
          <w:rFonts w:ascii="Verdana" w:hAnsi="Verdana"/>
          <w:i/>
          <w:iCs/>
          <w:sz w:val="18"/>
          <w:szCs w:val="18"/>
          <w:lang w:val="en-GB"/>
        </w:rPr>
        <w:t>Aannemersbedrijf P.K. Kraaijeveld BV e.a. v. Gedeputeerde Staten van Zuid-Holland</w:t>
      </w:r>
      <w:r w:rsidRPr="00A20F72">
        <w:rPr>
          <w:rFonts w:ascii="Verdana" w:hAnsi="Verdana"/>
          <w:sz w:val="18"/>
          <w:szCs w:val="18"/>
          <w:lang w:val="en-GB"/>
        </w:rPr>
        <w:t xml:space="preserve"> </w:t>
      </w:r>
      <w:r w:rsidRPr="00A20F72">
        <w:rPr>
          <w:rFonts w:ascii="Verdana" w:eastAsia="TimesNewRomanPSMT" w:hAnsi="Verdana"/>
          <w:sz w:val="18"/>
          <w:szCs w:val="18"/>
          <w:lang w:val="en-GB"/>
        </w:rPr>
        <w:t>(Court of Justice of the European Union, 24</w:t>
      </w:r>
      <w:r w:rsidRPr="00A20F72">
        <w:rPr>
          <w:rFonts w:ascii="Verdana" w:eastAsia="TimesNewRomanPSMT" w:hAnsi="Verdana"/>
          <w:sz w:val="18"/>
          <w:szCs w:val="18"/>
          <w:vertAlign w:val="superscript"/>
          <w:lang w:val="en-GB"/>
        </w:rPr>
        <w:t>th</w:t>
      </w:r>
      <w:r w:rsidRPr="00A20F72">
        <w:rPr>
          <w:rFonts w:ascii="Verdana" w:eastAsia="TimesNewRomanPSMT" w:hAnsi="Verdana"/>
          <w:sz w:val="18"/>
          <w:szCs w:val="18"/>
          <w:lang w:val="en-GB"/>
        </w:rPr>
        <w:t xml:space="preserve"> October, 1996, ECLI:EU:C:1996:404)</w:t>
      </w:r>
      <w:r w:rsidR="00A829B3" w:rsidRPr="00A20F72">
        <w:rPr>
          <w:rFonts w:ascii="Verdana" w:eastAsia="TimesNewRomanPSMT" w:hAnsi="Verdana"/>
          <w:sz w:val="18"/>
          <w:szCs w:val="18"/>
          <w:lang w:val="en-GB"/>
        </w:rPr>
        <w:t>.</w:t>
      </w:r>
    </w:p>
    <w:p w14:paraId="6F08AC12" w14:textId="5D8EDB09" w:rsidR="00AB552E" w:rsidRPr="00A20F72" w:rsidRDefault="004F6CAE" w:rsidP="00A20F72">
      <w:pPr>
        <w:pStyle w:val="ListParagraph"/>
        <w:spacing w:line="360" w:lineRule="auto"/>
        <w:ind w:left="993"/>
        <w:rPr>
          <w:rFonts w:ascii="Verdana" w:hAnsi="Verdana"/>
          <w:iCs/>
          <w:sz w:val="18"/>
          <w:szCs w:val="18"/>
        </w:rPr>
      </w:pPr>
      <w:hyperlink r:id="rId15" w:history="1">
        <w:r w:rsidR="00AB552E" w:rsidRPr="00A20F72">
          <w:rPr>
            <w:rStyle w:val="Hyperlink"/>
            <w:rFonts w:ascii="Verdana" w:hAnsi="Verdana"/>
            <w:sz w:val="18"/>
            <w:szCs w:val="18"/>
            <w:lang w:val="en-GB"/>
          </w:rPr>
          <w:t>https://curia.europa.eu/juris/liste.jsf?language=en&amp;jur=C,T,F&amp;num=C-72/95&amp;td=ALL</w:t>
        </w:r>
      </w:hyperlink>
    </w:p>
    <w:p w14:paraId="6315030D" w14:textId="1F908AB7" w:rsidR="00A829B3" w:rsidRPr="00A20F72" w:rsidRDefault="00AB552E"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C-392/96 </w:t>
      </w:r>
      <w:r w:rsidRPr="00A20F72">
        <w:rPr>
          <w:rFonts w:ascii="Verdana" w:hAnsi="Verdana"/>
          <w:i/>
          <w:iCs/>
          <w:sz w:val="18"/>
          <w:szCs w:val="18"/>
          <w:lang w:val="en-GB"/>
        </w:rPr>
        <w:t>Commission of the European Communities v. Ireland</w:t>
      </w:r>
      <w:r w:rsidRPr="00A20F72">
        <w:rPr>
          <w:rFonts w:ascii="Verdana" w:hAnsi="Verdana"/>
          <w:sz w:val="18"/>
          <w:szCs w:val="18"/>
          <w:lang w:val="en-GB"/>
        </w:rPr>
        <w:t xml:space="preserve"> (Court of Justice of the European Union, 21</w:t>
      </w:r>
      <w:r w:rsidRPr="00A20F72">
        <w:rPr>
          <w:rFonts w:ascii="Verdana" w:hAnsi="Verdana"/>
          <w:sz w:val="18"/>
          <w:szCs w:val="18"/>
          <w:vertAlign w:val="superscript"/>
          <w:lang w:val="en-GB"/>
        </w:rPr>
        <w:t>st</w:t>
      </w:r>
      <w:r w:rsidRPr="00A20F72">
        <w:rPr>
          <w:rFonts w:ascii="Verdana" w:hAnsi="Verdana"/>
          <w:sz w:val="18"/>
          <w:szCs w:val="18"/>
          <w:lang w:val="en-GB"/>
        </w:rPr>
        <w:t xml:space="preserve"> September, 1999, ECLI:EU:C:1999:431)</w:t>
      </w:r>
      <w:r w:rsidR="00A829B3" w:rsidRPr="00A20F72">
        <w:rPr>
          <w:rFonts w:ascii="Verdana" w:hAnsi="Verdana"/>
          <w:sz w:val="18"/>
          <w:szCs w:val="18"/>
          <w:lang w:val="en-GB"/>
        </w:rPr>
        <w:t>.</w:t>
      </w:r>
    </w:p>
    <w:p w14:paraId="01432BC0" w14:textId="42CF2378" w:rsidR="00AB552E" w:rsidRPr="00A20F72" w:rsidRDefault="004F6CAE" w:rsidP="00A20F72">
      <w:pPr>
        <w:spacing w:line="360" w:lineRule="auto"/>
        <w:ind w:left="993"/>
        <w:rPr>
          <w:rFonts w:ascii="Verdana" w:hAnsi="Verdana"/>
          <w:sz w:val="18"/>
          <w:szCs w:val="18"/>
          <w:lang w:val="en-GB"/>
        </w:rPr>
      </w:pPr>
      <w:hyperlink r:id="rId16" w:history="1">
        <w:r w:rsidR="00A829B3" w:rsidRPr="00A20F72">
          <w:rPr>
            <w:rStyle w:val="Hyperlink"/>
            <w:rFonts w:ascii="Verdana" w:hAnsi="Verdana"/>
            <w:sz w:val="18"/>
            <w:szCs w:val="18"/>
            <w:lang w:val="en-GB"/>
          </w:rPr>
          <w:t>https://curia.europa.eu/juris/liste.jsf?language=en&amp;num=C-392/96</w:t>
        </w:r>
      </w:hyperlink>
    </w:p>
    <w:p w14:paraId="08F21F33" w14:textId="6D0E8E36" w:rsidR="00AB552E" w:rsidRPr="00A20F72" w:rsidRDefault="00AB552E"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C-435/97 </w:t>
      </w:r>
      <w:r w:rsidRPr="00A20F72">
        <w:rPr>
          <w:rFonts w:ascii="Verdana" w:hAnsi="Verdana"/>
          <w:i/>
          <w:iCs/>
          <w:sz w:val="18"/>
          <w:szCs w:val="18"/>
          <w:lang w:val="en-GB"/>
        </w:rPr>
        <w:t>World Wildlife Fund (WWF) v. Autonome Provinz Bozen</w:t>
      </w:r>
      <w:r w:rsidRPr="00A20F72">
        <w:rPr>
          <w:rFonts w:ascii="Verdana" w:hAnsi="Verdana"/>
          <w:sz w:val="18"/>
          <w:szCs w:val="18"/>
          <w:lang w:val="en-GB"/>
        </w:rPr>
        <w:t xml:space="preserve"> (Court of Justice of the European Union, 16</w:t>
      </w:r>
      <w:r w:rsidRPr="00A20F72">
        <w:rPr>
          <w:rFonts w:ascii="Verdana" w:hAnsi="Verdana"/>
          <w:sz w:val="18"/>
          <w:szCs w:val="18"/>
          <w:vertAlign w:val="superscript"/>
          <w:lang w:val="en-GB"/>
        </w:rPr>
        <w:t>th</w:t>
      </w:r>
      <w:r w:rsidRPr="00A20F72">
        <w:rPr>
          <w:rFonts w:ascii="Verdana" w:hAnsi="Verdana"/>
          <w:sz w:val="18"/>
          <w:szCs w:val="18"/>
          <w:lang w:val="en-GB"/>
        </w:rPr>
        <w:t xml:space="preserve"> September 1999, (Court of Justice of the European Union, 16</w:t>
      </w:r>
      <w:r w:rsidRPr="00A20F72">
        <w:rPr>
          <w:rFonts w:ascii="Verdana" w:hAnsi="Verdana"/>
          <w:sz w:val="18"/>
          <w:szCs w:val="18"/>
          <w:vertAlign w:val="superscript"/>
          <w:lang w:val="en-GB"/>
        </w:rPr>
        <w:t>th</w:t>
      </w:r>
      <w:r w:rsidRPr="00A20F72">
        <w:rPr>
          <w:rFonts w:ascii="Verdana" w:hAnsi="Verdana"/>
          <w:sz w:val="18"/>
          <w:szCs w:val="18"/>
          <w:lang w:val="en-GB"/>
        </w:rPr>
        <w:t xml:space="preserve"> September, 1999, ECLI:EU:C:1999:418)</w:t>
      </w:r>
      <w:r w:rsidR="00A829B3" w:rsidRPr="00A20F72">
        <w:rPr>
          <w:rFonts w:ascii="Verdana" w:hAnsi="Verdana"/>
          <w:sz w:val="18"/>
          <w:szCs w:val="18"/>
          <w:lang w:val="en-GB"/>
        </w:rPr>
        <w:t>.</w:t>
      </w:r>
    </w:p>
    <w:p w14:paraId="4BA38EB7" w14:textId="77777777" w:rsidR="00AB552E" w:rsidRPr="00A20F72" w:rsidRDefault="004F6CAE" w:rsidP="00A20F72">
      <w:pPr>
        <w:spacing w:line="360" w:lineRule="auto"/>
        <w:ind w:left="993"/>
        <w:rPr>
          <w:rFonts w:ascii="Verdana" w:hAnsi="Verdana"/>
          <w:color w:val="0563C1" w:themeColor="hyperlink"/>
          <w:sz w:val="18"/>
          <w:szCs w:val="18"/>
          <w:u w:val="single"/>
          <w:lang w:val="en-GB"/>
        </w:rPr>
      </w:pPr>
      <w:hyperlink r:id="rId17" w:history="1">
        <w:r w:rsidR="00AB552E" w:rsidRPr="00A20F72">
          <w:rPr>
            <w:rStyle w:val="Hyperlink"/>
            <w:rFonts w:ascii="Verdana" w:hAnsi="Verdana"/>
            <w:sz w:val="18"/>
            <w:szCs w:val="18"/>
            <w:lang w:val="en-GB"/>
          </w:rPr>
          <w:t>https://curia.europa.eu/juris/liste.jsf?language=en&amp;jur=C,T,F&amp;num=C-435/97&amp;td=ALL</w:t>
        </w:r>
      </w:hyperlink>
    </w:p>
    <w:p w14:paraId="5CA6E7BF" w14:textId="174C8171" w:rsidR="00AB552E" w:rsidRPr="00A20F72" w:rsidRDefault="00AB552E" w:rsidP="00A20F72">
      <w:pPr>
        <w:pStyle w:val="ListParagraph"/>
        <w:numPr>
          <w:ilvl w:val="0"/>
          <w:numId w:val="7"/>
        </w:numPr>
        <w:spacing w:after="200" w:line="360" w:lineRule="auto"/>
        <w:ind w:left="993"/>
        <w:rPr>
          <w:rFonts w:ascii="Verdana" w:hAnsi="Verdana"/>
          <w:sz w:val="18"/>
          <w:szCs w:val="18"/>
          <w:lang w:val="en-GB"/>
        </w:rPr>
      </w:pPr>
      <w:r w:rsidRPr="00A20F72">
        <w:rPr>
          <w:rFonts w:ascii="Verdana" w:hAnsi="Verdana"/>
          <w:sz w:val="18"/>
          <w:szCs w:val="18"/>
          <w:lang w:val="en-GB"/>
        </w:rPr>
        <w:t xml:space="preserve">Case C-127/02 </w:t>
      </w:r>
      <w:r w:rsidRPr="00A20F72">
        <w:rPr>
          <w:rFonts w:ascii="Verdana" w:hAnsi="Verdana"/>
          <w:i/>
          <w:iCs/>
          <w:sz w:val="18"/>
          <w:szCs w:val="18"/>
          <w:lang w:val="en-GB"/>
        </w:rPr>
        <w:t>Landelijke Vereniging tot Behoud van de Waddenzee and Nederlandse Vereniging tot Bescherming van Vogels v. Staatssecretaris van Landbouw, Natuurbeheer en Visserij</w:t>
      </w:r>
      <w:r w:rsidRPr="00A20F72">
        <w:rPr>
          <w:rFonts w:ascii="Verdana" w:hAnsi="Verdana"/>
          <w:sz w:val="18"/>
          <w:szCs w:val="18"/>
          <w:lang w:val="en-GB"/>
        </w:rPr>
        <w:t xml:space="preserve"> (Court of Justice of the European Union, 7</w:t>
      </w:r>
      <w:r w:rsidRPr="00A20F72">
        <w:rPr>
          <w:rFonts w:ascii="Verdana" w:hAnsi="Verdana"/>
          <w:sz w:val="18"/>
          <w:szCs w:val="18"/>
          <w:vertAlign w:val="superscript"/>
          <w:lang w:val="en-GB"/>
        </w:rPr>
        <w:t>th</w:t>
      </w:r>
      <w:r w:rsidRPr="00A20F72">
        <w:rPr>
          <w:rFonts w:ascii="Verdana" w:hAnsi="Verdana"/>
          <w:sz w:val="18"/>
          <w:szCs w:val="18"/>
          <w:lang w:val="en-GB"/>
        </w:rPr>
        <w:t xml:space="preserve"> September, 2004, ECLI:EU:C:2004:482)</w:t>
      </w:r>
      <w:r w:rsidR="00A829B3" w:rsidRPr="00A20F72">
        <w:rPr>
          <w:rFonts w:ascii="Verdana" w:hAnsi="Verdana"/>
          <w:sz w:val="18"/>
          <w:szCs w:val="18"/>
          <w:lang w:val="en-GB"/>
        </w:rPr>
        <w:t>.</w:t>
      </w:r>
    </w:p>
    <w:p w14:paraId="5F8FDC38" w14:textId="6FE66287" w:rsidR="00AB552E" w:rsidRPr="00A20F72" w:rsidRDefault="004F6CAE" w:rsidP="00A20F72">
      <w:pPr>
        <w:pStyle w:val="ListParagraph"/>
        <w:spacing w:line="360" w:lineRule="auto"/>
        <w:ind w:left="993"/>
        <w:rPr>
          <w:rFonts w:ascii="Verdana" w:hAnsi="Verdana"/>
          <w:sz w:val="18"/>
          <w:szCs w:val="18"/>
          <w:lang w:val="en-GB"/>
        </w:rPr>
      </w:pPr>
      <w:hyperlink r:id="rId18" w:history="1">
        <w:r w:rsidR="00AB552E" w:rsidRPr="00A20F72">
          <w:rPr>
            <w:rStyle w:val="Hyperlink"/>
            <w:rFonts w:ascii="Verdana" w:hAnsi="Verdana"/>
            <w:sz w:val="18"/>
            <w:szCs w:val="18"/>
            <w:lang w:val="en-GB"/>
          </w:rPr>
          <w:t>https://curia.europa.eu/juris/liste.jsf?language=en&amp;num=C-127/02</w:t>
        </w:r>
      </w:hyperlink>
      <w:r w:rsidR="00AB552E" w:rsidRPr="00A20F72">
        <w:rPr>
          <w:rFonts w:ascii="Verdana" w:hAnsi="Verdana"/>
          <w:sz w:val="18"/>
          <w:szCs w:val="18"/>
          <w:lang w:val="en-GB"/>
        </w:rPr>
        <w:t>)</w:t>
      </w:r>
    </w:p>
    <w:p w14:paraId="278E8D6F" w14:textId="71FCBD04" w:rsidR="00C337A1" w:rsidRPr="00A20F72" w:rsidRDefault="007C48B8" w:rsidP="00A20F72">
      <w:pPr>
        <w:pStyle w:val="ListParagraph"/>
        <w:numPr>
          <w:ilvl w:val="0"/>
          <w:numId w:val="7"/>
        </w:numPr>
        <w:spacing w:line="360" w:lineRule="auto"/>
        <w:ind w:left="993"/>
        <w:rPr>
          <w:rFonts w:ascii="Verdana" w:hAnsi="Verdana"/>
          <w:iCs/>
          <w:sz w:val="18"/>
          <w:szCs w:val="18"/>
        </w:rPr>
      </w:pPr>
      <w:r w:rsidRPr="00A20F72">
        <w:rPr>
          <w:rFonts w:ascii="Verdana" w:hAnsi="Verdana"/>
          <w:iCs/>
          <w:sz w:val="18"/>
          <w:szCs w:val="18"/>
        </w:rPr>
        <w:t xml:space="preserve">Case C-222/05 to C-225/05, </w:t>
      </w:r>
      <w:r w:rsidRPr="00A20F72">
        <w:rPr>
          <w:rFonts w:ascii="Verdana" w:hAnsi="Verdana"/>
          <w:i/>
          <w:sz w:val="18"/>
          <w:szCs w:val="18"/>
        </w:rPr>
        <w:t>Van der Weerd v. Minister van Landbouw, Natuur en Voedselkwaliteit</w:t>
      </w:r>
      <w:r w:rsidRPr="00A20F72">
        <w:rPr>
          <w:rFonts w:ascii="Verdana" w:hAnsi="Verdana"/>
          <w:iCs/>
          <w:sz w:val="18"/>
          <w:szCs w:val="18"/>
        </w:rPr>
        <w:t xml:space="preserve"> (Court of Justice of the European Union, 7</w:t>
      </w:r>
      <w:r w:rsidRPr="00A20F72">
        <w:rPr>
          <w:rFonts w:ascii="Verdana" w:hAnsi="Verdana"/>
          <w:iCs/>
          <w:sz w:val="18"/>
          <w:szCs w:val="18"/>
          <w:vertAlign w:val="superscript"/>
        </w:rPr>
        <w:t>th</w:t>
      </w:r>
      <w:r w:rsidRPr="00A20F72">
        <w:rPr>
          <w:rFonts w:ascii="Verdana" w:hAnsi="Verdana"/>
          <w:iCs/>
          <w:sz w:val="18"/>
          <w:szCs w:val="18"/>
        </w:rPr>
        <w:t xml:space="preserve"> June, 2007, ECLI:EU:C:2007:318, [2007] E.C.R. I-4233)</w:t>
      </w:r>
      <w:r w:rsidR="00C337A1" w:rsidRPr="00A20F72">
        <w:rPr>
          <w:rFonts w:ascii="Verdana" w:hAnsi="Verdana"/>
          <w:iCs/>
          <w:sz w:val="18"/>
          <w:szCs w:val="18"/>
        </w:rPr>
        <w:t>.</w:t>
      </w:r>
    </w:p>
    <w:p w14:paraId="354DE8A9" w14:textId="5F0DC3F4" w:rsidR="00C337A1" w:rsidRPr="00A20F72" w:rsidRDefault="004F6CAE" w:rsidP="00A20F72">
      <w:pPr>
        <w:pStyle w:val="ListParagraph"/>
        <w:spacing w:line="360" w:lineRule="auto"/>
        <w:ind w:left="993"/>
        <w:rPr>
          <w:rFonts w:ascii="Verdana" w:hAnsi="Verdana"/>
          <w:iCs/>
          <w:sz w:val="18"/>
          <w:szCs w:val="18"/>
        </w:rPr>
      </w:pPr>
      <w:hyperlink r:id="rId19" w:history="1">
        <w:r w:rsidR="003F630D" w:rsidRPr="00A20F72">
          <w:rPr>
            <w:rStyle w:val="Hyperlink"/>
            <w:rFonts w:ascii="Verdana" w:hAnsi="Verdana"/>
            <w:iCs/>
            <w:sz w:val="18"/>
            <w:szCs w:val="18"/>
          </w:rPr>
          <w:t>https://eur-lex.europa.eu/legal-content/EN/TXT/HTML/?uri=CELEX:62005CJ0222&amp;qid=1626358349300&amp;from=EN</w:t>
        </w:r>
      </w:hyperlink>
    </w:p>
    <w:p w14:paraId="39A22DFC" w14:textId="2A0B8726" w:rsidR="00AB552E" w:rsidRPr="00A20F72" w:rsidRDefault="00AB552E"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C-66/06 </w:t>
      </w:r>
      <w:r w:rsidRPr="00A20F72">
        <w:rPr>
          <w:rFonts w:ascii="Verdana" w:hAnsi="Verdana"/>
          <w:i/>
          <w:iCs/>
          <w:sz w:val="18"/>
          <w:szCs w:val="18"/>
          <w:lang w:val="en-GB"/>
        </w:rPr>
        <w:t>Commission of the European Communities v. Ireland</w:t>
      </w:r>
      <w:r w:rsidRPr="00A20F72">
        <w:rPr>
          <w:rFonts w:ascii="Verdana" w:hAnsi="Verdana"/>
          <w:sz w:val="18"/>
          <w:szCs w:val="18"/>
          <w:lang w:val="en-GB"/>
        </w:rPr>
        <w:t xml:space="preserve"> (Court of Justice of the European Union, 20</w:t>
      </w:r>
      <w:r w:rsidRPr="00A20F72">
        <w:rPr>
          <w:rFonts w:ascii="Verdana" w:hAnsi="Verdana"/>
          <w:sz w:val="18"/>
          <w:szCs w:val="18"/>
          <w:vertAlign w:val="superscript"/>
          <w:lang w:val="en-GB"/>
        </w:rPr>
        <w:t>th</w:t>
      </w:r>
      <w:r w:rsidRPr="00A20F72">
        <w:rPr>
          <w:rFonts w:ascii="Verdana" w:hAnsi="Verdana"/>
          <w:sz w:val="18"/>
          <w:szCs w:val="18"/>
          <w:lang w:val="en-GB"/>
        </w:rPr>
        <w:t xml:space="preserve"> November, 2008, ECLI:EU:C:2008:637)</w:t>
      </w:r>
      <w:r w:rsidR="00A829B3" w:rsidRPr="00A20F72">
        <w:rPr>
          <w:rFonts w:ascii="Verdana" w:hAnsi="Verdana"/>
          <w:sz w:val="18"/>
          <w:szCs w:val="18"/>
          <w:lang w:val="en-GB"/>
        </w:rPr>
        <w:t>.</w:t>
      </w:r>
    </w:p>
    <w:p w14:paraId="1DCAF21E" w14:textId="77777777" w:rsidR="00AB552E" w:rsidRPr="00A20F72" w:rsidRDefault="004F6CAE" w:rsidP="00A20F72">
      <w:pPr>
        <w:spacing w:line="360" w:lineRule="auto"/>
        <w:ind w:left="993"/>
        <w:rPr>
          <w:rFonts w:ascii="Verdana" w:hAnsi="Verdana"/>
          <w:sz w:val="18"/>
          <w:szCs w:val="18"/>
          <w:lang w:val="en-GB"/>
        </w:rPr>
      </w:pPr>
      <w:hyperlink r:id="rId20" w:history="1">
        <w:r w:rsidR="00AB552E" w:rsidRPr="00A20F72">
          <w:rPr>
            <w:rStyle w:val="Hyperlink"/>
            <w:rFonts w:ascii="Verdana" w:hAnsi="Verdana"/>
            <w:sz w:val="18"/>
            <w:szCs w:val="18"/>
            <w:lang w:val="en-GB"/>
          </w:rPr>
          <w:t>https://curia.europa.eu/juris/liste.jsf?language=en&amp;num=C-66/06</w:t>
        </w:r>
      </w:hyperlink>
    </w:p>
    <w:p w14:paraId="4EC4DF57" w14:textId="408FF2F2" w:rsidR="005F77F7" w:rsidRPr="00A20F72" w:rsidRDefault="005F77F7"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C-215/06 </w:t>
      </w:r>
      <w:r w:rsidRPr="00A20F72">
        <w:rPr>
          <w:rFonts w:ascii="Verdana" w:hAnsi="Verdana"/>
          <w:i/>
          <w:iCs/>
          <w:sz w:val="18"/>
          <w:szCs w:val="18"/>
          <w:lang w:val="en-GB"/>
        </w:rPr>
        <w:t>Commission of the European Communities v. Ireland</w:t>
      </w:r>
      <w:r w:rsidRPr="00A20F72">
        <w:rPr>
          <w:rFonts w:ascii="Verdana" w:hAnsi="Verdana"/>
          <w:sz w:val="18"/>
          <w:szCs w:val="18"/>
          <w:lang w:val="en-GB"/>
        </w:rPr>
        <w:t xml:space="preserve"> (Court of Justice of the European Union, 3</w:t>
      </w:r>
      <w:r w:rsidRPr="00A20F72">
        <w:rPr>
          <w:rFonts w:ascii="Verdana" w:hAnsi="Verdana"/>
          <w:sz w:val="18"/>
          <w:szCs w:val="18"/>
          <w:vertAlign w:val="superscript"/>
          <w:lang w:val="en-GB"/>
        </w:rPr>
        <w:t>rd</w:t>
      </w:r>
      <w:r w:rsidRPr="00A20F72">
        <w:rPr>
          <w:rFonts w:ascii="Verdana" w:hAnsi="Verdana"/>
          <w:sz w:val="18"/>
          <w:szCs w:val="18"/>
          <w:lang w:val="en-GB"/>
        </w:rPr>
        <w:t xml:space="preserve"> July, 2008, ECLI:EU:C:2008:380).</w:t>
      </w:r>
    </w:p>
    <w:p w14:paraId="6D680354" w14:textId="51E3F641" w:rsidR="0011491B" w:rsidRPr="00A20F72" w:rsidRDefault="004F6CAE" w:rsidP="00A20F72">
      <w:pPr>
        <w:spacing w:line="360" w:lineRule="auto"/>
        <w:ind w:left="993"/>
        <w:rPr>
          <w:rFonts w:ascii="Verdana" w:hAnsi="Verdana"/>
          <w:sz w:val="18"/>
          <w:szCs w:val="18"/>
          <w:lang w:val="en-GB"/>
        </w:rPr>
      </w:pPr>
      <w:hyperlink r:id="rId21" w:history="1">
        <w:r w:rsidR="0011491B" w:rsidRPr="00A20F72">
          <w:rPr>
            <w:rStyle w:val="Hyperlink"/>
            <w:rFonts w:ascii="Verdana" w:hAnsi="Verdana"/>
            <w:sz w:val="18"/>
            <w:szCs w:val="18"/>
            <w:lang w:val="en-GB"/>
          </w:rPr>
          <w:t>https://eur-lex.europa.eu/legal-content/EN/TXT/?uri=CELEX%3A62006CJ0215</w:t>
        </w:r>
      </w:hyperlink>
      <w:r w:rsidR="0011491B" w:rsidRPr="00A20F72">
        <w:rPr>
          <w:rFonts w:ascii="Verdana" w:hAnsi="Verdana"/>
          <w:sz w:val="18"/>
          <w:szCs w:val="18"/>
          <w:lang w:val="en-GB"/>
        </w:rPr>
        <w:t xml:space="preserve"> </w:t>
      </w:r>
    </w:p>
    <w:p w14:paraId="0DB72D03" w14:textId="232B4A0F" w:rsidR="00AB552E" w:rsidRPr="00A20F72" w:rsidRDefault="00AB552E"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C-2/07 </w:t>
      </w:r>
      <w:r w:rsidRPr="00A20F72">
        <w:rPr>
          <w:rFonts w:ascii="Verdana" w:hAnsi="Verdana"/>
          <w:i/>
          <w:iCs/>
          <w:sz w:val="18"/>
          <w:szCs w:val="18"/>
          <w:lang w:val="en-GB"/>
        </w:rPr>
        <w:t>Abraham v. Région wallonne</w:t>
      </w:r>
      <w:r w:rsidRPr="00A20F72">
        <w:rPr>
          <w:rFonts w:ascii="Verdana" w:hAnsi="Verdana"/>
          <w:sz w:val="18"/>
          <w:szCs w:val="18"/>
          <w:lang w:val="en-GB"/>
        </w:rPr>
        <w:t xml:space="preserve"> (Court of Justice of the European Union, 28</w:t>
      </w:r>
      <w:r w:rsidRPr="00A20F72">
        <w:rPr>
          <w:rFonts w:ascii="Verdana" w:hAnsi="Verdana"/>
          <w:sz w:val="18"/>
          <w:szCs w:val="18"/>
          <w:vertAlign w:val="superscript"/>
          <w:lang w:val="en-GB"/>
        </w:rPr>
        <w:t>th</w:t>
      </w:r>
      <w:r w:rsidRPr="00A20F72">
        <w:rPr>
          <w:rFonts w:ascii="Verdana" w:hAnsi="Verdana"/>
          <w:sz w:val="18"/>
          <w:szCs w:val="18"/>
          <w:lang w:val="en-GB"/>
        </w:rPr>
        <w:t xml:space="preserve"> February, 2008, ECLI:EU:C:2008:133)</w:t>
      </w:r>
      <w:r w:rsidR="00A829B3" w:rsidRPr="00A20F72">
        <w:rPr>
          <w:rFonts w:ascii="Verdana" w:hAnsi="Verdana"/>
          <w:sz w:val="18"/>
          <w:szCs w:val="18"/>
          <w:lang w:val="en-GB"/>
        </w:rPr>
        <w:t>.</w:t>
      </w:r>
    </w:p>
    <w:p w14:paraId="474683D6" w14:textId="77777777" w:rsidR="00AB552E" w:rsidRPr="00A20F72" w:rsidRDefault="004F6CAE" w:rsidP="00A20F72">
      <w:pPr>
        <w:spacing w:line="360" w:lineRule="auto"/>
        <w:ind w:left="993"/>
        <w:rPr>
          <w:rFonts w:ascii="Verdana" w:hAnsi="Verdana"/>
          <w:sz w:val="18"/>
          <w:szCs w:val="18"/>
          <w:lang w:val="en-GB"/>
        </w:rPr>
      </w:pPr>
      <w:hyperlink r:id="rId22" w:history="1">
        <w:r w:rsidR="00AB552E" w:rsidRPr="00A20F72">
          <w:rPr>
            <w:rStyle w:val="Hyperlink"/>
            <w:rFonts w:ascii="Verdana" w:hAnsi="Verdana"/>
            <w:sz w:val="18"/>
            <w:szCs w:val="18"/>
            <w:lang w:val="en-GB"/>
          </w:rPr>
          <w:t>https://curia.europa.eu/juris/liste.jsf?language=en&amp;num=c-2/07</w:t>
        </w:r>
      </w:hyperlink>
    </w:p>
    <w:p w14:paraId="663B7A49" w14:textId="7ACE6607" w:rsidR="003549C7" w:rsidRPr="00A20F72" w:rsidRDefault="003549C7"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C-127/02 </w:t>
      </w:r>
      <w:r w:rsidRPr="00A20F72">
        <w:rPr>
          <w:rFonts w:ascii="Verdana" w:hAnsi="Verdana"/>
          <w:i/>
          <w:iCs/>
          <w:sz w:val="18"/>
          <w:szCs w:val="18"/>
          <w:lang w:val="en-GB"/>
        </w:rPr>
        <w:t>Waddenzee v. Staatssecretaris van Landbouw, Natuurbeheer en Visserij</w:t>
      </w:r>
      <w:r w:rsidRPr="00A20F72">
        <w:rPr>
          <w:rFonts w:ascii="Verdana" w:hAnsi="Verdana"/>
          <w:sz w:val="18"/>
          <w:szCs w:val="18"/>
          <w:lang w:val="en-GB"/>
        </w:rPr>
        <w:t xml:space="preserve"> (Court of Justice of the European Union, 7</w:t>
      </w:r>
      <w:r w:rsidRPr="00A20F72">
        <w:rPr>
          <w:rFonts w:ascii="Verdana" w:hAnsi="Verdana"/>
          <w:sz w:val="18"/>
          <w:szCs w:val="18"/>
          <w:vertAlign w:val="superscript"/>
          <w:lang w:val="en-GB"/>
        </w:rPr>
        <w:t>th</w:t>
      </w:r>
      <w:r w:rsidRPr="00A20F72">
        <w:rPr>
          <w:rFonts w:ascii="Verdana" w:hAnsi="Verdana"/>
          <w:sz w:val="18"/>
          <w:szCs w:val="18"/>
          <w:lang w:val="en-GB"/>
        </w:rPr>
        <w:t xml:space="preserve"> September, 2004, ECLI:EU:C:2004:482).</w:t>
      </w:r>
    </w:p>
    <w:p w14:paraId="5B2D0A8F" w14:textId="0E84D94F" w:rsidR="003549C7" w:rsidRPr="00A20F72" w:rsidRDefault="004F6CAE" w:rsidP="00A20F72">
      <w:pPr>
        <w:spacing w:line="360" w:lineRule="auto"/>
        <w:ind w:left="993"/>
        <w:rPr>
          <w:rFonts w:ascii="Verdana" w:hAnsi="Verdana"/>
          <w:sz w:val="18"/>
          <w:szCs w:val="18"/>
          <w:lang w:val="en-GB"/>
        </w:rPr>
      </w:pPr>
      <w:hyperlink r:id="rId23" w:history="1">
        <w:r w:rsidR="003549C7" w:rsidRPr="00A20F72">
          <w:rPr>
            <w:rStyle w:val="Hyperlink"/>
            <w:rFonts w:ascii="Verdana" w:hAnsi="Verdana"/>
            <w:sz w:val="18"/>
            <w:szCs w:val="18"/>
            <w:lang w:val="en-GB"/>
          </w:rPr>
          <w:t>https://eur-lex.europa.eu/legal-content/EN/TXT/?uri=CELEX%3A62002CJ0127</w:t>
        </w:r>
      </w:hyperlink>
    </w:p>
    <w:p w14:paraId="773C87F9" w14:textId="258E7C18" w:rsidR="00AB552E" w:rsidRPr="00A20F72" w:rsidRDefault="00AB552E"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C-142/07 </w:t>
      </w:r>
      <w:r w:rsidRPr="00A20F72">
        <w:rPr>
          <w:rFonts w:ascii="Verdana" w:hAnsi="Verdana"/>
          <w:i/>
          <w:iCs/>
          <w:sz w:val="18"/>
          <w:szCs w:val="18"/>
          <w:lang w:val="en-GB"/>
        </w:rPr>
        <w:t>Ecologistas en Acción-CODA v. Ayuntamiento de Madrid</w:t>
      </w:r>
      <w:r w:rsidRPr="00A20F72">
        <w:rPr>
          <w:rFonts w:ascii="Verdana" w:hAnsi="Verdana"/>
          <w:sz w:val="18"/>
          <w:szCs w:val="18"/>
          <w:lang w:val="en-GB"/>
        </w:rPr>
        <w:t xml:space="preserve"> (Court of Justice of the European Union, 25</w:t>
      </w:r>
      <w:r w:rsidRPr="00A20F72">
        <w:rPr>
          <w:rFonts w:ascii="Verdana" w:hAnsi="Verdana"/>
          <w:sz w:val="18"/>
          <w:szCs w:val="18"/>
          <w:vertAlign w:val="superscript"/>
          <w:lang w:val="en-GB"/>
        </w:rPr>
        <w:t>th</w:t>
      </w:r>
      <w:r w:rsidRPr="00A20F72">
        <w:rPr>
          <w:rFonts w:ascii="Verdana" w:hAnsi="Verdana"/>
          <w:sz w:val="18"/>
          <w:szCs w:val="18"/>
          <w:lang w:val="en-GB"/>
        </w:rPr>
        <w:t xml:space="preserve"> July, 2008, ECLI:EU:C:2008:445)</w:t>
      </w:r>
      <w:r w:rsidR="00A829B3" w:rsidRPr="00A20F72">
        <w:rPr>
          <w:rFonts w:ascii="Verdana" w:hAnsi="Verdana"/>
          <w:sz w:val="18"/>
          <w:szCs w:val="18"/>
          <w:lang w:val="en-GB"/>
        </w:rPr>
        <w:t>.</w:t>
      </w:r>
    </w:p>
    <w:p w14:paraId="6839567D" w14:textId="77777777" w:rsidR="00AB552E" w:rsidRPr="00A20F72" w:rsidRDefault="004F6CAE" w:rsidP="00A20F72">
      <w:pPr>
        <w:spacing w:line="360" w:lineRule="auto"/>
        <w:ind w:left="993"/>
        <w:rPr>
          <w:rFonts w:ascii="Verdana" w:hAnsi="Verdana"/>
          <w:sz w:val="18"/>
          <w:szCs w:val="18"/>
          <w:lang w:val="en-GB"/>
        </w:rPr>
      </w:pPr>
      <w:hyperlink r:id="rId24" w:history="1">
        <w:r w:rsidR="00AB552E" w:rsidRPr="00A20F72">
          <w:rPr>
            <w:rStyle w:val="Hyperlink"/>
            <w:rFonts w:ascii="Verdana" w:hAnsi="Verdana"/>
            <w:sz w:val="18"/>
            <w:szCs w:val="18"/>
            <w:lang w:val="en-GB"/>
          </w:rPr>
          <w:t>https://curia.europa.eu/juris/liste.jsf?language=en&amp;num=c-142/07</w:t>
        </w:r>
      </w:hyperlink>
    </w:p>
    <w:p w14:paraId="364B5BEA" w14:textId="20F9D0D4" w:rsidR="00F82D7B" w:rsidRPr="00A20F72" w:rsidRDefault="00F82D7B"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C-427/07 </w:t>
      </w:r>
      <w:r w:rsidRPr="00A20F72">
        <w:rPr>
          <w:rFonts w:ascii="Verdana" w:hAnsi="Verdana"/>
          <w:i/>
          <w:iCs/>
          <w:sz w:val="18"/>
          <w:szCs w:val="18"/>
          <w:lang w:val="en-GB"/>
        </w:rPr>
        <w:t>Commission of the European Communities v. Ireland</w:t>
      </w:r>
      <w:r w:rsidRPr="00A20F72">
        <w:rPr>
          <w:rFonts w:ascii="Verdana" w:hAnsi="Verdana"/>
          <w:sz w:val="18"/>
          <w:szCs w:val="18"/>
          <w:lang w:val="en-GB"/>
        </w:rPr>
        <w:t xml:space="preserve"> (Court of Justice of the European Union, 16</w:t>
      </w:r>
      <w:r w:rsidRPr="00A20F72">
        <w:rPr>
          <w:rFonts w:ascii="Verdana" w:hAnsi="Verdana"/>
          <w:sz w:val="18"/>
          <w:szCs w:val="18"/>
          <w:vertAlign w:val="superscript"/>
          <w:lang w:val="en-GB"/>
        </w:rPr>
        <w:t>th</w:t>
      </w:r>
      <w:r w:rsidRPr="00A20F72">
        <w:rPr>
          <w:rFonts w:ascii="Verdana" w:hAnsi="Verdana"/>
          <w:sz w:val="18"/>
          <w:szCs w:val="18"/>
          <w:lang w:val="en-GB"/>
        </w:rPr>
        <w:t xml:space="preserve"> July, 2009, ECLI:EU:C:2009:457).</w:t>
      </w:r>
    </w:p>
    <w:p w14:paraId="2ACD1036" w14:textId="519C968D" w:rsidR="00F82D7B" w:rsidRPr="00A20F72" w:rsidRDefault="004F6CAE" w:rsidP="00A20F72">
      <w:pPr>
        <w:spacing w:line="360" w:lineRule="auto"/>
        <w:ind w:left="993"/>
        <w:rPr>
          <w:rFonts w:ascii="Verdana" w:hAnsi="Verdana"/>
          <w:sz w:val="18"/>
          <w:szCs w:val="18"/>
          <w:lang w:val="en-GB"/>
        </w:rPr>
      </w:pPr>
      <w:hyperlink r:id="rId25" w:history="1">
        <w:r w:rsidR="00F82D7B" w:rsidRPr="00A20F72">
          <w:rPr>
            <w:rStyle w:val="Hyperlink"/>
            <w:rFonts w:ascii="Verdana" w:hAnsi="Verdana"/>
            <w:sz w:val="18"/>
            <w:szCs w:val="18"/>
            <w:lang w:val="en-GB"/>
          </w:rPr>
          <w:t>https://eur-lex.europa.eu/legal-content/EN/TXT/?uri=CELEX%3A62007CJ0427</w:t>
        </w:r>
      </w:hyperlink>
      <w:r w:rsidR="00F82D7B" w:rsidRPr="00A20F72">
        <w:rPr>
          <w:rFonts w:ascii="Verdana" w:hAnsi="Verdana"/>
          <w:sz w:val="18"/>
          <w:szCs w:val="18"/>
          <w:lang w:val="en-GB"/>
        </w:rPr>
        <w:t xml:space="preserve"> </w:t>
      </w:r>
    </w:p>
    <w:p w14:paraId="7AB7DD23" w14:textId="742E7BAC" w:rsidR="00AB552E" w:rsidRPr="00A20F72" w:rsidRDefault="00AB552E"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shd w:val="clear" w:color="auto" w:fill="FFFFFF"/>
          <w:lang w:val="en-GB"/>
        </w:rPr>
        <w:t xml:space="preserve">Case C-75/08 </w:t>
      </w:r>
      <w:r w:rsidRPr="00A20F72">
        <w:rPr>
          <w:rFonts w:ascii="Verdana" w:hAnsi="Verdana"/>
          <w:i/>
          <w:iCs/>
          <w:sz w:val="18"/>
          <w:szCs w:val="18"/>
          <w:shd w:val="clear" w:color="auto" w:fill="FFFFFF"/>
          <w:lang w:val="en-GB"/>
        </w:rPr>
        <w:t>The Queen, on the application of Christopher Mellor v. Secretary of State for Communities and Local Government</w:t>
      </w:r>
      <w:r w:rsidRPr="00A20F72">
        <w:rPr>
          <w:rFonts w:ascii="Verdana" w:hAnsi="Verdana"/>
          <w:sz w:val="18"/>
          <w:szCs w:val="18"/>
          <w:shd w:val="clear" w:color="auto" w:fill="FFFFFF"/>
          <w:lang w:val="en-GB"/>
        </w:rPr>
        <w:t xml:space="preserve"> (Court of Justice of the European Union, 30</w:t>
      </w:r>
      <w:r w:rsidRPr="00A20F72">
        <w:rPr>
          <w:rFonts w:ascii="Verdana" w:hAnsi="Verdana"/>
          <w:sz w:val="18"/>
          <w:szCs w:val="18"/>
          <w:shd w:val="clear" w:color="auto" w:fill="FFFFFF"/>
          <w:vertAlign w:val="superscript"/>
          <w:lang w:val="en-GB"/>
        </w:rPr>
        <w:t>th</w:t>
      </w:r>
      <w:r w:rsidRPr="00A20F72">
        <w:rPr>
          <w:rFonts w:ascii="Verdana" w:hAnsi="Verdana"/>
          <w:sz w:val="18"/>
          <w:szCs w:val="18"/>
          <w:shd w:val="clear" w:color="auto" w:fill="FFFFFF"/>
          <w:lang w:val="en-GB"/>
        </w:rPr>
        <w:t xml:space="preserve"> April 2009, ECLI:EU:C:2009:279)</w:t>
      </w:r>
      <w:r w:rsidR="00A829B3" w:rsidRPr="00A20F72">
        <w:rPr>
          <w:rFonts w:ascii="Verdana" w:hAnsi="Verdana"/>
          <w:sz w:val="18"/>
          <w:szCs w:val="18"/>
          <w:shd w:val="clear" w:color="auto" w:fill="FFFFFF"/>
          <w:lang w:val="en-GB"/>
        </w:rPr>
        <w:t>.</w:t>
      </w:r>
    </w:p>
    <w:p w14:paraId="7AAB7ED9" w14:textId="77777777" w:rsidR="00AB552E" w:rsidRPr="00A20F72" w:rsidRDefault="004F6CAE" w:rsidP="00A20F72">
      <w:pPr>
        <w:spacing w:line="360" w:lineRule="auto"/>
        <w:ind w:left="993"/>
        <w:rPr>
          <w:rFonts w:ascii="Verdana" w:hAnsi="Verdana"/>
          <w:sz w:val="18"/>
          <w:szCs w:val="18"/>
          <w:lang w:val="en-GB"/>
        </w:rPr>
      </w:pPr>
      <w:hyperlink r:id="rId26" w:history="1">
        <w:r w:rsidR="00AB552E" w:rsidRPr="00A20F72">
          <w:rPr>
            <w:rStyle w:val="Hyperlink"/>
            <w:rFonts w:ascii="Verdana" w:hAnsi="Verdana"/>
            <w:sz w:val="18"/>
            <w:szCs w:val="18"/>
            <w:lang w:val="en-GB"/>
          </w:rPr>
          <w:t>https://eur-lex.europa.eu/legal-content/EN/TXT/?uri=CELEX%3A62008CJ0075</w:t>
        </w:r>
      </w:hyperlink>
    </w:p>
    <w:p w14:paraId="202E43D8" w14:textId="6A276D95" w:rsidR="00AB552E" w:rsidRPr="00A20F72" w:rsidRDefault="00AB552E"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C-205/08 </w:t>
      </w:r>
      <w:r w:rsidRPr="00A20F72">
        <w:rPr>
          <w:rFonts w:ascii="Verdana" w:hAnsi="Verdana"/>
          <w:i/>
          <w:iCs/>
          <w:sz w:val="18"/>
          <w:szCs w:val="18"/>
          <w:lang w:val="en-GB"/>
        </w:rPr>
        <w:t>Umweltanwalt von Kärnten v. Kärntner Landesregierung</w:t>
      </w:r>
      <w:r w:rsidRPr="00A20F72">
        <w:rPr>
          <w:rFonts w:ascii="Verdana" w:hAnsi="Verdana"/>
          <w:sz w:val="18"/>
          <w:szCs w:val="18"/>
          <w:lang w:val="en-GB"/>
        </w:rPr>
        <w:t xml:space="preserve"> (Court of Justice of the European Union, 10</w:t>
      </w:r>
      <w:r w:rsidRPr="00A20F72">
        <w:rPr>
          <w:rFonts w:ascii="Verdana" w:hAnsi="Verdana"/>
          <w:sz w:val="18"/>
          <w:szCs w:val="18"/>
          <w:vertAlign w:val="superscript"/>
          <w:lang w:val="en-GB"/>
        </w:rPr>
        <w:t>th</w:t>
      </w:r>
      <w:r w:rsidRPr="00A20F72">
        <w:rPr>
          <w:rFonts w:ascii="Verdana" w:hAnsi="Verdana"/>
          <w:sz w:val="18"/>
          <w:szCs w:val="18"/>
          <w:lang w:val="en-GB"/>
        </w:rPr>
        <w:t xml:space="preserve"> December, 2009, ECLI:EU:C:2009:767)</w:t>
      </w:r>
      <w:r w:rsidR="00A829B3" w:rsidRPr="00A20F72">
        <w:rPr>
          <w:rFonts w:ascii="Verdana" w:hAnsi="Verdana"/>
          <w:sz w:val="18"/>
          <w:szCs w:val="18"/>
          <w:lang w:val="en-GB"/>
        </w:rPr>
        <w:t>.</w:t>
      </w:r>
    </w:p>
    <w:p w14:paraId="29ED766F" w14:textId="77777777" w:rsidR="00AB552E" w:rsidRPr="00A20F72" w:rsidRDefault="004F6CAE" w:rsidP="00A20F72">
      <w:pPr>
        <w:spacing w:line="360" w:lineRule="auto"/>
        <w:ind w:left="993"/>
        <w:rPr>
          <w:rFonts w:ascii="Verdana" w:hAnsi="Verdana"/>
          <w:sz w:val="18"/>
          <w:szCs w:val="18"/>
          <w:lang w:val="en-GB"/>
        </w:rPr>
      </w:pPr>
      <w:hyperlink r:id="rId27" w:history="1">
        <w:r w:rsidR="00AB552E" w:rsidRPr="00A20F72">
          <w:rPr>
            <w:rStyle w:val="Hyperlink"/>
            <w:rFonts w:ascii="Verdana" w:hAnsi="Verdana"/>
            <w:sz w:val="18"/>
            <w:szCs w:val="18"/>
            <w:lang w:val="en-GB"/>
          </w:rPr>
          <w:t>https://curia.europa.eu/juris/liste.jsf?language=en&amp;num=C-205/08</w:t>
        </w:r>
      </w:hyperlink>
    </w:p>
    <w:p w14:paraId="4B5388F4" w14:textId="316B0650" w:rsidR="0011491B" w:rsidRPr="00A20F72" w:rsidRDefault="0011491B"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C-50/09 </w:t>
      </w:r>
      <w:r w:rsidRPr="00A20F72">
        <w:rPr>
          <w:rFonts w:ascii="Verdana" w:hAnsi="Verdana"/>
          <w:i/>
          <w:iCs/>
          <w:sz w:val="18"/>
          <w:szCs w:val="18"/>
          <w:lang w:val="en-GB"/>
        </w:rPr>
        <w:t>European Commission v. Ireland</w:t>
      </w:r>
      <w:r w:rsidRPr="00A20F72">
        <w:rPr>
          <w:rFonts w:ascii="Verdana" w:hAnsi="Verdana"/>
          <w:sz w:val="18"/>
          <w:szCs w:val="18"/>
          <w:lang w:val="en-GB"/>
        </w:rPr>
        <w:t xml:space="preserve"> (Court of Justice of the European Union, 3</w:t>
      </w:r>
      <w:r w:rsidRPr="00A20F72">
        <w:rPr>
          <w:rFonts w:ascii="Verdana" w:hAnsi="Verdana"/>
          <w:sz w:val="18"/>
          <w:szCs w:val="18"/>
          <w:vertAlign w:val="superscript"/>
          <w:lang w:val="en-GB"/>
        </w:rPr>
        <w:t>rd</w:t>
      </w:r>
      <w:r w:rsidRPr="00A20F72">
        <w:rPr>
          <w:rFonts w:ascii="Verdana" w:hAnsi="Verdana"/>
          <w:sz w:val="18"/>
          <w:szCs w:val="18"/>
          <w:lang w:val="en-GB"/>
        </w:rPr>
        <w:t xml:space="preserve"> March, 2011, ECLI:EU:C:2011:109).</w:t>
      </w:r>
    </w:p>
    <w:p w14:paraId="430F6484" w14:textId="33AD50FD" w:rsidR="0011491B" w:rsidRPr="00A20F72" w:rsidRDefault="004F6CAE" w:rsidP="00A20F72">
      <w:pPr>
        <w:spacing w:line="360" w:lineRule="auto"/>
        <w:ind w:left="993"/>
        <w:rPr>
          <w:rFonts w:ascii="Verdana" w:hAnsi="Verdana"/>
          <w:sz w:val="18"/>
          <w:szCs w:val="18"/>
          <w:lang w:val="en-GB"/>
        </w:rPr>
      </w:pPr>
      <w:hyperlink r:id="rId28" w:history="1">
        <w:r w:rsidR="0011491B" w:rsidRPr="00A20F72">
          <w:rPr>
            <w:rStyle w:val="Hyperlink"/>
            <w:rFonts w:ascii="Verdana" w:hAnsi="Verdana"/>
            <w:sz w:val="18"/>
            <w:szCs w:val="18"/>
            <w:lang w:val="en-GB"/>
          </w:rPr>
          <w:t>https://eur-lex.europa.eu/legal-content/EN/TXT/?uri=CELEX%3A62009CJ0050</w:t>
        </w:r>
      </w:hyperlink>
    </w:p>
    <w:p w14:paraId="15E5464F" w14:textId="28652545" w:rsidR="00AB552E" w:rsidRPr="00A20F72" w:rsidRDefault="00AB552E"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Joined Cases C</w:t>
      </w:r>
      <w:r w:rsidRPr="00A20F72">
        <w:rPr>
          <w:rFonts w:ascii="Cambria Math" w:hAnsi="Cambria Math" w:cs="Cambria Math"/>
          <w:sz w:val="18"/>
          <w:szCs w:val="18"/>
          <w:lang w:val="en-GB"/>
        </w:rPr>
        <w:t>‑</w:t>
      </w:r>
      <w:r w:rsidRPr="00A20F72">
        <w:rPr>
          <w:rFonts w:ascii="Verdana" w:hAnsi="Verdana"/>
          <w:sz w:val="18"/>
          <w:szCs w:val="18"/>
          <w:lang w:val="en-GB"/>
        </w:rPr>
        <w:t>128/09 to C</w:t>
      </w:r>
      <w:r w:rsidRPr="00A20F72">
        <w:rPr>
          <w:rFonts w:ascii="Cambria Math" w:hAnsi="Cambria Math" w:cs="Cambria Math"/>
          <w:sz w:val="18"/>
          <w:szCs w:val="18"/>
          <w:lang w:val="en-GB"/>
        </w:rPr>
        <w:t>‑</w:t>
      </w:r>
      <w:r w:rsidRPr="00A20F72">
        <w:rPr>
          <w:rFonts w:ascii="Verdana" w:hAnsi="Verdana"/>
          <w:sz w:val="18"/>
          <w:szCs w:val="18"/>
          <w:lang w:val="en-GB"/>
        </w:rPr>
        <w:t>131/09, C</w:t>
      </w:r>
      <w:r w:rsidRPr="00A20F72">
        <w:rPr>
          <w:rFonts w:ascii="Cambria Math" w:hAnsi="Cambria Math" w:cs="Cambria Math"/>
          <w:sz w:val="18"/>
          <w:szCs w:val="18"/>
          <w:lang w:val="en-GB"/>
        </w:rPr>
        <w:t>‑</w:t>
      </w:r>
      <w:r w:rsidRPr="00A20F72">
        <w:rPr>
          <w:rFonts w:ascii="Verdana" w:hAnsi="Verdana"/>
          <w:sz w:val="18"/>
          <w:szCs w:val="18"/>
          <w:lang w:val="en-GB"/>
        </w:rPr>
        <w:t>134/09 and C</w:t>
      </w:r>
      <w:r w:rsidRPr="00A20F72">
        <w:rPr>
          <w:rFonts w:ascii="Cambria Math" w:hAnsi="Cambria Math" w:cs="Cambria Math"/>
          <w:sz w:val="18"/>
          <w:szCs w:val="18"/>
          <w:lang w:val="en-GB"/>
        </w:rPr>
        <w:t>‑</w:t>
      </w:r>
      <w:r w:rsidRPr="00A20F72">
        <w:rPr>
          <w:rFonts w:ascii="Verdana" w:hAnsi="Verdana"/>
          <w:sz w:val="18"/>
          <w:szCs w:val="18"/>
          <w:lang w:val="en-GB"/>
        </w:rPr>
        <w:t xml:space="preserve">135/09 </w:t>
      </w:r>
      <w:r w:rsidRPr="00A20F72">
        <w:rPr>
          <w:rFonts w:ascii="Verdana" w:hAnsi="Verdana"/>
          <w:i/>
          <w:iCs/>
          <w:sz w:val="18"/>
          <w:szCs w:val="18"/>
          <w:lang w:val="en-GB"/>
        </w:rPr>
        <w:t>Boxus and Roua</w:t>
      </w:r>
      <w:r w:rsidRPr="00A20F72">
        <w:rPr>
          <w:rFonts w:ascii="Verdana" w:hAnsi="Verdana"/>
          <w:sz w:val="18"/>
          <w:szCs w:val="18"/>
          <w:lang w:val="en-GB"/>
        </w:rPr>
        <w:t xml:space="preserve"> </w:t>
      </w:r>
      <w:r w:rsidRPr="00A20F72">
        <w:rPr>
          <w:rFonts w:ascii="Verdana" w:eastAsia="TimesNewRomanPSMT" w:hAnsi="Verdana"/>
          <w:sz w:val="18"/>
          <w:szCs w:val="18"/>
          <w:lang w:val="en-GB"/>
        </w:rPr>
        <w:t xml:space="preserve">(C-128/09), </w:t>
      </w:r>
      <w:r w:rsidRPr="00A20F72">
        <w:rPr>
          <w:rFonts w:ascii="Verdana" w:hAnsi="Verdana"/>
          <w:i/>
          <w:iCs/>
          <w:sz w:val="18"/>
          <w:szCs w:val="18"/>
          <w:lang w:val="en-GB"/>
        </w:rPr>
        <w:t>Durlet</w:t>
      </w:r>
      <w:r w:rsidRPr="00A20F72">
        <w:rPr>
          <w:rFonts w:ascii="Verdana" w:hAnsi="Verdana"/>
          <w:sz w:val="18"/>
          <w:szCs w:val="18"/>
          <w:lang w:val="en-GB"/>
        </w:rPr>
        <w:t xml:space="preserve"> </w:t>
      </w:r>
      <w:r w:rsidRPr="00A20F72">
        <w:rPr>
          <w:rFonts w:ascii="Verdana" w:eastAsia="TimesNewRomanPSMT" w:hAnsi="Verdana"/>
          <w:sz w:val="18"/>
          <w:szCs w:val="18"/>
          <w:lang w:val="en-GB"/>
        </w:rPr>
        <w:t xml:space="preserve">(C-129/09), </w:t>
      </w:r>
      <w:r w:rsidRPr="00A20F72">
        <w:rPr>
          <w:rFonts w:ascii="Verdana" w:hAnsi="Verdana"/>
          <w:i/>
          <w:iCs/>
          <w:sz w:val="18"/>
          <w:szCs w:val="18"/>
          <w:lang w:val="en-GB"/>
        </w:rPr>
        <w:t>Fastrez and Fastrez</w:t>
      </w:r>
      <w:r w:rsidRPr="00A20F72">
        <w:rPr>
          <w:rFonts w:ascii="Verdana" w:hAnsi="Verdana"/>
          <w:sz w:val="18"/>
          <w:szCs w:val="18"/>
          <w:lang w:val="en-GB"/>
        </w:rPr>
        <w:t xml:space="preserve"> </w:t>
      </w:r>
      <w:r w:rsidRPr="00A20F72">
        <w:rPr>
          <w:rFonts w:ascii="Verdana" w:eastAsia="TimesNewRomanPSMT" w:hAnsi="Verdana"/>
          <w:sz w:val="18"/>
          <w:szCs w:val="18"/>
          <w:lang w:val="en-GB"/>
        </w:rPr>
        <w:t xml:space="preserve">(C-130/09), </w:t>
      </w:r>
      <w:r w:rsidRPr="00A20F72">
        <w:rPr>
          <w:rFonts w:ascii="Verdana" w:hAnsi="Verdana"/>
          <w:i/>
          <w:iCs/>
          <w:sz w:val="18"/>
          <w:szCs w:val="18"/>
          <w:lang w:val="en-GB"/>
        </w:rPr>
        <w:t xml:space="preserve">Daras </w:t>
      </w:r>
      <w:r w:rsidRPr="00A20F72">
        <w:rPr>
          <w:rFonts w:ascii="Verdana" w:eastAsia="TimesNewRomanPSMT" w:hAnsi="Verdana"/>
          <w:sz w:val="18"/>
          <w:szCs w:val="18"/>
          <w:lang w:val="en-GB"/>
        </w:rPr>
        <w:t xml:space="preserve">(C- 131/09), </w:t>
      </w:r>
      <w:r w:rsidRPr="00A20F72">
        <w:rPr>
          <w:rFonts w:ascii="Verdana" w:hAnsi="Verdana"/>
          <w:i/>
          <w:iCs/>
          <w:sz w:val="18"/>
          <w:szCs w:val="18"/>
          <w:lang w:val="en-GB"/>
        </w:rPr>
        <w:t>Association des riverains et habitants des communes proches de l’aéroport BSCA (Brussels South Charleroi Airport) (ARACh)</w:t>
      </w:r>
      <w:r w:rsidRPr="00A20F72">
        <w:rPr>
          <w:rFonts w:ascii="Verdana" w:hAnsi="Verdana"/>
          <w:sz w:val="18"/>
          <w:szCs w:val="18"/>
          <w:lang w:val="en-GB"/>
        </w:rPr>
        <w:t xml:space="preserve"> </w:t>
      </w:r>
      <w:r w:rsidRPr="00A20F72">
        <w:rPr>
          <w:rFonts w:ascii="Verdana" w:eastAsia="TimesNewRomanPSMT" w:hAnsi="Verdana"/>
          <w:sz w:val="18"/>
          <w:szCs w:val="18"/>
          <w:lang w:val="en-GB"/>
        </w:rPr>
        <w:t xml:space="preserve">(C-134/09 and C-135/09), </w:t>
      </w:r>
      <w:r w:rsidRPr="00A20F72">
        <w:rPr>
          <w:rFonts w:ascii="Verdana" w:hAnsi="Verdana"/>
          <w:i/>
          <w:iCs/>
          <w:sz w:val="18"/>
          <w:szCs w:val="18"/>
          <w:lang w:val="en-GB"/>
        </w:rPr>
        <w:t>Page</w:t>
      </w:r>
      <w:r w:rsidRPr="00A20F72">
        <w:rPr>
          <w:rFonts w:ascii="Verdana" w:hAnsi="Verdana"/>
          <w:sz w:val="18"/>
          <w:szCs w:val="18"/>
          <w:lang w:val="en-GB"/>
        </w:rPr>
        <w:t xml:space="preserve"> </w:t>
      </w:r>
      <w:r w:rsidRPr="00A20F72">
        <w:rPr>
          <w:rFonts w:ascii="Verdana" w:eastAsia="TimesNewRomanPSMT" w:hAnsi="Verdana"/>
          <w:sz w:val="18"/>
          <w:szCs w:val="18"/>
          <w:lang w:val="en-GB"/>
        </w:rPr>
        <w:t xml:space="preserve">(C-134/09) and </w:t>
      </w:r>
      <w:r w:rsidRPr="00A20F72">
        <w:rPr>
          <w:rFonts w:ascii="Verdana" w:hAnsi="Verdana"/>
          <w:i/>
          <w:iCs/>
          <w:sz w:val="18"/>
          <w:szCs w:val="18"/>
          <w:lang w:val="en-GB"/>
        </w:rPr>
        <w:t>L’Hoir and Dartois</w:t>
      </w:r>
      <w:r w:rsidRPr="00A20F72">
        <w:rPr>
          <w:rFonts w:ascii="Verdana" w:hAnsi="Verdana"/>
          <w:sz w:val="18"/>
          <w:szCs w:val="18"/>
          <w:lang w:val="en-GB"/>
        </w:rPr>
        <w:t xml:space="preserve"> </w:t>
      </w:r>
      <w:r w:rsidRPr="00A20F72">
        <w:rPr>
          <w:rFonts w:ascii="Verdana" w:eastAsia="TimesNewRomanPSMT" w:hAnsi="Verdana"/>
          <w:sz w:val="18"/>
          <w:szCs w:val="18"/>
          <w:lang w:val="en-GB"/>
        </w:rPr>
        <w:t xml:space="preserve">(C-135/09) </w:t>
      </w:r>
      <w:r w:rsidRPr="00A20F72">
        <w:rPr>
          <w:rFonts w:ascii="Verdana" w:hAnsi="Verdana"/>
          <w:i/>
          <w:iCs/>
          <w:sz w:val="18"/>
          <w:szCs w:val="18"/>
          <w:lang w:val="en-GB"/>
        </w:rPr>
        <w:t>v. Région wallonne</w:t>
      </w:r>
      <w:r w:rsidRPr="00A20F72">
        <w:rPr>
          <w:rFonts w:ascii="Verdana" w:eastAsia="TimesNewRomanPSMT" w:hAnsi="Verdana"/>
          <w:sz w:val="18"/>
          <w:szCs w:val="18"/>
          <w:lang w:val="en-GB"/>
        </w:rPr>
        <w:t xml:space="preserve"> (Court of Justice of the European Union, 18</w:t>
      </w:r>
      <w:r w:rsidRPr="00A20F72">
        <w:rPr>
          <w:rFonts w:ascii="Verdana" w:eastAsia="TimesNewRomanPSMT" w:hAnsi="Verdana"/>
          <w:sz w:val="18"/>
          <w:szCs w:val="18"/>
          <w:vertAlign w:val="superscript"/>
          <w:lang w:val="en-GB"/>
        </w:rPr>
        <w:t>th</w:t>
      </w:r>
      <w:r w:rsidRPr="00A20F72">
        <w:rPr>
          <w:rFonts w:ascii="Verdana" w:eastAsia="TimesNewRomanPSMT" w:hAnsi="Verdana"/>
          <w:sz w:val="18"/>
          <w:szCs w:val="18"/>
          <w:lang w:val="en-GB"/>
        </w:rPr>
        <w:t xml:space="preserve"> October, 2011, ECLI:EU:C:2011:667)</w:t>
      </w:r>
      <w:r w:rsidR="00A829B3" w:rsidRPr="00A20F72">
        <w:rPr>
          <w:rFonts w:ascii="Verdana" w:eastAsia="TimesNewRomanPSMT" w:hAnsi="Verdana"/>
          <w:sz w:val="18"/>
          <w:szCs w:val="18"/>
          <w:lang w:val="en-GB"/>
        </w:rPr>
        <w:t>.</w:t>
      </w:r>
    </w:p>
    <w:p w14:paraId="17C71134" w14:textId="77777777" w:rsidR="00AB552E" w:rsidRPr="00A20F72" w:rsidRDefault="004F6CAE" w:rsidP="00A20F72">
      <w:pPr>
        <w:spacing w:line="360" w:lineRule="auto"/>
        <w:ind w:left="993"/>
        <w:rPr>
          <w:rFonts w:ascii="Verdana" w:hAnsi="Verdana"/>
          <w:sz w:val="18"/>
          <w:szCs w:val="18"/>
          <w:lang w:val="en-GB"/>
        </w:rPr>
      </w:pPr>
      <w:hyperlink r:id="rId29" w:history="1">
        <w:r w:rsidR="00AB552E" w:rsidRPr="00A20F72">
          <w:rPr>
            <w:rStyle w:val="Hyperlink"/>
            <w:rFonts w:ascii="Verdana" w:hAnsi="Verdana"/>
            <w:sz w:val="18"/>
            <w:szCs w:val="18"/>
            <w:lang w:val="en-GB"/>
          </w:rPr>
          <w:t>https://curia.europa.eu/juris/document/document.jsf;jsessionid=66B0F40BCD490129BF345CF142DA1216?text=&amp;docid=111403&amp;pageIndex=0&amp;doclang=en&amp;mode=lst&amp;dir=&amp;occ=first&amp;part=1&amp;cid=7091252</w:t>
        </w:r>
      </w:hyperlink>
    </w:p>
    <w:p w14:paraId="4AEBBCD3" w14:textId="4958EBDF" w:rsidR="00AB552E" w:rsidRPr="00A20F72" w:rsidRDefault="00AB552E"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C-275/09 </w:t>
      </w:r>
      <w:r w:rsidRPr="00A20F72">
        <w:rPr>
          <w:rFonts w:ascii="Verdana" w:hAnsi="Verdana"/>
          <w:i/>
          <w:iCs/>
          <w:sz w:val="18"/>
          <w:szCs w:val="18"/>
          <w:lang w:val="en-GB"/>
        </w:rPr>
        <w:t>Brussels Hoofdstedelijk Gewest v. Vlaamse Gewest</w:t>
      </w:r>
      <w:r w:rsidRPr="00A20F72">
        <w:rPr>
          <w:rFonts w:ascii="Verdana" w:hAnsi="Verdana"/>
          <w:sz w:val="18"/>
          <w:szCs w:val="18"/>
          <w:lang w:val="en-GB"/>
        </w:rPr>
        <w:t xml:space="preserve"> (Court of Justice of the European Union, 17</w:t>
      </w:r>
      <w:r w:rsidRPr="00A20F72">
        <w:rPr>
          <w:rFonts w:ascii="Verdana" w:hAnsi="Verdana"/>
          <w:sz w:val="18"/>
          <w:szCs w:val="18"/>
          <w:vertAlign w:val="superscript"/>
          <w:lang w:val="en-GB"/>
        </w:rPr>
        <w:t>th</w:t>
      </w:r>
      <w:r w:rsidRPr="00A20F72">
        <w:rPr>
          <w:rFonts w:ascii="Verdana" w:hAnsi="Verdana"/>
          <w:sz w:val="18"/>
          <w:szCs w:val="18"/>
          <w:lang w:val="en-GB"/>
        </w:rPr>
        <w:t xml:space="preserve"> March, 2011, ECLI:EU:C:2011:154)</w:t>
      </w:r>
      <w:r w:rsidR="00A829B3" w:rsidRPr="00A20F72">
        <w:rPr>
          <w:rFonts w:ascii="Verdana" w:hAnsi="Verdana"/>
          <w:sz w:val="18"/>
          <w:szCs w:val="18"/>
          <w:lang w:val="en-GB"/>
        </w:rPr>
        <w:t>.</w:t>
      </w:r>
    </w:p>
    <w:p w14:paraId="50B7C8B0" w14:textId="77777777" w:rsidR="00AB552E" w:rsidRPr="00A20F72" w:rsidRDefault="004F6CAE" w:rsidP="00A20F72">
      <w:pPr>
        <w:spacing w:line="360" w:lineRule="auto"/>
        <w:ind w:left="993"/>
        <w:rPr>
          <w:rFonts w:ascii="Verdana" w:hAnsi="Verdana"/>
          <w:sz w:val="18"/>
          <w:szCs w:val="18"/>
          <w:lang w:val="en-GB"/>
        </w:rPr>
      </w:pPr>
      <w:hyperlink r:id="rId30" w:history="1">
        <w:r w:rsidR="00AB552E" w:rsidRPr="00A20F72">
          <w:rPr>
            <w:rStyle w:val="Hyperlink"/>
            <w:rFonts w:ascii="Verdana" w:hAnsi="Verdana"/>
            <w:sz w:val="18"/>
            <w:szCs w:val="18"/>
            <w:lang w:val="en-GB"/>
          </w:rPr>
          <w:t>https://curia.europa.eu/juris/liste.jsf?language=en&amp;jur=C,T,F&amp;num=C-275/09&amp;td=ALL</w:t>
        </w:r>
      </w:hyperlink>
    </w:p>
    <w:p w14:paraId="359AE034" w14:textId="01D0FBCF" w:rsidR="00AB552E" w:rsidRPr="00A20F72" w:rsidRDefault="00AB552E"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C-435/09 </w:t>
      </w:r>
      <w:r w:rsidRPr="00A20F72">
        <w:rPr>
          <w:rFonts w:ascii="Verdana" w:hAnsi="Verdana"/>
          <w:i/>
          <w:iCs/>
          <w:sz w:val="18"/>
          <w:szCs w:val="18"/>
          <w:lang w:val="en-GB"/>
        </w:rPr>
        <w:t>European Commission v. Kingdom of Belgium</w:t>
      </w:r>
      <w:r w:rsidRPr="00A20F72">
        <w:rPr>
          <w:rFonts w:ascii="Verdana" w:hAnsi="Verdana"/>
          <w:sz w:val="18"/>
          <w:szCs w:val="18"/>
          <w:lang w:val="en-GB"/>
        </w:rPr>
        <w:t xml:space="preserve"> (Court of Justice of the European Union, 24</w:t>
      </w:r>
      <w:r w:rsidRPr="00A20F72">
        <w:rPr>
          <w:rFonts w:ascii="Verdana" w:hAnsi="Verdana"/>
          <w:sz w:val="18"/>
          <w:szCs w:val="18"/>
          <w:vertAlign w:val="superscript"/>
          <w:lang w:val="en-GB"/>
        </w:rPr>
        <w:t>th</w:t>
      </w:r>
      <w:r w:rsidRPr="00A20F72">
        <w:rPr>
          <w:rFonts w:ascii="Verdana" w:hAnsi="Verdana"/>
          <w:sz w:val="18"/>
          <w:szCs w:val="18"/>
          <w:lang w:val="en-GB"/>
        </w:rPr>
        <w:t xml:space="preserve"> March, 2011, ECLI:EU:C:2011:176)</w:t>
      </w:r>
      <w:r w:rsidR="00A829B3" w:rsidRPr="00A20F72">
        <w:rPr>
          <w:rFonts w:ascii="Verdana" w:hAnsi="Verdana"/>
          <w:sz w:val="18"/>
          <w:szCs w:val="18"/>
          <w:lang w:val="en-GB"/>
        </w:rPr>
        <w:t>.</w:t>
      </w:r>
    </w:p>
    <w:p w14:paraId="731F5B1D" w14:textId="001A215C" w:rsidR="00AB552E" w:rsidRPr="00A20F72" w:rsidRDefault="004F6CAE" w:rsidP="00A20F72">
      <w:pPr>
        <w:spacing w:line="360" w:lineRule="auto"/>
        <w:ind w:left="993"/>
        <w:rPr>
          <w:rFonts w:ascii="Verdana" w:hAnsi="Verdana"/>
          <w:sz w:val="18"/>
          <w:szCs w:val="18"/>
          <w:lang w:val="en-GB"/>
        </w:rPr>
      </w:pPr>
      <w:hyperlink r:id="rId31" w:history="1">
        <w:r w:rsidR="00AB552E" w:rsidRPr="00A20F72">
          <w:rPr>
            <w:rStyle w:val="Hyperlink"/>
            <w:rFonts w:ascii="Verdana" w:hAnsi="Verdana"/>
            <w:sz w:val="18"/>
            <w:szCs w:val="18"/>
            <w:lang w:val="en-GB"/>
          </w:rPr>
          <w:t>https://curia.europa.eu/juris/liste.jsf?language=en&amp;num=435/09</w:t>
        </w:r>
      </w:hyperlink>
    </w:p>
    <w:p w14:paraId="6D69D5D0" w14:textId="2FDA31C4" w:rsidR="00730101" w:rsidRPr="00A20F72" w:rsidRDefault="00730101" w:rsidP="00A20F72">
      <w:pPr>
        <w:pStyle w:val="ListParagraph"/>
        <w:numPr>
          <w:ilvl w:val="0"/>
          <w:numId w:val="7"/>
        </w:numPr>
        <w:spacing w:line="360" w:lineRule="auto"/>
        <w:ind w:left="993"/>
        <w:rPr>
          <w:rFonts w:ascii="Verdana" w:hAnsi="Verdana"/>
          <w:iCs/>
          <w:sz w:val="18"/>
          <w:szCs w:val="18"/>
        </w:rPr>
      </w:pPr>
      <w:r w:rsidRPr="00A20F72">
        <w:rPr>
          <w:rFonts w:ascii="Verdana" w:hAnsi="Verdana"/>
          <w:iCs/>
          <w:sz w:val="18"/>
          <w:szCs w:val="18"/>
        </w:rPr>
        <w:t xml:space="preserve">Case C-538/09 </w:t>
      </w:r>
      <w:r w:rsidRPr="00A20F72">
        <w:rPr>
          <w:rFonts w:ascii="Verdana" w:hAnsi="Verdana"/>
          <w:i/>
          <w:sz w:val="18"/>
          <w:szCs w:val="18"/>
        </w:rPr>
        <w:t>European Commission v. Kingdom of Belgium</w:t>
      </w:r>
      <w:r w:rsidRPr="00A20F72">
        <w:rPr>
          <w:rFonts w:ascii="Verdana" w:hAnsi="Verdana"/>
          <w:iCs/>
          <w:sz w:val="18"/>
          <w:szCs w:val="18"/>
        </w:rPr>
        <w:t xml:space="preserve"> (Court of Justice of the European Union, 26</w:t>
      </w:r>
      <w:r w:rsidRPr="00A20F72">
        <w:rPr>
          <w:rFonts w:ascii="Verdana" w:hAnsi="Verdana"/>
          <w:iCs/>
          <w:sz w:val="18"/>
          <w:szCs w:val="18"/>
          <w:vertAlign w:val="superscript"/>
        </w:rPr>
        <w:t>th</w:t>
      </w:r>
      <w:r w:rsidRPr="00A20F72">
        <w:rPr>
          <w:rFonts w:ascii="Verdana" w:hAnsi="Verdana"/>
          <w:iCs/>
          <w:sz w:val="18"/>
          <w:szCs w:val="18"/>
        </w:rPr>
        <w:t xml:space="preserve"> May, 2011, ECLI:EU:C:2011:349).</w:t>
      </w:r>
    </w:p>
    <w:p w14:paraId="60B3F3AF" w14:textId="3A146D7A" w:rsidR="00730101" w:rsidRPr="00A20F72" w:rsidRDefault="004F6CAE" w:rsidP="00A20F72">
      <w:pPr>
        <w:pStyle w:val="ListParagraph"/>
        <w:spacing w:line="360" w:lineRule="auto"/>
        <w:ind w:left="993"/>
        <w:rPr>
          <w:rFonts w:ascii="Verdana" w:hAnsi="Verdana"/>
          <w:iCs/>
          <w:sz w:val="18"/>
          <w:szCs w:val="18"/>
        </w:rPr>
      </w:pPr>
      <w:hyperlink r:id="rId32" w:history="1">
        <w:r w:rsidR="00730101" w:rsidRPr="00A20F72">
          <w:rPr>
            <w:rStyle w:val="Hyperlink"/>
            <w:rFonts w:ascii="Verdana" w:hAnsi="Verdana"/>
            <w:iCs/>
            <w:sz w:val="18"/>
            <w:szCs w:val="18"/>
          </w:rPr>
          <w:t>https://eur-lex.europa.eu/legal-content/EN/TXT/?uri=CELEX%3A62009CJ0538&amp;</w:t>
        </w:r>
      </w:hyperlink>
    </w:p>
    <w:p w14:paraId="256CC48B" w14:textId="7FF4CD03" w:rsidR="007C48B8" w:rsidRPr="00A20F72" w:rsidRDefault="007C48B8" w:rsidP="00A20F72">
      <w:pPr>
        <w:pStyle w:val="ListParagraph"/>
        <w:numPr>
          <w:ilvl w:val="0"/>
          <w:numId w:val="7"/>
        </w:numPr>
        <w:spacing w:line="360" w:lineRule="auto"/>
        <w:ind w:left="993"/>
        <w:rPr>
          <w:rFonts w:ascii="Verdana" w:hAnsi="Verdana"/>
          <w:iCs/>
          <w:sz w:val="18"/>
          <w:szCs w:val="18"/>
        </w:rPr>
      </w:pPr>
      <w:r w:rsidRPr="00A20F72">
        <w:rPr>
          <w:rFonts w:ascii="Verdana" w:hAnsi="Verdana"/>
          <w:iCs/>
          <w:sz w:val="18"/>
          <w:szCs w:val="18"/>
        </w:rPr>
        <w:t xml:space="preserve">Case C-416/10 </w:t>
      </w:r>
      <w:r w:rsidRPr="00A20F72">
        <w:rPr>
          <w:rFonts w:ascii="Verdana" w:hAnsi="Verdana"/>
          <w:i/>
          <w:sz w:val="18"/>
          <w:szCs w:val="18"/>
        </w:rPr>
        <w:t xml:space="preserve">Križan v. Slovenská inšpekcia životného prostredia </w:t>
      </w:r>
      <w:r w:rsidRPr="00A20F72">
        <w:rPr>
          <w:rFonts w:ascii="Verdana" w:hAnsi="Verdana"/>
          <w:iCs/>
          <w:sz w:val="18"/>
          <w:szCs w:val="18"/>
        </w:rPr>
        <w:t>(Court of Justice of the European Union, 15</w:t>
      </w:r>
      <w:r w:rsidRPr="00A20F72">
        <w:rPr>
          <w:rFonts w:ascii="Verdana" w:hAnsi="Verdana"/>
          <w:iCs/>
          <w:sz w:val="18"/>
          <w:szCs w:val="18"/>
          <w:vertAlign w:val="superscript"/>
        </w:rPr>
        <w:t>th</w:t>
      </w:r>
      <w:r w:rsidRPr="00A20F72">
        <w:rPr>
          <w:rFonts w:ascii="Verdana" w:hAnsi="Verdana"/>
          <w:iCs/>
          <w:sz w:val="18"/>
          <w:szCs w:val="18"/>
        </w:rPr>
        <w:t xml:space="preserve"> January, 2013, ECLI:EU:C:2013:8)</w:t>
      </w:r>
      <w:r w:rsidR="00046E6B" w:rsidRPr="00A20F72">
        <w:rPr>
          <w:rFonts w:ascii="Verdana" w:hAnsi="Verdana"/>
          <w:iCs/>
          <w:sz w:val="18"/>
          <w:szCs w:val="18"/>
        </w:rPr>
        <w:t>.</w:t>
      </w:r>
    </w:p>
    <w:p w14:paraId="7F09E804" w14:textId="2252D6F9" w:rsidR="00046E6B" w:rsidRPr="00A20F72" w:rsidRDefault="004F6CAE" w:rsidP="00A20F72">
      <w:pPr>
        <w:pStyle w:val="ListParagraph"/>
        <w:spacing w:line="360" w:lineRule="auto"/>
        <w:ind w:left="993"/>
        <w:rPr>
          <w:rFonts w:ascii="Verdana" w:hAnsi="Verdana"/>
          <w:iCs/>
          <w:sz w:val="18"/>
          <w:szCs w:val="18"/>
        </w:rPr>
      </w:pPr>
      <w:hyperlink r:id="rId33" w:history="1">
        <w:r w:rsidR="00B735BC" w:rsidRPr="00A20F72">
          <w:rPr>
            <w:rStyle w:val="Hyperlink"/>
            <w:rFonts w:ascii="Verdana" w:hAnsi="Verdana"/>
            <w:iCs/>
            <w:sz w:val="18"/>
            <w:szCs w:val="18"/>
          </w:rPr>
          <w:t>https://eur-lex.europa.eu/legal-content/EN/TXT/HTML/?uri=CELEX:62010CJ0416&amp;from=en</w:t>
        </w:r>
      </w:hyperlink>
    </w:p>
    <w:p w14:paraId="58BCCE8E" w14:textId="4426066A" w:rsidR="007C48B8" w:rsidRPr="00A20F72" w:rsidRDefault="007C48B8" w:rsidP="00A20F72">
      <w:pPr>
        <w:pStyle w:val="ListParagraph"/>
        <w:numPr>
          <w:ilvl w:val="0"/>
          <w:numId w:val="7"/>
        </w:numPr>
        <w:spacing w:line="360" w:lineRule="auto"/>
        <w:ind w:left="993"/>
        <w:rPr>
          <w:rFonts w:ascii="Verdana" w:hAnsi="Verdana"/>
          <w:iCs/>
          <w:sz w:val="18"/>
          <w:szCs w:val="18"/>
        </w:rPr>
      </w:pPr>
      <w:r w:rsidRPr="00A20F72">
        <w:rPr>
          <w:rFonts w:ascii="Verdana" w:hAnsi="Verdana"/>
          <w:iCs/>
          <w:sz w:val="18"/>
          <w:szCs w:val="18"/>
        </w:rPr>
        <w:t xml:space="preserve">Case C-258/11 </w:t>
      </w:r>
      <w:r w:rsidRPr="00A20F72">
        <w:rPr>
          <w:rFonts w:ascii="Verdana" w:hAnsi="Verdana"/>
          <w:i/>
          <w:sz w:val="18"/>
          <w:szCs w:val="18"/>
        </w:rPr>
        <w:t>Sweetman v. An Bord Pleanála</w:t>
      </w:r>
      <w:r w:rsidRPr="00A20F72">
        <w:rPr>
          <w:rFonts w:ascii="Verdana" w:hAnsi="Verdana"/>
          <w:iCs/>
          <w:sz w:val="18"/>
          <w:szCs w:val="18"/>
        </w:rPr>
        <w:t xml:space="preserve"> (Court of Justice of the European Union, 11</w:t>
      </w:r>
      <w:r w:rsidRPr="00A20F72">
        <w:rPr>
          <w:rFonts w:ascii="Verdana" w:hAnsi="Verdana"/>
          <w:iCs/>
          <w:sz w:val="18"/>
          <w:szCs w:val="18"/>
          <w:vertAlign w:val="superscript"/>
        </w:rPr>
        <w:t>th</w:t>
      </w:r>
      <w:r w:rsidRPr="00A20F72">
        <w:rPr>
          <w:rFonts w:ascii="Verdana" w:hAnsi="Verdana"/>
          <w:iCs/>
          <w:sz w:val="18"/>
          <w:szCs w:val="18"/>
        </w:rPr>
        <w:t xml:space="preserve"> April, 2013, ECLI:EU:C:2013:220)</w:t>
      </w:r>
      <w:r w:rsidR="00A829B3" w:rsidRPr="00A20F72">
        <w:rPr>
          <w:rFonts w:ascii="Verdana" w:hAnsi="Verdana"/>
          <w:iCs/>
          <w:sz w:val="18"/>
          <w:szCs w:val="18"/>
        </w:rPr>
        <w:t>.</w:t>
      </w:r>
    </w:p>
    <w:p w14:paraId="3548D662" w14:textId="3CC9BC8A" w:rsidR="00A45456" w:rsidRPr="00A20F72" w:rsidRDefault="004F6CAE" w:rsidP="00A20F72">
      <w:pPr>
        <w:pStyle w:val="ListParagraph"/>
        <w:spacing w:line="360" w:lineRule="auto"/>
        <w:ind w:left="993"/>
        <w:rPr>
          <w:rFonts w:ascii="Verdana" w:hAnsi="Verdana"/>
          <w:iCs/>
          <w:sz w:val="18"/>
          <w:szCs w:val="18"/>
        </w:rPr>
      </w:pPr>
      <w:hyperlink r:id="rId34" w:history="1">
        <w:r w:rsidR="00FE3A2C" w:rsidRPr="00A20F72">
          <w:rPr>
            <w:rStyle w:val="Hyperlink"/>
            <w:rFonts w:ascii="Verdana" w:hAnsi="Verdana"/>
            <w:iCs/>
            <w:sz w:val="18"/>
            <w:szCs w:val="18"/>
          </w:rPr>
          <w:t>https://eur-lex.europa.eu/legal-content/EN/TXT/HTML/?uri=CELEX:62011CJ0258&amp;qid=1626359629421&amp;from=EN</w:t>
        </w:r>
      </w:hyperlink>
    </w:p>
    <w:p w14:paraId="3CF1C6E7" w14:textId="60CD6EF1" w:rsidR="008218D7" w:rsidRPr="00A20F72" w:rsidRDefault="008218D7"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C-244/12 </w:t>
      </w:r>
      <w:r w:rsidRPr="00A20F72">
        <w:rPr>
          <w:rFonts w:ascii="Verdana" w:hAnsi="Verdana"/>
          <w:i/>
          <w:iCs/>
          <w:sz w:val="18"/>
          <w:szCs w:val="18"/>
          <w:lang w:val="en-GB"/>
        </w:rPr>
        <w:t>Salzburger Flughafen GmbH v. Umweltsenat</w:t>
      </w:r>
      <w:r w:rsidRPr="00A20F72">
        <w:rPr>
          <w:rFonts w:ascii="Verdana" w:hAnsi="Verdana"/>
          <w:sz w:val="18"/>
          <w:szCs w:val="18"/>
          <w:lang w:val="en-GB"/>
        </w:rPr>
        <w:t xml:space="preserve"> (Court of Justice of the European Union, 21</w:t>
      </w:r>
      <w:r w:rsidRPr="00A20F72">
        <w:rPr>
          <w:rFonts w:ascii="Verdana" w:hAnsi="Verdana"/>
          <w:sz w:val="18"/>
          <w:szCs w:val="18"/>
          <w:vertAlign w:val="superscript"/>
          <w:lang w:val="en-GB"/>
        </w:rPr>
        <w:t>st</w:t>
      </w:r>
      <w:r w:rsidRPr="00A20F72">
        <w:rPr>
          <w:rFonts w:ascii="Verdana" w:hAnsi="Verdana"/>
          <w:sz w:val="18"/>
          <w:szCs w:val="18"/>
          <w:lang w:val="en-GB"/>
        </w:rPr>
        <w:t xml:space="preserve"> March, 2013, ECLI:EU:C:2013:203)</w:t>
      </w:r>
      <w:r w:rsidR="00A829B3" w:rsidRPr="00A20F72">
        <w:rPr>
          <w:rFonts w:ascii="Verdana" w:hAnsi="Verdana"/>
          <w:sz w:val="18"/>
          <w:szCs w:val="18"/>
          <w:lang w:val="en-GB"/>
        </w:rPr>
        <w:t>.</w:t>
      </w:r>
    </w:p>
    <w:p w14:paraId="22686635" w14:textId="77777777" w:rsidR="008218D7" w:rsidRPr="00A20F72" w:rsidRDefault="004F6CAE" w:rsidP="00A20F72">
      <w:pPr>
        <w:spacing w:line="360" w:lineRule="auto"/>
        <w:ind w:left="993"/>
        <w:rPr>
          <w:rFonts w:ascii="Verdana" w:hAnsi="Verdana"/>
          <w:sz w:val="18"/>
          <w:szCs w:val="18"/>
          <w:lang w:val="en-GB"/>
        </w:rPr>
      </w:pPr>
      <w:hyperlink r:id="rId35" w:history="1">
        <w:r w:rsidR="008218D7" w:rsidRPr="00A20F72">
          <w:rPr>
            <w:rStyle w:val="Hyperlink"/>
            <w:rFonts w:ascii="Verdana" w:hAnsi="Verdana"/>
            <w:sz w:val="18"/>
            <w:szCs w:val="18"/>
            <w:lang w:val="en-GB"/>
          </w:rPr>
          <w:t>https://curia.europa.eu/juris/liste.jsf?num=C-244/12&amp;language=EN</w:t>
        </w:r>
      </w:hyperlink>
    </w:p>
    <w:p w14:paraId="1A25D460" w14:textId="5574116D" w:rsidR="008218D7" w:rsidRPr="00A20F72" w:rsidRDefault="008218D7"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C-531/13 </w:t>
      </w:r>
      <w:r w:rsidRPr="00A20F72">
        <w:rPr>
          <w:rFonts w:ascii="Verdana" w:hAnsi="Verdana"/>
          <w:i/>
          <w:iCs/>
          <w:sz w:val="18"/>
          <w:szCs w:val="18"/>
          <w:lang w:val="en-GB"/>
        </w:rPr>
        <w:t>Marktgemeinde Straßwalchen v. Bundesminister für Wirtschaft, Familie und Jugend</w:t>
      </w:r>
      <w:r w:rsidRPr="00A20F72">
        <w:rPr>
          <w:rFonts w:ascii="Verdana" w:hAnsi="Verdana"/>
          <w:sz w:val="18"/>
          <w:szCs w:val="18"/>
          <w:lang w:val="en-GB"/>
        </w:rPr>
        <w:t xml:space="preserve"> (Court of Justice of the European Union, 11</w:t>
      </w:r>
      <w:r w:rsidRPr="00A20F72">
        <w:rPr>
          <w:rFonts w:ascii="Verdana" w:hAnsi="Verdana"/>
          <w:sz w:val="18"/>
          <w:szCs w:val="18"/>
          <w:vertAlign w:val="superscript"/>
          <w:lang w:val="en-GB"/>
        </w:rPr>
        <w:t>th</w:t>
      </w:r>
      <w:r w:rsidRPr="00A20F72">
        <w:rPr>
          <w:rFonts w:ascii="Verdana" w:hAnsi="Verdana"/>
          <w:sz w:val="18"/>
          <w:szCs w:val="18"/>
          <w:lang w:val="en-GB"/>
        </w:rPr>
        <w:t xml:space="preserve"> February, 2015, ECLI:EU:C:2015:79)</w:t>
      </w:r>
      <w:r w:rsidR="00A829B3" w:rsidRPr="00A20F72">
        <w:rPr>
          <w:rFonts w:ascii="Verdana" w:hAnsi="Verdana"/>
          <w:sz w:val="18"/>
          <w:szCs w:val="18"/>
          <w:lang w:val="en-GB"/>
        </w:rPr>
        <w:t>.</w:t>
      </w:r>
    </w:p>
    <w:p w14:paraId="3851278A" w14:textId="77777777" w:rsidR="008218D7" w:rsidRPr="00A20F72" w:rsidRDefault="004F6CAE" w:rsidP="00A20F72">
      <w:pPr>
        <w:spacing w:line="360" w:lineRule="auto"/>
        <w:ind w:left="993"/>
        <w:rPr>
          <w:rFonts w:ascii="Verdana" w:hAnsi="Verdana"/>
          <w:sz w:val="18"/>
          <w:szCs w:val="18"/>
          <w:lang w:val="en-GB"/>
        </w:rPr>
      </w:pPr>
      <w:hyperlink r:id="rId36" w:history="1">
        <w:r w:rsidR="008218D7" w:rsidRPr="00A20F72">
          <w:rPr>
            <w:rStyle w:val="Hyperlink"/>
            <w:rFonts w:ascii="Verdana" w:hAnsi="Verdana"/>
            <w:sz w:val="18"/>
            <w:szCs w:val="18"/>
            <w:lang w:val="en-GB"/>
          </w:rPr>
          <w:t>https://curia.europa.eu/juris/liste.jsf?language=en&amp;num=C-531/13</w:t>
        </w:r>
      </w:hyperlink>
    </w:p>
    <w:p w14:paraId="1C66A99C" w14:textId="62EDBCE2" w:rsidR="008218D7" w:rsidRPr="00A20F72" w:rsidRDefault="008218D7"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C-141/14 </w:t>
      </w:r>
      <w:r w:rsidRPr="00A20F72">
        <w:rPr>
          <w:rFonts w:ascii="Verdana" w:hAnsi="Verdana"/>
          <w:i/>
          <w:iCs/>
          <w:sz w:val="18"/>
          <w:szCs w:val="18"/>
          <w:lang w:val="en-GB"/>
        </w:rPr>
        <w:t>European Commission v. Republic of Bulgaria</w:t>
      </w:r>
      <w:r w:rsidRPr="00A20F72">
        <w:rPr>
          <w:rFonts w:ascii="Verdana" w:hAnsi="Verdana"/>
          <w:sz w:val="18"/>
          <w:szCs w:val="18"/>
          <w:lang w:val="en-GB"/>
        </w:rPr>
        <w:t xml:space="preserve"> (Court of Justice of the European Union, 14</w:t>
      </w:r>
      <w:r w:rsidRPr="00A20F72">
        <w:rPr>
          <w:rFonts w:ascii="Verdana" w:hAnsi="Verdana"/>
          <w:sz w:val="18"/>
          <w:szCs w:val="18"/>
          <w:vertAlign w:val="superscript"/>
          <w:lang w:val="en-GB"/>
        </w:rPr>
        <w:t>th</w:t>
      </w:r>
      <w:r w:rsidRPr="00A20F72">
        <w:rPr>
          <w:rFonts w:ascii="Verdana" w:hAnsi="Verdana"/>
          <w:sz w:val="18"/>
          <w:szCs w:val="18"/>
          <w:lang w:val="en-GB"/>
        </w:rPr>
        <w:t xml:space="preserve"> January, 2016, ECLI:EU:C:2016:8)</w:t>
      </w:r>
      <w:r w:rsidR="00A829B3" w:rsidRPr="00A20F72">
        <w:rPr>
          <w:rFonts w:ascii="Verdana" w:hAnsi="Verdana"/>
          <w:sz w:val="18"/>
          <w:szCs w:val="18"/>
          <w:lang w:val="en-GB"/>
        </w:rPr>
        <w:t>.</w:t>
      </w:r>
    </w:p>
    <w:p w14:paraId="29857C4C" w14:textId="77777777" w:rsidR="008218D7" w:rsidRPr="00A20F72" w:rsidRDefault="004F6CAE" w:rsidP="00A20F72">
      <w:pPr>
        <w:spacing w:line="360" w:lineRule="auto"/>
        <w:ind w:left="993"/>
        <w:rPr>
          <w:rFonts w:ascii="Verdana" w:hAnsi="Verdana"/>
          <w:sz w:val="18"/>
          <w:szCs w:val="18"/>
          <w:lang w:val="en-GB"/>
        </w:rPr>
      </w:pPr>
      <w:hyperlink r:id="rId37" w:history="1">
        <w:r w:rsidR="008218D7" w:rsidRPr="00A20F72">
          <w:rPr>
            <w:rStyle w:val="Hyperlink"/>
            <w:rFonts w:ascii="Verdana" w:hAnsi="Verdana"/>
            <w:sz w:val="18"/>
            <w:szCs w:val="18"/>
            <w:lang w:val="en-GB"/>
          </w:rPr>
          <w:t>https://curia.europa.eu/juris/liste.jsf?language=en&amp;num=C-141/14</w:t>
        </w:r>
      </w:hyperlink>
    </w:p>
    <w:p w14:paraId="38942F8D" w14:textId="01AE7196" w:rsidR="00730101" w:rsidRPr="00A20F72" w:rsidRDefault="00730101"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C-243/15 </w:t>
      </w:r>
      <w:r w:rsidRPr="00A20F72">
        <w:rPr>
          <w:rFonts w:ascii="Verdana" w:hAnsi="Verdana"/>
          <w:i/>
          <w:iCs/>
          <w:sz w:val="18"/>
          <w:szCs w:val="18"/>
          <w:lang w:val="en-GB"/>
        </w:rPr>
        <w:t>Lesoochranárske zoskupenie VLK v. Obvodný úrad Trenčín</w:t>
      </w:r>
      <w:r w:rsidRPr="00A20F72">
        <w:rPr>
          <w:rFonts w:ascii="Verdana" w:hAnsi="Verdana"/>
          <w:sz w:val="18"/>
          <w:szCs w:val="18"/>
          <w:lang w:val="en-GB"/>
        </w:rPr>
        <w:t xml:space="preserve"> (Court of Justice of the European Union, 8</w:t>
      </w:r>
      <w:r w:rsidRPr="00A20F72">
        <w:rPr>
          <w:rFonts w:ascii="Verdana" w:hAnsi="Verdana"/>
          <w:sz w:val="18"/>
          <w:szCs w:val="18"/>
          <w:vertAlign w:val="superscript"/>
          <w:lang w:val="en-GB"/>
        </w:rPr>
        <w:t>th</w:t>
      </w:r>
      <w:r w:rsidRPr="00A20F72">
        <w:rPr>
          <w:rFonts w:ascii="Verdana" w:hAnsi="Verdana"/>
          <w:sz w:val="18"/>
          <w:szCs w:val="18"/>
          <w:lang w:val="en-GB"/>
        </w:rPr>
        <w:t xml:space="preserve"> November, 2016, ECLI:EU:C:2016:838).</w:t>
      </w:r>
    </w:p>
    <w:p w14:paraId="1C482863" w14:textId="784544A3" w:rsidR="00730101" w:rsidRPr="00A20F72" w:rsidRDefault="004F6CAE" w:rsidP="00A20F72">
      <w:pPr>
        <w:spacing w:line="360" w:lineRule="auto"/>
        <w:ind w:left="993"/>
        <w:rPr>
          <w:rFonts w:ascii="Verdana" w:hAnsi="Verdana"/>
          <w:sz w:val="18"/>
          <w:szCs w:val="18"/>
          <w:lang w:val="en-GB"/>
        </w:rPr>
      </w:pPr>
      <w:hyperlink r:id="rId38" w:history="1">
        <w:r w:rsidR="00730101" w:rsidRPr="00A20F72">
          <w:rPr>
            <w:rStyle w:val="Hyperlink"/>
            <w:rFonts w:ascii="Verdana" w:hAnsi="Verdana"/>
            <w:sz w:val="18"/>
            <w:szCs w:val="18"/>
            <w:lang w:val="en-GB"/>
          </w:rPr>
          <w:t>https://curia.europa.eu/juris/liste.jsf?language=en&amp;num=C-243/15</w:t>
        </w:r>
      </w:hyperlink>
    </w:p>
    <w:p w14:paraId="00FE330D" w14:textId="26E19EC2" w:rsidR="008218D7" w:rsidRPr="00A20F72" w:rsidRDefault="008218D7"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C-117/17 </w:t>
      </w:r>
      <w:r w:rsidRPr="00A20F72">
        <w:rPr>
          <w:rFonts w:ascii="Verdana" w:hAnsi="Verdana"/>
          <w:i/>
          <w:iCs/>
          <w:sz w:val="18"/>
          <w:szCs w:val="18"/>
          <w:lang w:val="en-GB"/>
        </w:rPr>
        <w:t>Comune di Castelbellino v. Regione Marche</w:t>
      </w:r>
      <w:r w:rsidRPr="00A20F72">
        <w:rPr>
          <w:rFonts w:ascii="Verdana" w:hAnsi="Verdana"/>
          <w:sz w:val="18"/>
          <w:szCs w:val="18"/>
          <w:lang w:val="en-GB"/>
        </w:rPr>
        <w:t xml:space="preserve"> (Court of Justice of the European Union, 28</w:t>
      </w:r>
      <w:r w:rsidRPr="00A20F72">
        <w:rPr>
          <w:rFonts w:ascii="Verdana" w:hAnsi="Verdana"/>
          <w:sz w:val="18"/>
          <w:szCs w:val="18"/>
          <w:vertAlign w:val="superscript"/>
          <w:lang w:val="en-GB"/>
        </w:rPr>
        <w:t>th</w:t>
      </w:r>
      <w:r w:rsidRPr="00A20F72">
        <w:rPr>
          <w:rFonts w:ascii="Verdana" w:hAnsi="Verdana"/>
          <w:sz w:val="18"/>
          <w:szCs w:val="18"/>
          <w:lang w:val="en-GB"/>
        </w:rPr>
        <w:t xml:space="preserve"> February, 2018, ECLI:EU:C:2018:129)</w:t>
      </w:r>
      <w:r w:rsidR="00A829B3" w:rsidRPr="00A20F72">
        <w:rPr>
          <w:rFonts w:ascii="Verdana" w:hAnsi="Verdana"/>
          <w:sz w:val="18"/>
          <w:szCs w:val="18"/>
          <w:lang w:val="en-GB"/>
        </w:rPr>
        <w:t>.</w:t>
      </w:r>
    </w:p>
    <w:p w14:paraId="5221E0EC" w14:textId="1D91874D" w:rsidR="008218D7" w:rsidRPr="00A20F72" w:rsidRDefault="004F6CAE" w:rsidP="00A20F72">
      <w:pPr>
        <w:spacing w:line="360" w:lineRule="auto"/>
        <w:ind w:left="993"/>
        <w:rPr>
          <w:rFonts w:ascii="Verdana" w:hAnsi="Verdana"/>
          <w:sz w:val="18"/>
          <w:szCs w:val="18"/>
          <w:lang w:val="en-GB"/>
        </w:rPr>
      </w:pPr>
      <w:hyperlink r:id="rId39" w:history="1">
        <w:r w:rsidR="008218D7" w:rsidRPr="00A20F72">
          <w:rPr>
            <w:rStyle w:val="Hyperlink"/>
            <w:rFonts w:ascii="Verdana" w:hAnsi="Verdana"/>
            <w:sz w:val="18"/>
            <w:szCs w:val="18"/>
            <w:lang w:val="en-GB"/>
          </w:rPr>
          <w:t>https://curia.europa.eu/juris/liste.jsf?language=en&amp;td=ALL&amp;num=C-117/17</w:t>
        </w:r>
      </w:hyperlink>
    </w:p>
    <w:p w14:paraId="5E4CF10E" w14:textId="024101E1" w:rsidR="007C48B8" w:rsidRPr="00A20F72" w:rsidRDefault="007C48B8" w:rsidP="00A20F72">
      <w:pPr>
        <w:pStyle w:val="ListParagraph"/>
        <w:numPr>
          <w:ilvl w:val="0"/>
          <w:numId w:val="7"/>
        </w:numPr>
        <w:spacing w:line="360" w:lineRule="auto"/>
        <w:ind w:left="993"/>
        <w:rPr>
          <w:rFonts w:ascii="Verdana" w:hAnsi="Verdana"/>
          <w:iCs/>
          <w:sz w:val="18"/>
          <w:szCs w:val="18"/>
        </w:rPr>
      </w:pPr>
      <w:r w:rsidRPr="00A20F72">
        <w:rPr>
          <w:rFonts w:ascii="Verdana" w:hAnsi="Verdana"/>
          <w:iCs/>
          <w:sz w:val="18"/>
          <w:szCs w:val="18"/>
        </w:rPr>
        <w:t xml:space="preserve">Case C-323/17 </w:t>
      </w:r>
      <w:r w:rsidRPr="00A20F72">
        <w:rPr>
          <w:rFonts w:ascii="Verdana" w:hAnsi="Verdana"/>
          <w:i/>
          <w:sz w:val="18"/>
          <w:szCs w:val="18"/>
        </w:rPr>
        <w:t>People Over Wind v. Coillte Teoranta</w:t>
      </w:r>
      <w:r w:rsidRPr="00A20F72">
        <w:rPr>
          <w:rFonts w:ascii="Verdana" w:hAnsi="Verdana"/>
          <w:iCs/>
          <w:sz w:val="18"/>
          <w:szCs w:val="18"/>
        </w:rPr>
        <w:t xml:space="preserve"> (Court of Justice of the European Union, 12th April, 2018, ECLI:EU:C:2018:244)</w:t>
      </w:r>
      <w:r w:rsidR="00A829B3" w:rsidRPr="00A20F72">
        <w:rPr>
          <w:rFonts w:ascii="Verdana" w:hAnsi="Verdana"/>
          <w:iCs/>
          <w:sz w:val="18"/>
          <w:szCs w:val="18"/>
        </w:rPr>
        <w:t>.</w:t>
      </w:r>
    </w:p>
    <w:p w14:paraId="5726BD04" w14:textId="760BC677" w:rsidR="005E1623" w:rsidRPr="00A20F72" w:rsidRDefault="004F6CAE" w:rsidP="00A20F72">
      <w:pPr>
        <w:pStyle w:val="ListParagraph"/>
        <w:spacing w:line="360" w:lineRule="auto"/>
        <w:ind w:left="993"/>
        <w:rPr>
          <w:rFonts w:ascii="Verdana" w:hAnsi="Verdana"/>
          <w:iCs/>
          <w:sz w:val="18"/>
          <w:szCs w:val="18"/>
        </w:rPr>
      </w:pPr>
      <w:hyperlink r:id="rId40" w:history="1">
        <w:r w:rsidR="00FE3A2C" w:rsidRPr="00A20F72">
          <w:rPr>
            <w:rStyle w:val="Hyperlink"/>
            <w:rFonts w:ascii="Verdana" w:hAnsi="Verdana"/>
            <w:iCs/>
            <w:sz w:val="18"/>
            <w:szCs w:val="18"/>
          </w:rPr>
          <w:t>https://eur-lex.europa.eu/legal-content/EN/TXT/HTML/?uri=CELEX:62017CJ0323&amp;qid=1626359708558&amp;from=EN</w:t>
        </w:r>
      </w:hyperlink>
    </w:p>
    <w:p w14:paraId="21E99BC1" w14:textId="187C62B1" w:rsidR="00B71205" w:rsidRPr="00A20F72" w:rsidRDefault="00B71205" w:rsidP="00A20F72">
      <w:pPr>
        <w:pStyle w:val="ListParagraph"/>
        <w:numPr>
          <w:ilvl w:val="0"/>
          <w:numId w:val="7"/>
        </w:numPr>
        <w:spacing w:line="360" w:lineRule="auto"/>
        <w:ind w:left="993"/>
        <w:rPr>
          <w:rFonts w:ascii="Verdana" w:hAnsi="Verdana"/>
          <w:iCs/>
          <w:sz w:val="18"/>
          <w:szCs w:val="18"/>
        </w:rPr>
      </w:pPr>
      <w:r w:rsidRPr="00A20F72">
        <w:rPr>
          <w:rFonts w:ascii="Verdana" w:hAnsi="Verdana"/>
          <w:iCs/>
          <w:sz w:val="18"/>
          <w:szCs w:val="18"/>
        </w:rPr>
        <w:t xml:space="preserve">Case C-378/17 </w:t>
      </w:r>
      <w:r w:rsidRPr="00A20F72">
        <w:rPr>
          <w:rFonts w:ascii="Verdana" w:hAnsi="Verdana"/>
          <w:i/>
          <w:sz w:val="18"/>
          <w:szCs w:val="18"/>
        </w:rPr>
        <w:t>Minister for Justice and Equality v. Workplace Relations Commission</w:t>
      </w:r>
      <w:r w:rsidRPr="00A20F72">
        <w:rPr>
          <w:rFonts w:ascii="Verdana" w:hAnsi="Verdana"/>
          <w:iCs/>
          <w:sz w:val="18"/>
          <w:szCs w:val="18"/>
        </w:rPr>
        <w:t xml:space="preserve"> (Court of Justice of the European Union, 4</w:t>
      </w:r>
      <w:r w:rsidRPr="00A20F72">
        <w:rPr>
          <w:rFonts w:ascii="Verdana" w:hAnsi="Verdana"/>
          <w:iCs/>
          <w:sz w:val="18"/>
          <w:szCs w:val="18"/>
          <w:vertAlign w:val="superscript"/>
        </w:rPr>
        <w:t>th</w:t>
      </w:r>
      <w:r w:rsidRPr="00A20F72">
        <w:rPr>
          <w:rFonts w:ascii="Verdana" w:hAnsi="Verdana"/>
          <w:iCs/>
          <w:sz w:val="18"/>
          <w:szCs w:val="18"/>
        </w:rPr>
        <w:t xml:space="preserve"> December, 2018, ECLI:EU:C:2018:979).</w:t>
      </w:r>
    </w:p>
    <w:p w14:paraId="76E2D14D" w14:textId="0F2B0E6D" w:rsidR="00B71205" w:rsidRPr="00A20F72" w:rsidRDefault="004F6CAE" w:rsidP="00A20F72">
      <w:pPr>
        <w:pStyle w:val="ListParagraph"/>
        <w:spacing w:line="360" w:lineRule="auto"/>
        <w:ind w:left="993"/>
        <w:rPr>
          <w:rFonts w:ascii="Verdana" w:hAnsi="Verdana"/>
          <w:iCs/>
          <w:sz w:val="18"/>
          <w:szCs w:val="18"/>
        </w:rPr>
      </w:pPr>
      <w:hyperlink r:id="rId41" w:history="1">
        <w:r w:rsidR="00B71205" w:rsidRPr="00A20F72">
          <w:rPr>
            <w:rStyle w:val="Hyperlink"/>
            <w:rFonts w:ascii="Verdana" w:hAnsi="Verdana"/>
            <w:iCs/>
            <w:sz w:val="18"/>
            <w:szCs w:val="18"/>
          </w:rPr>
          <w:t>https://curia.europa.eu/juris/documents.jsf?language=EN&amp;critereEcli=ECLI:EU:C:2018:979</w:t>
        </w:r>
      </w:hyperlink>
    </w:p>
    <w:p w14:paraId="48C88D43" w14:textId="7F881063" w:rsidR="007C48B8" w:rsidRPr="00A20F72" w:rsidRDefault="007C48B8" w:rsidP="00A20F72">
      <w:pPr>
        <w:pStyle w:val="ListParagraph"/>
        <w:numPr>
          <w:ilvl w:val="0"/>
          <w:numId w:val="7"/>
        </w:numPr>
        <w:spacing w:line="360" w:lineRule="auto"/>
        <w:ind w:left="993"/>
        <w:rPr>
          <w:rFonts w:ascii="Verdana" w:hAnsi="Verdana"/>
          <w:iCs/>
          <w:sz w:val="18"/>
          <w:szCs w:val="18"/>
        </w:rPr>
      </w:pPr>
      <w:r w:rsidRPr="00A20F72">
        <w:rPr>
          <w:rFonts w:ascii="Verdana" w:hAnsi="Verdana"/>
          <w:iCs/>
          <w:sz w:val="18"/>
          <w:szCs w:val="18"/>
        </w:rPr>
        <w:t xml:space="preserve">C-461/17 </w:t>
      </w:r>
      <w:r w:rsidRPr="00A20F72">
        <w:rPr>
          <w:rFonts w:ascii="Verdana" w:hAnsi="Verdana"/>
          <w:i/>
          <w:sz w:val="18"/>
          <w:szCs w:val="18"/>
        </w:rPr>
        <w:t>Holohan v. An Bord Pleanála</w:t>
      </w:r>
      <w:r w:rsidRPr="00A20F72">
        <w:rPr>
          <w:rFonts w:ascii="Verdana" w:hAnsi="Verdana"/>
          <w:iCs/>
          <w:sz w:val="18"/>
          <w:szCs w:val="18"/>
        </w:rPr>
        <w:t xml:space="preserve"> (Court of Justice of the European Union, 7</w:t>
      </w:r>
      <w:r w:rsidRPr="00A20F72">
        <w:rPr>
          <w:rFonts w:ascii="Verdana" w:hAnsi="Verdana"/>
          <w:iCs/>
          <w:sz w:val="18"/>
          <w:szCs w:val="18"/>
          <w:vertAlign w:val="superscript"/>
        </w:rPr>
        <w:t>th</w:t>
      </w:r>
      <w:r w:rsidRPr="00A20F72">
        <w:rPr>
          <w:rFonts w:ascii="Verdana" w:hAnsi="Verdana"/>
          <w:iCs/>
          <w:sz w:val="18"/>
          <w:szCs w:val="18"/>
        </w:rPr>
        <w:t xml:space="preserve"> November, 2018, ECLI:EU:C:2018:883)</w:t>
      </w:r>
      <w:r w:rsidR="00A829B3" w:rsidRPr="00A20F72">
        <w:rPr>
          <w:rFonts w:ascii="Verdana" w:hAnsi="Verdana"/>
          <w:iCs/>
          <w:sz w:val="18"/>
          <w:szCs w:val="18"/>
        </w:rPr>
        <w:t>.</w:t>
      </w:r>
    </w:p>
    <w:p w14:paraId="53AE4507" w14:textId="2A8972F4" w:rsidR="00440C60" w:rsidRPr="00A20F72" w:rsidRDefault="004F6CAE" w:rsidP="00A20F72">
      <w:pPr>
        <w:pStyle w:val="ListParagraph"/>
        <w:spacing w:line="360" w:lineRule="auto"/>
        <w:ind w:left="993"/>
        <w:rPr>
          <w:rFonts w:ascii="Verdana" w:hAnsi="Verdana"/>
          <w:iCs/>
          <w:sz w:val="18"/>
          <w:szCs w:val="18"/>
        </w:rPr>
      </w:pPr>
      <w:hyperlink r:id="rId42" w:history="1">
        <w:r w:rsidR="00FE3A2C" w:rsidRPr="00A20F72">
          <w:rPr>
            <w:rStyle w:val="Hyperlink"/>
            <w:rFonts w:ascii="Verdana" w:hAnsi="Verdana"/>
            <w:iCs/>
            <w:sz w:val="18"/>
            <w:szCs w:val="18"/>
          </w:rPr>
          <w:t>https://eur-lex.europa.eu/legal-content/EN/TXT/HTML/?uri=CELEX:62017CJ0461&amp;qid=1626359756795&amp;from=EN</w:t>
        </w:r>
      </w:hyperlink>
    </w:p>
    <w:p w14:paraId="412F0809" w14:textId="2B668FE1" w:rsidR="00F82D7B" w:rsidRPr="00A20F72" w:rsidRDefault="00F82D7B"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C-261/18 </w:t>
      </w:r>
      <w:r w:rsidRPr="00A20F72">
        <w:rPr>
          <w:rFonts w:ascii="Verdana" w:hAnsi="Verdana"/>
          <w:i/>
          <w:iCs/>
          <w:sz w:val="18"/>
          <w:szCs w:val="18"/>
          <w:lang w:val="en-GB"/>
        </w:rPr>
        <w:t>European Commission v. Ireland</w:t>
      </w:r>
      <w:r w:rsidRPr="00A20F72">
        <w:rPr>
          <w:rFonts w:ascii="Verdana" w:hAnsi="Verdana"/>
          <w:sz w:val="18"/>
          <w:szCs w:val="18"/>
          <w:lang w:val="en-GB"/>
        </w:rPr>
        <w:t xml:space="preserve"> (Court of Justice of the European Union, 12</w:t>
      </w:r>
      <w:r w:rsidRPr="00A20F72">
        <w:rPr>
          <w:rFonts w:ascii="Verdana" w:hAnsi="Verdana"/>
          <w:sz w:val="18"/>
          <w:szCs w:val="18"/>
          <w:vertAlign w:val="superscript"/>
          <w:lang w:val="en-GB"/>
        </w:rPr>
        <w:t>th</w:t>
      </w:r>
      <w:r w:rsidRPr="00A20F72">
        <w:rPr>
          <w:rFonts w:ascii="Verdana" w:hAnsi="Verdana"/>
          <w:sz w:val="18"/>
          <w:szCs w:val="18"/>
          <w:lang w:val="en-GB"/>
        </w:rPr>
        <w:t xml:space="preserve"> November, 2019, ECLI:EU:C:2019:955).</w:t>
      </w:r>
    </w:p>
    <w:p w14:paraId="0595AE94" w14:textId="3E8FBD86" w:rsidR="00F82D7B" w:rsidRPr="00A20F72" w:rsidRDefault="004F6CAE" w:rsidP="00A20F72">
      <w:pPr>
        <w:spacing w:line="360" w:lineRule="auto"/>
        <w:ind w:left="993"/>
        <w:rPr>
          <w:rFonts w:ascii="Verdana" w:hAnsi="Verdana"/>
          <w:sz w:val="18"/>
          <w:szCs w:val="18"/>
          <w:lang w:val="en-GB"/>
        </w:rPr>
      </w:pPr>
      <w:hyperlink r:id="rId43" w:history="1">
        <w:r w:rsidR="00F82D7B" w:rsidRPr="00A20F72">
          <w:rPr>
            <w:rStyle w:val="Hyperlink"/>
            <w:rFonts w:ascii="Verdana" w:hAnsi="Verdana"/>
            <w:sz w:val="18"/>
            <w:szCs w:val="18"/>
            <w:lang w:val="en-GB"/>
          </w:rPr>
          <w:t>https://eur-lex.europa.eu/legal-content/EN/TXT/?uri=CELEX%3A62018CJ0261</w:t>
        </w:r>
      </w:hyperlink>
    </w:p>
    <w:p w14:paraId="6A485CBB" w14:textId="6CA2A5EF" w:rsidR="00B71205" w:rsidRPr="00A20F72" w:rsidRDefault="00B71205" w:rsidP="00A20F72">
      <w:pPr>
        <w:numPr>
          <w:ilvl w:val="0"/>
          <w:numId w:val="7"/>
        </w:numPr>
        <w:spacing w:line="360" w:lineRule="auto"/>
        <w:ind w:left="993"/>
        <w:rPr>
          <w:rFonts w:ascii="Verdana" w:hAnsi="Verdana"/>
          <w:sz w:val="18"/>
          <w:szCs w:val="18"/>
          <w:lang w:val="en-GB"/>
        </w:rPr>
      </w:pPr>
      <w:r w:rsidRPr="00A20F72">
        <w:rPr>
          <w:rFonts w:ascii="Verdana" w:hAnsi="Verdana"/>
          <w:sz w:val="18"/>
          <w:szCs w:val="18"/>
          <w:lang w:val="en-GB"/>
        </w:rPr>
        <w:t xml:space="preserve">Case 752/18 </w:t>
      </w:r>
      <w:r w:rsidRPr="00A20F72">
        <w:rPr>
          <w:rFonts w:ascii="Verdana" w:hAnsi="Verdana"/>
          <w:i/>
          <w:iCs/>
          <w:sz w:val="18"/>
          <w:szCs w:val="18"/>
          <w:lang w:val="en-GB"/>
        </w:rPr>
        <w:t>Deutsche Umwelthilfe eV v. Freistaat Bayern</w:t>
      </w:r>
      <w:r w:rsidRPr="00A20F72">
        <w:rPr>
          <w:rFonts w:ascii="Verdana" w:hAnsi="Verdana"/>
          <w:sz w:val="18"/>
          <w:szCs w:val="18"/>
          <w:lang w:val="en-GB"/>
        </w:rPr>
        <w:t xml:space="preserve"> (Court of Justice of the European Union, 19</w:t>
      </w:r>
      <w:r w:rsidRPr="00A20F72">
        <w:rPr>
          <w:rFonts w:ascii="Verdana" w:hAnsi="Verdana"/>
          <w:sz w:val="18"/>
          <w:szCs w:val="18"/>
          <w:vertAlign w:val="superscript"/>
          <w:lang w:val="en-GB"/>
        </w:rPr>
        <w:t>th</w:t>
      </w:r>
      <w:r w:rsidRPr="00A20F72">
        <w:rPr>
          <w:rFonts w:ascii="Verdana" w:hAnsi="Verdana"/>
          <w:sz w:val="18"/>
          <w:szCs w:val="18"/>
          <w:lang w:val="en-GB"/>
        </w:rPr>
        <w:t xml:space="preserve"> December, 2019, ECLI:EU:C:2019:1114).</w:t>
      </w:r>
    </w:p>
    <w:p w14:paraId="3A25D7F8" w14:textId="12B0BEB9" w:rsidR="00B71205" w:rsidRPr="00A20F72" w:rsidRDefault="004F6CAE" w:rsidP="00A20F72">
      <w:pPr>
        <w:spacing w:line="360" w:lineRule="auto"/>
        <w:ind w:left="993"/>
        <w:rPr>
          <w:rFonts w:ascii="Verdana" w:hAnsi="Verdana"/>
          <w:sz w:val="18"/>
          <w:szCs w:val="18"/>
          <w:lang w:val="en-GB"/>
        </w:rPr>
      </w:pPr>
      <w:hyperlink r:id="rId44" w:history="1">
        <w:r w:rsidR="00B71205" w:rsidRPr="00A20F72">
          <w:rPr>
            <w:rStyle w:val="Hyperlink"/>
            <w:rFonts w:ascii="Verdana" w:hAnsi="Verdana"/>
            <w:sz w:val="18"/>
            <w:szCs w:val="18"/>
            <w:lang w:val="en-GB"/>
          </w:rPr>
          <w:t>https://eur-lex.europa.eu/legal-content/EN/TXT/?uri=CELEX%3A62018CJ0752</w:t>
        </w:r>
      </w:hyperlink>
    </w:p>
    <w:p w14:paraId="415BE08D" w14:textId="68143529" w:rsidR="006817D8" w:rsidRPr="00A20F72" w:rsidRDefault="006817D8" w:rsidP="00A20F72">
      <w:pPr>
        <w:numPr>
          <w:ilvl w:val="0"/>
          <w:numId w:val="7"/>
        </w:numPr>
        <w:spacing w:line="360" w:lineRule="auto"/>
        <w:ind w:left="993"/>
        <w:rPr>
          <w:rFonts w:ascii="Verdana" w:hAnsi="Verdana"/>
          <w:i/>
          <w:iCs/>
          <w:sz w:val="18"/>
          <w:szCs w:val="18"/>
          <w:lang w:val="en-GB"/>
        </w:rPr>
      </w:pPr>
      <w:r w:rsidRPr="00A20F72">
        <w:rPr>
          <w:rFonts w:ascii="Verdana" w:hAnsi="Verdana"/>
          <w:sz w:val="18"/>
          <w:szCs w:val="18"/>
          <w:lang w:val="en-GB"/>
        </w:rPr>
        <w:t xml:space="preserve">Case C-254/19 </w:t>
      </w:r>
      <w:r w:rsidRPr="00A20F72">
        <w:rPr>
          <w:rFonts w:ascii="Verdana" w:hAnsi="Verdana"/>
          <w:i/>
          <w:iCs/>
          <w:sz w:val="18"/>
          <w:szCs w:val="18"/>
          <w:lang w:val="en-GB"/>
        </w:rPr>
        <w:t>Friends of the Irish Environment Limited v. An Bord Pleanála, Opinion of Advocate General Kokott</w:t>
      </w:r>
      <w:r w:rsidRPr="00A20F72">
        <w:rPr>
          <w:rFonts w:ascii="Verdana" w:hAnsi="Verdana"/>
          <w:sz w:val="18"/>
          <w:szCs w:val="18"/>
          <w:lang w:val="en-GB"/>
        </w:rPr>
        <w:t xml:space="preserve"> (Court of Justice of the European Union, 30</w:t>
      </w:r>
      <w:r w:rsidRPr="00A20F72">
        <w:rPr>
          <w:rFonts w:ascii="Verdana" w:hAnsi="Verdana"/>
          <w:sz w:val="18"/>
          <w:szCs w:val="18"/>
          <w:vertAlign w:val="superscript"/>
          <w:lang w:val="en-GB"/>
        </w:rPr>
        <w:t>th</w:t>
      </w:r>
      <w:r w:rsidRPr="00A20F72">
        <w:rPr>
          <w:rFonts w:ascii="Verdana" w:hAnsi="Verdana"/>
          <w:sz w:val="18"/>
          <w:szCs w:val="18"/>
          <w:lang w:val="en-GB"/>
        </w:rPr>
        <w:t xml:space="preserve"> April 2020, ECLI:EU:C:2020:320)</w:t>
      </w:r>
      <w:r w:rsidR="00A829B3" w:rsidRPr="00A20F72">
        <w:rPr>
          <w:rFonts w:ascii="Verdana" w:hAnsi="Verdana"/>
          <w:sz w:val="18"/>
          <w:szCs w:val="18"/>
          <w:lang w:val="en-GB"/>
        </w:rPr>
        <w:t>.</w:t>
      </w:r>
    </w:p>
    <w:p w14:paraId="6ECB1FB8" w14:textId="6A460095" w:rsidR="006817D8" w:rsidRPr="00A20F72" w:rsidRDefault="004F6CAE" w:rsidP="00A20F72">
      <w:pPr>
        <w:spacing w:line="360" w:lineRule="auto"/>
        <w:ind w:left="993"/>
        <w:rPr>
          <w:rFonts w:ascii="Verdana" w:hAnsi="Verdana"/>
          <w:sz w:val="18"/>
          <w:szCs w:val="18"/>
          <w:lang w:val="en-GB"/>
        </w:rPr>
      </w:pPr>
      <w:hyperlink r:id="rId45" w:history="1">
        <w:r w:rsidR="006817D8" w:rsidRPr="00A20F72">
          <w:rPr>
            <w:rStyle w:val="Hyperlink"/>
            <w:rFonts w:ascii="Verdana" w:hAnsi="Verdana"/>
            <w:sz w:val="18"/>
            <w:szCs w:val="18"/>
            <w:lang w:val="en-GB"/>
          </w:rPr>
          <w:t>https://curia.europa.eu/juris/document/document.jsf?text=&amp;docid=226000&amp;pageIndex=0&amp;doclang=en&amp;mode=lst&amp;dir=&amp;occ=first&amp;part=1&amp;cid=298959</w:t>
        </w:r>
      </w:hyperlink>
    </w:p>
    <w:p w14:paraId="31260A02" w14:textId="73005509" w:rsidR="0056302E" w:rsidRPr="00A20F72" w:rsidRDefault="007C48B8" w:rsidP="00A20F72">
      <w:pPr>
        <w:pStyle w:val="ListParagraph"/>
        <w:numPr>
          <w:ilvl w:val="0"/>
          <w:numId w:val="7"/>
        </w:numPr>
        <w:spacing w:line="360" w:lineRule="auto"/>
        <w:ind w:left="993"/>
        <w:rPr>
          <w:rFonts w:ascii="Verdana" w:hAnsi="Verdana"/>
          <w:iCs/>
          <w:sz w:val="18"/>
          <w:szCs w:val="18"/>
        </w:rPr>
      </w:pPr>
      <w:r w:rsidRPr="00A20F72">
        <w:rPr>
          <w:rFonts w:ascii="Verdana" w:hAnsi="Verdana"/>
          <w:iCs/>
          <w:sz w:val="18"/>
          <w:szCs w:val="18"/>
        </w:rPr>
        <w:t xml:space="preserve">Case C-254/19 </w:t>
      </w:r>
      <w:r w:rsidRPr="00A20F72">
        <w:rPr>
          <w:rFonts w:ascii="Verdana" w:hAnsi="Verdana"/>
          <w:i/>
          <w:sz w:val="18"/>
          <w:szCs w:val="18"/>
        </w:rPr>
        <w:t>Friends of the Irish Environment Ltd v. An Bord Pleanála</w:t>
      </w:r>
      <w:r w:rsidRPr="00A20F72">
        <w:rPr>
          <w:rFonts w:ascii="Verdana" w:hAnsi="Verdana"/>
          <w:iCs/>
          <w:sz w:val="18"/>
          <w:szCs w:val="18"/>
        </w:rPr>
        <w:t xml:space="preserve"> (Court of Justice of the European Union, 9</w:t>
      </w:r>
      <w:r w:rsidRPr="00A20F72">
        <w:rPr>
          <w:rFonts w:ascii="Verdana" w:hAnsi="Verdana"/>
          <w:iCs/>
          <w:sz w:val="18"/>
          <w:szCs w:val="18"/>
          <w:vertAlign w:val="superscript"/>
        </w:rPr>
        <w:t>th</w:t>
      </w:r>
      <w:r w:rsidRPr="00A20F72">
        <w:rPr>
          <w:rFonts w:ascii="Verdana" w:hAnsi="Verdana"/>
          <w:iCs/>
          <w:sz w:val="18"/>
          <w:szCs w:val="18"/>
        </w:rPr>
        <w:t xml:space="preserve"> September, 2020, ECLI:EU:C:2020:680)</w:t>
      </w:r>
      <w:r w:rsidR="008338DA" w:rsidRPr="00A20F72">
        <w:rPr>
          <w:rFonts w:ascii="Verdana" w:hAnsi="Verdana"/>
          <w:iCs/>
          <w:sz w:val="18"/>
          <w:szCs w:val="18"/>
        </w:rPr>
        <w:t>.</w:t>
      </w:r>
    </w:p>
    <w:p w14:paraId="4DD9D1FF" w14:textId="476BE1A7" w:rsidR="00445F69" w:rsidRPr="00A20F72" w:rsidRDefault="004F6CAE" w:rsidP="00A20F72">
      <w:pPr>
        <w:pStyle w:val="ListParagraph"/>
        <w:spacing w:line="360" w:lineRule="auto"/>
        <w:ind w:left="993"/>
        <w:rPr>
          <w:rStyle w:val="Footnote"/>
          <w:rFonts w:ascii="Verdana" w:hAnsi="Verdana"/>
          <w:iCs/>
          <w:sz w:val="18"/>
          <w:szCs w:val="18"/>
        </w:rPr>
      </w:pPr>
      <w:hyperlink r:id="rId46" w:history="1">
        <w:r w:rsidR="002A5D6E" w:rsidRPr="00A20F72">
          <w:rPr>
            <w:rStyle w:val="Hyperlink"/>
            <w:rFonts w:ascii="Verdana" w:hAnsi="Verdana"/>
            <w:iCs/>
            <w:sz w:val="18"/>
            <w:szCs w:val="18"/>
          </w:rPr>
          <w:t>https://eur-lex.europa.eu/legal-content/EN/TXT/HTML/?uri=CELEX:62019CJ0254&amp;qid=1626355921187&amp;from=EN</w:t>
        </w:r>
      </w:hyperlink>
    </w:p>
    <w:p w14:paraId="6E2D50B3" w14:textId="77777777" w:rsidR="00445F69" w:rsidRPr="00A20F72" w:rsidRDefault="00445F69" w:rsidP="00A20F72">
      <w:pPr>
        <w:spacing w:line="360" w:lineRule="auto"/>
        <w:rPr>
          <w:rStyle w:val="Footnote"/>
          <w:rFonts w:ascii="Verdana" w:hAnsi="Verdana"/>
          <w:iCs/>
          <w:sz w:val="18"/>
          <w:szCs w:val="18"/>
        </w:rPr>
      </w:pPr>
    </w:p>
    <w:p w14:paraId="1B5AB815" w14:textId="77777777" w:rsidR="0056302E" w:rsidRPr="00A20F72" w:rsidRDefault="0056302E" w:rsidP="00A20F72">
      <w:pPr>
        <w:spacing w:line="360" w:lineRule="auto"/>
        <w:rPr>
          <w:rFonts w:ascii="Verdana" w:hAnsi="Verdana"/>
          <w:b/>
          <w:bCs/>
          <w:sz w:val="18"/>
          <w:szCs w:val="18"/>
        </w:rPr>
      </w:pPr>
      <w:r w:rsidRPr="00A20F72">
        <w:rPr>
          <w:rFonts w:ascii="Verdana" w:hAnsi="Verdana"/>
          <w:b/>
          <w:bCs/>
          <w:sz w:val="18"/>
          <w:szCs w:val="18"/>
        </w:rPr>
        <w:t>International law</w:t>
      </w:r>
    </w:p>
    <w:p w14:paraId="3381D0EF" w14:textId="550C27D1" w:rsidR="00EB4BFD" w:rsidRPr="00A20F72" w:rsidRDefault="00EB4BFD" w:rsidP="00A20F72">
      <w:pPr>
        <w:numPr>
          <w:ilvl w:val="0"/>
          <w:numId w:val="4"/>
        </w:numPr>
        <w:spacing w:line="360" w:lineRule="auto"/>
        <w:rPr>
          <w:rStyle w:val="Hyperlink"/>
          <w:rFonts w:ascii="Verdana" w:hAnsi="Verdana"/>
          <w:color w:val="000000"/>
          <w:sz w:val="18"/>
          <w:szCs w:val="18"/>
          <w:u w:val="none"/>
        </w:rPr>
      </w:pPr>
      <w:r w:rsidRPr="00A20F72">
        <w:rPr>
          <w:rFonts w:ascii="Verdana" w:hAnsi="Verdana"/>
          <w:sz w:val="18"/>
          <w:szCs w:val="18"/>
        </w:rPr>
        <w:t>Convention on Environmental Impact Assessment in a Transboundary Context, signed in Espoo (Finland) on 25</w:t>
      </w:r>
      <w:r w:rsidRPr="00A20F72">
        <w:rPr>
          <w:rFonts w:ascii="Verdana" w:hAnsi="Verdana"/>
          <w:sz w:val="18"/>
          <w:szCs w:val="18"/>
          <w:vertAlign w:val="superscript"/>
        </w:rPr>
        <w:t>th</w:t>
      </w:r>
      <w:r w:rsidRPr="00A20F72">
        <w:rPr>
          <w:rFonts w:ascii="Verdana" w:hAnsi="Verdana"/>
          <w:sz w:val="18"/>
          <w:szCs w:val="18"/>
        </w:rPr>
        <w:t xml:space="preserve"> February, 1991 (‘the Espoo Convention’).</w:t>
      </w:r>
    </w:p>
    <w:p w14:paraId="596930CB" w14:textId="5E5BF9D7" w:rsidR="00EB4BFD" w:rsidRPr="00A20F72" w:rsidRDefault="004F6CAE" w:rsidP="00A20F72">
      <w:pPr>
        <w:spacing w:line="360" w:lineRule="auto"/>
        <w:ind w:left="1080"/>
        <w:rPr>
          <w:rStyle w:val="Hyperlink"/>
          <w:rFonts w:ascii="Verdana" w:hAnsi="Verdana"/>
          <w:sz w:val="18"/>
          <w:szCs w:val="18"/>
        </w:rPr>
      </w:pPr>
      <w:hyperlink r:id="rId47" w:history="1">
        <w:r w:rsidR="00EB4BFD" w:rsidRPr="00A20F72">
          <w:rPr>
            <w:rStyle w:val="Hyperlink"/>
            <w:rFonts w:ascii="Verdana" w:hAnsi="Verdana"/>
            <w:sz w:val="18"/>
            <w:szCs w:val="18"/>
          </w:rPr>
          <w:t>https://treaties.un.org/Pages/ViewDetails.aspx?src=TREATY&amp;mtdsg_no=XXVII-4&amp;chapter=27&amp;clang=_en</w:t>
        </w:r>
      </w:hyperlink>
    </w:p>
    <w:p w14:paraId="119281D4" w14:textId="4E6071E3" w:rsidR="0056302E" w:rsidRPr="00A20F72" w:rsidRDefault="0056302E" w:rsidP="00A20F72">
      <w:pPr>
        <w:numPr>
          <w:ilvl w:val="0"/>
          <w:numId w:val="4"/>
        </w:numPr>
        <w:spacing w:line="360" w:lineRule="auto"/>
        <w:rPr>
          <w:rStyle w:val="Hyperlink"/>
          <w:rFonts w:ascii="Verdana" w:hAnsi="Verdana"/>
          <w:color w:val="000000"/>
          <w:sz w:val="18"/>
          <w:szCs w:val="18"/>
          <w:u w:val="none"/>
        </w:rPr>
      </w:pPr>
      <w:r w:rsidRPr="00A20F72">
        <w:rPr>
          <w:rFonts w:ascii="Verdana" w:hAnsi="Verdana"/>
          <w:sz w:val="18"/>
          <w:szCs w:val="18"/>
        </w:rPr>
        <w:t xml:space="preserve">UN/ECE Convention on Access to Information, Public Participation in Decision-Making and Access to Justice in Environmental Matters, </w:t>
      </w:r>
      <w:r w:rsidR="007824F2" w:rsidRPr="00A20F72">
        <w:rPr>
          <w:rFonts w:ascii="Verdana" w:hAnsi="Verdana"/>
          <w:sz w:val="18"/>
          <w:szCs w:val="18"/>
        </w:rPr>
        <w:t>done at</w:t>
      </w:r>
      <w:r w:rsidRPr="00A20F72">
        <w:rPr>
          <w:rFonts w:ascii="Verdana" w:hAnsi="Verdana"/>
          <w:sz w:val="18"/>
          <w:szCs w:val="18"/>
        </w:rPr>
        <w:t xml:space="preserve"> Aarhus (Denmark) on 25</w:t>
      </w:r>
      <w:r w:rsidRPr="00A20F72">
        <w:rPr>
          <w:rFonts w:ascii="Verdana" w:hAnsi="Verdana"/>
          <w:sz w:val="18"/>
          <w:szCs w:val="18"/>
          <w:vertAlign w:val="superscript"/>
        </w:rPr>
        <w:t>th</w:t>
      </w:r>
      <w:r w:rsidRPr="00A20F72">
        <w:rPr>
          <w:rFonts w:ascii="Verdana" w:hAnsi="Verdana"/>
          <w:sz w:val="18"/>
          <w:szCs w:val="18"/>
        </w:rPr>
        <w:t xml:space="preserve"> June, 1998 (‘the Aarhus Convention’)</w:t>
      </w:r>
      <w:r w:rsidR="007824F2" w:rsidRPr="00A20F72">
        <w:rPr>
          <w:rFonts w:ascii="Verdana" w:hAnsi="Verdana"/>
          <w:sz w:val="18"/>
          <w:szCs w:val="18"/>
        </w:rPr>
        <w:t>, in particular arts. 6 and 9</w:t>
      </w:r>
      <w:r w:rsidRPr="00A20F72">
        <w:rPr>
          <w:rFonts w:ascii="Verdana" w:hAnsi="Verdana"/>
          <w:sz w:val="18"/>
          <w:szCs w:val="18"/>
        </w:rPr>
        <w:t>.</w:t>
      </w:r>
    </w:p>
    <w:p w14:paraId="394048C5" w14:textId="1A914413" w:rsidR="00E76881" w:rsidRPr="00A20F72" w:rsidRDefault="004F6CAE" w:rsidP="00A20F72">
      <w:pPr>
        <w:spacing w:line="360" w:lineRule="auto"/>
        <w:ind w:left="1080"/>
        <w:rPr>
          <w:rStyle w:val="Hyperlink"/>
          <w:rFonts w:ascii="Verdana" w:hAnsi="Verdana"/>
          <w:sz w:val="18"/>
          <w:szCs w:val="18"/>
        </w:rPr>
      </w:pPr>
      <w:hyperlink r:id="rId48" w:history="1">
        <w:r w:rsidR="0056302E" w:rsidRPr="00A20F72">
          <w:rPr>
            <w:rStyle w:val="Hyperlink"/>
            <w:rFonts w:ascii="Verdana" w:hAnsi="Verdana"/>
            <w:sz w:val="18"/>
            <w:szCs w:val="18"/>
          </w:rPr>
          <w:t>https://treaties.un.org/Pages/ViewDetails.aspx?src=TREATY&amp;mtdsg_no=XXVII-13&amp;chapter=27</w:t>
        </w:r>
      </w:hyperlink>
    </w:p>
    <w:p w14:paraId="619AD0B7" w14:textId="77777777" w:rsidR="00E76881" w:rsidRPr="00A20F72" w:rsidRDefault="00E76881" w:rsidP="00A20F72">
      <w:pPr>
        <w:spacing w:line="360" w:lineRule="auto"/>
        <w:rPr>
          <w:rFonts w:ascii="Verdana" w:hAnsi="Verdana"/>
          <w:b/>
          <w:bCs/>
          <w:sz w:val="18"/>
          <w:szCs w:val="18"/>
        </w:rPr>
      </w:pPr>
    </w:p>
    <w:p w14:paraId="44CED792" w14:textId="183AD302" w:rsidR="0056302E" w:rsidRPr="00A20F72" w:rsidRDefault="0056302E" w:rsidP="00A20F72">
      <w:pPr>
        <w:spacing w:line="360" w:lineRule="auto"/>
        <w:rPr>
          <w:rFonts w:ascii="Verdana" w:hAnsi="Verdana"/>
          <w:b/>
          <w:bCs/>
          <w:sz w:val="18"/>
          <w:szCs w:val="18"/>
        </w:rPr>
      </w:pPr>
      <w:r w:rsidRPr="00A20F72">
        <w:rPr>
          <w:rFonts w:ascii="Verdana" w:hAnsi="Verdana"/>
          <w:b/>
          <w:bCs/>
          <w:sz w:val="18"/>
          <w:szCs w:val="18"/>
        </w:rPr>
        <w:t>Domestic legislation</w:t>
      </w:r>
    </w:p>
    <w:p w14:paraId="0B8B131D" w14:textId="64FE000F" w:rsidR="00DE252D" w:rsidRPr="00A20F72" w:rsidRDefault="00DE252D" w:rsidP="00A20F72">
      <w:pPr>
        <w:pStyle w:val="ListParagraph"/>
        <w:numPr>
          <w:ilvl w:val="0"/>
          <w:numId w:val="6"/>
        </w:numPr>
        <w:spacing w:line="360" w:lineRule="auto"/>
        <w:ind w:left="993"/>
        <w:rPr>
          <w:rFonts w:ascii="Verdana" w:hAnsi="Verdana"/>
          <w:color w:val="000000"/>
          <w:sz w:val="18"/>
          <w:szCs w:val="18"/>
        </w:rPr>
      </w:pPr>
      <w:r w:rsidRPr="00A20F72">
        <w:rPr>
          <w:rFonts w:ascii="Verdana" w:hAnsi="Verdana"/>
          <w:color w:val="000000"/>
          <w:sz w:val="18"/>
          <w:szCs w:val="18"/>
        </w:rPr>
        <w:t>Planning and Development Act 2000</w:t>
      </w:r>
      <w:r w:rsidR="00FC29F0" w:rsidRPr="00A20F72">
        <w:rPr>
          <w:rFonts w:ascii="Verdana" w:hAnsi="Verdana"/>
          <w:color w:val="000000"/>
          <w:sz w:val="18"/>
          <w:szCs w:val="18"/>
        </w:rPr>
        <w:t>, in particular:</w:t>
      </w:r>
    </w:p>
    <w:p w14:paraId="0DD0995B" w14:textId="77777777" w:rsidR="00FC29F0" w:rsidRPr="00A20F72" w:rsidRDefault="00FC29F0" w:rsidP="00A20F72">
      <w:pPr>
        <w:pStyle w:val="ListParagraph"/>
        <w:numPr>
          <w:ilvl w:val="1"/>
          <w:numId w:val="6"/>
        </w:numPr>
        <w:spacing w:line="360" w:lineRule="auto"/>
        <w:rPr>
          <w:rFonts w:ascii="Verdana" w:hAnsi="Verdana"/>
          <w:color w:val="000000"/>
          <w:sz w:val="18"/>
          <w:szCs w:val="18"/>
        </w:rPr>
      </w:pPr>
      <w:r w:rsidRPr="00A20F72">
        <w:rPr>
          <w:rFonts w:ascii="Verdana" w:hAnsi="Verdana"/>
          <w:sz w:val="18"/>
          <w:szCs w:val="18"/>
        </w:rPr>
        <w:t>sections 50, 50A and 50B of the PDA 2000 - these contain the provisions governing the review procedures that give effect to art. 11 EIA;</w:t>
      </w:r>
    </w:p>
    <w:p w14:paraId="05BBCF38" w14:textId="02B92E2C" w:rsidR="00FC29F0" w:rsidRPr="00A20F72" w:rsidRDefault="00FC29F0" w:rsidP="00A20F72">
      <w:pPr>
        <w:pStyle w:val="ListParagraph"/>
        <w:numPr>
          <w:ilvl w:val="1"/>
          <w:numId w:val="6"/>
        </w:numPr>
        <w:spacing w:line="360" w:lineRule="auto"/>
        <w:rPr>
          <w:rFonts w:ascii="Verdana" w:hAnsi="Verdana"/>
          <w:color w:val="000000"/>
          <w:sz w:val="18"/>
          <w:szCs w:val="18"/>
        </w:rPr>
      </w:pPr>
      <w:r w:rsidRPr="00A20F72">
        <w:rPr>
          <w:rFonts w:ascii="Verdana" w:hAnsi="Verdana"/>
          <w:sz w:val="18"/>
          <w:szCs w:val="18"/>
        </w:rPr>
        <w:t>Parts X and XAB - these contain the implementing provisions for the assessments required under the EIA and habitats directives.</w:t>
      </w:r>
    </w:p>
    <w:p w14:paraId="7168F40F" w14:textId="77777777" w:rsidR="00DE252D" w:rsidRPr="00A20F72" w:rsidRDefault="004F6CAE" w:rsidP="00A20F72">
      <w:pPr>
        <w:pStyle w:val="ListParagraph"/>
        <w:spacing w:line="360" w:lineRule="auto"/>
        <w:ind w:left="993"/>
        <w:rPr>
          <w:rFonts w:ascii="Verdana" w:hAnsi="Verdana"/>
          <w:color w:val="000000"/>
          <w:sz w:val="18"/>
          <w:szCs w:val="18"/>
        </w:rPr>
      </w:pPr>
      <w:hyperlink r:id="rId49" w:history="1">
        <w:r w:rsidR="00DE252D" w:rsidRPr="00A20F72">
          <w:rPr>
            <w:rStyle w:val="Hyperlink"/>
            <w:rFonts w:ascii="Verdana" w:hAnsi="Verdana"/>
            <w:sz w:val="18"/>
            <w:szCs w:val="18"/>
          </w:rPr>
          <w:t>https://revisedacts.lawreform.ie/eli/2000/act/30/revised/en/pdf?annotations=true</w:t>
        </w:r>
      </w:hyperlink>
    </w:p>
    <w:p w14:paraId="3054CAAA" w14:textId="7F551D2E" w:rsidR="00DE252D" w:rsidRPr="00A20F72" w:rsidRDefault="00DE252D" w:rsidP="00A20F72">
      <w:pPr>
        <w:pStyle w:val="ListParagraph"/>
        <w:numPr>
          <w:ilvl w:val="0"/>
          <w:numId w:val="6"/>
        </w:numPr>
        <w:spacing w:line="360" w:lineRule="auto"/>
        <w:ind w:left="993"/>
        <w:rPr>
          <w:rFonts w:ascii="Verdana" w:hAnsi="Verdana"/>
          <w:color w:val="000000"/>
          <w:sz w:val="18"/>
          <w:szCs w:val="18"/>
        </w:rPr>
      </w:pPr>
      <w:r w:rsidRPr="00A20F72">
        <w:rPr>
          <w:rFonts w:ascii="Verdana" w:hAnsi="Verdana"/>
          <w:color w:val="000000"/>
          <w:sz w:val="18"/>
          <w:szCs w:val="18"/>
        </w:rPr>
        <w:t>Planning and Development Regulations 2001 (S.I. No. 600 of 2001)</w:t>
      </w:r>
      <w:r w:rsidR="00FC29F0" w:rsidRPr="00A20F72">
        <w:rPr>
          <w:rFonts w:ascii="Verdana" w:hAnsi="Verdana"/>
          <w:sz w:val="18"/>
          <w:szCs w:val="18"/>
        </w:rPr>
        <w:t xml:space="preserve"> as amended which give further effect to the EIA and habitats directives</w:t>
      </w:r>
      <w:r w:rsidRPr="00A20F72">
        <w:rPr>
          <w:rFonts w:ascii="Verdana" w:hAnsi="Verdana"/>
          <w:color w:val="000000"/>
          <w:sz w:val="18"/>
          <w:szCs w:val="18"/>
        </w:rPr>
        <w:t>.</w:t>
      </w:r>
    </w:p>
    <w:p w14:paraId="1E919D43" w14:textId="252228F1" w:rsidR="00DE252D" w:rsidRPr="00A20F72" w:rsidRDefault="004F6CAE" w:rsidP="00A20F72">
      <w:pPr>
        <w:pStyle w:val="ListParagraph"/>
        <w:spacing w:line="360" w:lineRule="auto"/>
        <w:ind w:left="993"/>
        <w:rPr>
          <w:rFonts w:ascii="Verdana" w:hAnsi="Verdana"/>
          <w:color w:val="000000"/>
          <w:sz w:val="18"/>
          <w:szCs w:val="18"/>
        </w:rPr>
      </w:pPr>
      <w:hyperlink r:id="rId50" w:history="1">
        <w:r w:rsidR="00DE252D" w:rsidRPr="00A20F72">
          <w:rPr>
            <w:rStyle w:val="Hyperlink"/>
            <w:rFonts w:ascii="Verdana" w:hAnsi="Verdana"/>
            <w:sz w:val="18"/>
            <w:szCs w:val="18"/>
          </w:rPr>
          <w:t>http://www.irishstatutebook.ie/eli/2001/si/600/made/en/print?q=Planning+and+Development+Regulations+&amp;years=2001&amp;search_type=si</w:t>
        </w:r>
      </w:hyperlink>
    </w:p>
    <w:p w14:paraId="3FEFA603" w14:textId="7F4D76D4" w:rsidR="00DE252D" w:rsidRPr="00A20F72" w:rsidRDefault="00DE252D" w:rsidP="00A20F72">
      <w:pPr>
        <w:pStyle w:val="ListParagraph"/>
        <w:numPr>
          <w:ilvl w:val="0"/>
          <w:numId w:val="6"/>
        </w:numPr>
        <w:spacing w:line="360" w:lineRule="auto"/>
        <w:ind w:left="993"/>
        <w:rPr>
          <w:rFonts w:ascii="Verdana" w:hAnsi="Verdana"/>
          <w:color w:val="000000"/>
          <w:sz w:val="18"/>
          <w:szCs w:val="18"/>
        </w:rPr>
      </w:pPr>
      <w:r w:rsidRPr="00A20F72">
        <w:rPr>
          <w:rFonts w:ascii="Verdana" w:hAnsi="Verdana"/>
          <w:color w:val="000000"/>
          <w:sz w:val="18"/>
          <w:szCs w:val="18"/>
        </w:rPr>
        <w:t>Planning and Development (Housing) and Residential Tenancies Act 2016.</w:t>
      </w:r>
    </w:p>
    <w:p w14:paraId="15351DA2" w14:textId="2B3180AD" w:rsidR="00DE252D" w:rsidRPr="00A20F72" w:rsidRDefault="004F6CAE" w:rsidP="00A20F72">
      <w:pPr>
        <w:pStyle w:val="ListParagraph"/>
        <w:spacing w:line="360" w:lineRule="auto"/>
        <w:ind w:left="993"/>
        <w:rPr>
          <w:rFonts w:ascii="Verdana" w:hAnsi="Verdana"/>
          <w:color w:val="000000"/>
          <w:sz w:val="18"/>
          <w:szCs w:val="18"/>
        </w:rPr>
      </w:pPr>
      <w:hyperlink r:id="rId51" w:history="1">
        <w:r w:rsidR="00DE252D" w:rsidRPr="00A20F72">
          <w:rPr>
            <w:rStyle w:val="Hyperlink"/>
            <w:rFonts w:ascii="Verdana" w:hAnsi="Verdana"/>
            <w:sz w:val="18"/>
            <w:szCs w:val="18"/>
          </w:rPr>
          <w:t>https://revisedacts.lawreform.ie/eli/2016/act/17/revised/en/html</w:t>
        </w:r>
      </w:hyperlink>
    </w:p>
    <w:p w14:paraId="7EC01215" w14:textId="59D48C70" w:rsidR="00DD5270" w:rsidRPr="00A20F72" w:rsidRDefault="00DE252D" w:rsidP="00A20F72">
      <w:pPr>
        <w:pStyle w:val="ListParagraph"/>
        <w:numPr>
          <w:ilvl w:val="0"/>
          <w:numId w:val="6"/>
        </w:numPr>
        <w:spacing w:line="360" w:lineRule="auto"/>
        <w:ind w:left="993"/>
        <w:rPr>
          <w:rFonts w:ascii="Verdana" w:hAnsi="Verdana"/>
          <w:color w:val="000000"/>
          <w:sz w:val="18"/>
          <w:szCs w:val="18"/>
        </w:rPr>
      </w:pPr>
      <w:r w:rsidRPr="00A20F72">
        <w:rPr>
          <w:rFonts w:ascii="Verdana" w:hAnsi="Verdana"/>
          <w:color w:val="000000"/>
          <w:sz w:val="18"/>
          <w:szCs w:val="18"/>
        </w:rPr>
        <w:t>Planning and Development (Amendment) Regulations 2018 (S.I. No. 29 of 2018)</w:t>
      </w:r>
      <w:r w:rsidR="00FC29F0" w:rsidRPr="00A20F72">
        <w:rPr>
          <w:rFonts w:ascii="Verdana" w:hAnsi="Verdana"/>
          <w:color w:val="000000"/>
          <w:sz w:val="18"/>
          <w:szCs w:val="18"/>
        </w:rPr>
        <w:t xml:space="preserve"> as amended</w:t>
      </w:r>
      <w:r w:rsidR="00DD5270" w:rsidRPr="00A20F72">
        <w:rPr>
          <w:rFonts w:ascii="Verdana" w:hAnsi="Verdana"/>
          <w:color w:val="000000"/>
          <w:sz w:val="18"/>
          <w:szCs w:val="18"/>
        </w:rPr>
        <w:t>.</w:t>
      </w:r>
    </w:p>
    <w:p w14:paraId="6C293085" w14:textId="0C015BF5" w:rsidR="00DD5270" w:rsidRPr="00A20F72" w:rsidRDefault="004F6CAE" w:rsidP="00A20F72">
      <w:pPr>
        <w:pStyle w:val="ListParagraph"/>
        <w:spacing w:line="360" w:lineRule="auto"/>
        <w:ind w:left="993"/>
        <w:rPr>
          <w:rFonts w:ascii="Verdana" w:hAnsi="Verdana"/>
          <w:color w:val="000000"/>
          <w:sz w:val="18"/>
          <w:szCs w:val="18"/>
        </w:rPr>
      </w:pPr>
      <w:hyperlink r:id="rId52" w:history="1">
        <w:r w:rsidR="00DD5270" w:rsidRPr="00A20F72">
          <w:rPr>
            <w:rStyle w:val="Hyperlink"/>
            <w:rFonts w:ascii="Verdana" w:hAnsi="Verdana"/>
            <w:sz w:val="18"/>
            <w:szCs w:val="18"/>
          </w:rPr>
          <w:t>http://www.irishstatutebook.ie/eli/2018/si/29/made/en/print?num=29&amp;years=2018&amp;search_type=si</w:t>
        </w:r>
      </w:hyperlink>
    </w:p>
    <w:p w14:paraId="630D0DBE" w14:textId="297DBEA4" w:rsidR="00DE252D" w:rsidRPr="00A20F72" w:rsidRDefault="00FC29F0" w:rsidP="00A20F72">
      <w:pPr>
        <w:pStyle w:val="ListParagraph"/>
        <w:numPr>
          <w:ilvl w:val="0"/>
          <w:numId w:val="6"/>
        </w:numPr>
        <w:spacing w:line="360" w:lineRule="auto"/>
        <w:ind w:left="993"/>
        <w:rPr>
          <w:rFonts w:ascii="Verdana" w:hAnsi="Verdana"/>
          <w:color w:val="000000"/>
          <w:sz w:val="18"/>
          <w:szCs w:val="18"/>
        </w:rPr>
      </w:pPr>
      <w:r w:rsidRPr="00A20F72">
        <w:rPr>
          <w:rFonts w:ascii="Verdana" w:hAnsi="Verdana"/>
          <w:sz w:val="18"/>
          <w:szCs w:val="18"/>
        </w:rPr>
        <w:t>High Court Practice Direction HC96 in force when the case was initiated (now HC107)</w:t>
      </w:r>
      <w:r w:rsidR="00DE252D" w:rsidRPr="00A20F72">
        <w:rPr>
          <w:rFonts w:ascii="Verdana" w:hAnsi="Verdana"/>
          <w:color w:val="000000"/>
          <w:sz w:val="18"/>
          <w:szCs w:val="18"/>
        </w:rPr>
        <w:t>.</w:t>
      </w:r>
    </w:p>
    <w:p w14:paraId="454A21F7" w14:textId="19667E20" w:rsidR="00DE252D" w:rsidRPr="00A20F72" w:rsidRDefault="004F6CAE" w:rsidP="00A20F72">
      <w:pPr>
        <w:pStyle w:val="ListParagraph"/>
        <w:spacing w:line="360" w:lineRule="auto"/>
        <w:ind w:left="993"/>
        <w:rPr>
          <w:rFonts w:ascii="Verdana" w:hAnsi="Verdana"/>
          <w:color w:val="000000"/>
          <w:sz w:val="18"/>
          <w:szCs w:val="18"/>
        </w:rPr>
      </w:pPr>
      <w:hyperlink r:id="rId53" w:history="1">
        <w:r w:rsidR="00E839D6" w:rsidRPr="00A20F72">
          <w:rPr>
            <w:rStyle w:val="Hyperlink"/>
            <w:rFonts w:ascii="Verdana" w:hAnsi="Verdana"/>
            <w:sz w:val="18"/>
            <w:szCs w:val="18"/>
          </w:rPr>
          <w:t>https://www.courts.ie/content/commercial-planning-sid-list-1</w:t>
        </w:r>
      </w:hyperlink>
    </w:p>
    <w:p w14:paraId="021FB471" w14:textId="77777777" w:rsidR="0056302E" w:rsidRPr="00A20F72" w:rsidRDefault="0056302E" w:rsidP="00A20F72">
      <w:pPr>
        <w:spacing w:line="360" w:lineRule="auto"/>
        <w:rPr>
          <w:rFonts w:ascii="Verdana" w:hAnsi="Verdana"/>
          <w:b/>
          <w:bCs/>
          <w:sz w:val="18"/>
          <w:szCs w:val="18"/>
        </w:rPr>
      </w:pPr>
    </w:p>
    <w:p w14:paraId="1F7DC86E" w14:textId="378EB6FC" w:rsidR="0056302E" w:rsidRPr="00A20F72" w:rsidRDefault="00FC29F0" w:rsidP="00A20F72">
      <w:pPr>
        <w:spacing w:line="360" w:lineRule="auto"/>
        <w:rPr>
          <w:rFonts w:ascii="Verdana" w:hAnsi="Verdana"/>
          <w:b/>
          <w:bCs/>
          <w:sz w:val="18"/>
          <w:szCs w:val="18"/>
        </w:rPr>
      </w:pPr>
      <w:r w:rsidRPr="00A20F72">
        <w:rPr>
          <w:rFonts w:ascii="Verdana" w:hAnsi="Verdana"/>
          <w:b/>
          <w:bCs/>
          <w:sz w:val="18"/>
          <w:szCs w:val="18"/>
        </w:rPr>
        <w:t>D</w:t>
      </w:r>
      <w:r w:rsidR="0056302E" w:rsidRPr="00A20F72">
        <w:rPr>
          <w:rFonts w:ascii="Verdana" w:hAnsi="Verdana"/>
          <w:b/>
          <w:bCs/>
          <w:sz w:val="18"/>
          <w:szCs w:val="18"/>
        </w:rPr>
        <w:t>omestic caselaw</w:t>
      </w:r>
    </w:p>
    <w:p w14:paraId="33116303" w14:textId="137A14E8" w:rsidR="007C6706" w:rsidRPr="00A20F72" w:rsidRDefault="007C6706" w:rsidP="00A20F72">
      <w:pPr>
        <w:pStyle w:val="ListParagraph"/>
        <w:numPr>
          <w:ilvl w:val="0"/>
          <w:numId w:val="8"/>
        </w:numPr>
        <w:spacing w:line="360" w:lineRule="auto"/>
        <w:ind w:left="993"/>
        <w:rPr>
          <w:rFonts w:ascii="Verdana" w:hAnsi="Verdana"/>
          <w:iCs/>
          <w:sz w:val="18"/>
          <w:szCs w:val="18"/>
        </w:rPr>
      </w:pPr>
      <w:r w:rsidRPr="00A20F72">
        <w:rPr>
          <w:rFonts w:ascii="Verdana" w:hAnsi="Verdana"/>
          <w:i/>
          <w:sz w:val="18"/>
          <w:szCs w:val="18"/>
        </w:rPr>
        <w:t>Arklow Holidays Ltd v. Bord Pleanála</w:t>
      </w:r>
      <w:r w:rsidRPr="00A20F72">
        <w:rPr>
          <w:rFonts w:ascii="Verdana" w:hAnsi="Verdana"/>
          <w:iCs/>
          <w:sz w:val="18"/>
          <w:szCs w:val="18"/>
        </w:rPr>
        <w:t xml:space="preserve"> [2011] IESC 29, [2012] 2 I.R. 99.</w:t>
      </w:r>
    </w:p>
    <w:p w14:paraId="1104457B" w14:textId="07176ADB" w:rsidR="007C6706" w:rsidRPr="00A20F72" w:rsidRDefault="004F6CAE" w:rsidP="00A20F72">
      <w:pPr>
        <w:pStyle w:val="ListParagraph"/>
        <w:spacing w:line="360" w:lineRule="auto"/>
        <w:ind w:left="993"/>
        <w:rPr>
          <w:rFonts w:ascii="Verdana" w:hAnsi="Verdana"/>
          <w:iCs/>
          <w:sz w:val="18"/>
          <w:szCs w:val="18"/>
        </w:rPr>
      </w:pPr>
      <w:hyperlink r:id="rId54" w:anchor="view=fitH" w:history="1">
        <w:r w:rsidR="007C6706" w:rsidRPr="00A20F72">
          <w:rPr>
            <w:rStyle w:val="Hyperlink"/>
            <w:rFonts w:ascii="Verdana" w:hAnsi="Verdana"/>
            <w:iCs/>
            <w:sz w:val="18"/>
            <w:szCs w:val="18"/>
          </w:rPr>
          <w:t>https://www.courts.ie/acc/alfresco/130e3493-2549-43b9-9326-01517ca6e8cd/2011_IESC_29_1.pdf/pdf#view=fitH</w:t>
        </w:r>
      </w:hyperlink>
    </w:p>
    <w:p w14:paraId="364899BF" w14:textId="34BC3386" w:rsidR="00330DF8" w:rsidRPr="00A20F72" w:rsidRDefault="00330DF8" w:rsidP="00A20F72">
      <w:pPr>
        <w:pStyle w:val="ListParagraph"/>
        <w:numPr>
          <w:ilvl w:val="0"/>
          <w:numId w:val="8"/>
        </w:numPr>
        <w:spacing w:line="360" w:lineRule="auto"/>
        <w:ind w:left="993"/>
        <w:rPr>
          <w:rFonts w:ascii="Verdana" w:hAnsi="Verdana"/>
          <w:iCs/>
          <w:sz w:val="18"/>
          <w:szCs w:val="18"/>
        </w:rPr>
      </w:pPr>
      <w:r w:rsidRPr="00A20F72">
        <w:rPr>
          <w:rFonts w:ascii="Verdana" w:hAnsi="Verdana"/>
          <w:i/>
          <w:sz w:val="18"/>
          <w:szCs w:val="18"/>
        </w:rPr>
        <w:t>Kelly v. ABP</w:t>
      </w:r>
      <w:r w:rsidRPr="00A20F72">
        <w:rPr>
          <w:rFonts w:ascii="Verdana" w:hAnsi="Verdana"/>
          <w:iCs/>
          <w:sz w:val="18"/>
          <w:szCs w:val="18"/>
        </w:rPr>
        <w:t xml:space="preserve"> [2014] IEHC 400, [2014] 7 JIC 2503 (Unreported, High Court, Finlay Geoghegan J., 25</w:t>
      </w:r>
      <w:r w:rsidRPr="00A20F72">
        <w:rPr>
          <w:rFonts w:ascii="Verdana" w:hAnsi="Verdana"/>
          <w:iCs/>
          <w:sz w:val="18"/>
          <w:szCs w:val="18"/>
          <w:vertAlign w:val="superscript"/>
        </w:rPr>
        <w:t>th</w:t>
      </w:r>
      <w:r w:rsidRPr="00A20F72">
        <w:rPr>
          <w:rFonts w:ascii="Verdana" w:hAnsi="Verdana"/>
          <w:iCs/>
          <w:sz w:val="18"/>
          <w:szCs w:val="18"/>
        </w:rPr>
        <w:t xml:space="preserve"> July, 2014).</w:t>
      </w:r>
    </w:p>
    <w:p w14:paraId="064B1831" w14:textId="67B80361" w:rsidR="00330DF8" w:rsidRPr="00A20F72" w:rsidRDefault="004F6CAE" w:rsidP="00A20F72">
      <w:pPr>
        <w:pStyle w:val="ListParagraph"/>
        <w:spacing w:line="360" w:lineRule="auto"/>
        <w:ind w:left="993"/>
        <w:rPr>
          <w:rFonts w:ascii="Verdana" w:hAnsi="Verdana"/>
          <w:iCs/>
          <w:sz w:val="18"/>
          <w:szCs w:val="18"/>
        </w:rPr>
      </w:pPr>
      <w:hyperlink r:id="rId55" w:anchor="view=fitH" w:history="1">
        <w:r w:rsidR="00330DF8" w:rsidRPr="00A20F72">
          <w:rPr>
            <w:rStyle w:val="Hyperlink"/>
            <w:rFonts w:ascii="Verdana" w:hAnsi="Verdana"/>
            <w:iCs/>
            <w:sz w:val="18"/>
            <w:szCs w:val="18"/>
          </w:rPr>
          <w:t>https://www.courts.ie/acc/alfresco/837c306b-fa79-4a11-ba66-74a3cc5b9e63/2014_IEHC_400_1.pdf/pdf#view=fitH</w:t>
        </w:r>
      </w:hyperlink>
    </w:p>
    <w:p w14:paraId="02ED41D9" w14:textId="000F4AAD" w:rsidR="007C6706" w:rsidRPr="00A20F72" w:rsidRDefault="007C6706" w:rsidP="00A20F72">
      <w:pPr>
        <w:pStyle w:val="ListParagraph"/>
        <w:numPr>
          <w:ilvl w:val="0"/>
          <w:numId w:val="8"/>
        </w:numPr>
        <w:spacing w:line="360" w:lineRule="auto"/>
        <w:ind w:left="993"/>
        <w:rPr>
          <w:rFonts w:ascii="Verdana" w:hAnsi="Verdana"/>
          <w:iCs/>
          <w:sz w:val="18"/>
          <w:szCs w:val="18"/>
        </w:rPr>
      </w:pPr>
      <w:r w:rsidRPr="00A20F72">
        <w:rPr>
          <w:rFonts w:ascii="Verdana" w:hAnsi="Verdana"/>
          <w:i/>
          <w:sz w:val="18"/>
          <w:szCs w:val="18"/>
        </w:rPr>
        <w:t>Callaghan v. An Bord Pleanála</w:t>
      </w:r>
      <w:r w:rsidRPr="00A20F72">
        <w:rPr>
          <w:rFonts w:ascii="Verdana" w:hAnsi="Verdana"/>
          <w:iCs/>
          <w:sz w:val="18"/>
          <w:szCs w:val="18"/>
        </w:rPr>
        <w:t xml:space="preserve"> [2017] IESC 60, [2017] 7 JIC 2706 (Unreported, Supreme Court, Clarke J., (MacMenamin and Dunne JJ. concurring), 27</w:t>
      </w:r>
      <w:r w:rsidRPr="00A20F72">
        <w:rPr>
          <w:rFonts w:ascii="Verdana" w:hAnsi="Verdana"/>
          <w:iCs/>
          <w:sz w:val="18"/>
          <w:szCs w:val="18"/>
          <w:vertAlign w:val="superscript"/>
        </w:rPr>
        <w:t>th</w:t>
      </w:r>
      <w:r w:rsidRPr="00A20F72">
        <w:rPr>
          <w:rFonts w:ascii="Verdana" w:hAnsi="Verdana"/>
          <w:iCs/>
          <w:sz w:val="18"/>
          <w:szCs w:val="18"/>
        </w:rPr>
        <w:t xml:space="preserve"> July, 2017).</w:t>
      </w:r>
    </w:p>
    <w:p w14:paraId="69F6A6E2" w14:textId="12890D0A" w:rsidR="007C6706" w:rsidRPr="00A20F72" w:rsidRDefault="004F6CAE" w:rsidP="00A20F72">
      <w:pPr>
        <w:pStyle w:val="ListParagraph"/>
        <w:spacing w:line="360" w:lineRule="auto"/>
        <w:ind w:left="993"/>
        <w:rPr>
          <w:rFonts w:ascii="Verdana" w:hAnsi="Verdana"/>
          <w:iCs/>
          <w:sz w:val="18"/>
          <w:szCs w:val="18"/>
        </w:rPr>
      </w:pPr>
      <w:hyperlink r:id="rId56" w:anchor="view=fitH" w:history="1">
        <w:r w:rsidR="007C6706" w:rsidRPr="00A20F72">
          <w:rPr>
            <w:rStyle w:val="Hyperlink"/>
            <w:rFonts w:ascii="Verdana" w:hAnsi="Verdana"/>
            <w:iCs/>
            <w:sz w:val="18"/>
            <w:szCs w:val="18"/>
          </w:rPr>
          <w:t>https://www.courts.ie/acc/alfresco/cefd1393-683a-423a-917c-2ef74e9fbdf6/2017_IESC_60_1.pdf/pdf#view=fitH</w:t>
        </w:r>
      </w:hyperlink>
    </w:p>
    <w:p w14:paraId="5ADAA9B7" w14:textId="0C430A42" w:rsidR="00E9468A" w:rsidRPr="00A20F72" w:rsidRDefault="00E9468A" w:rsidP="00A20F72">
      <w:pPr>
        <w:pStyle w:val="ListParagraph"/>
        <w:numPr>
          <w:ilvl w:val="0"/>
          <w:numId w:val="8"/>
        </w:numPr>
        <w:spacing w:line="360" w:lineRule="auto"/>
        <w:ind w:left="993"/>
        <w:rPr>
          <w:rFonts w:ascii="Verdana" w:hAnsi="Verdana"/>
          <w:iCs/>
          <w:sz w:val="18"/>
          <w:szCs w:val="18"/>
        </w:rPr>
      </w:pPr>
      <w:r w:rsidRPr="00A20F72">
        <w:rPr>
          <w:rFonts w:ascii="Verdana" w:hAnsi="Verdana"/>
          <w:i/>
          <w:sz w:val="18"/>
          <w:szCs w:val="18"/>
        </w:rPr>
        <w:t>Holohan v. An Bord Pleanála</w:t>
      </w:r>
      <w:r w:rsidRPr="00A20F72">
        <w:rPr>
          <w:rFonts w:ascii="Verdana" w:hAnsi="Verdana"/>
          <w:iCs/>
          <w:sz w:val="18"/>
          <w:szCs w:val="18"/>
        </w:rPr>
        <w:t xml:space="preserve"> [2017] IEHC 268, [2017] 5 JIC 0403 (Unreported, High Court, 4th May, 2017).</w:t>
      </w:r>
    </w:p>
    <w:p w14:paraId="761CCA92" w14:textId="46A94B3B" w:rsidR="00E9468A" w:rsidRPr="00A20F72" w:rsidRDefault="004F6CAE" w:rsidP="00A20F72">
      <w:pPr>
        <w:pStyle w:val="ListParagraph"/>
        <w:spacing w:line="360" w:lineRule="auto"/>
        <w:ind w:left="993"/>
        <w:rPr>
          <w:rFonts w:ascii="Verdana" w:hAnsi="Verdana"/>
          <w:iCs/>
          <w:sz w:val="18"/>
          <w:szCs w:val="18"/>
        </w:rPr>
      </w:pPr>
      <w:hyperlink r:id="rId57" w:anchor="view=fitH" w:history="1">
        <w:r w:rsidR="00E9468A" w:rsidRPr="00A20F72">
          <w:rPr>
            <w:rStyle w:val="Hyperlink"/>
            <w:rFonts w:ascii="Verdana" w:hAnsi="Verdana"/>
            <w:iCs/>
            <w:sz w:val="18"/>
            <w:szCs w:val="18"/>
          </w:rPr>
          <w:t>https://www.courts.ie/acc/alfresco/6f79ed84-b27c-4249-8592-814686f783bc/2017_IEHC_268_1.pdf/pdf#view=fitH</w:t>
        </w:r>
      </w:hyperlink>
    </w:p>
    <w:p w14:paraId="11ADABEC" w14:textId="5A999F04" w:rsidR="00E9468A" w:rsidRPr="00A20F72" w:rsidRDefault="00E9468A" w:rsidP="00A20F72">
      <w:pPr>
        <w:pStyle w:val="ListParagraph"/>
        <w:numPr>
          <w:ilvl w:val="0"/>
          <w:numId w:val="8"/>
        </w:numPr>
        <w:spacing w:line="360" w:lineRule="auto"/>
        <w:ind w:left="993"/>
        <w:rPr>
          <w:rFonts w:ascii="Verdana" w:hAnsi="Verdana"/>
          <w:iCs/>
          <w:sz w:val="18"/>
          <w:szCs w:val="18"/>
        </w:rPr>
      </w:pPr>
      <w:r w:rsidRPr="00A20F72">
        <w:rPr>
          <w:rFonts w:ascii="Verdana" w:hAnsi="Verdana"/>
          <w:i/>
          <w:sz w:val="18"/>
          <w:szCs w:val="18"/>
        </w:rPr>
        <w:t>Connelly v. An Bord Pleanála</w:t>
      </w:r>
      <w:r w:rsidRPr="00A20F72">
        <w:rPr>
          <w:rFonts w:ascii="Verdana" w:hAnsi="Verdana"/>
          <w:iCs/>
          <w:sz w:val="18"/>
          <w:szCs w:val="18"/>
        </w:rPr>
        <w:t xml:space="preserve"> [2018] IESC 31, [2018] 2 I.L.R.M. 453.</w:t>
      </w:r>
    </w:p>
    <w:p w14:paraId="52763D2F" w14:textId="5F226C80" w:rsidR="00E9468A" w:rsidRPr="00A20F72" w:rsidRDefault="004F6CAE" w:rsidP="00A20F72">
      <w:pPr>
        <w:pStyle w:val="ListParagraph"/>
        <w:spacing w:line="360" w:lineRule="auto"/>
        <w:ind w:left="993"/>
        <w:rPr>
          <w:rFonts w:ascii="Verdana" w:hAnsi="Verdana"/>
          <w:iCs/>
          <w:sz w:val="18"/>
          <w:szCs w:val="18"/>
        </w:rPr>
      </w:pPr>
      <w:hyperlink r:id="rId58" w:anchor="view=fitH" w:history="1">
        <w:r w:rsidR="00E9468A" w:rsidRPr="00A20F72">
          <w:rPr>
            <w:rStyle w:val="Hyperlink"/>
            <w:rFonts w:ascii="Verdana" w:hAnsi="Verdana"/>
            <w:iCs/>
            <w:sz w:val="18"/>
            <w:szCs w:val="18"/>
          </w:rPr>
          <w:t>https://www.courts.ie/acc/alfresco/b5fc7d8a-a799-4446-95e3-37a2a7f5bdd8/2018_IESC_31_1.pdf/pdf#view=fitH</w:t>
        </w:r>
      </w:hyperlink>
    </w:p>
    <w:p w14:paraId="4EA9396D" w14:textId="58E6EDF3" w:rsidR="00E9468A" w:rsidRPr="00A20F72" w:rsidRDefault="00E9468A" w:rsidP="00A20F72">
      <w:pPr>
        <w:pStyle w:val="ListParagraph"/>
        <w:numPr>
          <w:ilvl w:val="0"/>
          <w:numId w:val="8"/>
        </w:numPr>
        <w:spacing w:line="360" w:lineRule="auto"/>
        <w:ind w:left="993"/>
        <w:rPr>
          <w:rFonts w:ascii="Verdana" w:hAnsi="Verdana"/>
          <w:iCs/>
          <w:sz w:val="18"/>
          <w:szCs w:val="18"/>
        </w:rPr>
      </w:pPr>
      <w:r w:rsidRPr="00A20F72">
        <w:rPr>
          <w:rFonts w:ascii="Verdana" w:hAnsi="Verdana"/>
          <w:i/>
          <w:sz w:val="18"/>
          <w:szCs w:val="18"/>
        </w:rPr>
        <w:t>B.D. (Bhutan and Nepal) v. Minister for Justice and Equality</w:t>
      </w:r>
      <w:r w:rsidRPr="00A20F72">
        <w:rPr>
          <w:rFonts w:ascii="Verdana" w:hAnsi="Verdana"/>
          <w:iCs/>
          <w:sz w:val="18"/>
          <w:szCs w:val="18"/>
        </w:rPr>
        <w:t xml:space="preserve"> [2018] IEHC 461, [2018] 7 JIC 1709 (Unreported, High Court, 17th July, 2018).</w:t>
      </w:r>
    </w:p>
    <w:p w14:paraId="2E436E5A" w14:textId="728E7B70" w:rsidR="00E9468A" w:rsidRPr="00A20F72" w:rsidRDefault="004F6CAE" w:rsidP="00A20F72">
      <w:pPr>
        <w:pStyle w:val="ListParagraph"/>
        <w:spacing w:line="360" w:lineRule="auto"/>
        <w:ind w:left="993"/>
        <w:rPr>
          <w:rFonts w:ascii="Verdana" w:hAnsi="Verdana"/>
          <w:iCs/>
          <w:sz w:val="18"/>
          <w:szCs w:val="18"/>
        </w:rPr>
      </w:pPr>
      <w:hyperlink r:id="rId59" w:anchor="view=fitH" w:history="1">
        <w:r w:rsidR="00E9468A" w:rsidRPr="00A20F72">
          <w:rPr>
            <w:rStyle w:val="Hyperlink"/>
            <w:rFonts w:ascii="Verdana" w:hAnsi="Verdana"/>
            <w:iCs/>
            <w:sz w:val="18"/>
            <w:szCs w:val="18"/>
          </w:rPr>
          <w:t>https://www.courts.ie/acc/alfresco/463c03db-c145-48cd-96a3-4d4fdcacf2f5/2018_IEHC_461_1.pdf/pdf#view=fitH</w:t>
        </w:r>
      </w:hyperlink>
    </w:p>
    <w:p w14:paraId="4D0CE962" w14:textId="25BDAA72" w:rsidR="00E9468A" w:rsidRPr="00A20F72" w:rsidRDefault="00E9468A" w:rsidP="00A20F72">
      <w:pPr>
        <w:pStyle w:val="ListParagraph"/>
        <w:numPr>
          <w:ilvl w:val="0"/>
          <w:numId w:val="8"/>
        </w:numPr>
        <w:spacing w:line="360" w:lineRule="auto"/>
        <w:ind w:left="993"/>
        <w:rPr>
          <w:rFonts w:ascii="Verdana" w:hAnsi="Verdana"/>
          <w:iCs/>
          <w:sz w:val="18"/>
          <w:szCs w:val="18"/>
        </w:rPr>
      </w:pPr>
      <w:r w:rsidRPr="00A20F72">
        <w:rPr>
          <w:rFonts w:ascii="Verdana" w:hAnsi="Verdana"/>
          <w:i/>
          <w:sz w:val="18"/>
          <w:szCs w:val="18"/>
        </w:rPr>
        <w:t xml:space="preserve">Kelly v. An Bord </w:t>
      </w:r>
      <w:r w:rsidR="00F14A36" w:rsidRPr="00A20F72">
        <w:rPr>
          <w:rFonts w:ascii="Verdana" w:hAnsi="Verdana"/>
          <w:i/>
          <w:sz w:val="18"/>
          <w:szCs w:val="18"/>
        </w:rPr>
        <w:t>Pleanála</w:t>
      </w:r>
      <w:r w:rsidRPr="00A20F72">
        <w:rPr>
          <w:rFonts w:ascii="Verdana" w:hAnsi="Verdana"/>
          <w:iCs/>
          <w:sz w:val="18"/>
          <w:szCs w:val="18"/>
        </w:rPr>
        <w:t xml:space="preserve"> [2019] IEHC 84, [2019] 2 JIC 0804 (Unreported, High Court, Barniville J., 8</w:t>
      </w:r>
      <w:r w:rsidRPr="00A20F72">
        <w:rPr>
          <w:rFonts w:ascii="Verdana" w:hAnsi="Verdana"/>
          <w:iCs/>
          <w:sz w:val="18"/>
          <w:szCs w:val="18"/>
          <w:vertAlign w:val="superscript"/>
        </w:rPr>
        <w:t>th</w:t>
      </w:r>
      <w:r w:rsidRPr="00A20F72">
        <w:rPr>
          <w:rFonts w:ascii="Verdana" w:hAnsi="Verdana"/>
          <w:iCs/>
          <w:sz w:val="18"/>
          <w:szCs w:val="18"/>
        </w:rPr>
        <w:t xml:space="preserve"> February, 2019).</w:t>
      </w:r>
    </w:p>
    <w:p w14:paraId="39D6C1B8" w14:textId="35E0223E" w:rsidR="00E9468A" w:rsidRPr="00A20F72" w:rsidRDefault="004F6CAE" w:rsidP="00A20F72">
      <w:pPr>
        <w:pStyle w:val="ListParagraph"/>
        <w:spacing w:line="360" w:lineRule="auto"/>
        <w:ind w:left="993"/>
        <w:rPr>
          <w:rFonts w:ascii="Verdana" w:hAnsi="Verdana"/>
          <w:iCs/>
          <w:sz w:val="18"/>
          <w:szCs w:val="18"/>
        </w:rPr>
      </w:pPr>
      <w:hyperlink r:id="rId60" w:anchor="view=fitH" w:history="1">
        <w:r w:rsidR="00E9468A" w:rsidRPr="00A20F72">
          <w:rPr>
            <w:rStyle w:val="Hyperlink"/>
            <w:rFonts w:ascii="Verdana" w:hAnsi="Verdana"/>
            <w:iCs/>
            <w:sz w:val="18"/>
            <w:szCs w:val="18"/>
          </w:rPr>
          <w:t>https://www.courts.ie/acc/alfresco/248e1258-8490-4f02-9db1-2f5482103a57/2019_IEHC_84.pdf/pdf#view=fitH</w:t>
        </w:r>
      </w:hyperlink>
    </w:p>
    <w:p w14:paraId="036225D4" w14:textId="56DF7711" w:rsidR="00E9468A" w:rsidRPr="00A20F72" w:rsidRDefault="00E9468A" w:rsidP="00A20F72">
      <w:pPr>
        <w:pStyle w:val="ListParagraph"/>
        <w:numPr>
          <w:ilvl w:val="0"/>
          <w:numId w:val="8"/>
        </w:numPr>
        <w:spacing w:line="360" w:lineRule="auto"/>
        <w:ind w:left="993"/>
        <w:rPr>
          <w:rFonts w:ascii="Verdana" w:hAnsi="Verdana"/>
          <w:iCs/>
          <w:sz w:val="18"/>
          <w:szCs w:val="18"/>
        </w:rPr>
      </w:pPr>
      <w:r w:rsidRPr="00A20F72">
        <w:rPr>
          <w:rFonts w:ascii="Verdana" w:hAnsi="Verdana"/>
          <w:i/>
          <w:sz w:val="18"/>
          <w:szCs w:val="18"/>
        </w:rPr>
        <w:t>Balz v. An Bord Pleanála</w:t>
      </w:r>
      <w:r w:rsidRPr="00A20F72">
        <w:rPr>
          <w:rFonts w:ascii="Verdana" w:hAnsi="Verdana"/>
          <w:iCs/>
          <w:sz w:val="18"/>
          <w:szCs w:val="18"/>
        </w:rPr>
        <w:t xml:space="preserve"> [2019] IESC 90, [2020] 1 I.L.R.M. 637.</w:t>
      </w:r>
    </w:p>
    <w:p w14:paraId="55E7A549" w14:textId="36B416EC" w:rsidR="00E9468A" w:rsidRPr="00A20F72" w:rsidRDefault="004F6CAE" w:rsidP="00A20F72">
      <w:pPr>
        <w:pStyle w:val="ListParagraph"/>
        <w:spacing w:line="360" w:lineRule="auto"/>
        <w:ind w:left="993"/>
        <w:rPr>
          <w:rFonts w:ascii="Verdana" w:hAnsi="Verdana"/>
          <w:iCs/>
          <w:sz w:val="18"/>
          <w:szCs w:val="18"/>
        </w:rPr>
      </w:pPr>
      <w:hyperlink r:id="rId61" w:anchor="view=fitH" w:history="1">
        <w:r w:rsidR="00E9468A" w:rsidRPr="00A20F72">
          <w:rPr>
            <w:rStyle w:val="Hyperlink"/>
            <w:rFonts w:ascii="Verdana" w:hAnsi="Verdana"/>
            <w:iCs/>
            <w:sz w:val="18"/>
            <w:szCs w:val="18"/>
          </w:rPr>
          <w:t>https://www.courts.ie/acc/alfresco/f0d807dc-b302-47c1-b2f6-8a93e73c4c1b/2019_IESC_90_1.pdf/pdf#view=fitH</w:t>
        </w:r>
      </w:hyperlink>
    </w:p>
    <w:p w14:paraId="6751E598" w14:textId="27755709" w:rsidR="00E9468A" w:rsidRPr="00A20F72" w:rsidRDefault="00E9468A" w:rsidP="00A20F72">
      <w:pPr>
        <w:pStyle w:val="ListParagraph"/>
        <w:numPr>
          <w:ilvl w:val="0"/>
          <w:numId w:val="8"/>
        </w:numPr>
        <w:spacing w:line="360" w:lineRule="auto"/>
        <w:ind w:left="993"/>
        <w:rPr>
          <w:rFonts w:ascii="Verdana" w:hAnsi="Verdana"/>
          <w:iCs/>
          <w:sz w:val="18"/>
          <w:szCs w:val="18"/>
        </w:rPr>
      </w:pPr>
      <w:r w:rsidRPr="00A20F72">
        <w:rPr>
          <w:rFonts w:ascii="Verdana" w:hAnsi="Verdana"/>
          <w:i/>
          <w:sz w:val="18"/>
          <w:szCs w:val="18"/>
        </w:rPr>
        <w:t>Heather Hill Management Company CLG v. An Bord Pleanála</w:t>
      </w:r>
      <w:r w:rsidRPr="00A20F72">
        <w:rPr>
          <w:rFonts w:ascii="Verdana" w:hAnsi="Verdana"/>
          <w:iCs/>
          <w:sz w:val="18"/>
          <w:szCs w:val="18"/>
        </w:rPr>
        <w:t xml:space="preserve"> [2019] IEHC 450, [2019] 6 JIC 2103 (Unreported, High Court, Simons J., 21</w:t>
      </w:r>
      <w:r w:rsidRPr="00A20F72">
        <w:rPr>
          <w:rFonts w:ascii="Verdana" w:hAnsi="Verdana"/>
          <w:iCs/>
          <w:sz w:val="18"/>
          <w:szCs w:val="18"/>
          <w:vertAlign w:val="superscript"/>
        </w:rPr>
        <w:t>st</w:t>
      </w:r>
      <w:r w:rsidRPr="00A20F72">
        <w:rPr>
          <w:rFonts w:ascii="Verdana" w:hAnsi="Verdana"/>
          <w:iCs/>
          <w:sz w:val="18"/>
          <w:szCs w:val="18"/>
        </w:rPr>
        <w:t xml:space="preserve"> June, 2019).</w:t>
      </w:r>
    </w:p>
    <w:p w14:paraId="5B98ABCA" w14:textId="5DD45B01" w:rsidR="00E9468A" w:rsidRPr="00A20F72" w:rsidRDefault="004F6CAE" w:rsidP="00A20F72">
      <w:pPr>
        <w:pStyle w:val="ListParagraph"/>
        <w:spacing w:line="360" w:lineRule="auto"/>
        <w:ind w:left="993"/>
        <w:rPr>
          <w:rFonts w:ascii="Verdana" w:hAnsi="Verdana"/>
          <w:iCs/>
          <w:sz w:val="18"/>
          <w:szCs w:val="18"/>
        </w:rPr>
      </w:pPr>
      <w:hyperlink r:id="rId62" w:anchor="view=fitH" w:history="1">
        <w:r w:rsidR="00BC7DE9" w:rsidRPr="00A20F72">
          <w:rPr>
            <w:rStyle w:val="Hyperlink"/>
            <w:rFonts w:ascii="Verdana" w:hAnsi="Verdana"/>
            <w:iCs/>
            <w:sz w:val="18"/>
            <w:szCs w:val="18"/>
          </w:rPr>
          <w:t>https://www.courts.ie/acc/alfresco/18aaa760-8913-4719-8ef9-f66f2afd9385/2019_IEHC_450_1.pdf/pdf#view=fitH</w:t>
        </w:r>
      </w:hyperlink>
    </w:p>
    <w:p w14:paraId="4BE1DF2B" w14:textId="3CD0BF1F" w:rsidR="00E9468A" w:rsidRPr="00A20F72" w:rsidRDefault="00E9468A" w:rsidP="00A20F72">
      <w:pPr>
        <w:pStyle w:val="ListParagraph"/>
        <w:numPr>
          <w:ilvl w:val="0"/>
          <w:numId w:val="8"/>
        </w:numPr>
        <w:spacing w:line="360" w:lineRule="auto"/>
        <w:ind w:left="993"/>
        <w:rPr>
          <w:rFonts w:ascii="Verdana" w:hAnsi="Verdana"/>
          <w:iCs/>
          <w:sz w:val="18"/>
          <w:szCs w:val="18"/>
        </w:rPr>
      </w:pPr>
      <w:r w:rsidRPr="00A20F72">
        <w:rPr>
          <w:rFonts w:ascii="Verdana" w:hAnsi="Verdana"/>
          <w:i/>
          <w:sz w:val="18"/>
          <w:szCs w:val="18"/>
        </w:rPr>
        <w:t>Uí Mhuirnín v. Minister for Housing, Planning and Local Government</w:t>
      </w:r>
      <w:r w:rsidRPr="00A20F72">
        <w:rPr>
          <w:rFonts w:ascii="Verdana" w:hAnsi="Verdana"/>
          <w:iCs/>
          <w:sz w:val="18"/>
          <w:szCs w:val="18"/>
        </w:rPr>
        <w:t xml:space="preserve"> [2019] IEHC 824, [2019] 12 JIC 0503 (Unreported, High Court, Quinn J., 5</w:t>
      </w:r>
      <w:r w:rsidRPr="00A20F72">
        <w:rPr>
          <w:rFonts w:ascii="Verdana" w:hAnsi="Verdana"/>
          <w:iCs/>
          <w:sz w:val="18"/>
          <w:szCs w:val="18"/>
          <w:vertAlign w:val="superscript"/>
        </w:rPr>
        <w:t>th</w:t>
      </w:r>
      <w:r w:rsidRPr="00A20F72">
        <w:rPr>
          <w:rFonts w:ascii="Verdana" w:hAnsi="Verdana"/>
          <w:iCs/>
          <w:sz w:val="18"/>
          <w:szCs w:val="18"/>
        </w:rPr>
        <w:t xml:space="preserve"> December, 2019).</w:t>
      </w:r>
    </w:p>
    <w:p w14:paraId="2F40E4E0" w14:textId="66156519" w:rsidR="00E9468A" w:rsidRPr="00A20F72" w:rsidRDefault="004F6CAE" w:rsidP="00A20F72">
      <w:pPr>
        <w:pStyle w:val="ListParagraph"/>
        <w:spacing w:line="360" w:lineRule="auto"/>
        <w:ind w:left="993"/>
        <w:rPr>
          <w:rFonts w:ascii="Verdana" w:hAnsi="Verdana"/>
          <w:iCs/>
          <w:sz w:val="18"/>
          <w:szCs w:val="18"/>
        </w:rPr>
      </w:pPr>
      <w:hyperlink r:id="rId63" w:anchor="view=fitH" w:history="1">
        <w:r w:rsidR="00BC7DE9" w:rsidRPr="00A20F72">
          <w:rPr>
            <w:rStyle w:val="Hyperlink"/>
            <w:rFonts w:ascii="Verdana" w:hAnsi="Verdana"/>
            <w:iCs/>
            <w:sz w:val="18"/>
            <w:szCs w:val="18"/>
          </w:rPr>
          <w:t>https://www.courts.ie/acc/alfresco/0e26521a-12ce-4386-9784-86e5dca953fb/2019_IEHC_824_1.pdf/pdf#view=fitH</w:t>
        </w:r>
      </w:hyperlink>
    </w:p>
    <w:p w14:paraId="333B647D" w14:textId="31B002E2" w:rsidR="00E9468A" w:rsidRPr="00A20F72" w:rsidRDefault="00E9468A" w:rsidP="00A20F72">
      <w:pPr>
        <w:pStyle w:val="ListParagraph"/>
        <w:numPr>
          <w:ilvl w:val="0"/>
          <w:numId w:val="8"/>
        </w:numPr>
        <w:spacing w:line="360" w:lineRule="auto"/>
        <w:ind w:left="993"/>
        <w:rPr>
          <w:rFonts w:ascii="Verdana" w:hAnsi="Verdana"/>
          <w:iCs/>
          <w:sz w:val="18"/>
          <w:szCs w:val="18"/>
        </w:rPr>
      </w:pPr>
      <w:r w:rsidRPr="00A20F72">
        <w:rPr>
          <w:rFonts w:ascii="Verdana" w:hAnsi="Verdana"/>
          <w:i/>
          <w:sz w:val="18"/>
          <w:szCs w:val="18"/>
        </w:rPr>
        <w:t>Sweetman v. An Bord Pleanála</w:t>
      </w:r>
      <w:r w:rsidRPr="00A20F72">
        <w:rPr>
          <w:rFonts w:ascii="Verdana" w:hAnsi="Verdana"/>
          <w:iCs/>
          <w:sz w:val="18"/>
          <w:szCs w:val="18"/>
        </w:rPr>
        <w:t xml:space="preserve"> [2020] IEHC 39, [2020] 1 JIC 3104 (Unreported, High Court, McDonald J., 31</w:t>
      </w:r>
      <w:r w:rsidRPr="00A20F72">
        <w:rPr>
          <w:rFonts w:ascii="Verdana" w:hAnsi="Verdana"/>
          <w:iCs/>
          <w:sz w:val="18"/>
          <w:szCs w:val="18"/>
          <w:vertAlign w:val="superscript"/>
        </w:rPr>
        <w:t>st</w:t>
      </w:r>
      <w:r w:rsidRPr="00A20F72">
        <w:rPr>
          <w:rFonts w:ascii="Verdana" w:hAnsi="Verdana"/>
          <w:iCs/>
          <w:sz w:val="18"/>
          <w:szCs w:val="18"/>
        </w:rPr>
        <w:t xml:space="preserve"> January, 2020).</w:t>
      </w:r>
    </w:p>
    <w:p w14:paraId="486B78C2" w14:textId="449D6AC2" w:rsidR="00E9468A" w:rsidRPr="00A20F72" w:rsidRDefault="004F6CAE" w:rsidP="00A20F72">
      <w:pPr>
        <w:pStyle w:val="ListParagraph"/>
        <w:tabs>
          <w:tab w:val="left" w:pos="2091"/>
        </w:tabs>
        <w:spacing w:line="360" w:lineRule="auto"/>
        <w:ind w:left="993"/>
        <w:rPr>
          <w:rFonts w:ascii="Verdana" w:hAnsi="Verdana"/>
          <w:iCs/>
          <w:sz w:val="18"/>
          <w:szCs w:val="18"/>
        </w:rPr>
      </w:pPr>
      <w:hyperlink r:id="rId64" w:anchor="view=fitH" w:history="1">
        <w:r w:rsidR="00BC7DE9" w:rsidRPr="00A20F72">
          <w:rPr>
            <w:rStyle w:val="Hyperlink"/>
            <w:rFonts w:ascii="Verdana" w:hAnsi="Verdana"/>
            <w:iCs/>
            <w:sz w:val="18"/>
            <w:szCs w:val="18"/>
          </w:rPr>
          <w:t>https://www.courts.ie/acc/alfresco/53a163a0-ce58-4435-bfed-2561e3ea9b86/2020_IEHC_39.pdf/pdf#view=fitH</w:t>
        </w:r>
      </w:hyperlink>
    </w:p>
    <w:p w14:paraId="14C49344" w14:textId="77D2CEC7" w:rsidR="00330DF8" w:rsidRPr="00A20F72" w:rsidRDefault="00330DF8" w:rsidP="00A20F72">
      <w:pPr>
        <w:pStyle w:val="ListParagraph"/>
        <w:numPr>
          <w:ilvl w:val="0"/>
          <w:numId w:val="8"/>
        </w:numPr>
        <w:spacing w:line="360" w:lineRule="auto"/>
        <w:ind w:left="993"/>
        <w:rPr>
          <w:rFonts w:ascii="Verdana" w:hAnsi="Verdana"/>
          <w:iCs/>
          <w:sz w:val="18"/>
          <w:szCs w:val="18"/>
        </w:rPr>
      </w:pPr>
      <w:r w:rsidRPr="00A20F72">
        <w:rPr>
          <w:rFonts w:ascii="Verdana" w:hAnsi="Verdana"/>
          <w:i/>
          <w:sz w:val="18"/>
          <w:szCs w:val="18"/>
        </w:rPr>
        <w:t>Dempsey v. An Bord Pleanála (No. 1)</w:t>
      </w:r>
      <w:r w:rsidRPr="00A20F72">
        <w:rPr>
          <w:rFonts w:ascii="Verdana" w:hAnsi="Verdana"/>
          <w:iCs/>
          <w:sz w:val="18"/>
          <w:szCs w:val="18"/>
        </w:rPr>
        <w:t xml:space="preserve"> [2020] IEHC 188, [2020] 4 JIC 2401 (Unreported, High Court, Simons J., 24</w:t>
      </w:r>
      <w:r w:rsidRPr="00A20F72">
        <w:rPr>
          <w:rFonts w:ascii="Verdana" w:hAnsi="Verdana"/>
          <w:iCs/>
          <w:sz w:val="18"/>
          <w:szCs w:val="18"/>
          <w:vertAlign w:val="superscript"/>
        </w:rPr>
        <w:t>th</w:t>
      </w:r>
      <w:r w:rsidRPr="00A20F72">
        <w:rPr>
          <w:rFonts w:ascii="Verdana" w:hAnsi="Verdana"/>
          <w:iCs/>
          <w:sz w:val="18"/>
          <w:szCs w:val="18"/>
        </w:rPr>
        <w:t xml:space="preserve"> April, 2020).</w:t>
      </w:r>
    </w:p>
    <w:p w14:paraId="6D538EA5" w14:textId="37B562D6" w:rsidR="00330DF8" w:rsidRPr="00A20F72" w:rsidRDefault="004F6CAE" w:rsidP="00A20F72">
      <w:pPr>
        <w:pStyle w:val="ListParagraph"/>
        <w:tabs>
          <w:tab w:val="left" w:pos="2091"/>
        </w:tabs>
        <w:spacing w:line="360" w:lineRule="auto"/>
        <w:ind w:left="993"/>
        <w:rPr>
          <w:rFonts w:ascii="Verdana" w:hAnsi="Verdana"/>
          <w:iCs/>
          <w:sz w:val="18"/>
          <w:szCs w:val="18"/>
        </w:rPr>
      </w:pPr>
      <w:hyperlink r:id="rId65" w:anchor="view=fitH" w:history="1">
        <w:r w:rsidR="00116917" w:rsidRPr="00A20F72">
          <w:rPr>
            <w:rStyle w:val="Hyperlink"/>
            <w:rFonts w:ascii="Verdana" w:hAnsi="Verdana"/>
            <w:iCs/>
            <w:sz w:val="18"/>
            <w:szCs w:val="18"/>
          </w:rPr>
          <w:t>https://www.courts.ie/acc/alfresco/465318f9-2540-403d-9db8-10e8b48c91e3/2020_IEHC_188.pdf/pdf#view=fitH</w:t>
        </w:r>
      </w:hyperlink>
    </w:p>
    <w:p w14:paraId="732F3FFC" w14:textId="484AEB31" w:rsidR="00330DF8" w:rsidRPr="00A20F72" w:rsidRDefault="00330DF8" w:rsidP="00A20F72">
      <w:pPr>
        <w:pStyle w:val="ListParagraph"/>
        <w:numPr>
          <w:ilvl w:val="0"/>
          <w:numId w:val="8"/>
        </w:numPr>
        <w:spacing w:line="360" w:lineRule="auto"/>
        <w:ind w:left="993"/>
        <w:rPr>
          <w:rFonts w:ascii="Verdana" w:hAnsi="Verdana"/>
          <w:iCs/>
          <w:sz w:val="18"/>
          <w:szCs w:val="18"/>
        </w:rPr>
      </w:pPr>
      <w:r w:rsidRPr="00A20F72">
        <w:rPr>
          <w:rFonts w:ascii="Verdana" w:hAnsi="Verdana"/>
          <w:i/>
          <w:sz w:val="18"/>
          <w:szCs w:val="18"/>
        </w:rPr>
        <w:t>Rushe v. An Bord Pleanála</w:t>
      </w:r>
      <w:r w:rsidRPr="00A20F72">
        <w:rPr>
          <w:rFonts w:ascii="Verdana" w:hAnsi="Verdana"/>
          <w:iCs/>
          <w:sz w:val="18"/>
          <w:szCs w:val="18"/>
        </w:rPr>
        <w:t xml:space="preserve"> (No. 2) [2020] IEHC 429, [2020] 8 JIC 3101 (Unreported, High Court, Barniville J., 31</w:t>
      </w:r>
      <w:r w:rsidRPr="00A20F72">
        <w:rPr>
          <w:rFonts w:ascii="Verdana" w:hAnsi="Verdana"/>
          <w:iCs/>
          <w:sz w:val="18"/>
          <w:szCs w:val="18"/>
          <w:vertAlign w:val="superscript"/>
        </w:rPr>
        <w:t>st</w:t>
      </w:r>
      <w:r w:rsidRPr="00A20F72">
        <w:rPr>
          <w:rFonts w:ascii="Verdana" w:hAnsi="Verdana"/>
          <w:iCs/>
          <w:sz w:val="18"/>
          <w:szCs w:val="18"/>
        </w:rPr>
        <w:t xml:space="preserve"> August, 2020).</w:t>
      </w:r>
    </w:p>
    <w:p w14:paraId="7D2D7F8E" w14:textId="4CE2E699" w:rsidR="00330DF8" w:rsidRPr="00A20F72" w:rsidRDefault="004F6CAE" w:rsidP="00A20F72">
      <w:pPr>
        <w:pStyle w:val="ListParagraph"/>
        <w:tabs>
          <w:tab w:val="left" w:pos="2091"/>
        </w:tabs>
        <w:spacing w:line="360" w:lineRule="auto"/>
        <w:ind w:left="993"/>
        <w:rPr>
          <w:rFonts w:ascii="Verdana" w:hAnsi="Verdana"/>
          <w:iCs/>
          <w:sz w:val="18"/>
          <w:szCs w:val="18"/>
        </w:rPr>
      </w:pPr>
      <w:hyperlink r:id="rId66" w:anchor="view=fitH" w:history="1">
        <w:r w:rsidR="00116917" w:rsidRPr="00A20F72">
          <w:rPr>
            <w:rStyle w:val="Hyperlink"/>
            <w:rFonts w:ascii="Verdana" w:hAnsi="Verdana"/>
            <w:iCs/>
            <w:sz w:val="18"/>
            <w:szCs w:val="18"/>
          </w:rPr>
          <w:t>https://www.courts.ie/acc/alfresco/dd32fd16-7dff-4740-a3ee-368eeac12ddc/2020_IEHC_429.pdf/pdf#view=fitH</w:t>
        </w:r>
      </w:hyperlink>
    </w:p>
    <w:p w14:paraId="30310FF2" w14:textId="77777777" w:rsidR="00201B7A" w:rsidRPr="00A20F72" w:rsidRDefault="00201B7A" w:rsidP="00A20F72">
      <w:pPr>
        <w:pStyle w:val="ListParagraph"/>
        <w:numPr>
          <w:ilvl w:val="0"/>
          <w:numId w:val="8"/>
        </w:numPr>
        <w:spacing w:line="360" w:lineRule="auto"/>
        <w:ind w:left="993"/>
        <w:rPr>
          <w:rFonts w:ascii="Verdana" w:hAnsi="Verdana"/>
          <w:iCs/>
          <w:sz w:val="18"/>
          <w:szCs w:val="18"/>
        </w:rPr>
      </w:pPr>
      <w:r w:rsidRPr="00A20F72">
        <w:rPr>
          <w:rFonts w:ascii="Verdana" w:hAnsi="Verdana"/>
          <w:i/>
          <w:sz w:val="18"/>
          <w:szCs w:val="18"/>
        </w:rPr>
        <w:t>Balscadden Road SAA Residents Association Ltd. v. An Bord Pleanála (No. 1)</w:t>
      </w:r>
      <w:r w:rsidRPr="00A20F72">
        <w:rPr>
          <w:rFonts w:ascii="Verdana" w:hAnsi="Verdana"/>
          <w:iCs/>
          <w:sz w:val="18"/>
          <w:szCs w:val="18"/>
        </w:rPr>
        <w:t xml:space="preserve"> [2020] IEHC 586, [2020] 11 JIC 2501 (Unreported, High Court, 25</w:t>
      </w:r>
      <w:r w:rsidRPr="00A20F72">
        <w:rPr>
          <w:rFonts w:ascii="Verdana" w:hAnsi="Verdana"/>
          <w:iCs/>
          <w:sz w:val="18"/>
          <w:szCs w:val="18"/>
          <w:vertAlign w:val="superscript"/>
        </w:rPr>
        <w:t>th</w:t>
      </w:r>
      <w:r w:rsidRPr="00A20F72">
        <w:rPr>
          <w:rFonts w:ascii="Verdana" w:hAnsi="Verdana"/>
          <w:iCs/>
          <w:sz w:val="18"/>
          <w:szCs w:val="18"/>
        </w:rPr>
        <w:t xml:space="preserve"> November, 2020).</w:t>
      </w:r>
    </w:p>
    <w:p w14:paraId="653D7866" w14:textId="77777777" w:rsidR="00201B7A" w:rsidRPr="00A20F72" w:rsidRDefault="004F6CAE" w:rsidP="00A20F72">
      <w:pPr>
        <w:pStyle w:val="ListParagraph"/>
        <w:spacing w:line="360" w:lineRule="auto"/>
        <w:ind w:left="993"/>
        <w:rPr>
          <w:rFonts w:ascii="Verdana" w:hAnsi="Verdana"/>
          <w:iCs/>
          <w:sz w:val="18"/>
          <w:szCs w:val="18"/>
        </w:rPr>
      </w:pPr>
      <w:hyperlink r:id="rId67" w:anchor="view=fitH" w:history="1">
        <w:r w:rsidR="00201B7A" w:rsidRPr="00A20F72">
          <w:rPr>
            <w:rStyle w:val="Hyperlink"/>
            <w:rFonts w:ascii="Verdana" w:hAnsi="Verdana"/>
            <w:iCs/>
            <w:sz w:val="18"/>
            <w:szCs w:val="18"/>
          </w:rPr>
          <w:t>https://www.courts.ie/acc/alfresco/5cd3ccef-f0e8-4066-9b5e-7cbdbc535146/2020_IEHC_586.pdf/pdf#view=fitH</w:t>
        </w:r>
      </w:hyperlink>
    </w:p>
    <w:p w14:paraId="088AF085" w14:textId="77F3BA24" w:rsidR="00E9468A" w:rsidRPr="00A20F72" w:rsidRDefault="00E9468A" w:rsidP="00A20F72">
      <w:pPr>
        <w:pStyle w:val="ListParagraph"/>
        <w:numPr>
          <w:ilvl w:val="0"/>
          <w:numId w:val="8"/>
        </w:numPr>
        <w:spacing w:line="360" w:lineRule="auto"/>
        <w:ind w:left="993"/>
        <w:rPr>
          <w:rFonts w:ascii="Verdana" w:hAnsi="Verdana"/>
          <w:iCs/>
          <w:sz w:val="18"/>
          <w:szCs w:val="18"/>
        </w:rPr>
      </w:pPr>
      <w:r w:rsidRPr="00A20F72">
        <w:rPr>
          <w:rFonts w:ascii="Verdana" w:hAnsi="Verdana"/>
          <w:i/>
          <w:sz w:val="18"/>
          <w:szCs w:val="18"/>
        </w:rPr>
        <w:t>Highlands Residents Association v. An Bord Pleanála</w:t>
      </w:r>
      <w:r w:rsidRPr="00A20F72">
        <w:rPr>
          <w:rFonts w:ascii="Verdana" w:hAnsi="Verdana"/>
          <w:iCs/>
          <w:sz w:val="18"/>
          <w:szCs w:val="18"/>
        </w:rPr>
        <w:t xml:space="preserve"> [2020] IEHC 622, [2020] 12 JIC 0201 (Unreported, High Court, McDonald J., 2</w:t>
      </w:r>
      <w:r w:rsidRPr="00A20F72">
        <w:rPr>
          <w:rFonts w:ascii="Verdana" w:hAnsi="Verdana"/>
          <w:iCs/>
          <w:sz w:val="18"/>
          <w:szCs w:val="18"/>
          <w:vertAlign w:val="superscript"/>
        </w:rPr>
        <w:t>nd</w:t>
      </w:r>
      <w:r w:rsidRPr="00A20F72">
        <w:rPr>
          <w:rFonts w:ascii="Verdana" w:hAnsi="Verdana"/>
          <w:iCs/>
          <w:sz w:val="18"/>
          <w:szCs w:val="18"/>
        </w:rPr>
        <w:t xml:space="preserve"> December, 2020).</w:t>
      </w:r>
    </w:p>
    <w:p w14:paraId="5C38DF3A" w14:textId="268EBC84" w:rsidR="00E9468A" w:rsidRPr="00A20F72" w:rsidRDefault="004F6CAE" w:rsidP="00A20F72">
      <w:pPr>
        <w:pStyle w:val="ListParagraph"/>
        <w:spacing w:line="360" w:lineRule="auto"/>
        <w:ind w:left="993"/>
        <w:rPr>
          <w:rFonts w:ascii="Verdana" w:hAnsi="Verdana"/>
          <w:iCs/>
          <w:sz w:val="18"/>
          <w:szCs w:val="18"/>
        </w:rPr>
      </w:pPr>
      <w:hyperlink r:id="rId68" w:anchor="view=fitH" w:history="1">
        <w:r w:rsidR="00D10AD3" w:rsidRPr="00A20F72">
          <w:rPr>
            <w:rStyle w:val="Hyperlink"/>
            <w:rFonts w:ascii="Verdana" w:hAnsi="Verdana"/>
            <w:iCs/>
            <w:sz w:val="18"/>
            <w:szCs w:val="18"/>
          </w:rPr>
          <w:t>https://www.courts.ie/acc/alfresco/0f76ebe9-2d4c-4134-97cc-4f1a78281f9c/2020_IEHC_622.pdf/pdf#view=fitH</w:t>
        </w:r>
      </w:hyperlink>
    </w:p>
    <w:p w14:paraId="2DAAAE9A" w14:textId="07F90E82" w:rsidR="00330DF8" w:rsidRPr="00A20F72" w:rsidRDefault="00330DF8" w:rsidP="00A20F72">
      <w:pPr>
        <w:pStyle w:val="ListParagraph"/>
        <w:numPr>
          <w:ilvl w:val="0"/>
          <w:numId w:val="8"/>
        </w:numPr>
        <w:spacing w:line="360" w:lineRule="auto"/>
        <w:ind w:left="993"/>
        <w:rPr>
          <w:rFonts w:ascii="Verdana" w:hAnsi="Verdana"/>
          <w:iCs/>
          <w:sz w:val="18"/>
          <w:szCs w:val="18"/>
        </w:rPr>
      </w:pPr>
      <w:r w:rsidRPr="00A20F72">
        <w:rPr>
          <w:rFonts w:ascii="Verdana" w:hAnsi="Verdana"/>
          <w:i/>
          <w:sz w:val="18"/>
          <w:szCs w:val="18"/>
        </w:rPr>
        <w:t>Rostas v. D.P.P.</w:t>
      </w:r>
      <w:r w:rsidRPr="00A20F72">
        <w:rPr>
          <w:rFonts w:ascii="Verdana" w:hAnsi="Verdana"/>
          <w:iCs/>
          <w:sz w:val="18"/>
          <w:szCs w:val="18"/>
        </w:rPr>
        <w:t xml:space="preserve"> [2021] IEHC 60, [2021] 2 JIC 0904 (Unreported, High Court, 9</w:t>
      </w:r>
      <w:r w:rsidRPr="00A20F72">
        <w:rPr>
          <w:rFonts w:ascii="Verdana" w:hAnsi="Verdana"/>
          <w:iCs/>
          <w:sz w:val="18"/>
          <w:szCs w:val="18"/>
          <w:vertAlign w:val="superscript"/>
        </w:rPr>
        <w:t>th</w:t>
      </w:r>
      <w:r w:rsidRPr="00A20F72">
        <w:rPr>
          <w:rFonts w:ascii="Verdana" w:hAnsi="Verdana"/>
          <w:iCs/>
          <w:sz w:val="18"/>
          <w:szCs w:val="18"/>
        </w:rPr>
        <w:t xml:space="preserve"> February, 2021).</w:t>
      </w:r>
    </w:p>
    <w:p w14:paraId="78AE4C6B" w14:textId="0CBE33D8" w:rsidR="00330DF8" w:rsidRPr="00A20F72" w:rsidRDefault="004F6CAE" w:rsidP="00A20F72">
      <w:pPr>
        <w:pStyle w:val="ListParagraph"/>
        <w:spacing w:line="360" w:lineRule="auto"/>
        <w:ind w:left="993"/>
        <w:rPr>
          <w:rFonts w:ascii="Verdana" w:hAnsi="Verdana"/>
          <w:iCs/>
          <w:sz w:val="18"/>
          <w:szCs w:val="18"/>
        </w:rPr>
      </w:pPr>
      <w:hyperlink r:id="rId69" w:anchor="view=fitH" w:history="1">
        <w:r w:rsidR="00116917" w:rsidRPr="00A20F72">
          <w:rPr>
            <w:rStyle w:val="Hyperlink"/>
            <w:rFonts w:ascii="Verdana" w:hAnsi="Verdana"/>
            <w:iCs/>
            <w:sz w:val="18"/>
            <w:szCs w:val="18"/>
          </w:rPr>
          <w:t>https://www.courts.ie/acc/alfresco/f7982205-1c07-49b3-b52b-4b92b51e3a3e/2021_IEHC_60.pdf/pdf#view=fitH</w:t>
        </w:r>
      </w:hyperlink>
    </w:p>
    <w:p w14:paraId="28880F85" w14:textId="117E964E" w:rsidR="00E9468A" w:rsidRPr="00A20F72" w:rsidRDefault="00E9468A" w:rsidP="00A20F72">
      <w:pPr>
        <w:pStyle w:val="ListParagraph"/>
        <w:numPr>
          <w:ilvl w:val="0"/>
          <w:numId w:val="8"/>
        </w:numPr>
        <w:spacing w:line="360" w:lineRule="auto"/>
        <w:ind w:left="993"/>
        <w:rPr>
          <w:rFonts w:ascii="Verdana" w:hAnsi="Verdana"/>
          <w:iCs/>
          <w:sz w:val="18"/>
          <w:szCs w:val="18"/>
        </w:rPr>
      </w:pPr>
      <w:r w:rsidRPr="00A20F72">
        <w:rPr>
          <w:rFonts w:ascii="Verdana" w:hAnsi="Verdana"/>
          <w:i/>
          <w:sz w:val="18"/>
          <w:szCs w:val="18"/>
        </w:rPr>
        <w:t>Balscadden Road SAA Residents Association Ltd. v. An Bord Pleanála (No. 2)</w:t>
      </w:r>
      <w:r w:rsidRPr="00A20F72">
        <w:rPr>
          <w:rFonts w:ascii="Verdana" w:hAnsi="Verdana"/>
          <w:iCs/>
          <w:sz w:val="18"/>
          <w:szCs w:val="18"/>
        </w:rPr>
        <w:t xml:space="preserve"> [2021] IEHC 143 (Unreported, High Court, 12</w:t>
      </w:r>
      <w:r w:rsidRPr="00A20F72">
        <w:rPr>
          <w:rFonts w:ascii="Verdana" w:hAnsi="Verdana"/>
          <w:iCs/>
          <w:sz w:val="18"/>
          <w:szCs w:val="18"/>
          <w:vertAlign w:val="superscript"/>
        </w:rPr>
        <w:t>th</w:t>
      </w:r>
      <w:r w:rsidRPr="00A20F72">
        <w:rPr>
          <w:rFonts w:ascii="Verdana" w:hAnsi="Verdana"/>
          <w:iCs/>
          <w:sz w:val="18"/>
          <w:szCs w:val="18"/>
        </w:rPr>
        <w:t xml:space="preserve"> March, 2021).</w:t>
      </w:r>
    </w:p>
    <w:p w14:paraId="4058F2E5" w14:textId="7ABF020A" w:rsidR="00E9468A" w:rsidRPr="00A20F72" w:rsidRDefault="004F6CAE" w:rsidP="00A20F72">
      <w:pPr>
        <w:pStyle w:val="ListParagraph"/>
        <w:spacing w:line="360" w:lineRule="auto"/>
        <w:ind w:left="993"/>
        <w:rPr>
          <w:rFonts w:ascii="Verdana" w:hAnsi="Verdana"/>
          <w:iCs/>
          <w:sz w:val="18"/>
          <w:szCs w:val="18"/>
        </w:rPr>
      </w:pPr>
      <w:hyperlink r:id="rId70" w:anchor="view=fitH" w:history="1">
        <w:r w:rsidR="00D10AD3" w:rsidRPr="00A20F72">
          <w:rPr>
            <w:rStyle w:val="Hyperlink"/>
            <w:rFonts w:ascii="Verdana" w:hAnsi="Verdana"/>
            <w:iCs/>
            <w:sz w:val="18"/>
            <w:szCs w:val="18"/>
          </w:rPr>
          <w:t>https://www.courts.ie/acc/alfresco/f097937d-a913-466c-9fde-57ff65ef0c74/2021_IEHC_143.pdf/pdf#view=fitH</w:t>
        </w:r>
      </w:hyperlink>
    </w:p>
    <w:p w14:paraId="6BB212EC" w14:textId="77777777" w:rsidR="00201B7A" w:rsidRPr="00A20F72" w:rsidRDefault="00201B7A" w:rsidP="00A20F72">
      <w:pPr>
        <w:pStyle w:val="ListParagraph"/>
        <w:numPr>
          <w:ilvl w:val="0"/>
          <w:numId w:val="8"/>
        </w:numPr>
        <w:spacing w:line="360" w:lineRule="auto"/>
        <w:ind w:left="993"/>
        <w:rPr>
          <w:rFonts w:ascii="Verdana" w:hAnsi="Verdana"/>
          <w:iCs/>
          <w:sz w:val="18"/>
          <w:szCs w:val="18"/>
        </w:rPr>
      </w:pPr>
      <w:r w:rsidRPr="00A20F72">
        <w:rPr>
          <w:rFonts w:ascii="Verdana" w:hAnsi="Verdana"/>
          <w:i/>
          <w:sz w:val="18"/>
          <w:szCs w:val="18"/>
        </w:rPr>
        <w:t>An Taisce v. An Bord Pleanála</w:t>
      </w:r>
      <w:r w:rsidRPr="00A20F72">
        <w:rPr>
          <w:rFonts w:ascii="Verdana" w:hAnsi="Verdana"/>
          <w:iCs/>
          <w:sz w:val="18"/>
          <w:szCs w:val="18"/>
        </w:rPr>
        <w:t xml:space="preserve"> [2021] IEHC 254, [2021] 4 JIC 2003 (Unreported, High Court, 20th April, 2021).</w:t>
      </w:r>
    </w:p>
    <w:p w14:paraId="298CD14F" w14:textId="77777777" w:rsidR="00201B7A" w:rsidRPr="00A20F72" w:rsidRDefault="004F6CAE" w:rsidP="00A20F72">
      <w:pPr>
        <w:pStyle w:val="ListParagraph"/>
        <w:spacing w:line="360" w:lineRule="auto"/>
        <w:ind w:left="993"/>
        <w:rPr>
          <w:rFonts w:ascii="Verdana" w:hAnsi="Verdana"/>
          <w:iCs/>
          <w:sz w:val="18"/>
          <w:szCs w:val="18"/>
        </w:rPr>
      </w:pPr>
      <w:hyperlink r:id="rId71" w:anchor="view=fitH" w:history="1">
        <w:r w:rsidR="00201B7A" w:rsidRPr="00A20F72">
          <w:rPr>
            <w:rStyle w:val="Hyperlink"/>
            <w:rFonts w:ascii="Verdana" w:hAnsi="Verdana"/>
            <w:iCs/>
            <w:sz w:val="18"/>
            <w:szCs w:val="18"/>
          </w:rPr>
          <w:t>https://www.courts.ie/acc/alfresco/86f67ce2-742e-492f-bad1-36921702d707/2021_IEHC_254.pdf/pdf#view=fitH</w:t>
        </w:r>
      </w:hyperlink>
    </w:p>
    <w:p w14:paraId="06C82D86" w14:textId="162A242E" w:rsidR="00E9468A" w:rsidRPr="00A20F72" w:rsidRDefault="00E9468A" w:rsidP="00A20F72">
      <w:pPr>
        <w:pStyle w:val="ListParagraph"/>
        <w:numPr>
          <w:ilvl w:val="0"/>
          <w:numId w:val="8"/>
        </w:numPr>
        <w:spacing w:line="360" w:lineRule="auto"/>
        <w:ind w:left="993"/>
        <w:rPr>
          <w:rFonts w:ascii="Verdana" w:hAnsi="Verdana"/>
          <w:iCs/>
          <w:sz w:val="18"/>
          <w:szCs w:val="18"/>
        </w:rPr>
      </w:pPr>
      <w:r w:rsidRPr="00A20F72">
        <w:rPr>
          <w:rFonts w:ascii="Verdana" w:hAnsi="Verdana"/>
          <w:i/>
          <w:sz w:val="18"/>
          <w:szCs w:val="18"/>
        </w:rPr>
        <w:t>Atlantic Diamond Ltd. v. An Bord Pleanála</w:t>
      </w:r>
      <w:r w:rsidRPr="00A20F72">
        <w:rPr>
          <w:rFonts w:ascii="Verdana" w:hAnsi="Verdana"/>
          <w:iCs/>
          <w:sz w:val="18"/>
          <w:szCs w:val="18"/>
        </w:rPr>
        <w:t xml:space="preserve"> [2021] IEHC 322, [2021] 5 JIC 1403 (Unreported, High Court, 14th May, 2021).</w:t>
      </w:r>
    </w:p>
    <w:p w14:paraId="7A3A8DC7" w14:textId="5A964BFC" w:rsidR="00A30917" w:rsidRPr="00A20F72" w:rsidRDefault="004F6CAE" w:rsidP="00A20F72">
      <w:pPr>
        <w:pStyle w:val="ListParagraph"/>
        <w:spacing w:line="360" w:lineRule="auto"/>
        <w:ind w:left="993"/>
        <w:rPr>
          <w:rFonts w:ascii="Verdana" w:hAnsi="Verdana"/>
          <w:iCs/>
          <w:sz w:val="18"/>
          <w:szCs w:val="18"/>
        </w:rPr>
      </w:pPr>
      <w:hyperlink r:id="rId72" w:anchor="view=fitH" w:history="1">
        <w:r w:rsidR="00D10AD3" w:rsidRPr="00A20F72">
          <w:rPr>
            <w:rStyle w:val="Hyperlink"/>
            <w:rFonts w:ascii="Verdana" w:hAnsi="Verdana"/>
            <w:iCs/>
            <w:sz w:val="18"/>
            <w:szCs w:val="18"/>
          </w:rPr>
          <w:t>https://www.courts.ie/acc/alfresco/af29bf9b-9173-4adc-a1e4-c4b58f281b0d/2021_IEHC_322.pdf/pdf#view=fitH</w:t>
        </w:r>
      </w:hyperlink>
    </w:p>
    <w:sectPr w:rsidR="00A30917" w:rsidRPr="00A20F72">
      <w:footerReference w:type="default" r:id="rId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9B098" w14:textId="77777777" w:rsidR="00B65590" w:rsidRDefault="00B65590" w:rsidP="00E132D1">
      <w:r>
        <w:separator/>
      </w:r>
    </w:p>
  </w:endnote>
  <w:endnote w:type="continuationSeparator" w:id="0">
    <w:p w14:paraId="5E1F60C7" w14:textId="77777777" w:rsidR="00B65590" w:rsidRDefault="00B65590" w:rsidP="00E13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227247"/>
      <w:docPartObj>
        <w:docPartGallery w:val="Page Numbers (Bottom of Page)"/>
        <w:docPartUnique/>
      </w:docPartObj>
    </w:sdtPr>
    <w:sdtEndPr>
      <w:rPr>
        <w:noProof/>
      </w:rPr>
    </w:sdtEndPr>
    <w:sdtContent>
      <w:p w14:paraId="2FD20B61" w14:textId="77777777" w:rsidR="005810F1" w:rsidRDefault="005810F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80B66E0" w14:textId="77777777" w:rsidR="005810F1" w:rsidRDefault="00581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5A683" w14:textId="77777777" w:rsidR="00B65590" w:rsidRDefault="00B65590" w:rsidP="00E132D1">
      <w:r>
        <w:separator/>
      </w:r>
    </w:p>
  </w:footnote>
  <w:footnote w:type="continuationSeparator" w:id="0">
    <w:p w14:paraId="5F168350" w14:textId="77777777" w:rsidR="00B65590" w:rsidRDefault="00B65590" w:rsidP="00E132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0F6"/>
    <w:multiLevelType w:val="hybridMultilevel"/>
    <w:tmpl w:val="A2FADF44"/>
    <w:lvl w:ilvl="0" w:tplc="F500C14C">
      <w:start w:val="1"/>
      <w:numFmt w:val="lowerRoman"/>
      <w:lvlText w:val="(%1)."/>
      <w:lvlJc w:val="right"/>
      <w:pPr>
        <w:ind w:left="720" w:hanging="360"/>
      </w:pPr>
      <w:rPr>
        <w:rFonts w:hint="default"/>
        <w:i w:val="0"/>
        <w:iCs w:val="0"/>
        <w:caps w:val="0"/>
        <w:smallCaps w:val="0"/>
        <w:strike w:val="0"/>
        <w:dstrike w:val="0"/>
        <w:outline w:val="0"/>
        <w:emboss w:val="0"/>
        <w:imprint w:val="0"/>
        <w:spacing w:val="0"/>
        <w:w w:val="100"/>
        <w:kern w:val="0"/>
        <w:position w:val="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0056AD"/>
    <w:multiLevelType w:val="hybridMultilevel"/>
    <w:tmpl w:val="AC467B36"/>
    <w:lvl w:ilvl="0" w:tplc="E43209E2">
      <w:start w:val="1"/>
      <w:numFmt w:val="decimal"/>
      <w:lvlText w:val="%1."/>
      <w:lvlJc w:val="left"/>
      <w:pPr>
        <w:ind w:left="0" w:firstLine="0"/>
      </w:pPr>
      <w:rPr>
        <w:rFonts w:hint="default"/>
        <w:b/>
        <w:i w:val="0"/>
      </w:rPr>
    </w:lvl>
    <w:lvl w:ilvl="1" w:tplc="3670BC0E">
      <w:start w:val="1"/>
      <w:numFmt w:val="lowerRoman"/>
      <w:lvlText w:val="(%2)."/>
      <w:lvlJc w:val="right"/>
      <w:pPr>
        <w:ind w:left="1440" w:hanging="360"/>
      </w:pPr>
      <w:rPr>
        <w:rFonts w:hAnsi="Arial Unicode MS" w:hint="default"/>
        <w:i w:val="0"/>
        <w:i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23170AF"/>
    <w:multiLevelType w:val="hybridMultilevel"/>
    <w:tmpl w:val="7BB8D682"/>
    <w:lvl w:ilvl="0" w:tplc="E130893A">
      <w:start w:val="1"/>
      <w:numFmt w:val="lowerRoman"/>
      <w:lvlText w:val="(%1)."/>
      <w:lvlJc w:val="right"/>
      <w:pPr>
        <w:ind w:left="2160" w:hanging="360"/>
      </w:pPr>
      <w:rPr>
        <w:rFonts w:hint="default"/>
        <w:i w:val="0"/>
        <w:i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C70105B"/>
    <w:multiLevelType w:val="hybridMultilevel"/>
    <w:tmpl w:val="22125B14"/>
    <w:lvl w:ilvl="0" w:tplc="E130893A">
      <w:start w:val="1"/>
      <w:numFmt w:val="lowerRoman"/>
      <w:lvlText w:val="(%1)."/>
      <w:lvlJc w:val="right"/>
      <w:pPr>
        <w:ind w:left="1800" w:hanging="360"/>
      </w:pPr>
      <w:rPr>
        <w:rFonts w:hint="default"/>
        <w:i w:val="0"/>
        <w:iCs/>
        <w:caps w:val="0"/>
        <w:smallCaps w:val="0"/>
        <w:strike w:val="0"/>
        <w:dstrike w:val="0"/>
        <w:outline w:val="0"/>
        <w:emboss w:val="0"/>
        <w:imprint w:val="0"/>
        <w:spacing w:val="0"/>
        <w:w w:val="100"/>
        <w:kern w:val="0"/>
        <w:position w:val="0"/>
        <w:vertAlign w:val="baseline"/>
      </w:rPr>
    </w:lvl>
    <w:lvl w:ilvl="1" w:tplc="16562076">
      <w:start w:val="1"/>
      <w:numFmt w:val="lowerLetter"/>
      <w:lvlText w:val="(%2)."/>
      <w:lvlJc w:val="right"/>
      <w:pPr>
        <w:ind w:left="1980" w:hanging="360"/>
      </w:pPr>
      <w:rPr>
        <w:rFonts w:hint="default"/>
        <w:caps w:val="0"/>
        <w:smallCaps w:val="0"/>
        <w:strike w:val="0"/>
        <w:dstrike w:val="0"/>
        <w:outline w:val="0"/>
        <w:emboss w:val="0"/>
        <w:imprint w:val="0"/>
        <w:spacing w:val="0"/>
        <w:w w:val="100"/>
        <w:kern w:val="0"/>
        <w:position w:val="0"/>
        <w:vertAlign w:val="baseline"/>
      </w:r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7933857"/>
    <w:multiLevelType w:val="hybridMultilevel"/>
    <w:tmpl w:val="A154841A"/>
    <w:lvl w:ilvl="0" w:tplc="3772949E">
      <w:start w:val="1"/>
      <w:numFmt w:val="decimal"/>
      <w:lvlText w:val="%1."/>
      <w:lvlJc w:val="left"/>
      <w:pPr>
        <w:ind w:left="360" w:hanging="360"/>
      </w:pPr>
      <w:rPr>
        <w:b/>
      </w:rPr>
    </w:lvl>
    <w:lvl w:ilvl="1" w:tplc="E130893A">
      <w:start w:val="1"/>
      <w:numFmt w:val="lowerRoman"/>
      <w:lvlText w:val="(%2)."/>
      <w:lvlJc w:val="right"/>
      <w:pPr>
        <w:ind w:left="1080" w:hanging="360"/>
      </w:pPr>
      <w:rPr>
        <w:rFonts w:hint="default"/>
        <w:i w:val="0"/>
        <w:i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tplc="16562076">
      <w:start w:val="1"/>
      <w:numFmt w:val="lowerLetter"/>
      <w:lvlText w:val="(%3)."/>
      <w:lvlJc w:val="right"/>
      <w:pPr>
        <w:ind w:left="1980" w:hanging="360"/>
      </w:pPr>
      <w:rPr>
        <w:rFonts w:hint="default"/>
        <w:caps w:val="0"/>
        <w:smallCaps w:val="0"/>
        <w:strike w:val="0"/>
        <w:dstrike w:val="0"/>
        <w:outline w:val="0"/>
        <w:emboss w:val="0"/>
        <w:imprint w:val="0"/>
        <w:spacing w:val="0"/>
        <w:w w:val="100"/>
        <w:kern w:val="0"/>
        <w:position w:val="0"/>
        <w:vertAlign w:val="baseline"/>
      </w:r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381F2ECD"/>
    <w:multiLevelType w:val="hybridMultilevel"/>
    <w:tmpl w:val="DCD46DB2"/>
    <w:lvl w:ilvl="0" w:tplc="E130893A">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17B3D6F"/>
    <w:multiLevelType w:val="hybridMultilevel"/>
    <w:tmpl w:val="4FE2E100"/>
    <w:lvl w:ilvl="0" w:tplc="E130893A">
      <w:start w:val="1"/>
      <w:numFmt w:val="lowerRoman"/>
      <w:lvlText w:val="(%1)."/>
      <w:lvlJc w:val="right"/>
      <w:pPr>
        <w:ind w:left="1080" w:hanging="360"/>
      </w:pPr>
      <w:rPr>
        <w:rFonts w:hint="default"/>
        <w:i w:val="0"/>
        <w:i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5E053B"/>
    <w:multiLevelType w:val="hybridMultilevel"/>
    <w:tmpl w:val="65CCD8DE"/>
    <w:lvl w:ilvl="0" w:tplc="FFFFFFFF">
      <w:start w:val="1"/>
      <w:numFmt w:val="decimal"/>
      <w:lvlText w:val="%1."/>
      <w:lvlJc w:val="left"/>
      <w:pPr>
        <w:ind w:left="924" w:hanging="56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AA41C32"/>
    <w:multiLevelType w:val="hybridMultilevel"/>
    <w:tmpl w:val="8972838E"/>
    <w:lvl w:ilvl="0" w:tplc="A84CED06">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5B5213E3"/>
    <w:multiLevelType w:val="hybridMultilevel"/>
    <w:tmpl w:val="85A221DC"/>
    <w:lvl w:ilvl="0" w:tplc="859AF244">
      <w:start w:val="1"/>
      <w:numFmt w:val="decimal"/>
      <w:lvlText w:val="%1."/>
      <w:lvlJc w:val="left"/>
      <w:pPr>
        <w:ind w:left="360" w:hanging="360"/>
      </w:pPr>
      <w:rPr>
        <w:b w:val="0"/>
        <w:bCs/>
      </w:rPr>
    </w:lvl>
    <w:lvl w:ilvl="1" w:tplc="8744D90A">
      <w:start w:val="1"/>
      <w:numFmt w:val="lowerLetter"/>
      <w:lvlText w:val="(%2)."/>
      <w:lvlJc w:val="right"/>
      <w:pPr>
        <w:ind w:left="1080" w:hanging="360"/>
      </w:pPr>
      <w:rPr>
        <w:rFonts w:hint="default"/>
        <w:i w:val="0"/>
        <w:iCs/>
        <w:caps w:val="0"/>
        <w:smallCaps w:val="0"/>
        <w:strike w:val="0"/>
        <w:dstrike w:val="0"/>
        <w:outline w:val="0"/>
        <w:emboss w:val="0"/>
        <w:imprint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tplc="5BAC5224">
      <w:start w:val="1"/>
      <w:numFmt w:val="lowerRoman"/>
      <w:lvlText w:val="(%3)."/>
      <w:lvlJc w:val="right"/>
      <w:pPr>
        <w:ind w:left="1980" w:hanging="360"/>
      </w:pPr>
      <w:rPr>
        <w:rFonts w:hint="default"/>
        <w:caps w:val="0"/>
        <w:smallCaps w:val="0"/>
        <w:strike w:val="0"/>
        <w:dstrike w:val="0"/>
        <w:outline w:val="0"/>
        <w:emboss w:val="0"/>
        <w:imprint w:val="0"/>
        <w:spacing w:val="0"/>
        <w:w w:val="100"/>
        <w:kern w:val="0"/>
        <w:position w:val="0"/>
        <w:vertAlign w:val="baseline"/>
      </w:r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6AE40CD2"/>
    <w:multiLevelType w:val="hybridMultilevel"/>
    <w:tmpl w:val="73341F2C"/>
    <w:lvl w:ilvl="0" w:tplc="3DAA23E8">
      <w:start w:val="1"/>
      <w:numFmt w:val="lowerRoman"/>
      <w:lvlText w:val="(%1)."/>
      <w:lvlJc w:val="righ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CC05DE"/>
    <w:multiLevelType w:val="hybridMultilevel"/>
    <w:tmpl w:val="7286DD1E"/>
    <w:lvl w:ilvl="0" w:tplc="E130893A">
      <w:start w:val="1"/>
      <w:numFmt w:val="lowerRoman"/>
      <w:lvlText w:val="(%1)."/>
      <w:lvlJc w:val="right"/>
      <w:pPr>
        <w:ind w:left="1713" w:hanging="360"/>
      </w:pPr>
      <w:rPr>
        <w:rFonts w:hint="default"/>
      </w:r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num w:numId="1">
    <w:abstractNumId w:val="9"/>
  </w:num>
  <w:num w:numId="2">
    <w:abstractNumId w:val="8"/>
  </w:num>
  <w:num w:numId="3">
    <w:abstractNumId w:val="1"/>
  </w:num>
  <w:num w:numId="4">
    <w:abstractNumId w:val="5"/>
  </w:num>
  <w:num w:numId="5">
    <w:abstractNumId w:val="10"/>
  </w:num>
  <w:num w:numId="6">
    <w:abstractNumId w:val="3"/>
  </w:num>
  <w:num w:numId="7">
    <w:abstractNumId w:val="6"/>
  </w:num>
  <w:num w:numId="8">
    <w:abstractNumId w:val="2"/>
  </w:num>
  <w:num w:numId="9">
    <w:abstractNumId w:val="4"/>
  </w:num>
  <w:num w:numId="10">
    <w:abstractNumId w:val="1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B6"/>
    <w:rsid w:val="000113B9"/>
    <w:rsid w:val="00014D88"/>
    <w:rsid w:val="00016ADD"/>
    <w:rsid w:val="00021D3E"/>
    <w:rsid w:val="0003344E"/>
    <w:rsid w:val="00043649"/>
    <w:rsid w:val="00043F71"/>
    <w:rsid w:val="00046E6B"/>
    <w:rsid w:val="00047CAD"/>
    <w:rsid w:val="00047CCB"/>
    <w:rsid w:val="000509FB"/>
    <w:rsid w:val="0005113A"/>
    <w:rsid w:val="00055352"/>
    <w:rsid w:val="00067CF2"/>
    <w:rsid w:val="00082DB3"/>
    <w:rsid w:val="00097FB5"/>
    <w:rsid w:val="000B1E1F"/>
    <w:rsid w:val="000B60A8"/>
    <w:rsid w:val="000D0605"/>
    <w:rsid w:val="000D7094"/>
    <w:rsid w:val="000E0570"/>
    <w:rsid w:val="000E4E4E"/>
    <w:rsid w:val="000E5421"/>
    <w:rsid w:val="000F0111"/>
    <w:rsid w:val="00112EB9"/>
    <w:rsid w:val="0011491B"/>
    <w:rsid w:val="00116917"/>
    <w:rsid w:val="001209F4"/>
    <w:rsid w:val="00130A97"/>
    <w:rsid w:val="0013369A"/>
    <w:rsid w:val="00141EAF"/>
    <w:rsid w:val="00155EA2"/>
    <w:rsid w:val="00156D88"/>
    <w:rsid w:val="00160CD6"/>
    <w:rsid w:val="001611F9"/>
    <w:rsid w:val="00192B56"/>
    <w:rsid w:val="00195DBB"/>
    <w:rsid w:val="0019762D"/>
    <w:rsid w:val="001B4960"/>
    <w:rsid w:val="001C33D6"/>
    <w:rsid w:val="001C6EEB"/>
    <w:rsid w:val="001D6626"/>
    <w:rsid w:val="001D6F71"/>
    <w:rsid w:val="001E7096"/>
    <w:rsid w:val="001F0A72"/>
    <w:rsid w:val="001F7373"/>
    <w:rsid w:val="00201B7A"/>
    <w:rsid w:val="00202A9B"/>
    <w:rsid w:val="00210674"/>
    <w:rsid w:val="00212B18"/>
    <w:rsid w:val="00215A27"/>
    <w:rsid w:val="00220482"/>
    <w:rsid w:val="002237A2"/>
    <w:rsid w:val="0022434D"/>
    <w:rsid w:val="002360C9"/>
    <w:rsid w:val="0024116B"/>
    <w:rsid w:val="0026287B"/>
    <w:rsid w:val="00281A6F"/>
    <w:rsid w:val="0028351C"/>
    <w:rsid w:val="00285D59"/>
    <w:rsid w:val="002920A2"/>
    <w:rsid w:val="002A33F3"/>
    <w:rsid w:val="002A3473"/>
    <w:rsid w:val="002A4883"/>
    <w:rsid w:val="002A5D6E"/>
    <w:rsid w:val="002D6689"/>
    <w:rsid w:val="002E0481"/>
    <w:rsid w:val="002E6F9F"/>
    <w:rsid w:val="003153F8"/>
    <w:rsid w:val="003221A8"/>
    <w:rsid w:val="00330DF8"/>
    <w:rsid w:val="003364C7"/>
    <w:rsid w:val="003426B1"/>
    <w:rsid w:val="003546ED"/>
    <w:rsid w:val="003549C7"/>
    <w:rsid w:val="00363A6B"/>
    <w:rsid w:val="00365E6F"/>
    <w:rsid w:val="00382C88"/>
    <w:rsid w:val="00383790"/>
    <w:rsid w:val="003B3A67"/>
    <w:rsid w:val="003D2FE6"/>
    <w:rsid w:val="003D489D"/>
    <w:rsid w:val="003D563B"/>
    <w:rsid w:val="003D7ADA"/>
    <w:rsid w:val="003E0574"/>
    <w:rsid w:val="003E1CC3"/>
    <w:rsid w:val="003F2248"/>
    <w:rsid w:val="003F2CD2"/>
    <w:rsid w:val="003F46FA"/>
    <w:rsid w:val="003F630D"/>
    <w:rsid w:val="003F6A4D"/>
    <w:rsid w:val="003F6FF1"/>
    <w:rsid w:val="0042670D"/>
    <w:rsid w:val="0042683C"/>
    <w:rsid w:val="0043241E"/>
    <w:rsid w:val="00440C60"/>
    <w:rsid w:val="00445F69"/>
    <w:rsid w:val="00450F9B"/>
    <w:rsid w:val="00454CF4"/>
    <w:rsid w:val="00473316"/>
    <w:rsid w:val="004852A8"/>
    <w:rsid w:val="004A64BB"/>
    <w:rsid w:val="004A68C1"/>
    <w:rsid w:val="004B0CD4"/>
    <w:rsid w:val="004B51E5"/>
    <w:rsid w:val="004E6B6B"/>
    <w:rsid w:val="004F6CAE"/>
    <w:rsid w:val="0050093C"/>
    <w:rsid w:val="005018D3"/>
    <w:rsid w:val="00501FC9"/>
    <w:rsid w:val="00506F2D"/>
    <w:rsid w:val="00517355"/>
    <w:rsid w:val="005433B9"/>
    <w:rsid w:val="005447CC"/>
    <w:rsid w:val="00545E63"/>
    <w:rsid w:val="00547F22"/>
    <w:rsid w:val="0056302E"/>
    <w:rsid w:val="00573E0D"/>
    <w:rsid w:val="005810F1"/>
    <w:rsid w:val="00594A6C"/>
    <w:rsid w:val="005B3853"/>
    <w:rsid w:val="005C7EED"/>
    <w:rsid w:val="005D233B"/>
    <w:rsid w:val="005D5C4C"/>
    <w:rsid w:val="005E1623"/>
    <w:rsid w:val="005F50E2"/>
    <w:rsid w:val="005F77F7"/>
    <w:rsid w:val="00611AB8"/>
    <w:rsid w:val="00641DBD"/>
    <w:rsid w:val="00660914"/>
    <w:rsid w:val="006817D8"/>
    <w:rsid w:val="00694ADB"/>
    <w:rsid w:val="006A3FBC"/>
    <w:rsid w:val="006F327F"/>
    <w:rsid w:val="007058D4"/>
    <w:rsid w:val="00724640"/>
    <w:rsid w:val="00730101"/>
    <w:rsid w:val="00751811"/>
    <w:rsid w:val="007757D5"/>
    <w:rsid w:val="007816D1"/>
    <w:rsid w:val="007824F2"/>
    <w:rsid w:val="00790DC4"/>
    <w:rsid w:val="00792279"/>
    <w:rsid w:val="00797E5E"/>
    <w:rsid w:val="007A41B5"/>
    <w:rsid w:val="007B1A05"/>
    <w:rsid w:val="007C2AC9"/>
    <w:rsid w:val="007C48B8"/>
    <w:rsid w:val="007C6706"/>
    <w:rsid w:val="007C7669"/>
    <w:rsid w:val="007D036C"/>
    <w:rsid w:val="007E2A8F"/>
    <w:rsid w:val="007E2B9D"/>
    <w:rsid w:val="007F3F76"/>
    <w:rsid w:val="008218D7"/>
    <w:rsid w:val="0083227C"/>
    <w:rsid w:val="008338DA"/>
    <w:rsid w:val="00870BE9"/>
    <w:rsid w:val="008A3B08"/>
    <w:rsid w:val="008A634D"/>
    <w:rsid w:val="008B111E"/>
    <w:rsid w:val="008C12FD"/>
    <w:rsid w:val="008D63F4"/>
    <w:rsid w:val="008E194D"/>
    <w:rsid w:val="008F0B5A"/>
    <w:rsid w:val="008F426D"/>
    <w:rsid w:val="008F7F3C"/>
    <w:rsid w:val="0090077B"/>
    <w:rsid w:val="00912989"/>
    <w:rsid w:val="009278A8"/>
    <w:rsid w:val="00932923"/>
    <w:rsid w:val="00934463"/>
    <w:rsid w:val="00937B6F"/>
    <w:rsid w:val="00940A45"/>
    <w:rsid w:val="0094276B"/>
    <w:rsid w:val="00947C7A"/>
    <w:rsid w:val="00954B15"/>
    <w:rsid w:val="00955132"/>
    <w:rsid w:val="00955BA1"/>
    <w:rsid w:val="009564B8"/>
    <w:rsid w:val="0096429C"/>
    <w:rsid w:val="00965C69"/>
    <w:rsid w:val="00973A65"/>
    <w:rsid w:val="00983433"/>
    <w:rsid w:val="009A1107"/>
    <w:rsid w:val="009A7349"/>
    <w:rsid w:val="009C41D4"/>
    <w:rsid w:val="009C4250"/>
    <w:rsid w:val="009C708D"/>
    <w:rsid w:val="009D1B61"/>
    <w:rsid w:val="009D4B1A"/>
    <w:rsid w:val="009D57CB"/>
    <w:rsid w:val="009E11AD"/>
    <w:rsid w:val="009E322E"/>
    <w:rsid w:val="009F3937"/>
    <w:rsid w:val="00A05EF5"/>
    <w:rsid w:val="00A20F72"/>
    <w:rsid w:val="00A30917"/>
    <w:rsid w:val="00A31E73"/>
    <w:rsid w:val="00A45456"/>
    <w:rsid w:val="00A829B3"/>
    <w:rsid w:val="00A856B6"/>
    <w:rsid w:val="00A939B7"/>
    <w:rsid w:val="00AA2A6E"/>
    <w:rsid w:val="00AA4D2E"/>
    <w:rsid w:val="00AB552E"/>
    <w:rsid w:val="00B2216C"/>
    <w:rsid w:val="00B22E30"/>
    <w:rsid w:val="00B32B9E"/>
    <w:rsid w:val="00B42EA7"/>
    <w:rsid w:val="00B65590"/>
    <w:rsid w:val="00B676B0"/>
    <w:rsid w:val="00B71205"/>
    <w:rsid w:val="00B735BC"/>
    <w:rsid w:val="00B767B6"/>
    <w:rsid w:val="00B90146"/>
    <w:rsid w:val="00B93C23"/>
    <w:rsid w:val="00B97390"/>
    <w:rsid w:val="00BA415E"/>
    <w:rsid w:val="00BC7DE9"/>
    <w:rsid w:val="00BD6F50"/>
    <w:rsid w:val="00BE756B"/>
    <w:rsid w:val="00BF149A"/>
    <w:rsid w:val="00BF1E48"/>
    <w:rsid w:val="00C17324"/>
    <w:rsid w:val="00C23D4E"/>
    <w:rsid w:val="00C26243"/>
    <w:rsid w:val="00C337A1"/>
    <w:rsid w:val="00C4578A"/>
    <w:rsid w:val="00C47641"/>
    <w:rsid w:val="00C51ED5"/>
    <w:rsid w:val="00C5239C"/>
    <w:rsid w:val="00C6471E"/>
    <w:rsid w:val="00C72245"/>
    <w:rsid w:val="00C777CB"/>
    <w:rsid w:val="00C845F2"/>
    <w:rsid w:val="00C9174C"/>
    <w:rsid w:val="00CA06D4"/>
    <w:rsid w:val="00CA240D"/>
    <w:rsid w:val="00CC6A2F"/>
    <w:rsid w:val="00CF0682"/>
    <w:rsid w:val="00D04A5C"/>
    <w:rsid w:val="00D04ACC"/>
    <w:rsid w:val="00D1008C"/>
    <w:rsid w:val="00D10AD3"/>
    <w:rsid w:val="00D226B9"/>
    <w:rsid w:val="00D33C86"/>
    <w:rsid w:val="00D41B03"/>
    <w:rsid w:val="00D51829"/>
    <w:rsid w:val="00D529EA"/>
    <w:rsid w:val="00D6340E"/>
    <w:rsid w:val="00D66EDF"/>
    <w:rsid w:val="00D8058D"/>
    <w:rsid w:val="00D84334"/>
    <w:rsid w:val="00DC6C46"/>
    <w:rsid w:val="00DD24F3"/>
    <w:rsid w:val="00DD5270"/>
    <w:rsid w:val="00DE252D"/>
    <w:rsid w:val="00DE6A00"/>
    <w:rsid w:val="00E132D1"/>
    <w:rsid w:val="00E34C20"/>
    <w:rsid w:val="00E376F8"/>
    <w:rsid w:val="00E448D8"/>
    <w:rsid w:val="00E46F57"/>
    <w:rsid w:val="00E5147A"/>
    <w:rsid w:val="00E76881"/>
    <w:rsid w:val="00E839D6"/>
    <w:rsid w:val="00E9468A"/>
    <w:rsid w:val="00E95E2C"/>
    <w:rsid w:val="00EA3449"/>
    <w:rsid w:val="00EA4470"/>
    <w:rsid w:val="00EA7292"/>
    <w:rsid w:val="00EB4BFD"/>
    <w:rsid w:val="00EC2E43"/>
    <w:rsid w:val="00EC7BD9"/>
    <w:rsid w:val="00EE1810"/>
    <w:rsid w:val="00EE705D"/>
    <w:rsid w:val="00F064B0"/>
    <w:rsid w:val="00F14818"/>
    <w:rsid w:val="00F14A36"/>
    <w:rsid w:val="00F32D5B"/>
    <w:rsid w:val="00F333A0"/>
    <w:rsid w:val="00F40E0F"/>
    <w:rsid w:val="00F56449"/>
    <w:rsid w:val="00F66F92"/>
    <w:rsid w:val="00F70236"/>
    <w:rsid w:val="00F82D7B"/>
    <w:rsid w:val="00FA3BDB"/>
    <w:rsid w:val="00FB3E5E"/>
    <w:rsid w:val="00FC0110"/>
    <w:rsid w:val="00FC0585"/>
    <w:rsid w:val="00FC29F0"/>
    <w:rsid w:val="00FD0CA3"/>
    <w:rsid w:val="00FD281F"/>
    <w:rsid w:val="00FD2DB8"/>
    <w:rsid w:val="00FD4588"/>
    <w:rsid w:val="00FE3A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B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6B9"/>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6B9"/>
    <w:pPr>
      <w:ind w:left="720"/>
      <w:contextualSpacing/>
    </w:pPr>
  </w:style>
  <w:style w:type="paragraph" w:styleId="Header">
    <w:name w:val="header"/>
    <w:basedOn w:val="Normal"/>
    <w:link w:val="HeaderChar"/>
    <w:uiPriority w:val="99"/>
    <w:unhideWhenUsed/>
    <w:rsid w:val="00E132D1"/>
    <w:pPr>
      <w:tabs>
        <w:tab w:val="center" w:pos="4513"/>
        <w:tab w:val="right" w:pos="9026"/>
      </w:tabs>
    </w:pPr>
  </w:style>
  <w:style w:type="character" w:customStyle="1" w:styleId="HeaderChar">
    <w:name w:val="Header Char"/>
    <w:basedOn w:val="DefaultParagraphFont"/>
    <w:link w:val="Header"/>
    <w:uiPriority w:val="99"/>
    <w:rsid w:val="00E132D1"/>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E132D1"/>
    <w:pPr>
      <w:tabs>
        <w:tab w:val="center" w:pos="4513"/>
        <w:tab w:val="right" w:pos="9026"/>
      </w:tabs>
    </w:pPr>
  </w:style>
  <w:style w:type="character" w:customStyle="1" w:styleId="FooterChar">
    <w:name w:val="Footer Char"/>
    <w:basedOn w:val="DefaultParagraphFont"/>
    <w:link w:val="Footer"/>
    <w:uiPriority w:val="99"/>
    <w:rsid w:val="00E132D1"/>
    <w:rPr>
      <w:rFonts w:ascii="Times New Roman" w:eastAsia="Times New Roman" w:hAnsi="Times New Roman" w:cs="Times New Roman"/>
      <w:sz w:val="24"/>
      <w:szCs w:val="24"/>
      <w:lang w:eastAsia="en-IE"/>
    </w:rPr>
  </w:style>
  <w:style w:type="character" w:styleId="CommentReference">
    <w:name w:val="annotation reference"/>
    <w:basedOn w:val="DefaultParagraphFont"/>
    <w:uiPriority w:val="99"/>
    <w:semiHidden/>
    <w:unhideWhenUsed/>
    <w:rsid w:val="00EE705D"/>
    <w:rPr>
      <w:sz w:val="16"/>
      <w:szCs w:val="16"/>
    </w:rPr>
  </w:style>
  <w:style w:type="paragraph" w:styleId="CommentText">
    <w:name w:val="annotation text"/>
    <w:basedOn w:val="Normal"/>
    <w:link w:val="CommentTextChar"/>
    <w:uiPriority w:val="99"/>
    <w:semiHidden/>
    <w:unhideWhenUsed/>
    <w:rsid w:val="00EE705D"/>
    <w:rPr>
      <w:sz w:val="20"/>
      <w:szCs w:val="20"/>
    </w:rPr>
  </w:style>
  <w:style w:type="character" w:customStyle="1" w:styleId="CommentTextChar">
    <w:name w:val="Comment Text Char"/>
    <w:basedOn w:val="DefaultParagraphFont"/>
    <w:link w:val="CommentText"/>
    <w:uiPriority w:val="99"/>
    <w:semiHidden/>
    <w:rsid w:val="00EE705D"/>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EE705D"/>
    <w:rPr>
      <w:b/>
      <w:bCs/>
    </w:rPr>
  </w:style>
  <w:style w:type="character" w:customStyle="1" w:styleId="CommentSubjectChar">
    <w:name w:val="Comment Subject Char"/>
    <w:basedOn w:val="CommentTextChar"/>
    <w:link w:val="CommentSubject"/>
    <w:uiPriority w:val="99"/>
    <w:semiHidden/>
    <w:rsid w:val="00EE705D"/>
    <w:rPr>
      <w:rFonts w:ascii="Times New Roman" w:eastAsia="Times New Roman" w:hAnsi="Times New Roman" w:cs="Times New Roman"/>
      <w:b/>
      <w:bCs/>
      <w:sz w:val="20"/>
      <w:szCs w:val="20"/>
      <w:lang w:eastAsia="en-IE"/>
    </w:rPr>
  </w:style>
  <w:style w:type="paragraph" w:styleId="Revision">
    <w:name w:val="Revision"/>
    <w:hidden/>
    <w:uiPriority w:val="99"/>
    <w:semiHidden/>
    <w:rsid w:val="00EE705D"/>
    <w:pPr>
      <w:spacing w:after="0"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EE70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05D"/>
    <w:rPr>
      <w:rFonts w:ascii="Segoe UI" w:eastAsia="Times New Roman" w:hAnsi="Segoe UI" w:cs="Segoe UI"/>
      <w:sz w:val="18"/>
      <w:szCs w:val="18"/>
      <w:lang w:eastAsia="en-IE"/>
    </w:rPr>
  </w:style>
  <w:style w:type="paragraph" w:styleId="NormalWeb">
    <w:name w:val="Normal (Web)"/>
    <w:basedOn w:val="Normal"/>
    <w:uiPriority w:val="99"/>
    <w:unhideWhenUsed/>
    <w:rsid w:val="00D66EDF"/>
    <w:pPr>
      <w:spacing w:before="100" w:beforeAutospacing="1" w:after="100" w:afterAutospacing="1"/>
    </w:pPr>
  </w:style>
  <w:style w:type="character" w:styleId="Hyperlink">
    <w:name w:val="Hyperlink"/>
    <w:basedOn w:val="DefaultParagraphFont"/>
    <w:uiPriority w:val="99"/>
    <w:unhideWhenUsed/>
    <w:rsid w:val="00D66EDF"/>
    <w:rPr>
      <w:color w:val="0000FF"/>
      <w:u w:val="single"/>
    </w:rPr>
  </w:style>
  <w:style w:type="character" w:customStyle="1" w:styleId="Footnote">
    <w:name w:val="Footnote_"/>
    <w:link w:val="Footnote0"/>
    <w:rsid w:val="0056302E"/>
    <w:rPr>
      <w:sz w:val="19"/>
      <w:szCs w:val="19"/>
    </w:rPr>
  </w:style>
  <w:style w:type="paragraph" w:customStyle="1" w:styleId="Footnote0">
    <w:name w:val="Footnote"/>
    <w:basedOn w:val="Normal"/>
    <w:link w:val="Footnote"/>
    <w:rsid w:val="0056302E"/>
    <w:pPr>
      <w:widowControl w:val="0"/>
    </w:pPr>
    <w:rPr>
      <w:rFonts w:asciiTheme="minorHAnsi" w:eastAsiaTheme="minorHAnsi" w:hAnsiTheme="minorHAnsi" w:cstheme="minorBidi"/>
      <w:sz w:val="19"/>
      <w:szCs w:val="19"/>
      <w:lang w:eastAsia="en-US"/>
    </w:rPr>
  </w:style>
  <w:style w:type="character" w:styleId="UnresolvedMention">
    <w:name w:val="Unresolved Mention"/>
    <w:basedOn w:val="DefaultParagraphFont"/>
    <w:uiPriority w:val="99"/>
    <w:semiHidden/>
    <w:unhideWhenUsed/>
    <w:rsid w:val="007C48B8"/>
    <w:rPr>
      <w:color w:val="605E5C"/>
      <w:shd w:val="clear" w:color="auto" w:fill="E1DFDD"/>
    </w:rPr>
  </w:style>
  <w:style w:type="character" w:styleId="FollowedHyperlink">
    <w:name w:val="FollowedHyperlink"/>
    <w:basedOn w:val="DefaultParagraphFont"/>
    <w:uiPriority w:val="99"/>
    <w:semiHidden/>
    <w:unhideWhenUsed/>
    <w:rsid w:val="00DE252D"/>
    <w:rPr>
      <w:color w:val="954F72" w:themeColor="followedHyperlink"/>
      <w:u w:val="single"/>
    </w:rPr>
  </w:style>
  <w:style w:type="paragraph" w:styleId="FootnoteText">
    <w:name w:val="footnote text"/>
    <w:basedOn w:val="Normal"/>
    <w:link w:val="FootnoteTextChar"/>
    <w:uiPriority w:val="99"/>
    <w:semiHidden/>
    <w:unhideWhenUsed/>
    <w:rsid w:val="00AB552E"/>
    <w:rPr>
      <w:sz w:val="20"/>
      <w:szCs w:val="20"/>
      <w:lang w:val="en-GB" w:eastAsia="en-US"/>
    </w:rPr>
  </w:style>
  <w:style w:type="character" w:customStyle="1" w:styleId="FootnoteTextChar">
    <w:name w:val="Footnote Text Char"/>
    <w:basedOn w:val="DefaultParagraphFont"/>
    <w:link w:val="FootnoteText"/>
    <w:uiPriority w:val="99"/>
    <w:semiHidden/>
    <w:rsid w:val="00AB552E"/>
    <w:rPr>
      <w:rFonts w:ascii="Times New Roman" w:eastAsia="Times New Roman" w:hAnsi="Times New Roman" w:cs="Times New Roman"/>
      <w:sz w:val="20"/>
      <w:szCs w:val="20"/>
      <w:lang w:val="en-GB"/>
    </w:rPr>
  </w:style>
  <w:style w:type="character" w:styleId="FootnoteReference">
    <w:name w:val="footnote reference"/>
    <w:uiPriority w:val="99"/>
    <w:semiHidden/>
    <w:unhideWhenUsed/>
    <w:rsid w:val="00947C7A"/>
    <w:rPr>
      <w:vertAlign w:val="superscript"/>
    </w:rPr>
  </w:style>
  <w:style w:type="character" w:styleId="Strong">
    <w:name w:val="Strong"/>
    <w:basedOn w:val="DefaultParagraphFont"/>
    <w:uiPriority w:val="22"/>
    <w:qFormat/>
    <w:rsid w:val="005F77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96485">
      <w:bodyDiv w:val="1"/>
      <w:marLeft w:val="0"/>
      <w:marRight w:val="0"/>
      <w:marTop w:val="0"/>
      <w:marBottom w:val="0"/>
      <w:divBdr>
        <w:top w:val="none" w:sz="0" w:space="0" w:color="auto"/>
        <w:left w:val="none" w:sz="0" w:space="0" w:color="auto"/>
        <w:bottom w:val="none" w:sz="0" w:space="0" w:color="auto"/>
        <w:right w:val="none" w:sz="0" w:space="0" w:color="auto"/>
      </w:divBdr>
    </w:div>
    <w:div w:id="1054237032">
      <w:bodyDiv w:val="1"/>
      <w:marLeft w:val="0"/>
      <w:marRight w:val="0"/>
      <w:marTop w:val="0"/>
      <w:marBottom w:val="0"/>
      <w:divBdr>
        <w:top w:val="none" w:sz="0" w:space="0" w:color="auto"/>
        <w:left w:val="none" w:sz="0" w:space="0" w:color="auto"/>
        <w:bottom w:val="none" w:sz="0" w:space="0" w:color="auto"/>
        <w:right w:val="none" w:sz="0" w:space="0" w:color="auto"/>
      </w:divBdr>
    </w:div>
    <w:div w:id="1205024507">
      <w:bodyDiv w:val="1"/>
      <w:marLeft w:val="0"/>
      <w:marRight w:val="0"/>
      <w:marTop w:val="0"/>
      <w:marBottom w:val="0"/>
      <w:divBdr>
        <w:top w:val="none" w:sz="0" w:space="0" w:color="auto"/>
        <w:left w:val="none" w:sz="0" w:space="0" w:color="auto"/>
        <w:bottom w:val="none" w:sz="0" w:space="0" w:color="auto"/>
        <w:right w:val="none" w:sz="0" w:space="0" w:color="auto"/>
      </w:divBdr>
    </w:div>
    <w:div w:id="1703019102">
      <w:bodyDiv w:val="1"/>
      <w:marLeft w:val="0"/>
      <w:marRight w:val="0"/>
      <w:marTop w:val="0"/>
      <w:marBottom w:val="0"/>
      <w:divBdr>
        <w:top w:val="none" w:sz="0" w:space="0" w:color="auto"/>
        <w:left w:val="none" w:sz="0" w:space="0" w:color="auto"/>
        <w:bottom w:val="none" w:sz="0" w:space="0" w:color="auto"/>
        <w:right w:val="none" w:sz="0" w:space="0" w:color="auto"/>
      </w:divBdr>
    </w:div>
    <w:div w:id="1807966270">
      <w:bodyDiv w:val="1"/>
      <w:marLeft w:val="0"/>
      <w:marRight w:val="0"/>
      <w:marTop w:val="0"/>
      <w:marBottom w:val="0"/>
      <w:divBdr>
        <w:top w:val="none" w:sz="0" w:space="0" w:color="auto"/>
        <w:left w:val="none" w:sz="0" w:space="0" w:color="auto"/>
        <w:bottom w:val="none" w:sz="0" w:space="0" w:color="auto"/>
        <w:right w:val="none" w:sz="0" w:space="0" w:color="auto"/>
      </w:divBdr>
    </w:div>
    <w:div w:id="204262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ur-lex.europa.eu/legal-content/EN/TXT/HTML/?uri=CELEX:61993CJ0312&amp;qid=1626358150066&amp;from=EN" TargetMode="External"/><Relationship Id="rId18" Type="http://schemas.openxmlformats.org/officeDocument/2006/relationships/hyperlink" Target="https://curia.europa.eu/juris/liste.jsf?language=en&amp;num=C-127/02" TargetMode="External"/><Relationship Id="rId26" Type="http://schemas.openxmlformats.org/officeDocument/2006/relationships/hyperlink" Target="https://eur-lex.europa.eu/legal-content/EN/TXT/?uri=CELEX%3A62008CJ0075" TargetMode="External"/><Relationship Id="rId39" Type="http://schemas.openxmlformats.org/officeDocument/2006/relationships/hyperlink" Target="https://curia.europa.eu/juris/liste.jsf?language=en&amp;td=ALL&amp;num=C-117/17" TargetMode="External"/><Relationship Id="rId21" Type="http://schemas.openxmlformats.org/officeDocument/2006/relationships/hyperlink" Target="https://eur-lex.europa.eu/legal-content/EN/TXT/?uri=CELEX%3A62006CJ0215" TargetMode="External"/><Relationship Id="rId34" Type="http://schemas.openxmlformats.org/officeDocument/2006/relationships/hyperlink" Target="https://eur-lex.europa.eu/legal-content/EN/TXT/HTML/?uri=CELEX:62011CJ0258&amp;qid=1626359629421&amp;from=EN" TargetMode="External"/><Relationship Id="rId42" Type="http://schemas.openxmlformats.org/officeDocument/2006/relationships/hyperlink" Target="https://eur-lex.europa.eu/legal-content/EN/TXT/HTML/?uri=CELEX:62017CJ0461&amp;qid=1626359756795&amp;from=EN" TargetMode="External"/><Relationship Id="rId47" Type="http://schemas.openxmlformats.org/officeDocument/2006/relationships/hyperlink" Target="https://treaties.un.org/Pages/ViewDetails.aspx?src=TREATY&amp;mtdsg_no=XXVII-4&amp;chapter=27&amp;clang=_en" TargetMode="External"/><Relationship Id="rId50" Type="http://schemas.openxmlformats.org/officeDocument/2006/relationships/hyperlink" Target="http://www.irishstatutebook.ie/eli/2001/si/600/made/en/print?q=Planning+and+Development+Regulations+&amp;years=2001&amp;search_type=si" TargetMode="External"/><Relationship Id="rId55" Type="http://schemas.openxmlformats.org/officeDocument/2006/relationships/hyperlink" Target="https://www.courts.ie/acc/alfresco/837c306b-fa79-4a11-ba66-74a3cc5b9e63/2014_IEHC_400_1.pdf/pdf" TargetMode="External"/><Relationship Id="rId63" Type="http://schemas.openxmlformats.org/officeDocument/2006/relationships/hyperlink" Target="https://www.courts.ie/acc/alfresco/0e26521a-12ce-4386-9784-86e5dca953fb/2019_IEHC_824_1.pdf/pdf" TargetMode="External"/><Relationship Id="rId68" Type="http://schemas.openxmlformats.org/officeDocument/2006/relationships/hyperlink" Target="https://www.courts.ie/acc/alfresco/0f76ebe9-2d4c-4134-97cc-4f1a78281f9c/2020_IEHC_622.pdf/pdf" TargetMode="External"/><Relationship Id="rId7" Type="http://schemas.openxmlformats.org/officeDocument/2006/relationships/endnotes" Target="endnotes.xml"/><Relationship Id="rId71" Type="http://schemas.openxmlformats.org/officeDocument/2006/relationships/hyperlink" Target="https://www.courts.ie/acc/alfresco/86f67ce2-742e-492f-bad1-36921702d707/2021_IEHC_254.pdf/pdf" TargetMode="External"/><Relationship Id="rId2" Type="http://schemas.openxmlformats.org/officeDocument/2006/relationships/numbering" Target="numbering.xml"/><Relationship Id="rId16" Type="http://schemas.openxmlformats.org/officeDocument/2006/relationships/hyperlink" Target="https://curia.europa.eu/juris/liste.jsf?language=en&amp;num=C-392/96" TargetMode="External"/><Relationship Id="rId29" Type="http://schemas.openxmlformats.org/officeDocument/2006/relationships/hyperlink" Target="https://curia.europa.eu/juris/document/document.jsf;jsessionid=66B0F40BCD490129BF345CF142DA1216?text=&amp;docid=111403&amp;pageIndex=0&amp;doclang=en&amp;mode=lst&amp;dir=&amp;occ=first&amp;part=1&amp;cid=7091252" TargetMode="External"/><Relationship Id="rId11" Type="http://schemas.openxmlformats.org/officeDocument/2006/relationships/hyperlink" Target="https://eur-lex.europa.eu/eli/dir/2011/92/oj" TargetMode="External"/><Relationship Id="rId24" Type="http://schemas.openxmlformats.org/officeDocument/2006/relationships/hyperlink" Target="https://curia.europa.eu/juris/liste.jsf?language=en&amp;num=c-142/07" TargetMode="External"/><Relationship Id="rId32" Type="http://schemas.openxmlformats.org/officeDocument/2006/relationships/hyperlink" Target="https://eur-lex.europa.eu/legal-content/EN/TXT/?uri=CELEX%3A62009CJ0538&amp;" TargetMode="External"/><Relationship Id="rId37" Type="http://schemas.openxmlformats.org/officeDocument/2006/relationships/hyperlink" Target="https://curia.europa.eu/juris/liste.jsf?language=en&amp;num=C-141/14" TargetMode="External"/><Relationship Id="rId40" Type="http://schemas.openxmlformats.org/officeDocument/2006/relationships/hyperlink" Target="https://eur-lex.europa.eu/legal-content/EN/TXT/HTML/?uri=CELEX:62017CJ0323&amp;qid=1626359708558&amp;from=EN" TargetMode="External"/><Relationship Id="rId45" Type="http://schemas.openxmlformats.org/officeDocument/2006/relationships/hyperlink" Target="https://curia.europa.eu/juris/document/document.jsf?text=&amp;docid=226000&amp;pageIndex=0&amp;doclang=en&amp;mode=lst&amp;dir=&amp;occ=first&amp;part=1&amp;cid=298959" TargetMode="External"/><Relationship Id="rId53" Type="http://schemas.openxmlformats.org/officeDocument/2006/relationships/hyperlink" Target="https://www.courts.ie/content/commercial-planning-sid-list-1" TargetMode="External"/><Relationship Id="rId58" Type="http://schemas.openxmlformats.org/officeDocument/2006/relationships/hyperlink" Target="https://www.courts.ie/acc/alfresco/b5fc7d8a-a799-4446-95e3-37a2a7f5bdd8/2018_IESC_31_1.pdf/pdf" TargetMode="External"/><Relationship Id="rId66" Type="http://schemas.openxmlformats.org/officeDocument/2006/relationships/hyperlink" Target="https://www.courts.ie/acc/alfresco/dd32fd16-7dff-4740-a3ee-368eeac12ddc/2020_IEHC_429.pdf/pdf"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uria.europa.eu/juris/liste.jsf?language=en&amp;jur=C,T,F&amp;num=C-72/95&amp;td=ALL" TargetMode="External"/><Relationship Id="rId23" Type="http://schemas.openxmlformats.org/officeDocument/2006/relationships/hyperlink" Target="https://eur-lex.europa.eu/legal-content/EN/TXT/?uri=CELEX%3A62002CJ0127" TargetMode="External"/><Relationship Id="rId28" Type="http://schemas.openxmlformats.org/officeDocument/2006/relationships/hyperlink" Target="https://eur-lex.europa.eu/legal-content/EN/TXT/?uri=CELEX%3A62009CJ0050" TargetMode="External"/><Relationship Id="rId36" Type="http://schemas.openxmlformats.org/officeDocument/2006/relationships/hyperlink" Target="https://curia.europa.eu/juris/liste.jsf?language=en&amp;num=C-531/13" TargetMode="External"/><Relationship Id="rId49" Type="http://schemas.openxmlformats.org/officeDocument/2006/relationships/hyperlink" Target="https://revisedacts.lawreform.ie/eli/2000/act/30/revised/en/pdf?annotations=true" TargetMode="External"/><Relationship Id="rId57" Type="http://schemas.openxmlformats.org/officeDocument/2006/relationships/hyperlink" Target="https://www.courts.ie/acc/alfresco/6f79ed84-b27c-4249-8592-814686f783bc/2017_IEHC_268_1.pdf/pdf" TargetMode="External"/><Relationship Id="rId61" Type="http://schemas.openxmlformats.org/officeDocument/2006/relationships/hyperlink" Target="https://www.courts.ie/acc/alfresco/f0d807dc-b302-47c1-b2f6-8a93e73c4c1b/2019_IESC_90_1.pdf/pdf" TargetMode="External"/><Relationship Id="rId10" Type="http://schemas.openxmlformats.org/officeDocument/2006/relationships/hyperlink" Target="https://eur-lex.europa.eu/legal-content/EN/TXT/HTML/?uri=CELEX:31992L0043&amp;from=EN" TargetMode="External"/><Relationship Id="rId19" Type="http://schemas.openxmlformats.org/officeDocument/2006/relationships/hyperlink" Target="https://eur-lex.europa.eu/legal-content/EN/TXT/HTML/?uri=CELEX:62005CJ0222&amp;qid=1626358349300&amp;from=EN" TargetMode="External"/><Relationship Id="rId31" Type="http://schemas.openxmlformats.org/officeDocument/2006/relationships/hyperlink" Target="https://curia.europa.eu/juris/liste.jsf?language=en&amp;num=435/09" TargetMode="External"/><Relationship Id="rId44" Type="http://schemas.openxmlformats.org/officeDocument/2006/relationships/hyperlink" Target="https://eur-lex.europa.eu/legal-content/EN/TXT/?uri=CELEX%3A62018CJ0752" TargetMode="External"/><Relationship Id="rId52" Type="http://schemas.openxmlformats.org/officeDocument/2006/relationships/hyperlink" Target="http://www.irishstatutebook.ie/eli/2018/si/29/made/en/print?num=29&amp;years=2018&amp;search_type=si" TargetMode="External"/><Relationship Id="rId60" Type="http://schemas.openxmlformats.org/officeDocument/2006/relationships/hyperlink" Target="https://www.courts.ie/acc/alfresco/248e1258-8490-4f02-9db1-2f5482103a57/2019_IEHC_84.pdf/pdf" TargetMode="External"/><Relationship Id="rId65" Type="http://schemas.openxmlformats.org/officeDocument/2006/relationships/hyperlink" Target="https://www.courts.ie/acc/alfresco/465318f9-2540-403d-9db8-10e8b48c91e3/2020_IEHC_188.pdf/pdf"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uroparl.europa.eu/charter/pdf/text_en.pdf" TargetMode="External"/><Relationship Id="rId14" Type="http://schemas.openxmlformats.org/officeDocument/2006/relationships/hyperlink" Target="https://eur-lex.europa.eu/legal-content/EN/TXT/HTML/?uri=CELEX:61993CJ0430&amp;qid=1626358224464&amp;from=EN" TargetMode="External"/><Relationship Id="rId22" Type="http://schemas.openxmlformats.org/officeDocument/2006/relationships/hyperlink" Target="https://curia.europa.eu/juris/liste.jsf?language=en&amp;num=c-2/07" TargetMode="External"/><Relationship Id="rId27" Type="http://schemas.openxmlformats.org/officeDocument/2006/relationships/hyperlink" Target="https://curia.europa.eu/juris/liste.jsf?language=en&amp;num=C-205/08" TargetMode="External"/><Relationship Id="rId30" Type="http://schemas.openxmlformats.org/officeDocument/2006/relationships/hyperlink" Target="https://curia.europa.eu/juris/liste.jsf?language=en&amp;jur=C,T,F&amp;num=C-275/09&amp;td=ALL" TargetMode="External"/><Relationship Id="rId35" Type="http://schemas.openxmlformats.org/officeDocument/2006/relationships/hyperlink" Target="https://curia.europa.eu/juris/liste.jsf?num=C-244/12&amp;language=EN" TargetMode="External"/><Relationship Id="rId43" Type="http://schemas.openxmlformats.org/officeDocument/2006/relationships/hyperlink" Target="https://eur-lex.europa.eu/legal-content/EN/TXT/?uri=CELEX%3A62018CJ0261" TargetMode="External"/><Relationship Id="rId48" Type="http://schemas.openxmlformats.org/officeDocument/2006/relationships/hyperlink" Target="https://treaties.un.org/Pages/ViewDetails.aspx?src=TREATY&amp;mtdsg_no=XXVII-13&amp;chapter=27" TargetMode="External"/><Relationship Id="rId56" Type="http://schemas.openxmlformats.org/officeDocument/2006/relationships/hyperlink" Target="https://www.courts.ie/acc/alfresco/cefd1393-683a-423a-917c-2ef74e9fbdf6/2017_IESC_60_1.pdf/pdf" TargetMode="External"/><Relationship Id="rId64" Type="http://schemas.openxmlformats.org/officeDocument/2006/relationships/hyperlink" Target="https://www.courts.ie/acc/alfresco/53a163a0-ce58-4435-bfed-2561e3ea9b86/2020_IEHC_39.pdf/pdf" TargetMode="External"/><Relationship Id="rId69" Type="http://schemas.openxmlformats.org/officeDocument/2006/relationships/hyperlink" Target="https://www.courts.ie/acc/alfresco/f7982205-1c07-49b3-b52b-4b92b51e3a3e/2021_IEHC_60.pdf/pdf" TargetMode="External"/><Relationship Id="rId8" Type="http://schemas.openxmlformats.org/officeDocument/2006/relationships/hyperlink" Target="https://eur-lex.europa.eu/legal-content/EN/TXT/HTML/?uri=CELEX:12012M/TXT&amp;from=en" TargetMode="External"/><Relationship Id="rId51" Type="http://schemas.openxmlformats.org/officeDocument/2006/relationships/hyperlink" Target="https://revisedacts.lawreform.ie/eli/2016/act/17/revised/en/html" TargetMode="External"/><Relationship Id="rId72" Type="http://schemas.openxmlformats.org/officeDocument/2006/relationships/hyperlink" Target="https://www.courts.ie/acc/alfresco/af29bf9b-9173-4adc-a1e4-c4b58f281b0d/2021_IEHC_322.pdf/pdf" TargetMode="External"/><Relationship Id="rId3" Type="http://schemas.openxmlformats.org/officeDocument/2006/relationships/styles" Target="styles.xml"/><Relationship Id="rId12" Type="http://schemas.openxmlformats.org/officeDocument/2006/relationships/hyperlink" Target="https://eur-lex.europa.eu/eli/dir/2014/52/oj" TargetMode="External"/><Relationship Id="rId17" Type="http://schemas.openxmlformats.org/officeDocument/2006/relationships/hyperlink" Target="https://curia.europa.eu/juris/liste.jsf?language=en&amp;jur=C,T,F&amp;num=C-435/97&amp;td=ALL" TargetMode="External"/><Relationship Id="rId25" Type="http://schemas.openxmlformats.org/officeDocument/2006/relationships/hyperlink" Target="https://eur-lex.europa.eu/legal-content/EN/TXT/?uri=CELEX%3A62007CJ0427" TargetMode="External"/><Relationship Id="rId33" Type="http://schemas.openxmlformats.org/officeDocument/2006/relationships/hyperlink" Target="https://eur-lex.europa.eu/legal-content/EN/TXT/HTML/?uri=CELEX:62010CJ0416&amp;from=en" TargetMode="External"/><Relationship Id="rId38" Type="http://schemas.openxmlformats.org/officeDocument/2006/relationships/hyperlink" Target="https://curia.europa.eu/juris/liste.jsf?language=en&amp;num=C-243/15" TargetMode="External"/><Relationship Id="rId46" Type="http://schemas.openxmlformats.org/officeDocument/2006/relationships/hyperlink" Target="https://eur-lex.europa.eu/legal-content/EN/TXT/HTML/?uri=CELEX:62019CJ0254&amp;qid=1626355921187&amp;from=EN" TargetMode="External"/><Relationship Id="rId59" Type="http://schemas.openxmlformats.org/officeDocument/2006/relationships/hyperlink" Target="https://www.courts.ie/acc/alfresco/463c03db-c145-48cd-96a3-4d4fdcacf2f5/2018_IEHC_461_1.pdf/pdf" TargetMode="External"/><Relationship Id="rId67" Type="http://schemas.openxmlformats.org/officeDocument/2006/relationships/hyperlink" Target="https://www.courts.ie/acc/alfresco/5cd3ccef-f0e8-4066-9b5e-7cbdbc535146/2020_IEHC_586.pdf/pdf" TargetMode="External"/><Relationship Id="rId20" Type="http://schemas.openxmlformats.org/officeDocument/2006/relationships/hyperlink" Target="https://curia.europa.eu/juris/liste.jsf?language=en&amp;num=C-66/06" TargetMode="External"/><Relationship Id="rId41" Type="http://schemas.openxmlformats.org/officeDocument/2006/relationships/hyperlink" Target="https://curia.europa.eu/juris/documents.jsf?language=EN&amp;critereEcli=ECLI:EU:C:2018:979" TargetMode="External"/><Relationship Id="rId54" Type="http://schemas.openxmlformats.org/officeDocument/2006/relationships/hyperlink" Target="https://www.courts.ie/acc/alfresco/130e3493-2549-43b9-9326-01517ca6e8cd/2011_IESC_29_1.pdf/pdf" TargetMode="External"/><Relationship Id="rId62" Type="http://schemas.openxmlformats.org/officeDocument/2006/relationships/hyperlink" Target="https://www.courts.ie/acc/alfresco/18aaa760-8913-4719-8ef9-f66f2afd9385/2019_IEHC_450_1.pdf/pdf" TargetMode="External"/><Relationship Id="rId70" Type="http://schemas.openxmlformats.org/officeDocument/2006/relationships/hyperlink" Target="https://www.courts.ie/acc/alfresco/f097937d-a913-466c-9fde-57ff65ef0c74/2021_IEHC_143.pdf/pdf"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51DDA-0178-4554-8D95-A38FC897F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9986</Words>
  <Characters>56926</Characters>
  <Application>Microsoft Office Word</Application>
  <DocSecurity>0</DocSecurity>
  <Lines>474</Lines>
  <Paragraphs>133</Paragraphs>
  <ScaleCrop>false</ScaleCrop>
  <Company/>
  <LinksUpToDate>false</LinksUpToDate>
  <CharactersWithSpaces>66779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2021-10-05T07:51:00Z</dcterms:created>
  <dcterms:modified xsi:type="dcterms:W3CDTF">2021-10-05T07:51:00Z</dcterms:modified>
</cp:coreProperties>
</file>