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55814" w14:textId="77777777" w:rsidR="00001D3C" w:rsidRPr="00EF7378" w:rsidRDefault="00001D3C" w:rsidP="008E6234">
      <w:pPr>
        <w:pStyle w:val="NoSpacing"/>
        <w:spacing w:line="480" w:lineRule="auto"/>
        <w:jc w:val="left"/>
        <w:rPr>
          <w:rFonts w:cs="Times New Roman"/>
          <w:b/>
          <w:bCs/>
        </w:rPr>
      </w:pPr>
      <w:bookmarkStart w:id="0" w:name="_GoBack"/>
      <w:bookmarkEnd w:id="0"/>
    </w:p>
    <w:p w14:paraId="17E8D406" w14:textId="7F4812C7" w:rsidR="003F58C7" w:rsidRPr="00EF7378" w:rsidRDefault="003F58C7" w:rsidP="008E6234">
      <w:pPr>
        <w:pStyle w:val="NoSpacing"/>
        <w:spacing w:line="480" w:lineRule="auto"/>
        <w:jc w:val="center"/>
        <w:rPr>
          <w:rFonts w:cs="Times New Roman"/>
          <w:b/>
          <w:bCs/>
        </w:rPr>
      </w:pPr>
      <w:r w:rsidRPr="00EF7378">
        <w:rPr>
          <w:rFonts w:cs="Times New Roman"/>
          <w:b/>
          <w:bCs/>
        </w:rPr>
        <w:t>THE SUPREME COURT</w:t>
      </w:r>
    </w:p>
    <w:p w14:paraId="45F1C0A2" w14:textId="77777777" w:rsidR="003D7D9C" w:rsidRDefault="003D7D9C" w:rsidP="008E6234">
      <w:pPr>
        <w:pStyle w:val="NoSpacing"/>
        <w:spacing w:line="480" w:lineRule="auto"/>
        <w:jc w:val="right"/>
        <w:rPr>
          <w:rFonts w:cs="Times New Roman"/>
          <w:b/>
          <w:bCs/>
        </w:rPr>
      </w:pPr>
    </w:p>
    <w:p w14:paraId="5033EF92" w14:textId="546F1E7F" w:rsidR="003F58C7" w:rsidRPr="00EF7378" w:rsidRDefault="003F58C7" w:rsidP="008E6234">
      <w:pPr>
        <w:pStyle w:val="NoSpacing"/>
        <w:spacing w:line="480" w:lineRule="auto"/>
        <w:jc w:val="right"/>
        <w:rPr>
          <w:rFonts w:cs="Times New Roman"/>
          <w:b/>
          <w:bCs/>
        </w:rPr>
      </w:pPr>
      <w:r w:rsidRPr="00EF7378">
        <w:rPr>
          <w:rFonts w:cs="Times New Roman"/>
          <w:b/>
          <w:bCs/>
        </w:rPr>
        <w:t>Supreme Court Appeal No. 2018/69</w:t>
      </w:r>
    </w:p>
    <w:p w14:paraId="5A1A9DA7" w14:textId="6D8459CE" w:rsidR="003F58C7" w:rsidRPr="00194513" w:rsidRDefault="00D96A33" w:rsidP="008E6234">
      <w:pPr>
        <w:pStyle w:val="NoSpacing"/>
        <w:spacing w:line="480" w:lineRule="auto"/>
        <w:jc w:val="right"/>
        <w:rPr>
          <w:rFonts w:cs="Times New Roman"/>
          <w:b/>
          <w:bCs/>
        </w:rPr>
      </w:pPr>
      <w:r w:rsidRPr="00EF7378">
        <w:rPr>
          <w:rFonts w:cs="Times New Roman"/>
          <w:b/>
          <w:bCs/>
        </w:rPr>
        <w:t>High Court Record No. 2017</w:t>
      </w:r>
      <w:r w:rsidR="00DC30BB">
        <w:rPr>
          <w:rFonts w:cs="Times New Roman"/>
          <w:b/>
          <w:bCs/>
        </w:rPr>
        <w:t>/</w:t>
      </w:r>
      <w:r w:rsidRPr="00EF7378">
        <w:rPr>
          <w:rFonts w:cs="Times New Roman"/>
          <w:b/>
          <w:bCs/>
        </w:rPr>
        <w:t xml:space="preserve">659 JR </w:t>
      </w:r>
    </w:p>
    <w:p w14:paraId="2ABB9E93" w14:textId="00BA70BC" w:rsidR="00D96A33" w:rsidRPr="00EF7378" w:rsidRDefault="00D96A33" w:rsidP="008E6234">
      <w:pPr>
        <w:pStyle w:val="NoSpacing"/>
        <w:spacing w:line="480" w:lineRule="auto"/>
        <w:jc w:val="left"/>
        <w:rPr>
          <w:rFonts w:cs="Times New Roman"/>
          <w:b/>
          <w:bCs/>
        </w:rPr>
      </w:pPr>
      <w:r w:rsidRPr="00EF7378">
        <w:rPr>
          <w:rFonts w:cs="Times New Roman"/>
          <w:b/>
          <w:bCs/>
        </w:rPr>
        <w:t>O’Donnell J</w:t>
      </w:r>
    </w:p>
    <w:p w14:paraId="7ABF49A3" w14:textId="7A3B4682" w:rsidR="00D96A33" w:rsidRPr="00EF7378" w:rsidRDefault="00D96A33" w:rsidP="008E6234">
      <w:pPr>
        <w:pStyle w:val="NoSpacing"/>
        <w:spacing w:line="480" w:lineRule="auto"/>
        <w:jc w:val="left"/>
        <w:rPr>
          <w:rFonts w:cs="Times New Roman"/>
          <w:b/>
          <w:bCs/>
        </w:rPr>
      </w:pPr>
      <w:r w:rsidRPr="00EF7378">
        <w:rPr>
          <w:rFonts w:cs="Times New Roman"/>
          <w:b/>
          <w:bCs/>
        </w:rPr>
        <w:t>McKechnie J</w:t>
      </w:r>
    </w:p>
    <w:p w14:paraId="1778E30F" w14:textId="5693E6AA" w:rsidR="00D96A33" w:rsidRPr="00EF7378" w:rsidRDefault="00D96A33" w:rsidP="008E6234">
      <w:pPr>
        <w:pStyle w:val="NoSpacing"/>
        <w:spacing w:line="480" w:lineRule="auto"/>
        <w:jc w:val="left"/>
        <w:rPr>
          <w:rFonts w:cs="Times New Roman"/>
          <w:b/>
          <w:bCs/>
        </w:rPr>
      </w:pPr>
      <w:r w:rsidRPr="00EF7378">
        <w:rPr>
          <w:rFonts w:cs="Times New Roman"/>
          <w:b/>
          <w:bCs/>
        </w:rPr>
        <w:t xml:space="preserve">MacMenamin J </w:t>
      </w:r>
    </w:p>
    <w:p w14:paraId="13AB7F35" w14:textId="382216FD" w:rsidR="00D96A33" w:rsidRPr="00EF7378" w:rsidRDefault="00D96A33" w:rsidP="008E6234">
      <w:pPr>
        <w:pStyle w:val="NoSpacing"/>
        <w:spacing w:line="480" w:lineRule="auto"/>
        <w:jc w:val="left"/>
        <w:rPr>
          <w:rFonts w:cs="Times New Roman"/>
          <w:b/>
          <w:bCs/>
        </w:rPr>
      </w:pPr>
      <w:r w:rsidRPr="00EF7378">
        <w:rPr>
          <w:rFonts w:cs="Times New Roman"/>
          <w:b/>
          <w:bCs/>
        </w:rPr>
        <w:t xml:space="preserve">Charleton J </w:t>
      </w:r>
    </w:p>
    <w:p w14:paraId="4933F792" w14:textId="6BBE2005" w:rsidR="00D96A33" w:rsidRPr="00EF7378" w:rsidRDefault="00D96A33" w:rsidP="008E6234">
      <w:pPr>
        <w:pStyle w:val="NoSpacing"/>
        <w:spacing w:line="480" w:lineRule="auto"/>
        <w:jc w:val="left"/>
        <w:rPr>
          <w:rFonts w:cs="Times New Roman"/>
          <w:b/>
          <w:bCs/>
        </w:rPr>
      </w:pPr>
      <w:r w:rsidRPr="00EF7378">
        <w:rPr>
          <w:rFonts w:cs="Times New Roman"/>
          <w:b/>
          <w:bCs/>
        </w:rPr>
        <w:t xml:space="preserve">Irvine J </w:t>
      </w:r>
    </w:p>
    <w:p w14:paraId="35558FE2" w14:textId="77777777" w:rsidR="003F58C7" w:rsidRPr="00EF7378" w:rsidRDefault="003F58C7" w:rsidP="008E6234">
      <w:pPr>
        <w:pStyle w:val="NoSpacing"/>
        <w:spacing w:line="480" w:lineRule="auto"/>
        <w:jc w:val="left"/>
        <w:rPr>
          <w:rFonts w:cs="Times New Roman"/>
        </w:rPr>
      </w:pPr>
    </w:p>
    <w:p w14:paraId="23F7498A" w14:textId="67879D34" w:rsidR="003F58C7" w:rsidRPr="00EF7378" w:rsidRDefault="003F58C7" w:rsidP="008E6234">
      <w:pPr>
        <w:pStyle w:val="NoSpacing"/>
        <w:spacing w:line="480" w:lineRule="auto"/>
        <w:jc w:val="left"/>
        <w:rPr>
          <w:rFonts w:cs="Times New Roman"/>
          <w:b/>
          <w:bCs/>
        </w:rPr>
      </w:pPr>
      <w:r w:rsidRPr="00EF7378">
        <w:rPr>
          <w:rFonts w:cs="Times New Roman"/>
          <w:b/>
          <w:bCs/>
        </w:rPr>
        <w:t xml:space="preserve">Between/ </w:t>
      </w:r>
    </w:p>
    <w:p w14:paraId="5073B8E3" w14:textId="77777777" w:rsidR="003F58C7" w:rsidRPr="00EF7378" w:rsidRDefault="003F58C7" w:rsidP="008E6234">
      <w:pPr>
        <w:pStyle w:val="NoSpacing"/>
        <w:spacing w:line="480" w:lineRule="auto"/>
        <w:jc w:val="left"/>
        <w:rPr>
          <w:rFonts w:cs="Times New Roman"/>
        </w:rPr>
      </w:pPr>
    </w:p>
    <w:p w14:paraId="60CCEDA6" w14:textId="623744E1" w:rsidR="003F58C7" w:rsidRPr="00EF7378" w:rsidRDefault="003F58C7" w:rsidP="008E6234">
      <w:pPr>
        <w:pStyle w:val="NoSpacing"/>
        <w:spacing w:line="480" w:lineRule="auto"/>
        <w:jc w:val="center"/>
        <w:rPr>
          <w:rFonts w:cs="Times New Roman"/>
          <w:b/>
          <w:bCs/>
        </w:rPr>
      </w:pPr>
      <w:r w:rsidRPr="00EF7378">
        <w:rPr>
          <w:rFonts w:cs="Times New Roman"/>
          <w:b/>
          <w:bCs/>
        </w:rPr>
        <w:t>M.K.F.S. (PAKISTAN) and A.F. and N.F.J. (an infant suing by and through his mother and next friend A.F.)</w:t>
      </w:r>
    </w:p>
    <w:p w14:paraId="30C5F430" w14:textId="203BE919" w:rsidR="003F58C7" w:rsidRPr="00EF7378" w:rsidRDefault="003F58C7" w:rsidP="008E6234">
      <w:pPr>
        <w:pStyle w:val="NoSpacing"/>
        <w:spacing w:line="480" w:lineRule="auto"/>
        <w:jc w:val="right"/>
        <w:rPr>
          <w:rFonts w:cs="Times New Roman"/>
          <w:b/>
          <w:bCs/>
        </w:rPr>
      </w:pPr>
      <w:r w:rsidRPr="00EF7378">
        <w:rPr>
          <w:rFonts w:cs="Times New Roman"/>
          <w:b/>
          <w:bCs/>
        </w:rPr>
        <w:t>Appellants</w:t>
      </w:r>
    </w:p>
    <w:p w14:paraId="3535AB15" w14:textId="15D07FFD" w:rsidR="003F58C7" w:rsidRPr="00EF7378" w:rsidRDefault="003F58C7" w:rsidP="008E6234">
      <w:pPr>
        <w:pStyle w:val="NoSpacing"/>
        <w:spacing w:line="480" w:lineRule="auto"/>
        <w:jc w:val="center"/>
        <w:rPr>
          <w:rFonts w:cs="Times New Roman"/>
          <w:b/>
          <w:bCs/>
        </w:rPr>
      </w:pPr>
      <w:r w:rsidRPr="00EF7378">
        <w:rPr>
          <w:rFonts w:cs="Times New Roman"/>
          <w:b/>
          <w:bCs/>
        </w:rPr>
        <w:t>-and-</w:t>
      </w:r>
    </w:p>
    <w:p w14:paraId="66F10FB4" w14:textId="77777777" w:rsidR="003F58C7" w:rsidRPr="00EF7378" w:rsidRDefault="003F58C7" w:rsidP="008E6234">
      <w:pPr>
        <w:pStyle w:val="NoSpacing"/>
        <w:spacing w:line="480" w:lineRule="auto"/>
        <w:jc w:val="left"/>
        <w:rPr>
          <w:rFonts w:cs="Times New Roman"/>
          <w:b/>
          <w:bCs/>
        </w:rPr>
      </w:pPr>
    </w:p>
    <w:p w14:paraId="48F46CBE" w14:textId="77777777" w:rsidR="003F58C7" w:rsidRPr="00EF7378" w:rsidRDefault="003F58C7" w:rsidP="008E6234">
      <w:pPr>
        <w:pStyle w:val="NoSpacing"/>
        <w:spacing w:line="480" w:lineRule="auto"/>
        <w:jc w:val="center"/>
        <w:rPr>
          <w:rFonts w:cs="Times New Roman"/>
          <w:b/>
          <w:bCs/>
        </w:rPr>
      </w:pPr>
      <w:r w:rsidRPr="00EF7378">
        <w:rPr>
          <w:rFonts w:cs="Times New Roman"/>
          <w:b/>
          <w:bCs/>
        </w:rPr>
        <w:t>THE MINISTER FOR JUSTICE AND EQUALITY</w:t>
      </w:r>
    </w:p>
    <w:p w14:paraId="63FC94A1" w14:textId="6CBD35D1" w:rsidR="003F58C7" w:rsidRPr="00EF7378" w:rsidRDefault="003F58C7" w:rsidP="008E6234">
      <w:pPr>
        <w:pStyle w:val="NoSpacing"/>
        <w:spacing w:line="480" w:lineRule="auto"/>
        <w:jc w:val="right"/>
        <w:rPr>
          <w:rFonts w:cs="Times New Roman"/>
          <w:b/>
          <w:bCs/>
        </w:rPr>
      </w:pPr>
      <w:r w:rsidRPr="00EF7378">
        <w:rPr>
          <w:rFonts w:cs="Times New Roman"/>
          <w:b/>
          <w:bCs/>
        </w:rPr>
        <w:t>Respondent</w:t>
      </w:r>
    </w:p>
    <w:p w14:paraId="6BDEDBFF" w14:textId="039FCB3B" w:rsidR="003F58C7" w:rsidRPr="00EF7378" w:rsidRDefault="003F58C7" w:rsidP="008E6234">
      <w:pPr>
        <w:pStyle w:val="NoSpacing"/>
        <w:spacing w:line="480" w:lineRule="auto"/>
        <w:jc w:val="center"/>
        <w:rPr>
          <w:rFonts w:cs="Times New Roman"/>
          <w:b/>
          <w:bCs/>
        </w:rPr>
      </w:pPr>
      <w:r w:rsidRPr="00EF7378">
        <w:rPr>
          <w:rFonts w:cs="Times New Roman"/>
          <w:b/>
          <w:bCs/>
        </w:rPr>
        <w:t>-and-</w:t>
      </w:r>
    </w:p>
    <w:p w14:paraId="24444D6F" w14:textId="77777777" w:rsidR="003F58C7" w:rsidRPr="00EF7378" w:rsidRDefault="003F58C7" w:rsidP="008E6234">
      <w:pPr>
        <w:pStyle w:val="NoSpacing"/>
        <w:spacing w:line="480" w:lineRule="auto"/>
        <w:jc w:val="left"/>
        <w:rPr>
          <w:rFonts w:cs="Times New Roman"/>
          <w:b/>
          <w:bCs/>
        </w:rPr>
      </w:pPr>
    </w:p>
    <w:p w14:paraId="5FAABAF9" w14:textId="77777777" w:rsidR="003F58C7" w:rsidRPr="00EF7378" w:rsidRDefault="003F58C7" w:rsidP="008E6234">
      <w:pPr>
        <w:pStyle w:val="NoSpacing"/>
        <w:spacing w:line="480" w:lineRule="auto"/>
        <w:jc w:val="center"/>
        <w:rPr>
          <w:rFonts w:cs="Times New Roman"/>
          <w:b/>
          <w:bCs/>
        </w:rPr>
      </w:pPr>
      <w:r w:rsidRPr="00EF7378">
        <w:rPr>
          <w:rFonts w:cs="Times New Roman"/>
          <w:b/>
          <w:bCs/>
        </w:rPr>
        <w:t>THE IRISH HUMAN RIGHTS AND EQUALITY COMMISSION</w:t>
      </w:r>
    </w:p>
    <w:p w14:paraId="4B2FE410" w14:textId="13F5D0E0" w:rsidR="00D96A33" w:rsidRPr="00EF7378" w:rsidRDefault="00AF4429" w:rsidP="002F44A7">
      <w:pPr>
        <w:pStyle w:val="NoSpacing"/>
        <w:spacing w:line="480" w:lineRule="auto"/>
        <w:jc w:val="right"/>
        <w:rPr>
          <w:rFonts w:cs="Times New Roman"/>
          <w:b/>
          <w:bCs/>
          <w:u w:val="single"/>
        </w:rPr>
      </w:pPr>
      <w:r>
        <w:rPr>
          <w:rFonts w:cs="Times New Roman"/>
          <w:b/>
          <w:bCs/>
        </w:rPr>
        <w:t xml:space="preserve">Amicus Curiae </w:t>
      </w:r>
    </w:p>
    <w:p w14:paraId="2EFDC85F" w14:textId="77777777" w:rsidR="002F44A7" w:rsidRDefault="002F44A7">
      <w:pPr>
        <w:pStyle w:val="NoSpacing"/>
        <w:spacing w:line="480" w:lineRule="auto"/>
        <w:jc w:val="left"/>
        <w:rPr>
          <w:rFonts w:cs="Times New Roman"/>
          <w:b/>
          <w:bCs/>
          <w:u w:val="single"/>
        </w:rPr>
      </w:pPr>
    </w:p>
    <w:p w14:paraId="1C30200B" w14:textId="7C455806" w:rsidR="00D96A33" w:rsidRPr="00EF7378" w:rsidRDefault="00D96A33" w:rsidP="00775A4E">
      <w:pPr>
        <w:pStyle w:val="NoSpacing"/>
        <w:spacing w:line="480" w:lineRule="auto"/>
        <w:jc w:val="left"/>
        <w:rPr>
          <w:rFonts w:cs="Times New Roman"/>
        </w:rPr>
      </w:pPr>
      <w:r w:rsidRPr="00EF7378">
        <w:rPr>
          <w:rFonts w:cs="Times New Roman"/>
          <w:b/>
          <w:bCs/>
          <w:u w:val="single"/>
        </w:rPr>
        <w:lastRenderedPageBreak/>
        <w:t xml:space="preserve">JUDGMENT of Mr. Justice William M. McKechnie delivered on the </w:t>
      </w:r>
      <w:r w:rsidR="002F44A7">
        <w:rPr>
          <w:rFonts w:cs="Times New Roman"/>
          <w:b/>
          <w:bCs/>
          <w:u w:val="single"/>
        </w:rPr>
        <w:t>24</w:t>
      </w:r>
      <w:r w:rsidR="002F44A7" w:rsidRPr="00775A4E">
        <w:rPr>
          <w:rFonts w:cs="Times New Roman"/>
          <w:b/>
          <w:bCs/>
          <w:u w:val="single"/>
          <w:vertAlign w:val="superscript"/>
        </w:rPr>
        <w:t>t</w:t>
      </w:r>
      <w:r w:rsidR="002F44A7">
        <w:rPr>
          <w:rFonts w:cs="Times New Roman"/>
          <w:b/>
          <w:bCs/>
          <w:u w:val="single"/>
          <w:vertAlign w:val="superscript"/>
        </w:rPr>
        <w:t xml:space="preserve">h </w:t>
      </w:r>
      <w:r w:rsidRPr="00EF7378">
        <w:rPr>
          <w:rFonts w:cs="Times New Roman"/>
          <w:b/>
          <w:bCs/>
          <w:u w:val="single"/>
        </w:rPr>
        <w:t xml:space="preserve">day of </w:t>
      </w:r>
      <w:r w:rsidR="002F44A7">
        <w:rPr>
          <w:rFonts w:cs="Times New Roman"/>
          <w:b/>
          <w:bCs/>
          <w:u w:val="single"/>
        </w:rPr>
        <w:t>July</w:t>
      </w:r>
      <w:r w:rsidRPr="00EF7378">
        <w:rPr>
          <w:rFonts w:cs="Times New Roman"/>
          <w:b/>
          <w:bCs/>
          <w:u w:val="single"/>
        </w:rPr>
        <w:t>, 2020</w:t>
      </w:r>
    </w:p>
    <w:p w14:paraId="789177BC" w14:textId="7FAB6699" w:rsidR="00E858DC" w:rsidRPr="00EF7378" w:rsidRDefault="00E858DC" w:rsidP="00775A4E">
      <w:pPr>
        <w:pStyle w:val="NoSpacing"/>
        <w:spacing w:line="480" w:lineRule="auto"/>
        <w:jc w:val="left"/>
        <w:rPr>
          <w:rFonts w:cs="Times New Roman"/>
        </w:rPr>
      </w:pPr>
    </w:p>
    <w:p w14:paraId="0818E017" w14:textId="7F86EEE2" w:rsidR="008B713E" w:rsidRPr="00EF7378" w:rsidRDefault="00E858DC" w:rsidP="00775A4E">
      <w:pPr>
        <w:pStyle w:val="NoSpacing"/>
        <w:spacing w:line="480" w:lineRule="auto"/>
        <w:jc w:val="left"/>
        <w:rPr>
          <w:rFonts w:cs="Times New Roman"/>
        </w:rPr>
      </w:pPr>
      <w:r w:rsidRPr="00846174">
        <w:rPr>
          <w:rFonts w:cs="Times New Roman"/>
          <w:b/>
          <w:bCs/>
          <w:u w:val="single"/>
        </w:rPr>
        <w:t xml:space="preserve">Introduction </w:t>
      </w:r>
    </w:p>
    <w:p w14:paraId="1967E125" w14:textId="5EB3862D" w:rsidR="008078A8" w:rsidRDefault="008078A8" w:rsidP="00775A4E">
      <w:pPr>
        <w:pStyle w:val="ListParagraph"/>
        <w:numPr>
          <w:ilvl w:val="0"/>
          <w:numId w:val="8"/>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Whilst this case is technically an immigration case, it also has a direct impact on the status of marriage, not only within that </w:t>
      </w:r>
      <w:r w:rsidR="00C86366">
        <w:rPr>
          <w:rFonts w:ascii="Times New Roman" w:hAnsi="Times New Roman" w:cs="Times New Roman"/>
          <w:sz w:val="24"/>
          <w:szCs w:val="24"/>
        </w:rPr>
        <w:t xml:space="preserve">context </w:t>
      </w:r>
      <w:r>
        <w:rPr>
          <w:rFonts w:ascii="Times New Roman" w:hAnsi="Times New Roman" w:cs="Times New Roman"/>
          <w:sz w:val="24"/>
          <w:szCs w:val="24"/>
        </w:rPr>
        <w:t xml:space="preserve">but also more generally. As will be explained a little later, </w:t>
      </w:r>
      <w:r w:rsidR="00C86366">
        <w:rPr>
          <w:rFonts w:ascii="Times New Roman" w:hAnsi="Times New Roman" w:cs="Times New Roman"/>
          <w:sz w:val="24"/>
          <w:szCs w:val="24"/>
        </w:rPr>
        <w:t xml:space="preserve">in July, 2016 </w:t>
      </w:r>
      <w:r>
        <w:rPr>
          <w:rFonts w:ascii="Times New Roman" w:hAnsi="Times New Roman" w:cs="Times New Roman"/>
          <w:sz w:val="24"/>
          <w:szCs w:val="24"/>
        </w:rPr>
        <w:t xml:space="preserve">the </w:t>
      </w:r>
      <w:r w:rsidR="00C86366">
        <w:rPr>
          <w:rFonts w:ascii="Times New Roman" w:hAnsi="Times New Roman" w:cs="Times New Roman"/>
          <w:sz w:val="24"/>
          <w:szCs w:val="24"/>
        </w:rPr>
        <w:t>R</w:t>
      </w:r>
      <w:r>
        <w:rPr>
          <w:rFonts w:ascii="Times New Roman" w:hAnsi="Times New Roman" w:cs="Times New Roman"/>
          <w:sz w:val="24"/>
          <w:szCs w:val="24"/>
        </w:rPr>
        <w:t xml:space="preserve">espondent refused an application by the </w:t>
      </w:r>
      <w:r w:rsidR="00C86366">
        <w:rPr>
          <w:rFonts w:ascii="Times New Roman" w:hAnsi="Times New Roman" w:cs="Times New Roman"/>
          <w:sz w:val="24"/>
          <w:szCs w:val="24"/>
        </w:rPr>
        <w:t>F</w:t>
      </w:r>
      <w:r>
        <w:rPr>
          <w:rFonts w:ascii="Times New Roman" w:hAnsi="Times New Roman" w:cs="Times New Roman"/>
          <w:sz w:val="24"/>
          <w:szCs w:val="24"/>
        </w:rPr>
        <w:t xml:space="preserve">irst </w:t>
      </w:r>
      <w:r w:rsidR="00C86366">
        <w:rPr>
          <w:rFonts w:ascii="Times New Roman" w:hAnsi="Times New Roman" w:cs="Times New Roman"/>
          <w:sz w:val="24"/>
          <w:szCs w:val="24"/>
        </w:rPr>
        <w:t>A</w:t>
      </w:r>
      <w:r>
        <w:rPr>
          <w:rFonts w:ascii="Times New Roman" w:hAnsi="Times New Roman" w:cs="Times New Roman"/>
          <w:sz w:val="24"/>
          <w:szCs w:val="24"/>
        </w:rPr>
        <w:t xml:space="preserve">ppellant for a residency card under the </w:t>
      </w:r>
      <w:r w:rsidR="00C86366" w:rsidRPr="00C86366">
        <w:rPr>
          <w:rFonts w:ascii="Times New Roman" w:hAnsi="Times New Roman" w:cs="Times New Roman"/>
          <w:sz w:val="24"/>
          <w:szCs w:val="24"/>
        </w:rPr>
        <w:t>European Communities (Free Movement of Persons) Regulations 2015 (S.I. No. 548/2015) (“the 2015 Regulations”)</w:t>
      </w:r>
      <w:r w:rsidR="00C86366">
        <w:rPr>
          <w:rFonts w:ascii="Times New Roman" w:hAnsi="Times New Roman" w:cs="Times New Roman"/>
          <w:sz w:val="24"/>
          <w:szCs w:val="24"/>
        </w:rPr>
        <w:t xml:space="preserve"> </w:t>
      </w:r>
      <w:r>
        <w:rPr>
          <w:rFonts w:ascii="Times New Roman" w:hAnsi="Times New Roman" w:cs="Times New Roman"/>
          <w:sz w:val="24"/>
          <w:szCs w:val="24"/>
        </w:rPr>
        <w:t xml:space="preserve">on the basis that his marriage to the </w:t>
      </w:r>
      <w:r w:rsidR="00C86366">
        <w:rPr>
          <w:rFonts w:ascii="Times New Roman" w:hAnsi="Times New Roman" w:cs="Times New Roman"/>
          <w:sz w:val="24"/>
          <w:szCs w:val="24"/>
        </w:rPr>
        <w:t>S</w:t>
      </w:r>
      <w:r>
        <w:rPr>
          <w:rFonts w:ascii="Times New Roman" w:hAnsi="Times New Roman" w:cs="Times New Roman"/>
          <w:sz w:val="24"/>
          <w:szCs w:val="24"/>
        </w:rPr>
        <w:t xml:space="preserve">econd </w:t>
      </w:r>
      <w:r w:rsidR="00C86366">
        <w:rPr>
          <w:rFonts w:ascii="Times New Roman" w:hAnsi="Times New Roman" w:cs="Times New Roman"/>
          <w:sz w:val="24"/>
          <w:szCs w:val="24"/>
        </w:rPr>
        <w:t>A</w:t>
      </w:r>
      <w:r>
        <w:rPr>
          <w:rFonts w:ascii="Times New Roman" w:hAnsi="Times New Roman" w:cs="Times New Roman"/>
          <w:sz w:val="24"/>
          <w:szCs w:val="24"/>
        </w:rPr>
        <w:t xml:space="preserve">ppellant was a “marriage of convenience”.  That finding was upheld on review in March, 2017.  </w:t>
      </w:r>
      <w:r w:rsidR="00A827A9">
        <w:rPr>
          <w:rFonts w:ascii="Times New Roman" w:hAnsi="Times New Roman" w:cs="Times New Roman"/>
          <w:sz w:val="24"/>
          <w:szCs w:val="24"/>
        </w:rPr>
        <w:t xml:space="preserve">On the same date, </w:t>
      </w:r>
      <w:r>
        <w:rPr>
          <w:rFonts w:ascii="Times New Roman" w:hAnsi="Times New Roman" w:cs="Times New Roman"/>
          <w:sz w:val="24"/>
          <w:szCs w:val="24"/>
        </w:rPr>
        <w:t xml:space="preserve">the required procedural steps were </w:t>
      </w:r>
      <w:r w:rsidR="00A827A9">
        <w:rPr>
          <w:rFonts w:ascii="Times New Roman" w:hAnsi="Times New Roman" w:cs="Times New Roman"/>
          <w:sz w:val="24"/>
          <w:szCs w:val="24"/>
        </w:rPr>
        <w:t xml:space="preserve">activated </w:t>
      </w:r>
      <w:r>
        <w:rPr>
          <w:rFonts w:ascii="Times New Roman" w:hAnsi="Times New Roman" w:cs="Times New Roman"/>
          <w:sz w:val="24"/>
          <w:szCs w:val="24"/>
        </w:rPr>
        <w:t xml:space="preserve">by the Minister with a view to the making of a deportation order in respect of </w:t>
      </w:r>
      <w:r w:rsidR="00A827A9">
        <w:rPr>
          <w:rFonts w:ascii="Times New Roman" w:hAnsi="Times New Roman" w:cs="Times New Roman"/>
          <w:sz w:val="24"/>
          <w:szCs w:val="24"/>
        </w:rPr>
        <w:t>th</w:t>
      </w:r>
      <w:r w:rsidR="00C86366">
        <w:rPr>
          <w:rFonts w:ascii="Times New Roman" w:hAnsi="Times New Roman" w:cs="Times New Roman"/>
          <w:sz w:val="24"/>
          <w:szCs w:val="24"/>
        </w:rPr>
        <w:t>e</w:t>
      </w:r>
      <w:r w:rsidR="00A827A9">
        <w:rPr>
          <w:rFonts w:ascii="Times New Roman" w:hAnsi="Times New Roman" w:cs="Times New Roman"/>
          <w:sz w:val="24"/>
          <w:szCs w:val="24"/>
        </w:rPr>
        <w:t xml:space="preserve"> </w:t>
      </w:r>
      <w:r w:rsidR="00C86366">
        <w:rPr>
          <w:rFonts w:ascii="Times New Roman" w:hAnsi="Times New Roman" w:cs="Times New Roman"/>
          <w:sz w:val="24"/>
          <w:szCs w:val="24"/>
        </w:rPr>
        <w:t xml:space="preserve">First </w:t>
      </w:r>
      <w:r w:rsidR="00A827A9">
        <w:rPr>
          <w:rFonts w:ascii="Times New Roman" w:hAnsi="Times New Roman" w:cs="Times New Roman"/>
          <w:sz w:val="24"/>
          <w:szCs w:val="24"/>
        </w:rPr>
        <w:t>Appellant,</w:t>
      </w:r>
      <w:r>
        <w:rPr>
          <w:rFonts w:ascii="Times New Roman" w:hAnsi="Times New Roman" w:cs="Times New Roman"/>
          <w:sz w:val="24"/>
          <w:szCs w:val="24"/>
        </w:rPr>
        <w:t xml:space="preserve"> which ultimately he did on </w:t>
      </w:r>
      <w:r w:rsidR="00C86366">
        <w:rPr>
          <w:rFonts w:ascii="Times New Roman" w:hAnsi="Times New Roman" w:cs="Times New Roman"/>
          <w:sz w:val="24"/>
          <w:szCs w:val="24"/>
        </w:rPr>
        <w:t xml:space="preserve">the </w:t>
      </w:r>
      <w:r>
        <w:rPr>
          <w:rFonts w:ascii="Times New Roman" w:hAnsi="Times New Roman" w:cs="Times New Roman"/>
          <w:sz w:val="24"/>
          <w:szCs w:val="24"/>
        </w:rPr>
        <w:t>30</w:t>
      </w:r>
      <w:r w:rsidRPr="0045347D">
        <w:rPr>
          <w:rFonts w:ascii="Times New Roman" w:hAnsi="Times New Roman" w:cs="Times New Roman"/>
          <w:sz w:val="24"/>
          <w:szCs w:val="24"/>
          <w:vertAlign w:val="superscript"/>
        </w:rPr>
        <w:t>th</w:t>
      </w:r>
      <w:r>
        <w:rPr>
          <w:rFonts w:ascii="Times New Roman" w:hAnsi="Times New Roman" w:cs="Times New Roman"/>
          <w:sz w:val="24"/>
          <w:szCs w:val="24"/>
        </w:rPr>
        <w:t xml:space="preserve"> June, 2017. These judicial review proceedings followed, with Humphreys J. dismissing each of the asserted claims in February, 2018</w:t>
      </w:r>
      <w:r w:rsidR="00C86366">
        <w:rPr>
          <w:rFonts w:ascii="Times New Roman" w:hAnsi="Times New Roman" w:cs="Times New Roman"/>
          <w:sz w:val="24"/>
          <w:szCs w:val="24"/>
        </w:rPr>
        <w:t>;</w:t>
      </w:r>
      <w:r>
        <w:rPr>
          <w:rFonts w:ascii="Times New Roman" w:hAnsi="Times New Roman" w:cs="Times New Roman"/>
          <w:sz w:val="24"/>
          <w:szCs w:val="24"/>
        </w:rPr>
        <w:t xml:space="preserve"> </w:t>
      </w:r>
      <w:r w:rsidR="009B3A23" w:rsidRPr="009B3A23">
        <w:rPr>
          <w:rFonts w:ascii="Times New Roman" w:hAnsi="Times New Roman" w:cs="Times New Roman"/>
          <w:sz w:val="24"/>
          <w:szCs w:val="24"/>
        </w:rPr>
        <w:t>in so doing, the learned judge held that a marriage of convenience is a nullity at law for all purposes and that no rights could arise therefrom.</w:t>
      </w:r>
      <w:r>
        <w:rPr>
          <w:rFonts w:ascii="Times New Roman" w:hAnsi="Times New Roman" w:cs="Times New Roman"/>
          <w:sz w:val="24"/>
          <w:szCs w:val="24"/>
        </w:rPr>
        <w:t xml:space="preserve"> He also refused leave to appeal. This Court</w:t>
      </w:r>
      <w:r w:rsidR="00C86366">
        <w:rPr>
          <w:rFonts w:ascii="Times New Roman" w:hAnsi="Times New Roman" w:cs="Times New Roman"/>
          <w:sz w:val="24"/>
          <w:szCs w:val="24"/>
        </w:rPr>
        <w:t>,</w:t>
      </w:r>
      <w:r>
        <w:rPr>
          <w:rFonts w:ascii="Times New Roman" w:hAnsi="Times New Roman" w:cs="Times New Roman"/>
          <w:sz w:val="24"/>
          <w:szCs w:val="24"/>
        </w:rPr>
        <w:t xml:space="preserve"> however, granted such leave in its Determination referred to at para. </w:t>
      </w:r>
      <w:r w:rsidR="00775A4E">
        <w:rPr>
          <w:rFonts w:ascii="Times New Roman" w:hAnsi="Times New Roman" w:cs="Times New Roman"/>
          <w:sz w:val="24"/>
          <w:szCs w:val="24"/>
        </w:rPr>
        <w:t>31</w:t>
      </w:r>
      <w:r>
        <w:rPr>
          <w:rFonts w:ascii="Times New Roman" w:hAnsi="Times New Roman" w:cs="Times New Roman"/>
          <w:sz w:val="24"/>
          <w:szCs w:val="24"/>
        </w:rPr>
        <w:t xml:space="preserve"> below, with the central question for resolution being whether that particular finding by the trial judge was sustainable as a matter of law</w:t>
      </w:r>
      <w:r w:rsidR="00A827A9">
        <w:rPr>
          <w:rFonts w:ascii="Times New Roman" w:hAnsi="Times New Roman" w:cs="Times New Roman"/>
          <w:sz w:val="24"/>
          <w:szCs w:val="24"/>
        </w:rPr>
        <w:t>, and how should the same be dealt with on this appeal</w:t>
      </w:r>
      <w:r>
        <w:rPr>
          <w:rFonts w:ascii="Times New Roman" w:hAnsi="Times New Roman" w:cs="Times New Roman"/>
          <w:sz w:val="24"/>
          <w:szCs w:val="24"/>
        </w:rPr>
        <w:t xml:space="preserve">. </w:t>
      </w:r>
      <w:r w:rsidR="00503202">
        <w:rPr>
          <w:rFonts w:ascii="Times New Roman" w:hAnsi="Times New Roman" w:cs="Times New Roman"/>
          <w:sz w:val="24"/>
          <w:szCs w:val="24"/>
        </w:rPr>
        <w:t xml:space="preserve">Some associated issues must also be discussed.  </w:t>
      </w:r>
      <w:r>
        <w:rPr>
          <w:rFonts w:ascii="Times New Roman" w:hAnsi="Times New Roman" w:cs="Times New Roman"/>
          <w:sz w:val="24"/>
          <w:szCs w:val="24"/>
        </w:rPr>
        <w:t xml:space="preserve">As a result, it will be necessary to scrutinise different pieces of legislation as these touch upon that issue. </w:t>
      </w:r>
      <w:r w:rsidR="005F7BD0" w:rsidRPr="005F7BD0">
        <w:rPr>
          <w:rFonts w:ascii="Times New Roman" w:hAnsi="Times New Roman" w:cs="Times New Roman"/>
          <w:sz w:val="24"/>
          <w:szCs w:val="24"/>
        </w:rPr>
        <w:t>It would be convenient to set the relevant legislation out at the commencement of this judgment.</w:t>
      </w:r>
      <w:r>
        <w:rPr>
          <w:rFonts w:ascii="Times New Roman" w:hAnsi="Times New Roman" w:cs="Times New Roman"/>
          <w:sz w:val="24"/>
          <w:szCs w:val="24"/>
        </w:rPr>
        <w:t xml:space="preserve">  </w:t>
      </w:r>
    </w:p>
    <w:p w14:paraId="74E30373" w14:textId="77777777" w:rsidR="001576E4" w:rsidRPr="00EF7378" w:rsidRDefault="001576E4" w:rsidP="00775A4E">
      <w:pPr>
        <w:pStyle w:val="NoSpacing"/>
        <w:spacing w:line="480" w:lineRule="auto"/>
        <w:ind w:left="720"/>
        <w:jc w:val="left"/>
        <w:rPr>
          <w:rFonts w:cs="Times New Roman"/>
        </w:rPr>
      </w:pPr>
    </w:p>
    <w:p w14:paraId="1FDF98E1" w14:textId="77777777" w:rsidR="003D7D9C" w:rsidRDefault="003D7D9C">
      <w:pPr>
        <w:pStyle w:val="NoSpacing"/>
        <w:spacing w:line="480" w:lineRule="auto"/>
        <w:jc w:val="left"/>
        <w:rPr>
          <w:rFonts w:cs="Times New Roman"/>
          <w:b/>
          <w:bCs/>
          <w:u w:val="single"/>
        </w:rPr>
      </w:pPr>
    </w:p>
    <w:p w14:paraId="64DBB5A3" w14:textId="77777777" w:rsidR="003D7D9C" w:rsidRDefault="003D7D9C">
      <w:pPr>
        <w:pStyle w:val="NoSpacing"/>
        <w:spacing w:line="480" w:lineRule="auto"/>
        <w:jc w:val="left"/>
        <w:rPr>
          <w:rFonts w:cs="Times New Roman"/>
          <w:b/>
          <w:bCs/>
          <w:u w:val="single"/>
        </w:rPr>
      </w:pPr>
    </w:p>
    <w:p w14:paraId="08080869" w14:textId="5FF8BF9C" w:rsidR="00223A76" w:rsidRPr="00283F67" w:rsidRDefault="00927467" w:rsidP="00775A4E">
      <w:pPr>
        <w:pStyle w:val="NoSpacing"/>
        <w:spacing w:line="480" w:lineRule="auto"/>
        <w:jc w:val="left"/>
        <w:rPr>
          <w:rFonts w:cs="Times New Roman"/>
          <w:b/>
          <w:bCs/>
          <w:u w:val="single"/>
        </w:rPr>
      </w:pPr>
      <w:r w:rsidRPr="00283F67">
        <w:rPr>
          <w:rFonts w:cs="Times New Roman"/>
          <w:b/>
          <w:bCs/>
          <w:u w:val="single"/>
        </w:rPr>
        <w:lastRenderedPageBreak/>
        <w:t xml:space="preserve">Legal Framework </w:t>
      </w:r>
    </w:p>
    <w:p w14:paraId="70421800" w14:textId="72756E99" w:rsidR="008078A8" w:rsidRPr="001576E4" w:rsidRDefault="008078A8" w:rsidP="00775A4E">
      <w:pPr>
        <w:pStyle w:val="NoSpacing"/>
        <w:numPr>
          <w:ilvl w:val="0"/>
          <w:numId w:val="8"/>
        </w:numPr>
        <w:spacing w:line="480" w:lineRule="auto"/>
        <w:ind w:left="0" w:firstLine="0"/>
        <w:jc w:val="left"/>
        <w:rPr>
          <w:rFonts w:cs="Times New Roman"/>
          <w:i/>
          <w:iCs/>
        </w:rPr>
      </w:pPr>
      <w:r>
        <w:rPr>
          <w:rFonts w:cs="Times New Roman"/>
        </w:rPr>
        <w:t xml:space="preserve">Council </w:t>
      </w:r>
      <w:r w:rsidRPr="001576E4">
        <w:rPr>
          <w:rFonts w:cs="Times New Roman"/>
        </w:rPr>
        <w:t>Directive 2004/38/EC</w:t>
      </w:r>
      <w:r w:rsidR="00F92098">
        <w:rPr>
          <w:rFonts w:cs="Times New Roman"/>
        </w:rPr>
        <w:t xml:space="preserve"> </w:t>
      </w:r>
      <w:r w:rsidR="00F92098" w:rsidRPr="00F92098">
        <w:rPr>
          <w:rFonts w:cs="Times New Roman"/>
        </w:rPr>
        <w:t>on the right of citizens of the Union and their family members to move and reside freely within the territory of the Member States</w:t>
      </w:r>
      <w:r>
        <w:rPr>
          <w:rFonts w:cs="Times New Roman"/>
        </w:rPr>
        <w:t xml:space="preserve"> defines</w:t>
      </w:r>
      <w:r w:rsidRPr="001576E4">
        <w:rPr>
          <w:rFonts w:cs="Times New Roman"/>
        </w:rPr>
        <w:t xml:space="preserve"> the right of citizens of the Union and their family members</w:t>
      </w:r>
      <w:r w:rsidR="00503202">
        <w:rPr>
          <w:rFonts w:cs="Times New Roman"/>
        </w:rPr>
        <w:t>, as so defined but irrespective of nationality,</w:t>
      </w:r>
      <w:r w:rsidRPr="001576E4">
        <w:rPr>
          <w:rFonts w:cs="Times New Roman"/>
        </w:rPr>
        <w:t xml:space="preserve"> to move and reside freely</w:t>
      </w:r>
      <w:r>
        <w:rPr>
          <w:rFonts w:cs="Times New Roman"/>
        </w:rPr>
        <w:t xml:space="preserve">, </w:t>
      </w:r>
      <w:r w:rsidRPr="00906050">
        <w:rPr>
          <w:rFonts w:cs="Times New Roman"/>
          <w:i/>
        </w:rPr>
        <w:t>inter alia</w:t>
      </w:r>
      <w:r>
        <w:rPr>
          <w:rFonts w:cs="Times New Roman"/>
        </w:rPr>
        <w:t>,</w:t>
      </w:r>
      <w:r w:rsidRPr="001576E4">
        <w:rPr>
          <w:rFonts w:cs="Times New Roman"/>
        </w:rPr>
        <w:t xml:space="preserve"> within the territory of the Member States</w:t>
      </w:r>
      <w:r w:rsidR="00F92098">
        <w:rPr>
          <w:rFonts w:cs="Times New Roman"/>
        </w:rPr>
        <w:t>;</w:t>
      </w:r>
      <w:r>
        <w:rPr>
          <w:rFonts w:cs="Times New Roman"/>
        </w:rPr>
        <w:t xml:space="preserve"> </w:t>
      </w:r>
      <w:r w:rsidR="00F92098">
        <w:rPr>
          <w:rFonts w:cs="Times New Roman"/>
        </w:rPr>
        <w:t xml:space="preserve">it </w:t>
      </w:r>
      <w:r>
        <w:rPr>
          <w:rFonts w:cs="Times New Roman"/>
        </w:rPr>
        <w:t>is also sometimes referred to as the “European Citizen Directive” or the “Free Movement Directive”</w:t>
      </w:r>
      <w:r w:rsidRPr="001576E4">
        <w:rPr>
          <w:rFonts w:cs="Times New Roman"/>
        </w:rPr>
        <w:t xml:space="preserve">. Recital (28) provides that </w:t>
      </w:r>
      <w:r w:rsidRPr="001576E4">
        <w:rPr>
          <w:rFonts w:cs="Times New Roman"/>
          <w:i/>
          <w:iCs/>
        </w:rPr>
        <w:t xml:space="preserve">“To guard against abuse of rights or fraud, notably marriages of convenience or any other form of relationships contracted for the sole purpose of enjoying the right of free movement and residence, Member States should have the possibility to adopt the necessary measures.” </w:t>
      </w:r>
      <w:r w:rsidRPr="001576E4">
        <w:rPr>
          <w:rFonts w:cs="Times New Roman"/>
        </w:rPr>
        <w:t xml:space="preserve">Article 35 of the Directive, headed </w:t>
      </w:r>
      <w:r w:rsidRPr="001576E4">
        <w:rPr>
          <w:rFonts w:cs="Times New Roman"/>
          <w:i/>
          <w:iCs/>
        </w:rPr>
        <w:t>“Abuse of rights”</w:t>
      </w:r>
      <w:r w:rsidRPr="001576E4">
        <w:rPr>
          <w:rFonts w:cs="Times New Roman"/>
        </w:rPr>
        <w:t xml:space="preserve">, provides as follows: </w:t>
      </w:r>
    </w:p>
    <w:p w14:paraId="329FB355" w14:textId="77777777" w:rsidR="008078A8" w:rsidRPr="001576E4" w:rsidRDefault="008078A8" w:rsidP="00775A4E">
      <w:pPr>
        <w:pStyle w:val="NoSpacing"/>
        <w:spacing w:line="480" w:lineRule="auto"/>
        <w:jc w:val="left"/>
        <w:rPr>
          <w:rFonts w:cs="Times New Roman"/>
        </w:rPr>
      </w:pPr>
    </w:p>
    <w:p w14:paraId="33AF9D1F" w14:textId="77777777" w:rsidR="008078A8" w:rsidRPr="001576E4" w:rsidRDefault="008078A8" w:rsidP="00775A4E">
      <w:pPr>
        <w:pStyle w:val="NoSpacing"/>
        <w:spacing w:line="480" w:lineRule="auto"/>
        <w:ind w:left="1440"/>
        <w:jc w:val="left"/>
        <w:rPr>
          <w:rFonts w:cs="Times New Roman"/>
          <w:i/>
          <w:iCs/>
        </w:rPr>
      </w:pPr>
      <w:r w:rsidRPr="001576E4">
        <w:rPr>
          <w:rFonts w:cs="Times New Roman"/>
          <w:i/>
          <w:iCs/>
        </w:rPr>
        <w:t>“Member States may adopt the necessary measures to refuse, terminate or withdraw any right conferred by this Directive in the case of abuse of rights or fraud, such as marriages of convenience. Any such measure shall be proportionate and subject to the procedural safeguards provided for in Articles 30 and 31.”</w:t>
      </w:r>
    </w:p>
    <w:p w14:paraId="732B6E8C" w14:textId="77777777" w:rsidR="008078A8" w:rsidRPr="001576E4" w:rsidRDefault="008078A8" w:rsidP="00775A4E">
      <w:pPr>
        <w:pStyle w:val="NoSpacing"/>
        <w:spacing w:line="480" w:lineRule="auto"/>
        <w:ind w:left="720"/>
        <w:jc w:val="left"/>
        <w:rPr>
          <w:rFonts w:cs="Times New Roman"/>
        </w:rPr>
      </w:pPr>
    </w:p>
    <w:p w14:paraId="643CEB37" w14:textId="6E2B8F36" w:rsidR="008078A8" w:rsidRPr="001576E4" w:rsidRDefault="008078A8" w:rsidP="00775A4E">
      <w:pPr>
        <w:pStyle w:val="NoSpacing"/>
        <w:spacing w:line="480" w:lineRule="auto"/>
        <w:jc w:val="left"/>
        <w:rPr>
          <w:rFonts w:cs="Times New Roman"/>
        </w:rPr>
      </w:pPr>
      <w:r w:rsidRPr="001576E4">
        <w:rPr>
          <w:rFonts w:cs="Times New Roman"/>
        </w:rPr>
        <w:t>As can be seen, the Directive permits, but does not require, Member States to adopt measures to regulate marriages of convenience</w:t>
      </w:r>
      <w:r w:rsidR="00F92098">
        <w:rPr>
          <w:rFonts w:cs="Times New Roman"/>
        </w:rPr>
        <w:t xml:space="preserve">; </w:t>
      </w:r>
      <w:r>
        <w:rPr>
          <w:rFonts w:cs="Times New Roman"/>
        </w:rPr>
        <w:t>Articles 30 and 31 thereof have no direct relevance in this case</w:t>
      </w:r>
      <w:r w:rsidRPr="001576E4">
        <w:rPr>
          <w:rFonts w:cs="Times New Roman"/>
        </w:rPr>
        <w:t xml:space="preserve">. </w:t>
      </w:r>
    </w:p>
    <w:p w14:paraId="10188EA6" w14:textId="77777777" w:rsidR="008078A8" w:rsidRPr="001576E4" w:rsidRDefault="008078A8" w:rsidP="00775A4E">
      <w:pPr>
        <w:pStyle w:val="NoSpacing"/>
        <w:spacing w:line="480" w:lineRule="auto"/>
        <w:ind w:left="720"/>
        <w:jc w:val="left"/>
        <w:rPr>
          <w:rFonts w:cs="Times New Roman"/>
        </w:rPr>
      </w:pPr>
    </w:p>
    <w:p w14:paraId="19253ED7" w14:textId="6A00AEE6" w:rsidR="008078A8" w:rsidRDefault="008078A8" w:rsidP="00775A4E">
      <w:pPr>
        <w:pStyle w:val="NoSpacing"/>
        <w:numPr>
          <w:ilvl w:val="0"/>
          <w:numId w:val="8"/>
        </w:numPr>
        <w:spacing w:line="480" w:lineRule="auto"/>
        <w:ind w:left="0" w:firstLine="0"/>
        <w:jc w:val="left"/>
        <w:rPr>
          <w:rFonts w:cs="Times New Roman"/>
        </w:rPr>
      </w:pPr>
      <w:r w:rsidRPr="001576E4">
        <w:rPr>
          <w:rFonts w:cs="Times New Roman"/>
        </w:rPr>
        <w:t xml:space="preserve">The 2015 Regulations, which give effect to the Directive, contain such measures. </w:t>
      </w:r>
    </w:p>
    <w:p w14:paraId="2F5B21D3" w14:textId="77777777" w:rsidR="00F92098" w:rsidRDefault="00F92098" w:rsidP="00775A4E">
      <w:pPr>
        <w:pStyle w:val="NoSpacing"/>
        <w:spacing w:line="480" w:lineRule="auto"/>
        <w:jc w:val="left"/>
        <w:rPr>
          <w:rFonts w:cs="Times New Roman"/>
        </w:rPr>
      </w:pPr>
    </w:p>
    <w:p w14:paraId="1C4BB317" w14:textId="77777777" w:rsidR="00EE3BCD" w:rsidRDefault="00EE3BCD" w:rsidP="00775A4E">
      <w:pPr>
        <w:pStyle w:val="NoSpacing"/>
        <w:numPr>
          <w:ilvl w:val="0"/>
          <w:numId w:val="8"/>
        </w:numPr>
        <w:spacing w:line="480" w:lineRule="auto"/>
        <w:ind w:left="0" w:firstLine="0"/>
        <w:jc w:val="left"/>
      </w:pPr>
      <w:r w:rsidRPr="005B59E1">
        <w:rPr>
          <w:rFonts w:cs="Times New Roman"/>
        </w:rPr>
        <w:lastRenderedPageBreak/>
        <w:t>Pursuant to Regulation 2</w:t>
      </w:r>
      <w:r>
        <w:rPr>
          <w:rFonts w:cs="Times New Roman"/>
        </w:rPr>
        <w:t xml:space="preserve"> thereof</w:t>
      </w:r>
      <w:r w:rsidRPr="005B59E1">
        <w:rPr>
          <w:rFonts w:cs="Times New Roman"/>
        </w:rPr>
        <w:t xml:space="preserve">, </w:t>
      </w:r>
      <w:r w:rsidRPr="005B59E1">
        <w:rPr>
          <w:rFonts w:cs="Times New Roman"/>
          <w:i/>
          <w:iCs/>
        </w:rPr>
        <w:t>“</w:t>
      </w:r>
      <w:r>
        <w:rPr>
          <w:rFonts w:cs="Times New Roman"/>
          <w:i/>
          <w:iCs/>
        </w:rPr>
        <w:t>‘</w:t>
      </w:r>
      <w:r w:rsidRPr="005B59E1">
        <w:rPr>
          <w:rFonts w:cs="Times New Roman"/>
          <w:i/>
          <w:iCs/>
        </w:rPr>
        <w:t>spouse’ does not include a party to a marriage of convenience”</w:t>
      </w:r>
      <w:r>
        <w:rPr>
          <w:rFonts w:cs="Times New Roman"/>
          <w:i/>
          <w:iCs/>
        </w:rPr>
        <w:t xml:space="preserve"> </w:t>
      </w:r>
      <w:r w:rsidRPr="005B59E1">
        <w:t xml:space="preserve">(similar provision is made in respect of parties to a civil partnership). </w:t>
      </w:r>
      <w:r>
        <w:t xml:space="preserve">Regulations 27 and 28 will feature in the discussion below, and so </w:t>
      </w:r>
      <w:r w:rsidRPr="00355529">
        <w:rPr>
          <w:rFonts w:cs="Times New Roman"/>
        </w:rPr>
        <w:t>should</w:t>
      </w:r>
      <w:r>
        <w:t xml:space="preserve"> be set out in full. Regulation 27 is headed “Cessation of entitlements” and provides as follows: </w:t>
      </w:r>
    </w:p>
    <w:p w14:paraId="1F223766" w14:textId="77777777" w:rsidR="00EE3BCD" w:rsidRDefault="00EE3BCD" w:rsidP="00775A4E">
      <w:pPr>
        <w:pStyle w:val="NoSpacing"/>
        <w:spacing w:line="480" w:lineRule="auto"/>
        <w:jc w:val="left"/>
      </w:pPr>
    </w:p>
    <w:p w14:paraId="7EB406D0" w14:textId="77777777" w:rsidR="00EE3BCD" w:rsidRPr="00FC3AAB" w:rsidRDefault="00EE3BCD" w:rsidP="00775A4E">
      <w:pPr>
        <w:pStyle w:val="NoSpacing"/>
        <w:spacing w:line="480" w:lineRule="auto"/>
        <w:ind w:left="1440"/>
        <w:jc w:val="left"/>
        <w:rPr>
          <w:i/>
          <w:iCs/>
        </w:rPr>
      </w:pPr>
      <w:r>
        <w:rPr>
          <w:i/>
          <w:iCs/>
        </w:rPr>
        <w:t>“</w:t>
      </w:r>
      <w:r w:rsidRPr="00FC3AAB">
        <w:rPr>
          <w:i/>
          <w:iCs/>
        </w:rPr>
        <w:t>27. (1) The Minister may revoke, refuse to make or refuse to grant, as the case may be, any of the following where he or she decides, in accordance with this Regulation, that the right, entitlement or status, as the case may be, concerned is being claimed on the basis of fraud or abuse of rights:</w:t>
      </w:r>
    </w:p>
    <w:p w14:paraId="5B7653B2" w14:textId="77777777" w:rsidR="00EE3BCD" w:rsidRPr="00FC3AAB" w:rsidRDefault="00EE3BCD" w:rsidP="00775A4E">
      <w:pPr>
        <w:pStyle w:val="NoSpacing"/>
        <w:spacing w:line="480" w:lineRule="auto"/>
        <w:ind w:left="1440"/>
        <w:jc w:val="left"/>
        <w:rPr>
          <w:i/>
          <w:iCs/>
        </w:rPr>
      </w:pPr>
    </w:p>
    <w:p w14:paraId="6575B080" w14:textId="77777777" w:rsidR="00EE3BCD" w:rsidRPr="00FC3AAB" w:rsidRDefault="00EE3BCD" w:rsidP="00775A4E">
      <w:pPr>
        <w:pStyle w:val="NoSpacing"/>
        <w:spacing w:line="480" w:lineRule="auto"/>
        <w:ind w:left="2160"/>
        <w:jc w:val="left"/>
        <w:rPr>
          <w:i/>
          <w:iCs/>
        </w:rPr>
      </w:pPr>
      <w:r w:rsidRPr="00FC3AAB">
        <w:rPr>
          <w:i/>
          <w:iCs/>
        </w:rPr>
        <w:t>(a) a decision under Regulation 5(3) that a person be treated as a permitted family member;</w:t>
      </w:r>
    </w:p>
    <w:p w14:paraId="6F00FA5C" w14:textId="77777777" w:rsidR="00EE3BCD" w:rsidRPr="00FC3AAB" w:rsidRDefault="00EE3BCD" w:rsidP="00775A4E">
      <w:pPr>
        <w:pStyle w:val="NoSpacing"/>
        <w:spacing w:line="480" w:lineRule="auto"/>
        <w:ind w:left="2160"/>
        <w:jc w:val="left"/>
        <w:rPr>
          <w:i/>
          <w:iCs/>
        </w:rPr>
      </w:pPr>
    </w:p>
    <w:p w14:paraId="13918FCA" w14:textId="77777777" w:rsidR="00EE3BCD" w:rsidRPr="00FC3AAB" w:rsidRDefault="00EE3BCD" w:rsidP="00775A4E">
      <w:pPr>
        <w:pStyle w:val="NoSpacing"/>
        <w:spacing w:line="480" w:lineRule="auto"/>
        <w:ind w:left="2160"/>
        <w:jc w:val="left"/>
        <w:rPr>
          <w:i/>
          <w:iCs/>
        </w:rPr>
      </w:pPr>
      <w:r w:rsidRPr="00FC3AAB">
        <w:rPr>
          <w:i/>
          <w:iCs/>
        </w:rPr>
        <w:t>(b) a residence card, a permanent residence certificate or permanent residence card;</w:t>
      </w:r>
    </w:p>
    <w:p w14:paraId="5245EF4E" w14:textId="77777777" w:rsidR="00EE3BCD" w:rsidRPr="00FC3AAB" w:rsidRDefault="00EE3BCD" w:rsidP="00775A4E">
      <w:pPr>
        <w:pStyle w:val="NoSpacing"/>
        <w:spacing w:line="480" w:lineRule="auto"/>
        <w:ind w:left="2160"/>
        <w:jc w:val="left"/>
        <w:rPr>
          <w:i/>
          <w:iCs/>
        </w:rPr>
      </w:pPr>
    </w:p>
    <w:p w14:paraId="5FFA62A5" w14:textId="77777777" w:rsidR="00EE3BCD" w:rsidRPr="00FC3AAB" w:rsidRDefault="00EE3BCD" w:rsidP="00775A4E">
      <w:pPr>
        <w:pStyle w:val="NoSpacing"/>
        <w:spacing w:line="480" w:lineRule="auto"/>
        <w:ind w:left="2160"/>
        <w:jc w:val="left"/>
        <w:rPr>
          <w:i/>
          <w:iCs/>
        </w:rPr>
      </w:pPr>
      <w:r w:rsidRPr="00FC3AAB">
        <w:rPr>
          <w:i/>
          <w:iCs/>
        </w:rPr>
        <w:t>(c) a right of residence under Regulation 9(1);</w:t>
      </w:r>
    </w:p>
    <w:p w14:paraId="23A72F95" w14:textId="77777777" w:rsidR="00EE3BCD" w:rsidRPr="00FC3AAB" w:rsidRDefault="00EE3BCD" w:rsidP="00775A4E">
      <w:pPr>
        <w:pStyle w:val="NoSpacing"/>
        <w:spacing w:line="480" w:lineRule="auto"/>
        <w:ind w:left="2160"/>
        <w:jc w:val="left"/>
        <w:rPr>
          <w:i/>
          <w:iCs/>
        </w:rPr>
      </w:pPr>
    </w:p>
    <w:p w14:paraId="5FD92039" w14:textId="77777777" w:rsidR="00EE3BCD" w:rsidRPr="00FC3AAB" w:rsidRDefault="00EE3BCD" w:rsidP="00775A4E">
      <w:pPr>
        <w:pStyle w:val="NoSpacing"/>
        <w:spacing w:line="480" w:lineRule="auto"/>
        <w:ind w:left="2160"/>
        <w:jc w:val="left"/>
        <w:rPr>
          <w:i/>
          <w:iCs/>
        </w:rPr>
      </w:pPr>
      <w:r w:rsidRPr="00FC3AAB">
        <w:rPr>
          <w:i/>
          <w:iCs/>
        </w:rPr>
        <w:t>(d) a right of residence under Regulation 9(2);</w:t>
      </w:r>
    </w:p>
    <w:p w14:paraId="27B61448" w14:textId="77777777" w:rsidR="00EE3BCD" w:rsidRPr="00FC3AAB" w:rsidRDefault="00EE3BCD" w:rsidP="00775A4E">
      <w:pPr>
        <w:pStyle w:val="NoSpacing"/>
        <w:spacing w:line="480" w:lineRule="auto"/>
        <w:ind w:left="2160"/>
        <w:jc w:val="left"/>
        <w:rPr>
          <w:i/>
          <w:iCs/>
        </w:rPr>
      </w:pPr>
    </w:p>
    <w:p w14:paraId="0F34E560" w14:textId="77777777" w:rsidR="00EE3BCD" w:rsidRPr="00FC3AAB" w:rsidRDefault="00EE3BCD" w:rsidP="00775A4E">
      <w:pPr>
        <w:pStyle w:val="NoSpacing"/>
        <w:spacing w:line="480" w:lineRule="auto"/>
        <w:ind w:left="2160"/>
        <w:jc w:val="left"/>
        <w:rPr>
          <w:i/>
          <w:iCs/>
        </w:rPr>
      </w:pPr>
      <w:r w:rsidRPr="00FC3AAB">
        <w:rPr>
          <w:i/>
          <w:iCs/>
        </w:rPr>
        <w:t>(e) a right of residence under Regulation 9(3);</w:t>
      </w:r>
    </w:p>
    <w:p w14:paraId="7B5057D5" w14:textId="77777777" w:rsidR="00EE3BCD" w:rsidRPr="00FC3AAB" w:rsidRDefault="00EE3BCD" w:rsidP="00775A4E">
      <w:pPr>
        <w:pStyle w:val="NoSpacing"/>
        <w:spacing w:line="480" w:lineRule="auto"/>
        <w:ind w:left="2160"/>
        <w:jc w:val="left"/>
        <w:rPr>
          <w:i/>
          <w:iCs/>
        </w:rPr>
      </w:pPr>
    </w:p>
    <w:p w14:paraId="54467CEA" w14:textId="77777777" w:rsidR="00EE3BCD" w:rsidRPr="00FC3AAB" w:rsidRDefault="00EE3BCD" w:rsidP="00775A4E">
      <w:pPr>
        <w:pStyle w:val="NoSpacing"/>
        <w:spacing w:line="480" w:lineRule="auto"/>
        <w:ind w:left="2160"/>
        <w:jc w:val="left"/>
        <w:rPr>
          <w:i/>
          <w:iCs/>
        </w:rPr>
      </w:pPr>
      <w:r w:rsidRPr="00FC3AAB">
        <w:rPr>
          <w:i/>
          <w:iCs/>
        </w:rPr>
        <w:t>(f) a right of residence under Regulation 10(1);</w:t>
      </w:r>
    </w:p>
    <w:p w14:paraId="2F3304A3" w14:textId="77777777" w:rsidR="00EE3BCD" w:rsidRPr="00FC3AAB" w:rsidRDefault="00EE3BCD" w:rsidP="00775A4E">
      <w:pPr>
        <w:pStyle w:val="NoSpacing"/>
        <w:spacing w:line="480" w:lineRule="auto"/>
        <w:ind w:left="2160"/>
        <w:jc w:val="left"/>
        <w:rPr>
          <w:i/>
          <w:iCs/>
        </w:rPr>
      </w:pPr>
    </w:p>
    <w:p w14:paraId="53459CB5" w14:textId="77777777" w:rsidR="00EE3BCD" w:rsidRPr="00FC3AAB" w:rsidRDefault="00EE3BCD" w:rsidP="00775A4E">
      <w:pPr>
        <w:pStyle w:val="NoSpacing"/>
        <w:spacing w:line="480" w:lineRule="auto"/>
        <w:ind w:left="2160"/>
        <w:jc w:val="left"/>
        <w:rPr>
          <w:i/>
          <w:iCs/>
        </w:rPr>
      </w:pPr>
      <w:r w:rsidRPr="00FC3AAB">
        <w:rPr>
          <w:i/>
          <w:iCs/>
        </w:rPr>
        <w:t>(g) a right of residence under Regulation 10(2);</w:t>
      </w:r>
    </w:p>
    <w:p w14:paraId="3099AE23" w14:textId="77777777" w:rsidR="00EE3BCD" w:rsidRPr="00FC3AAB" w:rsidRDefault="00EE3BCD" w:rsidP="00775A4E">
      <w:pPr>
        <w:pStyle w:val="NoSpacing"/>
        <w:spacing w:line="480" w:lineRule="auto"/>
        <w:ind w:left="2160"/>
        <w:jc w:val="left"/>
        <w:rPr>
          <w:i/>
          <w:iCs/>
        </w:rPr>
      </w:pPr>
    </w:p>
    <w:p w14:paraId="12BA3B27" w14:textId="77777777" w:rsidR="00EE3BCD" w:rsidRPr="00FC3AAB" w:rsidRDefault="00EE3BCD" w:rsidP="00775A4E">
      <w:pPr>
        <w:pStyle w:val="NoSpacing"/>
        <w:spacing w:line="480" w:lineRule="auto"/>
        <w:ind w:left="2160"/>
        <w:jc w:val="left"/>
        <w:rPr>
          <w:i/>
          <w:iCs/>
        </w:rPr>
      </w:pPr>
      <w:r w:rsidRPr="00FC3AAB">
        <w:rPr>
          <w:i/>
          <w:iCs/>
        </w:rPr>
        <w:t>(h) a right of residence under Regulation 12(1).</w:t>
      </w:r>
    </w:p>
    <w:p w14:paraId="0D7BF0C2" w14:textId="77777777" w:rsidR="00EE3BCD" w:rsidRPr="00FC3AAB" w:rsidRDefault="00EE3BCD" w:rsidP="00775A4E">
      <w:pPr>
        <w:pStyle w:val="NoSpacing"/>
        <w:spacing w:line="480" w:lineRule="auto"/>
        <w:ind w:left="1440"/>
        <w:jc w:val="left"/>
        <w:rPr>
          <w:i/>
          <w:iCs/>
        </w:rPr>
      </w:pPr>
    </w:p>
    <w:p w14:paraId="66CFEEAF" w14:textId="77777777" w:rsidR="00EE3BCD" w:rsidRPr="00FC3AAB" w:rsidRDefault="00EE3BCD" w:rsidP="00775A4E">
      <w:pPr>
        <w:pStyle w:val="NoSpacing"/>
        <w:spacing w:line="480" w:lineRule="auto"/>
        <w:ind w:left="1440"/>
        <w:jc w:val="left"/>
        <w:rPr>
          <w:i/>
          <w:iCs/>
        </w:rPr>
      </w:pPr>
      <w:r w:rsidRPr="00FC3AAB">
        <w:rPr>
          <w:i/>
          <w:iCs/>
        </w:rPr>
        <w:t>(2) Where the Minister suspects, on reasonable grounds, that a right, entitlement or status of being treated as a permitted family member conferred by these Regulations is being claimed, or has been obtained, on the basis of fraud or abuse of rights, he or she shall be entitled to make such enquiries and to obtain such information as is reasonably necessary to investigate the matter.</w:t>
      </w:r>
    </w:p>
    <w:p w14:paraId="52048FDB" w14:textId="77777777" w:rsidR="00EE3BCD" w:rsidRPr="00FC3AAB" w:rsidRDefault="00EE3BCD" w:rsidP="00775A4E">
      <w:pPr>
        <w:pStyle w:val="NoSpacing"/>
        <w:spacing w:line="480" w:lineRule="auto"/>
        <w:ind w:left="1440"/>
        <w:jc w:val="left"/>
        <w:rPr>
          <w:i/>
          <w:iCs/>
        </w:rPr>
      </w:pPr>
    </w:p>
    <w:p w14:paraId="140FAE10" w14:textId="77777777" w:rsidR="00EE3BCD" w:rsidRPr="00FC3AAB" w:rsidRDefault="00EE3BCD" w:rsidP="00775A4E">
      <w:pPr>
        <w:pStyle w:val="NoSpacing"/>
        <w:spacing w:line="480" w:lineRule="auto"/>
        <w:ind w:left="1440"/>
        <w:jc w:val="left"/>
        <w:rPr>
          <w:i/>
          <w:iCs/>
        </w:rPr>
      </w:pPr>
      <w:r w:rsidRPr="00FC3AAB">
        <w:rPr>
          <w:i/>
          <w:iCs/>
        </w:rPr>
        <w:t>(3) Where the Minister proposes to exercise his or her power under paragraph (1), he or she shall—</w:t>
      </w:r>
    </w:p>
    <w:p w14:paraId="389545B3" w14:textId="77777777" w:rsidR="00EE3BCD" w:rsidRPr="00FC3AAB" w:rsidRDefault="00EE3BCD" w:rsidP="00775A4E">
      <w:pPr>
        <w:pStyle w:val="NoSpacing"/>
        <w:spacing w:line="480" w:lineRule="auto"/>
        <w:ind w:left="1440"/>
        <w:jc w:val="left"/>
        <w:rPr>
          <w:i/>
          <w:iCs/>
        </w:rPr>
      </w:pPr>
    </w:p>
    <w:p w14:paraId="519FAC1C" w14:textId="77777777" w:rsidR="00EE3BCD" w:rsidRPr="00FC3AAB" w:rsidRDefault="00EE3BCD" w:rsidP="00775A4E">
      <w:pPr>
        <w:pStyle w:val="NoSpacing"/>
        <w:spacing w:line="480" w:lineRule="auto"/>
        <w:ind w:left="2160"/>
        <w:jc w:val="left"/>
        <w:rPr>
          <w:i/>
          <w:iCs/>
        </w:rPr>
      </w:pPr>
      <w:r w:rsidRPr="00FC3AAB">
        <w:rPr>
          <w:i/>
          <w:iCs/>
        </w:rPr>
        <w:t>(a) give notice in writing to the person concerned, which shall set out the reasons for his proposal and shall give the person concerned a period of 21 days within which to give reasons as to why the right, entitlement or status concerned should not be revoked, and</w:t>
      </w:r>
    </w:p>
    <w:p w14:paraId="759A7DF8" w14:textId="77777777" w:rsidR="00EE3BCD" w:rsidRPr="00FC3AAB" w:rsidRDefault="00EE3BCD" w:rsidP="00775A4E">
      <w:pPr>
        <w:pStyle w:val="NoSpacing"/>
        <w:spacing w:line="480" w:lineRule="auto"/>
        <w:ind w:left="2160"/>
        <w:jc w:val="left"/>
        <w:rPr>
          <w:i/>
          <w:iCs/>
        </w:rPr>
      </w:pPr>
    </w:p>
    <w:p w14:paraId="42DF7E17" w14:textId="77777777" w:rsidR="00EE3BCD" w:rsidRPr="00FC3AAB" w:rsidRDefault="00EE3BCD" w:rsidP="00775A4E">
      <w:pPr>
        <w:pStyle w:val="NoSpacing"/>
        <w:spacing w:line="480" w:lineRule="auto"/>
        <w:ind w:left="2160"/>
        <w:jc w:val="left"/>
        <w:rPr>
          <w:i/>
          <w:iCs/>
        </w:rPr>
      </w:pPr>
      <w:r w:rsidRPr="00FC3AAB">
        <w:rPr>
          <w:i/>
          <w:iCs/>
        </w:rPr>
        <w:t>(b) consider any submissions made in accordance with subparagraph (a).</w:t>
      </w:r>
    </w:p>
    <w:p w14:paraId="12F520E2" w14:textId="77777777" w:rsidR="00EE3BCD" w:rsidRPr="00FC3AAB" w:rsidRDefault="00EE3BCD" w:rsidP="00775A4E">
      <w:pPr>
        <w:pStyle w:val="NoSpacing"/>
        <w:spacing w:line="480" w:lineRule="auto"/>
        <w:ind w:left="1440"/>
        <w:jc w:val="left"/>
        <w:rPr>
          <w:i/>
          <w:iCs/>
        </w:rPr>
      </w:pPr>
    </w:p>
    <w:p w14:paraId="60FB407D" w14:textId="77777777" w:rsidR="00EE3BCD" w:rsidRDefault="00EE3BCD" w:rsidP="00775A4E">
      <w:pPr>
        <w:pStyle w:val="NoSpacing"/>
        <w:spacing w:line="480" w:lineRule="auto"/>
        <w:ind w:left="1440"/>
        <w:jc w:val="left"/>
      </w:pPr>
      <w:r w:rsidRPr="00FC3AAB">
        <w:rPr>
          <w:i/>
          <w:iCs/>
        </w:rPr>
        <w:t>(4) In this Regulation, ‘abuse of rights</w:t>
      </w:r>
      <w:r>
        <w:rPr>
          <w:i/>
          <w:iCs/>
        </w:rPr>
        <w:t xml:space="preserve">’ </w:t>
      </w:r>
      <w:r w:rsidRPr="00FC3AAB">
        <w:rPr>
          <w:i/>
          <w:iCs/>
        </w:rPr>
        <w:t>shall include a marriage of convenience or civil partnership of convenience.</w:t>
      </w:r>
      <w:r>
        <w:rPr>
          <w:i/>
          <w:iCs/>
        </w:rPr>
        <w:t xml:space="preserve">” </w:t>
      </w:r>
    </w:p>
    <w:p w14:paraId="44E86AFD" w14:textId="77777777" w:rsidR="008078A8" w:rsidRDefault="008078A8" w:rsidP="00775A4E">
      <w:pPr>
        <w:pStyle w:val="NoSpacing"/>
        <w:spacing w:line="480" w:lineRule="auto"/>
        <w:jc w:val="left"/>
        <w:rPr>
          <w:rFonts w:cs="Times New Roman"/>
          <w:color w:val="FF0000"/>
        </w:rPr>
      </w:pPr>
    </w:p>
    <w:p w14:paraId="621912E9" w14:textId="77777777" w:rsidR="00EE3BCD" w:rsidRDefault="00EE3BCD" w:rsidP="00775A4E">
      <w:pPr>
        <w:pStyle w:val="NoSpacing"/>
        <w:numPr>
          <w:ilvl w:val="0"/>
          <w:numId w:val="8"/>
        </w:numPr>
        <w:spacing w:line="480" w:lineRule="auto"/>
        <w:ind w:left="0" w:firstLine="0"/>
        <w:jc w:val="left"/>
      </w:pPr>
      <w:r>
        <w:t xml:space="preserve">Regulation 28 is headed “Marriages of </w:t>
      </w:r>
      <w:r w:rsidRPr="00355529">
        <w:rPr>
          <w:rFonts w:cs="Times New Roman"/>
        </w:rPr>
        <w:t>convenience</w:t>
      </w:r>
      <w:r>
        <w:t xml:space="preserve">”. It states the following: </w:t>
      </w:r>
    </w:p>
    <w:p w14:paraId="76F76AA7" w14:textId="77777777" w:rsidR="00EE3BCD" w:rsidRDefault="00EE3BCD" w:rsidP="00775A4E">
      <w:pPr>
        <w:pStyle w:val="NoSpacing"/>
        <w:spacing w:line="480" w:lineRule="auto"/>
        <w:jc w:val="left"/>
      </w:pPr>
    </w:p>
    <w:p w14:paraId="0CC38C18" w14:textId="77777777" w:rsidR="00EE3BCD" w:rsidRPr="0003067C" w:rsidRDefault="00EE3BCD" w:rsidP="00775A4E">
      <w:pPr>
        <w:pStyle w:val="NoSpacing"/>
        <w:spacing w:line="480" w:lineRule="auto"/>
        <w:ind w:left="1440"/>
        <w:jc w:val="left"/>
        <w:rPr>
          <w:i/>
          <w:iCs/>
        </w:rPr>
      </w:pPr>
      <w:r>
        <w:rPr>
          <w:i/>
          <w:iCs/>
        </w:rPr>
        <w:t>“</w:t>
      </w:r>
      <w:r w:rsidRPr="0003067C">
        <w:rPr>
          <w:i/>
          <w:iCs/>
        </w:rPr>
        <w:t xml:space="preserve">28. (1) The Minister, in making his or her determination of any matter relevant to these Regulations, </w:t>
      </w:r>
      <w:r w:rsidRPr="00777A74">
        <w:rPr>
          <w:i/>
          <w:iCs/>
          <w:u w:val="single"/>
        </w:rPr>
        <w:t>may disregard a particular marriage as a factor bearing on that determination</w:t>
      </w:r>
      <w:r w:rsidRPr="0003067C">
        <w:rPr>
          <w:i/>
          <w:iCs/>
        </w:rPr>
        <w:t xml:space="preserve"> where the Minister deems or determines that marriage to be a marriage of convenience.</w:t>
      </w:r>
    </w:p>
    <w:p w14:paraId="44E23F46" w14:textId="77777777" w:rsidR="00EE3BCD" w:rsidRPr="0003067C" w:rsidRDefault="00EE3BCD" w:rsidP="00775A4E">
      <w:pPr>
        <w:pStyle w:val="NoSpacing"/>
        <w:spacing w:line="480" w:lineRule="auto"/>
        <w:ind w:left="1440"/>
        <w:jc w:val="left"/>
        <w:rPr>
          <w:i/>
          <w:iCs/>
        </w:rPr>
      </w:pPr>
    </w:p>
    <w:p w14:paraId="36A23001" w14:textId="77777777" w:rsidR="00EE3BCD" w:rsidRPr="0003067C" w:rsidRDefault="00EE3BCD" w:rsidP="00775A4E">
      <w:pPr>
        <w:pStyle w:val="NoSpacing"/>
        <w:spacing w:line="480" w:lineRule="auto"/>
        <w:ind w:left="1440"/>
        <w:jc w:val="left"/>
        <w:rPr>
          <w:i/>
          <w:iCs/>
        </w:rPr>
      </w:pPr>
      <w:r w:rsidRPr="0003067C">
        <w:rPr>
          <w:i/>
          <w:iCs/>
        </w:rPr>
        <w:t>(2) Where the Minister, in taking into account a marriage for the purpose of making a determination of any matter relevant to these Regulations, has reasonable grounds for considering that the marriage is a marriage of convenience, he or she may send a notice to the parties to the marriage requiring the persons concerned to provide, within the time limit specified in that notice, such information as is reasonably necessary, either in writing or in person, to satisfy the Minister that the marriage is not a marriage of convenience.</w:t>
      </w:r>
    </w:p>
    <w:p w14:paraId="07186C76" w14:textId="77777777" w:rsidR="00EE3BCD" w:rsidRPr="0003067C" w:rsidRDefault="00EE3BCD" w:rsidP="00775A4E">
      <w:pPr>
        <w:pStyle w:val="NoSpacing"/>
        <w:spacing w:line="480" w:lineRule="auto"/>
        <w:ind w:left="1440"/>
        <w:jc w:val="left"/>
        <w:rPr>
          <w:i/>
          <w:iCs/>
        </w:rPr>
      </w:pPr>
    </w:p>
    <w:p w14:paraId="4F059307" w14:textId="77777777" w:rsidR="00EE3BCD" w:rsidRPr="0003067C" w:rsidRDefault="00EE3BCD" w:rsidP="00775A4E">
      <w:pPr>
        <w:pStyle w:val="NoSpacing"/>
        <w:spacing w:line="480" w:lineRule="auto"/>
        <w:ind w:left="1440"/>
        <w:jc w:val="left"/>
        <w:rPr>
          <w:i/>
          <w:iCs/>
        </w:rPr>
      </w:pPr>
      <w:r w:rsidRPr="0003067C">
        <w:rPr>
          <w:i/>
          <w:iCs/>
        </w:rPr>
        <w:t>(3) Where a person who is subject to a requirement under paragraph (2) fails to provide the information concerned within the time limit specified in the relevant notice, the Minister may deem the marriage to be a marriage of convenience.</w:t>
      </w:r>
    </w:p>
    <w:p w14:paraId="23E65B2C" w14:textId="77777777" w:rsidR="00EE3BCD" w:rsidRPr="0003067C" w:rsidRDefault="00EE3BCD" w:rsidP="00775A4E">
      <w:pPr>
        <w:pStyle w:val="NoSpacing"/>
        <w:spacing w:line="480" w:lineRule="auto"/>
        <w:ind w:left="1440"/>
        <w:jc w:val="left"/>
        <w:rPr>
          <w:i/>
          <w:iCs/>
        </w:rPr>
      </w:pPr>
    </w:p>
    <w:p w14:paraId="5744627A" w14:textId="77777777" w:rsidR="00EE3BCD" w:rsidRPr="0003067C" w:rsidRDefault="00EE3BCD" w:rsidP="00775A4E">
      <w:pPr>
        <w:pStyle w:val="NoSpacing"/>
        <w:spacing w:line="480" w:lineRule="auto"/>
        <w:ind w:left="1440"/>
        <w:jc w:val="left"/>
        <w:rPr>
          <w:i/>
          <w:iCs/>
        </w:rPr>
      </w:pPr>
      <w:r w:rsidRPr="0003067C">
        <w:rPr>
          <w:i/>
          <w:iCs/>
        </w:rPr>
        <w:t>(4) The Minister may exercise the power under paragraph (2) in respect of a particular marriage whether or not—</w:t>
      </w:r>
    </w:p>
    <w:p w14:paraId="7582C4B3" w14:textId="77777777" w:rsidR="00EE3BCD" w:rsidRPr="0003067C" w:rsidRDefault="00EE3BCD" w:rsidP="00775A4E">
      <w:pPr>
        <w:pStyle w:val="NoSpacing"/>
        <w:spacing w:line="480" w:lineRule="auto"/>
        <w:ind w:left="1440"/>
        <w:jc w:val="left"/>
        <w:rPr>
          <w:i/>
          <w:iCs/>
        </w:rPr>
      </w:pPr>
    </w:p>
    <w:p w14:paraId="34C0F3D3" w14:textId="77777777" w:rsidR="00EE3BCD" w:rsidRPr="0003067C" w:rsidRDefault="00EE3BCD" w:rsidP="00775A4E">
      <w:pPr>
        <w:pStyle w:val="NoSpacing"/>
        <w:spacing w:line="480" w:lineRule="auto"/>
        <w:ind w:left="2160"/>
        <w:jc w:val="left"/>
        <w:rPr>
          <w:i/>
          <w:iCs/>
        </w:rPr>
      </w:pPr>
      <w:r w:rsidRPr="0003067C">
        <w:rPr>
          <w:i/>
          <w:iCs/>
        </w:rPr>
        <w:lastRenderedPageBreak/>
        <w:t>(a) that marriage has previously been taken into account in determining any matter relevant to these Regulations or the Regulations of 2006, or</w:t>
      </w:r>
    </w:p>
    <w:p w14:paraId="6956B599" w14:textId="77777777" w:rsidR="00EE3BCD" w:rsidRPr="0003067C" w:rsidRDefault="00EE3BCD" w:rsidP="00775A4E">
      <w:pPr>
        <w:pStyle w:val="NoSpacing"/>
        <w:spacing w:line="480" w:lineRule="auto"/>
        <w:ind w:left="2160"/>
        <w:jc w:val="left"/>
        <w:rPr>
          <w:i/>
          <w:iCs/>
        </w:rPr>
      </w:pPr>
    </w:p>
    <w:p w14:paraId="3E81A784" w14:textId="77777777" w:rsidR="00EE3BCD" w:rsidRPr="0003067C" w:rsidRDefault="00EE3BCD" w:rsidP="00775A4E">
      <w:pPr>
        <w:pStyle w:val="NoSpacing"/>
        <w:spacing w:line="480" w:lineRule="auto"/>
        <w:ind w:left="2160"/>
        <w:jc w:val="left"/>
        <w:rPr>
          <w:i/>
          <w:iCs/>
        </w:rPr>
      </w:pPr>
      <w:r w:rsidRPr="0003067C">
        <w:rPr>
          <w:i/>
          <w:iCs/>
        </w:rPr>
        <w:t>(b) that paragraph has previously been invoked in respect of that marriage.</w:t>
      </w:r>
    </w:p>
    <w:p w14:paraId="0F04533D" w14:textId="77777777" w:rsidR="00EE3BCD" w:rsidRPr="0003067C" w:rsidRDefault="00EE3BCD" w:rsidP="00775A4E">
      <w:pPr>
        <w:pStyle w:val="NoSpacing"/>
        <w:spacing w:line="480" w:lineRule="auto"/>
        <w:ind w:left="1440"/>
        <w:jc w:val="left"/>
        <w:rPr>
          <w:i/>
          <w:iCs/>
        </w:rPr>
      </w:pPr>
    </w:p>
    <w:p w14:paraId="33FA0E4C" w14:textId="77777777" w:rsidR="00EE3BCD" w:rsidRPr="0003067C" w:rsidRDefault="00EE3BCD" w:rsidP="00775A4E">
      <w:pPr>
        <w:pStyle w:val="NoSpacing"/>
        <w:spacing w:line="480" w:lineRule="auto"/>
        <w:ind w:left="1440"/>
        <w:jc w:val="left"/>
        <w:rPr>
          <w:i/>
          <w:iCs/>
        </w:rPr>
      </w:pPr>
      <w:r w:rsidRPr="0003067C">
        <w:rPr>
          <w:i/>
          <w:iCs/>
        </w:rPr>
        <w:t>(5) The Minister shall determine whether a marriage referred to in paragraph (2) is a marriage of convenience having regard to—</w:t>
      </w:r>
    </w:p>
    <w:p w14:paraId="1B0349DC" w14:textId="77777777" w:rsidR="00EE3BCD" w:rsidRPr="0003067C" w:rsidRDefault="00EE3BCD" w:rsidP="00775A4E">
      <w:pPr>
        <w:pStyle w:val="NoSpacing"/>
        <w:spacing w:line="480" w:lineRule="auto"/>
        <w:ind w:left="1440"/>
        <w:jc w:val="left"/>
        <w:rPr>
          <w:i/>
          <w:iCs/>
        </w:rPr>
      </w:pPr>
    </w:p>
    <w:p w14:paraId="68354500" w14:textId="77777777" w:rsidR="00EE3BCD" w:rsidRPr="0003067C" w:rsidRDefault="00EE3BCD" w:rsidP="00775A4E">
      <w:pPr>
        <w:pStyle w:val="NoSpacing"/>
        <w:spacing w:line="480" w:lineRule="auto"/>
        <w:ind w:left="2160"/>
        <w:jc w:val="left"/>
        <w:rPr>
          <w:i/>
          <w:iCs/>
        </w:rPr>
      </w:pPr>
      <w:r w:rsidRPr="0003067C">
        <w:rPr>
          <w:i/>
          <w:iCs/>
        </w:rPr>
        <w:t>(a) any information furnished under these Regulations, and</w:t>
      </w:r>
    </w:p>
    <w:p w14:paraId="5EA50729" w14:textId="77777777" w:rsidR="00EE3BCD" w:rsidRPr="0003067C" w:rsidRDefault="00EE3BCD" w:rsidP="00775A4E">
      <w:pPr>
        <w:pStyle w:val="NoSpacing"/>
        <w:spacing w:line="480" w:lineRule="auto"/>
        <w:ind w:left="2160"/>
        <w:jc w:val="left"/>
        <w:rPr>
          <w:i/>
          <w:iCs/>
        </w:rPr>
      </w:pPr>
    </w:p>
    <w:p w14:paraId="7C109AE4" w14:textId="77777777" w:rsidR="00EE3BCD" w:rsidRPr="0003067C" w:rsidRDefault="00EE3BCD" w:rsidP="00775A4E">
      <w:pPr>
        <w:pStyle w:val="NoSpacing"/>
        <w:spacing w:line="480" w:lineRule="auto"/>
        <w:ind w:left="2160"/>
        <w:jc w:val="left"/>
        <w:rPr>
          <w:i/>
          <w:iCs/>
        </w:rPr>
      </w:pPr>
      <w:r w:rsidRPr="0003067C">
        <w:rPr>
          <w:i/>
          <w:iCs/>
        </w:rPr>
        <w:t>(b) such of the following matters as appear to the Minister to be relevant in the circumstances:</w:t>
      </w:r>
    </w:p>
    <w:p w14:paraId="2413055B" w14:textId="77777777" w:rsidR="00EE3BCD" w:rsidRPr="0003067C" w:rsidRDefault="00EE3BCD" w:rsidP="00775A4E">
      <w:pPr>
        <w:pStyle w:val="NoSpacing"/>
        <w:spacing w:line="480" w:lineRule="auto"/>
        <w:ind w:left="2160"/>
        <w:jc w:val="left"/>
        <w:rPr>
          <w:i/>
          <w:iCs/>
        </w:rPr>
      </w:pPr>
    </w:p>
    <w:p w14:paraId="08C13686" w14:textId="77777777" w:rsidR="00EE3BCD" w:rsidRPr="0003067C" w:rsidRDefault="00EE3BCD" w:rsidP="00775A4E">
      <w:pPr>
        <w:pStyle w:val="NoSpacing"/>
        <w:spacing w:line="480" w:lineRule="auto"/>
        <w:ind w:left="2880"/>
        <w:jc w:val="left"/>
        <w:rPr>
          <w:i/>
          <w:iCs/>
        </w:rPr>
      </w:pPr>
      <w:r w:rsidRPr="0003067C">
        <w:rPr>
          <w:i/>
          <w:iCs/>
        </w:rPr>
        <w:t>(</w:t>
      </w:r>
      <w:proofErr w:type="spellStart"/>
      <w:r w:rsidRPr="0003067C">
        <w:rPr>
          <w:i/>
          <w:iCs/>
        </w:rPr>
        <w:t>i</w:t>
      </w:r>
      <w:proofErr w:type="spellEnd"/>
      <w:r w:rsidRPr="0003067C">
        <w:rPr>
          <w:i/>
          <w:iCs/>
        </w:rPr>
        <w:t>) the nature of the ceremony on the basis of which the parties assert that they are married;</w:t>
      </w:r>
    </w:p>
    <w:p w14:paraId="77556A93" w14:textId="77777777" w:rsidR="00EE3BCD" w:rsidRPr="0003067C" w:rsidRDefault="00EE3BCD" w:rsidP="00775A4E">
      <w:pPr>
        <w:pStyle w:val="NoSpacing"/>
        <w:spacing w:line="480" w:lineRule="auto"/>
        <w:ind w:left="2880"/>
        <w:jc w:val="left"/>
        <w:rPr>
          <w:i/>
          <w:iCs/>
        </w:rPr>
      </w:pPr>
    </w:p>
    <w:p w14:paraId="22E67693" w14:textId="77777777" w:rsidR="00EE3BCD" w:rsidRPr="0003067C" w:rsidRDefault="00EE3BCD" w:rsidP="00775A4E">
      <w:pPr>
        <w:pStyle w:val="NoSpacing"/>
        <w:spacing w:line="480" w:lineRule="auto"/>
        <w:ind w:left="2880"/>
        <w:jc w:val="left"/>
        <w:rPr>
          <w:i/>
          <w:iCs/>
        </w:rPr>
      </w:pPr>
      <w:r w:rsidRPr="0003067C">
        <w:rPr>
          <w:i/>
          <w:iCs/>
        </w:rPr>
        <w:t>(ii) whether the parties have been residing together as husband and wife, and, if so, the length of time during which they have so resided;</w:t>
      </w:r>
    </w:p>
    <w:p w14:paraId="7E5FB1E7" w14:textId="77777777" w:rsidR="00EE3BCD" w:rsidRPr="0003067C" w:rsidRDefault="00EE3BCD" w:rsidP="00775A4E">
      <w:pPr>
        <w:pStyle w:val="NoSpacing"/>
        <w:spacing w:line="480" w:lineRule="auto"/>
        <w:ind w:left="2880"/>
        <w:jc w:val="left"/>
        <w:rPr>
          <w:i/>
          <w:iCs/>
        </w:rPr>
      </w:pPr>
    </w:p>
    <w:p w14:paraId="3838D637" w14:textId="77777777" w:rsidR="00EE3BCD" w:rsidRPr="0003067C" w:rsidRDefault="00EE3BCD" w:rsidP="00775A4E">
      <w:pPr>
        <w:pStyle w:val="NoSpacing"/>
        <w:spacing w:line="480" w:lineRule="auto"/>
        <w:ind w:left="2880"/>
        <w:jc w:val="left"/>
        <w:rPr>
          <w:i/>
          <w:iCs/>
        </w:rPr>
      </w:pPr>
      <w:r w:rsidRPr="0003067C">
        <w:rPr>
          <w:i/>
          <w:iCs/>
        </w:rPr>
        <w:t>(iii) the extent to which the parties have been sharing income and outgoings;</w:t>
      </w:r>
    </w:p>
    <w:p w14:paraId="777EDA03" w14:textId="77777777" w:rsidR="00EE3BCD" w:rsidRPr="0003067C" w:rsidRDefault="00EE3BCD" w:rsidP="00775A4E">
      <w:pPr>
        <w:pStyle w:val="NoSpacing"/>
        <w:spacing w:line="480" w:lineRule="auto"/>
        <w:ind w:left="2880"/>
        <w:jc w:val="left"/>
        <w:rPr>
          <w:i/>
          <w:iCs/>
        </w:rPr>
      </w:pPr>
    </w:p>
    <w:p w14:paraId="587EA3B8" w14:textId="77777777" w:rsidR="00EE3BCD" w:rsidRPr="0003067C" w:rsidRDefault="00EE3BCD" w:rsidP="00775A4E">
      <w:pPr>
        <w:pStyle w:val="NoSpacing"/>
        <w:spacing w:line="480" w:lineRule="auto"/>
        <w:ind w:left="2880"/>
        <w:jc w:val="left"/>
        <w:rPr>
          <w:i/>
          <w:iCs/>
        </w:rPr>
      </w:pPr>
      <w:r w:rsidRPr="0003067C">
        <w:rPr>
          <w:i/>
          <w:iCs/>
        </w:rPr>
        <w:lastRenderedPageBreak/>
        <w:t>(iv) the extent to which the parties have been dealing with other organs of the State or organs of any other state as a married couple;</w:t>
      </w:r>
    </w:p>
    <w:p w14:paraId="0D5BA2C9" w14:textId="77777777" w:rsidR="00EE3BCD" w:rsidRPr="0003067C" w:rsidRDefault="00EE3BCD" w:rsidP="00775A4E">
      <w:pPr>
        <w:pStyle w:val="NoSpacing"/>
        <w:spacing w:line="480" w:lineRule="auto"/>
        <w:ind w:left="2880"/>
        <w:jc w:val="left"/>
        <w:rPr>
          <w:i/>
          <w:iCs/>
        </w:rPr>
      </w:pPr>
    </w:p>
    <w:p w14:paraId="0F80C3CD" w14:textId="77777777" w:rsidR="00EE3BCD" w:rsidRPr="0003067C" w:rsidRDefault="00EE3BCD" w:rsidP="00775A4E">
      <w:pPr>
        <w:pStyle w:val="NoSpacing"/>
        <w:spacing w:line="480" w:lineRule="auto"/>
        <w:ind w:left="2880"/>
        <w:jc w:val="left"/>
        <w:rPr>
          <w:i/>
          <w:iCs/>
        </w:rPr>
      </w:pPr>
      <w:r w:rsidRPr="0003067C">
        <w:rPr>
          <w:i/>
          <w:iCs/>
        </w:rPr>
        <w:t>(v) the nature of the relationship between the parties prior to the marriage;</w:t>
      </w:r>
    </w:p>
    <w:p w14:paraId="59E44D96" w14:textId="77777777" w:rsidR="00EE3BCD" w:rsidRPr="0003067C" w:rsidRDefault="00EE3BCD" w:rsidP="00775A4E">
      <w:pPr>
        <w:pStyle w:val="NoSpacing"/>
        <w:spacing w:line="480" w:lineRule="auto"/>
        <w:ind w:left="2880"/>
        <w:jc w:val="left"/>
        <w:rPr>
          <w:i/>
          <w:iCs/>
        </w:rPr>
      </w:pPr>
    </w:p>
    <w:p w14:paraId="26816396" w14:textId="77777777" w:rsidR="00EE3BCD" w:rsidRPr="0003067C" w:rsidRDefault="00EE3BCD" w:rsidP="00775A4E">
      <w:pPr>
        <w:pStyle w:val="NoSpacing"/>
        <w:spacing w:line="480" w:lineRule="auto"/>
        <w:ind w:left="2880"/>
        <w:jc w:val="left"/>
        <w:rPr>
          <w:i/>
          <w:iCs/>
        </w:rPr>
      </w:pPr>
      <w:r w:rsidRPr="0003067C">
        <w:rPr>
          <w:i/>
          <w:iCs/>
        </w:rPr>
        <w:t>(vi) whether the parties are familiar with the other’s personal details;</w:t>
      </w:r>
    </w:p>
    <w:p w14:paraId="4CD64124" w14:textId="77777777" w:rsidR="00EE3BCD" w:rsidRPr="0003067C" w:rsidRDefault="00EE3BCD" w:rsidP="00775A4E">
      <w:pPr>
        <w:pStyle w:val="NoSpacing"/>
        <w:spacing w:line="480" w:lineRule="auto"/>
        <w:ind w:left="2880"/>
        <w:jc w:val="left"/>
        <w:rPr>
          <w:i/>
          <w:iCs/>
        </w:rPr>
      </w:pPr>
    </w:p>
    <w:p w14:paraId="528DDF23" w14:textId="77777777" w:rsidR="00EE3BCD" w:rsidRPr="0003067C" w:rsidRDefault="00EE3BCD" w:rsidP="00775A4E">
      <w:pPr>
        <w:pStyle w:val="NoSpacing"/>
        <w:spacing w:line="480" w:lineRule="auto"/>
        <w:ind w:left="2880"/>
        <w:jc w:val="left"/>
        <w:rPr>
          <w:i/>
          <w:iCs/>
        </w:rPr>
      </w:pPr>
      <w:r w:rsidRPr="0003067C">
        <w:rPr>
          <w:i/>
          <w:iCs/>
        </w:rPr>
        <w:t>(vii) whether the parties speak a language that is understood by both of them;</w:t>
      </w:r>
    </w:p>
    <w:p w14:paraId="27B6327C" w14:textId="77777777" w:rsidR="00EE3BCD" w:rsidRPr="0003067C" w:rsidRDefault="00EE3BCD" w:rsidP="00775A4E">
      <w:pPr>
        <w:pStyle w:val="NoSpacing"/>
        <w:spacing w:line="480" w:lineRule="auto"/>
        <w:ind w:left="2880"/>
        <w:jc w:val="left"/>
        <w:rPr>
          <w:i/>
          <w:iCs/>
        </w:rPr>
      </w:pPr>
    </w:p>
    <w:p w14:paraId="13BB80B0" w14:textId="77777777" w:rsidR="00EE3BCD" w:rsidRPr="0003067C" w:rsidRDefault="00EE3BCD" w:rsidP="00775A4E">
      <w:pPr>
        <w:pStyle w:val="NoSpacing"/>
        <w:spacing w:line="480" w:lineRule="auto"/>
        <w:ind w:left="2880"/>
        <w:jc w:val="left"/>
        <w:rPr>
          <w:i/>
          <w:iCs/>
        </w:rPr>
      </w:pPr>
      <w:r w:rsidRPr="0003067C">
        <w:rPr>
          <w:i/>
          <w:iCs/>
        </w:rPr>
        <w:t>(viii) whether a sum of money or other inducement was exchanged in order for the marriage to be contracted (and, if so, whether this represented a dowry given in the case of persons from a country or society where the provision of a dowry on the occasion of marriage is a common practice);</w:t>
      </w:r>
    </w:p>
    <w:p w14:paraId="1B4497E9" w14:textId="77777777" w:rsidR="00EE3BCD" w:rsidRPr="0003067C" w:rsidRDefault="00EE3BCD" w:rsidP="00775A4E">
      <w:pPr>
        <w:pStyle w:val="NoSpacing"/>
        <w:spacing w:line="480" w:lineRule="auto"/>
        <w:ind w:left="2880"/>
        <w:jc w:val="left"/>
        <w:rPr>
          <w:i/>
          <w:iCs/>
        </w:rPr>
      </w:pPr>
    </w:p>
    <w:p w14:paraId="3184936C" w14:textId="77777777" w:rsidR="00EE3BCD" w:rsidRPr="0003067C" w:rsidRDefault="00EE3BCD" w:rsidP="00775A4E">
      <w:pPr>
        <w:pStyle w:val="NoSpacing"/>
        <w:spacing w:line="480" w:lineRule="auto"/>
        <w:ind w:left="2880"/>
        <w:jc w:val="left"/>
        <w:rPr>
          <w:i/>
          <w:iCs/>
        </w:rPr>
      </w:pPr>
      <w:r w:rsidRPr="0003067C">
        <w:rPr>
          <w:i/>
          <w:iCs/>
        </w:rPr>
        <w:t>(ix) whether the parties have a continuing commitment to mutual emotional and financial support;</w:t>
      </w:r>
    </w:p>
    <w:p w14:paraId="46185E8A" w14:textId="77777777" w:rsidR="00EE3BCD" w:rsidRPr="0003067C" w:rsidRDefault="00EE3BCD" w:rsidP="00775A4E">
      <w:pPr>
        <w:pStyle w:val="NoSpacing"/>
        <w:spacing w:line="480" w:lineRule="auto"/>
        <w:ind w:left="2880"/>
        <w:jc w:val="left"/>
        <w:rPr>
          <w:i/>
          <w:iCs/>
        </w:rPr>
      </w:pPr>
    </w:p>
    <w:p w14:paraId="2FEFB8D6" w14:textId="77777777" w:rsidR="00EE3BCD" w:rsidRPr="0003067C" w:rsidRDefault="00EE3BCD" w:rsidP="00775A4E">
      <w:pPr>
        <w:pStyle w:val="NoSpacing"/>
        <w:spacing w:line="480" w:lineRule="auto"/>
        <w:ind w:left="2880"/>
        <w:jc w:val="left"/>
        <w:rPr>
          <w:i/>
          <w:iCs/>
        </w:rPr>
      </w:pPr>
      <w:r w:rsidRPr="0003067C">
        <w:rPr>
          <w:i/>
          <w:iCs/>
        </w:rPr>
        <w:t>(x) the history of each of the parties including any evidence that either of them has previously entered into a marriage of convenience or a civil partnership of convenience;</w:t>
      </w:r>
    </w:p>
    <w:p w14:paraId="1A92C861" w14:textId="77777777" w:rsidR="00EE3BCD" w:rsidRPr="0003067C" w:rsidRDefault="00EE3BCD" w:rsidP="00775A4E">
      <w:pPr>
        <w:pStyle w:val="NoSpacing"/>
        <w:spacing w:line="480" w:lineRule="auto"/>
        <w:ind w:left="2880"/>
        <w:jc w:val="left"/>
        <w:rPr>
          <w:i/>
          <w:iCs/>
        </w:rPr>
      </w:pPr>
    </w:p>
    <w:p w14:paraId="0C1DF487" w14:textId="77777777" w:rsidR="00EE3BCD" w:rsidRPr="0003067C" w:rsidRDefault="00EE3BCD" w:rsidP="00775A4E">
      <w:pPr>
        <w:pStyle w:val="NoSpacing"/>
        <w:spacing w:line="480" w:lineRule="auto"/>
        <w:ind w:left="2880"/>
        <w:jc w:val="left"/>
        <w:rPr>
          <w:i/>
          <w:iCs/>
        </w:rPr>
      </w:pPr>
      <w:r w:rsidRPr="0003067C">
        <w:rPr>
          <w:i/>
          <w:iCs/>
        </w:rPr>
        <w:t>(xi) whether any previous conduct of either of the parties indicates that either of them has previously arranged a marriage of convenience or otherwise attempted to circumvent the immigration laws of the State or any other state;</w:t>
      </w:r>
    </w:p>
    <w:p w14:paraId="743A96DD" w14:textId="77777777" w:rsidR="00EE3BCD" w:rsidRPr="0003067C" w:rsidRDefault="00EE3BCD" w:rsidP="00775A4E">
      <w:pPr>
        <w:pStyle w:val="NoSpacing"/>
        <w:spacing w:line="480" w:lineRule="auto"/>
        <w:ind w:left="2880"/>
        <w:jc w:val="left"/>
        <w:rPr>
          <w:i/>
          <w:iCs/>
        </w:rPr>
      </w:pPr>
    </w:p>
    <w:p w14:paraId="06BA827E" w14:textId="77777777" w:rsidR="00EE3BCD" w:rsidRPr="0003067C" w:rsidRDefault="00EE3BCD" w:rsidP="00775A4E">
      <w:pPr>
        <w:pStyle w:val="NoSpacing"/>
        <w:spacing w:line="480" w:lineRule="auto"/>
        <w:ind w:left="2880"/>
        <w:jc w:val="left"/>
        <w:rPr>
          <w:i/>
          <w:iCs/>
        </w:rPr>
      </w:pPr>
      <w:r w:rsidRPr="0003067C">
        <w:rPr>
          <w:i/>
          <w:iCs/>
        </w:rPr>
        <w:t>(xii) the immigration status of the parties in the State or in any other state;</w:t>
      </w:r>
    </w:p>
    <w:p w14:paraId="3C2CC5F5" w14:textId="77777777" w:rsidR="00EE3BCD" w:rsidRPr="0003067C" w:rsidRDefault="00EE3BCD" w:rsidP="00775A4E">
      <w:pPr>
        <w:pStyle w:val="NoSpacing"/>
        <w:spacing w:line="480" w:lineRule="auto"/>
        <w:ind w:left="2880"/>
        <w:jc w:val="left"/>
        <w:rPr>
          <w:i/>
          <w:iCs/>
        </w:rPr>
      </w:pPr>
    </w:p>
    <w:p w14:paraId="1CB32BF6" w14:textId="77777777" w:rsidR="00EE3BCD" w:rsidRPr="0003067C" w:rsidRDefault="00EE3BCD" w:rsidP="00775A4E">
      <w:pPr>
        <w:pStyle w:val="NoSpacing"/>
        <w:spacing w:line="480" w:lineRule="auto"/>
        <w:ind w:left="2880"/>
        <w:jc w:val="left"/>
        <w:rPr>
          <w:i/>
          <w:iCs/>
        </w:rPr>
      </w:pPr>
      <w:r w:rsidRPr="0003067C">
        <w:rPr>
          <w:i/>
          <w:iCs/>
        </w:rPr>
        <w:t xml:space="preserve">(xiii) any information provided by an </w:t>
      </w:r>
      <w:proofErr w:type="spellStart"/>
      <w:r w:rsidRPr="0003067C">
        <w:rPr>
          <w:i/>
          <w:iCs/>
        </w:rPr>
        <w:t>tArd-Chláraitheoir</w:t>
      </w:r>
      <w:proofErr w:type="spellEnd"/>
      <w:r w:rsidRPr="0003067C">
        <w:rPr>
          <w:i/>
          <w:iCs/>
        </w:rPr>
        <w:t xml:space="preserve"> or registrar within the meaning of the Civil Registration Act 2004;</w:t>
      </w:r>
    </w:p>
    <w:p w14:paraId="20AA3BAF" w14:textId="77777777" w:rsidR="00EE3BCD" w:rsidRPr="0003067C" w:rsidRDefault="00EE3BCD" w:rsidP="00775A4E">
      <w:pPr>
        <w:pStyle w:val="NoSpacing"/>
        <w:spacing w:line="480" w:lineRule="auto"/>
        <w:ind w:left="2880"/>
        <w:jc w:val="left"/>
        <w:rPr>
          <w:i/>
          <w:iCs/>
        </w:rPr>
      </w:pPr>
    </w:p>
    <w:p w14:paraId="3DC06EB5" w14:textId="77777777" w:rsidR="00EE3BCD" w:rsidRPr="0003067C" w:rsidRDefault="00EE3BCD" w:rsidP="00775A4E">
      <w:pPr>
        <w:pStyle w:val="NoSpacing"/>
        <w:spacing w:line="480" w:lineRule="auto"/>
        <w:ind w:left="2880"/>
        <w:jc w:val="left"/>
        <w:rPr>
          <w:i/>
          <w:iCs/>
        </w:rPr>
      </w:pPr>
      <w:r w:rsidRPr="0003067C">
        <w:rPr>
          <w:i/>
          <w:iCs/>
        </w:rPr>
        <w:t>(xiv) any other matters which appear to the Minister to raise reasonable grounds for considering the marriage to be a marriage of convenience.</w:t>
      </w:r>
    </w:p>
    <w:p w14:paraId="1A63F032" w14:textId="77777777" w:rsidR="00EE3BCD" w:rsidRPr="0003067C" w:rsidRDefault="00EE3BCD" w:rsidP="00775A4E">
      <w:pPr>
        <w:pStyle w:val="NoSpacing"/>
        <w:spacing w:line="480" w:lineRule="auto"/>
        <w:ind w:left="1440"/>
        <w:jc w:val="left"/>
        <w:rPr>
          <w:i/>
          <w:iCs/>
        </w:rPr>
      </w:pPr>
    </w:p>
    <w:p w14:paraId="07026ADC" w14:textId="77777777" w:rsidR="00EE3BCD" w:rsidRPr="0003067C" w:rsidRDefault="00EE3BCD" w:rsidP="00775A4E">
      <w:pPr>
        <w:pStyle w:val="NoSpacing"/>
        <w:spacing w:line="480" w:lineRule="auto"/>
        <w:ind w:left="1440"/>
        <w:jc w:val="left"/>
        <w:rPr>
          <w:i/>
          <w:iCs/>
        </w:rPr>
      </w:pPr>
      <w:r w:rsidRPr="0003067C">
        <w:rPr>
          <w:i/>
          <w:iCs/>
        </w:rPr>
        <w:t>(6) For the purposes of these Regulations “marriage of convenience” means a marriage contracted, whether inside or outside the State, for the sole purpose of obtaining an entitlement under—</w:t>
      </w:r>
    </w:p>
    <w:p w14:paraId="02CA3259" w14:textId="77777777" w:rsidR="00EE3BCD" w:rsidRPr="0003067C" w:rsidRDefault="00EE3BCD" w:rsidP="00775A4E">
      <w:pPr>
        <w:pStyle w:val="NoSpacing"/>
        <w:spacing w:line="480" w:lineRule="auto"/>
        <w:ind w:left="1440"/>
        <w:jc w:val="left"/>
        <w:rPr>
          <w:i/>
          <w:iCs/>
        </w:rPr>
      </w:pPr>
    </w:p>
    <w:p w14:paraId="21FA2B31" w14:textId="77777777" w:rsidR="00EE3BCD" w:rsidRPr="0003067C" w:rsidRDefault="00EE3BCD" w:rsidP="00775A4E">
      <w:pPr>
        <w:pStyle w:val="NoSpacing"/>
        <w:spacing w:line="480" w:lineRule="auto"/>
        <w:ind w:left="2160"/>
        <w:jc w:val="left"/>
        <w:rPr>
          <w:i/>
          <w:iCs/>
        </w:rPr>
      </w:pPr>
      <w:r w:rsidRPr="0003067C">
        <w:rPr>
          <w:i/>
          <w:iCs/>
        </w:rPr>
        <w:t>(a) the Council Directive or these Regulations,</w:t>
      </w:r>
    </w:p>
    <w:p w14:paraId="1557CCC0" w14:textId="77777777" w:rsidR="00EE3BCD" w:rsidRPr="0003067C" w:rsidRDefault="00EE3BCD" w:rsidP="00775A4E">
      <w:pPr>
        <w:pStyle w:val="NoSpacing"/>
        <w:spacing w:line="480" w:lineRule="auto"/>
        <w:ind w:left="2160"/>
        <w:jc w:val="left"/>
        <w:rPr>
          <w:i/>
          <w:iCs/>
        </w:rPr>
      </w:pPr>
    </w:p>
    <w:p w14:paraId="645692FA" w14:textId="77777777" w:rsidR="00EE3BCD" w:rsidRPr="0003067C" w:rsidRDefault="00EE3BCD" w:rsidP="00775A4E">
      <w:pPr>
        <w:pStyle w:val="NoSpacing"/>
        <w:spacing w:line="480" w:lineRule="auto"/>
        <w:ind w:left="2160"/>
        <w:jc w:val="left"/>
        <w:rPr>
          <w:i/>
          <w:iCs/>
        </w:rPr>
      </w:pPr>
      <w:r w:rsidRPr="0003067C">
        <w:rPr>
          <w:i/>
          <w:iCs/>
        </w:rPr>
        <w:t>(b) any measure adopted by a Member State to transpose the Directive, or</w:t>
      </w:r>
    </w:p>
    <w:p w14:paraId="6851679F" w14:textId="77777777" w:rsidR="00EE3BCD" w:rsidRPr="0003067C" w:rsidRDefault="00EE3BCD" w:rsidP="00775A4E">
      <w:pPr>
        <w:pStyle w:val="NoSpacing"/>
        <w:spacing w:line="480" w:lineRule="auto"/>
        <w:ind w:left="2160"/>
        <w:jc w:val="left"/>
        <w:rPr>
          <w:i/>
          <w:iCs/>
        </w:rPr>
      </w:pPr>
    </w:p>
    <w:p w14:paraId="160120B2" w14:textId="07745C2D" w:rsidR="00EE3BCD" w:rsidRDefault="00EE3BCD" w:rsidP="00775A4E">
      <w:pPr>
        <w:pStyle w:val="NoSpacing"/>
        <w:spacing w:line="480" w:lineRule="auto"/>
        <w:ind w:left="2160"/>
        <w:jc w:val="left"/>
      </w:pPr>
      <w:r w:rsidRPr="0003067C">
        <w:rPr>
          <w:i/>
          <w:iCs/>
        </w:rPr>
        <w:lastRenderedPageBreak/>
        <w:t>(c) any law of the State concerning the entry and residence of foreign nationals in the State or the equivalent law of another state.</w:t>
      </w:r>
      <w:r>
        <w:rPr>
          <w:i/>
          <w:iCs/>
        </w:rPr>
        <w:t>”</w:t>
      </w:r>
      <w:r>
        <w:t xml:space="preserve"> (Emphasis added)</w:t>
      </w:r>
    </w:p>
    <w:p w14:paraId="1600E864" w14:textId="77777777" w:rsidR="00EE3BCD" w:rsidRPr="00355529" w:rsidRDefault="00EE3BCD" w:rsidP="00775A4E">
      <w:pPr>
        <w:pStyle w:val="NoSpacing"/>
        <w:spacing w:line="480" w:lineRule="auto"/>
        <w:ind w:left="2160"/>
        <w:jc w:val="left"/>
      </w:pPr>
    </w:p>
    <w:p w14:paraId="10D28DC9" w14:textId="2274E46F" w:rsidR="00EE3BCD" w:rsidRPr="001576E4" w:rsidRDefault="00EE3BCD" w:rsidP="00775A4E">
      <w:pPr>
        <w:pStyle w:val="NoSpacing"/>
        <w:numPr>
          <w:ilvl w:val="0"/>
          <w:numId w:val="8"/>
        </w:numPr>
        <w:spacing w:line="480" w:lineRule="auto"/>
        <w:ind w:left="0" w:firstLine="0"/>
        <w:jc w:val="left"/>
        <w:rPr>
          <w:rFonts w:cs="Times New Roman"/>
        </w:rPr>
      </w:pPr>
      <w:r w:rsidRPr="001576E4">
        <w:rPr>
          <w:rFonts w:cs="Times New Roman"/>
        </w:rPr>
        <w:t>Marriages of convenience are</w:t>
      </w:r>
      <w:r>
        <w:rPr>
          <w:rFonts w:cs="Times New Roman"/>
        </w:rPr>
        <w:t xml:space="preserve"> also </w:t>
      </w:r>
      <w:r w:rsidRPr="001576E4">
        <w:rPr>
          <w:rFonts w:cs="Times New Roman"/>
        </w:rPr>
        <w:t xml:space="preserve">addressed by the Civil Registration Act 2004, as amended by the Civil Registration (Amendment) Act 2014. All references to the 2004 Act are to the legislation as so amended, unless otherwise noted. A marriage of convenience is defined as follows in section 2(1) of the 2004 Act: </w:t>
      </w:r>
    </w:p>
    <w:p w14:paraId="78961289" w14:textId="77777777" w:rsidR="00EE3BCD" w:rsidRPr="001576E4" w:rsidRDefault="00EE3BCD" w:rsidP="00775A4E">
      <w:pPr>
        <w:pStyle w:val="NoSpacing"/>
        <w:spacing w:line="480" w:lineRule="auto"/>
        <w:jc w:val="left"/>
        <w:rPr>
          <w:rFonts w:cs="Times New Roman"/>
        </w:rPr>
      </w:pPr>
    </w:p>
    <w:p w14:paraId="30520CA7" w14:textId="77777777" w:rsidR="00EE3BCD" w:rsidRPr="001576E4" w:rsidRDefault="00EE3BCD" w:rsidP="00775A4E">
      <w:pPr>
        <w:pStyle w:val="NoSpacing"/>
        <w:spacing w:line="480" w:lineRule="auto"/>
        <w:ind w:left="1440"/>
        <w:jc w:val="left"/>
        <w:rPr>
          <w:rFonts w:cs="Times New Roman"/>
          <w:i/>
          <w:iCs/>
        </w:rPr>
      </w:pPr>
      <w:r w:rsidRPr="001576E4">
        <w:rPr>
          <w:rFonts w:cs="Times New Roman"/>
          <w:i/>
          <w:iCs/>
        </w:rPr>
        <w:t>“‘marriage of convenience’ means a marriage where at least one of the parties to the marriage —</w:t>
      </w:r>
    </w:p>
    <w:p w14:paraId="56BC384F" w14:textId="77777777" w:rsidR="00EE3BCD" w:rsidRPr="001576E4" w:rsidRDefault="00EE3BCD" w:rsidP="00775A4E">
      <w:pPr>
        <w:pStyle w:val="NoSpacing"/>
        <w:spacing w:line="480" w:lineRule="auto"/>
        <w:ind w:left="1440"/>
        <w:jc w:val="left"/>
        <w:rPr>
          <w:rFonts w:cs="Times New Roman"/>
          <w:i/>
          <w:iCs/>
        </w:rPr>
      </w:pPr>
    </w:p>
    <w:p w14:paraId="0DC92025" w14:textId="77777777" w:rsidR="00EE3BCD" w:rsidRPr="001576E4" w:rsidRDefault="00EE3BCD" w:rsidP="00775A4E">
      <w:pPr>
        <w:pStyle w:val="NoSpacing"/>
        <w:spacing w:line="480" w:lineRule="auto"/>
        <w:ind w:left="2160"/>
        <w:jc w:val="left"/>
        <w:rPr>
          <w:rFonts w:cs="Times New Roman"/>
          <w:i/>
          <w:iCs/>
        </w:rPr>
      </w:pPr>
      <w:r w:rsidRPr="001576E4">
        <w:rPr>
          <w:rFonts w:cs="Times New Roman"/>
          <w:i/>
          <w:iCs/>
        </w:rPr>
        <w:t>(a) at the time of entry into the marriage is a foreign national, and</w:t>
      </w:r>
    </w:p>
    <w:p w14:paraId="77E2DF10" w14:textId="77777777" w:rsidR="00EE3BCD" w:rsidRPr="001576E4" w:rsidRDefault="00EE3BCD" w:rsidP="00775A4E">
      <w:pPr>
        <w:pStyle w:val="NoSpacing"/>
        <w:spacing w:line="480" w:lineRule="auto"/>
        <w:ind w:left="2160"/>
        <w:jc w:val="left"/>
        <w:rPr>
          <w:rFonts w:cs="Times New Roman"/>
          <w:i/>
          <w:iCs/>
        </w:rPr>
      </w:pPr>
    </w:p>
    <w:p w14:paraId="55946EC9" w14:textId="77777777" w:rsidR="00EE3BCD" w:rsidRPr="001576E4" w:rsidRDefault="00EE3BCD" w:rsidP="00775A4E">
      <w:pPr>
        <w:pStyle w:val="NoSpacing"/>
        <w:spacing w:line="480" w:lineRule="auto"/>
        <w:ind w:left="2160"/>
        <w:jc w:val="left"/>
        <w:rPr>
          <w:rFonts w:cs="Times New Roman"/>
          <w:i/>
          <w:iCs/>
        </w:rPr>
      </w:pPr>
      <w:r w:rsidRPr="001576E4">
        <w:rPr>
          <w:rFonts w:cs="Times New Roman"/>
          <w:i/>
          <w:iCs/>
        </w:rPr>
        <w:t>(b) enters into the marriage solely for the purpose of securing an immigration advantage for at least one of the parties to the marriage”</w:t>
      </w:r>
    </w:p>
    <w:p w14:paraId="3A6AE62B" w14:textId="77777777" w:rsidR="00EE3BCD" w:rsidRPr="001576E4" w:rsidRDefault="00EE3BCD" w:rsidP="00775A4E">
      <w:pPr>
        <w:pStyle w:val="NoSpacing"/>
        <w:spacing w:line="480" w:lineRule="auto"/>
        <w:jc w:val="left"/>
        <w:rPr>
          <w:rFonts w:cs="Times New Roman"/>
          <w:i/>
          <w:iCs/>
        </w:rPr>
      </w:pPr>
      <w:r w:rsidRPr="001576E4">
        <w:rPr>
          <w:rFonts w:cs="Times New Roman"/>
          <w:i/>
          <w:iCs/>
        </w:rPr>
        <w:tab/>
      </w:r>
    </w:p>
    <w:p w14:paraId="320CCE99" w14:textId="582606ED" w:rsidR="00EE3BCD" w:rsidRDefault="00EE3BCD" w:rsidP="00775A4E">
      <w:pPr>
        <w:pStyle w:val="NoSpacing"/>
        <w:spacing w:line="480" w:lineRule="auto"/>
        <w:jc w:val="left"/>
        <w:rPr>
          <w:rFonts w:cs="Times New Roman"/>
        </w:rPr>
      </w:pPr>
      <w:r w:rsidRPr="001576E4">
        <w:rPr>
          <w:rFonts w:cs="Times New Roman"/>
        </w:rPr>
        <w:t xml:space="preserve">A similar definition is provided in respect of a civil partnership of convenience. </w:t>
      </w:r>
    </w:p>
    <w:p w14:paraId="45E4A93C" w14:textId="77777777" w:rsidR="00572544" w:rsidRPr="001576E4" w:rsidRDefault="00572544" w:rsidP="00775A4E">
      <w:pPr>
        <w:pStyle w:val="NoSpacing"/>
        <w:spacing w:line="480" w:lineRule="auto"/>
        <w:jc w:val="left"/>
        <w:rPr>
          <w:rFonts w:cs="Times New Roman"/>
        </w:rPr>
      </w:pPr>
    </w:p>
    <w:p w14:paraId="3F868F6A" w14:textId="77777777" w:rsidR="00F5463E" w:rsidRPr="001576E4" w:rsidRDefault="00F5463E" w:rsidP="00775A4E">
      <w:pPr>
        <w:pStyle w:val="NoSpacing"/>
        <w:numPr>
          <w:ilvl w:val="0"/>
          <w:numId w:val="8"/>
        </w:numPr>
        <w:spacing w:line="480" w:lineRule="auto"/>
        <w:ind w:left="0" w:firstLine="0"/>
        <w:jc w:val="left"/>
        <w:rPr>
          <w:rFonts w:cs="Times New Roman"/>
        </w:rPr>
      </w:pPr>
      <w:r w:rsidRPr="001576E4">
        <w:rPr>
          <w:rFonts w:cs="Times New Roman"/>
        </w:rPr>
        <w:t xml:space="preserve">Section 2(2) provides, </w:t>
      </w:r>
      <w:r w:rsidRPr="001576E4">
        <w:rPr>
          <w:rFonts w:cs="Times New Roman"/>
          <w:i/>
          <w:iCs/>
        </w:rPr>
        <w:t>inter alia</w:t>
      </w:r>
      <w:r w:rsidRPr="001576E4">
        <w:rPr>
          <w:rFonts w:cs="Times New Roman"/>
        </w:rPr>
        <w:t xml:space="preserve">, that: </w:t>
      </w:r>
      <w:r w:rsidRPr="001576E4">
        <w:rPr>
          <w:rFonts w:cs="Times New Roman"/>
        </w:rPr>
        <w:tab/>
      </w:r>
    </w:p>
    <w:p w14:paraId="28389F04" w14:textId="77777777" w:rsidR="00F5463E" w:rsidRPr="001576E4" w:rsidRDefault="00F5463E" w:rsidP="00775A4E">
      <w:pPr>
        <w:pStyle w:val="NoSpacing"/>
        <w:spacing w:line="480" w:lineRule="auto"/>
        <w:jc w:val="left"/>
        <w:rPr>
          <w:rFonts w:cs="Times New Roman"/>
        </w:rPr>
      </w:pPr>
      <w:r w:rsidRPr="001576E4">
        <w:rPr>
          <w:rFonts w:cs="Times New Roman"/>
        </w:rPr>
        <w:tab/>
      </w:r>
    </w:p>
    <w:p w14:paraId="1F391733" w14:textId="77777777" w:rsidR="00F5463E" w:rsidRPr="001576E4" w:rsidRDefault="00F5463E" w:rsidP="00775A4E">
      <w:pPr>
        <w:pStyle w:val="NoSpacing"/>
        <w:spacing w:line="480" w:lineRule="auto"/>
        <w:ind w:left="1440"/>
        <w:jc w:val="left"/>
        <w:rPr>
          <w:rFonts w:cs="Times New Roman"/>
          <w:i/>
          <w:iCs/>
        </w:rPr>
      </w:pPr>
      <w:r w:rsidRPr="001576E4">
        <w:rPr>
          <w:rFonts w:cs="Times New Roman"/>
          <w:i/>
          <w:iCs/>
        </w:rPr>
        <w:t>“(2) For the purposes of this Act there is an impediment to a marriage if—</w:t>
      </w:r>
    </w:p>
    <w:p w14:paraId="6C3BC296" w14:textId="77777777" w:rsidR="00F5463E" w:rsidRPr="001576E4" w:rsidRDefault="00F5463E" w:rsidP="00775A4E">
      <w:pPr>
        <w:pStyle w:val="NoSpacing"/>
        <w:spacing w:line="480" w:lineRule="auto"/>
        <w:ind w:left="1440"/>
        <w:jc w:val="left"/>
        <w:rPr>
          <w:rFonts w:cs="Times New Roman"/>
          <w:i/>
          <w:iCs/>
        </w:rPr>
      </w:pPr>
    </w:p>
    <w:p w14:paraId="4BA4E423" w14:textId="77777777" w:rsidR="00F5463E" w:rsidRPr="001576E4" w:rsidRDefault="00F5463E" w:rsidP="00775A4E">
      <w:pPr>
        <w:pStyle w:val="NoSpacing"/>
        <w:spacing w:line="480" w:lineRule="auto"/>
        <w:ind w:left="2160"/>
        <w:jc w:val="left"/>
        <w:rPr>
          <w:rFonts w:cs="Times New Roman"/>
          <w:i/>
          <w:iCs/>
        </w:rPr>
      </w:pPr>
      <w:r w:rsidRPr="001576E4">
        <w:rPr>
          <w:rFonts w:cs="Times New Roman"/>
          <w:i/>
          <w:iCs/>
        </w:rPr>
        <w:t>(a) …</w:t>
      </w:r>
    </w:p>
    <w:p w14:paraId="0FD0DF12" w14:textId="77777777" w:rsidR="00F5463E" w:rsidRPr="001576E4" w:rsidRDefault="00F5463E" w:rsidP="00775A4E">
      <w:pPr>
        <w:pStyle w:val="NoSpacing"/>
        <w:spacing w:line="480" w:lineRule="auto"/>
        <w:jc w:val="left"/>
        <w:rPr>
          <w:rFonts w:cs="Times New Roman"/>
          <w:i/>
          <w:iCs/>
        </w:rPr>
      </w:pPr>
    </w:p>
    <w:p w14:paraId="5B0A6C89" w14:textId="77777777" w:rsidR="00F5463E" w:rsidRPr="001576E4" w:rsidRDefault="00F5463E" w:rsidP="00775A4E">
      <w:pPr>
        <w:pStyle w:val="NoSpacing"/>
        <w:spacing w:line="480" w:lineRule="auto"/>
        <w:ind w:left="2160"/>
        <w:jc w:val="left"/>
        <w:rPr>
          <w:rFonts w:cs="Times New Roman"/>
          <w:i/>
          <w:iCs/>
        </w:rPr>
      </w:pPr>
      <w:r w:rsidRPr="001576E4">
        <w:rPr>
          <w:rFonts w:cs="Times New Roman"/>
          <w:i/>
          <w:iCs/>
        </w:rPr>
        <w:lastRenderedPageBreak/>
        <w:t>…</w:t>
      </w:r>
    </w:p>
    <w:p w14:paraId="39F2AA0C" w14:textId="77777777" w:rsidR="00F5463E" w:rsidRPr="001576E4" w:rsidRDefault="00F5463E" w:rsidP="00775A4E">
      <w:pPr>
        <w:pStyle w:val="NoSpacing"/>
        <w:spacing w:line="480" w:lineRule="auto"/>
        <w:ind w:left="2160"/>
        <w:jc w:val="left"/>
        <w:rPr>
          <w:rFonts w:cs="Times New Roman"/>
          <w:i/>
          <w:iCs/>
        </w:rPr>
      </w:pPr>
    </w:p>
    <w:p w14:paraId="2D7265E1" w14:textId="77777777" w:rsidR="00F5463E" w:rsidRPr="001576E4" w:rsidRDefault="00F5463E" w:rsidP="00775A4E">
      <w:pPr>
        <w:pStyle w:val="NoSpacing"/>
        <w:spacing w:line="480" w:lineRule="auto"/>
        <w:ind w:left="2160"/>
        <w:jc w:val="left"/>
        <w:rPr>
          <w:rFonts w:cs="Times New Roman"/>
          <w:i/>
          <w:iCs/>
        </w:rPr>
      </w:pPr>
      <w:r w:rsidRPr="001576E4">
        <w:rPr>
          <w:rFonts w:cs="Times New Roman"/>
          <w:i/>
          <w:iCs/>
        </w:rPr>
        <w:t>(g) the marriage would constitute a marriage of convenience.”</w:t>
      </w:r>
    </w:p>
    <w:p w14:paraId="18BB2236" w14:textId="77777777" w:rsidR="00F5463E" w:rsidRPr="001576E4" w:rsidRDefault="00F5463E" w:rsidP="00775A4E">
      <w:pPr>
        <w:pStyle w:val="NoSpacing"/>
        <w:spacing w:line="480" w:lineRule="auto"/>
        <w:jc w:val="left"/>
        <w:rPr>
          <w:rFonts w:cs="Times New Roman"/>
          <w:i/>
          <w:iCs/>
        </w:rPr>
      </w:pPr>
      <w:r w:rsidRPr="001576E4">
        <w:rPr>
          <w:rFonts w:cs="Times New Roman"/>
          <w:i/>
          <w:iCs/>
        </w:rPr>
        <w:tab/>
      </w:r>
    </w:p>
    <w:p w14:paraId="5E1C314E" w14:textId="77777777" w:rsidR="00F5463E" w:rsidRPr="001576E4" w:rsidRDefault="00F5463E" w:rsidP="00775A4E">
      <w:pPr>
        <w:pStyle w:val="NoSpacing"/>
        <w:spacing w:line="480" w:lineRule="auto"/>
        <w:jc w:val="left"/>
        <w:rPr>
          <w:rFonts w:cs="Times New Roman"/>
        </w:rPr>
      </w:pPr>
      <w:r w:rsidRPr="001576E4">
        <w:rPr>
          <w:rFonts w:cs="Times New Roman"/>
        </w:rPr>
        <w:t xml:space="preserve">Other listed impediments include the fact that the parties are within the prohibited degrees of relationship, that one or both of the parties are already married, that one or both of the parties lack capacity to marry, that one or both of the parties are already party to a subsisting civil relationship, and so on. </w:t>
      </w:r>
    </w:p>
    <w:p w14:paraId="7A9C664F" w14:textId="77777777" w:rsidR="00F5463E" w:rsidRPr="001576E4" w:rsidRDefault="00F5463E" w:rsidP="00775A4E">
      <w:pPr>
        <w:pStyle w:val="NoSpacing"/>
        <w:spacing w:line="480" w:lineRule="auto"/>
        <w:ind w:left="720"/>
        <w:jc w:val="left"/>
        <w:rPr>
          <w:rFonts w:cs="Times New Roman"/>
        </w:rPr>
      </w:pPr>
    </w:p>
    <w:p w14:paraId="5D0DD0E5" w14:textId="1B708803" w:rsidR="00F5463E" w:rsidRPr="001576E4" w:rsidRDefault="00F5463E" w:rsidP="00775A4E">
      <w:pPr>
        <w:pStyle w:val="NoSpacing"/>
        <w:numPr>
          <w:ilvl w:val="0"/>
          <w:numId w:val="8"/>
        </w:numPr>
        <w:spacing w:line="480" w:lineRule="auto"/>
        <w:ind w:left="0" w:firstLine="0"/>
        <w:jc w:val="left"/>
        <w:rPr>
          <w:rFonts w:cs="Times New Roman"/>
        </w:rPr>
      </w:pPr>
      <w:r w:rsidRPr="001576E4">
        <w:rPr>
          <w:rFonts w:cs="Times New Roman"/>
        </w:rPr>
        <w:t xml:space="preserve">The terms of section 58 should also be summarised. </w:t>
      </w:r>
      <w:r w:rsidR="00A827A9">
        <w:rPr>
          <w:rFonts w:cs="Times New Roman"/>
        </w:rPr>
        <w:t xml:space="preserve">Subsection </w:t>
      </w:r>
      <w:r w:rsidRPr="001576E4">
        <w:rPr>
          <w:rFonts w:cs="Times New Roman"/>
        </w:rPr>
        <w:t xml:space="preserve">(1) provides that a person may at any time before the solemnisation of a marriage lodge an objection in writing with any registrar and the objection shall state the reasons </w:t>
      </w:r>
      <w:r w:rsidR="00A827A9">
        <w:rPr>
          <w:rFonts w:cs="Times New Roman"/>
        </w:rPr>
        <w:t>therefor</w:t>
      </w:r>
      <w:r w:rsidRPr="001576E4">
        <w:rPr>
          <w:rFonts w:cs="Times New Roman"/>
        </w:rPr>
        <w:t xml:space="preserve">. The section sets out detailed provisions for what should follow when such an objection is lodged. If the objection relates to a minor error or misdescription in the relevant notification, there is provision for the mistake to be rectified in a straightforward way. However, where the registrar believes that the </w:t>
      </w:r>
      <w:r>
        <w:rPr>
          <w:rFonts w:cs="Times New Roman"/>
        </w:rPr>
        <w:t>possible existence</w:t>
      </w:r>
      <w:r w:rsidRPr="001576E4">
        <w:rPr>
          <w:rFonts w:cs="Times New Roman"/>
        </w:rPr>
        <w:t xml:space="preserve"> of an impediment to the intended marriage concerned needs to be investigated, the objection is referred to an </w:t>
      </w:r>
      <w:proofErr w:type="spellStart"/>
      <w:r w:rsidRPr="001576E4">
        <w:rPr>
          <w:rFonts w:cs="Times New Roman"/>
        </w:rPr>
        <w:t>tArd-Chláraitheoir</w:t>
      </w:r>
      <w:proofErr w:type="spellEnd"/>
      <w:r w:rsidRPr="001576E4">
        <w:rPr>
          <w:rFonts w:cs="Times New Roman"/>
        </w:rPr>
        <w:t xml:space="preserve"> for consideration and the marriage cannot be solemnised until the investigation is completed. Subsection (4A) is important for present purposes; it provides as follows: </w:t>
      </w:r>
    </w:p>
    <w:p w14:paraId="7613C61E" w14:textId="77777777" w:rsidR="00F5463E" w:rsidRPr="001576E4" w:rsidRDefault="00F5463E" w:rsidP="00775A4E">
      <w:pPr>
        <w:pStyle w:val="NoSpacing"/>
        <w:spacing w:line="480" w:lineRule="auto"/>
        <w:jc w:val="left"/>
        <w:rPr>
          <w:rFonts w:cs="Times New Roman"/>
        </w:rPr>
      </w:pPr>
    </w:p>
    <w:p w14:paraId="6FA4606F" w14:textId="77777777" w:rsidR="00F5463E" w:rsidRPr="001576E4" w:rsidRDefault="00F5463E" w:rsidP="00775A4E">
      <w:pPr>
        <w:pStyle w:val="NoSpacing"/>
        <w:spacing w:line="480" w:lineRule="auto"/>
        <w:ind w:left="1440"/>
        <w:jc w:val="left"/>
        <w:rPr>
          <w:rFonts w:cs="Times New Roman"/>
          <w:i/>
          <w:iCs/>
        </w:rPr>
      </w:pPr>
      <w:r w:rsidRPr="001576E4">
        <w:rPr>
          <w:rFonts w:cs="Times New Roman"/>
          <w:i/>
          <w:iCs/>
        </w:rPr>
        <w:t>“(4A) A registrar who —</w:t>
      </w:r>
    </w:p>
    <w:p w14:paraId="10148620" w14:textId="77777777" w:rsidR="00F5463E" w:rsidRPr="001576E4" w:rsidRDefault="00F5463E" w:rsidP="00775A4E">
      <w:pPr>
        <w:pStyle w:val="NoSpacing"/>
        <w:spacing w:line="480" w:lineRule="auto"/>
        <w:ind w:left="1440"/>
        <w:jc w:val="left"/>
        <w:rPr>
          <w:rFonts w:cs="Times New Roman"/>
          <w:i/>
          <w:iCs/>
        </w:rPr>
      </w:pPr>
    </w:p>
    <w:p w14:paraId="7E6A4094" w14:textId="77777777" w:rsidR="00F5463E" w:rsidRPr="001576E4" w:rsidRDefault="00F5463E" w:rsidP="00775A4E">
      <w:pPr>
        <w:pStyle w:val="NoSpacing"/>
        <w:spacing w:line="480" w:lineRule="auto"/>
        <w:ind w:left="2160"/>
        <w:jc w:val="left"/>
        <w:rPr>
          <w:rFonts w:cs="Times New Roman"/>
          <w:i/>
          <w:iCs/>
        </w:rPr>
      </w:pPr>
      <w:r w:rsidRPr="001576E4">
        <w:rPr>
          <w:rFonts w:cs="Times New Roman"/>
          <w:i/>
          <w:iCs/>
        </w:rPr>
        <w:t>(a) in the performance of his or her functions under this Part forms the opinion that an intended marriage would constitute a marriage of convenience, or</w:t>
      </w:r>
    </w:p>
    <w:p w14:paraId="4D3C6E7E" w14:textId="77777777" w:rsidR="00F5463E" w:rsidRPr="001576E4" w:rsidRDefault="00F5463E" w:rsidP="00775A4E">
      <w:pPr>
        <w:pStyle w:val="NoSpacing"/>
        <w:spacing w:line="480" w:lineRule="auto"/>
        <w:ind w:left="2160"/>
        <w:jc w:val="left"/>
        <w:rPr>
          <w:rFonts w:cs="Times New Roman"/>
          <w:i/>
          <w:iCs/>
        </w:rPr>
      </w:pPr>
    </w:p>
    <w:p w14:paraId="2267B403" w14:textId="77777777" w:rsidR="00F5463E" w:rsidRPr="001576E4" w:rsidRDefault="00F5463E" w:rsidP="00775A4E">
      <w:pPr>
        <w:pStyle w:val="NoSpacing"/>
        <w:spacing w:line="480" w:lineRule="auto"/>
        <w:ind w:left="2160"/>
        <w:jc w:val="left"/>
        <w:rPr>
          <w:rFonts w:cs="Times New Roman"/>
          <w:i/>
          <w:iCs/>
        </w:rPr>
      </w:pPr>
      <w:r w:rsidRPr="001576E4">
        <w:rPr>
          <w:rFonts w:cs="Times New Roman"/>
          <w:i/>
          <w:iCs/>
        </w:rPr>
        <w:t>(b) receives under subsection (1) an objection the stated reason for which is that the intended marriage would constitute a marriage of convenience, and forms the opinion that grounds for the objection possibly exist and need to be investigated,</w:t>
      </w:r>
    </w:p>
    <w:p w14:paraId="7F71A191" w14:textId="77777777" w:rsidR="00F5463E" w:rsidRPr="001576E4" w:rsidRDefault="00F5463E" w:rsidP="00775A4E">
      <w:pPr>
        <w:pStyle w:val="NoSpacing"/>
        <w:spacing w:line="480" w:lineRule="auto"/>
        <w:ind w:left="1440"/>
        <w:jc w:val="left"/>
        <w:rPr>
          <w:rFonts w:cs="Times New Roman"/>
          <w:i/>
          <w:iCs/>
        </w:rPr>
      </w:pPr>
    </w:p>
    <w:p w14:paraId="455026A5" w14:textId="77777777" w:rsidR="00F5463E" w:rsidRPr="001576E4" w:rsidRDefault="00F5463E" w:rsidP="00775A4E">
      <w:pPr>
        <w:pStyle w:val="NoSpacing"/>
        <w:spacing w:line="480" w:lineRule="auto"/>
        <w:ind w:left="1440"/>
        <w:jc w:val="left"/>
        <w:rPr>
          <w:rFonts w:cs="Times New Roman"/>
          <w:i/>
          <w:iCs/>
        </w:rPr>
      </w:pPr>
      <w:r w:rsidRPr="001576E4">
        <w:rPr>
          <w:rFonts w:cs="Times New Roman"/>
          <w:i/>
          <w:iCs/>
        </w:rPr>
        <w:t xml:space="preserve">shall refer the matter to the Superintendent Registrar of the registration area where the registrar who formed the opinion is assigned, for a decision and in that case and for that purpose, this section shall apply and have effect according to </w:t>
      </w:r>
      <w:r w:rsidRPr="00775A4E">
        <w:rPr>
          <w:rFonts w:cs="Times New Roman"/>
          <w:iCs/>
        </w:rPr>
        <w:t>[certain necessary modifications].</w:t>
      </w:r>
      <w:r w:rsidRPr="001576E4">
        <w:rPr>
          <w:rFonts w:cs="Times New Roman"/>
          <w:i/>
          <w:iCs/>
        </w:rPr>
        <w:t xml:space="preserve"> </w:t>
      </w:r>
    </w:p>
    <w:p w14:paraId="2D8D35CC" w14:textId="77777777" w:rsidR="00EE3BCD" w:rsidRDefault="00EE3BCD" w:rsidP="00775A4E">
      <w:pPr>
        <w:pStyle w:val="NoSpacing"/>
        <w:spacing w:line="480" w:lineRule="auto"/>
        <w:ind w:left="720"/>
        <w:jc w:val="left"/>
        <w:rPr>
          <w:rFonts w:cs="Times New Roman"/>
        </w:rPr>
      </w:pPr>
    </w:p>
    <w:p w14:paraId="3A937519" w14:textId="0CFECFE7" w:rsidR="00652972" w:rsidRPr="001576E4" w:rsidRDefault="00652972" w:rsidP="00775A4E">
      <w:pPr>
        <w:pStyle w:val="NoSpacing"/>
        <w:numPr>
          <w:ilvl w:val="0"/>
          <w:numId w:val="8"/>
        </w:numPr>
        <w:spacing w:line="480" w:lineRule="auto"/>
        <w:ind w:left="0" w:firstLine="0"/>
        <w:jc w:val="left"/>
        <w:rPr>
          <w:rFonts w:cs="Times New Roman"/>
        </w:rPr>
      </w:pPr>
      <w:r w:rsidRPr="001576E4">
        <w:rPr>
          <w:rFonts w:cs="Times New Roman"/>
        </w:rPr>
        <w:t xml:space="preserve">Pursuant to subsection (4B), the registrar shall furnish his or her written report of the reasons for the forming of his or her opinion under subsection (4A) when referring the matter to the Superintendent Registrar. Subsection (4C) sets out the matters to which the registrar shall have regard when forming that opinion, including, for example, whether the parties to the intended marriage speak a common language, how long the parties have known each other, whether they live together, the extent to which they know one another, their immigration status, etc. </w:t>
      </w:r>
    </w:p>
    <w:p w14:paraId="46001FC4" w14:textId="77777777" w:rsidR="00652972" w:rsidRPr="001576E4" w:rsidRDefault="00652972" w:rsidP="00775A4E">
      <w:pPr>
        <w:pStyle w:val="NoSpacing"/>
        <w:spacing w:line="480" w:lineRule="auto"/>
        <w:jc w:val="left"/>
        <w:rPr>
          <w:rFonts w:cs="Times New Roman"/>
        </w:rPr>
      </w:pPr>
    </w:p>
    <w:p w14:paraId="0DCF7A52" w14:textId="6D5F9435" w:rsidR="00652972" w:rsidRDefault="00652972" w:rsidP="00775A4E">
      <w:pPr>
        <w:pStyle w:val="NoSpacing"/>
        <w:numPr>
          <w:ilvl w:val="0"/>
          <w:numId w:val="8"/>
        </w:numPr>
        <w:spacing w:line="480" w:lineRule="auto"/>
        <w:ind w:left="0" w:firstLine="0"/>
        <w:jc w:val="left"/>
        <w:rPr>
          <w:rFonts w:cs="Times New Roman"/>
        </w:rPr>
      </w:pPr>
      <w:r w:rsidRPr="001576E4">
        <w:rPr>
          <w:rFonts w:cs="Times New Roman"/>
        </w:rPr>
        <w:t>If the Superintendent Registrar decides that there is an impediment to the intended marriage as a result of forming the conclusion that the intended marriage is one of convenience, he or she shall advise the registrar concerned to that effect and of the reasons for the decision and the registrar shall notify the parties of this decision and the reasons therefor and that the solemnisation will not proceed</w:t>
      </w:r>
      <w:r w:rsidR="00D76540">
        <w:rPr>
          <w:rFonts w:cs="Times New Roman"/>
        </w:rPr>
        <w:t>;</w:t>
      </w:r>
      <w:r w:rsidR="00A827A9">
        <w:rPr>
          <w:rFonts w:cs="Times New Roman"/>
        </w:rPr>
        <w:t xml:space="preserve"> </w:t>
      </w:r>
      <w:r w:rsidRPr="001576E4">
        <w:rPr>
          <w:rFonts w:cs="Times New Roman"/>
        </w:rPr>
        <w:t xml:space="preserve">further, </w:t>
      </w:r>
      <w:r w:rsidR="00A827A9">
        <w:rPr>
          <w:rFonts w:cs="Times New Roman"/>
        </w:rPr>
        <w:t xml:space="preserve">he/she </w:t>
      </w:r>
      <w:r w:rsidRPr="001576E4">
        <w:rPr>
          <w:rFonts w:cs="Times New Roman"/>
        </w:rPr>
        <w:t xml:space="preserve">shall take all reasonable steps to ensure that the solemnisation does not proceed (subsection 58(7)). Moreover, where a </w:t>
      </w:r>
      <w:r w:rsidRPr="001576E4">
        <w:rPr>
          <w:rFonts w:cs="Times New Roman"/>
        </w:rPr>
        <w:lastRenderedPageBreak/>
        <w:t>Superintendent Registrar decides under subsection (7), in a case referred to him or her under subsection (4A)</w:t>
      </w:r>
      <w:r w:rsidR="00D76540">
        <w:rPr>
          <w:rFonts w:cs="Times New Roman"/>
        </w:rPr>
        <w:t>,</w:t>
      </w:r>
      <w:r w:rsidRPr="001576E4">
        <w:rPr>
          <w:rFonts w:cs="Times New Roman"/>
        </w:rPr>
        <w:t xml:space="preserve"> that a marriage would constitute a marriage of convenience he or she shall, as soon as practicable after making that decision, notify the Minister for Justice and Equality (subsection (7A)). If the marriage is solemnised notwithstanding the steps taken by the registrar, it shall not be registered. A party to a proposed marriage may appeal to the Circuit Family Court against the decision of an </w:t>
      </w:r>
      <w:proofErr w:type="spellStart"/>
      <w:r w:rsidRPr="001576E4">
        <w:rPr>
          <w:rFonts w:cs="Times New Roman"/>
        </w:rPr>
        <w:t>tArd-Chláraitheoir</w:t>
      </w:r>
      <w:proofErr w:type="spellEnd"/>
      <w:r w:rsidRPr="001576E4">
        <w:rPr>
          <w:rFonts w:cs="Times New Roman"/>
        </w:rPr>
        <w:t xml:space="preserve"> in relation to the marriage under subsection (7) (subsection (9)). </w:t>
      </w:r>
    </w:p>
    <w:p w14:paraId="1D8578FD" w14:textId="77777777" w:rsidR="00652972" w:rsidRDefault="00652972" w:rsidP="00775A4E">
      <w:pPr>
        <w:pStyle w:val="ListParagraph"/>
        <w:spacing w:after="0" w:line="480" w:lineRule="auto"/>
        <w:rPr>
          <w:rFonts w:cs="Times New Roman"/>
        </w:rPr>
      </w:pPr>
    </w:p>
    <w:p w14:paraId="45B826E5" w14:textId="29B4B8D2" w:rsidR="00B44F9C" w:rsidRDefault="00F5463E" w:rsidP="00775A4E">
      <w:pPr>
        <w:pStyle w:val="NoSpacing"/>
        <w:numPr>
          <w:ilvl w:val="0"/>
          <w:numId w:val="8"/>
        </w:numPr>
        <w:spacing w:line="480" w:lineRule="auto"/>
        <w:ind w:left="0" w:firstLine="0"/>
        <w:jc w:val="left"/>
        <w:rPr>
          <w:rFonts w:cs="Times New Roman"/>
        </w:rPr>
      </w:pPr>
      <w:r>
        <w:rPr>
          <w:rFonts w:cs="Times New Roman"/>
        </w:rPr>
        <w:t xml:space="preserve">The other </w:t>
      </w:r>
      <w:r w:rsidR="00D63655">
        <w:rPr>
          <w:rFonts w:cs="Times New Roman"/>
        </w:rPr>
        <w:t xml:space="preserve">statutory </w:t>
      </w:r>
      <w:r>
        <w:rPr>
          <w:rFonts w:cs="Times New Roman"/>
        </w:rPr>
        <w:t xml:space="preserve">provision of immediate relevance is </w:t>
      </w:r>
      <w:r w:rsidR="00ED3410" w:rsidRPr="001576E4">
        <w:rPr>
          <w:rFonts w:cs="Times New Roman"/>
        </w:rPr>
        <w:t>section 3(1) of the Immigration Act 1999</w:t>
      </w:r>
      <w:r w:rsidR="00D63655">
        <w:rPr>
          <w:rFonts w:cs="Times New Roman"/>
        </w:rPr>
        <w:t xml:space="preserve"> (“the 1999 Act”)</w:t>
      </w:r>
      <w:r w:rsidR="00ED3410" w:rsidRPr="001576E4">
        <w:rPr>
          <w:rFonts w:cs="Times New Roman"/>
        </w:rPr>
        <w:t xml:space="preserve">, </w:t>
      </w:r>
      <w:r>
        <w:rPr>
          <w:rFonts w:cs="Times New Roman"/>
        </w:rPr>
        <w:t xml:space="preserve">whereunder </w:t>
      </w:r>
      <w:r w:rsidR="00ED3410" w:rsidRPr="001576E4">
        <w:rPr>
          <w:rFonts w:cs="Times New Roman"/>
        </w:rPr>
        <w:t xml:space="preserve">the Minister may make a deportation order requiring any non-national </w:t>
      </w:r>
      <w:r w:rsidR="00A07438">
        <w:rPr>
          <w:rFonts w:cs="Times New Roman"/>
        </w:rPr>
        <w:t>therein</w:t>
      </w:r>
      <w:r w:rsidR="00A827A9">
        <w:rPr>
          <w:rFonts w:cs="Times New Roman"/>
        </w:rPr>
        <w:t xml:space="preserve"> named</w:t>
      </w:r>
      <w:r w:rsidR="00ED3410" w:rsidRPr="001576E4">
        <w:rPr>
          <w:rFonts w:cs="Times New Roman"/>
        </w:rPr>
        <w:t xml:space="preserve"> to leave the State within such period as may be specified and </w:t>
      </w:r>
      <w:r w:rsidR="00A827A9">
        <w:rPr>
          <w:rFonts w:cs="Times New Roman"/>
        </w:rPr>
        <w:t xml:space="preserve">thereafter </w:t>
      </w:r>
      <w:r w:rsidR="00ED3410" w:rsidRPr="001576E4">
        <w:rPr>
          <w:rFonts w:cs="Times New Roman"/>
        </w:rPr>
        <w:t>to remain out of the State.</w:t>
      </w:r>
      <w:r w:rsidR="00B44F9C" w:rsidRPr="001576E4">
        <w:rPr>
          <w:rFonts w:cs="Times New Roman"/>
        </w:rPr>
        <w:t xml:space="preserve"> Section 3(6) thereof provides that in </w:t>
      </w:r>
      <w:r w:rsidR="00963A95" w:rsidRPr="001576E4">
        <w:rPr>
          <w:rFonts w:cs="Times New Roman"/>
        </w:rPr>
        <w:t xml:space="preserve">determining whether to make </w:t>
      </w:r>
      <w:r>
        <w:rPr>
          <w:rFonts w:cs="Times New Roman"/>
        </w:rPr>
        <w:t>such an</w:t>
      </w:r>
      <w:r w:rsidR="00963A95" w:rsidRPr="001576E4">
        <w:rPr>
          <w:rFonts w:cs="Times New Roman"/>
        </w:rPr>
        <w:t xml:space="preserve"> order, the Minister shall have regard to certain prescribed factors</w:t>
      </w:r>
      <w:r w:rsidR="003547D4" w:rsidRPr="001576E4">
        <w:rPr>
          <w:rFonts w:cs="Times New Roman"/>
        </w:rPr>
        <w:t xml:space="preserve">, one of which is </w:t>
      </w:r>
      <w:r w:rsidR="003547D4" w:rsidRPr="001576E4">
        <w:rPr>
          <w:rFonts w:cs="Times New Roman"/>
          <w:i/>
          <w:iCs/>
        </w:rPr>
        <w:t>“</w:t>
      </w:r>
      <w:r w:rsidR="00B44F9C" w:rsidRPr="001576E4">
        <w:rPr>
          <w:rFonts w:cs="Times New Roman"/>
          <w:i/>
          <w:iCs/>
        </w:rPr>
        <w:t>the family and domestic circumstances of the person</w:t>
      </w:r>
      <w:r w:rsidR="003547D4" w:rsidRPr="001576E4">
        <w:rPr>
          <w:rFonts w:cs="Times New Roman"/>
          <w:i/>
          <w:iCs/>
        </w:rPr>
        <w:t>”</w:t>
      </w:r>
      <w:r w:rsidR="0041331C" w:rsidRPr="001576E4">
        <w:rPr>
          <w:rFonts w:cs="Times New Roman"/>
        </w:rPr>
        <w:t xml:space="preserve"> (section 3(6)(c)).</w:t>
      </w:r>
    </w:p>
    <w:p w14:paraId="51B51B69" w14:textId="77777777" w:rsidR="00A07438" w:rsidRPr="001576E4" w:rsidRDefault="00A07438" w:rsidP="00775A4E">
      <w:pPr>
        <w:pStyle w:val="NoSpacing"/>
        <w:spacing w:line="480" w:lineRule="auto"/>
        <w:jc w:val="left"/>
        <w:rPr>
          <w:rFonts w:cs="Times New Roman"/>
        </w:rPr>
      </w:pPr>
    </w:p>
    <w:p w14:paraId="574BED1C" w14:textId="513DEB0F" w:rsidR="00927467" w:rsidRPr="00283F67" w:rsidRDefault="00927467" w:rsidP="00775A4E">
      <w:pPr>
        <w:pStyle w:val="NoSpacing"/>
        <w:spacing w:line="480" w:lineRule="auto"/>
        <w:jc w:val="left"/>
        <w:rPr>
          <w:rFonts w:cs="Times New Roman"/>
          <w:b/>
          <w:bCs/>
          <w:u w:val="single"/>
        </w:rPr>
      </w:pPr>
      <w:r w:rsidRPr="00283F67">
        <w:rPr>
          <w:rFonts w:cs="Times New Roman"/>
          <w:b/>
          <w:bCs/>
          <w:u w:val="single"/>
        </w:rPr>
        <w:t xml:space="preserve">Background Facts </w:t>
      </w:r>
    </w:p>
    <w:p w14:paraId="5426F744" w14:textId="43B7EA19" w:rsidR="00184822" w:rsidRDefault="00684DAE" w:rsidP="00775A4E">
      <w:pPr>
        <w:pStyle w:val="NoSpacing"/>
        <w:numPr>
          <w:ilvl w:val="0"/>
          <w:numId w:val="8"/>
        </w:numPr>
        <w:spacing w:line="480" w:lineRule="auto"/>
        <w:ind w:left="0" w:firstLine="0"/>
        <w:jc w:val="left"/>
        <w:rPr>
          <w:rFonts w:cs="Times New Roman"/>
        </w:rPr>
      </w:pPr>
      <w:r w:rsidRPr="00684DAE">
        <w:rPr>
          <w:rFonts w:cs="Times New Roman"/>
        </w:rPr>
        <w:t xml:space="preserve">The </w:t>
      </w:r>
      <w:r>
        <w:rPr>
          <w:rFonts w:cs="Times New Roman"/>
        </w:rPr>
        <w:t>F</w:t>
      </w:r>
      <w:r w:rsidRPr="00684DAE">
        <w:rPr>
          <w:rFonts w:cs="Times New Roman"/>
        </w:rPr>
        <w:t xml:space="preserve">irst </w:t>
      </w:r>
      <w:r>
        <w:rPr>
          <w:rFonts w:cs="Times New Roman"/>
        </w:rPr>
        <w:t>A</w:t>
      </w:r>
      <w:r w:rsidRPr="00684DAE">
        <w:rPr>
          <w:rFonts w:cs="Times New Roman"/>
        </w:rPr>
        <w:t xml:space="preserve">ppellant is a national of Pakistan. The </w:t>
      </w:r>
      <w:r>
        <w:rPr>
          <w:rFonts w:cs="Times New Roman"/>
        </w:rPr>
        <w:t>S</w:t>
      </w:r>
      <w:r w:rsidRPr="00684DAE">
        <w:rPr>
          <w:rFonts w:cs="Times New Roman"/>
        </w:rPr>
        <w:t xml:space="preserve">econd and </w:t>
      </w:r>
      <w:r>
        <w:rPr>
          <w:rFonts w:cs="Times New Roman"/>
        </w:rPr>
        <w:t>T</w:t>
      </w:r>
      <w:r w:rsidRPr="00684DAE">
        <w:rPr>
          <w:rFonts w:cs="Times New Roman"/>
        </w:rPr>
        <w:t>hird appellants are nationals of Latvia who are lawfully resident in the State on foot of their European Union citizenship</w:t>
      </w:r>
      <w:r>
        <w:rPr>
          <w:rFonts w:cs="Times New Roman"/>
        </w:rPr>
        <w:t>.</w:t>
      </w:r>
      <w:r w:rsidRPr="00684DAE">
        <w:rPr>
          <w:rFonts w:cs="Times New Roman"/>
        </w:rPr>
        <w:t xml:space="preserve"> The </w:t>
      </w:r>
      <w:r>
        <w:rPr>
          <w:rFonts w:cs="Times New Roman"/>
        </w:rPr>
        <w:t>F</w:t>
      </w:r>
      <w:r w:rsidRPr="00684DAE">
        <w:rPr>
          <w:rFonts w:cs="Times New Roman"/>
        </w:rPr>
        <w:t xml:space="preserve">irst and </w:t>
      </w:r>
      <w:r>
        <w:rPr>
          <w:rFonts w:cs="Times New Roman"/>
        </w:rPr>
        <w:t>S</w:t>
      </w:r>
      <w:r w:rsidRPr="00684DAE">
        <w:rPr>
          <w:rFonts w:cs="Times New Roman"/>
        </w:rPr>
        <w:t xml:space="preserve">econd </w:t>
      </w:r>
      <w:r>
        <w:rPr>
          <w:rFonts w:cs="Times New Roman"/>
        </w:rPr>
        <w:t>A</w:t>
      </w:r>
      <w:r w:rsidRPr="00684DAE">
        <w:rPr>
          <w:rFonts w:cs="Times New Roman"/>
        </w:rPr>
        <w:t xml:space="preserve">ppellants are a married couple. The </w:t>
      </w:r>
      <w:r>
        <w:rPr>
          <w:rFonts w:cs="Times New Roman"/>
        </w:rPr>
        <w:t>S</w:t>
      </w:r>
      <w:r w:rsidRPr="00684DAE">
        <w:rPr>
          <w:rFonts w:cs="Times New Roman"/>
        </w:rPr>
        <w:t xml:space="preserve">econd </w:t>
      </w:r>
      <w:r>
        <w:rPr>
          <w:rFonts w:cs="Times New Roman"/>
        </w:rPr>
        <w:t>A</w:t>
      </w:r>
      <w:r w:rsidRPr="00684DAE">
        <w:rPr>
          <w:rFonts w:cs="Times New Roman"/>
        </w:rPr>
        <w:t xml:space="preserve">ppellant is the mother of the </w:t>
      </w:r>
      <w:r>
        <w:rPr>
          <w:rFonts w:cs="Times New Roman"/>
        </w:rPr>
        <w:t>T</w:t>
      </w:r>
      <w:r w:rsidRPr="00684DAE">
        <w:rPr>
          <w:rFonts w:cs="Times New Roman"/>
        </w:rPr>
        <w:t xml:space="preserve">hird </w:t>
      </w:r>
      <w:r>
        <w:rPr>
          <w:rFonts w:cs="Times New Roman"/>
        </w:rPr>
        <w:t>A</w:t>
      </w:r>
      <w:r w:rsidRPr="00684DAE">
        <w:rPr>
          <w:rFonts w:cs="Times New Roman"/>
        </w:rPr>
        <w:t>ppellant</w:t>
      </w:r>
      <w:r>
        <w:rPr>
          <w:rFonts w:cs="Times New Roman"/>
        </w:rPr>
        <w:t>,</w:t>
      </w:r>
      <w:r w:rsidRPr="00684DAE">
        <w:rPr>
          <w:rFonts w:cs="Times New Roman"/>
        </w:rPr>
        <w:t xml:space="preserve"> who is biologically unrelated to the </w:t>
      </w:r>
      <w:r>
        <w:rPr>
          <w:rFonts w:cs="Times New Roman"/>
        </w:rPr>
        <w:t>F</w:t>
      </w:r>
      <w:r w:rsidRPr="00684DAE">
        <w:rPr>
          <w:rFonts w:cs="Times New Roman"/>
        </w:rPr>
        <w:t xml:space="preserve">irst </w:t>
      </w:r>
      <w:r>
        <w:rPr>
          <w:rFonts w:cs="Times New Roman"/>
        </w:rPr>
        <w:t>A</w:t>
      </w:r>
      <w:r w:rsidRPr="00684DAE">
        <w:rPr>
          <w:rFonts w:cs="Times New Roman"/>
        </w:rPr>
        <w:t xml:space="preserve">ppellant. </w:t>
      </w:r>
      <w:r w:rsidR="003E41C0">
        <w:rPr>
          <w:rFonts w:cs="Times New Roman"/>
        </w:rPr>
        <w:t>The F</w:t>
      </w:r>
      <w:r w:rsidR="003E41C0" w:rsidRPr="00684DAE">
        <w:rPr>
          <w:rFonts w:cs="Times New Roman"/>
        </w:rPr>
        <w:t xml:space="preserve">irst </w:t>
      </w:r>
      <w:r w:rsidR="003E41C0">
        <w:rPr>
          <w:rFonts w:cs="Times New Roman"/>
        </w:rPr>
        <w:t>A</w:t>
      </w:r>
      <w:r w:rsidR="003E41C0" w:rsidRPr="00684DAE">
        <w:rPr>
          <w:rFonts w:cs="Times New Roman"/>
        </w:rPr>
        <w:t>ppellant</w:t>
      </w:r>
      <w:r w:rsidRPr="00684DAE">
        <w:rPr>
          <w:rFonts w:cs="Times New Roman"/>
        </w:rPr>
        <w:t xml:space="preserve"> has been appointed guardian of the </w:t>
      </w:r>
      <w:r w:rsidR="00A827A9">
        <w:rPr>
          <w:rFonts w:cs="Times New Roman"/>
        </w:rPr>
        <w:t>child</w:t>
      </w:r>
      <w:r w:rsidRPr="00684DAE">
        <w:rPr>
          <w:rFonts w:cs="Times New Roman"/>
        </w:rPr>
        <w:t xml:space="preserve"> by the District Court</w:t>
      </w:r>
      <w:r w:rsidR="009D303A">
        <w:rPr>
          <w:rFonts w:cs="Times New Roman"/>
        </w:rPr>
        <w:t xml:space="preserve"> (although </w:t>
      </w:r>
      <w:r w:rsidR="00E21A4B">
        <w:rPr>
          <w:rFonts w:cs="Times New Roman"/>
        </w:rPr>
        <w:t xml:space="preserve">one should note the </w:t>
      </w:r>
      <w:r w:rsidR="00CF0B65">
        <w:rPr>
          <w:rFonts w:cs="Times New Roman"/>
        </w:rPr>
        <w:t xml:space="preserve">observations </w:t>
      </w:r>
      <w:r w:rsidR="00A827A9">
        <w:rPr>
          <w:rFonts w:cs="Times New Roman"/>
        </w:rPr>
        <w:t xml:space="preserve">of </w:t>
      </w:r>
      <w:r w:rsidR="00CF0B65">
        <w:rPr>
          <w:rFonts w:cs="Times New Roman"/>
        </w:rPr>
        <w:t>the learned trial judge on this matter</w:t>
      </w:r>
      <w:r w:rsidR="009D303A">
        <w:rPr>
          <w:rFonts w:cs="Times New Roman"/>
        </w:rPr>
        <w:t xml:space="preserve">: see </w:t>
      </w:r>
      <w:r w:rsidR="00CF0B65">
        <w:rPr>
          <w:rFonts w:cs="Times New Roman"/>
        </w:rPr>
        <w:t xml:space="preserve">para. </w:t>
      </w:r>
      <w:r w:rsidR="000C0B43">
        <w:rPr>
          <w:rFonts w:cs="Times New Roman"/>
        </w:rPr>
        <w:t>2</w:t>
      </w:r>
      <w:r w:rsidR="00A827A9">
        <w:rPr>
          <w:rFonts w:cs="Times New Roman"/>
        </w:rPr>
        <w:t>1</w:t>
      </w:r>
      <w:r w:rsidR="000C0B43">
        <w:rPr>
          <w:rFonts w:cs="Times New Roman"/>
        </w:rPr>
        <w:t xml:space="preserve"> below</w:t>
      </w:r>
      <w:r w:rsidR="00CF0B65">
        <w:rPr>
          <w:rFonts w:cs="Times New Roman"/>
        </w:rPr>
        <w:t>)</w:t>
      </w:r>
      <w:r w:rsidRPr="00684DAE">
        <w:rPr>
          <w:rFonts w:cs="Times New Roman"/>
        </w:rPr>
        <w:t>.</w:t>
      </w:r>
    </w:p>
    <w:p w14:paraId="0130D1AB" w14:textId="77777777" w:rsidR="00184822" w:rsidRDefault="00184822" w:rsidP="00775A4E">
      <w:pPr>
        <w:pStyle w:val="NoSpacing"/>
        <w:spacing w:line="480" w:lineRule="auto"/>
        <w:jc w:val="left"/>
        <w:rPr>
          <w:rFonts w:cs="Times New Roman"/>
        </w:rPr>
      </w:pPr>
    </w:p>
    <w:p w14:paraId="26A4E1FE" w14:textId="5A6683CA" w:rsidR="00B20E02" w:rsidRDefault="00184822" w:rsidP="00775A4E">
      <w:pPr>
        <w:pStyle w:val="NoSpacing"/>
        <w:numPr>
          <w:ilvl w:val="0"/>
          <w:numId w:val="8"/>
        </w:numPr>
        <w:spacing w:line="480" w:lineRule="auto"/>
        <w:ind w:left="0" w:firstLine="0"/>
        <w:jc w:val="left"/>
        <w:rPr>
          <w:rFonts w:cs="Times New Roman"/>
        </w:rPr>
      </w:pPr>
      <w:r>
        <w:rPr>
          <w:rFonts w:cs="Times New Roman"/>
        </w:rPr>
        <w:lastRenderedPageBreak/>
        <w:t xml:space="preserve">The First </w:t>
      </w:r>
      <w:r w:rsidR="00F35D2E">
        <w:rPr>
          <w:rFonts w:cs="Times New Roman"/>
        </w:rPr>
        <w:t xml:space="preserve">Appellant </w:t>
      </w:r>
      <w:r w:rsidR="0092409F">
        <w:rPr>
          <w:rFonts w:cs="Times New Roman"/>
        </w:rPr>
        <w:t xml:space="preserve">(“Mr. M.S.”) </w:t>
      </w:r>
      <w:r w:rsidR="00F35D2E">
        <w:rPr>
          <w:rFonts w:cs="Times New Roman"/>
        </w:rPr>
        <w:t>came to Ireland on the 12</w:t>
      </w:r>
      <w:r w:rsidR="00F35D2E" w:rsidRPr="00F35D2E">
        <w:rPr>
          <w:rFonts w:cs="Times New Roman"/>
          <w:vertAlign w:val="superscript"/>
        </w:rPr>
        <w:t>th</w:t>
      </w:r>
      <w:r w:rsidR="00F35D2E">
        <w:rPr>
          <w:rFonts w:cs="Times New Roman"/>
        </w:rPr>
        <w:t xml:space="preserve"> June, 2009. Originally on a valid visa, he later overstayed the permission </w:t>
      </w:r>
      <w:proofErr w:type="spellStart"/>
      <w:r w:rsidR="00A827A9">
        <w:rPr>
          <w:rFonts w:cs="Times New Roman"/>
        </w:rPr>
        <w:t>as</w:t>
      </w:r>
      <w:proofErr w:type="spellEnd"/>
      <w:r w:rsidR="00A827A9">
        <w:rPr>
          <w:rFonts w:cs="Times New Roman"/>
        </w:rPr>
        <w:t xml:space="preserve"> </w:t>
      </w:r>
      <w:r w:rsidR="00F35D2E">
        <w:rPr>
          <w:rFonts w:cs="Times New Roman"/>
        </w:rPr>
        <w:t xml:space="preserve">granted. </w:t>
      </w:r>
      <w:r w:rsidR="00F363AF">
        <w:rPr>
          <w:rFonts w:cs="Times New Roman"/>
        </w:rPr>
        <w:t xml:space="preserve">He applied for asylum </w:t>
      </w:r>
      <w:r w:rsidR="003D5C6C">
        <w:rPr>
          <w:rFonts w:cs="Times New Roman"/>
        </w:rPr>
        <w:t>on the 9</w:t>
      </w:r>
      <w:r w:rsidR="003D5C6C" w:rsidRPr="003D5C6C">
        <w:rPr>
          <w:rFonts w:cs="Times New Roman"/>
          <w:vertAlign w:val="superscript"/>
        </w:rPr>
        <w:t>th</w:t>
      </w:r>
      <w:r w:rsidR="003D5C6C">
        <w:rPr>
          <w:rFonts w:cs="Times New Roman"/>
        </w:rPr>
        <w:t xml:space="preserve"> </w:t>
      </w:r>
      <w:r w:rsidR="00F363AF">
        <w:rPr>
          <w:rFonts w:cs="Times New Roman"/>
        </w:rPr>
        <w:t>February, 2010</w:t>
      </w:r>
      <w:r w:rsidR="00D917B5">
        <w:rPr>
          <w:rFonts w:cs="Times New Roman"/>
        </w:rPr>
        <w:t xml:space="preserve">. </w:t>
      </w:r>
      <w:r w:rsidR="00C7422F">
        <w:rPr>
          <w:rFonts w:cs="Times New Roman"/>
        </w:rPr>
        <w:t xml:space="preserve">During </w:t>
      </w:r>
      <w:r w:rsidR="0035229F">
        <w:rPr>
          <w:rFonts w:cs="Times New Roman"/>
        </w:rPr>
        <w:t xml:space="preserve">his asylum interview </w:t>
      </w:r>
      <w:r w:rsidR="00A827A9">
        <w:rPr>
          <w:rFonts w:cs="Times New Roman"/>
        </w:rPr>
        <w:t>which followed</w:t>
      </w:r>
      <w:r w:rsidR="0035229F">
        <w:rPr>
          <w:rFonts w:cs="Times New Roman"/>
        </w:rPr>
        <w:t xml:space="preserve">, he said that his wife </w:t>
      </w:r>
      <w:r w:rsidR="00905F3A">
        <w:rPr>
          <w:rFonts w:cs="Times New Roman"/>
        </w:rPr>
        <w:t xml:space="preserve">(in Pakistan) </w:t>
      </w:r>
      <w:r w:rsidR="0035229F">
        <w:rPr>
          <w:rFonts w:cs="Times New Roman"/>
        </w:rPr>
        <w:t>had died on the 1</w:t>
      </w:r>
      <w:r w:rsidR="0035229F" w:rsidRPr="0035229F">
        <w:rPr>
          <w:rFonts w:cs="Times New Roman"/>
          <w:vertAlign w:val="superscript"/>
        </w:rPr>
        <w:t>st</w:t>
      </w:r>
      <w:r w:rsidR="0035229F">
        <w:rPr>
          <w:rFonts w:cs="Times New Roman"/>
        </w:rPr>
        <w:t xml:space="preserve"> March, 2009; this appears to be inconsistent with the information </w:t>
      </w:r>
      <w:r w:rsidR="00905F3A">
        <w:rPr>
          <w:rFonts w:cs="Times New Roman"/>
        </w:rPr>
        <w:t xml:space="preserve">he </w:t>
      </w:r>
      <w:r w:rsidR="0035229F">
        <w:rPr>
          <w:rFonts w:cs="Times New Roman"/>
        </w:rPr>
        <w:t xml:space="preserve">provided in his application for an Irish visa </w:t>
      </w:r>
      <w:r w:rsidR="00E82789">
        <w:rPr>
          <w:rFonts w:cs="Times New Roman"/>
        </w:rPr>
        <w:t>on the 18</w:t>
      </w:r>
      <w:r w:rsidR="00E82789" w:rsidRPr="00E82789">
        <w:rPr>
          <w:rFonts w:cs="Times New Roman"/>
          <w:vertAlign w:val="superscript"/>
        </w:rPr>
        <w:t>th</w:t>
      </w:r>
      <w:r w:rsidR="00E82789">
        <w:rPr>
          <w:rFonts w:cs="Times New Roman"/>
        </w:rPr>
        <w:t xml:space="preserve"> March, 2009, wherein he said he was married. </w:t>
      </w:r>
    </w:p>
    <w:p w14:paraId="1243B054" w14:textId="77777777" w:rsidR="00B837BC" w:rsidRDefault="00B837BC" w:rsidP="00775A4E">
      <w:pPr>
        <w:pStyle w:val="NoSpacing"/>
        <w:spacing w:line="480" w:lineRule="auto"/>
        <w:jc w:val="left"/>
        <w:rPr>
          <w:rFonts w:cs="Times New Roman"/>
        </w:rPr>
      </w:pPr>
    </w:p>
    <w:p w14:paraId="3627FF3B" w14:textId="16A593E9" w:rsidR="009102D3" w:rsidRPr="009102D3" w:rsidRDefault="00B20E02" w:rsidP="00775A4E">
      <w:pPr>
        <w:pStyle w:val="NoSpacing"/>
        <w:numPr>
          <w:ilvl w:val="0"/>
          <w:numId w:val="8"/>
        </w:numPr>
        <w:spacing w:line="480" w:lineRule="auto"/>
        <w:ind w:left="0" w:firstLine="0"/>
        <w:jc w:val="left"/>
        <w:rPr>
          <w:rFonts w:cs="Times New Roman"/>
        </w:rPr>
      </w:pPr>
      <w:r>
        <w:rPr>
          <w:rFonts w:cs="Times New Roman"/>
        </w:rPr>
        <w:t>The First and Second Appellants</w:t>
      </w:r>
      <w:r w:rsidR="00A827A9">
        <w:rPr>
          <w:rFonts w:cs="Times New Roman"/>
        </w:rPr>
        <w:t>, having given the required notice under s</w:t>
      </w:r>
      <w:r w:rsidR="00A713FF">
        <w:rPr>
          <w:rFonts w:cs="Times New Roman"/>
        </w:rPr>
        <w:t>ection</w:t>
      </w:r>
      <w:r w:rsidR="00A827A9">
        <w:rPr>
          <w:rFonts w:cs="Times New Roman"/>
        </w:rPr>
        <w:t xml:space="preserve"> 46(1) of the 2004 Act,</w:t>
      </w:r>
      <w:r>
        <w:rPr>
          <w:rFonts w:cs="Times New Roman"/>
        </w:rPr>
        <w:t xml:space="preserve"> married on the 12</w:t>
      </w:r>
      <w:r w:rsidRPr="00B20E02">
        <w:rPr>
          <w:rFonts w:cs="Times New Roman"/>
          <w:vertAlign w:val="superscript"/>
        </w:rPr>
        <w:t>th</w:t>
      </w:r>
      <w:r>
        <w:rPr>
          <w:rFonts w:cs="Times New Roman"/>
        </w:rPr>
        <w:t xml:space="preserve"> February, 2010</w:t>
      </w:r>
      <w:r w:rsidR="005918A4">
        <w:rPr>
          <w:rFonts w:cs="Times New Roman"/>
        </w:rPr>
        <w:t xml:space="preserve">, three days after </w:t>
      </w:r>
      <w:r w:rsidR="00A827A9">
        <w:rPr>
          <w:rFonts w:cs="Times New Roman"/>
        </w:rPr>
        <w:t>Mr. M.S. ma</w:t>
      </w:r>
      <w:r w:rsidR="00A713FF">
        <w:rPr>
          <w:rFonts w:cs="Times New Roman"/>
        </w:rPr>
        <w:t>de</w:t>
      </w:r>
      <w:r w:rsidR="00A827A9">
        <w:rPr>
          <w:rFonts w:cs="Times New Roman"/>
        </w:rPr>
        <w:t xml:space="preserve"> </w:t>
      </w:r>
      <w:r w:rsidR="00503202">
        <w:rPr>
          <w:rFonts w:cs="Times New Roman"/>
        </w:rPr>
        <w:t xml:space="preserve">his </w:t>
      </w:r>
      <w:r w:rsidR="005918A4">
        <w:rPr>
          <w:rFonts w:cs="Times New Roman"/>
        </w:rPr>
        <w:t>application for asylum</w:t>
      </w:r>
      <w:r>
        <w:rPr>
          <w:rFonts w:cs="Times New Roman"/>
        </w:rPr>
        <w:t xml:space="preserve">. </w:t>
      </w:r>
      <w:r w:rsidR="00914E7B">
        <w:rPr>
          <w:rFonts w:cs="Times New Roman"/>
        </w:rPr>
        <w:t>He</w:t>
      </w:r>
      <w:r w:rsidR="00A25C7B">
        <w:rPr>
          <w:rFonts w:cs="Times New Roman"/>
        </w:rPr>
        <w:t xml:space="preserve"> </w:t>
      </w:r>
      <w:r w:rsidR="005918A4">
        <w:rPr>
          <w:rFonts w:cs="Times New Roman"/>
        </w:rPr>
        <w:t xml:space="preserve">then </w:t>
      </w:r>
      <w:r w:rsidR="00A25C7B">
        <w:rPr>
          <w:rFonts w:cs="Times New Roman"/>
        </w:rPr>
        <w:t xml:space="preserve">applied for </w:t>
      </w:r>
      <w:r w:rsidR="00A25C7B" w:rsidRPr="00A25C7B">
        <w:rPr>
          <w:rFonts w:cs="Times New Roman"/>
        </w:rPr>
        <w:t>a residence card under the European Communities (Free Movement of Persons) (No. 2) Regulations 2006</w:t>
      </w:r>
      <w:r w:rsidR="003A749E">
        <w:rPr>
          <w:rFonts w:cs="Times New Roman"/>
        </w:rPr>
        <w:t xml:space="preserve"> </w:t>
      </w:r>
      <w:r w:rsidR="003D7D9C">
        <w:rPr>
          <w:rFonts w:cs="Times New Roman"/>
        </w:rPr>
        <w:t>(</w:t>
      </w:r>
      <w:r w:rsidR="003A749E">
        <w:rPr>
          <w:rFonts w:cs="Times New Roman"/>
        </w:rPr>
        <w:t>S.I.</w:t>
      </w:r>
      <w:r w:rsidR="003D7D9C">
        <w:rPr>
          <w:rFonts w:cs="Times New Roman"/>
        </w:rPr>
        <w:t xml:space="preserve"> No.</w:t>
      </w:r>
      <w:r w:rsidR="003A749E">
        <w:rPr>
          <w:rFonts w:cs="Times New Roman"/>
        </w:rPr>
        <w:t xml:space="preserve"> 656/2006</w:t>
      </w:r>
      <w:r w:rsidR="003D7D9C">
        <w:rPr>
          <w:rFonts w:cs="Times New Roman"/>
        </w:rPr>
        <w:t>)</w:t>
      </w:r>
      <w:r w:rsidR="00A25C7B" w:rsidRPr="00A25C7B">
        <w:rPr>
          <w:rFonts w:cs="Times New Roman"/>
        </w:rPr>
        <w:t>, based on his marriage to a Union citizen</w:t>
      </w:r>
      <w:r w:rsidR="00A25C7B">
        <w:rPr>
          <w:rFonts w:cs="Times New Roman"/>
        </w:rPr>
        <w:t>.</w:t>
      </w:r>
      <w:r w:rsidR="00A25C7B" w:rsidRPr="00A25C7B">
        <w:rPr>
          <w:rFonts w:cs="Times New Roman"/>
        </w:rPr>
        <w:t xml:space="preserve"> </w:t>
      </w:r>
      <w:r w:rsidR="00E55C06">
        <w:rPr>
          <w:rFonts w:cs="Times New Roman"/>
        </w:rPr>
        <w:t>Later that year, on the 22</w:t>
      </w:r>
      <w:r w:rsidR="00E55C06" w:rsidRPr="00E55C06">
        <w:rPr>
          <w:rFonts w:cs="Times New Roman"/>
          <w:vertAlign w:val="superscript"/>
        </w:rPr>
        <w:t>nd</w:t>
      </w:r>
      <w:r w:rsidR="00E55C06">
        <w:rPr>
          <w:rFonts w:cs="Times New Roman"/>
        </w:rPr>
        <w:t xml:space="preserve"> October, 2010, </w:t>
      </w:r>
      <w:r w:rsidR="00914E7B">
        <w:rPr>
          <w:rFonts w:cs="Times New Roman"/>
        </w:rPr>
        <w:t>he</w:t>
      </w:r>
      <w:r w:rsidR="00E55C06">
        <w:rPr>
          <w:rFonts w:cs="Times New Roman"/>
        </w:rPr>
        <w:t xml:space="preserve"> was granted a five-year permission to reside in Ireland on the basis of his being a spouse of an EU national. </w:t>
      </w:r>
      <w:r w:rsidR="00914E7B">
        <w:rPr>
          <w:rFonts w:cs="Times New Roman"/>
        </w:rPr>
        <w:t xml:space="preserve">In that notification </w:t>
      </w:r>
      <w:r w:rsidR="00A827A9">
        <w:rPr>
          <w:rFonts w:cs="Times New Roman"/>
        </w:rPr>
        <w:t xml:space="preserve">letter </w:t>
      </w:r>
      <w:r w:rsidR="00914E7B">
        <w:rPr>
          <w:rFonts w:cs="Times New Roman"/>
        </w:rPr>
        <w:t xml:space="preserve">he </w:t>
      </w:r>
      <w:r w:rsidR="009102D3">
        <w:rPr>
          <w:rFonts w:cs="Times New Roman"/>
        </w:rPr>
        <w:t>was i</w:t>
      </w:r>
      <w:r w:rsidR="009102D3" w:rsidRPr="009102D3">
        <w:rPr>
          <w:rFonts w:cs="Times New Roman"/>
        </w:rPr>
        <w:t xml:space="preserve">nformed that the onus was on him to keep the </w:t>
      </w:r>
      <w:r w:rsidR="00C90C46">
        <w:rPr>
          <w:rFonts w:cs="Times New Roman"/>
        </w:rPr>
        <w:t>R</w:t>
      </w:r>
      <w:r w:rsidR="00914E7B">
        <w:rPr>
          <w:rFonts w:cs="Times New Roman"/>
        </w:rPr>
        <w:t xml:space="preserve">espondent </w:t>
      </w:r>
      <w:r w:rsidR="009102D3" w:rsidRPr="009102D3">
        <w:rPr>
          <w:rFonts w:cs="Times New Roman"/>
        </w:rPr>
        <w:t xml:space="preserve">up-to-date at all times of any change in his circumstances. </w:t>
      </w:r>
      <w:r w:rsidR="003D579C" w:rsidRPr="003D579C">
        <w:rPr>
          <w:rFonts w:cs="Times New Roman"/>
        </w:rPr>
        <w:t>He was also advised that where it was established that a person had acquired any rights or entitlements by fraudulent means, including by virtue of a marriage of convenience, he would immediately cease to enjoy such rights or entitlements</w:t>
      </w:r>
      <w:r w:rsidR="009102D3" w:rsidRPr="009102D3">
        <w:rPr>
          <w:rFonts w:cs="Times New Roman"/>
        </w:rPr>
        <w:t>.</w:t>
      </w:r>
    </w:p>
    <w:p w14:paraId="549293D7" w14:textId="77777777" w:rsidR="00B837BC" w:rsidRDefault="00B837BC" w:rsidP="00775A4E">
      <w:pPr>
        <w:pStyle w:val="NoSpacing"/>
        <w:spacing w:line="480" w:lineRule="auto"/>
        <w:jc w:val="left"/>
        <w:rPr>
          <w:rFonts w:cs="Times New Roman"/>
        </w:rPr>
      </w:pPr>
    </w:p>
    <w:p w14:paraId="1AB63E53" w14:textId="49D03BCA" w:rsidR="00D917B5" w:rsidRDefault="00D917B5" w:rsidP="00775A4E">
      <w:pPr>
        <w:pStyle w:val="NoSpacing"/>
        <w:numPr>
          <w:ilvl w:val="0"/>
          <w:numId w:val="8"/>
        </w:numPr>
        <w:spacing w:line="480" w:lineRule="auto"/>
        <w:ind w:left="0" w:firstLine="0"/>
        <w:jc w:val="left"/>
        <w:rPr>
          <w:rFonts w:cs="Times New Roman"/>
        </w:rPr>
      </w:pPr>
      <w:r>
        <w:rPr>
          <w:rFonts w:cs="Times New Roman"/>
        </w:rPr>
        <w:t>On the 14</w:t>
      </w:r>
      <w:r w:rsidRPr="00D917B5">
        <w:rPr>
          <w:rFonts w:cs="Times New Roman"/>
          <w:vertAlign w:val="superscript"/>
        </w:rPr>
        <w:t>th</w:t>
      </w:r>
      <w:r>
        <w:rPr>
          <w:rFonts w:cs="Times New Roman"/>
        </w:rPr>
        <w:t xml:space="preserve"> February, 2011, the Minister refused a declaration of refugee status; the asylum application was deemed to be withdrawn on the basis of the First Appellant’s failure to complete the asylum questionnaire or to attend for interview with the immigration services. </w:t>
      </w:r>
    </w:p>
    <w:p w14:paraId="780E526D" w14:textId="77777777" w:rsidR="00B837BC" w:rsidRDefault="00B837BC" w:rsidP="00775A4E">
      <w:pPr>
        <w:pStyle w:val="NoSpacing"/>
        <w:spacing w:line="480" w:lineRule="auto"/>
        <w:jc w:val="left"/>
        <w:rPr>
          <w:rFonts w:cs="Times New Roman"/>
        </w:rPr>
      </w:pPr>
    </w:p>
    <w:p w14:paraId="79E6CBD6" w14:textId="71DE4B14" w:rsidR="00B20E02" w:rsidRDefault="009102D3" w:rsidP="00775A4E">
      <w:pPr>
        <w:pStyle w:val="NoSpacing"/>
        <w:numPr>
          <w:ilvl w:val="0"/>
          <w:numId w:val="8"/>
        </w:numPr>
        <w:spacing w:line="480" w:lineRule="auto"/>
        <w:ind w:left="0" w:firstLine="0"/>
        <w:jc w:val="left"/>
        <w:rPr>
          <w:rFonts w:cs="Times New Roman"/>
        </w:rPr>
      </w:pPr>
      <w:r>
        <w:rPr>
          <w:rFonts w:cs="Times New Roman"/>
        </w:rPr>
        <w:t>The</w:t>
      </w:r>
      <w:r w:rsidR="002238FE">
        <w:rPr>
          <w:rFonts w:cs="Times New Roman"/>
        </w:rPr>
        <w:t xml:space="preserve"> First and Second Appellants separated in March, 2011, and began to reside separately. </w:t>
      </w:r>
      <w:r w:rsidR="00CE48B7">
        <w:rPr>
          <w:rFonts w:cs="Times New Roman"/>
        </w:rPr>
        <w:t>This was not conveyed to the Department of Justice.</w:t>
      </w:r>
      <w:r w:rsidR="00AE6296">
        <w:rPr>
          <w:rFonts w:cs="Times New Roman"/>
        </w:rPr>
        <w:t xml:space="preserve"> </w:t>
      </w:r>
      <w:r w:rsidR="007D7E34" w:rsidRPr="007D7E34">
        <w:rPr>
          <w:rFonts w:cs="Times New Roman"/>
        </w:rPr>
        <w:t xml:space="preserve">During this time the </w:t>
      </w:r>
      <w:r w:rsidR="007D7E34">
        <w:rPr>
          <w:rFonts w:cs="Times New Roman"/>
        </w:rPr>
        <w:t>S</w:t>
      </w:r>
      <w:r w:rsidR="007D7E34" w:rsidRPr="007D7E34">
        <w:rPr>
          <w:rFonts w:cs="Times New Roman"/>
        </w:rPr>
        <w:t xml:space="preserve">econd </w:t>
      </w:r>
      <w:r w:rsidR="007D7E34">
        <w:rPr>
          <w:rFonts w:cs="Times New Roman"/>
        </w:rPr>
        <w:lastRenderedPageBreak/>
        <w:t>A</w:t>
      </w:r>
      <w:r w:rsidR="007D7E34" w:rsidRPr="007D7E34">
        <w:rPr>
          <w:rFonts w:cs="Times New Roman"/>
        </w:rPr>
        <w:t>ppellant commenced another relationship and during the currency of this relationship conceived</w:t>
      </w:r>
      <w:r w:rsidR="007D7E34">
        <w:rPr>
          <w:rFonts w:cs="Times New Roman"/>
        </w:rPr>
        <w:t>; the Third Appellant was born on the 18</w:t>
      </w:r>
      <w:r w:rsidR="007D7E34" w:rsidRPr="007D7E34">
        <w:rPr>
          <w:rFonts w:cs="Times New Roman"/>
          <w:vertAlign w:val="superscript"/>
        </w:rPr>
        <w:t>th</w:t>
      </w:r>
      <w:r w:rsidR="007D7E34">
        <w:rPr>
          <w:rFonts w:cs="Times New Roman"/>
        </w:rPr>
        <w:t xml:space="preserve"> May</w:t>
      </w:r>
      <w:r w:rsidR="00FB2C83">
        <w:rPr>
          <w:rFonts w:cs="Times New Roman"/>
        </w:rPr>
        <w:t>, 2012. The Second Appellant’s relationship</w:t>
      </w:r>
      <w:r w:rsidR="004A043E">
        <w:rPr>
          <w:rFonts w:cs="Times New Roman"/>
        </w:rPr>
        <w:t xml:space="preserve"> with the father of the Third Appellant broke down in late 2011; the child’s father has since </w:t>
      </w:r>
      <w:r w:rsidR="00914E7B">
        <w:rPr>
          <w:rFonts w:cs="Times New Roman"/>
        </w:rPr>
        <w:t>died</w:t>
      </w:r>
      <w:r w:rsidR="004A043E">
        <w:rPr>
          <w:rFonts w:cs="Times New Roman"/>
        </w:rPr>
        <w:t xml:space="preserve">. </w:t>
      </w:r>
    </w:p>
    <w:p w14:paraId="4FF272FB" w14:textId="77777777" w:rsidR="00B837BC" w:rsidRDefault="00B837BC" w:rsidP="00775A4E">
      <w:pPr>
        <w:pStyle w:val="NoSpacing"/>
        <w:spacing w:line="480" w:lineRule="auto"/>
        <w:jc w:val="left"/>
        <w:rPr>
          <w:rFonts w:cs="Times New Roman"/>
        </w:rPr>
      </w:pPr>
    </w:p>
    <w:p w14:paraId="7C4893FF" w14:textId="04CFE9BF" w:rsidR="00421E61" w:rsidRDefault="00421E61" w:rsidP="00775A4E">
      <w:pPr>
        <w:pStyle w:val="NoSpacing"/>
        <w:numPr>
          <w:ilvl w:val="0"/>
          <w:numId w:val="8"/>
        </w:numPr>
        <w:spacing w:line="480" w:lineRule="auto"/>
        <w:ind w:left="0" w:firstLine="0"/>
        <w:jc w:val="left"/>
        <w:rPr>
          <w:rFonts w:cs="Times New Roman"/>
        </w:rPr>
      </w:pPr>
      <w:r>
        <w:rPr>
          <w:rFonts w:cs="Times New Roman"/>
        </w:rPr>
        <w:t>It seems that the First and Second Appellants reconciled in April, 2015. In October of that year they began to live together again</w:t>
      </w:r>
      <w:r w:rsidR="00810947">
        <w:rPr>
          <w:rFonts w:cs="Times New Roman"/>
        </w:rPr>
        <w:t xml:space="preserve">, along with the Third Appellant. </w:t>
      </w:r>
      <w:r w:rsidR="00FC6E40">
        <w:rPr>
          <w:rFonts w:cs="Times New Roman"/>
        </w:rPr>
        <w:t xml:space="preserve">On the </w:t>
      </w:r>
      <w:r w:rsidR="00FC6E40" w:rsidRPr="00FC6E40">
        <w:rPr>
          <w:rFonts w:cs="Times New Roman"/>
        </w:rPr>
        <w:t>21</w:t>
      </w:r>
      <w:r w:rsidR="00FC6E40" w:rsidRPr="00FC6E40">
        <w:rPr>
          <w:rFonts w:cs="Times New Roman"/>
          <w:vertAlign w:val="superscript"/>
        </w:rPr>
        <w:t>st</w:t>
      </w:r>
      <w:r w:rsidR="00FC6E40" w:rsidRPr="00FC6E40">
        <w:rPr>
          <w:rFonts w:cs="Times New Roman"/>
        </w:rPr>
        <w:t xml:space="preserve"> October</w:t>
      </w:r>
      <w:r w:rsidR="00FC6E40">
        <w:rPr>
          <w:rFonts w:cs="Times New Roman"/>
        </w:rPr>
        <w:t>,</w:t>
      </w:r>
      <w:r w:rsidR="00FC6E40" w:rsidRPr="00FC6E40">
        <w:rPr>
          <w:rFonts w:cs="Times New Roman"/>
        </w:rPr>
        <w:t xml:space="preserve"> 2015</w:t>
      </w:r>
      <w:r w:rsidR="00FC6E40">
        <w:rPr>
          <w:rFonts w:cs="Times New Roman"/>
        </w:rPr>
        <w:t xml:space="preserve">, </w:t>
      </w:r>
      <w:r w:rsidR="00A827A9">
        <w:rPr>
          <w:rFonts w:cs="Times New Roman"/>
        </w:rPr>
        <w:t xml:space="preserve">a day before the expiry of the residence card previously issued, </w:t>
      </w:r>
      <w:r w:rsidR="00914E7B">
        <w:rPr>
          <w:rFonts w:cs="Times New Roman"/>
        </w:rPr>
        <w:t>Mr. M.S.</w:t>
      </w:r>
      <w:r w:rsidR="00FC6E40" w:rsidRPr="00FC6E40">
        <w:rPr>
          <w:rFonts w:cs="Times New Roman"/>
        </w:rPr>
        <w:t xml:space="preserve"> applied </w:t>
      </w:r>
      <w:r w:rsidR="00A827A9">
        <w:rPr>
          <w:rFonts w:cs="Times New Roman"/>
        </w:rPr>
        <w:t xml:space="preserve">once </w:t>
      </w:r>
      <w:r w:rsidR="00FC6E40" w:rsidRPr="00FC6E40">
        <w:rPr>
          <w:rFonts w:cs="Times New Roman"/>
        </w:rPr>
        <w:t xml:space="preserve">again for residency in the State on the basis of his being married to the </w:t>
      </w:r>
      <w:r w:rsidR="00FC6E40">
        <w:rPr>
          <w:rFonts w:cs="Times New Roman"/>
        </w:rPr>
        <w:t>S</w:t>
      </w:r>
      <w:r w:rsidR="00FC6E40" w:rsidRPr="00FC6E40">
        <w:rPr>
          <w:rFonts w:cs="Times New Roman"/>
        </w:rPr>
        <w:t xml:space="preserve">econd </w:t>
      </w:r>
      <w:r w:rsidR="00FC6E40">
        <w:rPr>
          <w:rFonts w:cs="Times New Roman"/>
        </w:rPr>
        <w:t>A</w:t>
      </w:r>
      <w:r w:rsidR="00FC6E40" w:rsidRPr="00FC6E40">
        <w:rPr>
          <w:rFonts w:cs="Times New Roman"/>
        </w:rPr>
        <w:t>ppellant</w:t>
      </w:r>
      <w:r w:rsidR="00406A33">
        <w:rPr>
          <w:rFonts w:cs="Times New Roman"/>
        </w:rPr>
        <w:t>, this time</w:t>
      </w:r>
      <w:r w:rsidR="00406A33" w:rsidRPr="00406A33">
        <w:rPr>
          <w:rFonts w:cs="Times New Roman"/>
        </w:rPr>
        <w:t xml:space="preserve"> under the </w:t>
      </w:r>
      <w:r w:rsidR="00914E7B">
        <w:rPr>
          <w:rFonts w:cs="Times New Roman"/>
        </w:rPr>
        <w:t>2015 Regulations</w:t>
      </w:r>
      <w:r w:rsidR="00FC6E40">
        <w:rPr>
          <w:rFonts w:cs="Times New Roman"/>
        </w:rPr>
        <w:t>.</w:t>
      </w:r>
      <w:r w:rsidR="00C812F0">
        <w:rPr>
          <w:rFonts w:cs="Times New Roman"/>
        </w:rPr>
        <w:t xml:space="preserve"> </w:t>
      </w:r>
      <w:r w:rsidR="00914E7B">
        <w:rPr>
          <w:rFonts w:cs="Times New Roman"/>
        </w:rPr>
        <w:t>Whilst his application was being considered, h</w:t>
      </w:r>
      <w:r w:rsidR="00C812F0">
        <w:rPr>
          <w:rFonts w:cs="Times New Roman"/>
        </w:rPr>
        <w:t>e obtained temporary permission to reside here until the 20</w:t>
      </w:r>
      <w:r w:rsidR="00C812F0" w:rsidRPr="00C812F0">
        <w:rPr>
          <w:rFonts w:cs="Times New Roman"/>
          <w:vertAlign w:val="superscript"/>
        </w:rPr>
        <w:t>th</w:t>
      </w:r>
      <w:r w:rsidR="00C812F0">
        <w:rPr>
          <w:rFonts w:cs="Times New Roman"/>
        </w:rPr>
        <w:t xml:space="preserve"> May, 2016. </w:t>
      </w:r>
      <w:r w:rsidR="00914E7B">
        <w:rPr>
          <w:rFonts w:cs="Times New Roman"/>
        </w:rPr>
        <w:t xml:space="preserve">Apparently, </w:t>
      </w:r>
      <w:r w:rsidR="00BF0E1F">
        <w:rPr>
          <w:rFonts w:cs="Times New Roman"/>
        </w:rPr>
        <w:t>he did not inform the Department that he and his wife had been living apart for a s</w:t>
      </w:r>
      <w:r w:rsidR="008154E5">
        <w:rPr>
          <w:rFonts w:cs="Times New Roman"/>
        </w:rPr>
        <w:t>ubstantial period</w:t>
      </w:r>
      <w:r w:rsidR="00A827A9">
        <w:rPr>
          <w:rFonts w:cs="Times New Roman"/>
        </w:rPr>
        <w:t xml:space="preserve"> during the previous number of years</w:t>
      </w:r>
      <w:r w:rsidR="008154E5">
        <w:rPr>
          <w:rFonts w:cs="Times New Roman"/>
        </w:rPr>
        <w:t xml:space="preserve">. </w:t>
      </w:r>
    </w:p>
    <w:p w14:paraId="4EA8F149" w14:textId="77777777" w:rsidR="00B837BC" w:rsidRDefault="00B837BC" w:rsidP="00775A4E">
      <w:pPr>
        <w:pStyle w:val="NoSpacing"/>
        <w:spacing w:line="480" w:lineRule="auto"/>
        <w:jc w:val="left"/>
        <w:rPr>
          <w:rFonts w:cs="Times New Roman"/>
        </w:rPr>
      </w:pPr>
    </w:p>
    <w:p w14:paraId="2056CF8C" w14:textId="08BB7BE4" w:rsidR="00CD6B2C" w:rsidRPr="00CD6B2C" w:rsidRDefault="00E06BF3" w:rsidP="00775A4E">
      <w:pPr>
        <w:pStyle w:val="NoSpacing"/>
        <w:numPr>
          <w:ilvl w:val="0"/>
          <w:numId w:val="8"/>
        </w:numPr>
        <w:spacing w:line="480" w:lineRule="auto"/>
        <w:ind w:left="0" w:firstLine="0"/>
        <w:jc w:val="left"/>
        <w:rPr>
          <w:rFonts w:cs="Times New Roman"/>
          <w:i/>
          <w:iCs/>
        </w:rPr>
      </w:pPr>
      <w:r>
        <w:rPr>
          <w:rFonts w:cs="Times New Roman"/>
        </w:rPr>
        <w:t>On the 4</w:t>
      </w:r>
      <w:r w:rsidRPr="00E06BF3">
        <w:rPr>
          <w:rFonts w:cs="Times New Roman"/>
          <w:vertAlign w:val="superscript"/>
        </w:rPr>
        <w:t>th</w:t>
      </w:r>
      <w:r>
        <w:rPr>
          <w:rFonts w:cs="Times New Roman"/>
        </w:rPr>
        <w:t xml:space="preserve"> M</w:t>
      </w:r>
      <w:r w:rsidR="00904066">
        <w:rPr>
          <w:rFonts w:cs="Times New Roman"/>
        </w:rPr>
        <w:t xml:space="preserve">ay, 2016, the First Appellant was informed that the Minister was </w:t>
      </w:r>
      <w:r w:rsidR="0086051F">
        <w:rPr>
          <w:rFonts w:cs="Times New Roman"/>
        </w:rPr>
        <w:t xml:space="preserve">considering refusing his application </w:t>
      </w:r>
      <w:r w:rsidR="00892D30">
        <w:rPr>
          <w:rFonts w:cs="Times New Roman"/>
        </w:rPr>
        <w:t xml:space="preserve">on the basis </w:t>
      </w:r>
      <w:r w:rsidR="00904066">
        <w:rPr>
          <w:rFonts w:cs="Times New Roman"/>
        </w:rPr>
        <w:t>that his marriage was a marriage of convenience</w:t>
      </w:r>
      <w:r w:rsidR="00914E7B">
        <w:rPr>
          <w:rFonts w:cs="Times New Roman"/>
        </w:rPr>
        <w:t>, and had been entered into</w:t>
      </w:r>
      <w:r w:rsidR="00892D30">
        <w:rPr>
          <w:rFonts w:cs="Times New Roman"/>
        </w:rPr>
        <w:t xml:space="preserve"> </w:t>
      </w:r>
      <w:r w:rsidR="00892D30" w:rsidRPr="00892D30">
        <w:rPr>
          <w:rFonts w:cs="Times New Roman"/>
        </w:rPr>
        <w:t>for the purpose of his obtaining an immigration permission in the State</w:t>
      </w:r>
      <w:r w:rsidR="00904066">
        <w:rPr>
          <w:rFonts w:cs="Times New Roman"/>
        </w:rPr>
        <w:t xml:space="preserve">; he was invited to make submissions in relation to this. </w:t>
      </w:r>
      <w:r w:rsidR="005D5A42">
        <w:rPr>
          <w:rFonts w:cs="Times New Roman"/>
        </w:rPr>
        <w:t>On the 9</w:t>
      </w:r>
      <w:r w:rsidR="005D5A42" w:rsidRPr="005D5A42">
        <w:rPr>
          <w:rFonts w:cs="Times New Roman"/>
          <w:vertAlign w:val="superscript"/>
        </w:rPr>
        <w:t>th</w:t>
      </w:r>
      <w:r w:rsidR="005D5A42">
        <w:rPr>
          <w:rFonts w:cs="Times New Roman"/>
        </w:rPr>
        <w:t xml:space="preserve"> July, 2016, the Minister </w:t>
      </w:r>
      <w:r w:rsidR="005D5A42" w:rsidRPr="005D5A42">
        <w:rPr>
          <w:rFonts w:cs="Times New Roman"/>
        </w:rPr>
        <w:t>decided</w:t>
      </w:r>
      <w:r w:rsidR="00E25703">
        <w:rPr>
          <w:rFonts w:cs="Times New Roman"/>
        </w:rPr>
        <w:t>, under the 2015 Regulations,</w:t>
      </w:r>
      <w:r w:rsidR="005D5A42" w:rsidRPr="005D5A42">
        <w:rPr>
          <w:rFonts w:cs="Times New Roman"/>
        </w:rPr>
        <w:t xml:space="preserve"> that the marriage was one of convenience. </w:t>
      </w:r>
      <w:r w:rsidR="005D5A42">
        <w:rPr>
          <w:rFonts w:cs="Times New Roman"/>
        </w:rPr>
        <w:t xml:space="preserve">The </w:t>
      </w:r>
      <w:r w:rsidR="005D5A42" w:rsidRPr="005D5A42">
        <w:rPr>
          <w:rFonts w:cs="Times New Roman"/>
        </w:rPr>
        <w:t xml:space="preserve">First </w:t>
      </w:r>
      <w:r w:rsidR="005D5A42">
        <w:rPr>
          <w:rFonts w:cs="Times New Roman"/>
        </w:rPr>
        <w:t>A</w:t>
      </w:r>
      <w:r w:rsidR="005D5A42" w:rsidRPr="005D5A42">
        <w:rPr>
          <w:rFonts w:cs="Times New Roman"/>
        </w:rPr>
        <w:t>ppellant applied for a review of this decision and submitted representations</w:t>
      </w:r>
      <w:r w:rsidR="00A827A9">
        <w:rPr>
          <w:rFonts w:cs="Times New Roman"/>
        </w:rPr>
        <w:t xml:space="preserve"> on the 29</w:t>
      </w:r>
      <w:r w:rsidR="00A827A9" w:rsidRPr="003F5DC9">
        <w:rPr>
          <w:rFonts w:cs="Times New Roman"/>
          <w:vertAlign w:val="superscript"/>
        </w:rPr>
        <w:t>th</w:t>
      </w:r>
      <w:r w:rsidR="00A827A9">
        <w:rPr>
          <w:rFonts w:cs="Times New Roman"/>
        </w:rPr>
        <w:t xml:space="preserve"> July, 2016</w:t>
      </w:r>
      <w:r w:rsidR="00B34130">
        <w:rPr>
          <w:rFonts w:cs="Times New Roman"/>
        </w:rPr>
        <w:t>; by decision of the 20</w:t>
      </w:r>
      <w:r w:rsidR="00B34130" w:rsidRPr="00B34130">
        <w:rPr>
          <w:rFonts w:cs="Times New Roman"/>
          <w:vertAlign w:val="superscript"/>
        </w:rPr>
        <w:t>th</w:t>
      </w:r>
      <w:r w:rsidR="00B34130">
        <w:rPr>
          <w:rFonts w:cs="Times New Roman"/>
        </w:rPr>
        <w:t xml:space="preserve"> March, 2017, the Minister upheld his original decision</w:t>
      </w:r>
      <w:r w:rsidR="00A827A9">
        <w:rPr>
          <w:rFonts w:cs="Times New Roman"/>
        </w:rPr>
        <w:t xml:space="preserve"> with the reasons therefor being specified in the notification of the same date</w:t>
      </w:r>
      <w:r w:rsidR="00705E39">
        <w:rPr>
          <w:rFonts w:cs="Times New Roman"/>
        </w:rPr>
        <w:t xml:space="preserve">. </w:t>
      </w:r>
      <w:r w:rsidR="00D105D2">
        <w:rPr>
          <w:rFonts w:cs="Times New Roman"/>
        </w:rPr>
        <w:t xml:space="preserve">While the Appellants </w:t>
      </w:r>
      <w:r w:rsidR="00A827A9">
        <w:rPr>
          <w:rFonts w:cs="Times New Roman"/>
        </w:rPr>
        <w:t xml:space="preserve">maintain </w:t>
      </w:r>
      <w:r w:rsidR="00D105D2">
        <w:rPr>
          <w:rFonts w:cs="Times New Roman"/>
        </w:rPr>
        <w:t>that they have never accepted that their marriage is one of convenience, it should be noted that n</w:t>
      </w:r>
      <w:r w:rsidR="00CD6B2C">
        <w:rPr>
          <w:rFonts w:cs="Times New Roman"/>
        </w:rPr>
        <w:t>o challenge has</w:t>
      </w:r>
      <w:r w:rsidR="001F72A2">
        <w:rPr>
          <w:rFonts w:cs="Times New Roman"/>
        </w:rPr>
        <w:t xml:space="preserve"> ever been taken to </w:t>
      </w:r>
      <w:r w:rsidR="00D105D2">
        <w:rPr>
          <w:rFonts w:cs="Times New Roman"/>
        </w:rPr>
        <w:t xml:space="preserve">the Minister’s </w:t>
      </w:r>
      <w:r w:rsidR="001F72A2">
        <w:rPr>
          <w:rFonts w:cs="Times New Roman"/>
        </w:rPr>
        <w:t xml:space="preserve">decision under the 2015 Regulations. </w:t>
      </w:r>
    </w:p>
    <w:p w14:paraId="48DF787A" w14:textId="77777777" w:rsidR="00B837BC" w:rsidRDefault="00B837BC" w:rsidP="00775A4E">
      <w:pPr>
        <w:pStyle w:val="NoSpacing"/>
        <w:spacing w:line="480" w:lineRule="auto"/>
        <w:jc w:val="left"/>
        <w:rPr>
          <w:rFonts w:cs="Times New Roman"/>
        </w:rPr>
      </w:pPr>
    </w:p>
    <w:p w14:paraId="6C6578DF" w14:textId="06C59983" w:rsidR="00914E7B" w:rsidRPr="003F5DC9" w:rsidRDefault="00914E7B" w:rsidP="00775A4E">
      <w:pPr>
        <w:pStyle w:val="NoSpacing"/>
        <w:numPr>
          <w:ilvl w:val="0"/>
          <w:numId w:val="8"/>
        </w:numPr>
        <w:spacing w:line="480" w:lineRule="auto"/>
        <w:ind w:left="0" w:firstLine="0"/>
        <w:jc w:val="left"/>
        <w:rPr>
          <w:rFonts w:cs="Times New Roman"/>
          <w:i/>
          <w:iCs/>
        </w:rPr>
      </w:pPr>
      <w:r>
        <w:rPr>
          <w:rFonts w:cs="Times New Roman"/>
          <w:iCs/>
        </w:rPr>
        <w:t>In both the notification of the 9</w:t>
      </w:r>
      <w:r w:rsidRPr="003F5DC9">
        <w:rPr>
          <w:rFonts w:cs="Times New Roman"/>
          <w:iCs/>
          <w:vertAlign w:val="superscript"/>
        </w:rPr>
        <w:t>th</w:t>
      </w:r>
      <w:r>
        <w:rPr>
          <w:rFonts w:cs="Times New Roman"/>
          <w:iCs/>
        </w:rPr>
        <w:t xml:space="preserve"> July, 2016, and the 20</w:t>
      </w:r>
      <w:r w:rsidRPr="003F5DC9">
        <w:rPr>
          <w:rFonts w:cs="Times New Roman"/>
          <w:iCs/>
          <w:vertAlign w:val="superscript"/>
        </w:rPr>
        <w:t>th</w:t>
      </w:r>
      <w:r>
        <w:rPr>
          <w:rFonts w:cs="Times New Roman"/>
          <w:iCs/>
        </w:rPr>
        <w:t xml:space="preserve"> March, 2017, the </w:t>
      </w:r>
      <w:r w:rsidR="00D7502E">
        <w:rPr>
          <w:rFonts w:cs="Times New Roman"/>
          <w:iCs/>
        </w:rPr>
        <w:t>F</w:t>
      </w:r>
      <w:r>
        <w:rPr>
          <w:rFonts w:cs="Times New Roman"/>
          <w:iCs/>
        </w:rPr>
        <w:t xml:space="preserve">irst </w:t>
      </w:r>
      <w:r w:rsidR="00D7502E">
        <w:rPr>
          <w:rFonts w:cs="Times New Roman"/>
          <w:iCs/>
        </w:rPr>
        <w:t>A</w:t>
      </w:r>
      <w:r>
        <w:rPr>
          <w:rFonts w:cs="Times New Roman"/>
          <w:iCs/>
        </w:rPr>
        <w:t xml:space="preserve">ppellant was informed that </w:t>
      </w:r>
      <w:r w:rsidRPr="00283F67">
        <w:rPr>
          <w:rFonts w:cs="Times New Roman"/>
          <w:i/>
        </w:rPr>
        <w:t>“the decision to refuse you a residence card for a family member of a Union citizen does not interfere with any rights which you may have under the Constitution or Article 8 of the European Convention on Human Rights.  In any subsequent proposed decision where such interference may arise, please note that full and proper consideration will be given to these rights”.</w:t>
      </w:r>
      <w:r>
        <w:rPr>
          <w:rFonts w:cs="Times New Roman"/>
          <w:iCs/>
        </w:rPr>
        <w:t xml:space="preserve"> As the </w:t>
      </w:r>
      <w:r w:rsidR="00A827A9">
        <w:rPr>
          <w:rFonts w:cs="Times New Roman"/>
          <w:iCs/>
        </w:rPr>
        <w:t>extract</w:t>
      </w:r>
      <w:r>
        <w:rPr>
          <w:rFonts w:cs="Times New Roman"/>
          <w:iCs/>
        </w:rPr>
        <w:t xml:space="preserve"> in the following paragraph will show, the Minister subsequently decided that he had no</w:t>
      </w:r>
      <w:r w:rsidR="00D6292D">
        <w:rPr>
          <w:rFonts w:cs="Times New Roman"/>
          <w:iCs/>
        </w:rPr>
        <w:t xml:space="preserve"> </w:t>
      </w:r>
      <w:r>
        <w:rPr>
          <w:rFonts w:cs="Times New Roman"/>
          <w:iCs/>
        </w:rPr>
        <w:t xml:space="preserve">such obligation.  </w:t>
      </w:r>
    </w:p>
    <w:p w14:paraId="16985ACC" w14:textId="77777777" w:rsidR="00914E7B" w:rsidRDefault="00914E7B" w:rsidP="00775A4E">
      <w:pPr>
        <w:pStyle w:val="ListParagraph"/>
        <w:spacing w:after="0" w:line="480" w:lineRule="auto"/>
        <w:rPr>
          <w:rFonts w:cs="Times New Roman"/>
        </w:rPr>
      </w:pPr>
    </w:p>
    <w:p w14:paraId="51A51DBE" w14:textId="4E19D53A" w:rsidR="00E06BF3" w:rsidRPr="00CA7FE0" w:rsidRDefault="00705E39" w:rsidP="00775A4E">
      <w:pPr>
        <w:pStyle w:val="NoSpacing"/>
        <w:numPr>
          <w:ilvl w:val="0"/>
          <w:numId w:val="8"/>
        </w:numPr>
        <w:spacing w:line="480" w:lineRule="auto"/>
        <w:ind w:left="0" w:firstLine="0"/>
        <w:jc w:val="left"/>
        <w:rPr>
          <w:rFonts w:cs="Times New Roman"/>
          <w:i/>
          <w:iCs/>
        </w:rPr>
      </w:pPr>
      <w:r>
        <w:rPr>
          <w:rFonts w:cs="Times New Roman"/>
        </w:rPr>
        <w:t xml:space="preserve">By a separate letter </w:t>
      </w:r>
      <w:r w:rsidR="00CD6B2C">
        <w:rPr>
          <w:rFonts w:cs="Times New Roman"/>
        </w:rPr>
        <w:t>also dated the 20</w:t>
      </w:r>
      <w:r w:rsidR="00CD6B2C" w:rsidRPr="00CD6B2C">
        <w:rPr>
          <w:rFonts w:cs="Times New Roman"/>
          <w:vertAlign w:val="superscript"/>
        </w:rPr>
        <w:t>th</w:t>
      </w:r>
      <w:r w:rsidR="00CD6B2C">
        <w:rPr>
          <w:rFonts w:cs="Times New Roman"/>
        </w:rPr>
        <w:t xml:space="preserve"> March, 2017</w:t>
      </w:r>
      <w:r>
        <w:rPr>
          <w:rFonts w:cs="Times New Roman"/>
        </w:rPr>
        <w:t xml:space="preserve">, the Minister wrote to </w:t>
      </w:r>
      <w:r w:rsidR="00A827A9">
        <w:rPr>
          <w:rFonts w:cs="Times New Roman"/>
        </w:rPr>
        <w:t>Mr. M.S.</w:t>
      </w:r>
      <w:r>
        <w:rPr>
          <w:rFonts w:cs="Times New Roman"/>
        </w:rPr>
        <w:t>, pursuant to section 3 of the 1999 Act</w:t>
      </w:r>
      <w:r w:rsidR="00E4744B">
        <w:rPr>
          <w:rFonts w:cs="Times New Roman"/>
        </w:rPr>
        <w:t>,</w:t>
      </w:r>
      <w:r w:rsidR="00B34130">
        <w:rPr>
          <w:rFonts w:cs="Times New Roman"/>
        </w:rPr>
        <w:t xml:space="preserve"> and issued a proposal to deport</w:t>
      </w:r>
      <w:r w:rsidR="00E4744B">
        <w:rPr>
          <w:rFonts w:cs="Times New Roman"/>
        </w:rPr>
        <w:t xml:space="preserve"> him</w:t>
      </w:r>
      <w:r w:rsidR="007B0771">
        <w:rPr>
          <w:rFonts w:cs="Times New Roman"/>
        </w:rPr>
        <w:t>. Representations were made outlining the reasons why the First Appellant should not be deported</w:t>
      </w:r>
      <w:r w:rsidR="00C441FA">
        <w:rPr>
          <w:rFonts w:cs="Times New Roman"/>
        </w:rPr>
        <w:t xml:space="preserve">, </w:t>
      </w:r>
      <w:r w:rsidR="00A827A9">
        <w:rPr>
          <w:rFonts w:cs="Times New Roman"/>
        </w:rPr>
        <w:t xml:space="preserve">but such </w:t>
      </w:r>
      <w:r w:rsidR="00F76E06">
        <w:rPr>
          <w:rFonts w:cs="Times New Roman"/>
        </w:rPr>
        <w:t>w</w:t>
      </w:r>
      <w:r w:rsidR="00A827A9">
        <w:rPr>
          <w:rFonts w:cs="Times New Roman"/>
        </w:rPr>
        <w:t xml:space="preserve">ere to </w:t>
      </w:r>
      <w:r w:rsidR="00C441FA">
        <w:rPr>
          <w:rFonts w:cs="Times New Roman"/>
        </w:rPr>
        <w:t xml:space="preserve">no avail. The deportation order was </w:t>
      </w:r>
      <w:r w:rsidR="000B1B9C">
        <w:rPr>
          <w:rFonts w:cs="Times New Roman"/>
        </w:rPr>
        <w:t>made on the 30</w:t>
      </w:r>
      <w:r w:rsidR="000B1B9C" w:rsidRPr="000B1B9C">
        <w:rPr>
          <w:rFonts w:cs="Times New Roman"/>
          <w:vertAlign w:val="superscript"/>
        </w:rPr>
        <w:t>th</w:t>
      </w:r>
      <w:r w:rsidR="000B1B9C">
        <w:rPr>
          <w:rFonts w:cs="Times New Roman"/>
        </w:rPr>
        <w:t xml:space="preserve"> </w:t>
      </w:r>
      <w:r w:rsidR="00C441FA">
        <w:rPr>
          <w:rFonts w:cs="Times New Roman"/>
        </w:rPr>
        <w:t>June, 2017</w:t>
      </w:r>
      <w:r w:rsidR="000B1B9C">
        <w:rPr>
          <w:rFonts w:cs="Times New Roman"/>
        </w:rPr>
        <w:t xml:space="preserve"> and notified </w:t>
      </w:r>
      <w:r w:rsidR="003315F5">
        <w:rPr>
          <w:rFonts w:cs="Times New Roman"/>
        </w:rPr>
        <w:t xml:space="preserve">to the First Appellant </w:t>
      </w:r>
      <w:r w:rsidR="000B1B9C">
        <w:rPr>
          <w:rFonts w:cs="Times New Roman"/>
        </w:rPr>
        <w:t>on the 7</w:t>
      </w:r>
      <w:r w:rsidR="000B1B9C" w:rsidRPr="000B1B9C">
        <w:rPr>
          <w:rFonts w:cs="Times New Roman"/>
          <w:vertAlign w:val="superscript"/>
        </w:rPr>
        <w:t>th</w:t>
      </w:r>
      <w:r w:rsidR="000B1B9C">
        <w:rPr>
          <w:rFonts w:cs="Times New Roman"/>
        </w:rPr>
        <w:t xml:space="preserve"> July, 2017</w:t>
      </w:r>
      <w:r w:rsidR="00C441FA">
        <w:rPr>
          <w:rFonts w:cs="Times New Roman"/>
        </w:rPr>
        <w:t xml:space="preserve">. </w:t>
      </w:r>
      <w:r w:rsidR="00CA7FE0">
        <w:rPr>
          <w:rFonts w:cs="Times New Roman"/>
        </w:rPr>
        <w:t xml:space="preserve">As confirmed by the Minister in his submissions to this Court, </w:t>
      </w:r>
      <w:r w:rsidR="00CA7FE0" w:rsidRPr="00CA7FE0">
        <w:rPr>
          <w:rFonts w:cs="Times New Roman"/>
          <w:i/>
          <w:iCs/>
        </w:rPr>
        <w:t>“</w:t>
      </w:r>
      <w:r w:rsidR="00CA7FE0">
        <w:rPr>
          <w:rFonts w:cs="Times New Roman"/>
          <w:i/>
          <w:iCs/>
        </w:rPr>
        <w:t>[</w:t>
      </w:r>
      <w:proofErr w:type="spellStart"/>
      <w:r w:rsidR="00CA7FE0">
        <w:rPr>
          <w:rFonts w:cs="Times New Roman"/>
          <w:i/>
          <w:iCs/>
        </w:rPr>
        <w:t>i</w:t>
      </w:r>
      <w:proofErr w:type="spellEnd"/>
      <w:r w:rsidR="00CA7FE0">
        <w:rPr>
          <w:rFonts w:cs="Times New Roman"/>
          <w:i/>
          <w:iCs/>
        </w:rPr>
        <w:t>]</w:t>
      </w:r>
      <w:r w:rsidR="00CA7FE0" w:rsidRPr="00CA7FE0">
        <w:rPr>
          <w:rFonts w:cs="Times New Roman"/>
          <w:i/>
          <w:iCs/>
        </w:rPr>
        <w:t xml:space="preserve">n the analysis which preceded the making of the order, the Minister did not consider any substantive constitutional or ECHR family rights said to derive from the </w:t>
      </w:r>
      <w:r w:rsidR="001122B5">
        <w:rPr>
          <w:rFonts w:cs="Times New Roman"/>
          <w:i/>
          <w:iCs/>
        </w:rPr>
        <w:t>F</w:t>
      </w:r>
      <w:r w:rsidR="00CA7FE0" w:rsidRPr="00CA7FE0">
        <w:rPr>
          <w:rFonts w:cs="Times New Roman"/>
          <w:i/>
          <w:iCs/>
        </w:rPr>
        <w:t xml:space="preserve">irst and </w:t>
      </w:r>
      <w:r w:rsidR="001122B5">
        <w:rPr>
          <w:rFonts w:cs="Times New Roman"/>
          <w:i/>
          <w:iCs/>
        </w:rPr>
        <w:t>S</w:t>
      </w:r>
      <w:r w:rsidR="00CA7FE0" w:rsidRPr="00CA7FE0">
        <w:rPr>
          <w:rFonts w:cs="Times New Roman"/>
          <w:i/>
          <w:iCs/>
        </w:rPr>
        <w:t>econd Appellants’ marriage.”</w:t>
      </w:r>
    </w:p>
    <w:p w14:paraId="51B78ED4" w14:textId="77777777" w:rsidR="00B837BC" w:rsidRDefault="00B837BC" w:rsidP="00775A4E">
      <w:pPr>
        <w:pStyle w:val="NoSpacing"/>
        <w:spacing w:line="480" w:lineRule="auto"/>
        <w:jc w:val="left"/>
        <w:rPr>
          <w:rFonts w:cs="Times New Roman"/>
        </w:rPr>
      </w:pPr>
    </w:p>
    <w:p w14:paraId="04D93B9B" w14:textId="77C451CA" w:rsidR="00332175" w:rsidRPr="00EF7378" w:rsidRDefault="00CC3F35" w:rsidP="00775A4E">
      <w:pPr>
        <w:pStyle w:val="NoSpacing"/>
        <w:numPr>
          <w:ilvl w:val="0"/>
          <w:numId w:val="8"/>
        </w:numPr>
        <w:spacing w:line="480" w:lineRule="auto"/>
        <w:ind w:left="0" w:firstLine="0"/>
        <w:jc w:val="left"/>
        <w:rPr>
          <w:rFonts w:cs="Times New Roman"/>
        </w:rPr>
      </w:pPr>
      <w:r>
        <w:rPr>
          <w:rFonts w:cs="Times New Roman"/>
        </w:rPr>
        <w:t xml:space="preserve">The </w:t>
      </w:r>
      <w:r w:rsidR="0079524A">
        <w:rPr>
          <w:rFonts w:cs="Times New Roman"/>
        </w:rPr>
        <w:t>C</w:t>
      </w:r>
      <w:r>
        <w:rPr>
          <w:rFonts w:cs="Times New Roman"/>
        </w:rPr>
        <w:t>ourt has been informed that the</w:t>
      </w:r>
      <w:r w:rsidR="009440C8">
        <w:rPr>
          <w:rFonts w:cs="Times New Roman"/>
        </w:rPr>
        <w:t xml:space="preserve"> First and Second Appellants</w:t>
      </w:r>
      <w:r>
        <w:rPr>
          <w:rFonts w:cs="Times New Roman"/>
        </w:rPr>
        <w:t xml:space="preserve"> are no longer residing together due to financial reasons, though </w:t>
      </w:r>
      <w:r w:rsidR="00F26E5F">
        <w:rPr>
          <w:rFonts w:cs="Times New Roman"/>
        </w:rPr>
        <w:t xml:space="preserve">they </w:t>
      </w:r>
      <w:r>
        <w:rPr>
          <w:rFonts w:cs="Times New Roman"/>
        </w:rPr>
        <w:t xml:space="preserve">intend to do so again should </w:t>
      </w:r>
      <w:r w:rsidR="00503202">
        <w:rPr>
          <w:rFonts w:cs="Times New Roman"/>
        </w:rPr>
        <w:t>Mr. M.S.’s</w:t>
      </w:r>
      <w:r>
        <w:rPr>
          <w:rFonts w:cs="Times New Roman"/>
        </w:rPr>
        <w:t xml:space="preserve"> immigration status be resolved, enabling him to work. </w:t>
      </w:r>
      <w:r w:rsidR="00FA08F4">
        <w:rPr>
          <w:rFonts w:cs="Times New Roman"/>
        </w:rPr>
        <w:t>The First Appellant was appointed by the District Court as guardian of the Third Appellant on the 3</w:t>
      </w:r>
      <w:r w:rsidR="00FA08F4" w:rsidRPr="00FA08F4">
        <w:rPr>
          <w:rFonts w:cs="Times New Roman"/>
          <w:vertAlign w:val="superscript"/>
        </w:rPr>
        <w:t>rd</w:t>
      </w:r>
      <w:r w:rsidR="00FA08F4">
        <w:rPr>
          <w:rFonts w:cs="Times New Roman"/>
        </w:rPr>
        <w:t xml:space="preserve"> October, 2016. </w:t>
      </w:r>
      <w:r w:rsidR="006072B7">
        <w:rPr>
          <w:rFonts w:cs="Times New Roman"/>
        </w:rPr>
        <w:t>Humphreys J</w:t>
      </w:r>
      <w:r w:rsidR="00550F60">
        <w:rPr>
          <w:rFonts w:cs="Times New Roman"/>
        </w:rPr>
        <w:t>.</w:t>
      </w:r>
      <w:r w:rsidR="006072B7">
        <w:rPr>
          <w:rFonts w:cs="Times New Roman"/>
        </w:rPr>
        <w:t xml:space="preserve">, at para. </w:t>
      </w:r>
      <w:r w:rsidR="000C0B43">
        <w:rPr>
          <w:rFonts w:cs="Times New Roman"/>
        </w:rPr>
        <w:t xml:space="preserve">8 </w:t>
      </w:r>
      <w:r w:rsidR="006072B7">
        <w:rPr>
          <w:rFonts w:cs="Times New Roman"/>
        </w:rPr>
        <w:t xml:space="preserve">of his judgment, raised doubts about the validity of that guardianship order and a subsequent custody order; however, such issue is not </w:t>
      </w:r>
      <w:r w:rsidR="00F26E5F">
        <w:rPr>
          <w:rFonts w:cs="Times New Roman"/>
        </w:rPr>
        <w:t xml:space="preserve">central </w:t>
      </w:r>
      <w:r w:rsidR="006072B7">
        <w:rPr>
          <w:rFonts w:cs="Times New Roman"/>
        </w:rPr>
        <w:t xml:space="preserve">to the </w:t>
      </w:r>
      <w:r w:rsidR="003560B9">
        <w:rPr>
          <w:rFonts w:cs="Times New Roman"/>
        </w:rPr>
        <w:t>point</w:t>
      </w:r>
      <w:r w:rsidR="006072B7">
        <w:rPr>
          <w:rFonts w:cs="Times New Roman"/>
        </w:rPr>
        <w:t xml:space="preserve"> before </w:t>
      </w:r>
      <w:r w:rsidR="006072B7">
        <w:rPr>
          <w:rFonts w:cs="Times New Roman"/>
        </w:rPr>
        <w:lastRenderedPageBreak/>
        <w:t>th</w:t>
      </w:r>
      <w:r w:rsidR="002237EB">
        <w:rPr>
          <w:rFonts w:cs="Times New Roman"/>
        </w:rPr>
        <w:t>e</w:t>
      </w:r>
      <w:r w:rsidR="006072B7">
        <w:rPr>
          <w:rFonts w:cs="Times New Roman"/>
        </w:rPr>
        <w:t xml:space="preserve"> Court and has not been </w:t>
      </w:r>
      <w:r w:rsidR="00F26E5F">
        <w:rPr>
          <w:rFonts w:cs="Times New Roman"/>
        </w:rPr>
        <w:t>pressed in any serious way</w:t>
      </w:r>
      <w:r w:rsidR="002237EB">
        <w:rPr>
          <w:rFonts w:cs="Times New Roman"/>
        </w:rPr>
        <w:t xml:space="preserve"> by the parties. Accordingly, </w:t>
      </w:r>
      <w:r w:rsidR="00F26E5F">
        <w:rPr>
          <w:rFonts w:cs="Times New Roman"/>
        </w:rPr>
        <w:t xml:space="preserve">it is not necessary to delve further into this issue.  </w:t>
      </w:r>
      <w:r w:rsidR="003560B9">
        <w:rPr>
          <w:rFonts w:cs="Times New Roman"/>
        </w:rPr>
        <w:t xml:space="preserve"> </w:t>
      </w:r>
    </w:p>
    <w:p w14:paraId="582320E5" w14:textId="56B1C7F5" w:rsidR="00927467" w:rsidRPr="00EF7378" w:rsidRDefault="00927467" w:rsidP="00775A4E">
      <w:pPr>
        <w:pStyle w:val="NoSpacing"/>
        <w:spacing w:line="480" w:lineRule="auto"/>
        <w:jc w:val="left"/>
        <w:rPr>
          <w:rFonts w:cs="Times New Roman"/>
        </w:rPr>
      </w:pPr>
    </w:p>
    <w:p w14:paraId="7D50E8E1" w14:textId="5B1DD90C" w:rsidR="00927467" w:rsidRPr="00283F67" w:rsidRDefault="00927467" w:rsidP="00775A4E">
      <w:pPr>
        <w:pStyle w:val="NoSpacing"/>
        <w:spacing w:line="480" w:lineRule="auto"/>
        <w:jc w:val="left"/>
        <w:rPr>
          <w:rFonts w:cs="Times New Roman"/>
          <w:b/>
          <w:bCs/>
          <w:u w:val="single"/>
        </w:rPr>
      </w:pPr>
      <w:r w:rsidRPr="00283F67">
        <w:rPr>
          <w:rFonts w:cs="Times New Roman"/>
          <w:b/>
          <w:bCs/>
          <w:u w:val="single"/>
        </w:rPr>
        <w:t xml:space="preserve">Judgment of the High Court </w:t>
      </w:r>
    </w:p>
    <w:p w14:paraId="21661B74" w14:textId="4182A8D8" w:rsidR="00224460" w:rsidRDefault="009B0D32" w:rsidP="00775A4E">
      <w:pPr>
        <w:pStyle w:val="NoSpacing"/>
        <w:numPr>
          <w:ilvl w:val="0"/>
          <w:numId w:val="8"/>
        </w:numPr>
        <w:spacing w:line="480" w:lineRule="auto"/>
        <w:ind w:left="0" w:firstLine="0"/>
        <w:jc w:val="left"/>
        <w:rPr>
          <w:rFonts w:cs="Times New Roman"/>
        </w:rPr>
      </w:pPr>
      <w:r>
        <w:rPr>
          <w:rFonts w:cs="Times New Roman"/>
        </w:rPr>
        <w:t xml:space="preserve">On the </w:t>
      </w:r>
      <w:r w:rsidRPr="009B0D32">
        <w:rPr>
          <w:rFonts w:cs="Times New Roman"/>
        </w:rPr>
        <w:t>8</w:t>
      </w:r>
      <w:r w:rsidRPr="009B0D32">
        <w:rPr>
          <w:rFonts w:cs="Times New Roman"/>
          <w:vertAlign w:val="superscript"/>
        </w:rPr>
        <w:t>th</w:t>
      </w:r>
      <w:r>
        <w:rPr>
          <w:rFonts w:cs="Times New Roman"/>
        </w:rPr>
        <w:t xml:space="preserve"> </w:t>
      </w:r>
      <w:r w:rsidRPr="009B0D32">
        <w:rPr>
          <w:rFonts w:cs="Times New Roman"/>
        </w:rPr>
        <w:t>August</w:t>
      </w:r>
      <w:r>
        <w:rPr>
          <w:rFonts w:cs="Times New Roman"/>
        </w:rPr>
        <w:t>,</w:t>
      </w:r>
      <w:r w:rsidRPr="009B0D32">
        <w:rPr>
          <w:rFonts w:cs="Times New Roman"/>
        </w:rPr>
        <w:t xml:space="preserve"> 2017</w:t>
      </w:r>
      <w:r>
        <w:rPr>
          <w:rFonts w:cs="Times New Roman"/>
        </w:rPr>
        <w:t>, the Appellant issued</w:t>
      </w:r>
      <w:r w:rsidRPr="009B0D32">
        <w:rPr>
          <w:rFonts w:cs="Times New Roman"/>
        </w:rPr>
        <w:t xml:space="preserve"> </w:t>
      </w:r>
      <w:r>
        <w:rPr>
          <w:rFonts w:cs="Times New Roman"/>
        </w:rPr>
        <w:t xml:space="preserve">judicial review proceedings </w:t>
      </w:r>
      <w:r w:rsidR="00450D61">
        <w:rPr>
          <w:rFonts w:cs="Times New Roman"/>
        </w:rPr>
        <w:t xml:space="preserve">challenging the </w:t>
      </w:r>
      <w:r w:rsidR="00450D61" w:rsidRPr="00450D61">
        <w:rPr>
          <w:rFonts w:cs="Times New Roman"/>
        </w:rPr>
        <w:t xml:space="preserve">deportation order made by the Minister on </w:t>
      </w:r>
      <w:r w:rsidR="007C025D">
        <w:rPr>
          <w:rFonts w:cs="Times New Roman"/>
        </w:rPr>
        <w:t xml:space="preserve">the </w:t>
      </w:r>
      <w:r w:rsidR="00450D61" w:rsidRPr="00450D61">
        <w:rPr>
          <w:rFonts w:cs="Times New Roman"/>
        </w:rPr>
        <w:t>30</w:t>
      </w:r>
      <w:r w:rsidR="00450D61" w:rsidRPr="00450D61">
        <w:rPr>
          <w:rFonts w:cs="Times New Roman"/>
          <w:vertAlign w:val="superscript"/>
        </w:rPr>
        <w:t>th</w:t>
      </w:r>
      <w:r w:rsidR="00450D61">
        <w:rPr>
          <w:rFonts w:cs="Times New Roman"/>
        </w:rPr>
        <w:t xml:space="preserve"> </w:t>
      </w:r>
      <w:r w:rsidR="00450D61" w:rsidRPr="00450D61">
        <w:rPr>
          <w:rFonts w:cs="Times New Roman"/>
        </w:rPr>
        <w:t>June</w:t>
      </w:r>
      <w:r w:rsidR="007C025D">
        <w:rPr>
          <w:rFonts w:cs="Times New Roman"/>
        </w:rPr>
        <w:t>,</w:t>
      </w:r>
      <w:r w:rsidR="00450D61" w:rsidRPr="00450D61">
        <w:rPr>
          <w:rFonts w:cs="Times New Roman"/>
        </w:rPr>
        <w:t xml:space="preserve"> 2017</w:t>
      </w:r>
      <w:r w:rsidRPr="009B0D32">
        <w:rPr>
          <w:rFonts w:cs="Times New Roman"/>
        </w:rPr>
        <w:t xml:space="preserve">. </w:t>
      </w:r>
      <w:r w:rsidR="00E22B3D">
        <w:rPr>
          <w:rFonts w:cs="Times New Roman"/>
        </w:rPr>
        <w:t>An interim injunction was granted on the 14</w:t>
      </w:r>
      <w:r w:rsidR="00E22B3D" w:rsidRPr="00E22B3D">
        <w:rPr>
          <w:rFonts w:cs="Times New Roman"/>
          <w:vertAlign w:val="superscript"/>
        </w:rPr>
        <w:t>th</w:t>
      </w:r>
      <w:r w:rsidR="00E22B3D">
        <w:rPr>
          <w:rFonts w:cs="Times New Roman"/>
        </w:rPr>
        <w:t xml:space="preserve"> August, 2017, with leave </w:t>
      </w:r>
      <w:r w:rsidR="00E22B3D" w:rsidRPr="009B0D32">
        <w:rPr>
          <w:rFonts w:cs="Times New Roman"/>
        </w:rPr>
        <w:t xml:space="preserve">to seek judicial review </w:t>
      </w:r>
      <w:r w:rsidR="00273399">
        <w:rPr>
          <w:rFonts w:cs="Times New Roman"/>
        </w:rPr>
        <w:t xml:space="preserve">being </w:t>
      </w:r>
      <w:r w:rsidR="00E22B3D" w:rsidRPr="009B0D32">
        <w:rPr>
          <w:rFonts w:cs="Times New Roman"/>
        </w:rPr>
        <w:t>granted by the High Court (Humphreys J</w:t>
      </w:r>
      <w:r w:rsidR="00550F60">
        <w:rPr>
          <w:rFonts w:cs="Times New Roman"/>
        </w:rPr>
        <w:t>.</w:t>
      </w:r>
      <w:r w:rsidR="00273399">
        <w:rPr>
          <w:rFonts w:cs="Times New Roman"/>
        </w:rPr>
        <w:t>) on the 11</w:t>
      </w:r>
      <w:r w:rsidR="00273399" w:rsidRPr="00273399">
        <w:rPr>
          <w:rFonts w:cs="Times New Roman"/>
          <w:vertAlign w:val="superscript"/>
        </w:rPr>
        <w:t>th</w:t>
      </w:r>
      <w:r w:rsidR="00273399">
        <w:rPr>
          <w:rFonts w:cs="Times New Roman"/>
        </w:rPr>
        <w:t xml:space="preserve"> October, 2017. </w:t>
      </w:r>
    </w:p>
    <w:p w14:paraId="3166383A" w14:textId="77777777" w:rsidR="00224460" w:rsidRDefault="00224460" w:rsidP="00775A4E">
      <w:pPr>
        <w:pStyle w:val="NoSpacing"/>
        <w:spacing w:line="480" w:lineRule="auto"/>
        <w:jc w:val="left"/>
        <w:rPr>
          <w:rFonts w:cs="Times New Roman"/>
        </w:rPr>
      </w:pPr>
    </w:p>
    <w:p w14:paraId="49B16E2A" w14:textId="1CBFDD43" w:rsidR="009B0D32" w:rsidRPr="00093B40" w:rsidRDefault="007A312D" w:rsidP="00775A4E">
      <w:pPr>
        <w:pStyle w:val="NoSpacing"/>
        <w:numPr>
          <w:ilvl w:val="0"/>
          <w:numId w:val="8"/>
        </w:numPr>
        <w:spacing w:line="480" w:lineRule="auto"/>
        <w:ind w:left="0" w:firstLine="0"/>
        <w:jc w:val="left"/>
        <w:rPr>
          <w:rFonts w:cs="Times New Roman"/>
        </w:rPr>
      </w:pPr>
      <w:r>
        <w:rPr>
          <w:rFonts w:cs="Times New Roman"/>
        </w:rPr>
        <w:t xml:space="preserve">Humphreys </w:t>
      </w:r>
      <w:r w:rsidR="001513A6">
        <w:rPr>
          <w:rFonts w:cs="Times New Roman"/>
        </w:rPr>
        <w:t xml:space="preserve">J. </w:t>
      </w:r>
      <w:r>
        <w:rPr>
          <w:rFonts w:cs="Times New Roman"/>
        </w:rPr>
        <w:t>heard the application</w:t>
      </w:r>
      <w:r w:rsidR="009C6677">
        <w:rPr>
          <w:rFonts w:cs="Times New Roman"/>
        </w:rPr>
        <w:t xml:space="preserve"> for judicial review; the learned judge delivered his </w:t>
      </w:r>
      <w:r w:rsidR="00273A8E" w:rsidRPr="00273A8E">
        <w:rPr>
          <w:rFonts w:cs="Times New Roman"/>
          <w:i/>
          <w:iCs/>
        </w:rPr>
        <w:t>ex tempore</w:t>
      </w:r>
      <w:r w:rsidR="00273A8E">
        <w:rPr>
          <w:rFonts w:cs="Times New Roman"/>
        </w:rPr>
        <w:t xml:space="preserve"> </w:t>
      </w:r>
      <w:r w:rsidR="009C6677">
        <w:rPr>
          <w:rFonts w:cs="Times New Roman"/>
        </w:rPr>
        <w:t>judgment, the judgment under appeal, on the 6</w:t>
      </w:r>
      <w:r w:rsidR="009C6677" w:rsidRPr="009C6677">
        <w:rPr>
          <w:rFonts w:cs="Times New Roman"/>
          <w:vertAlign w:val="superscript"/>
        </w:rPr>
        <w:t>th</w:t>
      </w:r>
      <w:r w:rsidR="009C6677">
        <w:rPr>
          <w:rFonts w:cs="Times New Roman"/>
        </w:rPr>
        <w:t xml:space="preserve"> February, 2018</w:t>
      </w:r>
      <w:r w:rsidR="00657D24">
        <w:rPr>
          <w:rFonts w:cs="Times New Roman"/>
        </w:rPr>
        <w:t xml:space="preserve">; a </w:t>
      </w:r>
      <w:r w:rsidR="00657D24" w:rsidRPr="00657D24">
        <w:rPr>
          <w:rFonts w:cs="Times New Roman"/>
        </w:rPr>
        <w:t xml:space="preserve">written copy of the judgment was furnished </w:t>
      </w:r>
      <w:r w:rsidR="00657D24">
        <w:rPr>
          <w:rFonts w:cs="Times New Roman"/>
        </w:rPr>
        <w:t xml:space="preserve">to the parties </w:t>
      </w:r>
      <w:r w:rsidR="00657D24" w:rsidRPr="00657D24">
        <w:rPr>
          <w:rFonts w:cs="Times New Roman"/>
        </w:rPr>
        <w:t>on the week commencing the 19</w:t>
      </w:r>
      <w:r w:rsidR="00657D24" w:rsidRPr="00657D24">
        <w:rPr>
          <w:rFonts w:cs="Times New Roman"/>
          <w:vertAlign w:val="superscript"/>
        </w:rPr>
        <w:t>th</w:t>
      </w:r>
      <w:r w:rsidR="00657D24">
        <w:rPr>
          <w:rFonts w:cs="Times New Roman"/>
        </w:rPr>
        <w:t xml:space="preserve"> </w:t>
      </w:r>
      <w:r w:rsidR="00657D24" w:rsidRPr="00657D24">
        <w:rPr>
          <w:rFonts w:cs="Times New Roman"/>
        </w:rPr>
        <w:t>March, 2018</w:t>
      </w:r>
      <w:r w:rsidR="009C6677">
        <w:rPr>
          <w:rFonts w:cs="Times New Roman"/>
        </w:rPr>
        <w:t xml:space="preserve"> (</w:t>
      </w:r>
      <w:r w:rsidR="005B4F4B">
        <w:rPr>
          <w:rFonts w:cs="Times New Roman"/>
          <w:i/>
          <w:iCs/>
        </w:rPr>
        <w:t xml:space="preserve">M.K.F.S. (Pakistan) and </w:t>
      </w:r>
      <w:proofErr w:type="spellStart"/>
      <w:r w:rsidR="000C0B43">
        <w:rPr>
          <w:rFonts w:cs="Times New Roman"/>
          <w:i/>
          <w:iCs/>
        </w:rPr>
        <w:t>Ors</w:t>
      </w:r>
      <w:proofErr w:type="spellEnd"/>
      <w:r w:rsidR="000C0B43">
        <w:rPr>
          <w:rFonts w:cs="Times New Roman"/>
          <w:i/>
          <w:iCs/>
        </w:rPr>
        <w:t xml:space="preserve"> </w:t>
      </w:r>
      <w:r w:rsidR="005B4F4B">
        <w:rPr>
          <w:rFonts w:cs="Times New Roman"/>
          <w:i/>
          <w:iCs/>
        </w:rPr>
        <w:t xml:space="preserve">v. The Minister for Justice and Equality </w:t>
      </w:r>
      <w:r w:rsidR="005B4F4B">
        <w:rPr>
          <w:rFonts w:cs="Times New Roman"/>
        </w:rPr>
        <w:t xml:space="preserve">[2018] IEHC 103). </w:t>
      </w:r>
      <w:r w:rsidR="004E4D66">
        <w:rPr>
          <w:rFonts w:cs="Times New Roman"/>
        </w:rPr>
        <w:t>He first rejected the Appellants</w:t>
      </w:r>
      <w:r w:rsidR="00AE48CE">
        <w:rPr>
          <w:rFonts w:cs="Times New Roman"/>
        </w:rPr>
        <w:t>’</w:t>
      </w:r>
      <w:r w:rsidR="004E4D66">
        <w:rPr>
          <w:rFonts w:cs="Times New Roman"/>
        </w:rPr>
        <w:t xml:space="preserve"> proposition that there is an obligation on</w:t>
      </w:r>
      <w:r w:rsidR="00273399">
        <w:rPr>
          <w:rFonts w:cs="Times New Roman"/>
        </w:rPr>
        <w:t xml:space="preserve"> </w:t>
      </w:r>
      <w:r w:rsidR="004E4D66">
        <w:rPr>
          <w:rFonts w:cs="Times New Roman"/>
        </w:rPr>
        <w:t>an administrative decision-maker to go back and review previous decisions when a later decision is made in the process</w:t>
      </w:r>
      <w:r w:rsidR="00117C5C">
        <w:rPr>
          <w:rFonts w:cs="Times New Roman"/>
        </w:rPr>
        <w:t xml:space="preserve">, holding that </w:t>
      </w:r>
      <w:r w:rsidR="000C0B43">
        <w:rPr>
          <w:rFonts w:cs="Times New Roman"/>
        </w:rPr>
        <w:t>“</w:t>
      </w:r>
      <w:r w:rsidR="000C0B43" w:rsidRPr="003F5DC9">
        <w:rPr>
          <w:rFonts w:cs="Times New Roman"/>
          <w:i/>
        </w:rPr>
        <w:t>no administrative system could work if there was some sort of free</w:t>
      </w:r>
      <w:r w:rsidR="00550F60">
        <w:rPr>
          <w:rFonts w:cs="Times New Roman"/>
          <w:i/>
        </w:rPr>
        <w:t>-</w:t>
      </w:r>
      <w:r w:rsidR="000C0B43" w:rsidRPr="003F5DC9">
        <w:rPr>
          <w:rFonts w:cs="Times New Roman"/>
          <w:i/>
        </w:rPr>
        <w:t xml:space="preserve">floating obligation to revisit any formal and </w:t>
      </w:r>
      <w:r w:rsidR="003263C2" w:rsidRPr="003F5DC9">
        <w:rPr>
          <w:rFonts w:cs="Times New Roman"/>
          <w:i/>
        </w:rPr>
        <w:t>unchallenged decision merely because a further step in the process predicated on that decision had to be taken</w:t>
      </w:r>
      <w:r w:rsidR="003263C2">
        <w:rPr>
          <w:rFonts w:cs="Times New Roman"/>
        </w:rPr>
        <w:t xml:space="preserve">”. When dealing with a submission that the passage of time and the death of the child’s biological father created such an obligation, the learned judge said that </w:t>
      </w:r>
      <w:r w:rsidR="00117C5C" w:rsidRPr="00117C5C">
        <w:rPr>
          <w:rFonts w:cs="Times New Roman"/>
          <w:i/>
          <w:iCs/>
        </w:rPr>
        <w:t>“</w:t>
      </w:r>
      <w:r w:rsidR="00117C5C">
        <w:rPr>
          <w:rFonts w:cs="Times New Roman"/>
          <w:i/>
          <w:iCs/>
        </w:rPr>
        <w:t>[a]</w:t>
      </w:r>
      <w:r w:rsidR="00117C5C" w:rsidRPr="00117C5C">
        <w:rPr>
          <w:rFonts w:cs="Times New Roman"/>
          <w:i/>
          <w:iCs/>
        </w:rPr>
        <w:t xml:space="preserve"> decision-maker is entitled to act on the premise that a course of action taken for fraudulent purposes remains fraudulent notwithstanding the passage of time”</w:t>
      </w:r>
      <w:r w:rsidR="00C52A90">
        <w:rPr>
          <w:rFonts w:cs="Times New Roman"/>
        </w:rPr>
        <w:t xml:space="preserve"> (para. 13).</w:t>
      </w:r>
      <w:r w:rsidR="00093B40">
        <w:rPr>
          <w:rFonts w:cs="Times New Roman"/>
          <w:i/>
          <w:iCs/>
        </w:rPr>
        <w:t xml:space="preserve"> </w:t>
      </w:r>
    </w:p>
    <w:p w14:paraId="0EA34930" w14:textId="443BC365" w:rsidR="009B0D32" w:rsidRDefault="009B0D32" w:rsidP="00775A4E">
      <w:pPr>
        <w:pStyle w:val="NoSpacing"/>
        <w:spacing w:line="480" w:lineRule="auto"/>
        <w:jc w:val="left"/>
        <w:rPr>
          <w:rFonts w:cs="Times New Roman"/>
        </w:rPr>
      </w:pPr>
    </w:p>
    <w:p w14:paraId="43C3E2BE" w14:textId="77A573AF" w:rsidR="00C52A90" w:rsidRDefault="005F6581" w:rsidP="00775A4E">
      <w:pPr>
        <w:pStyle w:val="NoSpacing"/>
        <w:numPr>
          <w:ilvl w:val="0"/>
          <w:numId w:val="8"/>
        </w:numPr>
        <w:spacing w:line="480" w:lineRule="auto"/>
        <w:ind w:left="0" w:firstLine="0"/>
        <w:jc w:val="left"/>
        <w:rPr>
          <w:rFonts w:cs="Times New Roman"/>
        </w:rPr>
      </w:pPr>
      <w:r>
        <w:rPr>
          <w:rFonts w:cs="Times New Roman"/>
        </w:rPr>
        <w:t xml:space="preserve">Next the learned judge held that where an unchallenged determination is made that a marriage is one of convenience, it is not open to a party to challenge that in later proceedings. </w:t>
      </w:r>
      <w:r w:rsidR="00526D0C">
        <w:rPr>
          <w:rFonts w:cs="Times New Roman"/>
        </w:rPr>
        <w:lastRenderedPageBreak/>
        <w:t>Time, for the purposes of judicial review, runs from when the grounds for judicial review first arise</w:t>
      </w:r>
      <w:r w:rsidR="008532E1">
        <w:rPr>
          <w:rFonts w:cs="Times New Roman"/>
        </w:rPr>
        <w:t xml:space="preserve"> (O</w:t>
      </w:r>
      <w:r w:rsidR="00163246">
        <w:rPr>
          <w:rFonts w:cs="Times New Roman"/>
        </w:rPr>
        <w:t>rder</w:t>
      </w:r>
      <w:r w:rsidR="008532E1">
        <w:rPr>
          <w:rFonts w:cs="Times New Roman"/>
        </w:rPr>
        <w:t xml:space="preserve"> 84, </w:t>
      </w:r>
      <w:r w:rsidR="00163246">
        <w:rPr>
          <w:rFonts w:cs="Times New Roman"/>
        </w:rPr>
        <w:t>Rule</w:t>
      </w:r>
      <w:r w:rsidR="008532E1">
        <w:rPr>
          <w:rFonts w:cs="Times New Roman"/>
        </w:rPr>
        <w:t xml:space="preserve"> 21(1) of the Rules of the Superior Courts)</w:t>
      </w:r>
      <w:r w:rsidR="00526D0C">
        <w:rPr>
          <w:rFonts w:cs="Times New Roman"/>
        </w:rPr>
        <w:t xml:space="preserve">. </w:t>
      </w:r>
      <w:r w:rsidR="00304610">
        <w:rPr>
          <w:rFonts w:cs="Times New Roman"/>
        </w:rPr>
        <w:t xml:space="preserve">The Minister’s formal finding that this was a marriage of convenience, which was affirmed on review, was not challenged. </w:t>
      </w:r>
      <w:r w:rsidR="00AE48CE">
        <w:rPr>
          <w:rFonts w:cs="Times New Roman"/>
        </w:rPr>
        <w:t>Time having expired without challenge, it was not open to the Appellants</w:t>
      </w:r>
      <w:r>
        <w:rPr>
          <w:rFonts w:cs="Times New Roman"/>
        </w:rPr>
        <w:t xml:space="preserve"> </w:t>
      </w:r>
      <w:r w:rsidR="00DE1B13">
        <w:rPr>
          <w:rFonts w:cs="Times New Roman"/>
        </w:rPr>
        <w:t>to contest that finding in these judicial review proceedings</w:t>
      </w:r>
      <w:r w:rsidR="008532E1">
        <w:rPr>
          <w:rFonts w:cs="Times New Roman"/>
        </w:rPr>
        <w:t xml:space="preserve"> (paras. 14 and 15 of the judgment)</w:t>
      </w:r>
      <w:r w:rsidR="00163246">
        <w:rPr>
          <w:rFonts w:cs="Times New Roman"/>
        </w:rPr>
        <w:t>.</w:t>
      </w:r>
    </w:p>
    <w:p w14:paraId="16820F63" w14:textId="16950549" w:rsidR="005357AF" w:rsidRDefault="005357AF" w:rsidP="00775A4E">
      <w:pPr>
        <w:pStyle w:val="NoSpacing"/>
        <w:spacing w:line="480" w:lineRule="auto"/>
        <w:jc w:val="left"/>
        <w:rPr>
          <w:rFonts w:cs="Times New Roman"/>
        </w:rPr>
      </w:pPr>
    </w:p>
    <w:p w14:paraId="6DF87D76" w14:textId="0798270A" w:rsidR="005357AF" w:rsidRDefault="005357AF" w:rsidP="00775A4E">
      <w:pPr>
        <w:pStyle w:val="NoSpacing"/>
        <w:numPr>
          <w:ilvl w:val="0"/>
          <w:numId w:val="8"/>
        </w:numPr>
        <w:spacing w:line="480" w:lineRule="auto"/>
        <w:ind w:left="0" w:firstLine="0"/>
        <w:jc w:val="left"/>
        <w:rPr>
          <w:rFonts w:cs="Times New Roman"/>
        </w:rPr>
      </w:pPr>
      <w:r>
        <w:rPr>
          <w:rFonts w:cs="Times New Roman"/>
        </w:rPr>
        <w:t xml:space="preserve">Humphreys </w:t>
      </w:r>
      <w:r w:rsidR="001513A6">
        <w:rPr>
          <w:rFonts w:cs="Times New Roman"/>
        </w:rPr>
        <w:t xml:space="preserve">J. </w:t>
      </w:r>
      <w:r>
        <w:rPr>
          <w:rFonts w:cs="Times New Roman"/>
        </w:rPr>
        <w:t xml:space="preserve">continued by holding that where a marriage is one of convenience, no rights arising out of the relationship can be asserted. </w:t>
      </w:r>
      <w:r w:rsidR="004F0B29">
        <w:rPr>
          <w:rFonts w:cs="Times New Roman"/>
        </w:rPr>
        <w:t>He stated that</w:t>
      </w:r>
      <w:r w:rsidR="00AE72B2">
        <w:rPr>
          <w:rFonts w:cs="Times New Roman"/>
        </w:rPr>
        <w:t xml:space="preserve"> </w:t>
      </w:r>
      <w:r w:rsidR="00AE72B2" w:rsidRPr="00AE72B2">
        <w:rPr>
          <w:rFonts w:cs="Times New Roman"/>
          <w:i/>
          <w:iCs/>
        </w:rPr>
        <w:t>“[w]here it is determined that the applicants’ relationship is based on fraud, no ‘rights’ can arise from such a relationship; and an absolutely necessary consequence is that no obligation arises under the Constitution, the ECHR or EU law to consider any such ‘rights’”</w:t>
      </w:r>
      <w:r w:rsidR="00AE72B2">
        <w:rPr>
          <w:rFonts w:cs="Times New Roman"/>
        </w:rPr>
        <w:t xml:space="preserve"> (para. 16). </w:t>
      </w:r>
      <w:r w:rsidR="00B1180F">
        <w:rPr>
          <w:rFonts w:cs="Times New Roman"/>
        </w:rPr>
        <w:t>It is not open to the parties to put forward a case based on fraud</w:t>
      </w:r>
      <w:r w:rsidR="00A13572">
        <w:rPr>
          <w:rFonts w:cs="Times New Roman"/>
        </w:rPr>
        <w:t xml:space="preserve">: to do so would amount to an abuse of process and, in the view of Humphreys J, the present application </w:t>
      </w:r>
      <w:r w:rsidR="00276ED6">
        <w:rPr>
          <w:rFonts w:cs="Times New Roman"/>
        </w:rPr>
        <w:t xml:space="preserve">clearly amounted to </w:t>
      </w:r>
      <w:r w:rsidR="008532E1">
        <w:rPr>
          <w:rFonts w:cs="Times New Roman"/>
        </w:rPr>
        <w:t xml:space="preserve">such </w:t>
      </w:r>
      <w:r w:rsidR="00276ED6">
        <w:rPr>
          <w:rFonts w:cs="Times New Roman"/>
        </w:rPr>
        <w:t xml:space="preserve">an abuse. </w:t>
      </w:r>
      <w:r w:rsidR="008532E1">
        <w:rPr>
          <w:rFonts w:cs="Times New Roman"/>
        </w:rPr>
        <w:t>This finding</w:t>
      </w:r>
      <w:r w:rsidR="00250AEC">
        <w:rPr>
          <w:rFonts w:cs="Times New Roman"/>
        </w:rPr>
        <w:t>,</w:t>
      </w:r>
      <w:r w:rsidR="008532E1">
        <w:rPr>
          <w:rFonts w:cs="Times New Roman"/>
        </w:rPr>
        <w:t xml:space="preserve"> </w:t>
      </w:r>
      <w:r w:rsidR="00503202">
        <w:rPr>
          <w:rFonts w:cs="Times New Roman"/>
        </w:rPr>
        <w:t>in his view</w:t>
      </w:r>
      <w:r w:rsidR="00250AEC">
        <w:rPr>
          <w:rFonts w:cs="Times New Roman"/>
        </w:rPr>
        <w:t>,</w:t>
      </w:r>
      <w:r w:rsidR="00503202">
        <w:rPr>
          <w:rFonts w:cs="Times New Roman"/>
        </w:rPr>
        <w:t xml:space="preserve"> </w:t>
      </w:r>
      <w:r w:rsidR="008532E1">
        <w:rPr>
          <w:rFonts w:cs="Times New Roman"/>
        </w:rPr>
        <w:t>would stand whether or not the marriage is technically</w:t>
      </w:r>
      <w:r w:rsidR="00503202">
        <w:rPr>
          <w:rFonts w:cs="Times New Roman"/>
        </w:rPr>
        <w:t xml:space="preserve"> </w:t>
      </w:r>
      <w:r w:rsidR="008532E1">
        <w:rPr>
          <w:rFonts w:cs="Times New Roman"/>
        </w:rPr>
        <w:t xml:space="preserve">valid in law.  </w:t>
      </w:r>
    </w:p>
    <w:p w14:paraId="0D4B035F" w14:textId="11CD057E" w:rsidR="00D44385" w:rsidRDefault="00D44385" w:rsidP="00775A4E">
      <w:pPr>
        <w:pStyle w:val="NoSpacing"/>
        <w:spacing w:line="480" w:lineRule="auto"/>
        <w:jc w:val="left"/>
        <w:rPr>
          <w:rFonts w:cs="Times New Roman"/>
        </w:rPr>
      </w:pPr>
    </w:p>
    <w:p w14:paraId="5CE71F5A" w14:textId="731E59FC" w:rsidR="009D16A4" w:rsidRPr="00775A4E" w:rsidRDefault="00BB7390" w:rsidP="00775A4E">
      <w:pPr>
        <w:pStyle w:val="NoSpacing"/>
        <w:numPr>
          <w:ilvl w:val="0"/>
          <w:numId w:val="8"/>
        </w:numPr>
        <w:spacing w:line="480" w:lineRule="auto"/>
        <w:ind w:left="0" w:firstLine="0"/>
        <w:rPr>
          <w:rFonts w:cs="Times New Roman"/>
          <w:b/>
          <w:bCs/>
          <w:i/>
          <w:iCs/>
        </w:rPr>
      </w:pPr>
      <w:r>
        <w:rPr>
          <w:rFonts w:cs="Times New Roman"/>
        </w:rPr>
        <w:t>Nonetheless, in the event that he was wrong about this, the learned judge went on to consider the question of whether</w:t>
      </w:r>
      <w:r w:rsidR="009041FD">
        <w:rPr>
          <w:rFonts w:cs="Times New Roman"/>
        </w:rPr>
        <w:t xml:space="preserve"> a marriage of convenience is a nullity in law, and came to the conclusion that it is. </w:t>
      </w:r>
      <w:r w:rsidR="00EC6D14">
        <w:rPr>
          <w:rFonts w:cs="Times New Roman"/>
        </w:rPr>
        <w:t xml:space="preserve">He noted that the </w:t>
      </w:r>
      <w:r w:rsidR="00EC6D14" w:rsidRPr="00EC6D14">
        <w:rPr>
          <w:rFonts w:cs="Times New Roman"/>
        </w:rPr>
        <w:t>Civil Registration (Amendment) Act 2014</w:t>
      </w:r>
      <w:r w:rsidR="00EC6D14">
        <w:rPr>
          <w:rFonts w:cs="Times New Roman"/>
        </w:rPr>
        <w:t xml:space="preserve"> provides that a marriage of convenience is a nullity. </w:t>
      </w:r>
      <w:r w:rsidR="000278FD">
        <w:rPr>
          <w:rFonts w:cs="Times New Roman"/>
        </w:rPr>
        <w:t xml:space="preserve">This legislation, he said, </w:t>
      </w:r>
      <w:r w:rsidR="00544016" w:rsidRPr="00544016">
        <w:rPr>
          <w:rFonts w:cs="Times New Roman"/>
          <w:i/>
          <w:iCs/>
        </w:rPr>
        <w:t>“</w:t>
      </w:r>
      <w:r w:rsidR="000278FD" w:rsidRPr="00544016">
        <w:rPr>
          <w:rFonts w:cs="Times New Roman"/>
          <w:i/>
          <w:iCs/>
        </w:rPr>
        <w:t xml:space="preserve">was </w:t>
      </w:r>
      <w:r w:rsidR="00544016" w:rsidRPr="00544016">
        <w:rPr>
          <w:rFonts w:cs="Times New Roman"/>
          <w:i/>
          <w:iCs/>
        </w:rPr>
        <w:t xml:space="preserve">necessitated by the troubling consequences of the decision of Hogan J. in Izmailovic v. Commissioner of An Garda Síochána &amp; </w:t>
      </w:r>
      <w:proofErr w:type="spellStart"/>
      <w:r w:rsidR="00544016" w:rsidRPr="00544016">
        <w:rPr>
          <w:rFonts w:cs="Times New Roman"/>
          <w:i/>
          <w:iCs/>
        </w:rPr>
        <w:t>Ors</w:t>
      </w:r>
      <w:proofErr w:type="spellEnd"/>
      <w:r w:rsidR="00544016" w:rsidRPr="00544016">
        <w:rPr>
          <w:rFonts w:cs="Times New Roman"/>
          <w:i/>
          <w:iCs/>
        </w:rPr>
        <w:t xml:space="preserve"> </w:t>
      </w:r>
      <w:r w:rsidR="00DD3433" w:rsidRPr="00DD3433">
        <w:rPr>
          <w:rFonts w:cs="Times New Roman"/>
          <w:i/>
          <w:iCs/>
        </w:rPr>
        <w:t>[2011] IEHC 32</w:t>
      </w:r>
      <w:r w:rsidR="00DD3433">
        <w:rPr>
          <w:rFonts w:cs="Times New Roman"/>
          <w:b/>
          <w:bCs/>
          <w:i/>
          <w:iCs/>
        </w:rPr>
        <w:t xml:space="preserve">, </w:t>
      </w:r>
      <w:r w:rsidR="00544016" w:rsidRPr="00DD3433">
        <w:rPr>
          <w:rFonts w:cs="Times New Roman"/>
          <w:i/>
          <w:iCs/>
        </w:rPr>
        <w:t xml:space="preserve">[2011] 2 I.R. 522 </w:t>
      </w:r>
      <w:r w:rsidR="00771C31">
        <w:t>(“</w:t>
      </w:r>
      <w:r w:rsidR="00771C31" w:rsidRPr="00DD3433">
        <w:rPr>
          <w:i/>
          <w:iCs/>
        </w:rPr>
        <w:t>Izmailovic</w:t>
      </w:r>
      <w:r w:rsidR="00771C31">
        <w:t xml:space="preserve">”) </w:t>
      </w:r>
      <w:r w:rsidR="00544016" w:rsidRPr="00DD3433">
        <w:rPr>
          <w:rFonts w:cs="Times New Roman"/>
          <w:i/>
          <w:iCs/>
        </w:rPr>
        <w:t>to the effect that a marriage of convenience was valid in law.”</w:t>
      </w:r>
      <w:r w:rsidR="00771C31" w:rsidRPr="00EF5A39">
        <w:rPr>
          <w:rFonts w:cs="Times New Roman"/>
        </w:rPr>
        <w:t xml:space="preserve"> He described the State as having launched “a direct attack” on the correctness of </w:t>
      </w:r>
      <w:r w:rsidR="002E27F7" w:rsidRPr="00D6292D">
        <w:rPr>
          <w:rFonts w:cs="Times New Roman"/>
        </w:rPr>
        <w:t>that decision in these proceedings</w:t>
      </w:r>
      <w:r w:rsidR="009151F0" w:rsidRPr="00D6292D">
        <w:rPr>
          <w:rFonts w:cs="Times New Roman"/>
        </w:rPr>
        <w:t xml:space="preserve"> and therefore dealt with </w:t>
      </w:r>
      <w:r w:rsidR="00A610D8" w:rsidRPr="00D6292D">
        <w:rPr>
          <w:rFonts w:cs="Times New Roman"/>
        </w:rPr>
        <w:t xml:space="preserve">their </w:t>
      </w:r>
      <w:r w:rsidR="009151F0" w:rsidRPr="00964DBA">
        <w:rPr>
          <w:rFonts w:cs="Times New Roman"/>
        </w:rPr>
        <w:t>contention</w:t>
      </w:r>
      <w:r w:rsidR="00A610D8" w:rsidRPr="00964DBA">
        <w:rPr>
          <w:rFonts w:cs="Times New Roman"/>
        </w:rPr>
        <w:t xml:space="preserve"> (paras. 19 and 20 of the judgment)</w:t>
      </w:r>
      <w:r w:rsidR="00396ECA" w:rsidRPr="00964DBA">
        <w:rPr>
          <w:rFonts w:cs="Times New Roman"/>
        </w:rPr>
        <w:t>.</w:t>
      </w:r>
    </w:p>
    <w:p w14:paraId="11A884BF" w14:textId="77777777" w:rsidR="009D16A4" w:rsidRDefault="009D16A4" w:rsidP="00775A4E">
      <w:pPr>
        <w:pStyle w:val="NoSpacing"/>
        <w:spacing w:line="480" w:lineRule="auto"/>
        <w:jc w:val="left"/>
        <w:rPr>
          <w:rFonts w:cs="Times New Roman"/>
        </w:rPr>
      </w:pPr>
    </w:p>
    <w:p w14:paraId="1BDCF5AA" w14:textId="7AFC96F0" w:rsidR="00C509BF" w:rsidRDefault="00B7789E" w:rsidP="00775A4E">
      <w:pPr>
        <w:pStyle w:val="NoSpacing"/>
        <w:numPr>
          <w:ilvl w:val="0"/>
          <w:numId w:val="8"/>
        </w:numPr>
        <w:spacing w:line="480" w:lineRule="auto"/>
        <w:ind w:left="0" w:firstLine="0"/>
        <w:jc w:val="left"/>
        <w:rPr>
          <w:rFonts w:cs="Times New Roman"/>
        </w:rPr>
      </w:pPr>
      <w:r>
        <w:rPr>
          <w:rFonts w:cs="Times New Roman"/>
        </w:rPr>
        <w:t xml:space="preserve">For a number of reasons, dealt with </w:t>
      </w:r>
      <w:r w:rsidR="00F40400">
        <w:rPr>
          <w:rFonts w:cs="Times New Roman"/>
        </w:rPr>
        <w:t xml:space="preserve">in </w:t>
      </w:r>
      <w:r w:rsidR="00A610D8">
        <w:rPr>
          <w:rFonts w:cs="Times New Roman"/>
        </w:rPr>
        <w:t>greater</w:t>
      </w:r>
      <w:r>
        <w:rPr>
          <w:rFonts w:cs="Times New Roman"/>
        </w:rPr>
        <w:t xml:space="preserve"> detail below, Humphreys J</w:t>
      </w:r>
      <w:r w:rsidR="00F40400">
        <w:rPr>
          <w:rFonts w:cs="Times New Roman"/>
        </w:rPr>
        <w:t>.</w:t>
      </w:r>
      <w:r>
        <w:rPr>
          <w:rFonts w:cs="Times New Roman"/>
        </w:rPr>
        <w:t xml:space="preserve"> disagreed with the conclusion reached by Hogan </w:t>
      </w:r>
      <w:r w:rsidR="001513A6">
        <w:rPr>
          <w:rFonts w:cs="Times New Roman"/>
        </w:rPr>
        <w:t xml:space="preserve">J. </w:t>
      </w:r>
      <w:r>
        <w:rPr>
          <w:rFonts w:cs="Times New Roman"/>
        </w:rPr>
        <w:t xml:space="preserve">in </w:t>
      </w:r>
      <w:r w:rsidRPr="00771C31">
        <w:rPr>
          <w:i/>
          <w:iCs/>
        </w:rPr>
        <w:t>Izmailovic</w:t>
      </w:r>
      <w:r>
        <w:t xml:space="preserve">. </w:t>
      </w:r>
      <w:r w:rsidR="00122E72">
        <w:t>In short, he felt that Hogan J</w:t>
      </w:r>
      <w:r w:rsidR="00F40400">
        <w:t>.</w:t>
      </w:r>
      <w:r w:rsidR="00122E72">
        <w:t xml:space="preserve"> had been overly influenced by English law, particularly</w:t>
      </w:r>
      <w:r w:rsidR="00AF0018">
        <w:t xml:space="preserve"> the decision of the House of Lords in </w:t>
      </w:r>
      <w:proofErr w:type="spellStart"/>
      <w:r w:rsidR="00AF0018" w:rsidRPr="00AF0018">
        <w:rPr>
          <w:i/>
          <w:iCs/>
        </w:rPr>
        <w:t>Vervaeke</w:t>
      </w:r>
      <w:proofErr w:type="spellEnd"/>
      <w:r w:rsidR="00AF0018" w:rsidRPr="00AF0018">
        <w:rPr>
          <w:i/>
          <w:iCs/>
        </w:rPr>
        <w:t xml:space="preserve"> v. Smith</w:t>
      </w:r>
      <w:r w:rsidR="00AF0018" w:rsidRPr="00AF0018">
        <w:t xml:space="preserve"> [1983] </w:t>
      </w:r>
      <w:r w:rsidR="00AF0018">
        <w:t xml:space="preserve">1 </w:t>
      </w:r>
      <w:r w:rsidR="00AF0018" w:rsidRPr="00AF0018">
        <w:t>A.C. 145</w:t>
      </w:r>
      <w:r w:rsidR="00AF0018">
        <w:t xml:space="preserve">; </w:t>
      </w:r>
      <w:r w:rsidR="00AD2551">
        <w:t xml:space="preserve">had misread the decision of this Court in </w:t>
      </w:r>
      <w:r w:rsidR="00AD2551">
        <w:rPr>
          <w:i/>
          <w:iCs/>
        </w:rPr>
        <w:t>H</w:t>
      </w:r>
      <w:r w:rsidR="00890083">
        <w:rPr>
          <w:i/>
          <w:iCs/>
        </w:rPr>
        <w:t>.S.</w:t>
      </w:r>
      <w:r w:rsidR="00AD2551">
        <w:rPr>
          <w:i/>
          <w:iCs/>
        </w:rPr>
        <w:t xml:space="preserve"> v. </w:t>
      </w:r>
      <w:r w:rsidR="00890083">
        <w:rPr>
          <w:i/>
          <w:iCs/>
        </w:rPr>
        <w:t>J.</w:t>
      </w:r>
      <w:r w:rsidR="00AD2551">
        <w:rPr>
          <w:i/>
          <w:iCs/>
        </w:rPr>
        <w:t>S</w:t>
      </w:r>
      <w:r w:rsidR="00E81D80">
        <w:t xml:space="preserve"> (Unreported, Supreme Court, 3</w:t>
      </w:r>
      <w:r w:rsidR="00E81D80" w:rsidRPr="00E81D80">
        <w:rPr>
          <w:vertAlign w:val="superscript"/>
        </w:rPr>
        <w:t>rd</w:t>
      </w:r>
      <w:r w:rsidR="00E81D80">
        <w:t xml:space="preserve"> April, 1992); </w:t>
      </w:r>
      <w:r w:rsidR="00492609">
        <w:t xml:space="preserve">and had failed to </w:t>
      </w:r>
      <w:r w:rsidR="00DF58F1">
        <w:t xml:space="preserve">have </w:t>
      </w:r>
      <w:r w:rsidR="00DF58F1" w:rsidRPr="0092352F">
        <w:rPr>
          <w:rFonts w:cs="Times New Roman"/>
        </w:rPr>
        <w:t>regard</w:t>
      </w:r>
      <w:r w:rsidR="00492609">
        <w:t xml:space="preserve"> to the relevant case of </w:t>
      </w:r>
      <w:r w:rsidR="00492609">
        <w:rPr>
          <w:i/>
          <w:iCs/>
        </w:rPr>
        <w:t xml:space="preserve">Kelly v. Ireland </w:t>
      </w:r>
      <w:r w:rsidR="00492609">
        <w:t>[1996] 3 I.R. 537</w:t>
      </w:r>
      <w:r w:rsidR="00EA0389">
        <w:t>. He further rejected Hogan J’s contention that the common law traditionally has never provided for a general abuse of rights doctrine of this nature in the sphere of private law</w:t>
      </w:r>
      <w:r w:rsidR="00CF6AAD">
        <w:t xml:space="preserve">, finding this to be </w:t>
      </w:r>
      <w:r w:rsidR="00CF6AAD" w:rsidRPr="00CF6AAD">
        <w:rPr>
          <w:i/>
          <w:iCs/>
        </w:rPr>
        <w:t>“a considerable overstatement and oversimplification”</w:t>
      </w:r>
      <w:r w:rsidR="00CF6AAD">
        <w:t xml:space="preserve">. </w:t>
      </w:r>
      <w:r w:rsidR="004524F7">
        <w:t xml:space="preserve">Finally, </w:t>
      </w:r>
      <w:r w:rsidR="00C509BF">
        <w:t xml:space="preserve">in this regard, </w:t>
      </w:r>
      <w:r w:rsidR="004524F7">
        <w:t xml:space="preserve">Humphreys </w:t>
      </w:r>
      <w:r w:rsidR="001513A6">
        <w:t xml:space="preserve">J.  </w:t>
      </w:r>
      <w:r w:rsidR="004524F7">
        <w:t xml:space="preserve">took the view that </w:t>
      </w:r>
      <w:r w:rsidR="004524F7" w:rsidRPr="00544016">
        <w:rPr>
          <w:rFonts w:cs="Times New Roman"/>
          <w:i/>
          <w:iCs/>
        </w:rPr>
        <w:t>Izmailovic</w:t>
      </w:r>
      <w:r w:rsidR="004524F7">
        <w:rPr>
          <w:rFonts w:cs="Times New Roman"/>
        </w:rPr>
        <w:t xml:space="preserve"> paid little attention to </w:t>
      </w:r>
      <w:r w:rsidR="004524F7" w:rsidRPr="004524F7">
        <w:rPr>
          <w:rFonts w:cs="Times New Roman"/>
          <w:i/>
          <w:iCs/>
        </w:rPr>
        <w:t>“the damaging consequences that were going to be unleashed by the decision”</w:t>
      </w:r>
      <w:r w:rsidR="00733CBB">
        <w:rPr>
          <w:rFonts w:cs="Times New Roman"/>
        </w:rPr>
        <w:t xml:space="preserve">; he referred to an </w:t>
      </w:r>
      <w:r w:rsidR="00733CBB">
        <w:rPr>
          <w:rFonts w:cs="Times New Roman"/>
          <w:i/>
          <w:iCs/>
        </w:rPr>
        <w:t xml:space="preserve">Irish Times </w:t>
      </w:r>
      <w:r w:rsidR="003E5512">
        <w:rPr>
          <w:rFonts w:cs="Times New Roman"/>
        </w:rPr>
        <w:t xml:space="preserve">article attributing a rise in </w:t>
      </w:r>
      <w:r w:rsidR="00D902E0">
        <w:rPr>
          <w:rFonts w:cs="Times New Roman"/>
        </w:rPr>
        <w:t>trafficked women</w:t>
      </w:r>
      <w:r w:rsidR="00756E3C">
        <w:rPr>
          <w:rFonts w:cs="Times New Roman"/>
        </w:rPr>
        <w:t xml:space="preserve"> to that </w:t>
      </w:r>
      <w:r w:rsidR="00D01CB3">
        <w:rPr>
          <w:rFonts w:cs="Times New Roman"/>
        </w:rPr>
        <w:t>judgment</w:t>
      </w:r>
      <w:r w:rsidR="00F1099D">
        <w:rPr>
          <w:rFonts w:cs="Times New Roman"/>
        </w:rPr>
        <w:t xml:space="preserve"> and held that </w:t>
      </w:r>
      <w:r w:rsidR="00F1099D" w:rsidRPr="00F1099D">
        <w:rPr>
          <w:rFonts w:cs="Times New Roman"/>
          <w:i/>
          <w:iCs/>
        </w:rPr>
        <w:t>“[s]</w:t>
      </w:r>
      <w:proofErr w:type="spellStart"/>
      <w:r w:rsidR="00F1099D" w:rsidRPr="00F1099D">
        <w:rPr>
          <w:rFonts w:cs="Times New Roman"/>
          <w:i/>
          <w:iCs/>
        </w:rPr>
        <w:t>uch</w:t>
      </w:r>
      <w:proofErr w:type="spellEnd"/>
      <w:r w:rsidR="00F1099D" w:rsidRPr="00F1099D">
        <w:rPr>
          <w:rFonts w:cs="Times New Roman"/>
          <w:i/>
          <w:iCs/>
        </w:rPr>
        <w:t xml:space="preserve"> consequences … support an interpretation of the law of nullity of marriage that firmly closes the door on such an abuse of human rights, of the institution of marriage, of the immigration system and of the legal process”</w:t>
      </w:r>
      <w:r w:rsidR="00F1099D">
        <w:rPr>
          <w:rFonts w:cs="Times New Roman"/>
        </w:rPr>
        <w:t xml:space="preserve"> </w:t>
      </w:r>
      <w:r w:rsidR="00A610D8">
        <w:rPr>
          <w:rFonts w:cs="Times New Roman"/>
        </w:rPr>
        <w:t>(paras. 21</w:t>
      </w:r>
      <w:r w:rsidR="00985C11">
        <w:rPr>
          <w:rFonts w:cs="Times New Roman"/>
        </w:rPr>
        <w:t>-</w:t>
      </w:r>
      <w:r w:rsidR="00A610D8">
        <w:rPr>
          <w:rFonts w:cs="Times New Roman"/>
        </w:rPr>
        <w:t>25 of the judgment)</w:t>
      </w:r>
      <w:r w:rsidR="00985C11">
        <w:rPr>
          <w:rFonts w:cs="Times New Roman"/>
        </w:rPr>
        <w:t>.</w:t>
      </w:r>
    </w:p>
    <w:p w14:paraId="6F869F63" w14:textId="77777777" w:rsidR="00C509BF" w:rsidRDefault="00C509BF" w:rsidP="00775A4E">
      <w:pPr>
        <w:pStyle w:val="NoSpacing"/>
        <w:spacing w:line="480" w:lineRule="auto"/>
        <w:jc w:val="left"/>
        <w:rPr>
          <w:rFonts w:cs="Times New Roman"/>
        </w:rPr>
      </w:pPr>
    </w:p>
    <w:p w14:paraId="65895CA1" w14:textId="117DE19B" w:rsidR="009B0D32" w:rsidRPr="00F1099D" w:rsidRDefault="00C509BF" w:rsidP="00775A4E">
      <w:pPr>
        <w:pStyle w:val="NoSpacing"/>
        <w:numPr>
          <w:ilvl w:val="0"/>
          <w:numId w:val="8"/>
        </w:numPr>
        <w:spacing w:line="480" w:lineRule="auto"/>
        <w:ind w:left="0" w:firstLine="0"/>
        <w:jc w:val="left"/>
      </w:pPr>
      <w:r>
        <w:rPr>
          <w:rFonts w:cs="Times New Roman"/>
        </w:rPr>
        <w:t xml:space="preserve">Additionally, the learned judge held that if he was incorrect in relation to the foregoing, he would in any event refuse relief on a discretionary basis in light of the </w:t>
      </w:r>
      <w:r w:rsidR="0011674E">
        <w:rPr>
          <w:rFonts w:cs="Times New Roman"/>
        </w:rPr>
        <w:t xml:space="preserve">Appellants’ </w:t>
      </w:r>
      <w:r w:rsidR="0011674E" w:rsidRPr="00C509BF">
        <w:rPr>
          <w:rFonts w:cs="Times New Roman"/>
        </w:rPr>
        <w:t xml:space="preserve">egregious lack of candour and wrongful conduct in their interactions with the </w:t>
      </w:r>
      <w:r w:rsidR="0011674E">
        <w:rPr>
          <w:rFonts w:cs="Times New Roman"/>
        </w:rPr>
        <w:t>R</w:t>
      </w:r>
      <w:r w:rsidR="0011674E" w:rsidRPr="00C509BF">
        <w:rPr>
          <w:rFonts w:cs="Times New Roman"/>
        </w:rPr>
        <w:t>espondent</w:t>
      </w:r>
      <w:r w:rsidR="00A610D8">
        <w:rPr>
          <w:rFonts w:cs="Times New Roman"/>
        </w:rPr>
        <w:t xml:space="preserve"> (paras. 29</w:t>
      </w:r>
      <w:r w:rsidR="001E7C55">
        <w:rPr>
          <w:rFonts w:cs="Times New Roman"/>
        </w:rPr>
        <w:t>-</w:t>
      </w:r>
      <w:r w:rsidR="00A610D8">
        <w:rPr>
          <w:rFonts w:cs="Times New Roman"/>
        </w:rPr>
        <w:t>31 of the judgment)</w:t>
      </w:r>
      <w:r w:rsidR="001E7C55">
        <w:rPr>
          <w:rFonts w:cs="Times New Roman"/>
        </w:rPr>
        <w:t>.</w:t>
      </w:r>
    </w:p>
    <w:p w14:paraId="7546980E" w14:textId="77777777" w:rsidR="00C509BF" w:rsidRDefault="00C509BF" w:rsidP="00775A4E">
      <w:pPr>
        <w:pStyle w:val="NoSpacing"/>
        <w:spacing w:line="480" w:lineRule="auto"/>
        <w:jc w:val="left"/>
        <w:rPr>
          <w:rFonts w:cs="Times New Roman"/>
        </w:rPr>
      </w:pPr>
    </w:p>
    <w:p w14:paraId="21B35050" w14:textId="67341603" w:rsidR="00172CC7" w:rsidRPr="00FD4174" w:rsidRDefault="00650B4F" w:rsidP="00775A4E">
      <w:pPr>
        <w:pStyle w:val="NoSpacing"/>
        <w:numPr>
          <w:ilvl w:val="0"/>
          <w:numId w:val="8"/>
        </w:numPr>
        <w:spacing w:line="480" w:lineRule="auto"/>
        <w:ind w:left="0" w:firstLine="0"/>
        <w:jc w:val="left"/>
        <w:rPr>
          <w:rFonts w:cs="Times New Roman"/>
        </w:rPr>
      </w:pPr>
      <w:r>
        <w:rPr>
          <w:rFonts w:cs="Times New Roman"/>
        </w:rPr>
        <w:t xml:space="preserve">In a further judgment delivered on the </w:t>
      </w:r>
      <w:r w:rsidR="00A2227D">
        <w:rPr>
          <w:rFonts w:cs="Times New Roman"/>
        </w:rPr>
        <w:t>16</w:t>
      </w:r>
      <w:r w:rsidR="00A2227D" w:rsidRPr="00A2227D">
        <w:rPr>
          <w:rFonts w:cs="Times New Roman"/>
          <w:vertAlign w:val="superscript"/>
        </w:rPr>
        <w:t>th</w:t>
      </w:r>
      <w:r w:rsidR="00A2227D">
        <w:rPr>
          <w:rFonts w:cs="Times New Roman"/>
        </w:rPr>
        <w:t xml:space="preserve"> April, 2018, Humphreys </w:t>
      </w:r>
      <w:r w:rsidR="001513A6">
        <w:rPr>
          <w:rFonts w:cs="Times New Roman"/>
        </w:rPr>
        <w:t xml:space="preserve">J. </w:t>
      </w:r>
      <w:r w:rsidR="00A2227D">
        <w:rPr>
          <w:rFonts w:cs="Times New Roman"/>
        </w:rPr>
        <w:t>dismissed the Appellants</w:t>
      </w:r>
      <w:r w:rsidR="00EE3905">
        <w:rPr>
          <w:rFonts w:cs="Times New Roman"/>
        </w:rPr>
        <w:t>’</w:t>
      </w:r>
      <w:r w:rsidR="00A2227D">
        <w:rPr>
          <w:rFonts w:cs="Times New Roman"/>
        </w:rPr>
        <w:t xml:space="preserve"> </w:t>
      </w:r>
      <w:r w:rsidR="009A2AD3">
        <w:rPr>
          <w:rFonts w:cs="Times New Roman"/>
        </w:rPr>
        <w:t xml:space="preserve">application for leave to appeal </w:t>
      </w:r>
      <w:r w:rsidR="0086142E">
        <w:rPr>
          <w:rFonts w:cs="Times New Roman"/>
        </w:rPr>
        <w:t xml:space="preserve">to the Court of Appeal </w:t>
      </w:r>
      <w:r w:rsidR="009A2AD3">
        <w:rPr>
          <w:rFonts w:cs="Times New Roman"/>
        </w:rPr>
        <w:t>from his original judgment (</w:t>
      </w:r>
      <w:r w:rsidR="00455BEE" w:rsidRPr="00455BEE">
        <w:rPr>
          <w:rFonts w:cs="Times New Roman"/>
          <w:i/>
          <w:iCs/>
        </w:rPr>
        <w:t>M.K.F.S. (Pakistan) v. The Minister for Justice and Equality (No. 2)</w:t>
      </w:r>
      <w:r w:rsidR="00455BEE">
        <w:rPr>
          <w:rFonts w:cs="Times New Roman"/>
        </w:rPr>
        <w:t xml:space="preserve"> [2018] IEHC 222). </w:t>
      </w:r>
      <w:r w:rsidR="00730D2D">
        <w:rPr>
          <w:rFonts w:cs="Times New Roman"/>
        </w:rPr>
        <w:t xml:space="preserve">He </w:t>
      </w:r>
      <w:r w:rsidR="00A46BD8">
        <w:rPr>
          <w:rFonts w:cs="Times New Roman"/>
        </w:rPr>
        <w:lastRenderedPageBreak/>
        <w:t>was not persuaded</w:t>
      </w:r>
      <w:r w:rsidR="009E2D0F">
        <w:rPr>
          <w:rFonts w:cs="Times New Roman"/>
        </w:rPr>
        <w:t xml:space="preserve"> </w:t>
      </w:r>
      <w:r w:rsidR="00A46BD8">
        <w:rPr>
          <w:rFonts w:cs="Times New Roman"/>
        </w:rPr>
        <w:t xml:space="preserve">by </w:t>
      </w:r>
      <w:r w:rsidR="009E2D0F">
        <w:rPr>
          <w:rFonts w:cs="Times New Roman"/>
        </w:rPr>
        <w:t xml:space="preserve">the Appellant’s </w:t>
      </w:r>
      <w:r w:rsidR="00A46BD8">
        <w:rPr>
          <w:rFonts w:cs="Times New Roman"/>
        </w:rPr>
        <w:t xml:space="preserve">contention </w:t>
      </w:r>
      <w:r w:rsidR="009E2D0F">
        <w:rPr>
          <w:rFonts w:cs="Times New Roman"/>
        </w:rPr>
        <w:t xml:space="preserve">that there </w:t>
      </w:r>
      <w:r w:rsidR="00A46BD8">
        <w:rPr>
          <w:rFonts w:cs="Times New Roman"/>
        </w:rPr>
        <w:t>existed a</w:t>
      </w:r>
      <w:r w:rsidR="00852A42">
        <w:rPr>
          <w:rFonts w:cs="Times New Roman"/>
        </w:rPr>
        <w:t xml:space="preserve"> conflict between </w:t>
      </w:r>
      <w:r w:rsidR="00852A42">
        <w:rPr>
          <w:rFonts w:cs="Times New Roman"/>
          <w:i/>
          <w:iCs/>
        </w:rPr>
        <w:t xml:space="preserve">M.K.F.S. (Pakistan) (No. 1) </w:t>
      </w:r>
      <w:r w:rsidR="00852A42">
        <w:rPr>
          <w:rFonts w:cs="Times New Roman"/>
        </w:rPr>
        <w:t xml:space="preserve">and the judgment of Hogan </w:t>
      </w:r>
      <w:r w:rsidR="001513A6">
        <w:rPr>
          <w:rFonts w:cs="Times New Roman"/>
        </w:rPr>
        <w:t xml:space="preserve">J. </w:t>
      </w:r>
      <w:r w:rsidR="00852A42">
        <w:rPr>
          <w:rFonts w:cs="Times New Roman"/>
        </w:rPr>
        <w:t xml:space="preserve">in </w:t>
      </w:r>
      <w:r w:rsidR="00852A42">
        <w:rPr>
          <w:rFonts w:cs="Times New Roman"/>
          <w:i/>
          <w:iCs/>
        </w:rPr>
        <w:t>Izmailovic</w:t>
      </w:r>
      <w:r w:rsidR="00CF5C06">
        <w:rPr>
          <w:rFonts w:cs="Times New Roman"/>
        </w:rPr>
        <w:t xml:space="preserve">; Humphreys </w:t>
      </w:r>
      <w:r w:rsidR="001513A6">
        <w:rPr>
          <w:rFonts w:cs="Times New Roman"/>
        </w:rPr>
        <w:t xml:space="preserve">J. </w:t>
      </w:r>
      <w:r w:rsidR="00CF5C06">
        <w:rPr>
          <w:rFonts w:cs="Times New Roman"/>
        </w:rPr>
        <w:t>stated</w:t>
      </w:r>
      <w:r w:rsidR="00852A42">
        <w:rPr>
          <w:rFonts w:cs="Times New Roman"/>
        </w:rPr>
        <w:t xml:space="preserve"> </w:t>
      </w:r>
      <w:r w:rsidR="0006242B">
        <w:rPr>
          <w:rFonts w:cs="Times New Roman"/>
        </w:rPr>
        <w:t xml:space="preserve">he </w:t>
      </w:r>
      <w:r w:rsidR="009C6C19">
        <w:rPr>
          <w:rFonts w:cs="Times New Roman"/>
        </w:rPr>
        <w:t xml:space="preserve">had </w:t>
      </w:r>
      <w:r w:rsidR="0006242B">
        <w:rPr>
          <w:rFonts w:cs="Times New Roman"/>
        </w:rPr>
        <w:t xml:space="preserve">disagreed with </w:t>
      </w:r>
      <w:r w:rsidR="009C6C19">
        <w:rPr>
          <w:rFonts w:cs="Times New Roman"/>
          <w:i/>
          <w:iCs/>
        </w:rPr>
        <w:t>Izmailovic</w:t>
      </w:r>
      <w:r w:rsidR="009C6C19">
        <w:rPr>
          <w:rFonts w:cs="Times New Roman"/>
        </w:rPr>
        <w:t xml:space="preserve"> </w:t>
      </w:r>
      <w:r w:rsidR="007A7ACE">
        <w:rPr>
          <w:rFonts w:cs="Times New Roman"/>
        </w:rPr>
        <w:t>because</w:t>
      </w:r>
      <w:r w:rsidR="009629AA">
        <w:rPr>
          <w:rFonts w:cs="Times New Roman"/>
        </w:rPr>
        <w:t xml:space="preserve"> he had taken the view that Hogan </w:t>
      </w:r>
      <w:r w:rsidR="001513A6">
        <w:rPr>
          <w:rFonts w:cs="Times New Roman"/>
        </w:rPr>
        <w:t xml:space="preserve">J. </w:t>
      </w:r>
      <w:r w:rsidR="009629AA">
        <w:rPr>
          <w:rFonts w:cs="Times New Roman"/>
        </w:rPr>
        <w:t>had not properly taken into account</w:t>
      </w:r>
      <w:r w:rsidR="00FD4174">
        <w:rPr>
          <w:rFonts w:cs="Times New Roman"/>
        </w:rPr>
        <w:t xml:space="preserve"> the judgment in </w:t>
      </w:r>
      <w:r w:rsidR="00FD4174" w:rsidRPr="00FD4174">
        <w:rPr>
          <w:rFonts w:cs="Times New Roman"/>
          <w:i/>
          <w:iCs/>
        </w:rPr>
        <w:t>H</w:t>
      </w:r>
      <w:r w:rsidR="00890083">
        <w:rPr>
          <w:rFonts w:cs="Times New Roman"/>
          <w:i/>
          <w:iCs/>
        </w:rPr>
        <w:t>.S.</w:t>
      </w:r>
      <w:r w:rsidR="00FD4174" w:rsidRPr="00FD4174">
        <w:rPr>
          <w:rFonts w:cs="Times New Roman"/>
          <w:i/>
          <w:iCs/>
        </w:rPr>
        <w:t xml:space="preserve"> v. </w:t>
      </w:r>
      <w:r w:rsidR="00890083">
        <w:rPr>
          <w:rFonts w:cs="Times New Roman"/>
          <w:i/>
          <w:iCs/>
        </w:rPr>
        <w:t>J.</w:t>
      </w:r>
      <w:r w:rsidR="00FD4174" w:rsidRPr="00FD4174">
        <w:rPr>
          <w:rFonts w:cs="Times New Roman"/>
          <w:i/>
          <w:iCs/>
        </w:rPr>
        <w:t xml:space="preserve">S </w:t>
      </w:r>
      <w:r w:rsidR="00FD4174">
        <w:rPr>
          <w:rFonts w:cs="Times New Roman"/>
        </w:rPr>
        <w:t xml:space="preserve">and had not taken </w:t>
      </w:r>
      <w:r w:rsidR="00FD4174">
        <w:rPr>
          <w:rFonts w:cs="Times New Roman"/>
          <w:i/>
          <w:iCs/>
        </w:rPr>
        <w:t xml:space="preserve">Kelly v. Ireland </w:t>
      </w:r>
      <w:r w:rsidR="00FD4174">
        <w:rPr>
          <w:rFonts w:cs="Times New Roman"/>
        </w:rPr>
        <w:t xml:space="preserve">into account at all. </w:t>
      </w:r>
      <w:r w:rsidR="00615F1A">
        <w:rPr>
          <w:rFonts w:cs="Times New Roman"/>
        </w:rPr>
        <w:t xml:space="preserve">Thus, this was entirely different from the conflict-of-view situation which arises where a judgment has taken into account all relevant jurisprudence and produces a conclusion which is at odds </w:t>
      </w:r>
      <w:r w:rsidR="00110E76">
        <w:rPr>
          <w:rFonts w:cs="Times New Roman"/>
        </w:rPr>
        <w:t xml:space="preserve">with </w:t>
      </w:r>
      <w:r w:rsidR="00CF5C06">
        <w:rPr>
          <w:rFonts w:cs="Times New Roman"/>
        </w:rPr>
        <w:t>another</w:t>
      </w:r>
      <w:r w:rsidR="00110E76">
        <w:rPr>
          <w:rFonts w:cs="Times New Roman"/>
        </w:rPr>
        <w:t xml:space="preserve"> decision where all of the relevant material had been reviewed.</w:t>
      </w:r>
      <w:r w:rsidR="0086408F">
        <w:rPr>
          <w:rFonts w:cs="Times New Roman"/>
        </w:rPr>
        <w:t xml:space="preserve"> He moreover held that the question proposed by the Appellant</w:t>
      </w:r>
      <w:r w:rsidR="00EE3905">
        <w:rPr>
          <w:rFonts w:cs="Times New Roman"/>
        </w:rPr>
        <w:t>s</w:t>
      </w:r>
      <w:r w:rsidR="0086408F">
        <w:rPr>
          <w:rFonts w:cs="Times New Roman"/>
        </w:rPr>
        <w:t xml:space="preserve"> (concerning whether </w:t>
      </w:r>
      <w:r w:rsidR="00506A9E">
        <w:rPr>
          <w:rFonts w:cs="Times New Roman"/>
        </w:rPr>
        <w:t>the marriage was rendered a nullity by virtue of the Minister’s decision that it was a marriage of convenience)</w:t>
      </w:r>
      <w:r w:rsidR="000D1583">
        <w:rPr>
          <w:rFonts w:cs="Times New Roman"/>
        </w:rPr>
        <w:t xml:space="preserve"> was not suitable for leave to appeal in any event, as it could not be a decisive point</w:t>
      </w:r>
      <w:r w:rsidR="008500CC">
        <w:rPr>
          <w:rFonts w:cs="Times New Roman"/>
        </w:rPr>
        <w:t>:</w:t>
      </w:r>
      <w:r w:rsidR="000D1583">
        <w:rPr>
          <w:rFonts w:cs="Times New Roman"/>
        </w:rPr>
        <w:t xml:space="preserve"> </w:t>
      </w:r>
      <w:r w:rsidR="008500CC">
        <w:rPr>
          <w:rFonts w:cs="Times New Roman"/>
        </w:rPr>
        <w:t>t</w:t>
      </w:r>
      <w:r w:rsidR="000D1583">
        <w:rPr>
          <w:rFonts w:cs="Times New Roman"/>
        </w:rPr>
        <w:t xml:space="preserve">he reason for this was that Humphreys </w:t>
      </w:r>
      <w:r w:rsidR="001513A6">
        <w:rPr>
          <w:rFonts w:cs="Times New Roman"/>
        </w:rPr>
        <w:t xml:space="preserve">J. </w:t>
      </w:r>
      <w:r w:rsidR="00E860A5">
        <w:rPr>
          <w:rFonts w:cs="Times New Roman"/>
        </w:rPr>
        <w:t xml:space="preserve">had </w:t>
      </w:r>
      <w:r w:rsidR="00EE3CEA">
        <w:rPr>
          <w:rFonts w:cs="Times New Roman"/>
        </w:rPr>
        <w:t xml:space="preserve">additionally </w:t>
      </w:r>
      <w:r w:rsidR="008500CC">
        <w:rPr>
          <w:rFonts w:cs="Times New Roman"/>
        </w:rPr>
        <w:t>dismissed the application (</w:t>
      </w:r>
      <w:proofErr w:type="spellStart"/>
      <w:r w:rsidR="008500CC">
        <w:rPr>
          <w:rFonts w:cs="Times New Roman"/>
        </w:rPr>
        <w:t>i</w:t>
      </w:r>
      <w:proofErr w:type="spellEnd"/>
      <w:r w:rsidR="008500CC">
        <w:rPr>
          <w:rFonts w:cs="Times New Roman"/>
        </w:rPr>
        <w:t xml:space="preserve">) </w:t>
      </w:r>
      <w:r w:rsidR="00EE3CEA">
        <w:rPr>
          <w:rFonts w:cs="Times New Roman"/>
        </w:rPr>
        <w:t xml:space="preserve">on the basis that </w:t>
      </w:r>
      <w:r w:rsidR="0064141E">
        <w:rPr>
          <w:rFonts w:cs="Times New Roman"/>
        </w:rPr>
        <w:t>one cannot assert constitutional</w:t>
      </w:r>
      <w:r w:rsidR="00110E76">
        <w:rPr>
          <w:rFonts w:cs="Times New Roman"/>
        </w:rPr>
        <w:t xml:space="preserve"> </w:t>
      </w:r>
      <w:r w:rsidR="0064141E">
        <w:rPr>
          <w:rFonts w:cs="Times New Roman"/>
        </w:rPr>
        <w:t xml:space="preserve">rights based on a marriage of convenience even if it is valid and </w:t>
      </w:r>
      <w:r w:rsidR="00EE3CEA">
        <w:rPr>
          <w:rFonts w:cs="Times New Roman"/>
        </w:rPr>
        <w:t xml:space="preserve">(ii) </w:t>
      </w:r>
      <w:r w:rsidR="00E94E50">
        <w:rPr>
          <w:rFonts w:cs="Times New Roman"/>
        </w:rPr>
        <w:t xml:space="preserve">on discretionary </w:t>
      </w:r>
      <w:r w:rsidR="00391F6E">
        <w:rPr>
          <w:rFonts w:cs="Times New Roman"/>
        </w:rPr>
        <w:t xml:space="preserve">grounds. </w:t>
      </w:r>
    </w:p>
    <w:p w14:paraId="0ED08E4D" w14:textId="2A6D44D4" w:rsidR="00927467" w:rsidRPr="00EF7378" w:rsidRDefault="00927467" w:rsidP="00775A4E">
      <w:pPr>
        <w:pStyle w:val="NoSpacing"/>
        <w:spacing w:line="480" w:lineRule="auto"/>
        <w:jc w:val="left"/>
        <w:rPr>
          <w:rFonts w:cs="Times New Roman"/>
        </w:rPr>
      </w:pPr>
    </w:p>
    <w:p w14:paraId="3CF64E49" w14:textId="582E703A" w:rsidR="00927467" w:rsidRPr="00EF7378" w:rsidRDefault="00001D3C" w:rsidP="00775A4E">
      <w:pPr>
        <w:pStyle w:val="NoSpacing"/>
        <w:spacing w:line="480" w:lineRule="auto"/>
        <w:jc w:val="left"/>
        <w:rPr>
          <w:rFonts w:cs="Times New Roman"/>
          <w:b/>
          <w:bCs/>
        </w:rPr>
      </w:pPr>
      <w:r w:rsidRPr="00EF7378">
        <w:rPr>
          <w:rFonts w:cs="Times New Roman"/>
          <w:b/>
          <w:bCs/>
        </w:rPr>
        <w:t xml:space="preserve">Appeal to this Court </w:t>
      </w:r>
    </w:p>
    <w:p w14:paraId="08943990" w14:textId="0FB792E3" w:rsidR="00FE41D2" w:rsidRPr="008064D3" w:rsidRDefault="008064D3" w:rsidP="00775A4E">
      <w:pPr>
        <w:pStyle w:val="NoSpacing"/>
        <w:numPr>
          <w:ilvl w:val="0"/>
          <w:numId w:val="8"/>
        </w:numPr>
        <w:spacing w:line="480" w:lineRule="auto"/>
        <w:ind w:left="0" w:firstLine="0"/>
        <w:jc w:val="left"/>
        <w:rPr>
          <w:rFonts w:cs="Times New Roman"/>
        </w:rPr>
      </w:pPr>
      <w:r>
        <w:rPr>
          <w:rFonts w:cs="Times New Roman"/>
        </w:rPr>
        <w:t xml:space="preserve">The Appellants subsequently sought leave to appeal to this Court from the judgment of Humphreys J. In their written application for leave, the Appellant framed the proposed issue thus: </w:t>
      </w:r>
    </w:p>
    <w:p w14:paraId="15EB1658" w14:textId="77777777" w:rsidR="00FA1B99" w:rsidRDefault="00FA1B99" w:rsidP="00775A4E">
      <w:pPr>
        <w:pStyle w:val="NoSpacing"/>
        <w:spacing w:line="480" w:lineRule="auto"/>
        <w:jc w:val="left"/>
        <w:rPr>
          <w:rFonts w:cs="Times New Roman"/>
          <w:b/>
          <w:bCs/>
        </w:rPr>
      </w:pPr>
    </w:p>
    <w:p w14:paraId="7BE73892" w14:textId="35596691" w:rsidR="00FA1B99" w:rsidRPr="00FA1B99" w:rsidRDefault="00FA1B99" w:rsidP="00775A4E">
      <w:pPr>
        <w:pStyle w:val="NoSpacing"/>
        <w:spacing w:line="480" w:lineRule="auto"/>
        <w:ind w:left="1440"/>
        <w:jc w:val="left"/>
        <w:rPr>
          <w:rFonts w:cs="Times New Roman"/>
          <w:i/>
          <w:iCs/>
        </w:rPr>
      </w:pPr>
      <w:r w:rsidRPr="00FA1B99">
        <w:rPr>
          <w:rFonts w:cs="Times New Roman"/>
          <w:i/>
          <w:iCs/>
        </w:rPr>
        <w:t>“Is a marriage entered into in the State pursuant to the provisions of the Civil Registration Act, 2004 (as amended) rendered a nullity at law as a result of a decision reached by the executive after the marriage has taken place that the marriage is one of convenience or may rights still emanate from the marriage depending on the facts and circumstance of the individual case?”</w:t>
      </w:r>
    </w:p>
    <w:p w14:paraId="50083C62" w14:textId="0E7311FB" w:rsidR="00EF7378" w:rsidRDefault="00EF7378" w:rsidP="00775A4E">
      <w:pPr>
        <w:pStyle w:val="NoSpacing"/>
        <w:spacing w:line="480" w:lineRule="auto"/>
        <w:jc w:val="left"/>
        <w:rPr>
          <w:rFonts w:cs="Times New Roman"/>
        </w:rPr>
      </w:pPr>
    </w:p>
    <w:p w14:paraId="3EE8F7F2" w14:textId="543D7184" w:rsidR="008F682C" w:rsidRDefault="00B56689" w:rsidP="00775A4E">
      <w:pPr>
        <w:pStyle w:val="NoSpacing"/>
        <w:numPr>
          <w:ilvl w:val="0"/>
          <w:numId w:val="8"/>
        </w:numPr>
        <w:spacing w:line="480" w:lineRule="auto"/>
        <w:ind w:left="0" w:firstLine="0"/>
        <w:jc w:val="left"/>
        <w:rPr>
          <w:rFonts w:cs="Times New Roman"/>
        </w:rPr>
      </w:pPr>
      <w:r>
        <w:rPr>
          <w:rFonts w:cs="Times New Roman"/>
        </w:rPr>
        <w:lastRenderedPageBreak/>
        <w:t xml:space="preserve">By </w:t>
      </w:r>
      <w:r w:rsidR="00656931">
        <w:rPr>
          <w:rFonts w:cs="Times New Roman"/>
        </w:rPr>
        <w:t>D</w:t>
      </w:r>
      <w:r>
        <w:rPr>
          <w:rFonts w:cs="Times New Roman"/>
        </w:rPr>
        <w:t xml:space="preserve">etermination dated the </w:t>
      </w:r>
      <w:r w:rsidR="00B27726">
        <w:rPr>
          <w:rFonts w:cs="Times New Roman"/>
        </w:rPr>
        <w:t>26</w:t>
      </w:r>
      <w:r w:rsidR="00B27726" w:rsidRPr="00B27726">
        <w:rPr>
          <w:rFonts w:cs="Times New Roman"/>
          <w:vertAlign w:val="superscript"/>
        </w:rPr>
        <w:t>th</w:t>
      </w:r>
      <w:r w:rsidR="00B27726">
        <w:rPr>
          <w:rFonts w:cs="Times New Roman"/>
        </w:rPr>
        <w:t xml:space="preserve"> February, 2019, this Court granted the Appellants leave to appeal (</w:t>
      </w:r>
      <w:r w:rsidR="00B27726" w:rsidRPr="00455BEE">
        <w:rPr>
          <w:rFonts w:cs="Times New Roman"/>
          <w:i/>
          <w:iCs/>
        </w:rPr>
        <w:t xml:space="preserve">M.K.F.S. (Pakistan) v. The Minister for Justice and Equality </w:t>
      </w:r>
      <w:r w:rsidR="00B27726" w:rsidRPr="00B27726">
        <w:rPr>
          <w:rFonts w:cs="Times New Roman"/>
        </w:rPr>
        <w:t>[2019] IESCDET 54</w:t>
      </w:r>
      <w:r w:rsidR="00B27726">
        <w:rPr>
          <w:rFonts w:cs="Times New Roman"/>
        </w:rPr>
        <w:t xml:space="preserve">). </w:t>
      </w:r>
      <w:r w:rsidR="008F682C">
        <w:rPr>
          <w:rFonts w:cs="Times New Roman"/>
        </w:rPr>
        <w:t xml:space="preserve">The Court was satisfied that </w:t>
      </w:r>
      <w:r w:rsidR="00154AB7">
        <w:rPr>
          <w:rFonts w:cs="Times New Roman"/>
        </w:rPr>
        <w:t>the application raised a matter</w:t>
      </w:r>
      <w:r w:rsidR="008F682C" w:rsidRPr="006B5819">
        <w:rPr>
          <w:rFonts w:cs="Times New Roman"/>
        </w:rPr>
        <w:t xml:space="preserve"> of general public importance</w:t>
      </w:r>
      <w:r w:rsidR="008F682C">
        <w:rPr>
          <w:rFonts w:cs="Times New Roman"/>
        </w:rPr>
        <w:t xml:space="preserve">, </w:t>
      </w:r>
      <w:r w:rsidR="00175DF2">
        <w:rPr>
          <w:rFonts w:cs="Times New Roman"/>
        </w:rPr>
        <w:t xml:space="preserve">going beyond </w:t>
      </w:r>
      <w:r w:rsidR="00175DF2" w:rsidRPr="006B5819">
        <w:rPr>
          <w:rFonts w:cs="Times New Roman"/>
        </w:rPr>
        <w:t>the facts of this particular case</w:t>
      </w:r>
      <w:r w:rsidR="00175DF2">
        <w:rPr>
          <w:rFonts w:cs="Times New Roman"/>
        </w:rPr>
        <w:t xml:space="preserve">, and </w:t>
      </w:r>
      <w:r w:rsidR="006B5819">
        <w:rPr>
          <w:rFonts w:cs="Times New Roman"/>
        </w:rPr>
        <w:t>that there is a need to clarify the law</w:t>
      </w:r>
      <w:r w:rsidR="008F682C">
        <w:rPr>
          <w:rFonts w:cs="Times New Roman"/>
        </w:rPr>
        <w:t xml:space="preserve"> as, o</w:t>
      </w:r>
      <w:r w:rsidR="006B5819" w:rsidRPr="006B5819">
        <w:rPr>
          <w:rFonts w:cs="Times New Roman"/>
        </w:rPr>
        <w:t xml:space="preserve">n the face of it, there are two High Court judgments which are not easily reconcilable. </w:t>
      </w:r>
    </w:p>
    <w:p w14:paraId="21EF3009" w14:textId="70127BD8" w:rsidR="006B1ABE" w:rsidRDefault="006B1ABE" w:rsidP="00775A4E">
      <w:pPr>
        <w:pStyle w:val="NoSpacing"/>
        <w:spacing w:line="480" w:lineRule="auto"/>
        <w:jc w:val="left"/>
        <w:rPr>
          <w:rFonts w:cs="Times New Roman"/>
        </w:rPr>
      </w:pPr>
    </w:p>
    <w:p w14:paraId="1025FE9D" w14:textId="1F7F1D6F" w:rsidR="006B1ABE" w:rsidRDefault="006B1ABE" w:rsidP="00775A4E">
      <w:pPr>
        <w:pStyle w:val="NoSpacing"/>
        <w:numPr>
          <w:ilvl w:val="0"/>
          <w:numId w:val="8"/>
        </w:numPr>
        <w:spacing w:line="480" w:lineRule="auto"/>
        <w:ind w:left="0" w:firstLine="0"/>
        <w:jc w:val="left"/>
        <w:rPr>
          <w:rFonts w:cs="Times New Roman"/>
        </w:rPr>
      </w:pPr>
      <w:r w:rsidRPr="006B1ABE">
        <w:rPr>
          <w:rFonts w:cs="Times New Roman"/>
        </w:rPr>
        <w:t xml:space="preserve">On </w:t>
      </w:r>
      <w:r>
        <w:rPr>
          <w:rFonts w:cs="Times New Roman"/>
        </w:rPr>
        <w:t xml:space="preserve">the </w:t>
      </w:r>
      <w:r w:rsidRPr="006B1ABE">
        <w:rPr>
          <w:rFonts w:cs="Times New Roman"/>
        </w:rPr>
        <w:t>29</w:t>
      </w:r>
      <w:r w:rsidRPr="006B1ABE">
        <w:rPr>
          <w:rFonts w:cs="Times New Roman"/>
          <w:vertAlign w:val="superscript"/>
        </w:rPr>
        <w:t>th</w:t>
      </w:r>
      <w:r>
        <w:rPr>
          <w:rFonts w:cs="Times New Roman"/>
        </w:rPr>
        <w:t xml:space="preserve"> </w:t>
      </w:r>
      <w:r w:rsidRPr="006B1ABE">
        <w:rPr>
          <w:rFonts w:cs="Times New Roman"/>
        </w:rPr>
        <w:t>July</w:t>
      </w:r>
      <w:r>
        <w:rPr>
          <w:rFonts w:cs="Times New Roman"/>
        </w:rPr>
        <w:t>,</w:t>
      </w:r>
      <w:r w:rsidRPr="006B1ABE">
        <w:rPr>
          <w:rFonts w:cs="Times New Roman"/>
        </w:rPr>
        <w:t xml:space="preserve"> 2019, the Court granted the Irish Human Rights and Equality Commission (</w:t>
      </w:r>
      <w:r>
        <w:rPr>
          <w:rFonts w:cs="Times New Roman"/>
        </w:rPr>
        <w:t>“</w:t>
      </w:r>
      <w:r w:rsidRPr="006B1ABE">
        <w:rPr>
          <w:rFonts w:cs="Times New Roman"/>
        </w:rPr>
        <w:t>the Commission</w:t>
      </w:r>
      <w:r>
        <w:rPr>
          <w:rFonts w:cs="Times New Roman"/>
        </w:rPr>
        <w:t>”</w:t>
      </w:r>
      <w:r w:rsidR="00491B86">
        <w:rPr>
          <w:rFonts w:cs="Times New Roman"/>
        </w:rPr>
        <w:t xml:space="preserve"> or “the Amicus Curiae”) </w:t>
      </w:r>
      <w:r w:rsidRPr="006B1ABE">
        <w:rPr>
          <w:rFonts w:cs="Times New Roman"/>
        </w:rPr>
        <w:t xml:space="preserve">liberty to appear as </w:t>
      </w:r>
      <w:r w:rsidRPr="006B1ABE">
        <w:rPr>
          <w:rFonts w:cs="Times New Roman"/>
          <w:i/>
          <w:iCs/>
        </w:rPr>
        <w:t>amicus curiae</w:t>
      </w:r>
      <w:r w:rsidRPr="006B1ABE">
        <w:rPr>
          <w:rFonts w:cs="Times New Roman"/>
        </w:rPr>
        <w:t xml:space="preserve"> in this appeal.</w:t>
      </w:r>
    </w:p>
    <w:p w14:paraId="0ED1382A" w14:textId="77777777" w:rsidR="00B56689" w:rsidRPr="00EF7378" w:rsidRDefault="00B56689" w:rsidP="00775A4E">
      <w:pPr>
        <w:pStyle w:val="NoSpacing"/>
        <w:spacing w:line="480" w:lineRule="auto"/>
        <w:jc w:val="left"/>
        <w:rPr>
          <w:rFonts w:cs="Times New Roman"/>
        </w:rPr>
      </w:pPr>
    </w:p>
    <w:p w14:paraId="419860C9" w14:textId="484311A2" w:rsidR="00FE41D2" w:rsidRPr="00EF7378" w:rsidRDefault="00FE41D2" w:rsidP="00775A4E">
      <w:pPr>
        <w:pStyle w:val="NoSpacing"/>
        <w:spacing w:line="480" w:lineRule="auto"/>
        <w:jc w:val="left"/>
        <w:rPr>
          <w:rFonts w:cs="Times New Roman"/>
          <w:b/>
          <w:bCs/>
        </w:rPr>
      </w:pPr>
      <w:r w:rsidRPr="00EF7378">
        <w:rPr>
          <w:rFonts w:cs="Times New Roman"/>
          <w:b/>
          <w:bCs/>
        </w:rPr>
        <w:t xml:space="preserve">Submissions </w:t>
      </w:r>
    </w:p>
    <w:p w14:paraId="01AC80B3" w14:textId="6A98FAAC" w:rsidR="00FE41D2" w:rsidRDefault="000E7177" w:rsidP="00775A4E">
      <w:pPr>
        <w:pStyle w:val="NoSpacing"/>
        <w:numPr>
          <w:ilvl w:val="0"/>
          <w:numId w:val="8"/>
        </w:numPr>
        <w:spacing w:line="480" w:lineRule="auto"/>
        <w:ind w:left="0" w:firstLine="0"/>
        <w:jc w:val="left"/>
        <w:rPr>
          <w:rFonts w:cs="Times New Roman"/>
        </w:rPr>
      </w:pPr>
      <w:r>
        <w:rPr>
          <w:rFonts w:cs="Times New Roman"/>
        </w:rPr>
        <w:t xml:space="preserve">Helpful oral and written submissions were received from the </w:t>
      </w:r>
      <w:r w:rsidR="00A610D8">
        <w:rPr>
          <w:rFonts w:cs="Times New Roman"/>
        </w:rPr>
        <w:t xml:space="preserve">Appellants and Respondent as well as </w:t>
      </w:r>
      <w:r>
        <w:rPr>
          <w:rFonts w:cs="Times New Roman"/>
        </w:rPr>
        <w:t xml:space="preserve">from the </w:t>
      </w:r>
      <w:r w:rsidR="008E6234">
        <w:rPr>
          <w:rFonts w:cs="Times New Roman"/>
        </w:rPr>
        <w:t>Amicus Curiae</w:t>
      </w:r>
      <w:r>
        <w:rPr>
          <w:rFonts w:cs="Times New Roman"/>
        </w:rPr>
        <w:t xml:space="preserve">, for which the </w:t>
      </w:r>
      <w:r w:rsidR="001D7B86">
        <w:rPr>
          <w:rFonts w:cs="Times New Roman"/>
        </w:rPr>
        <w:t>Court is most grateful</w:t>
      </w:r>
      <w:r w:rsidR="00B221A1">
        <w:rPr>
          <w:rFonts w:cs="Times New Roman"/>
        </w:rPr>
        <w:t xml:space="preserve"> to counsel</w:t>
      </w:r>
      <w:r w:rsidR="001D7B86">
        <w:rPr>
          <w:rFonts w:cs="Times New Roman"/>
        </w:rPr>
        <w:t xml:space="preserve">. </w:t>
      </w:r>
    </w:p>
    <w:p w14:paraId="0C312789" w14:textId="77777777" w:rsidR="008660CD" w:rsidRDefault="008660CD" w:rsidP="00775A4E">
      <w:pPr>
        <w:pStyle w:val="NoSpacing"/>
        <w:spacing w:line="480" w:lineRule="auto"/>
        <w:jc w:val="left"/>
        <w:rPr>
          <w:rFonts w:cs="Times New Roman"/>
        </w:rPr>
      </w:pPr>
    </w:p>
    <w:p w14:paraId="7939D15E" w14:textId="5E0973A5" w:rsidR="00680B18" w:rsidRPr="00DD7F81" w:rsidRDefault="00680B18" w:rsidP="00775A4E">
      <w:pPr>
        <w:pStyle w:val="NoSpacing"/>
        <w:spacing w:line="480" w:lineRule="auto"/>
        <w:jc w:val="left"/>
        <w:rPr>
          <w:rFonts w:cs="Times New Roman"/>
          <w:b/>
          <w:bCs/>
          <w:i/>
          <w:iCs/>
        </w:rPr>
      </w:pPr>
      <w:r w:rsidRPr="00DD7F81">
        <w:rPr>
          <w:rFonts w:cs="Times New Roman"/>
          <w:b/>
          <w:bCs/>
          <w:i/>
          <w:iCs/>
        </w:rPr>
        <w:t>Submissions of the Appellant</w:t>
      </w:r>
      <w:r w:rsidR="00860C59" w:rsidRPr="00DD7F81">
        <w:rPr>
          <w:rFonts w:cs="Times New Roman"/>
          <w:b/>
          <w:bCs/>
          <w:i/>
          <w:iCs/>
        </w:rPr>
        <w:t>s</w:t>
      </w:r>
    </w:p>
    <w:p w14:paraId="02B703F8" w14:textId="09D5800A" w:rsidR="001433AB" w:rsidRDefault="001433AB" w:rsidP="00775A4E">
      <w:pPr>
        <w:pStyle w:val="NoSpacing"/>
        <w:numPr>
          <w:ilvl w:val="0"/>
          <w:numId w:val="8"/>
        </w:numPr>
        <w:spacing w:line="480" w:lineRule="auto"/>
        <w:ind w:left="0" w:firstLine="0"/>
        <w:jc w:val="left"/>
        <w:rPr>
          <w:rFonts w:cs="Times New Roman"/>
        </w:rPr>
      </w:pPr>
      <w:r>
        <w:rPr>
          <w:rFonts w:cs="Times New Roman"/>
        </w:rPr>
        <w:t xml:space="preserve">The Appellants submit that Humphreys </w:t>
      </w:r>
      <w:r w:rsidR="001513A6">
        <w:rPr>
          <w:rFonts w:cs="Times New Roman"/>
        </w:rPr>
        <w:t xml:space="preserve">J. </w:t>
      </w:r>
      <w:r>
        <w:rPr>
          <w:rFonts w:cs="Times New Roman"/>
        </w:rPr>
        <w:t xml:space="preserve">erred </w:t>
      </w:r>
      <w:r w:rsidR="001212AD">
        <w:rPr>
          <w:rFonts w:cs="Times New Roman"/>
        </w:rPr>
        <w:t>(</w:t>
      </w:r>
      <w:proofErr w:type="spellStart"/>
      <w:r w:rsidR="001212AD">
        <w:rPr>
          <w:rFonts w:cs="Times New Roman"/>
        </w:rPr>
        <w:t>i</w:t>
      </w:r>
      <w:proofErr w:type="spellEnd"/>
      <w:r w:rsidR="001212AD">
        <w:rPr>
          <w:rFonts w:cs="Times New Roman"/>
        </w:rPr>
        <w:t xml:space="preserve">) </w:t>
      </w:r>
      <w:r>
        <w:rPr>
          <w:rFonts w:cs="Times New Roman"/>
        </w:rPr>
        <w:t>in</w:t>
      </w:r>
      <w:r w:rsidRPr="001433AB">
        <w:rPr>
          <w:rFonts w:cs="Times New Roman"/>
        </w:rPr>
        <w:t xml:space="preserve"> fail</w:t>
      </w:r>
      <w:r>
        <w:rPr>
          <w:rFonts w:cs="Times New Roman"/>
        </w:rPr>
        <w:t>ing</w:t>
      </w:r>
      <w:r w:rsidRPr="001433AB">
        <w:rPr>
          <w:rFonts w:cs="Times New Roman"/>
        </w:rPr>
        <w:t xml:space="preserve"> to distinguish between a specific residence process and the making of a deportation order</w:t>
      </w:r>
      <w:r>
        <w:rPr>
          <w:rFonts w:cs="Times New Roman"/>
        </w:rPr>
        <w:t xml:space="preserve">; </w:t>
      </w:r>
      <w:r w:rsidR="001212AD">
        <w:rPr>
          <w:rFonts w:cs="Times New Roman"/>
        </w:rPr>
        <w:t xml:space="preserve">(ii) </w:t>
      </w:r>
      <w:r w:rsidRPr="001433AB">
        <w:rPr>
          <w:rFonts w:cs="Times New Roman"/>
        </w:rPr>
        <w:t xml:space="preserve">in holding that a marriage </w:t>
      </w:r>
      <w:r w:rsidR="003A749E">
        <w:rPr>
          <w:rFonts w:cs="Times New Roman"/>
        </w:rPr>
        <w:t xml:space="preserve">of convenience </w:t>
      </w:r>
      <w:r w:rsidRPr="001433AB">
        <w:rPr>
          <w:rFonts w:cs="Times New Roman"/>
        </w:rPr>
        <w:t>confers no rights arising out of the relationship and that such a marriage is a nullity in law</w:t>
      </w:r>
      <w:r w:rsidR="001212AD">
        <w:rPr>
          <w:rFonts w:cs="Times New Roman"/>
        </w:rPr>
        <w:t xml:space="preserve"> and (iii) </w:t>
      </w:r>
      <w:r w:rsidRPr="001433AB">
        <w:rPr>
          <w:rFonts w:cs="Times New Roman"/>
        </w:rPr>
        <w:t xml:space="preserve">in </w:t>
      </w:r>
      <w:r>
        <w:rPr>
          <w:rFonts w:cs="Times New Roman"/>
        </w:rPr>
        <w:t xml:space="preserve">his </w:t>
      </w:r>
      <w:r w:rsidRPr="001433AB">
        <w:rPr>
          <w:rFonts w:cs="Times New Roman"/>
        </w:rPr>
        <w:t xml:space="preserve">analysis of discretion.  </w:t>
      </w:r>
    </w:p>
    <w:p w14:paraId="1F30AAE4" w14:textId="2BA66A4B" w:rsidR="00CB0CA7" w:rsidRDefault="00CB0CA7" w:rsidP="00775A4E">
      <w:pPr>
        <w:pStyle w:val="NoSpacing"/>
        <w:spacing w:line="480" w:lineRule="auto"/>
        <w:jc w:val="left"/>
        <w:rPr>
          <w:rFonts w:cs="Times New Roman"/>
        </w:rPr>
      </w:pPr>
    </w:p>
    <w:p w14:paraId="4584DB8B" w14:textId="6B2F455E" w:rsidR="003344F0" w:rsidRDefault="00860C59" w:rsidP="00775A4E">
      <w:pPr>
        <w:pStyle w:val="NoSpacing"/>
        <w:numPr>
          <w:ilvl w:val="0"/>
          <w:numId w:val="8"/>
        </w:numPr>
        <w:spacing w:line="480" w:lineRule="auto"/>
        <w:ind w:left="0" w:firstLine="0"/>
        <w:jc w:val="left"/>
        <w:rPr>
          <w:rFonts w:cs="Times New Roman"/>
        </w:rPr>
      </w:pPr>
      <w:r>
        <w:rPr>
          <w:rFonts w:cs="Times New Roman"/>
        </w:rPr>
        <w:t>The Appellants accept that the Minister may, in the context of the</w:t>
      </w:r>
      <w:r w:rsidR="006135FB">
        <w:rPr>
          <w:rFonts w:cs="Times New Roman"/>
        </w:rPr>
        <w:t xml:space="preserve"> Immigration Acts, </w:t>
      </w:r>
      <w:r w:rsidR="009927AB" w:rsidRPr="009927AB">
        <w:rPr>
          <w:rFonts w:cs="Times New Roman"/>
        </w:rPr>
        <w:t xml:space="preserve">reach a finding that a marriage is not genuine and therefore family life does not arise on foot </w:t>
      </w:r>
      <w:r w:rsidR="009927AB" w:rsidRPr="009927AB">
        <w:rPr>
          <w:rFonts w:cs="Times New Roman"/>
        </w:rPr>
        <w:lastRenderedPageBreak/>
        <w:t>of it</w:t>
      </w:r>
      <w:r w:rsidR="009927AB">
        <w:rPr>
          <w:rFonts w:cs="Times New Roman"/>
        </w:rPr>
        <w:t>. However, they contend that he must consider the real facts of the relationship</w:t>
      </w:r>
      <w:r w:rsidR="00BE2322">
        <w:rPr>
          <w:rFonts w:cs="Times New Roman"/>
        </w:rPr>
        <w:t xml:space="preserve"> and </w:t>
      </w:r>
      <w:r w:rsidR="00474F79">
        <w:rPr>
          <w:rFonts w:cs="Times New Roman"/>
        </w:rPr>
        <w:t xml:space="preserve">must </w:t>
      </w:r>
      <w:r w:rsidR="00BE2322">
        <w:rPr>
          <w:rFonts w:cs="Times New Roman"/>
        </w:rPr>
        <w:t xml:space="preserve">then weigh these facts against the potential abuse of the immigration system. </w:t>
      </w:r>
    </w:p>
    <w:p w14:paraId="06BE5731" w14:textId="77777777" w:rsidR="003344F0" w:rsidRDefault="003344F0" w:rsidP="00775A4E">
      <w:pPr>
        <w:pStyle w:val="NoSpacing"/>
        <w:spacing w:line="480" w:lineRule="auto"/>
        <w:jc w:val="left"/>
        <w:rPr>
          <w:rFonts w:cs="Times New Roman"/>
        </w:rPr>
      </w:pPr>
    </w:p>
    <w:p w14:paraId="6A7FE118" w14:textId="149DDDCB" w:rsidR="005116EE" w:rsidRDefault="00DC5F19" w:rsidP="00775A4E">
      <w:pPr>
        <w:pStyle w:val="NoSpacing"/>
        <w:numPr>
          <w:ilvl w:val="0"/>
          <w:numId w:val="8"/>
        </w:numPr>
        <w:spacing w:line="480" w:lineRule="auto"/>
        <w:ind w:left="0" w:firstLine="0"/>
        <w:jc w:val="left"/>
        <w:rPr>
          <w:rFonts w:cs="Times New Roman"/>
        </w:rPr>
      </w:pPr>
      <w:r>
        <w:rPr>
          <w:rFonts w:cs="Times New Roman"/>
        </w:rPr>
        <w:t xml:space="preserve">It is submitted that </w:t>
      </w:r>
      <w:r w:rsidR="00474F79">
        <w:rPr>
          <w:rFonts w:cs="Times New Roman"/>
        </w:rPr>
        <w:t>in this</w:t>
      </w:r>
      <w:r w:rsidR="00503202">
        <w:rPr>
          <w:rFonts w:cs="Times New Roman"/>
        </w:rPr>
        <w:t xml:space="preserve"> case</w:t>
      </w:r>
      <w:r w:rsidR="00474F79">
        <w:rPr>
          <w:rFonts w:cs="Times New Roman"/>
        </w:rPr>
        <w:t xml:space="preserve"> </w:t>
      </w:r>
      <w:r>
        <w:rPr>
          <w:rFonts w:cs="Times New Roman"/>
        </w:rPr>
        <w:t xml:space="preserve">the Respondent fettered his discretion </w:t>
      </w:r>
      <w:r w:rsidR="00474F79">
        <w:rPr>
          <w:rFonts w:cs="Times New Roman"/>
        </w:rPr>
        <w:t xml:space="preserve">and erred </w:t>
      </w:r>
      <w:r>
        <w:rPr>
          <w:rFonts w:cs="Times New Roman"/>
        </w:rPr>
        <w:t xml:space="preserve">by refusing to </w:t>
      </w:r>
      <w:r w:rsidR="002513B1" w:rsidRPr="002513B1">
        <w:rPr>
          <w:rFonts w:cs="Times New Roman"/>
        </w:rPr>
        <w:t xml:space="preserve">properly consider </w:t>
      </w:r>
      <w:r w:rsidR="00474F79">
        <w:rPr>
          <w:rFonts w:cs="Times New Roman"/>
        </w:rPr>
        <w:t>this</w:t>
      </w:r>
      <w:r w:rsidR="00474F79" w:rsidRPr="002513B1">
        <w:rPr>
          <w:rFonts w:cs="Times New Roman"/>
        </w:rPr>
        <w:t xml:space="preserve"> </w:t>
      </w:r>
      <w:r w:rsidR="002513B1" w:rsidRPr="002513B1">
        <w:rPr>
          <w:rFonts w:cs="Times New Roman"/>
        </w:rPr>
        <w:t>matter in the context of making the impugned deportation order</w:t>
      </w:r>
      <w:r w:rsidR="002513B1">
        <w:rPr>
          <w:rFonts w:cs="Times New Roman"/>
        </w:rPr>
        <w:t xml:space="preserve">; instead, he deemed himself bound by his earlier decision made in </w:t>
      </w:r>
      <w:r w:rsidR="007820F6">
        <w:rPr>
          <w:rFonts w:cs="Times New Roman"/>
        </w:rPr>
        <w:t xml:space="preserve">a </w:t>
      </w:r>
      <w:r w:rsidR="002513B1">
        <w:rPr>
          <w:rFonts w:cs="Times New Roman"/>
        </w:rPr>
        <w:t>different context</w:t>
      </w:r>
      <w:r w:rsidR="007820F6">
        <w:rPr>
          <w:rFonts w:cs="Times New Roman"/>
        </w:rPr>
        <w:t xml:space="preserve">, </w:t>
      </w:r>
      <w:r w:rsidR="007820F6" w:rsidRPr="003F5DC9">
        <w:rPr>
          <w:rFonts w:cs="Times New Roman"/>
          <w:i/>
        </w:rPr>
        <w:t>i.e.</w:t>
      </w:r>
      <w:r w:rsidR="007820F6">
        <w:rPr>
          <w:rFonts w:cs="Times New Roman"/>
        </w:rPr>
        <w:t xml:space="preserve"> </w:t>
      </w:r>
      <w:r w:rsidR="00474F79">
        <w:rPr>
          <w:rFonts w:cs="Times New Roman"/>
        </w:rPr>
        <w:t>when dealing with the residency card application</w:t>
      </w:r>
      <w:r w:rsidR="005E6CEF">
        <w:rPr>
          <w:rFonts w:cs="Times New Roman"/>
        </w:rPr>
        <w:t xml:space="preserve">. </w:t>
      </w:r>
      <w:r w:rsidR="00474F79">
        <w:rPr>
          <w:rFonts w:cs="Times New Roman"/>
        </w:rPr>
        <w:t>They say</w:t>
      </w:r>
      <w:r w:rsidR="005E6CEF">
        <w:rPr>
          <w:rFonts w:cs="Times New Roman"/>
        </w:rPr>
        <w:t xml:space="preserve"> that the Minister erred in </w:t>
      </w:r>
      <w:r w:rsidR="000E0B6C" w:rsidRPr="000E0B6C">
        <w:rPr>
          <w:rFonts w:cs="Times New Roman"/>
        </w:rPr>
        <w:t xml:space="preserve">relying on </w:t>
      </w:r>
      <w:r w:rsidR="000E0B6C">
        <w:rPr>
          <w:rFonts w:cs="Times New Roman"/>
        </w:rPr>
        <w:t>t</w:t>
      </w:r>
      <w:r w:rsidR="000E0B6C" w:rsidRPr="000E0B6C">
        <w:rPr>
          <w:rFonts w:cs="Times New Roman"/>
        </w:rPr>
        <w:t>his earlier decision to deem the marriage to be one of convenience</w:t>
      </w:r>
      <w:r w:rsidR="000E0B6C">
        <w:rPr>
          <w:rFonts w:cs="Times New Roman"/>
        </w:rPr>
        <w:t xml:space="preserve"> in the context of the </w:t>
      </w:r>
      <w:r w:rsidR="00066A22">
        <w:rPr>
          <w:rFonts w:cs="Times New Roman"/>
        </w:rPr>
        <w:t xml:space="preserve">later decision concerning the </w:t>
      </w:r>
      <w:r w:rsidR="000E0B6C">
        <w:rPr>
          <w:rFonts w:cs="Times New Roman"/>
        </w:rPr>
        <w:t xml:space="preserve">deportation order. </w:t>
      </w:r>
      <w:r w:rsidR="00C838D6">
        <w:rPr>
          <w:rFonts w:cs="Times New Roman"/>
        </w:rPr>
        <w:t xml:space="preserve">They say that the Minister’s </w:t>
      </w:r>
      <w:r w:rsidR="00C838D6" w:rsidRPr="00C838D6">
        <w:rPr>
          <w:rFonts w:cs="Times New Roman"/>
        </w:rPr>
        <w:t>decision under the 2015 Regulations was to refuse an EU based residency right</w:t>
      </w:r>
      <w:r w:rsidR="00C838D6">
        <w:rPr>
          <w:rFonts w:cs="Times New Roman"/>
        </w:rPr>
        <w:t xml:space="preserve"> but that this cannot amount to</w:t>
      </w:r>
      <w:r w:rsidR="00C838D6" w:rsidRPr="00C838D6">
        <w:rPr>
          <w:rFonts w:cs="Times New Roman"/>
        </w:rPr>
        <w:t xml:space="preserve"> a free-standing adjudication upon the current status of the marriage for all purposes.</w:t>
      </w:r>
      <w:r w:rsidR="004521AB">
        <w:rPr>
          <w:rFonts w:cs="Times New Roman"/>
        </w:rPr>
        <w:t xml:space="preserve"> It is </w:t>
      </w:r>
      <w:r w:rsidR="00474F79">
        <w:rPr>
          <w:rFonts w:cs="Times New Roman"/>
        </w:rPr>
        <w:t xml:space="preserve">claimed </w:t>
      </w:r>
      <w:r w:rsidR="004521AB">
        <w:rPr>
          <w:rFonts w:cs="Times New Roman"/>
        </w:rPr>
        <w:t>that b</w:t>
      </w:r>
      <w:r w:rsidR="004521AB" w:rsidRPr="004521AB">
        <w:rPr>
          <w:rFonts w:cs="Times New Roman"/>
        </w:rPr>
        <w:t>y importing the finding</w:t>
      </w:r>
      <w:r w:rsidR="00474F79">
        <w:rPr>
          <w:rFonts w:cs="Times New Roman"/>
        </w:rPr>
        <w:t>s made in the latter</w:t>
      </w:r>
      <w:r w:rsidR="004521AB" w:rsidRPr="004521AB">
        <w:rPr>
          <w:rFonts w:cs="Times New Roman"/>
        </w:rPr>
        <w:t xml:space="preserve"> process the </w:t>
      </w:r>
      <w:r w:rsidR="004521AB">
        <w:rPr>
          <w:rFonts w:cs="Times New Roman"/>
        </w:rPr>
        <w:t>Minister</w:t>
      </w:r>
      <w:r w:rsidR="004521AB" w:rsidRPr="004521AB">
        <w:rPr>
          <w:rFonts w:cs="Times New Roman"/>
        </w:rPr>
        <w:t xml:space="preserve"> in effect re-wrote the Immigration Act 1999 to incorporate provisions concerning marriage</w:t>
      </w:r>
      <w:r w:rsidR="00360FE2">
        <w:rPr>
          <w:rFonts w:cs="Times New Roman"/>
        </w:rPr>
        <w:t>s</w:t>
      </w:r>
      <w:r w:rsidR="004521AB" w:rsidRPr="004521AB">
        <w:rPr>
          <w:rFonts w:cs="Times New Roman"/>
        </w:rPr>
        <w:t xml:space="preserve"> of convenience</w:t>
      </w:r>
      <w:r w:rsidR="00360FE2">
        <w:rPr>
          <w:rFonts w:cs="Times New Roman"/>
        </w:rPr>
        <w:t xml:space="preserve">. </w:t>
      </w:r>
      <w:r w:rsidR="00A477AD">
        <w:rPr>
          <w:rFonts w:cs="Times New Roman"/>
        </w:rPr>
        <w:t xml:space="preserve">By holding that the Minister </w:t>
      </w:r>
      <w:r w:rsidR="005116EE">
        <w:rPr>
          <w:rFonts w:cs="Times New Roman"/>
        </w:rPr>
        <w:t xml:space="preserve">could </w:t>
      </w:r>
      <w:r w:rsidR="005116EE" w:rsidRPr="005116EE">
        <w:rPr>
          <w:rFonts w:cs="Times New Roman"/>
        </w:rPr>
        <w:t xml:space="preserve">import </w:t>
      </w:r>
      <w:r w:rsidR="005116EE">
        <w:rPr>
          <w:rFonts w:cs="Times New Roman"/>
        </w:rPr>
        <w:t xml:space="preserve">the earlier </w:t>
      </w:r>
      <w:r w:rsidR="005116EE" w:rsidRPr="005116EE">
        <w:rPr>
          <w:rFonts w:cs="Times New Roman"/>
        </w:rPr>
        <w:t xml:space="preserve">finding into the later decision, the High Court failed to </w:t>
      </w:r>
      <w:r w:rsidR="00474F79">
        <w:rPr>
          <w:rFonts w:cs="Times New Roman"/>
        </w:rPr>
        <w:t>appreciate</w:t>
      </w:r>
      <w:r w:rsidR="00474F79" w:rsidRPr="005116EE">
        <w:rPr>
          <w:rFonts w:cs="Times New Roman"/>
        </w:rPr>
        <w:t xml:space="preserve"> </w:t>
      </w:r>
      <w:r w:rsidR="005116EE" w:rsidRPr="005116EE">
        <w:rPr>
          <w:rFonts w:cs="Times New Roman"/>
        </w:rPr>
        <w:t>that different laws and legal issues were engaged and unlawfully conflated two very separate processes</w:t>
      </w:r>
      <w:r w:rsidR="00DF41E6">
        <w:rPr>
          <w:rFonts w:cs="Times New Roman"/>
        </w:rPr>
        <w:t xml:space="preserve">. </w:t>
      </w:r>
    </w:p>
    <w:p w14:paraId="1A406D41" w14:textId="34AC1DDF" w:rsidR="00DF41E6" w:rsidRDefault="00DF41E6" w:rsidP="00775A4E">
      <w:pPr>
        <w:pStyle w:val="NoSpacing"/>
        <w:spacing w:line="480" w:lineRule="auto"/>
        <w:jc w:val="left"/>
        <w:rPr>
          <w:rFonts w:cs="Times New Roman"/>
        </w:rPr>
      </w:pPr>
    </w:p>
    <w:p w14:paraId="4A02C3E3" w14:textId="5E9DB428" w:rsidR="00DF41E6" w:rsidRDefault="00BD6C13" w:rsidP="00775A4E">
      <w:pPr>
        <w:pStyle w:val="NoSpacing"/>
        <w:numPr>
          <w:ilvl w:val="0"/>
          <w:numId w:val="8"/>
        </w:numPr>
        <w:spacing w:line="480" w:lineRule="auto"/>
        <w:ind w:left="0" w:firstLine="0"/>
        <w:jc w:val="left"/>
        <w:rPr>
          <w:rFonts w:cs="Times New Roman"/>
        </w:rPr>
      </w:pPr>
      <w:r>
        <w:rPr>
          <w:rFonts w:cs="Times New Roman"/>
        </w:rPr>
        <w:t xml:space="preserve">The Appellants </w:t>
      </w:r>
      <w:r w:rsidR="00474F79">
        <w:rPr>
          <w:rFonts w:cs="Times New Roman"/>
        </w:rPr>
        <w:t xml:space="preserve">also </w:t>
      </w:r>
      <w:r>
        <w:rPr>
          <w:rFonts w:cs="Times New Roman"/>
        </w:rPr>
        <w:t>submit that the</w:t>
      </w:r>
      <w:r w:rsidRPr="00BD6C13">
        <w:rPr>
          <w:rFonts w:cs="Times New Roman"/>
        </w:rPr>
        <w:t xml:space="preserve"> Minister was obliged to consider the statutory, constitutional and ECHR issues at the time of the making </w:t>
      </w:r>
      <w:r w:rsidR="00D6292D">
        <w:rPr>
          <w:rFonts w:cs="Times New Roman"/>
        </w:rPr>
        <w:t xml:space="preserve">of </w:t>
      </w:r>
      <w:r w:rsidRPr="00BD6C13">
        <w:rPr>
          <w:rFonts w:cs="Times New Roman"/>
        </w:rPr>
        <w:t xml:space="preserve">the deportation order, </w:t>
      </w:r>
      <w:r w:rsidR="00474F79">
        <w:rPr>
          <w:rFonts w:cs="Times New Roman"/>
        </w:rPr>
        <w:t xml:space="preserve">and </w:t>
      </w:r>
      <w:r w:rsidRPr="00BD6C13">
        <w:rPr>
          <w:rFonts w:cs="Times New Roman"/>
        </w:rPr>
        <w:t xml:space="preserve">not </w:t>
      </w:r>
      <w:r w:rsidR="00474F79">
        <w:rPr>
          <w:rFonts w:cs="Times New Roman"/>
        </w:rPr>
        <w:t xml:space="preserve">at </w:t>
      </w:r>
      <w:r>
        <w:rPr>
          <w:rFonts w:cs="Times New Roman"/>
        </w:rPr>
        <w:t xml:space="preserve">the </w:t>
      </w:r>
      <w:r w:rsidRPr="00BD6C13">
        <w:rPr>
          <w:rFonts w:cs="Times New Roman"/>
        </w:rPr>
        <w:t xml:space="preserve">earlier </w:t>
      </w:r>
      <w:r w:rsidR="00474F79">
        <w:rPr>
          <w:rFonts w:cs="Times New Roman"/>
        </w:rPr>
        <w:t>date</w:t>
      </w:r>
      <w:r w:rsidRPr="00BD6C13">
        <w:rPr>
          <w:rFonts w:cs="Times New Roman"/>
        </w:rPr>
        <w:t xml:space="preserve"> of </w:t>
      </w:r>
      <w:r w:rsidR="00474F79">
        <w:rPr>
          <w:rFonts w:cs="Times New Roman"/>
        </w:rPr>
        <w:t xml:space="preserve">the </w:t>
      </w:r>
      <w:r w:rsidRPr="00BD6C13">
        <w:rPr>
          <w:rFonts w:cs="Times New Roman"/>
        </w:rPr>
        <w:t xml:space="preserve">marriage. In </w:t>
      </w:r>
      <w:r w:rsidR="00474F79">
        <w:rPr>
          <w:rFonts w:cs="Times New Roman"/>
        </w:rPr>
        <w:t>their</w:t>
      </w:r>
      <w:r w:rsidR="00474F79" w:rsidRPr="00BD6C13">
        <w:rPr>
          <w:rFonts w:cs="Times New Roman"/>
        </w:rPr>
        <w:t xml:space="preserve"> </w:t>
      </w:r>
      <w:r w:rsidRPr="00BD6C13">
        <w:rPr>
          <w:rFonts w:cs="Times New Roman"/>
        </w:rPr>
        <w:t xml:space="preserve">case, there was a different factual matrix </w:t>
      </w:r>
      <w:r w:rsidR="00474F79">
        <w:rPr>
          <w:rFonts w:cs="Times New Roman"/>
        </w:rPr>
        <w:t>as of March, 2017</w:t>
      </w:r>
      <w:r w:rsidRPr="00BD6C13">
        <w:rPr>
          <w:rFonts w:cs="Times New Roman"/>
        </w:rPr>
        <w:t xml:space="preserve"> in that the couple, validly married, were </w:t>
      </w:r>
      <w:r w:rsidR="00503202">
        <w:rPr>
          <w:rFonts w:cs="Times New Roman"/>
        </w:rPr>
        <w:t xml:space="preserve">then </w:t>
      </w:r>
      <w:r w:rsidRPr="00BD6C13">
        <w:rPr>
          <w:rFonts w:cs="Times New Roman"/>
        </w:rPr>
        <w:t>cohabiting as a marital family</w:t>
      </w:r>
      <w:r>
        <w:rPr>
          <w:rFonts w:cs="Times New Roman"/>
        </w:rPr>
        <w:t>. They also rely on</w:t>
      </w:r>
      <w:r w:rsidR="00733EC6">
        <w:rPr>
          <w:rFonts w:cs="Times New Roman"/>
        </w:rPr>
        <w:t xml:space="preserve"> what they say was a notification by the Minister that his original residence decision would not be imported into any other process. </w:t>
      </w:r>
      <w:r w:rsidR="00474F79">
        <w:rPr>
          <w:rFonts w:cs="Times New Roman"/>
        </w:rPr>
        <w:t>(para.</w:t>
      </w:r>
      <w:r w:rsidR="00656931">
        <w:rPr>
          <w:rFonts w:cs="Times New Roman"/>
        </w:rPr>
        <w:t xml:space="preserve"> 19</w:t>
      </w:r>
      <w:r w:rsidR="00474F79">
        <w:rPr>
          <w:rFonts w:cs="Times New Roman"/>
        </w:rPr>
        <w:t xml:space="preserve"> </w:t>
      </w:r>
      <w:r w:rsidR="00474F79" w:rsidRPr="003F5DC9">
        <w:rPr>
          <w:rFonts w:cs="Times New Roman"/>
          <w:i/>
        </w:rPr>
        <w:t>supra</w:t>
      </w:r>
      <w:r w:rsidR="00474F79">
        <w:rPr>
          <w:rFonts w:cs="Times New Roman"/>
        </w:rPr>
        <w:t>)</w:t>
      </w:r>
    </w:p>
    <w:p w14:paraId="24431AC0" w14:textId="3D65EE26" w:rsidR="002A33FD" w:rsidRDefault="002A33FD" w:rsidP="00775A4E">
      <w:pPr>
        <w:pStyle w:val="NoSpacing"/>
        <w:spacing w:line="480" w:lineRule="auto"/>
        <w:jc w:val="left"/>
        <w:rPr>
          <w:rFonts w:cs="Times New Roman"/>
        </w:rPr>
      </w:pPr>
    </w:p>
    <w:p w14:paraId="0A6DFCB4" w14:textId="429FA454" w:rsidR="002A33FD" w:rsidRDefault="002A33FD" w:rsidP="00775A4E">
      <w:pPr>
        <w:pStyle w:val="NoSpacing"/>
        <w:numPr>
          <w:ilvl w:val="0"/>
          <w:numId w:val="8"/>
        </w:numPr>
        <w:spacing w:line="480" w:lineRule="auto"/>
        <w:ind w:left="0" w:firstLine="0"/>
        <w:jc w:val="left"/>
        <w:rPr>
          <w:rFonts w:cs="Times New Roman"/>
        </w:rPr>
      </w:pPr>
      <w:r>
        <w:rPr>
          <w:rFonts w:cs="Times New Roman"/>
        </w:rPr>
        <w:lastRenderedPageBreak/>
        <w:t xml:space="preserve">While Humphreys </w:t>
      </w:r>
      <w:r w:rsidR="001513A6">
        <w:rPr>
          <w:rFonts w:cs="Times New Roman"/>
        </w:rPr>
        <w:t xml:space="preserve">J. </w:t>
      </w:r>
      <w:r>
        <w:rPr>
          <w:rFonts w:cs="Times New Roman"/>
        </w:rPr>
        <w:t>held that “[t]</w:t>
      </w:r>
      <w:r w:rsidRPr="002A33FD">
        <w:rPr>
          <w:rFonts w:cs="Times New Roman"/>
        </w:rPr>
        <w:t>he Civil Registration (Amendment) Act 2014 provides that a marriage of convenience is a nullity</w:t>
      </w:r>
      <w:r>
        <w:rPr>
          <w:rFonts w:cs="Times New Roman"/>
        </w:rPr>
        <w:t>”, the Appellants submit that there is no such provision in the Act</w:t>
      </w:r>
      <w:r w:rsidR="00021D74">
        <w:rPr>
          <w:rFonts w:cs="Times New Roman"/>
        </w:rPr>
        <w:t xml:space="preserve">. The primary purpose of the 2014 Act is to enjoin parties from entering into marriages of convenience; however, it </w:t>
      </w:r>
      <w:r w:rsidR="001E7DBF" w:rsidRPr="001E7DBF">
        <w:rPr>
          <w:rFonts w:cs="Times New Roman"/>
        </w:rPr>
        <w:t xml:space="preserve">does not purport to allow for the </w:t>
      </w:r>
      <w:r w:rsidR="001E7DBF" w:rsidRPr="001E7DBF">
        <w:rPr>
          <w:rFonts w:cs="Times New Roman"/>
          <w:i/>
          <w:iCs/>
        </w:rPr>
        <w:t>ex-post facto</w:t>
      </w:r>
      <w:r w:rsidR="001E7DBF" w:rsidRPr="001E7DBF">
        <w:rPr>
          <w:rFonts w:cs="Times New Roman"/>
        </w:rPr>
        <w:t xml:space="preserve"> nullity of marriages on the basis that </w:t>
      </w:r>
      <w:r w:rsidR="001E7DBF">
        <w:rPr>
          <w:rFonts w:cs="Times New Roman"/>
        </w:rPr>
        <w:t>the Minister might deem them to be</w:t>
      </w:r>
      <w:r w:rsidR="001E7DBF" w:rsidRPr="001E7DBF">
        <w:rPr>
          <w:rFonts w:cs="Times New Roman"/>
        </w:rPr>
        <w:t xml:space="preserve"> marriages of convenience</w:t>
      </w:r>
      <w:r w:rsidR="001E7DBF">
        <w:rPr>
          <w:rFonts w:cs="Times New Roman"/>
        </w:rPr>
        <w:t xml:space="preserve">. </w:t>
      </w:r>
      <w:r w:rsidR="000D6383">
        <w:rPr>
          <w:rFonts w:cs="Times New Roman"/>
        </w:rPr>
        <w:t xml:space="preserve">The Appellants cite </w:t>
      </w:r>
      <w:r w:rsidR="000D6383" w:rsidRPr="000D6383">
        <w:rPr>
          <w:rFonts w:cs="Times New Roman"/>
        </w:rPr>
        <w:t xml:space="preserve">Dicey, Morris &amp; Collins on </w:t>
      </w:r>
      <w:r w:rsidR="000D6383" w:rsidRPr="000D6383">
        <w:rPr>
          <w:rFonts w:cs="Times New Roman"/>
          <w:i/>
          <w:iCs/>
        </w:rPr>
        <w:t>The Conflict of Laws</w:t>
      </w:r>
      <w:r w:rsidR="000D6383" w:rsidRPr="000D6383">
        <w:rPr>
          <w:rFonts w:cs="Times New Roman"/>
        </w:rPr>
        <w:t xml:space="preserve"> (15th ed.) assert at §17-047</w:t>
      </w:r>
      <w:r w:rsidR="000D6383">
        <w:rPr>
          <w:rFonts w:cs="Times New Roman"/>
        </w:rPr>
        <w:t xml:space="preserve"> for the proposition that a formally valid marriage is presumed valid. Furthermore, per </w:t>
      </w:r>
      <w:r w:rsidR="000D6383">
        <w:rPr>
          <w:rFonts w:cs="Times New Roman"/>
          <w:i/>
          <w:iCs/>
        </w:rPr>
        <w:t>Kelly v. Ireland</w:t>
      </w:r>
      <w:r w:rsidR="000D6383">
        <w:rPr>
          <w:rFonts w:cs="Times New Roman"/>
        </w:rPr>
        <w:t xml:space="preserve"> [</w:t>
      </w:r>
      <w:r w:rsidR="00656931">
        <w:rPr>
          <w:rFonts w:cs="Times New Roman"/>
        </w:rPr>
        <w:t>1</w:t>
      </w:r>
      <w:r w:rsidR="000D6383">
        <w:rPr>
          <w:rFonts w:cs="Times New Roman"/>
        </w:rPr>
        <w:t xml:space="preserve">996] 2 I.R. 537, </w:t>
      </w:r>
      <w:r w:rsidR="00352F8E">
        <w:rPr>
          <w:rFonts w:cs="Times New Roman"/>
        </w:rPr>
        <w:t>the onus is on the Respondent to establish that the marriage was a sham</w:t>
      </w:r>
      <w:r w:rsidR="00924DD8">
        <w:rPr>
          <w:rFonts w:cs="Times New Roman"/>
        </w:rPr>
        <w:t xml:space="preserve">. </w:t>
      </w:r>
    </w:p>
    <w:p w14:paraId="3EFD3354" w14:textId="12A6EEE4" w:rsidR="006A7B71" w:rsidRDefault="006A7B71" w:rsidP="00775A4E">
      <w:pPr>
        <w:pStyle w:val="NoSpacing"/>
        <w:spacing w:line="480" w:lineRule="auto"/>
        <w:jc w:val="left"/>
        <w:rPr>
          <w:rFonts w:cs="Times New Roman"/>
        </w:rPr>
      </w:pPr>
    </w:p>
    <w:p w14:paraId="1ACEB0E4" w14:textId="016FFDFD" w:rsidR="00BB4BB1" w:rsidRDefault="006A7B71" w:rsidP="00775A4E">
      <w:pPr>
        <w:pStyle w:val="NoSpacing"/>
        <w:numPr>
          <w:ilvl w:val="0"/>
          <w:numId w:val="8"/>
        </w:numPr>
        <w:spacing w:line="480" w:lineRule="auto"/>
        <w:ind w:left="0" w:firstLine="0"/>
        <w:jc w:val="left"/>
        <w:rPr>
          <w:rFonts w:cs="Times New Roman"/>
        </w:rPr>
      </w:pPr>
      <w:r>
        <w:rPr>
          <w:rFonts w:cs="Times New Roman"/>
        </w:rPr>
        <w:t xml:space="preserve">As regards </w:t>
      </w:r>
      <w:r w:rsidRPr="00DA4C85">
        <w:rPr>
          <w:rFonts w:cs="Times New Roman"/>
          <w:i/>
          <w:iCs/>
        </w:rPr>
        <w:t>Izmailovic</w:t>
      </w:r>
      <w:r>
        <w:rPr>
          <w:rFonts w:cs="Times New Roman"/>
        </w:rPr>
        <w:t xml:space="preserve">, </w:t>
      </w:r>
      <w:r w:rsidR="002E08EA">
        <w:rPr>
          <w:rFonts w:cs="Times New Roman"/>
        </w:rPr>
        <w:t xml:space="preserve">the Appellants submit that while Hogan </w:t>
      </w:r>
      <w:r w:rsidR="001513A6">
        <w:rPr>
          <w:rFonts w:cs="Times New Roman"/>
        </w:rPr>
        <w:t xml:space="preserve">J. </w:t>
      </w:r>
      <w:r w:rsidR="002E08EA">
        <w:rPr>
          <w:rFonts w:cs="Times New Roman"/>
        </w:rPr>
        <w:t xml:space="preserve">found that a </w:t>
      </w:r>
      <w:r w:rsidR="00DA4C85">
        <w:rPr>
          <w:rFonts w:cs="Times New Roman"/>
        </w:rPr>
        <w:t>marriage of convenience is a valid one, he did not find that it would enjoy all of the constitutional and ECHR rights that flow from a marriage.</w:t>
      </w:r>
      <w:r>
        <w:rPr>
          <w:rFonts w:cs="Times New Roman"/>
        </w:rPr>
        <w:t xml:space="preserve"> They contend that there </w:t>
      </w:r>
      <w:r w:rsidR="00DA4C85">
        <w:rPr>
          <w:rFonts w:cs="Times New Roman"/>
        </w:rPr>
        <w:t>was</w:t>
      </w:r>
      <w:r>
        <w:rPr>
          <w:rFonts w:cs="Times New Roman"/>
        </w:rPr>
        <w:t xml:space="preserve"> no error in </w:t>
      </w:r>
      <w:r w:rsidR="00DA4C85">
        <w:rPr>
          <w:rFonts w:cs="Times New Roman"/>
        </w:rPr>
        <w:t>Hogan J’s</w:t>
      </w:r>
      <w:r>
        <w:rPr>
          <w:rFonts w:cs="Times New Roman"/>
        </w:rPr>
        <w:t xml:space="preserve"> treatment of </w:t>
      </w:r>
      <w:proofErr w:type="spellStart"/>
      <w:r w:rsidR="00ED51C1" w:rsidRPr="00DA4C85">
        <w:rPr>
          <w:rFonts w:cs="Times New Roman"/>
          <w:i/>
          <w:iCs/>
        </w:rPr>
        <w:t>Vervaeke</w:t>
      </w:r>
      <w:proofErr w:type="spellEnd"/>
      <w:r w:rsidR="00ED51C1">
        <w:rPr>
          <w:rFonts w:cs="Times New Roman"/>
        </w:rPr>
        <w:t xml:space="preserve"> and that the finding in that case – that a sham marriage is nevertheless formally valid – is consistent with </w:t>
      </w:r>
      <w:r w:rsidR="002E08EA" w:rsidRPr="00DD6E8C">
        <w:rPr>
          <w:rFonts w:cs="Times New Roman"/>
          <w:i/>
          <w:iCs/>
        </w:rPr>
        <w:t>Izmailovic</w:t>
      </w:r>
      <w:r w:rsidR="00FA5B1A">
        <w:rPr>
          <w:rFonts w:cs="Times New Roman"/>
        </w:rPr>
        <w:t xml:space="preserve">. They submit that </w:t>
      </w:r>
      <w:r w:rsidR="00FA5B1A">
        <w:rPr>
          <w:rFonts w:cs="Times New Roman"/>
          <w:i/>
          <w:iCs/>
        </w:rPr>
        <w:t>Kelly v. Ireland</w:t>
      </w:r>
      <w:r w:rsidR="00FA5B1A">
        <w:t xml:space="preserve"> does not undermine </w:t>
      </w:r>
      <w:r w:rsidR="00AC1C84" w:rsidRPr="00DD6E8C">
        <w:rPr>
          <w:rFonts w:cs="Times New Roman"/>
          <w:i/>
          <w:iCs/>
        </w:rPr>
        <w:t>Izmailovic</w:t>
      </w:r>
      <w:r w:rsidR="00AC1C84">
        <w:rPr>
          <w:rFonts w:cs="Times New Roman"/>
          <w:i/>
          <w:iCs/>
        </w:rPr>
        <w:t xml:space="preserve"> </w:t>
      </w:r>
      <w:r w:rsidR="00AC1C84">
        <w:rPr>
          <w:rFonts w:cs="Times New Roman"/>
        </w:rPr>
        <w:t xml:space="preserve">and </w:t>
      </w:r>
      <w:r w:rsidR="00766BE9">
        <w:rPr>
          <w:rFonts w:cs="Times New Roman"/>
        </w:rPr>
        <w:t>while they accept that there was a</w:t>
      </w:r>
      <w:r w:rsidR="004E5895">
        <w:rPr>
          <w:rFonts w:cs="Times New Roman"/>
        </w:rPr>
        <w:t xml:space="preserve">n error in Hogan J’s factual treatment of </w:t>
      </w:r>
      <w:r w:rsidR="004E5895">
        <w:rPr>
          <w:rFonts w:cs="Times New Roman"/>
          <w:i/>
          <w:iCs/>
        </w:rPr>
        <w:t>H</w:t>
      </w:r>
      <w:r w:rsidR="00890083">
        <w:rPr>
          <w:rFonts w:cs="Times New Roman"/>
          <w:i/>
          <w:iCs/>
        </w:rPr>
        <w:t>.S</w:t>
      </w:r>
      <w:r w:rsidR="004E5895">
        <w:rPr>
          <w:rFonts w:cs="Times New Roman"/>
          <w:i/>
          <w:iCs/>
        </w:rPr>
        <w:t xml:space="preserve"> v. </w:t>
      </w:r>
      <w:r w:rsidR="00890083">
        <w:rPr>
          <w:rFonts w:cs="Times New Roman"/>
          <w:i/>
          <w:iCs/>
        </w:rPr>
        <w:t>J.</w:t>
      </w:r>
      <w:r w:rsidR="004E5895">
        <w:rPr>
          <w:rFonts w:cs="Times New Roman"/>
          <w:i/>
          <w:iCs/>
        </w:rPr>
        <w:t>S</w:t>
      </w:r>
      <w:r w:rsidR="004E5895">
        <w:rPr>
          <w:rFonts w:cs="Times New Roman"/>
        </w:rPr>
        <w:t xml:space="preserve">, they submit that that error was not fatal to the application of </w:t>
      </w:r>
      <w:r w:rsidR="004E5895">
        <w:rPr>
          <w:rFonts w:cs="Times New Roman"/>
          <w:i/>
          <w:iCs/>
        </w:rPr>
        <w:t>H</w:t>
      </w:r>
      <w:r w:rsidR="00890083">
        <w:rPr>
          <w:rFonts w:cs="Times New Roman"/>
          <w:i/>
          <w:iCs/>
        </w:rPr>
        <w:t>.S.</w:t>
      </w:r>
      <w:r w:rsidR="004E5895">
        <w:rPr>
          <w:rFonts w:cs="Times New Roman"/>
          <w:i/>
          <w:iCs/>
        </w:rPr>
        <w:t xml:space="preserve"> v. </w:t>
      </w:r>
      <w:r w:rsidR="00890083">
        <w:rPr>
          <w:rFonts w:cs="Times New Roman"/>
          <w:i/>
          <w:iCs/>
        </w:rPr>
        <w:t>J.</w:t>
      </w:r>
      <w:r w:rsidR="004E5895">
        <w:rPr>
          <w:rFonts w:cs="Times New Roman"/>
          <w:i/>
          <w:iCs/>
        </w:rPr>
        <w:t xml:space="preserve">S </w:t>
      </w:r>
      <w:r w:rsidR="004E5895">
        <w:rPr>
          <w:rFonts w:cs="Times New Roman"/>
        </w:rPr>
        <w:t xml:space="preserve">in substance and, further, </w:t>
      </w:r>
      <w:r w:rsidR="00CF387A">
        <w:rPr>
          <w:rFonts w:cs="Times New Roman"/>
        </w:rPr>
        <w:t xml:space="preserve">that that </w:t>
      </w:r>
      <w:r w:rsidR="00AC670D">
        <w:rPr>
          <w:rFonts w:cs="Times New Roman"/>
        </w:rPr>
        <w:t xml:space="preserve">decision (particularly the judgment of McCarthy J) supports the proposition that a </w:t>
      </w:r>
      <w:r w:rsidR="00AC670D" w:rsidRPr="00AC670D">
        <w:rPr>
          <w:rFonts w:cs="Times New Roman"/>
        </w:rPr>
        <w:t>marriage validly entered into is a valid marriage in law</w:t>
      </w:r>
      <w:r w:rsidR="00AC670D">
        <w:rPr>
          <w:rFonts w:cs="Times New Roman"/>
        </w:rPr>
        <w:t xml:space="preserve">. </w:t>
      </w:r>
    </w:p>
    <w:p w14:paraId="64E69106" w14:textId="77777777" w:rsidR="00BB4BB1" w:rsidRDefault="00BB4BB1" w:rsidP="00775A4E">
      <w:pPr>
        <w:pStyle w:val="NoSpacing"/>
        <w:spacing w:line="480" w:lineRule="auto"/>
        <w:jc w:val="left"/>
        <w:rPr>
          <w:rFonts w:cs="Times New Roman"/>
        </w:rPr>
      </w:pPr>
    </w:p>
    <w:p w14:paraId="29275E59" w14:textId="406F93B9" w:rsidR="006A7B71" w:rsidRDefault="00D74AF9" w:rsidP="00775A4E">
      <w:pPr>
        <w:pStyle w:val="NoSpacing"/>
        <w:numPr>
          <w:ilvl w:val="0"/>
          <w:numId w:val="8"/>
        </w:numPr>
        <w:spacing w:line="480" w:lineRule="auto"/>
        <w:ind w:left="0" w:firstLine="0"/>
        <w:jc w:val="left"/>
        <w:rPr>
          <w:rFonts w:cs="Times New Roman"/>
        </w:rPr>
      </w:pPr>
      <w:r>
        <w:rPr>
          <w:rFonts w:cs="Times New Roman"/>
        </w:rPr>
        <w:t>The</w:t>
      </w:r>
      <w:r w:rsidR="00BB4BB1">
        <w:rPr>
          <w:rFonts w:cs="Times New Roman"/>
        </w:rPr>
        <w:t xml:space="preserve"> Appellants</w:t>
      </w:r>
      <w:r>
        <w:rPr>
          <w:rFonts w:cs="Times New Roman"/>
        </w:rPr>
        <w:t xml:space="preserve"> submit that there is no basis in law for the conclusion of Humphreys </w:t>
      </w:r>
      <w:r w:rsidR="001513A6">
        <w:rPr>
          <w:rFonts w:cs="Times New Roman"/>
        </w:rPr>
        <w:t xml:space="preserve">J. </w:t>
      </w:r>
      <w:r>
        <w:rPr>
          <w:rFonts w:cs="Times New Roman"/>
        </w:rPr>
        <w:t xml:space="preserve">that a marriage of convenience would be </w:t>
      </w:r>
      <w:r w:rsidR="00BB4BB1">
        <w:rPr>
          <w:rFonts w:cs="Times New Roman"/>
        </w:rPr>
        <w:t>“</w:t>
      </w:r>
      <w:r>
        <w:rPr>
          <w:rFonts w:cs="Times New Roman"/>
        </w:rPr>
        <w:t xml:space="preserve">void </w:t>
      </w:r>
      <w:r>
        <w:rPr>
          <w:rFonts w:cs="Times New Roman"/>
          <w:i/>
          <w:iCs/>
        </w:rPr>
        <w:t>ab initio</w:t>
      </w:r>
      <w:r w:rsidR="00BB4BB1">
        <w:rPr>
          <w:rFonts w:cs="Times New Roman"/>
        </w:rPr>
        <w:t xml:space="preserve">, even prior to the 2014 Act” – there is no authority for the contention that a marriage of convenience is a basis for a decree of </w:t>
      </w:r>
      <w:r w:rsidR="00BB4BB1">
        <w:rPr>
          <w:rFonts w:cs="Times New Roman"/>
        </w:rPr>
        <w:lastRenderedPageBreak/>
        <w:t xml:space="preserve">nullity, much less that the same could be </w:t>
      </w:r>
      <w:r w:rsidR="001E4AA9">
        <w:rPr>
          <w:rFonts w:cs="Times New Roman"/>
        </w:rPr>
        <w:t xml:space="preserve">unilaterally and privately be </w:t>
      </w:r>
      <w:r w:rsidR="00BB4BB1">
        <w:rPr>
          <w:rFonts w:cs="Times New Roman"/>
        </w:rPr>
        <w:t xml:space="preserve">declared by the Minister. </w:t>
      </w:r>
    </w:p>
    <w:p w14:paraId="250D9C5F" w14:textId="16349D1E" w:rsidR="00947CD3" w:rsidRDefault="00947CD3" w:rsidP="00775A4E">
      <w:pPr>
        <w:pStyle w:val="NoSpacing"/>
        <w:spacing w:line="480" w:lineRule="auto"/>
        <w:jc w:val="left"/>
        <w:rPr>
          <w:rFonts w:cs="Times New Roman"/>
        </w:rPr>
      </w:pPr>
    </w:p>
    <w:p w14:paraId="7B7C3424" w14:textId="236ED39C" w:rsidR="00947CD3" w:rsidRPr="00BB4BB1" w:rsidRDefault="00947CD3" w:rsidP="00775A4E">
      <w:pPr>
        <w:pStyle w:val="NoSpacing"/>
        <w:numPr>
          <w:ilvl w:val="0"/>
          <w:numId w:val="8"/>
        </w:numPr>
        <w:spacing w:line="480" w:lineRule="auto"/>
        <w:ind w:left="0" w:firstLine="0"/>
        <w:jc w:val="left"/>
      </w:pPr>
      <w:r>
        <w:rPr>
          <w:rFonts w:cs="Times New Roman"/>
        </w:rPr>
        <w:t xml:space="preserve">The Appellants further argue that the High Court’s approach </w:t>
      </w:r>
      <w:r w:rsidR="00894027">
        <w:rPr>
          <w:rFonts w:cs="Times New Roman"/>
        </w:rPr>
        <w:t xml:space="preserve">to statutory interpretation at paras. 25-28 strayed “from interpretation to judicial legislative intervention” and that its approach is in breach of section 5 of the Interpretation Act 2005. </w:t>
      </w:r>
      <w:r w:rsidR="00E85157">
        <w:rPr>
          <w:rFonts w:cs="Times New Roman"/>
        </w:rPr>
        <w:t xml:space="preserve">Finally, they contend that the High Court should only refuse relief on discretionary grounds in </w:t>
      </w:r>
      <w:r w:rsidR="000F7764">
        <w:rPr>
          <w:rFonts w:cs="Times New Roman"/>
        </w:rPr>
        <w:t>exceptional cases</w:t>
      </w:r>
      <w:r w:rsidR="00CA7D43">
        <w:rPr>
          <w:rFonts w:cs="Times New Roman"/>
        </w:rPr>
        <w:t xml:space="preserve"> and that Humphreys </w:t>
      </w:r>
      <w:r w:rsidR="001513A6">
        <w:rPr>
          <w:rFonts w:cs="Times New Roman"/>
        </w:rPr>
        <w:t xml:space="preserve">J. </w:t>
      </w:r>
      <w:r w:rsidR="00A50294">
        <w:rPr>
          <w:rFonts w:cs="Times New Roman"/>
        </w:rPr>
        <w:t xml:space="preserve">had no basis for refusing relief on such ground in this case. </w:t>
      </w:r>
    </w:p>
    <w:p w14:paraId="730A6487" w14:textId="70BF8B6C" w:rsidR="00680B18" w:rsidRDefault="00680B18" w:rsidP="00775A4E">
      <w:pPr>
        <w:pStyle w:val="NoSpacing"/>
        <w:spacing w:line="480" w:lineRule="auto"/>
        <w:jc w:val="left"/>
        <w:rPr>
          <w:rFonts w:cs="Times New Roman"/>
        </w:rPr>
      </w:pPr>
    </w:p>
    <w:p w14:paraId="7F549C27" w14:textId="1F164C10" w:rsidR="00680B18" w:rsidRPr="00DD7F81" w:rsidRDefault="00680B18" w:rsidP="00775A4E">
      <w:pPr>
        <w:pStyle w:val="NoSpacing"/>
        <w:spacing w:line="480" w:lineRule="auto"/>
        <w:jc w:val="left"/>
        <w:rPr>
          <w:rFonts w:cs="Times New Roman"/>
          <w:b/>
          <w:bCs/>
        </w:rPr>
      </w:pPr>
      <w:r w:rsidRPr="00DD7F81">
        <w:rPr>
          <w:rFonts w:cs="Times New Roman"/>
          <w:b/>
          <w:bCs/>
          <w:i/>
          <w:iCs/>
        </w:rPr>
        <w:t>Submissions of the Respondent</w:t>
      </w:r>
    </w:p>
    <w:p w14:paraId="3570B97C" w14:textId="0CA77B08" w:rsidR="00680B18" w:rsidRDefault="008F24BC" w:rsidP="00775A4E">
      <w:pPr>
        <w:pStyle w:val="NoSpacing"/>
        <w:numPr>
          <w:ilvl w:val="0"/>
          <w:numId w:val="8"/>
        </w:numPr>
        <w:spacing w:line="480" w:lineRule="auto"/>
        <w:ind w:left="0" w:firstLine="0"/>
        <w:jc w:val="left"/>
        <w:rPr>
          <w:rFonts w:cs="Times New Roman"/>
        </w:rPr>
      </w:pPr>
      <w:r>
        <w:rPr>
          <w:rFonts w:cs="Times New Roman"/>
        </w:rPr>
        <w:t xml:space="preserve">The Minister summarises his case as follows: </w:t>
      </w:r>
      <w:r w:rsidRPr="008F24BC">
        <w:rPr>
          <w:rFonts w:cs="Times New Roman"/>
        </w:rPr>
        <w:t>a marriage which has been entered into for the purpose of conferring an immigration advantage on one or both of the parties to it, can be treated as not being a valid marriage or, alternatively, that if it remains valid as a matter of form, no constitutional or ECHR rights flow from it as would be required to be taken into account by the Minister when deciding whether or not to make a deportation order in respect of one or both of the parties to it.</w:t>
      </w:r>
      <w:r w:rsidR="00476403" w:rsidRPr="00476403">
        <w:rPr>
          <w:rFonts w:cs="Times New Roman"/>
        </w:rPr>
        <w:t xml:space="preserve"> </w:t>
      </w:r>
      <w:r w:rsidR="00476403">
        <w:rPr>
          <w:rFonts w:cs="Times New Roman"/>
        </w:rPr>
        <w:t xml:space="preserve">The Minister therefore submits that he </w:t>
      </w:r>
      <w:r w:rsidR="00476403" w:rsidRPr="000E64F4">
        <w:rPr>
          <w:rFonts w:cs="Times New Roman"/>
        </w:rPr>
        <w:t xml:space="preserve">was entitled to make a deportation order in respect of </w:t>
      </w:r>
      <w:r w:rsidR="00474F79">
        <w:rPr>
          <w:rFonts w:cs="Times New Roman"/>
        </w:rPr>
        <w:t xml:space="preserve">Mr. M.S. </w:t>
      </w:r>
      <w:r w:rsidR="00476403" w:rsidRPr="000E64F4">
        <w:rPr>
          <w:rFonts w:cs="Times New Roman"/>
        </w:rPr>
        <w:t>without having to consider the constitutional and ECHR provisions relied upon by him pertaining to his marriage</w:t>
      </w:r>
      <w:r w:rsidR="00474F79">
        <w:rPr>
          <w:rFonts w:cs="Times New Roman"/>
        </w:rPr>
        <w:t xml:space="preserve">, the resulting family status and the underlying relationship. </w:t>
      </w:r>
    </w:p>
    <w:p w14:paraId="71EE4065" w14:textId="029F43C1" w:rsidR="008F24BC" w:rsidRDefault="008F24BC" w:rsidP="00775A4E">
      <w:pPr>
        <w:pStyle w:val="NoSpacing"/>
        <w:spacing w:line="480" w:lineRule="auto"/>
        <w:jc w:val="left"/>
        <w:rPr>
          <w:rFonts w:cs="Times New Roman"/>
        </w:rPr>
      </w:pPr>
    </w:p>
    <w:p w14:paraId="32F6F2C5" w14:textId="6DB8C3D6" w:rsidR="00A32798" w:rsidRDefault="00AC18D6" w:rsidP="00775A4E">
      <w:pPr>
        <w:pStyle w:val="NoSpacing"/>
        <w:numPr>
          <w:ilvl w:val="0"/>
          <w:numId w:val="8"/>
        </w:numPr>
        <w:spacing w:line="480" w:lineRule="auto"/>
        <w:ind w:left="0" w:firstLine="0"/>
        <w:jc w:val="left"/>
        <w:rPr>
          <w:rFonts w:cs="Times New Roman"/>
        </w:rPr>
      </w:pPr>
      <w:r>
        <w:rPr>
          <w:rFonts w:cs="Times New Roman"/>
        </w:rPr>
        <w:t xml:space="preserve">The Respondent submits that there was no obligation on him to </w:t>
      </w:r>
      <w:r w:rsidRPr="00AC18D6">
        <w:rPr>
          <w:rFonts w:cs="Times New Roman"/>
        </w:rPr>
        <w:t>revisit</w:t>
      </w:r>
      <w:r>
        <w:rPr>
          <w:rFonts w:cs="Times New Roman"/>
        </w:rPr>
        <w:t>,</w:t>
      </w:r>
      <w:r w:rsidRPr="00AC18D6">
        <w:rPr>
          <w:rFonts w:cs="Times New Roman"/>
        </w:rPr>
        <w:t xml:space="preserve"> in the deportation process under </w:t>
      </w:r>
      <w:r>
        <w:rPr>
          <w:rFonts w:cs="Times New Roman"/>
        </w:rPr>
        <w:t>s</w:t>
      </w:r>
      <w:r w:rsidRPr="00AC18D6">
        <w:rPr>
          <w:rFonts w:cs="Times New Roman"/>
        </w:rPr>
        <w:t xml:space="preserve">ection 3 </w:t>
      </w:r>
      <w:r>
        <w:rPr>
          <w:rFonts w:cs="Times New Roman"/>
        </w:rPr>
        <w:t>of the 199</w:t>
      </w:r>
      <w:r w:rsidR="00140CC6">
        <w:rPr>
          <w:rFonts w:cs="Times New Roman"/>
        </w:rPr>
        <w:t>9</w:t>
      </w:r>
      <w:r>
        <w:rPr>
          <w:rFonts w:cs="Times New Roman"/>
        </w:rPr>
        <w:t xml:space="preserve"> Act, </w:t>
      </w:r>
      <w:r w:rsidRPr="00AC18D6">
        <w:rPr>
          <w:rFonts w:cs="Times New Roman"/>
        </w:rPr>
        <w:t>the decision already made under the 2015 Regulations</w:t>
      </w:r>
      <w:r>
        <w:rPr>
          <w:rFonts w:cs="Times New Roman"/>
        </w:rPr>
        <w:t xml:space="preserve">. </w:t>
      </w:r>
      <w:r w:rsidR="00357A0E">
        <w:rPr>
          <w:rFonts w:cs="Times New Roman"/>
        </w:rPr>
        <w:t xml:space="preserve">While accepting that he must have regard under section 3(6)(c) of the 1999 Act to “the </w:t>
      </w:r>
      <w:r w:rsidR="00357A0E" w:rsidRPr="00357A0E">
        <w:rPr>
          <w:rFonts w:cs="Times New Roman"/>
        </w:rPr>
        <w:t>family and domestic circumstances of the person</w:t>
      </w:r>
      <w:r w:rsidR="00357A0E">
        <w:rPr>
          <w:rFonts w:cs="Times New Roman"/>
        </w:rPr>
        <w:t>”</w:t>
      </w:r>
      <w:r w:rsidR="00EE4A68">
        <w:rPr>
          <w:rFonts w:cs="Times New Roman"/>
        </w:rPr>
        <w:t xml:space="preserve">, the Minister submits that by the time he was obliged to have regard to these matters he had already determined the </w:t>
      </w:r>
      <w:r w:rsidR="00EE4A68">
        <w:rPr>
          <w:rFonts w:cs="Times New Roman"/>
        </w:rPr>
        <w:lastRenderedPageBreak/>
        <w:t xml:space="preserve">Appellants’ marriage to be one of convenience. </w:t>
      </w:r>
      <w:r w:rsidR="00112F85">
        <w:rPr>
          <w:rFonts w:cs="Times New Roman"/>
        </w:rPr>
        <w:t xml:space="preserve">The Minister </w:t>
      </w:r>
      <w:r w:rsidR="00474F79">
        <w:rPr>
          <w:rFonts w:cs="Times New Roman"/>
        </w:rPr>
        <w:t xml:space="preserve">says </w:t>
      </w:r>
      <w:r w:rsidR="00112F85">
        <w:rPr>
          <w:rFonts w:cs="Times New Roman"/>
        </w:rPr>
        <w:t>that</w:t>
      </w:r>
      <w:r w:rsidR="00703AD7">
        <w:rPr>
          <w:rFonts w:cs="Times New Roman"/>
        </w:rPr>
        <w:t xml:space="preserve"> it is incorrect to say that the High Court “unlawfully conflated two very separate processes”:</w:t>
      </w:r>
      <w:r w:rsidR="00435A72">
        <w:rPr>
          <w:rFonts w:cs="Times New Roman"/>
        </w:rPr>
        <w:t xml:space="preserve"> he says that the two processes (i.e. that under the 2015 Regulations and the deportation process) were entirely interlinked in terms of the factual matrix and conclusion</w:t>
      </w:r>
      <w:r w:rsidR="002E01C0">
        <w:rPr>
          <w:rFonts w:cs="Times New Roman"/>
        </w:rPr>
        <w:t xml:space="preserve"> and that it would be entirely artificial to ask him to disregard the former process when considering the latter</w:t>
      </w:r>
      <w:r w:rsidR="00172AF7">
        <w:rPr>
          <w:rFonts w:cs="Times New Roman"/>
        </w:rPr>
        <w:t xml:space="preserve">. </w:t>
      </w:r>
      <w:r w:rsidR="00BF16C8">
        <w:rPr>
          <w:rFonts w:cs="Times New Roman"/>
        </w:rPr>
        <w:t xml:space="preserve">Given the inextricable link between the processes, the Minister says that it would introduce an absurdity into the immigration system if he could not have regard to the decision under the 2015 Regulations </w:t>
      </w:r>
      <w:r w:rsidR="003C1D20">
        <w:rPr>
          <w:rFonts w:cs="Times New Roman"/>
        </w:rPr>
        <w:t xml:space="preserve">during the deportation process. He submits that </w:t>
      </w:r>
      <w:r w:rsidR="004E6C2B">
        <w:rPr>
          <w:rFonts w:cs="Times New Roman"/>
        </w:rPr>
        <w:t xml:space="preserve">the Appellants are incorrect in stating that they were not notified that the earlier decision could be imported into the deportation process. </w:t>
      </w:r>
      <w:r w:rsidR="00084746">
        <w:rPr>
          <w:rFonts w:cs="Times New Roman"/>
        </w:rPr>
        <w:t>Moreover, he says that while the Appellants appear to be suggesting before this court that the process were drawn-out such that the family situation had differed or developed in some way by the time of the deportation</w:t>
      </w:r>
      <w:r w:rsidR="00877342">
        <w:rPr>
          <w:rFonts w:cs="Times New Roman"/>
        </w:rPr>
        <w:t xml:space="preserve"> decision, the Appellants never claimed that the analysis under section 3 of the 1999 Act missed out o</w:t>
      </w:r>
      <w:r w:rsidR="00D6292D">
        <w:rPr>
          <w:rFonts w:cs="Times New Roman"/>
        </w:rPr>
        <w:t>n</w:t>
      </w:r>
      <w:r w:rsidR="00877342">
        <w:rPr>
          <w:rFonts w:cs="Times New Roman"/>
        </w:rPr>
        <w:t xml:space="preserve"> any relevant facts. </w:t>
      </w:r>
    </w:p>
    <w:p w14:paraId="6A5F8400" w14:textId="4C90CF9E" w:rsidR="008B70D8" w:rsidRDefault="008B70D8" w:rsidP="00775A4E">
      <w:pPr>
        <w:pStyle w:val="NoSpacing"/>
        <w:spacing w:line="480" w:lineRule="auto"/>
        <w:jc w:val="left"/>
        <w:rPr>
          <w:rFonts w:cs="Times New Roman"/>
        </w:rPr>
      </w:pPr>
    </w:p>
    <w:p w14:paraId="6A79B225" w14:textId="5D8E339B" w:rsidR="009A7A53" w:rsidRDefault="009A7A53" w:rsidP="00775A4E">
      <w:pPr>
        <w:pStyle w:val="NoSpacing"/>
        <w:numPr>
          <w:ilvl w:val="0"/>
          <w:numId w:val="8"/>
        </w:numPr>
        <w:spacing w:line="480" w:lineRule="auto"/>
        <w:ind w:left="0" w:firstLine="0"/>
        <w:jc w:val="left"/>
        <w:rPr>
          <w:rFonts w:cs="Times New Roman"/>
        </w:rPr>
      </w:pPr>
      <w:r>
        <w:rPr>
          <w:rFonts w:cs="Times New Roman"/>
        </w:rPr>
        <w:t>Thus the Minister submits that given that he</w:t>
      </w:r>
      <w:r w:rsidRPr="008660CD">
        <w:rPr>
          <w:rFonts w:cs="Times New Roman"/>
        </w:rPr>
        <w:t xml:space="preserve"> already determined that the marriage was one of convenience, he was not obliged to have regard, within the meaning of s</w:t>
      </w:r>
      <w:r>
        <w:rPr>
          <w:rFonts w:cs="Times New Roman"/>
        </w:rPr>
        <w:t>ection</w:t>
      </w:r>
      <w:r w:rsidRPr="008660CD">
        <w:rPr>
          <w:rFonts w:cs="Times New Roman"/>
        </w:rPr>
        <w:t xml:space="preserve"> 3(6)(c) of the </w:t>
      </w:r>
      <w:r>
        <w:rPr>
          <w:rFonts w:cs="Times New Roman"/>
        </w:rPr>
        <w:t>1</w:t>
      </w:r>
      <w:r w:rsidRPr="008660CD">
        <w:rPr>
          <w:rFonts w:cs="Times New Roman"/>
        </w:rPr>
        <w:t xml:space="preserve">999 </w:t>
      </w:r>
      <w:r>
        <w:rPr>
          <w:rFonts w:cs="Times New Roman"/>
        </w:rPr>
        <w:t>Act</w:t>
      </w:r>
      <w:r w:rsidR="00A05F2E">
        <w:rPr>
          <w:rFonts w:cs="Times New Roman"/>
        </w:rPr>
        <w:t xml:space="preserve">, </w:t>
      </w:r>
      <w:r w:rsidRPr="008660CD">
        <w:rPr>
          <w:rFonts w:cs="Times New Roman"/>
        </w:rPr>
        <w:t xml:space="preserve">to the “family and domestic circumstances” of the </w:t>
      </w:r>
      <w:r w:rsidR="00A05F2E">
        <w:rPr>
          <w:rFonts w:cs="Times New Roman"/>
        </w:rPr>
        <w:t xml:space="preserve">First </w:t>
      </w:r>
      <w:r w:rsidRPr="008660CD">
        <w:rPr>
          <w:rFonts w:cs="Times New Roman"/>
        </w:rPr>
        <w:t xml:space="preserve">Appellant alleged to flow from such a marriage. </w:t>
      </w:r>
      <w:r w:rsidR="00A05F2E">
        <w:rPr>
          <w:rFonts w:cs="Times New Roman"/>
        </w:rPr>
        <w:t>T</w:t>
      </w:r>
      <w:r w:rsidRPr="008660CD">
        <w:rPr>
          <w:rFonts w:cs="Times New Roman"/>
        </w:rPr>
        <w:t>hat marriage was either not a valid marriage or, alternatively, did not attract any protection under the Constitution or the ECHR. Either way, the Minister</w:t>
      </w:r>
      <w:r w:rsidR="00A05F2E">
        <w:rPr>
          <w:rFonts w:cs="Times New Roman"/>
        </w:rPr>
        <w:t xml:space="preserve"> says that hi</w:t>
      </w:r>
      <w:r w:rsidRPr="008660CD">
        <w:rPr>
          <w:rFonts w:cs="Times New Roman"/>
        </w:rPr>
        <w:t>s approach to the making of the deportation order was lawful.</w:t>
      </w:r>
    </w:p>
    <w:p w14:paraId="6CB52393" w14:textId="77777777" w:rsidR="009A7A53" w:rsidRDefault="009A7A53" w:rsidP="00775A4E">
      <w:pPr>
        <w:pStyle w:val="NoSpacing"/>
        <w:spacing w:line="480" w:lineRule="auto"/>
        <w:jc w:val="left"/>
        <w:rPr>
          <w:rFonts w:cs="Times New Roman"/>
        </w:rPr>
      </w:pPr>
    </w:p>
    <w:p w14:paraId="60B0B289" w14:textId="643DE379" w:rsidR="008B70D8" w:rsidRPr="00775A4E" w:rsidRDefault="008B70D8" w:rsidP="00775A4E">
      <w:pPr>
        <w:pStyle w:val="NoSpacing"/>
        <w:numPr>
          <w:ilvl w:val="0"/>
          <w:numId w:val="8"/>
        </w:numPr>
        <w:spacing w:line="480" w:lineRule="auto"/>
        <w:ind w:left="0" w:firstLine="0"/>
        <w:rPr>
          <w:rFonts w:cs="Times New Roman"/>
          <w:b/>
          <w:bCs/>
        </w:rPr>
      </w:pPr>
      <w:r>
        <w:rPr>
          <w:rFonts w:cs="Times New Roman"/>
        </w:rPr>
        <w:t>The Minister submits that the Appellants never challenged his determination, pursuant to the 2015 Regulations, that their marriage was one of convenience</w:t>
      </w:r>
      <w:r w:rsidR="00491B86">
        <w:rPr>
          <w:rFonts w:cs="Times New Roman"/>
        </w:rPr>
        <w:t>:</w:t>
      </w:r>
      <w:r w:rsidR="00A84E82">
        <w:rPr>
          <w:rFonts w:cs="Times New Roman"/>
        </w:rPr>
        <w:t xml:space="preserve"> he was therefore entitled to rely on that decision in the deportation context. </w:t>
      </w:r>
      <w:r w:rsidR="00F127FF">
        <w:rPr>
          <w:rFonts w:cs="Times New Roman"/>
        </w:rPr>
        <w:t xml:space="preserve">The High Court held that the time for challenging the decision that theirs is a marriage of convenience </w:t>
      </w:r>
      <w:r w:rsidR="00D521AB">
        <w:rPr>
          <w:rFonts w:cs="Times New Roman"/>
        </w:rPr>
        <w:t xml:space="preserve">has expired and that it was </w:t>
      </w:r>
      <w:r w:rsidR="00D521AB">
        <w:rPr>
          <w:rFonts w:cs="Times New Roman"/>
        </w:rPr>
        <w:lastRenderedPageBreak/>
        <w:t xml:space="preserve">therefore not open to the Appellants to </w:t>
      </w:r>
      <w:r w:rsidR="009E7AC2">
        <w:rPr>
          <w:rFonts w:cs="Times New Roman"/>
        </w:rPr>
        <w:t xml:space="preserve">question </w:t>
      </w:r>
      <w:r w:rsidR="00D521AB">
        <w:rPr>
          <w:rFonts w:cs="Times New Roman"/>
        </w:rPr>
        <w:t xml:space="preserve">that finding in these proceedings; the Minister </w:t>
      </w:r>
      <w:r w:rsidR="009E7AC2">
        <w:rPr>
          <w:rFonts w:cs="Times New Roman"/>
        </w:rPr>
        <w:t xml:space="preserve">also says </w:t>
      </w:r>
      <w:r w:rsidR="00D521AB">
        <w:rPr>
          <w:rFonts w:cs="Times New Roman"/>
        </w:rPr>
        <w:t xml:space="preserve">that the Appellants have not engaged with this </w:t>
      </w:r>
      <w:r w:rsidR="00A83CB9">
        <w:rPr>
          <w:rFonts w:cs="Times New Roman"/>
        </w:rPr>
        <w:t xml:space="preserve">finding. </w:t>
      </w:r>
      <w:r w:rsidR="001322EC">
        <w:rPr>
          <w:rFonts w:cs="Times New Roman"/>
        </w:rPr>
        <w:t>Th</w:t>
      </w:r>
      <w:r w:rsidR="001D09DF">
        <w:rPr>
          <w:rFonts w:cs="Times New Roman"/>
        </w:rPr>
        <w:t xml:space="preserve">e </w:t>
      </w:r>
      <w:r w:rsidR="001322EC">
        <w:rPr>
          <w:rFonts w:cs="Times New Roman"/>
        </w:rPr>
        <w:t xml:space="preserve">Respondent </w:t>
      </w:r>
      <w:r w:rsidR="001D09DF">
        <w:rPr>
          <w:rFonts w:cs="Times New Roman"/>
        </w:rPr>
        <w:t>says that there must be certainty in the area of administrative decision-making and that the section 3 process is not a vehicle for re-opening the validity of earlier decisions</w:t>
      </w:r>
      <w:r w:rsidR="002E2BC3">
        <w:rPr>
          <w:rFonts w:cs="Times New Roman"/>
        </w:rPr>
        <w:t xml:space="preserve">: see </w:t>
      </w:r>
      <w:proofErr w:type="spellStart"/>
      <w:r w:rsidR="002E2BC3" w:rsidRPr="002E2BC3">
        <w:rPr>
          <w:rFonts w:cs="Times New Roman"/>
          <w:i/>
          <w:iCs/>
        </w:rPr>
        <w:t>Luximon</w:t>
      </w:r>
      <w:proofErr w:type="spellEnd"/>
      <w:r w:rsidR="002E2BC3" w:rsidRPr="002E2BC3">
        <w:rPr>
          <w:rFonts w:cs="Times New Roman"/>
          <w:i/>
          <w:iCs/>
        </w:rPr>
        <w:t xml:space="preserve"> v Minister for Justice and Equality</w:t>
      </w:r>
      <w:r w:rsidR="002E2BC3" w:rsidRPr="002E2BC3">
        <w:rPr>
          <w:rFonts w:cs="Times New Roman"/>
        </w:rPr>
        <w:t xml:space="preserve"> [2018] IESC 24</w:t>
      </w:r>
      <w:r w:rsidR="00140CC6">
        <w:rPr>
          <w:rFonts w:cs="Times New Roman"/>
        </w:rPr>
        <w:t xml:space="preserve">, </w:t>
      </w:r>
      <w:r w:rsidR="00140CC6" w:rsidRPr="00140CC6">
        <w:rPr>
          <w:rFonts w:cs="Times New Roman"/>
        </w:rPr>
        <w:t>[2018] 2 I</w:t>
      </w:r>
      <w:r w:rsidR="00E20DB0">
        <w:rPr>
          <w:rFonts w:cs="Times New Roman"/>
        </w:rPr>
        <w:t>.</w:t>
      </w:r>
      <w:r w:rsidR="00140CC6" w:rsidRPr="00140CC6">
        <w:rPr>
          <w:rFonts w:cs="Times New Roman"/>
        </w:rPr>
        <w:t>R</w:t>
      </w:r>
      <w:r w:rsidR="00E20DB0">
        <w:rPr>
          <w:rFonts w:cs="Times New Roman"/>
        </w:rPr>
        <w:t>.</w:t>
      </w:r>
      <w:r w:rsidR="00140CC6" w:rsidRPr="00140CC6">
        <w:rPr>
          <w:rFonts w:cs="Times New Roman"/>
        </w:rPr>
        <w:t xml:space="preserve"> 542</w:t>
      </w:r>
      <w:r w:rsidR="002E2BC3" w:rsidRPr="00140CC6">
        <w:rPr>
          <w:rFonts w:cs="Times New Roman"/>
        </w:rPr>
        <w:t xml:space="preserve"> at para. 86.</w:t>
      </w:r>
    </w:p>
    <w:p w14:paraId="094A8666" w14:textId="22AAD04B" w:rsidR="004779EC" w:rsidRDefault="004779EC" w:rsidP="00775A4E">
      <w:pPr>
        <w:pStyle w:val="NoSpacing"/>
        <w:spacing w:line="480" w:lineRule="auto"/>
        <w:jc w:val="left"/>
        <w:rPr>
          <w:rFonts w:cs="Times New Roman"/>
        </w:rPr>
      </w:pPr>
    </w:p>
    <w:p w14:paraId="0E057F4D" w14:textId="78DD04A2" w:rsidR="004779EC" w:rsidRDefault="004779EC" w:rsidP="00775A4E">
      <w:pPr>
        <w:pStyle w:val="NoSpacing"/>
        <w:numPr>
          <w:ilvl w:val="0"/>
          <w:numId w:val="8"/>
        </w:numPr>
        <w:spacing w:line="480" w:lineRule="auto"/>
        <w:ind w:left="0" w:firstLine="0"/>
        <w:jc w:val="left"/>
        <w:rPr>
          <w:rFonts w:cs="Times New Roman"/>
        </w:rPr>
      </w:pPr>
      <w:r>
        <w:rPr>
          <w:rFonts w:cs="Times New Roman"/>
        </w:rPr>
        <w:t xml:space="preserve">While the Minister accepts that the Appellants entered into a marriage in February 2010, he submits </w:t>
      </w:r>
      <w:r w:rsidRPr="004779EC">
        <w:rPr>
          <w:rFonts w:cs="Times New Roman"/>
        </w:rPr>
        <w:t>that the rights asserted by the Appellants do not however extend to their marriage, it being a marriage of convenience</w:t>
      </w:r>
      <w:r w:rsidR="00B0351D">
        <w:rPr>
          <w:rFonts w:cs="Times New Roman"/>
        </w:rPr>
        <w:t>: such</w:t>
      </w:r>
      <w:r w:rsidRPr="004779EC">
        <w:rPr>
          <w:rFonts w:cs="Times New Roman"/>
        </w:rPr>
        <w:t xml:space="preserve"> is not a genuine or regular marriage notwithstanding that the marriage ceremony complied with the applicable legal or statutory requirements</w:t>
      </w:r>
      <w:r w:rsidR="00104DB7">
        <w:rPr>
          <w:rFonts w:cs="Times New Roman"/>
        </w:rPr>
        <w:t xml:space="preserve">. </w:t>
      </w:r>
      <w:r w:rsidR="00A07690">
        <w:rPr>
          <w:rFonts w:cs="Times New Roman"/>
        </w:rPr>
        <w:t>The Minister contends</w:t>
      </w:r>
      <w:r w:rsidR="00FC7005">
        <w:rPr>
          <w:rFonts w:cs="Times New Roman"/>
        </w:rPr>
        <w:t xml:space="preserve"> that what the Appellants are seeking to do is to </w:t>
      </w:r>
      <w:r w:rsidR="00A07690" w:rsidRPr="00A07690">
        <w:rPr>
          <w:rFonts w:cs="Times New Roman"/>
        </w:rPr>
        <w:t>disregard the uncontested finding that there is no genuine and regular marriage and find that there is a valid marriage</w:t>
      </w:r>
      <w:r w:rsidR="00A07690">
        <w:rPr>
          <w:rFonts w:cs="Times New Roman"/>
        </w:rPr>
        <w:t xml:space="preserve"> which attracts constitutional protection. </w:t>
      </w:r>
      <w:r w:rsidR="00A838DE">
        <w:rPr>
          <w:rFonts w:cs="Times New Roman"/>
        </w:rPr>
        <w:t xml:space="preserve">He refers, in this regard, to the decision of this Court in </w:t>
      </w:r>
      <w:r w:rsidR="00A838DE" w:rsidRPr="00104DB7">
        <w:rPr>
          <w:rFonts w:cs="Times New Roman"/>
          <w:i/>
          <w:iCs/>
        </w:rPr>
        <w:t>H.A.H. v. S.A.A.</w:t>
      </w:r>
      <w:r w:rsidR="00A838DE" w:rsidRPr="00104DB7">
        <w:rPr>
          <w:rFonts w:cs="Times New Roman"/>
        </w:rPr>
        <w:t xml:space="preserve"> [2017] 1 I</w:t>
      </w:r>
      <w:r w:rsidR="00A838DE">
        <w:rPr>
          <w:rFonts w:cs="Times New Roman"/>
        </w:rPr>
        <w:t>.</w:t>
      </w:r>
      <w:r w:rsidR="00A838DE" w:rsidRPr="00104DB7">
        <w:rPr>
          <w:rFonts w:cs="Times New Roman"/>
        </w:rPr>
        <w:t>R</w:t>
      </w:r>
      <w:r w:rsidR="00A838DE">
        <w:rPr>
          <w:rFonts w:cs="Times New Roman"/>
        </w:rPr>
        <w:t>.</w:t>
      </w:r>
      <w:r w:rsidR="00A838DE" w:rsidRPr="00104DB7">
        <w:rPr>
          <w:rFonts w:cs="Times New Roman"/>
        </w:rPr>
        <w:t xml:space="preserve"> 372</w:t>
      </w:r>
      <w:r w:rsidR="00EF6B4C">
        <w:rPr>
          <w:rFonts w:cs="Times New Roman"/>
        </w:rPr>
        <w:t xml:space="preserve"> and says that the Appellants’ marriage does not come</w:t>
      </w:r>
      <w:r w:rsidR="00DD36EF">
        <w:rPr>
          <w:rFonts w:cs="Times New Roman"/>
        </w:rPr>
        <w:t xml:space="preserve"> within the defining characteristics of marriage as therein discussed</w:t>
      </w:r>
      <w:r w:rsidR="002D1DAE">
        <w:rPr>
          <w:rFonts w:cs="Times New Roman"/>
        </w:rPr>
        <w:t>, nor</w:t>
      </w:r>
      <w:r w:rsidR="0099307A">
        <w:rPr>
          <w:rFonts w:cs="Times New Roman"/>
        </w:rPr>
        <w:t xml:space="preserve"> is it consistent with the comments of </w:t>
      </w:r>
      <w:r w:rsidR="00387ABE" w:rsidRPr="00387ABE">
        <w:rPr>
          <w:rFonts w:cs="Times New Roman"/>
        </w:rPr>
        <w:t xml:space="preserve">Humphreys J. in </w:t>
      </w:r>
      <w:r w:rsidR="00387ABE" w:rsidRPr="008F6A9A">
        <w:rPr>
          <w:rFonts w:cs="Times New Roman"/>
          <w:i/>
          <w:iCs/>
        </w:rPr>
        <w:t>KP v. Minister for Justice</w:t>
      </w:r>
      <w:r w:rsidR="00387ABE" w:rsidRPr="00387ABE">
        <w:rPr>
          <w:rFonts w:cs="Times New Roman"/>
        </w:rPr>
        <w:t xml:space="preserve"> [2017] IEHC 95</w:t>
      </w:r>
      <w:r w:rsidR="00E20DB0">
        <w:rPr>
          <w:rFonts w:cs="Times New Roman"/>
        </w:rPr>
        <w:t xml:space="preserve"> (Unreported, High Court, Humphreys J. 20</w:t>
      </w:r>
      <w:r w:rsidR="00E20DB0" w:rsidRPr="00775A4E">
        <w:rPr>
          <w:rFonts w:cs="Times New Roman"/>
          <w:vertAlign w:val="superscript"/>
        </w:rPr>
        <w:t>th</w:t>
      </w:r>
      <w:r w:rsidR="00E20DB0">
        <w:rPr>
          <w:rFonts w:cs="Times New Roman"/>
        </w:rPr>
        <w:t xml:space="preserve"> February, 2017)</w:t>
      </w:r>
      <w:r w:rsidR="00DD36EF">
        <w:rPr>
          <w:rFonts w:cs="Times New Roman"/>
        </w:rPr>
        <w:t xml:space="preserve">. </w:t>
      </w:r>
      <w:r w:rsidR="00992C81">
        <w:rPr>
          <w:rFonts w:cs="Times New Roman"/>
        </w:rPr>
        <w:t xml:space="preserve">He submits that it would undermine the constitutional protection of </w:t>
      </w:r>
      <w:r w:rsidR="00910D5B">
        <w:rPr>
          <w:rFonts w:cs="Times New Roman"/>
        </w:rPr>
        <w:t xml:space="preserve">marriage if those who marry to commit a fraud on the immigration system can claim the legal protections arising from such a marriage. </w:t>
      </w:r>
      <w:r w:rsidR="008D25A6">
        <w:rPr>
          <w:rFonts w:cs="Times New Roman"/>
        </w:rPr>
        <w:t xml:space="preserve">Further, it is clear from the terms of </w:t>
      </w:r>
      <w:r w:rsidR="00247CBD">
        <w:rPr>
          <w:rFonts w:cs="Times New Roman"/>
        </w:rPr>
        <w:t xml:space="preserve">section 2(2) of the </w:t>
      </w:r>
      <w:r w:rsidR="00247CBD" w:rsidRPr="00247CBD">
        <w:rPr>
          <w:rFonts w:cs="Times New Roman"/>
        </w:rPr>
        <w:t>Civil Registration (Amendment) Act 2014</w:t>
      </w:r>
      <w:r w:rsidR="00352E03">
        <w:rPr>
          <w:rFonts w:cs="Times New Roman"/>
        </w:rPr>
        <w:t xml:space="preserve"> that marriages of convenience are considered by the Oireachtas to be contrary to public policy and therefore do no attract constitutional or ECHR protection</w:t>
      </w:r>
      <w:r w:rsidR="000F1AD9">
        <w:rPr>
          <w:rFonts w:cs="Times New Roman"/>
        </w:rPr>
        <w:t xml:space="preserve">, and it would be contrary to public policy for this Court to hold that such protections attach. </w:t>
      </w:r>
    </w:p>
    <w:p w14:paraId="09BB8F2A" w14:textId="7B6FF195" w:rsidR="00440C34" w:rsidRDefault="00440C34" w:rsidP="00775A4E">
      <w:pPr>
        <w:pStyle w:val="NoSpacing"/>
        <w:spacing w:line="480" w:lineRule="auto"/>
        <w:jc w:val="left"/>
        <w:rPr>
          <w:rFonts w:cs="Times New Roman"/>
        </w:rPr>
      </w:pPr>
    </w:p>
    <w:p w14:paraId="1093CB3B" w14:textId="76C64551" w:rsidR="00440C34" w:rsidRDefault="00440C34" w:rsidP="00775A4E">
      <w:pPr>
        <w:pStyle w:val="NoSpacing"/>
        <w:numPr>
          <w:ilvl w:val="0"/>
          <w:numId w:val="8"/>
        </w:numPr>
        <w:spacing w:line="480" w:lineRule="auto"/>
        <w:ind w:left="0" w:firstLine="0"/>
        <w:jc w:val="left"/>
        <w:rPr>
          <w:rFonts w:cs="Times New Roman"/>
        </w:rPr>
      </w:pPr>
      <w:r>
        <w:rPr>
          <w:rFonts w:cs="Times New Roman"/>
        </w:rPr>
        <w:lastRenderedPageBreak/>
        <w:t xml:space="preserve">The Minister </w:t>
      </w:r>
      <w:r w:rsidR="00B82124">
        <w:rPr>
          <w:rFonts w:cs="Times New Roman"/>
        </w:rPr>
        <w:t>says that</w:t>
      </w:r>
      <w:r>
        <w:rPr>
          <w:rFonts w:cs="Times New Roman"/>
        </w:rPr>
        <w:t xml:space="preserve"> </w:t>
      </w:r>
      <w:r w:rsidR="00B82124">
        <w:rPr>
          <w:rFonts w:cs="Times New Roman"/>
        </w:rPr>
        <w:t xml:space="preserve">it is clear from the </w:t>
      </w:r>
      <w:r>
        <w:rPr>
          <w:rFonts w:cs="Times New Roman"/>
        </w:rPr>
        <w:t xml:space="preserve">case law of the European Court of Human Rights </w:t>
      </w:r>
      <w:r w:rsidR="003E527A">
        <w:rPr>
          <w:rFonts w:cs="Times New Roman"/>
        </w:rPr>
        <w:t>(</w:t>
      </w:r>
      <w:r w:rsidR="003E527A" w:rsidRPr="00B82124">
        <w:rPr>
          <w:rFonts w:cs="Times New Roman"/>
          <w:i/>
          <w:iCs/>
        </w:rPr>
        <w:t>EB v. France</w:t>
      </w:r>
      <w:r w:rsidR="003E527A" w:rsidRPr="003E527A">
        <w:rPr>
          <w:rFonts w:cs="Times New Roman"/>
        </w:rPr>
        <w:t xml:space="preserve"> (Application No. 43546/02, 22nd January, 2008)</w:t>
      </w:r>
      <w:r w:rsidR="003E527A">
        <w:rPr>
          <w:rFonts w:cs="Times New Roman"/>
        </w:rPr>
        <w:t xml:space="preserve">; </w:t>
      </w:r>
      <w:r w:rsidR="00B82124" w:rsidRPr="00B82124">
        <w:rPr>
          <w:rFonts w:cs="Times New Roman"/>
          <w:i/>
          <w:iCs/>
        </w:rPr>
        <w:t>Schembri v. Malta</w:t>
      </w:r>
      <w:r w:rsidR="00B82124" w:rsidRPr="00B82124">
        <w:rPr>
          <w:rFonts w:cs="Times New Roman"/>
        </w:rPr>
        <w:t xml:space="preserve"> (Application No. 66297/13, 19th September, 2017)</w:t>
      </w:r>
      <w:r w:rsidR="00633139">
        <w:rPr>
          <w:rFonts w:cs="Times New Roman"/>
        </w:rPr>
        <w:t>)</w:t>
      </w:r>
      <w:r w:rsidR="00B82124">
        <w:rPr>
          <w:rFonts w:cs="Times New Roman"/>
        </w:rPr>
        <w:t xml:space="preserve"> that the ECHR protects only genuine marriages</w:t>
      </w:r>
      <w:r w:rsidR="0029077A">
        <w:rPr>
          <w:rFonts w:cs="Times New Roman"/>
        </w:rPr>
        <w:t>, while the same is true of EU law (</w:t>
      </w:r>
      <w:r w:rsidR="006503A7" w:rsidRPr="006503A7">
        <w:rPr>
          <w:rFonts w:cs="Times New Roman"/>
        </w:rPr>
        <w:t xml:space="preserve">C-109/01 </w:t>
      </w:r>
      <w:proofErr w:type="spellStart"/>
      <w:r w:rsidR="006503A7" w:rsidRPr="006503A7">
        <w:rPr>
          <w:rFonts w:cs="Times New Roman"/>
          <w:i/>
          <w:iCs/>
        </w:rPr>
        <w:t>Akrich</w:t>
      </w:r>
      <w:proofErr w:type="spellEnd"/>
      <w:r w:rsidR="006503A7">
        <w:rPr>
          <w:rFonts w:cs="Times New Roman"/>
        </w:rPr>
        <w:t xml:space="preserve"> at para. 61)</w:t>
      </w:r>
      <w:r w:rsidR="00487986">
        <w:rPr>
          <w:rFonts w:cs="Times New Roman"/>
        </w:rPr>
        <w:t>.</w:t>
      </w:r>
    </w:p>
    <w:p w14:paraId="2F5E30A9" w14:textId="4B7D7D2A" w:rsidR="00487986" w:rsidRDefault="00487986" w:rsidP="00775A4E">
      <w:pPr>
        <w:pStyle w:val="NoSpacing"/>
        <w:spacing w:line="480" w:lineRule="auto"/>
        <w:jc w:val="left"/>
        <w:rPr>
          <w:rFonts w:cs="Times New Roman"/>
        </w:rPr>
      </w:pPr>
    </w:p>
    <w:p w14:paraId="28378FD2" w14:textId="6C9FCD4E" w:rsidR="00487986" w:rsidRDefault="00487986" w:rsidP="00775A4E">
      <w:pPr>
        <w:pStyle w:val="NoSpacing"/>
        <w:numPr>
          <w:ilvl w:val="0"/>
          <w:numId w:val="8"/>
        </w:numPr>
        <w:spacing w:line="480" w:lineRule="auto"/>
        <w:ind w:left="0" w:firstLine="0"/>
        <w:jc w:val="left"/>
        <w:rPr>
          <w:rFonts w:cs="Times New Roman"/>
        </w:rPr>
      </w:pPr>
      <w:r>
        <w:rPr>
          <w:rFonts w:cs="Times New Roman"/>
        </w:rPr>
        <w:t>In respect of the question of nullity, the Minister submits that Humphreys J’s finding that no rights could flow from a marriage of convenience was sufficient to dispose of the case</w:t>
      </w:r>
      <w:r w:rsidR="00352EF2">
        <w:rPr>
          <w:rFonts w:cs="Times New Roman"/>
        </w:rPr>
        <w:t xml:space="preserve">, and that </w:t>
      </w:r>
      <w:r w:rsidR="00D56F56" w:rsidRPr="00D56F56">
        <w:rPr>
          <w:rFonts w:cs="Times New Roman"/>
          <w:i/>
          <w:iCs/>
        </w:rPr>
        <w:t>Izmailovic</w:t>
      </w:r>
      <w:r w:rsidR="00D56F56">
        <w:rPr>
          <w:rFonts w:cs="Times New Roman"/>
        </w:rPr>
        <w:t xml:space="preserve"> was discussed only in a narrow alternative, and </w:t>
      </w:r>
      <w:r w:rsidR="00D56F56" w:rsidRPr="00D56F56">
        <w:rPr>
          <w:rFonts w:cs="Times New Roman"/>
          <w:i/>
          <w:iCs/>
        </w:rPr>
        <w:t>obiter</w:t>
      </w:r>
      <w:r w:rsidR="00D56F56">
        <w:rPr>
          <w:rFonts w:cs="Times New Roman"/>
        </w:rPr>
        <w:t xml:space="preserve">, context. </w:t>
      </w:r>
      <w:r w:rsidR="0020399D">
        <w:rPr>
          <w:rFonts w:cs="Times New Roman"/>
        </w:rPr>
        <w:t>The Minister says that</w:t>
      </w:r>
      <w:r w:rsidR="008203E9">
        <w:rPr>
          <w:rFonts w:cs="Times New Roman"/>
        </w:rPr>
        <w:t xml:space="preserve"> in the High Court he contended that </w:t>
      </w:r>
      <w:r w:rsidR="008203E9" w:rsidRPr="008203E9">
        <w:rPr>
          <w:rFonts w:cs="Times New Roman"/>
          <w:i/>
          <w:iCs/>
        </w:rPr>
        <w:t>Izmailovic</w:t>
      </w:r>
      <w:r w:rsidR="008203E9">
        <w:rPr>
          <w:rFonts w:cs="Times New Roman"/>
          <w:i/>
          <w:iCs/>
        </w:rPr>
        <w:t xml:space="preserve"> </w:t>
      </w:r>
      <w:r w:rsidR="008203E9">
        <w:rPr>
          <w:rFonts w:cs="Times New Roman"/>
        </w:rPr>
        <w:t xml:space="preserve">is not authority for the proposition that a marriage contracted for </w:t>
      </w:r>
      <w:r w:rsidR="00B5114A">
        <w:rPr>
          <w:rFonts w:cs="Times New Roman"/>
        </w:rPr>
        <w:t xml:space="preserve">the </w:t>
      </w:r>
      <w:r w:rsidR="008203E9">
        <w:rPr>
          <w:rFonts w:cs="Times New Roman"/>
        </w:rPr>
        <w:t>purpose of avoiding immigration laws is valid and, without prejudice to that argument, that if such marriage is valid it does not attract the full panoply of constitutional/ECHR rights protection</w:t>
      </w:r>
      <w:r w:rsidR="00FC2162">
        <w:rPr>
          <w:rFonts w:cs="Times New Roman"/>
        </w:rPr>
        <w:t xml:space="preserve"> available to valid and </w:t>
      </w:r>
      <w:r w:rsidR="00FC2162">
        <w:rPr>
          <w:rFonts w:cs="Times New Roman"/>
          <w:i/>
          <w:iCs/>
        </w:rPr>
        <w:t xml:space="preserve">genuine </w:t>
      </w:r>
      <w:r w:rsidR="00FC2162">
        <w:rPr>
          <w:rFonts w:cs="Times New Roman"/>
        </w:rPr>
        <w:t xml:space="preserve">marriage. </w:t>
      </w:r>
      <w:r w:rsidR="0077601D">
        <w:rPr>
          <w:rFonts w:cs="Times New Roman"/>
        </w:rPr>
        <w:t xml:space="preserve">The Minister submits that the decision of this Court in </w:t>
      </w:r>
      <w:r w:rsidR="0077601D">
        <w:rPr>
          <w:rFonts w:cs="Times New Roman"/>
          <w:i/>
          <w:iCs/>
        </w:rPr>
        <w:t>H</w:t>
      </w:r>
      <w:r w:rsidR="00890083">
        <w:rPr>
          <w:rFonts w:cs="Times New Roman"/>
          <w:i/>
          <w:iCs/>
        </w:rPr>
        <w:t>.S.</w:t>
      </w:r>
      <w:r w:rsidR="0077601D">
        <w:rPr>
          <w:rFonts w:cs="Times New Roman"/>
          <w:i/>
          <w:iCs/>
        </w:rPr>
        <w:t xml:space="preserve"> v. </w:t>
      </w:r>
      <w:r w:rsidR="00890083">
        <w:rPr>
          <w:rFonts w:cs="Times New Roman"/>
          <w:i/>
          <w:iCs/>
        </w:rPr>
        <w:t>J.</w:t>
      </w:r>
      <w:r w:rsidR="0077601D">
        <w:rPr>
          <w:rFonts w:cs="Times New Roman"/>
          <w:i/>
          <w:iCs/>
        </w:rPr>
        <w:t xml:space="preserve">S </w:t>
      </w:r>
      <w:r w:rsidR="0077601D">
        <w:rPr>
          <w:rFonts w:cs="Times New Roman"/>
        </w:rPr>
        <w:t xml:space="preserve">places very considerable emphasis on the </w:t>
      </w:r>
      <w:r w:rsidR="006C547D">
        <w:rPr>
          <w:rFonts w:cs="Times New Roman"/>
        </w:rPr>
        <w:t xml:space="preserve">circumstances and the parties’ intention. </w:t>
      </w:r>
      <w:r w:rsidR="00162575">
        <w:rPr>
          <w:rFonts w:cs="Times New Roman"/>
        </w:rPr>
        <w:t xml:space="preserve">He says that the </w:t>
      </w:r>
      <w:r w:rsidR="00162575">
        <w:rPr>
          <w:rFonts w:cs="Times New Roman"/>
          <w:i/>
          <w:iCs/>
        </w:rPr>
        <w:t xml:space="preserve">ratio </w:t>
      </w:r>
      <w:r w:rsidR="00162575">
        <w:rPr>
          <w:rFonts w:cs="Times New Roman"/>
        </w:rPr>
        <w:t xml:space="preserve">of the majority judgments is that </w:t>
      </w:r>
      <w:r w:rsidR="00F33548" w:rsidRPr="00F33548">
        <w:rPr>
          <w:rFonts w:cs="Times New Roman"/>
        </w:rPr>
        <w:t xml:space="preserve">a marriage will </w:t>
      </w:r>
      <w:r w:rsidR="00162575" w:rsidRPr="00162575">
        <w:rPr>
          <w:rFonts w:cs="Times New Roman"/>
        </w:rPr>
        <w:t>not be invalid simply because one or both of the parties to it goes through the ceremony of marriage intending to divorce if the marriage is not successful</w:t>
      </w:r>
      <w:r w:rsidR="003B7BEB">
        <w:rPr>
          <w:rFonts w:cs="Times New Roman"/>
        </w:rPr>
        <w:t xml:space="preserve">; however, the case does not stand for the proposition that </w:t>
      </w:r>
      <w:r w:rsidR="00633366" w:rsidRPr="00633366">
        <w:rPr>
          <w:rFonts w:cs="Times New Roman"/>
        </w:rPr>
        <w:t>a marriage designed to confer an immigration advantage on a party to it (i.e. a marriage of convenience) is a valid marriage in Irish law or, if it is, that it attracts any or any meaningful protection under the Constitution o</w:t>
      </w:r>
      <w:r w:rsidR="00D800AC">
        <w:rPr>
          <w:rFonts w:cs="Times New Roman"/>
        </w:rPr>
        <w:t>r</w:t>
      </w:r>
      <w:r w:rsidR="00633366" w:rsidRPr="00633366">
        <w:rPr>
          <w:rFonts w:cs="Times New Roman"/>
        </w:rPr>
        <w:t xml:space="preserve"> the ECHR</w:t>
      </w:r>
      <w:r w:rsidR="00633366">
        <w:rPr>
          <w:rFonts w:cs="Times New Roman"/>
        </w:rPr>
        <w:t xml:space="preserve">, and to that extent the consideration of the case in </w:t>
      </w:r>
      <w:r w:rsidR="00633366" w:rsidRPr="008203E9">
        <w:rPr>
          <w:rFonts w:cs="Times New Roman"/>
          <w:i/>
          <w:iCs/>
        </w:rPr>
        <w:t>Izmailovic</w:t>
      </w:r>
      <w:r w:rsidR="00633366">
        <w:t xml:space="preserve"> was unsound. </w:t>
      </w:r>
      <w:r w:rsidR="006F7B0C">
        <w:t xml:space="preserve">He further argues that it </w:t>
      </w:r>
      <w:r w:rsidR="00E97913">
        <w:t xml:space="preserve">is implied from the judgment of Barron </w:t>
      </w:r>
      <w:r w:rsidR="001513A6">
        <w:t xml:space="preserve">J. </w:t>
      </w:r>
      <w:r w:rsidR="00E97913">
        <w:t xml:space="preserve">in </w:t>
      </w:r>
      <w:r w:rsidR="00E21744">
        <w:rPr>
          <w:i/>
          <w:iCs/>
        </w:rPr>
        <w:t xml:space="preserve">Kelly v. Ireland </w:t>
      </w:r>
      <w:r w:rsidR="00E21744">
        <w:t xml:space="preserve">that </w:t>
      </w:r>
      <w:r w:rsidR="00E21744" w:rsidRPr="00E21744">
        <w:t>where the sole purpose of the parties to a marriage is to circumvent immigration laws, the courts may conclude that the marriage is a “sham”</w:t>
      </w:r>
      <w:r w:rsidR="00183826">
        <w:t xml:space="preserve"> and that this has implications for the protections afforded to that marriage. </w:t>
      </w:r>
      <w:r w:rsidR="00A310F5">
        <w:t xml:space="preserve">The Minister says that Humphreys J’s interpretation of this case law is to be preferred to that of Hogan </w:t>
      </w:r>
      <w:r w:rsidR="001513A6">
        <w:t xml:space="preserve">J. </w:t>
      </w:r>
      <w:r w:rsidR="00A310F5">
        <w:t xml:space="preserve">in </w:t>
      </w:r>
      <w:r w:rsidR="00A310F5" w:rsidRPr="008203E9">
        <w:rPr>
          <w:rFonts w:cs="Times New Roman"/>
          <w:i/>
          <w:iCs/>
        </w:rPr>
        <w:t>Izmailovic</w:t>
      </w:r>
      <w:r w:rsidR="00A310F5">
        <w:rPr>
          <w:rFonts w:cs="Times New Roman"/>
        </w:rPr>
        <w:t xml:space="preserve">. </w:t>
      </w:r>
    </w:p>
    <w:p w14:paraId="0712EDFB" w14:textId="7C405F9E" w:rsidR="001B5ACD" w:rsidRDefault="001B5ACD" w:rsidP="00775A4E">
      <w:pPr>
        <w:pStyle w:val="NoSpacing"/>
        <w:spacing w:line="480" w:lineRule="auto"/>
        <w:jc w:val="left"/>
        <w:rPr>
          <w:rFonts w:cs="Times New Roman"/>
        </w:rPr>
      </w:pPr>
    </w:p>
    <w:p w14:paraId="725C3C9B" w14:textId="5052EF9C" w:rsidR="000E64F4" w:rsidRPr="00D2717B" w:rsidRDefault="001B5ACD" w:rsidP="00775A4E">
      <w:pPr>
        <w:pStyle w:val="NoSpacing"/>
        <w:numPr>
          <w:ilvl w:val="0"/>
          <w:numId w:val="8"/>
        </w:numPr>
        <w:spacing w:line="480" w:lineRule="auto"/>
        <w:ind w:left="0" w:firstLine="0"/>
        <w:jc w:val="left"/>
      </w:pPr>
      <w:r>
        <w:rPr>
          <w:rFonts w:cs="Times New Roman"/>
        </w:rPr>
        <w:t xml:space="preserve">As regards the discretion to refuse relief, </w:t>
      </w:r>
      <w:r w:rsidR="003B409D">
        <w:rPr>
          <w:rFonts w:cs="Times New Roman"/>
        </w:rPr>
        <w:t xml:space="preserve">the Minister submits that Humphreys </w:t>
      </w:r>
      <w:r w:rsidR="001513A6">
        <w:rPr>
          <w:rFonts w:cs="Times New Roman"/>
        </w:rPr>
        <w:t xml:space="preserve">J. </w:t>
      </w:r>
      <w:r w:rsidR="003B409D">
        <w:rPr>
          <w:rFonts w:cs="Times New Roman"/>
        </w:rPr>
        <w:t>did not err in this regard.</w:t>
      </w:r>
      <w:r w:rsidR="00277BA0">
        <w:rPr>
          <w:rFonts w:cs="Times New Roman"/>
        </w:rPr>
        <w:t xml:space="preserve"> The doctrine of abuse of rights militates against recognising the Appellants’ marriage or permitting them to assert rights arising out of it. A </w:t>
      </w:r>
      <w:r w:rsidR="00277BA0" w:rsidRPr="00277BA0">
        <w:rPr>
          <w:rFonts w:cs="Times New Roman"/>
        </w:rPr>
        <w:t>statutory process such as civil marriage should not be used as a mechanism of fraud</w:t>
      </w:r>
      <w:r w:rsidR="00277BA0">
        <w:rPr>
          <w:rFonts w:cs="Times New Roman"/>
        </w:rPr>
        <w:t xml:space="preserve">. </w:t>
      </w:r>
      <w:r w:rsidR="004035BF">
        <w:rPr>
          <w:rFonts w:cs="Times New Roman"/>
        </w:rPr>
        <w:t>He says that the First Appellant showed a lack of candour in his interactions with the asylum authorities and that</w:t>
      </w:r>
      <w:r w:rsidR="008162B6">
        <w:rPr>
          <w:rFonts w:cs="Times New Roman"/>
        </w:rPr>
        <w:t xml:space="preserve"> the High Court was entitled to refuse the relief sought on this basis. </w:t>
      </w:r>
      <w:r w:rsidR="00DB41BC">
        <w:rPr>
          <w:rFonts w:cs="Times New Roman"/>
        </w:rPr>
        <w:t xml:space="preserve">Finally, while the Appellants submit </w:t>
      </w:r>
      <w:r w:rsidR="00D96D73">
        <w:rPr>
          <w:rFonts w:cs="Times New Roman"/>
        </w:rPr>
        <w:t>that the Minister has arrogated</w:t>
      </w:r>
      <w:r w:rsidR="00D96D73" w:rsidRPr="00D96D73">
        <w:rPr>
          <w:rFonts w:cs="Times New Roman"/>
        </w:rPr>
        <w:t xml:space="preserve"> to himself the jurisdiction vested in the Circuit Court under s</w:t>
      </w:r>
      <w:r w:rsidR="00D96D73">
        <w:rPr>
          <w:rFonts w:cs="Times New Roman"/>
        </w:rPr>
        <w:t>ection</w:t>
      </w:r>
      <w:r w:rsidR="00D96D73" w:rsidRPr="00D96D73">
        <w:rPr>
          <w:rFonts w:cs="Times New Roman"/>
        </w:rPr>
        <w:t xml:space="preserve"> 29 of the Family Law Act 1995</w:t>
      </w:r>
      <w:r w:rsidR="00D96D73">
        <w:rPr>
          <w:rFonts w:cs="Times New Roman"/>
        </w:rPr>
        <w:t xml:space="preserve">, the Minister says that he </w:t>
      </w:r>
      <w:r w:rsidR="0012496F" w:rsidRPr="0012496F">
        <w:rPr>
          <w:rFonts w:cs="Times New Roman"/>
        </w:rPr>
        <w:t>cannot absolve himself from an obligation resting on him under a statutory provision by seeking to delegate responsibility for it to the Circuit Court under s. 29 of the Act of 1995</w:t>
      </w:r>
      <w:r w:rsidR="0012496F">
        <w:rPr>
          <w:rFonts w:cs="Times New Roman"/>
        </w:rPr>
        <w:t xml:space="preserve">: see </w:t>
      </w:r>
      <w:r w:rsidR="00422F70" w:rsidRPr="00422F70">
        <w:rPr>
          <w:rFonts w:cs="Times New Roman"/>
          <w:i/>
          <w:iCs/>
        </w:rPr>
        <w:t>Hamza v. Minister for Justice</w:t>
      </w:r>
      <w:r w:rsidR="00422F70" w:rsidRPr="00422F70">
        <w:rPr>
          <w:rFonts w:cs="Times New Roman"/>
        </w:rPr>
        <w:t xml:space="preserve"> [2013] IESC 9</w:t>
      </w:r>
      <w:r w:rsidR="00D800AC">
        <w:rPr>
          <w:rFonts w:cs="Times New Roman"/>
        </w:rPr>
        <w:t xml:space="preserve"> </w:t>
      </w:r>
      <w:r w:rsidR="00422F70" w:rsidRPr="00422F70">
        <w:rPr>
          <w:rFonts w:cs="Times New Roman"/>
        </w:rPr>
        <w:t xml:space="preserve">and </w:t>
      </w:r>
      <w:r w:rsidR="00422F70" w:rsidRPr="00422F70">
        <w:rPr>
          <w:rFonts w:cs="Times New Roman"/>
          <w:i/>
          <w:iCs/>
        </w:rPr>
        <w:t>Hassan v. Minister for Justice</w:t>
      </w:r>
      <w:r w:rsidR="00422F70" w:rsidRPr="00422F70">
        <w:rPr>
          <w:rFonts w:cs="Times New Roman"/>
        </w:rPr>
        <w:t xml:space="preserve"> [2013] IESC 8</w:t>
      </w:r>
      <w:r w:rsidR="00D800AC">
        <w:rPr>
          <w:rFonts w:cs="Times New Roman"/>
        </w:rPr>
        <w:t xml:space="preserve"> (both unreported, Supreme Court, 20</w:t>
      </w:r>
      <w:r w:rsidR="00D800AC" w:rsidRPr="00775A4E">
        <w:rPr>
          <w:rFonts w:cs="Times New Roman"/>
          <w:vertAlign w:val="superscript"/>
        </w:rPr>
        <w:t>th</w:t>
      </w:r>
      <w:r w:rsidR="00D800AC">
        <w:rPr>
          <w:rFonts w:cs="Times New Roman"/>
        </w:rPr>
        <w:t xml:space="preserve"> February, 2013).</w:t>
      </w:r>
    </w:p>
    <w:p w14:paraId="54C7AFDA" w14:textId="0BB22167" w:rsidR="00680B18" w:rsidRDefault="00680B18" w:rsidP="00775A4E">
      <w:pPr>
        <w:pStyle w:val="NoSpacing"/>
        <w:spacing w:line="480" w:lineRule="auto"/>
        <w:jc w:val="left"/>
        <w:rPr>
          <w:rFonts w:cs="Times New Roman"/>
        </w:rPr>
      </w:pPr>
    </w:p>
    <w:p w14:paraId="4BB832C6" w14:textId="18BF226B" w:rsidR="00680B18" w:rsidRPr="00DD7F81" w:rsidRDefault="00680B18" w:rsidP="00775A4E">
      <w:pPr>
        <w:pStyle w:val="NoSpacing"/>
        <w:spacing w:line="480" w:lineRule="auto"/>
        <w:jc w:val="left"/>
        <w:rPr>
          <w:rFonts w:cs="Times New Roman"/>
          <w:b/>
          <w:bCs/>
        </w:rPr>
      </w:pPr>
      <w:r w:rsidRPr="00DD7F81">
        <w:rPr>
          <w:rFonts w:cs="Times New Roman"/>
          <w:b/>
          <w:bCs/>
          <w:i/>
          <w:iCs/>
        </w:rPr>
        <w:t>Submissions of the</w:t>
      </w:r>
      <w:r w:rsidR="00F5258E">
        <w:rPr>
          <w:rFonts w:cs="Times New Roman"/>
          <w:b/>
          <w:bCs/>
          <w:i/>
          <w:iCs/>
        </w:rPr>
        <w:t xml:space="preserve"> Amicus Curiae</w:t>
      </w:r>
    </w:p>
    <w:p w14:paraId="257A504E" w14:textId="575B9179" w:rsidR="00A43668" w:rsidRDefault="00D2717B" w:rsidP="00775A4E">
      <w:pPr>
        <w:pStyle w:val="NoSpacing"/>
        <w:numPr>
          <w:ilvl w:val="0"/>
          <w:numId w:val="8"/>
        </w:numPr>
        <w:spacing w:line="480" w:lineRule="auto"/>
        <w:ind w:left="0" w:firstLine="0"/>
        <w:jc w:val="left"/>
        <w:rPr>
          <w:rFonts w:cs="Times New Roman"/>
        </w:rPr>
      </w:pPr>
      <w:r>
        <w:rPr>
          <w:rFonts w:cs="Times New Roman"/>
        </w:rPr>
        <w:t xml:space="preserve">The Commission </w:t>
      </w:r>
      <w:r w:rsidR="00A43668">
        <w:rPr>
          <w:rFonts w:cs="Times New Roman"/>
        </w:rPr>
        <w:t xml:space="preserve">appears in the matter because it is of the view that this appeal concerns an </w:t>
      </w:r>
      <w:r w:rsidR="00A43668" w:rsidRPr="00A43668">
        <w:rPr>
          <w:rFonts w:cs="Times New Roman"/>
        </w:rPr>
        <w:t xml:space="preserve">important issue of principle relating to the status of a marriage validly contracted under Irish law. </w:t>
      </w:r>
      <w:r w:rsidR="00A43668">
        <w:rPr>
          <w:rFonts w:cs="Times New Roman"/>
        </w:rPr>
        <w:t>It submits that t</w:t>
      </w:r>
      <w:r w:rsidR="00A43668" w:rsidRPr="00A43668">
        <w:rPr>
          <w:rFonts w:cs="Times New Roman"/>
        </w:rPr>
        <w:t xml:space="preserve">he status of such a marriage must be understood in light of the right to marry as protected under the Constitution, Article 12 </w:t>
      </w:r>
      <w:r w:rsidR="00A43668">
        <w:rPr>
          <w:rFonts w:cs="Times New Roman"/>
        </w:rPr>
        <w:t xml:space="preserve">ECHR </w:t>
      </w:r>
      <w:r w:rsidR="00A43668" w:rsidRPr="00A43668">
        <w:rPr>
          <w:rFonts w:cs="Times New Roman"/>
        </w:rPr>
        <w:t>and Article 9 of Charter of Fundamental Rights of the EU</w:t>
      </w:r>
      <w:r w:rsidR="00A43668">
        <w:rPr>
          <w:rFonts w:cs="Times New Roman"/>
        </w:rPr>
        <w:t xml:space="preserve"> (“CFR”). </w:t>
      </w:r>
      <w:r w:rsidR="00DD57DE">
        <w:rPr>
          <w:rFonts w:cs="Times New Roman"/>
        </w:rPr>
        <w:t xml:space="preserve">The Commission submits that </w:t>
      </w:r>
      <w:r w:rsidR="00DD57DE" w:rsidRPr="00DD57DE">
        <w:rPr>
          <w:rFonts w:cs="Times New Roman"/>
        </w:rPr>
        <w:t>the High Court erred in its conclusion that a marriage which the Minister has decided to be one of convenience</w:t>
      </w:r>
      <w:r w:rsidR="00E631F0">
        <w:rPr>
          <w:rFonts w:cs="Times New Roman"/>
        </w:rPr>
        <w:t xml:space="preserve"> for the purposes of 2015 Regulations is a nullity in law. </w:t>
      </w:r>
      <w:r w:rsidR="007B14F9">
        <w:rPr>
          <w:rFonts w:cs="Times New Roman"/>
        </w:rPr>
        <w:t xml:space="preserve">It further contends that, </w:t>
      </w:r>
      <w:r w:rsidR="007B14F9" w:rsidRPr="007B14F9">
        <w:rPr>
          <w:rFonts w:cs="Times New Roman"/>
        </w:rPr>
        <w:t>depending on the facts of the particular case, family rights and the right to privacy may have to be considered as part of the decision</w:t>
      </w:r>
      <w:r w:rsidR="007B14F9">
        <w:rPr>
          <w:rFonts w:cs="Times New Roman"/>
        </w:rPr>
        <w:t>-</w:t>
      </w:r>
      <w:r w:rsidR="007B14F9" w:rsidRPr="007B14F9">
        <w:rPr>
          <w:rFonts w:cs="Times New Roman"/>
        </w:rPr>
        <w:t xml:space="preserve">making process irrespective of </w:t>
      </w:r>
      <w:r w:rsidR="007B14F9">
        <w:rPr>
          <w:rFonts w:cs="Times New Roman"/>
        </w:rPr>
        <w:t xml:space="preserve">the </w:t>
      </w:r>
      <w:r w:rsidR="007B14F9" w:rsidRPr="007B14F9">
        <w:rPr>
          <w:rFonts w:cs="Times New Roman"/>
        </w:rPr>
        <w:t xml:space="preserve">marital status of </w:t>
      </w:r>
      <w:r w:rsidR="007B14F9" w:rsidRPr="007B14F9">
        <w:rPr>
          <w:rFonts w:cs="Times New Roman"/>
        </w:rPr>
        <w:lastRenderedPageBreak/>
        <w:t>the parties</w:t>
      </w:r>
      <w:r w:rsidR="008056ED">
        <w:rPr>
          <w:rFonts w:cs="Times New Roman"/>
        </w:rPr>
        <w:t xml:space="preserve">. Thus family and privacy rights should still be considered even where it is a “sham marriage”. </w:t>
      </w:r>
    </w:p>
    <w:p w14:paraId="6EE8BDA0" w14:textId="71BF87D3" w:rsidR="004018F0" w:rsidRDefault="004018F0" w:rsidP="00775A4E">
      <w:pPr>
        <w:pStyle w:val="NoSpacing"/>
        <w:spacing w:line="480" w:lineRule="auto"/>
        <w:jc w:val="left"/>
        <w:rPr>
          <w:rFonts w:cs="Times New Roman"/>
        </w:rPr>
      </w:pPr>
    </w:p>
    <w:p w14:paraId="5BCAAEA6" w14:textId="28078854" w:rsidR="004018F0" w:rsidRPr="00775A4E" w:rsidRDefault="004018F0" w:rsidP="00775A4E">
      <w:pPr>
        <w:pStyle w:val="NoSpacing"/>
        <w:numPr>
          <w:ilvl w:val="0"/>
          <w:numId w:val="8"/>
        </w:numPr>
        <w:spacing w:line="480" w:lineRule="auto"/>
        <w:ind w:left="0" w:firstLine="0"/>
        <w:rPr>
          <w:rFonts w:cs="Times New Roman"/>
          <w:b/>
          <w:bCs/>
        </w:rPr>
      </w:pPr>
      <w:r>
        <w:rPr>
          <w:rFonts w:cs="Times New Roman"/>
        </w:rPr>
        <w:t xml:space="preserve">The Commission submits that </w:t>
      </w:r>
      <w:r w:rsidRPr="004018F0">
        <w:rPr>
          <w:rFonts w:cs="Times New Roman"/>
        </w:rPr>
        <w:t>the issue of the validity of marriages of convenience turns on the proper interpretation and application of the legislative framework governing marriages of convenience in the State</w:t>
      </w:r>
      <w:r w:rsidR="0003135D">
        <w:rPr>
          <w:rFonts w:cs="Times New Roman"/>
        </w:rPr>
        <w:t>, understood in light of the right to marry as protected by the Constitution</w:t>
      </w:r>
      <w:r w:rsidR="003A4DA3">
        <w:rPr>
          <w:rFonts w:cs="Times New Roman"/>
        </w:rPr>
        <w:t xml:space="preserve"> (</w:t>
      </w:r>
      <w:r w:rsidR="00062F53">
        <w:rPr>
          <w:rFonts w:cs="Times New Roman"/>
        </w:rPr>
        <w:t xml:space="preserve">under </w:t>
      </w:r>
      <w:r w:rsidR="00C350D1">
        <w:rPr>
          <w:rFonts w:cs="Times New Roman"/>
        </w:rPr>
        <w:t xml:space="preserve">Articles </w:t>
      </w:r>
      <w:r w:rsidR="00062F53" w:rsidRPr="00062F53">
        <w:rPr>
          <w:rFonts w:cs="Times New Roman"/>
        </w:rPr>
        <w:t>Article 40.3.1˚</w:t>
      </w:r>
      <w:r w:rsidR="00062F53">
        <w:rPr>
          <w:rFonts w:cs="Times New Roman"/>
        </w:rPr>
        <w:t xml:space="preserve"> and</w:t>
      </w:r>
      <w:r w:rsidR="003A4DA3">
        <w:rPr>
          <w:rFonts w:cs="Times New Roman"/>
        </w:rPr>
        <w:t xml:space="preserve"> </w:t>
      </w:r>
      <w:r w:rsidR="003A4DA3" w:rsidRPr="003A4DA3">
        <w:rPr>
          <w:rFonts w:cs="Times New Roman"/>
        </w:rPr>
        <w:t>41.3.1˚</w:t>
      </w:r>
      <w:r w:rsidR="003A4DA3">
        <w:rPr>
          <w:rFonts w:cs="Times New Roman"/>
        </w:rPr>
        <w:t>)</w:t>
      </w:r>
      <w:r w:rsidR="0003135D">
        <w:rPr>
          <w:rFonts w:cs="Times New Roman"/>
        </w:rPr>
        <w:t xml:space="preserve">, the ECHR and the CFR. </w:t>
      </w:r>
      <w:r w:rsidR="001E5E1A">
        <w:rPr>
          <w:rFonts w:cs="Times New Roman"/>
        </w:rPr>
        <w:t xml:space="preserve">Reference is made to the judgment of this Court in </w:t>
      </w:r>
      <w:r w:rsidR="001E5E1A" w:rsidRPr="001E5E1A">
        <w:rPr>
          <w:rFonts w:cs="Times New Roman"/>
          <w:i/>
          <w:iCs/>
        </w:rPr>
        <w:t>H.A.H. v. S.A.A.</w:t>
      </w:r>
      <w:r w:rsidR="00D40F09">
        <w:rPr>
          <w:rFonts w:cs="Times New Roman"/>
        </w:rPr>
        <w:t xml:space="preserve"> </w:t>
      </w:r>
      <w:r w:rsidR="00D40F09" w:rsidRPr="00D40F09">
        <w:rPr>
          <w:rFonts w:cs="Times New Roman"/>
        </w:rPr>
        <w:t>[2017] IESC 40, [2017] 1 I</w:t>
      </w:r>
      <w:r w:rsidR="00D40F09">
        <w:rPr>
          <w:rFonts w:cs="Times New Roman"/>
        </w:rPr>
        <w:t>.</w:t>
      </w:r>
      <w:r w:rsidR="00D40F09" w:rsidRPr="00D40F09">
        <w:rPr>
          <w:rFonts w:cs="Times New Roman"/>
        </w:rPr>
        <w:t>R</w:t>
      </w:r>
      <w:r w:rsidR="00D40F09">
        <w:rPr>
          <w:rFonts w:cs="Times New Roman"/>
        </w:rPr>
        <w:t>.</w:t>
      </w:r>
      <w:r w:rsidR="00D40F09" w:rsidRPr="00D40F09">
        <w:rPr>
          <w:rFonts w:cs="Times New Roman"/>
        </w:rPr>
        <w:t xml:space="preserve"> 372</w:t>
      </w:r>
      <w:r w:rsidR="00E9006B" w:rsidRPr="00D40F09">
        <w:rPr>
          <w:rFonts w:cs="Times New Roman"/>
        </w:rPr>
        <w:t xml:space="preserve"> where O’Malley </w:t>
      </w:r>
      <w:r w:rsidR="001513A6">
        <w:rPr>
          <w:rFonts w:cs="Times New Roman"/>
        </w:rPr>
        <w:t xml:space="preserve">J. </w:t>
      </w:r>
      <w:r w:rsidR="00E9006B" w:rsidRPr="00D40F09">
        <w:rPr>
          <w:rFonts w:cs="Times New Roman"/>
        </w:rPr>
        <w:t xml:space="preserve">stated that the defining characteristic of marriage under the Constitution in this era is that </w:t>
      </w:r>
      <w:r w:rsidR="00EA6A3E" w:rsidRPr="00EF5A39">
        <w:rPr>
          <w:rFonts w:cs="Times New Roman"/>
          <w:i/>
          <w:iCs/>
        </w:rPr>
        <w:t>“</w:t>
      </w:r>
      <w:r w:rsidR="00E9006B" w:rsidRPr="0035473B">
        <w:rPr>
          <w:rFonts w:cs="Times New Roman"/>
          <w:i/>
          <w:iCs/>
        </w:rPr>
        <w:t xml:space="preserve">it entails the voluntary entry into mutual personal and legal commitments </w:t>
      </w:r>
      <w:r w:rsidR="00E9006B" w:rsidRPr="00D6292D">
        <w:rPr>
          <w:rFonts w:cs="Times New Roman"/>
          <w:i/>
          <w:iCs/>
        </w:rPr>
        <w:t>on the basis of an equal partnership between two persons, both of whom possess capacity to enter into such commitments, in accordance with the requirements laid down by law</w:t>
      </w:r>
      <w:r w:rsidR="00EA6A3E" w:rsidRPr="00D6292D">
        <w:rPr>
          <w:rFonts w:cs="Times New Roman"/>
          <w:i/>
          <w:iCs/>
        </w:rPr>
        <w:t>.”</w:t>
      </w:r>
      <w:r w:rsidR="00EA6A3E" w:rsidRPr="00D6292D">
        <w:rPr>
          <w:rFonts w:cs="Times New Roman"/>
        </w:rPr>
        <w:t xml:space="preserve"> </w:t>
      </w:r>
      <w:r w:rsidR="00D40F09">
        <w:rPr>
          <w:rFonts w:cs="Times New Roman"/>
        </w:rPr>
        <w:t>(para. 1</w:t>
      </w:r>
      <w:r w:rsidR="00775A4E">
        <w:rPr>
          <w:rFonts w:cs="Times New Roman"/>
        </w:rPr>
        <w:t>31 of the reported judgment</w:t>
      </w:r>
      <w:r w:rsidR="00D40F09">
        <w:rPr>
          <w:rFonts w:cs="Times New Roman"/>
        </w:rPr>
        <w:t xml:space="preserve">). </w:t>
      </w:r>
      <w:r w:rsidR="003140EB" w:rsidRPr="00D40F09">
        <w:rPr>
          <w:rFonts w:cs="Times New Roman"/>
        </w:rPr>
        <w:t xml:space="preserve">The </w:t>
      </w:r>
      <w:r w:rsidR="008E6234">
        <w:rPr>
          <w:rFonts w:cs="Times New Roman"/>
        </w:rPr>
        <w:t>Commission</w:t>
      </w:r>
      <w:r w:rsidR="001513A6">
        <w:rPr>
          <w:rFonts w:cs="Times New Roman"/>
        </w:rPr>
        <w:t xml:space="preserve"> </w:t>
      </w:r>
      <w:r w:rsidR="003140EB" w:rsidRPr="00D40F09">
        <w:rPr>
          <w:rFonts w:cs="Times New Roman"/>
        </w:rPr>
        <w:t>contends that the focus of that judgment is</w:t>
      </w:r>
      <w:r w:rsidR="005D4453" w:rsidRPr="00D40F09">
        <w:rPr>
          <w:rFonts w:cs="Times New Roman"/>
        </w:rPr>
        <w:t xml:space="preserve"> on compliance with the requirements of the law, capacity and consent, and equality and mutuality of commitments. </w:t>
      </w:r>
      <w:r w:rsidR="0012748F" w:rsidRPr="00D40F09">
        <w:rPr>
          <w:rFonts w:cs="Times New Roman"/>
        </w:rPr>
        <w:t xml:space="preserve">It is said that </w:t>
      </w:r>
      <w:r w:rsidR="0012748F" w:rsidRPr="00EF5A39">
        <w:rPr>
          <w:rFonts w:cs="Times New Roman"/>
          <w:i/>
          <w:iCs/>
        </w:rPr>
        <w:t xml:space="preserve">H.A.H. </w:t>
      </w:r>
      <w:r w:rsidR="0012748F" w:rsidRPr="0035473B">
        <w:rPr>
          <w:rFonts w:cs="Times New Roman"/>
        </w:rPr>
        <w:t xml:space="preserve">reflects a nuanced approach to marriage which is in contrast with the judgment under appeal. </w:t>
      </w:r>
    </w:p>
    <w:p w14:paraId="61C29770" w14:textId="013893DC" w:rsidR="009938CA" w:rsidRDefault="009938CA" w:rsidP="00775A4E">
      <w:pPr>
        <w:pStyle w:val="NoSpacing"/>
        <w:spacing w:line="480" w:lineRule="auto"/>
        <w:jc w:val="left"/>
        <w:rPr>
          <w:rFonts w:cs="Times New Roman"/>
        </w:rPr>
      </w:pPr>
    </w:p>
    <w:p w14:paraId="728D0F2C" w14:textId="04675B59" w:rsidR="009938CA" w:rsidRDefault="009938CA" w:rsidP="00775A4E">
      <w:pPr>
        <w:pStyle w:val="NoSpacing"/>
        <w:numPr>
          <w:ilvl w:val="0"/>
          <w:numId w:val="8"/>
        </w:numPr>
        <w:spacing w:line="480" w:lineRule="auto"/>
        <w:ind w:left="0" w:firstLine="0"/>
        <w:jc w:val="left"/>
        <w:rPr>
          <w:rFonts w:cs="Times New Roman"/>
        </w:rPr>
      </w:pPr>
      <w:r>
        <w:rPr>
          <w:rFonts w:cs="Times New Roman"/>
        </w:rPr>
        <w:t xml:space="preserve">It is submitted that </w:t>
      </w:r>
      <w:r>
        <w:rPr>
          <w:rFonts w:cs="Times New Roman"/>
          <w:i/>
          <w:iCs/>
        </w:rPr>
        <w:t>H</w:t>
      </w:r>
      <w:r w:rsidR="00890083">
        <w:rPr>
          <w:rFonts w:cs="Times New Roman"/>
          <w:i/>
          <w:iCs/>
        </w:rPr>
        <w:t>.S.</w:t>
      </w:r>
      <w:r>
        <w:rPr>
          <w:rFonts w:cs="Times New Roman"/>
          <w:i/>
          <w:iCs/>
        </w:rPr>
        <w:t xml:space="preserve"> v. </w:t>
      </w:r>
      <w:r w:rsidR="00890083">
        <w:rPr>
          <w:rFonts w:cs="Times New Roman"/>
          <w:i/>
          <w:iCs/>
        </w:rPr>
        <w:t>J.</w:t>
      </w:r>
      <w:r>
        <w:rPr>
          <w:rFonts w:cs="Times New Roman"/>
          <w:i/>
          <w:iCs/>
        </w:rPr>
        <w:t>S</w:t>
      </w:r>
      <w:r w:rsidR="00890083">
        <w:rPr>
          <w:rFonts w:cs="Times New Roman"/>
          <w:i/>
          <w:iCs/>
        </w:rPr>
        <w:t>.</w:t>
      </w:r>
      <w:r>
        <w:rPr>
          <w:rFonts w:cs="Times New Roman"/>
          <w:i/>
          <w:iCs/>
        </w:rPr>
        <w:t xml:space="preserve"> </w:t>
      </w:r>
      <w:r>
        <w:rPr>
          <w:rFonts w:cs="Times New Roman"/>
        </w:rPr>
        <w:t xml:space="preserve">and </w:t>
      </w:r>
      <w:r>
        <w:rPr>
          <w:rFonts w:cs="Times New Roman"/>
          <w:i/>
          <w:iCs/>
        </w:rPr>
        <w:t xml:space="preserve">Kelly v. Ireland </w:t>
      </w:r>
      <w:r w:rsidRPr="009938CA">
        <w:rPr>
          <w:rFonts w:cs="Times New Roman"/>
        </w:rPr>
        <w:t>demonstrate that the Irish courts will not lightly intervene to set aside a marriage validly contracted under Irish law by two consenting adults with capacity and that they will be slow to second-guess the motives and intentions of the parties themselves.</w:t>
      </w:r>
      <w:r w:rsidR="00023591">
        <w:rPr>
          <w:rFonts w:cs="Times New Roman"/>
        </w:rPr>
        <w:t xml:space="preserve"> The Commission points out that a</w:t>
      </w:r>
      <w:r w:rsidR="00023591" w:rsidRPr="00023591">
        <w:rPr>
          <w:rFonts w:cs="Times New Roman"/>
        </w:rPr>
        <w:t xml:space="preserve">ny exercise in evaluating the motives of those entering upon marriage inevitably involves value judgments which may be based on, </w:t>
      </w:r>
      <w:r w:rsidR="004468F0">
        <w:rPr>
          <w:rFonts w:cs="Times New Roman"/>
        </w:rPr>
        <w:t>for example</w:t>
      </w:r>
      <w:r w:rsidR="00023591" w:rsidRPr="00023591">
        <w:rPr>
          <w:rFonts w:cs="Times New Roman"/>
        </w:rPr>
        <w:t>, different personal experiences, cultural norms and societal expectations.</w:t>
      </w:r>
      <w:r w:rsidR="001948F5">
        <w:rPr>
          <w:rFonts w:cs="Times New Roman"/>
        </w:rPr>
        <w:t xml:space="preserve"> S</w:t>
      </w:r>
      <w:r w:rsidR="001948F5" w:rsidRPr="001948F5">
        <w:rPr>
          <w:rFonts w:cs="Times New Roman"/>
        </w:rPr>
        <w:t xml:space="preserve">uch exercise </w:t>
      </w:r>
      <w:r w:rsidR="001948F5">
        <w:rPr>
          <w:rFonts w:cs="Times New Roman"/>
        </w:rPr>
        <w:t xml:space="preserve">must be </w:t>
      </w:r>
      <w:r w:rsidR="001948F5" w:rsidRPr="001948F5">
        <w:rPr>
          <w:rFonts w:cs="Times New Roman"/>
        </w:rPr>
        <w:t>carried out with care and circumspection and in accordance with clearly defined legal principles</w:t>
      </w:r>
      <w:r w:rsidR="001948F5">
        <w:rPr>
          <w:rFonts w:cs="Times New Roman"/>
        </w:rPr>
        <w:t xml:space="preserve">. </w:t>
      </w:r>
      <w:r w:rsidR="00545B19">
        <w:rPr>
          <w:rFonts w:cs="Times New Roman"/>
        </w:rPr>
        <w:t xml:space="preserve">Moreover, the Commission submits that </w:t>
      </w:r>
      <w:r w:rsidR="00545B19">
        <w:rPr>
          <w:rFonts w:cs="Times New Roman"/>
        </w:rPr>
        <w:lastRenderedPageBreak/>
        <w:t xml:space="preserve">these authorities </w:t>
      </w:r>
      <w:r w:rsidR="00D46D8D" w:rsidRPr="00D46D8D">
        <w:rPr>
          <w:rFonts w:cs="Times New Roman"/>
        </w:rPr>
        <w:t>illustrate a deeper underlying problem: whose role is it to determine that a marriage is not valid and how should that determination be made?</w:t>
      </w:r>
      <w:r w:rsidR="00D46D8D">
        <w:rPr>
          <w:rFonts w:cs="Times New Roman"/>
        </w:rPr>
        <w:t xml:space="preserve"> In </w:t>
      </w:r>
      <w:r w:rsidR="00D46D8D">
        <w:rPr>
          <w:rFonts w:cs="Times New Roman"/>
          <w:i/>
          <w:iCs/>
        </w:rPr>
        <w:t>H</w:t>
      </w:r>
      <w:r w:rsidR="00890083">
        <w:rPr>
          <w:rFonts w:cs="Times New Roman"/>
          <w:i/>
          <w:iCs/>
        </w:rPr>
        <w:t>.S.</w:t>
      </w:r>
      <w:r w:rsidR="00D46D8D">
        <w:rPr>
          <w:rFonts w:cs="Times New Roman"/>
          <w:i/>
          <w:iCs/>
        </w:rPr>
        <w:t xml:space="preserve"> v. </w:t>
      </w:r>
      <w:r w:rsidR="00890083">
        <w:rPr>
          <w:rFonts w:cs="Times New Roman"/>
          <w:i/>
          <w:iCs/>
        </w:rPr>
        <w:t>J.</w:t>
      </w:r>
      <w:r w:rsidR="00D46D8D">
        <w:rPr>
          <w:rFonts w:cs="Times New Roman"/>
          <w:i/>
          <w:iCs/>
        </w:rPr>
        <w:t>S</w:t>
      </w:r>
      <w:r w:rsidR="00890083">
        <w:rPr>
          <w:rFonts w:cs="Times New Roman"/>
          <w:i/>
          <w:iCs/>
        </w:rPr>
        <w:t>.</w:t>
      </w:r>
      <w:r w:rsidR="00D46D8D">
        <w:rPr>
          <w:rFonts w:cs="Times New Roman"/>
          <w:i/>
          <w:iCs/>
        </w:rPr>
        <w:t xml:space="preserve"> </w:t>
      </w:r>
      <w:r w:rsidR="00D46D8D">
        <w:rPr>
          <w:rFonts w:cs="Times New Roman"/>
        </w:rPr>
        <w:t xml:space="preserve">and </w:t>
      </w:r>
      <w:r w:rsidR="00D46D8D">
        <w:rPr>
          <w:rFonts w:cs="Times New Roman"/>
          <w:i/>
          <w:iCs/>
        </w:rPr>
        <w:t>Kelly v. Ireland</w:t>
      </w:r>
      <w:r w:rsidR="00D46D8D">
        <w:rPr>
          <w:rFonts w:cs="Times New Roman"/>
        </w:rPr>
        <w:t xml:space="preserve">, the courts had the benefit of oral evidence in determining this question. Given the serious consequences of such a finding, </w:t>
      </w:r>
      <w:r w:rsidR="00E7723F">
        <w:rPr>
          <w:rFonts w:cs="Times New Roman"/>
        </w:rPr>
        <w:t xml:space="preserve">the process must be carried out in accordance with fair procedures. </w:t>
      </w:r>
    </w:p>
    <w:p w14:paraId="6DF1C1C4" w14:textId="6EA37E34" w:rsidR="003753A9" w:rsidRDefault="003753A9" w:rsidP="00775A4E">
      <w:pPr>
        <w:pStyle w:val="NoSpacing"/>
        <w:spacing w:line="480" w:lineRule="auto"/>
        <w:jc w:val="left"/>
        <w:rPr>
          <w:rFonts w:cs="Times New Roman"/>
        </w:rPr>
      </w:pPr>
    </w:p>
    <w:p w14:paraId="112D706D" w14:textId="6DA49654" w:rsidR="003753A9" w:rsidRPr="00D46D8D" w:rsidRDefault="003753A9" w:rsidP="00775A4E">
      <w:pPr>
        <w:pStyle w:val="NoSpacing"/>
        <w:numPr>
          <w:ilvl w:val="0"/>
          <w:numId w:val="8"/>
        </w:numPr>
        <w:spacing w:line="480" w:lineRule="auto"/>
        <w:ind w:left="0" w:firstLine="0"/>
        <w:jc w:val="left"/>
        <w:rPr>
          <w:rFonts w:cs="Times New Roman"/>
        </w:rPr>
      </w:pPr>
      <w:r>
        <w:rPr>
          <w:rFonts w:cs="Times New Roman"/>
        </w:rPr>
        <w:t xml:space="preserve">The </w:t>
      </w:r>
      <w:r w:rsidR="008E6234">
        <w:rPr>
          <w:rFonts w:cs="Times New Roman"/>
        </w:rPr>
        <w:t>Commission</w:t>
      </w:r>
      <w:r>
        <w:rPr>
          <w:rFonts w:cs="Times New Roman"/>
        </w:rPr>
        <w:t xml:space="preserve"> refers to the decision of the ECtHR in </w:t>
      </w:r>
      <w:proofErr w:type="spellStart"/>
      <w:r w:rsidRPr="00586849">
        <w:rPr>
          <w:rFonts w:cs="Times New Roman"/>
          <w:i/>
          <w:iCs/>
        </w:rPr>
        <w:t>O’Donoghue</w:t>
      </w:r>
      <w:proofErr w:type="spellEnd"/>
      <w:r w:rsidRPr="00586849">
        <w:rPr>
          <w:rFonts w:cs="Times New Roman"/>
          <w:i/>
          <w:iCs/>
        </w:rPr>
        <w:t xml:space="preserve"> v. United Kingdom</w:t>
      </w:r>
      <w:r w:rsidR="00586849">
        <w:rPr>
          <w:rFonts w:cs="Times New Roman"/>
        </w:rPr>
        <w:t xml:space="preserve"> </w:t>
      </w:r>
      <w:r w:rsidR="00586849" w:rsidRPr="00586849">
        <w:rPr>
          <w:rFonts w:cs="Times New Roman"/>
        </w:rPr>
        <w:t>(Application No. 34848/07), Judgment of the Court (Fourth Section), 14 December 2010</w:t>
      </w:r>
      <w:r w:rsidR="00AF35AB">
        <w:rPr>
          <w:rFonts w:cs="Times New Roman"/>
        </w:rPr>
        <w:t xml:space="preserve">, where the court recognised, to an extent, that </w:t>
      </w:r>
      <w:r w:rsidR="00E85D4E" w:rsidRPr="00E85D4E">
        <w:rPr>
          <w:rFonts w:cs="Times New Roman"/>
        </w:rPr>
        <w:t>States may be entitled to limit the right to marry for the purpose of preventing marriages of convenience.</w:t>
      </w:r>
      <w:r w:rsidR="00E85D4E">
        <w:rPr>
          <w:rFonts w:cs="Times New Roman"/>
        </w:rPr>
        <w:t xml:space="preserve"> </w:t>
      </w:r>
      <w:r w:rsidR="00100C88">
        <w:rPr>
          <w:rFonts w:cs="Times New Roman"/>
        </w:rPr>
        <w:t>However, it is said that under both the ECHR and the CFR, as under the Constitution, any limitations on the fundamental right to marry must be proportionate</w:t>
      </w:r>
      <w:r w:rsidR="00445BCB">
        <w:rPr>
          <w:rFonts w:cs="Times New Roman"/>
        </w:rPr>
        <w:t xml:space="preserve">. </w:t>
      </w:r>
    </w:p>
    <w:p w14:paraId="03D4DE1D" w14:textId="0210B9AF" w:rsidR="00D2717B" w:rsidRDefault="00D2717B" w:rsidP="00775A4E">
      <w:pPr>
        <w:pStyle w:val="NoSpacing"/>
        <w:spacing w:line="480" w:lineRule="auto"/>
        <w:jc w:val="left"/>
        <w:rPr>
          <w:rFonts w:cs="Times New Roman"/>
        </w:rPr>
      </w:pPr>
    </w:p>
    <w:p w14:paraId="56B01370" w14:textId="5E27F4DF" w:rsidR="00BA6485" w:rsidRDefault="00BA6485" w:rsidP="00775A4E">
      <w:pPr>
        <w:pStyle w:val="NoSpacing"/>
        <w:numPr>
          <w:ilvl w:val="0"/>
          <w:numId w:val="8"/>
        </w:numPr>
        <w:spacing w:line="480" w:lineRule="auto"/>
        <w:ind w:left="0" w:firstLine="0"/>
        <w:jc w:val="left"/>
        <w:rPr>
          <w:rFonts w:cs="Times New Roman"/>
        </w:rPr>
      </w:pPr>
      <w:r>
        <w:rPr>
          <w:rFonts w:cs="Times New Roman"/>
        </w:rPr>
        <w:t xml:space="preserve">It is said that two pieces of legislation govern marriages of convenience in Ireland: the Civil Registration Act 2004 and the 2015 Regulations. </w:t>
      </w:r>
      <w:r w:rsidR="00DB050B">
        <w:rPr>
          <w:rFonts w:cs="Times New Roman"/>
        </w:rPr>
        <w:t xml:space="preserve">The </w:t>
      </w:r>
      <w:r w:rsidR="00890906">
        <w:rPr>
          <w:rFonts w:cs="Times New Roman"/>
        </w:rPr>
        <w:t xml:space="preserve">IHREC notes that there is no suggestion that the Appellants’ marriage </w:t>
      </w:r>
      <w:r w:rsidR="00373C97">
        <w:rPr>
          <w:rFonts w:cs="Times New Roman"/>
        </w:rPr>
        <w:t xml:space="preserve">did not comply with the formal requirements of Irish law. </w:t>
      </w:r>
      <w:r w:rsidR="00580582">
        <w:rPr>
          <w:rFonts w:cs="Times New Roman"/>
        </w:rPr>
        <w:t xml:space="preserve">The question is whether the marriage can be invalidated notwithstanding its formal compliance with Irish law. </w:t>
      </w:r>
      <w:r w:rsidR="00026B08">
        <w:rPr>
          <w:rFonts w:cs="Times New Roman"/>
        </w:rPr>
        <w:t xml:space="preserve">The Commission refers to </w:t>
      </w:r>
      <w:r w:rsidR="00840C70">
        <w:rPr>
          <w:rFonts w:cs="Times New Roman"/>
        </w:rPr>
        <w:t>Regulations 27 and 28 of the 2015 Regulations</w:t>
      </w:r>
      <w:r w:rsidR="00D80E14">
        <w:rPr>
          <w:rFonts w:cs="Times New Roman"/>
        </w:rPr>
        <w:t xml:space="preserve">. It is submitted that </w:t>
      </w:r>
      <w:r w:rsidR="00D80E14" w:rsidRPr="00D80E14">
        <w:rPr>
          <w:rFonts w:cs="Times New Roman"/>
        </w:rPr>
        <w:t>a determination by the Minister that a marriage was one of convenience for the purposes of the 201</w:t>
      </w:r>
      <w:r w:rsidR="00D80E14">
        <w:rPr>
          <w:rFonts w:cs="Times New Roman"/>
        </w:rPr>
        <w:t>5</w:t>
      </w:r>
      <w:r w:rsidR="00D80E14" w:rsidRPr="00D80E14">
        <w:rPr>
          <w:rFonts w:cs="Times New Roman"/>
        </w:rPr>
        <w:t xml:space="preserve"> Regulations is limited in its effect</w:t>
      </w:r>
      <w:r w:rsidR="008A2121">
        <w:rPr>
          <w:rFonts w:cs="Times New Roman"/>
        </w:rPr>
        <w:t xml:space="preserve">: it applies only to a decision under those Regulations and merely </w:t>
      </w:r>
      <w:r w:rsidR="00B41F3B" w:rsidRPr="00B41F3B">
        <w:rPr>
          <w:rFonts w:cs="Times New Roman"/>
        </w:rPr>
        <w:t>entitles the Minister to “disregard” such marriage as a factor bearing on such a decision.</w:t>
      </w:r>
      <w:r w:rsidR="00B41F3B">
        <w:rPr>
          <w:rFonts w:cs="Times New Roman"/>
        </w:rPr>
        <w:t xml:space="preserve"> The Commission contends that </w:t>
      </w:r>
      <w:r w:rsidR="00631842">
        <w:rPr>
          <w:rFonts w:cs="Times New Roman"/>
        </w:rPr>
        <w:t xml:space="preserve">it is </w:t>
      </w:r>
      <w:r w:rsidR="00631842" w:rsidRPr="00631842">
        <w:rPr>
          <w:rFonts w:cs="Times New Roman"/>
        </w:rPr>
        <w:t>not a finding of general application that the marriage is void or invalid for all purposes</w:t>
      </w:r>
      <w:r w:rsidR="00631842">
        <w:rPr>
          <w:rFonts w:cs="Times New Roman"/>
        </w:rPr>
        <w:t xml:space="preserve"> and that such determination does not render a </w:t>
      </w:r>
      <w:r w:rsidR="000129A4">
        <w:rPr>
          <w:rFonts w:cs="Times New Roman"/>
        </w:rPr>
        <w:t xml:space="preserve">formally valid </w:t>
      </w:r>
      <w:r w:rsidR="00631842">
        <w:rPr>
          <w:rFonts w:cs="Times New Roman"/>
        </w:rPr>
        <w:t>marriage a nullity in law</w:t>
      </w:r>
      <w:r w:rsidR="000129A4">
        <w:rPr>
          <w:rFonts w:cs="Times New Roman"/>
        </w:rPr>
        <w:t xml:space="preserve">, or void </w:t>
      </w:r>
      <w:r w:rsidR="000129A4">
        <w:rPr>
          <w:rFonts w:cs="Times New Roman"/>
          <w:i/>
          <w:iCs/>
        </w:rPr>
        <w:t>ab initio</w:t>
      </w:r>
      <w:r w:rsidR="000129A4">
        <w:rPr>
          <w:rFonts w:cs="Times New Roman"/>
        </w:rPr>
        <w:t xml:space="preserve">. </w:t>
      </w:r>
      <w:r w:rsidR="00990208">
        <w:rPr>
          <w:rFonts w:cs="Times New Roman"/>
        </w:rPr>
        <w:t xml:space="preserve">Indeed, it is submitted that the Minister himself did not, in the EU </w:t>
      </w:r>
      <w:r w:rsidR="00C06E0A">
        <w:rPr>
          <w:rFonts w:cs="Times New Roman"/>
        </w:rPr>
        <w:t>r</w:t>
      </w:r>
      <w:r w:rsidR="00990208">
        <w:rPr>
          <w:rFonts w:cs="Times New Roman"/>
        </w:rPr>
        <w:t xml:space="preserve">esidence decision, </w:t>
      </w:r>
      <w:r w:rsidR="00990208">
        <w:rPr>
          <w:rFonts w:cs="Times New Roman"/>
        </w:rPr>
        <w:lastRenderedPageBreak/>
        <w:t xml:space="preserve">adopt the position that the marriage was invalid for all purposes. </w:t>
      </w:r>
      <w:r w:rsidR="00DB050B">
        <w:rPr>
          <w:rFonts w:cs="Times New Roman"/>
        </w:rPr>
        <w:t xml:space="preserve">The </w:t>
      </w:r>
      <w:r w:rsidR="008C5E5F">
        <w:rPr>
          <w:rFonts w:cs="Times New Roman"/>
        </w:rPr>
        <w:t>Commission further submits that the 2015 Regulations do not purport to regulate matters of substantive family law</w:t>
      </w:r>
      <w:r w:rsidR="008A6A5E">
        <w:rPr>
          <w:rFonts w:cs="Times New Roman"/>
        </w:rPr>
        <w:t xml:space="preserve">, nor do they or the 2004 Directive give the Minister any power to make a finding </w:t>
      </w:r>
      <w:r w:rsidR="00844071">
        <w:rPr>
          <w:rFonts w:cs="Times New Roman"/>
        </w:rPr>
        <w:t xml:space="preserve">of general application </w:t>
      </w:r>
      <w:r w:rsidR="008A6A5E">
        <w:rPr>
          <w:rFonts w:cs="Times New Roman"/>
        </w:rPr>
        <w:t xml:space="preserve">that a marriage is void. </w:t>
      </w:r>
    </w:p>
    <w:p w14:paraId="29152899" w14:textId="2BC3465B" w:rsidR="003D461A" w:rsidRDefault="003D461A" w:rsidP="00775A4E">
      <w:pPr>
        <w:pStyle w:val="NoSpacing"/>
        <w:spacing w:line="480" w:lineRule="auto"/>
        <w:jc w:val="left"/>
        <w:rPr>
          <w:rFonts w:cs="Times New Roman"/>
        </w:rPr>
      </w:pPr>
    </w:p>
    <w:p w14:paraId="7D6EE38D" w14:textId="57F6557F" w:rsidR="003D461A" w:rsidRDefault="003D461A" w:rsidP="00775A4E">
      <w:pPr>
        <w:pStyle w:val="NoSpacing"/>
        <w:numPr>
          <w:ilvl w:val="0"/>
          <w:numId w:val="8"/>
        </w:numPr>
        <w:spacing w:line="480" w:lineRule="auto"/>
        <w:ind w:left="0" w:firstLine="0"/>
        <w:jc w:val="left"/>
        <w:rPr>
          <w:rFonts w:cs="Times New Roman"/>
        </w:rPr>
      </w:pPr>
      <w:r>
        <w:rPr>
          <w:rFonts w:cs="Times New Roman"/>
        </w:rPr>
        <w:t xml:space="preserve">The Commission </w:t>
      </w:r>
      <w:r w:rsidR="005047A3">
        <w:rPr>
          <w:rFonts w:cs="Times New Roman"/>
        </w:rPr>
        <w:t>submits</w:t>
      </w:r>
      <w:r>
        <w:rPr>
          <w:rFonts w:cs="Times New Roman"/>
        </w:rPr>
        <w:t xml:space="preserve"> that while Humphreys </w:t>
      </w:r>
      <w:r w:rsidR="001513A6">
        <w:rPr>
          <w:rFonts w:cs="Times New Roman"/>
        </w:rPr>
        <w:t xml:space="preserve">J. </w:t>
      </w:r>
      <w:r w:rsidR="00DC3876">
        <w:rPr>
          <w:rFonts w:cs="Times New Roman"/>
        </w:rPr>
        <w:t xml:space="preserve">stated that the 2014 Act provides that “a marriage of convenience is a nullity”, </w:t>
      </w:r>
      <w:r w:rsidR="005047A3">
        <w:rPr>
          <w:rFonts w:cs="Times New Roman"/>
        </w:rPr>
        <w:t>the Act in fact contains no such provision</w:t>
      </w:r>
      <w:r w:rsidR="009B338F">
        <w:rPr>
          <w:rFonts w:cs="Times New Roman"/>
        </w:rPr>
        <w:t xml:space="preserve"> and neither of the Minister’s decisions in fact refers to the 2014 Act</w:t>
      </w:r>
      <w:r w:rsidR="005047A3">
        <w:rPr>
          <w:rFonts w:cs="Times New Roman"/>
        </w:rPr>
        <w:t xml:space="preserve">. </w:t>
      </w:r>
      <w:r w:rsidR="00F502B3">
        <w:rPr>
          <w:rFonts w:cs="Times New Roman"/>
        </w:rPr>
        <w:t>What the Act seeks to do is prevent marriages of convenience before they occur, rather than purporting to invalidate</w:t>
      </w:r>
      <w:r w:rsidR="005C1423">
        <w:rPr>
          <w:rFonts w:cs="Times New Roman"/>
        </w:rPr>
        <w:t xml:space="preserve"> such marriages after they have taken place. </w:t>
      </w:r>
      <w:r w:rsidR="00DB53EB">
        <w:rPr>
          <w:rFonts w:cs="Times New Roman"/>
        </w:rPr>
        <w:t xml:space="preserve">It is submitted that the 2004 Act operates on the </w:t>
      </w:r>
      <w:r w:rsidR="009E21DE">
        <w:rPr>
          <w:rFonts w:cs="Times New Roman"/>
        </w:rPr>
        <w:t>premise that a marriage concluded in accordance with its requirements is valid for the purposes of Irish law, is entitled to constitutional protection, and may only be dissolved in accor</w:t>
      </w:r>
      <w:r w:rsidR="0084558E">
        <w:rPr>
          <w:rFonts w:cs="Times New Roman"/>
        </w:rPr>
        <w:t xml:space="preserve">dance with strict conditions laid down by the Constitution and legislation. </w:t>
      </w:r>
      <w:r w:rsidR="0035739F">
        <w:rPr>
          <w:rFonts w:cs="Times New Roman"/>
        </w:rPr>
        <w:t>There is therefore no basis for the High Court’s conclusion that</w:t>
      </w:r>
      <w:r w:rsidR="002C73F4">
        <w:rPr>
          <w:rFonts w:cs="Times New Roman"/>
        </w:rPr>
        <w:t xml:space="preserve"> the 2014 Act renders a marriage a nullity in law on the basis of a determination by the Minister, after the fact, that it was a marriage of convenience</w:t>
      </w:r>
      <w:r w:rsidR="00F44AC8">
        <w:rPr>
          <w:rFonts w:cs="Times New Roman"/>
        </w:rPr>
        <w:t>, nor would it be appropriate for the courts to recognise a new freestanding ground for the invalidation of a marriage in the absence of a firm basis in the Constitution</w:t>
      </w:r>
      <w:r w:rsidR="00595CE3">
        <w:rPr>
          <w:rFonts w:cs="Times New Roman"/>
        </w:rPr>
        <w:t xml:space="preserve">. The doctrine proposed by Humphreys </w:t>
      </w:r>
      <w:r w:rsidR="001513A6">
        <w:rPr>
          <w:rFonts w:cs="Times New Roman"/>
        </w:rPr>
        <w:t xml:space="preserve">J. </w:t>
      </w:r>
      <w:r w:rsidR="005166F2">
        <w:rPr>
          <w:rFonts w:cs="Times New Roman"/>
        </w:rPr>
        <w:t>would be more far-reaching than the 2014 Act, in that it could allow for the invalidation of marriages years after their conclusion</w:t>
      </w:r>
      <w:r w:rsidR="0075257D">
        <w:rPr>
          <w:rFonts w:cs="Times New Roman"/>
        </w:rPr>
        <w:t xml:space="preserve"> – potentially indefinitely</w:t>
      </w:r>
      <w:r w:rsidR="005166F2">
        <w:rPr>
          <w:rFonts w:cs="Times New Roman"/>
        </w:rPr>
        <w:t>.</w:t>
      </w:r>
      <w:r w:rsidR="002C73F4">
        <w:rPr>
          <w:rFonts w:cs="Times New Roman"/>
        </w:rPr>
        <w:t xml:space="preserve"> </w:t>
      </w:r>
      <w:r w:rsidR="0075257D">
        <w:rPr>
          <w:rFonts w:cs="Times New Roman"/>
        </w:rPr>
        <w:t>This would be contrary to the institution of marriage</w:t>
      </w:r>
      <w:r w:rsidR="00286C3B">
        <w:rPr>
          <w:rFonts w:cs="Times New Roman"/>
        </w:rPr>
        <w:t xml:space="preserve"> as protected by the Constitution. </w:t>
      </w:r>
      <w:r w:rsidR="00E31B5C">
        <w:rPr>
          <w:rFonts w:cs="Times New Roman"/>
        </w:rPr>
        <w:t xml:space="preserve">Furthermore, the marriage in question here took place a number of years before </w:t>
      </w:r>
      <w:r w:rsidR="00DB53EB">
        <w:rPr>
          <w:rFonts w:cs="Times New Roman"/>
        </w:rPr>
        <w:t>the 2014 Act</w:t>
      </w:r>
      <w:r w:rsidR="00E31B5C">
        <w:rPr>
          <w:rFonts w:cs="Times New Roman"/>
        </w:rPr>
        <w:t xml:space="preserve"> was passed, and must be </w:t>
      </w:r>
      <w:r w:rsidR="009431D8">
        <w:rPr>
          <w:rFonts w:cs="Times New Roman"/>
        </w:rPr>
        <w:t xml:space="preserve">assessed by reference to the law then applying. It is said that the appeal should be allowed on this basis alone. </w:t>
      </w:r>
    </w:p>
    <w:p w14:paraId="4215E3D6" w14:textId="5CD25697" w:rsidR="00886E41" w:rsidRDefault="00886E41" w:rsidP="00775A4E">
      <w:pPr>
        <w:pStyle w:val="NoSpacing"/>
        <w:spacing w:line="480" w:lineRule="auto"/>
        <w:jc w:val="left"/>
        <w:rPr>
          <w:rFonts w:cs="Times New Roman"/>
        </w:rPr>
      </w:pPr>
    </w:p>
    <w:p w14:paraId="0C50D47F" w14:textId="203ADEDA" w:rsidR="00886E41" w:rsidRPr="00311ED2" w:rsidRDefault="00311ED2" w:rsidP="00775A4E">
      <w:pPr>
        <w:pStyle w:val="NoSpacing"/>
        <w:numPr>
          <w:ilvl w:val="0"/>
          <w:numId w:val="8"/>
        </w:numPr>
        <w:spacing w:line="480" w:lineRule="auto"/>
        <w:ind w:left="0" w:firstLine="0"/>
        <w:jc w:val="left"/>
        <w:rPr>
          <w:rFonts w:cs="Times New Roman"/>
        </w:rPr>
      </w:pPr>
      <w:r>
        <w:rPr>
          <w:rFonts w:cs="Times New Roman"/>
        </w:rPr>
        <w:lastRenderedPageBreak/>
        <w:t xml:space="preserve">Additionally, the </w:t>
      </w:r>
      <w:r w:rsidR="003D7D9C">
        <w:rPr>
          <w:rFonts w:cs="Times New Roman"/>
        </w:rPr>
        <w:t xml:space="preserve">Commission </w:t>
      </w:r>
      <w:r>
        <w:rPr>
          <w:rFonts w:cs="Times New Roman"/>
        </w:rPr>
        <w:t xml:space="preserve">observes that even if the High Court was correct that a marriage of convenience is void </w:t>
      </w:r>
      <w:r>
        <w:rPr>
          <w:rFonts w:cs="Times New Roman"/>
          <w:i/>
          <w:iCs/>
        </w:rPr>
        <w:t>ab initio</w:t>
      </w:r>
      <w:r>
        <w:rPr>
          <w:rFonts w:cs="Times New Roman"/>
        </w:rPr>
        <w:t>, this would not mean that the parties to such marriage could not rely on their private and family rights as guaranteed by the Constitution, ECHR and the Charter</w:t>
      </w:r>
      <w:r w:rsidR="002F50D8">
        <w:rPr>
          <w:rFonts w:cs="Times New Roman"/>
        </w:rPr>
        <w:t xml:space="preserve">: section 3(6) of the 1999 Act refers to “family or domestic circumstances” and so, unlike Regulation 27(1) of the 2015 Regulations, </w:t>
      </w:r>
      <w:r w:rsidR="00AC2283">
        <w:rPr>
          <w:rFonts w:cs="Times New Roman"/>
        </w:rPr>
        <w:t xml:space="preserve">it is not expressly linked to the marriage or civil partnership status of the parties. </w:t>
      </w:r>
      <w:r w:rsidR="00A42F9A">
        <w:rPr>
          <w:rFonts w:cs="Times New Roman"/>
        </w:rPr>
        <w:t xml:space="preserve">Thus while the Minister argues that no rights arise from a relationship found to constitute a marriage of convenience, the Commission says that this is not so. </w:t>
      </w:r>
    </w:p>
    <w:p w14:paraId="18535068" w14:textId="77777777" w:rsidR="00BA6485" w:rsidRPr="00EF7378" w:rsidRDefault="00BA6485" w:rsidP="00775A4E">
      <w:pPr>
        <w:pStyle w:val="NoSpacing"/>
        <w:spacing w:line="480" w:lineRule="auto"/>
        <w:jc w:val="left"/>
        <w:rPr>
          <w:rFonts w:cs="Times New Roman"/>
        </w:rPr>
      </w:pPr>
    </w:p>
    <w:p w14:paraId="2ECB9046" w14:textId="07F66266" w:rsidR="00FE41D2" w:rsidRPr="00AD61AF" w:rsidRDefault="00FE41D2" w:rsidP="00775A4E">
      <w:pPr>
        <w:pStyle w:val="NoSpacing"/>
        <w:spacing w:line="480" w:lineRule="auto"/>
        <w:jc w:val="left"/>
        <w:rPr>
          <w:rFonts w:cs="Times New Roman"/>
          <w:b/>
          <w:bCs/>
          <w:u w:val="single"/>
        </w:rPr>
      </w:pPr>
      <w:r w:rsidRPr="00AD61AF">
        <w:rPr>
          <w:rFonts w:cs="Times New Roman"/>
          <w:b/>
          <w:bCs/>
          <w:u w:val="single"/>
        </w:rPr>
        <w:t>Discussion/Decision</w:t>
      </w:r>
    </w:p>
    <w:p w14:paraId="68ED4A46" w14:textId="333D0755" w:rsidR="00011017" w:rsidRDefault="00AC07FA" w:rsidP="003D7D9C">
      <w:pPr>
        <w:pStyle w:val="NoSpacing"/>
        <w:numPr>
          <w:ilvl w:val="0"/>
          <w:numId w:val="8"/>
        </w:numPr>
        <w:spacing w:line="480" w:lineRule="auto"/>
        <w:ind w:left="0" w:firstLine="0"/>
        <w:jc w:val="left"/>
        <w:rPr>
          <w:rFonts w:cs="Times New Roman"/>
        </w:rPr>
      </w:pPr>
      <w:r>
        <w:rPr>
          <w:rFonts w:cs="Times New Roman"/>
        </w:rPr>
        <w:t xml:space="preserve">Having regard to the </w:t>
      </w:r>
      <w:r w:rsidR="006568A6">
        <w:rPr>
          <w:rFonts w:cs="Times New Roman"/>
        </w:rPr>
        <w:t>circumstances of the case, the judgment of the High Court and the submissions of the parties, i</w:t>
      </w:r>
      <w:r w:rsidR="00011017">
        <w:rPr>
          <w:rFonts w:cs="Times New Roman"/>
        </w:rPr>
        <w:t xml:space="preserve">t seems to me that there are, in essence, three major questions which require resolution. First, whether </w:t>
      </w:r>
      <w:r>
        <w:rPr>
          <w:rFonts w:cs="Times New Roman"/>
        </w:rPr>
        <w:t xml:space="preserve">the </w:t>
      </w:r>
      <w:r w:rsidR="001B1281">
        <w:rPr>
          <w:rFonts w:cs="Times New Roman"/>
        </w:rPr>
        <w:t xml:space="preserve">decision </w:t>
      </w:r>
      <w:r w:rsidR="00755F76">
        <w:rPr>
          <w:rFonts w:cs="Times New Roman"/>
        </w:rPr>
        <w:t xml:space="preserve">(made </w:t>
      </w:r>
      <w:r w:rsidR="00C43F23">
        <w:rPr>
          <w:rFonts w:cs="Times New Roman"/>
        </w:rPr>
        <w:t>in the context of</w:t>
      </w:r>
      <w:r w:rsidR="00755F76">
        <w:rPr>
          <w:rFonts w:cs="Times New Roman"/>
        </w:rPr>
        <w:t xml:space="preserve"> the residence application under the 2015 Regulations) </w:t>
      </w:r>
      <w:r w:rsidR="001B1281">
        <w:rPr>
          <w:rFonts w:cs="Times New Roman"/>
        </w:rPr>
        <w:t xml:space="preserve">that the Appellants’ marriage was one of convenience </w:t>
      </w:r>
      <w:r w:rsidR="00DD2E09">
        <w:rPr>
          <w:rFonts w:cs="Times New Roman"/>
        </w:rPr>
        <w:t>may</w:t>
      </w:r>
      <w:r w:rsidR="00755F76">
        <w:rPr>
          <w:rFonts w:cs="Times New Roman"/>
        </w:rPr>
        <w:t xml:space="preserve"> be relied upon by the Minister </w:t>
      </w:r>
      <w:r w:rsidR="00373D6A">
        <w:rPr>
          <w:rFonts w:cs="Times New Roman"/>
        </w:rPr>
        <w:t>in the course of the separate process</w:t>
      </w:r>
      <w:r w:rsidR="00C43F23">
        <w:rPr>
          <w:rFonts w:cs="Times New Roman"/>
        </w:rPr>
        <w:t xml:space="preserve"> in respect of the making of a deportation order against the First Appellant</w:t>
      </w:r>
      <w:r w:rsidR="00F5258E">
        <w:rPr>
          <w:rFonts w:cs="Times New Roman"/>
        </w:rPr>
        <w:t xml:space="preserve"> (para. 58)</w:t>
      </w:r>
      <w:r w:rsidR="00C43F23">
        <w:rPr>
          <w:rFonts w:cs="Times New Roman"/>
        </w:rPr>
        <w:t xml:space="preserve">. </w:t>
      </w:r>
      <w:r w:rsidR="00304D23">
        <w:rPr>
          <w:rFonts w:cs="Times New Roman"/>
        </w:rPr>
        <w:t xml:space="preserve">Second, </w:t>
      </w:r>
      <w:r w:rsidR="00A8258F">
        <w:rPr>
          <w:rFonts w:cs="Times New Roman"/>
        </w:rPr>
        <w:t xml:space="preserve">whether a decision made by the Minister under the 2015 Regulations that a marriage </w:t>
      </w:r>
      <w:r w:rsidR="00504D38">
        <w:rPr>
          <w:rFonts w:cs="Times New Roman"/>
        </w:rPr>
        <w:t>is</w:t>
      </w:r>
      <w:r w:rsidR="00A8258F">
        <w:rPr>
          <w:rFonts w:cs="Times New Roman"/>
        </w:rPr>
        <w:t xml:space="preserve"> one of convenience renders that marriage a nullity at law and/or void </w:t>
      </w:r>
      <w:r w:rsidR="00A8258F" w:rsidRPr="00C912E5">
        <w:rPr>
          <w:rFonts w:cs="Times New Roman"/>
          <w:i/>
          <w:iCs/>
        </w:rPr>
        <w:t>ab initio</w:t>
      </w:r>
      <w:r w:rsidR="00F5258E">
        <w:rPr>
          <w:rFonts w:cs="Times New Roman"/>
          <w:iCs/>
        </w:rPr>
        <w:t xml:space="preserve"> (para. 67)</w:t>
      </w:r>
      <w:r w:rsidR="00A8258F">
        <w:rPr>
          <w:rFonts w:cs="Times New Roman"/>
        </w:rPr>
        <w:t xml:space="preserve">.  Third, </w:t>
      </w:r>
      <w:r w:rsidR="00A54FEB">
        <w:rPr>
          <w:rFonts w:cs="Times New Roman"/>
        </w:rPr>
        <w:t xml:space="preserve">whether, </w:t>
      </w:r>
      <w:r w:rsidR="00304D23">
        <w:rPr>
          <w:rFonts w:cs="Times New Roman"/>
        </w:rPr>
        <w:t xml:space="preserve">if the Minister is entitled to import the earlier decision into the deportation </w:t>
      </w:r>
      <w:r w:rsidR="00504D38">
        <w:rPr>
          <w:rFonts w:cs="Times New Roman"/>
        </w:rPr>
        <w:t>process</w:t>
      </w:r>
      <w:r w:rsidR="002B02E8">
        <w:rPr>
          <w:rFonts w:cs="Times New Roman"/>
        </w:rPr>
        <w:t xml:space="preserve">, </w:t>
      </w:r>
      <w:r w:rsidR="00A54FEB">
        <w:rPr>
          <w:rFonts w:cs="Times New Roman"/>
        </w:rPr>
        <w:t xml:space="preserve">he must </w:t>
      </w:r>
      <w:r w:rsidR="004335DC">
        <w:rPr>
          <w:rFonts w:cs="Times New Roman"/>
        </w:rPr>
        <w:t xml:space="preserve">nonetheless have regard, in </w:t>
      </w:r>
      <w:r w:rsidR="005B6C52">
        <w:rPr>
          <w:rFonts w:cs="Times New Roman"/>
        </w:rPr>
        <w:t>operating that process</w:t>
      </w:r>
      <w:r w:rsidR="004335DC">
        <w:rPr>
          <w:rFonts w:cs="Times New Roman"/>
        </w:rPr>
        <w:t xml:space="preserve">, to any </w:t>
      </w:r>
      <w:r w:rsidR="00A54FEB">
        <w:rPr>
          <w:rFonts w:cs="Times New Roman"/>
        </w:rPr>
        <w:t xml:space="preserve">rights that arise from </w:t>
      </w:r>
      <w:r w:rsidR="00D15BB3">
        <w:rPr>
          <w:rFonts w:cs="Times New Roman"/>
        </w:rPr>
        <w:t xml:space="preserve">or are predicated on </w:t>
      </w:r>
      <w:r w:rsidR="00A54FEB">
        <w:rPr>
          <w:rFonts w:cs="Times New Roman"/>
        </w:rPr>
        <w:t xml:space="preserve">the </w:t>
      </w:r>
      <w:r w:rsidR="009E7AC2">
        <w:rPr>
          <w:rFonts w:cs="Times New Roman"/>
        </w:rPr>
        <w:t xml:space="preserve">underlying </w:t>
      </w:r>
      <w:r w:rsidR="004335DC">
        <w:rPr>
          <w:rFonts w:cs="Times New Roman"/>
        </w:rPr>
        <w:t>relationship between the parties</w:t>
      </w:r>
      <w:r w:rsidR="00F5258E">
        <w:rPr>
          <w:rFonts w:cs="Times New Roman"/>
        </w:rPr>
        <w:t xml:space="preserve"> (para. 99)</w:t>
      </w:r>
      <w:r w:rsidR="00DF00BC">
        <w:rPr>
          <w:rFonts w:cs="Times New Roman"/>
        </w:rPr>
        <w:t xml:space="preserve">. </w:t>
      </w:r>
      <w:r w:rsidR="005B1132">
        <w:rPr>
          <w:rFonts w:cs="Times New Roman"/>
        </w:rPr>
        <w:t xml:space="preserve">Some subsidiary issues of less systemic importance also arise and these are addressed below. </w:t>
      </w:r>
    </w:p>
    <w:p w14:paraId="5A734C64" w14:textId="5CFB5288" w:rsidR="00C912E5" w:rsidRDefault="00C912E5" w:rsidP="00775A4E">
      <w:pPr>
        <w:pStyle w:val="NoSpacing"/>
        <w:spacing w:line="480" w:lineRule="auto"/>
        <w:jc w:val="left"/>
        <w:rPr>
          <w:rFonts w:cs="Times New Roman"/>
        </w:rPr>
      </w:pPr>
    </w:p>
    <w:p w14:paraId="414569D7" w14:textId="0580EB43" w:rsidR="007C4561" w:rsidRPr="00340AFC" w:rsidRDefault="00175284" w:rsidP="00775A4E">
      <w:pPr>
        <w:pStyle w:val="NoSpacing"/>
        <w:spacing w:line="480" w:lineRule="auto"/>
        <w:jc w:val="left"/>
        <w:rPr>
          <w:rFonts w:cs="Times New Roman"/>
          <w:b/>
          <w:bCs/>
          <w:i/>
          <w:iCs/>
        </w:rPr>
      </w:pPr>
      <w:r>
        <w:rPr>
          <w:rFonts w:cs="Times New Roman"/>
          <w:b/>
          <w:bCs/>
          <w:i/>
          <w:iCs/>
        </w:rPr>
        <w:lastRenderedPageBreak/>
        <w:t>Whether the Minister can rely on his decision that the marriage is a marriage of convenience, made in the context of the 2015 Regulations, when</w:t>
      </w:r>
      <w:r w:rsidR="000E03E1">
        <w:rPr>
          <w:rFonts w:cs="Times New Roman"/>
          <w:b/>
          <w:bCs/>
          <w:i/>
          <w:iCs/>
        </w:rPr>
        <w:t xml:space="preserve"> considering the deportation of the First </w:t>
      </w:r>
      <w:r w:rsidR="000E03E1" w:rsidRPr="00115381">
        <w:rPr>
          <w:rFonts w:cs="Times New Roman"/>
          <w:b/>
          <w:bCs/>
          <w:i/>
          <w:iCs/>
        </w:rPr>
        <w:t>Appellant</w:t>
      </w:r>
      <w:r w:rsidR="0029585B">
        <w:rPr>
          <w:rFonts w:cs="Times New Roman"/>
          <w:b/>
          <w:bCs/>
          <w:i/>
          <w:iCs/>
        </w:rPr>
        <w:t>?</w:t>
      </w:r>
    </w:p>
    <w:p w14:paraId="7982285A" w14:textId="7298A53A" w:rsidR="00BD343F" w:rsidRPr="00115381" w:rsidRDefault="00170BC5" w:rsidP="00775A4E">
      <w:pPr>
        <w:pStyle w:val="NoSpacing"/>
        <w:numPr>
          <w:ilvl w:val="0"/>
          <w:numId w:val="8"/>
        </w:numPr>
        <w:spacing w:line="480" w:lineRule="auto"/>
        <w:ind w:left="0" w:firstLine="0"/>
        <w:jc w:val="left"/>
        <w:rPr>
          <w:rFonts w:cs="Times New Roman"/>
        </w:rPr>
      </w:pPr>
      <w:r w:rsidRPr="00115381">
        <w:rPr>
          <w:rFonts w:cs="Times New Roman"/>
        </w:rPr>
        <w:t xml:space="preserve">Having been informed that the </w:t>
      </w:r>
      <w:r w:rsidR="005B6C52">
        <w:rPr>
          <w:rFonts w:cs="Times New Roman"/>
        </w:rPr>
        <w:t xml:space="preserve">refusal of </w:t>
      </w:r>
      <w:r w:rsidR="00BD343F" w:rsidRPr="00115381">
        <w:rPr>
          <w:rFonts w:cs="Times New Roman"/>
        </w:rPr>
        <w:t>his residenc</w:t>
      </w:r>
      <w:r w:rsidR="005B6C52">
        <w:rPr>
          <w:rFonts w:cs="Times New Roman"/>
        </w:rPr>
        <w:t>y</w:t>
      </w:r>
      <w:r w:rsidR="00BD343F" w:rsidRPr="00115381">
        <w:rPr>
          <w:rFonts w:cs="Times New Roman"/>
        </w:rPr>
        <w:t xml:space="preserve"> application </w:t>
      </w:r>
      <w:r w:rsidR="005B6C52">
        <w:rPr>
          <w:rFonts w:cs="Times New Roman"/>
        </w:rPr>
        <w:t xml:space="preserve">was under active consideration, </w:t>
      </w:r>
      <w:r w:rsidR="00BD343F" w:rsidRPr="00115381">
        <w:rPr>
          <w:rFonts w:cs="Times New Roman"/>
        </w:rPr>
        <w:t xml:space="preserve">on the basis that his marriage was a marriage of convenience, the First </w:t>
      </w:r>
      <w:r w:rsidRPr="00115381">
        <w:rPr>
          <w:rFonts w:cs="Times New Roman"/>
        </w:rPr>
        <w:t xml:space="preserve">Appellant </w:t>
      </w:r>
      <w:r w:rsidR="00BD343F" w:rsidRPr="00115381">
        <w:rPr>
          <w:rFonts w:cs="Times New Roman"/>
        </w:rPr>
        <w:t xml:space="preserve">was </w:t>
      </w:r>
      <w:r w:rsidRPr="00115381">
        <w:rPr>
          <w:rFonts w:cs="Times New Roman"/>
        </w:rPr>
        <w:t>provided with</w:t>
      </w:r>
      <w:r w:rsidR="00BD343F" w:rsidRPr="00115381">
        <w:rPr>
          <w:rFonts w:cs="Times New Roman"/>
        </w:rPr>
        <w:t xml:space="preserve"> an opportunity to make submissions in relation to this</w:t>
      </w:r>
      <w:r w:rsidR="0064366F" w:rsidRPr="00115381">
        <w:rPr>
          <w:rFonts w:cs="Times New Roman"/>
        </w:rPr>
        <w:t>. Nonetheless,</w:t>
      </w:r>
      <w:r w:rsidR="00BD343F" w:rsidRPr="00115381">
        <w:rPr>
          <w:rFonts w:cs="Times New Roman"/>
        </w:rPr>
        <w:t xml:space="preserve"> the Minister </w:t>
      </w:r>
      <w:r w:rsidR="00793093">
        <w:rPr>
          <w:rFonts w:cs="Times New Roman"/>
        </w:rPr>
        <w:t>so determined:</w:t>
      </w:r>
      <w:r w:rsidR="00DA6965" w:rsidRPr="00115381">
        <w:rPr>
          <w:rFonts w:cs="Times New Roman"/>
        </w:rPr>
        <w:t xml:space="preserve"> in </w:t>
      </w:r>
      <w:r w:rsidR="00504D38">
        <w:rPr>
          <w:rFonts w:cs="Times New Roman"/>
        </w:rPr>
        <w:t>making such decision</w:t>
      </w:r>
      <w:r w:rsidR="00DA6965" w:rsidRPr="00115381">
        <w:rPr>
          <w:rFonts w:cs="Times New Roman"/>
        </w:rPr>
        <w:t xml:space="preserve">, he must have had regard to the </w:t>
      </w:r>
      <w:r w:rsidR="007327A1" w:rsidRPr="00115381">
        <w:rPr>
          <w:rFonts w:cs="Times New Roman"/>
        </w:rPr>
        <w:t>circumstances listed in Regulation 28(5)(b) of the 2015 Regulations</w:t>
      </w:r>
      <w:r w:rsidR="00793093">
        <w:rPr>
          <w:rFonts w:cs="Times New Roman"/>
        </w:rPr>
        <w:t xml:space="preserve"> as well as any information furnished</w:t>
      </w:r>
      <w:r w:rsidR="007327A1" w:rsidRPr="00115381">
        <w:rPr>
          <w:rFonts w:cs="Times New Roman"/>
        </w:rPr>
        <w:t>.</w:t>
      </w:r>
      <w:r w:rsidR="00BD343F" w:rsidRPr="00115381">
        <w:rPr>
          <w:rFonts w:cs="Times New Roman"/>
        </w:rPr>
        <w:t xml:space="preserve"> </w:t>
      </w:r>
      <w:r w:rsidR="00793093">
        <w:rPr>
          <w:rFonts w:cs="Times New Roman"/>
        </w:rPr>
        <w:t>Mr. M.S.</w:t>
      </w:r>
      <w:r w:rsidR="00BD343F" w:rsidRPr="00115381">
        <w:rPr>
          <w:rFonts w:cs="Times New Roman"/>
        </w:rPr>
        <w:t xml:space="preserve"> applied for a review of this decision and </w:t>
      </w:r>
      <w:r w:rsidR="0064366F" w:rsidRPr="00115381">
        <w:rPr>
          <w:rFonts w:cs="Times New Roman"/>
        </w:rPr>
        <w:t xml:space="preserve">again </w:t>
      </w:r>
      <w:r w:rsidR="00BD343F" w:rsidRPr="00115381">
        <w:rPr>
          <w:rFonts w:cs="Times New Roman"/>
        </w:rPr>
        <w:t>submitted representations; the Minister</w:t>
      </w:r>
      <w:r w:rsidR="0064366F" w:rsidRPr="00115381">
        <w:rPr>
          <w:rFonts w:cs="Times New Roman"/>
        </w:rPr>
        <w:t>, however,</w:t>
      </w:r>
      <w:r w:rsidR="00BD343F" w:rsidRPr="00115381">
        <w:rPr>
          <w:rFonts w:cs="Times New Roman"/>
        </w:rPr>
        <w:t xml:space="preserve"> upheld his original decision.</w:t>
      </w:r>
      <w:r w:rsidR="00B74B3C" w:rsidRPr="00115381">
        <w:rPr>
          <w:rFonts w:cs="Times New Roman"/>
        </w:rPr>
        <w:t xml:space="preserve"> The First Appellant has not sought at any stage to challenge that decision</w:t>
      </w:r>
      <w:r w:rsidR="005B6C52">
        <w:rPr>
          <w:rFonts w:cs="Times New Roman"/>
        </w:rPr>
        <w:t>: it is too late to do so now</w:t>
      </w:r>
      <w:r w:rsidR="00115BF1">
        <w:rPr>
          <w:rFonts w:cs="Times New Roman"/>
        </w:rPr>
        <w:t xml:space="preserve"> for several reasons </w:t>
      </w:r>
      <w:r w:rsidR="00AD1D81">
        <w:rPr>
          <w:rFonts w:cs="Times New Roman"/>
        </w:rPr>
        <w:t xml:space="preserve">(see, for example, </w:t>
      </w:r>
      <w:r w:rsidR="00AD1D81" w:rsidRPr="00AD1D81">
        <w:rPr>
          <w:rFonts w:cs="Times New Roman"/>
        </w:rPr>
        <w:t>Order 84, Rule 21(1) RSC</w:t>
      </w:r>
      <w:r w:rsidR="00AD1D81">
        <w:rPr>
          <w:rFonts w:cs="Times New Roman"/>
        </w:rPr>
        <w:t>)</w:t>
      </w:r>
      <w:r w:rsidR="00AD1D81" w:rsidRPr="00AD1D81">
        <w:rPr>
          <w:rFonts w:cs="Times New Roman"/>
        </w:rPr>
        <w:t xml:space="preserve"> </w:t>
      </w:r>
      <w:r w:rsidR="00115BF1">
        <w:rPr>
          <w:rFonts w:cs="Times New Roman"/>
        </w:rPr>
        <w:t>and also</w:t>
      </w:r>
      <w:r w:rsidR="005B6C52">
        <w:rPr>
          <w:rFonts w:cs="Times New Roman"/>
        </w:rPr>
        <w:t xml:space="preserve"> because t</w:t>
      </w:r>
      <w:r w:rsidR="00653489">
        <w:rPr>
          <w:rFonts w:cs="Times New Roman"/>
        </w:rPr>
        <w:t>r</w:t>
      </w:r>
      <w:r w:rsidR="005B6C52">
        <w:rPr>
          <w:rFonts w:cs="Times New Roman"/>
        </w:rPr>
        <w:t xml:space="preserve">ying to unravel decisions </w:t>
      </w:r>
      <w:r w:rsidR="00115BF1">
        <w:rPr>
          <w:rFonts w:cs="Times New Roman"/>
        </w:rPr>
        <w:t>along this pathway</w:t>
      </w:r>
      <w:r w:rsidR="005B6C52">
        <w:rPr>
          <w:rFonts w:cs="Times New Roman"/>
        </w:rPr>
        <w:t xml:space="preserve"> could create </w:t>
      </w:r>
      <w:r w:rsidR="00115BF1">
        <w:rPr>
          <w:rFonts w:cs="Times New Roman"/>
        </w:rPr>
        <w:t xml:space="preserve">uncertainty and </w:t>
      </w:r>
      <w:r w:rsidR="005B6C52">
        <w:rPr>
          <w:rFonts w:cs="Times New Roman"/>
        </w:rPr>
        <w:t>unacceptable</w:t>
      </w:r>
      <w:r w:rsidR="00115BF1">
        <w:rPr>
          <w:rFonts w:cs="Times New Roman"/>
        </w:rPr>
        <w:t xml:space="preserve"> </w:t>
      </w:r>
      <w:r w:rsidR="00653489">
        <w:rPr>
          <w:rFonts w:cs="Times New Roman"/>
        </w:rPr>
        <w:t>un</w:t>
      </w:r>
      <w:r w:rsidR="005B6C52">
        <w:rPr>
          <w:rFonts w:cs="Times New Roman"/>
        </w:rPr>
        <w:t>predictability in what is otherwise a defined and sequential administrative system</w:t>
      </w:r>
      <w:r w:rsidR="00B74B3C" w:rsidRPr="00115381">
        <w:rPr>
          <w:rFonts w:cs="Times New Roman"/>
        </w:rPr>
        <w:t xml:space="preserve">. </w:t>
      </w:r>
      <w:r w:rsidR="00940D49" w:rsidRPr="00115381">
        <w:rPr>
          <w:rFonts w:cs="Times New Roman"/>
        </w:rPr>
        <w:t>Thus</w:t>
      </w:r>
      <w:r w:rsidR="00196355" w:rsidRPr="00115381">
        <w:rPr>
          <w:rFonts w:cs="Times New Roman"/>
        </w:rPr>
        <w:t>,</w:t>
      </w:r>
      <w:r w:rsidR="00940D49" w:rsidRPr="00115381">
        <w:rPr>
          <w:rFonts w:cs="Times New Roman"/>
        </w:rPr>
        <w:t xml:space="preserve"> </w:t>
      </w:r>
      <w:r w:rsidR="00793093">
        <w:rPr>
          <w:rFonts w:cs="Times New Roman"/>
        </w:rPr>
        <w:t>the case</w:t>
      </w:r>
      <w:r w:rsidR="00793093" w:rsidRPr="00115381">
        <w:rPr>
          <w:rFonts w:cs="Times New Roman"/>
        </w:rPr>
        <w:t xml:space="preserve"> </w:t>
      </w:r>
      <w:r w:rsidR="00940D49" w:rsidRPr="00115381">
        <w:rPr>
          <w:rFonts w:cs="Times New Roman"/>
        </w:rPr>
        <w:t xml:space="preserve">must proceed on the basis that the Minister has made a determination, having regard to </w:t>
      </w:r>
      <w:r w:rsidR="00793093">
        <w:rPr>
          <w:rFonts w:cs="Times New Roman"/>
        </w:rPr>
        <w:t xml:space="preserve">the representations made and the specific </w:t>
      </w:r>
      <w:r w:rsidR="00940D49" w:rsidRPr="00115381">
        <w:rPr>
          <w:rFonts w:cs="Times New Roman"/>
        </w:rPr>
        <w:t xml:space="preserve">list of circumstances set out, </w:t>
      </w:r>
      <w:r w:rsidR="004C2EAF" w:rsidRPr="00115381">
        <w:rPr>
          <w:rFonts w:cs="Times New Roman"/>
        </w:rPr>
        <w:t xml:space="preserve">that </w:t>
      </w:r>
      <w:r w:rsidR="006F7210">
        <w:rPr>
          <w:rFonts w:cs="Times New Roman"/>
        </w:rPr>
        <w:t>the</w:t>
      </w:r>
      <w:r w:rsidR="006F7210" w:rsidRPr="00115381">
        <w:rPr>
          <w:rFonts w:cs="Times New Roman"/>
        </w:rPr>
        <w:t xml:space="preserve"> </w:t>
      </w:r>
      <w:r w:rsidR="00196355" w:rsidRPr="00115381">
        <w:rPr>
          <w:rFonts w:cs="Times New Roman"/>
        </w:rPr>
        <w:t>marriage was</w:t>
      </w:r>
      <w:r w:rsidR="00285AF0" w:rsidRPr="00115381">
        <w:rPr>
          <w:rFonts w:cs="Times New Roman"/>
        </w:rPr>
        <w:t xml:space="preserve"> contracted </w:t>
      </w:r>
      <w:r w:rsidR="00285AF0" w:rsidRPr="00115381">
        <w:rPr>
          <w:rFonts w:cs="Times New Roman"/>
          <w:i/>
          <w:iCs/>
        </w:rPr>
        <w:t xml:space="preserve">for the sole purpose </w:t>
      </w:r>
      <w:r w:rsidR="00285AF0" w:rsidRPr="00115381">
        <w:rPr>
          <w:rFonts w:cs="Times New Roman"/>
        </w:rPr>
        <w:t xml:space="preserve">of </w:t>
      </w:r>
      <w:r w:rsidR="006F7210">
        <w:rPr>
          <w:rFonts w:cs="Times New Roman"/>
        </w:rPr>
        <w:t xml:space="preserve">his </w:t>
      </w:r>
      <w:r w:rsidR="00285AF0" w:rsidRPr="00115381">
        <w:rPr>
          <w:rFonts w:cs="Times New Roman"/>
        </w:rPr>
        <w:t xml:space="preserve">obtaining an entitlement under the </w:t>
      </w:r>
      <w:r w:rsidR="009E7AC2">
        <w:rPr>
          <w:rFonts w:cs="Times New Roman"/>
        </w:rPr>
        <w:t xml:space="preserve">Directive or the </w:t>
      </w:r>
      <w:r w:rsidR="00285AF0" w:rsidRPr="00115381">
        <w:rPr>
          <w:rFonts w:cs="Times New Roman"/>
        </w:rPr>
        <w:t>Regulations or</w:t>
      </w:r>
      <w:r w:rsidR="006D47B6" w:rsidRPr="00115381">
        <w:rPr>
          <w:rFonts w:cs="Times New Roman"/>
        </w:rPr>
        <w:t xml:space="preserve"> </w:t>
      </w:r>
      <w:r w:rsidR="009E7AC2">
        <w:rPr>
          <w:rFonts w:cs="Times New Roman"/>
        </w:rPr>
        <w:t>any law</w:t>
      </w:r>
      <w:r w:rsidR="006D47B6" w:rsidRPr="00115381">
        <w:rPr>
          <w:rFonts w:cs="Times New Roman"/>
        </w:rPr>
        <w:t xml:space="preserve"> of the State concerning the entry and residence of foreign nationals</w:t>
      </w:r>
      <w:r w:rsidR="00AD1D81">
        <w:rPr>
          <w:rFonts w:cs="Times New Roman"/>
        </w:rPr>
        <w:t xml:space="preserve"> </w:t>
      </w:r>
      <w:r w:rsidR="009E7AC2">
        <w:rPr>
          <w:rFonts w:cs="Times New Roman"/>
        </w:rPr>
        <w:t>(Regulation 28(6) of the Regulations)</w:t>
      </w:r>
      <w:r w:rsidR="00F13A76">
        <w:rPr>
          <w:rFonts w:cs="Times New Roman"/>
        </w:rPr>
        <w:t xml:space="preserve"> and further that while the Appellants contest that this is so, such finding of the Minister was never formally challenged by way of judicial review. </w:t>
      </w:r>
    </w:p>
    <w:p w14:paraId="387E432F" w14:textId="5FF1E9E9" w:rsidR="00D7593E" w:rsidRPr="00115381" w:rsidRDefault="00D7593E" w:rsidP="00775A4E">
      <w:pPr>
        <w:pStyle w:val="NoSpacing"/>
        <w:spacing w:line="480" w:lineRule="auto"/>
        <w:jc w:val="left"/>
        <w:rPr>
          <w:rFonts w:cs="Times New Roman"/>
        </w:rPr>
      </w:pPr>
    </w:p>
    <w:p w14:paraId="1E5BD054" w14:textId="70FCA026" w:rsidR="00793093" w:rsidRPr="001E2A3F" w:rsidRDefault="00793093" w:rsidP="00775A4E">
      <w:pPr>
        <w:pStyle w:val="NoSpacing"/>
        <w:numPr>
          <w:ilvl w:val="0"/>
          <w:numId w:val="8"/>
        </w:numPr>
        <w:spacing w:line="480" w:lineRule="auto"/>
        <w:ind w:left="0" w:firstLine="0"/>
        <w:jc w:val="left"/>
        <w:rPr>
          <w:rFonts w:cs="Times New Roman"/>
        </w:rPr>
      </w:pPr>
      <w:r>
        <w:rPr>
          <w:rFonts w:cs="Times New Roman"/>
        </w:rPr>
        <w:t>The</w:t>
      </w:r>
      <w:r w:rsidR="005E5D9C" w:rsidRPr="00115381">
        <w:rPr>
          <w:rFonts w:cs="Times New Roman"/>
        </w:rPr>
        <w:t xml:space="preserve"> Appellant</w:t>
      </w:r>
      <w:r w:rsidR="00AC0227" w:rsidRPr="00115381">
        <w:rPr>
          <w:rFonts w:cs="Times New Roman"/>
        </w:rPr>
        <w:t>s</w:t>
      </w:r>
      <w:r w:rsidR="005E5D9C" w:rsidRPr="00115381">
        <w:rPr>
          <w:rFonts w:cs="Times New Roman"/>
        </w:rPr>
        <w:t xml:space="preserve"> contend that </w:t>
      </w:r>
      <w:r w:rsidR="005E134A" w:rsidRPr="00115381">
        <w:rPr>
          <w:rFonts w:cs="Times New Roman"/>
        </w:rPr>
        <w:t>the Minister</w:t>
      </w:r>
      <w:r w:rsidR="007F70A7">
        <w:rPr>
          <w:rFonts w:cs="Times New Roman"/>
        </w:rPr>
        <w:t>,</w:t>
      </w:r>
      <w:r w:rsidR="005E134A" w:rsidRPr="00115381">
        <w:rPr>
          <w:rFonts w:cs="Times New Roman"/>
        </w:rPr>
        <w:t xml:space="preserve"> </w:t>
      </w:r>
      <w:r>
        <w:rPr>
          <w:rFonts w:cs="Times New Roman"/>
        </w:rPr>
        <w:t>in the immigration</w:t>
      </w:r>
      <w:r w:rsidR="007F70A7">
        <w:rPr>
          <w:rFonts w:cs="Times New Roman"/>
        </w:rPr>
        <w:t>/deportation</w:t>
      </w:r>
      <w:r>
        <w:rPr>
          <w:rFonts w:cs="Times New Roman"/>
        </w:rPr>
        <w:t xml:space="preserve"> process</w:t>
      </w:r>
      <w:r w:rsidR="007F70A7">
        <w:rPr>
          <w:rFonts w:cs="Times New Roman"/>
        </w:rPr>
        <w:t>,</w:t>
      </w:r>
      <w:r>
        <w:rPr>
          <w:rFonts w:cs="Times New Roman"/>
        </w:rPr>
        <w:t xml:space="preserve"> foreclosed on his function by </w:t>
      </w:r>
      <w:r w:rsidR="005E134A" w:rsidRPr="00115381">
        <w:rPr>
          <w:rFonts w:cs="Times New Roman"/>
        </w:rPr>
        <w:t xml:space="preserve">failing to properly consider </w:t>
      </w:r>
      <w:r w:rsidR="00186327" w:rsidRPr="00115381">
        <w:rPr>
          <w:rFonts w:cs="Times New Roman"/>
        </w:rPr>
        <w:t>anew the quality, nature or extent of family life for the purposes of the proposed deportation decision</w:t>
      </w:r>
      <w:r w:rsidR="00C557F1" w:rsidRPr="00115381">
        <w:rPr>
          <w:rFonts w:cs="Times New Roman"/>
        </w:rPr>
        <w:t>,</w:t>
      </w:r>
      <w:r w:rsidR="00902862" w:rsidRPr="00115381">
        <w:rPr>
          <w:rFonts w:cs="Times New Roman"/>
        </w:rPr>
        <w:t xml:space="preserve"> instead importing into that process his finding made under the 2015 Regulations</w:t>
      </w:r>
      <w:r w:rsidR="009E7AC2">
        <w:rPr>
          <w:rFonts w:cs="Times New Roman"/>
        </w:rPr>
        <w:t>. Mr. M.S. argues</w:t>
      </w:r>
      <w:r w:rsidR="00902862" w:rsidRPr="00115381">
        <w:rPr>
          <w:rFonts w:cs="Times New Roman"/>
        </w:rPr>
        <w:t xml:space="preserve"> </w:t>
      </w:r>
      <w:r w:rsidR="007734E8" w:rsidRPr="00115381">
        <w:rPr>
          <w:rFonts w:cs="Times New Roman"/>
        </w:rPr>
        <w:t xml:space="preserve">that the Minister acted </w:t>
      </w:r>
      <w:r w:rsidR="007734E8" w:rsidRPr="00115381">
        <w:rPr>
          <w:rFonts w:cs="Times New Roman"/>
        </w:rPr>
        <w:lastRenderedPageBreak/>
        <w:t xml:space="preserve">unreasonably and irrationally by relying on his earlier decision. </w:t>
      </w:r>
      <w:r w:rsidR="00757150" w:rsidRPr="00115381">
        <w:rPr>
          <w:rFonts w:cs="Times New Roman"/>
        </w:rPr>
        <w:t>The Appellant</w:t>
      </w:r>
      <w:r w:rsidR="009E7AC2">
        <w:rPr>
          <w:rFonts w:cs="Times New Roman"/>
        </w:rPr>
        <w:t>s further</w:t>
      </w:r>
      <w:r w:rsidR="00757150" w:rsidRPr="00115381">
        <w:rPr>
          <w:rFonts w:cs="Times New Roman"/>
        </w:rPr>
        <w:t xml:space="preserve"> maintain that </w:t>
      </w:r>
      <w:r w:rsidR="00BC7922">
        <w:rPr>
          <w:rFonts w:cs="Times New Roman"/>
        </w:rPr>
        <w:t>within the analysis required by section 3 of the 1999 Act</w:t>
      </w:r>
      <w:r w:rsidR="009E7AC2">
        <w:rPr>
          <w:rFonts w:cs="Times New Roman"/>
        </w:rPr>
        <w:t xml:space="preserve">, </w:t>
      </w:r>
      <w:r w:rsidR="00C557F1" w:rsidRPr="00115381">
        <w:rPr>
          <w:rFonts w:cs="Times New Roman"/>
        </w:rPr>
        <w:t>the Minister was required to have</w:t>
      </w:r>
      <w:r w:rsidR="00C3160C" w:rsidRPr="00115381">
        <w:rPr>
          <w:rFonts w:cs="Times New Roman"/>
        </w:rPr>
        <w:t xml:space="preserve"> regard to </w:t>
      </w:r>
      <w:r w:rsidR="00757150" w:rsidRPr="00115381">
        <w:rPr>
          <w:rFonts w:cs="Times New Roman"/>
        </w:rPr>
        <w:t>the evidence submitted as to the circumstances prevailing at that time</w:t>
      </w:r>
      <w:r w:rsidR="00C3160C" w:rsidRPr="00115381">
        <w:rPr>
          <w:rFonts w:cs="Times New Roman"/>
        </w:rPr>
        <w:t xml:space="preserve">, rather than relying on his </w:t>
      </w:r>
      <w:r w:rsidR="009E7AC2">
        <w:rPr>
          <w:rFonts w:cs="Times New Roman"/>
        </w:rPr>
        <w:t xml:space="preserve">previously made </w:t>
      </w:r>
      <w:r w:rsidR="00C3160C" w:rsidRPr="00115381">
        <w:rPr>
          <w:rFonts w:cs="Times New Roman"/>
        </w:rPr>
        <w:t xml:space="preserve">finding in the separate </w:t>
      </w:r>
      <w:r w:rsidR="00C25F53" w:rsidRPr="00115381">
        <w:rPr>
          <w:rFonts w:cs="Times New Roman"/>
        </w:rPr>
        <w:t>context of the residence application</w:t>
      </w:r>
      <w:r w:rsidR="00C3160C" w:rsidRPr="00115381">
        <w:rPr>
          <w:rFonts w:cs="Times New Roman"/>
        </w:rPr>
        <w:t xml:space="preserve">. </w:t>
      </w:r>
    </w:p>
    <w:p w14:paraId="116652B0" w14:textId="6E17E946" w:rsidR="00793B68" w:rsidRPr="00115381" w:rsidRDefault="00793B68" w:rsidP="00775A4E">
      <w:pPr>
        <w:pStyle w:val="NoSpacing"/>
        <w:spacing w:line="480" w:lineRule="auto"/>
        <w:jc w:val="left"/>
        <w:rPr>
          <w:rFonts w:cs="Times New Roman"/>
        </w:rPr>
      </w:pPr>
    </w:p>
    <w:p w14:paraId="62CF1529" w14:textId="6EEE168B" w:rsidR="004A3F12" w:rsidRPr="00115381" w:rsidRDefault="009E7AC2" w:rsidP="00775A4E">
      <w:pPr>
        <w:pStyle w:val="NoSpacing"/>
        <w:numPr>
          <w:ilvl w:val="0"/>
          <w:numId w:val="8"/>
        </w:numPr>
        <w:spacing w:line="480" w:lineRule="auto"/>
        <w:ind w:left="0" w:firstLine="0"/>
        <w:jc w:val="left"/>
        <w:rPr>
          <w:rFonts w:cs="Times New Roman"/>
        </w:rPr>
      </w:pPr>
      <w:r>
        <w:rPr>
          <w:rFonts w:cs="Times New Roman"/>
        </w:rPr>
        <w:t>On the factual side there is</w:t>
      </w:r>
      <w:r w:rsidR="00C35457">
        <w:rPr>
          <w:rFonts w:cs="Times New Roman"/>
        </w:rPr>
        <w:t>,</w:t>
      </w:r>
      <w:r>
        <w:rPr>
          <w:rFonts w:cs="Times New Roman"/>
        </w:rPr>
        <w:t xml:space="preserve"> in my view</w:t>
      </w:r>
      <w:r w:rsidR="00C35457">
        <w:rPr>
          <w:rFonts w:cs="Times New Roman"/>
        </w:rPr>
        <w:t>,</w:t>
      </w:r>
      <w:r>
        <w:rPr>
          <w:rFonts w:cs="Times New Roman"/>
        </w:rPr>
        <w:t xml:space="preserve"> a</w:t>
      </w:r>
      <w:r w:rsidR="00793B68" w:rsidRPr="00115381">
        <w:rPr>
          <w:rFonts w:cs="Times New Roman"/>
        </w:rPr>
        <w:t>n air of unreality</w:t>
      </w:r>
      <w:r w:rsidR="00C903F7" w:rsidRPr="00115381">
        <w:rPr>
          <w:rFonts w:cs="Times New Roman"/>
        </w:rPr>
        <w:t xml:space="preserve"> to the Appellants</w:t>
      </w:r>
      <w:r w:rsidR="00D95B0A" w:rsidRPr="00115381">
        <w:rPr>
          <w:rFonts w:cs="Times New Roman"/>
        </w:rPr>
        <w:t>’</w:t>
      </w:r>
      <w:r w:rsidR="00C903F7" w:rsidRPr="00115381">
        <w:rPr>
          <w:rFonts w:cs="Times New Roman"/>
        </w:rPr>
        <w:t xml:space="preserve"> submission. </w:t>
      </w:r>
      <w:r w:rsidR="008A0D97" w:rsidRPr="00115381">
        <w:rPr>
          <w:rFonts w:cs="Times New Roman"/>
        </w:rPr>
        <w:t>Perhaps there might be some</w:t>
      </w:r>
      <w:r w:rsidR="00D95B0A" w:rsidRPr="00115381">
        <w:rPr>
          <w:rFonts w:cs="Times New Roman"/>
        </w:rPr>
        <w:t xml:space="preserve"> validly to </w:t>
      </w:r>
      <w:r>
        <w:rPr>
          <w:rFonts w:cs="Times New Roman"/>
        </w:rPr>
        <w:t>their</w:t>
      </w:r>
      <w:r w:rsidR="00D95B0A" w:rsidRPr="00115381">
        <w:rPr>
          <w:rFonts w:cs="Times New Roman"/>
        </w:rPr>
        <w:t xml:space="preserve"> contention if matters really had moved</w:t>
      </w:r>
      <w:r w:rsidR="008C2301" w:rsidRPr="00115381">
        <w:rPr>
          <w:rFonts w:cs="Times New Roman"/>
        </w:rPr>
        <w:t xml:space="preserve"> considerably during the time interval between the two processes. If</w:t>
      </w:r>
      <w:r w:rsidR="007370A6" w:rsidRPr="00115381">
        <w:rPr>
          <w:rFonts w:cs="Times New Roman"/>
        </w:rPr>
        <w:t xml:space="preserve">, say, the Minister determined </w:t>
      </w:r>
      <w:r>
        <w:rPr>
          <w:rFonts w:cs="Times New Roman"/>
        </w:rPr>
        <w:t>in year one</w:t>
      </w:r>
      <w:r w:rsidR="005B6C52">
        <w:rPr>
          <w:rFonts w:cs="Times New Roman"/>
        </w:rPr>
        <w:t xml:space="preserve"> </w:t>
      </w:r>
      <w:r w:rsidR="007370A6" w:rsidRPr="00115381">
        <w:rPr>
          <w:rFonts w:cs="Times New Roman"/>
        </w:rPr>
        <w:t>that there existed</w:t>
      </w:r>
      <w:r w:rsidR="008C2301" w:rsidRPr="00115381">
        <w:rPr>
          <w:rFonts w:cs="Times New Roman"/>
        </w:rPr>
        <w:t xml:space="preserve"> </w:t>
      </w:r>
      <w:r w:rsidR="007370A6" w:rsidRPr="00115381">
        <w:rPr>
          <w:rFonts w:cs="Times New Roman"/>
        </w:rPr>
        <w:t>a marriage of convenience</w:t>
      </w:r>
      <w:r w:rsidR="005B6C52">
        <w:rPr>
          <w:rFonts w:cs="Times New Roman"/>
        </w:rPr>
        <w:t xml:space="preserve">, in the context of the 2015 Regulations, and for </w:t>
      </w:r>
      <w:r w:rsidR="00F362A7" w:rsidRPr="00115381">
        <w:rPr>
          <w:rFonts w:cs="Times New Roman"/>
        </w:rPr>
        <w:t xml:space="preserve">whatever </w:t>
      </w:r>
      <w:r w:rsidR="008C2301" w:rsidRPr="00115381">
        <w:rPr>
          <w:rFonts w:cs="Times New Roman"/>
        </w:rPr>
        <w:t xml:space="preserve">reason, </w:t>
      </w:r>
      <w:r w:rsidR="00F362A7" w:rsidRPr="00115381">
        <w:rPr>
          <w:rFonts w:cs="Times New Roman"/>
        </w:rPr>
        <w:t xml:space="preserve">the question of deportation did not arise until several years down the line, </w:t>
      </w:r>
      <w:r w:rsidR="00AA3071" w:rsidRPr="00115381">
        <w:rPr>
          <w:rFonts w:cs="Times New Roman"/>
        </w:rPr>
        <w:t xml:space="preserve">would the Minister still be entitled to rely on that earlier finding if the parties had, for example, continued </w:t>
      </w:r>
      <w:r w:rsidR="006A4B7C">
        <w:rPr>
          <w:rFonts w:cs="Times New Roman"/>
        </w:rPr>
        <w:t>to reside</w:t>
      </w:r>
      <w:r w:rsidR="006A4B7C" w:rsidRPr="00115381">
        <w:rPr>
          <w:rFonts w:cs="Times New Roman"/>
        </w:rPr>
        <w:t xml:space="preserve"> </w:t>
      </w:r>
      <w:r w:rsidR="00AA3071" w:rsidRPr="00115381">
        <w:rPr>
          <w:rFonts w:cs="Times New Roman"/>
        </w:rPr>
        <w:t>together throug</w:t>
      </w:r>
      <w:r w:rsidR="00E4615C" w:rsidRPr="00115381">
        <w:rPr>
          <w:rFonts w:cs="Times New Roman"/>
        </w:rPr>
        <w:t xml:space="preserve">hout that time and had had a child together? </w:t>
      </w:r>
      <w:r w:rsidR="00C0075A" w:rsidRPr="00115381">
        <w:rPr>
          <w:rFonts w:cs="Times New Roman"/>
        </w:rPr>
        <w:t xml:space="preserve">I doubt </w:t>
      </w:r>
      <w:r w:rsidR="005B6C52" w:rsidRPr="00115381">
        <w:rPr>
          <w:rFonts w:cs="Times New Roman"/>
        </w:rPr>
        <w:t xml:space="preserve">very much </w:t>
      </w:r>
      <w:r w:rsidR="00C0075A" w:rsidRPr="00115381">
        <w:rPr>
          <w:rFonts w:cs="Times New Roman"/>
        </w:rPr>
        <w:t xml:space="preserve">whether </w:t>
      </w:r>
      <w:r w:rsidR="005B6C52">
        <w:rPr>
          <w:rFonts w:cs="Times New Roman"/>
        </w:rPr>
        <w:t>he could</w:t>
      </w:r>
      <w:r w:rsidR="00881F13" w:rsidRPr="00115381">
        <w:rPr>
          <w:rFonts w:cs="Times New Roman"/>
        </w:rPr>
        <w:t xml:space="preserve"> automatically </w:t>
      </w:r>
      <w:r w:rsidR="005B6C52">
        <w:rPr>
          <w:rFonts w:cs="Times New Roman"/>
        </w:rPr>
        <w:t xml:space="preserve">rely </w:t>
      </w:r>
      <w:r w:rsidR="00881F13" w:rsidRPr="00115381">
        <w:rPr>
          <w:rFonts w:cs="Times New Roman"/>
        </w:rPr>
        <w:t xml:space="preserve">on the earlier decision, with no fresh consideration, in the face of </w:t>
      </w:r>
      <w:r w:rsidR="009C4954" w:rsidRPr="00115381">
        <w:rPr>
          <w:rFonts w:cs="Times New Roman"/>
        </w:rPr>
        <w:t xml:space="preserve">radically changed circumstances of </w:t>
      </w:r>
      <w:r>
        <w:rPr>
          <w:rFonts w:cs="Times New Roman"/>
        </w:rPr>
        <w:t>such a</w:t>
      </w:r>
      <w:r w:rsidRPr="00115381">
        <w:rPr>
          <w:rFonts w:cs="Times New Roman"/>
        </w:rPr>
        <w:t xml:space="preserve"> </w:t>
      </w:r>
      <w:r w:rsidR="009C4954" w:rsidRPr="00115381">
        <w:rPr>
          <w:rFonts w:cs="Times New Roman"/>
        </w:rPr>
        <w:t xml:space="preserve">nature. </w:t>
      </w:r>
    </w:p>
    <w:p w14:paraId="17DCA5DE" w14:textId="77777777" w:rsidR="004A3F12" w:rsidRPr="00115381" w:rsidRDefault="004A3F12" w:rsidP="00775A4E">
      <w:pPr>
        <w:pStyle w:val="NoSpacing"/>
        <w:spacing w:line="480" w:lineRule="auto"/>
        <w:ind w:left="720"/>
        <w:jc w:val="left"/>
        <w:rPr>
          <w:rFonts w:cs="Times New Roman"/>
        </w:rPr>
      </w:pPr>
    </w:p>
    <w:p w14:paraId="4A8053B6" w14:textId="1EC2147E" w:rsidR="004A3F12" w:rsidRPr="00115381" w:rsidRDefault="004A3F12" w:rsidP="00775A4E">
      <w:pPr>
        <w:pStyle w:val="NoSpacing"/>
        <w:numPr>
          <w:ilvl w:val="0"/>
          <w:numId w:val="8"/>
        </w:numPr>
        <w:spacing w:line="480" w:lineRule="auto"/>
        <w:ind w:left="0" w:firstLine="0"/>
        <w:jc w:val="left"/>
        <w:rPr>
          <w:rFonts w:cs="Times New Roman"/>
        </w:rPr>
      </w:pPr>
      <w:r w:rsidRPr="00115381">
        <w:rPr>
          <w:rFonts w:cs="Times New Roman"/>
        </w:rPr>
        <w:t xml:space="preserve">For these reasons, I would </w:t>
      </w:r>
      <w:r w:rsidR="00115BF1">
        <w:rPr>
          <w:rFonts w:cs="Times New Roman"/>
        </w:rPr>
        <w:t>not</w:t>
      </w:r>
      <w:r w:rsidRPr="00115381">
        <w:rPr>
          <w:rFonts w:cs="Times New Roman"/>
        </w:rPr>
        <w:t xml:space="preserve"> </w:t>
      </w:r>
      <w:r w:rsidR="005B6C52">
        <w:rPr>
          <w:rFonts w:cs="Times New Roman"/>
        </w:rPr>
        <w:t>characterise</w:t>
      </w:r>
      <w:r w:rsidRPr="00115381">
        <w:rPr>
          <w:rFonts w:cs="Times New Roman"/>
        </w:rPr>
        <w:t xml:space="preserve"> the statement of Humphreys </w:t>
      </w:r>
      <w:r w:rsidR="001513A6">
        <w:rPr>
          <w:rFonts w:cs="Times New Roman"/>
        </w:rPr>
        <w:t xml:space="preserve">J. </w:t>
      </w:r>
      <w:r w:rsidRPr="00115381">
        <w:rPr>
          <w:rFonts w:cs="Times New Roman"/>
        </w:rPr>
        <w:t>at para. 13 of his judgment</w:t>
      </w:r>
      <w:r w:rsidR="00105E7A">
        <w:rPr>
          <w:rFonts w:cs="Times New Roman"/>
        </w:rPr>
        <w:t>,</w:t>
      </w:r>
      <w:r w:rsidRPr="00115381">
        <w:rPr>
          <w:rFonts w:cs="Times New Roman"/>
        </w:rPr>
        <w:t xml:space="preserve"> to the effect that there is no obligation on an administrative decision-maker to go back and review previous decisions when a later decision is made in the process</w:t>
      </w:r>
      <w:r w:rsidR="00105E7A">
        <w:rPr>
          <w:rFonts w:cs="Times New Roman"/>
        </w:rPr>
        <w:t>,</w:t>
      </w:r>
      <w:r w:rsidR="00105E7A" w:rsidRPr="00105E7A">
        <w:rPr>
          <w:rFonts w:cs="Times New Roman"/>
        </w:rPr>
        <w:t xml:space="preserve"> </w:t>
      </w:r>
      <w:r w:rsidR="00105E7A" w:rsidRPr="00115381">
        <w:rPr>
          <w:rFonts w:cs="Times New Roman"/>
        </w:rPr>
        <w:t xml:space="preserve">as </w:t>
      </w:r>
      <w:r w:rsidR="00105E7A">
        <w:rPr>
          <w:rFonts w:cs="Times New Roman"/>
        </w:rPr>
        <w:t>a binding principle of administrative law</w:t>
      </w:r>
      <w:r w:rsidRPr="00115381">
        <w:rPr>
          <w:rFonts w:cs="Times New Roman"/>
        </w:rPr>
        <w:t xml:space="preserve">. </w:t>
      </w:r>
      <w:r w:rsidR="00F3173A" w:rsidRPr="00F3173A">
        <w:rPr>
          <w:rFonts w:cs="Times New Roman"/>
        </w:rPr>
        <w:t xml:space="preserve">I do agree, of course, that there is no general obligation to revisit a previous decision every time a further step is required to be taken in the process. Such self-evidently could have the potential of rendering the system quite unworkable. The true position, however, may, depending on the circumstances, be more nuanced than is presented in the passage referred to </w:t>
      </w:r>
      <w:r w:rsidR="00DE205F">
        <w:rPr>
          <w:rFonts w:cs="Times New Roman"/>
        </w:rPr>
        <w:t>(para. 2</w:t>
      </w:r>
      <w:r w:rsidR="00085EA8">
        <w:rPr>
          <w:rFonts w:cs="Times New Roman"/>
        </w:rPr>
        <w:t>3</w:t>
      </w:r>
      <w:r w:rsidR="00DE205F">
        <w:rPr>
          <w:rFonts w:cs="Times New Roman"/>
        </w:rPr>
        <w:t xml:space="preserve"> above)</w:t>
      </w:r>
      <w:r w:rsidRPr="00115381">
        <w:rPr>
          <w:rFonts w:cs="Times New Roman"/>
        </w:rPr>
        <w:t xml:space="preserve">. </w:t>
      </w:r>
    </w:p>
    <w:p w14:paraId="695F4CFA" w14:textId="77777777" w:rsidR="004A3F12" w:rsidRPr="00115381" w:rsidRDefault="004A3F12" w:rsidP="00775A4E">
      <w:pPr>
        <w:pStyle w:val="NoSpacing"/>
        <w:spacing w:line="480" w:lineRule="auto"/>
        <w:ind w:left="720"/>
        <w:jc w:val="left"/>
        <w:rPr>
          <w:rFonts w:cs="Times New Roman"/>
        </w:rPr>
      </w:pPr>
    </w:p>
    <w:p w14:paraId="26B6408B" w14:textId="224102D4" w:rsidR="00793B68" w:rsidRPr="00115381" w:rsidRDefault="004A3F12" w:rsidP="00775A4E">
      <w:pPr>
        <w:pStyle w:val="NoSpacing"/>
        <w:numPr>
          <w:ilvl w:val="0"/>
          <w:numId w:val="8"/>
        </w:numPr>
        <w:spacing w:line="480" w:lineRule="auto"/>
        <w:ind w:left="0" w:firstLine="0"/>
        <w:jc w:val="left"/>
        <w:rPr>
          <w:rFonts w:cs="Times New Roman"/>
        </w:rPr>
      </w:pPr>
      <w:r w:rsidRPr="00115381">
        <w:rPr>
          <w:rFonts w:cs="Times New Roman"/>
        </w:rPr>
        <w:t xml:space="preserve">However, the </w:t>
      </w:r>
      <w:r w:rsidR="00DE205F">
        <w:rPr>
          <w:rFonts w:cs="Times New Roman"/>
        </w:rPr>
        <w:t>type</w:t>
      </w:r>
      <w:r w:rsidR="00DE205F" w:rsidRPr="00115381">
        <w:rPr>
          <w:rFonts w:cs="Times New Roman"/>
        </w:rPr>
        <w:t xml:space="preserve"> </w:t>
      </w:r>
      <w:r w:rsidRPr="00115381">
        <w:rPr>
          <w:rFonts w:cs="Times New Roman"/>
        </w:rPr>
        <w:t xml:space="preserve">of developments or </w:t>
      </w:r>
      <w:r w:rsidR="00DE205F">
        <w:rPr>
          <w:rFonts w:cs="Times New Roman"/>
        </w:rPr>
        <w:t xml:space="preserve">the nature of </w:t>
      </w:r>
      <w:r w:rsidRPr="00115381">
        <w:rPr>
          <w:rFonts w:cs="Times New Roman"/>
        </w:rPr>
        <w:t xml:space="preserve">changed circumstances which may require </w:t>
      </w:r>
      <w:r w:rsidR="00DE205F">
        <w:rPr>
          <w:rFonts w:cs="Times New Roman"/>
        </w:rPr>
        <w:t xml:space="preserve">such </w:t>
      </w:r>
      <w:r w:rsidRPr="00115381">
        <w:rPr>
          <w:rFonts w:cs="Times New Roman"/>
        </w:rPr>
        <w:t xml:space="preserve">reconsideration </w:t>
      </w:r>
      <w:r w:rsidR="00A50E2E" w:rsidRPr="00115381">
        <w:rPr>
          <w:rFonts w:cs="Times New Roman"/>
        </w:rPr>
        <w:t xml:space="preserve">are far from the facts presenting in </w:t>
      </w:r>
      <w:r w:rsidR="00DE205F">
        <w:rPr>
          <w:rFonts w:cs="Times New Roman"/>
        </w:rPr>
        <w:t>the instant situation</w:t>
      </w:r>
      <w:r w:rsidR="00A50E2E" w:rsidRPr="00115381">
        <w:rPr>
          <w:rFonts w:cs="Times New Roman"/>
        </w:rPr>
        <w:t>. While the Appellants make the case that the Minister</w:t>
      </w:r>
      <w:r w:rsidR="003637A9" w:rsidRPr="00115381">
        <w:rPr>
          <w:rFonts w:cs="Times New Roman"/>
        </w:rPr>
        <w:t xml:space="preserve">’s determination in the deportation process must be reached in light of the evidence presented at that time and in that context, </w:t>
      </w:r>
      <w:r w:rsidR="0085700C" w:rsidRPr="00115381">
        <w:rPr>
          <w:rFonts w:cs="Times New Roman"/>
        </w:rPr>
        <w:t xml:space="preserve">they have not pointed to a single </w:t>
      </w:r>
      <w:r w:rsidR="00D06973" w:rsidRPr="00115381">
        <w:rPr>
          <w:rFonts w:cs="Times New Roman"/>
        </w:rPr>
        <w:t xml:space="preserve">additional </w:t>
      </w:r>
      <w:r w:rsidR="0085700C" w:rsidRPr="00115381">
        <w:rPr>
          <w:rFonts w:cs="Times New Roman"/>
        </w:rPr>
        <w:t>factor</w:t>
      </w:r>
      <w:r w:rsidR="00BB538D" w:rsidRPr="00115381">
        <w:rPr>
          <w:rFonts w:cs="Times New Roman"/>
        </w:rPr>
        <w:t xml:space="preserve"> </w:t>
      </w:r>
      <w:r w:rsidR="003C0728" w:rsidRPr="00115381">
        <w:rPr>
          <w:rFonts w:cs="Times New Roman"/>
        </w:rPr>
        <w:t>or piece of evidence that was any different, much less materially so, when the Minister was</w:t>
      </w:r>
      <w:r w:rsidR="00D06973" w:rsidRPr="00115381">
        <w:rPr>
          <w:rFonts w:cs="Times New Roman"/>
        </w:rPr>
        <w:t xml:space="preserve"> making </w:t>
      </w:r>
      <w:r w:rsidR="00B73EB4">
        <w:rPr>
          <w:rFonts w:cs="Times New Roman"/>
        </w:rPr>
        <w:t>that</w:t>
      </w:r>
      <w:r w:rsidR="00D06973" w:rsidRPr="00115381">
        <w:rPr>
          <w:rFonts w:cs="Times New Roman"/>
        </w:rPr>
        <w:t xml:space="preserve"> decision, as compared with when he </w:t>
      </w:r>
      <w:r w:rsidR="002F1E82" w:rsidRPr="00115381">
        <w:rPr>
          <w:rFonts w:cs="Times New Roman"/>
        </w:rPr>
        <w:t xml:space="preserve">had </w:t>
      </w:r>
      <w:r w:rsidR="00B73EB4">
        <w:rPr>
          <w:rFonts w:cs="Times New Roman"/>
        </w:rPr>
        <w:t>rejected the</w:t>
      </w:r>
      <w:r w:rsidR="002021EC" w:rsidRPr="00115381">
        <w:rPr>
          <w:rFonts w:cs="Times New Roman"/>
        </w:rPr>
        <w:t xml:space="preserve"> review</w:t>
      </w:r>
      <w:r w:rsidR="002F1E82" w:rsidRPr="00115381">
        <w:rPr>
          <w:rFonts w:cs="Times New Roman"/>
        </w:rPr>
        <w:t xml:space="preserve"> three months previously. Indeed, </w:t>
      </w:r>
      <w:r w:rsidR="002021EC" w:rsidRPr="00115381">
        <w:rPr>
          <w:rFonts w:cs="Times New Roman"/>
        </w:rPr>
        <w:t xml:space="preserve">the request for representations in respect of the deportation process was communicated to the Appellant on the same day as </w:t>
      </w:r>
      <w:r w:rsidR="007A2071" w:rsidRPr="00115381">
        <w:rPr>
          <w:rFonts w:cs="Times New Roman"/>
        </w:rPr>
        <w:t xml:space="preserve">he was told that </w:t>
      </w:r>
      <w:r w:rsidR="002021EC" w:rsidRPr="00115381">
        <w:rPr>
          <w:rFonts w:cs="Times New Roman"/>
        </w:rPr>
        <w:t xml:space="preserve">the </w:t>
      </w:r>
      <w:r w:rsidR="007A2071" w:rsidRPr="00115381">
        <w:rPr>
          <w:rFonts w:cs="Times New Roman"/>
        </w:rPr>
        <w:t xml:space="preserve">residence </w:t>
      </w:r>
      <w:r w:rsidR="002021EC" w:rsidRPr="00115381">
        <w:rPr>
          <w:rFonts w:cs="Times New Roman"/>
        </w:rPr>
        <w:t>review</w:t>
      </w:r>
      <w:r w:rsidR="00E4615C" w:rsidRPr="00115381">
        <w:rPr>
          <w:rFonts w:cs="Times New Roman"/>
        </w:rPr>
        <w:t xml:space="preserve"> </w:t>
      </w:r>
      <w:r w:rsidR="007A2071" w:rsidRPr="00115381">
        <w:rPr>
          <w:rFonts w:cs="Times New Roman"/>
        </w:rPr>
        <w:t xml:space="preserve">was </w:t>
      </w:r>
      <w:r w:rsidR="00DE205F">
        <w:rPr>
          <w:rFonts w:cs="Times New Roman"/>
        </w:rPr>
        <w:t>unsuccessful</w:t>
      </w:r>
      <w:r w:rsidR="007A2071" w:rsidRPr="00115381">
        <w:rPr>
          <w:rFonts w:cs="Times New Roman"/>
        </w:rPr>
        <w:t>. The two decisions seemed very much to take place within the same</w:t>
      </w:r>
      <w:r w:rsidR="008356AC" w:rsidRPr="00115381">
        <w:rPr>
          <w:rFonts w:cs="Times New Roman"/>
        </w:rPr>
        <w:t xml:space="preserve"> timeframe and based on the same fundamental underlying circumstances. </w:t>
      </w:r>
    </w:p>
    <w:p w14:paraId="3559F704" w14:textId="1E76CCAD" w:rsidR="00593F00" w:rsidRPr="00115381" w:rsidRDefault="00593F00" w:rsidP="00775A4E">
      <w:pPr>
        <w:pStyle w:val="NoSpacing"/>
        <w:spacing w:line="480" w:lineRule="auto"/>
        <w:ind w:left="720"/>
        <w:jc w:val="left"/>
        <w:rPr>
          <w:rFonts w:cs="Times New Roman"/>
        </w:rPr>
      </w:pPr>
    </w:p>
    <w:p w14:paraId="6DFDA8E2" w14:textId="76D4539C" w:rsidR="00593F00" w:rsidRPr="00115381" w:rsidRDefault="00EE44F5" w:rsidP="00775A4E">
      <w:pPr>
        <w:pStyle w:val="NoSpacing"/>
        <w:numPr>
          <w:ilvl w:val="0"/>
          <w:numId w:val="8"/>
        </w:numPr>
        <w:spacing w:line="480" w:lineRule="auto"/>
        <w:ind w:left="0" w:firstLine="0"/>
        <w:jc w:val="left"/>
        <w:rPr>
          <w:rFonts w:cs="Times New Roman"/>
        </w:rPr>
      </w:pPr>
      <w:r w:rsidRPr="00115381">
        <w:rPr>
          <w:rFonts w:cs="Times New Roman"/>
        </w:rPr>
        <w:t xml:space="preserve">The Minister points out that the letter </w:t>
      </w:r>
      <w:r w:rsidR="00DE205F">
        <w:rPr>
          <w:rFonts w:cs="Times New Roman"/>
        </w:rPr>
        <w:t>of the 20</w:t>
      </w:r>
      <w:r w:rsidR="00DE205F" w:rsidRPr="003F5DC9">
        <w:rPr>
          <w:rFonts w:cs="Times New Roman"/>
          <w:vertAlign w:val="superscript"/>
        </w:rPr>
        <w:t>th</w:t>
      </w:r>
      <w:r w:rsidR="00DE205F">
        <w:rPr>
          <w:rFonts w:cs="Times New Roman"/>
        </w:rPr>
        <w:t xml:space="preserve"> March, 2017, </w:t>
      </w:r>
      <w:r w:rsidRPr="00115381">
        <w:rPr>
          <w:rFonts w:cs="Times New Roman"/>
        </w:rPr>
        <w:t>proposing the deportation of the First Appellant</w:t>
      </w:r>
      <w:r w:rsidR="005358B7">
        <w:rPr>
          <w:rFonts w:cs="Times New Roman"/>
        </w:rPr>
        <w:t>,</w:t>
      </w:r>
      <w:r w:rsidR="005575B3" w:rsidRPr="00115381">
        <w:rPr>
          <w:rFonts w:cs="Times New Roman"/>
        </w:rPr>
        <w:t xml:space="preserve"> referred specifically as its basis to the fact that the decision of the same day under the 2015 Regulations demonstrated that the </w:t>
      </w:r>
      <w:r w:rsidR="00DE205F">
        <w:rPr>
          <w:rFonts w:cs="Times New Roman"/>
        </w:rPr>
        <w:t>Mr. M.S.</w:t>
      </w:r>
      <w:r w:rsidR="005575B3" w:rsidRPr="00115381">
        <w:rPr>
          <w:rFonts w:cs="Times New Roman"/>
        </w:rPr>
        <w:t xml:space="preserve"> had </w:t>
      </w:r>
      <w:r w:rsidR="005575B3" w:rsidRPr="00115381">
        <w:rPr>
          <w:rFonts w:cs="Times New Roman"/>
          <w:i/>
          <w:iCs/>
        </w:rPr>
        <w:t>“</w:t>
      </w:r>
      <w:r w:rsidR="00DE205F">
        <w:rPr>
          <w:rFonts w:cs="Times New Roman"/>
          <w:i/>
          <w:iCs/>
        </w:rPr>
        <w:t>…</w:t>
      </w:r>
      <w:r w:rsidR="005575B3" w:rsidRPr="00115381">
        <w:rPr>
          <w:rFonts w:cs="Times New Roman"/>
          <w:i/>
          <w:iCs/>
        </w:rPr>
        <w:t>failed to show that you are a family member of an EU citizen. You have no current permission to remain in the State and you are therefore unlawfully present in the State”</w:t>
      </w:r>
      <w:r w:rsidR="00E95CD6" w:rsidRPr="00115381">
        <w:rPr>
          <w:rFonts w:cs="Times New Roman"/>
        </w:rPr>
        <w:t xml:space="preserve">. I am satisfied that, at a factual level at least, the </w:t>
      </w:r>
      <w:r w:rsidR="00BE0348" w:rsidRPr="00115381">
        <w:rPr>
          <w:rFonts w:cs="Times New Roman"/>
        </w:rPr>
        <w:t xml:space="preserve">two processes in question were interlinked in the sense that they were based on the same </w:t>
      </w:r>
      <w:r w:rsidR="008C33BC">
        <w:rPr>
          <w:rFonts w:cs="Times New Roman"/>
        </w:rPr>
        <w:t>factual</w:t>
      </w:r>
      <w:r w:rsidR="008C33BC" w:rsidRPr="00115381">
        <w:rPr>
          <w:rFonts w:cs="Times New Roman"/>
        </w:rPr>
        <w:t xml:space="preserve"> </w:t>
      </w:r>
      <w:r w:rsidR="00BE0348" w:rsidRPr="00115381">
        <w:rPr>
          <w:rFonts w:cs="Times New Roman"/>
        </w:rPr>
        <w:t xml:space="preserve">matrix, and quite clearly the two decisions </w:t>
      </w:r>
      <w:r w:rsidR="00DB67A9" w:rsidRPr="00115381">
        <w:rPr>
          <w:rFonts w:cs="Times New Roman"/>
        </w:rPr>
        <w:t xml:space="preserve">were made within </w:t>
      </w:r>
      <w:r w:rsidR="00B73EB4">
        <w:rPr>
          <w:rFonts w:cs="Times New Roman"/>
        </w:rPr>
        <w:t xml:space="preserve">quite </w:t>
      </w:r>
      <w:r w:rsidR="00DB67A9" w:rsidRPr="00115381">
        <w:rPr>
          <w:rFonts w:cs="Times New Roman"/>
        </w:rPr>
        <w:t xml:space="preserve">a narrow </w:t>
      </w:r>
      <w:r w:rsidR="00B73EB4">
        <w:rPr>
          <w:rFonts w:cs="Times New Roman"/>
        </w:rPr>
        <w:t xml:space="preserve">and confined </w:t>
      </w:r>
      <w:r w:rsidR="00DB67A9" w:rsidRPr="00115381">
        <w:rPr>
          <w:rFonts w:cs="Times New Roman"/>
        </w:rPr>
        <w:t xml:space="preserve">timeframe. </w:t>
      </w:r>
      <w:r w:rsidR="00FF16C0" w:rsidRPr="00115381">
        <w:rPr>
          <w:rFonts w:cs="Times New Roman"/>
        </w:rPr>
        <w:t xml:space="preserve">Indeed, given, as the Minister submits, that the file analysis carried out under </w:t>
      </w:r>
      <w:r w:rsidR="0042472F" w:rsidRPr="00115381">
        <w:rPr>
          <w:rFonts w:cs="Times New Roman"/>
        </w:rPr>
        <w:t>s</w:t>
      </w:r>
      <w:r w:rsidR="00FF16C0" w:rsidRPr="00115381">
        <w:rPr>
          <w:rFonts w:cs="Times New Roman"/>
        </w:rPr>
        <w:t xml:space="preserve">ection 3 referred extensively to the process under the 2015 Regulations and to the reasoning leading to the </w:t>
      </w:r>
      <w:r w:rsidR="005B6C52">
        <w:rPr>
          <w:rFonts w:cs="Times New Roman"/>
        </w:rPr>
        <w:t xml:space="preserve">latter </w:t>
      </w:r>
      <w:r w:rsidR="00FF16C0" w:rsidRPr="00115381">
        <w:rPr>
          <w:rFonts w:cs="Times New Roman"/>
        </w:rPr>
        <w:t>decision</w:t>
      </w:r>
      <w:r w:rsidR="005B6C52">
        <w:rPr>
          <w:rFonts w:cs="Times New Roman"/>
        </w:rPr>
        <w:t xml:space="preserve">, </w:t>
      </w:r>
      <w:r w:rsidR="0042472F" w:rsidRPr="00115381">
        <w:rPr>
          <w:rFonts w:cs="Times New Roman"/>
        </w:rPr>
        <w:t xml:space="preserve">it would appear in many respects, at least on the facts as presented in this case, that one </w:t>
      </w:r>
      <w:r w:rsidR="00AB5474" w:rsidRPr="00115381">
        <w:rPr>
          <w:rFonts w:cs="Times New Roman"/>
        </w:rPr>
        <w:t xml:space="preserve">process flowed into the next. To this extent I accept the Minister’s submission concerning the artificiality </w:t>
      </w:r>
      <w:r w:rsidR="00972013" w:rsidRPr="00115381">
        <w:rPr>
          <w:rFonts w:cs="Times New Roman"/>
        </w:rPr>
        <w:t xml:space="preserve">of his being </w:t>
      </w:r>
      <w:r w:rsidR="00972013" w:rsidRPr="00115381">
        <w:rPr>
          <w:rFonts w:cs="Times New Roman"/>
        </w:rPr>
        <w:lastRenderedPageBreak/>
        <w:t xml:space="preserve">asked to disregard the extensive residence process immediately preceding the deportation process, although, as against that, it must be acknowledged that it is far from unheard of for administrative decision-makers to </w:t>
      </w:r>
      <w:r w:rsidR="00BF143E" w:rsidRPr="00115381">
        <w:rPr>
          <w:rFonts w:cs="Times New Roman"/>
        </w:rPr>
        <w:t xml:space="preserve">have regard to certain information for the purposes of one decision and not for another. </w:t>
      </w:r>
    </w:p>
    <w:p w14:paraId="3AF30EB6" w14:textId="77777777" w:rsidR="00033472" w:rsidRPr="00115381" w:rsidRDefault="00033472" w:rsidP="00775A4E">
      <w:pPr>
        <w:pStyle w:val="NoSpacing"/>
        <w:spacing w:line="480" w:lineRule="auto"/>
        <w:ind w:left="720"/>
        <w:jc w:val="left"/>
        <w:rPr>
          <w:rFonts w:cs="Times New Roman"/>
        </w:rPr>
      </w:pPr>
    </w:p>
    <w:p w14:paraId="277465C1" w14:textId="6E01357D" w:rsidR="00033472" w:rsidRPr="003F5DC9" w:rsidRDefault="000D175D" w:rsidP="00775A4E">
      <w:pPr>
        <w:pStyle w:val="NoSpacing"/>
        <w:numPr>
          <w:ilvl w:val="0"/>
          <w:numId w:val="8"/>
        </w:numPr>
        <w:spacing w:line="480" w:lineRule="auto"/>
        <w:ind w:left="0" w:firstLine="0"/>
        <w:jc w:val="left"/>
        <w:rPr>
          <w:rFonts w:cs="Times New Roman"/>
        </w:rPr>
      </w:pPr>
      <w:r>
        <w:rPr>
          <w:rFonts w:cs="Times New Roman"/>
        </w:rPr>
        <w:t>As indicated above,</w:t>
      </w:r>
      <w:r w:rsidRPr="003F5DC9">
        <w:rPr>
          <w:rFonts w:cs="Times New Roman"/>
        </w:rPr>
        <w:t xml:space="preserve"> </w:t>
      </w:r>
      <w:r>
        <w:rPr>
          <w:rFonts w:cs="Times New Roman"/>
        </w:rPr>
        <w:t>o</w:t>
      </w:r>
      <w:r w:rsidR="00B73EB4" w:rsidRPr="003F5DC9">
        <w:rPr>
          <w:rFonts w:cs="Times New Roman"/>
        </w:rPr>
        <w:t>n the legal side of this issue</w:t>
      </w:r>
      <w:r>
        <w:rPr>
          <w:rFonts w:cs="Times New Roman"/>
        </w:rPr>
        <w:t xml:space="preserve"> </w:t>
      </w:r>
      <w:r w:rsidR="000D2676" w:rsidRPr="003F5DC9">
        <w:rPr>
          <w:rFonts w:cs="Times New Roman"/>
        </w:rPr>
        <w:t>the founding piece of legislation</w:t>
      </w:r>
      <w:r w:rsidR="00B73EB4" w:rsidRPr="003F5DC9">
        <w:rPr>
          <w:rFonts w:cs="Times New Roman"/>
        </w:rPr>
        <w:t xml:space="preserve">, </w:t>
      </w:r>
      <w:r w:rsidR="000D2676" w:rsidRPr="003F5DC9">
        <w:rPr>
          <w:rFonts w:cs="Times New Roman"/>
        </w:rPr>
        <w:t>giving rise to the 2015 Regulations</w:t>
      </w:r>
      <w:r w:rsidR="001B4E85">
        <w:rPr>
          <w:rFonts w:cs="Times New Roman"/>
        </w:rPr>
        <w:t>,</w:t>
      </w:r>
      <w:r w:rsidR="000D2676" w:rsidRPr="003F5DC9">
        <w:rPr>
          <w:rFonts w:cs="Times New Roman"/>
        </w:rPr>
        <w:t xml:space="preserve"> is Council Directive 2004/38/EC, an essential aim of which was to make provision for the free movement and residence of Union citizens. </w:t>
      </w:r>
      <w:r w:rsidR="006843DB">
        <w:rPr>
          <w:rFonts w:cs="Times New Roman"/>
        </w:rPr>
        <w:t xml:space="preserve">It intended to achieve this by obliging </w:t>
      </w:r>
      <w:r w:rsidR="000D2676" w:rsidRPr="003F5DC9">
        <w:rPr>
          <w:rFonts w:cs="Times New Roman"/>
        </w:rPr>
        <w:t>each Member State, and the other countries to which it applie</w:t>
      </w:r>
      <w:r w:rsidR="001B4E85">
        <w:rPr>
          <w:rFonts w:cs="Times New Roman"/>
        </w:rPr>
        <w:t>s</w:t>
      </w:r>
      <w:r w:rsidR="000D2676" w:rsidRPr="003F5DC9">
        <w:rPr>
          <w:rFonts w:cs="Times New Roman"/>
        </w:rPr>
        <w:t xml:space="preserve">, to facilitate </w:t>
      </w:r>
      <w:r w:rsidR="006843DB">
        <w:rPr>
          <w:rFonts w:cs="Times New Roman"/>
        </w:rPr>
        <w:t xml:space="preserve">and implement the </w:t>
      </w:r>
      <w:r w:rsidR="00115BF1">
        <w:rPr>
          <w:rFonts w:cs="Times New Roman"/>
        </w:rPr>
        <w:t>objective</w:t>
      </w:r>
      <w:r w:rsidR="006843DB">
        <w:rPr>
          <w:rFonts w:cs="Times New Roman"/>
        </w:rPr>
        <w:t xml:space="preserve"> of what was </w:t>
      </w:r>
      <w:r w:rsidR="000D2676" w:rsidRPr="003F5DC9">
        <w:rPr>
          <w:rFonts w:cs="Times New Roman"/>
        </w:rPr>
        <w:t xml:space="preserve">proposed. </w:t>
      </w:r>
      <w:r w:rsidR="003F7AB4" w:rsidRPr="003F5DC9">
        <w:rPr>
          <w:rFonts w:cs="Times New Roman"/>
        </w:rPr>
        <w:t>Self-evidently</w:t>
      </w:r>
      <w:r w:rsidR="000D2676" w:rsidRPr="003F5DC9">
        <w:rPr>
          <w:rFonts w:cs="Times New Roman"/>
        </w:rPr>
        <w:t xml:space="preserve">, the area </w:t>
      </w:r>
      <w:r w:rsidR="00B73EB4" w:rsidRPr="003F5DC9">
        <w:rPr>
          <w:rFonts w:cs="Times New Roman"/>
        </w:rPr>
        <w:t xml:space="preserve">of law under consideration relates to </w:t>
      </w:r>
      <w:r w:rsidR="000D2676" w:rsidRPr="003F5DC9">
        <w:rPr>
          <w:rFonts w:cs="Times New Roman"/>
        </w:rPr>
        <w:t>the entry into and the right to remain in a jurisdiction different from that of which a person might be a citizen. In other words, such person</w:t>
      </w:r>
      <w:r w:rsidR="006843DB">
        <w:rPr>
          <w:rFonts w:cs="Times New Roman"/>
        </w:rPr>
        <w:t>s</w:t>
      </w:r>
      <w:r w:rsidR="000D2676" w:rsidRPr="003F5DC9">
        <w:rPr>
          <w:rFonts w:cs="Times New Roman"/>
        </w:rPr>
        <w:t xml:space="preserve"> could immigrate and remain in any third country which the Directive covered.  </w:t>
      </w:r>
    </w:p>
    <w:p w14:paraId="04D61A3E" w14:textId="77777777" w:rsidR="000D2676" w:rsidRPr="003F5DC9" w:rsidRDefault="000D2676" w:rsidP="00775A4E">
      <w:pPr>
        <w:pStyle w:val="ListParagraph"/>
        <w:spacing w:after="0" w:line="480" w:lineRule="auto"/>
        <w:rPr>
          <w:rFonts w:cs="Times New Roman"/>
        </w:rPr>
      </w:pPr>
    </w:p>
    <w:p w14:paraId="7BC230E4" w14:textId="3EB1F92C" w:rsidR="00ED61C5" w:rsidRPr="007E5273" w:rsidRDefault="00B73EB4" w:rsidP="00775A4E">
      <w:pPr>
        <w:pStyle w:val="NoSpacing"/>
        <w:numPr>
          <w:ilvl w:val="0"/>
          <w:numId w:val="8"/>
        </w:numPr>
        <w:spacing w:line="480" w:lineRule="auto"/>
        <w:ind w:left="0" w:firstLine="0"/>
        <w:jc w:val="left"/>
        <w:rPr>
          <w:rFonts w:cs="Times New Roman"/>
        </w:rPr>
      </w:pPr>
      <w:r w:rsidRPr="003F5DC9">
        <w:rPr>
          <w:rFonts w:cs="Times New Roman"/>
        </w:rPr>
        <w:t>These measures also apply</w:t>
      </w:r>
      <w:r w:rsidR="000D2676" w:rsidRPr="003F5DC9">
        <w:rPr>
          <w:rFonts w:cs="Times New Roman"/>
        </w:rPr>
        <w:t xml:space="preserve"> to family members of the Union citizen, as so defined but </w:t>
      </w:r>
      <w:r w:rsidR="006843DB">
        <w:rPr>
          <w:rFonts w:cs="Times New Roman"/>
        </w:rPr>
        <w:t xml:space="preserve">regardless </w:t>
      </w:r>
      <w:r w:rsidR="000D2676" w:rsidRPr="003F5DC9">
        <w:rPr>
          <w:rFonts w:cs="Times New Roman"/>
        </w:rPr>
        <w:t xml:space="preserve">of nationality. Without these provisions, but of course subject to any other international obligations so entered into, it would have been the sovereign right of each state to control its borders </w:t>
      </w:r>
      <w:r w:rsidR="000D2676" w:rsidRPr="003F5DC9">
        <w:rPr>
          <w:rFonts w:cs="Times New Roman"/>
          <w:i/>
        </w:rPr>
        <w:t>via</w:t>
      </w:r>
      <w:r w:rsidR="000D2676" w:rsidRPr="003F5DC9">
        <w:rPr>
          <w:rFonts w:cs="Times New Roman"/>
        </w:rPr>
        <w:t xml:space="preserve"> its own </w:t>
      </w:r>
      <w:r w:rsidR="006843DB">
        <w:rPr>
          <w:rFonts w:cs="Times New Roman"/>
        </w:rPr>
        <w:t xml:space="preserve">asylum and </w:t>
      </w:r>
      <w:r w:rsidR="000D2676" w:rsidRPr="003F5DC9">
        <w:rPr>
          <w:rFonts w:cs="Times New Roman"/>
        </w:rPr>
        <w:t xml:space="preserve">immigration system. As we know, the 2015 Regulations gave effect in domestic law to this Directive. Accordingly, it seems to me that at the level </w:t>
      </w:r>
      <w:r w:rsidRPr="003F5DC9">
        <w:rPr>
          <w:rFonts w:cs="Times New Roman"/>
        </w:rPr>
        <w:t xml:space="preserve">of </w:t>
      </w:r>
      <w:r w:rsidR="000D2676" w:rsidRPr="003F5DC9">
        <w:rPr>
          <w:rFonts w:cs="Times New Roman"/>
        </w:rPr>
        <w:t xml:space="preserve">principle there is an inextricable link </w:t>
      </w:r>
      <w:r w:rsidRPr="003F5DC9">
        <w:rPr>
          <w:rFonts w:cs="Times New Roman"/>
        </w:rPr>
        <w:t xml:space="preserve">and direct relationship </w:t>
      </w:r>
      <w:r w:rsidR="000D2676" w:rsidRPr="003F5DC9">
        <w:rPr>
          <w:rFonts w:cs="Times New Roman"/>
        </w:rPr>
        <w:t xml:space="preserve">between the various legislative measures which deal with </w:t>
      </w:r>
      <w:r w:rsidRPr="003F5DC9">
        <w:rPr>
          <w:rFonts w:cs="Times New Roman"/>
        </w:rPr>
        <w:t>the right to enter and remain in this jurisdiction and on what basis</w:t>
      </w:r>
      <w:r w:rsidR="00F846FF" w:rsidRPr="003F5DC9">
        <w:rPr>
          <w:rFonts w:cs="Times New Roman"/>
        </w:rPr>
        <w:t xml:space="preserve">, </w:t>
      </w:r>
      <w:r w:rsidR="00794B29">
        <w:rPr>
          <w:rFonts w:cs="Times New Roman"/>
        </w:rPr>
        <w:t>and</w:t>
      </w:r>
      <w:r w:rsidR="00794B29" w:rsidRPr="003F5DC9">
        <w:rPr>
          <w:rFonts w:cs="Times New Roman"/>
        </w:rPr>
        <w:t xml:space="preserve"> </w:t>
      </w:r>
      <w:r w:rsidR="006F7210" w:rsidRPr="003F5DC9">
        <w:rPr>
          <w:rFonts w:cs="Times New Roman"/>
        </w:rPr>
        <w:t xml:space="preserve">being refused </w:t>
      </w:r>
      <w:r w:rsidR="00504D38" w:rsidRPr="003F5DC9">
        <w:rPr>
          <w:rFonts w:cs="Times New Roman"/>
        </w:rPr>
        <w:t xml:space="preserve">that right </w:t>
      </w:r>
      <w:r w:rsidR="006F7210" w:rsidRPr="003F5DC9">
        <w:rPr>
          <w:rFonts w:cs="Times New Roman"/>
        </w:rPr>
        <w:t xml:space="preserve">or </w:t>
      </w:r>
      <w:r w:rsidR="00504D38" w:rsidRPr="003F5DC9">
        <w:rPr>
          <w:rFonts w:cs="Times New Roman"/>
        </w:rPr>
        <w:t xml:space="preserve">being </w:t>
      </w:r>
      <w:r w:rsidR="006F7210" w:rsidRPr="003F5DC9">
        <w:rPr>
          <w:rFonts w:cs="Times New Roman"/>
        </w:rPr>
        <w:t xml:space="preserve">removed </w:t>
      </w:r>
      <w:r w:rsidR="00504D38" w:rsidRPr="003F5DC9">
        <w:rPr>
          <w:rFonts w:cs="Times New Roman"/>
        </w:rPr>
        <w:t xml:space="preserve">from the State, </w:t>
      </w:r>
      <w:r w:rsidR="00F846FF" w:rsidRPr="003F5DC9">
        <w:rPr>
          <w:rFonts w:cs="Times New Roman"/>
        </w:rPr>
        <w:t>as the case may be</w:t>
      </w:r>
      <w:r w:rsidR="000D2676" w:rsidRPr="003F5DC9">
        <w:rPr>
          <w:rFonts w:cs="Times New Roman"/>
        </w:rPr>
        <w:t xml:space="preserve">.  Such of course would have to yield to any express or necessarily implied reservation </w:t>
      </w:r>
      <w:r w:rsidR="00F846FF" w:rsidRPr="003F5DC9">
        <w:rPr>
          <w:rFonts w:cs="Times New Roman"/>
        </w:rPr>
        <w:t xml:space="preserve">outlined in </w:t>
      </w:r>
      <w:r w:rsidR="006843DB">
        <w:rPr>
          <w:rFonts w:cs="Times New Roman"/>
        </w:rPr>
        <w:t xml:space="preserve">any </w:t>
      </w:r>
      <w:r w:rsidR="00F846FF" w:rsidRPr="003F5DC9">
        <w:rPr>
          <w:rFonts w:cs="Times New Roman"/>
        </w:rPr>
        <w:t>such legislation</w:t>
      </w:r>
      <w:r w:rsidR="000D2676" w:rsidRPr="003F5DC9">
        <w:rPr>
          <w:rFonts w:cs="Times New Roman"/>
        </w:rPr>
        <w:t xml:space="preserve">. </w:t>
      </w:r>
      <w:r w:rsidR="00F846FF" w:rsidRPr="003F5DC9">
        <w:rPr>
          <w:rFonts w:cs="Times New Roman"/>
        </w:rPr>
        <w:t>It is against</w:t>
      </w:r>
      <w:r w:rsidR="00ED61C5" w:rsidRPr="003F5DC9">
        <w:rPr>
          <w:rFonts w:cs="Times New Roman"/>
        </w:rPr>
        <w:t xml:space="preserve"> that broad </w:t>
      </w:r>
      <w:r w:rsidR="007E5273">
        <w:rPr>
          <w:rFonts w:cs="Times New Roman"/>
        </w:rPr>
        <w:t xml:space="preserve">backdrop </w:t>
      </w:r>
      <w:r w:rsidR="00F846FF" w:rsidRPr="003F5DC9">
        <w:rPr>
          <w:rFonts w:cs="Times New Roman"/>
        </w:rPr>
        <w:t>that the Appellants</w:t>
      </w:r>
      <w:r w:rsidR="007E5273">
        <w:rPr>
          <w:rFonts w:cs="Times New Roman"/>
        </w:rPr>
        <w:t>’</w:t>
      </w:r>
      <w:r w:rsidR="00F846FF" w:rsidRPr="003F5DC9">
        <w:rPr>
          <w:rFonts w:cs="Times New Roman"/>
        </w:rPr>
        <w:t xml:space="preserve"> submission </w:t>
      </w:r>
      <w:r w:rsidR="00ED61C5" w:rsidRPr="003F5DC9">
        <w:rPr>
          <w:rFonts w:cs="Times New Roman"/>
        </w:rPr>
        <w:t xml:space="preserve">that the Minister’s finding of a marriage of convenience cannot be transposed into or relied on in </w:t>
      </w:r>
      <w:r w:rsidR="00ED61C5" w:rsidRPr="003F5DC9">
        <w:rPr>
          <w:rFonts w:cs="Times New Roman"/>
        </w:rPr>
        <w:lastRenderedPageBreak/>
        <w:t>the immigration process</w:t>
      </w:r>
      <w:r w:rsidR="00F846FF" w:rsidRPr="003F5DC9">
        <w:rPr>
          <w:rFonts w:cs="Times New Roman"/>
        </w:rPr>
        <w:t xml:space="preserve"> must be considered</w:t>
      </w:r>
      <w:r w:rsidR="00ED61C5" w:rsidRPr="003F5DC9">
        <w:rPr>
          <w:rFonts w:cs="Times New Roman"/>
        </w:rPr>
        <w:t xml:space="preserve">. This </w:t>
      </w:r>
      <w:r w:rsidR="00F846FF" w:rsidRPr="003F5DC9">
        <w:rPr>
          <w:rFonts w:cs="Times New Roman"/>
        </w:rPr>
        <w:t>argument</w:t>
      </w:r>
      <w:r w:rsidR="00ED61C5" w:rsidRPr="003F5DC9">
        <w:rPr>
          <w:rFonts w:cs="Times New Roman"/>
        </w:rPr>
        <w:t xml:space="preserve"> is based on an asserted interpretation of Regulation 28, taking </w:t>
      </w:r>
      <w:proofErr w:type="spellStart"/>
      <w:r w:rsidR="00ED61C5" w:rsidRPr="003F5DC9">
        <w:rPr>
          <w:rFonts w:cs="Times New Roman"/>
        </w:rPr>
        <w:t>subpara</w:t>
      </w:r>
      <w:proofErr w:type="spellEnd"/>
      <w:r w:rsidR="00ED61C5" w:rsidRPr="003F5DC9">
        <w:rPr>
          <w:rFonts w:cs="Times New Roman"/>
        </w:rPr>
        <w:t>. (1) as an example. It reads:</w:t>
      </w:r>
    </w:p>
    <w:p w14:paraId="04B3C8B6" w14:textId="4CB0D19E" w:rsidR="00ED61C5" w:rsidRPr="003F5DC9" w:rsidRDefault="00ED61C5" w:rsidP="00775A4E">
      <w:pPr>
        <w:pStyle w:val="NoSpacing"/>
        <w:spacing w:line="480" w:lineRule="auto"/>
        <w:ind w:left="720"/>
        <w:jc w:val="left"/>
        <w:rPr>
          <w:rFonts w:cs="Times New Roman"/>
        </w:rPr>
      </w:pPr>
      <w:r w:rsidRPr="003F5DC9">
        <w:rPr>
          <w:rFonts w:cs="Times New Roman"/>
        </w:rPr>
        <w:t>“</w:t>
      </w:r>
      <w:r w:rsidR="00670AD9" w:rsidRPr="00775A4E">
        <w:rPr>
          <w:rFonts w:cs="Times New Roman"/>
          <w:i/>
        </w:rPr>
        <w:t xml:space="preserve">The Minister, in making his or her determination </w:t>
      </w:r>
      <w:r w:rsidR="00670AD9" w:rsidRPr="00775A4E">
        <w:rPr>
          <w:rFonts w:cs="Times New Roman"/>
          <w:i/>
          <w:u w:val="single"/>
        </w:rPr>
        <w:t>of any matter relevant to these Regulations</w:t>
      </w:r>
      <w:r w:rsidR="00670AD9" w:rsidRPr="00775A4E">
        <w:rPr>
          <w:rFonts w:cs="Times New Roman"/>
          <w:i/>
        </w:rPr>
        <w:t>, may disregard a particular marriage</w:t>
      </w:r>
      <w:r w:rsidR="00670AD9" w:rsidRPr="00775A4E" w:rsidDel="00670AD9">
        <w:rPr>
          <w:rFonts w:cs="Times New Roman"/>
          <w:i/>
        </w:rPr>
        <w:t xml:space="preserve"> </w:t>
      </w:r>
      <w:r w:rsidRPr="00775A4E">
        <w:rPr>
          <w:rFonts w:cs="Times New Roman"/>
          <w:i/>
        </w:rPr>
        <w:t>…</w:t>
      </w:r>
      <w:r w:rsidRPr="003F5DC9">
        <w:rPr>
          <w:rFonts w:cs="Times New Roman"/>
        </w:rPr>
        <w:t>”</w:t>
      </w:r>
      <w:r w:rsidR="00670AD9">
        <w:rPr>
          <w:rFonts w:cs="Times New Roman"/>
        </w:rPr>
        <w:t xml:space="preserve"> </w:t>
      </w:r>
      <w:r w:rsidR="00F846FF" w:rsidRPr="003F5DC9">
        <w:rPr>
          <w:rFonts w:cs="Times New Roman"/>
        </w:rPr>
        <w:t>(emphasis added)</w:t>
      </w:r>
    </w:p>
    <w:p w14:paraId="04F9F233" w14:textId="366682ED" w:rsidR="00ED61C5" w:rsidRPr="003F5DC9" w:rsidRDefault="00ED61C5" w:rsidP="00775A4E">
      <w:pPr>
        <w:pStyle w:val="NoSpacing"/>
        <w:spacing w:line="480" w:lineRule="auto"/>
        <w:jc w:val="left"/>
        <w:rPr>
          <w:rFonts w:cs="Times New Roman"/>
        </w:rPr>
      </w:pPr>
      <w:r w:rsidRPr="003F5DC9">
        <w:rPr>
          <w:rFonts w:cs="Times New Roman"/>
        </w:rPr>
        <w:t xml:space="preserve">It is suggested therefore that the finding can only apply to the residency card situation, and cannot find its way through any </w:t>
      </w:r>
      <w:r w:rsidR="00F846FF" w:rsidRPr="003F5DC9">
        <w:rPr>
          <w:rFonts w:cs="Times New Roman"/>
        </w:rPr>
        <w:t>avenue of law</w:t>
      </w:r>
      <w:r w:rsidRPr="003F5DC9">
        <w:rPr>
          <w:rFonts w:cs="Times New Roman"/>
        </w:rPr>
        <w:t xml:space="preserve"> into the </w:t>
      </w:r>
      <w:r w:rsidR="00AC50E1">
        <w:rPr>
          <w:rFonts w:cs="Times New Roman"/>
        </w:rPr>
        <w:t>deportation</w:t>
      </w:r>
      <w:r w:rsidR="00AC50E1" w:rsidRPr="003F5DC9">
        <w:rPr>
          <w:rFonts w:cs="Times New Roman"/>
        </w:rPr>
        <w:t xml:space="preserve"> </w:t>
      </w:r>
      <w:r w:rsidR="00F846FF" w:rsidRPr="003F5DC9">
        <w:rPr>
          <w:rFonts w:cs="Times New Roman"/>
        </w:rPr>
        <w:t>process</w:t>
      </w:r>
      <w:r w:rsidRPr="003F5DC9">
        <w:rPr>
          <w:rFonts w:cs="Times New Roman"/>
        </w:rPr>
        <w:t xml:space="preserve">.  </w:t>
      </w:r>
    </w:p>
    <w:p w14:paraId="6BE8F4FD" w14:textId="77777777" w:rsidR="00ED61C5" w:rsidRPr="003F5DC9" w:rsidRDefault="00ED61C5" w:rsidP="00775A4E">
      <w:pPr>
        <w:pStyle w:val="ListParagraph"/>
        <w:spacing w:after="0" w:line="480" w:lineRule="auto"/>
        <w:rPr>
          <w:rFonts w:cs="Times New Roman"/>
        </w:rPr>
      </w:pPr>
    </w:p>
    <w:p w14:paraId="6D979246" w14:textId="64539723" w:rsidR="00ED61C5" w:rsidRPr="003F5DC9" w:rsidRDefault="00ED61C5" w:rsidP="00775A4E">
      <w:pPr>
        <w:pStyle w:val="NoSpacing"/>
        <w:numPr>
          <w:ilvl w:val="0"/>
          <w:numId w:val="8"/>
        </w:numPr>
        <w:spacing w:line="480" w:lineRule="auto"/>
        <w:ind w:left="0" w:firstLine="0"/>
        <w:jc w:val="left"/>
        <w:rPr>
          <w:rFonts w:cs="Times New Roman"/>
        </w:rPr>
      </w:pPr>
      <w:r w:rsidRPr="003F5DC9">
        <w:rPr>
          <w:rFonts w:cs="Times New Roman"/>
        </w:rPr>
        <w:t xml:space="preserve">Leaving aside altogether how disjointed and incoherent an interpretation </w:t>
      </w:r>
      <w:r w:rsidR="00AC50E1">
        <w:rPr>
          <w:rFonts w:cs="Times New Roman"/>
        </w:rPr>
        <w:t xml:space="preserve">this </w:t>
      </w:r>
      <w:r w:rsidRPr="003F5DC9">
        <w:rPr>
          <w:rFonts w:cs="Times New Roman"/>
        </w:rPr>
        <w:t>would give rise to, I am satisfied that Regulation 28</w:t>
      </w:r>
      <w:r w:rsidR="00384E2A" w:rsidRPr="003F5DC9">
        <w:rPr>
          <w:rFonts w:cs="Times New Roman"/>
        </w:rPr>
        <w:t>(6)</w:t>
      </w:r>
      <w:r w:rsidRPr="003F5DC9">
        <w:rPr>
          <w:rFonts w:cs="Times New Roman"/>
        </w:rPr>
        <w:t xml:space="preserve"> provides a complete answer</w:t>
      </w:r>
      <w:r w:rsidR="00384E2A" w:rsidRPr="003F5DC9">
        <w:rPr>
          <w:rFonts w:cs="Times New Roman"/>
        </w:rPr>
        <w:t xml:space="preserve"> to this assertion</w:t>
      </w:r>
      <w:r w:rsidRPr="003F5DC9">
        <w:rPr>
          <w:rFonts w:cs="Times New Roman"/>
        </w:rPr>
        <w:t xml:space="preserve">.  </w:t>
      </w:r>
      <w:r w:rsidR="00384E2A" w:rsidRPr="003F5DC9">
        <w:rPr>
          <w:rFonts w:cs="Times New Roman"/>
        </w:rPr>
        <w:t xml:space="preserve">That provision defines a </w:t>
      </w:r>
      <w:r w:rsidRPr="003F5DC9">
        <w:rPr>
          <w:rFonts w:cs="Times New Roman"/>
        </w:rPr>
        <w:t xml:space="preserve">marriage of convenience </w:t>
      </w:r>
      <w:r w:rsidR="00384E2A" w:rsidRPr="003F5DC9">
        <w:rPr>
          <w:rFonts w:cs="Times New Roman"/>
        </w:rPr>
        <w:t>a</w:t>
      </w:r>
      <w:r w:rsidRPr="003F5DC9">
        <w:rPr>
          <w:rFonts w:cs="Times New Roman"/>
        </w:rPr>
        <w:t>s one entered into for the sole purpose of obtaining an entitlement under the Directive or the 2015 Regulations</w:t>
      </w:r>
      <w:r w:rsidR="00616138">
        <w:rPr>
          <w:rFonts w:cs="Times New Roman"/>
        </w:rPr>
        <w:t>;</w:t>
      </w:r>
      <w:r w:rsidRPr="003F5DC9">
        <w:rPr>
          <w:rFonts w:cs="Times New Roman"/>
        </w:rPr>
        <w:t xml:space="preserve"> </w:t>
      </w:r>
      <w:r w:rsidR="00384E2A" w:rsidRPr="003F5DC9">
        <w:rPr>
          <w:rFonts w:cs="Times New Roman"/>
        </w:rPr>
        <w:t xml:space="preserve">or under </w:t>
      </w:r>
      <w:r w:rsidRPr="003F5DC9">
        <w:rPr>
          <w:rFonts w:cs="Times New Roman"/>
        </w:rPr>
        <w:t>any other measure adopted to transpose the Directive</w:t>
      </w:r>
      <w:r w:rsidR="00616138">
        <w:rPr>
          <w:rFonts w:cs="Times New Roman"/>
        </w:rPr>
        <w:t>;</w:t>
      </w:r>
      <w:r w:rsidR="00384E2A" w:rsidRPr="003F5DC9">
        <w:rPr>
          <w:rFonts w:cs="Times New Roman"/>
        </w:rPr>
        <w:t xml:space="preserve"> </w:t>
      </w:r>
      <w:r w:rsidR="00616138">
        <w:rPr>
          <w:rFonts w:cs="Times New Roman"/>
        </w:rPr>
        <w:t>or,</w:t>
      </w:r>
      <w:r w:rsidR="00384E2A" w:rsidRPr="003F5DC9">
        <w:rPr>
          <w:rFonts w:cs="Times New Roman"/>
        </w:rPr>
        <w:t xml:space="preserve"> it then continues,</w:t>
      </w:r>
      <w:r w:rsidRPr="003F5DC9">
        <w:rPr>
          <w:rFonts w:cs="Times New Roman"/>
        </w:rPr>
        <w:t xml:space="preserve"> </w:t>
      </w:r>
      <w:r w:rsidR="00384E2A" w:rsidRPr="003F5DC9">
        <w:rPr>
          <w:rFonts w:cs="Times New Roman"/>
        </w:rPr>
        <w:t>under</w:t>
      </w:r>
      <w:r w:rsidRPr="003F5DC9">
        <w:rPr>
          <w:rFonts w:cs="Times New Roman"/>
        </w:rPr>
        <w:t>:</w:t>
      </w:r>
    </w:p>
    <w:p w14:paraId="7DA7437C" w14:textId="559A9841" w:rsidR="00ED61C5" w:rsidRPr="003F5DC9" w:rsidRDefault="00ED61C5" w:rsidP="00775A4E">
      <w:pPr>
        <w:pStyle w:val="NoSpacing"/>
        <w:spacing w:line="480" w:lineRule="auto"/>
        <w:ind w:left="1440" w:hanging="720"/>
        <w:jc w:val="left"/>
        <w:rPr>
          <w:rFonts w:cs="Times New Roman"/>
        </w:rPr>
      </w:pPr>
      <w:r w:rsidRPr="003F5DC9">
        <w:rPr>
          <w:rFonts w:cs="Times New Roman"/>
        </w:rPr>
        <w:t>“(c)</w:t>
      </w:r>
      <w:r w:rsidRPr="003F5DC9">
        <w:rPr>
          <w:rFonts w:cs="Times New Roman"/>
        </w:rPr>
        <w:tab/>
        <w:t>Any law of the State concerning the entry and residence of foreign nationals in the State or the equivalent law of another State.”</w:t>
      </w:r>
    </w:p>
    <w:p w14:paraId="603B48E0" w14:textId="09E2472A" w:rsidR="00ED61C5" w:rsidRPr="00115381" w:rsidRDefault="00726D4B" w:rsidP="00775A4E">
      <w:pPr>
        <w:pStyle w:val="NoSpacing"/>
        <w:spacing w:line="480" w:lineRule="auto"/>
        <w:jc w:val="left"/>
        <w:rPr>
          <w:rFonts w:cs="Times New Roman"/>
          <w:highlight w:val="yellow"/>
        </w:rPr>
      </w:pPr>
      <w:r w:rsidRPr="00726D4B">
        <w:rPr>
          <w:rFonts w:cs="Times New Roman"/>
        </w:rPr>
        <w:t xml:space="preserve">In my view the reference to “entry and residence” must necessarily include removal. The whole point of having a marriage of convenience provision under Regulation 28 is to prevent one obtaining an advantage or entitlement, in the general immigration process, by reason of that fact. Accordingly, it seems to me that on any proper interpretation of the measure last mentioned, the Immigration Act 1999, or more accurately section 3 thereof, must be regarded as coming within its provisions. That Act clearly covers, inter alia, the entry and residence of persons like the First Appellant, who is not a Union citizen. Having been unsuccessful in his residence card application, he was then a person, as pointed out in the letter of the 20th March, 2017, who had no right to be in the State. That being the situation, the Minister was perfectly entitled to regulate and determine his status within this jurisdiction. Hence, the operation of section 3 of the 1999 Act. The previous finding was thus directly relevant to the </w:t>
      </w:r>
      <w:r w:rsidRPr="00726D4B">
        <w:rPr>
          <w:rFonts w:cs="Times New Roman"/>
        </w:rPr>
        <w:lastRenderedPageBreak/>
        <w:t>matters which the Minister must consider under subs (6) of that section. Accordingly, I am satisfied that the Minister was entitled to carry into the immigration process the decision previously made by him under the 2015 Regulations</w:t>
      </w:r>
      <w:r w:rsidR="00ED61C5" w:rsidRPr="003F5DC9">
        <w:rPr>
          <w:rFonts w:cs="Times New Roman"/>
        </w:rPr>
        <w:t xml:space="preserve">.  </w:t>
      </w:r>
    </w:p>
    <w:p w14:paraId="5C49F0FE" w14:textId="77777777" w:rsidR="008356AC" w:rsidRPr="00115381" w:rsidRDefault="008356AC" w:rsidP="00775A4E">
      <w:pPr>
        <w:pStyle w:val="NoSpacing"/>
        <w:spacing w:line="480" w:lineRule="auto"/>
        <w:jc w:val="left"/>
        <w:rPr>
          <w:rFonts w:cs="Times New Roman"/>
          <w:b/>
          <w:bCs/>
          <w:i/>
          <w:iCs/>
        </w:rPr>
      </w:pPr>
    </w:p>
    <w:p w14:paraId="2EA486A1" w14:textId="1CC2B54A" w:rsidR="004B521D" w:rsidRPr="00115381" w:rsidRDefault="00DE4726" w:rsidP="00775A4E">
      <w:pPr>
        <w:pStyle w:val="NoSpacing"/>
        <w:spacing w:line="480" w:lineRule="auto"/>
        <w:jc w:val="left"/>
        <w:rPr>
          <w:rFonts w:cs="Times New Roman"/>
          <w:b/>
          <w:bCs/>
          <w:i/>
          <w:iCs/>
        </w:rPr>
      </w:pPr>
      <w:r w:rsidRPr="00115381">
        <w:rPr>
          <w:rFonts w:cs="Times New Roman"/>
          <w:b/>
          <w:bCs/>
          <w:i/>
          <w:iCs/>
        </w:rPr>
        <w:t>Whether a marriage of convenience is a nullity</w:t>
      </w:r>
      <w:r w:rsidR="00504D38">
        <w:rPr>
          <w:rFonts w:cs="Times New Roman"/>
          <w:b/>
          <w:bCs/>
          <w:i/>
          <w:iCs/>
        </w:rPr>
        <w:t xml:space="preserve"> and/or is void ab initio</w:t>
      </w:r>
      <w:r w:rsidR="00115BF1">
        <w:rPr>
          <w:rFonts w:cs="Times New Roman"/>
          <w:b/>
          <w:bCs/>
          <w:i/>
          <w:iCs/>
        </w:rPr>
        <w:t xml:space="preserve"> and who can so declare?</w:t>
      </w:r>
      <w:r w:rsidRPr="00115381">
        <w:rPr>
          <w:rFonts w:cs="Times New Roman"/>
          <w:b/>
          <w:bCs/>
          <w:i/>
          <w:iCs/>
        </w:rPr>
        <w:t xml:space="preserve"> </w:t>
      </w:r>
    </w:p>
    <w:p w14:paraId="0484B5E0" w14:textId="1A747D7A" w:rsidR="00D46081" w:rsidRPr="00115381" w:rsidRDefault="00A8258F" w:rsidP="00775A4E">
      <w:pPr>
        <w:pStyle w:val="NoSpacing"/>
        <w:numPr>
          <w:ilvl w:val="0"/>
          <w:numId w:val="8"/>
        </w:numPr>
        <w:spacing w:line="480" w:lineRule="auto"/>
        <w:ind w:left="0" w:firstLine="0"/>
        <w:jc w:val="left"/>
        <w:rPr>
          <w:rFonts w:cs="Times New Roman"/>
        </w:rPr>
      </w:pPr>
      <w:r>
        <w:rPr>
          <w:rFonts w:cs="Times New Roman"/>
        </w:rPr>
        <w:t>The second issue is</w:t>
      </w:r>
      <w:r w:rsidR="00D22AB5" w:rsidRPr="00115381">
        <w:rPr>
          <w:rFonts w:cs="Times New Roman"/>
        </w:rPr>
        <w:t xml:space="preserve"> whether, as found by the High Court, a </w:t>
      </w:r>
      <w:r w:rsidR="00244324" w:rsidRPr="00115381">
        <w:rPr>
          <w:rFonts w:cs="Times New Roman"/>
        </w:rPr>
        <w:t xml:space="preserve">marriage of convenience is a </w:t>
      </w:r>
      <w:r w:rsidR="008A7BE6" w:rsidRPr="00115381">
        <w:rPr>
          <w:rFonts w:cs="Times New Roman"/>
        </w:rPr>
        <w:t xml:space="preserve">nullity and void </w:t>
      </w:r>
      <w:r w:rsidR="008A7BE6" w:rsidRPr="00115381">
        <w:rPr>
          <w:rFonts w:cs="Times New Roman"/>
          <w:i/>
          <w:iCs/>
        </w:rPr>
        <w:t>ab initio</w:t>
      </w:r>
      <w:r w:rsidR="008A7BE6" w:rsidRPr="00115381">
        <w:rPr>
          <w:rFonts w:cs="Times New Roman"/>
        </w:rPr>
        <w:t xml:space="preserve">. </w:t>
      </w:r>
      <w:r w:rsidR="00F5046B" w:rsidRPr="00115381">
        <w:rPr>
          <w:rFonts w:cs="Times New Roman"/>
        </w:rPr>
        <w:t>Perhaps the question is better framed as whether a marriage of convenience</w:t>
      </w:r>
      <w:r w:rsidR="00B06514" w:rsidRPr="00115381">
        <w:rPr>
          <w:rFonts w:cs="Times New Roman"/>
        </w:rPr>
        <w:t>,</w:t>
      </w:r>
      <w:r w:rsidR="00F5046B" w:rsidRPr="00115381">
        <w:rPr>
          <w:rFonts w:cs="Times New Roman"/>
        </w:rPr>
        <w:t xml:space="preserve"> </w:t>
      </w:r>
      <w:r w:rsidR="00F5046B" w:rsidRPr="00115381">
        <w:rPr>
          <w:rFonts w:cs="Times New Roman"/>
          <w:i/>
          <w:iCs/>
        </w:rPr>
        <w:t xml:space="preserve">as </w:t>
      </w:r>
      <w:r w:rsidR="00691E0F" w:rsidRPr="00115381">
        <w:rPr>
          <w:rFonts w:cs="Times New Roman"/>
          <w:i/>
          <w:iCs/>
        </w:rPr>
        <w:t xml:space="preserve">deemed or determined by the Minister </w:t>
      </w:r>
      <w:r w:rsidR="00504D38">
        <w:rPr>
          <w:rFonts w:cs="Times New Roman"/>
          <w:i/>
          <w:iCs/>
        </w:rPr>
        <w:t>under</w:t>
      </w:r>
      <w:r w:rsidR="00691E0F" w:rsidRPr="00115381">
        <w:rPr>
          <w:rFonts w:cs="Times New Roman"/>
          <w:i/>
          <w:iCs/>
        </w:rPr>
        <w:t xml:space="preserve"> </w:t>
      </w:r>
      <w:r w:rsidR="00E214D0">
        <w:rPr>
          <w:rFonts w:cs="Times New Roman"/>
          <w:i/>
          <w:iCs/>
        </w:rPr>
        <w:t xml:space="preserve">the 2015 Regulations and as applying </w:t>
      </w:r>
      <w:r w:rsidR="00632306">
        <w:rPr>
          <w:rFonts w:cs="Times New Roman"/>
          <w:i/>
          <w:iCs/>
        </w:rPr>
        <w:t>to the deportation</w:t>
      </w:r>
      <w:r w:rsidR="00E214D0">
        <w:rPr>
          <w:rFonts w:cs="Times New Roman"/>
          <w:i/>
          <w:iCs/>
        </w:rPr>
        <w:t xml:space="preserve"> process</w:t>
      </w:r>
      <w:r w:rsidR="00B06514" w:rsidRPr="00115381">
        <w:rPr>
          <w:rFonts w:cs="Times New Roman"/>
        </w:rPr>
        <w:t xml:space="preserve">, </w:t>
      </w:r>
      <w:r>
        <w:rPr>
          <w:rFonts w:cs="Times New Roman"/>
        </w:rPr>
        <w:t xml:space="preserve">can </w:t>
      </w:r>
      <w:r w:rsidR="005508A0">
        <w:rPr>
          <w:rFonts w:cs="Times New Roman"/>
        </w:rPr>
        <w:t xml:space="preserve">be so described and can </w:t>
      </w:r>
      <w:r>
        <w:rPr>
          <w:rFonts w:cs="Times New Roman"/>
        </w:rPr>
        <w:t>have no consequences or give rise to no rights</w:t>
      </w:r>
      <w:r w:rsidR="004155B0">
        <w:rPr>
          <w:rFonts w:cs="Times New Roman"/>
        </w:rPr>
        <w:t>.</w:t>
      </w:r>
      <w:r>
        <w:rPr>
          <w:rFonts w:cs="Times New Roman"/>
        </w:rPr>
        <w:t xml:space="preserve"> This is a very difficult question and </w:t>
      </w:r>
      <w:r w:rsidR="00504D38">
        <w:rPr>
          <w:rFonts w:cs="Times New Roman"/>
        </w:rPr>
        <w:t xml:space="preserve">one </w:t>
      </w:r>
      <w:r>
        <w:rPr>
          <w:rFonts w:cs="Times New Roman"/>
        </w:rPr>
        <w:t xml:space="preserve">of considerable </w:t>
      </w:r>
      <w:r w:rsidR="00A23385">
        <w:rPr>
          <w:rFonts w:cs="Times New Roman"/>
        </w:rPr>
        <w:t xml:space="preserve">general </w:t>
      </w:r>
      <w:r>
        <w:rPr>
          <w:rFonts w:cs="Times New Roman"/>
        </w:rPr>
        <w:t>importance.</w:t>
      </w:r>
      <w:r w:rsidR="00B06514" w:rsidRPr="00115381">
        <w:rPr>
          <w:rFonts w:cs="Times New Roman"/>
        </w:rPr>
        <w:t xml:space="preserve"> </w:t>
      </w:r>
    </w:p>
    <w:p w14:paraId="0EE5907D" w14:textId="77777777" w:rsidR="009D746D" w:rsidRPr="00115381" w:rsidRDefault="009D746D" w:rsidP="00775A4E">
      <w:pPr>
        <w:pStyle w:val="NoSpacing"/>
        <w:spacing w:line="480" w:lineRule="auto"/>
        <w:ind w:left="720"/>
        <w:jc w:val="left"/>
        <w:rPr>
          <w:rFonts w:cs="Times New Roman"/>
          <w:highlight w:val="yellow"/>
        </w:rPr>
      </w:pPr>
    </w:p>
    <w:p w14:paraId="478DB157" w14:textId="3604393E" w:rsidR="009D746D" w:rsidRPr="00115381" w:rsidRDefault="009D746D" w:rsidP="00775A4E">
      <w:pPr>
        <w:pStyle w:val="NoSpacing"/>
        <w:numPr>
          <w:ilvl w:val="0"/>
          <w:numId w:val="8"/>
        </w:numPr>
        <w:spacing w:line="480" w:lineRule="auto"/>
        <w:ind w:left="0" w:firstLine="0"/>
        <w:jc w:val="left"/>
        <w:rPr>
          <w:rFonts w:cs="Times New Roman"/>
        </w:rPr>
      </w:pPr>
      <w:r w:rsidRPr="00115381">
        <w:rPr>
          <w:rFonts w:cs="Times New Roman"/>
        </w:rPr>
        <w:t xml:space="preserve">It should be </w:t>
      </w:r>
      <w:r w:rsidR="00A23385">
        <w:rPr>
          <w:rFonts w:cs="Times New Roman"/>
        </w:rPr>
        <w:t>first noted that</w:t>
      </w:r>
      <w:r w:rsidRPr="00115381">
        <w:rPr>
          <w:rFonts w:cs="Times New Roman"/>
        </w:rPr>
        <w:t xml:space="preserve"> </w:t>
      </w:r>
      <w:r w:rsidR="00A8258F">
        <w:rPr>
          <w:rFonts w:cs="Times New Roman"/>
        </w:rPr>
        <w:t>the formal requirements to enter into a valid marriage in this State were observed by the parties as part of the c</w:t>
      </w:r>
      <w:r w:rsidRPr="00115381">
        <w:rPr>
          <w:rFonts w:cs="Times New Roman"/>
        </w:rPr>
        <w:t xml:space="preserve">eremony </w:t>
      </w:r>
      <w:r w:rsidR="00A8258F">
        <w:rPr>
          <w:rFonts w:cs="Times New Roman"/>
        </w:rPr>
        <w:t>which they entered into</w:t>
      </w:r>
      <w:r w:rsidR="00A23385">
        <w:rPr>
          <w:rFonts w:cs="Times New Roman"/>
        </w:rPr>
        <w:t xml:space="preserve">: on its face this renders their marriage a valid one, with all of the legal consequences that </w:t>
      </w:r>
      <w:r w:rsidR="00504D38">
        <w:rPr>
          <w:rFonts w:cs="Times New Roman"/>
        </w:rPr>
        <w:t>such</w:t>
      </w:r>
      <w:r w:rsidR="00A23385">
        <w:rPr>
          <w:rFonts w:cs="Times New Roman"/>
        </w:rPr>
        <w:t xml:space="preserve"> entails for </w:t>
      </w:r>
      <w:r w:rsidR="006F7210">
        <w:rPr>
          <w:rFonts w:cs="Times New Roman"/>
        </w:rPr>
        <w:t>them</w:t>
      </w:r>
      <w:r w:rsidR="00A23385">
        <w:rPr>
          <w:rFonts w:cs="Times New Roman"/>
        </w:rPr>
        <w:t xml:space="preserve">, </w:t>
      </w:r>
      <w:r w:rsidR="00504D38">
        <w:rPr>
          <w:rFonts w:cs="Times New Roman"/>
        </w:rPr>
        <w:t xml:space="preserve">both </w:t>
      </w:r>
      <w:r w:rsidR="00103887">
        <w:rPr>
          <w:rFonts w:cs="Times New Roman"/>
        </w:rPr>
        <w:t>individually and</w:t>
      </w:r>
      <w:r w:rsidR="00A23385">
        <w:rPr>
          <w:rFonts w:cs="Times New Roman"/>
        </w:rPr>
        <w:t xml:space="preserve"> collectively, and </w:t>
      </w:r>
      <w:r w:rsidR="00504D38">
        <w:rPr>
          <w:rFonts w:cs="Times New Roman"/>
        </w:rPr>
        <w:t xml:space="preserve">also </w:t>
      </w:r>
      <w:r w:rsidR="00A23385">
        <w:rPr>
          <w:rFonts w:cs="Times New Roman"/>
        </w:rPr>
        <w:t xml:space="preserve">for third parties. </w:t>
      </w:r>
      <w:r w:rsidR="00D92B2F" w:rsidRPr="00115381">
        <w:rPr>
          <w:rFonts w:cs="Times New Roman"/>
        </w:rPr>
        <w:t xml:space="preserve">No issue is taken with their age, capacity, </w:t>
      </w:r>
      <w:r w:rsidR="00020F20">
        <w:rPr>
          <w:rFonts w:cs="Times New Roman"/>
        </w:rPr>
        <w:t xml:space="preserve">consent to marry, </w:t>
      </w:r>
      <w:r w:rsidR="006F7210">
        <w:rPr>
          <w:rFonts w:cs="Times New Roman"/>
        </w:rPr>
        <w:t xml:space="preserve">or the giving of </w:t>
      </w:r>
      <w:r w:rsidR="00D92B2F" w:rsidRPr="00115381">
        <w:rPr>
          <w:rFonts w:cs="Times New Roman"/>
        </w:rPr>
        <w:t>the required statutory notice</w:t>
      </w:r>
      <w:r w:rsidR="000D452E">
        <w:rPr>
          <w:rFonts w:cs="Times New Roman"/>
        </w:rPr>
        <w:t>.</w:t>
      </w:r>
      <w:r w:rsidR="00103887">
        <w:rPr>
          <w:rFonts w:cs="Times New Roman"/>
        </w:rPr>
        <w:t xml:space="preserve"> </w:t>
      </w:r>
      <w:r w:rsidR="000D452E">
        <w:rPr>
          <w:rFonts w:cs="Times New Roman"/>
        </w:rPr>
        <w:t>N</w:t>
      </w:r>
      <w:r w:rsidR="00A23385">
        <w:rPr>
          <w:rFonts w:cs="Times New Roman"/>
        </w:rPr>
        <w:t>o impediment to that marriage exists within the meaning of s</w:t>
      </w:r>
      <w:r w:rsidR="0013694D">
        <w:rPr>
          <w:rFonts w:cs="Times New Roman"/>
        </w:rPr>
        <w:t>ection</w:t>
      </w:r>
      <w:r w:rsidR="00A23385">
        <w:rPr>
          <w:rFonts w:cs="Times New Roman"/>
        </w:rPr>
        <w:t xml:space="preserve"> 2(2) of the 2004 Act</w:t>
      </w:r>
      <w:r w:rsidR="000D452E">
        <w:rPr>
          <w:rFonts w:cs="Times New Roman"/>
        </w:rPr>
        <w:t xml:space="preserve"> and</w:t>
      </w:r>
      <w:r w:rsidR="00504D38">
        <w:rPr>
          <w:rFonts w:cs="Times New Roman"/>
        </w:rPr>
        <w:t xml:space="preserve"> they appear </w:t>
      </w:r>
      <w:r w:rsidR="00504D38" w:rsidRPr="003F5DC9">
        <w:rPr>
          <w:rFonts w:cs="Times New Roman"/>
          <w:i/>
        </w:rPr>
        <w:t>ex facia</w:t>
      </w:r>
      <w:r w:rsidR="00504D38">
        <w:rPr>
          <w:rFonts w:cs="Times New Roman"/>
        </w:rPr>
        <w:t xml:space="preserve"> to satisfy Article 41.3.4° of the Constitution which reads </w:t>
      </w:r>
      <w:r w:rsidR="000D452E">
        <w:rPr>
          <w:rFonts w:cs="Times New Roman"/>
        </w:rPr>
        <w:t xml:space="preserve">that </w:t>
      </w:r>
      <w:r w:rsidR="00504D38">
        <w:rPr>
          <w:rFonts w:cs="Times New Roman"/>
        </w:rPr>
        <w:t>“</w:t>
      </w:r>
      <w:r w:rsidR="00504D38">
        <w:rPr>
          <w:rFonts w:cs="Times New Roman"/>
          <w:i/>
        </w:rPr>
        <w:t>marriage may be contracted in accordance with law by two persons without distinction as to their sex”</w:t>
      </w:r>
      <w:r w:rsidR="00A23385">
        <w:rPr>
          <w:rFonts w:cs="Times New Roman"/>
        </w:rPr>
        <w:t xml:space="preserve">.  </w:t>
      </w:r>
      <w:r w:rsidR="00601B0F" w:rsidRPr="00115381">
        <w:rPr>
          <w:rFonts w:cs="Times New Roman"/>
        </w:rPr>
        <w:t xml:space="preserve">There is </w:t>
      </w:r>
      <w:r w:rsidR="00020F20">
        <w:rPr>
          <w:rFonts w:cs="Times New Roman"/>
        </w:rPr>
        <w:t xml:space="preserve">therefore </w:t>
      </w:r>
      <w:r w:rsidR="00601B0F" w:rsidRPr="00115381">
        <w:rPr>
          <w:rFonts w:cs="Times New Roman"/>
        </w:rPr>
        <w:t xml:space="preserve">no suggestion, aside from the marriage of convenience point, that these Appellants did not otherwise meet the requirements for marriage. </w:t>
      </w:r>
      <w:r w:rsidR="00D92B2F" w:rsidRPr="00115381">
        <w:rPr>
          <w:rFonts w:cs="Times New Roman"/>
        </w:rPr>
        <w:t xml:space="preserve">No </w:t>
      </w:r>
      <w:r w:rsidR="002B3974" w:rsidRPr="00115381">
        <w:rPr>
          <w:rFonts w:cs="Times New Roman"/>
        </w:rPr>
        <w:t xml:space="preserve">issue of it being a marriage of convenience was raised at the time </w:t>
      </w:r>
      <w:r w:rsidR="00020F20">
        <w:rPr>
          <w:rFonts w:cs="Times New Roman"/>
        </w:rPr>
        <w:t xml:space="preserve">or immediately before </w:t>
      </w:r>
      <w:r w:rsidR="002B3974" w:rsidRPr="00115381">
        <w:rPr>
          <w:rFonts w:cs="Times New Roman"/>
        </w:rPr>
        <w:t>the marriage</w:t>
      </w:r>
      <w:r w:rsidR="00020F20">
        <w:rPr>
          <w:rFonts w:cs="Times New Roman"/>
        </w:rPr>
        <w:t xml:space="preserve">, unlike </w:t>
      </w:r>
      <w:r w:rsidR="00103887">
        <w:rPr>
          <w:rFonts w:cs="Times New Roman"/>
        </w:rPr>
        <w:t>the case of</w:t>
      </w:r>
      <w:r w:rsidR="00020F20">
        <w:rPr>
          <w:rFonts w:cs="Times New Roman"/>
        </w:rPr>
        <w:t xml:space="preserve"> </w:t>
      </w:r>
      <w:r w:rsidR="00020F20" w:rsidRPr="003F5DC9">
        <w:rPr>
          <w:rFonts w:cs="Times New Roman"/>
          <w:i/>
        </w:rPr>
        <w:t>Izmailovic</w:t>
      </w:r>
      <w:r w:rsidR="009B3B10">
        <w:rPr>
          <w:rFonts w:cs="Times New Roman"/>
        </w:rPr>
        <w:t>,</w:t>
      </w:r>
      <w:r w:rsidR="00020F20">
        <w:rPr>
          <w:rFonts w:cs="Times New Roman"/>
        </w:rPr>
        <w:t xml:space="preserve"> no</w:t>
      </w:r>
      <w:r w:rsidR="009B3B10">
        <w:rPr>
          <w:rFonts w:cs="Times New Roman"/>
        </w:rPr>
        <w:t>r</w:t>
      </w:r>
      <w:r w:rsidR="00020F20">
        <w:rPr>
          <w:rFonts w:cs="Times New Roman"/>
        </w:rPr>
        <w:t xml:space="preserve"> </w:t>
      </w:r>
      <w:r w:rsidR="009B3B10">
        <w:rPr>
          <w:rFonts w:cs="Times New Roman"/>
        </w:rPr>
        <w:t xml:space="preserve">was any </w:t>
      </w:r>
      <w:r w:rsidR="00020F20">
        <w:rPr>
          <w:rFonts w:cs="Times New Roman"/>
        </w:rPr>
        <w:t xml:space="preserve">point taken when Mr. M.S. </w:t>
      </w:r>
      <w:r w:rsidR="00A23385">
        <w:rPr>
          <w:rFonts w:cs="Times New Roman"/>
        </w:rPr>
        <w:t xml:space="preserve">made his first application for a </w:t>
      </w:r>
      <w:r w:rsidR="00020F20">
        <w:rPr>
          <w:rFonts w:cs="Times New Roman"/>
        </w:rPr>
        <w:lastRenderedPageBreak/>
        <w:t>residenc</w:t>
      </w:r>
      <w:r w:rsidR="009B3B10">
        <w:rPr>
          <w:rFonts w:cs="Times New Roman"/>
        </w:rPr>
        <w:t>e</w:t>
      </w:r>
      <w:r w:rsidR="00020F20">
        <w:rPr>
          <w:rFonts w:cs="Times New Roman"/>
        </w:rPr>
        <w:t xml:space="preserve"> card </w:t>
      </w:r>
      <w:r w:rsidR="00A23385">
        <w:rPr>
          <w:rFonts w:cs="Times New Roman"/>
        </w:rPr>
        <w:t>in</w:t>
      </w:r>
      <w:r w:rsidR="00020F20">
        <w:rPr>
          <w:rFonts w:cs="Times New Roman"/>
        </w:rPr>
        <w:t xml:space="preserve"> April, 2010</w:t>
      </w:r>
      <w:r w:rsidR="00E56C38">
        <w:rPr>
          <w:rFonts w:cs="Times New Roman"/>
        </w:rPr>
        <w:t xml:space="preserve"> (see Regulation 28(4))</w:t>
      </w:r>
      <w:r w:rsidR="00A23385">
        <w:rPr>
          <w:rFonts w:cs="Times New Roman"/>
        </w:rPr>
        <w:t>;</w:t>
      </w:r>
      <w:r w:rsidR="00020F20">
        <w:rPr>
          <w:rFonts w:cs="Times New Roman"/>
        </w:rPr>
        <w:t xml:space="preserve"> </w:t>
      </w:r>
      <w:r w:rsidR="00103887">
        <w:rPr>
          <w:rFonts w:cs="Times New Roman"/>
        </w:rPr>
        <w:t xml:space="preserve">whilst the notification letter of </w:t>
      </w:r>
      <w:r w:rsidR="009B479D">
        <w:rPr>
          <w:rFonts w:cs="Times New Roman"/>
        </w:rPr>
        <w:t xml:space="preserve">the </w:t>
      </w:r>
      <w:r w:rsidR="00103887">
        <w:rPr>
          <w:rFonts w:cs="Times New Roman"/>
        </w:rPr>
        <w:t>22</w:t>
      </w:r>
      <w:r w:rsidR="00103887" w:rsidRPr="003F5DC9">
        <w:rPr>
          <w:rFonts w:cs="Times New Roman"/>
          <w:vertAlign w:val="superscript"/>
        </w:rPr>
        <w:t>nd</w:t>
      </w:r>
      <w:r w:rsidR="00103887">
        <w:rPr>
          <w:rFonts w:cs="Times New Roman"/>
        </w:rPr>
        <w:t xml:space="preserve"> October, 2010, did point out that rights acquired by fraudulent means</w:t>
      </w:r>
      <w:r w:rsidR="009B479D">
        <w:rPr>
          <w:rFonts w:cs="Times New Roman"/>
        </w:rPr>
        <w:t>,</w:t>
      </w:r>
      <w:r w:rsidR="00103887">
        <w:rPr>
          <w:rFonts w:cs="Times New Roman"/>
        </w:rPr>
        <w:t xml:space="preserve"> including a marriage of convenience, would immediately cease </w:t>
      </w:r>
      <w:r w:rsidR="00E214D0">
        <w:rPr>
          <w:rFonts w:cs="Times New Roman"/>
        </w:rPr>
        <w:t xml:space="preserve">to have effect </w:t>
      </w:r>
      <w:r w:rsidR="00103887">
        <w:rPr>
          <w:rFonts w:cs="Times New Roman"/>
        </w:rPr>
        <w:t xml:space="preserve">when so established, such warning must be regarded as a standard insertion in a letter of this type and should not be read as implying any </w:t>
      </w:r>
      <w:r w:rsidR="00372BBE">
        <w:rPr>
          <w:rFonts w:cs="Times New Roman"/>
        </w:rPr>
        <w:t xml:space="preserve">underlying concern </w:t>
      </w:r>
      <w:r w:rsidR="00504D38">
        <w:rPr>
          <w:rFonts w:cs="Times New Roman"/>
        </w:rPr>
        <w:t>personal</w:t>
      </w:r>
      <w:r w:rsidR="00372BBE">
        <w:rPr>
          <w:rFonts w:cs="Times New Roman"/>
        </w:rPr>
        <w:t xml:space="preserve"> to </w:t>
      </w:r>
      <w:r w:rsidR="00474E1F">
        <w:rPr>
          <w:rFonts w:cs="Times New Roman"/>
        </w:rPr>
        <w:t>them</w:t>
      </w:r>
      <w:r w:rsidR="009B479D">
        <w:rPr>
          <w:rFonts w:cs="Times New Roman"/>
        </w:rPr>
        <w:t>.</w:t>
      </w:r>
      <w:r w:rsidR="00103887">
        <w:rPr>
          <w:rFonts w:cs="Times New Roman"/>
        </w:rPr>
        <w:t xml:space="preserve"> </w:t>
      </w:r>
      <w:r w:rsidR="009B479D">
        <w:rPr>
          <w:rFonts w:cs="Times New Roman"/>
        </w:rPr>
        <w:t>T</w:t>
      </w:r>
      <w:r w:rsidR="006F7210">
        <w:rPr>
          <w:rFonts w:cs="Times New Roman"/>
        </w:rPr>
        <w:t>he issue</w:t>
      </w:r>
      <w:r w:rsidR="00A23385">
        <w:rPr>
          <w:rFonts w:cs="Times New Roman"/>
        </w:rPr>
        <w:t xml:space="preserve"> </w:t>
      </w:r>
      <w:r w:rsidR="00E214D0">
        <w:rPr>
          <w:rFonts w:cs="Times New Roman"/>
        </w:rPr>
        <w:t>only seriously surfaced</w:t>
      </w:r>
      <w:r w:rsidR="00504D38">
        <w:rPr>
          <w:rFonts w:cs="Times New Roman"/>
        </w:rPr>
        <w:t xml:space="preserve"> more than five and half </w:t>
      </w:r>
      <w:r w:rsidR="00A23385">
        <w:rPr>
          <w:rFonts w:cs="Times New Roman"/>
        </w:rPr>
        <w:t xml:space="preserve">years later in the course of the second residency card application.  </w:t>
      </w:r>
      <w:r w:rsidR="00286220">
        <w:rPr>
          <w:rFonts w:cs="Times New Roman"/>
        </w:rPr>
        <w:t xml:space="preserve"> </w:t>
      </w:r>
      <w:r w:rsidR="00584412" w:rsidRPr="00115381">
        <w:rPr>
          <w:rFonts w:cs="Times New Roman"/>
        </w:rPr>
        <w:t xml:space="preserve"> </w:t>
      </w:r>
    </w:p>
    <w:p w14:paraId="39DC6735" w14:textId="57703618" w:rsidR="00E308E5" w:rsidRPr="00115381" w:rsidRDefault="00E308E5" w:rsidP="00775A4E">
      <w:pPr>
        <w:pStyle w:val="NoSpacing"/>
        <w:spacing w:line="480" w:lineRule="auto"/>
        <w:jc w:val="left"/>
        <w:rPr>
          <w:rFonts w:cs="Times New Roman"/>
        </w:rPr>
      </w:pPr>
    </w:p>
    <w:p w14:paraId="1B85B9D8" w14:textId="4922511A" w:rsidR="0075301A" w:rsidRPr="00D6301B" w:rsidRDefault="00103887" w:rsidP="00775A4E">
      <w:pPr>
        <w:pStyle w:val="NoSpacing"/>
        <w:numPr>
          <w:ilvl w:val="0"/>
          <w:numId w:val="8"/>
        </w:numPr>
        <w:spacing w:line="480" w:lineRule="auto"/>
        <w:ind w:left="0" w:firstLine="0"/>
        <w:jc w:val="left"/>
        <w:rPr>
          <w:rFonts w:cs="Times New Roman"/>
          <w:i/>
          <w:iCs/>
        </w:rPr>
      </w:pPr>
      <w:r>
        <w:rPr>
          <w:rFonts w:cs="Times New Roman"/>
          <w:szCs w:val="24"/>
        </w:rPr>
        <w:t>At the outset</w:t>
      </w:r>
      <w:r w:rsidR="0075301A">
        <w:rPr>
          <w:rFonts w:cs="Times New Roman"/>
          <w:szCs w:val="24"/>
        </w:rPr>
        <w:t xml:space="preserve">, it may be helpful to refer briefly to the high level of </w:t>
      </w:r>
      <w:r w:rsidR="00504D38">
        <w:rPr>
          <w:rFonts w:cs="Times New Roman"/>
          <w:szCs w:val="24"/>
        </w:rPr>
        <w:t xml:space="preserve">respect and recognition </w:t>
      </w:r>
      <w:r w:rsidR="0075301A">
        <w:rPr>
          <w:rFonts w:cs="Times New Roman"/>
          <w:szCs w:val="24"/>
        </w:rPr>
        <w:t xml:space="preserve">afforded to </w:t>
      </w:r>
      <w:r>
        <w:rPr>
          <w:rFonts w:cs="Times New Roman"/>
          <w:szCs w:val="24"/>
        </w:rPr>
        <w:t>marriage in our system of law</w:t>
      </w:r>
      <w:r w:rsidR="0075301A">
        <w:rPr>
          <w:rFonts w:cs="Times New Roman"/>
          <w:szCs w:val="24"/>
        </w:rPr>
        <w:t>. Both the right to marry and marriage as an institution derive protection at constitutional level. The right to marry is recognised as one of the personal rights of the citizen which the State</w:t>
      </w:r>
      <w:r w:rsidR="006C161A">
        <w:rPr>
          <w:rFonts w:cs="Times New Roman"/>
          <w:szCs w:val="24"/>
        </w:rPr>
        <w:t>,</w:t>
      </w:r>
      <w:r w:rsidR="0075301A">
        <w:rPr>
          <w:rFonts w:cs="Times New Roman"/>
          <w:szCs w:val="24"/>
        </w:rPr>
        <w:t xml:space="preserve"> </w:t>
      </w:r>
      <w:r w:rsidR="0075301A" w:rsidRPr="003F5DC9">
        <w:rPr>
          <w:rFonts w:cs="Times New Roman"/>
          <w:i/>
          <w:szCs w:val="24"/>
        </w:rPr>
        <w:t>via</w:t>
      </w:r>
      <w:r w:rsidR="0075301A">
        <w:rPr>
          <w:rFonts w:cs="Times New Roman"/>
          <w:szCs w:val="24"/>
        </w:rPr>
        <w:t xml:space="preserve"> Article 40.3.1</w:t>
      </w:r>
      <w:r w:rsidR="006C161A" w:rsidRPr="006C161A">
        <w:rPr>
          <w:rFonts w:cs="Times New Roman"/>
          <w:szCs w:val="24"/>
        </w:rPr>
        <w:t>°</w:t>
      </w:r>
      <w:r w:rsidR="0075301A">
        <w:rPr>
          <w:rFonts w:cs="Times New Roman"/>
          <w:szCs w:val="24"/>
        </w:rPr>
        <w:t xml:space="preserve"> of the Constitution, guarantees in its laws to respect and, so far as practicable, by its laws to defend and vindicate (</w:t>
      </w:r>
      <w:r w:rsidR="0075301A" w:rsidRPr="00D6301B">
        <w:rPr>
          <w:rFonts w:cs="Times New Roman"/>
          <w:i/>
          <w:szCs w:val="24"/>
        </w:rPr>
        <w:t>Ryan v. Attorney General</w:t>
      </w:r>
      <w:r w:rsidR="0075301A">
        <w:rPr>
          <w:rFonts w:cs="Times New Roman"/>
          <w:szCs w:val="24"/>
        </w:rPr>
        <w:t xml:space="preserve"> [1965] I.R.</w:t>
      </w:r>
      <w:r w:rsidR="00AA29E6">
        <w:rPr>
          <w:rFonts w:cs="Times New Roman"/>
          <w:szCs w:val="24"/>
        </w:rPr>
        <w:t xml:space="preserve"> 294</w:t>
      </w:r>
      <w:r w:rsidR="00AC0625">
        <w:rPr>
          <w:rFonts w:cs="Times New Roman"/>
          <w:szCs w:val="24"/>
        </w:rPr>
        <w:t>;</w:t>
      </w:r>
      <w:r w:rsidR="0075301A">
        <w:rPr>
          <w:rFonts w:cs="Times New Roman"/>
          <w:szCs w:val="24"/>
        </w:rPr>
        <w:t xml:space="preserve"> </w:t>
      </w:r>
      <w:r w:rsidR="0075301A" w:rsidRPr="00D6301B">
        <w:rPr>
          <w:rFonts w:cs="Times New Roman"/>
          <w:i/>
          <w:szCs w:val="24"/>
        </w:rPr>
        <w:t>O’Shea v. Ireland and Attorney General</w:t>
      </w:r>
      <w:r w:rsidR="0075301A">
        <w:rPr>
          <w:rFonts w:cs="Times New Roman"/>
          <w:szCs w:val="24"/>
        </w:rPr>
        <w:t xml:space="preserve"> </w:t>
      </w:r>
      <w:r w:rsidR="00DF4516">
        <w:rPr>
          <w:rFonts w:cs="Times New Roman"/>
          <w:szCs w:val="24"/>
        </w:rPr>
        <w:t xml:space="preserve">[2006] IEHC, 305, </w:t>
      </w:r>
      <w:r w:rsidR="0075301A">
        <w:rPr>
          <w:rFonts w:cs="Times New Roman"/>
          <w:szCs w:val="24"/>
        </w:rPr>
        <w:t>[2007] 2 I.R. 313). Pursuant to Article 41.1.1</w:t>
      </w:r>
      <w:r w:rsidR="006C161A" w:rsidRPr="006C161A">
        <w:rPr>
          <w:rFonts w:cs="Times New Roman"/>
          <w:szCs w:val="24"/>
        </w:rPr>
        <w:t>°</w:t>
      </w:r>
      <w:r w:rsidR="0075301A">
        <w:rPr>
          <w:rFonts w:cs="Times New Roman"/>
          <w:szCs w:val="24"/>
        </w:rPr>
        <w:t>:-</w:t>
      </w:r>
    </w:p>
    <w:p w14:paraId="52048B3C" w14:textId="10A5AF7D" w:rsidR="00AA29E6" w:rsidRDefault="0075301A" w:rsidP="00775A4E">
      <w:pPr>
        <w:pStyle w:val="NoSpacing"/>
        <w:spacing w:line="480" w:lineRule="auto"/>
        <w:ind w:left="720"/>
        <w:jc w:val="left"/>
        <w:rPr>
          <w:rFonts w:cs="Times New Roman"/>
          <w:szCs w:val="24"/>
        </w:rPr>
      </w:pPr>
      <w:r>
        <w:rPr>
          <w:rFonts w:cs="Times New Roman"/>
          <w:szCs w:val="24"/>
        </w:rPr>
        <w:t>“</w:t>
      </w:r>
      <w:r w:rsidR="006C161A">
        <w:rPr>
          <w:rFonts w:cs="Times New Roman"/>
          <w:szCs w:val="24"/>
        </w:rPr>
        <w:t>T</w:t>
      </w:r>
      <w:r>
        <w:rPr>
          <w:rFonts w:cs="Times New Roman"/>
          <w:szCs w:val="24"/>
        </w:rPr>
        <w:t xml:space="preserve">he State recognises the </w:t>
      </w:r>
      <w:r w:rsidR="00AC0625">
        <w:rPr>
          <w:rFonts w:cs="Times New Roman"/>
          <w:szCs w:val="24"/>
        </w:rPr>
        <w:t>F</w:t>
      </w:r>
      <w:r>
        <w:rPr>
          <w:rFonts w:cs="Times New Roman"/>
          <w:szCs w:val="24"/>
        </w:rPr>
        <w:t xml:space="preserve">amily as the natural, primary and fundamental unit group of </w:t>
      </w:r>
      <w:r w:rsidR="00AC0625">
        <w:rPr>
          <w:rFonts w:cs="Times New Roman"/>
          <w:szCs w:val="24"/>
        </w:rPr>
        <w:t>S</w:t>
      </w:r>
      <w:r>
        <w:rPr>
          <w:rFonts w:cs="Times New Roman"/>
          <w:szCs w:val="24"/>
        </w:rPr>
        <w:t>ociety, and as a moral institution possessing inalienable and imprescriptible rights, antecedent and superior to all positive law.</w:t>
      </w:r>
      <w:r w:rsidR="00AA29E6">
        <w:rPr>
          <w:rFonts w:cs="Times New Roman"/>
          <w:szCs w:val="24"/>
        </w:rPr>
        <w:t>”</w:t>
      </w:r>
    </w:p>
    <w:p w14:paraId="0D18D966" w14:textId="3F49FD77" w:rsidR="00AA29E6" w:rsidRDefault="00AA29E6" w:rsidP="00775A4E">
      <w:pPr>
        <w:pStyle w:val="NoSpacing"/>
        <w:spacing w:line="480" w:lineRule="auto"/>
        <w:jc w:val="left"/>
        <w:rPr>
          <w:rFonts w:cs="Times New Roman"/>
          <w:szCs w:val="24"/>
        </w:rPr>
      </w:pPr>
      <w:r>
        <w:rPr>
          <w:rFonts w:cs="Times New Roman"/>
          <w:szCs w:val="24"/>
        </w:rPr>
        <w:t>The succeeding paragraph goes on to read:</w:t>
      </w:r>
    </w:p>
    <w:p w14:paraId="62702F07" w14:textId="148D9AC5" w:rsidR="00AA29E6" w:rsidRDefault="00AA29E6" w:rsidP="00775A4E">
      <w:pPr>
        <w:pStyle w:val="NoSpacing"/>
        <w:spacing w:line="480" w:lineRule="auto"/>
        <w:ind w:left="720"/>
        <w:jc w:val="left"/>
        <w:rPr>
          <w:rFonts w:cs="Times New Roman"/>
          <w:szCs w:val="24"/>
        </w:rPr>
      </w:pPr>
      <w:r>
        <w:rPr>
          <w:rFonts w:cs="Times New Roman"/>
          <w:szCs w:val="24"/>
        </w:rPr>
        <w:t>“</w:t>
      </w:r>
      <w:r w:rsidR="0075301A">
        <w:rPr>
          <w:rFonts w:cs="Times New Roman"/>
          <w:szCs w:val="24"/>
        </w:rPr>
        <w:t xml:space="preserve">The State therefore guarantees to protect the family in its </w:t>
      </w:r>
      <w:r w:rsidR="00D15B30">
        <w:rPr>
          <w:rFonts w:cs="Times New Roman"/>
          <w:szCs w:val="24"/>
        </w:rPr>
        <w:t xml:space="preserve">constitution </w:t>
      </w:r>
      <w:r w:rsidR="0075301A">
        <w:rPr>
          <w:rFonts w:cs="Times New Roman"/>
          <w:szCs w:val="24"/>
        </w:rPr>
        <w:t xml:space="preserve">and authority as the necessary basis of social order and as indispensable to the welfare of the </w:t>
      </w:r>
      <w:r>
        <w:rPr>
          <w:rFonts w:cs="Times New Roman"/>
          <w:szCs w:val="24"/>
        </w:rPr>
        <w:t>N</w:t>
      </w:r>
      <w:r w:rsidR="0075301A">
        <w:rPr>
          <w:rFonts w:cs="Times New Roman"/>
          <w:szCs w:val="24"/>
        </w:rPr>
        <w:t>ation and the State</w:t>
      </w:r>
      <w:r>
        <w:rPr>
          <w:rFonts w:cs="Times New Roman"/>
          <w:szCs w:val="24"/>
        </w:rPr>
        <w:t>.”</w:t>
      </w:r>
    </w:p>
    <w:p w14:paraId="743746A4" w14:textId="085AC898" w:rsidR="0075301A" w:rsidRDefault="00AA29E6" w:rsidP="00775A4E">
      <w:pPr>
        <w:pStyle w:val="NoSpacing"/>
        <w:spacing w:line="480" w:lineRule="auto"/>
        <w:jc w:val="left"/>
        <w:rPr>
          <w:rFonts w:cs="Times New Roman"/>
          <w:szCs w:val="24"/>
        </w:rPr>
      </w:pPr>
      <w:r>
        <w:rPr>
          <w:rFonts w:cs="Times New Roman"/>
          <w:szCs w:val="24"/>
        </w:rPr>
        <w:t>The family so referred to is that based on marriage (</w:t>
      </w:r>
      <w:proofErr w:type="spellStart"/>
      <w:r w:rsidRPr="003F5DC9">
        <w:rPr>
          <w:rFonts w:cs="Times New Roman"/>
          <w:i/>
          <w:szCs w:val="24"/>
        </w:rPr>
        <w:t>McD</w:t>
      </w:r>
      <w:proofErr w:type="spellEnd"/>
      <w:r w:rsidRPr="003F5DC9">
        <w:rPr>
          <w:rFonts w:cs="Times New Roman"/>
          <w:i/>
          <w:szCs w:val="24"/>
        </w:rPr>
        <w:t>. v. L</w:t>
      </w:r>
      <w:r w:rsidR="00FD4A4D">
        <w:rPr>
          <w:rFonts w:cs="Times New Roman"/>
          <w:i/>
          <w:szCs w:val="24"/>
        </w:rPr>
        <w:t>.</w:t>
      </w:r>
      <w:r>
        <w:rPr>
          <w:rFonts w:cs="Times New Roman"/>
          <w:szCs w:val="24"/>
        </w:rPr>
        <w:t xml:space="preserve"> [2010] 2 I.R. 199</w:t>
      </w:r>
      <w:r w:rsidR="00DF4516">
        <w:rPr>
          <w:rFonts w:cs="Times New Roman"/>
          <w:szCs w:val="24"/>
        </w:rPr>
        <w:t>)</w:t>
      </w:r>
      <w:r>
        <w:rPr>
          <w:rFonts w:cs="Times New Roman"/>
          <w:szCs w:val="24"/>
        </w:rPr>
        <w:t>. The</w:t>
      </w:r>
      <w:r w:rsidR="0075301A">
        <w:rPr>
          <w:rFonts w:cs="Times New Roman"/>
          <w:szCs w:val="24"/>
        </w:rPr>
        <w:t xml:space="preserve"> institution of marriage finds particular protection in Article 41.3.1</w:t>
      </w:r>
      <w:r w:rsidR="001D5D7B" w:rsidRPr="001D5D7B">
        <w:rPr>
          <w:rFonts w:cs="Times New Roman"/>
          <w:szCs w:val="24"/>
        </w:rPr>
        <w:t>°</w:t>
      </w:r>
      <w:r w:rsidR="0075301A">
        <w:rPr>
          <w:rFonts w:cs="Times New Roman"/>
          <w:szCs w:val="24"/>
        </w:rPr>
        <w:t>:</w:t>
      </w:r>
    </w:p>
    <w:p w14:paraId="079E041B" w14:textId="01508B41" w:rsidR="0075301A" w:rsidRDefault="00AA29E6" w:rsidP="00775A4E">
      <w:pPr>
        <w:pStyle w:val="NoSpacing"/>
        <w:spacing w:line="480" w:lineRule="auto"/>
        <w:ind w:left="720"/>
        <w:jc w:val="left"/>
        <w:rPr>
          <w:rFonts w:cs="Times New Roman"/>
          <w:szCs w:val="24"/>
        </w:rPr>
      </w:pPr>
      <w:r>
        <w:rPr>
          <w:rFonts w:cs="Times New Roman"/>
          <w:szCs w:val="24"/>
        </w:rPr>
        <w:t>“T</w:t>
      </w:r>
      <w:r w:rsidR="0075301A">
        <w:rPr>
          <w:rFonts w:cs="Times New Roman"/>
          <w:szCs w:val="24"/>
        </w:rPr>
        <w:t xml:space="preserve">he State pledges itself to guard with special care the institution of </w:t>
      </w:r>
      <w:r w:rsidR="006E77B4">
        <w:rPr>
          <w:rFonts w:cs="Times New Roman"/>
          <w:szCs w:val="24"/>
        </w:rPr>
        <w:t>M</w:t>
      </w:r>
      <w:r w:rsidR="0075301A">
        <w:rPr>
          <w:rFonts w:cs="Times New Roman"/>
          <w:szCs w:val="24"/>
        </w:rPr>
        <w:t xml:space="preserve">arriage, on which the </w:t>
      </w:r>
      <w:r w:rsidR="006E77B4">
        <w:rPr>
          <w:rFonts w:cs="Times New Roman"/>
          <w:szCs w:val="24"/>
        </w:rPr>
        <w:t>F</w:t>
      </w:r>
      <w:r w:rsidR="0075301A">
        <w:rPr>
          <w:rFonts w:cs="Times New Roman"/>
          <w:szCs w:val="24"/>
        </w:rPr>
        <w:t>amily is founded, and to protect it against attack.”</w:t>
      </w:r>
    </w:p>
    <w:p w14:paraId="54104378" w14:textId="1698E5EA" w:rsidR="0075301A" w:rsidRDefault="0075301A" w:rsidP="00775A4E">
      <w:pPr>
        <w:pStyle w:val="NoSpacing"/>
        <w:spacing w:line="480" w:lineRule="auto"/>
        <w:jc w:val="left"/>
        <w:rPr>
          <w:rFonts w:cs="Times New Roman"/>
          <w:szCs w:val="24"/>
        </w:rPr>
      </w:pPr>
      <w:r>
        <w:rPr>
          <w:rFonts w:cs="Times New Roman"/>
          <w:szCs w:val="24"/>
        </w:rPr>
        <w:lastRenderedPageBreak/>
        <w:t>To underpin its constitutional value, Article 41.3.2</w:t>
      </w:r>
      <w:r w:rsidR="001D5D7B" w:rsidRPr="001D5D7B">
        <w:rPr>
          <w:rFonts w:cs="Times New Roman"/>
          <w:szCs w:val="24"/>
        </w:rPr>
        <w:t>°</w:t>
      </w:r>
      <w:r>
        <w:rPr>
          <w:rFonts w:cs="Times New Roman"/>
          <w:szCs w:val="24"/>
        </w:rPr>
        <w:t xml:space="preserve">, which provides for the possibility of divorce, </w:t>
      </w:r>
      <w:r w:rsidR="00E214D0">
        <w:rPr>
          <w:rFonts w:cs="Times New Roman"/>
          <w:szCs w:val="24"/>
        </w:rPr>
        <w:t>goes on to set</w:t>
      </w:r>
      <w:r>
        <w:rPr>
          <w:rFonts w:cs="Times New Roman"/>
          <w:szCs w:val="24"/>
        </w:rPr>
        <w:t xml:space="preserve"> out what conditions must be satisfied before such a decree can be obtained</w:t>
      </w:r>
      <w:r w:rsidR="00103887">
        <w:rPr>
          <w:rFonts w:cs="Times New Roman"/>
          <w:szCs w:val="24"/>
        </w:rPr>
        <w:t xml:space="preserve">: the fact that </w:t>
      </w:r>
      <w:proofErr w:type="spellStart"/>
      <w:r w:rsidR="00103887">
        <w:rPr>
          <w:rFonts w:cs="Times New Roman"/>
          <w:szCs w:val="24"/>
        </w:rPr>
        <w:t>subpara</w:t>
      </w:r>
      <w:proofErr w:type="spellEnd"/>
      <w:r w:rsidR="00103887">
        <w:rPr>
          <w:rFonts w:cs="Times New Roman"/>
          <w:szCs w:val="24"/>
        </w:rPr>
        <w:t xml:space="preserve"> (4) </w:t>
      </w:r>
      <w:r w:rsidR="00AA29E6">
        <w:rPr>
          <w:rFonts w:cs="Times New Roman"/>
          <w:szCs w:val="24"/>
        </w:rPr>
        <w:t xml:space="preserve">refers to </w:t>
      </w:r>
      <w:r w:rsidR="00103887">
        <w:rPr>
          <w:rFonts w:cs="Times New Roman"/>
          <w:szCs w:val="24"/>
        </w:rPr>
        <w:t xml:space="preserve">further conditions </w:t>
      </w:r>
      <w:r w:rsidR="00AA29E6">
        <w:rPr>
          <w:rFonts w:cs="Times New Roman"/>
          <w:szCs w:val="24"/>
        </w:rPr>
        <w:t xml:space="preserve">as </w:t>
      </w:r>
      <w:r w:rsidR="00103887">
        <w:rPr>
          <w:rFonts w:cs="Times New Roman"/>
          <w:szCs w:val="24"/>
        </w:rPr>
        <w:t>may be prescribed by law does not detract from the overall constitutional perspective of marriage</w:t>
      </w:r>
      <w:r>
        <w:rPr>
          <w:rFonts w:cs="Times New Roman"/>
          <w:szCs w:val="24"/>
        </w:rPr>
        <w:t xml:space="preserve">. </w:t>
      </w:r>
      <w:r w:rsidR="00103887">
        <w:rPr>
          <w:rFonts w:cs="Times New Roman"/>
          <w:szCs w:val="24"/>
        </w:rPr>
        <w:t>At the international level,</w:t>
      </w:r>
      <w:r>
        <w:rPr>
          <w:rFonts w:cs="Times New Roman"/>
          <w:szCs w:val="24"/>
        </w:rPr>
        <w:t xml:space="preserve"> the right to marry is given express protection, subject only to national laws, in </w:t>
      </w:r>
      <w:r w:rsidR="00103887">
        <w:rPr>
          <w:rFonts w:cs="Times New Roman"/>
          <w:szCs w:val="24"/>
        </w:rPr>
        <w:t xml:space="preserve">both </w:t>
      </w:r>
      <w:r>
        <w:rPr>
          <w:rFonts w:cs="Times New Roman"/>
          <w:szCs w:val="24"/>
        </w:rPr>
        <w:t>Article 12 ECHR and Article 9 CFR</w:t>
      </w:r>
      <w:r w:rsidR="00103887">
        <w:rPr>
          <w:rFonts w:cs="Times New Roman"/>
          <w:szCs w:val="24"/>
        </w:rPr>
        <w:t>, which by various means have application in this jurisdiction</w:t>
      </w:r>
      <w:r>
        <w:rPr>
          <w:rFonts w:cs="Times New Roman"/>
          <w:szCs w:val="24"/>
        </w:rPr>
        <w:t xml:space="preserve">. </w:t>
      </w:r>
    </w:p>
    <w:p w14:paraId="11DC3ACA" w14:textId="77777777" w:rsidR="0075301A" w:rsidRPr="00D6301B" w:rsidRDefault="0075301A" w:rsidP="00775A4E">
      <w:pPr>
        <w:pStyle w:val="NoSpacing"/>
        <w:spacing w:line="480" w:lineRule="auto"/>
        <w:jc w:val="left"/>
        <w:rPr>
          <w:rFonts w:cs="Times New Roman"/>
          <w:i/>
          <w:iCs/>
        </w:rPr>
      </w:pPr>
    </w:p>
    <w:p w14:paraId="4662FEB8" w14:textId="009C0A22" w:rsidR="00103887" w:rsidRPr="00103887" w:rsidRDefault="0075301A" w:rsidP="00775A4E">
      <w:pPr>
        <w:pStyle w:val="NoSpacing"/>
        <w:numPr>
          <w:ilvl w:val="0"/>
          <w:numId w:val="8"/>
        </w:numPr>
        <w:spacing w:line="480" w:lineRule="auto"/>
        <w:ind w:left="0" w:firstLine="0"/>
        <w:jc w:val="left"/>
        <w:rPr>
          <w:rFonts w:cs="Times New Roman"/>
        </w:rPr>
      </w:pPr>
      <w:r>
        <w:rPr>
          <w:rFonts w:cs="Times New Roman"/>
          <w:iCs/>
        </w:rPr>
        <w:t>Of course</w:t>
      </w:r>
      <w:r w:rsidR="00546C28">
        <w:rPr>
          <w:rFonts w:cs="Times New Roman"/>
          <w:iCs/>
        </w:rPr>
        <w:t>,</w:t>
      </w:r>
      <w:r>
        <w:rPr>
          <w:rFonts w:cs="Times New Roman"/>
          <w:iCs/>
        </w:rPr>
        <w:t xml:space="preserve"> what is meant by “marriage” in this country has changed quite considerably in recent decades. Many of the older authorities on the topic, which were essentially based on the </w:t>
      </w:r>
      <w:r w:rsidR="00E214D0">
        <w:rPr>
          <w:rFonts w:cs="Times New Roman"/>
          <w:iCs/>
        </w:rPr>
        <w:t>Christian</w:t>
      </w:r>
      <w:r>
        <w:rPr>
          <w:rFonts w:cs="Times New Roman"/>
          <w:iCs/>
        </w:rPr>
        <w:t xml:space="preserve"> notion and understanding of marriage</w:t>
      </w:r>
      <w:r w:rsidR="00546C28">
        <w:rPr>
          <w:rFonts w:cs="Times New Roman"/>
          <w:iCs/>
        </w:rPr>
        <w:t>,</w:t>
      </w:r>
      <w:r>
        <w:rPr>
          <w:rFonts w:cs="Times New Roman"/>
          <w:iCs/>
        </w:rPr>
        <w:t xml:space="preserve"> must now be </w:t>
      </w:r>
      <w:r w:rsidR="00103887">
        <w:rPr>
          <w:rFonts w:cs="Times New Roman"/>
          <w:iCs/>
        </w:rPr>
        <w:t>re</w:t>
      </w:r>
      <w:r>
        <w:rPr>
          <w:rFonts w:cs="Times New Roman"/>
          <w:iCs/>
        </w:rPr>
        <w:t>viewed</w:t>
      </w:r>
      <w:r w:rsidR="00546C28">
        <w:rPr>
          <w:rFonts w:cs="Times New Roman"/>
          <w:iCs/>
        </w:rPr>
        <w:t>;</w:t>
      </w:r>
      <w:r w:rsidR="00103887">
        <w:rPr>
          <w:rFonts w:cs="Times New Roman"/>
          <w:iCs/>
        </w:rPr>
        <w:t xml:space="preserve"> </w:t>
      </w:r>
      <w:r w:rsidR="00546C28">
        <w:rPr>
          <w:rFonts w:cs="Times New Roman"/>
          <w:iCs/>
        </w:rPr>
        <w:t>indeed</w:t>
      </w:r>
      <w:r w:rsidR="00103887">
        <w:rPr>
          <w:rFonts w:cs="Times New Roman"/>
          <w:iCs/>
        </w:rPr>
        <w:t>, some of these cases are no</w:t>
      </w:r>
      <w:r w:rsidR="00546C28">
        <w:rPr>
          <w:rFonts w:cs="Times New Roman"/>
          <w:iCs/>
        </w:rPr>
        <w:t>t</w:t>
      </w:r>
      <w:r w:rsidR="00103887">
        <w:rPr>
          <w:rFonts w:cs="Times New Roman"/>
          <w:iCs/>
        </w:rPr>
        <w:t xml:space="preserve"> so old.  Leaving aside </w:t>
      </w:r>
      <w:r w:rsidR="00103887" w:rsidRPr="003F5DC9">
        <w:rPr>
          <w:rFonts w:cs="Times New Roman"/>
          <w:i/>
          <w:iCs/>
        </w:rPr>
        <w:t>Griffith v. Griffith</w:t>
      </w:r>
      <w:r w:rsidR="00103887">
        <w:rPr>
          <w:rFonts w:cs="Times New Roman"/>
          <w:iCs/>
        </w:rPr>
        <w:t xml:space="preserve"> [1944] I.R. 35 for a moment, this Court in </w:t>
      </w:r>
      <w:r w:rsidR="00103887" w:rsidRPr="003F5DC9">
        <w:rPr>
          <w:rFonts w:cs="Times New Roman"/>
          <w:i/>
          <w:iCs/>
        </w:rPr>
        <w:t>T.F. v. Ireland</w:t>
      </w:r>
      <w:r w:rsidR="00103887">
        <w:rPr>
          <w:rFonts w:cs="Times New Roman"/>
          <w:iCs/>
        </w:rPr>
        <w:t xml:space="preserve"> [1995] 1 I.R. 321 said the following</w:t>
      </w:r>
      <w:r w:rsidR="002F76CD" w:rsidRPr="002F76CD">
        <w:rPr>
          <w:rFonts w:cs="Times New Roman"/>
          <w:iCs/>
        </w:rPr>
        <w:t xml:space="preserve"> </w:t>
      </w:r>
      <w:r w:rsidR="002F76CD">
        <w:rPr>
          <w:rFonts w:cs="Times New Roman"/>
          <w:iCs/>
        </w:rPr>
        <w:t xml:space="preserve">at </w:t>
      </w:r>
      <w:r w:rsidR="00FD4A4D">
        <w:rPr>
          <w:rFonts w:cs="Times New Roman"/>
          <w:iCs/>
        </w:rPr>
        <w:t xml:space="preserve">p. </w:t>
      </w:r>
      <w:r w:rsidR="002F76CD">
        <w:rPr>
          <w:rFonts w:cs="Times New Roman"/>
          <w:iCs/>
        </w:rPr>
        <w:t>373</w:t>
      </w:r>
      <w:r w:rsidR="00103887">
        <w:rPr>
          <w:rFonts w:cs="Times New Roman"/>
          <w:iCs/>
        </w:rPr>
        <w:t>:</w:t>
      </w:r>
      <w:r w:rsidR="00FD4A4D">
        <w:rPr>
          <w:rFonts w:cs="Times New Roman"/>
          <w:iCs/>
        </w:rPr>
        <w:t>-</w:t>
      </w:r>
    </w:p>
    <w:p w14:paraId="72CE4DFC" w14:textId="3AB4B050" w:rsidR="00103887" w:rsidRPr="00CE11F8" w:rsidRDefault="00103887" w:rsidP="00775A4E">
      <w:pPr>
        <w:pStyle w:val="NoSpacing"/>
        <w:spacing w:line="480" w:lineRule="auto"/>
        <w:ind w:left="720"/>
        <w:jc w:val="left"/>
        <w:rPr>
          <w:rFonts w:cs="Times New Roman"/>
          <w:i/>
        </w:rPr>
      </w:pPr>
      <w:r w:rsidRPr="00CE11F8">
        <w:rPr>
          <w:rFonts w:cs="Times New Roman"/>
          <w:i/>
        </w:rPr>
        <w:t xml:space="preserve">“As to how marriage should be defined, the court adopts the definition given by Costello J. in </w:t>
      </w:r>
      <w:r w:rsidRPr="00CE11F8">
        <w:rPr>
          <w:rFonts w:cs="Times New Roman"/>
          <w:iCs/>
        </w:rPr>
        <w:t>Murray v. Ireland</w:t>
      </w:r>
      <w:r w:rsidRPr="00CE11F8">
        <w:rPr>
          <w:rFonts w:cs="Times New Roman"/>
          <w:i/>
        </w:rPr>
        <w:t xml:space="preserve"> [1985] I.R. 532 </w:t>
      </w:r>
      <w:r w:rsidRPr="00775A4E">
        <w:rPr>
          <w:rFonts w:cs="Times New Roman"/>
        </w:rPr>
        <w:t>at p. 535</w:t>
      </w:r>
      <w:r w:rsidR="0011603E">
        <w:rPr>
          <w:rFonts w:cs="Times New Roman"/>
          <w:i/>
        </w:rPr>
        <w:t>: -</w:t>
      </w:r>
      <w:r w:rsidRPr="00CE11F8">
        <w:rPr>
          <w:rFonts w:cs="Times New Roman"/>
          <w:i/>
        </w:rPr>
        <w:t xml:space="preserve"> </w:t>
      </w:r>
    </w:p>
    <w:p w14:paraId="34B4816D" w14:textId="0D03FFFD" w:rsidR="00103887" w:rsidRPr="00CE11F8" w:rsidRDefault="00103887" w:rsidP="00775A4E">
      <w:pPr>
        <w:pStyle w:val="NoSpacing"/>
        <w:spacing w:line="480" w:lineRule="auto"/>
        <w:ind w:left="1440"/>
        <w:jc w:val="left"/>
        <w:rPr>
          <w:rFonts w:cs="Times New Roman"/>
          <w:i/>
        </w:rPr>
      </w:pPr>
      <w:r w:rsidRPr="00CE11F8">
        <w:rPr>
          <w:rFonts w:cs="Times New Roman"/>
          <w:i/>
        </w:rPr>
        <w:t>‘…the Constitution makes it clear that the concept and nature of marriage, which it enshrines, are derived from the Christian notion of [</w:t>
      </w:r>
      <w:r w:rsidRPr="00775A4E">
        <w:rPr>
          <w:rFonts w:cs="Times New Roman"/>
        </w:rPr>
        <w:t>a partnership</w:t>
      </w:r>
      <w:r w:rsidRPr="00CE11F8">
        <w:rPr>
          <w:rFonts w:cs="Times New Roman"/>
          <w:i/>
        </w:rPr>
        <w:t>] based on an irrevocable personal consent, given by both spouses, which establishes a unique and very special life long relationship.’</w:t>
      </w:r>
    </w:p>
    <w:p w14:paraId="7FDC9B03" w14:textId="6EAAF5E7" w:rsidR="00103887" w:rsidRPr="00CE11F8" w:rsidRDefault="00103887" w:rsidP="00775A4E">
      <w:pPr>
        <w:pStyle w:val="NoSpacing"/>
        <w:spacing w:line="480" w:lineRule="auto"/>
        <w:ind w:left="709"/>
        <w:jc w:val="left"/>
        <w:rPr>
          <w:rFonts w:cs="Times New Roman"/>
          <w:i/>
        </w:rPr>
      </w:pPr>
      <w:r w:rsidRPr="00CE11F8">
        <w:rPr>
          <w:rFonts w:cs="Times New Roman"/>
          <w:i/>
        </w:rPr>
        <w:tab/>
        <w:t xml:space="preserve">And in </w:t>
      </w:r>
      <w:r w:rsidRPr="00775A4E">
        <w:rPr>
          <w:rFonts w:cs="Times New Roman"/>
          <w:i/>
          <w:iCs/>
        </w:rPr>
        <w:t>N</w:t>
      </w:r>
      <w:r w:rsidRPr="00CE11F8">
        <w:rPr>
          <w:rFonts w:cs="Times New Roman"/>
          <w:iCs/>
        </w:rPr>
        <w:t xml:space="preserve">. </w:t>
      </w:r>
      <w:r w:rsidR="00EF5A39">
        <w:rPr>
          <w:rFonts w:cs="Times New Roman"/>
          <w:iCs/>
        </w:rPr>
        <w:t>[</w:t>
      </w:r>
      <w:r w:rsidRPr="00CE11F8">
        <w:rPr>
          <w:rFonts w:cs="Times New Roman"/>
          <w:iCs/>
        </w:rPr>
        <w:t>(otherwise K.)</w:t>
      </w:r>
      <w:r w:rsidR="00EF5A39">
        <w:rPr>
          <w:rFonts w:cs="Times New Roman"/>
          <w:iCs/>
        </w:rPr>
        <w:t>]</w:t>
      </w:r>
      <w:r w:rsidRPr="00CE11F8">
        <w:rPr>
          <w:rFonts w:cs="Times New Roman"/>
          <w:iCs/>
        </w:rPr>
        <w:t xml:space="preserve"> </w:t>
      </w:r>
      <w:r w:rsidRPr="00775A4E">
        <w:rPr>
          <w:rFonts w:cs="Times New Roman"/>
          <w:i/>
          <w:iCs/>
        </w:rPr>
        <w:t>v. K.</w:t>
      </w:r>
      <w:r w:rsidRPr="00CE11F8">
        <w:rPr>
          <w:rFonts w:cs="Times New Roman"/>
          <w:i/>
        </w:rPr>
        <w:t xml:space="preserve"> </w:t>
      </w:r>
      <w:r w:rsidRPr="00775A4E">
        <w:rPr>
          <w:rFonts w:cs="Times New Roman"/>
        </w:rPr>
        <w:t>[1985] I.R. 733</w:t>
      </w:r>
      <w:r w:rsidRPr="00CE11F8">
        <w:rPr>
          <w:rFonts w:cs="Times New Roman"/>
          <w:i/>
        </w:rPr>
        <w:t xml:space="preserve"> McCarthy </w:t>
      </w:r>
      <w:r w:rsidR="00EF5A39">
        <w:rPr>
          <w:rFonts w:cs="Times New Roman"/>
          <w:i/>
        </w:rPr>
        <w:t xml:space="preserve">J. </w:t>
      </w:r>
      <w:r w:rsidRPr="00CE11F8">
        <w:rPr>
          <w:rFonts w:cs="Times New Roman"/>
          <w:i/>
        </w:rPr>
        <w:t>said</w:t>
      </w:r>
      <w:r w:rsidR="00EF5A39">
        <w:rPr>
          <w:rFonts w:cs="Times New Roman"/>
          <w:i/>
        </w:rPr>
        <w:t xml:space="preserve"> in his judgment at p. 754</w:t>
      </w:r>
      <w:r w:rsidRPr="00CE11F8">
        <w:rPr>
          <w:rFonts w:cs="Times New Roman"/>
          <w:i/>
        </w:rPr>
        <w:t>:</w:t>
      </w:r>
      <w:r w:rsidR="003D7D9C">
        <w:rPr>
          <w:rFonts w:cs="Times New Roman"/>
          <w:i/>
        </w:rPr>
        <w:t>-</w:t>
      </w:r>
    </w:p>
    <w:p w14:paraId="5F56AE6E" w14:textId="5B14D3E4" w:rsidR="00103887" w:rsidRDefault="00103887" w:rsidP="00775A4E">
      <w:pPr>
        <w:pStyle w:val="NoSpacing"/>
        <w:spacing w:line="480" w:lineRule="auto"/>
        <w:ind w:left="1440"/>
        <w:jc w:val="left"/>
        <w:rPr>
          <w:rFonts w:cs="Times New Roman"/>
          <w:i/>
        </w:rPr>
      </w:pPr>
      <w:r w:rsidRPr="00CE11F8">
        <w:rPr>
          <w:rFonts w:cs="Times New Roman"/>
          <w:i/>
        </w:rPr>
        <w:t>‘Marriage is a civil contract which creates reciprocating rights and duties between the parties but, further, establishes a status which affects both the parties of the contract and the community as a whole.’”</w:t>
      </w:r>
    </w:p>
    <w:p w14:paraId="4911BFE6" w14:textId="77777777" w:rsidR="00E56C38" w:rsidRPr="00CE11F8" w:rsidRDefault="00E56C38" w:rsidP="00775A4E">
      <w:pPr>
        <w:pStyle w:val="NoSpacing"/>
        <w:spacing w:line="480" w:lineRule="auto"/>
        <w:ind w:left="1440"/>
        <w:jc w:val="left"/>
        <w:rPr>
          <w:rFonts w:cs="Times New Roman"/>
          <w:i/>
        </w:rPr>
      </w:pPr>
    </w:p>
    <w:p w14:paraId="67C82251" w14:textId="45F40A9D" w:rsidR="0075301A" w:rsidRPr="00115381" w:rsidRDefault="00103887" w:rsidP="00775A4E">
      <w:pPr>
        <w:pStyle w:val="NoSpacing"/>
        <w:numPr>
          <w:ilvl w:val="0"/>
          <w:numId w:val="8"/>
        </w:numPr>
        <w:spacing w:line="480" w:lineRule="auto"/>
        <w:ind w:left="0" w:firstLine="0"/>
        <w:jc w:val="left"/>
        <w:rPr>
          <w:rFonts w:cs="Times New Roman"/>
        </w:rPr>
      </w:pPr>
      <w:r>
        <w:rPr>
          <w:rFonts w:cs="Times New Roman"/>
          <w:iCs/>
        </w:rPr>
        <w:t xml:space="preserve">However, </w:t>
      </w:r>
      <w:r w:rsidR="0075301A">
        <w:rPr>
          <w:rFonts w:cs="Times New Roman"/>
          <w:iCs/>
        </w:rPr>
        <w:t>in light of</w:t>
      </w:r>
      <w:r w:rsidR="00132A7B">
        <w:rPr>
          <w:rFonts w:cs="Times New Roman"/>
          <w:iCs/>
        </w:rPr>
        <w:t xml:space="preserve"> several events</w:t>
      </w:r>
      <w:r>
        <w:rPr>
          <w:rFonts w:cs="Times New Roman"/>
          <w:iCs/>
        </w:rPr>
        <w:t>,</w:t>
      </w:r>
      <w:r w:rsidR="00132A7B">
        <w:rPr>
          <w:rFonts w:cs="Times New Roman"/>
          <w:iCs/>
        </w:rPr>
        <w:t xml:space="preserve"> including</w:t>
      </w:r>
      <w:r>
        <w:rPr>
          <w:rFonts w:cs="Times New Roman"/>
          <w:iCs/>
        </w:rPr>
        <w:t xml:space="preserve"> </w:t>
      </w:r>
      <w:r w:rsidR="0075301A">
        <w:rPr>
          <w:rFonts w:cs="Times New Roman"/>
          <w:iCs/>
        </w:rPr>
        <w:t xml:space="preserve">the Family Law (Divorce) Act 1996, as amended, </w:t>
      </w:r>
      <w:r w:rsidR="0075301A" w:rsidRPr="00D6301B">
        <w:rPr>
          <w:rFonts w:cs="Times New Roman"/>
          <w:i/>
          <w:iCs/>
        </w:rPr>
        <w:t>inter alia</w:t>
      </w:r>
      <w:r w:rsidR="0075301A">
        <w:rPr>
          <w:rFonts w:cs="Times New Roman"/>
          <w:iCs/>
        </w:rPr>
        <w:t>, by the Family Law Act 2019, the Fifteenth and Thirty</w:t>
      </w:r>
      <w:r w:rsidR="00432629">
        <w:rPr>
          <w:rFonts w:cs="Times New Roman"/>
          <w:iCs/>
        </w:rPr>
        <w:t>-f</w:t>
      </w:r>
      <w:r w:rsidR="0075301A">
        <w:rPr>
          <w:rFonts w:cs="Times New Roman"/>
          <w:iCs/>
        </w:rPr>
        <w:t xml:space="preserve">ourth Amendments to the Constitution, and the clear, obvious and </w:t>
      </w:r>
      <w:r w:rsidR="00632306">
        <w:rPr>
          <w:rFonts w:cs="Times New Roman"/>
          <w:iCs/>
        </w:rPr>
        <w:t>acknowledged</w:t>
      </w:r>
      <w:r w:rsidR="0075301A">
        <w:rPr>
          <w:rFonts w:cs="Times New Roman"/>
          <w:iCs/>
        </w:rPr>
        <w:t xml:space="preserve"> diversification of society during the past thirty years or thereabouts</w:t>
      </w:r>
      <w:r w:rsidR="00132A7B">
        <w:rPr>
          <w:rFonts w:cs="Times New Roman"/>
          <w:iCs/>
        </w:rPr>
        <w:t>, such a view must be reconsidered</w:t>
      </w:r>
      <w:r w:rsidR="0075301A">
        <w:rPr>
          <w:rFonts w:cs="Times New Roman"/>
          <w:iCs/>
        </w:rPr>
        <w:t xml:space="preserve">. </w:t>
      </w:r>
      <w:r w:rsidR="0075301A" w:rsidRPr="00115381">
        <w:rPr>
          <w:rFonts w:cs="Times New Roman"/>
        </w:rPr>
        <w:t xml:space="preserve">This Court provided an important analysis of the contemporary constitutional conception of marriage in its judgment in </w:t>
      </w:r>
      <w:r w:rsidR="0075301A" w:rsidRPr="00115381">
        <w:rPr>
          <w:rFonts w:cs="Times New Roman"/>
          <w:i/>
          <w:iCs/>
        </w:rPr>
        <w:t>H.A.H. v S.A.A. (Validity of marriage)</w:t>
      </w:r>
      <w:r w:rsidR="0075301A" w:rsidRPr="00115381">
        <w:rPr>
          <w:rFonts w:cs="Times New Roman"/>
        </w:rPr>
        <w:t xml:space="preserve"> [2017] IESC 40, [2017] 1 I.R. 372. The case concerned the question of whether the State was obliged to recognise a foreign marriage that was polygamous in nature, but many of the Court’s statements of principle are of general application. The leading judgment of the Court was delivered by O’Malley J; the following comments are instructive: </w:t>
      </w:r>
    </w:p>
    <w:p w14:paraId="03D97637" w14:textId="77777777" w:rsidR="0075301A" w:rsidRPr="00115381" w:rsidRDefault="0075301A" w:rsidP="00775A4E">
      <w:pPr>
        <w:pStyle w:val="NoSpacing"/>
        <w:spacing w:line="480" w:lineRule="auto"/>
        <w:jc w:val="left"/>
        <w:rPr>
          <w:rFonts w:cs="Times New Roman"/>
        </w:rPr>
      </w:pPr>
    </w:p>
    <w:p w14:paraId="4898C7F7" w14:textId="77777777" w:rsidR="0075301A" w:rsidRPr="00115381" w:rsidRDefault="0075301A" w:rsidP="00775A4E">
      <w:pPr>
        <w:pStyle w:val="NoSpacing"/>
        <w:spacing w:line="480" w:lineRule="auto"/>
        <w:ind w:left="1440"/>
        <w:jc w:val="left"/>
        <w:rPr>
          <w:rFonts w:cs="Times New Roman"/>
          <w:i/>
          <w:iCs/>
        </w:rPr>
      </w:pPr>
      <w:r w:rsidRPr="00115381">
        <w:rPr>
          <w:rFonts w:cs="Times New Roman"/>
          <w:i/>
          <w:iCs/>
        </w:rPr>
        <w:t>“[128] … [I]t seems to me that some of the more recent authorities from the 1980s and 1990s have been overtaken by the amendments to the Constitution. The combination of the introduction of no-fault divorce and, in particular, the amendment of the Constitution providing for the introduction of same-sex marriage have resulted in a legal institution of marriage that cannot be described in terms of traditional Christian doctrine.</w:t>
      </w:r>
    </w:p>
    <w:p w14:paraId="283C1A1C" w14:textId="77777777" w:rsidR="0075301A" w:rsidRPr="00115381" w:rsidRDefault="0075301A" w:rsidP="00775A4E">
      <w:pPr>
        <w:pStyle w:val="NoSpacing"/>
        <w:spacing w:line="480" w:lineRule="auto"/>
        <w:ind w:left="1440"/>
        <w:jc w:val="left"/>
        <w:rPr>
          <w:rFonts w:cs="Times New Roman"/>
          <w:i/>
          <w:iCs/>
        </w:rPr>
      </w:pPr>
    </w:p>
    <w:p w14:paraId="24C273AC" w14:textId="77777777" w:rsidR="0075301A" w:rsidRPr="00115381" w:rsidRDefault="0075301A" w:rsidP="00775A4E">
      <w:pPr>
        <w:pStyle w:val="NoSpacing"/>
        <w:spacing w:line="480" w:lineRule="auto"/>
        <w:ind w:left="1440"/>
        <w:jc w:val="left"/>
        <w:rPr>
          <w:rFonts w:cs="Times New Roman"/>
          <w:i/>
          <w:iCs/>
        </w:rPr>
      </w:pPr>
      <w:r w:rsidRPr="00115381">
        <w:rPr>
          <w:rFonts w:cs="Times New Roman"/>
          <w:i/>
          <w:iCs/>
        </w:rPr>
        <w:t xml:space="preserve">[129] This does not mean that the concept of marriage no longer has a legal meaning, or that the legal meaning is a concept flexible enough to accommodate any variation no matter how different to the traditional model. Despite the factual reality that many couples do not choose to marry, marriage remains a central feature of Irish life for the majority. The </w:t>
      </w:r>
      <w:r w:rsidRPr="00115381">
        <w:rPr>
          <w:rFonts w:cs="Times New Roman"/>
          <w:i/>
          <w:iCs/>
        </w:rPr>
        <w:lastRenderedPageBreak/>
        <w:t>constitutional pledge to guard the institution of marriage with special care remains in place and must be accorded full respect.</w:t>
      </w:r>
    </w:p>
    <w:p w14:paraId="52DC5C9C" w14:textId="77777777" w:rsidR="0075301A" w:rsidRPr="00115381" w:rsidRDefault="0075301A" w:rsidP="00775A4E">
      <w:pPr>
        <w:pStyle w:val="NoSpacing"/>
        <w:spacing w:line="480" w:lineRule="auto"/>
        <w:ind w:left="1440"/>
        <w:jc w:val="left"/>
        <w:rPr>
          <w:rFonts w:cs="Times New Roman"/>
          <w:i/>
          <w:iCs/>
        </w:rPr>
      </w:pPr>
    </w:p>
    <w:p w14:paraId="6AD99F51" w14:textId="77777777" w:rsidR="0075301A" w:rsidRPr="00115381" w:rsidRDefault="0075301A" w:rsidP="00775A4E">
      <w:pPr>
        <w:pStyle w:val="NoSpacing"/>
        <w:spacing w:line="480" w:lineRule="auto"/>
        <w:ind w:left="1440"/>
        <w:jc w:val="left"/>
        <w:rPr>
          <w:rFonts w:cs="Times New Roman"/>
          <w:i/>
          <w:iCs/>
        </w:rPr>
      </w:pPr>
      <w:r w:rsidRPr="00115381">
        <w:rPr>
          <w:rFonts w:cs="Times New Roman"/>
          <w:i/>
          <w:iCs/>
        </w:rPr>
        <w:t>[130] The Thirty-fourth Amendment, when introducing the right to same-sex marriage, clearly did not create a separate version of marriage for same-sex couples. It is also clear that it did not create a new version of marriage for all couples. It enabled the inclusion of same-sex couples into an already existing structure. Looking at the plain wording, the amendment achieved this on the basis of a core assumption that a marriage, before and after the amendment, is a union between two people.</w:t>
      </w:r>
    </w:p>
    <w:p w14:paraId="39C1CDAD" w14:textId="77777777" w:rsidR="0075301A" w:rsidRPr="00115381" w:rsidRDefault="0075301A" w:rsidP="00775A4E">
      <w:pPr>
        <w:pStyle w:val="NoSpacing"/>
        <w:spacing w:line="480" w:lineRule="auto"/>
        <w:ind w:left="1440"/>
        <w:jc w:val="left"/>
        <w:rPr>
          <w:rFonts w:cs="Times New Roman"/>
          <w:i/>
          <w:iCs/>
        </w:rPr>
      </w:pPr>
    </w:p>
    <w:p w14:paraId="5AFC4B60" w14:textId="77777777" w:rsidR="0075301A" w:rsidRPr="00115381" w:rsidRDefault="0075301A" w:rsidP="00775A4E">
      <w:pPr>
        <w:pStyle w:val="NoSpacing"/>
        <w:spacing w:line="480" w:lineRule="auto"/>
        <w:ind w:left="1440"/>
        <w:jc w:val="left"/>
        <w:rPr>
          <w:rFonts w:cs="Times New Roman"/>
          <w:i/>
          <w:iCs/>
        </w:rPr>
      </w:pPr>
      <w:r w:rsidRPr="00115381">
        <w:rPr>
          <w:rFonts w:cs="Times New Roman"/>
          <w:i/>
          <w:iCs/>
        </w:rPr>
        <w:t>[131] In my view the defining characteristic of marriage as envisaged by the Constitution in this era is that it entails the voluntary entry into mutual personal and legal commitments on the basis of an equal partnership between two persons, both of whom possess capacity to enter into such commitments, in accordance with the requirements laid down by law. (This is not a case in which questions of voluntariness and capacity, which might in the case of some foreign marriages raise issues of approbation or retrospective consent, need consideration.) All of the remedies for marital breakdown, and all of the legal consequences of the status of marriage in the fields of taxation, social welfare and succession law flow from that equality and mutuality of commitment.</w:t>
      </w:r>
    </w:p>
    <w:p w14:paraId="1BE48070" w14:textId="77777777" w:rsidR="0075301A" w:rsidRPr="00115381" w:rsidRDefault="0075301A" w:rsidP="00775A4E">
      <w:pPr>
        <w:pStyle w:val="NoSpacing"/>
        <w:spacing w:line="480" w:lineRule="auto"/>
        <w:ind w:left="1440"/>
        <w:jc w:val="left"/>
        <w:rPr>
          <w:rFonts w:cs="Times New Roman"/>
          <w:i/>
          <w:iCs/>
        </w:rPr>
      </w:pPr>
    </w:p>
    <w:p w14:paraId="28200502" w14:textId="61B0F676" w:rsidR="0075301A" w:rsidRDefault="0075301A" w:rsidP="00775A4E">
      <w:pPr>
        <w:pStyle w:val="NoSpacing"/>
        <w:spacing w:line="480" w:lineRule="auto"/>
        <w:ind w:left="1440"/>
        <w:jc w:val="left"/>
        <w:rPr>
          <w:rFonts w:cs="Times New Roman"/>
        </w:rPr>
      </w:pPr>
      <w:r w:rsidRPr="00115381">
        <w:rPr>
          <w:rFonts w:cs="Times New Roman"/>
          <w:i/>
          <w:iCs/>
        </w:rPr>
        <w:lastRenderedPageBreak/>
        <w:t xml:space="preserve">[132] If that view of marriage is correct, then that is the model to be guarded, as the Constitution requires, with special care. …” </w:t>
      </w:r>
      <w:r w:rsidRPr="00115381">
        <w:rPr>
          <w:rFonts w:cs="Times New Roman"/>
        </w:rPr>
        <w:t>(paragraph numbers are per the Irish Reports)</w:t>
      </w:r>
    </w:p>
    <w:p w14:paraId="5CEBEB33" w14:textId="77777777" w:rsidR="00946CDE" w:rsidRPr="00115381" w:rsidRDefault="00946CDE" w:rsidP="00775A4E">
      <w:pPr>
        <w:pStyle w:val="NoSpacing"/>
        <w:spacing w:line="480" w:lineRule="auto"/>
        <w:ind w:left="1440"/>
        <w:jc w:val="left"/>
        <w:rPr>
          <w:rFonts w:cs="Times New Roman"/>
        </w:rPr>
      </w:pPr>
    </w:p>
    <w:p w14:paraId="7970D416" w14:textId="6F9C261D" w:rsidR="0075301A" w:rsidRPr="003F5DC9" w:rsidRDefault="0075301A" w:rsidP="00775A4E">
      <w:pPr>
        <w:pStyle w:val="NoSpacing"/>
        <w:numPr>
          <w:ilvl w:val="0"/>
          <w:numId w:val="8"/>
        </w:numPr>
        <w:spacing w:line="480" w:lineRule="auto"/>
        <w:ind w:left="0" w:firstLine="0"/>
        <w:jc w:val="left"/>
        <w:rPr>
          <w:rFonts w:cs="Times New Roman"/>
          <w:i/>
          <w:iCs/>
        </w:rPr>
      </w:pPr>
      <w:r>
        <w:rPr>
          <w:rFonts w:cs="Times New Roman"/>
          <w:iCs/>
        </w:rPr>
        <w:t xml:space="preserve">It must of course be remembered that people marry for a great variety of reasons. As stated by Barrington J. in </w:t>
      </w:r>
      <w:r w:rsidRPr="00D6301B">
        <w:rPr>
          <w:rFonts w:cs="Times New Roman"/>
          <w:i/>
          <w:iCs/>
        </w:rPr>
        <w:t>R.S.J. v. J.S.J.</w:t>
      </w:r>
      <w:r>
        <w:rPr>
          <w:rFonts w:cs="Times New Roman"/>
          <w:iCs/>
        </w:rPr>
        <w:t xml:space="preserve"> [1982] I</w:t>
      </w:r>
      <w:r w:rsidR="003D7D9C">
        <w:rPr>
          <w:rFonts w:cs="Times New Roman"/>
          <w:iCs/>
        </w:rPr>
        <w:t>.</w:t>
      </w:r>
      <w:r>
        <w:rPr>
          <w:rFonts w:cs="Times New Roman"/>
          <w:iCs/>
        </w:rPr>
        <w:t>L</w:t>
      </w:r>
      <w:r w:rsidR="003D7D9C">
        <w:rPr>
          <w:rFonts w:cs="Times New Roman"/>
          <w:iCs/>
        </w:rPr>
        <w:t>.</w:t>
      </w:r>
      <w:r>
        <w:rPr>
          <w:rFonts w:cs="Times New Roman"/>
          <w:iCs/>
        </w:rPr>
        <w:t>R</w:t>
      </w:r>
      <w:r w:rsidR="003D7D9C">
        <w:rPr>
          <w:rFonts w:cs="Times New Roman"/>
          <w:iCs/>
        </w:rPr>
        <w:t>.</w:t>
      </w:r>
      <w:r>
        <w:rPr>
          <w:rFonts w:cs="Times New Roman"/>
          <w:iCs/>
        </w:rPr>
        <w:t>M</w:t>
      </w:r>
      <w:r w:rsidR="003D7D9C">
        <w:rPr>
          <w:rFonts w:cs="Times New Roman"/>
          <w:iCs/>
        </w:rPr>
        <w:t>.</w:t>
      </w:r>
      <w:r>
        <w:rPr>
          <w:rFonts w:cs="Times New Roman"/>
          <w:iCs/>
        </w:rPr>
        <w:t xml:space="preserve"> 263, at p. 264</w:t>
      </w:r>
      <w:r w:rsidR="002A774F">
        <w:rPr>
          <w:rFonts w:cs="Times New Roman"/>
          <w:iCs/>
        </w:rPr>
        <w:t>:</w:t>
      </w:r>
      <w:r>
        <w:rPr>
          <w:rFonts w:cs="Times New Roman"/>
          <w:iCs/>
        </w:rPr>
        <w:t xml:space="preserve"> </w:t>
      </w:r>
      <w:r w:rsidR="00132A7B" w:rsidRPr="00CE11F8">
        <w:rPr>
          <w:rFonts w:cs="Times New Roman"/>
          <w:i/>
        </w:rPr>
        <w:t xml:space="preserve">“People have entered into a contract of marriage for all sorts of reasons, and their motives have not always been of the highest.  The motive for the marriage may have been policy, convenience, or </w:t>
      </w:r>
      <w:r w:rsidR="00706933" w:rsidRPr="00CE11F8">
        <w:rPr>
          <w:rFonts w:cs="Times New Roman"/>
          <w:i/>
        </w:rPr>
        <w:t>self-interest</w:t>
      </w:r>
      <w:r w:rsidR="00132A7B" w:rsidRPr="00CE11F8">
        <w:rPr>
          <w:rFonts w:cs="Times New Roman"/>
          <w:i/>
        </w:rPr>
        <w:t>.  In these circumstances it appears to me that one could not say that a marriage is void merely because one party did not love or had not the capacity to love the other</w:t>
      </w:r>
      <w:r w:rsidR="00706933" w:rsidRPr="00CE11F8">
        <w:rPr>
          <w:rFonts w:cs="Times New Roman"/>
          <w:i/>
        </w:rPr>
        <w:t>”</w:t>
      </w:r>
      <w:r w:rsidR="00132A7B" w:rsidRPr="00CE11F8">
        <w:rPr>
          <w:rFonts w:cs="Times New Roman"/>
          <w:i/>
        </w:rPr>
        <w:t>.</w:t>
      </w:r>
    </w:p>
    <w:p w14:paraId="06285CB2" w14:textId="77777777" w:rsidR="00706933" w:rsidRPr="003F5DC9" w:rsidRDefault="00706933" w:rsidP="00775A4E">
      <w:pPr>
        <w:pStyle w:val="NoSpacing"/>
        <w:spacing w:line="480" w:lineRule="auto"/>
        <w:jc w:val="left"/>
        <w:rPr>
          <w:rFonts w:cs="Times New Roman"/>
          <w:i/>
          <w:iCs/>
        </w:rPr>
      </w:pPr>
    </w:p>
    <w:p w14:paraId="78853764" w14:textId="1F3631CE" w:rsidR="0075301A" w:rsidRPr="00706933" w:rsidRDefault="00372BBE" w:rsidP="00775A4E">
      <w:pPr>
        <w:pStyle w:val="NoSpacing"/>
        <w:numPr>
          <w:ilvl w:val="0"/>
          <w:numId w:val="8"/>
        </w:numPr>
        <w:spacing w:line="480" w:lineRule="auto"/>
        <w:ind w:left="0" w:firstLine="0"/>
        <w:jc w:val="left"/>
        <w:rPr>
          <w:rFonts w:cs="Times New Roman"/>
          <w:i/>
          <w:iCs/>
        </w:rPr>
      </w:pPr>
      <w:r>
        <w:rPr>
          <w:rFonts w:cs="Times New Roman"/>
          <w:iCs/>
        </w:rPr>
        <w:t>As is obvious and to be hoped for, a great number of</w:t>
      </w:r>
      <w:r w:rsidR="0075301A" w:rsidRPr="00706933">
        <w:rPr>
          <w:rFonts w:cs="Times New Roman"/>
          <w:iCs/>
        </w:rPr>
        <w:t xml:space="preserve"> people marry for love, but it would be a naive view of the world to assume that this holds true for everyone</w:t>
      </w:r>
      <w:r w:rsidR="00706933">
        <w:rPr>
          <w:rFonts w:cs="Times New Roman"/>
          <w:iCs/>
        </w:rPr>
        <w:t>. Some marry for money, or security, or status</w:t>
      </w:r>
      <w:r w:rsidR="00C647EB">
        <w:rPr>
          <w:rFonts w:cs="Times New Roman"/>
          <w:iCs/>
        </w:rPr>
        <w:t>,</w:t>
      </w:r>
      <w:r w:rsidR="00706933">
        <w:rPr>
          <w:rFonts w:cs="Times New Roman"/>
          <w:iCs/>
        </w:rPr>
        <w:t xml:space="preserve"> or fame. Others marry to secure some tax or inheritance advantage. Certainly there are some others, without referring to any couple in particular, who marry to secure an immigration advantage for one or other of them. Sometimes marriage will be motivated by some mix of the foregoing</w:t>
      </w:r>
      <w:r>
        <w:rPr>
          <w:rFonts w:cs="Times New Roman"/>
          <w:iCs/>
        </w:rPr>
        <w:t>, as well as</w:t>
      </w:r>
      <w:r w:rsidR="00706933">
        <w:rPr>
          <w:rFonts w:cs="Times New Roman"/>
          <w:iCs/>
        </w:rPr>
        <w:t xml:space="preserve"> other factors. And while it was more a feature of times gone by, in this country, at least, sadly some people are still married off to secure some advantage for others: to gain power, to form alliances, or simply because that is the will of the family</w:t>
      </w:r>
      <w:r w:rsidR="0015684C">
        <w:rPr>
          <w:rFonts w:cs="Times New Roman"/>
          <w:iCs/>
        </w:rPr>
        <w:t>.</w:t>
      </w:r>
      <w:r w:rsidR="00706933">
        <w:rPr>
          <w:rFonts w:cs="Times New Roman"/>
          <w:iCs/>
        </w:rPr>
        <w:t xml:space="preserve"> </w:t>
      </w:r>
      <w:r w:rsidR="0015684C">
        <w:rPr>
          <w:rFonts w:cs="Times New Roman"/>
          <w:iCs/>
        </w:rPr>
        <w:t>T</w:t>
      </w:r>
      <w:r w:rsidR="00706933">
        <w:rPr>
          <w:rFonts w:cs="Times New Roman"/>
          <w:iCs/>
        </w:rPr>
        <w:t xml:space="preserve">he same would of course require to be looked at in light of the essential component of voluntariness discussed in </w:t>
      </w:r>
      <w:r w:rsidR="00706933" w:rsidRPr="00CE11F8">
        <w:rPr>
          <w:rFonts w:cs="Times New Roman"/>
          <w:i/>
        </w:rPr>
        <w:t>H.A.H.</w:t>
      </w:r>
      <w:r w:rsidR="00706933">
        <w:rPr>
          <w:rFonts w:cs="Times New Roman"/>
          <w:iCs/>
        </w:rPr>
        <w:t xml:space="preserve"> and the prohibition on forced marriages. B</w:t>
      </w:r>
      <w:r w:rsidR="0075301A" w:rsidRPr="00706933">
        <w:rPr>
          <w:rFonts w:cs="Times New Roman"/>
          <w:iCs/>
        </w:rPr>
        <w:t xml:space="preserve">ut leaving aside such marriages which really do give rise to entirely different considerations, the point remains that people voluntarily chose to contract marriage for all sorts of reasons, whether it be love, convenience, self-interest or otherwise. Certainly one could not say that in all such cases </w:t>
      </w:r>
      <w:r>
        <w:rPr>
          <w:rFonts w:cs="Times New Roman"/>
          <w:iCs/>
        </w:rPr>
        <w:t>“</w:t>
      </w:r>
      <w:r w:rsidR="0075301A" w:rsidRPr="00706933">
        <w:rPr>
          <w:rFonts w:cs="Times New Roman"/>
          <w:iCs/>
        </w:rPr>
        <w:t>legal consent</w:t>
      </w:r>
      <w:r>
        <w:rPr>
          <w:rFonts w:cs="Times New Roman"/>
          <w:iCs/>
        </w:rPr>
        <w:t>”</w:t>
      </w:r>
      <w:r w:rsidR="0075301A" w:rsidRPr="00706933">
        <w:rPr>
          <w:rFonts w:cs="Times New Roman"/>
          <w:iCs/>
        </w:rPr>
        <w:t xml:space="preserve"> was absent. Sometimes the parties will </w:t>
      </w:r>
      <w:r w:rsidR="0075301A" w:rsidRPr="00706933">
        <w:rPr>
          <w:rFonts w:cs="Times New Roman"/>
          <w:iCs/>
        </w:rPr>
        <w:lastRenderedPageBreak/>
        <w:t>make their motivation</w:t>
      </w:r>
      <w:r w:rsidR="00EB3BC5">
        <w:rPr>
          <w:rFonts w:cs="Times New Roman"/>
          <w:iCs/>
        </w:rPr>
        <w:t>s</w:t>
      </w:r>
      <w:r w:rsidR="00706933">
        <w:rPr>
          <w:rFonts w:cs="Times New Roman"/>
          <w:iCs/>
        </w:rPr>
        <w:t xml:space="preserve"> known to</w:t>
      </w:r>
      <w:r w:rsidR="00EB3BC5">
        <w:rPr>
          <w:rFonts w:cs="Times New Roman"/>
          <w:iCs/>
        </w:rPr>
        <w:t xml:space="preserve"> all;</w:t>
      </w:r>
      <w:r w:rsidR="00706933">
        <w:rPr>
          <w:rFonts w:cs="Times New Roman"/>
          <w:iCs/>
        </w:rPr>
        <w:t xml:space="preserve"> other times only the couple themselves will know the truth behind the marriage</w:t>
      </w:r>
      <w:r w:rsidR="00EB3BC5">
        <w:rPr>
          <w:rFonts w:cs="Times New Roman"/>
          <w:iCs/>
        </w:rPr>
        <w:t>;</w:t>
      </w:r>
      <w:r w:rsidR="00706933">
        <w:rPr>
          <w:rFonts w:cs="Times New Roman"/>
          <w:iCs/>
        </w:rPr>
        <w:t xml:space="preserve"> occasionally, one spouse may keep his or her secret intention entirely to himself or herself.  </w:t>
      </w:r>
      <w:r w:rsidR="00562192" w:rsidRPr="00562192">
        <w:rPr>
          <w:rFonts w:cs="Times New Roman"/>
          <w:iCs/>
        </w:rPr>
        <w:t>So, the reasons can be as diverse as the parties themselves.</w:t>
      </w:r>
      <w:r>
        <w:rPr>
          <w:rFonts w:cs="Times New Roman"/>
          <w:iCs/>
        </w:rPr>
        <w:t xml:space="preserve">  </w:t>
      </w:r>
    </w:p>
    <w:p w14:paraId="3DA920DA" w14:textId="77777777" w:rsidR="00D22EBC" w:rsidRDefault="00D22EBC" w:rsidP="00775A4E">
      <w:pPr>
        <w:pStyle w:val="NoSpacing"/>
        <w:spacing w:line="480" w:lineRule="auto"/>
        <w:jc w:val="left"/>
        <w:rPr>
          <w:rFonts w:cs="Times New Roman"/>
          <w:b/>
          <w:i/>
        </w:rPr>
      </w:pPr>
    </w:p>
    <w:p w14:paraId="0BAB3487" w14:textId="3D1FDC83" w:rsidR="00D22EBC" w:rsidRPr="00562192" w:rsidRDefault="00D22EBC" w:rsidP="00775A4E">
      <w:pPr>
        <w:pStyle w:val="NoSpacing"/>
        <w:spacing w:line="480" w:lineRule="auto"/>
        <w:jc w:val="left"/>
        <w:rPr>
          <w:rFonts w:cs="Times New Roman"/>
          <w:b/>
          <w:iCs/>
          <w:u w:val="single"/>
        </w:rPr>
      </w:pPr>
      <w:r w:rsidRPr="00CE11F8">
        <w:rPr>
          <w:rFonts w:cs="Times New Roman"/>
          <w:b/>
          <w:iCs/>
          <w:u w:val="single"/>
        </w:rPr>
        <w:t>The Law of Nullity</w:t>
      </w:r>
    </w:p>
    <w:p w14:paraId="420AE3E7" w14:textId="016A2FD7" w:rsidR="00D22EBC" w:rsidRDefault="00D22EBC" w:rsidP="00775A4E">
      <w:pPr>
        <w:pStyle w:val="NoSpacing"/>
        <w:numPr>
          <w:ilvl w:val="0"/>
          <w:numId w:val="8"/>
        </w:numPr>
        <w:spacing w:line="480" w:lineRule="auto"/>
        <w:ind w:left="0" w:firstLine="0"/>
        <w:jc w:val="left"/>
        <w:rPr>
          <w:rFonts w:cs="Times New Roman"/>
        </w:rPr>
      </w:pPr>
      <w:r>
        <w:rPr>
          <w:rFonts w:cs="Times New Roman"/>
        </w:rPr>
        <w:t xml:space="preserve">Before considering the Minister’s role and the High Court’s judgment on this </w:t>
      </w:r>
      <w:r w:rsidR="00115BF1">
        <w:rPr>
          <w:rFonts w:cs="Times New Roman"/>
        </w:rPr>
        <w:t>matter</w:t>
      </w:r>
      <w:r>
        <w:rPr>
          <w:rFonts w:cs="Times New Roman"/>
        </w:rPr>
        <w:t>, a quick word should be said about the law of nullity, though it must be acknowledged that in general it did not form a substantive part of this case. However, the Minister in his written submissions follow</w:t>
      </w:r>
      <w:r w:rsidR="00562192">
        <w:rPr>
          <w:rFonts w:cs="Times New Roman"/>
        </w:rPr>
        <w:t>ed</w:t>
      </w:r>
      <w:r>
        <w:rPr>
          <w:rFonts w:cs="Times New Roman"/>
        </w:rPr>
        <w:t xml:space="preserve"> enthusiastically the judgment of the High Court on the “nullity point” from paras. 19</w:t>
      </w:r>
      <w:r w:rsidR="00562192">
        <w:rPr>
          <w:rFonts w:cs="Times New Roman"/>
        </w:rPr>
        <w:t>-2</w:t>
      </w:r>
      <w:r>
        <w:rPr>
          <w:rFonts w:cs="Times New Roman"/>
        </w:rPr>
        <w:t>8. In his oral presentation</w:t>
      </w:r>
      <w:r w:rsidR="00562192">
        <w:rPr>
          <w:rFonts w:cs="Times New Roman"/>
        </w:rPr>
        <w:t>,</w:t>
      </w:r>
      <w:r>
        <w:rPr>
          <w:rFonts w:cs="Times New Roman"/>
        </w:rPr>
        <w:t xml:space="preserve"> however, he recoiled </w:t>
      </w:r>
      <w:r w:rsidR="00562192">
        <w:rPr>
          <w:rFonts w:cs="Times New Roman"/>
        </w:rPr>
        <w:t xml:space="preserve">somewhat </w:t>
      </w:r>
      <w:r>
        <w:rPr>
          <w:rFonts w:cs="Times New Roman"/>
        </w:rPr>
        <w:t>from this position, offering a number of caveats</w:t>
      </w:r>
      <w:r w:rsidR="00562192">
        <w:rPr>
          <w:rFonts w:cs="Times New Roman"/>
        </w:rPr>
        <w:t>:</w:t>
      </w:r>
      <w:r>
        <w:rPr>
          <w:rFonts w:cs="Times New Roman"/>
        </w:rPr>
        <w:t xml:space="preserve"> </w:t>
      </w:r>
      <w:r w:rsidR="00562192">
        <w:rPr>
          <w:rFonts w:cs="Times New Roman"/>
        </w:rPr>
        <w:t>f</w:t>
      </w:r>
      <w:r>
        <w:rPr>
          <w:rFonts w:cs="Times New Roman"/>
        </w:rPr>
        <w:t>irst, that he had never argued in the High Court that such a marriage was a nullity</w:t>
      </w:r>
      <w:r w:rsidR="00562192">
        <w:rPr>
          <w:rFonts w:cs="Times New Roman"/>
        </w:rPr>
        <w:t>;</w:t>
      </w:r>
      <w:r>
        <w:rPr>
          <w:rFonts w:cs="Times New Roman"/>
        </w:rPr>
        <w:t xml:space="preserve"> secondly, that what consequences might flow from such a finding were likewise not considered</w:t>
      </w:r>
      <w:r w:rsidR="00562192">
        <w:rPr>
          <w:rFonts w:cs="Times New Roman"/>
        </w:rPr>
        <w:t>;</w:t>
      </w:r>
      <w:r>
        <w:rPr>
          <w:rFonts w:cs="Times New Roman"/>
        </w:rPr>
        <w:t xml:space="preserve"> and</w:t>
      </w:r>
      <w:r w:rsidR="00562192">
        <w:rPr>
          <w:rFonts w:cs="Times New Roman"/>
        </w:rPr>
        <w:t>,</w:t>
      </w:r>
      <w:r>
        <w:rPr>
          <w:rFonts w:cs="Times New Roman"/>
        </w:rPr>
        <w:t xml:space="preserve"> thirdly, that in any event it was unnecessary for the learned trial judge to enter into the nullity area at any level. He adds that the judgment of Hogan J. on this issue in </w:t>
      </w:r>
      <w:r w:rsidRPr="001D2047">
        <w:rPr>
          <w:rFonts w:cs="Times New Roman"/>
          <w:i/>
        </w:rPr>
        <w:t>Izmailovic</w:t>
      </w:r>
      <w:r>
        <w:rPr>
          <w:rFonts w:cs="Times New Roman"/>
        </w:rPr>
        <w:t xml:space="preserve"> is likewise </w:t>
      </w:r>
      <w:r w:rsidRPr="00CE11F8">
        <w:rPr>
          <w:rFonts w:cs="Times New Roman"/>
          <w:i/>
          <w:iCs/>
        </w:rPr>
        <w:t>obiter</w:t>
      </w:r>
      <w:r>
        <w:rPr>
          <w:rFonts w:cs="Times New Roman"/>
        </w:rPr>
        <w:t>. In effect, the Minister is satisfied to leave apart this issue as</w:t>
      </w:r>
      <w:r w:rsidR="008439FA">
        <w:rPr>
          <w:rFonts w:cs="Times New Roman"/>
        </w:rPr>
        <w:t>,</w:t>
      </w:r>
      <w:r>
        <w:rPr>
          <w:rFonts w:cs="Times New Roman"/>
        </w:rPr>
        <w:t xml:space="preserve"> in his view, the judgment of the High Court on the other issues fully supports the making of the deportation order. However, there are now apparently two conflicting decisions of the High Court on the consequences of such a “disregard” finding. </w:t>
      </w:r>
      <w:r w:rsidR="008A33D8">
        <w:rPr>
          <w:rFonts w:cs="Times New Roman"/>
        </w:rPr>
        <w:t>Of necessity, s</w:t>
      </w:r>
      <w:r>
        <w:rPr>
          <w:rFonts w:cs="Times New Roman"/>
        </w:rPr>
        <w:t xml:space="preserve">ome observations have to made on these.  </w:t>
      </w:r>
    </w:p>
    <w:p w14:paraId="694EFE86" w14:textId="77777777" w:rsidR="008A33D8" w:rsidRDefault="008A33D8" w:rsidP="00775A4E">
      <w:pPr>
        <w:pStyle w:val="NoSpacing"/>
        <w:spacing w:line="480" w:lineRule="auto"/>
        <w:jc w:val="left"/>
        <w:rPr>
          <w:rFonts w:cs="Times New Roman"/>
        </w:rPr>
      </w:pPr>
    </w:p>
    <w:p w14:paraId="36D5EBFC" w14:textId="6D1057F8" w:rsidR="00D22EBC" w:rsidRPr="00692B8E" w:rsidRDefault="00D22EBC" w:rsidP="00775A4E">
      <w:pPr>
        <w:pStyle w:val="NoSpacing"/>
        <w:numPr>
          <w:ilvl w:val="0"/>
          <w:numId w:val="8"/>
        </w:numPr>
        <w:spacing w:line="480" w:lineRule="auto"/>
        <w:ind w:left="0" w:firstLine="0"/>
        <w:jc w:val="left"/>
        <w:rPr>
          <w:rFonts w:cs="Times New Roman"/>
        </w:rPr>
      </w:pPr>
      <w:r w:rsidRPr="00D6283E">
        <w:rPr>
          <w:rFonts w:cs="Times New Roman"/>
        </w:rPr>
        <w:t>The law of nullity in general is</w:t>
      </w:r>
      <w:r w:rsidR="000A7D81">
        <w:rPr>
          <w:rFonts w:cs="Times New Roman"/>
        </w:rPr>
        <w:t xml:space="preserve"> </w:t>
      </w:r>
      <w:r w:rsidRPr="00D6283E">
        <w:rPr>
          <w:rFonts w:cs="Times New Roman"/>
        </w:rPr>
        <w:t>not</w:t>
      </w:r>
      <w:r w:rsidR="00A2148E">
        <w:rPr>
          <w:rFonts w:cs="Times New Roman"/>
        </w:rPr>
        <w:t xml:space="preserve"> at</w:t>
      </w:r>
      <w:r w:rsidR="00D61EA6">
        <w:rPr>
          <w:rFonts w:cs="Times New Roman"/>
        </w:rPr>
        <w:t xml:space="preserve"> </w:t>
      </w:r>
      <w:r w:rsidRPr="00D6283E">
        <w:rPr>
          <w:rFonts w:cs="Times New Roman"/>
        </w:rPr>
        <w:t>issue in these proceedings and little has been said about it by the parties. It is necessary, however</w:t>
      </w:r>
      <w:r w:rsidR="000A7D81">
        <w:rPr>
          <w:rFonts w:cs="Times New Roman"/>
        </w:rPr>
        <w:t>,</w:t>
      </w:r>
      <w:r w:rsidRPr="00D6283E">
        <w:rPr>
          <w:rFonts w:cs="Times New Roman"/>
        </w:rPr>
        <w:t xml:space="preserve"> to give some sort of overview of this area of the law in order to contextualise the issue arising. Per Crowley, </w:t>
      </w:r>
      <w:r w:rsidRPr="00D6283E">
        <w:rPr>
          <w:rFonts w:cs="Times New Roman"/>
          <w:i/>
          <w:iCs/>
        </w:rPr>
        <w:t>Family Law</w:t>
      </w:r>
      <w:r w:rsidRPr="00D6283E">
        <w:rPr>
          <w:rFonts w:cs="Times New Roman"/>
        </w:rPr>
        <w:t>, (1</w:t>
      </w:r>
      <w:r w:rsidRPr="00D6283E">
        <w:rPr>
          <w:rFonts w:cs="Times New Roman"/>
          <w:vertAlign w:val="superscript"/>
        </w:rPr>
        <w:t>st</w:t>
      </w:r>
      <w:r w:rsidRPr="00D6283E">
        <w:rPr>
          <w:rFonts w:cs="Times New Roman"/>
        </w:rPr>
        <w:t xml:space="preserve"> Ed. Round Hall, Dublin, 2013) at para. 12–01:</w:t>
      </w:r>
      <w:r w:rsidRPr="00692B8E">
        <w:rPr>
          <w:rFonts w:cs="Times New Roman"/>
        </w:rPr>
        <w:t xml:space="preserve"> </w:t>
      </w:r>
    </w:p>
    <w:p w14:paraId="47CAFEEF" w14:textId="77777777" w:rsidR="00D22EBC" w:rsidRPr="00692B8E" w:rsidRDefault="00D22EBC" w:rsidP="00775A4E">
      <w:pPr>
        <w:pStyle w:val="NoSpacing"/>
        <w:spacing w:line="480" w:lineRule="auto"/>
        <w:jc w:val="left"/>
        <w:rPr>
          <w:rFonts w:cs="Times New Roman"/>
        </w:rPr>
      </w:pPr>
    </w:p>
    <w:p w14:paraId="51A2EF3D" w14:textId="77777777" w:rsidR="00D22EBC" w:rsidRPr="00D6283E" w:rsidRDefault="00D22EBC" w:rsidP="00775A4E">
      <w:pPr>
        <w:pStyle w:val="NoSpacing"/>
        <w:spacing w:line="480" w:lineRule="auto"/>
        <w:ind w:left="1440"/>
        <w:jc w:val="left"/>
        <w:rPr>
          <w:rFonts w:cs="Times New Roman"/>
          <w:i/>
          <w:iCs/>
        </w:rPr>
      </w:pPr>
      <w:r w:rsidRPr="00D6283E">
        <w:rPr>
          <w:rFonts w:cs="Times New Roman"/>
          <w:i/>
          <w:iCs/>
        </w:rPr>
        <w:lastRenderedPageBreak/>
        <w:t>“Nullity of marriage relates to the legal validity of the marriage at the time of its inception and is a means whereby the court can declare, based on the evidence before it, that whilst two parties may have participated in a marriage ceremony, the marriage was never legally valid and as a result, in the eyes of the State, the parties were never married. … [P]arties who seek a decree of annulment can only do so on the basis that there existed at the time of entering into the union an impediment to that union being validly formed. The effect of a decree of annulment is that the marriage is void and never existed in law, thereby divesting the parties, post-nullity, of the rights and obligations that would otherwise attach to them in their status as spouses, or former spouses.”</w:t>
      </w:r>
    </w:p>
    <w:p w14:paraId="7A4A439D" w14:textId="77777777" w:rsidR="00E56C38" w:rsidRDefault="00E56C38" w:rsidP="00775A4E">
      <w:pPr>
        <w:pStyle w:val="NoSpacing"/>
        <w:spacing w:line="480" w:lineRule="auto"/>
        <w:jc w:val="left"/>
        <w:rPr>
          <w:rFonts w:cs="Times New Roman"/>
        </w:rPr>
      </w:pPr>
    </w:p>
    <w:p w14:paraId="72C0DDE2" w14:textId="78BE4D25" w:rsidR="00D22EBC" w:rsidRDefault="00D22EBC" w:rsidP="00775A4E">
      <w:pPr>
        <w:pStyle w:val="NoSpacing"/>
        <w:numPr>
          <w:ilvl w:val="0"/>
          <w:numId w:val="8"/>
        </w:numPr>
        <w:spacing w:line="480" w:lineRule="auto"/>
        <w:ind w:left="0" w:firstLine="0"/>
        <w:jc w:val="left"/>
        <w:rPr>
          <w:rFonts w:cs="Times New Roman"/>
        </w:rPr>
      </w:pPr>
      <w:r w:rsidRPr="00692B8E">
        <w:rPr>
          <w:rFonts w:cs="Times New Roman"/>
        </w:rPr>
        <w:t>An application for a decree of nullity can be made to the Circuit Court or the High Court by the either of the spouses or by any other party who, in the opinion of the court, has a sufficient interest in the matter (see section 29</w:t>
      </w:r>
      <w:r>
        <w:rPr>
          <w:rFonts w:cs="Times New Roman"/>
        </w:rPr>
        <w:t>(1) and (7)</w:t>
      </w:r>
      <w:r w:rsidRPr="00692B8E">
        <w:rPr>
          <w:rFonts w:cs="Times New Roman"/>
        </w:rPr>
        <w:t xml:space="preserve"> of the Family Law Act 1995). </w:t>
      </w:r>
      <w:r w:rsidR="00B66E34">
        <w:rPr>
          <w:rFonts w:cs="Times New Roman"/>
        </w:rPr>
        <w:t xml:space="preserve">Whether these provisions constitute procedural exclusivity does not arise.  </w:t>
      </w:r>
      <w:r w:rsidRPr="00692B8E">
        <w:rPr>
          <w:rFonts w:cs="Times New Roman"/>
        </w:rPr>
        <w:t xml:space="preserve">The onus is on the petitioner to rebut the presumption </w:t>
      </w:r>
      <w:r>
        <w:rPr>
          <w:rFonts w:cs="Times New Roman"/>
        </w:rPr>
        <w:t xml:space="preserve">which stand in favour of the marriage being valid.  </w:t>
      </w:r>
    </w:p>
    <w:p w14:paraId="6C0D286D" w14:textId="77777777" w:rsidR="00D22EBC" w:rsidRDefault="00D22EBC" w:rsidP="00775A4E">
      <w:pPr>
        <w:pStyle w:val="NoSpacing"/>
        <w:spacing w:line="480" w:lineRule="auto"/>
        <w:jc w:val="left"/>
        <w:rPr>
          <w:rFonts w:cs="Times New Roman"/>
        </w:rPr>
      </w:pPr>
    </w:p>
    <w:p w14:paraId="4FD4CB38" w14:textId="77777777" w:rsidR="00D22EBC" w:rsidRPr="00EE1154" w:rsidRDefault="00D22EBC" w:rsidP="00775A4E">
      <w:pPr>
        <w:pStyle w:val="NoSpacing"/>
        <w:numPr>
          <w:ilvl w:val="0"/>
          <w:numId w:val="8"/>
        </w:numPr>
        <w:spacing w:line="480" w:lineRule="auto"/>
        <w:ind w:left="0" w:firstLine="0"/>
        <w:jc w:val="left"/>
        <w:rPr>
          <w:rFonts w:cs="Times New Roman"/>
        </w:rPr>
      </w:pPr>
      <w:r>
        <w:rPr>
          <w:rFonts w:cs="Times New Roman"/>
        </w:rPr>
        <w:t>It should be noted that a</w:t>
      </w:r>
      <w:r w:rsidRPr="004222D6">
        <w:rPr>
          <w:rFonts w:cs="Times New Roman"/>
        </w:rPr>
        <w:t xml:space="preserve"> marriage may be void or voidable. </w:t>
      </w:r>
      <w:r w:rsidRPr="00692B8E">
        <w:rPr>
          <w:rFonts w:cs="Times New Roman"/>
        </w:rPr>
        <w:t xml:space="preserve">The grounds upon which a nullity order can be sought are not contained in legislation but rather have been developed by case law. </w:t>
      </w:r>
      <w:r w:rsidRPr="004222D6">
        <w:rPr>
          <w:rFonts w:cs="Times New Roman"/>
        </w:rPr>
        <w:t xml:space="preserve">A marriage may be void </w:t>
      </w:r>
      <w:r>
        <w:rPr>
          <w:rFonts w:cs="Times New Roman"/>
        </w:rPr>
        <w:t>(</w:t>
      </w:r>
      <w:proofErr w:type="spellStart"/>
      <w:r>
        <w:rPr>
          <w:rFonts w:cs="Times New Roman"/>
        </w:rPr>
        <w:t>i</w:t>
      </w:r>
      <w:proofErr w:type="spellEnd"/>
      <w:r>
        <w:rPr>
          <w:rFonts w:cs="Times New Roman"/>
        </w:rPr>
        <w:t xml:space="preserve">) </w:t>
      </w:r>
      <w:r w:rsidRPr="004222D6">
        <w:rPr>
          <w:rFonts w:cs="Times New Roman"/>
        </w:rPr>
        <w:t xml:space="preserve">on the ground of lack of capacity </w:t>
      </w:r>
      <w:r>
        <w:rPr>
          <w:rFonts w:cs="Times New Roman"/>
        </w:rPr>
        <w:t xml:space="preserve">(for example, </w:t>
      </w:r>
      <w:r w:rsidRPr="004222D6">
        <w:rPr>
          <w:rFonts w:cs="Times New Roman"/>
        </w:rPr>
        <w:t xml:space="preserve">where one or both of the parties is within the prohibited degree of relationships, or </w:t>
      </w:r>
      <w:r>
        <w:rPr>
          <w:rFonts w:cs="Times New Roman"/>
        </w:rPr>
        <w:t xml:space="preserve">is </w:t>
      </w:r>
      <w:r w:rsidRPr="004222D6">
        <w:rPr>
          <w:rFonts w:cs="Times New Roman"/>
        </w:rPr>
        <w:t xml:space="preserve">already married, or </w:t>
      </w:r>
      <w:r>
        <w:rPr>
          <w:rFonts w:cs="Times New Roman"/>
        </w:rPr>
        <w:t xml:space="preserve">is </w:t>
      </w:r>
      <w:r w:rsidRPr="004222D6">
        <w:rPr>
          <w:rFonts w:cs="Times New Roman"/>
        </w:rPr>
        <w:t xml:space="preserve">under the age of 18 </w:t>
      </w:r>
      <w:r w:rsidRPr="005005DD">
        <w:rPr>
          <w:rFonts w:cs="Times New Roman"/>
        </w:rPr>
        <w:t xml:space="preserve">without consent of the court) or (ii) as a result of the non-observance of the appropriate formalities (for example, non-compliance with the notice requirement); or (iii) due to the absence of the full, free and informed consent of one or both of the parties to the marriage (e.g. as a result of duress). A marriage may be voidable if either </w:t>
      </w:r>
      <w:r w:rsidRPr="005005DD">
        <w:rPr>
          <w:rFonts w:cs="Times New Roman"/>
        </w:rPr>
        <w:lastRenderedPageBreak/>
        <w:t xml:space="preserve">party has not the mental capacity to marry or is impotent. A decree of nullity may also be granted as a result of the inability of one of the spouses to enter into and sustain a normal marital relationship, for example as a result of a psychological impediment. A void marriage is considered as never having had legal effect (void </w:t>
      </w:r>
      <w:r w:rsidRPr="005005DD">
        <w:rPr>
          <w:rFonts w:cs="Times New Roman"/>
          <w:i/>
          <w:iCs/>
        </w:rPr>
        <w:t>ab initio</w:t>
      </w:r>
      <w:r w:rsidRPr="005005DD">
        <w:rPr>
          <w:rFonts w:cs="Times New Roman"/>
        </w:rPr>
        <w:t xml:space="preserve">), whereas </w:t>
      </w:r>
      <w:proofErr w:type="spellStart"/>
      <w:r w:rsidRPr="005005DD">
        <w:rPr>
          <w:rFonts w:cs="Times New Roman"/>
        </w:rPr>
        <w:t>a voidable</w:t>
      </w:r>
      <w:proofErr w:type="spellEnd"/>
      <w:r w:rsidRPr="005005DD">
        <w:rPr>
          <w:rFonts w:cs="Times New Roman"/>
        </w:rPr>
        <w:t xml:space="preserve"> marriage is regarded as valid until a decree annulling it has been pronounced by the courts.</w:t>
      </w:r>
    </w:p>
    <w:p w14:paraId="3184F34B" w14:textId="77777777" w:rsidR="00D22EBC" w:rsidRDefault="00D22EBC" w:rsidP="00775A4E">
      <w:pPr>
        <w:pStyle w:val="NoSpacing"/>
        <w:spacing w:line="480" w:lineRule="auto"/>
        <w:jc w:val="left"/>
        <w:rPr>
          <w:rFonts w:cs="Times New Roman"/>
        </w:rPr>
      </w:pPr>
    </w:p>
    <w:p w14:paraId="547656D1" w14:textId="6F5E3A6E" w:rsidR="00D22EBC" w:rsidRDefault="00D22EBC" w:rsidP="00775A4E">
      <w:pPr>
        <w:pStyle w:val="NoSpacing"/>
        <w:numPr>
          <w:ilvl w:val="0"/>
          <w:numId w:val="8"/>
        </w:numPr>
        <w:spacing w:line="480" w:lineRule="auto"/>
        <w:ind w:left="0" w:firstLine="0"/>
        <w:jc w:val="left"/>
        <w:rPr>
          <w:rFonts w:cs="Times New Roman"/>
        </w:rPr>
      </w:pPr>
      <w:r>
        <w:rPr>
          <w:rFonts w:cs="Times New Roman"/>
        </w:rPr>
        <w:t xml:space="preserve">A court-ordered </w:t>
      </w:r>
      <w:r w:rsidRPr="00B872C9">
        <w:rPr>
          <w:rFonts w:cs="Times New Roman"/>
        </w:rPr>
        <w:t xml:space="preserve">decree of annulment </w:t>
      </w:r>
      <w:r>
        <w:rPr>
          <w:rFonts w:cs="Times New Roman"/>
        </w:rPr>
        <w:t xml:space="preserve">declares </w:t>
      </w:r>
      <w:r w:rsidRPr="00B872C9">
        <w:rPr>
          <w:rFonts w:cs="Times New Roman"/>
        </w:rPr>
        <w:t>the marriage to be void and, therefore, in legal terms it never existe</w:t>
      </w:r>
      <w:r>
        <w:rPr>
          <w:rFonts w:cs="Times New Roman"/>
        </w:rPr>
        <w:t>d</w:t>
      </w:r>
      <w:r w:rsidRPr="00B872C9">
        <w:rPr>
          <w:rFonts w:cs="Times New Roman"/>
        </w:rPr>
        <w:t>.</w:t>
      </w:r>
      <w:r>
        <w:rPr>
          <w:rFonts w:cs="Times New Roman"/>
        </w:rPr>
        <w:t xml:space="preserve"> A declaration of nullity can have significant consequences for the parties to the marriage across a range of matters including their property and tax affairs, inheritance, pension entitlements, maintenance, their banking arrangements </w:t>
      </w:r>
      <w:r w:rsidRPr="001D2047">
        <w:rPr>
          <w:rFonts w:cs="Times New Roman"/>
          <w:i/>
        </w:rPr>
        <w:t>etc</w:t>
      </w:r>
      <w:r>
        <w:rPr>
          <w:rFonts w:cs="Times New Roman"/>
        </w:rPr>
        <w:t xml:space="preserve">. It may have an impact on their future relationships, on their children, and on third parties. Of particular note is the fact that like the question of marriage, the issue of nullity is a status matter. A </w:t>
      </w:r>
      <w:r w:rsidR="00115BF1">
        <w:rPr>
          <w:rFonts w:cs="Times New Roman"/>
        </w:rPr>
        <w:t xml:space="preserve">decision </w:t>
      </w:r>
      <w:r>
        <w:rPr>
          <w:rFonts w:cs="Times New Roman"/>
        </w:rPr>
        <w:t>to that effect</w:t>
      </w:r>
      <w:r w:rsidR="00BD336F">
        <w:rPr>
          <w:rFonts w:cs="Times New Roman"/>
        </w:rPr>
        <w:t>,</w:t>
      </w:r>
      <w:r>
        <w:rPr>
          <w:rFonts w:cs="Times New Roman"/>
        </w:rPr>
        <w:t xml:space="preserve"> therefore, is not simply </w:t>
      </w:r>
      <w:r w:rsidR="00115BF1">
        <w:rPr>
          <w:rFonts w:cs="Times New Roman"/>
        </w:rPr>
        <w:t xml:space="preserve">a declaration </w:t>
      </w:r>
      <w:r w:rsidRPr="001D2047">
        <w:rPr>
          <w:rFonts w:cs="Times New Roman"/>
          <w:i/>
        </w:rPr>
        <w:t>in personam</w:t>
      </w:r>
      <w:r>
        <w:rPr>
          <w:rFonts w:cs="Times New Roman"/>
        </w:rPr>
        <w:t xml:space="preserve">, but rather is </w:t>
      </w:r>
      <w:r w:rsidR="00704286">
        <w:rPr>
          <w:rFonts w:cs="Times New Roman"/>
        </w:rPr>
        <w:t xml:space="preserve">a declaration </w:t>
      </w:r>
      <w:r w:rsidRPr="001D2047">
        <w:rPr>
          <w:rFonts w:cs="Times New Roman"/>
          <w:i/>
        </w:rPr>
        <w:t>in rem</w:t>
      </w:r>
      <w:r>
        <w:rPr>
          <w:rFonts w:cs="Times New Roman"/>
        </w:rPr>
        <w:t xml:space="preserve">. </w:t>
      </w:r>
    </w:p>
    <w:p w14:paraId="633ED03F" w14:textId="77777777" w:rsidR="00D22EBC" w:rsidRDefault="00D22EBC" w:rsidP="00775A4E">
      <w:pPr>
        <w:pStyle w:val="NoSpacing"/>
        <w:spacing w:line="480" w:lineRule="auto"/>
        <w:jc w:val="left"/>
        <w:rPr>
          <w:rFonts w:cs="Times New Roman"/>
          <w:highlight w:val="yellow"/>
        </w:rPr>
      </w:pPr>
    </w:p>
    <w:p w14:paraId="4CF0804C" w14:textId="211BC689" w:rsidR="002D2E20" w:rsidRPr="003F5DC9" w:rsidRDefault="00007AB6" w:rsidP="00775A4E">
      <w:pPr>
        <w:pStyle w:val="NoSpacing"/>
        <w:spacing w:line="480" w:lineRule="auto"/>
        <w:jc w:val="left"/>
        <w:rPr>
          <w:rFonts w:cs="Times New Roman"/>
          <w:b/>
          <w:u w:val="single"/>
        </w:rPr>
      </w:pPr>
      <w:r w:rsidRPr="00CE11F8">
        <w:rPr>
          <w:rFonts w:cs="Times New Roman"/>
          <w:b/>
          <w:u w:val="single"/>
        </w:rPr>
        <w:t>The Role of the Minister</w:t>
      </w:r>
      <w:r w:rsidR="00283406" w:rsidRPr="00CE11F8">
        <w:rPr>
          <w:rFonts w:cs="Times New Roman"/>
          <w:b/>
          <w:u w:val="single"/>
        </w:rPr>
        <w:t xml:space="preserve"> on this Issue</w:t>
      </w:r>
    </w:p>
    <w:p w14:paraId="7692DB7A" w14:textId="66E3C186" w:rsidR="00FA3EA7" w:rsidRDefault="00007AB6" w:rsidP="00775A4E">
      <w:pPr>
        <w:pStyle w:val="NoSpacing"/>
        <w:numPr>
          <w:ilvl w:val="0"/>
          <w:numId w:val="8"/>
        </w:numPr>
        <w:spacing w:line="480" w:lineRule="auto"/>
        <w:ind w:left="0" w:firstLine="0"/>
        <w:jc w:val="left"/>
        <w:rPr>
          <w:rFonts w:cs="Times New Roman"/>
        </w:rPr>
      </w:pPr>
      <w:r>
        <w:rPr>
          <w:rFonts w:cs="Times New Roman"/>
        </w:rPr>
        <w:t xml:space="preserve">As set out earlier in this judgment, the involvement of the Minister in the area under discussion stems from the power given to him by the 2015 Regulations, in particular </w:t>
      </w:r>
      <w:r w:rsidR="00283406">
        <w:rPr>
          <w:rFonts w:cs="Times New Roman"/>
        </w:rPr>
        <w:t xml:space="preserve">Regulations 27 and 28. </w:t>
      </w:r>
      <w:r w:rsidR="00F82E9F">
        <w:rPr>
          <w:rFonts w:cs="Times New Roman"/>
        </w:rPr>
        <w:t>Save for one point, t</w:t>
      </w:r>
      <w:r w:rsidR="00283406">
        <w:rPr>
          <w:rFonts w:cs="Times New Roman"/>
        </w:rPr>
        <w:t xml:space="preserve">he former can be quickly dealt with: that entitles the Minister to “revoke, refuse to make, or refuse to grant” </w:t>
      </w:r>
      <w:r w:rsidR="00283406" w:rsidRPr="003F5DC9">
        <w:rPr>
          <w:rFonts w:cs="Times New Roman"/>
          <w:u w:val="single"/>
        </w:rPr>
        <w:t>any of the matters specified</w:t>
      </w:r>
      <w:r w:rsidR="00F82E9F">
        <w:rPr>
          <w:rFonts w:cs="Times New Roman"/>
        </w:rPr>
        <w:t xml:space="preserve"> </w:t>
      </w:r>
      <w:r w:rsidR="00283406">
        <w:rPr>
          <w:rFonts w:cs="Times New Roman"/>
        </w:rPr>
        <w:t>where such is being claimed on the basis of “fraud or abuse of rights”. The latter phrase includes a marriage of convenience. The Minister did not</w:t>
      </w:r>
      <w:r w:rsidR="00CF7B05">
        <w:rPr>
          <w:rFonts w:cs="Times New Roman"/>
        </w:rPr>
        <w:t>,</w:t>
      </w:r>
      <w:r w:rsidR="00283406">
        <w:rPr>
          <w:rFonts w:cs="Times New Roman"/>
        </w:rPr>
        <w:t xml:space="preserve"> in the determination under consideration, make any finding of fraud. As the marriage of convenience issue is more fully explored in Regulation 28, it is that measure which is central to the Minister’s role on this point.  </w:t>
      </w:r>
    </w:p>
    <w:p w14:paraId="44C1AFD4" w14:textId="77777777" w:rsidR="003B13CE" w:rsidRDefault="003B13CE" w:rsidP="00775A4E">
      <w:pPr>
        <w:pStyle w:val="NoSpacing"/>
        <w:spacing w:line="480" w:lineRule="auto"/>
        <w:jc w:val="left"/>
        <w:rPr>
          <w:rFonts w:cs="Times New Roman"/>
        </w:rPr>
      </w:pPr>
    </w:p>
    <w:p w14:paraId="647B38EE" w14:textId="25A72EC9" w:rsidR="00F82E9F" w:rsidRPr="00CE11F8" w:rsidRDefault="00007AB6" w:rsidP="00775A4E">
      <w:pPr>
        <w:pStyle w:val="NoSpacing"/>
        <w:numPr>
          <w:ilvl w:val="0"/>
          <w:numId w:val="8"/>
        </w:numPr>
        <w:spacing w:line="480" w:lineRule="auto"/>
        <w:ind w:left="0" w:firstLine="0"/>
        <w:jc w:val="left"/>
        <w:rPr>
          <w:rFonts w:cs="Times New Roman"/>
        </w:rPr>
      </w:pPr>
      <w:r w:rsidRPr="00CE11F8">
        <w:rPr>
          <w:rFonts w:cs="Times New Roman"/>
        </w:rPr>
        <w:lastRenderedPageBreak/>
        <w:t xml:space="preserve">As explained, in certain circumstances </w:t>
      </w:r>
      <w:r w:rsidR="003A1CEE" w:rsidRPr="00CE11F8">
        <w:rPr>
          <w:rFonts w:cs="Times New Roman"/>
        </w:rPr>
        <w:t>the Minister</w:t>
      </w:r>
      <w:r w:rsidRPr="00CE11F8">
        <w:rPr>
          <w:rFonts w:cs="Times New Roman"/>
        </w:rPr>
        <w:t xml:space="preserve"> can determine</w:t>
      </w:r>
      <w:r w:rsidR="003A1CEE" w:rsidRPr="00CE11F8">
        <w:rPr>
          <w:rFonts w:cs="Times New Roman"/>
        </w:rPr>
        <w:t xml:space="preserve"> or deem a marriage to be a </w:t>
      </w:r>
      <w:r w:rsidRPr="00CE11F8">
        <w:rPr>
          <w:rFonts w:cs="Times New Roman"/>
        </w:rPr>
        <w:t>“marriage of convenience”</w:t>
      </w:r>
      <w:r w:rsidR="003A1CEE" w:rsidRPr="00CE11F8">
        <w:rPr>
          <w:rFonts w:cs="Times New Roman"/>
        </w:rPr>
        <w:t xml:space="preserve">: it is clear that where he comes to such a conclusion, the Minister “in making his or her determination of </w:t>
      </w:r>
      <w:r w:rsidR="003A1CEE" w:rsidRPr="00CE11F8">
        <w:rPr>
          <w:rFonts w:cs="Times New Roman"/>
          <w:u w:val="single"/>
        </w:rPr>
        <w:t>any matter relevant to these Regulations may disregard the marriage as a factor bearing on that determination</w:t>
      </w:r>
      <w:r w:rsidR="003A1CEE" w:rsidRPr="00CE11F8">
        <w:rPr>
          <w:rFonts w:cs="Times New Roman"/>
        </w:rPr>
        <w:t>”</w:t>
      </w:r>
      <w:r w:rsidR="00632306" w:rsidRPr="00CE11F8">
        <w:rPr>
          <w:rFonts w:cs="Times New Roman"/>
        </w:rPr>
        <w:t xml:space="preserve"> (Regulation 28)</w:t>
      </w:r>
      <w:r w:rsidR="003A1CEE" w:rsidRPr="00CE11F8">
        <w:rPr>
          <w:rFonts w:cs="Times New Roman"/>
        </w:rPr>
        <w:t xml:space="preserve"> (emphasis added). Thus, whilst the Minister may </w:t>
      </w:r>
      <w:r w:rsidR="00632306" w:rsidRPr="00CE11F8">
        <w:rPr>
          <w:rFonts w:cs="Times New Roman"/>
        </w:rPr>
        <w:t>make such a determination</w:t>
      </w:r>
      <w:r w:rsidR="003A1CEE" w:rsidRPr="00CE11F8">
        <w:rPr>
          <w:rFonts w:cs="Times New Roman"/>
        </w:rPr>
        <w:t xml:space="preserve">, there are </w:t>
      </w:r>
      <w:r w:rsidR="00B66E34">
        <w:rPr>
          <w:rFonts w:cs="Times New Roman"/>
        </w:rPr>
        <w:t>three</w:t>
      </w:r>
      <w:r w:rsidR="00B66E34" w:rsidRPr="00CE11F8">
        <w:rPr>
          <w:rFonts w:cs="Times New Roman"/>
        </w:rPr>
        <w:t xml:space="preserve"> </w:t>
      </w:r>
      <w:r w:rsidR="003A1CEE" w:rsidRPr="00CE11F8">
        <w:rPr>
          <w:rFonts w:cs="Times New Roman"/>
        </w:rPr>
        <w:t xml:space="preserve">constraints </w:t>
      </w:r>
      <w:r w:rsidR="00632306" w:rsidRPr="00CE11F8">
        <w:rPr>
          <w:rFonts w:cs="Times New Roman"/>
        </w:rPr>
        <w:t>built into this measure</w:t>
      </w:r>
      <w:r w:rsidR="003A1CEE" w:rsidRPr="00CE11F8">
        <w:rPr>
          <w:rFonts w:cs="Times New Roman"/>
        </w:rPr>
        <w:t xml:space="preserve">. </w:t>
      </w:r>
      <w:r w:rsidR="00CB00C9" w:rsidRPr="00CE11F8">
        <w:rPr>
          <w:rFonts w:cs="Times New Roman"/>
        </w:rPr>
        <w:t xml:space="preserve">First, the finding only comes into play when he is making a determination of any matter under the Regulations, </w:t>
      </w:r>
      <w:r w:rsidR="00B66E34">
        <w:rPr>
          <w:rFonts w:cs="Times New Roman"/>
        </w:rPr>
        <w:t xml:space="preserve">which, when properly understood includes operating </w:t>
      </w:r>
      <w:r w:rsidR="00CB00C9" w:rsidRPr="00CE11F8">
        <w:rPr>
          <w:rFonts w:cs="Times New Roman"/>
        </w:rPr>
        <w:t xml:space="preserve">the provisions of section 3 of the Immigration Act 1999. </w:t>
      </w:r>
      <w:r w:rsidR="00A04D94" w:rsidRPr="00CE11F8">
        <w:rPr>
          <w:rFonts w:cs="Times New Roman"/>
        </w:rPr>
        <w:t>Under Regulation 27</w:t>
      </w:r>
      <w:r w:rsidR="00B66E34">
        <w:rPr>
          <w:rFonts w:cs="Times New Roman"/>
        </w:rPr>
        <w:t xml:space="preserve"> (para. 4 above),</w:t>
      </w:r>
      <w:r w:rsidR="00A04D94" w:rsidRPr="00CE11F8">
        <w:rPr>
          <w:rFonts w:cs="Times New Roman"/>
        </w:rPr>
        <w:t xml:space="preserve"> the matters involved </w:t>
      </w:r>
      <w:r w:rsidR="00B66E34">
        <w:rPr>
          <w:rFonts w:cs="Times New Roman"/>
        </w:rPr>
        <w:t xml:space="preserve">essentially </w:t>
      </w:r>
      <w:r w:rsidR="00A04D94" w:rsidRPr="00CE11F8">
        <w:rPr>
          <w:rFonts w:cs="Times New Roman"/>
        </w:rPr>
        <w:t xml:space="preserve">relate to a right of residence in this jurisdiction (see what is listed at </w:t>
      </w:r>
      <w:proofErr w:type="spellStart"/>
      <w:r w:rsidR="00A04D94" w:rsidRPr="00CE11F8">
        <w:rPr>
          <w:rFonts w:cs="Times New Roman"/>
        </w:rPr>
        <w:t>subpara</w:t>
      </w:r>
      <w:proofErr w:type="spellEnd"/>
      <w:r w:rsidR="00A04D94" w:rsidRPr="00CE11F8">
        <w:rPr>
          <w:rFonts w:cs="Times New Roman"/>
        </w:rPr>
        <w:t xml:space="preserve"> (a) to (h) of para. (1))</w:t>
      </w:r>
      <w:r w:rsidR="00B66E34">
        <w:rPr>
          <w:rFonts w:cs="Times New Roman"/>
        </w:rPr>
        <w:t xml:space="preserve">.  Second, </w:t>
      </w:r>
      <w:r w:rsidR="00A04D94" w:rsidRPr="00CE11F8">
        <w:rPr>
          <w:rFonts w:cs="Times New Roman"/>
        </w:rPr>
        <w:t>Regulation 28</w:t>
      </w:r>
      <w:r w:rsidR="00B66E34">
        <w:rPr>
          <w:rFonts w:cs="Times New Roman"/>
        </w:rPr>
        <w:t>(6)</w:t>
      </w:r>
      <w:r w:rsidR="00A04D94" w:rsidRPr="00CE11F8">
        <w:rPr>
          <w:rFonts w:cs="Times New Roman"/>
        </w:rPr>
        <w:t xml:space="preserve"> </w:t>
      </w:r>
      <w:r w:rsidR="00B66E34">
        <w:rPr>
          <w:rFonts w:cs="Times New Roman"/>
        </w:rPr>
        <w:t xml:space="preserve">defines a marriage of convenience as a marriage entered into for the sole purpose of obtaining an </w:t>
      </w:r>
      <w:r w:rsidR="00A04D94" w:rsidRPr="00CE11F8">
        <w:rPr>
          <w:rFonts w:cs="Times New Roman"/>
        </w:rPr>
        <w:t xml:space="preserve">entitlement under the Directive, any transposing measure, the </w:t>
      </w:r>
      <w:r w:rsidR="00B66E34">
        <w:rPr>
          <w:rFonts w:cs="Times New Roman"/>
        </w:rPr>
        <w:t xml:space="preserve">2015 </w:t>
      </w:r>
      <w:r w:rsidR="00A04D94" w:rsidRPr="00CE11F8">
        <w:rPr>
          <w:rFonts w:cs="Times New Roman"/>
        </w:rPr>
        <w:t>Regulations or any domestic law dealing with the entry and residence of foreign nationals in the State</w:t>
      </w:r>
      <w:r w:rsidR="00B66E34">
        <w:rPr>
          <w:rFonts w:cs="Times New Roman"/>
        </w:rPr>
        <w:t xml:space="preserve"> (para. 5 above)</w:t>
      </w:r>
      <w:r w:rsidR="00A04D94" w:rsidRPr="00CE11F8">
        <w:rPr>
          <w:rFonts w:cs="Times New Roman"/>
        </w:rPr>
        <w:t xml:space="preserve">. Accordingly, in both situations the consequences of such a finding are strictly tied to the narrow context of residency matters and the overall immigration process. The 2015 Regulations do not provide for any further consequences or effects outside of that setting: in effect, these are all what might loosely be described as “immigration issues”. </w:t>
      </w:r>
      <w:r w:rsidR="00B66E34">
        <w:rPr>
          <w:rFonts w:cs="Times New Roman"/>
        </w:rPr>
        <w:t>Third</w:t>
      </w:r>
      <w:r w:rsidR="003A1CEE" w:rsidRPr="00CE11F8">
        <w:rPr>
          <w:rFonts w:cs="Times New Roman"/>
        </w:rPr>
        <w:t xml:space="preserve">, the sole consequence of </w:t>
      </w:r>
      <w:r w:rsidR="00D827DD" w:rsidRPr="00CE11F8">
        <w:rPr>
          <w:rFonts w:cs="Times New Roman"/>
        </w:rPr>
        <w:t xml:space="preserve">the Minister </w:t>
      </w:r>
      <w:r w:rsidR="003A1CEE" w:rsidRPr="00CE11F8">
        <w:rPr>
          <w:rFonts w:cs="Times New Roman"/>
        </w:rPr>
        <w:t xml:space="preserve">taking this view of a marriage is that he “may disregard” it as a factor bearing on his determination. </w:t>
      </w:r>
      <w:r w:rsidR="00BD1BB8" w:rsidRPr="00CE11F8">
        <w:rPr>
          <w:rFonts w:cs="Times New Roman"/>
        </w:rPr>
        <w:t xml:space="preserve">The word “disregard”, in its ordinary and natural meaning, has the effect that the Minister may discount it in any assessment or consideration which he may have to undertake as part of the Regulations, or under the immigration process as described. That is the sole and exclusive purpose for which the </w:t>
      </w:r>
      <w:r w:rsidR="00FD4A4D">
        <w:rPr>
          <w:rFonts w:cs="Times New Roman"/>
        </w:rPr>
        <w:t>“</w:t>
      </w:r>
      <w:r w:rsidR="00BD1BB8" w:rsidRPr="00CE11F8">
        <w:rPr>
          <w:rFonts w:cs="Times New Roman"/>
        </w:rPr>
        <w:t>disregard</w:t>
      </w:r>
      <w:r w:rsidR="00FD4A4D">
        <w:rPr>
          <w:rFonts w:cs="Times New Roman"/>
        </w:rPr>
        <w:t xml:space="preserve">” </w:t>
      </w:r>
      <w:r w:rsidR="00BD1BB8" w:rsidRPr="00CE11F8">
        <w:rPr>
          <w:rFonts w:cs="Times New Roman"/>
        </w:rPr>
        <w:t xml:space="preserve">provision exists. </w:t>
      </w:r>
    </w:p>
    <w:p w14:paraId="266CF48D" w14:textId="76E8AE03" w:rsidR="00007AB6" w:rsidRDefault="00C3471A" w:rsidP="00775A4E">
      <w:pPr>
        <w:pStyle w:val="NoSpacing"/>
        <w:spacing w:line="480" w:lineRule="auto"/>
        <w:jc w:val="left"/>
        <w:rPr>
          <w:rFonts w:cs="Times New Roman"/>
        </w:rPr>
      </w:pPr>
      <w:r>
        <w:rPr>
          <w:rFonts w:cs="Times New Roman"/>
        </w:rPr>
        <w:t xml:space="preserve">  </w:t>
      </w:r>
    </w:p>
    <w:p w14:paraId="583585C4" w14:textId="4CA26557" w:rsidR="00007AB6" w:rsidRDefault="00007AB6" w:rsidP="00775A4E">
      <w:pPr>
        <w:pStyle w:val="NoSpacing"/>
        <w:numPr>
          <w:ilvl w:val="0"/>
          <w:numId w:val="8"/>
        </w:numPr>
        <w:spacing w:line="480" w:lineRule="auto"/>
        <w:ind w:left="0" w:firstLine="0"/>
        <w:jc w:val="left"/>
        <w:rPr>
          <w:rFonts w:cs="Times New Roman"/>
        </w:rPr>
      </w:pPr>
      <w:r>
        <w:rPr>
          <w:rFonts w:cs="Times New Roman"/>
        </w:rPr>
        <w:lastRenderedPageBreak/>
        <w:t xml:space="preserve">Regulation </w:t>
      </w:r>
      <w:r w:rsidR="00AB2A3B">
        <w:rPr>
          <w:rFonts w:cs="Times New Roman"/>
        </w:rPr>
        <w:t>28</w:t>
      </w:r>
      <w:r>
        <w:rPr>
          <w:rFonts w:cs="Times New Roman"/>
        </w:rPr>
        <w:t xml:space="preserve">, either read individually or with Regulation 27, or in fact when considered in the context of the overall Regulations, goes no further. There cannot be any suggestion that Regulation </w:t>
      </w:r>
      <w:r w:rsidR="00115BF1">
        <w:rPr>
          <w:rFonts w:cs="Times New Roman"/>
        </w:rPr>
        <w:t xml:space="preserve">28 </w:t>
      </w:r>
      <w:r>
        <w:rPr>
          <w:rFonts w:cs="Times New Roman"/>
        </w:rPr>
        <w:t xml:space="preserve">should be read as conferring an </w:t>
      </w:r>
      <w:r w:rsidR="00115BF1">
        <w:rPr>
          <w:rFonts w:cs="Times New Roman"/>
        </w:rPr>
        <w:t xml:space="preserve">additional </w:t>
      </w:r>
      <w:r>
        <w:rPr>
          <w:rFonts w:cs="Times New Roman"/>
        </w:rPr>
        <w:t>power</w:t>
      </w:r>
      <w:r w:rsidR="004013ED">
        <w:rPr>
          <w:rFonts w:cs="Times New Roman"/>
        </w:rPr>
        <w:t xml:space="preserve"> </w:t>
      </w:r>
      <w:r>
        <w:rPr>
          <w:rFonts w:cs="Times New Roman"/>
        </w:rPr>
        <w:t xml:space="preserve">or authority on the Minister. </w:t>
      </w:r>
      <w:r w:rsidR="00115BF1">
        <w:rPr>
          <w:rFonts w:cs="Times New Roman"/>
        </w:rPr>
        <w:t xml:space="preserve">The Regulations quite evidently do not expressly or otherwise grant any wider powers, including that of nullity, to the Minister, nor could any such powers conceivably be </w:t>
      </w:r>
      <w:r w:rsidR="00026829">
        <w:rPr>
          <w:rFonts w:cs="Times New Roman"/>
        </w:rPr>
        <w:t>implied</w:t>
      </w:r>
      <w:r w:rsidR="00115BF1">
        <w:rPr>
          <w:rFonts w:cs="Times New Roman"/>
        </w:rPr>
        <w:t xml:space="preserve"> into the Regulations. I am satisfied that the Minister’s competence to deem a marriage to be one of convenience for the purposes of disregarding it from his consideration of the residence application does not carry with it any statutory justification for him to deem such a marriage as a nullity. </w:t>
      </w:r>
      <w:r>
        <w:rPr>
          <w:rFonts w:cs="Times New Roman"/>
        </w:rPr>
        <w:t xml:space="preserve">As a decision maker in an administrative process, the Minister is part of the executive: he is not a judicial personage as understood in constitutional terms and in statutory law giving effect where necessary to those terms. He has no jurisdiction save that </w:t>
      </w:r>
      <w:r w:rsidR="00026829">
        <w:rPr>
          <w:rFonts w:cs="Times New Roman"/>
        </w:rPr>
        <w:t xml:space="preserve">as </w:t>
      </w:r>
      <w:r>
        <w:rPr>
          <w:rFonts w:cs="Times New Roman"/>
        </w:rPr>
        <w:t>expressly conf</w:t>
      </w:r>
      <w:r w:rsidR="00FA3EA7">
        <w:rPr>
          <w:rFonts w:cs="Times New Roman"/>
        </w:rPr>
        <w:t>err</w:t>
      </w:r>
      <w:r>
        <w:rPr>
          <w:rFonts w:cs="Times New Roman"/>
        </w:rPr>
        <w:t>ed. He therefore can go no further, on foot of such a finding, than to “disregard</w:t>
      </w:r>
      <w:r w:rsidR="00026829">
        <w:rPr>
          <w:rFonts w:cs="Times New Roman"/>
        </w:rPr>
        <w:t>”</w:t>
      </w:r>
      <w:r>
        <w:rPr>
          <w:rFonts w:cs="Times New Roman"/>
        </w:rPr>
        <w:t xml:space="preserve"> </w:t>
      </w:r>
      <w:r w:rsidR="005A0566">
        <w:rPr>
          <w:rFonts w:cs="Times New Roman"/>
        </w:rPr>
        <w:t xml:space="preserve">or ignore </w:t>
      </w:r>
      <w:r>
        <w:rPr>
          <w:rFonts w:cs="Times New Roman"/>
        </w:rPr>
        <w:t xml:space="preserve">it. Self-evidently to “disregard” </w:t>
      </w:r>
      <w:r w:rsidR="00651FB1">
        <w:rPr>
          <w:rFonts w:cs="Times New Roman"/>
        </w:rPr>
        <w:t xml:space="preserve">for a particular purpose </w:t>
      </w:r>
      <w:r>
        <w:rPr>
          <w:rFonts w:cs="Times New Roman"/>
        </w:rPr>
        <w:t xml:space="preserve">cannot be elevated to pronouncing upon the </w:t>
      </w:r>
      <w:r w:rsidR="00D62C49">
        <w:rPr>
          <w:rFonts w:cs="Times New Roman"/>
        </w:rPr>
        <w:t xml:space="preserve">general </w:t>
      </w:r>
      <w:r>
        <w:rPr>
          <w:rFonts w:cs="Times New Roman"/>
        </w:rPr>
        <w:t>validity of a marriage</w:t>
      </w:r>
      <w:r w:rsidR="00FA3EA7">
        <w:rPr>
          <w:rFonts w:cs="Times New Roman"/>
        </w:rPr>
        <w:t xml:space="preserve">, or </w:t>
      </w:r>
      <w:r w:rsidR="00115BF1">
        <w:rPr>
          <w:rFonts w:cs="Times New Roman"/>
        </w:rPr>
        <w:t>the issuance of</w:t>
      </w:r>
      <w:r>
        <w:rPr>
          <w:rFonts w:cs="Times New Roman"/>
        </w:rPr>
        <w:t xml:space="preserve"> a declaration that such a marriage is a “nullity”</w:t>
      </w:r>
      <w:r w:rsidR="00651FB1">
        <w:rPr>
          <w:rFonts w:cs="Times New Roman"/>
        </w:rPr>
        <w:t>,</w:t>
      </w:r>
      <w:r>
        <w:rPr>
          <w:rFonts w:cs="Times New Roman"/>
        </w:rPr>
        <w:t xml:space="preserve"> much less that such a </w:t>
      </w:r>
      <w:r w:rsidR="00FA3EA7">
        <w:rPr>
          <w:rFonts w:cs="Times New Roman"/>
        </w:rPr>
        <w:t>marriage is devoid</w:t>
      </w:r>
      <w:r>
        <w:rPr>
          <w:rFonts w:cs="Times New Roman"/>
        </w:rPr>
        <w:t xml:space="preserve"> of all rights in all circumstances</w:t>
      </w:r>
      <w:r w:rsidR="00115BF1">
        <w:rPr>
          <w:rFonts w:cs="Times New Roman"/>
        </w:rPr>
        <w:t xml:space="preserve">, that </w:t>
      </w:r>
      <w:r w:rsidR="00D62C49">
        <w:rPr>
          <w:rFonts w:cs="Times New Roman"/>
        </w:rPr>
        <w:t>i</w:t>
      </w:r>
      <w:r w:rsidR="00115BF1">
        <w:rPr>
          <w:rFonts w:cs="Times New Roman"/>
        </w:rPr>
        <w:t>s</w:t>
      </w:r>
      <w:r w:rsidR="00D62C49">
        <w:rPr>
          <w:rFonts w:cs="Times New Roman"/>
        </w:rPr>
        <w:t>,</w:t>
      </w:r>
      <w:r>
        <w:rPr>
          <w:rFonts w:cs="Times New Roman"/>
        </w:rPr>
        <w:t xml:space="preserve"> at personal level, at third party</w:t>
      </w:r>
      <w:r w:rsidR="00FA3EA7">
        <w:rPr>
          <w:rFonts w:cs="Times New Roman"/>
        </w:rPr>
        <w:t xml:space="preserve"> level</w:t>
      </w:r>
      <w:r>
        <w:rPr>
          <w:rFonts w:cs="Times New Roman"/>
        </w:rPr>
        <w:t>, and</w:t>
      </w:r>
      <w:r w:rsidR="00D62C49">
        <w:rPr>
          <w:rFonts w:cs="Times New Roman"/>
        </w:rPr>
        <w:t>,</w:t>
      </w:r>
      <w:r>
        <w:rPr>
          <w:rFonts w:cs="Times New Roman"/>
        </w:rPr>
        <w:t xml:space="preserve"> quite significantly</w:t>
      </w:r>
      <w:r w:rsidR="00D62C49">
        <w:rPr>
          <w:rFonts w:cs="Times New Roman"/>
        </w:rPr>
        <w:t>,</w:t>
      </w:r>
      <w:r>
        <w:rPr>
          <w:rFonts w:cs="Times New Roman"/>
        </w:rPr>
        <w:t xml:space="preserve"> at public level.  </w:t>
      </w:r>
      <w:r w:rsidR="004013ED">
        <w:rPr>
          <w:rFonts w:cs="Times New Roman"/>
        </w:rPr>
        <w:t>In fairness</w:t>
      </w:r>
      <w:r w:rsidR="00D62C49">
        <w:rPr>
          <w:rFonts w:cs="Times New Roman"/>
        </w:rPr>
        <w:t>,</w:t>
      </w:r>
      <w:r w:rsidR="004013ED">
        <w:rPr>
          <w:rFonts w:cs="Times New Roman"/>
        </w:rPr>
        <w:t xml:space="preserve"> in his assessment under section 3 of the 1999 Act, the Minister did not purport to so do. Stressing that such a submission was not made in the court below, nonetheless </w:t>
      </w:r>
      <w:r w:rsidR="00115BF1">
        <w:rPr>
          <w:rFonts w:cs="Times New Roman"/>
        </w:rPr>
        <w:t>if it had</w:t>
      </w:r>
      <w:r w:rsidR="00DF6DCA">
        <w:rPr>
          <w:rFonts w:cs="Times New Roman"/>
        </w:rPr>
        <w:t xml:space="preserve"> been</w:t>
      </w:r>
      <w:r w:rsidR="00115BF1">
        <w:rPr>
          <w:rFonts w:cs="Times New Roman"/>
        </w:rPr>
        <w:t>, I would seriously question whether any purported delegation of such a power by statutory instrument to the Minister would be valid. Such would</w:t>
      </w:r>
      <w:r w:rsidR="00DF6DCA">
        <w:rPr>
          <w:rFonts w:cs="Times New Roman"/>
        </w:rPr>
        <w:t>,</w:t>
      </w:r>
      <w:r w:rsidR="00115BF1">
        <w:rPr>
          <w:rFonts w:cs="Times New Roman"/>
        </w:rPr>
        <w:t xml:space="preserve"> in my view</w:t>
      </w:r>
      <w:r w:rsidR="00DF6DCA">
        <w:rPr>
          <w:rFonts w:cs="Times New Roman"/>
        </w:rPr>
        <w:t>,</w:t>
      </w:r>
      <w:r w:rsidR="00115BF1">
        <w:rPr>
          <w:rFonts w:cs="Times New Roman"/>
        </w:rPr>
        <w:t xml:space="preserve"> be highly questionable</w:t>
      </w:r>
      <w:r w:rsidR="00BB4B76">
        <w:rPr>
          <w:rFonts w:cs="Times New Roman"/>
        </w:rPr>
        <w:t xml:space="preserve">, </w:t>
      </w:r>
      <w:r w:rsidR="00304A8F">
        <w:rPr>
          <w:rFonts w:cs="Times New Roman"/>
        </w:rPr>
        <w:t xml:space="preserve">given </w:t>
      </w:r>
      <w:r w:rsidR="00BB4B76">
        <w:rPr>
          <w:rFonts w:cs="Times New Roman"/>
        </w:rPr>
        <w:t xml:space="preserve">the strong protections afforded to marriage under the Constitution and the detailed statutory schemes which govern the creation and dissolution of such unions.  </w:t>
      </w:r>
    </w:p>
    <w:p w14:paraId="15DB3931" w14:textId="579C014D" w:rsidR="00C821D9" w:rsidRDefault="00C821D9" w:rsidP="00775A4E">
      <w:pPr>
        <w:pStyle w:val="NoSpacing"/>
        <w:spacing w:line="480" w:lineRule="auto"/>
        <w:jc w:val="left"/>
        <w:rPr>
          <w:rFonts w:cs="Times New Roman"/>
        </w:rPr>
      </w:pPr>
    </w:p>
    <w:p w14:paraId="284C112F" w14:textId="77777777" w:rsidR="00FD4A4D" w:rsidRDefault="00FD4A4D" w:rsidP="00775A4E">
      <w:pPr>
        <w:pStyle w:val="NoSpacing"/>
        <w:spacing w:line="480" w:lineRule="auto"/>
        <w:jc w:val="left"/>
        <w:rPr>
          <w:rFonts w:cs="Times New Roman"/>
          <w:b/>
          <w:u w:val="single"/>
        </w:rPr>
      </w:pPr>
    </w:p>
    <w:p w14:paraId="16EACF6D" w14:textId="19BAA4AC" w:rsidR="00C821D9" w:rsidRDefault="00C821D9" w:rsidP="00775A4E">
      <w:pPr>
        <w:pStyle w:val="NoSpacing"/>
        <w:spacing w:line="480" w:lineRule="auto"/>
        <w:jc w:val="left"/>
        <w:rPr>
          <w:rFonts w:cs="Times New Roman"/>
          <w:b/>
          <w:u w:val="single"/>
        </w:rPr>
      </w:pPr>
      <w:r w:rsidRPr="003F5DC9">
        <w:rPr>
          <w:rFonts w:cs="Times New Roman"/>
          <w:b/>
          <w:u w:val="single"/>
        </w:rPr>
        <w:lastRenderedPageBreak/>
        <w:t xml:space="preserve">The </w:t>
      </w:r>
      <w:r w:rsidR="005A0566">
        <w:rPr>
          <w:rFonts w:cs="Times New Roman"/>
          <w:b/>
          <w:u w:val="single"/>
        </w:rPr>
        <w:t>Judgment under Appeal on this Issue</w:t>
      </w:r>
    </w:p>
    <w:p w14:paraId="3E893172" w14:textId="67DA1B87" w:rsidR="00543E02" w:rsidRDefault="00C821D9" w:rsidP="00775A4E">
      <w:pPr>
        <w:pStyle w:val="NoSpacing"/>
        <w:numPr>
          <w:ilvl w:val="0"/>
          <w:numId w:val="8"/>
        </w:numPr>
        <w:spacing w:line="480" w:lineRule="auto"/>
        <w:ind w:left="0" w:firstLine="0"/>
        <w:jc w:val="left"/>
        <w:rPr>
          <w:rFonts w:cs="Times New Roman"/>
        </w:rPr>
      </w:pPr>
      <w:r>
        <w:rPr>
          <w:rFonts w:cs="Times New Roman"/>
        </w:rPr>
        <w:t>In a consideration of this it is necessary to consider a number of decisions which t</w:t>
      </w:r>
      <w:r w:rsidR="00F02F22" w:rsidRPr="002D2E20">
        <w:rPr>
          <w:rFonts w:cs="Times New Roman"/>
        </w:rPr>
        <w:t xml:space="preserve">he Court has been referred to </w:t>
      </w:r>
      <w:r w:rsidR="00543E02">
        <w:rPr>
          <w:rFonts w:cs="Times New Roman"/>
        </w:rPr>
        <w:t xml:space="preserve">such as </w:t>
      </w:r>
      <w:r w:rsidR="00654BEB" w:rsidRPr="00704BA7">
        <w:rPr>
          <w:rFonts w:cs="Times New Roman"/>
          <w:i/>
          <w:iCs/>
        </w:rPr>
        <w:t>H.S. v. J.S.</w:t>
      </w:r>
      <w:r w:rsidR="00654BEB" w:rsidRPr="00654BEB">
        <w:rPr>
          <w:rFonts w:cs="Times New Roman"/>
        </w:rPr>
        <w:t xml:space="preserve">, </w:t>
      </w:r>
      <w:r w:rsidR="00654BEB" w:rsidRPr="00704BA7">
        <w:rPr>
          <w:rFonts w:cs="Times New Roman"/>
          <w:i/>
          <w:iCs/>
        </w:rPr>
        <w:t>Kelly</w:t>
      </w:r>
      <w:r w:rsidR="00654BEB" w:rsidRPr="00654BEB">
        <w:rPr>
          <w:rFonts w:cs="Times New Roman"/>
        </w:rPr>
        <w:t xml:space="preserve"> and </w:t>
      </w:r>
      <w:r w:rsidR="00654BEB" w:rsidRPr="00704BA7">
        <w:rPr>
          <w:rFonts w:cs="Times New Roman"/>
          <w:i/>
          <w:iCs/>
        </w:rPr>
        <w:t>Izmailovic</w:t>
      </w:r>
      <w:r w:rsidR="00654BEB">
        <w:rPr>
          <w:rFonts w:cs="Times New Roman"/>
        </w:rPr>
        <w:t>,</w:t>
      </w:r>
      <w:r w:rsidR="00654BEB" w:rsidRPr="00654BEB" w:rsidDel="00654BEB">
        <w:rPr>
          <w:rFonts w:cs="Times New Roman"/>
        </w:rPr>
        <w:t xml:space="preserve"> </w:t>
      </w:r>
      <w:r w:rsidR="00543E02">
        <w:rPr>
          <w:rFonts w:cs="Times New Roman"/>
        </w:rPr>
        <w:t xml:space="preserve">as well as the </w:t>
      </w:r>
      <w:r w:rsidR="00F36648">
        <w:rPr>
          <w:rFonts w:cs="Times New Roman"/>
        </w:rPr>
        <w:t>judgment</w:t>
      </w:r>
      <w:r w:rsidR="00F02F22" w:rsidRPr="002D2E20">
        <w:rPr>
          <w:rFonts w:cs="Times New Roman"/>
        </w:rPr>
        <w:t xml:space="preserve"> in </w:t>
      </w:r>
      <w:proofErr w:type="spellStart"/>
      <w:r w:rsidR="00244376" w:rsidRPr="002D2E20">
        <w:rPr>
          <w:rFonts w:cs="Times New Roman"/>
          <w:i/>
          <w:iCs/>
        </w:rPr>
        <w:t>Vervaeke</w:t>
      </w:r>
      <w:proofErr w:type="spellEnd"/>
      <w:r w:rsidR="00244376" w:rsidRPr="002D2E20">
        <w:rPr>
          <w:rFonts w:cs="Times New Roman"/>
        </w:rPr>
        <w:t xml:space="preserve">, which was relied upon by Hogan </w:t>
      </w:r>
      <w:r w:rsidR="001513A6">
        <w:rPr>
          <w:rFonts w:cs="Times New Roman"/>
        </w:rPr>
        <w:t xml:space="preserve">J. </w:t>
      </w:r>
      <w:r w:rsidR="00543E02">
        <w:rPr>
          <w:rFonts w:cs="Times New Roman"/>
          <w:iCs/>
        </w:rPr>
        <w:t>in coming to the conclusion which he did</w:t>
      </w:r>
      <w:r w:rsidR="00D71113" w:rsidRPr="00D71113">
        <w:rPr>
          <w:rFonts w:cs="Times New Roman"/>
        </w:rPr>
        <w:t xml:space="preserve"> </w:t>
      </w:r>
      <w:r w:rsidR="00D71113" w:rsidRPr="002D2E20">
        <w:rPr>
          <w:rFonts w:cs="Times New Roman"/>
        </w:rPr>
        <w:t xml:space="preserve">in </w:t>
      </w:r>
      <w:r w:rsidR="00D71113" w:rsidRPr="002D2E20">
        <w:rPr>
          <w:rFonts w:cs="Times New Roman"/>
          <w:i/>
          <w:iCs/>
        </w:rPr>
        <w:t>Izmailovic</w:t>
      </w:r>
      <w:r w:rsidR="00244376" w:rsidRPr="002D2E20">
        <w:rPr>
          <w:rFonts w:cs="Times New Roman"/>
        </w:rPr>
        <w:t xml:space="preserve">. </w:t>
      </w:r>
      <w:r w:rsidR="00543E02">
        <w:rPr>
          <w:rFonts w:cs="Times New Roman"/>
        </w:rPr>
        <w:t xml:space="preserve">Together with the judgment </w:t>
      </w:r>
      <w:r w:rsidR="00F36648">
        <w:rPr>
          <w:rFonts w:cs="Times New Roman"/>
        </w:rPr>
        <w:t>under appeal</w:t>
      </w:r>
      <w:r w:rsidR="00543E02">
        <w:rPr>
          <w:rFonts w:cs="Times New Roman"/>
        </w:rPr>
        <w:t xml:space="preserve"> in this case, what do these cases show?  </w:t>
      </w:r>
    </w:p>
    <w:p w14:paraId="27539ED8" w14:textId="77777777" w:rsidR="00543E02" w:rsidRDefault="00543E02" w:rsidP="00775A4E">
      <w:pPr>
        <w:pStyle w:val="ListParagraph"/>
        <w:spacing w:after="0" w:line="480" w:lineRule="auto"/>
        <w:rPr>
          <w:rFonts w:cs="Times New Roman"/>
        </w:rPr>
      </w:pPr>
    </w:p>
    <w:p w14:paraId="66F121BD" w14:textId="355EEB4D" w:rsidR="00500626" w:rsidRDefault="00543E02" w:rsidP="00775A4E">
      <w:pPr>
        <w:pStyle w:val="NoSpacing"/>
        <w:numPr>
          <w:ilvl w:val="0"/>
          <w:numId w:val="8"/>
        </w:numPr>
        <w:spacing w:line="480" w:lineRule="auto"/>
        <w:ind w:left="0" w:firstLine="0"/>
        <w:jc w:val="left"/>
        <w:rPr>
          <w:rFonts w:cs="Times New Roman"/>
        </w:rPr>
      </w:pPr>
      <w:r>
        <w:rPr>
          <w:rFonts w:cs="Times New Roman"/>
        </w:rPr>
        <w:t xml:space="preserve">The decision in </w:t>
      </w:r>
      <w:proofErr w:type="spellStart"/>
      <w:r w:rsidRPr="003F5DC9">
        <w:rPr>
          <w:rFonts w:cs="Times New Roman"/>
          <w:i/>
        </w:rPr>
        <w:t>Vervaeke</w:t>
      </w:r>
      <w:proofErr w:type="spellEnd"/>
      <w:r w:rsidRPr="003F5DC9">
        <w:rPr>
          <w:rFonts w:cs="Times New Roman"/>
          <w:i/>
        </w:rPr>
        <w:t>,</w:t>
      </w:r>
      <w:r>
        <w:rPr>
          <w:rFonts w:cs="Times New Roman"/>
        </w:rPr>
        <w:t xml:space="preserve"> despite </w:t>
      </w:r>
      <w:r w:rsidRPr="003F5DC9">
        <w:rPr>
          <w:rFonts w:cs="Times New Roman"/>
          <w:i/>
        </w:rPr>
        <w:t>Kelly</w:t>
      </w:r>
      <w:r>
        <w:rPr>
          <w:rFonts w:cs="Times New Roman"/>
        </w:rPr>
        <w:t xml:space="preserve">, is not impotent </w:t>
      </w:r>
      <w:r w:rsidR="00C821D9">
        <w:rPr>
          <w:rFonts w:cs="Times New Roman"/>
        </w:rPr>
        <w:t xml:space="preserve">of effect or importance </w:t>
      </w:r>
      <w:r w:rsidR="00D71113">
        <w:rPr>
          <w:rFonts w:cs="Times New Roman"/>
        </w:rPr>
        <w:t>and should not be disregarded</w:t>
      </w:r>
      <w:r>
        <w:rPr>
          <w:rFonts w:cs="Times New Roman"/>
        </w:rPr>
        <w:t xml:space="preserve">. </w:t>
      </w:r>
      <w:r w:rsidR="00F36648">
        <w:rPr>
          <w:rFonts w:cs="Times New Roman"/>
        </w:rPr>
        <w:t>The subject marriage in that case was entered into by the applicant solely to obtain British nationality</w:t>
      </w:r>
      <w:r w:rsidR="00E81ABA">
        <w:rPr>
          <w:rFonts w:cs="Times New Roman"/>
        </w:rPr>
        <w:t>,</w:t>
      </w:r>
      <w:r w:rsidR="00F36648">
        <w:rPr>
          <w:rFonts w:cs="Times New Roman"/>
        </w:rPr>
        <w:t xml:space="preserve"> which in fact she did, </w:t>
      </w:r>
      <w:r w:rsidR="00C821D9">
        <w:rPr>
          <w:rFonts w:cs="Times New Roman"/>
        </w:rPr>
        <w:t>so as to prevent her deportation</w:t>
      </w:r>
      <w:r w:rsidR="00F36648">
        <w:rPr>
          <w:rFonts w:cs="Times New Roman"/>
        </w:rPr>
        <w:t xml:space="preserve"> as a prostitute. </w:t>
      </w:r>
      <w:r w:rsidR="00BB4B76">
        <w:rPr>
          <w:rFonts w:cs="Times New Roman"/>
        </w:rPr>
        <w:t>Several years later</w:t>
      </w:r>
      <w:r w:rsidR="00E81ABA">
        <w:rPr>
          <w:rFonts w:cs="Times New Roman"/>
        </w:rPr>
        <w:t>,</w:t>
      </w:r>
      <w:r w:rsidR="00BB4B76">
        <w:rPr>
          <w:rFonts w:cs="Times New Roman"/>
        </w:rPr>
        <w:t xml:space="preserve"> so as to inherit under a second purported marriage, she issued a petition seeking a nullity from</w:t>
      </w:r>
      <w:r w:rsidR="007C5F6C">
        <w:rPr>
          <w:rFonts w:cs="Times New Roman"/>
        </w:rPr>
        <w:t xml:space="preserve"> Mr.</w:t>
      </w:r>
      <w:r w:rsidR="00BB4B76">
        <w:rPr>
          <w:rFonts w:cs="Times New Roman"/>
        </w:rPr>
        <w:t xml:space="preserve"> </w:t>
      </w:r>
      <w:r w:rsidR="00BB4B76" w:rsidRPr="00775A4E">
        <w:rPr>
          <w:rFonts w:cs="Times New Roman"/>
          <w:iCs/>
        </w:rPr>
        <w:t>Smith</w:t>
      </w:r>
      <w:r w:rsidR="00BB4B76">
        <w:rPr>
          <w:rFonts w:cs="Times New Roman"/>
        </w:rPr>
        <w:t xml:space="preserve">. </w:t>
      </w:r>
      <w:r>
        <w:rPr>
          <w:rFonts w:cs="Times New Roman"/>
        </w:rPr>
        <w:t xml:space="preserve">That decision </w:t>
      </w:r>
      <w:r w:rsidR="00846C7A" w:rsidRPr="002D2E20">
        <w:rPr>
          <w:rFonts w:cs="Times New Roman"/>
        </w:rPr>
        <w:t xml:space="preserve">is in reality reflective of one of two schools of thought </w:t>
      </w:r>
      <w:r w:rsidR="008F7F7F" w:rsidRPr="002D2E20">
        <w:rPr>
          <w:rFonts w:cs="Times New Roman"/>
        </w:rPr>
        <w:t xml:space="preserve">regarding </w:t>
      </w:r>
      <w:r>
        <w:rPr>
          <w:rFonts w:cs="Times New Roman"/>
        </w:rPr>
        <w:t xml:space="preserve">the “validity” of </w:t>
      </w:r>
      <w:r w:rsidR="008F7F7F" w:rsidRPr="002D2E20">
        <w:rPr>
          <w:rFonts w:cs="Times New Roman"/>
        </w:rPr>
        <w:t xml:space="preserve">marriages, </w:t>
      </w:r>
      <w:r>
        <w:rPr>
          <w:rFonts w:cs="Times New Roman"/>
        </w:rPr>
        <w:t xml:space="preserve">which directly impacts on a nullity application, </w:t>
      </w:r>
      <w:r w:rsidR="008F7F7F" w:rsidRPr="002D2E20">
        <w:rPr>
          <w:rFonts w:cs="Times New Roman"/>
        </w:rPr>
        <w:t xml:space="preserve">a point </w:t>
      </w:r>
      <w:r>
        <w:rPr>
          <w:rFonts w:cs="Times New Roman"/>
        </w:rPr>
        <w:t>expressly acknowledged</w:t>
      </w:r>
      <w:r w:rsidR="008F7F7F" w:rsidRPr="002D2E20">
        <w:rPr>
          <w:rFonts w:cs="Times New Roman"/>
        </w:rPr>
        <w:t xml:space="preserve"> by Barron </w:t>
      </w:r>
      <w:r w:rsidR="001513A6">
        <w:rPr>
          <w:rFonts w:cs="Times New Roman"/>
        </w:rPr>
        <w:t xml:space="preserve">J. </w:t>
      </w:r>
      <w:r w:rsidR="008F7F7F" w:rsidRPr="002D2E20">
        <w:rPr>
          <w:rFonts w:cs="Times New Roman"/>
        </w:rPr>
        <w:t xml:space="preserve">in </w:t>
      </w:r>
      <w:r w:rsidR="00DA0E45" w:rsidRPr="002D2E20">
        <w:rPr>
          <w:rFonts w:cs="Times New Roman"/>
          <w:i/>
          <w:iCs/>
        </w:rPr>
        <w:t>Kelly v. Ireland</w:t>
      </w:r>
      <w:r w:rsidR="00DA0E45" w:rsidRPr="002D2E20">
        <w:rPr>
          <w:rFonts w:cs="Times New Roman"/>
        </w:rPr>
        <w:t xml:space="preserve">. One school looks solely to the </w:t>
      </w:r>
      <w:r>
        <w:rPr>
          <w:rFonts w:cs="Times New Roman"/>
        </w:rPr>
        <w:t>formal requirements of a marriage</w:t>
      </w:r>
      <w:r w:rsidR="00DE5FE2">
        <w:rPr>
          <w:rFonts w:cs="Times New Roman"/>
        </w:rPr>
        <w:t>: if conducted</w:t>
      </w:r>
      <w:r>
        <w:rPr>
          <w:rFonts w:cs="Times New Roman"/>
        </w:rPr>
        <w:t xml:space="preserve"> in accordance with the </w:t>
      </w:r>
      <w:proofErr w:type="spellStart"/>
      <w:r w:rsidRPr="003F5DC9">
        <w:rPr>
          <w:rFonts w:cs="Times New Roman"/>
          <w:i/>
        </w:rPr>
        <w:t>lex</w:t>
      </w:r>
      <w:proofErr w:type="spellEnd"/>
      <w:r w:rsidRPr="003F5DC9">
        <w:rPr>
          <w:rFonts w:cs="Times New Roman"/>
          <w:i/>
        </w:rPr>
        <w:t xml:space="preserve"> loci </w:t>
      </w:r>
      <w:proofErr w:type="spellStart"/>
      <w:r w:rsidRPr="003F5DC9">
        <w:rPr>
          <w:rFonts w:cs="Times New Roman"/>
          <w:i/>
        </w:rPr>
        <w:t>celeb</w:t>
      </w:r>
      <w:r w:rsidR="00F36648">
        <w:rPr>
          <w:rFonts w:cs="Times New Roman"/>
          <w:i/>
        </w:rPr>
        <w:t>r</w:t>
      </w:r>
      <w:r w:rsidRPr="003F5DC9">
        <w:rPr>
          <w:rFonts w:cs="Times New Roman"/>
          <w:i/>
        </w:rPr>
        <w:t>atio</w:t>
      </w:r>
      <w:r w:rsidR="00F36648">
        <w:rPr>
          <w:rFonts w:cs="Times New Roman"/>
          <w:i/>
        </w:rPr>
        <w:t>nis</w:t>
      </w:r>
      <w:proofErr w:type="spellEnd"/>
      <w:r w:rsidR="00E81ABA">
        <w:rPr>
          <w:rFonts w:cs="Times New Roman"/>
          <w:iCs/>
        </w:rPr>
        <w:t>,</w:t>
      </w:r>
      <w:r w:rsidR="00DE5FE2">
        <w:rPr>
          <w:rFonts w:cs="Times New Roman"/>
          <w:i/>
        </w:rPr>
        <w:t xml:space="preserve"> </w:t>
      </w:r>
      <w:r w:rsidR="00DE5FE2">
        <w:rPr>
          <w:rFonts w:cs="Times New Roman"/>
        </w:rPr>
        <w:t>it is valid</w:t>
      </w:r>
      <w:r>
        <w:rPr>
          <w:rFonts w:cs="Times New Roman"/>
        </w:rPr>
        <w:t xml:space="preserve">. </w:t>
      </w:r>
      <w:proofErr w:type="spellStart"/>
      <w:r w:rsidRPr="003F5DC9">
        <w:rPr>
          <w:rFonts w:cs="Times New Roman"/>
          <w:i/>
        </w:rPr>
        <w:t>Vervaeke</w:t>
      </w:r>
      <w:proofErr w:type="spellEnd"/>
      <w:r w:rsidRPr="003F5DC9">
        <w:rPr>
          <w:rFonts w:cs="Times New Roman"/>
          <w:i/>
        </w:rPr>
        <w:t xml:space="preserve"> </w:t>
      </w:r>
      <w:r>
        <w:rPr>
          <w:rFonts w:cs="Times New Roman"/>
        </w:rPr>
        <w:t>is a good example of this</w:t>
      </w:r>
      <w:r w:rsidR="00E81ABA">
        <w:rPr>
          <w:rFonts w:cs="Times New Roman"/>
        </w:rPr>
        <w:t>,</w:t>
      </w:r>
      <w:r>
        <w:rPr>
          <w:rFonts w:cs="Times New Roman"/>
        </w:rPr>
        <w:t xml:space="preserve"> where the House of Lords endorsed the following passage from the trial judge, </w:t>
      </w:r>
      <w:r w:rsidR="00500626">
        <w:rPr>
          <w:rFonts w:cs="Times New Roman"/>
        </w:rPr>
        <w:t>Ormrod J</w:t>
      </w:r>
      <w:r w:rsidR="00E81ABA">
        <w:rPr>
          <w:rFonts w:cs="Times New Roman"/>
        </w:rPr>
        <w:t>:</w:t>
      </w:r>
      <w:r w:rsidR="00F36648">
        <w:rPr>
          <w:rFonts w:cs="Times New Roman"/>
        </w:rPr>
        <w:t xml:space="preserve"> “</w:t>
      </w:r>
      <w:r w:rsidR="00F36648" w:rsidRPr="003F5DC9">
        <w:rPr>
          <w:rFonts w:cs="Times New Roman"/>
          <w:i/>
        </w:rPr>
        <w:t>Where a man and woman consent to marry one another in a formal ceremony, conducted in accordance with the formalities required by law, knowing that it is a marriage ceremony, it is immaterial that they do not intend to live together as man and wife</w:t>
      </w:r>
      <w:r w:rsidR="003D38DA">
        <w:rPr>
          <w:rFonts w:cs="Times New Roman"/>
          <w:i/>
        </w:rPr>
        <w:t xml:space="preserve"> </w:t>
      </w:r>
      <w:r w:rsidR="00F36648" w:rsidRPr="003F5DC9">
        <w:rPr>
          <w:rFonts w:cs="Times New Roman"/>
          <w:i/>
        </w:rPr>
        <w:t>…</w:t>
      </w:r>
      <w:r w:rsidR="003D38DA">
        <w:rPr>
          <w:rFonts w:cs="Times New Roman"/>
          <w:i/>
        </w:rPr>
        <w:t xml:space="preserve"> </w:t>
      </w:r>
      <w:r w:rsidR="00F36648" w:rsidRPr="003F5DC9">
        <w:rPr>
          <w:rFonts w:cs="Times New Roman"/>
          <w:i/>
        </w:rPr>
        <w:t>or that they intend the marriage to take effect in some limited way…</w:t>
      </w:r>
      <w:r w:rsidR="00F36648">
        <w:rPr>
          <w:rFonts w:cs="Times New Roman"/>
        </w:rPr>
        <w:t>” (p. 151/152)</w:t>
      </w:r>
      <w:r w:rsidR="003D38DA">
        <w:rPr>
          <w:rFonts w:cs="Times New Roman"/>
        </w:rPr>
        <w:t>.</w:t>
      </w:r>
      <w:r w:rsidR="00F36648">
        <w:rPr>
          <w:rFonts w:cs="Times New Roman"/>
        </w:rPr>
        <w:t xml:space="preserve"> Lord Hailsham</w:t>
      </w:r>
      <w:r w:rsidR="00C821D9">
        <w:rPr>
          <w:rFonts w:cs="Times New Roman"/>
        </w:rPr>
        <w:t>, in the House,</w:t>
      </w:r>
      <w:r w:rsidR="00F36648">
        <w:rPr>
          <w:rFonts w:cs="Times New Roman"/>
        </w:rPr>
        <w:t xml:space="preserve"> continued</w:t>
      </w:r>
      <w:r w:rsidR="003D38DA">
        <w:rPr>
          <w:rFonts w:cs="Times New Roman"/>
        </w:rPr>
        <w:t>:</w:t>
      </w:r>
      <w:r w:rsidR="00F36648">
        <w:rPr>
          <w:rFonts w:cs="Times New Roman"/>
        </w:rPr>
        <w:t xml:space="preserve"> “</w:t>
      </w:r>
      <w:r w:rsidR="00F36648" w:rsidRPr="003F5DC9">
        <w:rPr>
          <w:rFonts w:cs="Times New Roman"/>
          <w:i/>
        </w:rPr>
        <w:t xml:space="preserve">the fact </w:t>
      </w:r>
      <w:r w:rsidR="00F36648">
        <w:rPr>
          <w:rFonts w:cs="Times New Roman"/>
          <w:i/>
        </w:rPr>
        <w:t>is that in the English law of marriage there is no room for mental reservations or private arrangements regarding the parties</w:t>
      </w:r>
      <w:r w:rsidR="003D38DA">
        <w:rPr>
          <w:rFonts w:cs="Times New Roman"/>
          <w:i/>
        </w:rPr>
        <w:t>’</w:t>
      </w:r>
      <w:r w:rsidR="00F36648">
        <w:rPr>
          <w:rFonts w:cs="Times New Roman"/>
          <w:i/>
        </w:rPr>
        <w:t xml:space="preserve"> personal relationships, once it is established that the parties are free to marry one another, have consented to the achievement of the married stat</w:t>
      </w:r>
      <w:r w:rsidR="00C821D9">
        <w:rPr>
          <w:rFonts w:cs="Times New Roman"/>
          <w:i/>
        </w:rPr>
        <w:t>us</w:t>
      </w:r>
      <w:r w:rsidR="00F36648">
        <w:rPr>
          <w:rFonts w:cs="Times New Roman"/>
          <w:i/>
        </w:rPr>
        <w:t xml:space="preserve"> and observed the necessary formalities”.</w:t>
      </w:r>
      <w:r w:rsidR="00073BF3">
        <w:rPr>
          <w:rFonts w:cs="Times New Roman"/>
          <w:i/>
        </w:rPr>
        <w:t xml:space="preserve"> </w:t>
      </w:r>
      <w:r w:rsidR="00073BF3">
        <w:rPr>
          <w:rFonts w:cs="Times New Roman"/>
        </w:rPr>
        <w:t xml:space="preserve">One can add that the motives or reasons for </w:t>
      </w:r>
      <w:r w:rsidR="00073BF3">
        <w:rPr>
          <w:rFonts w:cs="Times New Roman"/>
        </w:rPr>
        <w:lastRenderedPageBreak/>
        <w:t xml:space="preserve">marriage, or the existence of some secret agreement or arrangement between the parties, are not factors </w:t>
      </w:r>
      <w:r w:rsidR="00C821D9">
        <w:rPr>
          <w:rFonts w:cs="Times New Roman"/>
        </w:rPr>
        <w:t xml:space="preserve">which </w:t>
      </w:r>
      <w:r w:rsidR="00D20AE9">
        <w:rPr>
          <w:rFonts w:cs="Times New Roman"/>
        </w:rPr>
        <w:t xml:space="preserve">affect </w:t>
      </w:r>
      <w:r w:rsidR="00500626">
        <w:rPr>
          <w:rFonts w:cs="Times New Roman"/>
        </w:rPr>
        <w:t xml:space="preserve">the formal validity of </w:t>
      </w:r>
      <w:r w:rsidR="00073BF3">
        <w:rPr>
          <w:rFonts w:cs="Times New Roman"/>
        </w:rPr>
        <w:t xml:space="preserve">a </w:t>
      </w:r>
      <w:r w:rsidR="00500626">
        <w:rPr>
          <w:rFonts w:cs="Times New Roman"/>
        </w:rPr>
        <w:t xml:space="preserve">marriage.  </w:t>
      </w:r>
      <w:r w:rsidR="004A0123" w:rsidRPr="002D2E20">
        <w:rPr>
          <w:rFonts w:cs="Times New Roman"/>
        </w:rPr>
        <w:t xml:space="preserve"> </w:t>
      </w:r>
    </w:p>
    <w:p w14:paraId="2D658C88" w14:textId="77777777" w:rsidR="001D4F90" w:rsidRDefault="001D4F90" w:rsidP="00775A4E">
      <w:pPr>
        <w:pStyle w:val="NoSpacing"/>
        <w:spacing w:line="480" w:lineRule="auto"/>
        <w:jc w:val="left"/>
        <w:rPr>
          <w:rFonts w:cs="Times New Roman"/>
        </w:rPr>
      </w:pPr>
    </w:p>
    <w:p w14:paraId="3737AFD9" w14:textId="1575B9F9" w:rsidR="00DE5FE2" w:rsidRDefault="00500626" w:rsidP="00775A4E">
      <w:pPr>
        <w:pStyle w:val="NoSpacing"/>
        <w:numPr>
          <w:ilvl w:val="0"/>
          <w:numId w:val="8"/>
        </w:numPr>
        <w:spacing w:line="480" w:lineRule="auto"/>
        <w:ind w:left="0" w:firstLine="0"/>
        <w:jc w:val="left"/>
        <w:rPr>
          <w:rFonts w:cs="Times New Roman"/>
        </w:rPr>
      </w:pPr>
      <w:proofErr w:type="spellStart"/>
      <w:r w:rsidRPr="003F5DC9">
        <w:rPr>
          <w:rFonts w:cs="Times New Roman"/>
          <w:i/>
        </w:rPr>
        <w:t>Vervaeke</w:t>
      </w:r>
      <w:proofErr w:type="spellEnd"/>
      <w:r w:rsidR="00D20AE9">
        <w:rPr>
          <w:rFonts w:cs="Times New Roman"/>
          <w:iCs/>
        </w:rPr>
        <w:t>,</w:t>
      </w:r>
      <w:r>
        <w:rPr>
          <w:rFonts w:cs="Times New Roman"/>
        </w:rPr>
        <w:t xml:space="preserve"> </w:t>
      </w:r>
      <w:r w:rsidR="00DE5FE2">
        <w:rPr>
          <w:rFonts w:cs="Times New Roman"/>
        </w:rPr>
        <w:t>however</w:t>
      </w:r>
      <w:r w:rsidR="00D20AE9">
        <w:rPr>
          <w:rFonts w:cs="Times New Roman"/>
        </w:rPr>
        <w:t>,</w:t>
      </w:r>
      <w:r w:rsidR="00DE5FE2">
        <w:rPr>
          <w:rFonts w:cs="Times New Roman"/>
        </w:rPr>
        <w:t xml:space="preserve"> </w:t>
      </w:r>
      <w:r>
        <w:rPr>
          <w:rFonts w:cs="Times New Roman"/>
        </w:rPr>
        <w:t xml:space="preserve">also </w:t>
      </w:r>
      <w:r w:rsidR="00BB4B76">
        <w:rPr>
          <w:rFonts w:cs="Times New Roman"/>
        </w:rPr>
        <w:t xml:space="preserve">acknowledged </w:t>
      </w:r>
      <w:r>
        <w:rPr>
          <w:rFonts w:cs="Times New Roman"/>
        </w:rPr>
        <w:t xml:space="preserve">that there is a second </w:t>
      </w:r>
      <w:r w:rsidR="00C821D9">
        <w:rPr>
          <w:rFonts w:cs="Times New Roman"/>
        </w:rPr>
        <w:t>view</w:t>
      </w:r>
      <w:r w:rsidR="004A0123" w:rsidRPr="002D2E20">
        <w:rPr>
          <w:rFonts w:cs="Times New Roman"/>
        </w:rPr>
        <w:t xml:space="preserve">, </w:t>
      </w:r>
      <w:r w:rsidR="0098001F" w:rsidRPr="002D2E20">
        <w:rPr>
          <w:rFonts w:cs="Times New Roman"/>
        </w:rPr>
        <w:t>according to which the circumstances surrounding the marriage may also be looked at, in order to determine whether</w:t>
      </w:r>
      <w:r w:rsidR="00BB4B76">
        <w:rPr>
          <w:rFonts w:cs="Times New Roman"/>
        </w:rPr>
        <w:t xml:space="preserve">, if otherwise regular in form, it is or is not a valid marriage. </w:t>
      </w:r>
      <w:r w:rsidR="00262EB7">
        <w:rPr>
          <w:rFonts w:cs="Times New Roman"/>
        </w:rPr>
        <w:t xml:space="preserve">Various judgments describe </w:t>
      </w:r>
      <w:r w:rsidR="00DE5FE2">
        <w:rPr>
          <w:rFonts w:cs="Times New Roman"/>
        </w:rPr>
        <w:t>the basis of this approach</w:t>
      </w:r>
      <w:r w:rsidR="00262EB7">
        <w:rPr>
          <w:rFonts w:cs="Times New Roman"/>
        </w:rPr>
        <w:t xml:space="preserve"> in a variety of ways:</w:t>
      </w:r>
      <w:r w:rsidR="00DE5FE2">
        <w:rPr>
          <w:rFonts w:cs="Times New Roman"/>
        </w:rPr>
        <w:t xml:space="preserve"> (</w:t>
      </w:r>
      <w:proofErr w:type="spellStart"/>
      <w:r w:rsidR="00DE5FE2">
        <w:rPr>
          <w:rFonts w:cs="Times New Roman"/>
        </w:rPr>
        <w:t>i</w:t>
      </w:r>
      <w:proofErr w:type="spellEnd"/>
      <w:r w:rsidR="00DE5FE2">
        <w:rPr>
          <w:rFonts w:cs="Times New Roman"/>
        </w:rPr>
        <w:t>)</w:t>
      </w:r>
      <w:r w:rsidR="00262EB7">
        <w:rPr>
          <w:rFonts w:cs="Times New Roman"/>
        </w:rPr>
        <w:t xml:space="preserve"> where it was agreed that the parties would not cohabitate and where the marriage had not been consummated, it was held that there was no consent to enter the marital relationship and that no marriage had been effected (</w:t>
      </w:r>
      <w:r w:rsidR="00262EB7" w:rsidRPr="003F5DC9">
        <w:rPr>
          <w:rFonts w:cs="Times New Roman"/>
          <w:i/>
        </w:rPr>
        <w:t xml:space="preserve">United States v. Rubenstein </w:t>
      </w:r>
      <w:r w:rsidR="00262EB7">
        <w:rPr>
          <w:rFonts w:cs="Times New Roman"/>
        </w:rPr>
        <w:t>[1945] 151 Fed. Rep. 2</w:t>
      </w:r>
      <w:r w:rsidR="00262EB7" w:rsidRPr="003F5DC9">
        <w:rPr>
          <w:rFonts w:cs="Times New Roman"/>
          <w:vertAlign w:val="superscript"/>
        </w:rPr>
        <w:t>nd</w:t>
      </w:r>
      <w:r w:rsidR="00262EB7">
        <w:rPr>
          <w:rFonts w:cs="Times New Roman"/>
        </w:rPr>
        <w:t xml:space="preserve"> 915: </w:t>
      </w:r>
      <w:r w:rsidR="00DE5FE2">
        <w:rPr>
          <w:rFonts w:cs="Times New Roman"/>
        </w:rPr>
        <w:t xml:space="preserve"> (ii) </w:t>
      </w:r>
      <w:r w:rsidR="00262EB7">
        <w:rPr>
          <w:rFonts w:cs="Times New Roman"/>
        </w:rPr>
        <w:t xml:space="preserve">for a marriage to be valid the parties “must assent to enter into the relationship as it is ordinarily understood, and it </w:t>
      </w:r>
      <w:r w:rsidR="00D34762">
        <w:rPr>
          <w:rFonts w:cs="Times New Roman"/>
        </w:rPr>
        <w:t xml:space="preserve">is </w:t>
      </w:r>
      <w:r w:rsidR="00262EB7">
        <w:rPr>
          <w:rFonts w:cs="Times New Roman"/>
        </w:rPr>
        <w:t>not ordinar</w:t>
      </w:r>
      <w:r w:rsidR="00DE5FE2">
        <w:rPr>
          <w:rFonts w:cs="Times New Roman"/>
        </w:rPr>
        <w:t>ily</w:t>
      </w:r>
      <w:r w:rsidR="00262EB7">
        <w:rPr>
          <w:rFonts w:cs="Times New Roman"/>
        </w:rPr>
        <w:t xml:space="preserve"> understood </w:t>
      </w:r>
      <w:r w:rsidR="00DE5FE2">
        <w:rPr>
          <w:rFonts w:cs="Times New Roman"/>
        </w:rPr>
        <w:t xml:space="preserve">[where the marriage is] </w:t>
      </w:r>
      <w:r w:rsidR="00262EB7">
        <w:rPr>
          <w:rFonts w:cs="Times New Roman"/>
        </w:rPr>
        <w:t xml:space="preserve">merely a pretence or cover to deceive others” </w:t>
      </w:r>
      <w:r w:rsidR="00DE5FE2">
        <w:rPr>
          <w:rFonts w:cs="Times New Roman"/>
        </w:rPr>
        <w:t>(</w:t>
      </w:r>
      <w:r w:rsidR="00DE5FE2" w:rsidRPr="003F5DC9">
        <w:rPr>
          <w:rFonts w:cs="Times New Roman"/>
          <w:i/>
        </w:rPr>
        <w:t>United States v. Rubenstein</w:t>
      </w:r>
      <w:r w:rsidR="00DE5FE2">
        <w:rPr>
          <w:rFonts w:cs="Times New Roman"/>
        </w:rPr>
        <w:t>)</w:t>
      </w:r>
      <w:r w:rsidR="00262EB7">
        <w:rPr>
          <w:rFonts w:cs="Times New Roman"/>
        </w:rPr>
        <w:t xml:space="preserve">: </w:t>
      </w:r>
      <w:r w:rsidR="00DE5FE2">
        <w:rPr>
          <w:rFonts w:cs="Times New Roman"/>
        </w:rPr>
        <w:t xml:space="preserve"> (iii) </w:t>
      </w:r>
      <w:r w:rsidR="00262EB7">
        <w:rPr>
          <w:rFonts w:cs="Times New Roman"/>
        </w:rPr>
        <w:t>where it can be established that the marriage was only designed as a sham, it should be set aside (</w:t>
      </w:r>
      <w:proofErr w:type="spellStart"/>
      <w:r w:rsidR="00262EB7" w:rsidRPr="003F5DC9">
        <w:rPr>
          <w:rFonts w:cs="Times New Roman"/>
          <w:i/>
        </w:rPr>
        <w:t>Orlandi</w:t>
      </w:r>
      <w:proofErr w:type="spellEnd"/>
      <w:r w:rsidR="00262EB7" w:rsidRPr="003F5DC9">
        <w:rPr>
          <w:rFonts w:cs="Times New Roman"/>
          <w:i/>
        </w:rPr>
        <w:t xml:space="preserve"> v. Castelli </w:t>
      </w:r>
      <w:r w:rsidR="00262EB7">
        <w:rPr>
          <w:rFonts w:cs="Times New Roman"/>
        </w:rPr>
        <w:t xml:space="preserve">[1969] S.C. 113).  On the other hand, cases such as </w:t>
      </w:r>
      <w:r w:rsidR="00262EB7" w:rsidRPr="003F5DC9">
        <w:rPr>
          <w:rFonts w:cs="Times New Roman"/>
          <w:i/>
        </w:rPr>
        <w:t>Martens v. Martens</w:t>
      </w:r>
      <w:r w:rsidR="00262EB7">
        <w:rPr>
          <w:rFonts w:cs="Times New Roman"/>
        </w:rPr>
        <w:t xml:space="preserve"> [1952] 3 SALR 771, favoured the first mentioned approach</w:t>
      </w:r>
      <w:r w:rsidR="005775E8">
        <w:rPr>
          <w:rFonts w:cs="Times New Roman"/>
        </w:rPr>
        <w:t>; here,</w:t>
      </w:r>
      <w:r w:rsidR="00262EB7">
        <w:rPr>
          <w:rFonts w:cs="Times New Roman"/>
        </w:rPr>
        <w:t xml:space="preserve"> a decree of nullity was refused upon the grounds that the parties intended to marry</w:t>
      </w:r>
      <w:r w:rsidR="005775E8">
        <w:rPr>
          <w:rFonts w:cs="Times New Roman"/>
        </w:rPr>
        <w:t>,</w:t>
      </w:r>
      <w:r w:rsidR="00262EB7">
        <w:rPr>
          <w:rFonts w:cs="Times New Roman"/>
        </w:rPr>
        <w:t xml:space="preserve"> it being irrelevant that the purpose was to enable the defendant to enter South Africa and immediately on entry </w:t>
      </w:r>
      <w:r w:rsidR="00DE5FE2">
        <w:rPr>
          <w:rFonts w:cs="Times New Roman"/>
        </w:rPr>
        <w:t>and marriage to live with another man, Mr. Holden.</w:t>
      </w:r>
      <w:r w:rsidR="00262EB7">
        <w:rPr>
          <w:rFonts w:cs="Times New Roman"/>
        </w:rPr>
        <w:t xml:space="preserve"> </w:t>
      </w:r>
      <w:r w:rsidR="005F682E">
        <w:rPr>
          <w:rFonts w:cs="Times New Roman"/>
        </w:rPr>
        <w:t xml:space="preserve">A similar view was taken in </w:t>
      </w:r>
      <w:r w:rsidR="005F682E" w:rsidRPr="00CE11F8">
        <w:rPr>
          <w:rFonts w:cs="Times New Roman"/>
          <w:i/>
          <w:iCs/>
        </w:rPr>
        <w:t>H (</w:t>
      </w:r>
      <w:proofErr w:type="spellStart"/>
      <w:r w:rsidR="005F682E" w:rsidRPr="00CE11F8">
        <w:rPr>
          <w:rFonts w:cs="Times New Roman"/>
          <w:i/>
          <w:iCs/>
        </w:rPr>
        <w:t>Orse</w:t>
      </w:r>
      <w:proofErr w:type="spellEnd"/>
      <w:r w:rsidR="003916DD" w:rsidRPr="00CE11F8">
        <w:rPr>
          <w:rFonts w:cs="Times New Roman"/>
          <w:i/>
          <w:iCs/>
        </w:rPr>
        <w:t>. D.</w:t>
      </w:r>
      <w:r w:rsidR="005F682E" w:rsidRPr="00CE11F8">
        <w:rPr>
          <w:rFonts w:cs="Times New Roman"/>
          <w:i/>
          <w:iCs/>
        </w:rPr>
        <w:t xml:space="preserve">) </w:t>
      </w:r>
      <w:r w:rsidR="004B2EC0" w:rsidRPr="00CE11F8">
        <w:rPr>
          <w:rFonts w:cs="Times New Roman"/>
          <w:i/>
          <w:iCs/>
        </w:rPr>
        <w:t>v</w:t>
      </w:r>
      <w:r w:rsidR="003916DD" w:rsidRPr="00CE11F8">
        <w:rPr>
          <w:rFonts w:cs="Times New Roman"/>
          <w:i/>
          <w:iCs/>
        </w:rPr>
        <w:t>.</w:t>
      </w:r>
      <w:r w:rsidR="004B2EC0" w:rsidRPr="00CE11F8">
        <w:rPr>
          <w:rFonts w:cs="Times New Roman"/>
          <w:i/>
          <w:iCs/>
        </w:rPr>
        <w:t xml:space="preserve"> H</w:t>
      </w:r>
      <w:r w:rsidR="004B2EC0">
        <w:rPr>
          <w:rFonts w:cs="Times New Roman"/>
        </w:rPr>
        <w:t xml:space="preserve"> </w:t>
      </w:r>
      <w:r w:rsidR="00CE6042">
        <w:rPr>
          <w:rFonts w:cs="Times New Roman"/>
        </w:rPr>
        <w:t>[</w:t>
      </w:r>
      <w:r w:rsidR="004B2EC0">
        <w:rPr>
          <w:rFonts w:cs="Times New Roman"/>
        </w:rPr>
        <w:t>195</w:t>
      </w:r>
      <w:r w:rsidR="00CE6042">
        <w:rPr>
          <w:rFonts w:cs="Times New Roman"/>
        </w:rPr>
        <w:t>4]</w:t>
      </w:r>
      <w:r w:rsidR="004B2EC0">
        <w:rPr>
          <w:rFonts w:cs="Times New Roman"/>
        </w:rPr>
        <w:t xml:space="preserve"> </w:t>
      </w:r>
      <w:r w:rsidR="00CE6042">
        <w:rPr>
          <w:rFonts w:cs="Times New Roman"/>
        </w:rPr>
        <w:t>P. 258; [1953] 3 W.L.R. 849</w:t>
      </w:r>
      <w:r w:rsidR="006A5CB1">
        <w:rPr>
          <w:rFonts w:cs="Times New Roman"/>
        </w:rPr>
        <w:t xml:space="preserve">, </w:t>
      </w:r>
      <w:r w:rsidR="00ED6171">
        <w:rPr>
          <w:rFonts w:cs="Times New Roman"/>
        </w:rPr>
        <w:t xml:space="preserve">where a Hungarian lady married her cousin, a French citizen, so that she could obtain a passport and leave </w:t>
      </w:r>
      <w:r w:rsidR="003916DD">
        <w:rPr>
          <w:rFonts w:cs="Times New Roman"/>
        </w:rPr>
        <w:t>H</w:t>
      </w:r>
      <w:r w:rsidR="00ED6171">
        <w:rPr>
          <w:rFonts w:cs="Times New Roman"/>
        </w:rPr>
        <w:t xml:space="preserve">ungary. The marriage was never consummated and she left for </w:t>
      </w:r>
      <w:r w:rsidR="006A5CB1">
        <w:rPr>
          <w:rFonts w:cs="Times New Roman"/>
        </w:rPr>
        <w:t>England</w:t>
      </w:r>
      <w:r w:rsidR="00ED6171">
        <w:rPr>
          <w:rFonts w:cs="Times New Roman"/>
        </w:rPr>
        <w:t xml:space="preserve"> some one week later, where she stayed and subsequently petitioned for a decree of nullity. </w:t>
      </w:r>
      <w:r w:rsidR="003916DD">
        <w:rPr>
          <w:rFonts w:cs="Times New Roman"/>
        </w:rPr>
        <w:t xml:space="preserve">As the marriage was formally satisfied, </w:t>
      </w:r>
      <w:proofErr w:type="spellStart"/>
      <w:r w:rsidR="003916DD">
        <w:rPr>
          <w:rFonts w:cs="Times New Roman"/>
        </w:rPr>
        <w:t>Kaiminsk</w:t>
      </w:r>
      <w:r w:rsidR="0053049B">
        <w:rPr>
          <w:rFonts w:cs="Times New Roman"/>
        </w:rPr>
        <w:t>y</w:t>
      </w:r>
      <w:proofErr w:type="spellEnd"/>
      <w:r w:rsidR="003916DD">
        <w:rPr>
          <w:rFonts w:cs="Times New Roman"/>
        </w:rPr>
        <w:t xml:space="preserve"> </w:t>
      </w:r>
      <w:r w:rsidR="001513A6">
        <w:rPr>
          <w:rFonts w:cs="Times New Roman"/>
        </w:rPr>
        <w:t xml:space="preserve">J. </w:t>
      </w:r>
      <w:r w:rsidR="003916DD">
        <w:rPr>
          <w:rFonts w:cs="Times New Roman"/>
        </w:rPr>
        <w:t>would have held the parties to it were it not for a finding that the reason for the marriage was her fear of what would occur to her under the communist regime in Hungary.</w:t>
      </w:r>
      <w:r w:rsidR="00BB4B76">
        <w:rPr>
          <w:rFonts w:cs="Times New Roman"/>
        </w:rPr>
        <w:t xml:space="preserve"> </w:t>
      </w:r>
      <w:r w:rsidR="00262EB7">
        <w:rPr>
          <w:rFonts w:cs="Times New Roman"/>
        </w:rPr>
        <w:t xml:space="preserve">These are but examples of multiple cases where judges </w:t>
      </w:r>
      <w:r w:rsidR="00262EB7">
        <w:rPr>
          <w:rFonts w:cs="Times New Roman"/>
        </w:rPr>
        <w:lastRenderedPageBreak/>
        <w:t xml:space="preserve">have taken a different </w:t>
      </w:r>
      <w:r w:rsidR="00BB4B76">
        <w:rPr>
          <w:rFonts w:cs="Times New Roman"/>
        </w:rPr>
        <w:t>approach</w:t>
      </w:r>
      <w:r w:rsidR="00262EB7">
        <w:rPr>
          <w:rFonts w:cs="Times New Roman"/>
        </w:rPr>
        <w:t xml:space="preserve">, not easily reconcilable with the alternative school of thought, </w:t>
      </w:r>
      <w:r w:rsidR="00BB4B76">
        <w:rPr>
          <w:rFonts w:cs="Times New Roman"/>
        </w:rPr>
        <w:t>whichever you might belong to</w:t>
      </w:r>
      <w:r w:rsidR="00262EB7">
        <w:rPr>
          <w:rFonts w:cs="Times New Roman"/>
        </w:rPr>
        <w:t xml:space="preserve">.  </w:t>
      </w:r>
    </w:p>
    <w:p w14:paraId="6D2DB88B" w14:textId="77777777" w:rsidR="00A223FC" w:rsidRDefault="00A223FC" w:rsidP="00775A4E">
      <w:pPr>
        <w:pStyle w:val="NoSpacing"/>
        <w:spacing w:line="480" w:lineRule="auto"/>
        <w:jc w:val="left"/>
        <w:rPr>
          <w:rFonts w:cs="Times New Roman"/>
        </w:rPr>
      </w:pPr>
    </w:p>
    <w:p w14:paraId="2EBFDA92" w14:textId="4D482076" w:rsidR="00890A13" w:rsidRPr="002D2E20" w:rsidRDefault="00F00D48" w:rsidP="00775A4E">
      <w:pPr>
        <w:pStyle w:val="NoSpacing"/>
        <w:numPr>
          <w:ilvl w:val="0"/>
          <w:numId w:val="8"/>
        </w:numPr>
        <w:spacing w:line="480" w:lineRule="auto"/>
        <w:ind w:left="0" w:firstLine="0"/>
        <w:jc w:val="left"/>
        <w:rPr>
          <w:rFonts w:cs="Times New Roman"/>
        </w:rPr>
      </w:pPr>
      <w:r w:rsidRPr="002D2E20">
        <w:rPr>
          <w:rFonts w:cs="Times New Roman"/>
        </w:rPr>
        <w:t xml:space="preserve">As the judgment in </w:t>
      </w:r>
      <w:r w:rsidRPr="002D2E20">
        <w:rPr>
          <w:rFonts w:cs="Times New Roman"/>
          <w:i/>
          <w:iCs/>
        </w:rPr>
        <w:t xml:space="preserve">Kelly v. Ireland </w:t>
      </w:r>
      <w:r w:rsidRPr="002D2E20">
        <w:rPr>
          <w:rFonts w:cs="Times New Roman"/>
        </w:rPr>
        <w:t xml:space="preserve">outlines, many </w:t>
      </w:r>
      <w:r w:rsidR="00DE5FE2">
        <w:rPr>
          <w:rFonts w:cs="Times New Roman"/>
        </w:rPr>
        <w:t>decisions of</w:t>
      </w:r>
      <w:r w:rsidRPr="002D2E20">
        <w:rPr>
          <w:rFonts w:cs="Times New Roman"/>
        </w:rPr>
        <w:t xml:space="preserve"> foreign jurisdictions have subscribed to this </w:t>
      </w:r>
      <w:r w:rsidR="00EE5C85">
        <w:rPr>
          <w:rFonts w:cs="Times New Roman"/>
        </w:rPr>
        <w:t xml:space="preserve">second </w:t>
      </w:r>
      <w:r w:rsidR="00E66017" w:rsidRPr="002D2E20">
        <w:rPr>
          <w:rFonts w:cs="Times New Roman"/>
        </w:rPr>
        <w:t>view of marriage</w:t>
      </w:r>
      <w:r w:rsidR="00EE5C85">
        <w:rPr>
          <w:rFonts w:cs="Times New Roman"/>
        </w:rPr>
        <w:t>, while others favour the first.</w:t>
      </w:r>
      <w:r w:rsidR="00E66017" w:rsidRPr="002D2E20">
        <w:rPr>
          <w:rFonts w:cs="Times New Roman"/>
        </w:rPr>
        <w:t xml:space="preserve"> </w:t>
      </w:r>
      <w:r w:rsidRPr="002D2E20">
        <w:rPr>
          <w:rFonts w:cs="Times New Roman"/>
        </w:rPr>
        <w:t>Given</w:t>
      </w:r>
      <w:r w:rsidR="00471196" w:rsidRPr="002D2E20">
        <w:rPr>
          <w:rFonts w:cs="Times New Roman"/>
        </w:rPr>
        <w:t xml:space="preserve"> that </w:t>
      </w:r>
      <w:r w:rsidR="00776165">
        <w:rPr>
          <w:rFonts w:cs="Times New Roman"/>
        </w:rPr>
        <w:t xml:space="preserve">the question falls to be considered in the particular constitutional and statutory context of this jurisdiction, and in light of the fact that the case law from elsewhere appears to point </w:t>
      </w:r>
      <w:r w:rsidR="00EE5C85">
        <w:rPr>
          <w:rFonts w:cs="Times New Roman"/>
        </w:rPr>
        <w:t>in</w:t>
      </w:r>
      <w:r w:rsidR="00776165">
        <w:rPr>
          <w:rFonts w:cs="Times New Roman"/>
        </w:rPr>
        <w:t xml:space="preserve"> conflicting </w:t>
      </w:r>
      <w:r w:rsidR="00EE5C85">
        <w:rPr>
          <w:rFonts w:cs="Times New Roman"/>
        </w:rPr>
        <w:t>directions</w:t>
      </w:r>
      <w:r w:rsidR="00776165">
        <w:rPr>
          <w:rFonts w:cs="Times New Roman"/>
        </w:rPr>
        <w:t xml:space="preserve"> depending on which you consult, it must follow that the issue should be </w:t>
      </w:r>
      <w:r w:rsidR="00EE5C85">
        <w:rPr>
          <w:rFonts w:cs="Times New Roman"/>
        </w:rPr>
        <w:t xml:space="preserve">approached </w:t>
      </w:r>
      <w:r w:rsidR="00776165">
        <w:rPr>
          <w:rFonts w:cs="Times New Roman"/>
        </w:rPr>
        <w:t>essentially</w:t>
      </w:r>
      <w:r w:rsidR="0053159E" w:rsidRPr="0053159E">
        <w:rPr>
          <w:rFonts w:cs="Times New Roman"/>
        </w:rPr>
        <w:t xml:space="preserve"> </w:t>
      </w:r>
      <w:r w:rsidR="0053159E">
        <w:rPr>
          <w:rFonts w:cs="Times New Roman"/>
        </w:rPr>
        <w:t>from the Irish perspective</w:t>
      </w:r>
      <w:r w:rsidR="00776165">
        <w:rPr>
          <w:rFonts w:cs="Times New Roman"/>
        </w:rPr>
        <w:t xml:space="preserve">, </w:t>
      </w:r>
      <w:r w:rsidR="008E2829">
        <w:rPr>
          <w:rFonts w:cs="Times New Roman"/>
        </w:rPr>
        <w:t>though perhaps not exclusively</w:t>
      </w:r>
      <w:r w:rsidR="0053159E">
        <w:rPr>
          <w:rFonts w:cs="Times New Roman"/>
        </w:rPr>
        <w:t xml:space="preserve"> so</w:t>
      </w:r>
      <w:r w:rsidR="008E2829">
        <w:rPr>
          <w:rFonts w:cs="Times New Roman"/>
        </w:rPr>
        <w:t xml:space="preserve">. </w:t>
      </w:r>
    </w:p>
    <w:p w14:paraId="037C3C32" w14:textId="77777777" w:rsidR="00BE4234" w:rsidRDefault="00BE4234" w:rsidP="00775A4E">
      <w:pPr>
        <w:pStyle w:val="NoSpacing"/>
        <w:spacing w:line="480" w:lineRule="auto"/>
        <w:jc w:val="left"/>
        <w:rPr>
          <w:rFonts w:cs="Times New Roman"/>
          <w:b/>
          <w:u w:val="single"/>
        </w:rPr>
      </w:pPr>
    </w:p>
    <w:p w14:paraId="3971BDAD" w14:textId="432C1498" w:rsidR="00417CD5" w:rsidRPr="00CE11F8" w:rsidRDefault="00BE4234" w:rsidP="00775A4E">
      <w:pPr>
        <w:pStyle w:val="NoSpacing"/>
        <w:spacing w:line="480" w:lineRule="auto"/>
        <w:jc w:val="left"/>
        <w:rPr>
          <w:rFonts w:cs="Times New Roman"/>
          <w:b/>
          <w:u w:val="single"/>
        </w:rPr>
      </w:pPr>
      <w:r>
        <w:rPr>
          <w:rFonts w:cs="Times New Roman"/>
          <w:b/>
          <w:u w:val="single"/>
        </w:rPr>
        <w:t>Conflicting Views</w:t>
      </w:r>
    </w:p>
    <w:p w14:paraId="64B34672" w14:textId="606C467E" w:rsidR="0098001F" w:rsidRPr="002D2E20" w:rsidRDefault="0098001F" w:rsidP="00775A4E">
      <w:pPr>
        <w:pStyle w:val="NoSpacing"/>
        <w:numPr>
          <w:ilvl w:val="0"/>
          <w:numId w:val="8"/>
        </w:numPr>
        <w:spacing w:line="480" w:lineRule="auto"/>
        <w:ind w:left="0" w:firstLine="0"/>
        <w:jc w:val="left"/>
        <w:rPr>
          <w:rFonts w:cs="Times New Roman"/>
        </w:rPr>
      </w:pPr>
      <w:r w:rsidRPr="002D2E20">
        <w:rPr>
          <w:rFonts w:cs="Times New Roman"/>
        </w:rPr>
        <w:t xml:space="preserve">Although Barron </w:t>
      </w:r>
      <w:r w:rsidR="001513A6">
        <w:rPr>
          <w:rFonts w:cs="Times New Roman"/>
        </w:rPr>
        <w:t xml:space="preserve">J. </w:t>
      </w:r>
      <w:r w:rsidRPr="002D2E20">
        <w:rPr>
          <w:rFonts w:cs="Times New Roman"/>
        </w:rPr>
        <w:t>did</w:t>
      </w:r>
      <w:r w:rsidR="00357AFA" w:rsidRPr="002D2E20">
        <w:rPr>
          <w:rFonts w:cs="Times New Roman"/>
        </w:rPr>
        <w:t xml:space="preserve"> not expressly state which view he preferred in </w:t>
      </w:r>
      <w:r w:rsidR="00357AFA" w:rsidRPr="002D2E20">
        <w:rPr>
          <w:rFonts w:cs="Times New Roman"/>
          <w:i/>
          <w:iCs/>
        </w:rPr>
        <w:t>Kelly</w:t>
      </w:r>
      <w:r w:rsidR="00357AFA" w:rsidRPr="002D2E20">
        <w:rPr>
          <w:rFonts w:cs="Times New Roman"/>
        </w:rPr>
        <w:t xml:space="preserve">, I agree with the Respondent that the clear implication of his judgment is that he </w:t>
      </w:r>
      <w:r w:rsidR="00813E1A">
        <w:rPr>
          <w:rFonts w:cs="Times New Roman"/>
        </w:rPr>
        <w:t>favoured</w:t>
      </w:r>
      <w:r w:rsidR="00813E1A" w:rsidRPr="002D2E20">
        <w:rPr>
          <w:rFonts w:cs="Times New Roman"/>
        </w:rPr>
        <w:t xml:space="preserve"> </w:t>
      </w:r>
      <w:r w:rsidR="00357AFA" w:rsidRPr="002D2E20">
        <w:rPr>
          <w:rFonts w:cs="Times New Roman"/>
        </w:rPr>
        <w:t xml:space="preserve">the second approach. </w:t>
      </w:r>
      <w:r w:rsidR="00657859" w:rsidRPr="002D2E20">
        <w:rPr>
          <w:rFonts w:cs="Times New Roman"/>
        </w:rPr>
        <w:t xml:space="preserve">If it were otherwise, there would have been no need for the learned judge to look beyond the formal technical requirements of the marriage ceremony in reaching his conclusion; instead, however, he </w:t>
      </w:r>
      <w:r w:rsidR="00F04FBE" w:rsidRPr="002D2E20">
        <w:rPr>
          <w:rFonts w:cs="Times New Roman"/>
        </w:rPr>
        <w:t xml:space="preserve">set out in considerable detail the evidence of the applicant and her husband as it pertained to their </w:t>
      </w:r>
      <w:r w:rsidR="00EA6C37" w:rsidRPr="002D2E20">
        <w:rPr>
          <w:rFonts w:cs="Times New Roman"/>
        </w:rPr>
        <w:t xml:space="preserve">motivation for marrying and the circumstances leading up the ceremony. </w:t>
      </w:r>
      <w:r w:rsidR="00C17157" w:rsidRPr="002D2E20">
        <w:rPr>
          <w:rFonts w:cs="Times New Roman"/>
        </w:rPr>
        <w:t xml:space="preserve">I do not think that the learned judge would have engaged in the analysis which he did if he </w:t>
      </w:r>
      <w:r w:rsidR="006E5B95" w:rsidRPr="002D2E20">
        <w:rPr>
          <w:rFonts w:cs="Times New Roman"/>
        </w:rPr>
        <w:t xml:space="preserve">subscribed to the first view. </w:t>
      </w:r>
    </w:p>
    <w:p w14:paraId="5F458A54" w14:textId="0E79F296" w:rsidR="006E5B95" w:rsidRDefault="006E5B95" w:rsidP="00775A4E">
      <w:pPr>
        <w:pStyle w:val="NoSpacing"/>
        <w:spacing w:line="480" w:lineRule="auto"/>
        <w:jc w:val="left"/>
        <w:rPr>
          <w:rFonts w:cs="Times New Roman"/>
        </w:rPr>
      </w:pPr>
    </w:p>
    <w:p w14:paraId="590ACF2C" w14:textId="3AB6C4F8" w:rsidR="00782867" w:rsidRPr="002D2E20" w:rsidRDefault="00BD7DA6" w:rsidP="00775A4E">
      <w:pPr>
        <w:pStyle w:val="NoSpacing"/>
        <w:numPr>
          <w:ilvl w:val="0"/>
          <w:numId w:val="8"/>
        </w:numPr>
        <w:spacing w:line="480" w:lineRule="auto"/>
        <w:ind w:left="0" w:firstLine="0"/>
        <w:jc w:val="left"/>
        <w:rPr>
          <w:rFonts w:cs="Times New Roman"/>
        </w:rPr>
      </w:pPr>
      <w:r w:rsidRPr="002D2E20">
        <w:rPr>
          <w:rFonts w:cs="Times New Roman"/>
        </w:rPr>
        <w:t xml:space="preserve">The judgment in </w:t>
      </w:r>
      <w:r w:rsidRPr="002D2E20">
        <w:rPr>
          <w:rFonts w:cs="Times New Roman"/>
          <w:i/>
          <w:iCs/>
        </w:rPr>
        <w:t xml:space="preserve">Izmailovic </w:t>
      </w:r>
      <w:r w:rsidR="00D31315" w:rsidRPr="002D2E20">
        <w:rPr>
          <w:rFonts w:cs="Times New Roman"/>
        </w:rPr>
        <w:t xml:space="preserve">reflects a preference for the former view, </w:t>
      </w:r>
      <w:r w:rsidR="00FA602F" w:rsidRPr="002D2E20">
        <w:rPr>
          <w:rFonts w:cs="Times New Roman"/>
        </w:rPr>
        <w:t xml:space="preserve">where the fact that the motivation to marry is to gain an immigration advantage </w:t>
      </w:r>
      <w:r w:rsidR="00CF00D5">
        <w:rPr>
          <w:rFonts w:cs="Times New Roman"/>
        </w:rPr>
        <w:t>did not deprive</w:t>
      </w:r>
      <w:r w:rsidR="00FA602F" w:rsidRPr="002D2E20">
        <w:rPr>
          <w:rFonts w:cs="Times New Roman"/>
        </w:rPr>
        <w:t xml:space="preserve"> the said marriage of its legal validity. </w:t>
      </w:r>
      <w:r w:rsidR="006E2300" w:rsidRPr="002D2E20">
        <w:rPr>
          <w:rFonts w:cs="Times New Roman"/>
        </w:rPr>
        <w:t xml:space="preserve">Humphreys J, in the decision under appeal, took the view that </w:t>
      </w:r>
      <w:r w:rsidR="00D5598C" w:rsidRPr="002D2E20">
        <w:rPr>
          <w:rFonts w:cs="Times New Roman"/>
          <w:i/>
          <w:iCs/>
        </w:rPr>
        <w:t xml:space="preserve">Izmailovic </w:t>
      </w:r>
      <w:r w:rsidR="00D5598C" w:rsidRPr="002D2E20">
        <w:rPr>
          <w:rFonts w:cs="Times New Roman"/>
        </w:rPr>
        <w:t xml:space="preserve">was based on a misreading of </w:t>
      </w:r>
      <w:r w:rsidR="00D5598C" w:rsidRPr="002D2E20">
        <w:rPr>
          <w:rFonts w:cs="Times New Roman"/>
          <w:i/>
          <w:iCs/>
        </w:rPr>
        <w:t>H</w:t>
      </w:r>
      <w:r w:rsidR="00890083" w:rsidRPr="002D2E20">
        <w:rPr>
          <w:rFonts w:cs="Times New Roman"/>
          <w:i/>
          <w:iCs/>
        </w:rPr>
        <w:t>.S.</w:t>
      </w:r>
      <w:r w:rsidR="00D5598C" w:rsidRPr="002D2E20">
        <w:rPr>
          <w:rFonts w:cs="Times New Roman"/>
          <w:i/>
          <w:iCs/>
        </w:rPr>
        <w:t xml:space="preserve"> v. </w:t>
      </w:r>
      <w:r w:rsidR="00890083" w:rsidRPr="002D2E20">
        <w:rPr>
          <w:rFonts w:cs="Times New Roman"/>
          <w:i/>
          <w:iCs/>
        </w:rPr>
        <w:t>J.</w:t>
      </w:r>
      <w:r w:rsidR="00D5598C" w:rsidRPr="002D2E20">
        <w:rPr>
          <w:rFonts w:cs="Times New Roman"/>
          <w:i/>
          <w:iCs/>
        </w:rPr>
        <w:t>S</w:t>
      </w:r>
      <w:r w:rsidR="00890083" w:rsidRPr="002D2E20">
        <w:rPr>
          <w:rFonts w:cs="Times New Roman"/>
          <w:i/>
          <w:iCs/>
        </w:rPr>
        <w:t>.</w:t>
      </w:r>
      <w:r w:rsidR="00D5598C" w:rsidRPr="002D2E20">
        <w:rPr>
          <w:rFonts w:cs="Times New Roman"/>
        </w:rPr>
        <w:t xml:space="preserve"> </w:t>
      </w:r>
      <w:r w:rsidR="00A13B44" w:rsidRPr="002D2E20">
        <w:rPr>
          <w:rFonts w:cs="Times New Roman"/>
        </w:rPr>
        <w:t xml:space="preserve">It is true that </w:t>
      </w:r>
      <w:r w:rsidR="00CF00D5">
        <w:rPr>
          <w:rFonts w:cs="Times New Roman"/>
        </w:rPr>
        <w:t>when</w:t>
      </w:r>
      <w:r w:rsidR="00CF00D5" w:rsidRPr="002D2E20">
        <w:rPr>
          <w:rFonts w:cs="Times New Roman"/>
        </w:rPr>
        <w:t xml:space="preserve"> </w:t>
      </w:r>
      <w:r w:rsidR="00A13B44" w:rsidRPr="002D2E20">
        <w:rPr>
          <w:rFonts w:cs="Times New Roman"/>
        </w:rPr>
        <w:t xml:space="preserve">stating that “[t]hey agreed to marry on the understanding that they would later divorce once the parties arrived in </w:t>
      </w:r>
      <w:r w:rsidR="00A13B44" w:rsidRPr="002D2E20">
        <w:rPr>
          <w:rFonts w:cs="Times New Roman"/>
        </w:rPr>
        <w:lastRenderedPageBreak/>
        <w:t xml:space="preserve">the United States”, Hogan </w:t>
      </w:r>
      <w:r w:rsidR="001513A6">
        <w:rPr>
          <w:rFonts w:cs="Times New Roman"/>
        </w:rPr>
        <w:t xml:space="preserve">J. </w:t>
      </w:r>
      <w:r w:rsidR="00CF00D5" w:rsidRPr="002D2E20">
        <w:rPr>
          <w:rFonts w:cs="Times New Roman"/>
        </w:rPr>
        <w:t>mis</w:t>
      </w:r>
      <w:r w:rsidR="00CF00D5">
        <w:rPr>
          <w:rFonts w:cs="Times New Roman"/>
        </w:rPr>
        <w:t>described</w:t>
      </w:r>
      <w:r w:rsidR="00CF00D5" w:rsidRPr="002D2E20">
        <w:rPr>
          <w:rFonts w:cs="Times New Roman"/>
        </w:rPr>
        <w:t xml:space="preserve"> </w:t>
      </w:r>
      <w:r w:rsidR="00A13B44" w:rsidRPr="002D2E20">
        <w:rPr>
          <w:rFonts w:cs="Times New Roman"/>
        </w:rPr>
        <w:t xml:space="preserve">the evidence </w:t>
      </w:r>
      <w:proofErr w:type="spellStart"/>
      <w:r w:rsidR="00A13B44" w:rsidRPr="002D2E20">
        <w:rPr>
          <w:rFonts w:cs="Times New Roman"/>
        </w:rPr>
        <w:t>as</w:t>
      </w:r>
      <w:proofErr w:type="spellEnd"/>
      <w:r w:rsidR="00A13B44" w:rsidRPr="002D2E20">
        <w:rPr>
          <w:rFonts w:cs="Times New Roman"/>
        </w:rPr>
        <w:t xml:space="preserve"> found by </w:t>
      </w:r>
      <w:r w:rsidR="00CF00D5">
        <w:rPr>
          <w:rFonts w:cs="Times New Roman"/>
        </w:rPr>
        <w:t>the trial judge in that case</w:t>
      </w:r>
      <w:r w:rsidR="002F31C4" w:rsidRPr="003F5DC9">
        <w:rPr>
          <w:rFonts w:cs="Times New Roman"/>
          <w:i/>
        </w:rPr>
        <w:t>.</w:t>
      </w:r>
      <w:r w:rsidR="002F31C4" w:rsidRPr="002D2E20">
        <w:rPr>
          <w:rFonts w:cs="Times New Roman"/>
        </w:rPr>
        <w:t xml:space="preserve"> It seems clear that </w:t>
      </w:r>
      <w:r w:rsidR="00CF00D5">
        <w:rPr>
          <w:rFonts w:cs="Times New Roman"/>
        </w:rPr>
        <w:t>Carroll J.</w:t>
      </w:r>
      <w:r w:rsidR="00A13B44" w:rsidRPr="002D2E20">
        <w:rPr>
          <w:rFonts w:cs="Times New Roman"/>
        </w:rPr>
        <w:t xml:space="preserve"> </w:t>
      </w:r>
      <w:r w:rsidR="00767963" w:rsidRPr="002D2E20">
        <w:rPr>
          <w:rFonts w:cs="Times New Roman"/>
        </w:rPr>
        <w:t xml:space="preserve">did not consider </w:t>
      </w:r>
      <w:r w:rsidR="002F31C4" w:rsidRPr="002D2E20">
        <w:rPr>
          <w:rFonts w:cs="Times New Roman"/>
        </w:rPr>
        <w:t xml:space="preserve">it </w:t>
      </w:r>
      <w:r w:rsidR="00767963" w:rsidRPr="002D2E20">
        <w:rPr>
          <w:rFonts w:cs="Times New Roman"/>
        </w:rPr>
        <w:t xml:space="preserve">to be solely a </w:t>
      </w:r>
      <w:r w:rsidR="00CF00D5">
        <w:rPr>
          <w:rFonts w:cs="Times New Roman"/>
        </w:rPr>
        <w:t>“</w:t>
      </w:r>
      <w:r w:rsidR="00767963" w:rsidRPr="002D2E20">
        <w:rPr>
          <w:rFonts w:cs="Times New Roman"/>
        </w:rPr>
        <w:t>marriage of convenience</w:t>
      </w:r>
      <w:r w:rsidR="00CF00D5">
        <w:rPr>
          <w:rFonts w:cs="Times New Roman"/>
        </w:rPr>
        <w:t>”</w:t>
      </w:r>
      <w:r w:rsidR="00767963" w:rsidRPr="002D2E20">
        <w:rPr>
          <w:rFonts w:cs="Times New Roman"/>
        </w:rPr>
        <w:t>, as it might now be termed. To use the contemporary terminology, while one motivation was to confer an immigration advantage insofar as it would have allowed the husband to enter the U</w:t>
      </w:r>
      <w:r w:rsidR="0095382A">
        <w:rPr>
          <w:rFonts w:cs="Times New Roman"/>
        </w:rPr>
        <w:t>.</w:t>
      </w:r>
      <w:r w:rsidR="00767963" w:rsidRPr="002D2E20">
        <w:rPr>
          <w:rFonts w:cs="Times New Roman"/>
        </w:rPr>
        <w:t>S</w:t>
      </w:r>
      <w:r w:rsidR="0095382A">
        <w:rPr>
          <w:rFonts w:cs="Times New Roman"/>
        </w:rPr>
        <w:t>.</w:t>
      </w:r>
      <w:r w:rsidR="00767963" w:rsidRPr="002D2E20">
        <w:rPr>
          <w:rFonts w:cs="Times New Roman"/>
        </w:rPr>
        <w:t>, the wife also hoped that the marriage would work out between them</w:t>
      </w:r>
      <w:r w:rsidR="00CF00D5">
        <w:rPr>
          <w:rFonts w:cs="Times New Roman"/>
        </w:rPr>
        <w:t>, and that they would be together for a long time</w:t>
      </w:r>
      <w:r w:rsidR="00767963" w:rsidRPr="002D2E20">
        <w:rPr>
          <w:rFonts w:cs="Times New Roman"/>
        </w:rPr>
        <w:t xml:space="preserve">. </w:t>
      </w:r>
      <w:r w:rsidR="00236381" w:rsidRPr="002D2E20">
        <w:rPr>
          <w:rFonts w:cs="Times New Roman"/>
        </w:rPr>
        <w:t>Thus</w:t>
      </w:r>
      <w:r w:rsidR="00CF00D5">
        <w:rPr>
          <w:rFonts w:cs="Times New Roman"/>
        </w:rPr>
        <w:t>,</w:t>
      </w:r>
      <w:r w:rsidR="00236381" w:rsidRPr="002D2E20">
        <w:rPr>
          <w:rFonts w:cs="Times New Roman"/>
        </w:rPr>
        <w:t xml:space="preserve"> </w:t>
      </w:r>
      <w:r w:rsidR="00813E1A">
        <w:rPr>
          <w:rFonts w:cs="Times New Roman"/>
        </w:rPr>
        <w:t>that</w:t>
      </w:r>
      <w:r w:rsidR="00813E1A" w:rsidRPr="002D2E20">
        <w:rPr>
          <w:rFonts w:cs="Times New Roman"/>
        </w:rPr>
        <w:t xml:space="preserve"> </w:t>
      </w:r>
      <w:r w:rsidR="00236381" w:rsidRPr="002D2E20">
        <w:rPr>
          <w:rFonts w:cs="Times New Roman"/>
        </w:rPr>
        <w:t xml:space="preserve">finding </w:t>
      </w:r>
      <w:r w:rsidR="00813E1A">
        <w:rPr>
          <w:rFonts w:cs="Times New Roman"/>
        </w:rPr>
        <w:t>by</w:t>
      </w:r>
      <w:r w:rsidR="00813E1A" w:rsidRPr="002D2E20">
        <w:rPr>
          <w:rFonts w:cs="Times New Roman"/>
        </w:rPr>
        <w:t xml:space="preserve"> </w:t>
      </w:r>
      <w:r w:rsidR="00CF00D5">
        <w:rPr>
          <w:rFonts w:cs="Times New Roman"/>
        </w:rPr>
        <w:t>the learned judge</w:t>
      </w:r>
      <w:r w:rsidR="00236381" w:rsidRPr="002D2E20">
        <w:rPr>
          <w:rFonts w:cs="Times New Roman"/>
        </w:rPr>
        <w:t>, as upheld by Finlay C</w:t>
      </w:r>
      <w:r w:rsidR="001513A6">
        <w:rPr>
          <w:rFonts w:cs="Times New Roman"/>
        </w:rPr>
        <w:t xml:space="preserve">J. </w:t>
      </w:r>
      <w:r w:rsidR="00CF00D5">
        <w:rPr>
          <w:rFonts w:cs="Times New Roman"/>
        </w:rPr>
        <w:t>as part of</w:t>
      </w:r>
      <w:r w:rsidR="00236381" w:rsidRPr="002D2E20">
        <w:rPr>
          <w:rFonts w:cs="Times New Roman"/>
        </w:rPr>
        <w:t xml:space="preserve"> the majority</w:t>
      </w:r>
      <w:r w:rsidR="00767963" w:rsidRPr="002D2E20">
        <w:rPr>
          <w:rFonts w:cs="Times New Roman"/>
        </w:rPr>
        <w:t xml:space="preserve"> </w:t>
      </w:r>
      <w:r w:rsidR="00236381" w:rsidRPr="002D2E20">
        <w:rPr>
          <w:rFonts w:cs="Times New Roman"/>
        </w:rPr>
        <w:t xml:space="preserve">in </w:t>
      </w:r>
      <w:r w:rsidR="00813E1A">
        <w:rPr>
          <w:rFonts w:cs="Times New Roman"/>
        </w:rPr>
        <w:t>this</w:t>
      </w:r>
      <w:r w:rsidR="00236381" w:rsidRPr="002D2E20">
        <w:rPr>
          <w:rFonts w:cs="Times New Roman"/>
        </w:rPr>
        <w:t xml:space="preserve"> Court, was not that a marriage is valid</w:t>
      </w:r>
      <w:r w:rsidR="0012318F" w:rsidRPr="002D2E20">
        <w:rPr>
          <w:rFonts w:cs="Times New Roman"/>
        </w:rPr>
        <w:t xml:space="preserve"> despite being</w:t>
      </w:r>
      <w:r w:rsidR="009E1D3F" w:rsidRPr="002D2E20">
        <w:rPr>
          <w:rFonts w:cs="Times New Roman"/>
        </w:rPr>
        <w:t xml:space="preserve"> a marriage of convenience (as they are now called), but rather that the marriage in question was not a marriage of convenience at all: </w:t>
      </w:r>
      <w:r w:rsidR="00C569C8" w:rsidRPr="002D2E20">
        <w:rPr>
          <w:rFonts w:cs="Times New Roman"/>
        </w:rPr>
        <w:t xml:space="preserve">while the immigration advantage was </w:t>
      </w:r>
      <w:r w:rsidR="00C569C8" w:rsidRPr="002D2E20">
        <w:rPr>
          <w:rFonts w:cs="Times New Roman"/>
          <w:i/>
          <w:iCs/>
        </w:rPr>
        <w:t xml:space="preserve">a </w:t>
      </w:r>
      <w:r w:rsidR="00C569C8" w:rsidRPr="002D2E20">
        <w:rPr>
          <w:rFonts w:cs="Times New Roman"/>
        </w:rPr>
        <w:t>purpose of the marriage, it was not the sole purpose</w:t>
      </w:r>
      <w:r w:rsidR="00E44D87">
        <w:rPr>
          <w:rFonts w:cs="Times New Roman"/>
        </w:rPr>
        <w:t>.</w:t>
      </w:r>
      <w:r w:rsidR="00EA691A" w:rsidRPr="002D2E20">
        <w:rPr>
          <w:rFonts w:cs="Times New Roman"/>
        </w:rPr>
        <w:t xml:space="preserve"> </w:t>
      </w:r>
      <w:r w:rsidR="00E44D87">
        <w:rPr>
          <w:rFonts w:cs="Times New Roman"/>
        </w:rPr>
        <w:t>T</w:t>
      </w:r>
      <w:r w:rsidR="00C569C8" w:rsidRPr="002D2E20">
        <w:rPr>
          <w:rFonts w:cs="Times New Roman"/>
        </w:rPr>
        <w:t>he wife wanted it to work out, even if there was</w:t>
      </w:r>
      <w:r w:rsidR="00782867" w:rsidRPr="002D2E20">
        <w:rPr>
          <w:rFonts w:cs="Times New Roman"/>
        </w:rPr>
        <w:t xml:space="preserve"> an acknowledgement that they would divorce if it did not. </w:t>
      </w:r>
    </w:p>
    <w:p w14:paraId="23A4B1E1" w14:textId="77777777" w:rsidR="00782867" w:rsidRPr="002D2E20" w:rsidRDefault="00782867" w:rsidP="00775A4E">
      <w:pPr>
        <w:pStyle w:val="NoSpacing"/>
        <w:spacing w:line="480" w:lineRule="auto"/>
        <w:jc w:val="left"/>
        <w:rPr>
          <w:rFonts w:cs="Times New Roman"/>
        </w:rPr>
      </w:pPr>
    </w:p>
    <w:p w14:paraId="4579543C" w14:textId="3BB09B6D" w:rsidR="00471C25" w:rsidRDefault="00CF00D5" w:rsidP="00775A4E">
      <w:pPr>
        <w:pStyle w:val="NoSpacing"/>
        <w:numPr>
          <w:ilvl w:val="0"/>
          <w:numId w:val="8"/>
        </w:numPr>
        <w:spacing w:line="480" w:lineRule="auto"/>
        <w:ind w:left="0" w:firstLine="0"/>
        <w:jc w:val="left"/>
        <w:rPr>
          <w:rFonts w:cs="Times New Roman"/>
        </w:rPr>
      </w:pPr>
      <w:r>
        <w:rPr>
          <w:rFonts w:cs="Times New Roman"/>
        </w:rPr>
        <w:t>The</w:t>
      </w:r>
      <w:r w:rsidR="0051279F" w:rsidRPr="002D2E20">
        <w:rPr>
          <w:rFonts w:cs="Times New Roman"/>
        </w:rPr>
        <w:t xml:space="preserve"> misstatement of </w:t>
      </w:r>
      <w:r w:rsidR="00813E1A">
        <w:rPr>
          <w:rFonts w:cs="Times New Roman"/>
        </w:rPr>
        <w:t>these findings</w:t>
      </w:r>
      <w:r w:rsidR="0051279F" w:rsidRPr="002D2E20">
        <w:rPr>
          <w:rFonts w:cs="Times New Roman"/>
        </w:rPr>
        <w:t xml:space="preserve"> by Hogan </w:t>
      </w:r>
      <w:r w:rsidR="001513A6">
        <w:rPr>
          <w:rFonts w:cs="Times New Roman"/>
        </w:rPr>
        <w:t xml:space="preserve">J. </w:t>
      </w:r>
      <w:r>
        <w:rPr>
          <w:rFonts w:cs="Times New Roman"/>
        </w:rPr>
        <w:t>may have stemmed</w:t>
      </w:r>
      <w:r w:rsidR="0051279F" w:rsidRPr="002D2E20">
        <w:rPr>
          <w:rFonts w:cs="Times New Roman"/>
        </w:rPr>
        <w:t xml:space="preserve"> from the fact that the judgment of McCarthy </w:t>
      </w:r>
      <w:r w:rsidR="001513A6">
        <w:rPr>
          <w:rFonts w:cs="Times New Roman"/>
        </w:rPr>
        <w:t xml:space="preserve">J. </w:t>
      </w:r>
      <w:r w:rsidR="0051279F" w:rsidRPr="002D2E20">
        <w:rPr>
          <w:rFonts w:cs="Times New Roman"/>
        </w:rPr>
        <w:t xml:space="preserve">(with whom Hederman </w:t>
      </w:r>
      <w:r w:rsidR="001513A6">
        <w:rPr>
          <w:rFonts w:cs="Times New Roman"/>
        </w:rPr>
        <w:t xml:space="preserve">J. </w:t>
      </w:r>
      <w:r w:rsidR="0051279F" w:rsidRPr="002D2E20">
        <w:rPr>
          <w:rFonts w:cs="Times New Roman"/>
        </w:rPr>
        <w:t xml:space="preserve">concurred) </w:t>
      </w:r>
      <w:r w:rsidR="004D6888" w:rsidRPr="002D2E20">
        <w:rPr>
          <w:rFonts w:cs="Times New Roman"/>
        </w:rPr>
        <w:t xml:space="preserve">comments on the position of </w:t>
      </w:r>
      <w:r w:rsidR="003C3A4F" w:rsidRPr="002D2E20">
        <w:rPr>
          <w:rFonts w:cs="Times New Roman"/>
        </w:rPr>
        <w:t>parties to a marriage who do not intend it to be a marriage at all.</w:t>
      </w:r>
      <w:r w:rsidR="0051279F" w:rsidRPr="002D2E20">
        <w:rPr>
          <w:rFonts w:cs="Times New Roman"/>
        </w:rPr>
        <w:t xml:space="preserve"> </w:t>
      </w:r>
      <w:r w:rsidR="00471C25" w:rsidRPr="002D2E20">
        <w:rPr>
          <w:rFonts w:cs="Times New Roman"/>
        </w:rPr>
        <w:t>The Respondent</w:t>
      </w:r>
      <w:r w:rsidR="00F32C5B" w:rsidRPr="002D2E20">
        <w:rPr>
          <w:rFonts w:cs="Times New Roman"/>
        </w:rPr>
        <w:t xml:space="preserve"> submits</w:t>
      </w:r>
      <w:r w:rsidR="00471C25" w:rsidRPr="002D2E20">
        <w:rPr>
          <w:rFonts w:cs="Times New Roman"/>
        </w:rPr>
        <w:t xml:space="preserve">, and Humphreys </w:t>
      </w:r>
      <w:r w:rsidR="001513A6">
        <w:rPr>
          <w:rFonts w:cs="Times New Roman"/>
        </w:rPr>
        <w:t xml:space="preserve">J. </w:t>
      </w:r>
      <w:r w:rsidR="00F32C5B" w:rsidRPr="002D2E20">
        <w:rPr>
          <w:rFonts w:cs="Times New Roman"/>
        </w:rPr>
        <w:t>pointed out at para. 22</w:t>
      </w:r>
      <w:r w:rsidR="00471C25" w:rsidRPr="002D2E20">
        <w:rPr>
          <w:rFonts w:cs="Times New Roman"/>
        </w:rPr>
        <w:t xml:space="preserve"> </w:t>
      </w:r>
      <w:r w:rsidR="00F32C5B" w:rsidRPr="002D2E20">
        <w:rPr>
          <w:rFonts w:cs="Times New Roman"/>
        </w:rPr>
        <w:t xml:space="preserve">of his judgment, </w:t>
      </w:r>
      <w:r w:rsidR="00471C25" w:rsidRPr="002D2E20">
        <w:rPr>
          <w:rFonts w:cs="Times New Roman"/>
        </w:rPr>
        <w:t xml:space="preserve">that this </w:t>
      </w:r>
      <w:r>
        <w:rPr>
          <w:rFonts w:cs="Times New Roman"/>
        </w:rPr>
        <w:t>remark</w:t>
      </w:r>
      <w:r w:rsidRPr="002D2E20">
        <w:rPr>
          <w:rFonts w:cs="Times New Roman"/>
        </w:rPr>
        <w:t xml:space="preserve"> </w:t>
      </w:r>
      <w:r w:rsidR="00F32C5B" w:rsidRPr="002D2E20">
        <w:rPr>
          <w:rFonts w:cs="Times New Roman"/>
        </w:rPr>
        <w:t xml:space="preserve">of McCarthy </w:t>
      </w:r>
      <w:r w:rsidR="001513A6">
        <w:rPr>
          <w:rFonts w:cs="Times New Roman"/>
        </w:rPr>
        <w:t xml:space="preserve">J. </w:t>
      </w:r>
      <w:r w:rsidR="00471C25" w:rsidRPr="002D2E20">
        <w:rPr>
          <w:rFonts w:cs="Times New Roman"/>
        </w:rPr>
        <w:t xml:space="preserve">must be </w:t>
      </w:r>
      <w:r w:rsidR="00471C25" w:rsidRPr="002D2E20">
        <w:rPr>
          <w:rFonts w:cs="Times New Roman"/>
          <w:i/>
          <w:iCs/>
        </w:rPr>
        <w:t>obiter</w:t>
      </w:r>
      <w:r w:rsidR="00471C25" w:rsidRPr="002D2E20">
        <w:rPr>
          <w:rFonts w:cs="Times New Roman"/>
        </w:rPr>
        <w:t xml:space="preserve">, as </w:t>
      </w:r>
      <w:r>
        <w:rPr>
          <w:rFonts w:cs="Times New Roman"/>
        </w:rPr>
        <w:t xml:space="preserve">such observations do not seem compatible with the findings of fact made by Carroll J. in the High Court. </w:t>
      </w:r>
      <w:r w:rsidR="00471C25" w:rsidRPr="002D2E20">
        <w:rPr>
          <w:rFonts w:cs="Times New Roman"/>
        </w:rPr>
        <w:t xml:space="preserve">Nonetheless, this </w:t>
      </w:r>
      <w:r w:rsidR="00471C25" w:rsidRPr="002D2E20">
        <w:rPr>
          <w:rFonts w:cs="Times New Roman"/>
          <w:i/>
          <w:iCs/>
        </w:rPr>
        <w:t>obiter</w:t>
      </w:r>
      <w:r w:rsidR="00471C25" w:rsidRPr="002D2E20">
        <w:rPr>
          <w:rFonts w:cs="Times New Roman"/>
        </w:rPr>
        <w:t xml:space="preserve"> comment, if that be the correct reading, indicates that in the learned judge’s view it would have been a valid marriage even if the intention had been to immediately </w:t>
      </w:r>
      <w:r w:rsidR="00813E1A">
        <w:rPr>
          <w:rFonts w:cs="Times New Roman"/>
        </w:rPr>
        <w:t>divorce</w:t>
      </w:r>
      <w:r w:rsidR="00471C25" w:rsidRPr="002D2E20">
        <w:rPr>
          <w:rFonts w:cs="Times New Roman"/>
        </w:rPr>
        <w:t xml:space="preserve"> upon entering the U</w:t>
      </w:r>
      <w:r w:rsidR="00802CF0">
        <w:rPr>
          <w:rFonts w:cs="Times New Roman"/>
        </w:rPr>
        <w:t>.</w:t>
      </w:r>
      <w:r w:rsidR="00471C25" w:rsidRPr="002D2E20">
        <w:rPr>
          <w:rFonts w:cs="Times New Roman"/>
        </w:rPr>
        <w:t xml:space="preserve">S. This would seem to support the </w:t>
      </w:r>
      <w:r>
        <w:rPr>
          <w:rFonts w:cs="Times New Roman"/>
        </w:rPr>
        <w:t>proposition</w:t>
      </w:r>
      <w:r w:rsidRPr="002D2E20">
        <w:rPr>
          <w:rFonts w:cs="Times New Roman"/>
        </w:rPr>
        <w:t xml:space="preserve"> </w:t>
      </w:r>
      <w:r w:rsidR="00471C25" w:rsidRPr="002D2E20">
        <w:rPr>
          <w:rFonts w:cs="Times New Roman"/>
        </w:rPr>
        <w:t xml:space="preserve">that a marriage of convenience is not a nullity in law, or, </w:t>
      </w:r>
      <w:r w:rsidR="00A937C9" w:rsidRPr="002D2E20">
        <w:rPr>
          <w:rFonts w:cs="Times New Roman"/>
        </w:rPr>
        <w:t>at least</w:t>
      </w:r>
      <w:r w:rsidR="00471C25" w:rsidRPr="002D2E20">
        <w:rPr>
          <w:rFonts w:cs="Times New Roman"/>
        </w:rPr>
        <w:t>, that McCarthy and Hederman J</w:t>
      </w:r>
      <w:r w:rsidR="001513A6">
        <w:rPr>
          <w:rFonts w:cs="Times New Roman"/>
        </w:rPr>
        <w:t xml:space="preserve">J. </w:t>
      </w:r>
      <w:r w:rsidR="00471C25" w:rsidRPr="002D2E20">
        <w:rPr>
          <w:rFonts w:cs="Times New Roman"/>
        </w:rPr>
        <w:t>did not so consider in 1992.</w:t>
      </w:r>
      <w:r w:rsidR="00175B14">
        <w:rPr>
          <w:rFonts w:cs="Times New Roman"/>
        </w:rPr>
        <w:t xml:space="preserve"> </w:t>
      </w:r>
    </w:p>
    <w:p w14:paraId="402ADF05" w14:textId="0AA15AE2" w:rsidR="00175B14" w:rsidRDefault="00175B14" w:rsidP="00775A4E">
      <w:pPr>
        <w:pStyle w:val="NoSpacing"/>
        <w:spacing w:line="480" w:lineRule="auto"/>
        <w:ind w:left="720"/>
        <w:jc w:val="left"/>
        <w:rPr>
          <w:rFonts w:cs="Times New Roman"/>
        </w:rPr>
      </w:pPr>
    </w:p>
    <w:p w14:paraId="21A4AB48" w14:textId="01C9ADEB" w:rsidR="009E3C91" w:rsidRPr="00904E6D" w:rsidRDefault="00CF00D5" w:rsidP="00775A4E">
      <w:pPr>
        <w:pStyle w:val="NoSpacing"/>
        <w:numPr>
          <w:ilvl w:val="0"/>
          <w:numId w:val="8"/>
        </w:numPr>
        <w:spacing w:line="480" w:lineRule="auto"/>
        <w:ind w:left="0" w:firstLine="0"/>
        <w:jc w:val="left"/>
        <w:rPr>
          <w:rFonts w:cs="Times New Roman"/>
          <w:color w:val="FF0000"/>
        </w:rPr>
      </w:pPr>
      <w:r>
        <w:rPr>
          <w:rFonts w:cs="Times New Roman"/>
        </w:rPr>
        <w:t>As can therefore be seen</w:t>
      </w:r>
      <w:r w:rsidR="00333C11">
        <w:rPr>
          <w:rFonts w:cs="Times New Roman"/>
        </w:rPr>
        <w:t>,</w:t>
      </w:r>
      <w:r w:rsidR="00175B14">
        <w:rPr>
          <w:rFonts w:cs="Times New Roman"/>
        </w:rPr>
        <w:t xml:space="preserve"> Hogan </w:t>
      </w:r>
      <w:r w:rsidR="001513A6">
        <w:rPr>
          <w:rFonts w:cs="Times New Roman"/>
        </w:rPr>
        <w:t xml:space="preserve">J. </w:t>
      </w:r>
      <w:r w:rsidR="00175B14">
        <w:rPr>
          <w:rFonts w:cs="Times New Roman"/>
        </w:rPr>
        <w:t>appears to have taken one view, albeit without a</w:t>
      </w:r>
      <w:r w:rsidR="007F551D">
        <w:rPr>
          <w:rFonts w:cs="Times New Roman"/>
        </w:rPr>
        <w:t xml:space="preserve">s thorough a consideration of the case law as might have been adopted, and Barron </w:t>
      </w:r>
      <w:r w:rsidR="001513A6">
        <w:rPr>
          <w:rFonts w:cs="Times New Roman"/>
        </w:rPr>
        <w:t xml:space="preserve">J. </w:t>
      </w:r>
      <w:r w:rsidR="007F551D">
        <w:rPr>
          <w:rFonts w:cs="Times New Roman"/>
        </w:rPr>
        <w:t xml:space="preserve">and </w:t>
      </w:r>
      <w:r w:rsidR="007F551D">
        <w:rPr>
          <w:rFonts w:cs="Times New Roman"/>
        </w:rPr>
        <w:lastRenderedPageBreak/>
        <w:t xml:space="preserve">Humphreys </w:t>
      </w:r>
      <w:r w:rsidR="001513A6">
        <w:rPr>
          <w:rFonts w:cs="Times New Roman"/>
        </w:rPr>
        <w:t xml:space="preserve">J. </w:t>
      </w:r>
      <w:r w:rsidR="007F551D">
        <w:rPr>
          <w:rFonts w:cs="Times New Roman"/>
        </w:rPr>
        <w:t xml:space="preserve">have taken another. In truth, </w:t>
      </w:r>
      <w:r w:rsidR="00813E1A">
        <w:rPr>
          <w:rFonts w:cs="Times New Roman"/>
        </w:rPr>
        <w:t xml:space="preserve">in light of </w:t>
      </w:r>
      <w:r w:rsidR="00A94E07">
        <w:rPr>
          <w:rFonts w:cs="Times New Roman"/>
        </w:rPr>
        <w:t xml:space="preserve">the </w:t>
      </w:r>
      <w:r w:rsidR="007F551D">
        <w:rPr>
          <w:rFonts w:cs="Times New Roman"/>
        </w:rPr>
        <w:t>fact</w:t>
      </w:r>
      <w:r w:rsidR="00A94E07">
        <w:rPr>
          <w:rFonts w:cs="Times New Roman"/>
        </w:rPr>
        <w:t>s</w:t>
      </w:r>
      <w:r w:rsidR="007F551D">
        <w:rPr>
          <w:rFonts w:cs="Times New Roman"/>
        </w:rPr>
        <w:t xml:space="preserve"> </w:t>
      </w:r>
      <w:r w:rsidR="00813E1A">
        <w:rPr>
          <w:rFonts w:cs="Times New Roman"/>
        </w:rPr>
        <w:t xml:space="preserve">in </w:t>
      </w:r>
      <w:r w:rsidR="007F551D">
        <w:rPr>
          <w:rFonts w:cs="Times New Roman"/>
          <w:i/>
          <w:iCs/>
        </w:rPr>
        <w:t>H.S. v. J.S.</w:t>
      </w:r>
      <w:r w:rsidR="00A61D1D">
        <w:rPr>
          <w:rFonts w:cs="Times New Roman"/>
        </w:rPr>
        <w:t>, that decision does not shine much light on the question one way or another.</w:t>
      </w:r>
      <w:r w:rsidR="00CB33D2">
        <w:rPr>
          <w:rFonts w:cs="Times New Roman"/>
        </w:rPr>
        <w:t xml:space="preserve"> </w:t>
      </w:r>
    </w:p>
    <w:p w14:paraId="7CA44D3B" w14:textId="30C1F6F9" w:rsidR="00510C9B" w:rsidRPr="00CE11F8" w:rsidRDefault="00510C9B" w:rsidP="00775A4E">
      <w:pPr>
        <w:pStyle w:val="NoSpacing"/>
        <w:spacing w:line="480" w:lineRule="auto"/>
        <w:jc w:val="left"/>
        <w:rPr>
          <w:rFonts w:cs="Times New Roman"/>
          <w:b/>
          <w:u w:val="single"/>
        </w:rPr>
      </w:pPr>
    </w:p>
    <w:p w14:paraId="08FE7FFA" w14:textId="6A6EDE48" w:rsidR="00354001" w:rsidRPr="00904E6D" w:rsidRDefault="003F5AB5" w:rsidP="00775A4E">
      <w:pPr>
        <w:pStyle w:val="NoSpacing"/>
        <w:numPr>
          <w:ilvl w:val="0"/>
          <w:numId w:val="8"/>
        </w:numPr>
        <w:spacing w:line="480" w:lineRule="auto"/>
        <w:ind w:left="0" w:firstLine="0"/>
        <w:jc w:val="left"/>
        <w:rPr>
          <w:rFonts w:cs="Times New Roman"/>
        </w:rPr>
      </w:pPr>
      <w:r>
        <w:rPr>
          <w:rFonts w:cs="Times New Roman"/>
        </w:rPr>
        <w:t>As</w:t>
      </w:r>
      <w:r w:rsidR="00B75257">
        <w:rPr>
          <w:rFonts w:cs="Times New Roman"/>
        </w:rPr>
        <w:t xml:space="preserve"> </w:t>
      </w:r>
      <w:r w:rsidR="002E57F9">
        <w:rPr>
          <w:rFonts w:cs="Times New Roman"/>
        </w:rPr>
        <w:t>noted above</w:t>
      </w:r>
      <w:r w:rsidR="00B75257">
        <w:rPr>
          <w:rFonts w:cs="Times New Roman"/>
        </w:rPr>
        <w:t>, a decree of nullity is declared by a court in accordance with the statutory</w:t>
      </w:r>
      <w:r w:rsidR="00F271D7">
        <w:rPr>
          <w:rFonts w:cs="Times New Roman"/>
        </w:rPr>
        <w:t xml:space="preserve"> procedure provided therefor</w:t>
      </w:r>
      <w:r w:rsidR="00B66E34">
        <w:rPr>
          <w:rFonts w:cs="Times New Roman"/>
        </w:rPr>
        <w:t xml:space="preserve"> (para. 76 above)</w:t>
      </w:r>
      <w:r w:rsidR="00F271D7">
        <w:rPr>
          <w:rFonts w:cs="Times New Roman"/>
        </w:rPr>
        <w:t xml:space="preserve">. </w:t>
      </w:r>
      <w:r w:rsidR="00362EC8">
        <w:rPr>
          <w:rFonts w:cs="Times New Roman"/>
        </w:rPr>
        <w:t>The High Court has</w:t>
      </w:r>
      <w:r w:rsidR="0094621D">
        <w:rPr>
          <w:rFonts w:cs="Times New Roman"/>
        </w:rPr>
        <w:t xml:space="preserve"> held, in this case, that a marriage of convenience</w:t>
      </w:r>
      <w:r w:rsidR="00813E1A">
        <w:rPr>
          <w:rFonts w:cs="Times New Roman"/>
        </w:rPr>
        <w:t xml:space="preserve">, </w:t>
      </w:r>
      <w:r w:rsidR="007E496D">
        <w:rPr>
          <w:rFonts w:cs="Times New Roman"/>
        </w:rPr>
        <w:t>falling within</w:t>
      </w:r>
      <w:r w:rsidR="00813E1A">
        <w:rPr>
          <w:rFonts w:cs="Times New Roman"/>
        </w:rPr>
        <w:t xml:space="preserve"> the 2015 Regulations,</w:t>
      </w:r>
      <w:r w:rsidR="0094621D">
        <w:rPr>
          <w:rFonts w:cs="Times New Roman"/>
        </w:rPr>
        <w:t xml:space="preserve"> is a nullity </w:t>
      </w:r>
      <w:r w:rsidR="00813E1A">
        <w:rPr>
          <w:rFonts w:cs="Times New Roman"/>
        </w:rPr>
        <w:t xml:space="preserve">at </w:t>
      </w:r>
      <w:r w:rsidR="0094621D">
        <w:rPr>
          <w:rFonts w:cs="Times New Roman"/>
        </w:rPr>
        <w:t xml:space="preserve">law. </w:t>
      </w:r>
      <w:r w:rsidR="007E496D">
        <w:rPr>
          <w:rFonts w:cs="Times New Roman"/>
        </w:rPr>
        <w:t xml:space="preserve">However, </w:t>
      </w:r>
      <w:r w:rsidR="00423395">
        <w:rPr>
          <w:rFonts w:cs="Times New Roman"/>
        </w:rPr>
        <w:t>it is the Minister for Justice</w:t>
      </w:r>
      <w:r w:rsidR="007E496D">
        <w:rPr>
          <w:rFonts w:cs="Times New Roman"/>
        </w:rPr>
        <w:t>, under those measures,</w:t>
      </w:r>
      <w:r w:rsidR="00423395">
        <w:rPr>
          <w:rFonts w:cs="Times New Roman"/>
        </w:rPr>
        <w:t xml:space="preserve"> who </w:t>
      </w:r>
      <w:r w:rsidR="00341148">
        <w:rPr>
          <w:rFonts w:cs="Times New Roman"/>
        </w:rPr>
        <w:t>“</w:t>
      </w:r>
      <w:r w:rsidR="00341148" w:rsidRPr="00341148">
        <w:rPr>
          <w:rFonts w:cs="Times New Roman"/>
        </w:rPr>
        <w:t>deems or determines</w:t>
      </w:r>
      <w:r w:rsidR="00341148">
        <w:rPr>
          <w:rFonts w:cs="Times New Roman"/>
        </w:rPr>
        <w:t>”</w:t>
      </w:r>
      <w:r w:rsidR="00341148" w:rsidRPr="00341148">
        <w:rPr>
          <w:rFonts w:cs="Times New Roman"/>
        </w:rPr>
        <w:t xml:space="preserve"> </w:t>
      </w:r>
      <w:r w:rsidR="00341148">
        <w:rPr>
          <w:rFonts w:cs="Times New Roman"/>
        </w:rPr>
        <w:t xml:space="preserve">a </w:t>
      </w:r>
      <w:r w:rsidR="00341148" w:rsidRPr="00341148">
        <w:rPr>
          <w:rFonts w:cs="Times New Roman"/>
        </w:rPr>
        <w:t>marriage to be a marriage of convenience</w:t>
      </w:r>
      <w:r w:rsidR="00341148">
        <w:rPr>
          <w:rFonts w:cs="Times New Roman"/>
        </w:rPr>
        <w:t xml:space="preserve">. </w:t>
      </w:r>
      <w:r w:rsidR="00813E1A">
        <w:rPr>
          <w:rFonts w:cs="Times New Roman"/>
        </w:rPr>
        <w:t>As above explained,</w:t>
      </w:r>
      <w:r w:rsidR="009A6BAE">
        <w:rPr>
          <w:rFonts w:cs="Times New Roman"/>
        </w:rPr>
        <w:t xml:space="preserve"> where the Minister comes </w:t>
      </w:r>
      <w:r w:rsidR="00D95DFB">
        <w:rPr>
          <w:rFonts w:cs="Times New Roman"/>
        </w:rPr>
        <w:t>to such a conclusion</w:t>
      </w:r>
      <w:r w:rsidR="00802EEC">
        <w:rPr>
          <w:rFonts w:cs="Times New Roman"/>
        </w:rPr>
        <w:t xml:space="preserve"> concerning a marriage</w:t>
      </w:r>
      <w:r w:rsidR="00813E1A">
        <w:rPr>
          <w:rFonts w:cs="Times New Roman"/>
        </w:rPr>
        <w:t xml:space="preserve">, his competence is simply to disregard it. I do not mean “simply” in a trivial sense, but rather to indicate the consequences which flow from such a finding.  </w:t>
      </w:r>
    </w:p>
    <w:p w14:paraId="50B9E5BF" w14:textId="77777777" w:rsidR="001D4F90" w:rsidRPr="003F5DC9" w:rsidRDefault="001D4F90" w:rsidP="00775A4E">
      <w:pPr>
        <w:pStyle w:val="NoSpacing"/>
        <w:spacing w:line="480" w:lineRule="auto"/>
        <w:jc w:val="left"/>
        <w:rPr>
          <w:rFonts w:cs="Times New Roman"/>
          <w:b/>
          <w:color w:val="FF0000"/>
        </w:rPr>
      </w:pPr>
    </w:p>
    <w:p w14:paraId="330FF817" w14:textId="609A950D" w:rsidR="00C9571B" w:rsidRPr="00115381" w:rsidRDefault="00C9571B" w:rsidP="00775A4E">
      <w:pPr>
        <w:pStyle w:val="NoSpacing"/>
        <w:numPr>
          <w:ilvl w:val="0"/>
          <w:numId w:val="8"/>
        </w:numPr>
        <w:spacing w:line="480" w:lineRule="auto"/>
        <w:ind w:left="0" w:firstLine="0"/>
        <w:jc w:val="left"/>
        <w:rPr>
          <w:rFonts w:cs="Times New Roman"/>
        </w:rPr>
      </w:pPr>
      <w:r w:rsidRPr="00EE7766">
        <w:rPr>
          <w:rFonts w:cs="Times New Roman"/>
        </w:rPr>
        <w:t xml:space="preserve">Let us suppose that the parties to a legally valid marriage (in terms of complying with the formal requirements), who are residing together and </w:t>
      </w:r>
      <w:r w:rsidR="00EE7766" w:rsidRPr="00EE7766">
        <w:rPr>
          <w:rFonts w:cs="Times New Roman"/>
        </w:rPr>
        <w:t xml:space="preserve">apparently </w:t>
      </w:r>
      <w:r w:rsidRPr="00EE7766">
        <w:rPr>
          <w:rFonts w:cs="Times New Roman"/>
        </w:rPr>
        <w:t xml:space="preserve">wish to continue to do so, one of whom has made a residence application under the 2015 Regulations, contest that they are in a marriage of convenience. The Minister may conclude that theirs is a marriage of convenience for such purposes but nonetheless subsequently decide not to deport the applicant spouse </w:t>
      </w:r>
      <w:r w:rsidR="00EE7766" w:rsidRPr="00EE7766">
        <w:rPr>
          <w:rFonts w:cs="Times New Roman"/>
        </w:rPr>
        <w:t xml:space="preserve">(for example, </w:t>
      </w:r>
      <w:r w:rsidRPr="00EE7766">
        <w:rPr>
          <w:rFonts w:cs="Times New Roman"/>
        </w:rPr>
        <w:t>due to health reasons, as sometimes happens</w:t>
      </w:r>
      <w:r w:rsidR="00EE7766" w:rsidRPr="00EE7766">
        <w:rPr>
          <w:rFonts w:cs="Times New Roman"/>
        </w:rPr>
        <w:t>)</w:t>
      </w:r>
      <w:r w:rsidRPr="00EE7766">
        <w:rPr>
          <w:rFonts w:cs="Times New Roman"/>
        </w:rPr>
        <w:t xml:space="preserve">. I cannot see that this determination by the Minister, which of course </w:t>
      </w:r>
      <w:r w:rsidR="00B666C0">
        <w:rPr>
          <w:rFonts w:cs="Times New Roman"/>
        </w:rPr>
        <w:t>would be</w:t>
      </w:r>
      <w:r w:rsidR="00B666C0" w:rsidRPr="00EE7766">
        <w:rPr>
          <w:rFonts w:cs="Times New Roman"/>
        </w:rPr>
        <w:t xml:space="preserve"> </w:t>
      </w:r>
      <w:r w:rsidRPr="00EE7766">
        <w:rPr>
          <w:rFonts w:cs="Times New Roman"/>
        </w:rPr>
        <w:t xml:space="preserve">made in the particular context of immigration law, could have the </w:t>
      </w:r>
      <w:r w:rsidRPr="00115381">
        <w:rPr>
          <w:rFonts w:cs="Times New Roman"/>
        </w:rPr>
        <w:t xml:space="preserve">consequence of rendering the marriage a nullity at law, such that for all other purposes discussed above it is as though the marriage never existed. </w:t>
      </w:r>
    </w:p>
    <w:p w14:paraId="08C4073B" w14:textId="721AF82B" w:rsidR="00B872C9" w:rsidRDefault="00B872C9" w:rsidP="00775A4E">
      <w:pPr>
        <w:pStyle w:val="NoSpacing"/>
        <w:spacing w:line="480" w:lineRule="auto"/>
        <w:jc w:val="left"/>
        <w:rPr>
          <w:rFonts w:cs="Times New Roman"/>
        </w:rPr>
      </w:pPr>
    </w:p>
    <w:p w14:paraId="0DDE3D4C" w14:textId="77777777" w:rsidR="0029585B" w:rsidRDefault="0029585B" w:rsidP="00775A4E">
      <w:pPr>
        <w:pStyle w:val="NoSpacing"/>
        <w:spacing w:line="480" w:lineRule="auto"/>
        <w:jc w:val="left"/>
        <w:rPr>
          <w:rFonts w:cs="Times New Roman"/>
          <w:b/>
          <w:bCs/>
          <w:u w:val="single"/>
        </w:rPr>
      </w:pPr>
    </w:p>
    <w:p w14:paraId="7DEFB29D" w14:textId="77777777" w:rsidR="0029585B" w:rsidRDefault="0029585B" w:rsidP="00775A4E">
      <w:pPr>
        <w:pStyle w:val="NoSpacing"/>
        <w:spacing w:line="480" w:lineRule="auto"/>
        <w:jc w:val="left"/>
        <w:rPr>
          <w:rFonts w:cs="Times New Roman"/>
          <w:b/>
          <w:bCs/>
          <w:u w:val="single"/>
        </w:rPr>
      </w:pPr>
    </w:p>
    <w:p w14:paraId="0FAF8DDF" w14:textId="21E233F3" w:rsidR="00B666C0" w:rsidRPr="00CE11F8" w:rsidRDefault="00B666C0" w:rsidP="00775A4E">
      <w:pPr>
        <w:pStyle w:val="NoSpacing"/>
        <w:spacing w:line="480" w:lineRule="auto"/>
        <w:jc w:val="left"/>
        <w:rPr>
          <w:rFonts w:cs="Times New Roman"/>
          <w:b/>
          <w:bCs/>
          <w:u w:val="single"/>
        </w:rPr>
      </w:pPr>
      <w:r w:rsidRPr="00CE11F8">
        <w:rPr>
          <w:rFonts w:cs="Times New Roman"/>
          <w:b/>
          <w:bCs/>
          <w:u w:val="single"/>
        </w:rPr>
        <w:lastRenderedPageBreak/>
        <w:t>Legislative Intervention</w:t>
      </w:r>
    </w:p>
    <w:p w14:paraId="0D51386A" w14:textId="756AC78A" w:rsidR="00621B06" w:rsidRPr="00115381" w:rsidRDefault="003F3221" w:rsidP="00775A4E">
      <w:pPr>
        <w:pStyle w:val="NoSpacing"/>
        <w:numPr>
          <w:ilvl w:val="0"/>
          <w:numId w:val="8"/>
        </w:numPr>
        <w:spacing w:line="480" w:lineRule="auto"/>
        <w:ind w:left="0" w:firstLine="0"/>
        <w:jc w:val="left"/>
        <w:rPr>
          <w:rFonts w:cs="Times New Roman"/>
        </w:rPr>
      </w:pPr>
      <w:r w:rsidRPr="00115381">
        <w:rPr>
          <w:rFonts w:cs="Times New Roman"/>
        </w:rPr>
        <w:t xml:space="preserve">It is </w:t>
      </w:r>
      <w:r w:rsidR="0048485C" w:rsidRPr="00115381">
        <w:rPr>
          <w:rFonts w:cs="Times New Roman"/>
        </w:rPr>
        <w:t>highly relevant that i</w:t>
      </w:r>
      <w:r w:rsidR="00355529" w:rsidRPr="00115381">
        <w:rPr>
          <w:rFonts w:cs="Times New Roman"/>
        </w:rPr>
        <w:t xml:space="preserve">nsofar as </w:t>
      </w:r>
      <w:r w:rsidR="0048485C" w:rsidRPr="00115381">
        <w:rPr>
          <w:rFonts w:cs="Times New Roman"/>
        </w:rPr>
        <w:t xml:space="preserve">the </w:t>
      </w:r>
      <w:r w:rsidR="00355529" w:rsidRPr="00115381">
        <w:rPr>
          <w:rFonts w:cs="Times New Roman"/>
        </w:rPr>
        <w:t xml:space="preserve">Oireachtas </w:t>
      </w:r>
      <w:r w:rsidR="00250FED">
        <w:rPr>
          <w:rFonts w:cs="Times New Roman"/>
        </w:rPr>
        <w:t>addressed its mind to</w:t>
      </w:r>
      <w:r w:rsidR="00355529" w:rsidRPr="00115381">
        <w:rPr>
          <w:rFonts w:cs="Times New Roman"/>
        </w:rPr>
        <w:t xml:space="preserve"> marriages of convenience in the 2014 Act, the measures outlined </w:t>
      </w:r>
      <w:r w:rsidR="00250FED">
        <w:rPr>
          <w:rFonts w:cs="Times New Roman"/>
        </w:rPr>
        <w:t>in that legislation are designed to</w:t>
      </w:r>
      <w:r w:rsidR="00250FED" w:rsidRPr="00115381">
        <w:rPr>
          <w:rFonts w:cs="Times New Roman"/>
        </w:rPr>
        <w:t xml:space="preserve"> </w:t>
      </w:r>
      <w:r w:rsidR="00355529" w:rsidRPr="00115381">
        <w:rPr>
          <w:rFonts w:cs="Times New Roman"/>
        </w:rPr>
        <w:t xml:space="preserve">allow the State to intervene to prevent </w:t>
      </w:r>
      <w:r w:rsidR="00250FED">
        <w:rPr>
          <w:rFonts w:cs="Times New Roman"/>
        </w:rPr>
        <w:t xml:space="preserve">the solemnisation of such suspected </w:t>
      </w:r>
      <w:r w:rsidR="00355529" w:rsidRPr="00115381">
        <w:rPr>
          <w:rFonts w:cs="Times New Roman"/>
        </w:rPr>
        <w:t xml:space="preserve">marriages before they occur. The system put in place is </w:t>
      </w:r>
      <w:r w:rsidR="003A417D">
        <w:rPr>
          <w:rFonts w:cs="Times New Roman"/>
        </w:rPr>
        <w:t xml:space="preserve">one </w:t>
      </w:r>
      <w:r w:rsidR="00355529" w:rsidRPr="00115381">
        <w:rPr>
          <w:rFonts w:cs="Times New Roman"/>
        </w:rPr>
        <w:t xml:space="preserve">of prior scrutiny. </w:t>
      </w:r>
      <w:r w:rsidR="00645F9B" w:rsidRPr="00115381">
        <w:rPr>
          <w:rFonts w:cs="Times New Roman"/>
        </w:rPr>
        <w:t xml:space="preserve">This, in my view, is clear from the wording of the 2004 Act, as amended by the 2014 Act. </w:t>
      </w:r>
      <w:r w:rsidR="00621B06" w:rsidRPr="00115381">
        <w:rPr>
          <w:rFonts w:cs="Times New Roman"/>
        </w:rPr>
        <w:t xml:space="preserve">Marriages of convenience are addressed in section 58 thereof, which concerns objections </w:t>
      </w:r>
      <w:r w:rsidR="00134379" w:rsidRPr="00115381">
        <w:rPr>
          <w:rFonts w:cs="Times New Roman"/>
        </w:rPr>
        <w:t xml:space="preserve">to marriage. Section 58(1) speaks of a person raising an objection </w:t>
      </w:r>
      <w:r w:rsidR="00134379" w:rsidRPr="00115381">
        <w:rPr>
          <w:rFonts w:cs="Times New Roman"/>
          <w:i/>
          <w:iCs/>
        </w:rPr>
        <w:t xml:space="preserve">“at any time </w:t>
      </w:r>
      <w:r w:rsidR="00134379" w:rsidRPr="00115381">
        <w:rPr>
          <w:rFonts w:cs="Times New Roman"/>
          <w:i/>
          <w:iCs/>
          <w:u w:val="single"/>
        </w:rPr>
        <w:t>before</w:t>
      </w:r>
      <w:r w:rsidR="00134379" w:rsidRPr="00115381">
        <w:rPr>
          <w:rFonts w:cs="Times New Roman"/>
          <w:i/>
          <w:iCs/>
        </w:rPr>
        <w:t xml:space="preserve"> the solemnisation of a marriage”</w:t>
      </w:r>
      <w:r w:rsidR="00134379" w:rsidRPr="00115381">
        <w:rPr>
          <w:rFonts w:cs="Times New Roman"/>
        </w:rPr>
        <w:t xml:space="preserve"> (emphasis added). </w:t>
      </w:r>
      <w:r w:rsidR="0036042C" w:rsidRPr="00115381">
        <w:rPr>
          <w:rFonts w:cs="Times New Roman"/>
        </w:rPr>
        <w:t>Section</w:t>
      </w:r>
      <w:r w:rsidR="005A315F" w:rsidRPr="00115381">
        <w:rPr>
          <w:rFonts w:cs="Times New Roman"/>
        </w:rPr>
        <w:t>s</w:t>
      </w:r>
      <w:r w:rsidR="0036042C" w:rsidRPr="00115381">
        <w:rPr>
          <w:rFonts w:cs="Times New Roman"/>
        </w:rPr>
        <w:t xml:space="preserve"> 58(4A)(a) </w:t>
      </w:r>
      <w:r w:rsidR="005A315F" w:rsidRPr="00115381">
        <w:rPr>
          <w:rFonts w:cs="Times New Roman"/>
        </w:rPr>
        <w:t xml:space="preserve">and (b) </w:t>
      </w:r>
      <w:r w:rsidR="0036042C" w:rsidRPr="00115381">
        <w:rPr>
          <w:rFonts w:cs="Times New Roman"/>
        </w:rPr>
        <w:t>refer to</w:t>
      </w:r>
      <w:r w:rsidR="00182166" w:rsidRPr="00115381">
        <w:rPr>
          <w:rFonts w:cs="Times New Roman"/>
        </w:rPr>
        <w:t xml:space="preserve"> </w:t>
      </w:r>
      <w:r w:rsidR="0036042C" w:rsidRPr="00115381">
        <w:rPr>
          <w:rFonts w:cs="Times New Roman"/>
          <w:i/>
          <w:iCs/>
        </w:rPr>
        <w:t xml:space="preserve">“an </w:t>
      </w:r>
      <w:r w:rsidR="0036042C" w:rsidRPr="00115381">
        <w:rPr>
          <w:rFonts w:cs="Times New Roman"/>
          <w:i/>
          <w:iCs/>
          <w:u w:val="single"/>
        </w:rPr>
        <w:t>intended</w:t>
      </w:r>
      <w:r w:rsidR="0036042C" w:rsidRPr="00115381">
        <w:rPr>
          <w:rFonts w:cs="Times New Roman"/>
          <w:i/>
          <w:iCs/>
        </w:rPr>
        <w:t xml:space="preserve"> marriage”</w:t>
      </w:r>
      <w:r w:rsidR="0036042C" w:rsidRPr="00115381">
        <w:rPr>
          <w:rFonts w:cs="Times New Roman"/>
        </w:rPr>
        <w:t xml:space="preserve"> (emphasis added). </w:t>
      </w:r>
      <w:r w:rsidR="00182166" w:rsidRPr="00115381">
        <w:rPr>
          <w:rFonts w:cs="Times New Roman"/>
        </w:rPr>
        <w:t>So too do subsection</w:t>
      </w:r>
      <w:r w:rsidR="00065BAC" w:rsidRPr="00115381">
        <w:rPr>
          <w:rFonts w:cs="Times New Roman"/>
        </w:rPr>
        <w:t>s 58(4),</w:t>
      </w:r>
      <w:r w:rsidR="00182166" w:rsidRPr="00115381">
        <w:rPr>
          <w:rFonts w:cs="Times New Roman"/>
        </w:rPr>
        <w:t xml:space="preserve"> 58(4</w:t>
      </w:r>
      <w:r w:rsidR="00BB54D8">
        <w:rPr>
          <w:rFonts w:cs="Times New Roman"/>
        </w:rPr>
        <w:t>C</w:t>
      </w:r>
      <w:r w:rsidR="00182166" w:rsidRPr="00115381">
        <w:rPr>
          <w:rFonts w:cs="Times New Roman"/>
        </w:rPr>
        <w:t>)(a)-(j)</w:t>
      </w:r>
      <w:r w:rsidR="00486757" w:rsidRPr="00115381">
        <w:rPr>
          <w:rFonts w:cs="Times New Roman"/>
        </w:rPr>
        <w:t>,</w:t>
      </w:r>
      <w:r w:rsidR="00065F03" w:rsidRPr="00115381">
        <w:rPr>
          <w:rFonts w:cs="Times New Roman"/>
        </w:rPr>
        <w:t xml:space="preserve"> 58(5A)</w:t>
      </w:r>
      <w:r w:rsidR="00486757" w:rsidRPr="00115381">
        <w:rPr>
          <w:rFonts w:cs="Times New Roman"/>
        </w:rPr>
        <w:t xml:space="preserve">, 58(6) and 58(7). </w:t>
      </w:r>
      <w:r w:rsidR="000312B2" w:rsidRPr="00115381">
        <w:rPr>
          <w:rFonts w:cs="Times New Roman"/>
        </w:rPr>
        <w:t>The latter subsection is clear on what is to happen</w:t>
      </w:r>
      <w:r w:rsidR="00486757" w:rsidRPr="00115381">
        <w:rPr>
          <w:rFonts w:cs="Times New Roman"/>
        </w:rPr>
        <w:t xml:space="preserve"> </w:t>
      </w:r>
      <w:r w:rsidR="0053319C" w:rsidRPr="00115381">
        <w:rPr>
          <w:rFonts w:cs="Times New Roman"/>
        </w:rPr>
        <w:t xml:space="preserve">in the event that an objection is made out and there is an impediment to marriage (e.g. that it is a marriage of convenience): </w:t>
      </w:r>
      <w:r w:rsidR="00C63D5E" w:rsidRPr="00115381">
        <w:rPr>
          <w:rFonts w:cs="Times New Roman"/>
        </w:rPr>
        <w:t xml:space="preserve">the parties are to be notified that the solemnisation of the marriage </w:t>
      </w:r>
      <w:r w:rsidR="00C63D5E" w:rsidRPr="00115381">
        <w:rPr>
          <w:rFonts w:cs="Times New Roman"/>
          <w:i/>
          <w:iCs/>
        </w:rPr>
        <w:t xml:space="preserve">“will not proceed” </w:t>
      </w:r>
      <w:r w:rsidR="00C63D5E" w:rsidRPr="00115381">
        <w:rPr>
          <w:rFonts w:cs="Times New Roman"/>
        </w:rPr>
        <w:t xml:space="preserve">and the </w:t>
      </w:r>
      <w:r w:rsidR="00236E41" w:rsidRPr="00115381">
        <w:rPr>
          <w:rFonts w:cs="Times New Roman"/>
        </w:rPr>
        <w:t xml:space="preserve">registrar is to take all reasonable steps to ensure that it </w:t>
      </w:r>
      <w:r w:rsidR="00236E41" w:rsidRPr="00115381">
        <w:rPr>
          <w:rFonts w:cs="Times New Roman"/>
          <w:i/>
          <w:iCs/>
        </w:rPr>
        <w:t>“does not proceed”</w:t>
      </w:r>
      <w:r w:rsidR="00236E41" w:rsidRPr="00115381">
        <w:rPr>
          <w:rFonts w:cs="Times New Roman"/>
        </w:rPr>
        <w:t xml:space="preserve">. </w:t>
      </w:r>
      <w:r w:rsidR="00023EA0">
        <w:rPr>
          <w:rFonts w:cs="Times New Roman"/>
        </w:rPr>
        <w:t>If the marriage does proceed, it</w:t>
      </w:r>
      <w:r w:rsidR="00B66E34">
        <w:rPr>
          <w:rFonts w:cs="Times New Roman"/>
        </w:rPr>
        <w:t xml:space="preserve"> “…shall</w:t>
      </w:r>
      <w:r w:rsidR="00023EA0">
        <w:rPr>
          <w:rFonts w:cs="Times New Roman"/>
        </w:rPr>
        <w:t xml:space="preserve"> not to be registered</w:t>
      </w:r>
      <w:r w:rsidR="00B66E34">
        <w:rPr>
          <w:rFonts w:cs="Times New Roman"/>
        </w:rPr>
        <w:t xml:space="preserve">…” </w:t>
      </w:r>
      <w:r w:rsidR="005F6834">
        <w:rPr>
          <w:rFonts w:cs="Times New Roman"/>
        </w:rPr>
        <w:t xml:space="preserve"> (section 58(8)); </w:t>
      </w:r>
      <w:r w:rsidR="00312348">
        <w:rPr>
          <w:rFonts w:cs="Times New Roman"/>
        </w:rPr>
        <w:t xml:space="preserve">in my view </w:t>
      </w:r>
      <w:r w:rsidR="005F6834">
        <w:rPr>
          <w:rFonts w:cs="Times New Roman"/>
        </w:rPr>
        <w:t>this subsection does not</w:t>
      </w:r>
      <w:r w:rsidR="00312348">
        <w:rPr>
          <w:rFonts w:cs="Times New Roman"/>
        </w:rPr>
        <w:t xml:space="preserve"> in any way</w:t>
      </w:r>
      <w:r w:rsidR="005F6834">
        <w:rPr>
          <w:rFonts w:cs="Times New Roman"/>
        </w:rPr>
        <w:t xml:space="preserve"> </w:t>
      </w:r>
      <w:r w:rsidR="00312348">
        <w:rPr>
          <w:rFonts w:cs="Times New Roman"/>
        </w:rPr>
        <w:t>take from this analysis of</w:t>
      </w:r>
      <w:r w:rsidR="000E5A1F">
        <w:rPr>
          <w:rFonts w:cs="Times New Roman"/>
        </w:rPr>
        <w:t xml:space="preserve"> the section.</w:t>
      </w:r>
      <w:r w:rsidR="00312348">
        <w:rPr>
          <w:rFonts w:cs="Times New Roman"/>
        </w:rPr>
        <w:t xml:space="preserve"> </w:t>
      </w:r>
      <w:r w:rsidR="00486757" w:rsidRPr="00115381">
        <w:rPr>
          <w:rFonts w:cs="Times New Roman"/>
        </w:rPr>
        <w:t xml:space="preserve">In my view it is clear from the </w:t>
      </w:r>
      <w:proofErr w:type="spellStart"/>
      <w:r w:rsidR="00486757" w:rsidRPr="00115381">
        <w:rPr>
          <w:rFonts w:cs="Times New Roman"/>
        </w:rPr>
        <w:t>aforegoing</w:t>
      </w:r>
      <w:proofErr w:type="spellEnd"/>
      <w:r w:rsidR="00486757" w:rsidRPr="00115381">
        <w:rPr>
          <w:rFonts w:cs="Times New Roman"/>
        </w:rPr>
        <w:t xml:space="preserve"> that the </w:t>
      </w:r>
      <w:r w:rsidR="009D2654" w:rsidRPr="00115381">
        <w:rPr>
          <w:rFonts w:cs="Times New Roman"/>
        </w:rPr>
        <w:t xml:space="preserve">2004 Act, as amended by the 2014 Act, is concerned with prospective marriages only. </w:t>
      </w:r>
      <w:r w:rsidR="00ED1BB9" w:rsidRPr="00115381">
        <w:rPr>
          <w:rFonts w:cs="Times New Roman"/>
        </w:rPr>
        <w:t xml:space="preserve">It provides the grounds and the procedure for objecting to a marriage before it happens. </w:t>
      </w:r>
      <w:r w:rsidR="009D2654" w:rsidRPr="00115381">
        <w:rPr>
          <w:rFonts w:cs="Times New Roman"/>
        </w:rPr>
        <w:t xml:space="preserve">It does not purport to </w:t>
      </w:r>
      <w:r w:rsidR="00301A3A" w:rsidRPr="00115381">
        <w:rPr>
          <w:rFonts w:cs="Times New Roman"/>
        </w:rPr>
        <w:t>regulate</w:t>
      </w:r>
      <w:r w:rsidR="001D222B" w:rsidRPr="00115381">
        <w:rPr>
          <w:rFonts w:cs="Times New Roman"/>
        </w:rPr>
        <w:t xml:space="preserve">, or provide for the dissolution of, marriages that have already taken place. </w:t>
      </w:r>
    </w:p>
    <w:p w14:paraId="506D3431" w14:textId="77777777" w:rsidR="001D222B" w:rsidRPr="00115381" w:rsidRDefault="001D222B" w:rsidP="00775A4E">
      <w:pPr>
        <w:pStyle w:val="NoSpacing"/>
        <w:spacing w:line="480" w:lineRule="auto"/>
        <w:ind w:left="720"/>
        <w:jc w:val="left"/>
        <w:rPr>
          <w:rFonts w:cs="Times New Roman"/>
        </w:rPr>
      </w:pPr>
    </w:p>
    <w:p w14:paraId="5541A2FC" w14:textId="77777777" w:rsidR="00E32055" w:rsidRPr="00115381" w:rsidRDefault="007E4486" w:rsidP="00775A4E">
      <w:pPr>
        <w:pStyle w:val="NoSpacing"/>
        <w:numPr>
          <w:ilvl w:val="0"/>
          <w:numId w:val="8"/>
        </w:numPr>
        <w:spacing w:line="480" w:lineRule="auto"/>
        <w:ind w:left="0" w:firstLine="0"/>
        <w:jc w:val="left"/>
        <w:rPr>
          <w:rFonts w:cs="Times New Roman"/>
        </w:rPr>
      </w:pPr>
      <w:r w:rsidRPr="00115381">
        <w:rPr>
          <w:rFonts w:cs="Times New Roman"/>
        </w:rPr>
        <w:t>Therefore</w:t>
      </w:r>
      <w:r w:rsidR="001166A3" w:rsidRPr="00115381">
        <w:rPr>
          <w:rFonts w:cs="Times New Roman"/>
        </w:rPr>
        <w:t>,</w:t>
      </w:r>
      <w:r w:rsidRPr="00115381">
        <w:rPr>
          <w:rFonts w:cs="Times New Roman"/>
        </w:rPr>
        <w:t xml:space="preserve"> I must respectfully disagree with the comments of the learned High Court judge to the effect that </w:t>
      </w:r>
      <w:r w:rsidR="00801810" w:rsidRPr="00115381">
        <w:rPr>
          <w:rFonts w:cs="Times New Roman"/>
          <w:i/>
          <w:iCs/>
        </w:rPr>
        <w:t>“[t]</w:t>
      </w:r>
      <w:r w:rsidR="00F12A96" w:rsidRPr="00115381">
        <w:rPr>
          <w:rFonts w:cs="Times New Roman"/>
          <w:i/>
          <w:iCs/>
        </w:rPr>
        <w:t>he Civil Registration (Amendment) Act 2014 provides that a marriage of convenience is a nullity.”</w:t>
      </w:r>
      <w:r w:rsidR="00F12A96" w:rsidRPr="00115381">
        <w:rPr>
          <w:rFonts w:cs="Times New Roman"/>
        </w:rPr>
        <w:t xml:space="preserve"> There is no such provision in the Act. </w:t>
      </w:r>
      <w:r w:rsidR="00DA5D4F" w:rsidRPr="00115381">
        <w:rPr>
          <w:rFonts w:cs="Times New Roman"/>
        </w:rPr>
        <w:t xml:space="preserve">The </w:t>
      </w:r>
      <w:r w:rsidR="00EC0F2E" w:rsidRPr="00115381">
        <w:rPr>
          <w:rFonts w:cs="Times New Roman"/>
        </w:rPr>
        <w:t xml:space="preserve">relevant sections of the </w:t>
      </w:r>
      <w:r w:rsidR="00DA5D4F" w:rsidRPr="00115381">
        <w:rPr>
          <w:rFonts w:cs="Times New Roman"/>
        </w:rPr>
        <w:t>2014 Act do not</w:t>
      </w:r>
      <w:r w:rsidR="00C751B3" w:rsidRPr="00115381">
        <w:rPr>
          <w:rFonts w:cs="Times New Roman"/>
        </w:rPr>
        <w:t xml:space="preserve"> contain any provisions </w:t>
      </w:r>
      <w:r w:rsidR="00FC5693" w:rsidRPr="00115381">
        <w:rPr>
          <w:rFonts w:cs="Times New Roman"/>
        </w:rPr>
        <w:t>providing for</w:t>
      </w:r>
      <w:r w:rsidR="00C751B3" w:rsidRPr="00115381">
        <w:rPr>
          <w:rFonts w:cs="Times New Roman"/>
        </w:rPr>
        <w:t xml:space="preserve"> the nullity of already </w:t>
      </w:r>
      <w:r w:rsidR="00C751B3" w:rsidRPr="00115381">
        <w:rPr>
          <w:rFonts w:cs="Times New Roman"/>
        </w:rPr>
        <w:lastRenderedPageBreak/>
        <w:t>concluded marriages;</w:t>
      </w:r>
      <w:r w:rsidR="00FC5693" w:rsidRPr="00115381">
        <w:rPr>
          <w:rFonts w:cs="Times New Roman"/>
        </w:rPr>
        <w:t xml:space="preserve"> rather, </w:t>
      </w:r>
      <w:r w:rsidR="00EC0F2E" w:rsidRPr="00115381">
        <w:rPr>
          <w:rFonts w:cs="Times New Roman"/>
        </w:rPr>
        <w:t xml:space="preserve">they speak to the grounds for objecting to an intended marriage before it occurs – one such ground being, of course, that the intended marriage would be a marriage of convenience. </w:t>
      </w:r>
    </w:p>
    <w:p w14:paraId="45E2E0A0" w14:textId="77777777" w:rsidR="00E32055" w:rsidRPr="00115381" w:rsidRDefault="00E32055" w:rsidP="00775A4E">
      <w:pPr>
        <w:pStyle w:val="NoSpacing"/>
        <w:spacing w:line="480" w:lineRule="auto"/>
        <w:ind w:left="720"/>
        <w:jc w:val="left"/>
        <w:rPr>
          <w:rFonts w:cs="Times New Roman"/>
        </w:rPr>
      </w:pPr>
    </w:p>
    <w:p w14:paraId="665E2B4B" w14:textId="5AF47997" w:rsidR="00B66E34" w:rsidRDefault="00D377CA" w:rsidP="00775A4E">
      <w:pPr>
        <w:pStyle w:val="NoSpacing"/>
        <w:numPr>
          <w:ilvl w:val="0"/>
          <w:numId w:val="8"/>
        </w:numPr>
        <w:spacing w:line="480" w:lineRule="auto"/>
        <w:ind w:left="0" w:firstLine="0"/>
        <w:jc w:val="left"/>
        <w:rPr>
          <w:rFonts w:cs="Times New Roman"/>
        </w:rPr>
      </w:pPr>
      <w:r w:rsidRPr="00F80AF3">
        <w:rPr>
          <w:rFonts w:cs="Times New Roman"/>
        </w:rPr>
        <w:t xml:space="preserve">It might be said that </w:t>
      </w:r>
      <w:r w:rsidR="005E517A" w:rsidRPr="00F80AF3">
        <w:rPr>
          <w:rFonts w:cs="Times New Roman"/>
        </w:rPr>
        <w:t xml:space="preserve">the </w:t>
      </w:r>
      <w:r w:rsidR="00B66E34">
        <w:rPr>
          <w:rFonts w:cs="Times New Roman"/>
        </w:rPr>
        <w:t>Oireachtas</w:t>
      </w:r>
      <w:r w:rsidR="00B66E34" w:rsidRPr="00F80AF3">
        <w:rPr>
          <w:rFonts w:cs="Times New Roman"/>
        </w:rPr>
        <w:t xml:space="preserve"> </w:t>
      </w:r>
      <w:r w:rsidR="005E517A" w:rsidRPr="00F80AF3">
        <w:rPr>
          <w:rFonts w:cs="Times New Roman"/>
        </w:rPr>
        <w:t>has</w:t>
      </w:r>
      <w:r w:rsidRPr="00F80AF3">
        <w:rPr>
          <w:rFonts w:cs="Times New Roman"/>
        </w:rPr>
        <w:t xml:space="preserve">, </w:t>
      </w:r>
      <w:r w:rsidR="00B66E34">
        <w:rPr>
          <w:rFonts w:cs="Times New Roman"/>
        </w:rPr>
        <w:t>by the amending provisions</w:t>
      </w:r>
      <w:r w:rsidRPr="00F80AF3">
        <w:rPr>
          <w:rFonts w:cs="Times New Roman"/>
        </w:rPr>
        <w:t>,</w:t>
      </w:r>
      <w:r w:rsidR="005E517A" w:rsidRPr="00F80AF3">
        <w:rPr>
          <w:rFonts w:cs="Times New Roman"/>
        </w:rPr>
        <w:t xml:space="preserve"> clearly signalled its policy view of such marriages. </w:t>
      </w:r>
      <w:r w:rsidR="00B66E34">
        <w:rPr>
          <w:rFonts w:cs="Times New Roman"/>
        </w:rPr>
        <w:t>However, it</w:t>
      </w:r>
      <w:r w:rsidR="00F8268F" w:rsidRPr="00050B78">
        <w:rPr>
          <w:rFonts w:cs="Times New Roman"/>
        </w:rPr>
        <w:t xml:space="preserve"> could have chosen to legislate for a decree of nullity based on a finding that a marriage is one of convenience, although surely the underlying </w:t>
      </w:r>
      <w:r w:rsidR="008C53FF" w:rsidRPr="00050B78">
        <w:rPr>
          <w:rFonts w:cs="Times New Roman"/>
        </w:rPr>
        <w:t xml:space="preserve">factual </w:t>
      </w:r>
      <w:r w:rsidR="00F8268F" w:rsidRPr="005F7BD0">
        <w:rPr>
          <w:rFonts w:cs="Times New Roman"/>
        </w:rPr>
        <w:t>finding would be for a court</w:t>
      </w:r>
      <w:r w:rsidR="00A54B5A" w:rsidRPr="005F7BD0">
        <w:rPr>
          <w:rFonts w:cs="Times New Roman"/>
        </w:rPr>
        <w:t xml:space="preserve"> to decide, with all of the attendant procedures and safeguards that such would entail.</w:t>
      </w:r>
      <w:r w:rsidR="000F1427" w:rsidRPr="003315F5">
        <w:rPr>
          <w:rFonts w:cs="Times New Roman"/>
        </w:rPr>
        <w:t xml:space="preserve"> </w:t>
      </w:r>
      <w:r w:rsidR="00B66E34">
        <w:rPr>
          <w:rFonts w:cs="Times New Roman"/>
        </w:rPr>
        <w:t>This</w:t>
      </w:r>
      <w:r w:rsidR="000F1427" w:rsidRPr="003315F5">
        <w:rPr>
          <w:rFonts w:cs="Times New Roman"/>
        </w:rPr>
        <w:t xml:space="preserve">, it has not done, whether in the </w:t>
      </w:r>
      <w:r w:rsidR="005E517A" w:rsidRPr="00AD1D81">
        <w:rPr>
          <w:rFonts w:cs="Times New Roman"/>
        </w:rPr>
        <w:t xml:space="preserve">2014 Act, the </w:t>
      </w:r>
      <w:r w:rsidR="000F1427" w:rsidRPr="00201416">
        <w:rPr>
          <w:rFonts w:cs="Times New Roman"/>
        </w:rPr>
        <w:t>2015 Regulations (which would in any event be a most unusual</w:t>
      </w:r>
      <w:r w:rsidR="000F1427" w:rsidRPr="001E2A3F">
        <w:rPr>
          <w:rFonts w:cs="Times New Roman"/>
        </w:rPr>
        <w:t xml:space="preserve"> place to find such a widescale power) or elsewhere. </w:t>
      </w:r>
      <w:r w:rsidR="00B66E34">
        <w:rPr>
          <w:rFonts w:cs="Times New Roman"/>
        </w:rPr>
        <w:t>This can be directly contrasted with section 46(1) of the 2004 Act, which states:-</w:t>
      </w:r>
    </w:p>
    <w:p w14:paraId="3CE36ECE" w14:textId="35DEA2A9" w:rsidR="00B66E34" w:rsidRPr="006F69BD" w:rsidRDefault="00B66E34" w:rsidP="00775A4E">
      <w:pPr>
        <w:pStyle w:val="NoSpacing"/>
        <w:spacing w:line="480" w:lineRule="auto"/>
        <w:ind w:left="720"/>
        <w:jc w:val="left"/>
        <w:rPr>
          <w:rFonts w:cs="Times New Roman"/>
        </w:rPr>
      </w:pPr>
      <w:r w:rsidRPr="006F69BD">
        <w:rPr>
          <w:rFonts w:cs="Times New Roman"/>
        </w:rPr>
        <w:t>“A marriage solemnised in the State,…between persons of any age shall not be valid in law unless the persons concerned…[give the required notification to the registrar…].”</w:t>
      </w:r>
    </w:p>
    <w:p w14:paraId="53764A05" w14:textId="5B3AA2FC" w:rsidR="00F80AF3" w:rsidRPr="00115381" w:rsidRDefault="00B66E34" w:rsidP="00775A4E">
      <w:pPr>
        <w:pStyle w:val="NoSpacing"/>
        <w:spacing w:line="480" w:lineRule="auto"/>
        <w:jc w:val="left"/>
        <w:rPr>
          <w:rFonts w:cs="Times New Roman"/>
        </w:rPr>
      </w:pPr>
      <w:r>
        <w:rPr>
          <w:rFonts w:cs="Times New Roman"/>
        </w:rPr>
        <w:t xml:space="preserve">In any event, as </w:t>
      </w:r>
      <w:r w:rsidR="006675D0" w:rsidRPr="00F3173A">
        <w:rPr>
          <w:rFonts w:cs="Times New Roman"/>
        </w:rPr>
        <w:t>the existing grounds for nullity have been judicially developed</w:t>
      </w:r>
      <w:r w:rsidR="00013D3C" w:rsidRPr="00F3173A">
        <w:rPr>
          <w:rFonts w:cs="Times New Roman"/>
        </w:rPr>
        <w:t xml:space="preserve"> </w:t>
      </w:r>
      <w:r w:rsidR="00F80AF3">
        <w:rPr>
          <w:rFonts w:cs="Times New Roman"/>
        </w:rPr>
        <w:t xml:space="preserve">over the years </w:t>
      </w:r>
      <w:r w:rsidR="00013D3C" w:rsidRPr="00F80AF3">
        <w:rPr>
          <w:rFonts w:cs="Times New Roman"/>
        </w:rPr>
        <w:t xml:space="preserve">in the context of </w:t>
      </w:r>
      <w:r w:rsidR="00F80AF3">
        <w:rPr>
          <w:rFonts w:cs="Times New Roman"/>
        </w:rPr>
        <w:t xml:space="preserve">court </w:t>
      </w:r>
      <w:r w:rsidR="00013D3C" w:rsidRPr="00F80AF3">
        <w:rPr>
          <w:rFonts w:cs="Times New Roman"/>
        </w:rPr>
        <w:t>applications seeking such a decree</w:t>
      </w:r>
      <w:r>
        <w:rPr>
          <w:rFonts w:cs="Times New Roman"/>
        </w:rPr>
        <w:t>, p</w:t>
      </w:r>
      <w:r w:rsidR="00874BF1" w:rsidRPr="00F80AF3">
        <w:rPr>
          <w:rFonts w:cs="Times New Roman"/>
        </w:rPr>
        <w:t xml:space="preserve">erhaps the law </w:t>
      </w:r>
      <w:r w:rsidR="00BE6488" w:rsidRPr="00F80AF3">
        <w:rPr>
          <w:rFonts w:cs="Times New Roman"/>
        </w:rPr>
        <w:t xml:space="preserve">may evolve to recognise the fact that a marriage of convenience </w:t>
      </w:r>
      <w:r w:rsidR="00F80AF3">
        <w:rPr>
          <w:rFonts w:cs="Times New Roman"/>
        </w:rPr>
        <w:t>i</w:t>
      </w:r>
      <w:r w:rsidR="00BE6488" w:rsidRPr="00F80AF3">
        <w:rPr>
          <w:rFonts w:cs="Times New Roman"/>
        </w:rPr>
        <w:t>s a ground for nullity</w:t>
      </w:r>
      <w:r>
        <w:rPr>
          <w:rFonts w:cs="Times New Roman"/>
        </w:rPr>
        <w:t>.  Bu</w:t>
      </w:r>
      <w:r w:rsidR="00F80AF3">
        <w:rPr>
          <w:rFonts w:cs="Times New Roman"/>
        </w:rPr>
        <w:t xml:space="preserve">t can it be said that this has yet happened? </w:t>
      </w:r>
    </w:p>
    <w:p w14:paraId="5AA13BA2" w14:textId="540402B7" w:rsidR="003D50D2" w:rsidRDefault="003D50D2" w:rsidP="00775A4E">
      <w:pPr>
        <w:pStyle w:val="NoSpacing"/>
        <w:spacing w:line="480" w:lineRule="auto"/>
        <w:jc w:val="left"/>
        <w:rPr>
          <w:rFonts w:cs="Times New Roman"/>
        </w:rPr>
      </w:pPr>
    </w:p>
    <w:p w14:paraId="38E8F814" w14:textId="5E455823" w:rsidR="00050B78" w:rsidRPr="00CE11F8" w:rsidRDefault="00050B78" w:rsidP="00775A4E">
      <w:pPr>
        <w:pStyle w:val="NoSpacing"/>
        <w:spacing w:line="480" w:lineRule="auto"/>
        <w:jc w:val="left"/>
        <w:rPr>
          <w:rFonts w:cs="Times New Roman"/>
          <w:b/>
          <w:bCs/>
          <w:u w:val="single"/>
        </w:rPr>
      </w:pPr>
      <w:r>
        <w:rPr>
          <w:rFonts w:cs="Times New Roman"/>
          <w:b/>
          <w:bCs/>
          <w:u w:val="single"/>
        </w:rPr>
        <w:t>Observations on the Current Situation</w:t>
      </w:r>
    </w:p>
    <w:p w14:paraId="7F48DA33" w14:textId="348A3B82" w:rsidR="00050B78" w:rsidRDefault="00050B78" w:rsidP="00775A4E">
      <w:pPr>
        <w:pStyle w:val="NoSpacing"/>
        <w:numPr>
          <w:ilvl w:val="0"/>
          <w:numId w:val="8"/>
        </w:numPr>
        <w:spacing w:line="480" w:lineRule="auto"/>
        <w:ind w:left="0" w:firstLine="0"/>
        <w:jc w:val="left"/>
        <w:rPr>
          <w:rFonts w:cs="Times New Roman"/>
        </w:rPr>
      </w:pPr>
      <w:r>
        <w:rPr>
          <w:rFonts w:cs="Times New Roman"/>
        </w:rPr>
        <w:t xml:space="preserve">As for </w:t>
      </w:r>
      <w:r w:rsidR="005875F2">
        <w:rPr>
          <w:rFonts w:cs="Times New Roman"/>
        </w:rPr>
        <w:t>this</w:t>
      </w:r>
      <w:r>
        <w:rPr>
          <w:rFonts w:cs="Times New Roman"/>
        </w:rPr>
        <w:t xml:space="preserve"> question, the jurisprudence </w:t>
      </w:r>
      <w:r w:rsidR="005875F2">
        <w:rPr>
          <w:rFonts w:cs="Times New Roman"/>
        </w:rPr>
        <w:t xml:space="preserve">as of now </w:t>
      </w:r>
      <w:r>
        <w:rPr>
          <w:rFonts w:cs="Times New Roman"/>
        </w:rPr>
        <w:t xml:space="preserve">certainly appears to point in conflicting directions, although notably this precise point has not arisen in the context of nullity proceedings before a court exercising its </w:t>
      </w:r>
      <w:r w:rsidR="008E0B31">
        <w:rPr>
          <w:rFonts w:cs="Times New Roman"/>
        </w:rPr>
        <w:t xml:space="preserve">matrimonial </w:t>
      </w:r>
      <w:r>
        <w:rPr>
          <w:rFonts w:cs="Times New Roman"/>
        </w:rPr>
        <w:t xml:space="preserve">jurisdiction. Barron </w:t>
      </w:r>
      <w:r w:rsidR="001513A6">
        <w:rPr>
          <w:rFonts w:cs="Times New Roman"/>
        </w:rPr>
        <w:t xml:space="preserve">J. </w:t>
      </w:r>
      <w:r>
        <w:rPr>
          <w:rFonts w:cs="Times New Roman"/>
        </w:rPr>
        <w:t xml:space="preserve">in </w:t>
      </w:r>
      <w:r w:rsidRPr="0000600C">
        <w:rPr>
          <w:rFonts w:cs="Times New Roman"/>
          <w:i/>
          <w:iCs/>
        </w:rPr>
        <w:t>Kelly</w:t>
      </w:r>
      <w:r>
        <w:rPr>
          <w:rFonts w:cs="Times New Roman"/>
        </w:rPr>
        <w:t xml:space="preserve"> </w:t>
      </w:r>
      <w:r w:rsidRPr="0000600C">
        <w:rPr>
          <w:rFonts w:cs="Times New Roman"/>
          <w:i/>
          <w:iCs/>
        </w:rPr>
        <w:t>v. Ireland</w:t>
      </w:r>
      <w:r>
        <w:rPr>
          <w:rFonts w:cs="Times New Roman"/>
        </w:rPr>
        <w:t xml:space="preserve"> implicitly favoured the “second approach” above discussed, whereby one may look to </w:t>
      </w:r>
      <w:r>
        <w:rPr>
          <w:rFonts w:cs="Times New Roman"/>
        </w:rPr>
        <w:lastRenderedPageBreak/>
        <w:t xml:space="preserve">the circumstances surrounding a marriage to determine whether it was a sham, although it should be recalled that those were judicial review proceedings seeking the return of a passport and a declaration of citizenship and on the facts of that case the learned judge was not satisfied that it was a sham marriage in any event. Similarly, on the facts as found in the High Court in </w:t>
      </w:r>
      <w:r>
        <w:rPr>
          <w:rFonts w:cs="Times New Roman"/>
          <w:i/>
          <w:iCs/>
        </w:rPr>
        <w:t xml:space="preserve">H.S. v. J.S. </w:t>
      </w:r>
      <w:r>
        <w:rPr>
          <w:rFonts w:cs="Times New Roman"/>
        </w:rPr>
        <w:t xml:space="preserve">there was no marriage of convenience between the parties, and the comments of McCarthy </w:t>
      </w:r>
      <w:r w:rsidR="001513A6">
        <w:rPr>
          <w:rFonts w:cs="Times New Roman"/>
        </w:rPr>
        <w:t xml:space="preserve">J. </w:t>
      </w:r>
      <w:r>
        <w:rPr>
          <w:rFonts w:cs="Times New Roman"/>
        </w:rPr>
        <w:t>which appear to endorse the “first approach”</w:t>
      </w:r>
      <w:r w:rsidR="008E0B31">
        <w:rPr>
          <w:rFonts w:cs="Times New Roman"/>
        </w:rPr>
        <w:t xml:space="preserve"> (see para. 9</w:t>
      </w:r>
      <w:r w:rsidR="002A3211">
        <w:rPr>
          <w:rFonts w:cs="Times New Roman"/>
        </w:rPr>
        <w:t>2</w:t>
      </w:r>
      <w:r w:rsidR="008E0B31">
        <w:rPr>
          <w:rFonts w:cs="Times New Roman"/>
        </w:rPr>
        <w:t xml:space="preserve">, </w:t>
      </w:r>
      <w:r w:rsidR="008E0B31" w:rsidRPr="00CE11F8">
        <w:rPr>
          <w:rFonts w:cs="Times New Roman"/>
          <w:i/>
          <w:iCs/>
        </w:rPr>
        <w:t>supra</w:t>
      </w:r>
      <w:r w:rsidR="008E0B31">
        <w:rPr>
          <w:rFonts w:cs="Times New Roman"/>
        </w:rPr>
        <w:t>)</w:t>
      </w:r>
      <w:r>
        <w:rPr>
          <w:rFonts w:cs="Times New Roman"/>
        </w:rPr>
        <w:t xml:space="preserve">, whereby the marriage is valid so long as the strict legal requirements are satisfied, must be understood as being </w:t>
      </w:r>
      <w:r w:rsidRPr="0000600C">
        <w:rPr>
          <w:rFonts w:cs="Times New Roman"/>
          <w:i/>
          <w:iCs/>
        </w:rPr>
        <w:t>obiter</w:t>
      </w:r>
      <w:r>
        <w:rPr>
          <w:rFonts w:cs="Times New Roman"/>
        </w:rPr>
        <w:t xml:space="preserve"> only. Hogan </w:t>
      </w:r>
      <w:r w:rsidR="001513A6">
        <w:rPr>
          <w:rFonts w:cs="Times New Roman"/>
        </w:rPr>
        <w:t xml:space="preserve">J. </w:t>
      </w:r>
      <w:r>
        <w:rPr>
          <w:rFonts w:cs="Times New Roman"/>
        </w:rPr>
        <w:t xml:space="preserve">took a clear view in </w:t>
      </w:r>
      <w:r w:rsidRPr="0000600C">
        <w:rPr>
          <w:rFonts w:cs="Times New Roman"/>
          <w:i/>
          <w:iCs/>
        </w:rPr>
        <w:t>Izmailovic</w:t>
      </w:r>
      <w:r>
        <w:rPr>
          <w:rFonts w:cs="Times New Roman"/>
        </w:rPr>
        <w:t xml:space="preserve">, although again the point must be regarded as </w:t>
      </w:r>
      <w:r w:rsidRPr="0000600C">
        <w:rPr>
          <w:rFonts w:cs="Times New Roman"/>
          <w:i/>
          <w:iCs/>
        </w:rPr>
        <w:t>obiter</w:t>
      </w:r>
      <w:r>
        <w:rPr>
          <w:rFonts w:cs="Times New Roman"/>
        </w:rPr>
        <w:t xml:space="preserve"> insofar as that case proceeded as a </w:t>
      </w:r>
      <w:r w:rsidRPr="0000600C">
        <w:rPr>
          <w:rFonts w:cs="Times New Roman"/>
          <w:i/>
          <w:iCs/>
        </w:rPr>
        <w:t>habeas corpus</w:t>
      </w:r>
      <w:r>
        <w:rPr>
          <w:rFonts w:cs="Times New Roman"/>
        </w:rPr>
        <w:t xml:space="preserve"> application </w:t>
      </w:r>
      <w:r w:rsidR="008E0B31">
        <w:rPr>
          <w:rFonts w:cs="Times New Roman"/>
        </w:rPr>
        <w:t>and did so, as it had to</w:t>
      </w:r>
      <w:r w:rsidR="00D97EDE">
        <w:rPr>
          <w:rFonts w:cs="Times New Roman"/>
        </w:rPr>
        <w:t xml:space="preserve">, on the basis that the intended ceremony never in fact took place </w:t>
      </w:r>
      <w:r>
        <w:rPr>
          <w:rFonts w:cs="Times New Roman"/>
        </w:rPr>
        <w:t xml:space="preserve">due to the last minute intervention of the State, still less was one of the parties to the marriage seeking a declaration of annulment. </w:t>
      </w:r>
    </w:p>
    <w:p w14:paraId="28E7DEF9" w14:textId="77777777" w:rsidR="00050B78" w:rsidRDefault="00050B78" w:rsidP="00775A4E">
      <w:pPr>
        <w:pStyle w:val="NoSpacing"/>
        <w:spacing w:line="480" w:lineRule="auto"/>
        <w:jc w:val="left"/>
        <w:rPr>
          <w:rFonts w:cs="Times New Roman"/>
        </w:rPr>
      </w:pPr>
    </w:p>
    <w:p w14:paraId="6261C774" w14:textId="5CA74A12" w:rsidR="00050B78" w:rsidRPr="00A66133" w:rsidRDefault="00050B78" w:rsidP="00775A4E">
      <w:pPr>
        <w:pStyle w:val="NoSpacing"/>
        <w:numPr>
          <w:ilvl w:val="0"/>
          <w:numId w:val="8"/>
        </w:numPr>
        <w:spacing w:line="480" w:lineRule="auto"/>
        <w:ind w:left="0" w:firstLine="0"/>
        <w:jc w:val="left"/>
        <w:rPr>
          <w:rFonts w:cs="Times New Roman"/>
        </w:rPr>
      </w:pPr>
      <w:r>
        <w:rPr>
          <w:rFonts w:cs="Times New Roman"/>
        </w:rPr>
        <w:t xml:space="preserve">It should be recalled that the within proceedings are a judicial review application in the deportation context. The Minister, in making his finding under the 2015 Regulations that the Appellants’ marriage was one of convenience, did not purport to make any consequent decision, with far-reaching legal effects, that the marriage was therefore a nullity at law for all purposes; quite rightly so, for the 2015 Regulations do not permit him to do so. Though the Minister seems to have argued in the High Court that </w:t>
      </w:r>
      <w:r>
        <w:rPr>
          <w:rFonts w:cs="Times New Roman"/>
          <w:i/>
          <w:iCs/>
        </w:rPr>
        <w:t xml:space="preserve">Izmailovic </w:t>
      </w:r>
      <w:r>
        <w:rPr>
          <w:rFonts w:cs="Times New Roman"/>
        </w:rPr>
        <w:t xml:space="preserve">was wrongly decided and maintained that position in his written </w:t>
      </w:r>
      <w:r w:rsidR="00CD7573">
        <w:rPr>
          <w:rFonts w:cs="Times New Roman"/>
        </w:rPr>
        <w:t>submissions</w:t>
      </w:r>
      <w:r>
        <w:rPr>
          <w:rFonts w:cs="Times New Roman"/>
        </w:rPr>
        <w:t xml:space="preserve"> before this Court, in his oral submissions he </w:t>
      </w:r>
      <w:proofErr w:type="spellStart"/>
      <w:r>
        <w:rPr>
          <w:rFonts w:cs="Times New Roman"/>
        </w:rPr>
        <w:t>resiled</w:t>
      </w:r>
      <w:proofErr w:type="spellEnd"/>
      <w:r>
        <w:rPr>
          <w:rFonts w:cs="Times New Roman"/>
        </w:rPr>
        <w:t xml:space="preserve"> somewhat from that position, being content to point out that the treatment of the issue in both this case and in </w:t>
      </w:r>
      <w:r>
        <w:rPr>
          <w:rFonts w:cs="Times New Roman"/>
          <w:i/>
          <w:iCs/>
        </w:rPr>
        <w:t xml:space="preserve">Izmailovic </w:t>
      </w:r>
      <w:r>
        <w:rPr>
          <w:rFonts w:cs="Times New Roman"/>
        </w:rPr>
        <w:t xml:space="preserve">was </w:t>
      </w:r>
      <w:r>
        <w:rPr>
          <w:rFonts w:cs="Times New Roman"/>
          <w:i/>
          <w:iCs/>
        </w:rPr>
        <w:t>obiter</w:t>
      </w:r>
      <w:r>
        <w:rPr>
          <w:rFonts w:cs="Times New Roman"/>
        </w:rPr>
        <w:t xml:space="preserve">. </w:t>
      </w:r>
    </w:p>
    <w:p w14:paraId="5C2D948A" w14:textId="77777777" w:rsidR="00050B78" w:rsidRDefault="00050B78" w:rsidP="00775A4E">
      <w:pPr>
        <w:pStyle w:val="NoSpacing"/>
        <w:spacing w:line="480" w:lineRule="auto"/>
        <w:jc w:val="left"/>
        <w:rPr>
          <w:rFonts w:cs="Times New Roman"/>
        </w:rPr>
      </w:pPr>
    </w:p>
    <w:p w14:paraId="5BA86572" w14:textId="12CED105" w:rsidR="00050B78" w:rsidRPr="0000600C" w:rsidRDefault="00050B78" w:rsidP="00775A4E">
      <w:pPr>
        <w:pStyle w:val="NoSpacing"/>
        <w:numPr>
          <w:ilvl w:val="0"/>
          <w:numId w:val="8"/>
        </w:numPr>
        <w:spacing w:line="480" w:lineRule="auto"/>
        <w:ind w:left="0" w:firstLine="0"/>
        <w:jc w:val="left"/>
        <w:rPr>
          <w:rFonts w:cs="Times New Roman"/>
        </w:rPr>
      </w:pPr>
      <w:r>
        <w:rPr>
          <w:rFonts w:cs="Times New Roman"/>
        </w:rPr>
        <w:t>In my view, these proceedings are not an appropriate vehicle for this Court to pronounce</w:t>
      </w:r>
      <w:r w:rsidR="00105B46">
        <w:rPr>
          <w:rFonts w:cs="Times New Roman"/>
        </w:rPr>
        <w:t xml:space="preserve"> </w:t>
      </w:r>
      <w:r>
        <w:rPr>
          <w:rFonts w:cs="Times New Roman"/>
        </w:rPr>
        <w:t xml:space="preserve">on this wider question of whether a marriage of convenience is a legal nullity for </w:t>
      </w:r>
      <w:r>
        <w:rPr>
          <w:rFonts w:cs="Times New Roman"/>
        </w:rPr>
        <w:lastRenderedPageBreak/>
        <w:t>all purposes</w:t>
      </w:r>
      <w:r w:rsidR="00105B46" w:rsidRPr="00105B46">
        <w:rPr>
          <w:rFonts w:asciiTheme="minorHAnsi" w:hAnsiTheme="minorHAnsi" w:cs="Times New Roman"/>
          <w:sz w:val="22"/>
        </w:rPr>
        <w:t xml:space="preserve"> </w:t>
      </w:r>
      <w:r w:rsidR="00105B46" w:rsidRPr="00105B46">
        <w:rPr>
          <w:rFonts w:cs="Times New Roman"/>
        </w:rPr>
        <w:t>and whether such arises only from the common law or also from the 2014 Act.</w:t>
      </w:r>
      <w:r>
        <w:rPr>
          <w:rFonts w:cs="Times New Roman"/>
        </w:rPr>
        <w:t xml:space="preserve">. </w:t>
      </w:r>
      <w:r w:rsidRPr="00BC5880">
        <w:rPr>
          <w:rFonts w:cs="Times New Roman"/>
        </w:rPr>
        <w:t>The establ</w:t>
      </w:r>
      <w:r w:rsidRPr="00AE0C7D">
        <w:rPr>
          <w:rFonts w:cs="Times New Roman"/>
        </w:rPr>
        <w:t xml:space="preserve">ished grounds for the granting of decrees of nullity have been developed judicially </w:t>
      </w:r>
      <w:r w:rsidRPr="0000600C">
        <w:rPr>
          <w:rFonts w:cs="Times New Roman"/>
        </w:rPr>
        <w:t xml:space="preserve">in the context of </w:t>
      </w:r>
      <w:r w:rsidR="00D97EDE">
        <w:rPr>
          <w:rFonts w:cs="Times New Roman"/>
        </w:rPr>
        <w:t xml:space="preserve">an </w:t>
      </w:r>
      <w:r w:rsidRPr="0000600C">
        <w:rPr>
          <w:rFonts w:cs="Times New Roman"/>
        </w:rPr>
        <w:t xml:space="preserve">application by </w:t>
      </w:r>
      <w:r w:rsidR="00D97EDE">
        <w:rPr>
          <w:rFonts w:cs="Times New Roman"/>
        </w:rPr>
        <w:t xml:space="preserve">either </w:t>
      </w:r>
      <w:r w:rsidRPr="0000600C">
        <w:rPr>
          <w:rFonts w:cs="Times New Roman"/>
        </w:rPr>
        <w:t>part</w:t>
      </w:r>
      <w:r w:rsidR="00D97EDE">
        <w:rPr>
          <w:rFonts w:cs="Times New Roman"/>
        </w:rPr>
        <w:t>y</w:t>
      </w:r>
      <w:r w:rsidRPr="0000600C">
        <w:rPr>
          <w:rFonts w:cs="Times New Roman"/>
        </w:rPr>
        <w:t xml:space="preserve"> </w:t>
      </w:r>
      <w:r w:rsidR="00CD7573">
        <w:rPr>
          <w:rFonts w:cs="Times New Roman"/>
        </w:rPr>
        <w:t xml:space="preserve">to the marriage </w:t>
      </w:r>
      <w:r w:rsidRPr="0000600C">
        <w:rPr>
          <w:rFonts w:cs="Times New Roman"/>
        </w:rPr>
        <w:t xml:space="preserve">to that end. In my view, if the fact that a marriage is a marriage of convenience is to be recognised as a ground for nullity, it should arise in </w:t>
      </w:r>
      <w:r w:rsidR="00027DD4">
        <w:rPr>
          <w:rFonts w:cs="Times New Roman"/>
        </w:rPr>
        <w:t xml:space="preserve">such a </w:t>
      </w:r>
      <w:r w:rsidRPr="0000600C">
        <w:rPr>
          <w:rFonts w:cs="Times New Roman"/>
        </w:rPr>
        <w:t>context</w:t>
      </w:r>
      <w:r w:rsidR="00027DD4">
        <w:rPr>
          <w:rFonts w:cs="Times New Roman"/>
        </w:rPr>
        <w:t>, wherein a party to such a marriage seeks an annulment on that ground</w:t>
      </w:r>
      <w:r w:rsidRPr="0000600C">
        <w:rPr>
          <w:rFonts w:cs="Times New Roman"/>
        </w:rPr>
        <w:t xml:space="preserve">. It is clear that there are two views, or schools of thoughts, concerning </w:t>
      </w:r>
      <w:r w:rsidR="00027DD4">
        <w:rPr>
          <w:rFonts w:cs="Times New Roman"/>
        </w:rPr>
        <w:t>this issue</w:t>
      </w:r>
      <w:r w:rsidRPr="0000600C">
        <w:rPr>
          <w:rFonts w:cs="Times New Roman"/>
        </w:rPr>
        <w:t>, with case law and policy considerations leaning either way. It will be for the parties to such an annulment application to make their legal arguments to the appropriate court. If the fact of it being a marriage of convenience is to be a ground for nullity, it will be for court to make the underlying factual determination</w:t>
      </w:r>
      <w:r>
        <w:rPr>
          <w:rFonts w:cs="Times New Roman"/>
        </w:rPr>
        <w:t xml:space="preserve"> concerning the marriage</w:t>
      </w:r>
      <w:r w:rsidRPr="0000600C">
        <w:rPr>
          <w:rFonts w:cs="Times New Roman"/>
        </w:rPr>
        <w:t xml:space="preserve">, with all of the attendant procedures that attach to the court process. </w:t>
      </w:r>
    </w:p>
    <w:p w14:paraId="6648B528" w14:textId="77777777" w:rsidR="00050B78" w:rsidRDefault="00050B78" w:rsidP="00775A4E">
      <w:pPr>
        <w:pStyle w:val="NoSpacing"/>
        <w:spacing w:line="480" w:lineRule="auto"/>
        <w:jc w:val="left"/>
        <w:rPr>
          <w:rFonts w:cs="Times New Roman"/>
        </w:rPr>
      </w:pPr>
    </w:p>
    <w:p w14:paraId="0E5AAB35" w14:textId="4C5FF13C" w:rsidR="00050B78" w:rsidRDefault="00050B78" w:rsidP="00775A4E">
      <w:pPr>
        <w:pStyle w:val="NoSpacing"/>
        <w:numPr>
          <w:ilvl w:val="0"/>
          <w:numId w:val="8"/>
        </w:numPr>
        <w:spacing w:line="480" w:lineRule="auto"/>
        <w:ind w:left="0" w:firstLine="0"/>
        <w:jc w:val="left"/>
        <w:rPr>
          <w:rFonts w:cs="Times New Roman"/>
        </w:rPr>
      </w:pPr>
      <w:r>
        <w:rPr>
          <w:rFonts w:cs="Times New Roman"/>
        </w:rPr>
        <w:t xml:space="preserve">This, fundamentally, is an immigration judicial review. The family status jurisdiction of the </w:t>
      </w:r>
      <w:r w:rsidR="00027DD4">
        <w:rPr>
          <w:rFonts w:cs="Times New Roman"/>
        </w:rPr>
        <w:t xml:space="preserve">Circuit Court or of the </w:t>
      </w:r>
      <w:r>
        <w:rPr>
          <w:rFonts w:cs="Times New Roman"/>
        </w:rPr>
        <w:t xml:space="preserve">High Court is not invoked in these proceedings. Moreover, it is clear from the wording of the 2015 Regulations that the Minister’s determination concerning </w:t>
      </w:r>
      <w:r w:rsidR="00A72CE1">
        <w:rPr>
          <w:rFonts w:cs="Times New Roman"/>
        </w:rPr>
        <w:t xml:space="preserve">such a </w:t>
      </w:r>
      <w:r>
        <w:rPr>
          <w:rFonts w:cs="Times New Roman"/>
        </w:rPr>
        <w:t xml:space="preserve">marriage is doubly constrained: first, such finding has relevance only in the immigration/deportation context, and, further, all that it enables him to do is to disregard the marriage for such purposes. His determination that it is a marriage of convenience cannot lead to the marriage being a nullity at law for all purposes, all the more so here where both parties to the marriage contest that very </w:t>
      </w:r>
      <w:r w:rsidR="00AB20A5">
        <w:rPr>
          <w:rFonts w:cs="Times New Roman"/>
        </w:rPr>
        <w:t>finding</w:t>
      </w:r>
      <w:r>
        <w:rPr>
          <w:rFonts w:cs="Times New Roman"/>
        </w:rPr>
        <w:t xml:space="preserve">. However, while the </w:t>
      </w:r>
      <w:r w:rsidRPr="0000600C">
        <w:rPr>
          <w:rFonts w:cs="Times New Roman"/>
          <w:i/>
          <w:iCs/>
        </w:rPr>
        <w:t>Minister’s</w:t>
      </w:r>
      <w:r>
        <w:rPr>
          <w:rFonts w:cs="Times New Roman"/>
        </w:rPr>
        <w:t xml:space="preserve"> </w:t>
      </w:r>
      <w:r w:rsidR="000E2A68">
        <w:rPr>
          <w:rFonts w:cs="Times New Roman"/>
        </w:rPr>
        <w:t>decision</w:t>
      </w:r>
      <w:r>
        <w:rPr>
          <w:rFonts w:cs="Times New Roman"/>
        </w:rPr>
        <w:t xml:space="preserve"> does not mean that the otherwise legally valid marriage is thereby a legal nullity, </w:t>
      </w:r>
      <w:r w:rsidR="000E2A68">
        <w:rPr>
          <w:rFonts w:cs="Times New Roman"/>
        </w:rPr>
        <w:t>I do</w:t>
      </w:r>
      <w:r>
        <w:rPr>
          <w:rFonts w:cs="Times New Roman"/>
        </w:rPr>
        <w:t xml:space="preserve"> not rule out that a court</w:t>
      </w:r>
      <w:r w:rsidR="000E2A68">
        <w:rPr>
          <w:rFonts w:cs="Times New Roman"/>
        </w:rPr>
        <w:t>,</w:t>
      </w:r>
      <w:r>
        <w:rPr>
          <w:rFonts w:cs="Times New Roman"/>
        </w:rPr>
        <w:t xml:space="preserve"> properly </w:t>
      </w:r>
      <w:proofErr w:type="spellStart"/>
      <w:r>
        <w:rPr>
          <w:rFonts w:cs="Times New Roman"/>
        </w:rPr>
        <w:t>seised</w:t>
      </w:r>
      <w:proofErr w:type="spellEnd"/>
      <w:r>
        <w:rPr>
          <w:rFonts w:cs="Times New Roman"/>
        </w:rPr>
        <w:t xml:space="preserve"> of an appropriate annulment application by a party with standing</w:t>
      </w:r>
      <w:r w:rsidR="000E2A68">
        <w:rPr>
          <w:rFonts w:cs="Times New Roman"/>
        </w:rPr>
        <w:t>,</w:t>
      </w:r>
      <w:r>
        <w:rPr>
          <w:rFonts w:cs="Times New Roman"/>
        </w:rPr>
        <w:t xml:space="preserve"> may conclude that </w:t>
      </w:r>
      <w:r w:rsidR="000E2A68">
        <w:rPr>
          <w:rFonts w:cs="Times New Roman"/>
        </w:rPr>
        <w:t xml:space="preserve">such a </w:t>
      </w:r>
      <w:r>
        <w:rPr>
          <w:rFonts w:cs="Times New Roman"/>
        </w:rPr>
        <w:t xml:space="preserve">marriage is a grounds for a nullity; then again, it may not. This, however, is not the case in which to reach such a conclusion. It will suffice to say that the Minister’s finding regarding the marriage of convenience is confined to the </w:t>
      </w:r>
      <w:r>
        <w:rPr>
          <w:rFonts w:cs="Times New Roman"/>
        </w:rPr>
        <w:lastRenderedPageBreak/>
        <w:t xml:space="preserve">immigration/deportation context and </w:t>
      </w:r>
      <w:r w:rsidR="004A7F67">
        <w:rPr>
          <w:rFonts w:cs="Times New Roman"/>
        </w:rPr>
        <w:t xml:space="preserve">the </w:t>
      </w:r>
      <w:r>
        <w:rPr>
          <w:rFonts w:cs="Times New Roman"/>
        </w:rPr>
        <w:t xml:space="preserve">sole consequence, as explained in this judgment, is that he may disregard the marriage for such purposes.  </w:t>
      </w:r>
    </w:p>
    <w:p w14:paraId="475ABE71" w14:textId="3FE36C61" w:rsidR="00050B78" w:rsidRDefault="00050B78" w:rsidP="00775A4E">
      <w:pPr>
        <w:pStyle w:val="NoSpacing"/>
        <w:spacing w:line="480" w:lineRule="auto"/>
        <w:jc w:val="left"/>
        <w:rPr>
          <w:rFonts w:cs="Times New Roman"/>
        </w:rPr>
      </w:pPr>
    </w:p>
    <w:p w14:paraId="3686D7C7" w14:textId="2568644B" w:rsidR="00D5545F" w:rsidRPr="005D6974" w:rsidRDefault="00D5545F" w:rsidP="00775A4E">
      <w:pPr>
        <w:spacing w:after="0" w:line="480" w:lineRule="auto"/>
        <w:rPr>
          <w:rFonts w:ascii="Times New Roman" w:hAnsi="Times New Roman" w:cs="Times New Roman"/>
          <w:b/>
          <w:i/>
          <w:sz w:val="24"/>
          <w:szCs w:val="24"/>
        </w:rPr>
      </w:pPr>
      <w:r w:rsidRPr="005D6974">
        <w:rPr>
          <w:rFonts w:ascii="Times New Roman" w:hAnsi="Times New Roman" w:cs="Times New Roman"/>
          <w:b/>
          <w:i/>
          <w:sz w:val="24"/>
          <w:szCs w:val="24"/>
        </w:rPr>
        <w:t>Whether the Minister must nonetheless take into account any family/private rights of the parties</w:t>
      </w:r>
      <w:r w:rsidR="0029585B">
        <w:rPr>
          <w:rFonts w:ascii="Times New Roman" w:hAnsi="Times New Roman" w:cs="Times New Roman"/>
          <w:b/>
          <w:i/>
          <w:sz w:val="24"/>
          <w:szCs w:val="24"/>
        </w:rPr>
        <w:t>?</w:t>
      </w:r>
    </w:p>
    <w:p w14:paraId="6E10CBC6" w14:textId="24435B80" w:rsidR="00D5545F" w:rsidRDefault="00D5545F" w:rsidP="00775A4E">
      <w:pPr>
        <w:pStyle w:val="NoSpacing"/>
        <w:numPr>
          <w:ilvl w:val="0"/>
          <w:numId w:val="8"/>
        </w:numPr>
        <w:spacing w:line="480" w:lineRule="auto"/>
        <w:ind w:left="0" w:firstLine="0"/>
        <w:jc w:val="left"/>
        <w:rPr>
          <w:rFonts w:cs="Times New Roman"/>
        </w:rPr>
      </w:pPr>
      <w:r w:rsidRPr="005D6974">
        <w:rPr>
          <w:rFonts w:cs="Times New Roman"/>
        </w:rPr>
        <w:t xml:space="preserve">This, then, leads onto the third question, which is whether, the marriage having been disregarded as a factor bearing on the deportation decision, no </w:t>
      </w:r>
      <w:r>
        <w:rPr>
          <w:rFonts w:cs="Times New Roman"/>
        </w:rPr>
        <w:t xml:space="preserve">family </w:t>
      </w:r>
      <w:r w:rsidRPr="005D6974">
        <w:rPr>
          <w:rFonts w:cs="Times New Roman"/>
        </w:rPr>
        <w:t xml:space="preserve">rights arising from </w:t>
      </w:r>
      <w:r>
        <w:rPr>
          <w:rFonts w:cs="Times New Roman"/>
        </w:rPr>
        <w:t>such marriage could</w:t>
      </w:r>
      <w:r w:rsidRPr="005D6974">
        <w:rPr>
          <w:rFonts w:cs="Times New Roman"/>
        </w:rPr>
        <w:t xml:space="preserve"> be asserted </w:t>
      </w:r>
      <w:r>
        <w:rPr>
          <w:rFonts w:cs="Times New Roman"/>
        </w:rPr>
        <w:t>as part of that process</w:t>
      </w:r>
      <w:r w:rsidRPr="005D6974">
        <w:rPr>
          <w:rFonts w:cs="Times New Roman"/>
        </w:rPr>
        <w:t>. It may be correct to say, as a matter of principle, that</w:t>
      </w:r>
      <w:r>
        <w:rPr>
          <w:rFonts w:cs="Times New Roman"/>
        </w:rPr>
        <w:t>, in such context</w:t>
      </w:r>
      <w:r w:rsidRPr="005D6974">
        <w:rPr>
          <w:rFonts w:cs="Times New Roman"/>
        </w:rPr>
        <w:t xml:space="preserve"> no rights </w:t>
      </w:r>
      <w:r w:rsidRPr="005D6974">
        <w:rPr>
          <w:rFonts w:cs="Times New Roman"/>
          <w:i/>
          <w:iCs/>
        </w:rPr>
        <w:t>arising from the marriage</w:t>
      </w:r>
      <w:r w:rsidRPr="005D6974">
        <w:rPr>
          <w:rFonts w:cs="Times New Roman"/>
        </w:rPr>
        <w:t xml:space="preserve"> may be relied upon by the Appellants. However, the effect of the submission of the Minister on appeal is to go </w:t>
      </w:r>
      <w:r>
        <w:rPr>
          <w:rFonts w:cs="Times New Roman"/>
        </w:rPr>
        <w:t>much</w:t>
      </w:r>
      <w:r w:rsidRPr="005D6974">
        <w:rPr>
          <w:rFonts w:cs="Times New Roman"/>
        </w:rPr>
        <w:t xml:space="preserve"> further and </w:t>
      </w:r>
      <w:r>
        <w:rPr>
          <w:rFonts w:cs="Times New Roman"/>
        </w:rPr>
        <w:t xml:space="preserve">assert </w:t>
      </w:r>
      <w:r w:rsidRPr="005D6974">
        <w:rPr>
          <w:rFonts w:cs="Times New Roman"/>
        </w:rPr>
        <w:t>that no family or private rights arising out of the</w:t>
      </w:r>
      <w:r>
        <w:rPr>
          <w:rFonts w:cs="Times New Roman"/>
        </w:rPr>
        <w:t>ir</w:t>
      </w:r>
      <w:r w:rsidRPr="005D6974">
        <w:rPr>
          <w:rFonts w:cs="Times New Roman"/>
        </w:rPr>
        <w:t xml:space="preserve"> relationship may be asserted on behalf of the Appellants at all. This would seem to reflect what the learned judge said at para. 16 of his judgment</w:t>
      </w:r>
      <w:r>
        <w:rPr>
          <w:rFonts w:cs="Times New Roman"/>
        </w:rPr>
        <w:t xml:space="preserve">, namely that </w:t>
      </w:r>
      <w:r w:rsidRPr="003706EF">
        <w:rPr>
          <w:rFonts w:cs="Times New Roman"/>
          <w:i/>
          <w:iCs/>
        </w:rPr>
        <w:t xml:space="preserve">“Where it is determined that the </w:t>
      </w:r>
      <w:r>
        <w:rPr>
          <w:rFonts w:cs="Times New Roman"/>
          <w:i/>
          <w:iCs/>
        </w:rPr>
        <w:t>applicants’</w:t>
      </w:r>
      <w:r w:rsidRPr="003706EF">
        <w:rPr>
          <w:rFonts w:cs="Times New Roman"/>
          <w:i/>
          <w:iCs/>
        </w:rPr>
        <w:t xml:space="preserve"> relationship is based on fraud, no ‘rights’ can arise from such a relationship.”</w:t>
      </w:r>
      <w:r>
        <w:rPr>
          <w:rFonts w:cs="Times New Roman"/>
        </w:rPr>
        <w:t xml:space="preserve"> But both the judgment and the submission go even further</w:t>
      </w:r>
      <w:r w:rsidR="008F4EF9">
        <w:rPr>
          <w:rFonts w:cs="Times New Roman"/>
        </w:rPr>
        <w:t xml:space="preserve"> again</w:t>
      </w:r>
      <w:r>
        <w:rPr>
          <w:rFonts w:cs="Times New Roman"/>
        </w:rPr>
        <w:t>, asserting that “</w:t>
      </w:r>
      <w:r w:rsidRPr="005D6974">
        <w:rPr>
          <w:rFonts w:cs="Times New Roman"/>
        </w:rPr>
        <w:t>an absolutely necessary consequence</w:t>
      </w:r>
      <w:r>
        <w:rPr>
          <w:rFonts w:cs="Times New Roman"/>
        </w:rPr>
        <w:t xml:space="preserve"> [of such a view]</w:t>
      </w:r>
      <w:r w:rsidRPr="005D6974">
        <w:rPr>
          <w:rFonts w:cs="Times New Roman"/>
        </w:rPr>
        <w:t xml:space="preserve"> is that no obligation arises under the Constitution, the ECHR or EU law to consider any such </w:t>
      </w:r>
      <w:r>
        <w:rPr>
          <w:rFonts w:cs="Times New Roman"/>
        </w:rPr>
        <w:t>‘</w:t>
      </w:r>
      <w:r w:rsidRPr="005D6974">
        <w:rPr>
          <w:rFonts w:cs="Times New Roman"/>
        </w:rPr>
        <w:t>rights</w:t>
      </w:r>
      <w:r>
        <w:rPr>
          <w:rFonts w:cs="Times New Roman"/>
        </w:rPr>
        <w:t>’</w:t>
      </w:r>
      <w:r w:rsidRPr="005D6974">
        <w:rPr>
          <w:rFonts w:cs="Times New Roman"/>
        </w:rPr>
        <w:t xml:space="preserve">” (see also </w:t>
      </w:r>
      <w:r w:rsidRPr="005D6974">
        <w:rPr>
          <w:rFonts w:cs="Times New Roman"/>
          <w:i/>
        </w:rPr>
        <w:t>Schembri v. Malta</w:t>
      </w:r>
      <w:r w:rsidRPr="005D6974">
        <w:rPr>
          <w:rFonts w:cs="Times New Roman"/>
        </w:rPr>
        <w:t xml:space="preserve"> (App. No. 42583/06)</w:t>
      </w:r>
      <w:r>
        <w:rPr>
          <w:rFonts w:cs="Times New Roman"/>
        </w:rPr>
        <w:t>)</w:t>
      </w:r>
      <w:r w:rsidRPr="005D6974">
        <w:rPr>
          <w:rFonts w:cs="Times New Roman"/>
        </w:rPr>
        <w:t>.</w:t>
      </w:r>
    </w:p>
    <w:p w14:paraId="01629D77" w14:textId="77777777" w:rsidR="000F4AB9" w:rsidRDefault="000F4AB9" w:rsidP="00775A4E">
      <w:pPr>
        <w:pStyle w:val="NoSpacing"/>
        <w:spacing w:line="480" w:lineRule="auto"/>
        <w:jc w:val="left"/>
        <w:rPr>
          <w:rFonts w:cs="Times New Roman"/>
        </w:rPr>
      </w:pPr>
    </w:p>
    <w:p w14:paraId="15666D02" w14:textId="3308B7B0" w:rsidR="00D5545F" w:rsidRDefault="00D5545F" w:rsidP="00775A4E">
      <w:pPr>
        <w:pStyle w:val="NoSpacing"/>
        <w:numPr>
          <w:ilvl w:val="0"/>
          <w:numId w:val="8"/>
        </w:numPr>
        <w:spacing w:line="480" w:lineRule="auto"/>
        <w:ind w:left="0" w:firstLine="0"/>
        <w:jc w:val="left"/>
        <w:rPr>
          <w:rFonts w:cs="Times New Roman"/>
        </w:rPr>
      </w:pPr>
      <w:r w:rsidRPr="005D6974">
        <w:rPr>
          <w:rFonts w:cs="Times New Roman"/>
        </w:rPr>
        <w:t xml:space="preserve">It will be recalled that section 3(6)(c) of the 1999 Act refers to </w:t>
      </w:r>
      <w:r w:rsidRPr="005D6974">
        <w:rPr>
          <w:rFonts w:cs="Times New Roman"/>
          <w:i/>
          <w:iCs/>
        </w:rPr>
        <w:t>“the family and domestic circumstances of the person”</w:t>
      </w:r>
      <w:r w:rsidRPr="005D6974">
        <w:rPr>
          <w:rFonts w:cs="Times New Roman"/>
        </w:rPr>
        <w:t>. That reflects at least two of the four interests which are protected by Article 8(1) of the Convention, namely private life and family life. Any interference with the exercise of those rights must comply with Article</w:t>
      </w:r>
      <w:r>
        <w:rPr>
          <w:rFonts w:cs="Times New Roman"/>
        </w:rPr>
        <w:t xml:space="preserve"> 8(2)</w:t>
      </w:r>
      <w:r w:rsidRPr="005D6974">
        <w:rPr>
          <w:rFonts w:cs="Times New Roman"/>
        </w:rPr>
        <w:t xml:space="preserve">. This means that where some evidential basis exists for engaging these rights, then an assessment must be conducted having regard to the matters specified in </w:t>
      </w:r>
      <w:proofErr w:type="spellStart"/>
      <w:r w:rsidRPr="005D6974">
        <w:rPr>
          <w:rFonts w:cs="Times New Roman"/>
        </w:rPr>
        <w:t>sub</w:t>
      </w:r>
      <w:r>
        <w:rPr>
          <w:rFonts w:cs="Times New Roman"/>
        </w:rPr>
        <w:t>para</w:t>
      </w:r>
      <w:proofErr w:type="spellEnd"/>
      <w:r>
        <w:rPr>
          <w:rFonts w:cs="Times New Roman"/>
        </w:rPr>
        <w:t xml:space="preserve"> (2)</w:t>
      </w:r>
      <w:r w:rsidRPr="005D6974">
        <w:rPr>
          <w:rFonts w:cs="Times New Roman"/>
        </w:rPr>
        <w:t xml:space="preserve">. </w:t>
      </w:r>
      <w:r>
        <w:rPr>
          <w:rFonts w:cs="Times New Roman"/>
        </w:rPr>
        <w:t xml:space="preserve">Neither such an engagement nor such an exercise are </w:t>
      </w:r>
      <w:r w:rsidRPr="005D6974">
        <w:rPr>
          <w:rFonts w:cs="Times New Roman"/>
        </w:rPr>
        <w:t xml:space="preserve">confined to rights arising out of marriage. I am of the view that the </w:t>
      </w:r>
      <w:r w:rsidRPr="005D6974">
        <w:rPr>
          <w:rFonts w:cs="Times New Roman"/>
        </w:rPr>
        <w:lastRenderedPageBreak/>
        <w:t>First Appellant’s family rights under section 3(6)(c)</w:t>
      </w:r>
      <w:r>
        <w:rPr>
          <w:rFonts w:cs="Times New Roman"/>
        </w:rPr>
        <w:t xml:space="preserve"> </w:t>
      </w:r>
      <w:r w:rsidRPr="005D6974">
        <w:rPr>
          <w:rFonts w:cs="Times New Roman"/>
        </w:rPr>
        <w:t xml:space="preserve">cannot be entirely set at nought simply because the Minister has decided that his is a marriage of convenience; it may </w:t>
      </w:r>
      <w:r>
        <w:rPr>
          <w:rFonts w:cs="Times New Roman"/>
        </w:rPr>
        <w:t>well be the case</w:t>
      </w:r>
      <w:r w:rsidRPr="005D6974">
        <w:rPr>
          <w:rFonts w:cs="Times New Roman"/>
        </w:rPr>
        <w:t xml:space="preserve"> that he is not entitled to invoke the protection of marriage guaranteed by Article 41 of the Constitution, but his rights under Article 8 ECHR are not so confined and </w:t>
      </w:r>
      <w:r>
        <w:rPr>
          <w:rFonts w:cs="Times New Roman"/>
        </w:rPr>
        <w:t>when invoked</w:t>
      </w:r>
      <w:r w:rsidRPr="005D6974">
        <w:rPr>
          <w:rFonts w:cs="Times New Roman"/>
        </w:rPr>
        <w:t xml:space="preserve"> will require to be balanced in the mix by the Minister. </w:t>
      </w:r>
    </w:p>
    <w:p w14:paraId="03612E78" w14:textId="77777777" w:rsidR="000F4AB9" w:rsidRDefault="000F4AB9" w:rsidP="00775A4E">
      <w:pPr>
        <w:pStyle w:val="NoSpacing"/>
        <w:spacing w:line="480" w:lineRule="auto"/>
        <w:jc w:val="left"/>
        <w:rPr>
          <w:rFonts w:cs="Times New Roman"/>
        </w:rPr>
      </w:pPr>
    </w:p>
    <w:p w14:paraId="1570A5CB" w14:textId="0E7577A7" w:rsidR="00D5545F" w:rsidRDefault="00D5545F" w:rsidP="00775A4E">
      <w:pPr>
        <w:pStyle w:val="NoSpacing"/>
        <w:numPr>
          <w:ilvl w:val="0"/>
          <w:numId w:val="8"/>
        </w:numPr>
        <w:spacing w:line="480" w:lineRule="auto"/>
        <w:ind w:left="0" w:firstLine="0"/>
        <w:jc w:val="left"/>
        <w:rPr>
          <w:rFonts w:cs="Times New Roman"/>
        </w:rPr>
      </w:pPr>
      <w:r>
        <w:rPr>
          <w:rFonts w:cs="Times New Roman"/>
        </w:rPr>
        <w:t>Of course, the Minister may well, and indeed often will, conclude that very little weight can be attached to such rights, particularly where he has reached the view that the parties have attempted by their marriage to perpetrate a fraud, or constitute an abuse</w:t>
      </w:r>
      <w:r w:rsidR="008E6234">
        <w:rPr>
          <w:rFonts w:cs="Times New Roman"/>
        </w:rPr>
        <w:t xml:space="preserve"> </w:t>
      </w:r>
      <w:r>
        <w:rPr>
          <w:rFonts w:cs="Times New Roman"/>
        </w:rPr>
        <w:t>on the immigration system. Even where no such fraud or abuse of rights is committed, the requirements of an orderly immigration system may be found to trump the family rights of the applicants. However, those rights must nonetheless be taken into account by the Minister, and this applies even where he has concluded that there has been a marriage of convenience between the spouses: certainly this must apply where others are involved in an underlying relationship. I accept that in practical terms this may make little difference to the outcome in many cases where he has found that such a marriage was entered, although this will not always be so: a good deal wi</w:t>
      </w:r>
      <w:r w:rsidR="009039E4">
        <w:rPr>
          <w:rFonts w:cs="Times New Roman"/>
        </w:rPr>
        <w:t>ll</w:t>
      </w:r>
      <w:r>
        <w:rPr>
          <w:rFonts w:cs="Times New Roman"/>
        </w:rPr>
        <w:t xml:space="preserve"> depend on, </w:t>
      </w:r>
      <w:r w:rsidRPr="003C372A">
        <w:rPr>
          <w:rFonts w:cs="Times New Roman"/>
          <w:i/>
        </w:rPr>
        <w:t>inter alia</w:t>
      </w:r>
      <w:r>
        <w:rPr>
          <w:rFonts w:cs="Times New Roman"/>
        </w:rPr>
        <w:t xml:space="preserve">, the nature, extent and duration of such a relationship. In principle, however, I believe that the Minister remains under an obligation to take the family and private rights (particularly those under Article 8 ECHR) of the applicant into account even where he has found that there is a marriage of convenience, though of course those rights will fall far short of the full panoply of rights which could be invoked by the parties to a genuine marriage. Accordingly, while it may not be possible to assert strict “marital” constitutional rights as such, that is not to say that the relationship between the Appellants (including as between the First and Third Appellants) may not nonetheless give </w:t>
      </w:r>
      <w:r>
        <w:rPr>
          <w:rFonts w:cs="Times New Roman"/>
        </w:rPr>
        <w:lastRenderedPageBreak/>
        <w:t xml:space="preserve">rise to certain rights which must be factored in by the Minister as part of his consideration under section 3(6)(c) of </w:t>
      </w:r>
      <w:r w:rsidRPr="007375B9">
        <w:rPr>
          <w:rFonts w:cs="Times New Roman"/>
          <w:i/>
          <w:iCs/>
        </w:rPr>
        <w:t>“the family and domestic circumstances of the person”</w:t>
      </w:r>
      <w:r>
        <w:rPr>
          <w:rFonts w:cs="Times New Roman"/>
        </w:rPr>
        <w:t xml:space="preserve">. </w:t>
      </w:r>
    </w:p>
    <w:p w14:paraId="39306F35" w14:textId="77777777" w:rsidR="000F4AB9" w:rsidRDefault="000F4AB9" w:rsidP="00775A4E">
      <w:pPr>
        <w:pStyle w:val="NoSpacing"/>
        <w:spacing w:line="480" w:lineRule="auto"/>
        <w:jc w:val="left"/>
        <w:rPr>
          <w:rFonts w:cs="Times New Roman"/>
        </w:rPr>
      </w:pPr>
    </w:p>
    <w:p w14:paraId="1D951BD7" w14:textId="12270DFD" w:rsidR="00D5545F" w:rsidRDefault="00D5545F" w:rsidP="00775A4E">
      <w:pPr>
        <w:pStyle w:val="NoSpacing"/>
        <w:numPr>
          <w:ilvl w:val="0"/>
          <w:numId w:val="8"/>
        </w:numPr>
        <w:spacing w:line="480" w:lineRule="auto"/>
        <w:ind w:left="0" w:firstLine="0"/>
        <w:jc w:val="left"/>
        <w:rPr>
          <w:rFonts w:cs="Times New Roman"/>
        </w:rPr>
      </w:pPr>
      <w:r>
        <w:rPr>
          <w:rFonts w:cs="Times New Roman"/>
        </w:rPr>
        <w:t xml:space="preserve">It should be further noted and as is obvious, the bases upon which Article 41 rights can be asserted are different from those on which Article 8 rights may be invoked: different in both a legal and factual sense. Where the latter are said to arise, but rest upon a relationship springing from a marriage of convenience, then the same must be looked at with a degree, if not with a high degree, of suspicion. In such circumstances, it may take something exceptional, to be asserted and established by an applicant, to outweigh the right of the Minister for Justice to preserve the integrity of the immigration system.  </w:t>
      </w:r>
    </w:p>
    <w:p w14:paraId="7F504C31" w14:textId="77777777" w:rsidR="000F4AB9" w:rsidRDefault="000F4AB9" w:rsidP="00775A4E">
      <w:pPr>
        <w:pStyle w:val="NoSpacing"/>
        <w:spacing w:line="480" w:lineRule="auto"/>
        <w:jc w:val="left"/>
        <w:rPr>
          <w:rFonts w:cs="Times New Roman"/>
        </w:rPr>
      </w:pPr>
    </w:p>
    <w:p w14:paraId="7C59B854" w14:textId="4687F73A" w:rsidR="00D5545F" w:rsidRDefault="00D5545F" w:rsidP="00775A4E">
      <w:pPr>
        <w:pStyle w:val="NoSpacing"/>
        <w:numPr>
          <w:ilvl w:val="0"/>
          <w:numId w:val="8"/>
        </w:numPr>
        <w:spacing w:line="480" w:lineRule="auto"/>
        <w:ind w:left="0" w:firstLine="0"/>
        <w:jc w:val="left"/>
        <w:rPr>
          <w:rFonts w:cs="Times New Roman"/>
        </w:rPr>
      </w:pPr>
      <w:r w:rsidRPr="00013B81">
        <w:rPr>
          <w:rFonts w:cs="Times New Roman"/>
        </w:rPr>
        <w:t xml:space="preserve">Despite the written submissions of the Minister, as set out above, it was stated on his behalf in oral argument that an underlying relationship between parties, even where a marriage of convenience was found to exist, could give rise to Article 8 rights. Furthermore, as part of this acknowledgment, he argued that he did in fact engage with the evidence as presented under this heading and considered, as part of the Article 8 ECHR assessment, all that was offered by way of submissions or representations. As a result, it was not necessary for him to rely on that part of the judgment of the learned judge as quoted above, or on what was originally submitted on his behalf.  </w:t>
      </w:r>
    </w:p>
    <w:p w14:paraId="6924369F" w14:textId="77777777" w:rsidR="000F4AB9" w:rsidRPr="00013B81" w:rsidRDefault="000F4AB9" w:rsidP="00775A4E">
      <w:pPr>
        <w:pStyle w:val="NoSpacing"/>
        <w:spacing w:line="480" w:lineRule="auto"/>
        <w:jc w:val="left"/>
        <w:rPr>
          <w:rFonts w:cs="Times New Roman"/>
        </w:rPr>
      </w:pPr>
    </w:p>
    <w:p w14:paraId="19017BAF" w14:textId="776AC47F" w:rsidR="00D5545F" w:rsidRDefault="00D5545F" w:rsidP="00775A4E">
      <w:pPr>
        <w:pStyle w:val="NoSpacing"/>
        <w:numPr>
          <w:ilvl w:val="0"/>
          <w:numId w:val="8"/>
        </w:numPr>
        <w:spacing w:line="480" w:lineRule="auto"/>
        <w:ind w:left="0" w:firstLine="0"/>
        <w:jc w:val="left"/>
        <w:rPr>
          <w:rFonts w:cs="Times New Roman"/>
        </w:rPr>
      </w:pPr>
      <w:r>
        <w:rPr>
          <w:rFonts w:cs="Times New Roman"/>
        </w:rPr>
        <w:t>In fact, this approach is entirely consistent with the Minister’s declared view as expressed in his letters of the 9</w:t>
      </w:r>
      <w:r w:rsidRPr="00D71D8F">
        <w:rPr>
          <w:rFonts w:cs="Times New Roman"/>
          <w:vertAlign w:val="superscript"/>
        </w:rPr>
        <w:t>th</w:t>
      </w:r>
      <w:r>
        <w:rPr>
          <w:rFonts w:cs="Times New Roman"/>
        </w:rPr>
        <w:t xml:space="preserve"> July, 2016, and of the </w:t>
      </w:r>
      <w:r w:rsidR="00FD4A4D">
        <w:rPr>
          <w:rFonts w:cs="Times New Roman"/>
        </w:rPr>
        <w:t>2</w:t>
      </w:r>
      <w:r>
        <w:rPr>
          <w:rFonts w:cs="Times New Roman"/>
        </w:rPr>
        <w:t>0</w:t>
      </w:r>
      <w:r w:rsidRPr="00D71D8F">
        <w:rPr>
          <w:rFonts w:cs="Times New Roman"/>
          <w:vertAlign w:val="superscript"/>
        </w:rPr>
        <w:t>th</w:t>
      </w:r>
      <w:r>
        <w:rPr>
          <w:rFonts w:cs="Times New Roman"/>
        </w:rPr>
        <w:t xml:space="preserve"> March, 2017 (para. 19 above)</w:t>
      </w:r>
      <w:r w:rsidR="00405FDA">
        <w:rPr>
          <w:rFonts w:cs="Times New Roman"/>
        </w:rPr>
        <w:t>, where he confirmed that these decisions did not interfere with any Article 8 rights of the First Appellant</w:t>
      </w:r>
      <w:r w:rsidR="006D6A70">
        <w:rPr>
          <w:rFonts w:cs="Times New Roman"/>
        </w:rPr>
        <w:t xml:space="preserve"> and that if the same were further re-asserted they would be fully and properly considered.</w:t>
      </w:r>
      <w:r>
        <w:rPr>
          <w:rFonts w:cs="Times New Roman"/>
        </w:rPr>
        <w:t xml:space="preserve"> In neither does he mention fraud, as such; rather he refers to the marriage of </w:t>
      </w:r>
      <w:r>
        <w:rPr>
          <w:rFonts w:cs="Times New Roman"/>
        </w:rPr>
        <w:lastRenderedPageBreak/>
        <w:t>convenience as being an abuse of rights and states that the initial application for a residency card and its review were being rejected on that basis. N</w:t>
      </w:r>
      <w:r w:rsidRPr="00115381">
        <w:rPr>
          <w:rFonts w:cs="Times New Roman"/>
        </w:rPr>
        <w:t xml:space="preserve">otwithstanding this, </w:t>
      </w:r>
      <w:r>
        <w:rPr>
          <w:rFonts w:cs="Times New Roman"/>
        </w:rPr>
        <w:t>i</w:t>
      </w:r>
      <w:r w:rsidRPr="00A73E00">
        <w:rPr>
          <w:rFonts w:cs="Times New Roman"/>
        </w:rPr>
        <w:t xml:space="preserve">n the High Court and in his submissions to this Court, the Minister went considerably further, maintaining that there was no duty on him to consider any rights arising from the relationship at all. For the reasons set out in the preceding paragraphs, I am of the view that that would not be the correct approach. </w:t>
      </w:r>
      <w:r>
        <w:rPr>
          <w:rFonts w:cs="Times New Roman"/>
        </w:rPr>
        <w:t>So what in fact did the Minister do?</w:t>
      </w:r>
    </w:p>
    <w:p w14:paraId="00A71420" w14:textId="77777777" w:rsidR="000F4AB9" w:rsidRPr="00A73E00" w:rsidRDefault="000F4AB9" w:rsidP="00775A4E">
      <w:pPr>
        <w:pStyle w:val="NoSpacing"/>
        <w:spacing w:line="480" w:lineRule="auto"/>
        <w:jc w:val="left"/>
        <w:rPr>
          <w:rFonts w:cs="Times New Roman"/>
        </w:rPr>
      </w:pPr>
    </w:p>
    <w:p w14:paraId="68F2A424" w14:textId="463A9A50" w:rsidR="00D5545F" w:rsidRDefault="00D5545F" w:rsidP="00775A4E">
      <w:pPr>
        <w:pStyle w:val="NoSpacing"/>
        <w:numPr>
          <w:ilvl w:val="0"/>
          <w:numId w:val="8"/>
        </w:numPr>
        <w:spacing w:line="480" w:lineRule="auto"/>
        <w:ind w:left="0" w:firstLine="0"/>
        <w:jc w:val="left"/>
        <w:rPr>
          <w:rFonts w:cs="Times New Roman"/>
        </w:rPr>
      </w:pPr>
      <w:r>
        <w:rPr>
          <w:rFonts w:cs="Times New Roman"/>
        </w:rPr>
        <w:t>In response to the proposal to make a deportation order, submissions were made on behalf of the First Appellant by his solicitor in a letter dated the 7</w:t>
      </w:r>
      <w:r w:rsidRPr="00B14E7B">
        <w:rPr>
          <w:rFonts w:cs="Times New Roman"/>
          <w:vertAlign w:val="superscript"/>
        </w:rPr>
        <w:t>th</w:t>
      </w:r>
      <w:r>
        <w:rPr>
          <w:rFonts w:cs="Times New Roman"/>
        </w:rPr>
        <w:t xml:space="preserve"> April, 2017. Dealing with section 3(6)(c) of the 1999 Act, </w:t>
      </w:r>
      <w:r w:rsidR="006D6A70">
        <w:rPr>
          <w:rFonts w:cs="Times New Roman"/>
        </w:rPr>
        <w:t>it was asserted</w:t>
      </w:r>
      <w:r w:rsidRPr="009569F7">
        <w:rPr>
          <w:rFonts w:cs="Times New Roman"/>
        </w:rPr>
        <w:t xml:space="preserve"> that he is married and lives with his wife and her young child at a certain address. He says that after a period of initial separation, himself and his wife re-established contact in May 2015, and this led to a reconciliation of the marriage. Since that time it is claimed that </w:t>
      </w:r>
      <w:r>
        <w:rPr>
          <w:rFonts w:cs="Times New Roman"/>
        </w:rPr>
        <w:t>he</w:t>
      </w:r>
      <w:r w:rsidRPr="009569F7">
        <w:rPr>
          <w:rFonts w:cs="Times New Roman"/>
        </w:rPr>
        <w:t xml:space="preserve"> has played an active and important father</w:t>
      </w:r>
      <w:r>
        <w:rPr>
          <w:rFonts w:cs="Times New Roman"/>
        </w:rPr>
        <w:t>’s</w:t>
      </w:r>
      <w:r w:rsidRPr="009569F7">
        <w:rPr>
          <w:rFonts w:cs="Times New Roman"/>
        </w:rPr>
        <w:t xml:space="preserve"> role in the life of the child and has agreed to raise him as his own son. </w:t>
      </w:r>
      <w:r>
        <w:rPr>
          <w:rFonts w:cs="Times New Roman"/>
        </w:rPr>
        <w:t>The letter</w:t>
      </w:r>
      <w:r w:rsidRPr="009569F7">
        <w:rPr>
          <w:rFonts w:cs="Times New Roman"/>
        </w:rPr>
        <w:t xml:space="preserve"> continue</w:t>
      </w:r>
      <w:r>
        <w:rPr>
          <w:rFonts w:cs="Times New Roman"/>
        </w:rPr>
        <w:t>s that</w:t>
      </w:r>
      <w:r w:rsidRPr="009569F7">
        <w:rPr>
          <w:rFonts w:cs="Times New Roman"/>
        </w:rPr>
        <w:t xml:space="preserve"> “the three of them have been living together as a family unit since October 2015 </w:t>
      </w:r>
      <w:r>
        <w:rPr>
          <w:rFonts w:cs="Times New Roman"/>
        </w:rPr>
        <w:t>…</w:t>
      </w:r>
      <w:r w:rsidRPr="009569F7">
        <w:rPr>
          <w:rFonts w:cs="Times New Roman"/>
        </w:rPr>
        <w:t xml:space="preserve"> </w:t>
      </w:r>
      <w:r>
        <w:rPr>
          <w:rFonts w:cs="Times New Roman"/>
        </w:rPr>
        <w:t>[</w:t>
      </w:r>
      <w:r w:rsidRPr="009569F7">
        <w:rPr>
          <w:rFonts w:cs="Times New Roman"/>
        </w:rPr>
        <w:t>the son</w:t>
      </w:r>
      <w:r>
        <w:rPr>
          <w:rFonts w:cs="Times New Roman"/>
        </w:rPr>
        <w:t>]</w:t>
      </w:r>
      <w:r w:rsidRPr="009569F7">
        <w:rPr>
          <w:rFonts w:cs="Times New Roman"/>
        </w:rPr>
        <w:t xml:space="preserve"> does not remember his birth father but lives happily with (Mr. M.S.), playing this important role in life”.  </w:t>
      </w:r>
    </w:p>
    <w:p w14:paraId="508681A5" w14:textId="77777777" w:rsidR="000F4AB9" w:rsidRPr="009569F7" w:rsidRDefault="000F4AB9" w:rsidP="00775A4E">
      <w:pPr>
        <w:pStyle w:val="NoSpacing"/>
        <w:spacing w:line="480" w:lineRule="auto"/>
        <w:jc w:val="left"/>
        <w:rPr>
          <w:rFonts w:cs="Times New Roman"/>
        </w:rPr>
      </w:pPr>
    </w:p>
    <w:p w14:paraId="3F8FE26D" w14:textId="770803A1" w:rsidR="00D5545F" w:rsidRDefault="00D5545F" w:rsidP="00775A4E">
      <w:pPr>
        <w:pStyle w:val="NoSpacing"/>
        <w:numPr>
          <w:ilvl w:val="0"/>
          <w:numId w:val="8"/>
        </w:numPr>
        <w:spacing w:line="480" w:lineRule="auto"/>
        <w:ind w:left="0" w:firstLine="0"/>
        <w:jc w:val="left"/>
        <w:rPr>
          <w:rFonts w:cs="Times New Roman"/>
        </w:rPr>
      </w:pPr>
      <w:r>
        <w:rPr>
          <w:rFonts w:cs="Times New Roman"/>
        </w:rPr>
        <w:t>In the section 3(6) assessment, conducted on the 23</w:t>
      </w:r>
      <w:r w:rsidRPr="00B14E7B">
        <w:rPr>
          <w:rFonts w:cs="Times New Roman"/>
          <w:vertAlign w:val="superscript"/>
        </w:rPr>
        <w:t>rd</w:t>
      </w:r>
      <w:r>
        <w:rPr>
          <w:rFonts w:cs="Times New Roman"/>
        </w:rPr>
        <w:t xml:space="preserve"> June, 2017, all of the essential matters referred to in the submission regarding family and domestic circumstances of the persons concerned were </w:t>
      </w:r>
      <w:r w:rsidR="00106C01">
        <w:rPr>
          <w:rFonts w:cs="Times New Roman"/>
        </w:rPr>
        <w:t>outlined</w:t>
      </w:r>
      <w:r>
        <w:rPr>
          <w:rFonts w:cs="Times New Roman"/>
        </w:rPr>
        <w:t xml:space="preserve">. In addition, there is general and detailed reference to the application for a residency card, how that was processed through the system and what the ultimate outcome was. Under various other headings there are further references to matters which may correctly be classified as coming within section 3(6)(c) of the 1999 act. There is then a section entitled “Consideration under Article 8 of the European Convention on Human </w:t>
      </w:r>
      <w:r>
        <w:rPr>
          <w:rFonts w:cs="Times New Roman"/>
        </w:rPr>
        <w:lastRenderedPageBreak/>
        <w:t xml:space="preserve">Rights (ECHR)”. Under the heading “Private Life” it is expressly acknowledged that </w:t>
      </w:r>
      <w:r w:rsidRPr="00BA7B96">
        <w:rPr>
          <w:rFonts w:cs="Times New Roman"/>
          <w:i/>
          <w:iCs/>
        </w:rPr>
        <w:t xml:space="preserve">“in considering the first question, [being those set out by the House of Lords in </w:t>
      </w:r>
      <w:r w:rsidRPr="00BA7B96">
        <w:rPr>
          <w:rFonts w:cs="Times New Roman"/>
        </w:rPr>
        <w:t>R. (</w:t>
      </w:r>
      <w:proofErr w:type="spellStart"/>
      <w:r w:rsidRPr="00BA7B96">
        <w:rPr>
          <w:rFonts w:cs="Times New Roman"/>
        </w:rPr>
        <w:t>Razgar</w:t>
      </w:r>
      <w:proofErr w:type="spellEnd"/>
      <w:r w:rsidRPr="00BA7B96">
        <w:rPr>
          <w:rFonts w:cs="Times New Roman"/>
        </w:rPr>
        <w:t>) v. Home Secretary</w:t>
      </w:r>
      <w:r w:rsidRPr="00BA7B96">
        <w:rPr>
          <w:rFonts w:cs="Times New Roman"/>
          <w:i/>
          <w:iCs/>
        </w:rPr>
        <w:t xml:space="preserve"> [2004] 2 A.C. 369] …</w:t>
      </w:r>
      <w:r>
        <w:rPr>
          <w:rFonts w:cs="Times New Roman"/>
          <w:i/>
          <w:iCs/>
        </w:rPr>
        <w:t xml:space="preserve"> </w:t>
      </w:r>
      <w:r w:rsidRPr="00BA7B96">
        <w:rPr>
          <w:rFonts w:cs="Times New Roman"/>
          <w:i/>
          <w:iCs/>
        </w:rPr>
        <w:t>it is accepted that if the Minister decides to deport</w:t>
      </w:r>
      <w:r>
        <w:rPr>
          <w:rFonts w:cs="Times New Roman"/>
          <w:i/>
          <w:iCs/>
        </w:rPr>
        <w:t xml:space="preserve"> </w:t>
      </w:r>
      <w:r w:rsidRPr="00BA7B96">
        <w:rPr>
          <w:rFonts w:cs="Times New Roman"/>
          <w:i/>
          <w:iCs/>
        </w:rPr>
        <w:t>…</w:t>
      </w:r>
      <w:r>
        <w:rPr>
          <w:rFonts w:cs="Times New Roman"/>
          <w:i/>
          <w:iCs/>
        </w:rPr>
        <w:t xml:space="preserve"> </w:t>
      </w:r>
      <w:r w:rsidRPr="00BA7B96">
        <w:rPr>
          <w:rFonts w:cs="Times New Roman"/>
          <w:i/>
          <w:iCs/>
        </w:rPr>
        <w:t>Mr. M.S… that this has the potential to be in interference with his right to respect for private life within the meaning of Article 8 of ECHR…”</w:t>
      </w:r>
      <w:r>
        <w:rPr>
          <w:rFonts w:cs="Times New Roman"/>
        </w:rPr>
        <w:t xml:space="preserve"> There is a further heading “Family Life” under which is recorded various pieces of information as previously supplied in the submissions. The assessment then concludes: </w:t>
      </w:r>
    </w:p>
    <w:p w14:paraId="3BA95C68" w14:textId="77777777" w:rsidR="0052057E" w:rsidRDefault="0052057E" w:rsidP="00775A4E">
      <w:pPr>
        <w:pStyle w:val="NoSpacing"/>
        <w:spacing w:line="480" w:lineRule="auto"/>
        <w:ind w:left="720"/>
        <w:jc w:val="left"/>
        <w:rPr>
          <w:rFonts w:cs="Times New Roman"/>
          <w:i/>
          <w:iCs/>
        </w:rPr>
      </w:pPr>
    </w:p>
    <w:p w14:paraId="0DEE5847" w14:textId="53533F1F" w:rsidR="00D5545F" w:rsidRPr="000F5698" w:rsidRDefault="00D5545F" w:rsidP="00775A4E">
      <w:pPr>
        <w:pStyle w:val="NoSpacing"/>
        <w:spacing w:line="480" w:lineRule="auto"/>
        <w:ind w:left="720"/>
        <w:jc w:val="left"/>
        <w:rPr>
          <w:rFonts w:cs="Times New Roman"/>
          <w:i/>
          <w:iCs/>
        </w:rPr>
      </w:pPr>
      <w:r w:rsidRPr="000F5698">
        <w:rPr>
          <w:rFonts w:cs="Times New Roman"/>
          <w:i/>
          <w:iCs/>
        </w:rPr>
        <w:t>“I have considered that the immigration permission enjoyed by Mr. M.S. for the period of five years beginning on the 26</w:t>
      </w:r>
      <w:r w:rsidRPr="000F5698">
        <w:rPr>
          <w:rFonts w:cs="Times New Roman"/>
          <w:i/>
          <w:iCs/>
          <w:vertAlign w:val="superscript"/>
        </w:rPr>
        <w:t>th</w:t>
      </w:r>
      <w:r w:rsidRPr="000F5698">
        <w:rPr>
          <w:rFonts w:cs="Times New Roman"/>
          <w:i/>
          <w:iCs/>
        </w:rPr>
        <w:t xml:space="preserve"> October, 2010</w:t>
      </w:r>
      <w:r>
        <w:rPr>
          <w:rFonts w:cs="Times New Roman"/>
          <w:i/>
          <w:iCs/>
        </w:rPr>
        <w:t xml:space="preserve"> </w:t>
      </w:r>
      <w:r w:rsidRPr="000F5698">
        <w:rPr>
          <w:rFonts w:cs="Times New Roman"/>
          <w:i/>
          <w:iCs/>
        </w:rPr>
        <w:t>…</w:t>
      </w:r>
      <w:r>
        <w:rPr>
          <w:rFonts w:cs="Times New Roman"/>
          <w:i/>
          <w:iCs/>
        </w:rPr>
        <w:t xml:space="preserve"> </w:t>
      </w:r>
      <w:r w:rsidRPr="000F5698">
        <w:rPr>
          <w:rFonts w:cs="Times New Roman"/>
          <w:i/>
          <w:iCs/>
        </w:rPr>
        <w:t>was derived from his marriage</w:t>
      </w:r>
      <w:r>
        <w:rPr>
          <w:rFonts w:cs="Times New Roman"/>
          <w:i/>
          <w:iCs/>
        </w:rPr>
        <w:t xml:space="preserve"> </w:t>
      </w:r>
      <w:r w:rsidRPr="000F5698">
        <w:rPr>
          <w:rFonts w:cs="Times New Roman"/>
          <w:i/>
          <w:iCs/>
        </w:rPr>
        <w:t>…</w:t>
      </w:r>
      <w:r>
        <w:rPr>
          <w:rFonts w:cs="Times New Roman"/>
          <w:i/>
          <w:iCs/>
        </w:rPr>
        <w:t xml:space="preserve"> </w:t>
      </w:r>
      <w:r w:rsidRPr="000F5698">
        <w:rPr>
          <w:rFonts w:cs="Times New Roman"/>
          <w:i/>
          <w:iCs/>
        </w:rPr>
        <w:t>which the Minister subsequently deemed to be a marriage of convenience … contracted for the purposes of obtaining EU residency rights for him in Ireland … Mr. M.S. has been without permission to reside in the State since the expiry of his permission … on the 22</w:t>
      </w:r>
      <w:r w:rsidRPr="000F5698">
        <w:rPr>
          <w:rFonts w:cs="Times New Roman"/>
          <w:i/>
          <w:iCs/>
          <w:vertAlign w:val="superscript"/>
        </w:rPr>
        <w:t>nd</w:t>
      </w:r>
      <w:r w:rsidRPr="000F5698">
        <w:rPr>
          <w:rFonts w:cs="Times New Roman"/>
          <w:i/>
          <w:iCs/>
        </w:rPr>
        <w:t xml:space="preserve"> October, 2015 … Mr. M.S., in light of the finding of his marriage to be deemed a marriage of convenience, he is not considered to be a settled migrant given that his expired immigration process was derived from this marriage.  </w:t>
      </w:r>
    </w:p>
    <w:p w14:paraId="0BBD45C2" w14:textId="77777777" w:rsidR="00D5545F" w:rsidRPr="000F5698" w:rsidRDefault="00D5545F" w:rsidP="00775A4E">
      <w:pPr>
        <w:pStyle w:val="NoSpacing"/>
        <w:spacing w:line="480" w:lineRule="auto"/>
        <w:ind w:left="720"/>
        <w:jc w:val="left"/>
        <w:rPr>
          <w:rFonts w:cs="Times New Roman"/>
          <w:i/>
          <w:iCs/>
        </w:rPr>
      </w:pPr>
    </w:p>
    <w:p w14:paraId="7729CC29" w14:textId="77777777" w:rsidR="00D5545F" w:rsidRDefault="00D5545F" w:rsidP="00775A4E">
      <w:pPr>
        <w:pStyle w:val="NoSpacing"/>
        <w:spacing w:line="480" w:lineRule="auto"/>
        <w:ind w:left="720"/>
        <w:jc w:val="left"/>
        <w:rPr>
          <w:rFonts w:cs="Times New Roman"/>
          <w:i/>
          <w:iCs/>
        </w:rPr>
      </w:pPr>
      <w:r w:rsidRPr="000F5698">
        <w:rPr>
          <w:rFonts w:cs="Times New Roman"/>
          <w:i/>
          <w:iCs/>
        </w:rPr>
        <w:t>Therefore, it is submitted that a decision by the Minister to deport Mr. M.S. does not constitute an interference of his right to respect for family life under Article 8(1) of ECHR.”</w:t>
      </w:r>
    </w:p>
    <w:p w14:paraId="198A32F0" w14:textId="77777777" w:rsidR="00D5545F" w:rsidRPr="000F5698" w:rsidRDefault="00D5545F" w:rsidP="00775A4E">
      <w:pPr>
        <w:pStyle w:val="NoSpacing"/>
        <w:spacing w:line="480" w:lineRule="auto"/>
        <w:ind w:left="720"/>
        <w:jc w:val="left"/>
        <w:rPr>
          <w:rFonts w:cs="Times New Roman"/>
          <w:i/>
          <w:iCs/>
        </w:rPr>
      </w:pPr>
    </w:p>
    <w:p w14:paraId="65D0E658" w14:textId="3510D05A" w:rsidR="00D5545F" w:rsidRPr="00013B81" w:rsidRDefault="00D5545F" w:rsidP="00775A4E">
      <w:pPr>
        <w:pStyle w:val="NoSpacing"/>
        <w:numPr>
          <w:ilvl w:val="0"/>
          <w:numId w:val="8"/>
        </w:numPr>
        <w:spacing w:line="480" w:lineRule="auto"/>
        <w:ind w:left="0" w:firstLine="0"/>
        <w:jc w:val="left"/>
        <w:rPr>
          <w:rFonts w:cs="Times New Roman"/>
        </w:rPr>
      </w:pPr>
      <w:r w:rsidRPr="00013B81">
        <w:rPr>
          <w:rFonts w:cs="Times New Roman"/>
        </w:rPr>
        <w:t xml:space="preserve">In my view, the last sentence quoted certainly seems to suggest a view on behalf of the Minister that no Article 8(1) rights were engaged in the deportation process at all. In view of the evidence above (see para. </w:t>
      </w:r>
      <w:r w:rsidR="00085D84">
        <w:rPr>
          <w:rFonts w:cs="Times New Roman"/>
        </w:rPr>
        <w:t>105</w:t>
      </w:r>
      <w:r w:rsidRPr="00013B81">
        <w:rPr>
          <w:rFonts w:cs="Times New Roman"/>
        </w:rPr>
        <w:t xml:space="preserve">, </w:t>
      </w:r>
      <w:r w:rsidRPr="00106C01">
        <w:rPr>
          <w:rFonts w:cs="Times New Roman"/>
          <w:i/>
          <w:iCs/>
        </w:rPr>
        <w:t>supra</w:t>
      </w:r>
      <w:r w:rsidRPr="00013B81">
        <w:rPr>
          <w:rFonts w:cs="Times New Roman"/>
        </w:rPr>
        <w:t xml:space="preserve">), this conclusion seems difficult to support. It would certainly appear that the First Appellant is living with the Second Appellant and her </w:t>
      </w:r>
      <w:r w:rsidRPr="00013B81">
        <w:rPr>
          <w:rFonts w:cs="Times New Roman"/>
        </w:rPr>
        <w:lastRenderedPageBreak/>
        <w:t xml:space="preserve">young son, and moreover that he has a manner of paternal relationship with her son. There is certainly an argument to be made, notwithstanding the earlier finding of a marriage of convenience, that this is a family unit potentially attracting protection under Article 8(1) ECHR. This being so, it would then be necessary for the Minister to have engaged in at least a broad assessment of the extent of any interference therewith, pursuant to Article 8(2). This does not appear to have occurred. Given the First Appellant’s assertions concerning the underlying relationship with his wife and her son, the </w:t>
      </w:r>
      <w:r w:rsidRPr="00013B81">
        <w:rPr>
          <w:rFonts w:cs="Times New Roman"/>
          <w:i/>
          <w:iCs/>
        </w:rPr>
        <w:t xml:space="preserve">prima facie </w:t>
      </w:r>
      <w:r w:rsidRPr="00013B81">
        <w:rPr>
          <w:rFonts w:cs="Times New Roman"/>
        </w:rPr>
        <w:t xml:space="preserve">engagement of Art 8(1) cannot be dismissed </w:t>
      </w:r>
      <w:r w:rsidRPr="00013B81">
        <w:rPr>
          <w:rFonts w:cs="Times New Roman"/>
          <w:i/>
          <w:iCs/>
        </w:rPr>
        <w:t xml:space="preserve">in </w:t>
      </w:r>
      <w:proofErr w:type="spellStart"/>
      <w:r w:rsidRPr="00013B81">
        <w:rPr>
          <w:rFonts w:cs="Times New Roman"/>
          <w:i/>
          <w:iCs/>
        </w:rPr>
        <w:t>limine</w:t>
      </w:r>
      <w:proofErr w:type="spellEnd"/>
      <w:r w:rsidRPr="00013B81">
        <w:rPr>
          <w:rFonts w:cs="Times New Roman"/>
        </w:rPr>
        <w:t xml:space="preserve"> by the Minister simply because of his previous finding that this was a marriage of convenience. Thus, some level of assessment was required under Article 8(2). The precise balancing exercise required and the weight to be attached to the factors would, of course, be for the Minister to perform and determine. Of course, it may well be that he would reach the view that the Article 8 rights in play can in no way displace the public interest right in upholding the integrity of the immigration system. However, notwithstanding his submission to the contrary, it would appear on the facts that the Minister failed to engage in a proper analysis under Article 8. </w:t>
      </w:r>
    </w:p>
    <w:p w14:paraId="12C18F58" w14:textId="77777777" w:rsidR="005B4602" w:rsidRPr="00F80AF3" w:rsidRDefault="005B4602" w:rsidP="00775A4E">
      <w:pPr>
        <w:pStyle w:val="NoSpacing"/>
        <w:spacing w:line="480" w:lineRule="auto"/>
        <w:jc w:val="left"/>
        <w:rPr>
          <w:rFonts w:cs="Times New Roman"/>
        </w:rPr>
      </w:pPr>
    </w:p>
    <w:p w14:paraId="393F3B13" w14:textId="5B1D56CA" w:rsidR="00001D3C" w:rsidRPr="002D2E20" w:rsidRDefault="005A1FA0" w:rsidP="00775A4E">
      <w:pPr>
        <w:pStyle w:val="NoSpacing"/>
        <w:spacing w:line="480" w:lineRule="auto"/>
        <w:jc w:val="left"/>
        <w:rPr>
          <w:rFonts w:cs="Times New Roman"/>
          <w:b/>
          <w:bCs/>
          <w:i/>
          <w:iCs/>
        </w:rPr>
      </w:pPr>
      <w:r w:rsidRPr="002D2E20">
        <w:rPr>
          <w:rFonts w:cs="Times New Roman"/>
          <w:b/>
          <w:bCs/>
          <w:i/>
          <w:iCs/>
        </w:rPr>
        <w:t xml:space="preserve">Discretion </w:t>
      </w:r>
    </w:p>
    <w:p w14:paraId="0F97695D" w14:textId="244FC4AD" w:rsidR="005A1FA0" w:rsidRDefault="008D5938" w:rsidP="00775A4E">
      <w:pPr>
        <w:pStyle w:val="NoSpacing"/>
        <w:numPr>
          <w:ilvl w:val="0"/>
          <w:numId w:val="8"/>
        </w:numPr>
        <w:spacing w:line="480" w:lineRule="auto"/>
        <w:ind w:left="0" w:firstLine="0"/>
        <w:jc w:val="left"/>
        <w:rPr>
          <w:rFonts w:cs="Times New Roman"/>
        </w:rPr>
      </w:pPr>
      <w:r>
        <w:rPr>
          <w:rFonts w:cs="Times New Roman"/>
        </w:rPr>
        <w:t>Judicial review is a discretionary remedy. As noted above, Humphreys J</w:t>
      </w:r>
      <w:r w:rsidR="001513A6">
        <w:rPr>
          <w:rFonts w:cs="Times New Roman"/>
        </w:rPr>
        <w:t>.</w:t>
      </w:r>
      <w:r>
        <w:rPr>
          <w:rFonts w:cs="Times New Roman"/>
        </w:rPr>
        <w:t xml:space="preserve"> decided in this case that, in addition to his other reasons for dismissing the application, he would </w:t>
      </w:r>
      <w:r w:rsidR="00F35FC1">
        <w:rPr>
          <w:rFonts w:cs="Times New Roman"/>
        </w:rPr>
        <w:t xml:space="preserve">exercise his discretion to </w:t>
      </w:r>
      <w:r>
        <w:rPr>
          <w:rFonts w:cs="Times New Roman"/>
        </w:rPr>
        <w:t xml:space="preserve">refuse relief </w:t>
      </w:r>
      <w:r w:rsidR="00F64536">
        <w:rPr>
          <w:rFonts w:cs="Times New Roman"/>
        </w:rPr>
        <w:t xml:space="preserve">in light of the Appellants’ </w:t>
      </w:r>
      <w:r w:rsidR="00F64536" w:rsidRPr="00F64536">
        <w:rPr>
          <w:rFonts w:cs="Times New Roman"/>
        </w:rPr>
        <w:t>lack of candour and wrongful conduct in their interactions with the</w:t>
      </w:r>
      <w:r w:rsidR="00F64536">
        <w:rPr>
          <w:rFonts w:cs="Times New Roman"/>
        </w:rPr>
        <w:t xml:space="preserve"> State’s immigration authorities. </w:t>
      </w:r>
    </w:p>
    <w:p w14:paraId="557F571C" w14:textId="77777777" w:rsidR="00441A21" w:rsidRDefault="00441A21" w:rsidP="00775A4E">
      <w:pPr>
        <w:pStyle w:val="NoSpacing"/>
        <w:spacing w:line="480" w:lineRule="auto"/>
        <w:ind w:left="720"/>
        <w:jc w:val="left"/>
        <w:rPr>
          <w:rFonts w:cs="Times New Roman"/>
        </w:rPr>
      </w:pPr>
    </w:p>
    <w:p w14:paraId="61F1A9ED" w14:textId="09232504" w:rsidR="00D20A5A" w:rsidRPr="00F2203D" w:rsidRDefault="00406FBC" w:rsidP="00775A4E">
      <w:pPr>
        <w:pStyle w:val="NoSpacing"/>
        <w:numPr>
          <w:ilvl w:val="0"/>
          <w:numId w:val="8"/>
        </w:numPr>
        <w:spacing w:line="480" w:lineRule="auto"/>
        <w:ind w:left="0" w:firstLine="0"/>
        <w:jc w:val="left"/>
        <w:rPr>
          <w:rFonts w:cs="Times New Roman"/>
        </w:rPr>
      </w:pPr>
      <w:r w:rsidRPr="00F2203D">
        <w:rPr>
          <w:rFonts w:cs="Times New Roman"/>
        </w:rPr>
        <w:t xml:space="preserve">I considered this issue </w:t>
      </w:r>
      <w:r w:rsidR="0090786C">
        <w:rPr>
          <w:rFonts w:cs="Times New Roman"/>
        </w:rPr>
        <w:t>of the discretion</w:t>
      </w:r>
      <w:r w:rsidR="006825C7">
        <w:rPr>
          <w:rFonts w:cs="Times New Roman"/>
        </w:rPr>
        <w:t xml:space="preserve"> </w:t>
      </w:r>
      <w:r w:rsidRPr="00F2203D">
        <w:rPr>
          <w:rFonts w:cs="Times New Roman"/>
        </w:rPr>
        <w:t xml:space="preserve">in my recent judgment in </w:t>
      </w:r>
      <w:r w:rsidR="008E1BEE" w:rsidRPr="00F2203D">
        <w:rPr>
          <w:rFonts w:cs="Times New Roman"/>
          <w:i/>
          <w:iCs/>
        </w:rPr>
        <w:t xml:space="preserve">P.N.S. and </w:t>
      </w:r>
      <w:proofErr w:type="spellStart"/>
      <w:r w:rsidR="008E1BEE" w:rsidRPr="00F2203D">
        <w:rPr>
          <w:rFonts w:cs="Times New Roman"/>
          <w:i/>
          <w:iCs/>
        </w:rPr>
        <w:t>anor</w:t>
      </w:r>
      <w:proofErr w:type="spellEnd"/>
      <w:r w:rsidR="008E1BEE" w:rsidRPr="00F2203D">
        <w:rPr>
          <w:rFonts w:cs="Times New Roman"/>
          <w:i/>
          <w:iCs/>
        </w:rPr>
        <w:t xml:space="preserve"> v The Minister for Justice &amp; Equality</w:t>
      </w:r>
      <w:r w:rsidR="008E1BEE" w:rsidRPr="00F2203D">
        <w:rPr>
          <w:rFonts w:cs="Times New Roman"/>
        </w:rPr>
        <w:t xml:space="preserve"> [2020] IESC 11</w:t>
      </w:r>
      <w:r w:rsidR="000F5788" w:rsidRPr="00F2203D">
        <w:rPr>
          <w:rFonts w:cs="Times New Roman"/>
        </w:rPr>
        <w:t>, which incidentally was another case arising in the general immigration context in which Humphreys J</w:t>
      </w:r>
      <w:r w:rsidR="001513A6">
        <w:rPr>
          <w:rFonts w:cs="Times New Roman"/>
        </w:rPr>
        <w:t>.</w:t>
      </w:r>
      <w:r w:rsidR="000F5788" w:rsidRPr="00F2203D">
        <w:rPr>
          <w:rFonts w:cs="Times New Roman"/>
        </w:rPr>
        <w:t xml:space="preserve"> </w:t>
      </w:r>
      <w:r w:rsidR="00EC51B3" w:rsidRPr="00F2203D">
        <w:rPr>
          <w:rFonts w:cs="Times New Roman"/>
        </w:rPr>
        <w:t>exercised his discretion to</w:t>
      </w:r>
      <w:r w:rsidR="000F5788" w:rsidRPr="00F2203D">
        <w:rPr>
          <w:rFonts w:cs="Times New Roman"/>
        </w:rPr>
        <w:t xml:space="preserve"> </w:t>
      </w:r>
      <w:r w:rsidR="000F5788" w:rsidRPr="00F2203D">
        <w:rPr>
          <w:rFonts w:cs="Times New Roman"/>
        </w:rPr>
        <w:lastRenderedPageBreak/>
        <w:t xml:space="preserve">refuse relief by way of judicial review </w:t>
      </w:r>
      <w:r w:rsidR="00EC51B3" w:rsidRPr="00F2203D">
        <w:rPr>
          <w:rFonts w:cs="Times New Roman"/>
        </w:rPr>
        <w:t xml:space="preserve">in light of the applicant’s “massive abuse of the immigration system” both of Ireland and another EU Member State. </w:t>
      </w:r>
      <w:r w:rsidR="000D2867" w:rsidRPr="00F2203D">
        <w:rPr>
          <w:rFonts w:cs="Times New Roman"/>
        </w:rPr>
        <w:t>One of the questions posed for this court was “[</w:t>
      </w:r>
      <w:proofErr w:type="spellStart"/>
      <w:r w:rsidR="000D2867" w:rsidRPr="00F2203D">
        <w:rPr>
          <w:rFonts w:cs="Times New Roman"/>
        </w:rPr>
        <w:t>i</w:t>
      </w:r>
      <w:proofErr w:type="spellEnd"/>
      <w:r w:rsidR="000D2867" w:rsidRPr="00F2203D">
        <w:rPr>
          <w:rFonts w:cs="Times New Roman"/>
        </w:rPr>
        <w:t>]n circumstances where the appellant has asserted a right to remain in the State under and by virtue of EU law, in what circumstances is a court seized of judicial review proceedings entitled to refuse relief on a discretionary basis?”</w:t>
      </w:r>
      <w:r w:rsidR="005641EB" w:rsidRPr="00F2203D">
        <w:rPr>
          <w:rFonts w:cs="Times New Roman"/>
        </w:rPr>
        <w:t xml:space="preserve"> This issue is addressed at paras. 93-99 of the judgment. </w:t>
      </w:r>
      <w:r w:rsidR="00A131FB" w:rsidRPr="00F2203D">
        <w:rPr>
          <w:rFonts w:cs="Times New Roman"/>
        </w:rPr>
        <w:t>In fact, given the views which I reached in respect of the other issues in that case, it was not necessary to reach a separate conclusion on this ground</w:t>
      </w:r>
      <w:r w:rsidR="00D20A5A" w:rsidRPr="00F2203D">
        <w:rPr>
          <w:rFonts w:cs="Times New Roman"/>
        </w:rPr>
        <w:t xml:space="preserve">, though I did note the following from the jurisprudence on this point: </w:t>
      </w:r>
    </w:p>
    <w:p w14:paraId="3244254B" w14:textId="4B7BF84A" w:rsidR="00A131FB" w:rsidRPr="00C06099" w:rsidRDefault="00D20A5A" w:rsidP="00775A4E">
      <w:pPr>
        <w:pStyle w:val="NoSpacing"/>
        <w:spacing w:line="480" w:lineRule="auto"/>
        <w:ind w:left="720"/>
        <w:jc w:val="left"/>
        <w:rPr>
          <w:rFonts w:cs="Times New Roman"/>
          <w:i/>
          <w:iCs/>
        </w:rPr>
      </w:pPr>
      <w:r w:rsidRPr="00C06099">
        <w:rPr>
          <w:rFonts w:cs="Times New Roman"/>
          <w:i/>
          <w:iCs/>
        </w:rPr>
        <w:t>“</w:t>
      </w:r>
      <w:r w:rsidR="00A131FB" w:rsidRPr="00C06099">
        <w:rPr>
          <w:rFonts w:cs="Times New Roman"/>
          <w:i/>
          <w:iCs/>
        </w:rPr>
        <w:t>Firstly, a court undoubtedly has jurisdiction to terminate the proceedings on such basis and may do so where it is satisfied that the disclosed facts so demand. However and secondly, given the clear desirability of reaching a conclusion on the facts and the law, particularly where the asserted right is EU derived, a court should be reluctant to exercise this power unless quite satisfied that it should do so.</w:t>
      </w:r>
      <w:r w:rsidRPr="00C06099">
        <w:rPr>
          <w:rFonts w:cs="Times New Roman"/>
          <w:i/>
          <w:iCs/>
        </w:rPr>
        <w:t xml:space="preserve">” </w:t>
      </w:r>
      <w:r w:rsidRPr="00775A4E">
        <w:rPr>
          <w:rFonts w:cs="Times New Roman"/>
          <w:iCs/>
        </w:rPr>
        <w:t>(</w:t>
      </w:r>
      <w:r w:rsidR="001F32DE">
        <w:rPr>
          <w:rFonts w:cs="Times New Roman"/>
          <w:iCs/>
        </w:rPr>
        <w:t>p</w:t>
      </w:r>
      <w:r w:rsidRPr="00775A4E">
        <w:rPr>
          <w:rFonts w:cs="Times New Roman"/>
          <w:iCs/>
        </w:rPr>
        <w:t>ara. 99)</w:t>
      </w:r>
    </w:p>
    <w:p w14:paraId="346948B1" w14:textId="2CBEF227" w:rsidR="008D3DB5" w:rsidRDefault="005641EB" w:rsidP="00775A4E">
      <w:pPr>
        <w:pStyle w:val="NoSpacing"/>
        <w:spacing w:line="480" w:lineRule="auto"/>
        <w:jc w:val="left"/>
        <w:rPr>
          <w:rFonts w:cs="Times New Roman"/>
        </w:rPr>
      </w:pPr>
      <w:r>
        <w:rPr>
          <w:rFonts w:cs="Times New Roman"/>
        </w:rPr>
        <w:t xml:space="preserve">In short, </w:t>
      </w:r>
      <w:r w:rsidR="00B715AF">
        <w:rPr>
          <w:rFonts w:cs="Times New Roman"/>
        </w:rPr>
        <w:t xml:space="preserve">having surveyed the case law, </w:t>
      </w:r>
      <w:r>
        <w:rPr>
          <w:rFonts w:cs="Times New Roman"/>
        </w:rPr>
        <w:t xml:space="preserve">I </w:t>
      </w:r>
      <w:r w:rsidR="00B715AF">
        <w:rPr>
          <w:rFonts w:cs="Times New Roman"/>
        </w:rPr>
        <w:t xml:space="preserve">observed </w:t>
      </w:r>
      <w:r>
        <w:rPr>
          <w:rFonts w:cs="Times New Roman"/>
        </w:rPr>
        <w:t xml:space="preserve">that </w:t>
      </w:r>
      <w:r w:rsidR="00B715AF">
        <w:rPr>
          <w:rFonts w:cs="Times New Roman"/>
        </w:rPr>
        <w:t xml:space="preserve">while </w:t>
      </w:r>
      <w:r>
        <w:rPr>
          <w:rFonts w:cs="Times New Roman"/>
        </w:rPr>
        <w:t>t</w:t>
      </w:r>
      <w:r w:rsidR="008D3DB5" w:rsidRPr="008D3DB5">
        <w:rPr>
          <w:rFonts w:cs="Times New Roman"/>
        </w:rPr>
        <w:t xml:space="preserve">he </w:t>
      </w:r>
      <w:r w:rsidR="00B715AF">
        <w:rPr>
          <w:rFonts w:cs="Times New Roman"/>
        </w:rPr>
        <w:t>High C</w:t>
      </w:r>
      <w:r w:rsidR="008D3DB5" w:rsidRPr="008D3DB5">
        <w:rPr>
          <w:rFonts w:cs="Times New Roman"/>
        </w:rPr>
        <w:t>ourt has jurisdiction to dismiss an application for judicial review under the 2015 Act for abusive conduct</w:t>
      </w:r>
      <w:r w:rsidR="00B715AF">
        <w:rPr>
          <w:rFonts w:cs="Times New Roman"/>
        </w:rPr>
        <w:t xml:space="preserve">, </w:t>
      </w:r>
      <w:r w:rsidR="008D3DB5" w:rsidRPr="008D3DB5">
        <w:rPr>
          <w:rFonts w:cs="Times New Roman"/>
        </w:rPr>
        <w:t>the same must be exercised sparingly and only where that conduct can be considered serious and significant in the context of the system as a whole.</w:t>
      </w:r>
    </w:p>
    <w:p w14:paraId="12639E10" w14:textId="77777777" w:rsidR="0085345A" w:rsidRDefault="0085345A" w:rsidP="00775A4E">
      <w:pPr>
        <w:pStyle w:val="NoSpacing"/>
        <w:spacing w:line="480" w:lineRule="auto"/>
        <w:jc w:val="left"/>
        <w:rPr>
          <w:rFonts w:cs="Times New Roman"/>
        </w:rPr>
      </w:pPr>
    </w:p>
    <w:p w14:paraId="16F84E79" w14:textId="7B2215E9" w:rsidR="0000308A" w:rsidRDefault="00AE2544" w:rsidP="00775A4E">
      <w:pPr>
        <w:pStyle w:val="NoSpacing"/>
        <w:numPr>
          <w:ilvl w:val="0"/>
          <w:numId w:val="8"/>
        </w:numPr>
        <w:spacing w:line="480" w:lineRule="auto"/>
        <w:ind w:left="0" w:firstLine="0"/>
        <w:jc w:val="left"/>
        <w:rPr>
          <w:rFonts w:cs="Times New Roman"/>
        </w:rPr>
      </w:pPr>
      <w:r w:rsidRPr="00340AFC">
        <w:rPr>
          <w:rFonts w:cs="Times New Roman"/>
        </w:rPr>
        <w:t>This Court, in granting leave, did so in respect of the issues of general public importance arising from the judgment of the High Court</w:t>
      </w:r>
      <w:r w:rsidR="0085345A" w:rsidRPr="00340AFC">
        <w:rPr>
          <w:rFonts w:cs="Times New Roman"/>
        </w:rPr>
        <w:t xml:space="preserve">, and in particular on the basis of the apparent conflict between the judgment in this case and that in </w:t>
      </w:r>
      <w:r w:rsidR="0085345A" w:rsidRPr="00340AFC">
        <w:rPr>
          <w:rFonts w:cs="Times New Roman"/>
          <w:i/>
          <w:iCs/>
        </w:rPr>
        <w:t>Izmailovic</w:t>
      </w:r>
      <w:r w:rsidR="0085345A" w:rsidRPr="00340AFC">
        <w:rPr>
          <w:rFonts w:cs="Times New Roman"/>
        </w:rPr>
        <w:t xml:space="preserve">. </w:t>
      </w:r>
      <w:r w:rsidR="00E27852" w:rsidRPr="00340AFC">
        <w:rPr>
          <w:rFonts w:cs="Times New Roman"/>
        </w:rPr>
        <w:t xml:space="preserve">For the reasons set out above, the appeal must be allowed in two respects: first, insofar as the High Court </w:t>
      </w:r>
      <w:r w:rsidR="000B6672" w:rsidRPr="00340AFC">
        <w:rPr>
          <w:rFonts w:cs="Times New Roman"/>
        </w:rPr>
        <w:t xml:space="preserve">implicitly </w:t>
      </w:r>
      <w:r w:rsidR="00E27852" w:rsidRPr="00340AFC">
        <w:rPr>
          <w:rFonts w:cs="Times New Roman"/>
        </w:rPr>
        <w:t xml:space="preserve">held that the Minister’s </w:t>
      </w:r>
      <w:r w:rsidR="000B6672" w:rsidRPr="00340AFC">
        <w:rPr>
          <w:rFonts w:cs="Times New Roman"/>
        </w:rPr>
        <w:t xml:space="preserve">determination, under the 2015 Regulations, that the marriage was one of convenience rendered the marriage a legal nullity for all purposes, </w:t>
      </w:r>
      <w:r w:rsidR="00804ABE" w:rsidRPr="00340AFC">
        <w:rPr>
          <w:rFonts w:cs="Times New Roman"/>
        </w:rPr>
        <w:t xml:space="preserve">this was not correct; the Minister has no power to so declare, he does not now assert that he has </w:t>
      </w:r>
      <w:r w:rsidR="00804ABE" w:rsidRPr="00340AFC">
        <w:rPr>
          <w:rFonts w:cs="Times New Roman"/>
        </w:rPr>
        <w:lastRenderedPageBreak/>
        <w:t xml:space="preserve">any such power, and in fact he never purported to make </w:t>
      </w:r>
      <w:r w:rsidR="00DA707D" w:rsidRPr="00340AFC">
        <w:rPr>
          <w:rFonts w:cs="Times New Roman"/>
        </w:rPr>
        <w:t xml:space="preserve">any such far-reaching declaration. </w:t>
      </w:r>
      <w:r w:rsidR="00465221">
        <w:rPr>
          <w:rFonts w:cs="Times New Roman"/>
        </w:rPr>
        <w:t xml:space="preserve">Furthermore, </w:t>
      </w:r>
      <w:r w:rsidR="00C25248">
        <w:rPr>
          <w:rFonts w:cs="Times New Roman"/>
        </w:rPr>
        <w:t xml:space="preserve">given that </w:t>
      </w:r>
      <w:r w:rsidR="00667D31">
        <w:rPr>
          <w:rFonts w:cs="Times New Roman"/>
        </w:rPr>
        <w:t>these proceedings</w:t>
      </w:r>
      <w:r w:rsidR="00C25248">
        <w:rPr>
          <w:rFonts w:cs="Times New Roman"/>
        </w:rPr>
        <w:t xml:space="preserve"> </w:t>
      </w:r>
      <w:r w:rsidR="00667D31">
        <w:rPr>
          <w:rFonts w:cs="Times New Roman"/>
        </w:rPr>
        <w:t xml:space="preserve">arise in the immigration context and do not concern the matrimonial jurisdiction of the High Court, </w:t>
      </w:r>
      <w:r w:rsidR="00465221">
        <w:rPr>
          <w:rFonts w:cs="Times New Roman"/>
        </w:rPr>
        <w:t xml:space="preserve">the views expressed by Humphreys </w:t>
      </w:r>
      <w:r w:rsidR="001513A6">
        <w:rPr>
          <w:rFonts w:cs="Times New Roman"/>
        </w:rPr>
        <w:t xml:space="preserve">J. </w:t>
      </w:r>
      <w:r w:rsidR="00465221">
        <w:rPr>
          <w:rFonts w:cs="Times New Roman"/>
        </w:rPr>
        <w:t xml:space="preserve">in this case cannot be held to represent the correct position in law, which will fall to be resolved in due course </w:t>
      </w:r>
      <w:r w:rsidR="0041413B">
        <w:rPr>
          <w:rFonts w:cs="Times New Roman"/>
        </w:rPr>
        <w:t>in a case in which the matter properly arises</w:t>
      </w:r>
      <w:r w:rsidR="00465221">
        <w:rPr>
          <w:rFonts w:cs="Times New Roman"/>
        </w:rPr>
        <w:t xml:space="preserve">. </w:t>
      </w:r>
      <w:r w:rsidR="00DA707D" w:rsidRPr="00340AFC">
        <w:rPr>
          <w:rFonts w:cs="Times New Roman"/>
        </w:rPr>
        <w:t xml:space="preserve">Second, I have concluded that the learned High Court judge erred in concluding that because it is a marriage of convenience, </w:t>
      </w:r>
      <w:r w:rsidR="00DA707D" w:rsidRPr="00340AFC">
        <w:rPr>
          <w:rFonts w:cs="Times New Roman"/>
          <w:i/>
          <w:iCs/>
        </w:rPr>
        <w:t xml:space="preserve">no </w:t>
      </w:r>
      <w:r w:rsidR="00DA707D" w:rsidRPr="00340AFC">
        <w:rPr>
          <w:rFonts w:cs="Times New Roman"/>
        </w:rPr>
        <w:t>family/private</w:t>
      </w:r>
      <w:r w:rsidR="00DA707D" w:rsidRPr="00340AFC">
        <w:rPr>
          <w:rFonts w:cs="Times New Roman"/>
          <w:i/>
          <w:iCs/>
        </w:rPr>
        <w:t xml:space="preserve"> </w:t>
      </w:r>
      <w:r w:rsidR="00DA707D" w:rsidRPr="00340AFC">
        <w:rPr>
          <w:rFonts w:cs="Times New Roman"/>
        </w:rPr>
        <w:t xml:space="preserve">rights arising from the underlying relationship between the parties arise to be considered in the </w:t>
      </w:r>
      <w:r w:rsidR="0000308A" w:rsidRPr="00340AFC">
        <w:rPr>
          <w:rFonts w:cs="Times New Roman"/>
        </w:rPr>
        <w:t xml:space="preserve">deportation context; for the reasons set out above, the Appellants’ rights under Article 8 ECHR still require to be balanced in the mix. </w:t>
      </w:r>
      <w:r w:rsidR="00004DA3">
        <w:rPr>
          <w:rFonts w:cs="Times New Roman"/>
        </w:rPr>
        <w:t xml:space="preserve">As a result, it follows that Humphreys </w:t>
      </w:r>
      <w:r w:rsidR="001513A6">
        <w:rPr>
          <w:rFonts w:cs="Times New Roman"/>
        </w:rPr>
        <w:t xml:space="preserve">J. </w:t>
      </w:r>
      <w:r w:rsidR="00004DA3">
        <w:rPr>
          <w:rFonts w:cs="Times New Roman"/>
        </w:rPr>
        <w:t xml:space="preserve">was incorrect </w:t>
      </w:r>
      <w:r w:rsidR="00F95D71">
        <w:rPr>
          <w:rFonts w:cs="Times New Roman"/>
        </w:rPr>
        <w:t xml:space="preserve">in stating </w:t>
      </w:r>
      <w:r w:rsidR="00B02AEB" w:rsidRPr="00720FE2">
        <w:rPr>
          <w:rFonts w:cs="Times New Roman"/>
          <w:i/>
          <w:iCs/>
        </w:rPr>
        <w:t>“an absolutely necessary consequence is that no obligation arises under the Constitution, the ECHR or EU law to consider</w:t>
      </w:r>
      <w:r w:rsidR="00720FE2" w:rsidRPr="00720FE2">
        <w:rPr>
          <w:rFonts w:cs="Times New Roman"/>
          <w:i/>
          <w:iCs/>
        </w:rPr>
        <w:t xml:space="preserve"> any such ‘rights’”</w:t>
      </w:r>
      <w:r w:rsidR="00F95D71">
        <w:rPr>
          <w:rFonts w:cs="Times New Roman"/>
        </w:rPr>
        <w:t xml:space="preserve">. </w:t>
      </w:r>
      <w:r w:rsidR="00656322" w:rsidRPr="00340AFC">
        <w:rPr>
          <w:rFonts w:cs="Times New Roman"/>
        </w:rPr>
        <w:t xml:space="preserve">Given these findings on the points of principle, I would be reluctant to disentitle the Appellants to the reliefs sought on a discretionary basis. Perhaps more fundamentally, I find it </w:t>
      </w:r>
      <w:r w:rsidR="0000308A" w:rsidRPr="00340AFC">
        <w:rPr>
          <w:rFonts w:cs="Times New Roman"/>
        </w:rPr>
        <w:t xml:space="preserve">difficult to believe that the term “abuse of process” as properly understood, could encompass </w:t>
      </w:r>
      <w:r w:rsidR="00E2014C" w:rsidRPr="00340AFC">
        <w:rPr>
          <w:rFonts w:cs="Times New Roman"/>
        </w:rPr>
        <w:t>the situation at hand. T</w:t>
      </w:r>
      <w:r w:rsidR="0000308A" w:rsidRPr="00340AFC">
        <w:rPr>
          <w:rFonts w:cs="Times New Roman"/>
        </w:rPr>
        <w:t>he First and Second Appellant</w:t>
      </w:r>
      <w:r w:rsidR="00E2014C" w:rsidRPr="00340AFC">
        <w:rPr>
          <w:rFonts w:cs="Times New Roman"/>
        </w:rPr>
        <w:t>s</w:t>
      </w:r>
      <w:r w:rsidR="0000308A" w:rsidRPr="00340AFC">
        <w:rPr>
          <w:rFonts w:cs="Times New Roman"/>
        </w:rPr>
        <w:t xml:space="preserve"> have consistently maintained that theirs is not a marriage of convenience</w:t>
      </w:r>
      <w:r w:rsidR="00340AFC" w:rsidRPr="00340AFC">
        <w:rPr>
          <w:rFonts w:cs="Times New Roman"/>
        </w:rPr>
        <w:t xml:space="preserve"> and this certainly does not appear to be a typical abuse of process situation</w:t>
      </w:r>
      <w:r w:rsidR="0000308A" w:rsidRPr="00340AFC">
        <w:rPr>
          <w:rFonts w:cs="Times New Roman"/>
        </w:rPr>
        <w:t xml:space="preserve">. </w:t>
      </w:r>
      <w:r w:rsidR="00340AFC" w:rsidRPr="00340AFC">
        <w:rPr>
          <w:rFonts w:cs="Times New Roman"/>
        </w:rPr>
        <w:t xml:space="preserve">Having regard to what was stated in </w:t>
      </w:r>
      <w:r w:rsidR="00340AFC" w:rsidRPr="00340AFC">
        <w:rPr>
          <w:rFonts w:cs="Times New Roman"/>
          <w:i/>
          <w:iCs/>
        </w:rPr>
        <w:t>P.N.S.</w:t>
      </w:r>
      <w:r w:rsidR="00340AFC">
        <w:rPr>
          <w:rFonts w:cs="Times New Roman"/>
        </w:rPr>
        <w:t xml:space="preserve">, I am not satisfied that the conduct of the Appellants reaches the high threshold for disentitling them to the reliefs sought on this basis. </w:t>
      </w:r>
    </w:p>
    <w:p w14:paraId="17664BF5" w14:textId="77777777" w:rsidR="00340AFC" w:rsidRDefault="00340AFC" w:rsidP="00775A4E">
      <w:pPr>
        <w:pStyle w:val="NoSpacing"/>
        <w:spacing w:line="480" w:lineRule="auto"/>
        <w:jc w:val="left"/>
        <w:rPr>
          <w:rFonts w:cs="Times New Roman"/>
          <w:b/>
          <w:bCs/>
        </w:rPr>
      </w:pPr>
    </w:p>
    <w:p w14:paraId="4C4DA2B3" w14:textId="173944BF" w:rsidR="00340AFC" w:rsidRPr="00340AFC" w:rsidRDefault="00340AFC" w:rsidP="00775A4E">
      <w:pPr>
        <w:pStyle w:val="NoSpacing"/>
        <w:spacing w:line="480" w:lineRule="auto"/>
        <w:jc w:val="left"/>
        <w:rPr>
          <w:rFonts w:cs="Times New Roman"/>
          <w:b/>
          <w:bCs/>
        </w:rPr>
      </w:pPr>
      <w:r w:rsidRPr="00EF7378">
        <w:rPr>
          <w:rFonts w:cs="Times New Roman"/>
          <w:b/>
          <w:bCs/>
        </w:rPr>
        <w:t xml:space="preserve">Conclusion </w:t>
      </w:r>
    </w:p>
    <w:p w14:paraId="5F056CD8" w14:textId="5E5BCF5E" w:rsidR="00340AFC" w:rsidRDefault="00340AFC" w:rsidP="00775A4E">
      <w:pPr>
        <w:pStyle w:val="NoSpacing"/>
        <w:numPr>
          <w:ilvl w:val="0"/>
          <w:numId w:val="8"/>
        </w:numPr>
        <w:spacing w:line="480" w:lineRule="auto"/>
        <w:ind w:left="0" w:firstLine="0"/>
        <w:jc w:val="left"/>
        <w:rPr>
          <w:rFonts w:cs="Times New Roman"/>
        </w:rPr>
      </w:pPr>
      <w:r w:rsidRPr="008149E7">
        <w:rPr>
          <w:rFonts w:cs="Times New Roman"/>
        </w:rPr>
        <w:t xml:space="preserve">To conclude in respect of the three questions set out at para. 57, </w:t>
      </w:r>
      <w:r w:rsidRPr="008C0521">
        <w:rPr>
          <w:rFonts w:cs="Times New Roman"/>
          <w:i/>
          <w:iCs/>
        </w:rPr>
        <w:t>supra</w:t>
      </w:r>
      <w:r w:rsidRPr="008149E7">
        <w:rPr>
          <w:rFonts w:cs="Times New Roman"/>
        </w:rPr>
        <w:t>, I would hold (</w:t>
      </w:r>
      <w:proofErr w:type="spellStart"/>
      <w:r w:rsidRPr="008149E7">
        <w:rPr>
          <w:rFonts w:cs="Times New Roman"/>
        </w:rPr>
        <w:t>i</w:t>
      </w:r>
      <w:proofErr w:type="spellEnd"/>
      <w:r w:rsidRPr="008149E7">
        <w:rPr>
          <w:rFonts w:cs="Times New Roman"/>
        </w:rPr>
        <w:t xml:space="preserve">) that the Minister’s </w:t>
      </w:r>
      <w:r w:rsidR="00D6721E">
        <w:rPr>
          <w:rFonts w:cs="Times New Roman"/>
        </w:rPr>
        <w:t>determination</w:t>
      </w:r>
      <w:r w:rsidRPr="008149E7">
        <w:rPr>
          <w:rFonts w:cs="Times New Roman"/>
        </w:rPr>
        <w:t xml:space="preserve"> (made in the context of the residence application under the 2015 Regulations) that </w:t>
      </w:r>
      <w:r w:rsidR="00A85246" w:rsidRPr="008149E7">
        <w:rPr>
          <w:rFonts w:cs="Times New Roman"/>
        </w:rPr>
        <w:t>a</w:t>
      </w:r>
      <w:r w:rsidRPr="008149E7">
        <w:rPr>
          <w:rFonts w:cs="Times New Roman"/>
        </w:rPr>
        <w:t xml:space="preserve"> marriage </w:t>
      </w:r>
      <w:r w:rsidR="00A85246" w:rsidRPr="008149E7">
        <w:rPr>
          <w:rFonts w:cs="Times New Roman"/>
        </w:rPr>
        <w:t xml:space="preserve">is </w:t>
      </w:r>
      <w:r w:rsidRPr="008149E7">
        <w:rPr>
          <w:rFonts w:cs="Times New Roman"/>
        </w:rPr>
        <w:t>one of convenience</w:t>
      </w:r>
      <w:r w:rsidR="00735CEB">
        <w:rPr>
          <w:rFonts w:cs="Times New Roman"/>
        </w:rPr>
        <w:t>,</w:t>
      </w:r>
      <w:r w:rsidRPr="008149E7">
        <w:rPr>
          <w:rFonts w:cs="Times New Roman"/>
        </w:rPr>
        <w:t xml:space="preserve"> may be relied upon by the Minister in the </w:t>
      </w:r>
      <w:r w:rsidR="00A85246" w:rsidRPr="008149E7">
        <w:rPr>
          <w:rFonts w:cs="Times New Roman"/>
        </w:rPr>
        <w:t>context of the subsequent deportation process; (ii)</w:t>
      </w:r>
      <w:r w:rsidRPr="008149E7">
        <w:rPr>
          <w:rFonts w:cs="Times New Roman"/>
        </w:rPr>
        <w:t xml:space="preserve"> </w:t>
      </w:r>
      <w:r w:rsidR="00946BE8" w:rsidRPr="008149E7">
        <w:rPr>
          <w:rFonts w:cs="Times New Roman"/>
        </w:rPr>
        <w:t xml:space="preserve">that the </w:t>
      </w:r>
      <w:r w:rsidR="00D6721E">
        <w:rPr>
          <w:rFonts w:cs="Times New Roman"/>
        </w:rPr>
        <w:t xml:space="preserve">said </w:t>
      </w:r>
      <w:r w:rsidR="00946BE8" w:rsidRPr="008149E7">
        <w:rPr>
          <w:rFonts w:cs="Times New Roman"/>
        </w:rPr>
        <w:t>determination</w:t>
      </w:r>
      <w:r w:rsidRPr="008149E7">
        <w:rPr>
          <w:rFonts w:cs="Times New Roman"/>
        </w:rPr>
        <w:t xml:space="preserve"> </w:t>
      </w:r>
      <w:r w:rsidRPr="008149E7">
        <w:rPr>
          <w:rFonts w:cs="Times New Roman"/>
        </w:rPr>
        <w:lastRenderedPageBreak/>
        <w:t xml:space="preserve">made by the Minister under the 2015 Regulations </w:t>
      </w:r>
      <w:r w:rsidR="00946BE8" w:rsidRPr="008149E7">
        <w:rPr>
          <w:rFonts w:cs="Times New Roman"/>
        </w:rPr>
        <w:t xml:space="preserve">does not have the effect of </w:t>
      </w:r>
      <w:r w:rsidRPr="008149E7">
        <w:rPr>
          <w:rFonts w:cs="Times New Roman"/>
        </w:rPr>
        <w:t>render</w:t>
      </w:r>
      <w:r w:rsidR="00946BE8" w:rsidRPr="008149E7">
        <w:rPr>
          <w:rFonts w:cs="Times New Roman"/>
        </w:rPr>
        <w:t>ing</w:t>
      </w:r>
      <w:r w:rsidRPr="008149E7">
        <w:rPr>
          <w:rFonts w:cs="Times New Roman"/>
        </w:rPr>
        <w:t xml:space="preserve"> that marriage a nullity at law</w:t>
      </w:r>
      <w:r w:rsidR="00946BE8" w:rsidRPr="008149E7">
        <w:rPr>
          <w:rFonts w:cs="Times New Roman"/>
        </w:rPr>
        <w:t xml:space="preserve">; rather, such </w:t>
      </w:r>
      <w:r w:rsidR="00512085" w:rsidRPr="008149E7">
        <w:rPr>
          <w:rFonts w:cs="Times New Roman"/>
        </w:rPr>
        <w:t>determination</w:t>
      </w:r>
      <w:r w:rsidR="00946BE8" w:rsidRPr="008149E7">
        <w:rPr>
          <w:rFonts w:cs="Times New Roman"/>
        </w:rPr>
        <w:t xml:space="preserve"> is limited to the immigration/deportation </w:t>
      </w:r>
      <w:r w:rsidR="00512085" w:rsidRPr="008149E7">
        <w:rPr>
          <w:rFonts w:cs="Times New Roman"/>
        </w:rPr>
        <w:t xml:space="preserve">context </w:t>
      </w:r>
      <w:r w:rsidR="00946BE8" w:rsidRPr="008149E7">
        <w:rPr>
          <w:rFonts w:cs="Times New Roman"/>
        </w:rPr>
        <w:t>the sole consequence</w:t>
      </w:r>
      <w:r w:rsidR="00512085" w:rsidRPr="008149E7">
        <w:rPr>
          <w:rFonts w:cs="Times New Roman"/>
        </w:rPr>
        <w:t xml:space="preserve"> thereof is that it entitles the Minister to “disregard” the marriage in the very specific context as set out above; and (iii) although </w:t>
      </w:r>
      <w:r w:rsidRPr="008149E7">
        <w:rPr>
          <w:rFonts w:cs="Times New Roman"/>
        </w:rPr>
        <w:t xml:space="preserve">the Minister is entitled to import the earlier decision into the deportation process, he must nonetheless have regard, in operating that process, to </w:t>
      </w:r>
      <w:r w:rsidR="008149E7" w:rsidRPr="008149E7">
        <w:rPr>
          <w:rFonts w:cs="Times New Roman"/>
        </w:rPr>
        <w:t>the Article 8 rights of the Appellants as founded</w:t>
      </w:r>
      <w:r w:rsidRPr="008149E7">
        <w:rPr>
          <w:rFonts w:cs="Times New Roman"/>
        </w:rPr>
        <w:t xml:space="preserve"> on the underlying relationship between the parties</w:t>
      </w:r>
      <w:r w:rsidR="008149E7" w:rsidRPr="008149E7">
        <w:rPr>
          <w:rFonts w:cs="Times New Roman"/>
        </w:rPr>
        <w:t>; it does not appear that he did so here.</w:t>
      </w:r>
      <w:r w:rsidRPr="008149E7">
        <w:rPr>
          <w:rFonts w:cs="Times New Roman"/>
        </w:rPr>
        <w:t xml:space="preserve"> </w:t>
      </w:r>
    </w:p>
    <w:p w14:paraId="277F46A9" w14:textId="77777777" w:rsidR="008C0521" w:rsidRDefault="008C0521" w:rsidP="00775A4E">
      <w:pPr>
        <w:pStyle w:val="NoSpacing"/>
        <w:spacing w:line="480" w:lineRule="auto"/>
        <w:jc w:val="left"/>
        <w:rPr>
          <w:rFonts w:cs="Times New Roman"/>
        </w:rPr>
      </w:pPr>
    </w:p>
    <w:p w14:paraId="54E021FC" w14:textId="686FC62F" w:rsidR="008149E7" w:rsidRPr="008149E7" w:rsidRDefault="008149E7" w:rsidP="00775A4E">
      <w:pPr>
        <w:pStyle w:val="NoSpacing"/>
        <w:numPr>
          <w:ilvl w:val="0"/>
          <w:numId w:val="8"/>
        </w:numPr>
        <w:spacing w:line="480" w:lineRule="auto"/>
        <w:ind w:left="0" w:firstLine="0"/>
        <w:jc w:val="left"/>
        <w:rPr>
          <w:rFonts w:cs="Times New Roman"/>
        </w:rPr>
      </w:pPr>
      <w:r>
        <w:rPr>
          <w:rFonts w:cs="Times New Roman"/>
        </w:rPr>
        <w:t>I would therefore allow the appeal</w:t>
      </w:r>
      <w:r w:rsidR="008C0521">
        <w:rPr>
          <w:rFonts w:cs="Times New Roman"/>
        </w:rPr>
        <w:t xml:space="preserve"> in part.</w:t>
      </w:r>
    </w:p>
    <w:p w14:paraId="6697D492" w14:textId="77777777" w:rsidR="00001D3C" w:rsidRPr="00EF7378" w:rsidRDefault="00001D3C" w:rsidP="00775A4E">
      <w:pPr>
        <w:pStyle w:val="NoSpacing"/>
        <w:spacing w:line="480" w:lineRule="auto"/>
        <w:jc w:val="left"/>
        <w:rPr>
          <w:rFonts w:cs="Times New Roman"/>
        </w:rPr>
      </w:pPr>
    </w:p>
    <w:sectPr w:rsidR="00001D3C" w:rsidRPr="00EF7378" w:rsidSect="00001D3C">
      <w:footerReference w:type="default" r:id="rId8"/>
      <w:headerReference w:type="first" r:id="rId9"/>
      <w:footerReference w:type="first" r:id="rId10"/>
      <w:pgSz w:w="14774" w:h="16838"/>
      <w:pgMar w:top="1440" w:right="4308"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000EF" w14:textId="77777777" w:rsidR="00775A4E" w:rsidRDefault="00775A4E" w:rsidP="00D96A33">
      <w:pPr>
        <w:spacing w:after="0" w:line="240" w:lineRule="auto"/>
      </w:pPr>
      <w:r>
        <w:separator/>
      </w:r>
    </w:p>
  </w:endnote>
  <w:endnote w:type="continuationSeparator" w:id="0">
    <w:p w14:paraId="50FE87BD" w14:textId="77777777" w:rsidR="00775A4E" w:rsidRDefault="00775A4E" w:rsidP="00D9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85885973"/>
      <w:docPartObj>
        <w:docPartGallery w:val="Page Numbers (Bottom of Page)"/>
        <w:docPartUnique/>
      </w:docPartObj>
    </w:sdtPr>
    <w:sdtEndPr>
      <w:rPr>
        <w:noProof/>
      </w:rPr>
    </w:sdtEndPr>
    <w:sdtContent>
      <w:p w14:paraId="4DCC4CCF" w14:textId="5F9D560E" w:rsidR="00775A4E" w:rsidRPr="00DD7F81" w:rsidRDefault="00775A4E">
        <w:pPr>
          <w:pStyle w:val="Footer"/>
          <w:jc w:val="center"/>
          <w:rPr>
            <w:rFonts w:ascii="Times New Roman" w:hAnsi="Times New Roman" w:cs="Times New Roman"/>
            <w:sz w:val="24"/>
            <w:szCs w:val="24"/>
          </w:rPr>
        </w:pPr>
        <w:r w:rsidRPr="00DD7F81">
          <w:rPr>
            <w:rFonts w:ascii="Times New Roman" w:hAnsi="Times New Roman" w:cs="Times New Roman"/>
            <w:sz w:val="24"/>
            <w:szCs w:val="24"/>
          </w:rPr>
          <w:fldChar w:fldCharType="begin"/>
        </w:r>
        <w:r w:rsidRPr="00DD7F81">
          <w:rPr>
            <w:rFonts w:ascii="Times New Roman" w:hAnsi="Times New Roman" w:cs="Times New Roman"/>
            <w:sz w:val="24"/>
            <w:szCs w:val="24"/>
          </w:rPr>
          <w:instrText xml:space="preserve"> PAGE   \* MERGEFORMAT </w:instrText>
        </w:r>
        <w:r w:rsidRPr="00DD7F81">
          <w:rPr>
            <w:rFonts w:ascii="Times New Roman" w:hAnsi="Times New Roman" w:cs="Times New Roman"/>
            <w:sz w:val="24"/>
            <w:szCs w:val="24"/>
          </w:rPr>
          <w:fldChar w:fldCharType="separate"/>
        </w:r>
        <w:r>
          <w:rPr>
            <w:rFonts w:ascii="Times New Roman" w:hAnsi="Times New Roman" w:cs="Times New Roman"/>
            <w:noProof/>
            <w:sz w:val="24"/>
            <w:szCs w:val="24"/>
          </w:rPr>
          <w:t>22</w:t>
        </w:r>
        <w:r w:rsidRPr="00DD7F81">
          <w:rPr>
            <w:rFonts w:ascii="Times New Roman" w:hAnsi="Times New Roman" w:cs="Times New Roman"/>
            <w:noProof/>
            <w:sz w:val="24"/>
            <w:szCs w:val="24"/>
          </w:rPr>
          <w:fldChar w:fldCharType="end"/>
        </w:r>
      </w:p>
    </w:sdtContent>
  </w:sdt>
  <w:p w14:paraId="533D019D" w14:textId="77777777" w:rsidR="00775A4E" w:rsidRPr="00DD7F81" w:rsidRDefault="00775A4E">
    <w:pPr>
      <w:pStyle w:val="Foo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77913412"/>
      <w:docPartObj>
        <w:docPartGallery w:val="Page Numbers (Bottom of Page)"/>
        <w:docPartUnique/>
      </w:docPartObj>
    </w:sdtPr>
    <w:sdtEndPr>
      <w:rPr>
        <w:noProof/>
      </w:rPr>
    </w:sdtEndPr>
    <w:sdtContent>
      <w:p w14:paraId="15F86BA1" w14:textId="2A7DFA8C" w:rsidR="00775A4E" w:rsidRPr="004C2C6F" w:rsidRDefault="00775A4E">
        <w:pPr>
          <w:pStyle w:val="Footer"/>
          <w:jc w:val="center"/>
          <w:rPr>
            <w:rFonts w:ascii="Times New Roman" w:hAnsi="Times New Roman" w:cs="Times New Roman"/>
            <w:sz w:val="24"/>
            <w:szCs w:val="24"/>
          </w:rPr>
        </w:pPr>
        <w:r w:rsidRPr="004C2C6F">
          <w:rPr>
            <w:rFonts w:ascii="Times New Roman" w:hAnsi="Times New Roman" w:cs="Times New Roman"/>
            <w:sz w:val="24"/>
            <w:szCs w:val="24"/>
          </w:rPr>
          <w:fldChar w:fldCharType="begin"/>
        </w:r>
        <w:r w:rsidRPr="004C2C6F">
          <w:rPr>
            <w:rFonts w:ascii="Times New Roman" w:hAnsi="Times New Roman" w:cs="Times New Roman"/>
            <w:sz w:val="24"/>
            <w:szCs w:val="24"/>
          </w:rPr>
          <w:instrText xml:space="preserve"> PAGE   \* MERGEFORMAT </w:instrText>
        </w:r>
        <w:r w:rsidRPr="004C2C6F">
          <w:rPr>
            <w:rFonts w:ascii="Times New Roman" w:hAnsi="Times New Roman" w:cs="Times New Roman"/>
            <w:sz w:val="24"/>
            <w:szCs w:val="24"/>
          </w:rPr>
          <w:fldChar w:fldCharType="separate"/>
        </w:r>
        <w:r>
          <w:rPr>
            <w:rFonts w:ascii="Times New Roman" w:hAnsi="Times New Roman" w:cs="Times New Roman"/>
            <w:noProof/>
            <w:sz w:val="24"/>
            <w:szCs w:val="24"/>
          </w:rPr>
          <w:t>1</w:t>
        </w:r>
        <w:r w:rsidRPr="004C2C6F">
          <w:rPr>
            <w:rFonts w:ascii="Times New Roman" w:hAnsi="Times New Roman" w:cs="Times New Roman"/>
            <w:noProof/>
            <w:sz w:val="24"/>
            <w:szCs w:val="24"/>
          </w:rPr>
          <w:fldChar w:fldCharType="end"/>
        </w:r>
      </w:p>
    </w:sdtContent>
  </w:sdt>
  <w:p w14:paraId="2AC9ACD7" w14:textId="77777777" w:rsidR="00775A4E" w:rsidRPr="004C2C6F" w:rsidRDefault="00775A4E">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A154D" w14:textId="77777777" w:rsidR="00775A4E" w:rsidRDefault="00775A4E" w:rsidP="00D96A33">
      <w:pPr>
        <w:spacing w:after="0" w:line="240" w:lineRule="auto"/>
      </w:pPr>
      <w:r>
        <w:separator/>
      </w:r>
    </w:p>
  </w:footnote>
  <w:footnote w:type="continuationSeparator" w:id="0">
    <w:p w14:paraId="15E0A601" w14:textId="77777777" w:rsidR="00775A4E" w:rsidRDefault="00775A4E" w:rsidP="00D96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5757C" w14:textId="44127FB0" w:rsidR="00775A4E" w:rsidRDefault="00775A4E">
    <w:pPr>
      <w:pStyle w:val="Header"/>
    </w:pPr>
    <w:r>
      <w:rPr>
        <w:b/>
        <w:noProof/>
        <w:szCs w:val="24"/>
        <w:lang w:eastAsia="en-IE"/>
      </w:rPr>
      <w:drawing>
        <wp:anchor distT="0" distB="0" distL="114300" distR="114300" simplePos="0" relativeHeight="251659264" behindDoc="0" locked="0" layoutInCell="1" allowOverlap="1" wp14:anchorId="14B95536" wp14:editId="19D79A53">
          <wp:simplePos x="0" y="0"/>
          <wp:positionH relativeFrom="margin">
            <wp:align>center</wp:align>
          </wp:positionH>
          <wp:positionV relativeFrom="topMargin">
            <wp:align>bottom</wp:align>
          </wp:positionV>
          <wp:extent cx="392396" cy="601199"/>
          <wp:effectExtent l="0" t="0" r="8255" b="8890"/>
          <wp:wrapTight wrapText="bothSides">
            <wp:wrapPolygon edited="0">
              <wp:start x="0" y="0"/>
              <wp:lineTo x="0" y="21235"/>
              <wp:lineTo x="21005" y="21235"/>
              <wp:lineTo x="21005" y="0"/>
              <wp:lineTo x="0" y="0"/>
            </wp:wrapPolygon>
          </wp:wrapTight>
          <wp:docPr id="1" name="Picture 1" descr="http://www.courts.ie/Judgments.nsf/597645521f07ac9a80256ef30048ca52/cc1d2a61f6c0336680258172004a9be7/Content/0.40E6?OpenElement&amp;FieldElemFormat=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392396" cy="60119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08B9"/>
    <w:multiLevelType w:val="hybridMultilevel"/>
    <w:tmpl w:val="F2A4093A"/>
    <w:lvl w:ilvl="0" w:tplc="0B482EA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1420ED"/>
    <w:multiLevelType w:val="hybridMultilevel"/>
    <w:tmpl w:val="08E20A5E"/>
    <w:lvl w:ilvl="0" w:tplc="07A0F98C">
      <w:start w:val="74"/>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9861D27"/>
    <w:multiLevelType w:val="hybridMultilevel"/>
    <w:tmpl w:val="DA824F08"/>
    <w:lvl w:ilvl="0" w:tplc="C9B24790">
      <w:start w:val="217"/>
      <w:numFmt w:val="bullet"/>
      <w:lvlText w:val=""/>
      <w:lvlJc w:val="left"/>
      <w:pPr>
        <w:ind w:left="1080" w:hanging="360"/>
      </w:pPr>
      <w:rPr>
        <w:rFonts w:ascii="Wingdings" w:eastAsiaTheme="minorHAnsi" w:hAnsi="Wingdings"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1600434E"/>
    <w:multiLevelType w:val="hybridMultilevel"/>
    <w:tmpl w:val="E0BC351C"/>
    <w:lvl w:ilvl="0" w:tplc="DF8455B8">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35C4B26"/>
    <w:multiLevelType w:val="hybridMultilevel"/>
    <w:tmpl w:val="74DEEF1C"/>
    <w:lvl w:ilvl="0" w:tplc="C67C240A">
      <w:start w:val="1"/>
      <w:numFmt w:val="decimal"/>
      <w:lvlText w:val="%1."/>
      <w:lvlJc w:val="left"/>
      <w:pPr>
        <w:ind w:left="720" w:hanging="360"/>
      </w:pPr>
      <w:rPr>
        <w:i w:val="0"/>
        <w:iCs w:val="0"/>
        <w:color w:val="auto"/>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EE77DAF"/>
    <w:multiLevelType w:val="hybridMultilevel"/>
    <w:tmpl w:val="60BC6B3E"/>
    <w:lvl w:ilvl="0" w:tplc="C67C240A">
      <w:start w:val="1"/>
      <w:numFmt w:val="decimal"/>
      <w:lvlText w:val="%1."/>
      <w:lvlJc w:val="left"/>
      <w:pPr>
        <w:ind w:left="720" w:hanging="360"/>
      </w:pPr>
      <w:rPr>
        <w:i w:val="0"/>
        <w:iCs w:val="0"/>
        <w:color w:val="auto"/>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90D75EC"/>
    <w:multiLevelType w:val="hybridMultilevel"/>
    <w:tmpl w:val="3F60A0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DA60CCF"/>
    <w:multiLevelType w:val="hybridMultilevel"/>
    <w:tmpl w:val="9A1EE290"/>
    <w:lvl w:ilvl="0" w:tplc="EA185104">
      <w:start w:val="217"/>
      <w:numFmt w:val="bullet"/>
      <w:lvlText w:val=""/>
      <w:lvlJc w:val="left"/>
      <w:pPr>
        <w:ind w:left="720" w:hanging="360"/>
      </w:pPr>
      <w:rPr>
        <w:rFonts w:ascii="Wingdings" w:eastAsiaTheme="minorHAnsi" w:hAnsi="Wingdings"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E1D5ACD"/>
    <w:multiLevelType w:val="hybridMultilevel"/>
    <w:tmpl w:val="DFDA41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0295C05"/>
    <w:multiLevelType w:val="hybridMultilevel"/>
    <w:tmpl w:val="B5C0FDEC"/>
    <w:lvl w:ilvl="0" w:tplc="F6C6B74E">
      <w:start w:val="67"/>
      <w:numFmt w:val="decimal"/>
      <w:lvlText w:val="%1."/>
      <w:lvlJc w:val="left"/>
      <w:pPr>
        <w:ind w:left="720" w:hanging="360"/>
      </w:pPr>
      <w:rPr>
        <w:rFonts w:hint="default"/>
        <w:b/>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6EC2DBB"/>
    <w:multiLevelType w:val="hybridMultilevel"/>
    <w:tmpl w:val="36B6456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6AC84EA6"/>
    <w:multiLevelType w:val="hybridMultilevel"/>
    <w:tmpl w:val="CBE6CAE2"/>
    <w:lvl w:ilvl="0" w:tplc="8872FE88">
      <w:start w:val="1"/>
      <w:numFmt w:val="decimal"/>
      <w:lvlText w:val="%1."/>
      <w:lvlJc w:val="left"/>
      <w:pPr>
        <w:ind w:left="720" w:hanging="360"/>
      </w:pPr>
      <w:rPr>
        <w:b/>
        <w:i w:val="0"/>
        <w:iCs w:val="0"/>
        <w:color w:val="auto"/>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6FB40D2"/>
    <w:multiLevelType w:val="hybridMultilevel"/>
    <w:tmpl w:val="154A2A9A"/>
    <w:lvl w:ilvl="0" w:tplc="46D0F9F0">
      <w:start w:val="217"/>
      <w:numFmt w:val="bullet"/>
      <w:lvlText w:val=""/>
      <w:lvlJc w:val="left"/>
      <w:pPr>
        <w:ind w:left="1080" w:hanging="360"/>
      </w:pPr>
      <w:rPr>
        <w:rFonts w:ascii="Wingdings" w:eastAsiaTheme="minorHAnsi" w:hAnsi="Wingdings"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8"/>
  </w:num>
  <w:num w:numId="4">
    <w:abstractNumId w:val="12"/>
  </w:num>
  <w:num w:numId="5">
    <w:abstractNumId w:val="7"/>
  </w:num>
  <w:num w:numId="6">
    <w:abstractNumId w:val="2"/>
  </w:num>
  <w:num w:numId="7">
    <w:abstractNumId w:val="10"/>
  </w:num>
  <w:num w:numId="8">
    <w:abstractNumId w:val="11"/>
  </w:num>
  <w:num w:numId="9">
    <w:abstractNumId w:val="3"/>
  </w:num>
  <w:num w:numId="10">
    <w:abstractNumId w:val="4"/>
  </w:num>
  <w:num w:numId="11">
    <w:abstractNumId w:val="5"/>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8C7"/>
    <w:rsid w:val="00001D3C"/>
    <w:rsid w:val="0000308A"/>
    <w:rsid w:val="00004DA3"/>
    <w:rsid w:val="00007AB6"/>
    <w:rsid w:val="00007D9C"/>
    <w:rsid w:val="00011017"/>
    <w:rsid w:val="000129A4"/>
    <w:rsid w:val="00013D3C"/>
    <w:rsid w:val="00020C3C"/>
    <w:rsid w:val="00020F20"/>
    <w:rsid w:val="00021A10"/>
    <w:rsid w:val="00021D74"/>
    <w:rsid w:val="00023552"/>
    <w:rsid w:val="00023591"/>
    <w:rsid w:val="000238A1"/>
    <w:rsid w:val="000238AE"/>
    <w:rsid w:val="00023B28"/>
    <w:rsid w:val="00023EA0"/>
    <w:rsid w:val="000257D6"/>
    <w:rsid w:val="00026829"/>
    <w:rsid w:val="00026B08"/>
    <w:rsid w:val="000278FD"/>
    <w:rsid w:val="00027DD4"/>
    <w:rsid w:val="0003067C"/>
    <w:rsid w:val="000312B2"/>
    <w:rsid w:val="0003135D"/>
    <w:rsid w:val="00033472"/>
    <w:rsid w:val="00043AAF"/>
    <w:rsid w:val="00050B78"/>
    <w:rsid w:val="0006242B"/>
    <w:rsid w:val="00062F53"/>
    <w:rsid w:val="000645C7"/>
    <w:rsid w:val="00065BAC"/>
    <w:rsid w:val="00065F03"/>
    <w:rsid w:val="000663D9"/>
    <w:rsid w:val="00066A22"/>
    <w:rsid w:val="00070BE4"/>
    <w:rsid w:val="00072902"/>
    <w:rsid w:val="00073BF3"/>
    <w:rsid w:val="00074D39"/>
    <w:rsid w:val="00077AF8"/>
    <w:rsid w:val="00082B9B"/>
    <w:rsid w:val="0008385A"/>
    <w:rsid w:val="00083FA9"/>
    <w:rsid w:val="0008460B"/>
    <w:rsid w:val="00084746"/>
    <w:rsid w:val="000847B9"/>
    <w:rsid w:val="00085D84"/>
    <w:rsid w:val="00085EA8"/>
    <w:rsid w:val="00091023"/>
    <w:rsid w:val="00093B40"/>
    <w:rsid w:val="000A3117"/>
    <w:rsid w:val="000A7D81"/>
    <w:rsid w:val="000B1B9C"/>
    <w:rsid w:val="000B62F1"/>
    <w:rsid w:val="000B6672"/>
    <w:rsid w:val="000C0B43"/>
    <w:rsid w:val="000C168E"/>
    <w:rsid w:val="000C4182"/>
    <w:rsid w:val="000C420B"/>
    <w:rsid w:val="000D1583"/>
    <w:rsid w:val="000D175D"/>
    <w:rsid w:val="000D1B8B"/>
    <w:rsid w:val="000D2676"/>
    <w:rsid w:val="000D2867"/>
    <w:rsid w:val="000D452E"/>
    <w:rsid w:val="000D6383"/>
    <w:rsid w:val="000E03E1"/>
    <w:rsid w:val="000E0715"/>
    <w:rsid w:val="000E0B6C"/>
    <w:rsid w:val="000E2A68"/>
    <w:rsid w:val="000E3AB2"/>
    <w:rsid w:val="000E5265"/>
    <w:rsid w:val="000E5A1F"/>
    <w:rsid w:val="000E64F4"/>
    <w:rsid w:val="000E7177"/>
    <w:rsid w:val="000F0E75"/>
    <w:rsid w:val="000F1427"/>
    <w:rsid w:val="000F1AD9"/>
    <w:rsid w:val="000F3F8E"/>
    <w:rsid w:val="000F4AB9"/>
    <w:rsid w:val="000F5788"/>
    <w:rsid w:val="000F7764"/>
    <w:rsid w:val="00100C88"/>
    <w:rsid w:val="00103887"/>
    <w:rsid w:val="00104977"/>
    <w:rsid w:val="00104DB7"/>
    <w:rsid w:val="00105B46"/>
    <w:rsid w:val="00105D6E"/>
    <w:rsid w:val="00105E7A"/>
    <w:rsid w:val="00106C01"/>
    <w:rsid w:val="00110E76"/>
    <w:rsid w:val="001122B5"/>
    <w:rsid w:val="00112F85"/>
    <w:rsid w:val="00115381"/>
    <w:rsid w:val="00115BF1"/>
    <w:rsid w:val="0011603E"/>
    <w:rsid w:val="001166A3"/>
    <w:rsid w:val="00116730"/>
    <w:rsid w:val="0011674E"/>
    <w:rsid w:val="00117C5C"/>
    <w:rsid w:val="00117D85"/>
    <w:rsid w:val="001212AD"/>
    <w:rsid w:val="00122C7B"/>
    <w:rsid w:val="00122E72"/>
    <w:rsid w:val="0012318F"/>
    <w:rsid w:val="00123F9D"/>
    <w:rsid w:val="0012496F"/>
    <w:rsid w:val="00124CE8"/>
    <w:rsid w:val="0012748F"/>
    <w:rsid w:val="001318E0"/>
    <w:rsid w:val="00131928"/>
    <w:rsid w:val="001322EC"/>
    <w:rsid w:val="0013295E"/>
    <w:rsid w:val="00132A7B"/>
    <w:rsid w:val="00134379"/>
    <w:rsid w:val="0013694D"/>
    <w:rsid w:val="00137095"/>
    <w:rsid w:val="00140CC6"/>
    <w:rsid w:val="00141BFE"/>
    <w:rsid w:val="001433AB"/>
    <w:rsid w:val="00143705"/>
    <w:rsid w:val="001513A6"/>
    <w:rsid w:val="00152411"/>
    <w:rsid w:val="00154AB7"/>
    <w:rsid w:val="0015684C"/>
    <w:rsid w:val="001576E4"/>
    <w:rsid w:val="00162575"/>
    <w:rsid w:val="00163246"/>
    <w:rsid w:val="00165851"/>
    <w:rsid w:val="00170BC5"/>
    <w:rsid w:val="00170C20"/>
    <w:rsid w:val="00171D90"/>
    <w:rsid w:val="00172AF7"/>
    <w:rsid w:val="00172CC7"/>
    <w:rsid w:val="00175284"/>
    <w:rsid w:val="00175B14"/>
    <w:rsid w:val="00175DF2"/>
    <w:rsid w:val="00182166"/>
    <w:rsid w:val="00183826"/>
    <w:rsid w:val="00184822"/>
    <w:rsid w:val="001856EB"/>
    <w:rsid w:val="00186327"/>
    <w:rsid w:val="00187D58"/>
    <w:rsid w:val="001914F9"/>
    <w:rsid w:val="001927A4"/>
    <w:rsid w:val="001936C5"/>
    <w:rsid w:val="00194513"/>
    <w:rsid w:val="001948F5"/>
    <w:rsid w:val="00196355"/>
    <w:rsid w:val="00196E2D"/>
    <w:rsid w:val="001A35B7"/>
    <w:rsid w:val="001A3BDA"/>
    <w:rsid w:val="001A749E"/>
    <w:rsid w:val="001B0C63"/>
    <w:rsid w:val="001B1281"/>
    <w:rsid w:val="001B437F"/>
    <w:rsid w:val="001B47C8"/>
    <w:rsid w:val="001B4AE2"/>
    <w:rsid w:val="001B4E85"/>
    <w:rsid w:val="001B5ACD"/>
    <w:rsid w:val="001C0431"/>
    <w:rsid w:val="001C633B"/>
    <w:rsid w:val="001D09DF"/>
    <w:rsid w:val="001D1AEB"/>
    <w:rsid w:val="001D222B"/>
    <w:rsid w:val="001D4F90"/>
    <w:rsid w:val="001D5D7B"/>
    <w:rsid w:val="001D7B86"/>
    <w:rsid w:val="001E0001"/>
    <w:rsid w:val="001E0BA4"/>
    <w:rsid w:val="001E0CC8"/>
    <w:rsid w:val="001E2A3F"/>
    <w:rsid w:val="001E4AA9"/>
    <w:rsid w:val="001E5E1A"/>
    <w:rsid w:val="001E653B"/>
    <w:rsid w:val="001E7C55"/>
    <w:rsid w:val="001E7DBF"/>
    <w:rsid w:val="001E7FB9"/>
    <w:rsid w:val="001F32DE"/>
    <w:rsid w:val="001F51E1"/>
    <w:rsid w:val="001F72A2"/>
    <w:rsid w:val="001F77AE"/>
    <w:rsid w:val="00201416"/>
    <w:rsid w:val="002021EC"/>
    <w:rsid w:val="0020399D"/>
    <w:rsid w:val="00204DB9"/>
    <w:rsid w:val="00205B05"/>
    <w:rsid w:val="00207D6E"/>
    <w:rsid w:val="002147A2"/>
    <w:rsid w:val="002237EB"/>
    <w:rsid w:val="002238FE"/>
    <w:rsid w:val="00223A76"/>
    <w:rsid w:val="00224460"/>
    <w:rsid w:val="0022565D"/>
    <w:rsid w:val="00232091"/>
    <w:rsid w:val="002334E7"/>
    <w:rsid w:val="00236381"/>
    <w:rsid w:val="00236E41"/>
    <w:rsid w:val="0024045F"/>
    <w:rsid w:val="00244324"/>
    <w:rsid w:val="00244376"/>
    <w:rsid w:val="00247CBD"/>
    <w:rsid w:val="00247CD6"/>
    <w:rsid w:val="00250AEC"/>
    <w:rsid w:val="00250FED"/>
    <w:rsid w:val="002513B1"/>
    <w:rsid w:val="002530C5"/>
    <w:rsid w:val="00255585"/>
    <w:rsid w:val="00255936"/>
    <w:rsid w:val="002624A8"/>
    <w:rsid w:val="00262EB7"/>
    <w:rsid w:val="0026387E"/>
    <w:rsid w:val="002640AE"/>
    <w:rsid w:val="002656DA"/>
    <w:rsid w:val="00273399"/>
    <w:rsid w:val="00273A8E"/>
    <w:rsid w:val="00274545"/>
    <w:rsid w:val="00276852"/>
    <w:rsid w:val="00276D3D"/>
    <w:rsid w:val="00276ED6"/>
    <w:rsid w:val="00277BA0"/>
    <w:rsid w:val="002823E0"/>
    <w:rsid w:val="00283406"/>
    <w:rsid w:val="00283F67"/>
    <w:rsid w:val="00285AF0"/>
    <w:rsid w:val="00285BB4"/>
    <w:rsid w:val="00286220"/>
    <w:rsid w:val="00286C3B"/>
    <w:rsid w:val="00287360"/>
    <w:rsid w:val="0029077A"/>
    <w:rsid w:val="002932FA"/>
    <w:rsid w:val="0029585B"/>
    <w:rsid w:val="002A0096"/>
    <w:rsid w:val="002A3211"/>
    <w:rsid w:val="002A33FD"/>
    <w:rsid w:val="002A774F"/>
    <w:rsid w:val="002B02E8"/>
    <w:rsid w:val="002B1007"/>
    <w:rsid w:val="002B3974"/>
    <w:rsid w:val="002B3B66"/>
    <w:rsid w:val="002C3CA8"/>
    <w:rsid w:val="002C4B7A"/>
    <w:rsid w:val="002C73F4"/>
    <w:rsid w:val="002D09BB"/>
    <w:rsid w:val="002D196C"/>
    <w:rsid w:val="002D1DAE"/>
    <w:rsid w:val="002D2E20"/>
    <w:rsid w:val="002E01C0"/>
    <w:rsid w:val="002E08EA"/>
    <w:rsid w:val="002E27F7"/>
    <w:rsid w:val="002E2BC3"/>
    <w:rsid w:val="002E3CE6"/>
    <w:rsid w:val="002E57F9"/>
    <w:rsid w:val="002F1E82"/>
    <w:rsid w:val="002F2CFF"/>
    <w:rsid w:val="002F2E0C"/>
    <w:rsid w:val="002F31C4"/>
    <w:rsid w:val="002F44A7"/>
    <w:rsid w:val="002F50D8"/>
    <w:rsid w:val="002F76CD"/>
    <w:rsid w:val="002F7D72"/>
    <w:rsid w:val="003019C8"/>
    <w:rsid w:val="00301A3A"/>
    <w:rsid w:val="00303771"/>
    <w:rsid w:val="00304610"/>
    <w:rsid w:val="00304A8F"/>
    <w:rsid w:val="00304D23"/>
    <w:rsid w:val="00306558"/>
    <w:rsid w:val="00306E8E"/>
    <w:rsid w:val="00311ED2"/>
    <w:rsid w:val="00312348"/>
    <w:rsid w:val="003140EB"/>
    <w:rsid w:val="003217C4"/>
    <w:rsid w:val="003263C2"/>
    <w:rsid w:val="003315F5"/>
    <w:rsid w:val="00332175"/>
    <w:rsid w:val="00333C11"/>
    <w:rsid w:val="003344F0"/>
    <w:rsid w:val="00335368"/>
    <w:rsid w:val="00336063"/>
    <w:rsid w:val="00336310"/>
    <w:rsid w:val="00340AFC"/>
    <w:rsid w:val="00341148"/>
    <w:rsid w:val="0034363A"/>
    <w:rsid w:val="00344D93"/>
    <w:rsid w:val="00344E02"/>
    <w:rsid w:val="0035229F"/>
    <w:rsid w:val="00352E03"/>
    <w:rsid w:val="00352EF2"/>
    <w:rsid w:val="00352F8E"/>
    <w:rsid w:val="0035376B"/>
    <w:rsid w:val="00354001"/>
    <w:rsid w:val="0035473B"/>
    <w:rsid w:val="003547D4"/>
    <w:rsid w:val="00355529"/>
    <w:rsid w:val="003560B9"/>
    <w:rsid w:val="0035739F"/>
    <w:rsid w:val="00357A0E"/>
    <w:rsid w:val="00357AFA"/>
    <w:rsid w:val="0036042C"/>
    <w:rsid w:val="00360FE2"/>
    <w:rsid w:val="00362EC8"/>
    <w:rsid w:val="003637A9"/>
    <w:rsid w:val="00372BBE"/>
    <w:rsid w:val="00373C97"/>
    <w:rsid w:val="00373D6A"/>
    <w:rsid w:val="00374BDA"/>
    <w:rsid w:val="00374E6B"/>
    <w:rsid w:val="003753A9"/>
    <w:rsid w:val="00383240"/>
    <w:rsid w:val="00384E2A"/>
    <w:rsid w:val="00387ABE"/>
    <w:rsid w:val="003916DD"/>
    <w:rsid w:val="00391F6E"/>
    <w:rsid w:val="00392815"/>
    <w:rsid w:val="00394303"/>
    <w:rsid w:val="00396979"/>
    <w:rsid w:val="00396ECA"/>
    <w:rsid w:val="003A1CEE"/>
    <w:rsid w:val="003A417D"/>
    <w:rsid w:val="003A4DA3"/>
    <w:rsid w:val="003A749E"/>
    <w:rsid w:val="003B13CE"/>
    <w:rsid w:val="003B1499"/>
    <w:rsid w:val="003B409D"/>
    <w:rsid w:val="003B4AEC"/>
    <w:rsid w:val="003B7BEB"/>
    <w:rsid w:val="003C0728"/>
    <w:rsid w:val="003C1D20"/>
    <w:rsid w:val="003C3A4F"/>
    <w:rsid w:val="003C5EAA"/>
    <w:rsid w:val="003C7DE0"/>
    <w:rsid w:val="003D152A"/>
    <w:rsid w:val="003D38DA"/>
    <w:rsid w:val="003D461A"/>
    <w:rsid w:val="003D50D2"/>
    <w:rsid w:val="003D579C"/>
    <w:rsid w:val="003D57C2"/>
    <w:rsid w:val="003D5C6C"/>
    <w:rsid w:val="003D7D9C"/>
    <w:rsid w:val="003E0F45"/>
    <w:rsid w:val="003E20D7"/>
    <w:rsid w:val="003E41C0"/>
    <w:rsid w:val="003E527A"/>
    <w:rsid w:val="003E5512"/>
    <w:rsid w:val="003E67F3"/>
    <w:rsid w:val="003F0D5D"/>
    <w:rsid w:val="003F126B"/>
    <w:rsid w:val="003F3221"/>
    <w:rsid w:val="003F3BED"/>
    <w:rsid w:val="003F4020"/>
    <w:rsid w:val="003F446A"/>
    <w:rsid w:val="003F58C7"/>
    <w:rsid w:val="003F5AB5"/>
    <w:rsid w:val="003F5DC9"/>
    <w:rsid w:val="003F7AB4"/>
    <w:rsid w:val="00400AD4"/>
    <w:rsid w:val="004013ED"/>
    <w:rsid w:val="004018F0"/>
    <w:rsid w:val="004035BF"/>
    <w:rsid w:val="00403857"/>
    <w:rsid w:val="00405FDA"/>
    <w:rsid w:val="00406A33"/>
    <w:rsid w:val="00406FBC"/>
    <w:rsid w:val="004103A1"/>
    <w:rsid w:val="00410BDF"/>
    <w:rsid w:val="0041331C"/>
    <w:rsid w:val="0041413B"/>
    <w:rsid w:val="004155B0"/>
    <w:rsid w:val="00417CD5"/>
    <w:rsid w:val="00421E61"/>
    <w:rsid w:val="004222D6"/>
    <w:rsid w:val="00422F70"/>
    <w:rsid w:val="00423395"/>
    <w:rsid w:val="0042472F"/>
    <w:rsid w:val="004255EE"/>
    <w:rsid w:val="0043248C"/>
    <w:rsid w:val="00432629"/>
    <w:rsid w:val="004326F2"/>
    <w:rsid w:val="004335DC"/>
    <w:rsid w:val="00433FDB"/>
    <w:rsid w:val="00435A72"/>
    <w:rsid w:val="00440C34"/>
    <w:rsid w:val="00441A21"/>
    <w:rsid w:val="00445BCB"/>
    <w:rsid w:val="004468F0"/>
    <w:rsid w:val="00450D61"/>
    <w:rsid w:val="004521AB"/>
    <w:rsid w:val="004524F7"/>
    <w:rsid w:val="004544B9"/>
    <w:rsid w:val="004553D9"/>
    <w:rsid w:val="00455BEE"/>
    <w:rsid w:val="0046385D"/>
    <w:rsid w:val="00464E68"/>
    <w:rsid w:val="00465221"/>
    <w:rsid w:val="00466B33"/>
    <w:rsid w:val="00471196"/>
    <w:rsid w:val="004717B6"/>
    <w:rsid w:val="00471C25"/>
    <w:rsid w:val="00474E1F"/>
    <w:rsid w:val="00474F79"/>
    <w:rsid w:val="00475F44"/>
    <w:rsid w:val="00476403"/>
    <w:rsid w:val="004779EC"/>
    <w:rsid w:val="0048320B"/>
    <w:rsid w:val="00483C11"/>
    <w:rsid w:val="0048485C"/>
    <w:rsid w:val="00486757"/>
    <w:rsid w:val="00487332"/>
    <w:rsid w:val="00487986"/>
    <w:rsid w:val="00491B86"/>
    <w:rsid w:val="00492609"/>
    <w:rsid w:val="004A0123"/>
    <w:rsid w:val="004A043E"/>
    <w:rsid w:val="004A1490"/>
    <w:rsid w:val="004A1CB7"/>
    <w:rsid w:val="004A3C05"/>
    <w:rsid w:val="004A3F12"/>
    <w:rsid w:val="004A4297"/>
    <w:rsid w:val="004A598C"/>
    <w:rsid w:val="004A6835"/>
    <w:rsid w:val="004A7F67"/>
    <w:rsid w:val="004B2EC0"/>
    <w:rsid w:val="004B521D"/>
    <w:rsid w:val="004C0921"/>
    <w:rsid w:val="004C0DCD"/>
    <w:rsid w:val="004C2C6F"/>
    <w:rsid w:val="004C2EAF"/>
    <w:rsid w:val="004D6888"/>
    <w:rsid w:val="004E16B3"/>
    <w:rsid w:val="004E1DF7"/>
    <w:rsid w:val="004E4D66"/>
    <w:rsid w:val="004E5895"/>
    <w:rsid w:val="004E6C2B"/>
    <w:rsid w:val="004E6D8C"/>
    <w:rsid w:val="004E74BC"/>
    <w:rsid w:val="004F09C2"/>
    <w:rsid w:val="004F0AF2"/>
    <w:rsid w:val="004F0B29"/>
    <w:rsid w:val="004F1065"/>
    <w:rsid w:val="004F4985"/>
    <w:rsid w:val="004F6A52"/>
    <w:rsid w:val="005005DD"/>
    <w:rsid w:val="00500626"/>
    <w:rsid w:val="00503202"/>
    <w:rsid w:val="0050422D"/>
    <w:rsid w:val="005047A3"/>
    <w:rsid w:val="00504D38"/>
    <w:rsid w:val="005053AA"/>
    <w:rsid w:val="00506A9E"/>
    <w:rsid w:val="00510C9B"/>
    <w:rsid w:val="005116EE"/>
    <w:rsid w:val="00511F8A"/>
    <w:rsid w:val="00512085"/>
    <w:rsid w:val="0051279F"/>
    <w:rsid w:val="005166F2"/>
    <w:rsid w:val="0052057E"/>
    <w:rsid w:val="0052305C"/>
    <w:rsid w:val="005259FC"/>
    <w:rsid w:val="00526D0C"/>
    <w:rsid w:val="00527EAB"/>
    <w:rsid w:val="0053049B"/>
    <w:rsid w:val="0053159E"/>
    <w:rsid w:val="0053319C"/>
    <w:rsid w:val="005338DB"/>
    <w:rsid w:val="005357AF"/>
    <w:rsid w:val="005358B7"/>
    <w:rsid w:val="00540D5E"/>
    <w:rsid w:val="00543E02"/>
    <w:rsid w:val="00544016"/>
    <w:rsid w:val="00545B19"/>
    <w:rsid w:val="00546C28"/>
    <w:rsid w:val="005508A0"/>
    <w:rsid w:val="00550F60"/>
    <w:rsid w:val="00552648"/>
    <w:rsid w:val="00552C1D"/>
    <w:rsid w:val="00553E62"/>
    <w:rsid w:val="00554322"/>
    <w:rsid w:val="005575B3"/>
    <w:rsid w:val="00562192"/>
    <w:rsid w:val="005641EB"/>
    <w:rsid w:val="00565B18"/>
    <w:rsid w:val="00572544"/>
    <w:rsid w:val="00572C11"/>
    <w:rsid w:val="005775E8"/>
    <w:rsid w:val="005777CE"/>
    <w:rsid w:val="00580582"/>
    <w:rsid w:val="00580F18"/>
    <w:rsid w:val="00584412"/>
    <w:rsid w:val="00584FF2"/>
    <w:rsid w:val="00586849"/>
    <w:rsid w:val="005875F2"/>
    <w:rsid w:val="005918A4"/>
    <w:rsid w:val="00593F00"/>
    <w:rsid w:val="00595CE3"/>
    <w:rsid w:val="00597085"/>
    <w:rsid w:val="005A0566"/>
    <w:rsid w:val="005A1FA0"/>
    <w:rsid w:val="005A315F"/>
    <w:rsid w:val="005A4C7A"/>
    <w:rsid w:val="005A62AD"/>
    <w:rsid w:val="005B1132"/>
    <w:rsid w:val="005B4602"/>
    <w:rsid w:val="005B4639"/>
    <w:rsid w:val="005B4F4B"/>
    <w:rsid w:val="005B59E1"/>
    <w:rsid w:val="005B6C52"/>
    <w:rsid w:val="005C1423"/>
    <w:rsid w:val="005C4384"/>
    <w:rsid w:val="005D4453"/>
    <w:rsid w:val="005D4629"/>
    <w:rsid w:val="005D4F23"/>
    <w:rsid w:val="005D5A42"/>
    <w:rsid w:val="005E134A"/>
    <w:rsid w:val="005E517A"/>
    <w:rsid w:val="005E5D9C"/>
    <w:rsid w:val="005E6CEF"/>
    <w:rsid w:val="005F0357"/>
    <w:rsid w:val="005F12B0"/>
    <w:rsid w:val="005F311B"/>
    <w:rsid w:val="005F60FC"/>
    <w:rsid w:val="005F6581"/>
    <w:rsid w:val="005F682E"/>
    <w:rsid w:val="005F6834"/>
    <w:rsid w:val="005F7BD0"/>
    <w:rsid w:val="00601B0F"/>
    <w:rsid w:val="006044CE"/>
    <w:rsid w:val="006059BD"/>
    <w:rsid w:val="00606154"/>
    <w:rsid w:val="006072B7"/>
    <w:rsid w:val="006135FB"/>
    <w:rsid w:val="00615F1A"/>
    <w:rsid w:val="00616138"/>
    <w:rsid w:val="0062055A"/>
    <w:rsid w:val="00621B06"/>
    <w:rsid w:val="006225CC"/>
    <w:rsid w:val="00625834"/>
    <w:rsid w:val="006304DD"/>
    <w:rsid w:val="00631842"/>
    <w:rsid w:val="00632306"/>
    <w:rsid w:val="00633139"/>
    <w:rsid w:val="00633366"/>
    <w:rsid w:val="00634701"/>
    <w:rsid w:val="00635F8C"/>
    <w:rsid w:val="0064141E"/>
    <w:rsid w:val="0064366F"/>
    <w:rsid w:val="006445A2"/>
    <w:rsid w:val="00645F9B"/>
    <w:rsid w:val="006503A7"/>
    <w:rsid w:val="00650B4F"/>
    <w:rsid w:val="006514DE"/>
    <w:rsid w:val="00651FB1"/>
    <w:rsid w:val="00652972"/>
    <w:rsid w:val="00653489"/>
    <w:rsid w:val="00654AF8"/>
    <w:rsid w:val="00654BEB"/>
    <w:rsid w:val="00656322"/>
    <w:rsid w:val="006568A6"/>
    <w:rsid w:val="00656931"/>
    <w:rsid w:val="00657008"/>
    <w:rsid w:val="00657859"/>
    <w:rsid w:val="00657D24"/>
    <w:rsid w:val="00661880"/>
    <w:rsid w:val="006674F4"/>
    <w:rsid w:val="006675D0"/>
    <w:rsid w:val="00667B34"/>
    <w:rsid w:val="00667D31"/>
    <w:rsid w:val="00667D5D"/>
    <w:rsid w:val="00670793"/>
    <w:rsid w:val="00670AD9"/>
    <w:rsid w:val="00671327"/>
    <w:rsid w:val="00680B18"/>
    <w:rsid w:val="006815A1"/>
    <w:rsid w:val="006825C7"/>
    <w:rsid w:val="006843DB"/>
    <w:rsid w:val="00684AC8"/>
    <w:rsid w:val="00684DAE"/>
    <w:rsid w:val="00691E0F"/>
    <w:rsid w:val="006923E1"/>
    <w:rsid w:val="00692B8E"/>
    <w:rsid w:val="00694A87"/>
    <w:rsid w:val="006951E4"/>
    <w:rsid w:val="00697F11"/>
    <w:rsid w:val="006A440C"/>
    <w:rsid w:val="006A4B7C"/>
    <w:rsid w:val="006A5CB1"/>
    <w:rsid w:val="006A7B71"/>
    <w:rsid w:val="006B1ABE"/>
    <w:rsid w:val="006B5819"/>
    <w:rsid w:val="006B789F"/>
    <w:rsid w:val="006C161A"/>
    <w:rsid w:val="006C547D"/>
    <w:rsid w:val="006D47B6"/>
    <w:rsid w:val="006D5964"/>
    <w:rsid w:val="006D60AA"/>
    <w:rsid w:val="006D6A70"/>
    <w:rsid w:val="006E13E2"/>
    <w:rsid w:val="006E2300"/>
    <w:rsid w:val="006E5B95"/>
    <w:rsid w:val="006E77B4"/>
    <w:rsid w:val="006F69BD"/>
    <w:rsid w:val="006F6D0B"/>
    <w:rsid w:val="006F7210"/>
    <w:rsid w:val="006F7B0C"/>
    <w:rsid w:val="00703AD7"/>
    <w:rsid w:val="00704286"/>
    <w:rsid w:val="007048CA"/>
    <w:rsid w:val="00704BA7"/>
    <w:rsid w:val="00705E39"/>
    <w:rsid w:val="00706933"/>
    <w:rsid w:val="00715247"/>
    <w:rsid w:val="00720FE2"/>
    <w:rsid w:val="0072184A"/>
    <w:rsid w:val="00723495"/>
    <w:rsid w:val="00725E3A"/>
    <w:rsid w:val="00726D4B"/>
    <w:rsid w:val="00730D2D"/>
    <w:rsid w:val="007327A1"/>
    <w:rsid w:val="00733CBB"/>
    <w:rsid w:val="00733EC6"/>
    <w:rsid w:val="00735CEB"/>
    <w:rsid w:val="007370A6"/>
    <w:rsid w:val="007375B9"/>
    <w:rsid w:val="00745440"/>
    <w:rsid w:val="0075128B"/>
    <w:rsid w:val="0075257D"/>
    <w:rsid w:val="00752DC5"/>
    <w:rsid w:val="0075301A"/>
    <w:rsid w:val="00755F76"/>
    <w:rsid w:val="00756E3C"/>
    <w:rsid w:val="00757150"/>
    <w:rsid w:val="00760B38"/>
    <w:rsid w:val="00766BE9"/>
    <w:rsid w:val="00767963"/>
    <w:rsid w:val="0077156B"/>
    <w:rsid w:val="00771C31"/>
    <w:rsid w:val="00772F13"/>
    <w:rsid w:val="007734E8"/>
    <w:rsid w:val="007756CD"/>
    <w:rsid w:val="00775A4E"/>
    <w:rsid w:val="0077601D"/>
    <w:rsid w:val="00776165"/>
    <w:rsid w:val="00777A74"/>
    <w:rsid w:val="007820F6"/>
    <w:rsid w:val="00782867"/>
    <w:rsid w:val="00785219"/>
    <w:rsid w:val="00790756"/>
    <w:rsid w:val="00793093"/>
    <w:rsid w:val="0079313C"/>
    <w:rsid w:val="00793B68"/>
    <w:rsid w:val="00794894"/>
    <w:rsid w:val="00794A0C"/>
    <w:rsid w:val="00794B29"/>
    <w:rsid w:val="0079524A"/>
    <w:rsid w:val="007A2071"/>
    <w:rsid w:val="007A312D"/>
    <w:rsid w:val="007A7ACE"/>
    <w:rsid w:val="007B0771"/>
    <w:rsid w:val="007B14F9"/>
    <w:rsid w:val="007B33BF"/>
    <w:rsid w:val="007B64C7"/>
    <w:rsid w:val="007C025D"/>
    <w:rsid w:val="007C1018"/>
    <w:rsid w:val="007C2D42"/>
    <w:rsid w:val="007C4561"/>
    <w:rsid w:val="007C5F6C"/>
    <w:rsid w:val="007C748D"/>
    <w:rsid w:val="007D7E34"/>
    <w:rsid w:val="007E02B5"/>
    <w:rsid w:val="007E4486"/>
    <w:rsid w:val="007E496D"/>
    <w:rsid w:val="007E5273"/>
    <w:rsid w:val="007F551D"/>
    <w:rsid w:val="007F6E28"/>
    <w:rsid w:val="007F70A7"/>
    <w:rsid w:val="007F7AA7"/>
    <w:rsid w:val="007F7CAE"/>
    <w:rsid w:val="00801810"/>
    <w:rsid w:val="00802CF0"/>
    <w:rsid w:val="00802EEC"/>
    <w:rsid w:val="008041E2"/>
    <w:rsid w:val="00804ABE"/>
    <w:rsid w:val="008056ED"/>
    <w:rsid w:val="008064D3"/>
    <w:rsid w:val="008064EE"/>
    <w:rsid w:val="008078A8"/>
    <w:rsid w:val="00810947"/>
    <w:rsid w:val="00812D31"/>
    <w:rsid w:val="00813E1A"/>
    <w:rsid w:val="008149E7"/>
    <w:rsid w:val="008154E5"/>
    <w:rsid w:val="008162B6"/>
    <w:rsid w:val="008203E9"/>
    <w:rsid w:val="00822052"/>
    <w:rsid w:val="00824A04"/>
    <w:rsid w:val="008327F4"/>
    <w:rsid w:val="008356AC"/>
    <w:rsid w:val="008358F8"/>
    <w:rsid w:val="00840C70"/>
    <w:rsid w:val="00841FBC"/>
    <w:rsid w:val="0084251B"/>
    <w:rsid w:val="008439FA"/>
    <w:rsid w:val="00844071"/>
    <w:rsid w:val="0084558E"/>
    <w:rsid w:val="00846174"/>
    <w:rsid w:val="00846C7A"/>
    <w:rsid w:val="008500CC"/>
    <w:rsid w:val="00852A42"/>
    <w:rsid w:val="008532E1"/>
    <w:rsid w:val="0085345A"/>
    <w:rsid w:val="00856A9C"/>
    <w:rsid w:val="0085700C"/>
    <w:rsid w:val="0086051F"/>
    <w:rsid w:val="00860C59"/>
    <w:rsid w:val="0086142E"/>
    <w:rsid w:val="0086408F"/>
    <w:rsid w:val="00864DB0"/>
    <w:rsid w:val="008660CD"/>
    <w:rsid w:val="00871AB6"/>
    <w:rsid w:val="008749B5"/>
    <w:rsid w:val="00874BF1"/>
    <w:rsid w:val="00877342"/>
    <w:rsid w:val="00881F13"/>
    <w:rsid w:val="00886E41"/>
    <w:rsid w:val="00890083"/>
    <w:rsid w:val="00890906"/>
    <w:rsid w:val="00890A13"/>
    <w:rsid w:val="00892400"/>
    <w:rsid w:val="00892D30"/>
    <w:rsid w:val="00894027"/>
    <w:rsid w:val="008A0D97"/>
    <w:rsid w:val="008A2121"/>
    <w:rsid w:val="008A33D8"/>
    <w:rsid w:val="008A5784"/>
    <w:rsid w:val="008A6A5E"/>
    <w:rsid w:val="008A7BE6"/>
    <w:rsid w:val="008B0ADA"/>
    <w:rsid w:val="008B0B7E"/>
    <w:rsid w:val="008B30C9"/>
    <w:rsid w:val="008B5558"/>
    <w:rsid w:val="008B70D8"/>
    <w:rsid w:val="008B713E"/>
    <w:rsid w:val="008B739E"/>
    <w:rsid w:val="008B789A"/>
    <w:rsid w:val="008C0521"/>
    <w:rsid w:val="008C0668"/>
    <w:rsid w:val="008C09FD"/>
    <w:rsid w:val="008C1141"/>
    <w:rsid w:val="008C2301"/>
    <w:rsid w:val="008C24FD"/>
    <w:rsid w:val="008C2F84"/>
    <w:rsid w:val="008C33BC"/>
    <w:rsid w:val="008C53FF"/>
    <w:rsid w:val="008C5E5F"/>
    <w:rsid w:val="008D25A6"/>
    <w:rsid w:val="008D3DB5"/>
    <w:rsid w:val="008D40E2"/>
    <w:rsid w:val="008D4184"/>
    <w:rsid w:val="008D5938"/>
    <w:rsid w:val="008E0B31"/>
    <w:rsid w:val="008E1BEE"/>
    <w:rsid w:val="008E2829"/>
    <w:rsid w:val="008E6234"/>
    <w:rsid w:val="008F24BC"/>
    <w:rsid w:val="008F4EF9"/>
    <w:rsid w:val="008F5C74"/>
    <w:rsid w:val="008F5DB3"/>
    <w:rsid w:val="008F682C"/>
    <w:rsid w:val="008F6A9A"/>
    <w:rsid w:val="008F7F7F"/>
    <w:rsid w:val="00902862"/>
    <w:rsid w:val="009039E4"/>
    <w:rsid w:val="00904066"/>
    <w:rsid w:val="009041FD"/>
    <w:rsid w:val="00904E6D"/>
    <w:rsid w:val="00905F3A"/>
    <w:rsid w:val="0090786C"/>
    <w:rsid w:val="009102D3"/>
    <w:rsid w:val="00910D5B"/>
    <w:rsid w:val="00912053"/>
    <w:rsid w:val="009146AF"/>
    <w:rsid w:val="00914E7B"/>
    <w:rsid w:val="009151F0"/>
    <w:rsid w:val="0092352F"/>
    <w:rsid w:val="0092409F"/>
    <w:rsid w:val="00924DD8"/>
    <w:rsid w:val="00925738"/>
    <w:rsid w:val="009260F8"/>
    <w:rsid w:val="00927467"/>
    <w:rsid w:val="00931255"/>
    <w:rsid w:val="00933E2D"/>
    <w:rsid w:val="009357E8"/>
    <w:rsid w:val="009361CE"/>
    <w:rsid w:val="0094035D"/>
    <w:rsid w:val="00940D49"/>
    <w:rsid w:val="009431D8"/>
    <w:rsid w:val="00943F88"/>
    <w:rsid w:val="009440C8"/>
    <w:rsid w:val="0094621D"/>
    <w:rsid w:val="00946BE8"/>
    <w:rsid w:val="00946CDE"/>
    <w:rsid w:val="00947CD3"/>
    <w:rsid w:val="0095382A"/>
    <w:rsid w:val="009574A9"/>
    <w:rsid w:val="009629AA"/>
    <w:rsid w:val="00963A95"/>
    <w:rsid w:val="00964DBA"/>
    <w:rsid w:val="009663F4"/>
    <w:rsid w:val="0097024A"/>
    <w:rsid w:val="0097173B"/>
    <w:rsid w:val="00972013"/>
    <w:rsid w:val="0098001F"/>
    <w:rsid w:val="00985C11"/>
    <w:rsid w:val="00990208"/>
    <w:rsid w:val="009914C6"/>
    <w:rsid w:val="00991CD3"/>
    <w:rsid w:val="009927AB"/>
    <w:rsid w:val="00992C81"/>
    <w:rsid w:val="0099307A"/>
    <w:rsid w:val="009938CA"/>
    <w:rsid w:val="00994296"/>
    <w:rsid w:val="009A2AD3"/>
    <w:rsid w:val="009A2F49"/>
    <w:rsid w:val="009A308E"/>
    <w:rsid w:val="009A3E8F"/>
    <w:rsid w:val="009A6BAE"/>
    <w:rsid w:val="009A7A53"/>
    <w:rsid w:val="009B0D32"/>
    <w:rsid w:val="009B338F"/>
    <w:rsid w:val="009B3A23"/>
    <w:rsid w:val="009B3B10"/>
    <w:rsid w:val="009B479D"/>
    <w:rsid w:val="009B4E0D"/>
    <w:rsid w:val="009C4954"/>
    <w:rsid w:val="009C521E"/>
    <w:rsid w:val="009C566F"/>
    <w:rsid w:val="009C5862"/>
    <w:rsid w:val="009C5E38"/>
    <w:rsid w:val="009C6677"/>
    <w:rsid w:val="009C6C19"/>
    <w:rsid w:val="009D00E3"/>
    <w:rsid w:val="009D16A4"/>
    <w:rsid w:val="009D1867"/>
    <w:rsid w:val="009D2654"/>
    <w:rsid w:val="009D303A"/>
    <w:rsid w:val="009D4AD8"/>
    <w:rsid w:val="009D5BF7"/>
    <w:rsid w:val="009D746D"/>
    <w:rsid w:val="009E1D27"/>
    <w:rsid w:val="009E1D3F"/>
    <w:rsid w:val="009E21DE"/>
    <w:rsid w:val="009E22C4"/>
    <w:rsid w:val="009E2D0F"/>
    <w:rsid w:val="009E3C91"/>
    <w:rsid w:val="009E7AC2"/>
    <w:rsid w:val="009F399C"/>
    <w:rsid w:val="009F6F1B"/>
    <w:rsid w:val="009F7BA9"/>
    <w:rsid w:val="00A02811"/>
    <w:rsid w:val="00A04D94"/>
    <w:rsid w:val="00A04EEE"/>
    <w:rsid w:val="00A05F2E"/>
    <w:rsid w:val="00A07438"/>
    <w:rsid w:val="00A07690"/>
    <w:rsid w:val="00A131FB"/>
    <w:rsid w:val="00A13572"/>
    <w:rsid w:val="00A13B44"/>
    <w:rsid w:val="00A2148E"/>
    <w:rsid w:val="00A21F6E"/>
    <w:rsid w:val="00A2227D"/>
    <w:rsid w:val="00A223FC"/>
    <w:rsid w:val="00A23385"/>
    <w:rsid w:val="00A25C7B"/>
    <w:rsid w:val="00A26E70"/>
    <w:rsid w:val="00A310F5"/>
    <w:rsid w:val="00A32798"/>
    <w:rsid w:val="00A353E4"/>
    <w:rsid w:val="00A4070B"/>
    <w:rsid w:val="00A40BC0"/>
    <w:rsid w:val="00A42F9A"/>
    <w:rsid w:val="00A43059"/>
    <w:rsid w:val="00A43668"/>
    <w:rsid w:val="00A45435"/>
    <w:rsid w:val="00A46BD8"/>
    <w:rsid w:val="00A46CF5"/>
    <w:rsid w:val="00A477AD"/>
    <w:rsid w:val="00A50294"/>
    <w:rsid w:val="00A50E2E"/>
    <w:rsid w:val="00A54B5A"/>
    <w:rsid w:val="00A54FEB"/>
    <w:rsid w:val="00A610D8"/>
    <w:rsid w:val="00A61D1D"/>
    <w:rsid w:val="00A6215D"/>
    <w:rsid w:val="00A64E69"/>
    <w:rsid w:val="00A713FF"/>
    <w:rsid w:val="00A72CE1"/>
    <w:rsid w:val="00A73CB5"/>
    <w:rsid w:val="00A76AFC"/>
    <w:rsid w:val="00A80554"/>
    <w:rsid w:val="00A8258F"/>
    <w:rsid w:val="00A827A9"/>
    <w:rsid w:val="00A838DE"/>
    <w:rsid w:val="00A83CB9"/>
    <w:rsid w:val="00A84E82"/>
    <w:rsid w:val="00A85246"/>
    <w:rsid w:val="00A87351"/>
    <w:rsid w:val="00A91737"/>
    <w:rsid w:val="00A917F9"/>
    <w:rsid w:val="00A92119"/>
    <w:rsid w:val="00A93401"/>
    <w:rsid w:val="00A937C9"/>
    <w:rsid w:val="00A94E07"/>
    <w:rsid w:val="00A97F60"/>
    <w:rsid w:val="00AA24ED"/>
    <w:rsid w:val="00AA283A"/>
    <w:rsid w:val="00AA29E6"/>
    <w:rsid w:val="00AA3071"/>
    <w:rsid w:val="00AA701E"/>
    <w:rsid w:val="00AB20A5"/>
    <w:rsid w:val="00AB2A3B"/>
    <w:rsid w:val="00AB5474"/>
    <w:rsid w:val="00AC0227"/>
    <w:rsid w:val="00AC0625"/>
    <w:rsid w:val="00AC07FA"/>
    <w:rsid w:val="00AC18D6"/>
    <w:rsid w:val="00AC1C84"/>
    <w:rsid w:val="00AC2283"/>
    <w:rsid w:val="00AC50E1"/>
    <w:rsid w:val="00AC64D9"/>
    <w:rsid w:val="00AC670D"/>
    <w:rsid w:val="00AD0A1A"/>
    <w:rsid w:val="00AD1D81"/>
    <w:rsid w:val="00AD2551"/>
    <w:rsid w:val="00AD61AF"/>
    <w:rsid w:val="00AD7844"/>
    <w:rsid w:val="00AD7E24"/>
    <w:rsid w:val="00AE2544"/>
    <w:rsid w:val="00AE48CE"/>
    <w:rsid w:val="00AE6296"/>
    <w:rsid w:val="00AE72B2"/>
    <w:rsid w:val="00AF0018"/>
    <w:rsid w:val="00AF35AB"/>
    <w:rsid w:val="00AF4429"/>
    <w:rsid w:val="00B0018F"/>
    <w:rsid w:val="00B005A0"/>
    <w:rsid w:val="00B02AEB"/>
    <w:rsid w:val="00B02D95"/>
    <w:rsid w:val="00B0351D"/>
    <w:rsid w:val="00B03B66"/>
    <w:rsid w:val="00B0546C"/>
    <w:rsid w:val="00B05C89"/>
    <w:rsid w:val="00B06514"/>
    <w:rsid w:val="00B1086C"/>
    <w:rsid w:val="00B1180F"/>
    <w:rsid w:val="00B12D4C"/>
    <w:rsid w:val="00B20B92"/>
    <w:rsid w:val="00B20E02"/>
    <w:rsid w:val="00B221A1"/>
    <w:rsid w:val="00B27726"/>
    <w:rsid w:val="00B32629"/>
    <w:rsid w:val="00B34130"/>
    <w:rsid w:val="00B37D63"/>
    <w:rsid w:val="00B417B2"/>
    <w:rsid w:val="00B41F3B"/>
    <w:rsid w:val="00B44F9C"/>
    <w:rsid w:val="00B5114A"/>
    <w:rsid w:val="00B56689"/>
    <w:rsid w:val="00B61B9A"/>
    <w:rsid w:val="00B62492"/>
    <w:rsid w:val="00B648B0"/>
    <w:rsid w:val="00B666C0"/>
    <w:rsid w:val="00B66E34"/>
    <w:rsid w:val="00B715AF"/>
    <w:rsid w:val="00B72C1C"/>
    <w:rsid w:val="00B7368D"/>
    <w:rsid w:val="00B73EB4"/>
    <w:rsid w:val="00B74B3C"/>
    <w:rsid w:val="00B75257"/>
    <w:rsid w:val="00B7789E"/>
    <w:rsid w:val="00B80188"/>
    <w:rsid w:val="00B82124"/>
    <w:rsid w:val="00B837BC"/>
    <w:rsid w:val="00B8494F"/>
    <w:rsid w:val="00B872C9"/>
    <w:rsid w:val="00B93DB4"/>
    <w:rsid w:val="00B94DDD"/>
    <w:rsid w:val="00BA1AED"/>
    <w:rsid w:val="00BA2497"/>
    <w:rsid w:val="00BA6485"/>
    <w:rsid w:val="00BA74A2"/>
    <w:rsid w:val="00BB3014"/>
    <w:rsid w:val="00BB4B76"/>
    <w:rsid w:val="00BB4BB1"/>
    <w:rsid w:val="00BB538D"/>
    <w:rsid w:val="00BB54D8"/>
    <w:rsid w:val="00BB7390"/>
    <w:rsid w:val="00BB73B3"/>
    <w:rsid w:val="00BC7922"/>
    <w:rsid w:val="00BD1BB8"/>
    <w:rsid w:val="00BD336F"/>
    <w:rsid w:val="00BD343F"/>
    <w:rsid w:val="00BD5F2B"/>
    <w:rsid w:val="00BD6C13"/>
    <w:rsid w:val="00BD7082"/>
    <w:rsid w:val="00BD7DA6"/>
    <w:rsid w:val="00BE0348"/>
    <w:rsid w:val="00BE065E"/>
    <w:rsid w:val="00BE2322"/>
    <w:rsid w:val="00BE26EF"/>
    <w:rsid w:val="00BE4234"/>
    <w:rsid w:val="00BE6488"/>
    <w:rsid w:val="00BE68B5"/>
    <w:rsid w:val="00BF0E1F"/>
    <w:rsid w:val="00BF143E"/>
    <w:rsid w:val="00BF14FD"/>
    <w:rsid w:val="00BF159F"/>
    <w:rsid w:val="00BF16C8"/>
    <w:rsid w:val="00BF2940"/>
    <w:rsid w:val="00BF2F47"/>
    <w:rsid w:val="00BF3C50"/>
    <w:rsid w:val="00BF7158"/>
    <w:rsid w:val="00C0075A"/>
    <w:rsid w:val="00C06099"/>
    <w:rsid w:val="00C06E0A"/>
    <w:rsid w:val="00C1015D"/>
    <w:rsid w:val="00C153A3"/>
    <w:rsid w:val="00C17157"/>
    <w:rsid w:val="00C17D3A"/>
    <w:rsid w:val="00C25248"/>
    <w:rsid w:val="00C25F53"/>
    <w:rsid w:val="00C3160C"/>
    <w:rsid w:val="00C3442E"/>
    <w:rsid w:val="00C3471A"/>
    <w:rsid w:val="00C350D1"/>
    <w:rsid w:val="00C35457"/>
    <w:rsid w:val="00C43886"/>
    <w:rsid w:val="00C43F23"/>
    <w:rsid w:val="00C441FA"/>
    <w:rsid w:val="00C45646"/>
    <w:rsid w:val="00C509BF"/>
    <w:rsid w:val="00C52A90"/>
    <w:rsid w:val="00C54063"/>
    <w:rsid w:val="00C557F1"/>
    <w:rsid w:val="00C569C8"/>
    <w:rsid w:val="00C614B8"/>
    <w:rsid w:val="00C62A1B"/>
    <w:rsid w:val="00C63D5E"/>
    <w:rsid w:val="00C64641"/>
    <w:rsid w:val="00C647EB"/>
    <w:rsid w:val="00C65F46"/>
    <w:rsid w:val="00C718BE"/>
    <w:rsid w:val="00C7422F"/>
    <w:rsid w:val="00C751B3"/>
    <w:rsid w:val="00C76DF2"/>
    <w:rsid w:val="00C812F0"/>
    <w:rsid w:val="00C821D9"/>
    <w:rsid w:val="00C838D6"/>
    <w:rsid w:val="00C83A28"/>
    <w:rsid w:val="00C85302"/>
    <w:rsid w:val="00C8574F"/>
    <w:rsid w:val="00C85BE7"/>
    <w:rsid w:val="00C86366"/>
    <w:rsid w:val="00C903F7"/>
    <w:rsid w:val="00C90C46"/>
    <w:rsid w:val="00C912E5"/>
    <w:rsid w:val="00C92B3E"/>
    <w:rsid w:val="00C9571B"/>
    <w:rsid w:val="00C95E20"/>
    <w:rsid w:val="00C9706E"/>
    <w:rsid w:val="00CA70DC"/>
    <w:rsid w:val="00CA7D43"/>
    <w:rsid w:val="00CA7D6B"/>
    <w:rsid w:val="00CA7FE0"/>
    <w:rsid w:val="00CB00C9"/>
    <w:rsid w:val="00CB0CA7"/>
    <w:rsid w:val="00CB33D2"/>
    <w:rsid w:val="00CB39EC"/>
    <w:rsid w:val="00CC3F35"/>
    <w:rsid w:val="00CC7D5B"/>
    <w:rsid w:val="00CD3827"/>
    <w:rsid w:val="00CD47A7"/>
    <w:rsid w:val="00CD6B2C"/>
    <w:rsid w:val="00CD7573"/>
    <w:rsid w:val="00CE11F8"/>
    <w:rsid w:val="00CE48B7"/>
    <w:rsid w:val="00CE6042"/>
    <w:rsid w:val="00CE6741"/>
    <w:rsid w:val="00CF00D5"/>
    <w:rsid w:val="00CF0B65"/>
    <w:rsid w:val="00CF25E6"/>
    <w:rsid w:val="00CF34A7"/>
    <w:rsid w:val="00CF387A"/>
    <w:rsid w:val="00CF5C06"/>
    <w:rsid w:val="00CF6AAD"/>
    <w:rsid w:val="00CF7B05"/>
    <w:rsid w:val="00D004C1"/>
    <w:rsid w:val="00D01CB3"/>
    <w:rsid w:val="00D03B6D"/>
    <w:rsid w:val="00D06973"/>
    <w:rsid w:val="00D105D2"/>
    <w:rsid w:val="00D15B30"/>
    <w:rsid w:val="00D15BB3"/>
    <w:rsid w:val="00D20A5A"/>
    <w:rsid w:val="00D20AE9"/>
    <w:rsid w:val="00D22AB5"/>
    <w:rsid w:val="00D22EBC"/>
    <w:rsid w:val="00D237C5"/>
    <w:rsid w:val="00D2717B"/>
    <w:rsid w:val="00D31315"/>
    <w:rsid w:val="00D34762"/>
    <w:rsid w:val="00D37605"/>
    <w:rsid w:val="00D377CA"/>
    <w:rsid w:val="00D40F09"/>
    <w:rsid w:val="00D43FA0"/>
    <w:rsid w:val="00D44385"/>
    <w:rsid w:val="00D44992"/>
    <w:rsid w:val="00D46081"/>
    <w:rsid w:val="00D46D8D"/>
    <w:rsid w:val="00D521AB"/>
    <w:rsid w:val="00D5545F"/>
    <w:rsid w:val="00D5598C"/>
    <w:rsid w:val="00D56F56"/>
    <w:rsid w:val="00D57C66"/>
    <w:rsid w:val="00D61EA6"/>
    <w:rsid w:val="00D6283E"/>
    <w:rsid w:val="00D6292D"/>
    <w:rsid w:val="00D62C49"/>
    <w:rsid w:val="00D63655"/>
    <w:rsid w:val="00D65E46"/>
    <w:rsid w:val="00D6721E"/>
    <w:rsid w:val="00D672FF"/>
    <w:rsid w:val="00D677FE"/>
    <w:rsid w:val="00D71113"/>
    <w:rsid w:val="00D74AF9"/>
    <w:rsid w:val="00D7502E"/>
    <w:rsid w:val="00D7593E"/>
    <w:rsid w:val="00D761A2"/>
    <w:rsid w:val="00D76540"/>
    <w:rsid w:val="00D77EC2"/>
    <w:rsid w:val="00D800AC"/>
    <w:rsid w:val="00D80E14"/>
    <w:rsid w:val="00D827DD"/>
    <w:rsid w:val="00D82F80"/>
    <w:rsid w:val="00D85A7E"/>
    <w:rsid w:val="00D86548"/>
    <w:rsid w:val="00D86C2E"/>
    <w:rsid w:val="00D902E0"/>
    <w:rsid w:val="00D9114F"/>
    <w:rsid w:val="00D917B5"/>
    <w:rsid w:val="00D919B1"/>
    <w:rsid w:val="00D92771"/>
    <w:rsid w:val="00D92B2F"/>
    <w:rsid w:val="00D95B0A"/>
    <w:rsid w:val="00D95DFB"/>
    <w:rsid w:val="00D96A33"/>
    <w:rsid w:val="00D96D73"/>
    <w:rsid w:val="00D97EDE"/>
    <w:rsid w:val="00DA082A"/>
    <w:rsid w:val="00DA0E45"/>
    <w:rsid w:val="00DA3747"/>
    <w:rsid w:val="00DA4C85"/>
    <w:rsid w:val="00DA5D4F"/>
    <w:rsid w:val="00DA6965"/>
    <w:rsid w:val="00DA699C"/>
    <w:rsid w:val="00DA707D"/>
    <w:rsid w:val="00DB050B"/>
    <w:rsid w:val="00DB37CB"/>
    <w:rsid w:val="00DB41BC"/>
    <w:rsid w:val="00DB53EB"/>
    <w:rsid w:val="00DB5A80"/>
    <w:rsid w:val="00DB67A9"/>
    <w:rsid w:val="00DB72E1"/>
    <w:rsid w:val="00DC0523"/>
    <w:rsid w:val="00DC0E58"/>
    <w:rsid w:val="00DC30BB"/>
    <w:rsid w:val="00DC33D4"/>
    <w:rsid w:val="00DC3876"/>
    <w:rsid w:val="00DC3E2B"/>
    <w:rsid w:val="00DC5F19"/>
    <w:rsid w:val="00DC7715"/>
    <w:rsid w:val="00DD1FB4"/>
    <w:rsid w:val="00DD24CB"/>
    <w:rsid w:val="00DD2E09"/>
    <w:rsid w:val="00DD3433"/>
    <w:rsid w:val="00DD36EF"/>
    <w:rsid w:val="00DD57DE"/>
    <w:rsid w:val="00DD6E8C"/>
    <w:rsid w:val="00DD7F81"/>
    <w:rsid w:val="00DE067D"/>
    <w:rsid w:val="00DE1B13"/>
    <w:rsid w:val="00DE205F"/>
    <w:rsid w:val="00DE2291"/>
    <w:rsid w:val="00DE4726"/>
    <w:rsid w:val="00DE5677"/>
    <w:rsid w:val="00DE5970"/>
    <w:rsid w:val="00DE5FE2"/>
    <w:rsid w:val="00DE6C54"/>
    <w:rsid w:val="00DF00BC"/>
    <w:rsid w:val="00DF419A"/>
    <w:rsid w:val="00DF41E6"/>
    <w:rsid w:val="00DF4516"/>
    <w:rsid w:val="00DF58F1"/>
    <w:rsid w:val="00DF6DCA"/>
    <w:rsid w:val="00DF7326"/>
    <w:rsid w:val="00E05909"/>
    <w:rsid w:val="00E05A60"/>
    <w:rsid w:val="00E06281"/>
    <w:rsid w:val="00E06BF3"/>
    <w:rsid w:val="00E10ADD"/>
    <w:rsid w:val="00E12FFD"/>
    <w:rsid w:val="00E1546B"/>
    <w:rsid w:val="00E17E0C"/>
    <w:rsid w:val="00E2014C"/>
    <w:rsid w:val="00E20DB0"/>
    <w:rsid w:val="00E214D0"/>
    <w:rsid w:val="00E21744"/>
    <w:rsid w:val="00E21A4B"/>
    <w:rsid w:val="00E22B3D"/>
    <w:rsid w:val="00E2314E"/>
    <w:rsid w:val="00E24611"/>
    <w:rsid w:val="00E25703"/>
    <w:rsid w:val="00E2652C"/>
    <w:rsid w:val="00E26BDF"/>
    <w:rsid w:val="00E27852"/>
    <w:rsid w:val="00E308E5"/>
    <w:rsid w:val="00E31B5C"/>
    <w:rsid w:val="00E32055"/>
    <w:rsid w:val="00E32854"/>
    <w:rsid w:val="00E32E43"/>
    <w:rsid w:val="00E41293"/>
    <w:rsid w:val="00E44D87"/>
    <w:rsid w:val="00E4615C"/>
    <w:rsid w:val="00E4740F"/>
    <w:rsid w:val="00E4744B"/>
    <w:rsid w:val="00E47D8D"/>
    <w:rsid w:val="00E55C06"/>
    <w:rsid w:val="00E56C38"/>
    <w:rsid w:val="00E61FC5"/>
    <w:rsid w:val="00E631F0"/>
    <w:rsid w:val="00E64522"/>
    <w:rsid w:val="00E66017"/>
    <w:rsid w:val="00E67B9B"/>
    <w:rsid w:val="00E75B63"/>
    <w:rsid w:val="00E7723F"/>
    <w:rsid w:val="00E7773D"/>
    <w:rsid w:val="00E777F8"/>
    <w:rsid w:val="00E8124A"/>
    <w:rsid w:val="00E818EC"/>
    <w:rsid w:val="00E81ABA"/>
    <w:rsid w:val="00E81D80"/>
    <w:rsid w:val="00E82789"/>
    <w:rsid w:val="00E85157"/>
    <w:rsid w:val="00E858DC"/>
    <w:rsid w:val="00E85D4E"/>
    <w:rsid w:val="00E860A5"/>
    <w:rsid w:val="00E9006B"/>
    <w:rsid w:val="00E90364"/>
    <w:rsid w:val="00E92C18"/>
    <w:rsid w:val="00E93580"/>
    <w:rsid w:val="00E94E50"/>
    <w:rsid w:val="00E95CD6"/>
    <w:rsid w:val="00E97913"/>
    <w:rsid w:val="00EA0389"/>
    <w:rsid w:val="00EA1548"/>
    <w:rsid w:val="00EA691A"/>
    <w:rsid w:val="00EA6A3E"/>
    <w:rsid w:val="00EA6C37"/>
    <w:rsid w:val="00EA74F5"/>
    <w:rsid w:val="00EB3BC5"/>
    <w:rsid w:val="00EC0F2E"/>
    <w:rsid w:val="00EC51B3"/>
    <w:rsid w:val="00EC6D14"/>
    <w:rsid w:val="00ED1BB9"/>
    <w:rsid w:val="00ED25D1"/>
    <w:rsid w:val="00ED3410"/>
    <w:rsid w:val="00ED51C1"/>
    <w:rsid w:val="00ED6171"/>
    <w:rsid w:val="00ED61C5"/>
    <w:rsid w:val="00EE1154"/>
    <w:rsid w:val="00EE3905"/>
    <w:rsid w:val="00EE3BCD"/>
    <w:rsid w:val="00EE3CEA"/>
    <w:rsid w:val="00EE44F5"/>
    <w:rsid w:val="00EE4A68"/>
    <w:rsid w:val="00EE5C85"/>
    <w:rsid w:val="00EE7766"/>
    <w:rsid w:val="00EF0637"/>
    <w:rsid w:val="00EF5A39"/>
    <w:rsid w:val="00EF6B4C"/>
    <w:rsid w:val="00EF7378"/>
    <w:rsid w:val="00F00D48"/>
    <w:rsid w:val="00F025E5"/>
    <w:rsid w:val="00F02F22"/>
    <w:rsid w:val="00F04FBE"/>
    <w:rsid w:val="00F1099D"/>
    <w:rsid w:val="00F127FF"/>
    <w:rsid w:val="00F12A96"/>
    <w:rsid w:val="00F13A76"/>
    <w:rsid w:val="00F2030E"/>
    <w:rsid w:val="00F2203D"/>
    <w:rsid w:val="00F26E5F"/>
    <w:rsid w:val="00F271D7"/>
    <w:rsid w:val="00F3173A"/>
    <w:rsid w:val="00F32C5B"/>
    <w:rsid w:val="00F33548"/>
    <w:rsid w:val="00F34F7D"/>
    <w:rsid w:val="00F35148"/>
    <w:rsid w:val="00F35D2E"/>
    <w:rsid w:val="00F35FC1"/>
    <w:rsid w:val="00F362A7"/>
    <w:rsid w:val="00F363AF"/>
    <w:rsid w:val="00F36648"/>
    <w:rsid w:val="00F379C6"/>
    <w:rsid w:val="00F40400"/>
    <w:rsid w:val="00F40B61"/>
    <w:rsid w:val="00F43B13"/>
    <w:rsid w:val="00F441CB"/>
    <w:rsid w:val="00F44AC8"/>
    <w:rsid w:val="00F451CA"/>
    <w:rsid w:val="00F47201"/>
    <w:rsid w:val="00F47F37"/>
    <w:rsid w:val="00F502B3"/>
    <w:rsid w:val="00F5046B"/>
    <w:rsid w:val="00F523D6"/>
    <w:rsid w:val="00F5258E"/>
    <w:rsid w:val="00F52D96"/>
    <w:rsid w:val="00F5463E"/>
    <w:rsid w:val="00F61379"/>
    <w:rsid w:val="00F6337D"/>
    <w:rsid w:val="00F64536"/>
    <w:rsid w:val="00F645E0"/>
    <w:rsid w:val="00F65A32"/>
    <w:rsid w:val="00F76E06"/>
    <w:rsid w:val="00F77360"/>
    <w:rsid w:val="00F80AF3"/>
    <w:rsid w:val="00F8268F"/>
    <w:rsid w:val="00F82E9F"/>
    <w:rsid w:val="00F8340F"/>
    <w:rsid w:val="00F846FF"/>
    <w:rsid w:val="00F855B8"/>
    <w:rsid w:val="00F87338"/>
    <w:rsid w:val="00F92098"/>
    <w:rsid w:val="00F934D7"/>
    <w:rsid w:val="00F95D71"/>
    <w:rsid w:val="00F965AE"/>
    <w:rsid w:val="00FA08F4"/>
    <w:rsid w:val="00FA1B57"/>
    <w:rsid w:val="00FA1B99"/>
    <w:rsid w:val="00FA3643"/>
    <w:rsid w:val="00FA3EA7"/>
    <w:rsid w:val="00FA5376"/>
    <w:rsid w:val="00FA5B1A"/>
    <w:rsid w:val="00FA602F"/>
    <w:rsid w:val="00FB2C83"/>
    <w:rsid w:val="00FB7ED2"/>
    <w:rsid w:val="00FC1A93"/>
    <w:rsid w:val="00FC2162"/>
    <w:rsid w:val="00FC27ED"/>
    <w:rsid w:val="00FC3293"/>
    <w:rsid w:val="00FC3AAB"/>
    <w:rsid w:val="00FC40F7"/>
    <w:rsid w:val="00FC5693"/>
    <w:rsid w:val="00FC6E40"/>
    <w:rsid w:val="00FC7005"/>
    <w:rsid w:val="00FC797B"/>
    <w:rsid w:val="00FD4174"/>
    <w:rsid w:val="00FD4A4D"/>
    <w:rsid w:val="00FE1001"/>
    <w:rsid w:val="00FE16AD"/>
    <w:rsid w:val="00FE347F"/>
    <w:rsid w:val="00FE41D2"/>
    <w:rsid w:val="00FE4360"/>
    <w:rsid w:val="00FF0045"/>
    <w:rsid w:val="00FF16C0"/>
  </w:rsids>
  <m:mathPr>
    <m:mathFont m:val="Cambria Math"/>
    <m:brkBin m:val="before"/>
    <m:brkBinSub m:val="--"/>
    <m:smallFrac m:val="0"/>
    <m:dispDef/>
    <m:lMargin m:val="0"/>
    <m:rMargin m:val="0"/>
    <m:defJc m:val="centerGroup"/>
    <m:wrapIndent m:val="1440"/>
    <m:intLim m:val="subSup"/>
    <m:naryLim m:val="undOvr"/>
  </m:mathPr>
  <w:themeFontLang w:val="en-I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6CA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D34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7C4"/>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D96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A33"/>
  </w:style>
  <w:style w:type="paragraph" w:styleId="Footer">
    <w:name w:val="footer"/>
    <w:basedOn w:val="Normal"/>
    <w:link w:val="FooterChar"/>
    <w:uiPriority w:val="99"/>
    <w:unhideWhenUsed/>
    <w:rsid w:val="00D96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A33"/>
  </w:style>
  <w:style w:type="paragraph" w:styleId="BalloonText">
    <w:name w:val="Balloon Text"/>
    <w:basedOn w:val="Normal"/>
    <w:link w:val="BalloonTextChar"/>
    <w:uiPriority w:val="99"/>
    <w:semiHidden/>
    <w:unhideWhenUsed/>
    <w:rsid w:val="005A1F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FA0"/>
    <w:rPr>
      <w:rFonts w:ascii="Segoe UI" w:hAnsi="Segoe UI" w:cs="Segoe UI"/>
      <w:sz w:val="18"/>
      <w:szCs w:val="18"/>
    </w:rPr>
  </w:style>
  <w:style w:type="paragraph" w:styleId="ListParagraph">
    <w:name w:val="List Paragraph"/>
    <w:basedOn w:val="Normal"/>
    <w:uiPriority w:val="34"/>
    <w:qFormat/>
    <w:rsid w:val="009102D3"/>
    <w:pPr>
      <w:ind w:left="720"/>
      <w:contextualSpacing/>
    </w:pPr>
  </w:style>
  <w:style w:type="paragraph" w:customStyle="1" w:styleId="Normal1">
    <w:name w:val="Normal1"/>
    <w:basedOn w:val="Normal"/>
    <w:rsid w:val="00F7736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CommentReference">
    <w:name w:val="annotation reference"/>
    <w:basedOn w:val="DefaultParagraphFont"/>
    <w:uiPriority w:val="99"/>
    <w:semiHidden/>
    <w:unhideWhenUsed/>
    <w:rsid w:val="00F5463E"/>
    <w:rPr>
      <w:sz w:val="16"/>
      <w:szCs w:val="16"/>
    </w:rPr>
  </w:style>
  <w:style w:type="paragraph" w:styleId="CommentText">
    <w:name w:val="annotation text"/>
    <w:basedOn w:val="Normal"/>
    <w:link w:val="CommentTextChar"/>
    <w:uiPriority w:val="99"/>
    <w:semiHidden/>
    <w:unhideWhenUsed/>
    <w:rsid w:val="00F5463E"/>
    <w:pPr>
      <w:spacing w:line="240" w:lineRule="auto"/>
    </w:pPr>
    <w:rPr>
      <w:sz w:val="20"/>
      <w:szCs w:val="20"/>
    </w:rPr>
  </w:style>
  <w:style w:type="character" w:customStyle="1" w:styleId="CommentTextChar">
    <w:name w:val="Comment Text Char"/>
    <w:basedOn w:val="DefaultParagraphFont"/>
    <w:link w:val="CommentText"/>
    <w:uiPriority w:val="99"/>
    <w:semiHidden/>
    <w:rsid w:val="00F5463E"/>
    <w:rPr>
      <w:sz w:val="20"/>
      <w:szCs w:val="20"/>
    </w:rPr>
  </w:style>
  <w:style w:type="paragraph" w:styleId="CommentSubject">
    <w:name w:val="annotation subject"/>
    <w:basedOn w:val="CommentText"/>
    <w:next w:val="CommentText"/>
    <w:link w:val="CommentSubjectChar"/>
    <w:uiPriority w:val="99"/>
    <w:semiHidden/>
    <w:unhideWhenUsed/>
    <w:rsid w:val="00F5463E"/>
    <w:rPr>
      <w:b/>
      <w:bCs/>
    </w:rPr>
  </w:style>
  <w:style w:type="character" w:customStyle="1" w:styleId="CommentSubjectChar">
    <w:name w:val="Comment Subject Char"/>
    <w:basedOn w:val="CommentTextChar"/>
    <w:link w:val="CommentSubject"/>
    <w:uiPriority w:val="99"/>
    <w:semiHidden/>
    <w:rsid w:val="00F5463E"/>
    <w:rPr>
      <w:b/>
      <w:bCs/>
      <w:sz w:val="20"/>
      <w:szCs w:val="20"/>
    </w:rPr>
  </w:style>
  <w:style w:type="paragraph" w:styleId="Revision">
    <w:name w:val="Revision"/>
    <w:hidden/>
    <w:uiPriority w:val="99"/>
    <w:semiHidden/>
    <w:rsid w:val="00CE11F8"/>
    <w:pPr>
      <w:spacing w:after="0" w:line="240" w:lineRule="auto"/>
    </w:pPr>
  </w:style>
  <w:style w:type="character" w:customStyle="1" w:styleId="Heading3Char">
    <w:name w:val="Heading 3 Char"/>
    <w:basedOn w:val="DefaultParagraphFont"/>
    <w:link w:val="Heading3"/>
    <w:uiPriority w:val="9"/>
    <w:semiHidden/>
    <w:rsid w:val="00DD343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7864">
      <w:bodyDiv w:val="1"/>
      <w:marLeft w:val="0"/>
      <w:marRight w:val="0"/>
      <w:marTop w:val="0"/>
      <w:marBottom w:val="0"/>
      <w:divBdr>
        <w:top w:val="none" w:sz="0" w:space="0" w:color="auto"/>
        <w:left w:val="none" w:sz="0" w:space="0" w:color="auto"/>
        <w:bottom w:val="none" w:sz="0" w:space="0" w:color="auto"/>
        <w:right w:val="none" w:sz="0" w:space="0" w:color="auto"/>
      </w:divBdr>
    </w:div>
    <w:div w:id="80764438">
      <w:bodyDiv w:val="1"/>
      <w:marLeft w:val="0"/>
      <w:marRight w:val="0"/>
      <w:marTop w:val="0"/>
      <w:marBottom w:val="0"/>
      <w:divBdr>
        <w:top w:val="none" w:sz="0" w:space="0" w:color="auto"/>
        <w:left w:val="none" w:sz="0" w:space="0" w:color="auto"/>
        <w:bottom w:val="none" w:sz="0" w:space="0" w:color="auto"/>
        <w:right w:val="none" w:sz="0" w:space="0" w:color="auto"/>
      </w:divBdr>
      <w:divsChild>
        <w:div w:id="535510884">
          <w:marLeft w:val="0"/>
          <w:marRight w:val="0"/>
          <w:marTop w:val="0"/>
          <w:marBottom w:val="240"/>
          <w:divBdr>
            <w:top w:val="none" w:sz="0" w:space="0" w:color="auto"/>
            <w:left w:val="none" w:sz="0" w:space="0" w:color="auto"/>
            <w:bottom w:val="none" w:sz="0" w:space="0" w:color="auto"/>
            <w:right w:val="none" w:sz="0" w:space="0" w:color="auto"/>
          </w:divBdr>
        </w:div>
      </w:divsChild>
    </w:div>
    <w:div w:id="259027955">
      <w:bodyDiv w:val="1"/>
      <w:marLeft w:val="0"/>
      <w:marRight w:val="0"/>
      <w:marTop w:val="0"/>
      <w:marBottom w:val="0"/>
      <w:divBdr>
        <w:top w:val="none" w:sz="0" w:space="0" w:color="auto"/>
        <w:left w:val="none" w:sz="0" w:space="0" w:color="auto"/>
        <w:bottom w:val="none" w:sz="0" w:space="0" w:color="auto"/>
        <w:right w:val="none" w:sz="0" w:space="0" w:color="auto"/>
      </w:divBdr>
      <w:divsChild>
        <w:div w:id="84423628">
          <w:marLeft w:val="0"/>
          <w:marRight w:val="0"/>
          <w:marTop w:val="0"/>
          <w:marBottom w:val="300"/>
          <w:divBdr>
            <w:top w:val="none" w:sz="0" w:space="0" w:color="auto"/>
            <w:left w:val="none" w:sz="0" w:space="0" w:color="auto"/>
            <w:bottom w:val="none" w:sz="0" w:space="0" w:color="auto"/>
            <w:right w:val="none" w:sz="0" w:space="0" w:color="auto"/>
          </w:divBdr>
        </w:div>
        <w:div w:id="879903015">
          <w:marLeft w:val="0"/>
          <w:marRight w:val="0"/>
          <w:marTop w:val="0"/>
          <w:marBottom w:val="300"/>
          <w:divBdr>
            <w:top w:val="none" w:sz="0" w:space="0" w:color="auto"/>
            <w:left w:val="none" w:sz="0" w:space="0" w:color="auto"/>
            <w:bottom w:val="none" w:sz="0" w:space="0" w:color="auto"/>
            <w:right w:val="none" w:sz="0" w:space="0" w:color="auto"/>
          </w:divBdr>
        </w:div>
      </w:divsChild>
    </w:div>
    <w:div w:id="323558785">
      <w:bodyDiv w:val="1"/>
      <w:marLeft w:val="0"/>
      <w:marRight w:val="0"/>
      <w:marTop w:val="0"/>
      <w:marBottom w:val="0"/>
      <w:divBdr>
        <w:top w:val="none" w:sz="0" w:space="0" w:color="auto"/>
        <w:left w:val="none" w:sz="0" w:space="0" w:color="auto"/>
        <w:bottom w:val="none" w:sz="0" w:space="0" w:color="auto"/>
        <w:right w:val="none" w:sz="0" w:space="0" w:color="auto"/>
      </w:divBdr>
    </w:div>
    <w:div w:id="347222212">
      <w:bodyDiv w:val="1"/>
      <w:marLeft w:val="0"/>
      <w:marRight w:val="0"/>
      <w:marTop w:val="0"/>
      <w:marBottom w:val="0"/>
      <w:divBdr>
        <w:top w:val="none" w:sz="0" w:space="0" w:color="auto"/>
        <w:left w:val="none" w:sz="0" w:space="0" w:color="auto"/>
        <w:bottom w:val="none" w:sz="0" w:space="0" w:color="auto"/>
        <w:right w:val="none" w:sz="0" w:space="0" w:color="auto"/>
      </w:divBdr>
    </w:div>
    <w:div w:id="467090139">
      <w:bodyDiv w:val="1"/>
      <w:marLeft w:val="0"/>
      <w:marRight w:val="0"/>
      <w:marTop w:val="0"/>
      <w:marBottom w:val="0"/>
      <w:divBdr>
        <w:top w:val="none" w:sz="0" w:space="0" w:color="auto"/>
        <w:left w:val="none" w:sz="0" w:space="0" w:color="auto"/>
        <w:bottom w:val="none" w:sz="0" w:space="0" w:color="auto"/>
        <w:right w:val="none" w:sz="0" w:space="0" w:color="auto"/>
      </w:divBdr>
      <w:divsChild>
        <w:div w:id="911043144">
          <w:marLeft w:val="0"/>
          <w:marRight w:val="0"/>
          <w:marTop w:val="0"/>
          <w:marBottom w:val="150"/>
          <w:divBdr>
            <w:top w:val="none" w:sz="0" w:space="0" w:color="auto"/>
            <w:left w:val="none" w:sz="0" w:space="0" w:color="auto"/>
            <w:bottom w:val="none" w:sz="0" w:space="0" w:color="auto"/>
            <w:right w:val="none" w:sz="0" w:space="0" w:color="auto"/>
          </w:divBdr>
        </w:div>
      </w:divsChild>
    </w:div>
    <w:div w:id="527910743">
      <w:bodyDiv w:val="1"/>
      <w:marLeft w:val="0"/>
      <w:marRight w:val="0"/>
      <w:marTop w:val="0"/>
      <w:marBottom w:val="0"/>
      <w:divBdr>
        <w:top w:val="none" w:sz="0" w:space="0" w:color="auto"/>
        <w:left w:val="none" w:sz="0" w:space="0" w:color="auto"/>
        <w:bottom w:val="none" w:sz="0" w:space="0" w:color="auto"/>
        <w:right w:val="none" w:sz="0" w:space="0" w:color="auto"/>
      </w:divBdr>
    </w:div>
    <w:div w:id="678702451">
      <w:bodyDiv w:val="1"/>
      <w:marLeft w:val="0"/>
      <w:marRight w:val="0"/>
      <w:marTop w:val="0"/>
      <w:marBottom w:val="0"/>
      <w:divBdr>
        <w:top w:val="none" w:sz="0" w:space="0" w:color="auto"/>
        <w:left w:val="none" w:sz="0" w:space="0" w:color="auto"/>
        <w:bottom w:val="none" w:sz="0" w:space="0" w:color="auto"/>
        <w:right w:val="none" w:sz="0" w:space="0" w:color="auto"/>
      </w:divBdr>
    </w:div>
    <w:div w:id="699169097">
      <w:bodyDiv w:val="1"/>
      <w:marLeft w:val="0"/>
      <w:marRight w:val="0"/>
      <w:marTop w:val="0"/>
      <w:marBottom w:val="0"/>
      <w:divBdr>
        <w:top w:val="none" w:sz="0" w:space="0" w:color="auto"/>
        <w:left w:val="none" w:sz="0" w:space="0" w:color="auto"/>
        <w:bottom w:val="none" w:sz="0" w:space="0" w:color="auto"/>
        <w:right w:val="none" w:sz="0" w:space="0" w:color="auto"/>
      </w:divBdr>
    </w:div>
    <w:div w:id="747654567">
      <w:bodyDiv w:val="1"/>
      <w:marLeft w:val="0"/>
      <w:marRight w:val="0"/>
      <w:marTop w:val="0"/>
      <w:marBottom w:val="0"/>
      <w:divBdr>
        <w:top w:val="none" w:sz="0" w:space="0" w:color="auto"/>
        <w:left w:val="none" w:sz="0" w:space="0" w:color="auto"/>
        <w:bottom w:val="none" w:sz="0" w:space="0" w:color="auto"/>
        <w:right w:val="none" w:sz="0" w:space="0" w:color="auto"/>
      </w:divBdr>
    </w:div>
    <w:div w:id="762843285">
      <w:bodyDiv w:val="1"/>
      <w:marLeft w:val="0"/>
      <w:marRight w:val="0"/>
      <w:marTop w:val="0"/>
      <w:marBottom w:val="0"/>
      <w:divBdr>
        <w:top w:val="none" w:sz="0" w:space="0" w:color="auto"/>
        <w:left w:val="none" w:sz="0" w:space="0" w:color="auto"/>
        <w:bottom w:val="none" w:sz="0" w:space="0" w:color="auto"/>
        <w:right w:val="none" w:sz="0" w:space="0" w:color="auto"/>
      </w:divBdr>
    </w:div>
    <w:div w:id="778764708">
      <w:bodyDiv w:val="1"/>
      <w:marLeft w:val="0"/>
      <w:marRight w:val="0"/>
      <w:marTop w:val="0"/>
      <w:marBottom w:val="0"/>
      <w:divBdr>
        <w:top w:val="none" w:sz="0" w:space="0" w:color="auto"/>
        <w:left w:val="none" w:sz="0" w:space="0" w:color="auto"/>
        <w:bottom w:val="none" w:sz="0" w:space="0" w:color="auto"/>
        <w:right w:val="none" w:sz="0" w:space="0" w:color="auto"/>
      </w:divBdr>
    </w:div>
    <w:div w:id="818038237">
      <w:bodyDiv w:val="1"/>
      <w:marLeft w:val="0"/>
      <w:marRight w:val="0"/>
      <w:marTop w:val="0"/>
      <w:marBottom w:val="0"/>
      <w:divBdr>
        <w:top w:val="none" w:sz="0" w:space="0" w:color="auto"/>
        <w:left w:val="none" w:sz="0" w:space="0" w:color="auto"/>
        <w:bottom w:val="none" w:sz="0" w:space="0" w:color="auto"/>
        <w:right w:val="none" w:sz="0" w:space="0" w:color="auto"/>
      </w:divBdr>
    </w:div>
    <w:div w:id="852644909">
      <w:bodyDiv w:val="1"/>
      <w:marLeft w:val="0"/>
      <w:marRight w:val="0"/>
      <w:marTop w:val="0"/>
      <w:marBottom w:val="0"/>
      <w:divBdr>
        <w:top w:val="none" w:sz="0" w:space="0" w:color="auto"/>
        <w:left w:val="none" w:sz="0" w:space="0" w:color="auto"/>
        <w:bottom w:val="none" w:sz="0" w:space="0" w:color="auto"/>
        <w:right w:val="none" w:sz="0" w:space="0" w:color="auto"/>
      </w:divBdr>
    </w:div>
    <w:div w:id="918751811">
      <w:bodyDiv w:val="1"/>
      <w:marLeft w:val="0"/>
      <w:marRight w:val="0"/>
      <w:marTop w:val="0"/>
      <w:marBottom w:val="0"/>
      <w:divBdr>
        <w:top w:val="none" w:sz="0" w:space="0" w:color="auto"/>
        <w:left w:val="none" w:sz="0" w:space="0" w:color="auto"/>
        <w:bottom w:val="none" w:sz="0" w:space="0" w:color="auto"/>
        <w:right w:val="none" w:sz="0" w:space="0" w:color="auto"/>
      </w:divBdr>
    </w:div>
    <w:div w:id="933904558">
      <w:bodyDiv w:val="1"/>
      <w:marLeft w:val="0"/>
      <w:marRight w:val="0"/>
      <w:marTop w:val="0"/>
      <w:marBottom w:val="0"/>
      <w:divBdr>
        <w:top w:val="none" w:sz="0" w:space="0" w:color="auto"/>
        <w:left w:val="none" w:sz="0" w:space="0" w:color="auto"/>
        <w:bottom w:val="none" w:sz="0" w:space="0" w:color="auto"/>
        <w:right w:val="none" w:sz="0" w:space="0" w:color="auto"/>
      </w:divBdr>
    </w:div>
    <w:div w:id="1102989672">
      <w:bodyDiv w:val="1"/>
      <w:marLeft w:val="0"/>
      <w:marRight w:val="0"/>
      <w:marTop w:val="0"/>
      <w:marBottom w:val="0"/>
      <w:divBdr>
        <w:top w:val="none" w:sz="0" w:space="0" w:color="auto"/>
        <w:left w:val="none" w:sz="0" w:space="0" w:color="auto"/>
        <w:bottom w:val="none" w:sz="0" w:space="0" w:color="auto"/>
        <w:right w:val="none" w:sz="0" w:space="0" w:color="auto"/>
      </w:divBdr>
    </w:div>
    <w:div w:id="1157720239">
      <w:bodyDiv w:val="1"/>
      <w:marLeft w:val="0"/>
      <w:marRight w:val="0"/>
      <w:marTop w:val="0"/>
      <w:marBottom w:val="0"/>
      <w:divBdr>
        <w:top w:val="none" w:sz="0" w:space="0" w:color="auto"/>
        <w:left w:val="none" w:sz="0" w:space="0" w:color="auto"/>
        <w:bottom w:val="none" w:sz="0" w:space="0" w:color="auto"/>
        <w:right w:val="none" w:sz="0" w:space="0" w:color="auto"/>
      </w:divBdr>
    </w:div>
    <w:div w:id="1207061129">
      <w:bodyDiv w:val="1"/>
      <w:marLeft w:val="0"/>
      <w:marRight w:val="0"/>
      <w:marTop w:val="0"/>
      <w:marBottom w:val="0"/>
      <w:divBdr>
        <w:top w:val="none" w:sz="0" w:space="0" w:color="auto"/>
        <w:left w:val="none" w:sz="0" w:space="0" w:color="auto"/>
        <w:bottom w:val="none" w:sz="0" w:space="0" w:color="auto"/>
        <w:right w:val="none" w:sz="0" w:space="0" w:color="auto"/>
      </w:divBdr>
    </w:div>
    <w:div w:id="1452744282">
      <w:bodyDiv w:val="1"/>
      <w:marLeft w:val="0"/>
      <w:marRight w:val="0"/>
      <w:marTop w:val="0"/>
      <w:marBottom w:val="0"/>
      <w:divBdr>
        <w:top w:val="none" w:sz="0" w:space="0" w:color="auto"/>
        <w:left w:val="none" w:sz="0" w:space="0" w:color="auto"/>
        <w:bottom w:val="none" w:sz="0" w:space="0" w:color="auto"/>
        <w:right w:val="none" w:sz="0" w:space="0" w:color="auto"/>
      </w:divBdr>
    </w:div>
    <w:div w:id="1515995666">
      <w:bodyDiv w:val="1"/>
      <w:marLeft w:val="0"/>
      <w:marRight w:val="0"/>
      <w:marTop w:val="0"/>
      <w:marBottom w:val="0"/>
      <w:divBdr>
        <w:top w:val="none" w:sz="0" w:space="0" w:color="auto"/>
        <w:left w:val="none" w:sz="0" w:space="0" w:color="auto"/>
        <w:bottom w:val="none" w:sz="0" w:space="0" w:color="auto"/>
        <w:right w:val="none" w:sz="0" w:space="0" w:color="auto"/>
      </w:divBdr>
    </w:div>
    <w:div w:id="1564370856">
      <w:bodyDiv w:val="1"/>
      <w:marLeft w:val="0"/>
      <w:marRight w:val="0"/>
      <w:marTop w:val="0"/>
      <w:marBottom w:val="0"/>
      <w:divBdr>
        <w:top w:val="none" w:sz="0" w:space="0" w:color="auto"/>
        <w:left w:val="none" w:sz="0" w:space="0" w:color="auto"/>
        <w:bottom w:val="none" w:sz="0" w:space="0" w:color="auto"/>
        <w:right w:val="none" w:sz="0" w:space="0" w:color="auto"/>
      </w:divBdr>
    </w:div>
    <w:div w:id="1603417532">
      <w:bodyDiv w:val="1"/>
      <w:marLeft w:val="0"/>
      <w:marRight w:val="0"/>
      <w:marTop w:val="0"/>
      <w:marBottom w:val="0"/>
      <w:divBdr>
        <w:top w:val="none" w:sz="0" w:space="0" w:color="auto"/>
        <w:left w:val="none" w:sz="0" w:space="0" w:color="auto"/>
        <w:bottom w:val="none" w:sz="0" w:space="0" w:color="auto"/>
        <w:right w:val="none" w:sz="0" w:space="0" w:color="auto"/>
      </w:divBdr>
    </w:div>
    <w:div w:id="1648513254">
      <w:bodyDiv w:val="1"/>
      <w:marLeft w:val="0"/>
      <w:marRight w:val="0"/>
      <w:marTop w:val="0"/>
      <w:marBottom w:val="0"/>
      <w:divBdr>
        <w:top w:val="none" w:sz="0" w:space="0" w:color="auto"/>
        <w:left w:val="none" w:sz="0" w:space="0" w:color="auto"/>
        <w:bottom w:val="none" w:sz="0" w:space="0" w:color="auto"/>
        <w:right w:val="none" w:sz="0" w:space="0" w:color="auto"/>
      </w:divBdr>
      <w:divsChild>
        <w:div w:id="1448936863">
          <w:marLeft w:val="0"/>
          <w:marRight w:val="0"/>
          <w:marTop w:val="225"/>
          <w:marBottom w:val="375"/>
          <w:divBdr>
            <w:top w:val="none" w:sz="0" w:space="0" w:color="auto"/>
            <w:left w:val="none" w:sz="0" w:space="0" w:color="auto"/>
            <w:bottom w:val="none" w:sz="0" w:space="0" w:color="auto"/>
            <w:right w:val="none" w:sz="0" w:space="0" w:color="auto"/>
          </w:divBdr>
        </w:div>
      </w:divsChild>
    </w:div>
    <w:div w:id="1653294741">
      <w:bodyDiv w:val="1"/>
      <w:marLeft w:val="0"/>
      <w:marRight w:val="0"/>
      <w:marTop w:val="0"/>
      <w:marBottom w:val="0"/>
      <w:divBdr>
        <w:top w:val="none" w:sz="0" w:space="0" w:color="auto"/>
        <w:left w:val="none" w:sz="0" w:space="0" w:color="auto"/>
        <w:bottom w:val="none" w:sz="0" w:space="0" w:color="auto"/>
        <w:right w:val="none" w:sz="0" w:space="0" w:color="auto"/>
      </w:divBdr>
      <w:divsChild>
        <w:div w:id="24449286">
          <w:marLeft w:val="0"/>
          <w:marRight w:val="0"/>
          <w:marTop w:val="0"/>
          <w:marBottom w:val="0"/>
          <w:divBdr>
            <w:top w:val="none" w:sz="0" w:space="0" w:color="auto"/>
            <w:left w:val="none" w:sz="0" w:space="0" w:color="auto"/>
            <w:bottom w:val="none" w:sz="0" w:space="0" w:color="auto"/>
            <w:right w:val="none" w:sz="0" w:space="0" w:color="auto"/>
          </w:divBdr>
        </w:div>
        <w:div w:id="366024245">
          <w:marLeft w:val="0"/>
          <w:marRight w:val="0"/>
          <w:marTop w:val="0"/>
          <w:marBottom w:val="0"/>
          <w:divBdr>
            <w:top w:val="none" w:sz="0" w:space="0" w:color="auto"/>
            <w:left w:val="none" w:sz="0" w:space="0" w:color="auto"/>
            <w:bottom w:val="none" w:sz="0" w:space="0" w:color="auto"/>
            <w:right w:val="none" w:sz="0" w:space="0" w:color="auto"/>
          </w:divBdr>
        </w:div>
        <w:div w:id="665128426">
          <w:marLeft w:val="0"/>
          <w:marRight w:val="0"/>
          <w:marTop w:val="0"/>
          <w:marBottom w:val="0"/>
          <w:divBdr>
            <w:top w:val="none" w:sz="0" w:space="0" w:color="auto"/>
            <w:left w:val="none" w:sz="0" w:space="0" w:color="auto"/>
            <w:bottom w:val="none" w:sz="0" w:space="0" w:color="auto"/>
            <w:right w:val="none" w:sz="0" w:space="0" w:color="auto"/>
          </w:divBdr>
        </w:div>
        <w:div w:id="1041590348">
          <w:marLeft w:val="0"/>
          <w:marRight w:val="0"/>
          <w:marTop w:val="0"/>
          <w:marBottom w:val="0"/>
          <w:divBdr>
            <w:top w:val="none" w:sz="0" w:space="0" w:color="auto"/>
            <w:left w:val="none" w:sz="0" w:space="0" w:color="auto"/>
            <w:bottom w:val="none" w:sz="0" w:space="0" w:color="auto"/>
            <w:right w:val="none" w:sz="0" w:space="0" w:color="auto"/>
          </w:divBdr>
        </w:div>
        <w:div w:id="1147476325">
          <w:marLeft w:val="0"/>
          <w:marRight w:val="0"/>
          <w:marTop w:val="0"/>
          <w:marBottom w:val="0"/>
          <w:divBdr>
            <w:top w:val="none" w:sz="0" w:space="0" w:color="auto"/>
            <w:left w:val="none" w:sz="0" w:space="0" w:color="auto"/>
            <w:bottom w:val="none" w:sz="0" w:space="0" w:color="auto"/>
            <w:right w:val="none" w:sz="0" w:space="0" w:color="auto"/>
          </w:divBdr>
          <w:divsChild>
            <w:div w:id="220097890">
              <w:marLeft w:val="0"/>
              <w:marRight w:val="0"/>
              <w:marTop w:val="0"/>
              <w:marBottom w:val="0"/>
              <w:divBdr>
                <w:top w:val="none" w:sz="0" w:space="0" w:color="auto"/>
                <w:left w:val="none" w:sz="0" w:space="0" w:color="auto"/>
                <w:bottom w:val="none" w:sz="0" w:space="0" w:color="auto"/>
                <w:right w:val="none" w:sz="0" w:space="0" w:color="auto"/>
              </w:divBdr>
            </w:div>
            <w:div w:id="2126802580">
              <w:marLeft w:val="0"/>
              <w:marRight w:val="0"/>
              <w:marTop w:val="0"/>
              <w:marBottom w:val="0"/>
              <w:divBdr>
                <w:top w:val="none" w:sz="0" w:space="0" w:color="auto"/>
                <w:left w:val="none" w:sz="0" w:space="0" w:color="auto"/>
                <w:bottom w:val="none" w:sz="0" w:space="0" w:color="auto"/>
                <w:right w:val="none" w:sz="0" w:space="0" w:color="auto"/>
              </w:divBdr>
            </w:div>
          </w:divsChild>
        </w:div>
        <w:div w:id="1296645953">
          <w:marLeft w:val="0"/>
          <w:marRight w:val="0"/>
          <w:marTop w:val="0"/>
          <w:marBottom w:val="0"/>
          <w:divBdr>
            <w:top w:val="none" w:sz="0" w:space="0" w:color="auto"/>
            <w:left w:val="none" w:sz="0" w:space="0" w:color="auto"/>
            <w:bottom w:val="none" w:sz="0" w:space="0" w:color="auto"/>
            <w:right w:val="none" w:sz="0" w:space="0" w:color="auto"/>
          </w:divBdr>
        </w:div>
        <w:div w:id="1400590879">
          <w:marLeft w:val="0"/>
          <w:marRight w:val="0"/>
          <w:marTop w:val="0"/>
          <w:marBottom w:val="0"/>
          <w:divBdr>
            <w:top w:val="none" w:sz="0" w:space="0" w:color="auto"/>
            <w:left w:val="none" w:sz="0" w:space="0" w:color="auto"/>
            <w:bottom w:val="none" w:sz="0" w:space="0" w:color="auto"/>
            <w:right w:val="none" w:sz="0" w:space="0" w:color="auto"/>
          </w:divBdr>
        </w:div>
        <w:div w:id="1583567475">
          <w:marLeft w:val="0"/>
          <w:marRight w:val="0"/>
          <w:marTop w:val="0"/>
          <w:marBottom w:val="0"/>
          <w:divBdr>
            <w:top w:val="none" w:sz="0" w:space="0" w:color="auto"/>
            <w:left w:val="none" w:sz="0" w:space="0" w:color="auto"/>
            <w:bottom w:val="none" w:sz="0" w:space="0" w:color="auto"/>
            <w:right w:val="none" w:sz="0" w:space="0" w:color="auto"/>
          </w:divBdr>
        </w:div>
      </w:divsChild>
    </w:div>
    <w:div w:id="1677921208">
      <w:bodyDiv w:val="1"/>
      <w:marLeft w:val="0"/>
      <w:marRight w:val="0"/>
      <w:marTop w:val="0"/>
      <w:marBottom w:val="0"/>
      <w:divBdr>
        <w:top w:val="none" w:sz="0" w:space="0" w:color="auto"/>
        <w:left w:val="none" w:sz="0" w:space="0" w:color="auto"/>
        <w:bottom w:val="none" w:sz="0" w:space="0" w:color="auto"/>
        <w:right w:val="none" w:sz="0" w:space="0" w:color="auto"/>
      </w:divBdr>
    </w:div>
    <w:div w:id="1809350099">
      <w:bodyDiv w:val="1"/>
      <w:marLeft w:val="0"/>
      <w:marRight w:val="0"/>
      <w:marTop w:val="0"/>
      <w:marBottom w:val="0"/>
      <w:divBdr>
        <w:top w:val="none" w:sz="0" w:space="0" w:color="auto"/>
        <w:left w:val="none" w:sz="0" w:space="0" w:color="auto"/>
        <w:bottom w:val="none" w:sz="0" w:space="0" w:color="auto"/>
        <w:right w:val="none" w:sz="0" w:space="0" w:color="auto"/>
      </w:divBdr>
    </w:div>
    <w:div w:id="1833448122">
      <w:bodyDiv w:val="1"/>
      <w:marLeft w:val="0"/>
      <w:marRight w:val="0"/>
      <w:marTop w:val="0"/>
      <w:marBottom w:val="0"/>
      <w:divBdr>
        <w:top w:val="none" w:sz="0" w:space="0" w:color="auto"/>
        <w:left w:val="none" w:sz="0" w:space="0" w:color="auto"/>
        <w:bottom w:val="none" w:sz="0" w:space="0" w:color="auto"/>
        <w:right w:val="none" w:sz="0" w:space="0" w:color="auto"/>
      </w:divBdr>
      <w:divsChild>
        <w:div w:id="871572905">
          <w:marLeft w:val="0"/>
          <w:marRight w:val="0"/>
          <w:marTop w:val="0"/>
          <w:marBottom w:val="150"/>
          <w:divBdr>
            <w:top w:val="none" w:sz="0" w:space="0" w:color="auto"/>
            <w:left w:val="none" w:sz="0" w:space="0" w:color="auto"/>
            <w:bottom w:val="none" w:sz="0" w:space="0" w:color="auto"/>
            <w:right w:val="none" w:sz="0" w:space="0" w:color="auto"/>
          </w:divBdr>
        </w:div>
      </w:divsChild>
    </w:div>
    <w:div w:id="1893036274">
      <w:bodyDiv w:val="1"/>
      <w:marLeft w:val="0"/>
      <w:marRight w:val="0"/>
      <w:marTop w:val="0"/>
      <w:marBottom w:val="0"/>
      <w:divBdr>
        <w:top w:val="none" w:sz="0" w:space="0" w:color="auto"/>
        <w:left w:val="none" w:sz="0" w:space="0" w:color="auto"/>
        <w:bottom w:val="none" w:sz="0" w:space="0" w:color="auto"/>
        <w:right w:val="none" w:sz="0" w:space="0" w:color="auto"/>
      </w:divBdr>
    </w:div>
    <w:div w:id="1927153863">
      <w:bodyDiv w:val="1"/>
      <w:marLeft w:val="0"/>
      <w:marRight w:val="0"/>
      <w:marTop w:val="0"/>
      <w:marBottom w:val="0"/>
      <w:divBdr>
        <w:top w:val="none" w:sz="0" w:space="0" w:color="auto"/>
        <w:left w:val="none" w:sz="0" w:space="0" w:color="auto"/>
        <w:bottom w:val="none" w:sz="0" w:space="0" w:color="auto"/>
        <w:right w:val="none" w:sz="0" w:space="0" w:color="auto"/>
      </w:divBdr>
    </w:div>
    <w:div w:id="1980836841">
      <w:bodyDiv w:val="1"/>
      <w:marLeft w:val="0"/>
      <w:marRight w:val="0"/>
      <w:marTop w:val="0"/>
      <w:marBottom w:val="0"/>
      <w:divBdr>
        <w:top w:val="none" w:sz="0" w:space="0" w:color="auto"/>
        <w:left w:val="none" w:sz="0" w:space="0" w:color="auto"/>
        <w:bottom w:val="none" w:sz="0" w:space="0" w:color="auto"/>
        <w:right w:val="none" w:sz="0" w:space="0" w:color="auto"/>
      </w:divBdr>
      <w:divsChild>
        <w:div w:id="957177796">
          <w:marLeft w:val="0"/>
          <w:marRight w:val="0"/>
          <w:marTop w:val="22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06460-9BE7-440D-9C7D-AF4444B85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17291</Words>
  <Characters>98562</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2020-07-27T11:56:00Z</dcterms:created>
  <dcterms:modified xsi:type="dcterms:W3CDTF">2020-07-27T11:56:00Z</dcterms:modified>
</cp:coreProperties>
</file>