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2F44" w14:textId="77777777" w:rsidR="006006A4" w:rsidRPr="008C4D92" w:rsidRDefault="006006A4" w:rsidP="00BD1828">
      <w:pPr>
        <w:rPr>
          <w:color w:val="000000" w:themeColor="text1"/>
        </w:rPr>
      </w:pPr>
    </w:p>
    <w:p w14:paraId="0F432929" w14:textId="616EE760" w:rsidR="0042517A" w:rsidRDefault="001A38A4" w:rsidP="0042517A">
      <w:pPr>
        <w:jc w:val="center"/>
        <w:rPr>
          <w:b/>
          <w:color w:val="000000" w:themeColor="text1"/>
        </w:rPr>
      </w:pPr>
      <w:r w:rsidRPr="008C4D92">
        <w:rPr>
          <w:b/>
          <w:color w:val="000000" w:themeColor="text1"/>
        </w:rPr>
        <w:t>T</w:t>
      </w:r>
      <w:r w:rsidR="00A40C5A" w:rsidRPr="008C4D92">
        <w:rPr>
          <w:b/>
          <w:color w:val="000000" w:themeColor="text1"/>
        </w:rPr>
        <w:t>HE COURT OF APPEAL</w:t>
      </w:r>
    </w:p>
    <w:p w14:paraId="76AF41C9" w14:textId="3128D930" w:rsidR="00E85729" w:rsidRDefault="00E85729" w:rsidP="0042517A">
      <w:pPr>
        <w:jc w:val="center"/>
        <w:rPr>
          <w:b/>
          <w:color w:val="000000" w:themeColor="text1"/>
        </w:rPr>
      </w:pPr>
      <w:bookmarkStart w:id="0" w:name="_GoBack"/>
      <w:bookmarkEnd w:id="0"/>
      <w:r>
        <w:rPr>
          <w:b/>
          <w:color w:val="000000" w:themeColor="text1"/>
        </w:rPr>
        <w:t>CIVIL</w:t>
      </w:r>
    </w:p>
    <w:p w14:paraId="0720C4B5" w14:textId="0F27050F" w:rsidR="007D0905" w:rsidRDefault="007D0905" w:rsidP="0042517A">
      <w:pPr>
        <w:jc w:val="center"/>
        <w:rPr>
          <w:b/>
          <w:color w:val="000000" w:themeColor="text1"/>
        </w:rPr>
      </w:pPr>
    </w:p>
    <w:p w14:paraId="66F9D7DB" w14:textId="2D998D6B" w:rsidR="007D0905" w:rsidRPr="008C4D92" w:rsidRDefault="007D0905" w:rsidP="009939CE">
      <w:pPr>
        <w:rPr>
          <w:b/>
          <w:color w:val="000000" w:themeColor="text1"/>
        </w:rPr>
      </w:pPr>
      <w:r w:rsidRPr="00F43717">
        <w:rPr>
          <w:b/>
          <w:color w:val="000000" w:themeColor="text1"/>
          <w:u w:val="single"/>
        </w:rPr>
        <w:t>UNAPPROVED</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F43717">
        <w:rPr>
          <w:b/>
          <w:color w:val="000000" w:themeColor="text1"/>
          <w:u w:val="single"/>
        </w:rPr>
        <w:t>NO REDACTION NEEDED</w:t>
      </w:r>
    </w:p>
    <w:p w14:paraId="1E8EBB46" w14:textId="39ADC902" w:rsidR="00E312EE" w:rsidRPr="008C4D92" w:rsidRDefault="00FD18E0" w:rsidP="00E312EE">
      <w:pPr>
        <w:jc w:val="right"/>
        <w:rPr>
          <w:b/>
          <w:color w:val="000000" w:themeColor="text1"/>
        </w:rPr>
      </w:pPr>
      <w:r>
        <w:rPr>
          <w:b/>
          <w:color w:val="000000" w:themeColor="text1"/>
        </w:rPr>
        <w:t>Neutral Citation Number [2022] IECA 130</w:t>
      </w:r>
    </w:p>
    <w:p w14:paraId="64B33ACE" w14:textId="77777777" w:rsidR="008D290F" w:rsidRPr="008C4D92" w:rsidRDefault="00505593" w:rsidP="009939CE">
      <w:pPr>
        <w:spacing w:line="360" w:lineRule="auto"/>
        <w:jc w:val="right"/>
        <w:rPr>
          <w:b/>
          <w:color w:val="000000" w:themeColor="text1"/>
        </w:rPr>
      </w:pPr>
      <w:r w:rsidRPr="008C4D92">
        <w:rPr>
          <w:b/>
          <w:color w:val="000000" w:themeColor="text1"/>
        </w:rPr>
        <w:t xml:space="preserve">Court of </w:t>
      </w:r>
      <w:r w:rsidR="00A55877" w:rsidRPr="008C4D92">
        <w:rPr>
          <w:b/>
          <w:color w:val="000000" w:themeColor="text1"/>
        </w:rPr>
        <w:t xml:space="preserve">Appeal </w:t>
      </w:r>
      <w:r w:rsidRPr="008C4D92">
        <w:rPr>
          <w:b/>
          <w:color w:val="000000" w:themeColor="text1"/>
        </w:rPr>
        <w:t xml:space="preserve">Record </w:t>
      </w:r>
      <w:r w:rsidR="00C40501" w:rsidRPr="008C4D92">
        <w:rPr>
          <w:b/>
          <w:color w:val="000000" w:themeColor="text1"/>
        </w:rPr>
        <w:t>Number</w:t>
      </w:r>
      <w:r w:rsidR="00326E17" w:rsidRPr="008C4D92">
        <w:rPr>
          <w:b/>
          <w:color w:val="000000" w:themeColor="text1"/>
        </w:rPr>
        <w:t>:</w:t>
      </w:r>
      <w:r w:rsidR="00C40501" w:rsidRPr="008C4D92">
        <w:rPr>
          <w:b/>
          <w:color w:val="000000" w:themeColor="text1"/>
        </w:rPr>
        <w:t xml:space="preserve"> </w:t>
      </w:r>
      <w:r w:rsidRPr="008C4D92">
        <w:rPr>
          <w:b/>
          <w:color w:val="000000" w:themeColor="text1"/>
        </w:rPr>
        <w:t>2020/97</w:t>
      </w:r>
    </w:p>
    <w:p w14:paraId="4AE3CA86" w14:textId="77777777" w:rsidR="00505593" w:rsidRPr="008C4D92" w:rsidRDefault="00505593" w:rsidP="009939CE">
      <w:pPr>
        <w:spacing w:line="360" w:lineRule="auto"/>
        <w:jc w:val="right"/>
        <w:rPr>
          <w:b/>
          <w:color w:val="000000" w:themeColor="text1"/>
        </w:rPr>
      </w:pPr>
      <w:r w:rsidRPr="008C4D92">
        <w:rPr>
          <w:b/>
          <w:color w:val="000000" w:themeColor="text1"/>
        </w:rPr>
        <w:t>High Court Record Number: 2019/4606P</w:t>
      </w:r>
    </w:p>
    <w:p w14:paraId="1FDD60C8" w14:textId="77777777" w:rsidR="008E4686" w:rsidRPr="008C4D92" w:rsidRDefault="008E4686" w:rsidP="009939CE">
      <w:pPr>
        <w:spacing w:line="360" w:lineRule="auto"/>
        <w:jc w:val="right"/>
        <w:rPr>
          <w:b/>
          <w:color w:val="000000" w:themeColor="text1"/>
        </w:rPr>
      </w:pPr>
    </w:p>
    <w:p w14:paraId="0AD693EE" w14:textId="77777777" w:rsidR="005B5EA4" w:rsidRPr="008C4D92" w:rsidRDefault="005B5EA4" w:rsidP="009939CE">
      <w:pPr>
        <w:spacing w:line="360" w:lineRule="auto"/>
        <w:jc w:val="right"/>
        <w:rPr>
          <w:b/>
          <w:color w:val="000000" w:themeColor="text1"/>
        </w:rPr>
      </w:pPr>
    </w:p>
    <w:p w14:paraId="41B6B233" w14:textId="478ACFAF" w:rsidR="007316AB" w:rsidRPr="008C4D92" w:rsidRDefault="007316AB" w:rsidP="009939CE">
      <w:pPr>
        <w:spacing w:line="276" w:lineRule="auto"/>
        <w:rPr>
          <w:b/>
          <w:color w:val="000000" w:themeColor="text1"/>
        </w:rPr>
      </w:pPr>
      <w:r w:rsidRPr="008C4D92">
        <w:rPr>
          <w:b/>
          <w:color w:val="000000" w:themeColor="text1"/>
        </w:rPr>
        <w:t>Whelan J.</w:t>
      </w:r>
    </w:p>
    <w:p w14:paraId="334E5181" w14:textId="40576933" w:rsidR="0093020D" w:rsidRPr="008C4D92" w:rsidRDefault="0093020D" w:rsidP="009939CE">
      <w:pPr>
        <w:spacing w:line="276" w:lineRule="auto"/>
        <w:rPr>
          <w:b/>
          <w:color w:val="000000" w:themeColor="text1"/>
        </w:rPr>
      </w:pPr>
      <w:r w:rsidRPr="008C4D92">
        <w:rPr>
          <w:b/>
          <w:color w:val="000000" w:themeColor="text1"/>
        </w:rPr>
        <w:t>Donnelly J.</w:t>
      </w:r>
    </w:p>
    <w:p w14:paraId="18DF1D5B" w14:textId="77777777" w:rsidR="004B26B5" w:rsidRPr="008C4D92" w:rsidRDefault="00B21AE9" w:rsidP="009939CE">
      <w:pPr>
        <w:spacing w:line="276" w:lineRule="auto"/>
        <w:rPr>
          <w:b/>
          <w:color w:val="000000" w:themeColor="text1"/>
        </w:rPr>
      </w:pPr>
      <w:r w:rsidRPr="008C4D92">
        <w:rPr>
          <w:b/>
          <w:color w:val="000000" w:themeColor="text1"/>
        </w:rPr>
        <w:t>Ní Raifeartaigh J.</w:t>
      </w:r>
    </w:p>
    <w:p w14:paraId="4275E2D5" w14:textId="77777777" w:rsidR="00225C3E" w:rsidRPr="008C4D92" w:rsidRDefault="00225C3E" w:rsidP="009939CE">
      <w:pPr>
        <w:spacing w:line="360" w:lineRule="auto"/>
        <w:rPr>
          <w:b/>
          <w:color w:val="000000" w:themeColor="text1"/>
        </w:rPr>
      </w:pPr>
    </w:p>
    <w:p w14:paraId="3F8BD6C0" w14:textId="77777777" w:rsidR="00225C3E" w:rsidRPr="008C4D92" w:rsidRDefault="00225C3E" w:rsidP="004B26B5">
      <w:pPr>
        <w:rPr>
          <w:b/>
          <w:color w:val="000000" w:themeColor="text1"/>
        </w:rPr>
      </w:pPr>
    </w:p>
    <w:p w14:paraId="00C4F0C9" w14:textId="77777777" w:rsidR="0042517A" w:rsidRPr="008C4D92" w:rsidRDefault="00551EA9" w:rsidP="00C4593F">
      <w:pPr>
        <w:rPr>
          <w:b/>
          <w:color w:val="000000" w:themeColor="text1"/>
        </w:rPr>
      </w:pPr>
      <w:r w:rsidRPr="008C4D92">
        <w:rPr>
          <w:b/>
          <w:color w:val="000000" w:themeColor="text1"/>
        </w:rPr>
        <w:t>BETWEEN/</w:t>
      </w:r>
      <w:r w:rsidR="00ED2AE7" w:rsidRPr="008C4D92">
        <w:rPr>
          <w:b/>
          <w:color w:val="000000" w:themeColor="text1"/>
        </w:rPr>
        <w:t xml:space="preserve"> </w:t>
      </w:r>
    </w:p>
    <w:p w14:paraId="1E5602CC" w14:textId="77777777" w:rsidR="00587A0C" w:rsidRPr="008C4D92" w:rsidRDefault="00587A0C">
      <w:pPr>
        <w:rPr>
          <w:b/>
          <w:color w:val="000000" w:themeColor="text1"/>
        </w:rPr>
      </w:pPr>
    </w:p>
    <w:p w14:paraId="64B6134A" w14:textId="77777777" w:rsidR="001A38A4" w:rsidRPr="008C4D92" w:rsidRDefault="00505593">
      <w:pPr>
        <w:jc w:val="center"/>
        <w:rPr>
          <w:b/>
          <w:color w:val="000000" w:themeColor="text1"/>
        </w:rPr>
      </w:pPr>
      <w:r w:rsidRPr="008C4D92">
        <w:rPr>
          <w:b/>
          <w:color w:val="000000" w:themeColor="text1"/>
        </w:rPr>
        <w:t>JANE GLEESON</w:t>
      </w:r>
    </w:p>
    <w:p w14:paraId="380EF8A7" w14:textId="77777777" w:rsidR="00280331" w:rsidRPr="008C4D92" w:rsidRDefault="00280331">
      <w:pPr>
        <w:jc w:val="right"/>
        <w:rPr>
          <w:b/>
          <w:color w:val="000000" w:themeColor="text1"/>
        </w:rPr>
      </w:pPr>
    </w:p>
    <w:p w14:paraId="3165FD14" w14:textId="77777777" w:rsidR="00A55877" w:rsidRPr="008C4D92" w:rsidRDefault="00A55877">
      <w:pPr>
        <w:jc w:val="right"/>
        <w:rPr>
          <w:b/>
          <w:color w:val="000000" w:themeColor="text1"/>
        </w:rPr>
      </w:pPr>
    </w:p>
    <w:p w14:paraId="30AABD03" w14:textId="0F322B74" w:rsidR="009B4417" w:rsidRPr="008C4D92" w:rsidRDefault="001C7A14">
      <w:pPr>
        <w:jc w:val="right"/>
        <w:rPr>
          <w:b/>
          <w:color w:val="000000" w:themeColor="text1"/>
        </w:rPr>
      </w:pPr>
      <w:r w:rsidRPr="008C4D92">
        <w:rPr>
          <w:b/>
          <w:color w:val="000000" w:themeColor="text1"/>
        </w:rPr>
        <w:t>SECOND DEFENDANT/</w:t>
      </w:r>
      <w:r w:rsidR="009B4417" w:rsidRPr="008C4D92">
        <w:rPr>
          <w:b/>
          <w:color w:val="000000" w:themeColor="text1"/>
        </w:rPr>
        <w:t>APPELLANT</w:t>
      </w:r>
    </w:p>
    <w:p w14:paraId="2121E047" w14:textId="77777777" w:rsidR="00945E1B" w:rsidRPr="008C4D92" w:rsidRDefault="00945E1B">
      <w:pPr>
        <w:jc w:val="right"/>
        <w:rPr>
          <w:b/>
          <w:color w:val="000000" w:themeColor="text1"/>
        </w:rPr>
      </w:pPr>
    </w:p>
    <w:p w14:paraId="2BA5C282" w14:textId="77777777" w:rsidR="00A82A3B" w:rsidRPr="008C4D92" w:rsidRDefault="00055DBA">
      <w:pPr>
        <w:jc w:val="center"/>
        <w:rPr>
          <w:b/>
          <w:color w:val="000000" w:themeColor="text1"/>
        </w:rPr>
      </w:pPr>
      <w:r w:rsidRPr="008C4D92">
        <w:rPr>
          <w:b/>
          <w:color w:val="000000" w:themeColor="text1"/>
        </w:rPr>
        <w:t xml:space="preserve">- </w:t>
      </w:r>
      <w:r w:rsidR="00A82A3B" w:rsidRPr="008C4D92">
        <w:rPr>
          <w:b/>
          <w:color w:val="000000" w:themeColor="text1"/>
        </w:rPr>
        <w:t>AND</w:t>
      </w:r>
      <w:r w:rsidR="00282E78" w:rsidRPr="008C4D92">
        <w:rPr>
          <w:b/>
          <w:color w:val="000000" w:themeColor="text1"/>
        </w:rPr>
        <w:t xml:space="preserve"> -</w:t>
      </w:r>
    </w:p>
    <w:p w14:paraId="1123D058" w14:textId="77777777" w:rsidR="00065438" w:rsidRPr="008C4D92" w:rsidRDefault="00065438">
      <w:pPr>
        <w:jc w:val="center"/>
        <w:rPr>
          <w:b/>
          <w:color w:val="000000" w:themeColor="text1"/>
        </w:rPr>
      </w:pPr>
    </w:p>
    <w:p w14:paraId="25FC6EA7" w14:textId="77777777" w:rsidR="006F3AF5" w:rsidRPr="008C4D92" w:rsidRDefault="006F3AF5">
      <w:pPr>
        <w:jc w:val="center"/>
        <w:rPr>
          <w:b/>
          <w:color w:val="000000" w:themeColor="text1"/>
        </w:rPr>
      </w:pPr>
    </w:p>
    <w:p w14:paraId="602DB65C" w14:textId="77777777" w:rsidR="0027546A" w:rsidRPr="008C4D92" w:rsidRDefault="00683772">
      <w:pPr>
        <w:jc w:val="center"/>
        <w:rPr>
          <w:b/>
          <w:color w:val="000000" w:themeColor="text1"/>
        </w:rPr>
      </w:pPr>
      <w:r w:rsidRPr="008C4D92">
        <w:rPr>
          <w:b/>
          <w:color w:val="000000" w:themeColor="text1"/>
        </w:rPr>
        <w:t>EVERY</w:t>
      </w:r>
      <w:r w:rsidR="00505593" w:rsidRPr="008C4D92">
        <w:rPr>
          <w:b/>
          <w:color w:val="000000" w:themeColor="text1"/>
        </w:rPr>
        <w:t>DAY FINANCE DAC, STEPHEN TENNANT AND NICHOLAS O’DWYER</w:t>
      </w:r>
    </w:p>
    <w:p w14:paraId="54B9E261" w14:textId="77777777" w:rsidR="000E2C9C" w:rsidRPr="008C4D92" w:rsidRDefault="000E2C9C">
      <w:pPr>
        <w:jc w:val="right"/>
        <w:rPr>
          <w:b/>
          <w:color w:val="000000" w:themeColor="text1"/>
        </w:rPr>
      </w:pPr>
    </w:p>
    <w:p w14:paraId="7A2E7FD9" w14:textId="77777777" w:rsidR="008E25FE" w:rsidRPr="008C4D92" w:rsidRDefault="008E25FE">
      <w:pPr>
        <w:jc w:val="right"/>
        <w:rPr>
          <w:b/>
          <w:color w:val="000000" w:themeColor="text1"/>
        </w:rPr>
      </w:pPr>
    </w:p>
    <w:p w14:paraId="64EB9527" w14:textId="77FBF4DD" w:rsidR="009B4417" w:rsidRPr="008C4D92" w:rsidRDefault="001C7A14">
      <w:pPr>
        <w:jc w:val="right"/>
        <w:rPr>
          <w:b/>
          <w:color w:val="000000" w:themeColor="text1"/>
        </w:rPr>
      </w:pPr>
      <w:r w:rsidRPr="008C4D92">
        <w:rPr>
          <w:b/>
          <w:color w:val="000000" w:themeColor="text1"/>
        </w:rPr>
        <w:t>PLAINTIFFS/</w:t>
      </w:r>
      <w:r w:rsidR="009B4417" w:rsidRPr="008C4D92">
        <w:rPr>
          <w:b/>
          <w:color w:val="000000" w:themeColor="text1"/>
        </w:rPr>
        <w:t>RESPONDENT</w:t>
      </w:r>
      <w:r w:rsidR="00505593" w:rsidRPr="008C4D92">
        <w:rPr>
          <w:b/>
          <w:color w:val="000000" w:themeColor="text1"/>
        </w:rPr>
        <w:t>S</w:t>
      </w:r>
    </w:p>
    <w:p w14:paraId="3CC5D39B" w14:textId="77777777" w:rsidR="003A7D55" w:rsidRPr="008C4D92" w:rsidRDefault="003A7D55">
      <w:pPr>
        <w:jc w:val="right"/>
        <w:rPr>
          <w:b/>
          <w:color w:val="000000" w:themeColor="text1"/>
        </w:rPr>
      </w:pPr>
    </w:p>
    <w:p w14:paraId="0C53C45E" w14:textId="77777777" w:rsidR="008E25FE" w:rsidRPr="008C4D92" w:rsidRDefault="008E25FE">
      <w:pPr>
        <w:jc w:val="right"/>
        <w:rPr>
          <w:b/>
          <w:color w:val="000000" w:themeColor="text1"/>
        </w:rPr>
      </w:pPr>
    </w:p>
    <w:p w14:paraId="04A10293" w14:textId="77777777" w:rsidR="00482048" w:rsidRPr="008C4D92" w:rsidRDefault="00505593">
      <w:pPr>
        <w:jc w:val="center"/>
        <w:rPr>
          <w:b/>
          <w:color w:val="000000" w:themeColor="text1"/>
        </w:rPr>
      </w:pPr>
      <w:r w:rsidRPr="008C4D92">
        <w:rPr>
          <w:b/>
          <w:color w:val="000000" w:themeColor="text1"/>
        </w:rPr>
        <w:t>-AND-</w:t>
      </w:r>
    </w:p>
    <w:p w14:paraId="2FEC6C43" w14:textId="77777777" w:rsidR="008E25FE" w:rsidRPr="008C4D92" w:rsidRDefault="008E25FE">
      <w:pPr>
        <w:jc w:val="center"/>
        <w:rPr>
          <w:b/>
          <w:color w:val="000000" w:themeColor="text1"/>
        </w:rPr>
      </w:pPr>
    </w:p>
    <w:p w14:paraId="1C021C49" w14:textId="77777777" w:rsidR="00505593" w:rsidRPr="008C4D92" w:rsidRDefault="00505593">
      <w:pPr>
        <w:jc w:val="center"/>
        <w:rPr>
          <w:b/>
          <w:color w:val="000000" w:themeColor="text1"/>
        </w:rPr>
      </w:pPr>
    </w:p>
    <w:p w14:paraId="674644AD" w14:textId="6B623DF2" w:rsidR="00505593" w:rsidRPr="008C4D92" w:rsidRDefault="00505593">
      <w:pPr>
        <w:jc w:val="center"/>
        <w:rPr>
          <w:b/>
          <w:color w:val="000000" w:themeColor="text1"/>
        </w:rPr>
      </w:pPr>
      <w:r w:rsidRPr="008C4D92">
        <w:rPr>
          <w:b/>
          <w:color w:val="000000" w:themeColor="text1"/>
        </w:rPr>
        <w:t xml:space="preserve">PAUL WHITE </w:t>
      </w:r>
    </w:p>
    <w:p w14:paraId="0DC581F5" w14:textId="77777777" w:rsidR="008E25FE" w:rsidRPr="008C4D92" w:rsidRDefault="008E25FE">
      <w:pPr>
        <w:jc w:val="right"/>
        <w:rPr>
          <w:b/>
          <w:color w:val="000000" w:themeColor="text1"/>
        </w:rPr>
      </w:pPr>
    </w:p>
    <w:p w14:paraId="6D175710" w14:textId="5B14A151" w:rsidR="00505593" w:rsidRPr="008C4D92" w:rsidRDefault="00032BFD">
      <w:pPr>
        <w:jc w:val="right"/>
        <w:rPr>
          <w:b/>
          <w:color w:val="000000" w:themeColor="text1"/>
        </w:rPr>
      </w:pPr>
      <w:r>
        <w:rPr>
          <w:b/>
          <w:color w:val="000000" w:themeColor="text1"/>
        </w:rPr>
        <w:t xml:space="preserve">FIRST </w:t>
      </w:r>
      <w:r w:rsidR="00F87437" w:rsidRPr="008C4D92">
        <w:rPr>
          <w:b/>
          <w:color w:val="000000" w:themeColor="text1"/>
        </w:rPr>
        <w:t>DEFENDANT/</w:t>
      </w:r>
      <w:r w:rsidR="00505593" w:rsidRPr="008C4D92">
        <w:rPr>
          <w:b/>
          <w:color w:val="000000" w:themeColor="text1"/>
        </w:rPr>
        <w:t>NOTICE PART</w:t>
      </w:r>
      <w:r w:rsidR="00D93246" w:rsidRPr="008C4D92">
        <w:rPr>
          <w:b/>
          <w:color w:val="000000" w:themeColor="text1"/>
        </w:rPr>
        <w:t>Y</w:t>
      </w:r>
    </w:p>
    <w:p w14:paraId="23516B11" w14:textId="05853DC0" w:rsidR="00D93246" w:rsidRPr="008C4D92" w:rsidRDefault="00D93246">
      <w:pPr>
        <w:jc w:val="right"/>
        <w:rPr>
          <w:b/>
          <w:color w:val="000000" w:themeColor="text1"/>
        </w:rPr>
      </w:pPr>
    </w:p>
    <w:p w14:paraId="639EA8AB" w14:textId="6F6F0875" w:rsidR="00D93246" w:rsidRPr="008C4D92" w:rsidRDefault="00D93246">
      <w:pPr>
        <w:jc w:val="center"/>
        <w:rPr>
          <w:b/>
          <w:color w:val="000000" w:themeColor="text1"/>
        </w:rPr>
      </w:pPr>
      <w:r w:rsidRPr="008C4D92">
        <w:rPr>
          <w:b/>
          <w:color w:val="000000" w:themeColor="text1"/>
        </w:rPr>
        <w:t>-AND-</w:t>
      </w:r>
    </w:p>
    <w:p w14:paraId="11A461E0" w14:textId="77777777" w:rsidR="00D93246" w:rsidRPr="008C4D92" w:rsidRDefault="00D93246">
      <w:pPr>
        <w:jc w:val="center"/>
        <w:rPr>
          <w:b/>
          <w:color w:val="000000" w:themeColor="text1"/>
        </w:rPr>
      </w:pPr>
    </w:p>
    <w:p w14:paraId="233A8D32" w14:textId="090EED85" w:rsidR="00D93246" w:rsidRPr="008C4D92" w:rsidRDefault="00D93246">
      <w:pPr>
        <w:jc w:val="center"/>
        <w:rPr>
          <w:b/>
          <w:color w:val="000000" w:themeColor="text1"/>
        </w:rPr>
      </w:pPr>
      <w:r w:rsidRPr="008C4D92">
        <w:rPr>
          <w:b/>
          <w:color w:val="000000" w:themeColor="text1"/>
        </w:rPr>
        <w:t xml:space="preserve">AND PERSONS OCCUPYING 96 AVOCA PARK CO. DUBLIN </w:t>
      </w:r>
    </w:p>
    <w:p w14:paraId="1CBAABE2" w14:textId="7CC45175" w:rsidR="00D93246" w:rsidRPr="008C4D92" w:rsidRDefault="00D93246">
      <w:pPr>
        <w:jc w:val="right"/>
        <w:rPr>
          <w:b/>
          <w:color w:val="000000" w:themeColor="text1"/>
        </w:rPr>
      </w:pPr>
      <w:r w:rsidRPr="008C4D92">
        <w:rPr>
          <w:b/>
          <w:color w:val="000000" w:themeColor="text1"/>
        </w:rPr>
        <w:t>NOTICE PARTIES</w:t>
      </w:r>
    </w:p>
    <w:p w14:paraId="1847798E" w14:textId="77777777" w:rsidR="00D93246" w:rsidRPr="008C4D92" w:rsidRDefault="00D93246" w:rsidP="00D93246">
      <w:pPr>
        <w:jc w:val="center"/>
        <w:rPr>
          <w:b/>
          <w:color w:val="000000" w:themeColor="text1"/>
        </w:rPr>
      </w:pPr>
    </w:p>
    <w:p w14:paraId="662136A7" w14:textId="77777777" w:rsidR="00D93246" w:rsidRPr="008C4D92" w:rsidRDefault="00D93246" w:rsidP="00505593">
      <w:pPr>
        <w:jc w:val="right"/>
        <w:rPr>
          <w:b/>
          <w:color w:val="000000" w:themeColor="text1"/>
        </w:rPr>
      </w:pPr>
    </w:p>
    <w:p w14:paraId="6D76955D" w14:textId="565A6147" w:rsidR="006006A4" w:rsidRPr="008C4D92" w:rsidRDefault="006F3AF5" w:rsidP="006006A4">
      <w:pPr>
        <w:widowControl w:val="0"/>
        <w:rPr>
          <w:b/>
          <w:color w:val="000000" w:themeColor="text1"/>
          <w:u w:val="single"/>
        </w:rPr>
      </w:pPr>
      <w:r w:rsidRPr="008C4D92">
        <w:rPr>
          <w:rFonts w:eastAsia="Calibri"/>
          <w:b/>
          <w:color w:val="000000" w:themeColor="text1"/>
          <w:szCs w:val="22"/>
          <w:u w:val="single"/>
          <w:lang w:eastAsia="en-US"/>
        </w:rPr>
        <w:t>JUDGMENT of Ms. Justice Ní Raifeartaigh</w:t>
      </w:r>
      <w:r w:rsidR="006006A4" w:rsidRPr="008C4D92">
        <w:rPr>
          <w:rFonts w:eastAsia="Calibri"/>
          <w:b/>
          <w:color w:val="000000" w:themeColor="text1"/>
          <w:szCs w:val="22"/>
          <w:u w:val="single"/>
          <w:lang w:eastAsia="en-US"/>
        </w:rPr>
        <w:t xml:space="preserve"> delivered on the </w:t>
      </w:r>
      <w:r w:rsidR="00E85729">
        <w:rPr>
          <w:rFonts w:eastAsia="Calibri"/>
          <w:b/>
          <w:color w:val="000000" w:themeColor="text1"/>
          <w:szCs w:val="22"/>
          <w:u w:val="single"/>
          <w:lang w:eastAsia="en-US"/>
        </w:rPr>
        <w:t>8th</w:t>
      </w:r>
      <w:r w:rsidR="006006A4" w:rsidRPr="008C4D92">
        <w:rPr>
          <w:rFonts w:eastAsia="Calibri"/>
          <w:b/>
          <w:color w:val="000000" w:themeColor="text1"/>
          <w:szCs w:val="22"/>
          <w:u w:val="single"/>
          <w:lang w:eastAsia="en-US"/>
        </w:rPr>
        <w:t xml:space="preserve"> day of </w:t>
      </w:r>
      <w:r w:rsidR="00E85729">
        <w:rPr>
          <w:rFonts w:eastAsia="Calibri"/>
          <w:b/>
          <w:color w:val="000000" w:themeColor="text1"/>
          <w:szCs w:val="22"/>
          <w:u w:val="single"/>
          <w:lang w:eastAsia="en-US"/>
        </w:rPr>
        <w:t>June</w:t>
      </w:r>
      <w:r w:rsidR="006006A4" w:rsidRPr="008C4D92">
        <w:rPr>
          <w:rFonts w:eastAsia="Calibri"/>
          <w:b/>
          <w:color w:val="000000" w:themeColor="text1"/>
          <w:szCs w:val="22"/>
          <w:u w:val="single"/>
          <w:lang w:eastAsia="en-US"/>
        </w:rPr>
        <w:t xml:space="preserve"> 202</w:t>
      </w:r>
      <w:r w:rsidR="009C1652" w:rsidRPr="008C4D92">
        <w:rPr>
          <w:rFonts w:eastAsia="Calibri"/>
          <w:b/>
          <w:color w:val="000000" w:themeColor="text1"/>
          <w:szCs w:val="22"/>
          <w:u w:val="single"/>
          <w:lang w:eastAsia="en-US"/>
        </w:rPr>
        <w:t>2</w:t>
      </w:r>
      <w:r w:rsidR="006006A4" w:rsidRPr="008C4D92">
        <w:rPr>
          <w:b/>
          <w:color w:val="000000" w:themeColor="text1"/>
          <w:u w:val="single"/>
        </w:rPr>
        <w:t xml:space="preserve">  </w:t>
      </w:r>
    </w:p>
    <w:p w14:paraId="13C96047" w14:textId="77777777" w:rsidR="009C1652" w:rsidRPr="009939CE" w:rsidRDefault="00505593" w:rsidP="00FA2364">
      <w:pPr>
        <w:pStyle w:val="Heading1"/>
        <w:rPr>
          <w:b w:val="0"/>
          <w:color w:val="000000" w:themeColor="text1"/>
          <w:sz w:val="28"/>
          <w:szCs w:val="28"/>
        </w:rPr>
      </w:pPr>
      <w:r w:rsidRPr="009939CE">
        <w:rPr>
          <w:color w:val="000000" w:themeColor="text1"/>
          <w:sz w:val="28"/>
          <w:szCs w:val="28"/>
        </w:rPr>
        <w:lastRenderedPageBreak/>
        <w:t>Introduction</w:t>
      </w:r>
    </w:p>
    <w:p w14:paraId="2F7F48A7" w14:textId="77777777" w:rsidR="00271674" w:rsidRPr="008C4D92" w:rsidRDefault="00271674" w:rsidP="00271674">
      <w:pPr>
        <w:rPr>
          <w:color w:val="000000" w:themeColor="text1"/>
        </w:rPr>
      </w:pPr>
    </w:p>
    <w:p w14:paraId="411305BC" w14:textId="53F4345A" w:rsidR="007E5032" w:rsidRPr="008C4D92" w:rsidRDefault="00505593" w:rsidP="008E25FE">
      <w:pPr>
        <w:numPr>
          <w:ilvl w:val="0"/>
          <w:numId w:val="19"/>
        </w:numPr>
        <w:spacing w:line="480" w:lineRule="auto"/>
        <w:jc w:val="both"/>
        <w:rPr>
          <w:color w:val="000000" w:themeColor="text1"/>
        </w:rPr>
      </w:pPr>
      <w:r w:rsidRPr="008C4D92">
        <w:rPr>
          <w:color w:val="000000" w:themeColor="text1"/>
        </w:rPr>
        <w:t>This is an appeal in respect of an Order of the High Court (Sanfey J.) dated the 27 February 2020 by which he ordered that the first and second defendants</w:t>
      </w:r>
      <w:r w:rsidR="00CB3B86" w:rsidRPr="008C4D92">
        <w:rPr>
          <w:color w:val="000000" w:themeColor="text1"/>
        </w:rPr>
        <w:t>,</w:t>
      </w:r>
      <w:r w:rsidRPr="008C4D92">
        <w:rPr>
          <w:color w:val="000000" w:themeColor="text1"/>
        </w:rPr>
        <w:t xml:space="preserve"> their servants and agents and all other persons having notice of the Order</w:t>
      </w:r>
      <w:r w:rsidR="00CB3B86" w:rsidRPr="008C4D92">
        <w:rPr>
          <w:color w:val="000000" w:themeColor="text1"/>
        </w:rPr>
        <w:t>,</w:t>
      </w:r>
      <w:r w:rsidRPr="008C4D92">
        <w:rPr>
          <w:color w:val="000000" w:themeColor="text1"/>
        </w:rPr>
        <w:t xml:space="preserve"> including individuals in occupation of the premises</w:t>
      </w:r>
      <w:r w:rsidR="00CB3B86" w:rsidRPr="008C4D92">
        <w:rPr>
          <w:color w:val="000000" w:themeColor="text1"/>
        </w:rPr>
        <w:t>,</w:t>
      </w:r>
      <w:r w:rsidRPr="008C4D92">
        <w:rPr>
          <w:color w:val="000000" w:themeColor="text1"/>
        </w:rPr>
        <w:t xml:space="preserve"> surrender to the plaintiff</w:t>
      </w:r>
      <w:r w:rsidR="00A717BE" w:rsidRPr="008C4D92">
        <w:rPr>
          <w:color w:val="000000" w:themeColor="text1"/>
        </w:rPr>
        <w:t>s</w:t>
      </w:r>
      <w:r w:rsidRPr="008C4D92">
        <w:rPr>
          <w:color w:val="000000" w:themeColor="text1"/>
        </w:rPr>
        <w:t xml:space="preserve"> vacant possession of </w:t>
      </w:r>
      <w:r w:rsidR="00B8526C" w:rsidRPr="008C4D92">
        <w:rPr>
          <w:color w:val="000000" w:themeColor="text1"/>
        </w:rPr>
        <w:t>a</w:t>
      </w:r>
      <w:r w:rsidRPr="008C4D92">
        <w:rPr>
          <w:color w:val="000000" w:themeColor="text1"/>
        </w:rPr>
        <w:t xml:space="preserve"> propert</w:t>
      </w:r>
      <w:r w:rsidR="00A717BE" w:rsidRPr="008C4D92">
        <w:rPr>
          <w:color w:val="000000" w:themeColor="text1"/>
        </w:rPr>
        <w:t>y,</w:t>
      </w:r>
      <w:r w:rsidR="00B8526C" w:rsidRPr="008C4D92">
        <w:rPr>
          <w:color w:val="000000" w:themeColor="text1"/>
        </w:rPr>
        <w:t xml:space="preserve"> pending the determination of the proceedings. The property in question is</w:t>
      </w:r>
      <w:r w:rsidRPr="008C4D92">
        <w:rPr>
          <w:color w:val="000000" w:themeColor="text1"/>
        </w:rPr>
        <w:t xml:space="preserve"> 96 Avoca Park, Blackrock, Co. Dublin</w:t>
      </w:r>
      <w:r w:rsidR="00B8526C" w:rsidRPr="008C4D92">
        <w:rPr>
          <w:color w:val="000000" w:themeColor="text1"/>
        </w:rPr>
        <w:t xml:space="preserve"> (</w:t>
      </w:r>
      <w:r w:rsidR="00CB3B86" w:rsidRPr="008C4D92">
        <w:rPr>
          <w:color w:val="000000" w:themeColor="text1"/>
        </w:rPr>
        <w:t xml:space="preserve">hereafter </w:t>
      </w:r>
      <w:r w:rsidR="00B8526C" w:rsidRPr="008C4D92">
        <w:rPr>
          <w:b/>
          <w:color w:val="000000" w:themeColor="text1"/>
        </w:rPr>
        <w:t xml:space="preserve">“the </w:t>
      </w:r>
      <w:r w:rsidR="00932119" w:rsidRPr="008C4D92">
        <w:rPr>
          <w:b/>
          <w:color w:val="000000" w:themeColor="text1"/>
        </w:rPr>
        <w:t>Avoca Park property</w:t>
      </w:r>
      <w:r w:rsidR="00B8526C" w:rsidRPr="008C4D92">
        <w:rPr>
          <w:b/>
          <w:color w:val="000000" w:themeColor="text1"/>
        </w:rPr>
        <w:t>”</w:t>
      </w:r>
      <w:r w:rsidR="00B8526C" w:rsidRPr="008C4D92">
        <w:rPr>
          <w:color w:val="000000" w:themeColor="text1"/>
        </w:rPr>
        <w:t>).</w:t>
      </w:r>
      <w:r w:rsidRPr="008C4D92">
        <w:rPr>
          <w:color w:val="000000" w:themeColor="text1"/>
        </w:rPr>
        <w:t xml:space="preserve">  He orde</w:t>
      </w:r>
      <w:r w:rsidR="002B074A">
        <w:rPr>
          <w:color w:val="000000" w:themeColor="text1"/>
        </w:rPr>
        <w:t>red</w:t>
      </w:r>
      <w:r w:rsidRPr="008C4D92">
        <w:rPr>
          <w:color w:val="000000" w:themeColor="text1"/>
        </w:rPr>
        <w:t xml:space="preserve"> that those parties deliver to the </w:t>
      </w:r>
      <w:r w:rsidR="00A717BE" w:rsidRPr="008C4D92">
        <w:rPr>
          <w:color w:val="000000" w:themeColor="text1"/>
        </w:rPr>
        <w:t>plaintiffs</w:t>
      </w:r>
      <w:r w:rsidR="002E5643">
        <w:rPr>
          <w:color w:val="000000" w:themeColor="text1"/>
        </w:rPr>
        <w:t xml:space="preserve"> </w:t>
      </w:r>
      <w:r w:rsidRPr="008C4D92">
        <w:rPr>
          <w:color w:val="000000" w:themeColor="text1"/>
        </w:rPr>
        <w:t>all keys, alarm codes and other security and access devices pertaining to the property</w:t>
      </w:r>
      <w:r w:rsidR="00CB3B86" w:rsidRPr="008C4D92">
        <w:rPr>
          <w:color w:val="000000" w:themeColor="text1"/>
        </w:rPr>
        <w:t>,</w:t>
      </w:r>
      <w:r w:rsidRPr="008C4D92">
        <w:rPr>
          <w:color w:val="000000" w:themeColor="text1"/>
        </w:rPr>
        <w:t xml:space="preserve"> pending the determination of the proceedings.  He </w:t>
      </w:r>
      <w:r w:rsidR="00A717BE" w:rsidRPr="008C4D92">
        <w:rPr>
          <w:color w:val="000000" w:themeColor="text1"/>
        </w:rPr>
        <w:t xml:space="preserve">also </w:t>
      </w:r>
      <w:r w:rsidRPr="008C4D92">
        <w:rPr>
          <w:color w:val="000000" w:themeColor="text1"/>
        </w:rPr>
        <w:t>ordered a stay on the sale</w:t>
      </w:r>
      <w:r w:rsidR="00CB3B86" w:rsidRPr="008C4D92">
        <w:rPr>
          <w:color w:val="000000" w:themeColor="text1"/>
        </w:rPr>
        <w:t>,</w:t>
      </w:r>
      <w:r w:rsidRPr="008C4D92">
        <w:rPr>
          <w:color w:val="000000" w:themeColor="text1"/>
        </w:rPr>
        <w:t xml:space="preserve"> pending </w:t>
      </w:r>
      <w:r w:rsidR="00A717BE" w:rsidRPr="008C4D92">
        <w:rPr>
          <w:color w:val="000000" w:themeColor="text1"/>
        </w:rPr>
        <w:t>such determination.</w:t>
      </w:r>
      <w:r w:rsidRPr="008C4D92">
        <w:rPr>
          <w:color w:val="000000" w:themeColor="text1"/>
        </w:rPr>
        <w:t xml:space="preserve">  </w:t>
      </w:r>
      <w:r w:rsidR="00AA5DA6" w:rsidRPr="008C4D92">
        <w:rPr>
          <w:color w:val="000000" w:themeColor="text1"/>
        </w:rPr>
        <w:t>The</w:t>
      </w:r>
      <w:r w:rsidRPr="008C4D92">
        <w:rPr>
          <w:color w:val="000000" w:themeColor="text1"/>
        </w:rPr>
        <w:t xml:space="preserve"> issues raised in the case </w:t>
      </w:r>
      <w:r w:rsidR="00AA5DA6" w:rsidRPr="008C4D92">
        <w:rPr>
          <w:color w:val="000000" w:themeColor="text1"/>
        </w:rPr>
        <w:t>were dealt with in his</w:t>
      </w:r>
      <w:r w:rsidRPr="008C4D92">
        <w:rPr>
          <w:color w:val="000000" w:themeColor="text1"/>
        </w:rPr>
        <w:t xml:space="preserve"> judgment</w:t>
      </w:r>
      <w:r w:rsidR="002E5643">
        <w:rPr>
          <w:color w:val="000000" w:themeColor="text1"/>
        </w:rPr>
        <w:t>,</w:t>
      </w:r>
      <w:r w:rsidRPr="008C4D92">
        <w:rPr>
          <w:color w:val="000000" w:themeColor="text1"/>
        </w:rPr>
        <w:t xml:space="preserve"> </w:t>
      </w:r>
      <w:r w:rsidR="00034375">
        <w:rPr>
          <w:color w:val="000000" w:themeColor="text1"/>
        </w:rPr>
        <w:t xml:space="preserve">which was </w:t>
      </w:r>
      <w:r w:rsidRPr="008C4D92">
        <w:rPr>
          <w:color w:val="000000" w:themeColor="text1"/>
        </w:rPr>
        <w:t>delivered on the 20 February 2020.</w:t>
      </w:r>
    </w:p>
    <w:p w14:paraId="11CFD9B0" w14:textId="77777777" w:rsidR="00505593" w:rsidRPr="008C4D92" w:rsidRDefault="00505593" w:rsidP="008E25FE">
      <w:pPr>
        <w:spacing w:line="480" w:lineRule="auto"/>
        <w:jc w:val="both"/>
        <w:rPr>
          <w:color w:val="000000" w:themeColor="text1"/>
        </w:rPr>
      </w:pPr>
    </w:p>
    <w:p w14:paraId="6DDEE6FD" w14:textId="7FAD5BF6" w:rsidR="009C1652" w:rsidRPr="008C4D92" w:rsidRDefault="009C1652" w:rsidP="008E25FE">
      <w:pPr>
        <w:numPr>
          <w:ilvl w:val="0"/>
          <w:numId w:val="19"/>
        </w:numPr>
        <w:spacing w:line="480" w:lineRule="auto"/>
        <w:jc w:val="both"/>
        <w:rPr>
          <w:color w:val="000000" w:themeColor="text1"/>
        </w:rPr>
      </w:pPr>
      <w:r w:rsidRPr="008C4D92">
        <w:rPr>
          <w:color w:val="000000" w:themeColor="text1"/>
        </w:rPr>
        <w:t xml:space="preserve"> </w:t>
      </w:r>
      <w:r w:rsidR="00505593" w:rsidRPr="008C4D92">
        <w:rPr>
          <w:color w:val="000000" w:themeColor="text1"/>
        </w:rPr>
        <w:t>It may be noted that the appeal has been brought by Ms. Gleeson and not by Mr. Whit</w:t>
      </w:r>
      <w:r w:rsidR="002E258B">
        <w:rPr>
          <w:color w:val="000000" w:themeColor="text1"/>
        </w:rPr>
        <w:t>e</w:t>
      </w:r>
      <w:r w:rsidR="006C041C">
        <w:rPr>
          <w:color w:val="000000" w:themeColor="text1"/>
        </w:rPr>
        <w:t xml:space="preserve">, </w:t>
      </w:r>
      <w:r w:rsidR="003F0775" w:rsidRPr="008C4D92">
        <w:rPr>
          <w:color w:val="000000" w:themeColor="text1"/>
        </w:rPr>
        <w:t>although both</w:t>
      </w:r>
      <w:r w:rsidR="00085810" w:rsidRPr="008C4D92">
        <w:rPr>
          <w:color w:val="000000" w:themeColor="text1"/>
        </w:rPr>
        <w:t xml:space="preserve"> were defendants to the High Court proceedings</w:t>
      </w:r>
      <w:r w:rsidR="003F0775" w:rsidRPr="008C4D92">
        <w:rPr>
          <w:color w:val="000000" w:themeColor="text1"/>
        </w:rPr>
        <w:t xml:space="preserve">. The </w:t>
      </w:r>
      <w:r w:rsidR="00CB3B86" w:rsidRPr="008C4D92">
        <w:rPr>
          <w:color w:val="000000" w:themeColor="text1"/>
        </w:rPr>
        <w:t xml:space="preserve">defendants </w:t>
      </w:r>
      <w:r w:rsidR="00085810" w:rsidRPr="008C4D92">
        <w:rPr>
          <w:color w:val="000000" w:themeColor="text1"/>
        </w:rPr>
        <w:t>are a married couple</w:t>
      </w:r>
      <w:r w:rsidR="00CB3B86" w:rsidRPr="008C4D92">
        <w:rPr>
          <w:color w:val="000000" w:themeColor="text1"/>
        </w:rPr>
        <w:t>,</w:t>
      </w:r>
      <w:r w:rsidR="00085810" w:rsidRPr="008C4D92">
        <w:rPr>
          <w:color w:val="000000" w:themeColor="text1"/>
        </w:rPr>
        <w:t xml:space="preserve"> although estranged and living apart. </w:t>
      </w:r>
      <w:r w:rsidR="0018462A" w:rsidRPr="008C4D92">
        <w:rPr>
          <w:color w:val="000000" w:themeColor="text1"/>
        </w:rPr>
        <w:t xml:space="preserve">Objection has been taken by the respondents to the fact that </w:t>
      </w:r>
      <w:r w:rsidR="00B653C5" w:rsidRPr="008C4D92">
        <w:rPr>
          <w:color w:val="000000" w:themeColor="text1"/>
        </w:rPr>
        <w:t xml:space="preserve">the </w:t>
      </w:r>
      <w:r w:rsidR="0018462A" w:rsidRPr="008C4D92">
        <w:rPr>
          <w:color w:val="000000" w:themeColor="text1"/>
        </w:rPr>
        <w:t xml:space="preserve">appeal has been “reconstituted”, as they see it, and I will return to this point later. </w:t>
      </w:r>
      <w:r w:rsidR="003F167F" w:rsidRPr="008C4D92">
        <w:rPr>
          <w:color w:val="000000" w:themeColor="text1"/>
        </w:rPr>
        <w:t xml:space="preserve">For clarity, I will retain the nomenclature of the High Court and refer to Mr. White and Ms. Gleeson as </w:t>
      </w:r>
      <w:r w:rsidR="00D11002" w:rsidRPr="008C4D92">
        <w:rPr>
          <w:color w:val="000000" w:themeColor="text1"/>
        </w:rPr>
        <w:t>the</w:t>
      </w:r>
      <w:r w:rsidR="00420FE4" w:rsidRPr="008C4D92">
        <w:rPr>
          <w:color w:val="000000" w:themeColor="text1"/>
        </w:rPr>
        <w:t xml:space="preserve"> first and second defendants</w:t>
      </w:r>
      <w:r w:rsidR="00D11002" w:rsidRPr="008C4D92">
        <w:rPr>
          <w:color w:val="000000" w:themeColor="text1"/>
        </w:rPr>
        <w:t xml:space="preserve">, and the respondents as the plaintiffs. </w:t>
      </w:r>
    </w:p>
    <w:p w14:paraId="754B6E40" w14:textId="13A45FDE" w:rsidR="00271674" w:rsidRPr="009939CE" w:rsidRDefault="00D95CE3" w:rsidP="003E3AC9">
      <w:pPr>
        <w:pStyle w:val="Heading1"/>
        <w:rPr>
          <w:color w:val="000000" w:themeColor="text1"/>
          <w:sz w:val="28"/>
          <w:szCs w:val="28"/>
        </w:rPr>
      </w:pPr>
      <w:r w:rsidRPr="009939CE">
        <w:rPr>
          <w:color w:val="000000" w:themeColor="text1"/>
          <w:sz w:val="28"/>
          <w:szCs w:val="28"/>
        </w:rPr>
        <w:t>Background</w:t>
      </w:r>
    </w:p>
    <w:p w14:paraId="23FE74C2" w14:textId="00351A85" w:rsidR="007B40EA" w:rsidRPr="009939CE" w:rsidRDefault="007B40EA" w:rsidP="007B40EA">
      <w:pPr>
        <w:pStyle w:val="Heading3"/>
        <w:rPr>
          <w:color w:val="000000" w:themeColor="text1"/>
          <w:sz w:val="26"/>
          <w:szCs w:val="26"/>
        </w:rPr>
      </w:pPr>
      <w:r w:rsidRPr="009939CE">
        <w:rPr>
          <w:color w:val="000000" w:themeColor="text1"/>
          <w:sz w:val="26"/>
          <w:szCs w:val="26"/>
        </w:rPr>
        <w:t>The plaintiffs’ plenary proceedings and notice of motion</w:t>
      </w:r>
    </w:p>
    <w:p w14:paraId="24B75D54" w14:textId="77777777" w:rsidR="00F5229A" w:rsidRPr="008C4D92" w:rsidRDefault="00F5229A" w:rsidP="00F5229A">
      <w:pPr>
        <w:rPr>
          <w:color w:val="000000" w:themeColor="text1"/>
        </w:rPr>
      </w:pPr>
    </w:p>
    <w:p w14:paraId="69D181B0" w14:textId="294F0E9C" w:rsidR="009C1652" w:rsidRPr="008C4D92" w:rsidRDefault="009C1652" w:rsidP="008E25FE">
      <w:pPr>
        <w:numPr>
          <w:ilvl w:val="0"/>
          <w:numId w:val="19"/>
        </w:numPr>
        <w:spacing w:line="480" w:lineRule="auto"/>
        <w:jc w:val="both"/>
        <w:rPr>
          <w:color w:val="000000" w:themeColor="text1"/>
        </w:rPr>
      </w:pPr>
      <w:r w:rsidRPr="008C4D92">
        <w:rPr>
          <w:color w:val="000000" w:themeColor="text1"/>
        </w:rPr>
        <w:t xml:space="preserve"> </w:t>
      </w:r>
      <w:r w:rsidR="00D95CE3" w:rsidRPr="008C4D92">
        <w:rPr>
          <w:color w:val="000000" w:themeColor="text1"/>
        </w:rPr>
        <w:t xml:space="preserve">The </w:t>
      </w:r>
      <w:r w:rsidR="002944AA" w:rsidRPr="008C4D92">
        <w:rPr>
          <w:color w:val="000000" w:themeColor="text1"/>
        </w:rPr>
        <w:t>plaintiffs</w:t>
      </w:r>
      <w:r w:rsidR="00584C85" w:rsidRPr="008C4D92">
        <w:rPr>
          <w:color w:val="000000" w:themeColor="text1"/>
        </w:rPr>
        <w:t xml:space="preserve"> </w:t>
      </w:r>
      <w:r w:rsidR="00D95CE3" w:rsidRPr="008C4D92">
        <w:rPr>
          <w:color w:val="000000" w:themeColor="text1"/>
        </w:rPr>
        <w:t>issued a plenary summons on the 11 June 2019</w:t>
      </w:r>
      <w:r w:rsidR="005F43A8" w:rsidRPr="008C4D92">
        <w:rPr>
          <w:color w:val="000000" w:themeColor="text1"/>
        </w:rPr>
        <w:t xml:space="preserve"> in respect of </w:t>
      </w:r>
      <w:r w:rsidR="002944AA" w:rsidRPr="008C4D92">
        <w:rPr>
          <w:color w:val="000000" w:themeColor="text1"/>
        </w:rPr>
        <w:t>both defendants</w:t>
      </w:r>
      <w:r w:rsidR="00D95CE3" w:rsidRPr="008C4D92">
        <w:rPr>
          <w:color w:val="000000" w:themeColor="text1"/>
        </w:rPr>
        <w:t>.  Among the reliefs sought were:</w:t>
      </w:r>
    </w:p>
    <w:p w14:paraId="25692145" w14:textId="62B91AF2" w:rsidR="00D95CE3" w:rsidRPr="008C4D92" w:rsidRDefault="00D95CE3" w:rsidP="00984D59">
      <w:pPr>
        <w:pStyle w:val="ListParagraph"/>
        <w:numPr>
          <w:ilvl w:val="0"/>
          <w:numId w:val="28"/>
        </w:numPr>
        <w:spacing w:line="480" w:lineRule="auto"/>
        <w:ind w:left="1134" w:hanging="567"/>
        <w:jc w:val="both"/>
        <w:rPr>
          <w:color w:val="000000" w:themeColor="text1"/>
        </w:rPr>
      </w:pPr>
      <w:r w:rsidRPr="008C4D92">
        <w:rPr>
          <w:color w:val="000000" w:themeColor="text1"/>
        </w:rPr>
        <w:t xml:space="preserve">A declaration that the first </w:t>
      </w:r>
      <w:r w:rsidR="006155A5" w:rsidRPr="008C4D92">
        <w:rPr>
          <w:color w:val="000000" w:themeColor="text1"/>
        </w:rPr>
        <w:t>plaintiff</w:t>
      </w:r>
      <w:r w:rsidRPr="008C4D92">
        <w:rPr>
          <w:color w:val="000000" w:themeColor="text1"/>
        </w:rPr>
        <w:t xml:space="preserve"> acquired loan facilities and mortgage securities </w:t>
      </w:r>
      <w:r w:rsidR="002E5643">
        <w:rPr>
          <w:color w:val="000000" w:themeColor="text1"/>
        </w:rPr>
        <w:t xml:space="preserve">which were </w:t>
      </w:r>
      <w:r w:rsidRPr="008C4D92">
        <w:rPr>
          <w:color w:val="000000" w:themeColor="text1"/>
        </w:rPr>
        <w:t xml:space="preserve">originally agreed with the defendants and AIB to include </w:t>
      </w:r>
      <w:r w:rsidRPr="008C4D92">
        <w:rPr>
          <w:color w:val="000000" w:themeColor="text1"/>
        </w:rPr>
        <w:lastRenderedPageBreak/>
        <w:t xml:space="preserve">the mortgage security executed by the defendants in favour of AIB Plc on </w:t>
      </w:r>
      <w:r w:rsidR="00CB3B86" w:rsidRPr="008C4D92">
        <w:rPr>
          <w:color w:val="000000" w:themeColor="text1"/>
        </w:rPr>
        <w:t xml:space="preserve">the </w:t>
      </w:r>
      <w:r w:rsidRPr="008C4D92">
        <w:rPr>
          <w:color w:val="000000" w:themeColor="text1"/>
        </w:rPr>
        <w:t xml:space="preserve">12 August 1998 in respect of </w:t>
      </w:r>
      <w:r w:rsidR="00DD70F4" w:rsidRPr="008C4D92">
        <w:rPr>
          <w:color w:val="000000" w:themeColor="text1"/>
        </w:rPr>
        <w:t xml:space="preserve">the </w:t>
      </w:r>
      <w:r w:rsidR="00091A7A" w:rsidRPr="008C4D92">
        <w:rPr>
          <w:color w:val="000000" w:themeColor="text1"/>
        </w:rPr>
        <w:t xml:space="preserve">Avoca </w:t>
      </w:r>
      <w:r w:rsidR="00DD70F4" w:rsidRPr="008C4D92">
        <w:rPr>
          <w:color w:val="000000" w:themeColor="text1"/>
        </w:rPr>
        <w:t>property.</w:t>
      </w:r>
    </w:p>
    <w:p w14:paraId="4D2E0FDC" w14:textId="138D42F3" w:rsidR="00D95CE3" w:rsidRPr="008C4D92" w:rsidRDefault="0054189A" w:rsidP="00984D59">
      <w:pPr>
        <w:pStyle w:val="ListParagraph"/>
        <w:numPr>
          <w:ilvl w:val="0"/>
          <w:numId w:val="28"/>
        </w:numPr>
        <w:spacing w:line="480" w:lineRule="auto"/>
        <w:ind w:left="1134" w:hanging="567"/>
        <w:jc w:val="both"/>
        <w:rPr>
          <w:color w:val="000000" w:themeColor="text1"/>
        </w:rPr>
      </w:pPr>
      <w:r w:rsidRPr="008C4D92">
        <w:rPr>
          <w:color w:val="000000" w:themeColor="text1"/>
        </w:rPr>
        <w:t>A declaration t</w:t>
      </w:r>
      <w:r w:rsidR="00D95CE3" w:rsidRPr="008C4D92">
        <w:rPr>
          <w:color w:val="000000" w:themeColor="text1"/>
        </w:rPr>
        <w:t>hat the second and third plaintiffs were lawfully appointed as receivers over the property on the 13 October 2017 by instrument of appointment of that date and on foot of a receiver novation deed dated the 2 August 2018.</w:t>
      </w:r>
    </w:p>
    <w:p w14:paraId="7B2342CF" w14:textId="29B5647C" w:rsidR="00D95CE3" w:rsidRPr="008C4D92" w:rsidRDefault="00D95CE3" w:rsidP="00984D59">
      <w:pPr>
        <w:pStyle w:val="ListParagraph"/>
        <w:numPr>
          <w:ilvl w:val="0"/>
          <w:numId w:val="28"/>
        </w:numPr>
        <w:spacing w:line="480" w:lineRule="auto"/>
        <w:ind w:left="1134" w:hanging="567"/>
        <w:jc w:val="both"/>
        <w:rPr>
          <w:color w:val="000000" w:themeColor="text1"/>
        </w:rPr>
      </w:pPr>
      <w:r w:rsidRPr="008C4D92">
        <w:rPr>
          <w:color w:val="000000" w:themeColor="text1"/>
        </w:rPr>
        <w:t xml:space="preserve">A declaration that </w:t>
      </w:r>
      <w:r w:rsidR="00DD70F4" w:rsidRPr="008C4D92">
        <w:rPr>
          <w:color w:val="000000" w:themeColor="text1"/>
        </w:rPr>
        <w:t xml:space="preserve">a </w:t>
      </w:r>
      <w:r w:rsidRPr="008C4D92">
        <w:rPr>
          <w:color w:val="000000" w:themeColor="text1"/>
        </w:rPr>
        <w:t>purported letting of the property by the defendan</w:t>
      </w:r>
      <w:r w:rsidR="00A95155" w:rsidRPr="008C4D92">
        <w:rPr>
          <w:color w:val="000000" w:themeColor="text1"/>
        </w:rPr>
        <w:t>ts was in breach of the covenants</w:t>
      </w:r>
      <w:r w:rsidRPr="008C4D92">
        <w:rPr>
          <w:color w:val="000000" w:themeColor="text1"/>
        </w:rPr>
        <w:t xml:space="preserve"> under the mortgage dated 12 August 1998 and in particular </w:t>
      </w:r>
      <w:r w:rsidR="00CB3B86" w:rsidRPr="008C4D92">
        <w:rPr>
          <w:color w:val="000000" w:themeColor="text1"/>
        </w:rPr>
        <w:t>C</w:t>
      </w:r>
      <w:r w:rsidRPr="008C4D92">
        <w:rPr>
          <w:color w:val="000000" w:themeColor="text1"/>
        </w:rPr>
        <w:t>lause 5(j)</w:t>
      </w:r>
      <w:r w:rsidR="00DD70F4" w:rsidRPr="008C4D92">
        <w:rPr>
          <w:color w:val="000000" w:themeColor="text1"/>
        </w:rPr>
        <w:t xml:space="preserve"> thereof.</w:t>
      </w:r>
    </w:p>
    <w:p w14:paraId="12C701E1" w14:textId="566DE9AC" w:rsidR="00D95CE3" w:rsidRPr="008C4D92" w:rsidRDefault="00D95CE3" w:rsidP="00984D59">
      <w:pPr>
        <w:pStyle w:val="ListParagraph"/>
        <w:numPr>
          <w:ilvl w:val="0"/>
          <w:numId w:val="28"/>
        </w:numPr>
        <w:spacing w:line="480" w:lineRule="auto"/>
        <w:ind w:left="1134" w:hanging="567"/>
        <w:jc w:val="both"/>
        <w:rPr>
          <w:color w:val="000000" w:themeColor="text1"/>
        </w:rPr>
      </w:pPr>
      <w:r w:rsidRPr="008C4D92">
        <w:rPr>
          <w:color w:val="000000" w:themeColor="text1"/>
        </w:rPr>
        <w:t>An order to surrender vacant possession of the property</w:t>
      </w:r>
      <w:r w:rsidR="006D3BDE" w:rsidRPr="008C4D92">
        <w:rPr>
          <w:color w:val="000000" w:themeColor="text1"/>
        </w:rPr>
        <w:t xml:space="preserve"> and various related orders</w:t>
      </w:r>
      <w:r w:rsidRPr="008C4D92">
        <w:rPr>
          <w:color w:val="000000" w:themeColor="text1"/>
        </w:rPr>
        <w:t>.</w:t>
      </w:r>
    </w:p>
    <w:p w14:paraId="779FBFD2" w14:textId="77777777" w:rsidR="009C1652" w:rsidRPr="008C4D92" w:rsidRDefault="009C1652" w:rsidP="008E25FE">
      <w:pPr>
        <w:spacing w:line="480" w:lineRule="auto"/>
        <w:jc w:val="both"/>
        <w:rPr>
          <w:color w:val="000000" w:themeColor="text1"/>
        </w:rPr>
      </w:pPr>
    </w:p>
    <w:p w14:paraId="5AFE822D" w14:textId="70D4EF08" w:rsidR="00F055C7" w:rsidRPr="008C4D92" w:rsidRDefault="009C1652" w:rsidP="00826C94">
      <w:pPr>
        <w:numPr>
          <w:ilvl w:val="0"/>
          <w:numId w:val="19"/>
        </w:numPr>
        <w:spacing w:line="480" w:lineRule="auto"/>
        <w:jc w:val="both"/>
        <w:rPr>
          <w:color w:val="000000" w:themeColor="text1"/>
        </w:rPr>
      </w:pPr>
      <w:r w:rsidRPr="008C4D92">
        <w:rPr>
          <w:color w:val="000000" w:themeColor="text1"/>
        </w:rPr>
        <w:t xml:space="preserve"> </w:t>
      </w:r>
      <w:r w:rsidR="00826C94" w:rsidRPr="008C4D92">
        <w:rPr>
          <w:color w:val="000000" w:themeColor="text1"/>
        </w:rPr>
        <w:t xml:space="preserve">By notice of motion issued on the 12 June 2019, the plaintiffs sought </w:t>
      </w:r>
      <w:r w:rsidR="00D95CE3" w:rsidRPr="008C4D92">
        <w:rPr>
          <w:color w:val="000000" w:themeColor="text1"/>
        </w:rPr>
        <w:t xml:space="preserve">an interlocutory injunction </w:t>
      </w:r>
      <w:r w:rsidR="00796F8E" w:rsidRPr="008C4D92">
        <w:rPr>
          <w:color w:val="000000" w:themeColor="text1"/>
        </w:rPr>
        <w:t>to</w:t>
      </w:r>
      <w:r w:rsidR="00D95CE3" w:rsidRPr="008C4D92">
        <w:rPr>
          <w:color w:val="000000" w:themeColor="text1"/>
        </w:rPr>
        <w:t xml:space="preserve"> obtain vacant possession of the property together with orders prohibiting the</w:t>
      </w:r>
      <w:r w:rsidR="002D2196" w:rsidRPr="008C4D92">
        <w:rPr>
          <w:color w:val="000000" w:themeColor="text1"/>
        </w:rPr>
        <w:t xml:space="preserve"> defendants</w:t>
      </w:r>
      <w:r w:rsidR="00D95CE3" w:rsidRPr="008C4D92">
        <w:rPr>
          <w:color w:val="000000" w:themeColor="text1"/>
        </w:rPr>
        <w:t xml:space="preserve"> from impeding or obstructing the plaintiff</w:t>
      </w:r>
      <w:r w:rsidR="00796F8E" w:rsidRPr="008C4D92">
        <w:rPr>
          <w:color w:val="000000" w:themeColor="text1"/>
        </w:rPr>
        <w:t>s</w:t>
      </w:r>
      <w:r w:rsidR="00D95CE3" w:rsidRPr="008C4D92">
        <w:rPr>
          <w:color w:val="000000" w:themeColor="text1"/>
        </w:rPr>
        <w:t xml:space="preserve"> </w:t>
      </w:r>
      <w:r w:rsidR="00755202" w:rsidRPr="008C4D92">
        <w:rPr>
          <w:color w:val="000000" w:themeColor="text1"/>
        </w:rPr>
        <w:t xml:space="preserve">(and related orders) </w:t>
      </w:r>
      <w:r w:rsidR="00826C94" w:rsidRPr="008C4D92">
        <w:rPr>
          <w:color w:val="000000" w:themeColor="text1"/>
        </w:rPr>
        <w:t xml:space="preserve">pending the determination of the proceedings. </w:t>
      </w:r>
      <w:r w:rsidRPr="008C4D92">
        <w:rPr>
          <w:color w:val="000000" w:themeColor="text1"/>
        </w:rPr>
        <w:t xml:space="preserve"> </w:t>
      </w:r>
    </w:p>
    <w:p w14:paraId="33E306C9" w14:textId="77777777" w:rsidR="00F055C7" w:rsidRPr="008C4D92" w:rsidRDefault="00F055C7" w:rsidP="00F055C7">
      <w:pPr>
        <w:spacing w:line="480" w:lineRule="auto"/>
        <w:jc w:val="both"/>
        <w:rPr>
          <w:color w:val="000000" w:themeColor="text1"/>
        </w:rPr>
      </w:pPr>
    </w:p>
    <w:p w14:paraId="28AEC5B5" w14:textId="5BE78FC8" w:rsidR="009C1652" w:rsidRPr="008C4D92" w:rsidRDefault="00D95CE3" w:rsidP="00826C94">
      <w:pPr>
        <w:numPr>
          <w:ilvl w:val="0"/>
          <w:numId w:val="19"/>
        </w:numPr>
        <w:spacing w:line="480" w:lineRule="auto"/>
        <w:jc w:val="both"/>
        <w:rPr>
          <w:color w:val="000000" w:themeColor="text1"/>
        </w:rPr>
      </w:pPr>
      <w:r w:rsidRPr="008C4D92">
        <w:rPr>
          <w:color w:val="000000" w:themeColor="text1"/>
        </w:rPr>
        <w:t>The motion was grounded on the affidavit of Stephe</w:t>
      </w:r>
      <w:r w:rsidR="00E81ABA" w:rsidRPr="008C4D92">
        <w:rPr>
          <w:color w:val="000000" w:themeColor="text1"/>
        </w:rPr>
        <w:t xml:space="preserve">n Tennant, Chartered Accountant, </w:t>
      </w:r>
      <w:r w:rsidR="002E5643">
        <w:rPr>
          <w:color w:val="000000" w:themeColor="text1"/>
        </w:rPr>
        <w:t xml:space="preserve">of </w:t>
      </w:r>
      <w:r w:rsidR="00E81ABA" w:rsidRPr="008C4D92">
        <w:rPr>
          <w:color w:val="000000" w:themeColor="text1"/>
        </w:rPr>
        <w:t>one of the receivers</w:t>
      </w:r>
      <w:r w:rsidR="0097111C" w:rsidRPr="008C4D92">
        <w:rPr>
          <w:color w:val="000000" w:themeColor="text1"/>
        </w:rPr>
        <w:t>, who is the second plaintiff</w:t>
      </w:r>
      <w:r w:rsidR="00E81ABA" w:rsidRPr="008C4D92">
        <w:rPr>
          <w:color w:val="000000" w:themeColor="text1"/>
        </w:rPr>
        <w:t>.  The affidavit was sworn</w:t>
      </w:r>
      <w:r w:rsidR="00CB3B86" w:rsidRPr="008C4D92">
        <w:rPr>
          <w:color w:val="000000" w:themeColor="text1"/>
        </w:rPr>
        <w:t xml:space="preserve"> on the</w:t>
      </w:r>
      <w:r w:rsidR="00E81ABA" w:rsidRPr="008C4D92">
        <w:rPr>
          <w:color w:val="000000" w:themeColor="text1"/>
        </w:rPr>
        <w:t xml:space="preserve"> 6 June 2019.  </w:t>
      </w:r>
      <w:r w:rsidR="005F6B8D" w:rsidRPr="008C4D92">
        <w:rPr>
          <w:color w:val="000000" w:themeColor="text1"/>
        </w:rPr>
        <w:t>He exhibited a number of key documents</w:t>
      </w:r>
      <w:r w:rsidR="001673EE" w:rsidRPr="008C4D92">
        <w:rPr>
          <w:color w:val="000000" w:themeColor="text1"/>
        </w:rPr>
        <w:t xml:space="preserve">. </w:t>
      </w:r>
      <w:r w:rsidR="00F3222B" w:rsidRPr="008C4D92">
        <w:rPr>
          <w:color w:val="000000" w:themeColor="text1"/>
        </w:rPr>
        <w:t xml:space="preserve">The first document is a </w:t>
      </w:r>
      <w:r w:rsidR="00DA1D2F" w:rsidRPr="008C4D92">
        <w:rPr>
          <w:color w:val="000000" w:themeColor="text1"/>
        </w:rPr>
        <w:t>Deed of Mortgage</w:t>
      </w:r>
      <w:r w:rsidR="00F3222B" w:rsidRPr="008C4D92">
        <w:rPr>
          <w:color w:val="000000" w:themeColor="text1"/>
        </w:rPr>
        <w:t xml:space="preserve"> from 1998 between AIB and both defendants. The second is a letter of loan offer from 2008 from AIB to the </w:t>
      </w:r>
      <w:r w:rsidR="00283F52" w:rsidRPr="008C4D92">
        <w:rPr>
          <w:color w:val="000000" w:themeColor="text1"/>
        </w:rPr>
        <w:t>first defendant</w:t>
      </w:r>
      <w:r w:rsidR="005F6EFE" w:rsidRPr="008C4D92">
        <w:rPr>
          <w:color w:val="000000" w:themeColor="text1"/>
        </w:rPr>
        <w:t xml:space="preserve">. </w:t>
      </w:r>
      <w:r w:rsidR="001673EE" w:rsidRPr="008C4D92">
        <w:rPr>
          <w:color w:val="000000" w:themeColor="text1"/>
        </w:rPr>
        <w:t xml:space="preserve">I will return in further detail to these documents later as some of the legal argument turns on an interpretation of their provisions. </w:t>
      </w:r>
    </w:p>
    <w:p w14:paraId="0BDB16EB" w14:textId="77777777" w:rsidR="001673EE" w:rsidRPr="008C4D92" w:rsidRDefault="001673EE" w:rsidP="001673EE">
      <w:pPr>
        <w:spacing w:line="480" w:lineRule="auto"/>
        <w:jc w:val="both"/>
        <w:rPr>
          <w:color w:val="000000" w:themeColor="text1"/>
        </w:rPr>
      </w:pPr>
    </w:p>
    <w:p w14:paraId="1080710B" w14:textId="09E86F33" w:rsidR="00F3222B" w:rsidRPr="008C4D92" w:rsidRDefault="00F3222B" w:rsidP="00F3222B">
      <w:pPr>
        <w:numPr>
          <w:ilvl w:val="0"/>
          <w:numId w:val="19"/>
        </w:numPr>
        <w:spacing w:line="480" w:lineRule="auto"/>
        <w:jc w:val="both"/>
        <w:rPr>
          <w:b/>
          <w:i/>
          <w:color w:val="000000" w:themeColor="text1"/>
        </w:rPr>
      </w:pPr>
      <w:r w:rsidRPr="008C4D92">
        <w:rPr>
          <w:color w:val="000000" w:themeColor="text1"/>
        </w:rPr>
        <w:t xml:space="preserve">The second plaintiff </w:t>
      </w:r>
      <w:r w:rsidR="00F055C7" w:rsidRPr="008C4D92">
        <w:rPr>
          <w:color w:val="000000" w:themeColor="text1"/>
        </w:rPr>
        <w:t xml:space="preserve">averred </w:t>
      </w:r>
      <w:r w:rsidRPr="008C4D92">
        <w:rPr>
          <w:color w:val="000000" w:themeColor="text1"/>
        </w:rPr>
        <w:t xml:space="preserve">that the first plaintiff acquired the rights, interests and benefits of AIB in the loan facilities and mortgage security which the defendants had with </w:t>
      </w:r>
      <w:r w:rsidRPr="008C4D92">
        <w:rPr>
          <w:color w:val="000000" w:themeColor="text1"/>
        </w:rPr>
        <w:lastRenderedPageBreak/>
        <w:t xml:space="preserve">AIB under a </w:t>
      </w:r>
      <w:r w:rsidR="00A33BD3" w:rsidRPr="008C4D92">
        <w:rPr>
          <w:color w:val="000000" w:themeColor="text1"/>
        </w:rPr>
        <w:t xml:space="preserve">Global </w:t>
      </w:r>
      <w:r w:rsidRPr="008C4D92">
        <w:rPr>
          <w:color w:val="000000" w:themeColor="text1"/>
        </w:rPr>
        <w:t>Deed of Transfer dated the 2 August 2018</w:t>
      </w:r>
      <w:r w:rsidR="00A36358" w:rsidRPr="008C4D92">
        <w:rPr>
          <w:color w:val="000000" w:themeColor="text1"/>
        </w:rPr>
        <w:t xml:space="preserve">, </w:t>
      </w:r>
      <w:r w:rsidRPr="008C4D92">
        <w:rPr>
          <w:color w:val="000000" w:themeColor="text1"/>
        </w:rPr>
        <w:t xml:space="preserve">which was subsequently amended by an Amendment and Restatement Deed dated the 22 October 2018. </w:t>
      </w:r>
      <w:r w:rsidR="009C14F0" w:rsidRPr="008C4D92">
        <w:rPr>
          <w:color w:val="000000" w:themeColor="text1"/>
        </w:rPr>
        <w:t>He exhibit</w:t>
      </w:r>
      <w:r w:rsidR="00A36358" w:rsidRPr="008C4D92">
        <w:rPr>
          <w:color w:val="000000" w:themeColor="text1"/>
        </w:rPr>
        <w:t>ed</w:t>
      </w:r>
      <w:r w:rsidR="009C14F0" w:rsidRPr="008C4D92">
        <w:rPr>
          <w:color w:val="000000" w:themeColor="text1"/>
        </w:rPr>
        <w:t xml:space="preserve"> both of those documents. </w:t>
      </w:r>
      <w:r w:rsidR="0001761F" w:rsidRPr="008C4D92">
        <w:rPr>
          <w:color w:val="000000" w:themeColor="text1"/>
        </w:rPr>
        <w:t xml:space="preserve">Again, I will return in further detail to these documents later, as complaints are made by the </w:t>
      </w:r>
      <w:r w:rsidR="0061417C" w:rsidRPr="008C4D92">
        <w:rPr>
          <w:color w:val="000000" w:themeColor="text1"/>
        </w:rPr>
        <w:t>second defendant</w:t>
      </w:r>
      <w:r w:rsidR="0001761F" w:rsidRPr="008C4D92">
        <w:rPr>
          <w:color w:val="000000" w:themeColor="text1"/>
        </w:rPr>
        <w:t xml:space="preserve"> about </w:t>
      </w:r>
      <w:r w:rsidR="00375FA2" w:rsidRPr="008C4D92">
        <w:rPr>
          <w:color w:val="000000" w:themeColor="text1"/>
        </w:rPr>
        <w:t xml:space="preserve">errors within them. </w:t>
      </w:r>
    </w:p>
    <w:p w14:paraId="28AD60B1" w14:textId="77777777" w:rsidR="0001761F" w:rsidRPr="008C4D92" w:rsidRDefault="0001761F" w:rsidP="0001761F">
      <w:pPr>
        <w:pStyle w:val="ListParagraph"/>
        <w:rPr>
          <w:b/>
          <w:i/>
          <w:color w:val="000000" w:themeColor="text1"/>
        </w:rPr>
      </w:pPr>
    </w:p>
    <w:p w14:paraId="621A5EA2" w14:textId="77777777" w:rsidR="0001761F" w:rsidRPr="008C4D92" w:rsidRDefault="0001761F" w:rsidP="0001761F">
      <w:pPr>
        <w:spacing w:line="480" w:lineRule="auto"/>
        <w:jc w:val="both"/>
        <w:rPr>
          <w:b/>
          <w:i/>
          <w:color w:val="000000" w:themeColor="text1"/>
        </w:rPr>
      </w:pPr>
    </w:p>
    <w:p w14:paraId="5393249E" w14:textId="7CC1D817" w:rsidR="00B07612" w:rsidRPr="008C4D92" w:rsidRDefault="00A3277B" w:rsidP="00B07612">
      <w:pPr>
        <w:numPr>
          <w:ilvl w:val="0"/>
          <w:numId w:val="19"/>
        </w:numPr>
        <w:spacing w:line="480" w:lineRule="auto"/>
        <w:jc w:val="both"/>
        <w:rPr>
          <w:color w:val="000000" w:themeColor="text1"/>
        </w:rPr>
      </w:pPr>
      <w:r w:rsidRPr="008C4D92">
        <w:rPr>
          <w:color w:val="000000" w:themeColor="text1"/>
        </w:rPr>
        <w:t>In his first affidavit, the</w:t>
      </w:r>
      <w:r w:rsidR="00B07612" w:rsidRPr="008C4D92">
        <w:rPr>
          <w:color w:val="000000" w:themeColor="text1"/>
        </w:rPr>
        <w:t xml:space="preserve"> second plaintiff aver</w:t>
      </w:r>
      <w:r w:rsidR="00A36358" w:rsidRPr="008C4D92">
        <w:rPr>
          <w:color w:val="000000" w:themeColor="text1"/>
        </w:rPr>
        <w:t>red</w:t>
      </w:r>
      <w:r w:rsidR="00B07612" w:rsidRPr="008C4D92">
        <w:rPr>
          <w:color w:val="000000" w:themeColor="text1"/>
        </w:rPr>
        <w:t xml:space="preserve"> that the defendants </w:t>
      </w:r>
      <w:r w:rsidR="006C041C">
        <w:rPr>
          <w:color w:val="000000" w:themeColor="text1"/>
        </w:rPr>
        <w:t>were</w:t>
      </w:r>
      <w:r w:rsidR="00B07612" w:rsidRPr="008C4D92">
        <w:rPr>
          <w:color w:val="000000" w:themeColor="text1"/>
        </w:rPr>
        <w:t xml:space="preserve"> husband and wife and </w:t>
      </w:r>
      <w:r w:rsidR="004D4B5C" w:rsidRPr="008C4D92">
        <w:rPr>
          <w:color w:val="000000" w:themeColor="text1"/>
        </w:rPr>
        <w:t xml:space="preserve">that they </w:t>
      </w:r>
      <w:r w:rsidR="00B07612" w:rsidRPr="008C4D92">
        <w:rPr>
          <w:color w:val="000000" w:themeColor="text1"/>
        </w:rPr>
        <w:t>resided at 32 Willow Terrace, Blackrock, Co. Dublin</w:t>
      </w:r>
      <w:r w:rsidR="00CB3B86" w:rsidRPr="008C4D92">
        <w:rPr>
          <w:color w:val="000000" w:themeColor="text1"/>
        </w:rPr>
        <w:t>,</w:t>
      </w:r>
      <w:r w:rsidR="00851C83" w:rsidRPr="008C4D92">
        <w:rPr>
          <w:color w:val="000000" w:themeColor="text1"/>
        </w:rPr>
        <w:t xml:space="preserve"> i.e. an address other than the </w:t>
      </w:r>
      <w:r w:rsidR="00D27BEC" w:rsidRPr="008C4D92">
        <w:rPr>
          <w:color w:val="000000" w:themeColor="text1"/>
        </w:rPr>
        <w:t xml:space="preserve">Avoca </w:t>
      </w:r>
      <w:r w:rsidR="00851C83" w:rsidRPr="008C4D92">
        <w:rPr>
          <w:color w:val="000000" w:themeColor="text1"/>
        </w:rPr>
        <w:t>property</w:t>
      </w:r>
      <w:r w:rsidR="00B07612" w:rsidRPr="008C4D92">
        <w:rPr>
          <w:color w:val="000000" w:themeColor="text1"/>
        </w:rPr>
        <w:t xml:space="preserve">. He says that prior to the first plaintiff acquiring the </w:t>
      </w:r>
      <w:r w:rsidR="004D4B5C" w:rsidRPr="008C4D92">
        <w:rPr>
          <w:color w:val="000000" w:themeColor="text1"/>
        </w:rPr>
        <w:t>defendants’</w:t>
      </w:r>
      <w:r w:rsidR="00B07612" w:rsidRPr="008C4D92">
        <w:rPr>
          <w:color w:val="000000" w:themeColor="text1"/>
        </w:rPr>
        <w:t xml:space="preserve"> loan facilities and mortgage </w:t>
      </w:r>
      <w:r w:rsidR="0043323F" w:rsidRPr="008C4D92">
        <w:rPr>
          <w:color w:val="000000" w:themeColor="text1"/>
        </w:rPr>
        <w:t>from</w:t>
      </w:r>
      <w:r w:rsidR="00B07612" w:rsidRPr="008C4D92">
        <w:rPr>
          <w:color w:val="000000" w:themeColor="text1"/>
        </w:rPr>
        <w:t xml:space="preserve"> AIB, the defendants had already defaulted in complying with the terms and conditions of their loan facility.  </w:t>
      </w:r>
      <w:r w:rsidR="004D4B5C" w:rsidRPr="008C4D92">
        <w:rPr>
          <w:color w:val="000000" w:themeColor="text1"/>
        </w:rPr>
        <w:t>He exhibit</w:t>
      </w:r>
      <w:r w:rsidR="00A36358" w:rsidRPr="008C4D92">
        <w:rPr>
          <w:color w:val="000000" w:themeColor="text1"/>
        </w:rPr>
        <w:t xml:space="preserve">ed </w:t>
      </w:r>
      <w:r w:rsidR="004D4B5C" w:rsidRPr="008C4D92">
        <w:rPr>
          <w:color w:val="000000" w:themeColor="text1"/>
        </w:rPr>
        <w:t>formal</w:t>
      </w:r>
      <w:r w:rsidR="00B07612" w:rsidRPr="008C4D92">
        <w:rPr>
          <w:color w:val="000000" w:themeColor="text1"/>
        </w:rPr>
        <w:t xml:space="preserve"> letters of demand issued from AIB in this regard</w:t>
      </w:r>
      <w:r w:rsidR="004D4B5C" w:rsidRPr="008C4D92">
        <w:rPr>
          <w:color w:val="000000" w:themeColor="text1"/>
        </w:rPr>
        <w:t>, dated</w:t>
      </w:r>
      <w:r w:rsidR="00B07612" w:rsidRPr="008C4D92">
        <w:rPr>
          <w:color w:val="000000" w:themeColor="text1"/>
        </w:rPr>
        <w:t xml:space="preserve"> the 15 December 2016 and the 3 April 2017.  The letter of </w:t>
      </w:r>
      <w:r w:rsidR="00CB3B86" w:rsidRPr="008C4D92">
        <w:rPr>
          <w:color w:val="000000" w:themeColor="text1"/>
        </w:rPr>
        <w:t xml:space="preserve">the </w:t>
      </w:r>
      <w:r w:rsidR="00B07612" w:rsidRPr="008C4D92">
        <w:rPr>
          <w:color w:val="000000" w:themeColor="text1"/>
        </w:rPr>
        <w:t xml:space="preserve">15 December </w:t>
      </w:r>
      <w:r w:rsidR="00A9250B" w:rsidRPr="008C4D92">
        <w:rPr>
          <w:color w:val="000000" w:themeColor="text1"/>
        </w:rPr>
        <w:t>201</w:t>
      </w:r>
      <w:r w:rsidR="00A9250B">
        <w:rPr>
          <w:color w:val="000000" w:themeColor="text1"/>
        </w:rPr>
        <w:t xml:space="preserve">6 </w:t>
      </w:r>
      <w:r w:rsidR="00B07612" w:rsidRPr="008C4D92">
        <w:rPr>
          <w:color w:val="000000" w:themeColor="text1"/>
        </w:rPr>
        <w:t>refers to a “credit agreement”</w:t>
      </w:r>
      <w:r w:rsidR="00B07612" w:rsidRPr="008C4D92">
        <w:rPr>
          <w:i/>
          <w:color w:val="000000" w:themeColor="text1"/>
        </w:rPr>
        <w:t xml:space="preserve"> </w:t>
      </w:r>
      <w:r w:rsidR="00B07612" w:rsidRPr="008C4D92">
        <w:rPr>
          <w:color w:val="000000" w:themeColor="text1"/>
        </w:rPr>
        <w:t>and says that the balance due in connection with the credit agreement is €32,436.17.  There is a further letter in this regard on the 3 April 2017</w:t>
      </w:r>
      <w:r w:rsidR="00A36358" w:rsidRPr="008C4D92">
        <w:rPr>
          <w:color w:val="000000" w:themeColor="text1"/>
        </w:rPr>
        <w:t>, as well as</w:t>
      </w:r>
      <w:r w:rsidR="00B07612" w:rsidRPr="008C4D92">
        <w:rPr>
          <w:color w:val="000000" w:themeColor="text1"/>
        </w:rPr>
        <w:t xml:space="preserve"> a letter of the same date referring to </w:t>
      </w:r>
      <w:r w:rsidR="004D4B5C" w:rsidRPr="008C4D92">
        <w:rPr>
          <w:color w:val="000000" w:themeColor="text1"/>
        </w:rPr>
        <w:t>a</w:t>
      </w:r>
      <w:r w:rsidR="00B07612" w:rsidRPr="008C4D92">
        <w:rPr>
          <w:color w:val="000000" w:themeColor="text1"/>
        </w:rPr>
        <w:t xml:space="preserve"> “housing loan agreement”, which says that the total balance due at that stage </w:t>
      </w:r>
      <w:r w:rsidR="00CB3B86" w:rsidRPr="008C4D92">
        <w:rPr>
          <w:color w:val="000000" w:themeColor="text1"/>
        </w:rPr>
        <w:t>was</w:t>
      </w:r>
      <w:r w:rsidR="00B07612" w:rsidRPr="008C4D92">
        <w:rPr>
          <w:color w:val="000000" w:themeColor="text1"/>
        </w:rPr>
        <w:t xml:space="preserve"> €2,908,121.52. </w:t>
      </w:r>
    </w:p>
    <w:p w14:paraId="4EF09312" w14:textId="77777777" w:rsidR="00B07612" w:rsidRPr="008C4D92" w:rsidRDefault="00B07612" w:rsidP="00B07612">
      <w:pPr>
        <w:spacing w:line="480" w:lineRule="auto"/>
        <w:jc w:val="both"/>
        <w:rPr>
          <w:color w:val="000000" w:themeColor="text1"/>
        </w:rPr>
      </w:pPr>
    </w:p>
    <w:p w14:paraId="7E46F2ED" w14:textId="5916ED1C" w:rsidR="00B07612"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The second plaintiff sa</w:t>
      </w:r>
      <w:r w:rsidR="00F34528" w:rsidRPr="008C4D92">
        <w:rPr>
          <w:color w:val="000000" w:themeColor="text1"/>
        </w:rPr>
        <w:t>id</w:t>
      </w:r>
      <w:r w:rsidRPr="008C4D92">
        <w:rPr>
          <w:color w:val="000000" w:themeColor="text1"/>
        </w:rPr>
        <w:t xml:space="preserve"> that the letters of demand were not replied to by the defendants and following their appointment as receivers, the second and third plaintiffs wrote to the occupiers of the premises and requested that any rental payments being discharged</w:t>
      </w:r>
      <w:r w:rsidR="00851C83" w:rsidRPr="008C4D92">
        <w:rPr>
          <w:color w:val="000000" w:themeColor="text1"/>
        </w:rPr>
        <w:t xml:space="preserve"> in respect of the property</w:t>
      </w:r>
      <w:r w:rsidRPr="008C4D92">
        <w:rPr>
          <w:color w:val="000000" w:themeColor="text1"/>
        </w:rPr>
        <w:t xml:space="preserve"> </w:t>
      </w:r>
      <w:r w:rsidR="00DA7EBC" w:rsidRPr="008C4D92">
        <w:rPr>
          <w:color w:val="000000" w:themeColor="text1"/>
        </w:rPr>
        <w:t xml:space="preserve">would </w:t>
      </w:r>
      <w:r w:rsidRPr="008C4D92">
        <w:rPr>
          <w:color w:val="000000" w:themeColor="text1"/>
        </w:rPr>
        <w:t xml:space="preserve">now </w:t>
      </w:r>
      <w:r w:rsidR="00DA7EBC" w:rsidRPr="008C4D92">
        <w:rPr>
          <w:color w:val="000000" w:themeColor="text1"/>
        </w:rPr>
        <w:t>be</w:t>
      </w:r>
      <w:r w:rsidRPr="008C4D92">
        <w:rPr>
          <w:color w:val="000000" w:themeColor="text1"/>
        </w:rPr>
        <w:t xml:space="preserve"> paid into a new account.   He sa</w:t>
      </w:r>
      <w:r w:rsidR="00F34528" w:rsidRPr="008C4D92">
        <w:rPr>
          <w:color w:val="000000" w:themeColor="text1"/>
        </w:rPr>
        <w:t>id</w:t>
      </w:r>
      <w:r w:rsidRPr="008C4D92">
        <w:rPr>
          <w:color w:val="000000" w:themeColor="text1"/>
        </w:rPr>
        <w:t xml:space="preserve"> that they received no cooperation whatsoever from the occupants of the premises or from the defendants </w:t>
      </w:r>
      <w:r w:rsidR="00E012B8" w:rsidRPr="008C4D92">
        <w:rPr>
          <w:color w:val="000000" w:themeColor="text1"/>
        </w:rPr>
        <w:t>at</w:t>
      </w:r>
      <w:r w:rsidR="00DF5F96" w:rsidRPr="008C4D92">
        <w:rPr>
          <w:color w:val="000000" w:themeColor="text1"/>
        </w:rPr>
        <w:t xml:space="preserve"> that time or at any time thereafter.</w:t>
      </w:r>
      <w:r w:rsidRPr="008C4D92">
        <w:rPr>
          <w:color w:val="000000" w:themeColor="text1"/>
        </w:rPr>
        <w:t xml:space="preserve">  </w:t>
      </w:r>
    </w:p>
    <w:p w14:paraId="02E262B1" w14:textId="77777777" w:rsidR="00B07612" w:rsidRPr="008C4D92" w:rsidRDefault="00B07612" w:rsidP="00B07612">
      <w:pPr>
        <w:spacing w:line="480" w:lineRule="auto"/>
        <w:jc w:val="both"/>
        <w:rPr>
          <w:color w:val="000000" w:themeColor="text1"/>
        </w:rPr>
      </w:pPr>
    </w:p>
    <w:p w14:paraId="41F0C5B1" w14:textId="2CDD8FA2" w:rsidR="00B07612"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The second plaintiff also aver</w:t>
      </w:r>
      <w:r w:rsidR="00F34528" w:rsidRPr="008C4D92">
        <w:rPr>
          <w:color w:val="000000" w:themeColor="text1"/>
        </w:rPr>
        <w:t>red</w:t>
      </w:r>
      <w:r w:rsidRPr="008C4D92">
        <w:rPr>
          <w:color w:val="000000" w:themeColor="text1"/>
        </w:rPr>
        <w:t xml:space="preserve"> that the plaintiffs solicited the advice of the HSE and Dun Laoghaire/Rathdown County Council because there were a large number of </w:t>
      </w:r>
      <w:r w:rsidRPr="008C4D92">
        <w:rPr>
          <w:color w:val="000000" w:themeColor="text1"/>
        </w:rPr>
        <w:lastRenderedPageBreak/>
        <w:t>individuals occupying the pr</w:t>
      </w:r>
      <w:r w:rsidR="00DC12E5" w:rsidRPr="008C4D92">
        <w:rPr>
          <w:color w:val="000000" w:themeColor="text1"/>
        </w:rPr>
        <w:t xml:space="preserve">operty </w:t>
      </w:r>
      <w:r w:rsidRPr="008C4D92">
        <w:rPr>
          <w:color w:val="000000" w:themeColor="text1"/>
        </w:rPr>
        <w:t>and they had genuine concerns</w:t>
      </w:r>
      <w:r w:rsidR="00DC12E5" w:rsidRPr="008C4D92">
        <w:rPr>
          <w:color w:val="000000" w:themeColor="text1"/>
        </w:rPr>
        <w:t xml:space="preserve"> in that regard</w:t>
      </w:r>
      <w:r w:rsidRPr="008C4D92">
        <w:rPr>
          <w:color w:val="000000" w:themeColor="text1"/>
        </w:rPr>
        <w:t>.  They hoped that this would facilitate a positive outcome with the occupants deciding to vacate the pr</w:t>
      </w:r>
      <w:r w:rsidR="00DC12E5" w:rsidRPr="008C4D92">
        <w:rPr>
          <w:color w:val="000000" w:themeColor="text1"/>
        </w:rPr>
        <w:t>operty</w:t>
      </w:r>
      <w:r w:rsidRPr="008C4D92">
        <w:rPr>
          <w:color w:val="000000" w:themeColor="text1"/>
        </w:rPr>
        <w:t xml:space="preserve"> but this did not prove to be the case.  </w:t>
      </w:r>
    </w:p>
    <w:p w14:paraId="4CDCE348" w14:textId="77777777" w:rsidR="00B07612" w:rsidRPr="008C4D92" w:rsidRDefault="00B07612" w:rsidP="00B07612">
      <w:pPr>
        <w:spacing w:line="480" w:lineRule="auto"/>
        <w:jc w:val="both"/>
        <w:rPr>
          <w:color w:val="000000" w:themeColor="text1"/>
        </w:rPr>
      </w:pPr>
    </w:p>
    <w:p w14:paraId="510812AD" w14:textId="07F78106" w:rsidR="00B07612"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The second plaintiff sa</w:t>
      </w:r>
      <w:r w:rsidR="00F34528" w:rsidRPr="008C4D92">
        <w:rPr>
          <w:color w:val="000000" w:themeColor="text1"/>
        </w:rPr>
        <w:t>id</w:t>
      </w:r>
      <w:r w:rsidRPr="008C4D92">
        <w:rPr>
          <w:color w:val="000000" w:themeColor="text1"/>
        </w:rPr>
        <w:t xml:space="preserve"> that in seeking interlocutory injunctive relief against the defendants and those in occupation of the premises, the plaintiffs were relying on </w:t>
      </w:r>
      <w:r w:rsidR="00CB3B86" w:rsidRPr="008C4D92">
        <w:rPr>
          <w:color w:val="000000" w:themeColor="text1"/>
        </w:rPr>
        <w:t>C</w:t>
      </w:r>
      <w:r w:rsidRPr="008C4D92">
        <w:rPr>
          <w:color w:val="000000" w:themeColor="text1"/>
        </w:rPr>
        <w:t xml:space="preserve">lause 5(j) of the mortgage in which the defendants covenanted </w:t>
      </w:r>
      <w:r w:rsidRPr="008C4D92">
        <w:rPr>
          <w:i/>
          <w:color w:val="000000" w:themeColor="text1"/>
        </w:rPr>
        <w:t xml:space="preserve">“not to convey, transfer, assign, demise or let or part of the possession of the </w:t>
      </w:r>
      <w:r w:rsidR="002E5643">
        <w:rPr>
          <w:i/>
          <w:color w:val="000000" w:themeColor="text1"/>
        </w:rPr>
        <w:t>M</w:t>
      </w:r>
      <w:r w:rsidRPr="008C4D92">
        <w:rPr>
          <w:i/>
          <w:color w:val="000000" w:themeColor="text1"/>
        </w:rPr>
        <w:t xml:space="preserve">ortgaged </w:t>
      </w:r>
      <w:r w:rsidR="002E5643">
        <w:rPr>
          <w:i/>
          <w:color w:val="000000" w:themeColor="text1"/>
        </w:rPr>
        <w:t>P</w:t>
      </w:r>
      <w:r w:rsidRPr="008C4D92">
        <w:rPr>
          <w:i/>
          <w:color w:val="000000" w:themeColor="text1"/>
        </w:rPr>
        <w:t xml:space="preserve">roperty or any part thereof or any </w:t>
      </w:r>
      <w:r w:rsidR="002E5643">
        <w:rPr>
          <w:i/>
          <w:color w:val="000000" w:themeColor="text1"/>
        </w:rPr>
        <w:t>I</w:t>
      </w:r>
      <w:r w:rsidRPr="008C4D92">
        <w:rPr>
          <w:i/>
          <w:color w:val="000000" w:themeColor="text1"/>
        </w:rPr>
        <w:t>nterest there</w:t>
      </w:r>
      <w:r w:rsidR="002E5643">
        <w:rPr>
          <w:i/>
          <w:color w:val="000000" w:themeColor="text1"/>
        </w:rPr>
        <w:t>i</w:t>
      </w:r>
      <w:r w:rsidRPr="008C4D92">
        <w:rPr>
          <w:i/>
          <w:color w:val="000000" w:themeColor="text1"/>
        </w:rPr>
        <w:t xml:space="preserve">n without the </w:t>
      </w:r>
      <w:r w:rsidR="002E5643">
        <w:rPr>
          <w:i/>
          <w:color w:val="000000" w:themeColor="text1"/>
        </w:rPr>
        <w:t xml:space="preserve">express </w:t>
      </w:r>
      <w:r w:rsidRPr="008C4D92">
        <w:rPr>
          <w:i/>
          <w:color w:val="000000" w:themeColor="text1"/>
        </w:rPr>
        <w:t>prior consent in writing of the Bank”</w:t>
      </w:r>
      <w:r w:rsidRPr="008C4D92">
        <w:rPr>
          <w:color w:val="000000" w:themeColor="text1"/>
        </w:rPr>
        <w:t>.  He aver</w:t>
      </w:r>
      <w:r w:rsidR="00F34528" w:rsidRPr="008C4D92">
        <w:rPr>
          <w:color w:val="000000" w:themeColor="text1"/>
        </w:rPr>
        <w:t>red</w:t>
      </w:r>
      <w:r w:rsidRPr="008C4D92">
        <w:rPr>
          <w:color w:val="000000" w:themeColor="text1"/>
        </w:rPr>
        <w:t xml:space="preserve"> that no such written consent was ever requested by the defendants and no consent in writing was ever given by AIB to the defendants.  Therefore, he says any purported letting of the premises </w:t>
      </w:r>
      <w:r w:rsidR="00D35575" w:rsidRPr="008C4D92">
        <w:rPr>
          <w:color w:val="000000" w:themeColor="text1"/>
        </w:rPr>
        <w:t xml:space="preserve">was </w:t>
      </w:r>
      <w:r w:rsidRPr="008C4D92">
        <w:rPr>
          <w:color w:val="000000" w:themeColor="text1"/>
        </w:rPr>
        <w:t xml:space="preserve">clearly invalid and of no legal force and effect.   </w:t>
      </w:r>
    </w:p>
    <w:p w14:paraId="3DC168AA" w14:textId="77777777" w:rsidR="00B07612" w:rsidRPr="008C4D92" w:rsidRDefault="00B07612" w:rsidP="00B07612">
      <w:pPr>
        <w:spacing w:line="480" w:lineRule="auto"/>
        <w:jc w:val="both"/>
        <w:rPr>
          <w:color w:val="000000" w:themeColor="text1"/>
        </w:rPr>
      </w:pPr>
    </w:p>
    <w:p w14:paraId="41B21801" w14:textId="403B259B" w:rsidR="002E5643" w:rsidRPr="002E5643" w:rsidRDefault="00B07612" w:rsidP="002E5643">
      <w:pPr>
        <w:numPr>
          <w:ilvl w:val="0"/>
          <w:numId w:val="19"/>
        </w:numPr>
        <w:spacing w:line="480" w:lineRule="auto"/>
        <w:jc w:val="both"/>
        <w:rPr>
          <w:color w:val="000000" w:themeColor="text1"/>
        </w:rPr>
      </w:pPr>
      <w:r w:rsidRPr="008C4D92">
        <w:rPr>
          <w:color w:val="000000" w:themeColor="text1"/>
        </w:rPr>
        <w:t xml:space="preserve"> He aver</w:t>
      </w:r>
      <w:r w:rsidR="00F34528" w:rsidRPr="008C4D92">
        <w:rPr>
          <w:color w:val="000000" w:themeColor="text1"/>
        </w:rPr>
        <w:t>red</w:t>
      </w:r>
      <w:r w:rsidRPr="008C4D92">
        <w:rPr>
          <w:color w:val="000000" w:themeColor="text1"/>
        </w:rPr>
        <w:t xml:space="preserve"> that as the defendants ha</w:t>
      </w:r>
      <w:r w:rsidR="00B9340D" w:rsidRPr="008C4D92">
        <w:rPr>
          <w:color w:val="000000" w:themeColor="text1"/>
        </w:rPr>
        <w:t xml:space="preserve">d </w:t>
      </w:r>
      <w:r w:rsidRPr="008C4D92">
        <w:rPr>
          <w:color w:val="000000" w:themeColor="text1"/>
        </w:rPr>
        <w:t>failed to discharge their indebtedness to the first named plaintiff and their default ha</w:t>
      </w:r>
      <w:r w:rsidR="00B9340D" w:rsidRPr="008C4D92">
        <w:rPr>
          <w:color w:val="000000" w:themeColor="text1"/>
        </w:rPr>
        <w:t xml:space="preserve">d </w:t>
      </w:r>
      <w:r w:rsidRPr="008C4D92">
        <w:rPr>
          <w:color w:val="000000" w:themeColor="text1"/>
        </w:rPr>
        <w:t xml:space="preserve">resulted in the appointment of the second and third named plaintiffs as receivers, it </w:t>
      </w:r>
      <w:r w:rsidR="00F34528" w:rsidRPr="008C4D92">
        <w:rPr>
          <w:color w:val="000000" w:themeColor="text1"/>
        </w:rPr>
        <w:t>was</w:t>
      </w:r>
      <w:r w:rsidRPr="008C4D92">
        <w:rPr>
          <w:color w:val="000000" w:themeColor="text1"/>
        </w:rPr>
        <w:t xml:space="preserve"> evident that the defendants ha</w:t>
      </w:r>
      <w:r w:rsidR="00B9340D" w:rsidRPr="008C4D92">
        <w:rPr>
          <w:color w:val="000000" w:themeColor="text1"/>
        </w:rPr>
        <w:t>d</w:t>
      </w:r>
      <w:r w:rsidRPr="008C4D92">
        <w:rPr>
          <w:color w:val="000000" w:themeColor="text1"/>
        </w:rPr>
        <w:t xml:space="preserve"> no defence to the within proceedings.  </w:t>
      </w:r>
    </w:p>
    <w:p w14:paraId="5CA37A05" w14:textId="77777777" w:rsidR="00A1797C" w:rsidRPr="008C4D92" w:rsidRDefault="00A1797C" w:rsidP="00A1797C">
      <w:pPr>
        <w:pStyle w:val="ListParagraph"/>
        <w:rPr>
          <w:color w:val="000000" w:themeColor="text1"/>
        </w:rPr>
      </w:pPr>
    </w:p>
    <w:p w14:paraId="60E44C2A" w14:textId="06C3D8A4" w:rsidR="00E46044" w:rsidRPr="008C4D92" w:rsidRDefault="00B07612" w:rsidP="00B07612">
      <w:pPr>
        <w:numPr>
          <w:ilvl w:val="0"/>
          <w:numId w:val="19"/>
        </w:numPr>
        <w:spacing w:line="480" w:lineRule="auto"/>
        <w:jc w:val="both"/>
        <w:rPr>
          <w:color w:val="000000" w:themeColor="text1"/>
        </w:rPr>
      </w:pPr>
      <w:r w:rsidRPr="008C4D92">
        <w:rPr>
          <w:color w:val="000000" w:themeColor="text1"/>
        </w:rPr>
        <w:t>He sa</w:t>
      </w:r>
      <w:r w:rsidR="00F34528" w:rsidRPr="008C4D92">
        <w:rPr>
          <w:color w:val="000000" w:themeColor="text1"/>
        </w:rPr>
        <w:t>id</w:t>
      </w:r>
      <w:r w:rsidRPr="008C4D92">
        <w:rPr>
          <w:color w:val="000000" w:themeColor="text1"/>
        </w:rPr>
        <w:t xml:space="preserve"> that separate letters were sent to the defendants and to the occupants of the premises prior to the commencement of the proceedings requesting that they cooperate and  take steps to ensure the premises were vacated.  These letters</w:t>
      </w:r>
      <w:r w:rsidR="00CB3B86" w:rsidRPr="008C4D92">
        <w:rPr>
          <w:color w:val="000000" w:themeColor="text1"/>
        </w:rPr>
        <w:t xml:space="preserve"> were</w:t>
      </w:r>
      <w:r w:rsidRPr="008C4D92">
        <w:rPr>
          <w:color w:val="000000" w:themeColor="text1"/>
        </w:rPr>
        <w:t xml:space="preserve"> issued on the 27 March 2019.  He said that subsequent to these letters having been written, it was discovered that the first and second named defendants had separated, with the first defendant having relocated to an address in County Wexford. Further letters in identical terms were sent separately</w:t>
      </w:r>
      <w:r w:rsidR="00E46044" w:rsidRPr="008C4D92">
        <w:rPr>
          <w:color w:val="000000" w:themeColor="text1"/>
        </w:rPr>
        <w:t xml:space="preserve"> to each of the defendants</w:t>
      </w:r>
      <w:r w:rsidRPr="008C4D92">
        <w:rPr>
          <w:color w:val="000000" w:themeColor="text1"/>
        </w:rPr>
        <w:t>.</w:t>
      </w:r>
      <w:r w:rsidR="00E46044" w:rsidRPr="008C4D92">
        <w:rPr>
          <w:color w:val="000000" w:themeColor="text1"/>
        </w:rPr>
        <w:t xml:space="preserve"> Th</w:t>
      </w:r>
      <w:r w:rsidR="00CB3B86" w:rsidRPr="008C4D92">
        <w:rPr>
          <w:color w:val="000000" w:themeColor="text1"/>
        </w:rPr>
        <w:t>is</w:t>
      </w:r>
      <w:r w:rsidR="00E46044" w:rsidRPr="008C4D92">
        <w:rPr>
          <w:color w:val="000000" w:themeColor="text1"/>
        </w:rPr>
        <w:t xml:space="preserve"> did not elicit any response</w:t>
      </w:r>
      <w:r w:rsidR="00CB3B86" w:rsidRPr="008C4D92">
        <w:rPr>
          <w:color w:val="000000" w:themeColor="text1"/>
        </w:rPr>
        <w:t xml:space="preserve"> from either defendant</w:t>
      </w:r>
      <w:r w:rsidR="00E46044" w:rsidRPr="008C4D92">
        <w:rPr>
          <w:color w:val="000000" w:themeColor="text1"/>
        </w:rPr>
        <w:t xml:space="preserve">. </w:t>
      </w:r>
    </w:p>
    <w:p w14:paraId="314ADB3F" w14:textId="77777777" w:rsidR="00E46044" w:rsidRPr="008C4D92" w:rsidRDefault="00E46044" w:rsidP="00E46044">
      <w:pPr>
        <w:pStyle w:val="ListParagraph"/>
        <w:rPr>
          <w:color w:val="000000" w:themeColor="text1"/>
        </w:rPr>
      </w:pPr>
    </w:p>
    <w:p w14:paraId="3FD9183A" w14:textId="5CBE3FDE" w:rsidR="00B07612" w:rsidRPr="008C4D92" w:rsidRDefault="00B07612" w:rsidP="00B07612">
      <w:pPr>
        <w:numPr>
          <w:ilvl w:val="0"/>
          <w:numId w:val="19"/>
        </w:numPr>
        <w:spacing w:line="480" w:lineRule="auto"/>
        <w:jc w:val="both"/>
        <w:rPr>
          <w:color w:val="000000" w:themeColor="text1"/>
        </w:rPr>
      </w:pPr>
      <w:r w:rsidRPr="008C4D92">
        <w:rPr>
          <w:color w:val="000000" w:themeColor="text1"/>
        </w:rPr>
        <w:lastRenderedPageBreak/>
        <w:t>The second plaintiff aver</w:t>
      </w:r>
      <w:r w:rsidR="00F34528" w:rsidRPr="008C4D92">
        <w:rPr>
          <w:color w:val="000000" w:themeColor="text1"/>
        </w:rPr>
        <w:t>red</w:t>
      </w:r>
      <w:r w:rsidRPr="008C4D92">
        <w:rPr>
          <w:color w:val="000000" w:themeColor="text1"/>
        </w:rPr>
        <w:t xml:space="preserve"> </w:t>
      </w:r>
      <w:r w:rsidR="00D61D3F">
        <w:rPr>
          <w:color w:val="000000" w:themeColor="text1"/>
        </w:rPr>
        <w:t xml:space="preserve">that they were being wrongfully denied access to and possession of </w:t>
      </w:r>
      <w:r w:rsidR="00E86123">
        <w:rPr>
          <w:color w:val="000000" w:themeColor="text1"/>
        </w:rPr>
        <w:t xml:space="preserve">both </w:t>
      </w:r>
      <w:r w:rsidR="00D66101">
        <w:rPr>
          <w:color w:val="000000" w:themeColor="text1"/>
        </w:rPr>
        <w:t xml:space="preserve">the premises and </w:t>
      </w:r>
      <w:r w:rsidR="00E86123">
        <w:rPr>
          <w:color w:val="000000" w:themeColor="text1"/>
        </w:rPr>
        <w:t xml:space="preserve">the </w:t>
      </w:r>
      <w:r w:rsidR="00D66101">
        <w:rPr>
          <w:color w:val="000000" w:themeColor="text1"/>
        </w:rPr>
        <w:t>receipt of income being derived from the premises, in circumstances where the defendants had not made any attempt to discharge their indebtedness to the first plaintiff which was in excess of €3m and</w:t>
      </w:r>
      <w:r w:rsidR="002E5643">
        <w:rPr>
          <w:color w:val="000000" w:themeColor="text1"/>
        </w:rPr>
        <w:t xml:space="preserve"> where they</w:t>
      </w:r>
      <w:r w:rsidR="00D66101">
        <w:rPr>
          <w:color w:val="000000" w:themeColor="text1"/>
        </w:rPr>
        <w:t xml:space="preserve"> “continue to derive a substantial income from the premises”. He averred </w:t>
      </w:r>
      <w:r w:rsidRPr="008C4D92">
        <w:rPr>
          <w:color w:val="000000" w:themeColor="text1"/>
        </w:rPr>
        <w:t>that damages would not be an adequate remedy for the plaintiff</w:t>
      </w:r>
      <w:r w:rsidR="002C7F38" w:rsidRPr="008C4D92">
        <w:rPr>
          <w:color w:val="000000" w:themeColor="text1"/>
        </w:rPr>
        <w:t>s</w:t>
      </w:r>
      <w:r w:rsidR="00D66101">
        <w:rPr>
          <w:color w:val="000000" w:themeColor="text1"/>
        </w:rPr>
        <w:t xml:space="preserve"> and also that they were prepared to give an undertaking as to damages. He submitted </w:t>
      </w:r>
      <w:r w:rsidRPr="008C4D92">
        <w:rPr>
          <w:color w:val="000000" w:themeColor="text1"/>
        </w:rPr>
        <w:t>that the balance of convenience clearly favour</w:t>
      </w:r>
      <w:r w:rsidR="00523D85" w:rsidRPr="008C4D92">
        <w:rPr>
          <w:color w:val="000000" w:themeColor="text1"/>
        </w:rPr>
        <w:t>ed</w:t>
      </w:r>
      <w:r w:rsidRPr="008C4D92">
        <w:rPr>
          <w:color w:val="000000" w:themeColor="text1"/>
        </w:rPr>
        <w:t xml:space="preserve"> the court granting interlocutory injunctive relief.  </w:t>
      </w:r>
    </w:p>
    <w:p w14:paraId="52F9EDA1" w14:textId="77777777" w:rsidR="008E5B2D" w:rsidRPr="008C4D92" w:rsidRDefault="008E5B2D" w:rsidP="008E5B2D">
      <w:pPr>
        <w:spacing w:line="480" w:lineRule="auto"/>
        <w:jc w:val="both"/>
        <w:rPr>
          <w:color w:val="000000" w:themeColor="text1"/>
        </w:rPr>
      </w:pPr>
    </w:p>
    <w:p w14:paraId="3275A5F2" w14:textId="5B50AA58" w:rsidR="00870DBF" w:rsidRPr="008C4D92" w:rsidRDefault="001346B3" w:rsidP="00870DBF">
      <w:pPr>
        <w:pStyle w:val="Heading3"/>
        <w:rPr>
          <w:color w:val="000000" w:themeColor="text1"/>
          <w:sz w:val="26"/>
          <w:szCs w:val="26"/>
        </w:rPr>
      </w:pPr>
      <w:r w:rsidRPr="008C4D92">
        <w:rPr>
          <w:color w:val="000000" w:themeColor="text1"/>
          <w:sz w:val="26"/>
          <w:szCs w:val="26"/>
        </w:rPr>
        <w:t>The defendants’ position in the High Court</w:t>
      </w:r>
    </w:p>
    <w:p w14:paraId="40A3D16D" w14:textId="77777777" w:rsidR="00870DBF" w:rsidRPr="008C4D92" w:rsidRDefault="00870DBF" w:rsidP="00870DBF">
      <w:pPr>
        <w:rPr>
          <w:color w:val="000000" w:themeColor="text1"/>
          <w:sz w:val="26"/>
          <w:szCs w:val="26"/>
        </w:rPr>
      </w:pPr>
    </w:p>
    <w:p w14:paraId="79F3365A" w14:textId="09A501F1" w:rsidR="00CF0733" w:rsidRPr="008C4D92" w:rsidRDefault="00B07612" w:rsidP="00CF0733">
      <w:pPr>
        <w:numPr>
          <w:ilvl w:val="0"/>
          <w:numId w:val="19"/>
        </w:numPr>
        <w:spacing w:line="480" w:lineRule="auto"/>
        <w:jc w:val="both"/>
        <w:rPr>
          <w:color w:val="000000" w:themeColor="text1"/>
        </w:rPr>
      </w:pPr>
      <w:r w:rsidRPr="008C4D92">
        <w:rPr>
          <w:color w:val="000000" w:themeColor="text1"/>
        </w:rPr>
        <w:t xml:space="preserve"> </w:t>
      </w:r>
      <w:r w:rsidR="00CF0733" w:rsidRPr="008C4D92">
        <w:rPr>
          <w:color w:val="000000" w:themeColor="text1"/>
        </w:rPr>
        <w:t xml:space="preserve"> By letter dated </w:t>
      </w:r>
      <w:r w:rsidR="00CB3B86" w:rsidRPr="008C4D92">
        <w:rPr>
          <w:color w:val="000000" w:themeColor="text1"/>
        </w:rPr>
        <w:t xml:space="preserve">the </w:t>
      </w:r>
      <w:r w:rsidR="00CF0733" w:rsidRPr="008C4D92">
        <w:rPr>
          <w:color w:val="000000" w:themeColor="text1"/>
        </w:rPr>
        <w:t xml:space="preserve">19 June 2019, John P. O’Donoghue Solicitors wrote to solicitors on behalf of the plaintiffs saying that the letter was </w:t>
      </w:r>
      <w:r w:rsidR="00CF0733" w:rsidRPr="008C4D92">
        <w:rPr>
          <w:i/>
          <w:color w:val="000000" w:themeColor="text1"/>
        </w:rPr>
        <w:t>“</w:t>
      </w:r>
      <w:r w:rsidR="00E86123">
        <w:rPr>
          <w:i/>
          <w:color w:val="000000" w:themeColor="text1"/>
        </w:rPr>
        <w:t>… t</w:t>
      </w:r>
      <w:r w:rsidR="00CF0733" w:rsidRPr="008C4D92">
        <w:rPr>
          <w:i/>
          <w:color w:val="000000" w:themeColor="text1"/>
        </w:rPr>
        <w:t>o put you on formal notice that our client has a legal interest in the properties at 96 Avoca Park and 14 Roney Beach.  Although estranged, our client has a beneficial interest in all and any property owned by Mr. Paul White.  Any attempt to undermine our client’s legal and equitable rights will be vigorously defended”.</w:t>
      </w:r>
      <w:r w:rsidR="00CF0733" w:rsidRPr="008C4D92">
        <w:rPr>
          <w:color w:val="000000" w:themeColor="text1"/>
        </w:rPr>
        <w:t xml:space="preserve">  An appearance was entered </w:t>
      </w:r>
      <w:r w:rsidR="003E748D" w:rsidRPr="008C4D92">
        <w:rPr>
          <w:color w:val="000000" w:themeColor="text1"/>
        </w:rPr>
        <w:t xml:space="preserve">to the proceedings </w:t>
      </w:r>
      <w:r w:rsidR="00CF0733" w:rsidRPr="008C4D92">
        <w:rPr>
          <w:color w:val="000000" w:themeColor="text1"/>
        </w:rPr>
        <w:t xml:space="preserve">by the same solicitors on behalf of both respondents on the 28 June 2019. </w:t>
      </w:r>
    </w:p>
    <w:p w14:paraId="15625F6B" w14:textId="77777777" w:rsidR="00CF0733" w:rsidRPr="008C4D92" w:rsidRDefault="00CF0733" w:rsidP="00CF0733">
      <w:pPr>
        <w:spacing w:line="480" w:lineRule="auto"/>
        <w:jc w:val="both"/>
        <w:rPr>
          <w:color w:val="000000" w:themeColor="text1"/>
        </w:rPr>
      </w:pPr>
    </w:p>
    <w:p w14:paraId="49DE261A" w14:textId="0C43E613" w:rsidR="00DB0491"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A replying affidavit dated the 23 July 2019</w:t>
      </w:r>
      <w:r w:rsidR="00523D85" w:rsidRPr="008C4D92">
        <w:rPr>
          <w:color w:val="000000" w:themeColor="text1"/>
        </w:rPr>
        <w:t xml:space="preserve"> was sworn by </w:t>
      </w:r>
      <w:r w:rsidR="00CF74B2" w:rsidRPr="008C4D92">
        <w:rPr>
          <w:color w:val="000000" w:themeColor="text1"/>
        </w:rPr>
        <w:t>the first defendant.</w:t>
      </w:r>
      <w:r w:rsidRPr="008C4D92">
        <w:rPr>
          <w:color w:val="000000" w:themeColor="text1"/>
        </w:rPr>
        <w:t xml:space="preserve">  He said that he was making the affidavit on his own behalf and that of the second named defendant with her knowledge and authority.  </w:t>
      </w:r>
      <w:r w:rsidR="00471D27" w:rsidRPr="008C4D92">
        <w:rPr>
          <w:color w:val="000000" w:themeColor="text1"/>
        </w:rPr>
        <w:t>The</w:t>
      </w:r>
      <w:r w:rsidRPr="008C4D92">
        <w:rPr>
          <w:color w:val="000000" w:themeColor="text1"/>
        </w:rPr>
        <w:t xml:space="preserve"> </w:t>
      </w:r>
      <w:r w:rsidR="00CF74B2" w:rsidRPr="008C4D92">
        <w:rPr>
          <w:color w:val="000000" w:themeColor="text1"/>
        </w:rPr>
        <w:t>second defendant</w:t>
      </w:r>
      <w:r w:rsidR="00B20156" w:rsidRPr="008C4D92">
        <w:rPr>
          <w:color w:val="000000" w:themeColor="text1"/>
        </w:rPr>
        <w:t xml:space="preserve"> </w:t>
      </w:r>
      <w:r w:rsidRPr="008C4D92">
        <w:rPr>
          <w:color w:val="000000" w:themeColor="text1"/>
        </w:rPr>
        <w:t>did not</w:t>
      </w:r>
      <w:r w:rsidR="00B20156" w:rsidRPr="008C4D92">
        <w:rPr>
          <w:color w:val="000000" w:themeColor="text1"/>
        </w:rPr>
        <w:t xml:space="preserve"> herself</w:t>
      </w:r>
      <w:r w:rsidRPr="008C4D92">
        <w:rPr>
          <w:color w:val="000000" w:themeColor="text1"/>
        </w:rPr>
        <w:t xml:space="preserve"> swear an</w:t>
      </w:r>
      <w:r w:rsidR="00B20156" w:rsidRPr="008C4D92">
        <w:rPr>
          <w:color w:val="000000" w:themeColor="text1"/>
        </w:rPr>
        <w:t>y</w:t>
      </w:r>
      <w:r w:rsidRPr="008C4D92">
        <w:rPr>
          <w:color w:val="000000" w:themeColor="text1"/>
        </w:rPr>
        <w:t xml:space="preserve"> affidavit</w:t>
      </w:r>
      <w:r w:rsidR="00B20156" w:rsidRPr="008C4D92">
        <w:rPr>
          <w:color w:val="000000" w:themeColor="text1"/>
        </w:rPr>
        <w:t xml:space="preserve"> at any stage.</w:t>
      </w:r>
    </w:p>
    <w:p w14:paraId="49684B06" w14:textId="77777777" w:rsidR="00DB0491" w:rsidRPr="008C4D92" w:rsidRDefault="00DB0491" w:rsidP="00DB0491">
      <w:pPr>
        <w:spacing w:line="480" w:lineRule="auto"/>
        <w:jc w:val="both"/>
        <w:rPr>
          <w:color w:val="000000" w:themeColor="text1"/>
        </w:rPr>
      </w:pPr>
    </w:p>
    <w:p w14:paraId="72718FEC" w14:textId="6945F35D" w:rsidR="00B07612"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w:t>
      </w:r>
      <w:r w:rsidR="00802CD1" w:rsidRPr="008C4D92">
        <w:rPr>
          <w:color w:val="000000" w:themeColor="text1"/>
        </w:rPr>
        <w:t>The first defendant</w:t>
      </w:r>
      <w:r w:rsidRPr="008C4D92">
        <w:rPr>
          <w:color w:val="000000" w:themeColor="text1"/>
        </w:rPr>
        <w:t xml:space="preserve"> reserved his position in relation to the validity of the transfer to the first named plaintiff and the appointment of the receivers.  He said that the exhibits </w:t>
      </w:r>
      <w:r w:rsidRPr="008C4D92">
        <w:rPr>
          <w:color w:val="000000" w:themeColor="text1"/>
        </w:rPr>
        <w:lastRenderedPageBreak/>
        <w:t>showed that no debt was due by the second named defendant to the plaintiffs or any of their predecessors in title.  He denied that there had been</w:t>
      </w:r>
      <w:r w:rsidR="000E0DF9" w:rsidRPr="008C4D92">
        <w:rPr>
          <w:color w:val="000000" w:themeColor="text1"/>
        </w:rPr>
        <w:t xml:space="preserve"> any</w:t>
      </w:r>
      <w:r w:rsidRPr="008C4D92">
        <w:rPr>
          <w:color w:val="000000" w:themeColor="text1"/>
        </w:rPr>
        <w:t xml:space="preserve"> obstruction of the receivers and that they were entitled to possession.  He said </w:t>
      </w:r>
      <w:r w:rsidR="00034375">
        <w:rPr>
          <w:color w:val="000000" w:themeColor="text1"/>
        </w:rPr>
        <w:t xml:space="preserve">that </w:t>
      </w:r>
      <w:r w:rsidRPr="008C4D92">
        <w:rPr>
          <w:color w:val="000000" w:themeColor="text1"/>
        </w:rPr>
        <w:t xml:space="preserve">insofar as </w:t>
      </w:r>
      <w:r w:rsidR="000E0DF9" w:rsidRPr="008C4D92">
        <w:rPr>
          <w:color w:val="000000" w:themeColor="text1"/>
        </w:rPr>
        <w:t>the</w:t>
      </w:r>
      <w:r w:rsidRPr="008C4D92">
        <w:rPr>
          <w:color w:val="000000" w:themeColor="text1"/>
        </w:rPr>
        <w:t xml:space="preserve"> second plaintiff had averred that the premises were let out to approximately sixteen people, this was denied “in part”.  He said that the defendants had let the property with the knowledge and consent of AIB since 20</w:t>
      </w:r>
      <w:r w:rsidR="00D77ECB">
        <w:rPr>
          <w:color w:val="000000" w:themeColor="text1"/>
        </w:rPr>
        <w:t>0</w:t>
      </w:r>
      <w:r w:rsidRPr="008C4D92">
        <w:rPr>
          <w:color w:val="000000" w:themeColor="text1"/>
        </w:rPr>
        <w:t xml:space="preserve">2.  For most of the letting period, the rents were paid from the tenant accounts to AIB.  In order to facilitate their letting affairs, AIB extended a credit card facility for controlling property management expenses.  He exhibited a letter from a manager at AIB to this effect dated </w:t>
      </w:r>
      <w:r w:rsidR="0081375E" w:rsidRPr="008C4D92">
        <w:rPr>
          <w:color w:val="000000" w:themeColor="text1"/>
        </w:rPr>
        <w:t xml:space="preserve">the </w:t>
      </w:r>
      <w:r w:rsidRPr="008C4D92">
        <w:rPr>
          <w:color w:val="000000" w:themeColor="text1"/>
        </w:rPr>
        <w:t>9 July 2009.  He said that in or around December 2018 the current tenant refused to pay rent because of the contact from the receivers.</w:t>
      </w:r>
      <w:r w:rsidR="00100037" w:rsidRPr="008C4D92">
        <w:rPr>
          <w:color w:val="000000" w:themeColor="text1"/>
        </w:rPr>
        <w:t xml:space="preserve"> </w:t>
      </w:r>
      <w:r w:rsidRPr="008C4D92">
        <w:rPr>
          <w:color w:val="000000" w:themeColor="text1"/>
        </w:rPr>
        <w:t>He sa</w:t>
      </w:r>
      <w:r w:rsidR="002C275C" w:rsidRPr="008C4D92">
        <w:rPr>
          <w:color w:val="000000" w:themeColor="text1"/>
        </w:rPr>
        <w:t>id</w:t>
      </w:r>
      <w:r w:rsidRPr="008C4D92">
        <w:rPr>
          <w:color w:val="000000" w:themeColor="text1"/>
        </w:rPr>
        <w:t xml:space="preserve"> that the property was let to one individual only but that it was accepted </w:t>
      </w:r>
      <w:r w:rsidR="0024047A" w:rsidRPr="008C4D92">
        <w:rPr>
          <w:color w:val="000000" w:themeColor="text1"/>
        </w:rPr>
        <w:t>that this person</w:t>
      </w:r>
      <w:r w:rsidRPr="008C4D92">
        <w:rPr>
          <w:color w:val="000000" w:themeColor="text1"/>
        </w:rPr>
        <w:t xml:space="preserve"> had caused approximately 15 people to occupy the premises.</w:t>
      </w:r>
      <w:r w:rsidR="0081375E" w:rsidRPr="008C4D92">
        <w:rPr>
          <w:color w:val="000000" w:themeColor="text1"/>
        </w:rPr>
        <w:t xml:space="preserve"> </w:t>
      </w:r>
      <w:r w:rsidR="00A62FCA" w:rsidRPr="008C4D92">
        <w:rPr>
          <w:color w:val="000000" w:themeColor="text1"/>
        </w:rPr>
        <w:t xml:space="preserve">The first defendant </w:t>
      </w:r>
      <w:r w:rsidRPr="008C4D92">
        <w:rPr>
          <w:color w:val="000000" w:themeColor="text1"/>
        </w:rPr>
        <w:t>sa</w:t>
      </w:r>
      <w:r w:rsidR="002C275C" w:rsidRPr="008C4D92">
        <w:rPr>
          <w:color w:val="000000" w:themeColor="text1"/>
        </w:rPr>
        <w:t>id</w:t>
      </w:r>
      <w:r w:rsidRPr="008C4D92">
        <w:rPr>
          <w:color w:val="000000" w:themeColor="text1"/>
        </w:rPr>
        <w:t xml:space="preserve"> he was a stranger to the circumstances in which this happened. He said that he was aware that the HSE and the County Council had inspected the premises and that no enforcement action was being taken in respect of occupation.  </w:t>
      </w:r>
    </w:p>
    <w:p w14:paraId="09AB3478" w14:textId="77777777" w:rsidR="00B07612" w:rsidRPr="008C4D92" w:rsidRDefault="00B07612" w:rsidP="00B07612">
      <w:pPr>
        <w:spacing w:line="480" w:lineRule="auto"/>
        <w:jc w:val="both"/>
        <w:rPr>
          <w:color w:val="000000" w:themeColor="text1"/>
        </w:rPr>
      </w:pPr>
    </w:p>
    <w:p w14:paraId="5FD45626" w14:textId="1E8DC523" w:rsidR="00934670" w:rsidRPr="008C4D92" w:rsidRDefault="00B07612" w:rsidP="00934670">
      <w:pPr>
        <w:numPr>
          <w:ilvl w:val="0"/>
          <w:numId w:val="19"/>
        </w:numPr>
        <w:spacing w:line="480" w:lineRule="auto"/>
        <w:jc w:val="both"/>
        <w:rPr>
          <w:color w:val="000000" w:themeColor="text1"/>
        </w:rPr>
      </w:pPr>
      <w:r w:rsidRPr="008C4D92">
        <w:rPr>
          <w:color w:val="000000" w:themeColor="text1"/>
        </w:rPr>
        <w:t xml:space="preserve"> </w:t>
      </w:r>
      <w:r w:rsidR="007A523D" w:rsidRPr="008C4D92">
        <w:rPr>
          <w:color w:val="000000" w:themeColor="text1"/>
        </w:rPr>
        <w:t>He denied that</w:t>
      </w:r>
      <w:r w:rsidRPr="008C4D92">
        <w:rPr>
          <w:color w:val="000000" w:themeColor="text1"/>
        </w:rPr>
        <w:t xml:space="preserve"> the </w:t>
      </w:r>
      <w:r w:rsidRPr="009939CE">
        <w:rPr>
          <w:color w:val="000000" w:themeColor="text1"/>
        </w:rPr>
        <w:t xml:space="preserve">second named defendant </w:t>
      </w:r>
      <w:r w:rsidRPr="008C4D92">
        <w:rPr>
          <w:color w:val="000000" w:themeColor="text1"/>
        </w:rPr>
        <w:t>had any loan facility with AIB or Everyday</w:t>
      </w:r>
      <w:r w:rsidR="0081375E" w:rsidRPr="008C4D92">
        <w:rPr>
          <w:color w:val="000000" w:themeColor="text1"/>
        </w:rPr>
        <w:t xml:space="preserve"> Finance</w:t>
      </w:r>
      <w:r w:rsidRPr="008C4D92">
        <w:rPr>
          <w:color w:val="000000" w:themeColor="text1"/>
        </w:rPr>
        <w:t>.   He point</w:t>
      </w:r>
      <w:r w:rsidR="007A523D" w:rsidRPr="008C4D92">
        <w:rPr>
          <w:color w:val="000000" w:themeColor="text1"/>
        </w:rPr>
        <w:t>ed</w:t>
      </w:r>
      <w:r w:rsidRPr="008C4D92">
        <w:rPr>
          <w:color w:val="000000" w:themeColor="text1"/>
        </w:rPr>
        <w:t xml:space="preserve"> out that the loan offer of 2008 was offered to and accepted by himself only.</w:t>
      </w:r>
      <w:r w:rsidR="0081375E" w:rsidRPr="008C4D92">
        <w:rPr>
          <w:color w:val="000000" w:themeColor="text1"/>
        </w:rPr>
        <w:t xml:space="preserve"> </w:t>
      </w:r>
      <w:r w:rsidRPr="008C4D92">
        <w:rPr>
          <w:color w:val="000000" w:themeColor="text1"/>
        </w:rPr>
        <w:t>There being no facility</w:t>
      </w:r>
      <w:r w:rsidR="00D159B5" w:rsidRPr="008C4D92">
        <w:rPr>
          <w:color w:val="000000" w:themeColor="text1"/>
        </w:rPr>
        <w:t xml:space="preserve"> to her</w:t>
      </w:r>
      <w:r w:rsidRPr="008C4D92">
        <w:rPr>
          <w:color w:val="000000" w:themeColor="text1"/>
        </w:rPr>
        <w:t xml:space="preserve">, he said, there cannot have been any default by the second named defendant. He pointed out that the property to be mortgaged </w:t>
      </w:r>
      <w:r w:rsidR="007A523D" w:rsidRPr="008C4D92">
        <w:rPr>
          <w:color w:val="000000" w:themeColor="text1"/>
        </w:rPr>
        <w:t xml:space="preserve">in 2008 </w:t>
      </w:r>
      <w:r w:rsidRPr="008C4D92">
        <w:rPr>
          <w:color w:val="000000" w:themeColor="text1"/>
        </w:rPr>
        <w:t xml:space="preserve">was </w:t>
      </w:r>
      <w:r w:rsidR="0081375E" w:rsidRPr="008C4D92">
        <w:rPr>
          <w:color w:val="000000" w:themeColor="text1"/>
        </w:rPr>
        <w:t>one</w:t>
      </w:r>
      <w:r w:rsidR="002A69F5" w:rsidRPr="008C4D92">
        <w:rPr>
          <w:color w:val="000000" w:themeColor="text1"/>
        </w:rPr>
        <w:t xml:space="preserve"> known as 19</w:t>
      </w:r>
      <w:r w:rsidRPr="008C4D92">
        <w:rPr>
          <w:color w:val="000000" w:themeColor="text1"/>
        </w:rPr>
        <w:t xml:space="preserve"> Beacon Court</w:t>
      </w:r>
      <w:r w:rsidR="002A69F5" w:rsidRPr="008C4D92">
        <w:rPr>
          <w:color w:val="000000" w:themeColor="text1"/>
        </w:rPr>
        <w:t>, Sandyford, Dublin 18 (</w:t>
      </w:r>
      <w:r w:rsidR="0081375E" w:rsidRPr="008C4D92">
        <w:rPr>
          <w:color w:val="000000" w:themeColor="text1"/>
        </w:rPr>
        <w:t xml:space="preserve">hereafter </w:t>
      </w:r>
      <w:r w:rsidR="002A69F5" w:rsidRPr="008C4D92">
        <w:rPr>
          <w:b/>
          <w:color w:val="000000" w:themeColor="text1"/>
        </w:rPr>
        <w:t>“the Beacon Court property”)</w:t>
      </w:r>
      <w:r w:rsidRPr="008C4D92">
        <w:rPr>
          <w:color w:val="000000" w:themeColor="text1"/>
        </w:rPr>
        <w:t xml:space="preserve">, </w:t>
      </w:r>
      <w:r w:rsidR="007A523D" w:rsidRPr="008C4D92">
        <w:rPr>
          <w:color w:val="000000" w:themeColor="text1"/>
        </w:rPr>
        <w:t>and insofar as</w:t>
      </w:r>
      <w:r w:rsidRPr="008C4D92">
        <w:rPr>
          <w:color w:val="000000" w:themeColor="text1"/>
        </w:rPr>
        <w:t xml:space="preserve"> AIB relied on a legal charge over the </w:t>
      </w:r>
      <w:r w:rsidR="00C93C96" w:rsidRPr="008C4D92">
        <w:rPr>
          <w:color w:val="000000" w:themeColor="text1"/>
        </w:rPr>
        <w:t>Avoca Park property</w:t>
      </w:r>
      <w:r w:rsidR="007A523D" w:rsidRPr="008C4D92">
        <w:rPr>
          <w:color w:val="000000" w:themeColor="text1"/>
        </w:rPr>
        <w:t>, this was by way of</w:t>
      </w:r>
      <w:r w:rsidRPr="008C4D92">
        <w:rPr>
          <w:color w:val="000000" w:themeColor="text1"/>
        </w:rPr>
        <w:t xml:space="preserve"> additional </w:t>
      </w:r>
      <w:r w:rsidR="007A523D" w:rsidRPr="008C4D92">
        <w:rPr>
          <w:color w:val="000000" w:themeColor="text1"/>
        </w:rPr>
        <w:t>security. He pointed out</w:t>
      </w:r>
      <w:r w:rsidRPr="008C4D92">
        <w:rPr>
          <w:color w:val="000000" w:themeColor="text1"/>
        </w:rPr>
        <w:t xml:space="preserve"> that</w:t>
      </w:r>
      <w:r w:rsidR="007E4CD3" w:rsidRPr="008C4D92">
        <w:rPr>
          <w:color w:val="000000" w:themeColor="text1"/>
        </w:rPr>
        <w:t xml:space="preserve"> in its letter of loan offer,</w:t>
      </w:r>
      <w:r w:rsidRPr="008C4D92">
        <w:rPr>
          <w:color w:val="000000" w:themeColor="text1"/>
        </w:rPr>
        <w:t xml:space="preserve"> AIB required the outstanding balance on the existing home loan to be cleared on drawdown</w:t>
      </w:r>
      <w:r w:rsidR="007A523D" w:rsidRPr="008C4D92">
        <w:rPr>
          <w:color w:val="000000" w:themeColor="text1"/>
        </w:rPr>
        <w:t xml:space="preserve"> of the 2008 loan.</w:t>
      </w:r>
      <w:r w:rsidRPr="008C4D92">
        <w:rPr>
          <w:color w:val="000000" w:themeColor="text1"/>
        </w:rPr>
        <w:t xml:space="preserve">  He also </w:t>
      </w:r>
      <w:r w:rsidR="005C1E35" w:rsidRPr="008C4D92">
        <w:rPr>
          <w:color w:val="000000" w:themeColor="text1"/>
        </w:rPr>
        <w:t>pointed out</w:t>
      </w:r>
      <w:r w:rsidRPr="008C4D92">
        <w:rPr>
          <w:color w:val="000000" w:themeColor="text1"/>
        </w:rPr>
        <w:t xml:space="preserve"> that</w:t>
      </w:r>
      <w:r w:rsidR="007E4CD3" w:rsidRPr="008C4D92">
        <w:rPr>
          <w:color w:val="000000" w:themeColor="text1"/>
        </w:rPr>
        <w:t>, by the same letter,</w:t>
      </w:r>
      <w:r w:rsidRPr="008C4D92">
        <w:rPr>
          <w:color w:val="000000" w:themeColor="text1"/>
        </w:rPr>
        <w:t xml:space="preserve"> the second defendant was required to give a letter of guarantee as a condition precedent to drawdown.  He </w:t>
      </w:r>
      <w:r w:rsidR="005C1E35" w:rsidRPr="008C4D92">
        <w:rPr>
          <w:color w:val="000000" w:themeColor="text1"/>
        </w:rPr>
        <w:t>said</w:t>
      </w:r>
      <w:r w:rsidRPr="008C4D92">
        <w:rPr>
          <w:color w:val="000000" w:themeColor="text1"/>
        </w:rPr>
        <w:t xml:space="preserve"> there </w:t>
      </w:r>
      <w:r w:rsidR="005C1E35" w:rsidRPr="008C4D92">
        <w:rPr>
          <w:color w:val="000000" w:themeColor="text1"/>
        </w:rPr>
        <w:t>was</w:t>
      </w:r>
      <w:r w:rsidRPr="008C4D92">
        <w:rPr>
          <w:color w:val="000000" w:themeColor="text1"/>
        </w:rPr>
        <w:t xml:space="preserve"> no provision </w:t>
      </w:r>
      <w:r w:rsidRPr="008C4D92">
        <w:rPr>
          <w:color w:val="000000" w:themeColor="text1"/>
        </w:rPr>
        <w:lastRenderedPageBreak/>
        <w:t>in the mortgage of 19</w:t>
      </w:r>
      <w:r w:rsidR="005C1E35" w:rsidRPr="008C4D92">
        <w:rPr>
          <w:color w:val="000000" w:themeColor="text1"/>
        </w:rPr>
        <w:t>98</w:t>
      </w:r>
      <w:r w:rsidRPr="008C4D92">
        <w:rPr>
          <w:color w:val="000000" w:themeColor="text1"/>
        </w:rPr>
        <w:t xml:space="preserve"> suggesting that the mortgage </w:t>
      </w:r>
      <w:r w:rsidR="00290174" w:rsidRPr="008C4D92">
        <w:rPr>
          <w:color w:val="000000" w:themeColor="text1"/>
        </w:rPr>
        <w:t>was</w:t>
      </w:r>
      <w:r w:rsidRPr="008C4D92">
        <w:rPr>
          <w:color w:val="000000" w:themeColor="text1"/>
        </w:rPr>
        <w:t xml:space="preserve"> a continuing security for any future guarantee by any of the parties.</w:t>
      </w:r>
    </w:p>
    <w:p w14:paraId="6FF9D45B" w14:textId="77777777" w:rsidR="00934670" w:rsidRPr="008C4D92" w:rsidRDefault="00934670" w:rsidP="00934670">
      <w:pPr>
        <w:pStyle w:val="ListParagraph"/>
        <w:rPr>
          <w:color w:val="000000" w:themeColor="text1"/>
        </w:rPr>
      </w:pPr>
    </w:p>
    <w:p w14:paraId="2777FA46" w14:textId="22A7C2DB" w:rsidR="00290174" w:rsidRPr="008C4D92" w:rsidRDefault="00B07612" w:rsidP="00B07612">
      <w:pPr>
        <w:numPr>
          <w:ilvl w:val="0"/>
          <w:numId w:val="19"/>
        </w:numPr>
        <w:spacing w:line="480" w:lineRule="auto"/>
        <w:jc w:val="both"/>
        <w:rPr>
          <w:color w:val="000000" w:themeColor="text1"/>
        </w:rPr>
      </w:pPr>
      <w:r w:rsidRPr="008C4D92">
        <w:rPr>
          <w:color w:val="000000" w:themeColor="text1"/>
        </w:rPr>
        <w:t xml:space="preserve">  He ma</w:t>
      </w:r>
      <w:r w:rsidR="001E57E7" w:rsidRPr="008C4D92">
        <w:rPr>
          <w:color w:val="000000" w:themeColor="text1"/>
        </w:rPr>
        <w:t>de</w:t>
      </w:r>
      <w:r w:rsidRPr="008C4D92">
        <w:rPr>
          <w:color w:val="000000" w:themeColor="text1"/>
        </w:rPr>
        <w:t xml:space="preserve"> reference to the </w:t>
      </w:r>
      <w:r w:rsidR="00FC0C48" w:rsidRPr="008C4D92">
        <w:rPr>
          <w:color w:val="000000" w:themeColor="text1"/>
        </w:rPr>
        <w:t xml:space="preserve">Global </w:t>
      </w:r>
      <w:r w:rsidRPr="008C4D92">
        <w:rPr>
          <w:color w:val="000000" w:themeColor="text1"/>
        </w:rPr>
        <w:t xml:space="preserve">Deed of Transfer and </w:t>
      </w:r>
      <w:r w:rsidR="001E57E7" w:rsidRPr="008C4D92">
        <w:rPr>
          <w:color w:val="000000" w:themeColor="text1"/>
        </w:rPr>
        <w:t>pointed to errors within certain</w:t>
      </w:r>
      <w:r w:rsidRPr="008C4D92">
        <w:rPr>
          <w:color w:val="000000" w:themeColor="text1"/>
        </w:rPr>
        <w:t xml:space="preserve"> documents.  He point</w:t>
      </w:r>
      <w:r w:rsidR="00290174" w:rsidRPr="008C4D92">
        <w:rPr>
          <w:color w:val="000000" w:themeColor="text1"/>
        </w:rPr>
        <w:t>ed</w:t>
      </w:r>
      <w:r w:rsidRPr="008C4D92">
        <w:rPr>
          <w:color w:val="000000" w:themeColor="text1"/>
        </w:rPr>
        <w:t xml:space="preserve"> out that letters for demand for payment were addressed to the first named defendant only.  </w:t>
      </w:r>
    </w:p>
    <w:p w14:paraId="40C91065" w14:textId="77777777" w:rsidR="00290174" w:rsidRPr="008C4D92" w:rsidRDefault="00290174" w:rsidP="00290174">
      <w:pPr>
        <w:pStyle w:val="ListParagraph"/>
        <w:rPr>
          <w:color w:val="000000" w:themeColor="text1"/>
        </w:rPr>
      </w:pPr>
    </w:p>
    <w:p w14:paraId="08088A15" w14:textId="3FDAE2BA" w:rsidR="00B07612" w:rsidRPr="008C4D92" w:rsidRDefault="00B07612" w:rsidP="00B07612">
      <w:pPr>
        <w:numPr>
          <w:ilvl w:val="0"/>
          <w:numId w:val="19"/>
        </w:numPr>
        <w:spacing w:line="480" w:lineRule="auto"/>
        <w:jc w:val="both"/>
        <w:rPr>
          <w:color w:val="000000" w:themeColor="text1"/>
        </w:rPr>
      </w:pPr>
      <w:r w:rsidRPr="008C4D92">
        <w:rPr>
          <w:color w:val="000000" w:themeColor="text1"/>
        </w:rPr>
        <w:t xml:space="preserve">In response to the averment that no defence exists to the claim, </w:t>
      </w:r>
      <w:r w:rsidR="006B7B30" w:rsidRPr="008C4D92">
        <w:rPr>
          <w:color w:val="000000" w:themeColor="text1"/>
        </w:rPr>
        <w:t xml:space="preserve">he made clear that the main points of </w:t>
      </w:r>
      <w:r w:rsidRPr="008C4D92">
        <w:rPr>
          <w:color w:val="000000" w:themeColor="text1"/>
        </w:rPr>
        <w:t xml:space="preserve">the intended defence </w:t>
      </w:r>
      <w:r w:rsidR="006B7B30" w:rsidRPr="008C4D92">
        <w:rPr>
          <w:color w:val="000000" w:themeColor="text1"/>
        </w:rPr>
        <w:t>were to be</w:t>
      </w:r>
      <w:r w:rsidRPr="008C4D92">
        <w:rPr>
          <w:color w:val="000000" w:themeColor="text1"/>
        </w:rPr>
        <w:t xml:space="preserve"> follows:</w:t>
      </w:r>
    </w:p>
    <w:p w14:paraId="4AA5FABB" w14:textId="77777777"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There is no debt due to the plaintiffs by the second named defendant.</w:t>
      </w:r>
    </w:p>
    <w:p w14:paraId="5C90AD20" w14:textId="4B38DE33"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The plaintiffs do not enjoy the benefit of any security over any property of the second named defendant.</w:t>
      </w:r>
    </w:p>
    <w:p w14:paraId="354E929F" w14:textId="474864F3"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 xml:space="preserve">The second named defendant is not bound by any negative </w:t>
      </w:r>
      <w:r w:rsidR="0073423B" w:rsidRPr="008C4D92">
        <w:rPr>
          <w:color w:val="000000" w:themeColor="text1"/>
        </w:rPr>
        <w:t xml:space="preserve">pledge </w:t>
      </w:r>
      <w:r w:rsidRPr="008C4D92">
        <w:rPr>
          <w:color w:val="000000" w:themeColor="text1"/>
        </w:rPr>
        <w:t>clause limiting her entitlement to alienate her interests</w:t>
      </w:r>
      <w:r w:rsidR="00E86123">
        <w:rPr>
          <w:color w:val="000000" w:themeColor="text1"/>
        </w:rPr>
        <w:t>,</w:t>
      </w:r>
      <w:r w:rsidRPr="008C4D92">
        <w:rPr>
          <w:color w:val="000000" w:themeColor="text1"/>
        </w:rPr>
        <w:t xml:space="preserve"> including by way of lease to the current occupants or any other party.</w:t>
      </w:r>
    </w:p>
    <w:p w14:paraId="225BAA1E" w14:textId="77777777"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The receivers were not validly appointed over the assets/interests of the second named defendant and it is impossible for them to purport to possess and/or manage the property jointly, without the consent and agreement of the second named defendant.</w:t>
      </w:r>
    </w:p>
    <w:p w14:paraId="3199F7E6" w14:textId="77777777"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The second named defendant is entitled to the benefit of rent or any other form of payment in respect of her interests in the property.</w:t>
      </w:r>
    </w:p>
    <w:p w14:paraId="7AC7F277" w14:textId="526320F0"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t xml:space="preserve">The mortgage of </w:t>
      </w:r>
      <w:r w:rsidR="0081375E" w:rsidRPr="008C4D92">
        <w:rPr>
          <w:color w:val="000000" w:themeColor="text1"/>
        </w:rPr>
        <w:t xml:space="preserve">the </w:t>
      </w:r>
      <w:r w:rsidRPr="008C4D92">
        <w:rPr>
          <w:color w:val="000000" w:themeColor="text1"/>
        </w:rPr>
        <w:t>12 August 1998</w:t>
      </w:r>
      <w:r w:rsidR="00E86123">
        <w:rPr>
          <w:color w:val="000000" w:themeColor="text1"/>
        </w:rPr>
        <w:t>,</w:t>
      </w:r>
      <w:r w:rsidRPr="008C4D92">
        <w:rPr>
          <w:color w:val="000000" w:themeColor="text1"/>
        </w:rPr>
        <w:t xml:space="preserve"> insofar as it concerns the second named defendant</w:t>
      </w:r>
      <w:r w:rsidR="00E86123">
        <w:rPr>
          <w:color w:val="000000" w:themeColor="text1"/>
        </w:rPr>
        <w:t>,</w:t>
      </w:r>
      <w:r w:rsidRPr="008C4D92">
        <w:rPr>
          <w:color w:val="000000" w:themeColor="text1"/>
        </w:rPr>
        <w:t xml:space="preserve"> has been discharged and the second named defendant is entitled to redemption by way of counterclaim.</w:t>
      </w:r>
    </w:p>
    <w:p w14:paraId="63ADBD1C" w14:textId="3FF389FA" w:rsidR="00B07612" w:rsidRPr="008C4D92" w:rsidRDefault="00F75055" w:rsidP="008C4D92">
      <w:pPr>
        <w:pStyle w:val="ListParagraph"/>
        <w:numPr>
          <w:ilvl w:val="0"/>
          <w:numId w:val="29"/>
        </w:numPr>
        <w:spacing w:line="480" w:lineRule="auto"/>
        <w:ind w:left="927"/>
        <w:jc w:val="both"/>
        <w:rPr>
          <w:color w:val="000000" w:themeColor="text1"/>
        </w:rPr>
      </w:pPr>
      <w:r w:rsidRPr="008C4D92">
        <w:rPr>
          <w:color w:val="000000" w:themeColor="text1"/>
        </w:rPr>
        <w:t>Also,</w:t>
      </w:r>
      <w:r w:rsidR="00B07612" w:rsidRPr="008C4D92">
        <w:rPr>
          <w:color w:val="000000" w:themeColor="text1"/>
        </w:rPr>
        <w:t xml:space="preserve"> by way of counterclaim</w:t>
      </w:r>
      <w:r w:rsidR="00E86123">
        <w:rPr>
          <w:color w:val="000000" w:themeColor="text1"/>
        </w:rPr>
        <w:t>,</w:t>
      </w:r>
      <w:r w:rsidR="00B07612" w:rsidRPr="008C4D92">
        <w:rPr>
          <w:color w:val="000000" w:themeColor="text1"/>
        </w:rPr>
        <w:t xml:space="preserve"> the defendants are entitled to damages for trespass and/or interference in their economic interests. </w:t>
      </w:r>
    </w:p>
    <w:p w14:paraId="1B3CBB02" w14:textId="1AE14B8F" w:rsidR="00B07612" w:rsidRPr="008C4D92" w:rsidRDefault="00B07612" w:rsidP="008C4D92">
      <w:pPr>
        <w:pStyle w:val="ListParagraph"/>
        <w:numPr>
          <w:ilvl w:val="0"/>
          <w:numId w:val="29"/>
        </w:numPr>
        <w:spacing w:line="480" w:lineRule="auto"/>
        <w:ind w:left="927"/>
        <w:jc w:val="both"/>
        <w:rPr>
          <w:color w:val="000000" w:themeColor="text1"/>
        </w:rPr>
      </w:pPr>
      <w:r w:rsidRPr="008C4D92">
        <w:rPr>
          <w:color w:val="000000" w:themeColor="text1"/>
        </w:rPr>
        <w:lastRenderedPageBreak/>
        <w:t xml:space="preserve">The plaintiffs are bound by the conduct and acquiescence of their predecessors in title and are estopped from objecting to the letting of the property which has been continuous for </w:t>
      </w:r>
      <w:r w:rsidR="0081375E" w:rsidRPr="008C4D92">
        <w:rPr>
          <w:color w:val="000000" w:themeColor="text1"/>
        </w:rPr>
        <w:t>seventeen</w:t>
      </w:r>
      <w:r w:rsidRPr="008C4D92">
        <w:rPr>
          <w:color w:val="000000" w:themeColor="text1"/>
        </w:rPr>
        <w:t xml:space="preserve"> years.</w:t>
      </w:r>
    </w:p>
    <w:p w14:paraId="7748D9D0" w14:textId="77777777" w:rsidR="00A3491D" w:rsidRPr="008C4D92" w:rsidRDefault="00A3491D" w:rsidP="00A3491D">
      <w:pPr>
        <w:pStyle w:val="ListParagraph"/>
        <w:spacing w:line="480" w:lineRule="auto"/>
        <w:ind w:left="1287"/>
        <w:jc w:val="both"/>
        <w:rPr>
          <w:color w:val="000000" w:themeColor="text1"/>
        </w:rPr>
      </w:pPr>
    </w:p>
    <w:p w14:paraId="29192CE2" w14:textId="432597CC" w:rsidR="00B07612" w:rsidRPr="008C4D92" w:rsidRDefault="007A6801" w:rsidP="00B07612">
      <w:pPr>
        <w:numPr>
          <w:ilvl w:val="0"/>
          <w:numId w:val="19"/>
        </w:numPr>
        <w:spacing w:line="480" w:lineRule="auto"/>
        <w:jc w:val="both"/>
        <w:rPr>
          <w:color w:val="000000" w:themeColor="text1"/>
        </w:rPr>
      </w:pPr>
      <w:r w:rsidRPr="008C4D92">
        <w:rPr>
          <w:color w:val="000000" w:themeColor="text1"/>
        </w:rPr>
        <w:t xml:space="preserve">The second </w:t>
      </w:r>
      <w:r w:rsidR="0081375E" w:rsidRPr="008C4D92">
        <w:rPr>
          <w:color w:val="000000" w:themeColor="text1"/>
        </w:rPr>
        <w:t xml:space="preserve">named </w:t>
      </w:r>
      <w:r w:rsidRPr="008C4D92">
        <w:rPr>
          <w:color w:val="000000" w:themeColor="text1"/>
        </w:rPr>
        <w:t>defendant</w:t>
      </w:r>
      <w:r w:rsidR="00E1072A" w:rsidRPr="008C4D92">
        <w:rPr>
          <w:color w:val="000000" w:themeColor="text1"/>
        </w:rPr>
        <w:t xml:space="preserve"> averred</w:t>
      </w:r>
      <w:r w:rsidR="00B07612" w:rsidRPr="008C4D92">
        <w:rPr>
          <w:color w:val="000000" w:themeColor="text1"/>
        </w:rPr>
        <w:t xml:space="preserve"> that the plaintiffs’ case </w:t>
      </w:r>
      <w:r w:rsidRPr="008C4D92">
        <w:rPr>
          <w:color w:val="000000" w:themeColor="text1"/>
        </w:rPr>
        <w:t>was</w:t>
      </w:r>
      <w:r w:rsidR="00B07612" w:rsidRPr="008C4D92">
        <w:rPr>
          <w:color w:val="000000" w:themeColor="text1"/>
        </w:rPr>
        <w:t xml:space="preserve"> fundamentally misconceived and that an injustice would be caused to the defendants if orders facilitating the sale of the property were granted.</w:t>
      </w:r>
    </w:p>
    <w:p w14:paraId="1DDFBC22" w14:textId="77777777" w:rsidR="0081375E" w:rsidRPr="008C4D92" w:rsidRDefault="0081375E" w:rsidP="00F62238">
      <w:pPr>
        <w:pStyle w:val="Heading3"/>
        <w:rPr>
          <w:color w:val="000000" w:themeColor="text1"/>
        </w:rPr>
      </w:pPr>
    </w:p>
    <w:p w14:paraId="45DB98AB" w14:textId="74D4AC37" w:rsidR="00B07612" w:rsidRPr="009939CE" w:rsidRDefault="00F62238" w:rsidP="00F62238">
      <w:pPr>
        <w:pStyle w:val="Heading3"/>
        <w:rPr>
          <w:color w:val="000000" w:themeColor="text1"/>
          <w:sz w:val="26"/>
          <w:szCs w:val="26"/>
        </w:rPr>
      </w:pPr>
      <w:r w:rsidRPr="009939CE">
        <w:rPr>
          <w:color w:val="000000" w:themeColor="text1"/>
          <w:sz w:val="26"/>
          <w:szCs w:val="26"/>
        </w:rPr>
        <w:t xml:space="preserve">Folio exhibited </w:t>
      </w:r>
      <w:r w:rsidR="00E93256" w:rsidRPr="009939CE">
        <w:rPr>
          <w:color w:val="000000" w:themeColor="text1"/>
          <w:sz w:val="26"/>
          <w:szCs w:val="26"/>
        </w:rPr>
        <w:t>showing charge on the property</w:t>
      </w:r>
    </w:p>
    <w:p w14:paraId="1A5F2A79" w14:textId="77777777" w:rsidR="00411FAC" w:rsidRPr="008C4D92" w:rsidRDefault="00411FAC" w:rsidP="00411FAC">
      <w:pPr>
        <w:rPr>
          <w:color w:val="000000" w:themeColor="text1"/>
        </w:rPr>
      </w:pPr>
    </w:p>
    <w:p w14:paraId="432CFD80" w14:textId="1960CC43" w:rsidR="00B07612" w:rsidRDefault="00B07612" w:rsidP="0082603A">
      <w:pPr>
        <w:numPr>
          <w:ilvl w:val="0"/>
          <w:numId w:val="19"/>
        </w:numPr>
        <w:spacing w:line="480" w:lineRule="auto"/>
        <w:jc w:val="both"/>
        <w:rPr>
          <w:color w:val="000000" w:themeColor="text1"/>
        </w:rPr>
      </w:pPr>
      <w:r w:rsidRPr="008C4D92">
        <w:rPr>
          <w:color w:val="000000" w:themeColor="text1"/>
        </w:rPr>
        <w:t xml:space="preserve">  In a second affidavit sworn by </w:t>
      </w:r>
      <w:r w:rsidR="003879A8" w:rsidRPr="008C4D92">
        <w:rPr>
          <w:color w:val="000000" w:themeColor="text1"/>
        </w:rPr>
        <w:t xml:space="preserve">the </w:t>
      </w:r>
      <w:r w:rsidRPr="008C4D92">
        <w:rPr>
          <w:color w:val="000000" w:themeColor="text1"/>
        </w:rPr>
        <w:t>second plaintiff on the 10 October 2019, he exhibit</w:t>
      </w:r>
      <w:r w:rsidR="00CF0733" w:rsidRPr="008C4D92">
        <w:rPr>
          <w:color w:val="000000" w:themeColor="text1"/>
        </w:rPr>
        <w:t>ed</w:t>
      </w:r>
      <w:r w:rsidRPr="008C4D92">
        <w:rPr>
          <w:color w:val="000000" w:themeColor="text1"/>
        </w:rPr>
        <w:t xml:space="preserve"> </w:t>
      </w:r>
      <w:r w:rsidR="00B5287B" w:rsidRPr="008C4D92">
        <w:rPr>
          <w:color w:val="000000" w:themeColor="text1"/>
        </w:rPr>
        <w:t>a</w:t>
      </w:r>
      <w:r w:rsidRPr="008C4D92">
        <w:rPr>
          <w:color w:val="000000" w:themeColor="text1"/>
        </w:rPr>
        <w:t xml:space="preserve"> printout from the Property Registration Authority</w:t>
      </w:r>
      <w:r w:rsidR="009F0710" w:rsidRPr="008C4D92">
        <w:rPr>
          <w:color w:val="000000" w:themeColor="text1"/>
        </w:rPr>
        <w:t xml:space="preserve"> relating to Folio 122784F</w:t>
      </w:r>
      <w:r w:rsidR="00411FAC" w:rsidRPr="008C4D92">
        <w:rPr>
          <w:color w:val="000000" w:themeColor="text1"/>
        </w:rPr>
        <w:t>, being the Folio relating to the Avoca property</w:t>
      </w:r>
      <w:r w:rsidRPr="008C4D92">
        <w:rPr>
          <w:color w:val="000000" w:themeColor="text1"/>
        </w:rPr>
        <w:t xml:space="preserve">.  Under </w:t>
      </w:r>
      <w:r w:rsidR="008C59B6" w:rsidRPr="008C4D92">
        <w:rPr>
          <w:color w:val="000000" w:themeColor="text1"/>
        </w:rPr>
        <w:t>“</w:t>
      </w:r>
      <w:r w:rsidRPr="008C4D92">
        <w:rPr>
          <w:color w:val="000000" w:themeColor="text1"/>
        </w:rPr>
        <w:t>Part 2 – Ownership</w:t>
      </w:r>
      <w:r w:rsidR="008C59B6" w:rsidRPr="008C4D92">
        <w:rPr>
          <w:color w:val="000000" w:themeColor="text1"/>
        </w:rPr>
        <w:t>”</w:t>
      </w:r>
      <w:r w:rsidRPr="008C4D92">
        <w:rPr>
          <w:color w:val="000000" w:themeColor="text1"/>
        </w:rPr>
        <w:t>,</w:t>
      </w:r>
      <w:r w:rsidR="008C59B6" w:rsidRPr="008C4D92">
        <w:rPr>
          <w:color w:val="000000" w:themeColor="text1"/>
        </w:rPr>
        <w:t xml:space="preserve"> the defendants</w:t>
      </w:r>
      <w:r w:rsidRPr="008C4D92">
        <w:rPr>
          <w:color w:val="000000" w:themeColor="text1"/>
        </w:rPr>
        <w:t xml:space="preserve"> are described as full owners.  Under </w:t>
      </w:r>
      <w:r w:rsidR="008C59B6" w:rsidRPr="008C4D92">
        <w:rPr>
          <w:color w:val="000000" w:themeColor="text1"/>
        </w:rPr>
        <w:t>“</w:t>
      </w:r>
      <w:r w:rsidRPr="008C4D92">
        <w:rPr>
          <w:color w:val="000000" w:themeColor="text1"/>
        </w:rPr>
        <w:t>Part 3, Burdens and Notices of Burdens</w:t>
      </w:r>
      <w:r w:rsidR="008C59B6" w:rsidRPr="008C4D92">
        <w:rPr>
          <w:color w:val="000000" w:themeColor="text1"/>
        </w:rPr>
        <w:t>”</w:t>
      </w:r>
      <w:r w:rsidRPr="008C4D92">
        <w:rPr>
          <w:color w:val="000000" w:themeColor="text1"/>
        </w:rPr>
        <w:t xml:space="preserve">, the entry for </w:t>
      </w:r>
      <w:r w:rsidR="0081375E" w:rsidRPr="008C4D92">
        <w:rPr>
          <w:color w:val="000000" w:themeColor="text1"/>
        </w:rPr>
        <w:t xml:space="preserve">the </w:t>
      </w:r>
      <w:r w:rsidRPr="008C4D92">
        <w:rPr>
          <w:color w:val="000000" w:themeColor="text1"/>
        </w:rPr>
        <w:t xml:space="preserve">29 September 1998 is </w:t>
      </w:r>
      <w:r w:rsidRPr="008C4D92">
        <w:rPr>
          <w:i/>
          <w:color w:val="000000" w:themeColor="text1"/>
        </w:rPr>
        <w:t xml:space="preserve">“charge for present and future advances stamped to cover £340,000 pounds repayable with interest.  Allied Irish Bank Plc </w:t>
      </w:r>
      <w:r w:rsidR="0036732E">
        <w:rPr>
          <w:i/>
          <w:color w:val="000000" w:themeColor="text1"/>
        </w:rPr>
        <w:t>i</w:t>
      </w:r>
      <w:r w:rsidRPr="008C4D92">
        <w:rPr>
          <w:i/>
          <w:color w:val="000000" w:themeColor="text1"/>
        </w:rPr>
        <w:t>s owner of this charge.  Note: Certificate of Charge issued rule 156.  Note: The ownership of this Charge has been transferred</w:t>
      </w:r>
      <w:r w:rsidR="0036732E">
        <w:rPr>
          <w:i/>
          <w:color w:val="000000" w:themeColor="text1"/>
        </w:rPr>
        <w:t>. S</w:t>
      </w:r>
      <w:r w:rsidRPr="008C4D92">
        <w:rPr>
          <w:i/>
          <w:color w:val="000000" w:themeColor="text1"/>
        </w:rPr>
        <w:t>ee entry No. 5.”</w:t>
      </w:r>
      <w:r w:rsidR="0082603A" w:rsidRPr="008C4D92">
        <w:rPr>
          <w:color w:val="000000" w:themeColor="text1"/>
        </w:rPr>
        <w:t xml:space="preserve"> </w:t>
      </w:r>
      <w:r w:rsidRPr="008C4D92">
        <w:rPr>
          <w:color w:val="000000" w:themeColor="text1"/>
        </w:rPr>
        <w:t>Item 5 is dated the 13 December 2018 and says “</w:t>
      </w:r>
      <w:r w:rsidRPr="008C4D92">
        <w:rPr>
          <w:i/>
          <w:color w:val="000000" w:themeColor="text1"/>
        </w:rPr>
        <w:t xml:space="preserve">Everyday Finance Designated Activity Company is the owner of the Charge registered at </w:t>
      </w:r>
      <w:r w:rsidR="0036732E">
        <w:rPr>
          <w:i/>
          <w:color w:val="000000" w:themeColor="text1"/>
        </w:rPr>
        <w:t>E</w:t>
      </w:r>
      <w:r w:rsidRPr="008C4D92">
        <w:rPr>
          <w:i/>
          <w:color w:val="000000" w:themeColor="text1"/>
        </w:rPr>
        <w:t>ntry No. 4.</w:t>
      </w:r>
      <w:r w:rsidR="0082603A" w:rsidRPr="008C4D92">
        <w:rPr>
          <w:i/>
          <w:color w:val="000000" w:themeColor="text1"/>
        </w:rPr>
        <w:t xml:space="preserve">” </w:t>
      </w:r>
      <w:r w:rsidR="00F75055" w:rsidRPr="008C4D92">
        <w:rPr>
          <w:color w:val="000000" w:themeColor="text1"/>
        </w:rPr>
        <w:t>Thus,</w:t>
      </w:r>
      <w:r w:rsidR="0082603A" w:rsidRPr="008C4D92">
        <w:rPr>
          <w:color w:val="000000" w:themeColor="text1"/>
        </w:rPr>
        <w:t xml:space="preserve"> the first plaintiff is the registered owner of the charge over the property</w:t>
      </w:r>
      <w:r w:rsidR="00820906" w:rsidRPr="008C4D92">
        <w:rPr>
          <w:color w:val="000000" w:themeColor="text1"/>
        </w:rPr>
        <w:t>, as was AIB before it.</w:t>
      </w:r>
    </w:p>
    <w:p w14:paraId="0CE7F82A" w14:textId="77777777" w:rsidR="00034375" w:rsidRDefault="00034375" w:rsidP="009939CE">
      <w:pPr>
        <w:spacing w:line="480" w:lineRule="auto"/>
        <w:jc w:val="both"/>
        <w:rPr>
          <w:color w:val="000000" w:themeColor="text1"/>
        </w:rPr>
      </w:pPr>
    </w:p>
    <w:p w14:paraId="4746A5EC" w14:textId="16532FBB" w:rsidR="00F95490" w:rsidRPr="008C4D92" w:rsidRDefault="00F95490" w:rsidP="0082603A">
      <w:pPr>
        <w:numPr>
          <w:ilvl w:val="0"/>
          <w:numId w:val="19"/>
        </w:numPr>
        <w:spacing w:line="480" w:lineRule="auto"/>
        <w:jc w:val="both"/>
        <w:rPr>
          <w:color w:val="000000" w:themeColor="text1"/>
        </w:rPr>
      </w:pPr>
      <w:r>
        <w:rPr>
          <w:color w:val="000000" w:themeColor="text1"/>
        </w:rPr>
        <w:t xml:space="preserve">Among other matters addressed in this second affidavit, the second plaintiff averred: </w:t>
      </w:r>
      <w:r w:rsidRPr="0036732E">
        <w:rPr>
          <w:color w:val="000000" w:themeColor="text1"/>
        </w:rPr>
        <w:t>“It is the Plaintiff’s belief that Mr. White and/or Mr. White and the Second named Defendant are receiving rental income from the unknown occupants and are retaining rental income for their own benefit”</w:t>
      </w:r>
      <w:r>
        <w:rPr>
          <w:color w:val="000000" w:themeColor="text1"/>
        </w:rPr>
        <w:t xml:space="preserve">. </w:t>
      </w:r>
    </w:p>
    <w:p w14:paraId="6FC1E0E0" w14:textId="763FB025" w:rsidR="00FA2364" w:rsidRPr="009939CE" w:rsidRDefault="003E3AC9" w:rsidP="003E3AC9">
      <w:pPr>
        <w:pStyle w:val="Heading1"/>
        <w:rPr>
          <w:color w:val="000000" w:themeColor="text1"/>
          <w:sz w:val="28"/>
          <w:szCs w:val="28"/>
        </w:rPr>
      </w:pPr>
      <w:r w:rsidRPr="009939CE">
        <w:rPr>
          <w:color w:val="000000" w:themeColor="text1"/>
          <w:sz w:val="28"/>
          <w:szCs w:val="28"/>
        </w:rPr>
        <w:lastRenderedPageBreak/>
        <w:t>Key Documents</w:t>
      </w:r>
    </w:p>
    <w:p w14:paraId="04556146" w14:textId="77777777" w:rsidR="00346265" w:rsidRPr="008C4D92" w:rsidRDefault="00346265" w:rsidP="00346265">
      <w:pPr>
        <w:rPr>
          <w:color w:val="000000" w:themeColor="text1"/>
        </w:rPr>
      </w:pPr>
    </w:p>
    <w:p w14:paraId="53E37F34" w14:textId="30AA57C5" w:rsidR="00E81ABA" w:rsidRPr="009939CE" w:rsidRDefault="005530C4" w:rsidP="005530C4">
      <w:pPr>
        <w:pStyle w:val="Heading3"/>
        <w:rPr>
          <w:color w:val="000000" w:themeColor="text1"/>
          <w:sz w:val="26"/>
          <w:szCs w:val="26"/>
        </w:rPr>
      </w:pPr>
      <w:r w:rsidRPr="009939CE">
        <w:rPr>
          <w:color w:val="000000" w:themeColor="text1"/>
          <w:sz w:val="26"/>
          <w:szCs w:val="26"/>
        </w:rPr>
        <w:t xml:space="preserve">The </w:t>
      </w:r>
      <w:r w:rsidR="00DE2162" w:rsidRPr="009939CE">
        <w:rPr>
          <w:color w:val="000000" w:themeColor="text1"/>
          <w:sz w:val="26"/>
          <w:szCs w:val="26"/>
        </w:rPr>
        <w:t>1998</w:t>
      </w:r>
      <w:r w:rsidRPr="009939CE">
        <w:rPr>
          <w:color w:val="000000" w:themeColor="text1"/>
          <w:sz w:val="26"/>
          <w:szCs w:val="26"/>
        </w:rPr>
        <w:t xml:space="preserve"> Deed of</w:t>
      </w:r>
      <w:r w:rsidR="00DE2162" w:rsidRPr="009939CE">
        <w:rPr>
          <w:color w:val="000000" w:themeColor="text1"/>
          <w:sz w:val="26"/>
          <w:szCs w:val="26"/>
        </w:rPr>
        <w:t xml:space="preserve"> Mortgage </w:t>
      </w:r>
    </w:p>
    <w:p w14:paraId="3187B8C8" w14:textId="77777777" w:rsidR="00346265" w:rsidRPr="009939CE" w:rsidRDefault="00346265" w:rsidP="00346265">
      <w:pPr>
        <w:rPr>
          <w:color w:val="000000" w:themeColor="text1"/>
          <w:sz w:val="26"/>
          <w:szCs w:val="26"/>
        </w:rPr>
      </w:pPr>
    </w:p>
    <w:p w14:paraId="7BF4B7E4" w14:textId="20C92665" w:rsidR="00346265" w:rsidRPr="008C4D92" w:rsidRDefault="009C1652" w:rsidP="008E25FE">
      <w:pPr>
        <w:numPr>
          <w:ilvl w:val="0"/>
          <w:numId w:val="19"/>
        </w:numPr>
        <w:spacing w:line="480" w:lineRule="auto"/>
        <w:jc w:val="both"/>
        <w:rPr>
          <w:color w:val="000000" w:themeColor="text1"/>
        </w:rPr>
      </w:pPr>
      <w:r w:rsidRPr="008C4D92">
        <w:rPr>
          <w:color w:val="000000" w:themeColor="text1"/>
        </w:rPr>
        <w:t xml:space="preserve">  </w:t>
      </w:r>
      <w:r w:rsidR="00346265" w:rsidRPr="008C4D92">
        <w:rPr>
          <w:color w:val="000000" w:themeColor="text1"/>
        </w:rPr>
        <w:t xml:space="preserve">The second defendant relies heavily upon the interpretation of the 1998 Mortgage Deed in advancing the proposition that she was released from that mortgage. Certain provisions thereof should therefore be set out in detail. </w:t>
      </w:r>
    </w:p>
    <w:p w14:paraId="5F9D2ECA" w14:textId="77777777" w:rsidR="00346265" w:rsidRPr="008C4D92" w:rsidRDefault="00346265" w:rsidP="00346265">
      <w:pPr>
        <w:spacing w:line="480" w:lineRule="auto"/>
        <w:jc w:val="both"/>
        <w:rPr>
          <w:color w:val="000000" w:themeColor="text1"/>
        </w:rPr>
      </w:pPr>
    </w:p>
    <w:p w14:paraId="5993CE8C" w14:textId="16C9C118" w:rsidR="009C1652" w:rsidRPr="008C4D92" w:rsidRDefault="00E81ABA" w:rsidP="008E25FE">
      <w:pPr>
        <w:numPr>
          <w:ilvl w:val="0"/>
          <w:numId w:val="19"/>
        </w:numPr>
        <w:spacing w:line="480" w:lineRule="auto"/>
        <w:jc w:val="both"/>
        <w:rPr>
          <w:color w:val="000000" w:themeColor="text1"/>
        </w:rPr>
      </w:pPr>
      <w:r w:rsidRPr="008C4D92">
        <w:rPr>
          <w:color w:val="000000" w:themeColor="text1"/>
        </w:rPr>
        <w:t>The mortgage deed of 1998 includes the following within a section entitled “</w:t>
      </w:r>
      <w:r w:rsidR="00AD2621" w:rsidRPr="008C4D92">
        <w:rPr>
          <w:color w:val="000000" w:themeColor="text1"/>
        </w:rPr>
        <w:t>B.</w:t>
      </w:r>
      <w:r w:rsidR="00F00D81" w:rsidRPr="008C4D92">
        <w:rPr>
          <w:color w:val="000000" w:themeColor="text1"/>
        </w:rPr>
        <w:t xml:space="preserve"> </w:t>
      </w:r>
      <w:r w:rsidRPr="008C4D92">
        <w:rPr>
          <w:color w:val="000000" w:themeColor="text1"/>
        </w:rPr>
        <w:t xml:space="preserve">Definitions”. </w:t>
      </w:r>
    </w:p>
    <w:p w14:paraId="55016FDD" w14:textId="77777777" w:rsidR="00F00D81" w:rsidRPr="008C4D92" w:rsidRDefault="00F00D81" w:rsidP="00F00D81">
      <w:pPr>
        <w:spacing w:line="480" w:lineRule="auto"/>
        <w:jc w:val="both"/>
        <w:rPr>
          <w:color w:val="000000" w:themeColor="text1"/>
        </w:rPr>
      </w:pPr>
    </w:p>
    <w:p w14:paraId="1667B6D7" w14:textId="5A7A39A7" w:rsidR="00E81ABA" w:rsidRDefault="00E81ABA" w:rsidP="008E25FE">
      <w:pPr>
        <w:spacing w:line="480" w:lineRule="auto"/>
        <w:ind w:left="567"/>
        <w:jc w:val="both"/>
        <w:rPr>
          <w:color w:val="000000" w:themeColor="text1"/>
        </w:rPr>
      </w:pPr>
      <w:r w:rsidRPr="008C4D92">
        <w:rPr>
          <w:color w:val="000000" w:themeColor="text1"/>
        </w:rPr>
        <w:t>“</w:t>
      </w:r>
      <w:r w:rsidR="00AD2621" w:rsidRPr="008C4D92">
        <w:rPr>
          <w:color w:val="000000" w:themeColor="text1"/>
        </w:rPr>
        <w:t>(4)</w:t>
      </w:r>
      <w:r w:rsidR="00346265" w:rsidRPr="008C4D92">
        <w:rPr>
          <w:color w:val="000000" w:themeColor="text1"/>
        </w:rPr>
        <w:t xml:space="preserve"> </w:t>
      </w:r>
      <w:r w:rsidR="0036732E">
        <w:rPr>
          <w:color w:val="000000" w:themeColor="text1"/>
        </w:rPr>
        <w:t>“</w:t>
      </w:r>
      <w:r w:rsidRPr="008C4D92">
        <w:rPr>
          <w:color w:val="000000" w:themeColor="text1"/>
        </w:rPr>
        <w:t xml:space="preserve">The </w:t>
      </w:r>
      <w:r w:rsidR="0036732E">
        <w:rPr>
          <w:color w:val="000000" w:themeColor="text1"/>
        </w:rPr>
        <w:t>M</w:t>
      </w:r>
      <w:r w:rsidRPr="008C4D92">
        <w:rPr>
          <w:color w:val="000000" w:themeColor="text1"/>
        </w:rPr>
        <w:t>ortgagor</w:t>
      </w:r>
      <w:r w:rsidR="0036732E">
        <w:rPr>
          <w:color w:val="000000" w:themeColor="text1"/>
        </w:rPr>
        <w:t xml:space="preserve">” </w:t>
      </w:r>
      <w:r w:rsidRPr="008C4D92">
        <w:rPr>
          <w:color w:val="000000" w:themeColor="text1"/>
        </w:rPr>
        <w:t xml:space="preserve"> means the person or persons so named in </w:t>
      </w:r>
      <w:r w:rsidR="0036732E">
        <w:rPr>
          <w:color w:val="000000" w:themeColor="text1"/>
        </w:rPr>
        <w:t>p</w:t>
      </w:r>
      <w:r w:rsidR="00067267" w:rsidRPr="008C4D92">
        <w:rPr>
          <w:color w:val="000000" w:themeColor="text1"/>
        </w:rPr>
        <w:t>art</w:t>
      </w:r>
      <w:r w:rsidRPr="008C4D92">
        <w:rPr>
          <w:color w:val="000000" w:themeColor="text1"/>
        </w:rPr>
        <w:t xml:space="preserve"> 1 of the </w:t>
      </w:r>
      <w:r w:rsidR="0036732E">
        <w:rPr>
          <w:color w:val="000000" w:themeColor="text1"/>
        </w:rPr>
        <w:t>M</w:t>
      </w:r>
      <w:r w:rsidRPr="008C4D92">
        <w:rPr>
          <w:color w:val="000000" w:themeColor="text1"/>
        </w:rPr>
        <w:t xml:space="preserve">ortgage </w:t>
      </w:r>
      <w:r w:rsidR="0036732E">
        <w:rPr>
          <w:color w:val="000000" w:themeColor="text1"/>
        </w:rPr>
        <w:t>P</w:t>
      </w:r>
      <w:r w:rsidRPr="008C4D92">
        <w:rPr>
          <w:color w:val="000000" w:themeColor="text1"/>
        </w:rPr>
        <w:t xml:space="preserve">articulars and the personal representative or the personal representatives of the </w:t>
      </w:r>
      <w:r w:rsidR="0036732E">
        <w:rPr>
          <w:color w:val="000000" w:themeColor="text1"/>
        </w:rPr>
        <w:t>M</w:t>
      </w:r>
      <w:r w:rsidRPr="008C4D92">
        <w:rPr>
          <w:color w:val="000000" w:themeColor="text1"/>
        </w:rPr>
        <w:t xml:space="preserve">ortgagor and the person or persons deriving title under the </w:t>
      </w:r>
      <w:r w:rsidR="0036732E">
        <w:rPr>
          <w:color w:val="000000" w:themeColor="text1"/>
        </w:rPr>
        <w:t>M</w:t>
      </w:r>
      <w:r w:rsidRPr="008C4D92">
        <w:rPr>
          <w:color w:val="000000" w:themeColor="text1"/>
        </w:rPr>
        <w:t xml:space="preserve">ortgagor to the </w:t>
      </w:r>
      <w:r w:rsidR="0036732E">
        <w:rPr>
          <w:color w:val="000000" w:themeColor="text1"/>
        </w:rPr>
        <w:t>M</w:t>
      </w:r>
      <w:r w:rsidRPr="008C4D92">
        <w:rPr>
          <w:color w:val="000000" w:themeColor="text1"/>
        </w:rPr>
        <w:t xml:space="preserve">ortgaged </w:t>
      </w:r>
      <w:r w:rsidR="0036732E">
        <w:rPr>
          <w:color w:val="000000" w:themeColor="text1"/>
        </w:rPr>
        <w:t>P</w:t>
      </w:r>
      <w:r w:rsidRPr="008C4D92">
        <w:rPr>
          <w:color w:val="000000" w:themeColor="text1"/>
        </w:rPr>
        <w:t>roperty”.</w:t>
      </w:r>
    </w:p>
    <w:p w14:paraId="52677788" w14:textId="42E7BE38" w:rsidR="0036732E" w:rsidRDefault="0036732E" w:rsidP="008E25FE">
      <w:pPr>
        <w:spacing w:line="480" w:lineRule="auto"/>
        <w:ind w:left="567"/>
        <w:jc w:val="both"/>
        <w:rPr>
          <w:color w:val="000000" w:themeColor="text1"/>
        </w:rPr>
      </w:pPr>
    </w:p>
    <w:p w14:paraId="4F794CA6" w14:textId="1754F4E1" w:rsidR="0036732E" w:rsidRPr="008C4D92" w:rsidRDefault="0036732E" w:rsidP="008E25FE">
      <w:pPr>
        <w:spacing w:line="480" w:lineRule="auto"/>
        <w:ind w:left="567"/>
        <w:jc w:val="both"/>
        <w:rPr>
          <w:color w:val="000000" w:themeColor="text1"/>
        </w:rPr>
      </w:pPr>
      <w:r>
        <w:rPr>
          <w:color w:val="000000" w:themeColor="text1"/>
        </w:rPr>
        <w:t>…</w:t>
      </w:r>
    </w:p>
    <w:p w14:paraId="3E3F5F8D" w14:textId="77777777" w:rsidR="00C7701D" w:rsidRPr="008C4D92" w:rsidRDefault="00C7701D" w:rsidP="008E25FE">
      <w:pPr>
        <w:spacing w:line="480" w:lineRule="auto"/>
        <w:ind w:left="567"/>
        <w:jc w:val="both"/>
        <w:rPr>
          <w:color w:val="000000" w:themeColor="text1"/>
        </w:rPr>
      </w:pPr>
    </w:p>
    <w:p w14:paraId="23DE11C0" w14:textId="570B831E" w:rsidR="009C1652" w:rsidRPr="008C4D92" w:rsidRDefault="00E81ABA" w:rsidP="008E25FE">
      <w:pPr>
        <w:spacing w:line="480" w:lineRule="auto"/>
        <w:ind w:left="567"/>
        <w:jc w:val="both"/>
        <w:rPr>
          <w:color w:val="000000" w:themeColor="text1"/>
        </w:rPr>
      </w:pPr>
      <w:r w:rsidRPr="008C4D92">
        <w:rPr>
          <w:color w:val="000000" w:themeColor="text1"/>
        </w:rPr>
        <w:t>“</w:t>
      </w:r>
      <w:r w:rsidR="00AD2621" w:rsidRPr="008C4D92">
        <w:rPr>
          <w:color w:val="000000" w:themeColor="text1"/>
        </w:rPr>
        <w:t xml:space="preserve">(6) </w:t>
      </w:r>
      <w:r w:rsidR="0036732E">
        <w:rPr>
          <w:color w:val="000000" w:themeColor="text1"/>
        </w:rPr>
        <w:t>“p</w:t>
      </w:r>
      <w:r w:rsidRPr="008C4D92">
        <w:rPr>
          <w:color w:val="000000" w:themeColor="text1"/>
        </w:rPr>
        <w:t>resent loan</w:t>
      </w:r>
      <w:r w:rsidR="0036732E">
        <w:rPr>
          <w:color w:val="000000" w:themeColor="text1"/>
        </w:rPr>
        <w:t>”</w:t>
      </w:r>
      <w:r w:rsidRPr="008C4D92">
        <w:rPr>
          <w:color w:val="000000" w:themeColor="text1"/>
        </w:rPr>
        <w:t xml:space="preserve"> means the </w:t>
      </w:r>
      <w:r w:rsidR="0036732E">
        <w:rPr>
          <w:color w:val="000000" w:themeColor="text1"/>
        </w:rPr>
        <w:t>L</w:t>
      </w:r>
      <w:r w:rsidRPr="008C4D92">
        <w:rPr>
          <w:color w:val="000000" w:themeColor="text1"/>
        </w:rPr>
        <w:t xml:space="preserve">oan of the principal sum which is set out in </w:t>
      </w:r>
      <w:r w:rsidR="00067267" w:rsidRPr="008C4D92">
        <w:rPr>
          <w:color w:val="000000" w:themeColor="text1"/>
        </w:rPr>
        <w:t>Part</w:t>
      </w:r>
      <w:r w:rsidRPr="008C4D92">
        <w:rPr>
          <w:color w:val="000000" w:themeColor="text1"/>
        </w:rPr>
        <w:t xml:space="preserve"> 3 of the </w:t>
      </w:r>
      <w:r w:rsidR="0036732E">
        <w:rPr>
          <w:color w:val="000000" w:themeColor="text1"/>
        </w:rPr>
        <w:t>M</w:t>
      </w:r>
      <w:r w:rsidRPr="008C4D92">
        <w:rPr>
          <w:color w:val="000000" w:themeColor="text1"/>
        </w:rPr>
        <w:t xml:space="preserve">ortgage </w:t>
      </w:r>
      <w:r w:rsidR="0036732E">
        <w:rPr>
          <w:color w:val="000000" w:themeColor="text1"/>
        </w:rPr>
        <w:t>P</w:t>
      </w:r>
      <w:r w:rsidRPr="008C4D92">
        <w:rPr>
          <w:color w:val="000000" w:themeColor="text1"/>
        </w:rPr>
        <w:t xml:space="preserve">articulars offered by the Bank to the </w:t>
      </w:r>
      <w:r w:rsidR="0036732E">
        <w:rPr>
          <w:color w:val="000000" w:themeColor="text1"/>
        </w:rPr>
        <w:t>M</w:t>
      </w:r>
      <w:r w:rsidRPr="008C4D92">
        <w:rPr>
          <w:color w:val="000000" w:themeColor="text1"/>
        </w:rPr>
        <w:t xml:space="preserve">ortgagor and accepted by the </w:t>
      </w:r>
      <w:r w:rsidR="0036732E">
        <w:rPr>
          <w:color w:val="000000" w:themeColor="text1"/>
        </w:rPr>
        <w:t>M</w:t>
      </w:r>
      <w:r w:rsidRPr="008C4D92">
        <w:rPr>
          <w:color w:val="000000" w:themeColor="text1"/>
        </w:rPr>
        <w:t xml:space="preserve">ortgagor and any reference herein to the said </w:t>
      </w:r>
      <w:r w:rsidR="0036732E">
        <w:rPr>
          <w:color w:val="000000" w:themeColor="text1"/>
        </w:rPr>
        <w:t>“</w:t>
      </w:r>
      <w:r w:rsidRPr="008C4D92">
        <w:rPr>
          <w:color w:val="000000" w:themeColor="text1"/>
        </w:rPr>
        <w:t>present loan</w:t>
      </w:r>
      <w:r w:rsidR="0036732E">
        <w:rPr>
          <w:color w:val="000000" w:themeColor="text1"/>
        </w:rPr>
        <w:t>”</w:t>
      </w:r>
      <w:r w:rsidRPr="008C4D92">
        <w:rPr>
          <w:color w:val="000000" w:themeColor="text1"/>
        </w:rPr>
        <w:t xml:space="preserve"> shall also include any </w:t>
      </w:r>
      <w:proofErr w:type="spellStart"/>
      <w:r w:rsidRPr="008C4D92">
        <w:rPr>
          <w:color w:val="000000" w:themeColor="text1"/>
        </w:rPr>
        <w:t>refinancing</w:t>
      </w:r>
      <w:r w:rsidR="0036732E">
        <w:rPr>
          <w:color w:val="000000" w:themeColor="text1"/>
        </w:rPr>
        <w:t>s</w:t>
      </w:r>
      <w:proofErr w:type="spellEnd"/>
      <w:r w:rsidRPr="008C4D92">
        <w:rPr>
          <w:color w:val="000000" w:themeColor="text1"/>
        </w:rPr>
        <w:t xml:space="preserve"> or </w:t>
      </w:r>
      <w:proofErr w:type="spellStart"/>
      <w:r w:rsidRPr="008C4D92">
        <w:rPr>
          <w:color w:val="000000" w:themeColor="text1"/>
        </w:rPr>
        <w:t>rescheduling</w:t>
      </w:r>
      <w:r w:rsidR="00EC7A77" w:rsidRPr="008C4D92">
        <w:rPr>
          <w:color w:val="000000" w:themeColor="text1"/>
        </w:rPr>
        <w:t>s</w:t>
      </w:r>
      <w:proofErr w:type="spellEnd"/>
      <w:r w:rsidRPr="008C4D92">
        <w:rPr>
          <w:color w:val="000000" w:themeColor="text1"/>
        </w:rPr>
        <w:t xml:space="preserve"> thereof or any amendments thereto </w:t>
      </w:r>
      <w:r w:rsidR="0036732E">
        <w:rPr>
          <w:color w:val="000000" w:themeColor="text1"/>
        </w:rPr>
        <w:t>whether</w:t>
      </w:r>
      <w:r w:rsidR="0036732E" w:rsidRPr="008C4D92">
        <w:rPr>
          <w:color w:val="000000" w:themeColor="text1"/>
        </w:rPr>
        <w:t xml:space="preserve"> </w:t>
      </w:r>
      <w:r w:rsidRPr="008C4D92">
        <w:rPr>
          <w:color w:val="000000" w:themeColor="text1"/>
        </w:rPr>
        <w:t xml:space="preserve">in whole or in part which may be agreed in writing at any time or from time to time between the </w:t>
      </w:r>
      <w:r w:rsidR="0036732E">
        <w:rPr>
          <w:color w:val="000000" w:themeColor="text1"/>
        </w:rPr>
        <w:t>M</w:t>
      </w:r>
      <w:r w:rsidRPr="008C4D92">
        <w:rPr>
          <w:color w:val="000000" w:themeColor="text1"/>
        </w:rPr>
        <w:t>ortgagor and the Bank.”</w:t>
      </w:r>
    </w:p>
    <w:p w14:paraId="7724CD37" w14:textId="77777777" w:rsidR="001863AE" w:rsidRPr="008C4D92" w:rsidRDefault="001863AE" w:rsidP="008E25FE">
      <w:pPr>
        <w:spacing w:line="480" w:lineRule="auto"/>
        <w:ind w:left="567"/>
        <w:jc w:val="both"/>
        <w:rPr>
          <w:color w:val="000000" w:themeColor="text1"/>
        </w:rPr>
      </w:pPr>
    </w:p>
    <w:p w14:paraId="195BBCB5" w14:textId="71CA5E5B" w:rsidR="00E81ABA" w:rsidRPr="008C4D92" w:rsidRDefault="00E81ABA" w:rsidP="008E25FE">
      <w:pPr>
        <w:spacing w:line="480" w:lineRule="auto"/>
        <w:ind w:left="567"/>
        <w:jc w:val="both"/>
        <w:rPr>
          <w:color w:val="000000" w:themeColor="text1"/>
        </w:rPr>
      </w:pPr>
      <w:r w:rsidRPr="008C4D92">
        <w:rPr>
          <w:color w:val="000000" w:themeColor="text1"/>
        </w:rPr>
        <w:t>“</w:t>
      </w:r>
      <w:r w:rsidR="00AD2621" w:rsidRPr="008C4D92">
        <w:rPr>
          <w:color w:val="000000" w:themeColor="text1"/>
        </w:rPr>
        <w:t>(7)</w:t>
      </w:r>
      <w:r w:rsidR="0036732E">
        <w:rPr>
          <w:color w:val="000000" w:themeColor="text1"/>
        </w:rPr>
        <w:t>”f</w:t>
      </w:r>
      <w:r w:rsidRPr="008C4D92">
        <w:rPr>
          <w:color w:val="000000" w:themeColor="text1"/>
        </w:rPr>
        <w:t>uture loan</w:t>
      </w:r>
      <w:r w:rsidR="0036732E">
        <w:rPr>
          <w:color w:val="000000" w:themeColor="text1"/>
        </w:rPr>
        <w:t>”</w:t>
      </w:r>
      <w:r w:rsidRPr="008C4D92">
        <w:rPr>
          <w:color w:val="000000" w:themeColor="text1"/>
        </w:rPr>
        <w:t xml:space="preserve"> means any </w:t>
      </w:r>
      <w:r w:rsidR="0036732E">
        <w:rPr>
          <w:color w:val="000000" w:themeColor="text1"/>
        </w:rPr>
        <w:t>L</w:t>
      </w:r>
      <w:r w:rsidRPr="008C4D92">
        <w:rPr>
          <w:color w:val="000000" w:themeColor="text1"/>
        </w:rPr>
        <w:t xml:space="preserve">oan or </w:t>
      </w:r>
      <w:r w:rsidR="0036732E">
        <w:rPr>
          <w:color w:val="000000" w:themeColor="text1"/>
        </w:rPr>
        <w:t>L</w:t>
      </w:r>
      <w:r w:rsidRPr="008C4D92">
        <w:rPr>
          <w:color w:val="000000" w:themeColor="text1"/>
        </w:rPr>
        <w:t xml:space="preserve">oans of a specific principal sum or sums offered at any future time or times on the </w:t>
      </w:r>
      <w:r w:rsidR="0036732E">
        <w:rPr>
          <w:color w:val="000000" w:themeColor="text1"/>
        </w:rPr>
        <w:t>S</w:t>
      </w:r>
      <w:r w:rsidRPr="008C4D92">
        <w:rPr>
          <w:color w:val="000000" w:themeColor="text1"/>
        </w:rPr>
        <w:t xml:space="preserve">ecurity of this </w:t>
      </w:r>
      <w:r w:rsidR="0036732E">
        <w:rPr>
          <w:color w:val="000000" w:themeColor="text1"/>
        </w:rPr>
        <w:t>M</w:t>
      </w:r>
      <w:r w:rsidRPr="008C4D92">
        <w:rPr>
          <w:color w:val="000000" w:themeColor="text1"/>
        </w:rPr>
        <w:t xml:space="preserve">ortgage by the </w:t>
      </w:r>
      <w:r w:rsidR="0036732E">
        <w:rPr>
          <w:color w:val="000000" w:themeColor="text1"/>
        </w:rPr>
        <w:t>B</w:t>
      </w:r>
      <w:r w:rsidRPr="008C4D92">
        <w:rPr>
          <w:color w:val="000000" w:themeColor="text1"/>
        </w:rPr>
        <w:t xml:space="preserve">ank to the </w:t>
      </w:r>
      <w:r w:rsidR="0036732E">
        <w:rPr>
          <w:color w:val="000000" w:themeColor="text1"/>
        </w:rPr>
        <w:lastRenderedPageBreak/>
        <w:t>M</w:t>
      </w:r>
      <w:r w:rsidRPr="008C4D92">
        <w:rPr>
          <w:color w:val="000000" w:themeColor="text1"/>
        </w:rPr>
        <w:t xml:space="preserve">ortgagor and agreed and accepted in writing </w:t>
      </w:r>
      <w:r w:rsidR="00EC7A77" w:rsidRPr="008C4D92">
        <w:rPr>
          <w:color w:val="000000" w:themeColor="text1"/>
        </w:rPr>
        <w:t xml:space="preserve">by the </w:t>
      </w:r>
      <w:r w:rsidR="006A1E23">
        <w:rPr>
          <w:color w:val="000000" w:themeColor="text1"/>
        </w:rPr>
        <w:t>M</w:t>
      </w:r>
      <w:r w:rsidR="00EC7A77" w:rsidRPr="008C4D92">
        <w:rPr>
          <w:color w:val="000000" w:themeColor="text1"/>
        </w:rPr>
        <w:t xml:space="preserve">ortgagor in any relevant letter of offer </w:t>
      </w:r>
      <w:r w:rsidR="006A1E23">
        <w:rPr>
          <w:color w:val="000000" w:themeColor="text1"/>
        </w:rPr>
        <w:t>(</w:t>
      </w:r>
      <w:r w:rsidR="00EC7A77" w:rsidRPr="008C4D92">
        <w:rPr>
          <w:color w:val="000000" w:themeColor="text1"/>
        </w:rPr>
        <w:t>as hereinafter defined</w:t>
      </w:r>
      <w:r w:rsidR="006A1E23">
        <w:rPr>
          <w:color w:val="000000" w:themeColor="text1"/>
        </w:rPr>
        <w:t>)</w:t>
      </w:r>
      <w:r w:rsidR="00EC7A77" w:rsidRPr="008C4D92">
        <w:rPr>
          <w:color w:val="000000" w:themeColor="text1"/>
        </w:rPr>
        <w:t xml:space="preserve"> and shall also mean any </w:t>
      </w:r>
      <w:proofErr w:type="spellStart"/>
      <w:r w:rsidR="00EC7A77" w:rsidRPr="008C4D92">
        <w:rPr>
          <w:color w:val="000000" w:themeColor="text1"/>
        </w:rPr>
        <w:t>refinancing</w:t>
      </w:r>
      <w:r w:rsidR="006A1E23">
        <w:rPr>
          <w:color w:val="000000" w:themeColor="text1"/>
        </w:rPr>
        <w:t>s</w:t>
      </w:r>
      <w:proofErr w:type="spellEnd"/>
      <w:r w:rsidR="00EC7A77" w:rsidRPr="008C4D92">
        <w:rPr>
          <w:color w:val="000000" w:themeColor="text1"/>
        </w:rPr>
        <w:t xml:space="preserve"> or </w:t>
      </w:r>
      <w:proofErr w:type="spellStart"/>
      <w:r w:rsidR="00EC7A77" w:rsidRPr="008C4D92">
        <w:rPr>
          <w:color w:val="000000" w:themeColor="text1"/>
        </w:rPr>
        <w:t>reschedulings</w:t>
      </w:r>
      <w:proofErr w:type="spellEnd"/>
      <w:r w:rsidR="00EC7A77" w:rsidRPr="008C4D92">
        <w:rPr>
          <w:color w:val="000000" w:themeColor="text1"/>
        </w:rPr>
        <w:t xml:space="preserve"> thereof or any amendments or variations thereto whether in whole or in part which may be agreed in writing at any future time or times between the </w:t>
      </w:r>
      <w:r w:rsidR="006A1E23">
        <w:rPr>
          <w:color w:val="000000" w:themeColor="text1"/>
        </w:rPr>
        <w:t>M</w:t>
      </w:r>
      <w:r w:rsidR="00EC7A77" w:rsidRPr="008C4D92">
        <w:rPr>
          <w:color w:val="000000" w:themeColor="text1"/>
        </w:rPr>
        <w:t>ortgagor or the Bank.”</w:t>
      </w:r>
    </w:p>
    <w:p w14:paraId="2BA35383" w14:textId="77777777" w:rsidR="00DC62D8" w:rsidRPr="008C4D92" w:rsidRDefault="00DC62D8" w:rsidP="008E25FE">
      <w:pPr>
        <w:spacing w:line="480" w:lineRule="auto"/>
        <w:ind w:left="567"/>
        <w:jc w:val="both"/>
        <w:rPr>
          <w:color w:val="000000" w:themeColor="text1"/>
        </w:rPr>
      </w:pPr>
    </w:p>
    <w:p w14:paraId="7D291230" w14:textId="03B22797" w:rsidR="0071634C" w:rsidRPr="008C4D92" w:rsidRDefault="0071634C" w:rsidP="008E25FE">
      <w:pPr>
        <w:spacing w:line="480" w:lineRule="auto"/>
        <w:ind w:left="567"/>
        <w:jc w:val="both"/>
        <w:rPr>
          <w:color w:val="000000" w:themeColor="text1"/>
        </w:rPr>
      </w:pPr>
      <w:r w:rsidRPr="008C4D92">
        <w:rPr>
          <w:color w:val="000000" w:themeColor="text1"/>
        </w:rPr>
        <w:t>“</w:t>
      </w:r>
      <w:r w:rsidR="00AD2621" w:rsidRPr="008C4D92">
        <w:rPr>
          <w:color w:val="000000" w:themeColor="text1"/>
        </w:rPr>
        <w:t>(8)</w:t>
      </w:r>
      <w:r w:rsidR="006A1E23">
        <w:rPr>
          <w:color w:val="000000" w:themeColor="text1"/>
        </w:rPr>
        <w:t>”r</w:t>
      </w:r>
      <w:r w:rsidRPr="008C4D92">
        <w:rPr>
          <w:color w:val="000000" w:themeColor="text1"/>
        </w:rPr>
        <w:t>elevant letter of offer</w:t>
      </w:r>
      <w:r w:rsidR="006A1E23">
        <w:rPr>
          <w:color w:val="000000" w:themeColor="text1"/>
        </w:rPr>
        <w:t>”</w:t>
      </w:r>
      <w:r w:rsidRPr="008C4D92">
        <w:rPr>
          <w:color w:val="000000" w:themeColor="text1"/>
        </w:rPr>
        <w:t xml:space="preserve"> me</w:t>
      </w:r>
      <w:r w:rsidR="00AD2621" w:rsidRPr="008C4D92">
        <w:rPr>
          <w:color w:val="000000" w:themeColor="text1"/>
        </w:rPr>
        <w:t>ans</w:t>
      </w:r>
      <w:r w:rsidRPr="008C4D92">
        <w:rPr>
          <w:color w:val="000000" w:themeColor="text1"/>
        </w:rPr>
        <w:t xml:space="preserve"> the letter of offer the date of which is set out in Part 3 of the Mortgage Particulars wherein the Bank offered the present loan to the Mortgag</w:t>
      </w:r>
      <w:r w:rsidR="00DC62D8" w:rsidRPr="008C4D92">
        <w:rPr>
          <w:color w:val="000000" w:themeColor="text1"/>
        </w:rPr>
        <w:t>or…</w:t>
      </w:r>
      <w:r w:rsidR="006A1E23">
        <w:rPr>
          <w:color w:val="000000" w:themeColor="text1"/>
        </w:rPr>
        <w:t xml:space="preserve"> </w:t>
      </w:r>
      <w:r w:rsidR="00DC62D8" w:rsidRPr="008C4D92">
        <w:rPr>
          <w:color w:val="000000" w:themeColor="text1"/>
        </w:rPr>
        <w:t>and shall</w:t>
      </w:r>
      <w:r w:rsidR="006A1E23">
        <w:rPr>
          <w:color w:val="000000" w:themeColor="text1"/>
        </w:rPr>
        <w:t xml:space="preserve"> …</w:t>
      </w:r>
      <w:r w:rsidR="00DC62D8" w:rsidRPr="008C4D92">
        <w:rPr>
          <w:color w:val="000000" w:themeColor="text1"/>
        </w:rPr>
        <w:t xml:space="preserve"> in addition mean and include for the purposes of this Mortgage any letter or letters of offer of a future loan… agreed and accepting in writing between the Mortgagor and the Bank at any future time or times.”</w:t>
      </w:r>
    </w:p>
    <w:p w14:paraId="2FDD0757" w14:textId="4D6F6E25" w:rsidR="00BC32B5" w:rsidRPr="008C4D92" w:rsidRDefault="00BC32B5" w:rsidP="008E25FE">
      <w:pPr>
        <w:spacing w:line="480" w:lineRule="auto"/>
        <w:ind w:left="567"/>
        <w:jc w:val="both"/>
        <w:rPr>
          <w:color w:val="000000" w:themeColor="text1"/>
        </w:rPr>
      </w:pPr>
    </w:p>
    <w:p w14:paraId="46E15D9A" w14:textId="5749EB67" w:rsidR="00BC32B5" w:rsidRPr="008C4D92" w:rsidRDefault="00BC32B5" w:rsidP="00BC32B5">
      <w:pPr>
        <w:pStyle w:val="ListParagraph"/>
        <w:numPr>
          <w:ilvl w:val="0"/>
          <w:numId w:val="19"/>
        </w:numPr>
        <w:spacing w:line="480" w:lineRule="auto"/>
        <w:jc w:val="both"/>
        <w:rPr>
          <w:color w:val="000000" w:themeColor="text1"/>
        </w:rPr>
      </w:pPr>
      <w:r w:rsidRPr="008C4D92">
        <w:rPr>
          <w:color w:val="000000" w:themeColor="text1"/>
        </w:rPr>
        <w:t xml:space="preserve">Another section within the </w:t>
      </w:r>
      <w:r w:rsidR="00C4593F">
        <w:rPr>
          <w:color w:val="000000" w:themeColor="text1"/>
        </w:rPr>
        <w:t>m</w:t>
      </w:r>
      <w:r w:rsidRPr="008C4D92">
        <w:rPr>
          <w:color w:val="000000" w:themeColor="text1"/>
        </w:rPr>
        <w:t xml:space="preserve">ortgage </w:t>
      </w:r>
      <w:r w:rsidR="00C4593F">
        <w:rPr>
          <w:color w:val="000000" w:themeColor="text1"/>
        </w:rPr>
        <w:t>d</w:t>
      </w:r>
      <w:r w:rsidRPr="008C4D92">
        <w:rPr>
          <w:color w:val="000000" w:themeColor="text1"/>
        </w:rPr>
        <w:t>eed entitled “C. Interpretation” provi</w:t>
      </w:r>
      <w:r w:rsidR="005E04D9" w:rsidRPr="008C4D92">
        <w:rPr>
          <w:color w:val="000000" w:themeColor="text1"/>
        </w:rPr>
        <w:t>d</w:t>
      </w:r>
      <w:r w:rsidRPr="008C4D92">
        <w:rPr>
          <w:color w:val="000000" w:themeColor="text1"/>
        </w:rPr>
        <w:t xml:space="preserve">es </w:t>
      </w:r>
      <w:r w:rsidRPr="008C4D92">
        <w:rPr>
          <w:i/>
          <w:color w:val="000000" w:themeColor="text1"/>
        </w:rPr>
        <w:t>inter alia</w:t>
      </w:r>
      <w:r w:rsidRPr="008C4D92">
        <w:rPr>
          <w:color w:val="000000" w:themeColor="text1"/>
        </w:rPr>
        <w:t xml:space="preserve"> that:</w:t>
      </w:r>
    </w:p>
    <w:p w14:paraId="33D99F87" w14:textId="7F35C19F" w:rsidR="00BC32B5" w:rsidRPr="008C4D92" w:rsidRDefault="0081375E" w:rsidP="009939CE">
      <w:pPr>
        <w:spacing w:line="480" w:lineRule="auto"/>
        <w:ind w:left="567"/>
        <w:jc w:val="both"/>
        <w:rPr>
          <w:color w:val="000000" w:themeColor="text1"/>
        </w:rPr>
      </w:pPr>
      <w:r w:rsidRPr="008C4D92">
        <w:rPr>
          <w:color w:val="000000" w:themeColor="text1"/>
        </w:rPr>
        <w:t>“</w:t>
      </w:r>
      <w:r w:rsidR="00BC32B5" w:rsidRPr="008C4D92">
        <w:rPr>
          <w:color w:val="000000" w:themeColor="text1"/>
        </w:rPr>
        <w:t>Where two or more persons together constitute the Mortgagor the covenants and ag</w:t>
      </w:r>
      <w:r w:rsidR="005E04D9" w:rsidRPr="008C4D92">
        <w:rPr>
          <w:color w:val="000000" w:themeColor="text1"/>
        </w:rPr>
        <w:t xml:space="preserve">reements on the part of the Mortgagor herein expressed or implied by law in this Mortgage shall be deemed to have entered into jointly and severally by the said persons”. </w:t>
      </w:r>
    </w:p>
    <w:p w14:paraId="0694EA08" w14:textId="19E2F054" w:rsidR="00640541" w:rsidRPr="008C4D92" w:rsidRDefault="00640541" w:rsidP="008E25FE">
      <w:pPr>
        <w:spacing w:line="480" w:lineRule="auto"/>
        <w:ind w:left="567"/>
        <w:jc w:val="both"/>
        <w:rPr>
          <w:color w:val="000000" w:themeColor="text1"/>
        </w:rPr>
      </w:pPr>
    </w:p>
    <w:p w14:paraId="322A7B91" w14:textId="769C02A3" w:rsidR="00640541" w:rsidRPr="009939CE" w:rsidRDefault="00640541" w:rsidP="00640541">
      <w:pPr>
        <w:pStyle w:val="Heading3"/>
        <w:rPr>
          <w:color w:val="000000" w:themeColor="text1"/>
          <w:sz w:val="26"/>
          <w:szCs w:val="26"/>
        </w:rPr>
      </w:pPr>
      <w:r w:rsidRPr="009939CE">
        <w:rPr>
          <w:color w:val="000000" w:themeColor="text1"/>
          <w:sz w:val="26"/>
          <w:szCs w:val="26"/>
        </w:rPr>
        <w:t xml:space="preserve">The 2008 letter of </w:t>
      </w:r>
      <w:r w:rsidR="00D46813" w:rsidRPr="009939CE">
        <w:rPr>
          <w:color w:val="000000" w:themeColor="text1"/>
          <w:sz w:val="26"/>
          <w:szCs w:val="26"/>
        </w:rPr>
        <w:t>loan offer</w:t>
      </w:r>
    </w:p>
    <w:p w14:paraId="6F6329F1" w14:textId="1ACF5A37" w:rsidR="009C1652" w:rsidRPr="008C4D92" w:rsidRDefault="009C1652" w:rsidP="00E74DA0">
      <w:pPr>
        <w:numPr>
          <w:ilvl w:val="0"/>
          <w:numId w:val="19"/>
        </w:numPr>
        <w:spacing w:line="480" w:lineRule="auto"/>
        <w:jc w:val="both"/>
        <w:rPr>
          <w:color w:val="000000" w:themeColor="text1"/>
        </w:rPr>
      </w:pPr>
      <w:r w:rsidRPr="008C4D92">
        <w:rPr>
          <w:color w:val="000000" w:themeColor="text1"/>
        </w:rPr>
        <w:t xml:space="preserve"> </w:t>
      </w:r>
      <w:r w:rsidR="00FA01B6" w:rsidRPr="008C4D92">
        <w:rPr>
          <w:color w:val="000000" w:themeColor="text1"/>
        </w:rPr>
        <w:t xml:space="preserve">The </w:t>
      </w:r>
      <w:r w:rsidR="00D46813" w:rsidRPr="008C4D92">
        <w:rPr>
          <w:color w:val="000000" w:themeColor="text1"/>
        </w:rPr>
        <w:t>letter of loan dated the</w:t>
      </w:r>
      <w:r w:rsidR="00E74DA0" w:rsidRPr="008C4D92">
        <w:rPr>
          <w:color w:val="000000" w:themeColor="text1"/>
        </w:rPr>
        <w:t xml:space="preserve"> 10 March</w:t>
      </w:r>
      <w:r w:rsidR="00D46813" w:rsidRPr="008C4D92">
        <w:rPr>
          <w:color w:val="000000" w:themeColor="text1"/>
        </w:rPr>
        <w:t xml:space="preserve"> 2008 is addressed solely to the first defendant</w:t>
      </w:r>
      <w:r w:rsidR="00E74DA0" w:rsidRPr="008C4D92">
        <w:rPr>
          <w:color w:val="000000" w:themeColor="text1"/>
        </w:rPr>
        <w:t xml:space="preserve"> at an address other than </w:t>
      </w:r>
      <w:r w:rsidR="007C24A1" w:rsidRPr="008C4D92">
        <w:rPr>
          <w:color w:val="000000" w:themeColor="text1"/>
        </w:rPr>
        <w:t>the Avoca property</w:t>
      </w:r>
      <w:r w:rsidR="00D46813" w:rsidRPr="008C4D92">
        <w:rPr>
          <w:color w:val="000000" w:themeColor="text1"/>
        </w:rPr>
        <w:t xml:space="preserve">. </w:t>
      </w:r>
      <w:r w:rsidR="00EC7A77" w:rsidRPr="008C4D92">
        <w:rPr>
          <w:color w:val="000000" w:themeColor="text1"/>
        </w:rPr>
        <w:t>The amount of the loan was €2,750,000.00</w:t>
      </w:r>
      <w:r w:rsidR="0043709C" w:rsidRPr="008C4D92">
        <w:rPr>
          <w:color w:val="000000" w:themeColor="text1"/>
        </w:rPr>
        <w:t>.</w:t>
      </w:r>
      <w:r w:rsidR="00EC7A77" w:rsidRPr="008C4D92">
        <w:rPr>
          <w:color w:val="000000" w:themeColor="text1"/>
        </w:rPr>
        <w:t xml:space="preserve"> </w:t>
      </w:r>
      <w:r w:rsidR="0043709C" w:rsidRPr="008C4D92">
        <w:rPr>
          <w:color w:val="000000" w:themeColor="text1"/>
        </w:rPr>
        <w:t xml:space="preserve">The </w:t>
      </w:r>
      <w:r w:rsidR="00EC7A77" w:rsidRPr="008C4D92">
        <w:rPr>
          <w:color w:val="000000" w:themeColor="text1"/>
        </w:rPr>
        <w:t xml:space="preserve">letter </w:t>
      </w:r>
      <w:r w:rsidR="0043709C" w:rsidRPr="008C4D92">
        <w:rPr>
          <w:color w:val="000000" w:themeColor="text1"/>
        </w:rPr>
        <w:t>states</w:t>
      </w:r>
      <w:r w:rsidR="00EC7A77" w:rsidRPr="008C4D92">
        <w:rPr>
          <w:color w:val="000000" w:themeColor="text1"/>
        </w:rPr>
        <w:t xml:space="preserve"> as follows:</w:t>
      </w:r>
    </w:p>
    <w:p w14:paraId="73F4F672" w14:textId="77777777" w:rsidR="002A1530" w:rsidRPr="008C4D92" w:rsidRDefault="002A1530" w:rsidP="002A1530">
      <w:pPr>
        <w:spacing w:line="480" w:lineRule="auto"/>
        <w:jc w:val="both"/>
        <w:rPr>
          <w:color w:val="000000" w:themeColor="text1"/>
        </w:rPr>
      </w:pPr>
    </w:p>
    <w:p w14:paraId="6FB512F1" w14:textId="78CD700C" w:rsidR="00665A3E" w:rsidRPr="008C4D92" w:rsidRDefault="00EC7A77" w:rsidP="0043709C">
      <w:pPr>
        <w:spacing w:line="480" w:lineRule="auto"/>
        <w:ind w:left="873"/>
        <w:jc w:val="both"/>
        <w:rPr>
          <w:color w:val="000000" w:themeColor="text1"/>
        </w:rPr>
      </w:pPr>
      <w:r w:rsidRPr="008C4D92">
        <w:rPr>
          <w:color w:val="000000" w:themeColor="text1"/>
        </w:rPr>
        <w:t xml:space="preserve">“I am pleased to offer you a mortgage loan of the principal sum specified in </w:t>
      </w:r>
      <w:r w:rsidR="00A9250B">
        <w:rPr>
          <w:color w:val="000000" w:themeColor="text1"/>
        </w:rPr>
        <w:t>P</w:t>
      </w:r>
      <w:r w:rsidRPr="008C4D92">
        <w:rPr>
          <w:color w:val="000000" w:themeColor="text1"/>
        </w:rPr>
        <w:t>art 1 attached, subject</w:t>
      </w:r>
      <w:r w:rsidR="009024A9">
        <w:rPr>
          <w:color w:val="000000" w:themeColor="text1"/>
        </w:rPr>
        <w:t xml:space="preserve"> </w:t>
      </w:r>
      <w:r w:rsidRPr="008C4D92">
        <w:rPr>
          <w:color w:val="000000" w:themeColor="text1"/>
        </w:rPr>
        <w:t xml:space="preserve">to the mortgage loan being secured by a </w:t>
      </w:r>
      <w:r w:rsidR="00F87676" w:rsidRPr="008C4D92">
        <w:rPr>
          <w:color w:val="000000" w:themeColor="text1"/>
        </w:rPr>
        <w:t xml:space="preserve">first legal </w:t>
      </w:r>
      <w:r w:rsidR="00F87676" w:rsidRPr="008C4D92">
        <w:rPr>
          <w:color w:val="000000" w:themeColor="text1"/>
        </w:rPr>
        <w:lastRenderedPageBreak/>
        <w:t>mortgage/charge</w:t>
      </w:r>
      <w:r w:rsidRPr="008C4D92">
        <w:rPr>
          <w:color w:val="000000" w:themeColor="text1"/>
        </w:rPr>
        <w:t xml:space="preserve"> for present and future advances in favour of the Bank over the property described in </w:t>
      </w:r>
      <w:r w:rsidR="00004EFE" w:rsidRPr="008C4D92">
        <w:rPr>
          <w:color w:val="000000" w:themeColor="text1"/>
        </w:rPr>
        <w:t xml:space="preserve">Part </w:t>
      </w:r>
      <w:r w:rsidRPr="008C4D92">
        <w:rPr>
          <w:color w:val="000000" w:themeColor="text1"/>
        </w:rPr>
        <w:t xml:space="preserve">1, and acceptance of and compliance with the </w:t>
      </w:r>
      <w:r w:rsidR="009024A9">
        <w:rPr>
          <w:color w:val="000000" w:themeColor="text1"/>
        </w:rPr>
        <w:t>S</w:t>
      </w:r>
      <w:r w:rsidRPr="008C4D92">
        <w:rPr>
          <w:color w:val="000000" w:themeColor="text1"/>
        </w:rPr>
        <w:t xml:space="preserve">pecial </w:t>
      </w:r>
      <w:r w:rsidR="009024A9">
        <w:rPr>
          <w:color w:val="000000" w:themeColor="text1"/>
        </w:rPr>
        <w:t>C</w:t>
      </w:r>
      <w:r w:rsidRPr="008C4D92">
        <w:rPr>
          <w:color w:val="000000" w:themeColor="text1"/>
        </w:rPr>
        <w:t xml:space="preserve">onditions, the </w:t>
      </w:r>
      <w:r w:rsidR="009024A9">
        <w:rPr>
          <w:color w:val="000000" w:themeColor="text1"/>
        </w:rPr>
        <w:t>P</w:t>
      </w:r>
      <w:r w:rsidRPr="008C4D92">
        <w:rPr>
          <w:color w:val="000000" w:themeColor="text1"/>
        </w:rPr>
        <w:t>re</w:t>
      </w:r>
      <w:r w:rsidR="00665A3E" w:rsidRPr="008C4D92">
        <w:rPr>
          <w:color w:val="000000" w:themeColor="text1"/>
        </w:rPr>
        <w:t>-</w:t>
      </w:r>
      <w:r w:rsidR="009024A9">
        <w:rPr>
          <w:color w:val="000000" w:themeColor="text1"/>
        </w:rPr>
        <w:t>D</w:t>
      </w:r>
      <w:r w:rsidRPr="008C4D92">
        <w:rPr>
          <w:color w:val="000000" w:themeColor="text1"/>
        </w:rPr>
        <w:t xml:space="preserve">rawdown requirements and the </w:t>
      </w:r>
      <w:r w:rsidR="009024A9">
        <w:rPr>
          <w:color w:val="000000" w:themeColor="text1"/>
        </w:rPr>
        <w:t>G</w:t>
      </w:r>
      <w:r w:rsidRPr="008C4D92">
        <w:rPr>
          <w:color w:val="000000" w:themeColor="text1"/>
        </w:rPr>
        <w:t xml:space="preserve">eneral </w:t>
      </w:r>
      <w:r w:rsidR="009024A9">
        <w:rPr>
          <w:color w:val="000000" w:themeColor="text1"/>
        </w:rPr>
        <w:t>T</w:t>
      </w:r>
      <w:r w:rsidRPr="008C4D92">
        <w:rPr>
          <w:color w:val="000000" w:themeColor="text1"/>
        </w:rPr>
        <w:t xml:space="preserve">erms and </w:t>
      </w:r>
      <w:r w:rsidR="009024A9">
        <w:rPr>
          <w:color w:val="000000" w:themeColor="text1"/>
        </w:rPr>
        <w:t>C</w:t>
      </w:r>
      <w:r w:rsidRPr="008C4D92">
        <w:rPr>
          <w:color w:val="000000" w:themeColor="text1"/>
        </w:rPr>
        <w:t xml:space="preserve">onditions detailed in </w:t>
      </w:r>
      <w:r w:rsidR="00004EFE" w:rsidRPr="008C4D92">
        <w:rPr>
          <w:color w:val="000000" w:themeColor="text1"/>
        </w:rPr>
        <w:t>Parts</w:t>
      </w:r>
      <w:r w:rsidRPr="008C4D92">
        <w:rPr>
          <w:color w:val="000000" w:themeColor="text1"/>
        </w:rPr>
        <w:t xml:space="preserve"> 2, 3, and 4 respectively.</w:t>
      </w:r>
      <w:r w:rsidR="00665A3E" w:rsidRPr="008C4D92">
        <w:rPr>
          <w:color w:val="000000" w:themeColor="text1"/>
        </w:rPr>
        <w:t xml:space="preserve">” </w:t>
      </w:r>
    </w:p>
    <w:p w14:paraId="34B3A1FB" w14:textId="77777777" w:rsidR="00665A3E" w:rsidRPr="008C4D92" w:rsidRDefault="00665A3E" w:rsidP="00665A3E">
      <w:pPr>
        <w:spacing w:line="480" w:lineRule="auto"/>
        <w:ind w:left="567"/>
        <w:jc w:val="both"/>
        <w:rPr>
          <w:color w:val="000000" w:themeColor="text1"/>
        </w:rPr>
      </w:pPr>
    </w:p>
    <w:p w14:paraId="20C3442D" w14:textId="0093B3A6" w:rsidR="009D77A1" w:rsidRPr="008C4D92" w:rsidRDefault="00EC7A77" w:rsidP="000521EA">
      <w:pPr>
        <w:numPr>
          <w:ilvl w:val="0"/>
          <w:numId w:val="19"/>
        </w:numPr>
        <w:spacing w:line="480" w:lineRule="auto"/>
        <w:jc w:val="both"/>
        <w:rPr>
          <w:color w:val="000000" w:themeColor="text1"/>
        </w:rPr>
      </w:pPr>
      <w:r w:rsidRPr="008C4D92">
        <w:rPr>
          <w:color w:val="000000" w:themeColor="text1"/>
        </w:rPr>
        <w:t xml:space="preserve">Part 1 contains the particulars of </w:t>
      </w:r>
      <w:r w:rsidR="0081375E" w:rsidRPr="008C4D92">
        <w:rPr>
          <w:color w:val="000000" w:themeColor="text1"/>
        </w:rPr>
        <w:t xml:space="preserve">the </w:t>
      </w:r>
      <w:r w:rsidRPr="008C4D92">
        <w:rPr>
          <w:color w:val="000000" w:themeColor="text1"/>
        </w:rPr>
        <w:t xml:space="preserve">offer of mortgage loan and </w:t>
      </w:r>
      <w:r w:rsidR="00D94E7F" w:rsidRPr="008C4D92">
        <w:rPr>
          <w:color w:val="000000" w:themeColor="text1"/>
        </w:rPr>
        <w:t>sets out the “customer name” as that of the first defendant</w:t>
      </w:r>
      <w:r w:rsidR="00E74DA0" w:rsidRPr="008C4D92">
        <w:rPr>
          <w:color w:val="000000" w:themeColor="text1"/>
        </w:rPr>
        <w:t xml:space="preserve"> (only)</w:t>
      </w:r>
      <w:r w:rsidRPr="008C4D92">
        <w:rPr>
          <w:color w:val="000000" w:themeColor="text1"/>
        </w:rPr>
        <w:t>.</w:t>
      </w:r>
      <w:r w:rsidR="00492EBF" w:rsidRPr="008C4D92">
        <w:rPr>
          <w:color w:val="000000" w:themeColor="text1"/>
        </w:rPr>
        <w:t xml:space="preserve"> It also describes “the property to be mortgaged” as </w:t>
      </w:r>
      <w:r w:rsidR="00B02588" w:rsidRPr="008C4D92">
        <w:rPr>
          <w:color w:val="000000" w:themeColor="text1"/>
        </w:rPr>
        <w:t>the Beacon Court property</w:t>
      </w:r>
      <w:r w:rsidR="00492EBF" w:rsidRPr="008C4D92">
        <w:rPr>
          <w:color w:val="000000" w:themeColor="text1"/>
        </w:rPr>
        <w:t>.</w:t>
      </w:r>
      <w:r w:rsidR="005C133D" w:rsidRPr="008C4D92">
        <w:rPr>
          <w:color w:val="000000" w:themeColor="text1"/>
        </w:rPr>
        <w:t xml:space="preserve"> The acceptance and consent of the loan offer is signed by the first defendant only.</w:t>
      </w:r>
    </w:p>
    <w:p w14:paraId="5B042B99" w14:textId="77777777" w:rsidR="009D77A1" w:rsidRPr="008C4D92" w:rsidRDefault="009D77A1" w:rsidP="009D77A1">
      <w:pPr>
        <w:spacing w:line="480" w:lineRule="auto"/>
        <w:jc w:val="both"/>
        <w:rPr>
          <w:color w:val="000000" w:themeColor="text1"/>
        </w:rPr>
      </w:pPr>
    </w:p>
    <w:p w14:paraId="3A8448FD" w14:textId="72C1638B" w:rsidR="00492EBF" w:rsidRPr="008C4D92" w:rsidRDefault="00EC7A77" w:rsidP="002A1530">
      <w:pPr>
        <w:pStyle w:val="ListParagraph"/>
        <w:numPr>
          <w:ilvl w:val="0"/>
          <w:numId w:val="19"/>
        </w:numPr>
        <w:spacing w:line="480" w:lineRule="auto"/>
        <w:jc w:val="both"/>
        <w:rPr>
          <w:color w:val="000000" w:themeColor="text1"/>
        </w:rPr>
      </w:pPr>
      <w:r w:rsidRPr="008C4D92">
        <w:rPr>
          <w:color w:val="000000" w:themeColor="text1"/>
        </w:rPr>
        <w:t xml:space="preserve"> Part 2 contains the special conditions and says that the Bank will rely on a number of listed properties as “additional security for this borrowing”</w:t>
      </w:r>
      <w:r w:rsidR="009D77A1" w:rsidRPr="008C4D92">
        <w:rPr>
          <w:color w:val="000000" w:themeColor="text1"/>
        </w:rPr>
        <w:t>. This list includes the</w:t>
      </w:r>
      <w:r w:rsidR="000521EA" w:rsidRPr="008C4D92">
        <w:rPr>
          <w:color w:val="000000" w:themeColor="text1"/>
        </w:rPr>
        <w:t xml:space="preserve"> Avoca Park</w:t>
      </w:r>
      <w:r w:rsidR="009D77A1" w:rsidRPr="008C4D92">
        <w:rPr>
          <w:color w:val="000000" w:themeColor="text1"/>
        </w:rPr>
        <w:t xml:space="preserve"> property</w:t>
      </w:r>
      <w:r w:rsidR="000521EA" w:rsidRPr="008C4D92">
        <w:rPr>
          <w:color w:val="000000" w:themeColor="text1"/>
        </w:rPr>
        <w:t>.</w:t>
      </w:r>
    </w:p>
    <w:p w14:paraId="581DFB98" w14:textId="77777777" w:rsidR="00492EBF" w:rsidRPr="008C4D92" w:rsidRDefault="00492EBF" w:rsidP="00492EBF">
      <w:pPr>
        <w:pStyle w:val="ListParagraph"/>
        <w:spacing w:line="480" w:lineRule="auto"/>
        <w:ind w:left="0"/>
        <w:jc w:val="both"/>
        <w:rPr>
          <w:color w:val="000000" w:themeColor="text1"/>
        </w:rPr>
      </w:pPr>
    </w:p>
    <w:p w14:paraId="2A8217AE" w14:textId="77777777" w:rsidR="00B66F09" w:rsidRPr="008C4D92" w:rsidRDefault="002A1530" w:rsidP="00B66F09">
      <w:pPr>
        <w:pStyle w:val="ListParagraph"/>
        <w:numPr>
          <w:ilvl w:val="0"/>
          <w:numId w:val="19"/>
        </w:numPr>
        <w:spacing w:line="480" w:lineRule="auto"/>
        <w:jc w:val="both"/>
        <w:rPr>
          <w:color w:val="000000" w:themeColor="text1"/>
        </w:rPr>
      </w:pPr>
      <w:r w:rsidRPr="008C4D92">
        <w:rPr>
          <w:color w:val="000000" w:themeColor="text1"/>
        </w:rPr>
        <w:t>T</w:t>
      </w:r>
      <w:r w:rsidR="00EC7A77" w:rsidRPr="008C4D92">
        <w:rPr>
          <w:color w:val="000000" w:themeColor="text1"/>
        </w:rPr>
        <w:t>h</w:t>
      </w:r>
      <w:r w:rsidR="00B66F09" w:rsidRPr="008C4D92">
        <w:rPr>
          <w:color w:val="000000" w:themeColor="text1"/>
        </w:rPr>
        <w:t>ree particular features of the</w:t>
      </w:r>
      <w:r w:rsidR="00EC7A77" w:rsidRPr="008C4D92">
        <w:rPr>
          <w:color w:val="000000" w:themeColor="text1"/>
        </w:rPr>
        <w:t xml:space="preserve"> special conditions </w:t>
      </w:r>
      <w:r w:rsidR="00B66F09" w:rsidRPr="008C4D92">
        <w:rPr>
          <w:color w:val="000000" w:themeColor="text1"/>
        </w:rPr>
        <w:t xml:space="preserve">in Part 2 should be noted: </w:t>
      </w:r>
      <w:r w:rsidR="00B66F09" w:rsidRPr="008C4D92">
        <w:rPr>
          <w:color w:val="000000" w:themeColor="text1"/>
        </w:rPr>
        <w:tab/>
      </w:r>
    </w:p>
    <w:p w14:paraId="5BD33DC9" w14:textId="77777777" w:rsidR="00B66F09" w:rsidRPr="008C4D92" w:rsidRDefault="00B66F09" w:rsidP="00B66F09">
      <w:pPr>
        <w:pStyle w:val="ListParagraph"/>
        <w:rPr>
          <w:color w:val="000000" w:themeColor="text1"/>
        </w:rPr>
      </w:pPr>
    </w:p>
    <w:p w14:paraId="59F4004A" w14:textId="00BC03D5" w:rsidR="00B66F09" w:rsidRPr="008C4D92" w:rsidRDefault="00B66F09" w:rsidP="009939CE">
      <w:pPr>
        <w:pStyle w:val="ListParagraph"/>
        <w:numPr>
          <w:ilvl w:val="1"/>
          <w:numId w:val="19"/>
        </w:numPr>
        <w:spacing w:line="480" w:lineRule="auto"/>
        <w:ind w:left="567" w:firstLine="0"/>
        <w:jc w:val="both"/>
        <w:rPr>
          <w:color w:val="000000" w:themeColor="text1"/>
        </w:rPr>
      </w:pPr>
      <w:r w:rsidRPr="008C4D92">
        <w:rPr>
          <w:color w:val="000000" w:themeColor="text1"/>
        </w:rPr>
        <w:t>They</w:t>
      </w:r>
      <w:r w:rsidR="002A1530" w:rsidRPr="008C4D92">
        <w:rPr>
          <w:color w:val="000000" w:themeColor="text1"/>
        </w:rPr>
        <w:t xml:space="preserve"> state</w:t>
      </w:r>
      <w:r w:rsidR="00EC7A77" w:rsidRPr="008C4D92">
        <w:rPr>
          <w:color w:val="000000" w:themeColor="text1"/>
        </w:rPr>
        <w:t xml:space="preserve"> that the existing </w:t>
      </w:r>
      <w:r w:rsidR="00683772" w:rsidRPr="008C4D92">
        <w:rPr>
          <w:color w:val="000000" w:themeColor="text1"/>
        </w:rPr>
        <w:t xml:space="preserve">home loan must </w:t>
      </w:r>
      <w:r w:rsidR="00EC7A77" w:rsidRPr="008C4D92">
        <w:rPr>
          <w:color w:val="000000" w:themeColor="text1"/>
        </w:rPr>
        <w:t xml:space="preserve">be cleared in full on drawdown of </w:t>
      </w:r>
      <w:r w:rsidRPr="008C4D92">
        <w:rPr>
          <w:color w:val="000000" w:themeColor="text1"/>
        </w:rPr>
        <w:t xml:space="preserve">the </w:t>
      </w:r>
      <w:r w:rsidR="00EC7A77" w:rsidRPr="008C4D92">
        <w:rPr>
          <w:color w:val="000000" w:themeColor="text1"/>
        </w:rPr>
        <w:t xml:space="preserve">facility now offered.  </w:t>
      </w:r>
    </w:p>
    <w:p w14:paraId="44E728E0" w14:textId="0D1546D8" w:rsidR="00B66F09" w:rsidRPr="008C4D92" w:rsidRDefault="00492EBF" w:rsidP="009939CE">
      <w:pPr>
        <w:pStyle w:val="ListParagraph"/>
        <w:numPr>
          <w:ilvl w:val="1"/>
          <w:numId w:val="19"/>
        </w:numPr>
        <w:spacing w:line="480" w:lineRule="auto"/>
        <w:ind w:left="567" w:firstLine="0"/>
        <w:jc w:val="both"/>
        <w:rPr>
          <w:color w:val="000000" w:themeColor="text1"/>
        </w:rPr>
      </w:pPr>
      <w:r w:rsidRPr="008C4D92">
        <w:rPr>
          <w:color w:val="000000" w:themeColor="text1"/>
        </w:rPr>
        <w:t>They s</w:t>
      </w:r>
      <w:r w:rsidR="004A4F5F" w:rsidRPr="008C4D92">
        <w:rPr>
          <w:color w:val="000000" w:themeColor="text1"/>
        </w:rPr>
        <w:t>tate</w:t>
      </w:r>
      <w:r w:rsidR="00EC7A77" w:rsidRPr="008C4D92">
        <w:rPr>
          <w:color w:val="000000" w:themeColor="text1"/>
        </w:rPr>
        <w:t xml:space="preserve"> that it is a condition of sanction that a letter of guarantee for €2,750,000.00 is provided by </w:t>
      </w:r>
      <w:r w:rsidR="009D77A1" w:rsidRPr="008C4D92">
        <w:rPr>
          <w:color w:val="000000" w:themeColor="text1"/>
        </w:rPr>
        <w:t>the second defendant</w:t>
      </w:r>
      <w:r w:rsidR="00EC7A77" w:rsidRPr="008C4D92">
        <w:rPr>
          <w:color w:val="000000" w:themeColor="text1"/>
        </w:rPr>
        <w:t xml:space="preserve"> prior to the drawdown of the loan facility.  </w:t>
      </w:r>
    </w:p>
    <w:p w14:paraId="0610C7A4" w14:textId="6A0B0C63" w:rsidR="00EC7A77" w:rsidRPr="008C4D92" w:rsidRDefault="002A1530" w:rsidP="009939CE">
      <w:pPr>
        <w:pStyle w:val="ListParagraph"/>
        <w:numPr>
          <w:ilvl w:val="1"/>
          <w:numId w:val="19"/>
        </w:numPr>
        <w:spacing w:line="480" w:lineRule="auto"/>
        <w:ind w:left="567" w:firstLine="0"/>
        <w:jc w:val="both"/>
        <w:rPr>
          <w:color w:val="000000" w:themeColor="text1"/>
        </w:rPr>
      </w:pPr>
      <w:r w:rsidRPr="008C4D92">
        <w:rPr>
          <w:color w:val="000000" w:themeColor="text1"/>
        </w:rPr>
        <w:t>The</w:t>
      </w:r>
      <w:r w:rsidR="00683772" w:rsidRPr="008C4D92">
        <w:rPr>
          <w:color w:val="000000" w:themeColor="text1"/>
        </w:rPr>
        <w:t xml:space="preserve"> letter of offer</w:t>
      </w:r>
      <w:r w:rsidRPr="008C4D92">
        <w:rPr>
          <w:color w:val="000000" w:themeColor="text1"/>
        </w:rPr>
        <w:t xml:space="preserve"> is stated to</w:t>
      </w:r>
      <w:r w:rsidR="00683772" w:rsidRPr="008C4D92">
        <w:rPr>
          <w:color w:val="000000" w:themeColor="text1"/>
        </w:rPr>
        <w:t xml:space="preserve"> supersede all previous home plan offers made to </w:t>
      </w:r>
      <w:r w:rsidR="00D2374B" w:rsidRPr="008C4D92">
        <w:rPr>
          <w:color w:val="000000" w:themeColor="text1"/>
        </w:rPr>
        <w:t>“</w:t>
      </w:r>
      <w:r w:rsidR="00683772" w:rsidRPr="008C4D92">
        <w:rPr>
          <w:color w:val="000000" w:themeColor="text1"/>
        </w:rPr>
        <w:t>the above borrowers</w:t>
      </w:r>
      <w:r w:rsidR="00D2374B" w:rsidRPr="008C4D92">
        <w:rPr>
          <w:color w:val="000000" w:themeColor="text1"/>
        </w:rPr>
        <w:t>”</w:t>
      </w:r>
      <w:r w:rsidR="00683772" w:rsidRPr="008C4D92">
        <w:rPr>
          <w:color w:val="000000" w:themeColor="text1"/>
        </w:rPr>
        <w:t>.</w:t>
      </w:r>
    </w:p>
    <w:p w14:paraId="7094E272" w14:textId="77777777" w:rsidR="00683772" w:rsidRPr="008C4D92" w:rsidRDefault="00683772" w:rsidP="008E25FE">
      <w:pPr>
        <w:spacing w:line="480" w:lineRule="auto"/>
        <w:jc w:val="both"/>
        <w:rPr>
          <w:color w:val="000000" w:themeColor="text1"/>
        </w:rPr>
      </w:pPr>
    </w:p>
    <w:p w14:paraId="1AC03277" w14:textId="6A6660E6" w:rsidR="009C1652" w:rsidRPr="008C4D92" w:rsidRDefault="009C1652" w:rsidP="008E25FE">
      <w:pPr>
        <w:numPr>
          <w:ilvl w:val="0"/>
          <w:numId w:val="19"/>
        </w:numPr>
        <w:spacing w:line="480" w:lineRule="auto"/>
        <w:jc w:val="both"/>
        <w:rPr>
          <w:color w:val="000000" w:themeColor="text1"/>
        </w:rPr>
      </w:pPr>
      <w:r w:rsidRPr="008C4D92">
        <w:rPr>
          <w:color w:val="000000" w:themeColor="text1"/>
        </w:rPr>
        <w:t xml:space="preserve"> </w:t>
      </w:r>
      <w:r w:rsidR="00683772" w:rsidRPr="008C4D92">
        <w:rPr>
          <w:color w:val="000000" w:themeColor="text1"/>
        </w:rPr>
        <w:t xml:space="preserve">Part 6 contains a spousal consent to the letter of offer of mortgage loan under the Family Home Protection Act and is signed by </w:t>
      </w:r>
      <w:r w:rsidR="00F33D3B" w:rsidRPr="008C4D92">
        <w:rPr>
          <w:color w:val="000000" w:themeColor="text1"/>
        </w:rPr>
        <w:t>the second defendant</w:t>
      </w:r>
      <w:r w:rsidR="00683772" w:rsidRPr="008C4D92">
        <w:rPr>
          <w:color w:val="000000" w:themeColor="text1"/>
        </w:rPr>
        <w:t xml:space="preserve"> and dated </w:t>
      </w:r>
      <w:r w:rsidR="0081375E" w:rsidRPr="008C4D92">
        <w:rPr>
          <w:color w:val="000000" w:themeColor="text1"/>
        </w:rPr>
        <w:t xml:space="preserve">the </w:t>
      </w:r>
      <w:r w:rsidR="00683772" w:rsidRPr="008C4D92">
        <w:rPr>
          <w:color w:val="000000" w:themeColor="text1"/>
        </w:rPr>
        <w:t xml:space="preserve">25 April </w:t>
      </w:r>
      <w:r w:rsidR="00683772" w:rsidRPr="008C4D92">
        <w:rPr>
          <w:color w:val="000000" w:themeColor="text1"/>
        </w:rPr>
        <w:lastRenderedPageBreak/>
        <w:t xml:space="preserve">2008.  </w:t>
      </w:r>
      <w:r w:rsidR="005C133D" w:rsidRPr="008C4D92">
        <w:rPr>
          <w:color w:val="000000" w:themeColor="text1"/>
        </w:rPr>
        <w:t xml:space="preserve">It says that “the property to be mortgaged to the </w:t>
      </w:r>
      <w:r w:rsidR="00615348">
        <w:rPr>
          <w:color w:val="000000" w:themeColor="text1"/>
        </w:rPr>
        <w:t>L</w:t>
      </w:r>
      <w:r w:rsidR="005C133D" w:rsidRPr="008C4D92">
        <w:rPr>
          <w:color w:val="000000" w:themeColor="text1"/>
        </w:rPr>
        <w:t xml:space="preserve">enders described in Part 1 of the Particulars of this </w:t>
      </w:r>
      <w:r w:rsidR="00615348">
        <w:rPr>
          <w:color w:val="000000" w:themeColor="text1"/>
        </w:rPr>
        <w:t>O</w:t>
      </w:r>
      <w:r w:rsidR="005C133D" w:rsidRPr="008C4D92">
        <w:rPr>
          <w:color w:val="000000" w:themeColor="text1"/>
        </w:rPr>
        <w:t xml:space="preserve">ffer is my </w:t>
      </w:r>
      <w:r w:rsidR="00615348">
        <w:rPr>
          <w:color w:val="000000" w:themeColor="text1"/>
        </w:rPr>
        <w:t>F</w:t>
      </w:r>
      <w:r w:rsidR="005C133D" w:rsidRPr="008C4D92">
        <w:rPr>
          <w:color w:val="000000" w:themeColor="text1"/>
        </w:rPr>
        <w:t xml:space="preserve">amily </w:t>
      </w:r>
      <w:r w:rsidR="00615348">
        <w:rPr>
          <w:color w:val="000000" w:themeColor="text1"/>
        </w:rPr>
        <w:t>H</w:t>
      </w:r>
      <w:r w:rsidR="005C133D" w:rsidRPr="008C4D92">
        <w:rPr>
          <w:color w:val="000000" w:themeColor="text1"/>
        </w:rPr>
        <w:t>ome….”</w:t>
      </w:r>
      <w:r w:rsidR="00F33D3B" w:rsidRPr="008C4D92">
        <w:rPr>
          <w:color w:val="000000" w:themeColor="text1"/>
        </w:rPr>
        <w:t xml:space="preserve">. </w:t>
      </w:r>
      <w:r w:rsidR="005C133D" w:rsidRPr="008C4D92">
        <w:rPr>
          <w:color w:val="000000" w:themeColor="text1"/>
        </w:rPr>
        <w:t xml:space="preserve">As we have seen, the property referred to in Part 1 was </w:t>
      </w:r>
      <w:r w:rsidR="004A4F5F" w:rsidRPr="008C4D92">
        <w:rPr>
          <w:color w:val="000000" w:themeColor="text1"/>
        </w:rPr>
        <w:t>the Beacon Court property</w:t>
      </w:r>
      <w:r w:rsidR="00D2015A">
        <w:rPr>
          <w:color w:val="000000" w:themeColor="text1"/>
        </w:rPr>
        <w:t xml:space="preserve">, not the Avoca Park property. </w:t>
      </w:r>
    </w:p>
    <w:p w14:paraId="40ED7660" w14:textId="77777777" w:rsidR="00F33D3B" w:rsidRPr="008C4D92" w:rsidRDefault="00F33D3B" w:rsidP="00F33D3B">
      <w:pPr>
        <w:spacing w:line="480" w:lineRule="auto"/>
        <w:jc w:val="both"/>
        <w:rPr>
          <w:color w:val="000000" w:themeColor="text1"/>
          <w:sz w:val="26"/>
          <w:szCs w:val="26"/>
        </w:rPr>
      </w:pPr>
    </w:p>
    <w:p w14:paraId="353A2DA5" w14:textId="0AA33D3A" w:rsidR="00271674" w:rsidRPr="008C4D92" w:rsidRDefault="00FA01B6" w:rsidP="00FA01B6">
      <w:pPr>
        <w:pStyle w:val="Heading3"/>
        <w:rPr>
          <w:color w:val="000000" w:themeColor="text1"/>
          <w:sz w:val="26"/>
          <w:szCs w:val="26"/>
        </w:rPr>
      </w:pPr>
      <w:r w:rsidRPr="008C4D92">
        <w:rPr>
          <w:color w:val="000000" w:themeColor="text1"/>
          <w:sz w:val="26"/>
          <w:szCs w:val="26"/>
        </w:rPr>
        <w:t xml:space="preserve">The </w:t>
      </w:r>
      <w:r w:rsidR="00FC0C48" w:rsidRPr="008C4D92">
        <w:rPr>
          <w:color w:val="000000" w:themeColor="text1"/>
          <w:sz w:val="26"/>
          <w:szCs w:val="26"/>
        </w:rPr>
        <w:t xml:space="preserve">Global </w:t>
      </w:r>
      <w:r w:rsidRPr="008C4D92">
        <w:rPr>
          <w:color w:val="000000" w:themeColor="text1"/>
          <w:sz w:val="26"/>
          <w:szCs w:val="26"/>
        </w:rPr>
        <w:t>Deed of Transfer</w:t>
      </w:r>
      <w:r w:rsidR="00E53BD0" w:rsidRPr="008C4D92">
        <w:rPr>
          <w:color w:val="000000" w:themeColor="text1"/>
          <w:sz w:val="26"/>
          <w:szCs w:val="26"/>
        </w:rPr>
        <w:t xml:space="preserve"> of</w:t>
      </w:r>
      <w:r w:rsidRPr="008C4D92">
        <w:rPr>
          <w:color w:val="000000" w:themeColor="text1"/>
          <w:sz w:val="26"/>
          <w:szCs w:val="26"/>
        </w:rPr>
        <w:t xml:space="preserve"> </w:t>
      </w:r>
      <w:r w:rsidR="0081375E" w:rsidRPr="008C4D92">
        <w:rPr>
          <w:color w:val="000000" w:themeColor="text1"/>
          <w:sz w:val="26"/>
          <w:szCs w:val="26"/>
        </w:rPr>
        <w:t xml:space="preserve">the </w:t>
      </w:r>
      <w:r w:rsidRPr="008C4D92">
        <w:rPr>
          <w:color w:val="000000" w:themeColor="text1"/>
          <w:sz w:val="26"/>
          <w:szCs w:val="26"/>
        </w:rPr>
        <w:t>2 August 2018</w:t>
      </w:r>
      <w:r w:rsidR="0059685C" w:rsidRPr="008C4D92">
        <w:rPr>
          <w:color w:val="000000" w:themeColor="text1"/>
          <w:sz w:val="26"/>
          <w:szCs w:val="26"/>
        </w:rPr>
        <w:t>, and the Amendment and Restatement Deed</w:t>
      </w:r>
      <w:r w:rsidR="00E53BD0" w:rsidRPr="008C4D92">
        <w:rPr>
          <w:color w:val="000000" w:themeColor="text1"/>
          <w:sz w:val="26"/>
          <w:szCs w:val="26"/>
        </w:rPr>
        <w:t xml:space="preserve"> of</w:t>
      </w:r>
      <w:r w:rsidR="0059685C" w:rsidRPr="008C4D92">
        <w:rPr>
          <w:color w:val="000000" w:themeColor="text1"/>
          <w:sz w:val="26"/>
          <w:szCs w:val="26"/>
        </w:rPr>
        <w:t xml:space="preserve"> </w:t>
      </w:r>
      <w:r w:rsidR="0081375E" w:rsidRPr="008C4D92">
        <w:rPr>
          <w:color w:val="000000" w:themeColor="text1"/>
          <w:sz w:val="26"/>
          <w:szCs w:val="26"/>
        </w:rPr>
        <w:t xml:space="preserve">the </w:t>
      </w:r>
      <w:r w:rsidR="00DC137F" w:rsidRPr="008C4D92">
        <w:rPr>
          <w:color w:val="000000" w:themeColor="text1"/>
          <w:sz w:val="26"/>
          <w:szCs w:val="26"/>
        </w:rPr>
        <w:t>22 October 2018</w:t>
      </w:r>
    </w:p>
    <w:p w14:paraId="5F9CEF3C" w14:textId="37C964BF" w:rsidR="00DC137F" w:rsidRPr="008C4D92" w:rsidRDefault="00DC137F" w:rsidP="00DC137F">
      <w:pPr>
        <w:rPr>
          <w:color w:val="000000" w:themeColor="text1"/>
        </w:rPr>
      </w:pPr>
    </w:p>
    <w:p w14:paraId="442ACE33" w14:textId="77777777" w:rsidR="00B5543F" w:rsidRPr="008C4D92" w:rsidRDefault="00B5543F" w:rsidP="00DC137F">
      <w:pPr>
        <w:rPr>
          <w:color w:val="000000" w:themeColor="text1"/>
        </w:rPr>
      </w:pPr>
    </w:p>
    <w:p w14:paraId="46B8FE26" w14:textId="46B4C735" w:rsidR="001A43A6" w:rsidRPr="008C4D92" w:rsidRDefault="009C1652" w:rsidP="008E25FE">
      <w:pPr>
        <w:numPr>
          <w:ilvl w:val="0"/>
          <w:numId w:val="19"/>
        </w:numPr>
        <w:spacing w:line="480" w:lineRule="auto"/>
        <w:jc w:val="both"/>
        <w:rPr>
          <w:color w:val="000000" w:themeColor="text1"/>
        </w:rPr>
      </w:pPr>
      <w:r w:rsidRPr="008C4D92">
        <w:rPr>
          <w:color w:val="000000" w:themeColor="text1"/>
        </w:rPr>
        <w:t xml:space="preserve"> </w:t>
      </w:r>
      <w:r w:rsidR="00683772" w:rsidRPr="008C4D92">
        <w:rPr>
          <w:color w:val="000000" w:themeColor="text1"/>
        </w:rPr>
        <w:t xml:space="preserve"> </w:t>
      </w:r>
      <w:r w:rsidR="00906539" w:rsidRPr="008C4D92">
        <w:rPr>
          <w:color w:val="000000" w:themeColor="text1"/>
        </w:rPr>
        <w:t>The</w:t>
      </w:r>
      <w:r w:rsidR="00060A43" w:rsidRPr="008C4D92">
        <w:rPr>
          <w:color w:val="000000" w:themeColor="text1"/>
        </w:rPr>
        <w:t>re are heavy redactions within the</w:t>
      </w:r>
      <w:r w:rsidR="00906539" w:rsidRPr="008C4D92">
        <w:rPr>
          <w:color w:val="000000" w:themeColor="text1"/>
        </w:rPr>
        <w:t xml:space="preserve"> </w:t>
      </w:r>
      <w:r w:rsidR="00FC0C48" w:rsidRPr="008C4D92">
        <w:rPr>
          <w:color w:val="000000" w:themeColor="text1"/>
        </w:rPr>
        <w:t xml:space="preserve">Global </w:t>
      </w:r>
      <w:r w:rsidR="00906539" w:rsidRPr="008C4D92">
        <w:rPr>
          <w:color w:val="000000" w:themeColor="text1"/>
        </w:rPr>
        <w:t xml:space="preserve">Deed of Transfer dated </w:t>
      </w:r>
      <w:r w:rsidR="0081375E" w:rsidRPr="008C4D92">
        <w:rPr>
          <w:color w:val="000000" w:themeColor="text1"/>
        </w:rPr>
        <w:t xml:space="preserve">the </w:t>
      </w:r>
      <w:r w:rsidR="00906539" w:rsidRPr="008C4D92">
        <w:rPr>
          <w:color w:val="000000" w:themeColor="text1"/>
        </w:rPr>
        <w:t>2 August 2018 as between AIB Plc, AIB Mortgage Bank, EBS Designated Activity Company (</w:t>
      </w:r>
      <w:r w:rsidR="0081375E" w:rsidRPr="008C4D92">
        <w:rPr>
          <w:color w:val="000000" w:themeColor="text1"/>
        </w:rPr>
        <w:t xml:space="preserve">i.e. </w:t>
      </w:r>
      <w:r w:rsidR="00906539" w:rsidRPr="008C4D92">
        <w:rPr>
          <w:color w:val="000000" w:themeColor="text1"/>
        </w:rPr>
        <w:t>the sellers) and Everyday Finance D</w:t>
      </w:r>
      <w:r w:rsidR="00615348">
        <w:rPr>
          <w:color w:val="000000" w:themeColor="text1"/>
        </w:rPr>
        <w:t>.</w:t>
      </w:r>
      <w:r w:rsidR="00906539" w:rsidRPr="008C4D92">
        <w:rPr>
          <w:color w:val="000000" w:themeColor="text1"/>
        </w:rPr>
        <w:t>A</w:t>
      </w:r>
      <w:r w:rsidR="00615348">
        <w:rPr>
          <w:color w:val="000000" w:themeColor="text1"/>
        </w:rPr>
        <w:t>.</w:t>
      </w:r>
      <w:r w:rsidR="00906539" w:rsidRPr="008C4D92">
        <w:rPr>
          <w:color w:val="000000" w:themeColor="text1"/>
        </w:rPr>
        <w:t>C</w:t>
      </w:r>
      <w:r w:rsidR="00615348">
        <w:rPr>
          <w:color w:val="000000" w:themeColor="text1"/>
        </w:rPr>
        <w:t>.</w:t>
      </w:r>
      <w:r w:rsidR="00906539" w:rsidRPr="008C4D92">
        <w:rPr>
          <w:color w:val="000000" w:themeColor="text1"/>
        </w:rPr>
        <w:t xml:space="preserve"> (</w:t>
      </w:r>
      <w:r w:rsidR="0081375E" w:rsidRPr="008C4D92">
        <w:rPr>
          <w:color w:val="000000" w:themeColor="text1"/>
        </w:rPr>
        <w:t xml:space="preserve">i.e. </w:t>
      </w:r>
      <w:r w:rsidR="00906539" w:rsidRPr="008C4D92">
        <w:rPr>
          <w:color w:val="000000" w:themeColor="text1"/>
        </w:rPr>
        <w:t>the buyer).  What is visible between large</w:t>
      </w:r>
      <w:r w:rsidR="00F53FDB" w:rsidRPr="008C4D92">
        <w:rPr>
          <w:color w:val="000000" w:themeColor="text1"/>
        </w:rPr>
        <w:t xml:space="preserve"> portions of the document which are redacted</w:t>
      </w:r>
      <w:r w:rsidR="00906539" w:rsidRPr="008C4D92">
        <w:rPr>
          <w:color w:val="000000" w:themeColor="text1"/>
        </w:rPr>
        <w:t xml:space="preserve"> are the following</w:t>
      </w:r>
      <w:r w:rsidR="00F53FDB" w:rsidRPr="008C4D92">
        <w:rPr>
          <w:color w:val="000000" w:themeColor="text1"/>
        </w:rPr>
        <w:t xml:space="preserve"> items</w:t>
      </w:r>
      <w:r w:rsidR="00906539" w:rsidRPr="008C4D92">
        <w:rPr>
          <w:color w:val="000000" w:themeColor="text1"/>
        </w:rPr>
        <w:t xml:space="preserve">.  </w:t>
      </w:r>
    </w:p>
    <w:p w14:paraId="51295781" w14:textId="77777777" w:rsidR="001A43A6" w:rsidRPr="008C4D92" w:rsidRDefault="001A43A6" w:rsidP="001A43A6">
      <w:pPr>
        <w:spacing w:line="480" w:lineRule="auto"/>
        <w:jc w:val="both"/>
        <w:rPr>
          <w:color w:val="000000" w:themeColor="text1"/>
        </w:rPr>
      </w:pPr>
    </w:p>
    <w:p w14:paraId="77C19E06" w14:textId="6EDACEA7" w:rsidR="00B93CF4" w:rsidRPr="002A13D2" w:rsidRDefault="00B93CF4" w:rsidP="00B93CF4">
      <w:pPr>
        <w:numPr>
          <w:ilvl w:val="0"/>
          <w:numId w:val="19"/>
        </w:numPr>
        <w:spacing w:line="480" w:lineRule="auto"/>
        <w:jc w:val="both"/>
        <w:rPr>
          <w:color w:val="000000" w:themeColor="text1"/>
        </w:rPr>
      </w:pPr>
      <w:r w:rsidRPr="002A13D2">
        <w:rPr>
          <w:color w:val="000000" w:themeColor="text1"/>
        </w:rPr>
        <w:t>First</w:t>
      </w:r>
      <w:r>
        <w:rPr>
          <w:color w:val="000000" w:themeColor="text1"/>
        </w:rPr>
        <w:t xml:space="preserve"> (under the Schedule of Loan Assets, Security Documents and Guarantees, sub-heading </w:t>
      </w:r>
      <w:r w:rsidR="006A380E">
        <w:rPr>
          <w:color w:val="000000" w:themeColor="text1"/>
        </w:rPr>
        <w:t>‘</w:t>
      </w:r>
      <w:r>
        <w:rPr>
          <w:color w:val="000000" w:themeColor="text1"/>
        </w:rPr>
        <w:t>Property Security</w:t>
      </w:r>
      <w:r w:rsidR="006A380E">
        <w:rPr>
          <w:color w:val="000000" w:themeColor="text1"/>
        </w:rPr>
        <w:t>’</w:t>
      </w:r>
      <w:r>
        <w:rPr>
          <w:color w:val="000000" w:themeColor="text1"/>
        </w:rPr>
        <w:t>)</w:t>
      </w:r>
      <w:r w:rsidRPr="002A13D2">
        <w:rPr>
          <w:color w:val="000000" w:themeColor="text1"/>
        </w:rPr>
        <w:t xml:space="preserve">, there is reference to a mortgage dated the 12 August </w:t>
      </w:r>
      <w:r w:rsidRPr="008C4D92">
        <w:rPr>
          <w:color w:val="000000" w:themeColor="text1"/>
        </w:rPr>
        <w:t xml:space="preserve">1996 </w:t>
      </w:r>
      <w:r w:rsidRPr="002A13D2">
        <w:rPr>
          <w:color w:val="000000" w:themeColor="text1"/>
        </w:rPr>
        <w:t xml:space="preserve">between the two defendants and Allied Irish Bank Plc. There are various reference numbers in the columns in the row beside this entry, and one of them refers to the first defendant (only).  </w:t>
      </w:r>
    </w:p>
    <w:p w14:paraId="59D8555F" w14:textId="77777777" w:rsidR="00B93CF4" w:rsidRPr="002A13D2" w:rsidRDefault="00B93CF4" w:rsidP="00B93CF4">
      <w:pPr>
        <w:pStyle w:val="ListParagraph"/>
        <w:rPr>
          <w:color w:val="000000" w:themeColor="text1"/>
        </w:rPr>
      </w:pPr>
    </w:p>
    <w:p w14:paraId="5B500DD4" w14:textId="5F9EABDA" w:rsidR="00B93CF4" w:rsidRPr="002A13D2" w:rsidRDefault="00B93CF4" w:rsidP="00B93CF4">
      <w:pPr>
        <w:numPr>
          <w:ilvl w:val="0"/>
          <w:numId w:val="19"/>
        </w:numPr>
        <w:spacing w:line="480" w:lineRule="auto"/>
        <w:jc w:val="both"/>
        <w:rPr>
          <w:color w:val="000000" w:themeColor="text1"/>
        </w:rPr>
      </w:pPr>
      <w:r>
        <w:rPr>
          <w:color w:val="000000" w:themeColor="text1"/>
        </w:rPr>
        <w:t xml:space="preserve">Under the Schedule of </w:t>
      </w:r>
      <w:r w:rsidR="006A380E">
        <w:rPr>
          <w:color w:val="000000" w:themeColor="text1"/>
        </w:rPr>
        <w:t>‘</w:t>
      </w:r>
      <w:r>
        <w:rPr>
          <w:color w:val="000000" w:themeColor="text1"/>
        </w:rPr>
        <w:t>Loan Assets, Security Documents and Guarantee</w:t>
      </w:r>
      <w:r w:rsidR="001974BB">
        <w:rPr>
          <w:color w:val="000000" w:themeColor="text1"/>
        </w:rPr>
        <w:t>s</w:t>
      </w:r>
      <w:r w:rsidR="00034375">
        <w:rPr>
          <w:color w:val="000000" w:themeColor="text1"/>
        </w:rPr>
        <w:t>’</w:t>
      </w:r>
      <w:r>
        <w:rPr>
          <w:color w:val="000000" w:themeColor="text1"/>
        </w:rPr>
        <w:t xml:space="preserve">, sub-heading </w:t>
      </w:r>
      <w:r w:rsidR="00034375">
        <w:rPr>
          <w:color w:val="000000" w:themeColor="text1"/>
        </w:rPr>
        <w:t>‘</w:t>
      </w:r>
      <w:r>
        <w:rPr>
          <w:color w:val="000000" w:themeColor="text1"/>
        </w:rPr>
        <w:t>Guarantees</w:t>
      </w:r>
      <w:r w:rsidR="00034375">
        <w:rPr>
          <w:color w:val="000000" w:themeColor="text1"/>
        </w:rPr>
        <w:t>’,</w:t>
      </w:r>
      <w:r>
        <w:rPr>
          <w:color w:val="000000" w:themeColor="text1"/>
        </w:rPr>
        <w:t xml:space="preserve"> there is a reference to an undated guarantee from the second defendant.</w:t>
      </w:r>
      <w:r w:rsidRPr="002A13D2">
        <w:rPr>
          <w:color w:val="000000" w:themeColor="text1"/>
        </w:rPr>
        <w:t xml:space="preserve">  </w:t>
      </w:r>
      <w:r>
        <w:rPr>
          <w:color w:val="000000" w:themeColor="text1"/>
        </w:rPr>
        <w:t xml:space="preserve">Under the Schedule of </w:t>
      </w:r>
      <w:r w:rsidR="001974BB">
        <w:rPr>
          <w:color w:val="000000" w:themeColor="text1"/>
        </w:rPr>
        <w:t>‘</w:t>
      </w:r>
      <w:r>
        <w:rPr>
          <w:color w:val="000000" w:themeColor="text1"/>
        </w:rPr>
        <w:t>Loan Assets</w:t>
      </w:r>
      <w:r w:rsidR="001974BB">
        <w:rPr>
          <w:color w:val="000000" w:themeColor="text1"/>
        </w:rPr>
        <w:t>:</w:t>
      </w:r>
      <w:r>
        <w:rPr>
          <w:color w:val="000000" w:themeColor="text1"/>
        </w:rPr>
        <w:t xml:space="preserve"> Security Documents and Guarantee</w:t>
      </w:r>
      <w:r w:rsidR="001974BB">
        <w:rPr>
          <w:color w:val="000000" w:themeColor="text1"/>
        </w:rPr>
        <w:t>s</w:t>
      </w:r>
      <w:r w:rsidR="00034375">
        <w:rPr>
          <w:color w:val="000000" w:themeColor="text1"/>
        </w:rPr>
        <w:t>’</w:t>
      </w:r>
      <w:r>
        <w:rPr>
          <w:color w:val="000000" w:themeColor="text1"/>
        </w:rPr>
        <w:t xml:space="preserve">, sub-heading </w:t>
      </w:r>
      <w:r w:rsidR="00034375">
        <w:rPr>
          <w:color w:val="000000" w:themeColor="text1"/>
        </w:rPr>
        <w:t>‘</w:t>
      </w:r>
      <w:r>
        <w:rPr>
          <w:color w:val="000000" w:themeColor="text1"/>
        </w:rPr>
        <w:t xml:space="preserve">Guarantor </w:t>
      </w:r>
      <w:proofErr w:type="spellStart"/>
      <w:r w:rsidR="00A832A6">
        <w:rPr>
          <w:color w:val="000000" w:themeColor="text1"/>
        </w:rPr>
        <w:t>Datatape</w:t>
      </w:r>
      <w:proofErr w:type="spellEnd"/>
      <w:r w:rsidR="00034375">
        <w:rPr>
          <w:color w:val="000000" w:themeColor="text1"/>
        </w:rPr>
        <w:t>’</w:t>
      </w:r>
      <w:r w:rsidR="00A832A6">
        <w:rPr>
          <w:color w:val="000000" w:themeColor="text1"/>
        </w:rPr>
        <w:t>,</w:t>
      </w:r>
      <w:r>
        <w:rPr>
          <w:color w:val="000000" w:themeColor="text1"/>
        </w:rPr>
        <w:t xml:space="preserve"> the first and second defendant are referred to with some apparent identification codes. Under the Schedule of </w:t>
      </w:r>
      <w:r w:rsidR="001974BB">
        <w:rPr>
          <w:color w:val="000000" w:themeColor="text1"/>
        </w:rPr>
        <w:t>‘</w:t>
      </w:r>
      <w:r>
        <w:rPr>
          <w:color w:val="000000" w:themeColor="text1"/>
        </w:rPr>
        <w:t>Loan Assets</w:t>
      </w:r>
      <w:r w:rsidR="00E711EF">
        <w:rPr>
          <w:color w:val="000000" w:themeColor="text1"/>
        </w:rPr>
        <w:t>:</w:t>
      </w:r>
      <w:r>
        <w:rPr>
          <w:color w:val="000000" w:themeColor="text1"/>
        </w:rPr>
        <w:t xml:space="preserve"> Underlying Loan Agreements</w:t>
      </w:r>
      <w:r w:rsidR="00034375">
        <w:rPr>
          <w:color w:val="000000" w:themeColor="text1"/>
        </w:rPr>
        <w:t>’</w:t>
      </w:r>
      <w:r>
        <w:rPr>
          <w:color w:val="000000" w:themeColor="text1"/>
        </w:rPr>
        <w:t xml:space="preserve">, sub-heading </w:t>
      </w:r>
      <w:r w:rsidR="00034375">
        <w:rPr>
          <w:color w:val="000000" w:themeColor="text1"/>
        </w:rPr>
        <w:t>‘</w:t>
      </w:r>
      <w:r>
        <w:rPr>
          <w:color w:val="000000" w:themeColor="text1"/>
        </w:rPr>
        <w:t xml:space="preserve">Facility </w:t>
      </w:r>
      <w:r w:rsidR="00A832A6">
        <w:rPr>
          <w:color w:val="000000" w:themeColor="text1"/>
        </w:rPr>
        <w:t>L</w:t>
      </w:r>
      <w:r>
        <w:rPr>
          <w:color w:val="000000" w:themeColor="text1"/>
        </w:rPr>
        <w:t>etters</w:t>
      </w:r>
      <w:r w:rsidR="00034375">
        <w:rPr>
          <w:color w:val="000000" w:themeColor="text1"/>
        </w:rPr>
        <w:t>’</w:t>
      </w:r>
      <w:r>
        <w:rPr>
          <w:color w:val="000000" w:themeColor="text1"/>
        </w:rPr>
        <w:t xml:space="preserve">, there </w:t>
      </w:r>
      <w:r w:rsidRPr="009500C4">
        <w:rPr>
          <w:color w:val="000000" w:themeColor="text1"/>
        </w:rPr>
        <w:t xml:space="preserve">is a reference to a facility letter between AIB and the first defendant as borrower dated the 10 March 2008.  </w:t>
      </w:r>
      <w:r>
        <w:rPr>
          <w:color w:val="000000" w:themeColor="text1"/>
        </w:rPr>
        <w:t xml:space="preserve">There are three further references to the first defendant only under sub-headings of </w:t>
      </w:r>
      <w:r w:rsidR="00E711EF">
        <w:rPr>
          <w:color w:val="000000" w:themeColor="text1"/>
        </w:rPr>
        <w:t>‘</w:t>
      </w:r>
      <w:r w:rsidR="0023017E">
        <w:rPr>
          <w:color w:val="000000" w:themeColor="text1"/>
        </w:rPr>
        <w:t>L</w:t>
      </w:r>
      <w:r>
        <w:rPr>
          <w:color w:val="000000" w:themeColor="text1"/>
        </w:rPr>
        <w:t>oans</w:t>
      </w:r>
      <w:r w:rsidR="00E711EF">
        <w:rPr>
          <w:color w:val="000000" w:themeColor="text1"/>
        </w:rPr>
        <w:t xml:space="preserve"> </w:t>
      </w:r>
      <w:proofErr w:type="spellStart"/>
      <w:r w:rsidR="00E711EF">
        <w:rPr>
          <w:color w:val="000000" w:themeColor="text1"/>
        </w:rPr>
        <w:t>Datatape</w:t>
      </w:r>
      <w:proofErr w:type="spellEnd"/>
      <w:r w:rsidR="00E711EF">
        <w:rPr>
          <w:color w:val="000000" w:themeColor="text1"/>
        </w:rPr>
        <w:t>’</w:t>
      </w:r>
      <w:r>
        <w:rPr>
          <w:color w:val="000000" w:themeColor="text1"/>
        </w:rPr>
        <w:t xml:space="preserve"> or </w:t>
      </w:r>
      <w:r w:rsidR="00E711EF">
        <w:rPr>
          <w:color w:val="000000" w:themeColor="text1"/>
        </w:rPr>
        <w:t>‘</w:t>
      </w:r>
      <w:r w:rsidR="0023017E">
        <w:rPr>
          <w:color w:val="000000" w:themeColor="text1"/>
        </w:rPr>
        <w:t>R</w:t>
      </w:r>
      <w:r>
        <w:rPr>
          <w:color w:val="000000" w:themeColor="text1"/>
        </w:rPr>
        <w:t xml:space="preserve">evolving </w:t>
      </w:r>
      <w:r w:rsidR="0023017E">
        <w:rPr>
          <w:color w:val="000000" w:themeColor="text1"/>
        </w:rPr>
        <w:t>F</w:t>
      </w:r>
      <w:r>
        <w:rPr>
          <w:color w:val="000000" w:themeColor="text1"/>
        </w:rPr>
        <w:t xml:space="preserve">acility </w:t>
      </w:r>
      <w:proofErr w:type="spellStart"/>
      <w:r w:rsidR="00E711EF">
        <w:rPr>
          <w:color w:val="000000" w:themeColor="text1"/>
        </w:rPr>
        <w:t>D</w:t>
      </w:r>
      <w:r>
        <w:rPr>
          <w:color w:val="000000" w:themeColor="text1"/>
        </w:rPr>
        <w:t>atatape</w:t>
      </w:r>
      <w:proofErr w:type="spellEnd"/>
      <w:r w:rsidR="00E711EF">
        <w:rPr>
          <w:color w:val="000000" w:themeColor="text1"/>
        </w:rPr>
        <w:t>’</w:t>
      </w:r>
      <w:r>
        <w:rPr>
          <w:color w:val="000000" w:themeColor="text1"/>
        </w:rPr>
        <w:t xml:space="preserve">. </w:t>
      </w:r>
      <w:r w:rsidRPr="002A13D2">
        <w:rPr>
          <w:color w:val="000000" w:themeColor="text1"/>
        </w:rPr>
        <w:t xml:space="preserve"> </w:t>
      </w:r>
    </w:p>
    <w:p w14:paraId="292F6292" w14:textId="77777777" w:rsidR="00B93CF4" w:rsidRPr="002A13D2" w:rsidRDefault="00B93CF4" w:rsidP="00B93CF4">
      <w:pPr>
        <w:pStyle w:val="ListParagraph"/>
        <w:rPr>
          <w:color w:val="000000" w:themeColor="text1"/>
        </w:rPr>
      </w:pPr>
    </w:p>
    <w:p w14:paraId="04F60D28" w14:textId="7855D7FD" w:rsidR="00024584" w:rsidRPr="008C4D92" w:rsidRDefault="00683772" w:rsidP="00575A21">
      <w:pPr>
        <w:numPr>
          <w:ilvl w:val="0"/>
          <w:numId w:val="19"/>
        </w:numPr>
        <w:spacing w:line="480" w:lineRule="auto"/>
        <w:jc w:val="both"/>
        <w:rPr>
          <w:color w:val="000000" w:themeColor="text1"/>
        </w:rPr>
      </w:pPr>
      <w:r w:rsidRPr="008C4D92">
        <w:rPr>
          <w:color w:val="000000" w:themeColor="text1"/>
        </w:rPr>
        <w:t xml:space="preserve"> </w:t>
      </w:r>
      <w:r w:rsidR="00906539" w:rsidRPr="008C4D92">
        <w:rPr>
          <w:color w:val="000000" w:themeColor="text1"/>
        </w:rPr>
        <w:t>The A</w:t>
      </w:r>
      <w:r w:rsidR="0005243F" w:rsidRPr="008C4D92">
        <w:rPr>
          <w:color w:val="000000" w:themeColor="text1"/>
        </w:rPr>
        <w:t>mendment and Restatement Deed</w:t>
      </w:r>
      <w:r w:rsidR="0081375E" w:rsidRPr="008C4D92">
        <w:rPr>
          <w:color w:val="000000" w:themeColor="text1"/>
        </w:rPr>
        <w:t>,</w:t>
      </w:r>
      <w:r w:rsidR="00906539" w:rsidRPr="008C4D92">
        <w:rPr>
          <w:color w:val="000000" w:themeColor="text1"/>
        </w:rPr>
        <w:t xml:space="preserve"> dated </w:t>
      </w:r>
      <w:r w:rsidR="0081375E" w:rsidRPr="008C4D92">
        <w:rPr>
          <w:color w:val="000000" w:themeColor="text1"/>
        </w:rPr>
        <w:t xml:space="preserve">the </w:t>
      </w:r>
      <w:r w:rsidR="00906539" w:rsidRPr="008C4D92">
        <w:rPr>
          <w:color w:val="000000" w:themeColor="text1"/>
        </w:rPr>
        <w:t>22 October 2018</w:t>
      </w:r>
      <w:r w:rsidR="0081375E" w:rsidRPr="008C4D92">
        <w:rPr>
          <w:color w:val="000000" w:themeColor="text1"/>
        </w:rPr>
        <w:t>,</w:t>
      </w:r>
      <w:r w:rsidR="00906539" w:rsidRPr="008C4D92">
        <w:rPr>
          <w:color w:val="000000" w:themeColor="text1"/>
        </w:rPr>
        <w:t xml:space="preserve"> attached a revised schedule</w:t>
      </w:r>
      <w:r w:rsidR="00323CE7">
        <w:rPr>
          <w:color w:val="000000" w:themeColor="text1"/>
        </w:rPr>
        <w:t xml:space="preserve"> 2</w:t>
      </w:r>
      <w:r w:rsidR="00906539" w:rsidRPr="008C4D92">
        <w:rPr>
          <w:color w:val="000000" w:themeColor="text1"/>
        </w:rPr>
        <w:t xml:space="preserve">.  There is a reference to </w:t>
      </w:r>
      <w:r w:rsidR="008B2003" w:rsidRPr="008C4D92">
        <w:rPr>
          <w:color w:val="000000" w:themeColor="text1"/>
        </w:rPr>
        <w:t xml:space="preserve">the </w:t>
      </w:r>
      <w:r w:rsidR="00FF449E" w:rsidRPr="008C4D92">
        <w:rPr>
          <w:color w:val="000000" w:themeColor="text1"/>
        </w:rPr>
        <w:t xml:space="preserve">Avoca </w:t>
      </w:r>
      <w:r w:rsidR="008B2003" w:rsidRPr="008C4D92">
        <w:rPr>
          <w:color w:val="000000" w:themeColor="text1"/>
        </w:rPr>
        <w:t xml:space="preserve">property </w:t>
      </w:r>
      <w:r w:rsidR="00906539" w:rsidRPr="008C4D92">
        <w:rPr>
          <w:color w:val="000000" w:themeColor="text1"/>
        </w:rPr>
        <w:t xml:space="preserve">alongside references to </w:t>
      </w:r>
      <w:r w:rsidR="004E55AC" w:rsidRPr="008C4D92">
        <w:rPr>
          <w:color w:val="000000" w:themeColor="text1"/>
        </w:rPr>
        <w:t>the first defendant</w:t>
      </w:r>
      <w:r w:rsidR="00906539" w:rsidRPr="008C4D92">
        <w:rPr>
          <w:color w:val="000000" w:themeColor="text1"/>
        </w:rPr>
        <w:t xml:space="preserve"> (only).  </w:t>
      </w:r>
    </w:p>
    <w:p w14:paraId="5686B818" w14:textId="77777777" w:rsidR="00024584" w:rsidRPr="008C4D92" w:rsidRDefault="00024584" w:rsidP="00024584">
      <w:pPr>
        <w:pStyle w:val="ListParagraph"/>
        <w:rPr>
          <w:color w:val="000000" w:themeColor="text1"/>
        </w:rPr>
      </w:pPr>
    </w:p>
    <w:p w14:paraId="7944914A" w14:textId="69F3DF4D" w:rsidR="00024584" w:rsidRPr="008C4D92" w:rsidRDefault="00024584" w:rsidP="00024584">
      <w:pPr>
        <w:pStyle w:val="Heading3"/>
        <w:rPr>
          <w:color w:val="000000" w:themeColor="text1"/>
          <w:sz w:val="26"/>
          <w:szCs w:val="26"/>
        </w:rPr>
      </w:pPr>
      <w:r w:rsidRPr="008C4D92">
        <w:rPr>
          <w:color w:val="000000" w:themeColor="text1"/>
          <w:sz w:val="26"/>
          <w:szCs w:val="26"/>
        </w:rPr>
        <w:t xml:space="preserve">The Instrument of Appointment and the Novation </w:t>
      </w:r>
    </w:p>
    <w:p w14:paraId="6E6378DE" w14:textId="77777777" w:rsidR="00024584" w:rsidRPr="008C4D92" w:rsidRDefault="00024584" w:rsidP="00024584">
      <w:pPr>
        <w:pStyle w:val="ListParagraph"/>
        <w:rPr>
          <w:color w:val="000000" w:themeColor="text1"/>
        </w:rPr>
      </w:pPr>
    </w:p>
    <w:p w14:paraId="217EC62C" w14:textId="12B85029" w:rsidR="000E7CF1" w:rsidRPr="008C4D92" w:rsidRDefault="00906539" w:rsidP="000E7CF1">
      <w:pPr>
        <w:numPr>
          <w:ilvl w:val="0"/>
          <w:numId w:val="19"/>
        </w:numPr>
        <w:spacing w:line="480" w:lineRule="auto"/>
        <w:jc w:val="both"/>
        <w:rPr>
          <w:color w:val="000000" w:themeColor="text1"/>
        </w:rPr>
      </w:pPr>
      <w:r w:rsidRPr="008C4D92">
        <w:rPr>
          <w:color w:val="000000" w:themeColor="text1"/>
        </w:rPr>
        <w:t>Th</w:t>
      </w:r>
      <w:r w:rsidR="009A259B" w:rsidRPr="008C4D92">
        <w:rPr>
          <w:color w:val="000000" w:themeColor="text1"/>
        </w:rPr>
        <w:t>e Instrument of Appointment</w:t>
      </w:r>
      <w:r w:rsidR="008D30A5" w:rsidRPr="008C4D92">
        <w:rPr>
          <w:color w:val="000000" w:themeColor="text1"/>
        </w:rPr>
        <w:t xml:space="preserve"> is dated the </w:t>
      </w:r>
      <w:r w:rsidR="00D700B6" w:rsidRPr="008C4D92">
        <w:rPr>
          <w:color w:val="000000" w:themeColor="text1"/>
        </w:rPr>
        <w:t>13 October 2017</w:t>
      </w:r>
      <w:r w:rsidR="008D30A5" w:rsidRPr="008C4D92">
        <w:rPr>
          <w:color w:val="000000" w:themeColor="text1"/>
        </w:rPr>
        <w:t xml:space="preserve">. </w:t>
      </w:r>
      <w:r w:rsidR="004367AB" w:rsidRPr="008C4D92">
        <w:rPr>
          <w:color w:val="000000" w:themeColor="text1"/>
        </w:rPr>
        <w:t>The recitals thereto include the following recital in particular</w:t>
      </w:r>
      <w:r w:rsidR="000F4CF5" w:rsidRPr="008C4D92">
        <w:rPr>
          <w:color w:val="000000" w:themeColor="text1"/>
        </w:rPr>
        <w:t xml:space="preserve">, which, it may be noted, </w:t>
      </w:r>
      <w:r w:rsidR="000F4CF5" w:rsidRPr="008C4D92">
        <w:rPr>
          <w:color w:val="000000" w:themeColor="text1"/>
          <w:u w:val="single"/>
        </w:rPr>
        <w:t xml:space="preserve">correctly </w:t>
      </w:r>
      <w:r w:rsidR="000F4CF5" w:rsidRPr="008C4D92">
        <w:rPr>
          <w:color w:val="000000" w:themeColor="text1"/>
        </w:rPr>
        <w:t>describes the date of the mortgage:-</w:t>
      </w:r>
    </w:p>
    <w:p w14:paraId="164605B2" w14:textId="266542BD" w:rsidR="006F2F4A" w:rsidRPr="008C4D92" w:rsidRDefault="009C6945" w:rsidP="000E7CF1">
      <w:pPr>
        <w:spacing w:line="480" w:lineRule="auto"/>
        <w:ind w:left="567"/>
        <w:jc w:val="both"/>
        <w:rPr>
          <w:color w:val="000000" w:themeColor="text1"/>
        </w:rPr>
      </w:pPr>
      <w:r w:rsidRPr="008C4D92">
        <w:rPr>
          <w:color w:val="000000" w:themeColor="text1"/>
        </w:rPr>
        <w:t>“W</w:t>
      </w:r>
      <w:r w:rsidR="00F52E6F" w:rsidRPr="008C4D92">
        <w:rPr>
          <w:color w:val="000000" w:themeColor="text1"/>
        </w:rPr>
        <w:t>HEREAS</w:t>
      </w:r>
      <w:r w:rsidR="00906539" w:rsidRPr="008C4D92">
        <w:rPr>
          <w:color w:val="000000" w:themeColor="text1"/>
        </w:rPr>
        <w:t xml:space="preserve"> </w:t>
      </w:r>
      <w:r w:rsidR="009024A9">
        <w:rPr>
          <w:color w:val="000000" w:themeColor="text1"/>
        </w:rPr>
        <w:t>A. B</w:t>
      </w:r>
      <w:r w:rsidR="00906539" w:rsidRPr="008C4D92">
        <w:rPr>
          <w:color w:val="000000" w:themeColor="text1"/>
        </w:rPr>
        <w:t xml:space="preserve">y Deed of Mortgage/Charge dated </w:t>
      </w:r>
      <w:r w:rsidR="00906539" w:rsidRPr="009939CE">
        <w:rPr>
          <w:b/>
          <w:bCs/>
          <w:color w:val="000000" w:themeColor="text1"/>
        </w:rPr>
        <w:t>1</w:t>
      </w:r>
      <w:r w:rsidR="00F66392" w:rsidRPr="009939CE">
        <w:rPr>
          <w:b/>
          <w:bCs/>
          <w:color w:val="000000" w:themeColor="text1"/>
        </w:rPr>
        <w:t>2th</w:t>
      </w:r>
      <w:r w:rsidR="00906539" w:rsidRPr="009939CE">
        <w:rPr>
          <w:b/>
          <w:bCs/>
          <w:color w:val="000000" w:themeColor="text1"/>
        </w:rPr>
        <w:t xml:space="preserve"> August </w:t>
      </w:r>
      <w:r w:rsidR="00906539" w:rsidRPr="009939CE">
        <w:rPr>
          <w:b/>
          <w:bCs/>
          <w:color w:val="000000" w:themeColor="text1"/>
          <w:u w:val="single"/>
        </w:rPr>
        <w:t>1998</w:t>
      </w:r>
      <w:r w:rsidR="00906539" w:rsidRPr="008C4D92">
        <w:rPr>
          <w:color w:val="000000" w:themeColor="text1"/>
        </w:rPr>
        <w:t xml:space="preserve"> </w:t>
      </w:r>
      <w:r w:rsidR="0005243F" w:rsidRPr="008C4D92">
        <w:rPr>
          <w:color w:val="000000" w:themeColor="text1"/>
        </w:rPr>
        <w:t>between</w:t>
      </w:r>
      <w:r w:rsidR="00906539" w:rsidRPr="008C4D92">
        <w:rPr>
          <w:color w:val="000000" w:themeColor="text1"/>
        </w:rPr>
        <w:t xml:space="preserve"> </w:t>
      </w:r>
      <w:r w:rsidR="004367AB" w:rsidRPr="008C4D92">
        <w:rPr>
          <w:color w:val="000000" w:themeColor="text1"/>
        </w:rPr>
        <w:t xml:space="preserve">(1) </w:t>
      </w:r>
      <w:r w:rsidR="004367AB" w:rsidRPr="009939CE">
        <w:rPr>
          <w:b/>
          <w:bCs/>
          <w:color w:val="000000" w:themeColor="text1"/>
        </w:rPr>
        <w:t>Paul White and Jane Gleeson</w:t>
      </w:r>
      <w:r w:rsidR="004367AB" w:rsidRPr="008C4D92">
        <w:rPr>
          <w:color w:val="000000" w:themeColor="text1"/>
        </w:rPr>
        <w:t xml:space="preserve"> together (the </w:t>
      </w:r>
      <w:r w:rsidR="004367AB" w:rsidRPr="009939CE">
        <w:rPr>
          <w:b/>
          <w:bCs/>
          <w:color w:val="000000" w:themeColor="text1"/>
        </w:rPr>
        <w:t>“Borrower”</w:t>
      </w:r>
      <w:r w:rsidR="004367AB" w:rsidRPr="008C4D92">
        <w:rPr>
          <w:color w:val="000000" w:themeColor="text1"/>
        </w:rPr>
        <w:t>) and (2)</w:t>
      </w:r>
      <w:r w:rsidR="00906539" w:rsidRPr="008C4D92">
        <w:rPr>
          <w:color w:val="000000" w:themeColor="text1"/>
        </w:rPr>
        <w:t xml:space="preserve"> and </w:t>
      </w:r>
      <w:r w:rsidR="00906539" w:rsidRPr="009939CE">
        <w:rPr>
          <w:b/>
          <w:bCs/>
          <w:color w:val="000000" w:themeColor="text1"/>
        </w:rPr>
        <w:t>A</w:t>
      </w:r>
      <w:r w:rsidR="004367AB" w:rsidRPr="009939CE">
        <w:rPr>
          <w:b/>
          <w:bCs/>
          <w:color w:val="000000" w:themeColor="text1"/>
        </w:rPr>
        <w:t xml:space="preserve">llied Irish Banks </w:t>
      </w:r>
      <w:r w:rsidR="009024A9">
        <w:rPr>
          <w:b/>
          <w:bCs/>
          <w:color w:val="000000" w:themeColor="text1"/>
        </w:rPr>
        <w:t>p.</w:t>
      </w:r>
      <w:r w:rsidR="00906539" w:rsidRPr="009939CE">
        <w:rPr>
          <w:b/>
          <w:bCs/>
          <w:color w:val="000000" w:themeColor="text1"/>
        </w:rPr>
        <w:t>l</w:t>
      </w:r>
      <w:r w:rsidR="009024A9">
        <w:rPr>
          <w:b/>
          <w:bCs/>
          <w:color w:val="000000" w:themeColor="text1"/>
        </w:rPr>
        <w:t>.</w:t>
      </w:r>
      <w:r w:rsidR="00906539" w:rsidRPr="009939CE">
        <w:rPr>
          <w:b/>
          <w:bCs/>
          <w:color w:val="000000" w:themeColor="text1"/>
        </w:rPr>
        <w:t>c</w:t>
      </w:r>
      <w:r w:rsidR="009024A9">
        <w:rPr>
          <w:b/>
          <w:bCs/>
          <w:color w:val="000000" w:themeColor="text1"/>
        </w:rPr>
        <w:t>.</w:t>
      </w:r>
      <w:r w:rsidR="004367AB" w:rsidRPr="008C4D92">
        <w:rPr>
          <w:color w:val="000000" w:themeColor="text1"/>
        </w:rPr>
        <w:t xml:space="preserve"> (the </w:t>
      </w:r>
      <w:r w:rsidR="004367AB" w:rsidRPr="009939CE">
        <w:rPr>
          <w:b/>
          <w:bCs/>
          <w:color w:val="000000" w:themeColor="text1"/>
        </w:rPr>
        <w:t>“Charge”</w:t>
      </w:r>
      <w:r w:rsidR="004367AB" w:rsidRPr="008C4D92">
        <w:rPr>
          <w:color w:val="000000" w:themeColor="text1"/>
        </w:rPr>
        <w:t>)</w:t>
      </w:r>
      <w:r w:rsidR="00906539" w:rsidRPr="008C4D92">
        <w:rPr>
          <w:color w:val="000000" w:themeColor="text1"/>
        </w:rPr>
        <w:t xml:space="preserve">, the </w:t>
      </w:r>
      <w:r w:rsidR="004367AB" w:rsidRPr="008C4D92">
        <w:rPr>
          <w:color w:val="000000" w:themeColor="text1"/>
        </w:rPr>
        <w:t>B</w:t>
      </w:r>
      <w:r w:rsidR="00906539" w:rsidRPr="008C4D92">
        <w:rPr>
          <w:color w:val="000000" w:themeColor="text1"/>
        </w:rPr>
        <w:t xml:space="preserve">orrowers charged in </w:t>
      </w:r>
      <w:r w:rsidR="0005243F" w:rsidRPr="008C4D92">
        <w:rPr>
          <w:color w:val="000000" w:themeColor="text1"/>
        </w:rPr>
        <w:t>favour</w:t>
      </w:r>
      <w:r w:rsidR="00906539" w:rsidRPr="008C4D92">
        <w:rPr>
          <w:color w:val="000000" w:themeColor="text1"/>
        </w:rPr>
        <w:t xml:space="preserve"> of the</w:t>
      </w:r>
      <w:r w:rsidR="0005243F" w:rsidRPr="008C4D92">
        <w:rPr>
          <w:color w:val="000000" w:themeColor="text1"/>
        </w:rPr>
        <w:t xml:space="preserve"> Bank by way of Fixed Mortgage/C</w:t>
      </w:r>
      <w:r w:rsidR="00906539" w:rsidRPr="008C4D92">
        <w:rPr>
          <w:color w:val="000000" w:themeColor="text1"/>
        </w:rPr>
        <w:t xml:space="preserve">harge the property described in the </w:t>
      </w:r>
      <w:r w:rsidR="009024A9">
        <w:rPr>
          <w:color w:val="000000" w:themeColor="text1"/>
        </w:rPr>
        <w:t>S</w:t>
      </w:r>
      <w:r w:rsidR="00906539" w:rsidRPr="008C4D92">
        <w:rPr>
          <w:color w:val="000000" w:themeColor="text1"/>
        </w:rPr>
        <w:t>ched</w:t>
      </w:r>
      <w:r w:rsidR="0005243F" w:rsidRPr="008C4D92">
        <w:rPr>
          <w:color w:val="000000" w:themeColor="text1"/>
        </w:rPr>
        <w:t xml:space="preserve">ule of the </w:t>
      </w:r>
      <w:r w:rsidR="0005243F" w:rsidRPr="008C4D92">
        <w:rPr>
          <w:color w:val="000000" w:themeColor="text1"/>
          <w:u w:val="single"/>
        </w:rPr>
        <w:t>C</w:t>
      </w:r>
      <w:r w:rsidR="00906539" w:rsidRPr="008C4D92">
        <w:rPr>
          <w:color w:val="000000" w:themeColor="text1"/>
          <w:u w:val="single"/>
        </w:rPr>
        <w:t xml:space="preserve">harge and as specified in the schedule hereto (the </w:t>
      </w:r>
      <w:r w:rsidR="009024A9">
        <w:rPr>
          <w:color w:val="000000" w:themeColor="text1"/>
          <w:u w:val="single"/>
        </w:rPr>
        <w:t>‘M</w:t>
      </w:r>
      <w:r w:rsidR="00906539" w:rsidRPr="008C4D92">
        <w:rPr>
          <w:color w:val="000000" w:themeColor="text1"/>
          <w:u w:val="single"/>
        </w:rPr>
        <w:t xml:space="preserve">ortgaged </w:t>
      </w:r>
      <w:r w:rsidR="009024A9">
        <w:rPr>
          <w:color w:val="000000" w:themeColor="text1"/>
          <w:u w:val="single"/>
        </w:rPr>
        <w:t>P</w:t>
      </w:r>
      <w:r w:rsidR="00906539" w:rsidRPr="008C4D92">
        <w:rPr>
          <w:color w:val="000000" w:themeColor="text1"/>
          <w:u w:val="single"/>
        </w:rPr>
        <w:t>roperty)</w:t>
      </w:r>
      <w:r w:rsidR="00906539" w:rsidRPr="008C4D92">
        <w:rPr>
          <w:color w:val="000000" w:themeColor="text1"/>
        </w:rPr>
        <w:t xml:space="preserve"> as security for payment in discharge of the monies and liabilities therein specified</w:t>
      </w:r>
      <w:r w:rsidR="0005243F" w:rsidRPr="008C4D92">
        <w:rPr>
          <w:color w:val="000000" w:themeColor="text1"/>
        </w:rPr>
        <w:t xml:space="preserve">… </w:t>
      </w:r>
      <w:r w:rsidR="00A8770A" w:rsidRPr="008C4D92">
        <w:rPr>
          <w:color w:val="000000" w:themeColor="text1"/>
        </w:rPr>
        <w:t>“</w:t>
      </w:r>
      <w:r w:rsidR="00E60442" w:rsidRPr="008C4D92">
        <w:rPr>
          <w:color w:val="000000" w:themeColor="text1"/>
        </w:rPr>
        <w:t>.</w:t>
      </w:r>
      <w:r w:rsidR="009024A9">
        <w:rPr>
          <w:color w:val="000000" w:themeColor="text1"/>
        </w:rPr>
        <w:t xml:space="preserve"> (Emphasis added)</w:t>
      </w:r>
    </w:p>
    <w:p w14:paraId="7B8FF314" w14:textId="77777777" w:rsidR="00C038CA" w:rsidRPr="008C4D92" w:rsidRDefault="00C038CA" w:rsidP="005402CD">
      <w:pPr>
        <w:spacing w:line="480" w:lineRule="auto"/>
        <w:rPr>
          <w:color w:val="000000" w:themeColor="text1"/>
        </w:rPr>
      </w:pPr>
    </w:p>
    <w:p w14:paraId="7A986313" w14:textId="24890F30" w:rsidR="000F4CF5" w:rsidRPr="008C4D92" w:rsidRDefault="00AD3210" w:rsidP="000E7CF1">
      <w:pPr>
        <w:pStyle w:val="ListParagraph"/>
        <w:numPr>
          <w:ilvl w:val="0"/>
          <w:numId w:val="19"/>
        </w:numPr>
        <w:spacing w:line="480" w:lineRule="auto"/>
        <w:jc w:val="both"/>
        <w:rPr>
          <w:color w:val="000000" w:themeColor="text1"/>
        </w:rPr>
      </w:pPr>
      <w:r w:rsidRPr="008C4D92">
        <w:rPr>
          <w:color w:val="000000" w:themeColor="text1"/>
        </w:rPr>
        <w:t xml:space="preserve">The Instrument of </w:t>
      </w:r>
      <w:r w:rsidR="000F4CF5" w:rsidRPr="008C4D92">
        <w:rPr>
          <w:color w:val="000000" w:themeColor="text1"/>
        </w:rPr>
        <w:t>A</w:t>
      </w:r>
      <w:r w:rsidRPr="008C4D92">
        <w:rPr>
          <w:color w:val="000000" w:themeColor="text1"/>
        </w:rPr>
        <w:t>ppointment goes on to state:</w:t>
      </w:r>
    </w:p>
    <w:p w14:paraId="6F67AA65" w14:textId="15BE0A67" w:rsidR="00AD3210" w:rsidRPr="008C4D92" w:rsidRDefault="0081375E" w:rsidP="00AD3210">
      <w:pPr>
        <w:spacing w:line="480" w:lineRule="auto"/>
        <w:ind w:left="567"/>
        <w:jc w:val="both"/>
        <w:rPr>
          <w:color w:val="000000" w:themeColor="text1"/>
        </w:rPr>
      </w:pPr>
      <w:r w:rsidRPr="008C4D92">
        <w:rPr>
          <w:color w:val="000000" w:themeColor="text1"/>
        </w:rPr>
        <w:t>“</w:t>
      </w:r>
      <w:r w:rsidR="00AD3210" w:rsidRPr="008C4D92">
        <w:rPr>
          <w:color w:val="000000" w:themeColor="text1"/>
        </w:rPr>
        <w:t xml:space="preserve">NOW the Bank in pursuance of the power given to it under and or pursuant to the Charge and of every other power conferred upon it by State or otherwise HEREBY APPOINTS the Receiver to be the Receiver of and over </w:t>
      </w:r>
      <w:r w:rsidR="00AD3210" w:rsidRPr="008C4D92">
        <w:rPr>
          <w:color w:val="000000" w:themeColor="text1"/>
          <w:u w:val="single"/>
        </w:rPr>
        <w:t xml:space="preserve">the Mortgaged Property </w:t>
      </w:r>
      <w:r w:rsidR="00AD3210" w:rsidRPr="008C4D92">
        <w:rPr>
          <w:color w:val="000000" w:themeColor="text1"/>
        </w:rPr>
        <w:t xml:space="preserve"> and to exercise all the powers of a Receiver given by the Charge and by law….</w:t>
      </w:r>
      <w:r w:rsidRPr="008C4D92">
        <w:rPr>
          <w:color w:val="000000" w:themeColor="text1"/>
        </w:rPr>
        <w:t>”</w:t>
      </w:r>
      <w:r w:rsidR="009024A9">
        <w:rPr>
          <w:color w:val="000000" w:themeColor="text1"/>
        </w:rPr>
        <w:t xml:space="preserve"> (Emphasis added)</w:t>
      </w:r>
    </w:p>
    <w:p w14:paraId="6B051FC0" w14:textId="77777777" w:rsidR="00157FC3" w:rsidRPr="008C4D92" w:rsidRDefault="00157FC3" w:rsidP="00AD3210">
      <w:pPr>
        <w:spacing w:line="480" w:lineRule="auto"/>
        <w:ind w:left="567"/>
        <w:jc w:val="both"/>
        <w:rPr>
          <w:color w:val="000000" w:themeColor="text1"/>
        </w:rPr>
      </w:pPr>
    </w:p>
    <w:p w14:paraId="16CE429A" w14:textId="36A1DEAC" w:rsidR="00683772" w:rsidRPr="008C4D92" w:rsidRDefault="006F2F4A" w:rsidP="006F2F4A">
      <w:pPr>
        <w:pStyle w:val="ListParagraph"/>
        <w:numPr>
          <w:ilvl w:val="0"/>
          <w:numId w:val="19"/>
        </w:numPr>
        <w:spacing w:line="480" w:lineRule="auto"/>
        <w:jc w:val="both"/>
        <w:rPr>
          <w:color w:val="000000" w:themeColor="text1"/>
        </w:rPr>
      </w:pPr>
      <w:r w:rsidRPr="008C4D92">
        <w:rPr>
          <w:color w:val="000000" w:themeColor="text1"/>
        </w:rPr>
        <w:t>T</w:t>
      </w:r>
      <w:r w:rsidR="0005243F" w:rsidRPr="008C4D92">
        <w:rPr>
          <w:color w:val="000000" w:themeColor="text1"/>
        </w:rPr>
        <w:t xml:space="preserve">he schedule </w:t>
      </w:r>
      <w:r w:rsidR="00157FC3" w:rsidRPr="008C4D92">
        <w:rPr>
          <w:color w:val="000000" w:themeColor="text1"/>
        </w:rPr>
        <w:t xml:space="preserve">then </w:t>
      </w:r>
      <w:r w:rsidR="0005243F" w:rsidRPr="008C4D92">
        <w:rPr>
          <w:color w:val="000000" w:themeColor="text1"/>
        </w:rPr>
        <w:t>describes the property in question as “</w:t>
      </w:r>
      <w:r w:rsidR="009024A9">
        <w:rPr>
          <w:i/>
          <w:color w:val="000000" w:themeColor="text1"/>
        </w:rPr>
        <w:t>ALL THAT AND THOSE</w:t>
      </w:r>
      <w:r w:rsidR="0005243F" w:rsidRPr="008C4D92">
        <w:rPr>
          <w:i/>
          <w:color w:val="000000" w:themeColor="text1"/>
        </w:rPr>
        <w:t xml:space="preserve"> the mortgagees interest under a Deed of Mortgage/Charge dated 12</w:t>
      </w:r>
      <w:r w:rsidR="0005243F" w:rsidRPr="008C4D92">
        <w:rPr>
          <w:i/>
          <w:color w:val="000000" w:themeColor="text1"/>
          <w:vertAlign w:val="superscript"/>
        </w:rPr>
        <w:t>th</w:t>
      </w:r>
      <w:r w:rsidR="0005243F" w:rsidRPr="008C4D92">
        <w:rPr>
          <w:i/>
          <w:color w:val="000000" w:themeColor="text1"/>
        </w:rPr>
        <w:t xml:space="preserve"> August </w:t>
      </w:r>
      <w:r w:rsidR="0005243F" w:rsidRPr="008C4D92">
        <w:rPr>
          <w:i/>
          <w:color w:val="000000" w:themeColor="text1"/>
          <w:u w:val="single"/>
        </w:rPr>
        <w:t>1988</w:t>
      </w:r>
      <w:r w:rsidR="00157FC3" w:rsidRPr="008C4D92">
        <w:rPr>
          <w:i/>
          <w:color w:val="000000" w:themeColor="text1"/>
          <w:u w:val="single"/>
        </w:rPr>
        <w:t xml:space="preserve"> </w:t>
      </w:r>
      <w:r w:rsidR="00157FC3" w:rsidRPr="008C4D92">
        <w:rPr>
          <w:color w:val="000000" w:themeColor="text1"/>
        </w:rPr>
        <w:t>between (1) Paul White and Jane Gleeson; and (2) Allied Irish Banks p</w:t>
      </w:r>
      <w:r w:rsidR="009024A9">
        <w:rPr>
          <w:color w:val="000000" w:themeColor="text1"/>
        </w:rPr>
        <w:t>.</w:t>
      </w:r>
      <w:r w:rsidR="00157FC3" w:rsidRPr="008C4D92">
        <w:rPr>
          <w:color w:val="000000" w:themeColor="text1"/>
        </w:rPr>
        <w:t>l</w:t>
      </w:r>
      <w:r w:rsidR="009024A9">
        <w:rPr>
          <w:color w:val="000000" w:themeColor="text1"/>
        </w:rPr>
        <w:t>.</w:t>
      </w:r>
      <w:r w:rsidR="00157FC3" w:rsidRPr="008C4D92">
        <w:rPr>
          <w:color w:val="000000" w:themeColor="text1"/>
        </w:rPr>
        <w:t>c</w:t>
      </w:r>
      <w:r w:rsidR="009024A9">
        <w:rPr>
          <w:color w:val="000000" w:themeColor="text1"/>
        </w:rPr>
        <w:t>.</w:t>
      </w:r>
      <w:r w:rsidR="00157FC3" w:rsidRPr="008C4D92">
        <w:rPr>
          <w:color w:val="000000" w:themeColor="text1"/>
        </w:rPr>
        <w:t>”</w:t>
      </w:r>
      <w:r w:rsidR="0005243F" w:rsidRPr="008C4D92">
        <w:rPr>
          <w:i/>
          <w:color w:val="000000" w:themeColor="text1"/>
        </w:rPr>
        <w:t xml:space="preserve">. </w:t>
      </w:r>
      <w:r w:rsidR="009024A9">
        <w:rPr>
          <w:iCs/>
          <w:color w:val="000000" w:themeColor="text1"/>
        </w:rPr>
        <w:t xml:space="preserve">(Emphasis added). </w:t>
      </w:r>
      <w:r w:rsidR="00157FC3" w:rsidRPr="008C4D92">
        <w:rPr>
          <w:color w:val="000000" w:themeColor="text1"/>
        </w:rPr>
        <w:t>Thus</w:t>
      </w:r>
      <w:r w:rsidR="00C038CA" w:rsidRPr="008C4D92">
        <w:rPr>
          <w:color w:val="000000" w:themeColor="text1"/>
        </w:rPr>
        <w:t>,</w:t>
      </w:r>
      <w:r w:rsidR="00157FC3" w:rsidRPr="008C4D92">
        <w:rPr>
          <w:color w:val="000000" w:themeColor="text1"/>
        </w:rPr>
        <w:t xml:space="preserve"> </w:t>
      </w:r>
      <w:r w:rsidR="00157FC3" w:rsidRPr="008C4D92">
        <w:rPr>
          <w:color w:val="000000" w:themeColor="text1"/>
        </w:rPr>
        <w:lastRenderedPageBreak/>
        <w:t>the date of the mortgage is misdescribed</w:t>
      </w:r>
      <w:r w:rsidR="000E7CF1" w:rsidRPr="008C4D92">
        <w:rPr>
          <w:color w:val="000000" w:themeColor="text1"/>
        </w:rPr>
        <w:t xml:space="preserve"> in the schedule.</w:t>
      </w:r>
      <w:r w:rsidR="0005243F" w:rsidRPr="008C4D92">
        <w:rPr>
          <w:i/>
          <w:color w:val="000000" w:themeColor="text1"/>
        </w:rPr>
        <w:t xml:space="preserve"> </w:t>
      </w:r>
      <w:r w:rsidR="0034297B" w:rsidRPr="008C4D92">
        <w:rPr>
          <w:color w:val="000000" w:themeColor="text1"/>
        </w:rPr>
        <w:t>However, the address of the Avoca</w:t>
      </w:r>
      <w:r w:rsidR="0005243F" w:rsidRPr="008C4D92">
        <w:rPr>
          <w:color w:val="000000" w:themeColor="text1"/>
        </w:rPr>
        <w:t xml:space="preserve"> property</w:t>
      </w:r>
      <w:r w:rsidR="00157FC3" w:rsidRPr="008C4D92">
        <w:rPr>
          <w:color w:val="000000" w:themeColor="text1"/>
        </w:rPr>
        <w:t xml:space="preserve"> is correctly described and the correct folio reference is given</w:t>
      </w:r>
      <w:r w:rsidR="00DD7896" w:rsidRPr="008C4D92">
        <w:rPr>
          <w:color w:val="000000" w:themeColor="text1"/>
        </w:rPr>
        <w:t xml:space="preserve"> i</w:t>
      </w:r>
      <w:r w:rsidR="00903DEB" w:rsidRPr="008C4D92">
        <w:rPr>
          <w:color w:val="000000" w:themeColor="text1"/>
        </w:rPr>
        <w:t>n this schedule.</w:t>
      </w:r>
    </w:p>
    <w:p w14:paraId="01DDD009" w14:textId="77777777" w:rsidR="0005243F" w:rsidRPr="008C4D92" w:rsidRDefault="0005243F" w:rsidP="008E25FE">
      <w:pPr>
        <w:spacing w:line="480" w:lineRule="auto"/>
        <w:jc w:val="both"/>
        <w:rPr>
          <w:color w:val="000000" w:themeColor="text1"/>
        </w:rPr>
      </w:pPr>
    </w:p>
    <w:p w14:paraId="3582A4B0" w14:textId="4EACF10E" w:rsidR="00683772" w:rsidRPr="008C4D92" w:rsidRDefault="0005243F" w:rsidP="008E25FE">
      <w:pPr>
        <w:numPr>
          <w:ilvl w:val="0"/>
          <w:numId w:val="19"/>
        </w:numPr>
        <w:spacing w:line="480" w:lineRule="auto"/>
        <w:jc w:val="both"/>
        <w:rPr>
          <w:color w:val="000000" w:themeColor="text1"/>
        </w:rPr>
      </w:pPr>
      <w:r w:rsidRPr="008C4D92">
        <w:rPr>
          <w:color w:val="000000" w:themeColor="text1"/>
        </w:rPr>
        <w:t xml:space="preserve"> The acceptance to the instrument of appointment is signed by th</w:t>
      </w:r>
      <w:r w:rsidR="006B7535" w:rsidRPr="008C4D92">
        <w:rPr>
          <w:color w:val="000000" w:themeColor="text1"/>
        </w:rPr>
        <w:t>e second and third plaintiffs</w:t>
      </w:r>
      <w:r w:rsidRPr="008C4D92">
        <w:rPr>
          <w:color w:val="000000" w:themeColor="text1"/>
        </w:rPr>
        <w:t xml:space="preserve"> on the 2 November 2017.</w:t>
      </w:r>
    </w:p>
    <w:p w14:paraId="6FF4CF5A" w14:textId="77777777" w:rsidR="0005243F" w:rsidRPr="008C4D92" w:rsidRDefault="0005243F" w:rsidP="008E25FE">
      <w:pPr>
        <w:spacing w:line="480" w:lineRule="auto"/>
        <w:jc w:val="both"/>
        <w:rPr>
          <w:color w:val="000000" w:themeColor="text1"/>
        </w:rPr>
      </w:pPr>
    </w:p>
    <w:p w14:paraId="1DC39141" w14:textId="6B6E4B30" w:rsidR="0005243F" w:rsidRPr="008C4D92" w:rsidRDefault="0005243F" w:rsidP="008E25FE">
      <w:pPr>
        <w:numPr>
          <w:ilvl w:val="0"/>
          <w:numId w:val="19"/>
        </w:numPr>
        <w:spacing w:line="480" w:lineRule="auto"/>
        <w:jc w:val="both"/>
        <w:rPr>
          <w:color w:val="000000" w:themeColor="text1"/>
        </w:rPr>
      </w:pPr>
      <w:r w:rsidRPr="008C4D92">
        <w:rPr>
          <w:color w:val="000000" w:themeColor="text1"/>
        </w:rPr>
        <w:t xml:space="preserve"> </w:t>
      </w:r>
      <w:r w:rsidR="00FA01B6" w:rsidRPr="008C4D92">
        <w:rPr>
          <w:color w:val="000000" w:themeColor="text1"/>
        </w:rPr>
        <w:t>The</w:t>
      </w:r>
      <w:r w:rsidRPr="008C4D92">
        <w:rPr>
          <w:color w:val="000000" w:themeColor="text1"/>
        </w:rPr>
        <w:t xml:space="preserve"> Receiver Novation Deed dated </w:t>
      </w:r>
      <w:r w:rsidR="00637133" w:rsidRPr="008C4D92">
        <w:rPr>
          <w:color w:val="000000" w:themeColor="text1"/>
        </w:rPr>
        <w:t xml:space="preserve">the </w:t>
      </w:r>
      <w:r w:rsidRPr="008C4D92">
        <w:rPr>
          <w:color w:val="000000" w:themeColor="text1"/>
        </w:rPr>
        <w:t xml:space="preserve">2 August 2018 has a schedule containing a reference to </w:t>
      </w:r>
      <w:r w:rsidR="009E7890" w:rsidRPr="008C4D92">
        <w:rPr>
          <w:color w:val="000000" w:themeColor="text1"/>
        </w:rPr>
        <w:t>the property address</w:t>
      </w:r>
      <w:r w:rsidRPr="008C4D92">
        <w:rPr>
          <w:color w:val="000000" w:themeColor="text1"/>
        </w:rPr>
        <w:t>.  It describes the date of the Deed of Appointment as</w:t>
      </w:r>
      <w:r w:rsidR="009E7890" w:rsidRPr="008C4D92">
        <w:rPr>
          <w:color w:val="000000" w:themeColor="text1"/>
        </w:rPr>
        <w:t xml:space="preserve"> being dated the</w:t>
      </w:r>
      <w:r w:rsidRPr="008C4D92">
        <w:rPr>
          <w:color w:val="000000" w:themeColor="text1"/>
        </w:rPr>
        <w:t xml:space="preserve"> 2 November 2017.</w:t>
      </w:r>
    </w:p>
    <w:p w14:paraId="069C3B7A" w14:textId="77777777" w:rsidR="00FC48AE" w:rsidRPr="008C4D92" w:rsidRDefault="00FC48AE" w:rsidP="00FC48AE">
      <w:pPr>
        <w:pStyle w:val="ListParagraph"/>
        <w:rPr>
          <w:color w:val="000000" w:themeColor="text1"/>
        </w:rPr>
      </w:pPr>
    </w:p>
    <w:p w14:paraId="6C40A238" w14:textId="5BE476EC" w:rsidR="00FC48AE" w:rsidRPr="009939CE" w:rsidRDefault="00FC48AE" w:rsidP="00FC48AE">
      <w:pPr>
        <w:pStyle w:val="Heading1"/>
        <w:rPr>
          <w:color w:val="000000" w:themeColor="text1"/>
          <w:sz w:val="28"/>
          <w:szCs w:val="28"/>
        </w:rPr>
      </w:pPr>
      <w:r w:rsidRPr="009939CE">
        <w:rPr>
          <w:color w:val="000000" w:themeColor="text1"/>
          <w:sz w:val="28"/>
          <w:szCs w:val="28"/>
        </w:rPr>
        <w:t>The Registration of Title Act 1964</w:t>
      </w:r>
    </w:p>
    <w:p w14:paraId="454A895B" w14:textId="77777777" w:rsidR="00FC48AE" w:rsidRPr="008C4D92" w:rsidRDefault="00FC48AE" w:rsidP="00FC48AE">
      <w:pPr>
        <w:pStyle w:val="ListParagraph"/>
        <w:rPr>
          <w:color w:val="000000" w:themeColor="text1"/>
        </w:rPr>
      </w:pPr>
    </w:p>
    <w:p w14:paraId="5784517B" w14:textId="00CBDB2F" w:rsidR="00FC48AE" w:rsidRPr="008C4D92" w:rsidRDefault="002605A7" w:rsidP="00FC48AE">
      <w:pPr>
        <w:numPr>
          <w:ilvl w:val="0"/>
          <w:numId w:val="19"/>
        </w:numPr>
        <w:spacing w:line="480" w:lineRule="auto"/>
        <w:jc w:val="both"/>
        <w:rPr>
          <w:color w:val="000000" w:themeColor="text1"/>
        </w:rPr>
      </w:pPr>
      <w:r w:rsidRPr="008C4D92">
        <w:rPr>
          <w:color w:val="000000" w:themeColor="text1"/>
        </w:rPr>
        <w:t>S.</w:t>
      </w:r>
      <w:r w:rsidR="00FC48AE" w:rsidRPr="008C4D92">
        <w:rPr>
          <w:color w:val="000000" w:themeColor="text1"/>
        </w:rPr>
        <w:t>31(1) of the 1964 Act</w:t>
      </w:r>
      <w:r w:rsidRPr="008C4D92">
        <w:rPr>
          <w:color w:val="000000" w:themeColor="text1"/>
        </w:rPr>
        <w:t xml:space="preserve"> provides</w:t>
      </w:r>
      <w:r w:rsidR="00FC48AE" w:rsidRPr="008C4D92">
        <w:rPr>
          <w:color w:val="000000" w:themeColor="text1"/>
        </w:rPr>
        <w:t>:</w:t>
      </w:r>
    </w:p>
    <w:p w14:paraId="47814540" w14:textId="73DBC0D2" w:rsidR="00FC48AE" w:rsidRPr="008C4D92" w:rsidRDefault="00FC48AE" w:rsidP="008C4D92">
      <w:pPr>
        <w:spacing w:line="480" w:lineRule="auto"/>
        <w:ind w:left="567"/>
        <w:jc w:val="both"/>
        <w:rPr>
          <w:color w:val="000000" w:themeColor="text1"/>
        </w:rPr>
      </w:pPr>
      <w:r w:rsidRPr="008C4D92">
        <w:rPr>
          <w:color w:val="000000" w:themeColor="text1"/>
        </w:rPr>
        <w:t>‘The register shall be conclusive evidence of the title of the owner to the land as appearing on the register and of any right, privilege, appurtenance or burden as appearing thereon; and such title shall not, in the absence of actual fraud, be in any way affected in consequence of such owner having notice of any deed, document, or matter relating to the land; but nothing in this Act shall interfere with the jurisdiction of any court of competent jurisdiction based on the ground of actual fraud or mistake, and the court may upon such ground make an order directing the register to be rectified in such manner and on such terms as it thinks just.’”</w:t>
      </w:r>
    </w:p>
    <w:p w14:paraId="72A83145" w14:textId="77777777" w:rsidR="0005243F" w:rsidRPr="008C4D92" w:rsidRDefault="0005243F" w:rsidP="008E25FE">
      <w:pPr>
        <w:spacing w:line="480" w:lineRule="auto"/>
        <w:jc w:val="both"/>
        <w:rPr>
          <w:color w:val="000000" w:themeColor="text1"/>
        </w:rPr>
      </w:pPr>
    </w:p>
    <w:p w14:paraId="2DCDA8A1" w14:textId="6BB0511B" w:rsidR="00AC3254" w:rsidRPr="009939CE" w:rsidRDefault="0005243F" w:rsidP="0091078D">
      <w:pPr>
        <w:pStyle w:val="Heading1"/>
        <w:rPr>
          <w:color w:val="000000" w:themeColor="text1"/>
          <w:sz w:val="28"/>
          <w:szCs w:val="28"/>
        </w:rPr>
      </w:pPr>
      <w:r w:rsidRPr="008C4D92">
        <w:rPr>
          <w:color w:val="000000" w:themeColor="text1"/>
        </w:rPr>
        <w:t xml:space="preserve"> </w:t>
      </w:r>
      <w:r w:rsidR="00034559" w:rsidRPr="009939CE">
        <w:rPr>
          <w:color w:val="000000" w:themeColor="text1"/>
          <w:sz w:val="28"/>
          <w:szCs w:val="28"/>
        </w:rPr>
        <w:t>Outline of submissions</w:t>
      </w:r>
      <w:r w:rsidR="00537667" w:rsidRPr="009939CE">
        <w:rPr>
          <w:color w:val="000000" w:themeColor="text1"/>
          <w:sz w:val="28"/>
          <w:szCs w:val="28"/>
        </w:rPr>
        <w:t xml:space="preserve"> by the parties</w:t>
      </w:r>
    </w:p>
    <w:p w14:paraId="45CAFAC2" w14:textId="77777777" w:rsidR="00802294" w:rsidRPr="008C4D92" w:rsidRDefault="00802294" w:rsidP="008E25FE">
      <w:pPr>
        <w:jc w:val="both"/>
        <w:rPr>
          <w:color w:val="000000" w:themeColor="text1"/>
        </w:rPr>
      </w:pPr>
    </w:p>
    <w:p w14:paraId="1702CF41" w14:textId="0147657B" w:rsidR="00AC3254" w:rsidRPr="008C4D92" w:rsidRDefault="00AC3254" w:rsidP="008E25FE">
      <w:pPr>
        <w:numPr>
          <w:ilvl w:val="0"/>
          <w:numId w:val="19"/>
        </w:numPr>
        <w:spacing w:line="480" w:lineRule="auto"/>
        <w:jc w:val="both"/>
        <w:rPr>
          <w:color w:val="000000" w:themeColor="text1"/>
        </w:rPr>
      </w:pPr>
      <w:r w:rsidRPr="008C4D92">
        <w:rPr>
          <w:color w:val="000000" w:themeColor="text1"/>
        </w:rPr>
        <w:t xml:space="preserve"> </w:t>
      </w:r>
      <w:r w:rsidR="009F529C" w:rsidRPr="008C4D92">
        <w:rPr>
          <w:color w:val="000000" w:themeColor="text1"/>
        </w:rPr>
        <w:t>The defendants</w:t>
      </w:r>
      <w:r w:rsidR="00802294" w:rsidRPr="008C4D92">
        <w:rPr>
          <w:color w:val="000000" w:themeColor="text1"/>
        </w:rPr>
        <w:t xml:space="preserve"> made a number of submissions in the High Court, which </w:t>
      </w:r>
      <w:r w:rsidR="00C12EA1" w:rsidRPr="008C4D92">
        <w:rPr>
          <w:color w:val="000000" w:themeColor="text1"/>
        </w:rPr>
        <w:t>were</w:t>
      </w:r>
      <w:r w:rsidR="00802294" w:rsidRPr="008C4D92">
        <w:rPr>
          <w:color w:val="000000" w:themeColor="text1"/>
        </w:rPr>
        <w:t xml:space="preserve"> repeated </w:t>
      </w:r>
      <w:r w:rsidR="00C12EA1" w:rsidRPr="008C4D92">
        <w:rPr>
          <w:color w:val="000000" w:themeColor="text1"/>
        </w:rPr>
        <w:t>on appeal</w:t>
      </w:r>
      <w:r w:rsidR="009F529C" w:rsidRPr="008C4D92">
        <w:rPr>
          <w:color w:val="000000" w:themeColor="text1"/>
        </w:rPr>
        <w:t xml:space="preserve"> on behalf of the second defendant/appellant</w:t>
      </w:r>
      <w:r w:rsidR="00802294" w:rsidRPr="008C4D92">
        <w:rPr>
          <w:color w:val="000000" w:themeColor="text1"/>
        </w:rPr>
        <w:t>.</w:t>
      </w:r>
      <w:r w:rsidR="000C294F" w:rsidRPr="008C4D92">
        <w:rPr>
          <w:color w:val="000000" w:themeColor="text1"/>
        </w:rPr>
        <w:t xml:space="preserve"> </w:t>
      </w:r>
      <w:r w:rsidR="00802294" w:rsidRPr="008C4D92">
        <w:rPr>
          <w:color w:val="000000" w:themeColor="text1"/>
        </w:rPr>
        <w:t>These includ</w:t>
      </w:r>
      <w:r w:rsidR="00C12EA1" w:rsidRPr="008C4D92">
        <w:rPr>
          <w:color w:val="000000" w:themeColor="text1"/>
        </w:rPr>
        <w:t>ed</w:t>
      </w:r>
      <w:r w:rsidR="00802294" w:rsidRPr="008C4D92">
        <w:rPr>
          <w:color w:val="000000" w:themeColor="text1"/>
        </w:rPr>
        <w:t xml:space="preserve"> the following:</w:t>
      </w:r>
    </w:p>
    <w:p w14:paraId="61D59DDE" w14:textId="76508E11" w:rsidR="00802294" w:rsidRPr="008C4D92" w:rsidRDefault="00802294" w:rsidP="008E25FE">
      <w:pPr>
        <w:pStyle w:val="ListParagraph"/>
        <w:numPr>
          <w:ilvl w:val="0"/>
          <w:numId w:val="30"/>
        </w:numPr>
        <w:spacing w:line="480" w:lineRule="auto"/>
        <w:ind w:left="1134" w:hanging="567"/>
        <w:jc w:val="both"/>
        <w:rPr>
          <w:color w:val="000000" w:themeColor="text1"/>
        </w:rPr>
      </w:pPr>
      <w:r w:rsidRPr="008C4D92">
        <w:rPr>
          <w:color w:val="000000" w:themeColor="text1"/>
        </w:rPr>
        <w:lastRenderedPageBreak/>
        <w:t xml:space="preserve">That the applicable standard on this interlocutory injunction </w:t>
      </w:r>
      <w:r w:rsidR="00034559" w:rsidRPr="008C4D92">
        <w:rPr>
          <w:color w:val="000000" w:themeColor="text1"/>
        </w:rPr>
        <w:t>was</w:t>
      </w:r>
      <w:r w:rsidRPr="008C4D92">
        <w:rPr>
          <w:color w:val="000000" w:themeColor="text1"/>
        </w:rPr>
        <w:t xml:space="preserve"> for the </w:t>
      </w:r>
      <w:r w:rsidR="00234DAB" w:rsidRPr="008C4D92">
        <w:rPr>
          <w:color w:val="000000" w:themeColor="text1"/>
        </w:rPr>
        <w:t>plaintiffs</w:t>
      </w:r>
      <w:r w:rsidRPr="008C4D92">
        <w:rPr>
          <w:color w:val="000000" w:themeColor="text1"/>
        </w:rPr>
        <w:t xml:space="preserve"> to show at least a strong case that they are likely to succeed at the hearing of the action; in other words, the </w:t>
      </w:r>
      <w:r w:rsidRPr="008C4D92">
        <w:rPr>
          <w:i/>
          <w:color w:val="000000" w:themeColor="text1"/>
        </w:rPr>
        <w:t>Maha Lingam</w:t>
      </w:r>
      <w:r w:rsidRPr="008C4D92">
        <w:rPr>
          <w:color w:val="000000" w:themeColor="text1"/>
        </w:rPr>
        <w:t xml:space="preserve"> standard (</w:t>
      </w:r>
      <w:r w:rsidRPr="008C4D92">
        <w:rPr>
          <w:i/>
          <w:color w:val="000000" w:themeColor="text1"/>
        </w:rPr>
        <w:t>Maha Lingam v. Health Service Executive</w:t>
      </w:r>
      <w:r w:rsidRPr="008C4D92">
        <w:rPr>
          <w:color w:val="000000" w:themeColor="text1"/>
        </w:rPr>
        <w:t xml:space="preserve"> [2005] IESC 89, as discussed further in </w:t>
      </w:r>
      <w:proofErr w:type="spellStart"/>
      <w:r w:rsidRPr="008C4D92">
        <w:rPr>
          <w:i/>
          <w:color w:val="000000" w:themeColor="text1"/>
        </w:rPr>
        <w:t>Charleton</w:t>
      </w:r>
      <w:proofErr w:type="spellEnd"/>
      <w:r w:rsidR="00034375">
        <w:rPr>
          <w:i/>
          <w:color w:val="000000" w:themeColor="text1"/>
        </w:rPr>
        <w:t xml:space="preserve"> &amp; Anor.</w:t>
      </w:r>
      <w:r w:rsidRPr="008C4D92">
        <w:rPr>
          <w:i/>
          <w:color w:val="000000" w:themeColor="text1"/>
        </w:rPr>
        <w:t xml:space="preserve"> v. Scriven </w:t>
      </w:r>
      <w:r w:rsidRPr="008C4D92">
        <w:rPr>
          <w:color w:val="000000" w:themeColor="text1"/>
        </w:rPr>
        <w:t>[2019 IESC 28.)  It was submitted that the decision of the Supreme Court in the latter case was authority for the proposition that w</w:t>
      </w:r>
      <w:r w:rsidR="0093584C" w:rsidRPr="008C4D92">
        <w:rPr>
          <w:color w:val="000000" w:themeColor="text1"/>
        </w:rPr>
        <w:t>here</w:t>
      </w:r>
      <w:r w:rsidRPr="008C4D92">
        <w:rPr>
          <w:color w:val="000000" w:themeColor="text1"/>
        </w:rPr>
        <w:t xml:space="preserve"> the reliefs sought by the receiver </w:t>
      </w:r>
      <w:r w:rsidR="0093584C" w:rsidRPr="008C4D92">
        <w:rPr>
          <w:color w:val="000000" w:themeColor="text1"/>
        </w:rPr>
        <w:t>are</w:t>
      </w:r>
      <w:r w:rsidRPr="008C4D92">
        <w:rPr>
          <w:color w:val="000000" w:themeColor="text1"/>
        </w:rPr>
        <w:t xml:space="preserve"> mandatory in nature and would in effect bring the proceedings to an end, the receivers would have to establish </w:t>
      </w:r>
      <w:r w:rsidR="000C294F" w:rsidRPr="008C4D92">
        <w:rPr>
          <w:color w:val="000000" w:themeColor="text1"/>
        </w:rPr>
        <w:t xml:space="preserve">that </w:t>
      </w:r>
      <w:r w:rsidRPr="008C4D92">
        <w:rPr>
          <w:color w:val="000000" w:themeColor="text1"/>
        </w:rPr>
        <w:t>they had a strong arguable case and not the lower standard that normally applied to an interlocutory injunction.</w:t>
      </w:r>
    </w:p>
    <w:p w14:paraId="5B1642C3" w14:textId="7271F50F" w:rsidR="00802294" w:rsidRPr="008C4D92" w:rsidRDefault="00802294" w:rsidP="008E25FE">
      <w:pPr>
        <w:pStyle w:val="ListParagraph"/>
        <w:numPr>
          <w:ilvl w:val="0"/>
          <w:numId w:val="30"/>
        </w:numPr>
        <w:spacing w:line="480" w:lineRule="auto"/>
        <w:ind w:left="1134" w:hanging="567"/>
        <w:jc w:val="both"/>
        <w:rPr>
          <w:color w:val="000000" w:themeColor="text1"/>
        </w:rPr>
      </w:pPr>
      <w:r w:rsidRPr="008C4D92">
        <w:rPr>
          <w:color w:val="000000" w:themeColor="text1"/>
        </w:rPr>
        <w:t xml:space="preserve">That the receivers were not validly appointed by reason of a number of errors in </w:t>
      </w:r>
      <w:r w:rsidR="00143DE8" w:rsidRPr="008C4D92">
        <w:rPr>
          <w:color w:val="000000" w:themeColor="text1"/>
        </w:rPr>
        <w:t xml:space="preserve">the </w:t>
      </w:r>
      <w:r w:rsidR="00FC0C48" w:rsidRPr="008C4D92">
        <w:rPr>
          <w:color w:val="000000" w:themeColor="text1"/>
        </w:rPr>
        <w:t xml:space="preserve">Global </w:t>
      </w:r>
      <w:r w:rsidR="00143DE8" w:rsidRPr="008C4D92">
        <w:rPr>
          <w:color w:val="000000" w:themeColor="text1"/>
        </w:rPr>
        <w:t xml:space="preserve">Deed of Transfer </w:t>
      </w:r>
      <w:r w:rsidR="008422F0" w:rsidRPr="008C4D92">
        <w:rPr>
          <w:color w:val="000000" w:themeColor="text1"/>
        </w:rPr>
        <w:t xml:space="preserve">and </w:t>
      </w:r>
      <w:r w:rsidR="00143DE8" w:rsidRPr="008C4D92">
        <w:rPr>
          <w:color w:val="000000" w:themeColor="text1"/>
        </w:rPr>
        <w:t xml:space="preserve">the </w:t>
      </w:r>
      <w:r w:rsidR="003F31E7" w:rsidRPr="008C4D92">
        <w:rPr>
          <w:color w:val="000000" w:themeColor="text1"/>
        </w:rPr>
        <w:t xml:space="preserve">Instrument of Appointment. </w:t>
      </w:r>
    </w:p>
    <w:p w14:paraId="000C0903" w14:textId="77777777" w:rsidR="00143DE8" w:rsidRPr="008C4D92" w:rsidRDefault="00143DE8" w:rsidP="008E25FE">
      <w:pPr>
        <w:pStyle w:val="ListParagraph"/>
        <w:numPr>
          <w:ilvl w:val="0"/>
          <w:numId w:val="30"/>
        </w:numPr>
        <w:spacing w:line="480" w:lineRule="auto"/>
        <w:ind w:left="1134" w:hanging="567"/>
        <w:jc w:val="both"/>
        <w:rPr>
          <w:color w:val="000000" w:themeColor="text1"/>
        </w:rPr>
      </w:pPr>
      <w:r w:rsidRPr="008C4D92">
        <w:rPr>
          <w:color w:val="000000" w:themeColor="text1"/>
        </w:rPr>
        <w:t xml:space="preserve">That in order for the mortgage to be binding upon the second defendant, she would have had to have consented to the terms of the loan in writing and there was no evidence that she had agreed to provide continued security in respect of the 2008 loan to the first named defendant by way of mortgage.  The loan was clearly to the first defendant only. </w:t>
      </w:r>
    </w:p>
    <w:p w14:paraId="68C26738" w14:textId="77777777" w:rsidR="00802294" w:rsidRPr="008C4D92" w:rsidRDefault="00802294" w:rsidP="008E25FE">
      <w:pPr>
        <w:spacing w:line="480" w:lineRule="auto"/>
        <w:ind w:left="567"/>
        <w:jc w:val="both"/>
        <w:rPr>
          <w:color w:val="000000" w:themeColor="text1"/>
        </w:rPr>
      </w:pPr>
    </w:p>
    <w:p w14:paraId="338666AA" w14:textId="38BFE050" w:rsidR="000A6AA3" w:rsidRPr="008C4D92" w:rsidRDefault="000A6AA3" w:rsidP="008E25FE">
      <w:pPr>
        <w:numPr>
          <w:ilvl w:val="0"/>
          <w:numId w:val="19"/>
        </w:numPr>
        <w:spacing w:line="480" w:lineRule="auto"/>
        <w:jc w:val="both"/>
        <w:rPr>
          <w:color w:val="000000" w:themeColor="text1"/>
        </w:rPr>
      </w:pPr>
      <w:r w:rsidRPr="008C4D92">
        <w:rPr>
          <w:color w:val="000000" w:themeColor="text1"/>
        </w:rPr>
        <w:t xml:space="preserve">The submissions on behalf of the respondents included the following: </w:t>
      </w:r>
    </w:p>
    <w:p w14:paraId="37B16F61" w14:textId="2B0CC8AC" w:rsidR="003576C2" w:rsidRPr="008C4D92" w:rsidRDefault="003576C2" w:rsidP="000910ED">
      <w:pPr>
        <w:numPr>
          <w:ilvl w:val="2"/>
          <w:numId w:val="19"/>
        </w:numPr>
        <w:spacing w:line="480" w:lineRule="auto"/>
        <w:jc w:val="both"/>
        <w:rPr>
          <w:color w:val="000000" w:themeColor="text1"/>
        </w:rPr>
      </w:pPr>
      <w:r w:rsidRPr="008C4D92">
        <w:rPr>
          <w:color w:val="000000" w:themeColor="text1"/>
        </w:rPr>
        <w:t>Th</w:t>
      </w:r>
      <w:r w:rsidR="00D63058" w:rsidRPr="008C4D92">
        <w:rPr>
          <w:color w:val="000000" w:themeColor="text1"/>
        </w:rPr>
        <w:t>at</w:t>
      </w:r>
      <w:r w:rsidRPr="008C4D92">
        <w:rPr>
          <w:color w:val="000000" w:themeColor="text1"/>
        </w:rPr>
        <w:t xml:space="preserve"> such errors as there were in the documentation </w:t>
      </w:r>
      <w:r w:rsidR="005E7AAC" w:rsidRPr="008C4D92">
        <w:rPr>
          <w:color w:val="000000" w:themeColor="text1"/>
        </w:rPr>
        <w:t>did not render invalid the appointment of the second and third plaintiffs as receivers</w:t>
      </w:r>
      <w:r w:rsidR="000C294F" w:rsidRPr="008C4D92">
        <w:rPr>
          <w:color w:val="000000" w:themeColor="text1"/>
        </w:rPr>
        <w:t>;</w:t>
      </w:r>
      <w:r w:rsidR="005E7AAC" w:rsidRPr="008C4D92">
        <w:rPr>
          <w:color w:val="000000" w:themeColor="text1"/>
        </w:rPr>
        <w:t xml:space="preserve"> </w:t>
      </w:r>
    </w:p>
    <w:p w14:paraId="711AAF7D" w14:textId="247B2FAD" w:rsidR="000910ED" w:rsidRPr="008C4D92" w:rsidRDefault="000A6AA3" w:rsidP="000910ED">
      <w:pPr>
        <w:numPr>
          <w:ilvl w:val="2"/>
          <w:numId w:val="19"/>
        </w:numPr>
        <w:spacing w:line="480" w:lineRule="auto"/>
        <w:jc w:val="both"/>
        <w:rPr>
          <w:color w:val="000000" w:themeColor="text1"/>
        </w:rPr>
      </w:pPr>
      <w:r w:rsidRPr="008C4D92">
        <w:rPr>
          <w:color w:val="000000" w:themeColor="text1"/>
        </w:rPr>
        <w:t>Th</w:t>
      </w:r>
      <w:r w:rsidR="00D63058" w:rsidRPr="008C4D92">
        <w:rPr>
          <w:color w:val="000000" w:themeColor="text1"/>
        </w:rPr>
        <w:t>at even though</w:t>
      </w:r>
      <w:r w:rsidR="00143DE8" w:rsidRPr="008C4D92">
        <w:rPr>
          <w:color w:val="000000" w:themeColor="text1"/>
        </w:rPr>
        <w:t xml:space="preserve"> the 2008 loan was advanced to the first named defendant onl</w:t>
      </w:r>
      <w:r w:rsidR="00D63058" w:rsidRPr="008C4D92">
        <w:rPr>
          <w:color w:val="000000" w:themeColor="text1"/>
        </w:rPr>
        <w:t xml:space="preserve">y, </w:t>
      </w:r>
      <w:r w:rsidR="00143DE8" w:rsidRPr="008C4D92">
        <w:rPr>
          <w:color w:val="000000" w:themeColor="text1"/>
        </w:rPr>
        <w:t>the 1998 mortgage continued to act as security for the 2008 loan</w:t>
      </w:r>
      <w:r w:rsidR="00D63058" w:rsidRPr="008C4D92">
        <w:rPr>
          <w:color w:val="000000" w:themeColor="text1"/>
        </w:rPr>
        <w:t xml:space="preserve"> and bound both of the defendants</w:t>
      </w:r>
      <w:r w:rsidR="00143DE8" w:rsidRPr="008C4D92">
        <w:rPr>
          <w:color w:val="000000" w:themeColor="text1"/>
        </w:rPr>
        <w:t>.  In this regard they relied upon the specific wording of certain parts of the 1998 mortgage, to which I will return</w:t>
      </w:r>
      <w:r w:rsidR="000C294F" w:rsidRPr="008C4D92">
        <w:rPr>
          <w:color w:val="000000" w:themeColor="text1"/>
        </w:rPr>
        <w:t>;</w:t>
      </w:r>
      <w:r w:rsidR="00143DE8" w:rsidRPr="008C4D92">
        <w:rPr>
          <w:color w:val="000000" w:themeColor="text1"/>
        </w:rPr>
        <w:t xml:space="preserve">  </w:t>
      </w:r>
    </w:p>
    <w:p w14:paraId="158D5552" w14:textId="37AE8010" w:rsidR="003576C2" w:rsidRPr="008C4D92" w:rsidRDefault="000910ED" w:rsidP="003576C2">
      <w:pPr>
        <w:numPr>
          <w:ilvl w:val="2"/>
          <w:numId w:val="19"/>
        </w:numPr>
        <w:spacing w:line="480" w:lineRule="auto"/>
        <w:jc w:val="both"/>
        <w:rPr>
          <w:color w:val="000000" w:themeColor="text1"/>
        </w:rPr>
      </w:pPr>
      <w:r w:rsidRPr="008C4D92">
        <w:rPr>
          <w:color w:val="000000" w:themeColor="text1"/>
        </w:rPr>
        <w:lastRenderedPageBreak/>
        <w:t>Th</w:t>
      </w:r>
      <w:r w:rsidR="00F34301" w:rsidRPr="008C4D92">
        <w:rPr>
          <w:color w:val="000000" w:themeColor="text1"/>
        </w:rPr>
        <w:t>at</w:t>
      </w:r>
      <w:r w:rsidR="00143DE8" w:rsidRPr="008C4D92">
        <w:rPr>
          <w:color w:val="000000" w:themeColor="text1"/>
        </w:rPr>
        <w:t xml:space="preserve"> the evidence of the registration of charge on the folio</w:t>
      </w:r>
      <w:r w:rsidRPr="008C4D92">
        <w:rPr>
          <w:color w:val="000000" w:themeColor="text1"/>
        </w:rPr>
        <w:t xml:space="preserve"> was,</w:t>
      </w:r>
      <w:r w:rsidR="00143DE8" w:rsidRPr="008C4D92">
        <w:rPr>
          <w:color w:val="000000" w:themeColor="text1"/>
        </w:rPr>
        <w:t xml:space="preserve"> pursuant to the provisions of the Registration of Title Act 1964, conclusive evidence of the title of the party registered</w:t>
      </w:r>
      <w:r w:rsidR="00975937" w:rsidRPr="008C4D92">
        <w:rPr>
          <w:color w:val="000000" w:themeColor="text1"/>
        </w:rPr>
        <w:t>,</w:t>
      </w:r>
      <w:r w:rsidR="00143DE8" w:rsidRPr="008C4D92">
        <w:rPr>
          <w:color w:val="000000" w:themeColor="text1"/>
        </w:rPr>
        <w:t xml:space="preserve"> in the absence of fraud or mistake.  </w:t>
      </w:r>
      <w:r w:rsidR="00AC36DB" w:rsidRPr="008C4D92">
        <w:rPr>
          <w:color w:val="000000" w:themeColor="text1"/>
        </w:rPr>
        <w:t>Reliance was placed</w:t>
      </w:r>
      <w:r w:rsidR="00143DE8" w:rsidRPr="008C4D92">
        <w:rPr>
          <w:color w:val="000000" w:themeColor="text1"/>
        </w:rPr>
        <w:t xml:space="preserve"> on </w:t>
      </w:r>
      <w:r w:rsidR="00143DE8" w:rsidRPr="008C4D92">
        <w:rPr>
          <w:i/>
          <w:color w:val="000000" w:themeColor="text1"/>
        </w:rPr>
        <w:t>Tanager D</w:t>
      </w:r>
      <w:r w:rsidR="000C294F" w:rsidRPr="008C4D92">
        <w:rPr>
          <w:i/>
          <w:color w:val="000000" w:themeColor="text1"/>
        </w:rPr>
        <w:t>.</w:t>
      </w:r>
      <w:r w:rsidR="00143DE8" w:rsidRPr="008C4D92">
        <w:rPr>
          <w:i/>
          <w:color w:val="000000" w:themeColor="text1"/>
        </w:rPr>
        <w:t>A</w:t>
      </w:r>
      <w:r w:rsidR="000C294F" w:rsidRPr="008C4D92">
        <w:rPr>
          <w:i/>
          <w:color w:val="000000" w:themeColor="text1"/>
        </w:rPr>
        <w:t>.</w:t>
      </w:r>
      <w:r w:rsidR="00143DE8" w:rsidRPr="008C4D92">
        <w:rPr>
          <w:i/>
          <w:color w:val="000000" w:themeColor="text1"/>
        </w:rPr>
        <w:t>C</w:t>
      </w:r>
      <w:r w:rsidR="000C294F" w:rsidRPr="008C4D92">
        <w:rPr>
          <w:i/>
          <w:color w:val="000000" w:themeColor="text1"/>
        </w:rPr>
        <w:t>.</w:t>
      </w:r>
      <w:r w:rsidR="00143DE8" w:rsidRPr="008C4D92">
        <w:rPr>
          <w:i/>
          <w:color w:val="000000" w:themeColor="text1"/>
        </w:rPr>
        <w:t xml:space="preserve"> v. Kane </w:t>
      </w:r>
      <w:r w:rsidR="00143DE8" w:rsidRPr="008C4D92">
        <w:rPr>
          <w:color w:val="000000" w:themeColor="text1"/>
        </w:rPr>
        <w:t>[201</w:t>
      </w:r>
      <w:r w:rsidR="00034375">
        <w:rPr>
          <w:color w:val="000000" w:themeColor="text1"/>
        </w:rPr>
        <w:t>8</w:t>
      </w:r>
      <w:r w:rsidR="00143DE8" w:rsidRPr="008C4D92">
        <w:rPr>
          <w:color w:val="000000" w:themeColor="text1"/>
        </w:rPr>
        <w:t xml:space="preserve">] </w:t>
      </w:r>
      <w:r w:rsidR="00034375">
        <w:rPr>
          <w:color w:val="000000" w:themeColor="text1"/>
        </w:rPr>
        <w:t>IECA 352</w:t>
      </w:r>
      <w:r w:rsidR="00143DE8" w:rsidRPr="008C4D92">
        <w:rPr>
          <w:color w:val="000000" w:themeColor="text1"/>
        </w:rPr>
        <w:t xml:space="preserve">.   </w:t>
      </w:r>
      <w:r w:rsidR="00975937" w:rsidRPr="008C4D92">
        <w:rPr>
          <w:color w:val="000000" w:themeColor="text1"/>
        </w:rPr>
        <w:t>They pointed out that it</w:t>
      </w:r>
      <w:r w:rsidR="00143DE8" w:rsidRPr="008C4D92">
        <w:rPr>
          <w:color w:val="000000" w:themeColor="text1"/>
        </w:rPr>
        <w:t xml:space="preserve"> was clear from the execution of a letter of guarantee by the second defendant that she was </w:t>
      </w:r>
      <w:r w:rsidR="00E30A22" w:rsidRPr="008C4D92">
        <w:rPr>
          <w:color w:val="000000" w:themeColor="text1"/>
        </w:rPr>
        <w:t>aware</w:t>
      </w:r>
      <w:r w:rsidR="00143DE8" w:rsidRPr="008C4D92">
        <w:rPr>
          <w:color w:val="000000" w:themeColor="text1"/>
        </w:rPr>
        <w:t xml:space="preserve"> of the terms of the 2008 loan</w:t>
      </w:r>
      <w:r w:rsidR="00E92AD7" w:rsidRPr="008C4D92">
        <w:rPr>
          <w:color w:val="000000" w:themeColor="text1"/>
        </w:rPr>
        <w:t>;</w:t>
      </w:r>
    </w:p>
    <w:p w14:paraId="7EFBE2A5" w14:textId="5D2DC329" w:rsidR="00DB4F27" w:rsidRPr="008C4D92" w:rsidRDefault="0051342B" w:rsidP="00CC782F">
      <w:pPr>
        <w:numPr>
          <w:ilvl w:val="2"/>
          <w:numId w:val="19"/>
        </w:numPr>
        <w:spacing w:line="480" w:lineRule="auto"/>
        <w:jc w:val="both"/>
        <w:rPr>
          <w:color w:val="000000" w:themeColor="text1"/>
        </w:rPr>
      </w:pPr>
      <w:r w:rsidRPr="008C4D92">
        <w:rPr>
          <w:color w:val="000000" w:themeColor="text1"/>
        </w:rPr>
        <w:t>Counsel also emphasised that the defendants had not denied that a sum of more than €3m was due and owing or that repayments had not been made for some time.</w:t>
      </w:r>
      <w:r w:rsidR="000C294F" w:rsidRPr="008C4D92">
        <w:rPr>
          <w:color w:val="000000" w:themeColor="text1"/>
        </w:rPr>
        <w:t xml:space="preserve"> </w:t>
      </w:r>
      <w:r w:rsidRPr="008C4D92">
        <w:rPr>
          <w:color w:val="000000" w:themeColor="text1"/>
        </w:rPr>
        <w:t>Emphasis was also laid upon the fact that the</w:t>
      </w:r>
      <w:r w:rsidR="00765E3B" w:rsidRPr="008C4D92">
        <w:rPr>
          <w:color w:val="000000" w:themeColor="text1"/>
        </w:rPr>
        <w:t xml:space="preserve"> defendants</w:t>
      </w:r>
      <w:r w:rsidRPr="008C4D92">
        <w:rPr>
          <w:color w:val="000000" w:themeColor="text1"/>
        </w:rPr>
        <w:t xml:space="preserve"> had not cooperated at all with the receivers</w:t>
      </w:r>
      <w:r w:rsidR="00765E3B" w:rsidRPr="008C4D92">
        <w:rPr>
          <w:color w:val="000000" w:themeColor="text1"/>
        </w:rPr>
        <w:t xml:space="preserve">. </w:t>
      </w:r>
    </w:p>
    <w:p w14:paraId="2032CD7A" w14:textId="77777777" w:rsidR="00DB4F27" w:rsidRPr="008C4D92" w:rsidRDefault="0051342B" w:rsidP="008E25FE">
      <w:pPr>
        <w:pStyle w:val="Heading1"/>
        <w:jc w:val="both"/>
        <w:rPr>
          <w:rFonts w:cs="Times New Roman"/>
          <w:b w:val="0"/>
          <w:color w:val="000000" w:themeColor="text1"/>
          <w:sz w:val="28"/>
          <w:szCs w:val="28"/>
        </w:rPr>
      </w:pPr>
      <w:r w:rsidRPr="008C4D92">
        <w:rPr>
          <w:rFonts w:cs="Times New Roman"/>
          <w:color w:val="000000" w:themeColor="text1"/>
          <w:sz w:val="28"/>
          <w:szCs w:val="28"/>
        </w:rPr>
        <w:t>The High Court judgment</w:t>
      </w:r>
    </w:p>
    <w:p w14:paraId="58018CC6" w14:textId="77777777" w:rsidR="0051342B" w:rsidRPr="008C4D92" w:rsidRDefault="0051342B" w:rsidP="008E25FE">
      <w:pPr>
        <w:jc w:val="both"/>
        <w:rPr>
          <w:color w:val="000000" w:themeColor="text1"/>
        </w:rPr>
      </w:pPr>
    </w:p>
    <w:p w14:paraId="4E825E65" w14:textId="51DF71AA" w:rsidR="0051342B"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The High Court judge accepted that the reliefs sought by the plaintiffs in the</w:t>
      </w:r>
      <w:r w:rsidR="00841223" w:rsidRPr="008C4D92">
        <w:rPr>
          <w:color w:val="000000" w:themeColor="text1"/>
        </w:rPr>
        <w:t xml:space="preserve">ir notice of motion </w:t>
      </w:r>
      <w:r w:rsidRPr="008C4D92">
        <w:rPr>
          <w:color w:val="000000" w:themeColor="text1"/>
        </w:rPr>
        <w:t xml:space="preserve">were mandatory in nature and, having regard to </w:t>
      </w:r>
      <w:r w:rsidR="00213B77" w:rsidRPr="008C4D92">
        <w:rPr>
          <w:i/>
          <w:color w:val="000000" w:themeColor="text1"/>
        </w:rPr>
        <w:t>Charleton v</w:t>
      </w:r>
      <w:r w:rsidR="000C294F" w:rsidRPr="008C4D92">
        <w:rPr>
          <w:i/>
          <w:color w:val="000000" w:themeColor="text1"/>
        </w:rPr>
        <w:t>.</w:t>
      </w:r>
      <w:r w:rsidR="00213B77" w:rsidRPr="008C4D92">
        <w:rPr>
          <w:i/>
          <w:color w:val="000000" w:themeColor="text1"/>
        </w:rPr>
        <w:t xml:space="preserve"> </w:t>
      </w:r>
      <w:r w:rsidRPr="008C4D92">
        <w:rPr>
          <w:i/>
          <w:color w:val="000000" w:themeColor="text1"/>
        </w:rPr>
        <w:t xml:space="preserve">Scriven, </w:t>
      </w:r>
      <w:r w:rsidRPr="008C4D92">
        <w:rPr>
          <w:color w:val="000000" w:themeColor="text1"/>
        </w:rPr>
        <w:t>that the test to be applied was whether the respondents had a strong case which was likely to succeed at the hearing of the action.</w:t>
      </w:r>
    </w:p>
    <w:p w14:paraId="7A6C3A0E" w14:textId="77777777" w:rsidR="0051342B" w:rsidRPr="008C4D92" w:rsidRDefault="0051342B" w:rsidP="008E25FE">
      <w:pPr>
        <w:spacing w:line="480" w:lineRule="auto"/>
        <w:jc w:val="both"/>
        <w:rPr>
          <w:color w:val="000000" w:themeColor="text1"/>
        </w:rPr>
      </w:pPr>
    </w:p>
    <w:p w14:paraId="24FC2479" w14:textId="34810E39" w:rsidR="0051342B"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w:t>
      </w:r>
      <w:r w:rsidR="00D700B6" w:rsidRPr="008C4D92">
        <w:rPr>
          <w:color w:val="000000" w:themeColor="text1"/>
        </w:rPr>
        <w:t xml:space="preserve">He turned then to the errors within some of the documentation. </w:t>
      </w:r>
      <w:r w:rsidRPr="008C4D92">
        <w:rPr>
          <w:color w:val="000000" w:themeColor="text1"/>
        </w:rPr>
        <w:t xml:space="preserve">Regarding the </w:t>
      </w:r>
      <w:r w:rsidR="001317C5" w:rsidRPr="008C4D92">
        <w:rPr>
          <w:color w:val="000000" w:themeColor="text1"/>
        </w:rPr>
        <w:t>Instrument of Appointment</w:t>
      </w:r>
      <w:r w:rsidRPr="008C4D92">
        <w:rPr>
          <w:color w:val="000000" w:themeColor="text1"/>
        </w:rPr>
        <w:t xml:space="preserve"> of </w:t>
      </w:r>
      <w:r w:rsidR="000C294F" w:rsidRPr="008C4D92">
        <w:rPr>
          <w:color w:val="000000" w:themeColor="text1"/>
        </w:rPr>
        <w:t xml:space="preserve">the </w:t>
      </w:r>
      <w:r w:rsidRPr="008C4D92">
        <w:rPr>
          <w:color w:val="000000" w:themeColor="text1"/>
        </w:rPr>
        <w:t xml:space="preserve">13 October 2017, he noted that the schedule </w:t>
      </w:r>
      <w:r w:rsidR="003C7D6D" w:rsidRPr="008C4D92">
        <w:rPr>
          <w:color w:val="000000" w:themeColor="text1"/>
        </w:rPr>
        <w:t xml:space="preserve">erroneously </w:t>
      </w:r>
      <w:r w:rsidRPr="008C4D92">
        <w:rPr>
          <w:color w:val="000000" w:themeColor="text1"/>
        </w:rPr>
        <w:t>referred to the year 1988 but went on to say that the recital</w:t>
      </w:r>
      <w:r w:rsidR="00897752" w:rsidRPr="008C4D92">
        <w:rPr>
          <w:color w:val="000000" w:themeColor="text1"/>
        </w:rPr>
        <w:t xml:space="preserve"> at the outset of the document</w:t>
      </w:r>
      <w:r w:rsidRPr="008C4D92">
        <w:rPr>
          <w:color w:val="000000" w:themeColor="text1"/>
        </w:rPr>
        <w:t xml:space="preserve"> correctly recorded the Deed of Mortgage/Charge as </w:t>
      </w:r>
      <w:r w:rsidR="000C294F" w:rsidRPr="008C4D92">
        <w:rPr>
          <w:color w:val="000000" w:themeColor="text1"/>
        </w:rPr>
        <w:t xml:space="preserve">the </w:t>
      </w:r>
      <w:r w:rsidRPr="008C4D92">
        <w:rPr>
          <w:color w:val="000000" w:themeColor="text1"/>
        </w:rPr>
        <w:t xml:space="preserve">12 August 1998.  He also noted that the mortgage particulars referred to </w:t>
      </w:r>
      <w:r w:rsidR="00A650F6" w:rsidRPr="008C4D92">
        <w:rPr>
          <w:color w:val="000000" w:themeColor="text1"/>
        </w:rPr>
        <w:t>the two defendants by name</w:t>
      </w:r>
      <w:r w:rsidRPr="008C4D92">
        <w:rPr>
          <w:color w:val="000000" w:themeColor="text1"/>
        </w:rPr>
        <w:t xml:space="preserve"> and </w:t>
      </w:r>
      <w:r w:rsidR="00A650F6" w:rsidRPr="008C4D92">
        <w:rPr>
          <w:color w:val="000000" w:themeColor="text1"/>
        </w:rPr>
        <w:t>recorded the correct address for the property</w:t>
      </w:r>
      <w:r w:rsidRPr="008C4D92">
        <w:rPr>
          <w:color w:val="000000" w:themeColor="text1"/>
        </w:rPr>
        <w:t>.  He said</w:t>
      </w:r>
      <w:r w:rsidR="00A650F6" w:rsidRPr="008C4D92">
        <w:rPr>
          <w:color w:val="000000" w:themeColor="text1"/>
        </w:rPr>
        <w:t>:</w:t>
      </w:r>
    </w:p>
    <w:p w14:paraId="780FF352" w14:textId="10FC0491" w:rsidR="0051342B" w:rsidRPr="008C4D92" w:rsidRDefault="0051342B" w:rsidP="008E25FE">
      <w:pPr>
        <w:spacing w:line="480" w:lineRule="auto"/>
        <w:ind w:left="567"/>
        <w:jc w:val="both"/>
        <w:rPr>
          <w:color w:val="000000" w:themeColor="text1"/>
        </w:rPr>
      </w:pPr>
      <w:r w:rsidRPr="008C4D92">
        <w:rPr>
          <w:color w:val="000000" w:themeColor="text1"/>
        </w:rPr>
        <w:t>“</w:t>
      </w:r>
      <w:r w:rsidR="00BF7A95" w:rsidRPr="008C4D92">
        <w:rPr>
          <w:color w:val="000000" w:themeColor="text1"/>
        </w:rPr>
        <w:t xml:space="preserve">54. </w:t>
      </w:r>
      <w:r w:rsidRPr="008C4D92">
        <w:rPr>
          <w:color w:val="000000" w:themeColor="text1"/>
        </w:rPr>
        <w:t xml:space="preserve">The recital in the instrument of appointment makes it clear that the only purpose of the schedule to that document is to identify the property – not the deed of mortgage/charge, which is correctly identified in the recital to which I have referred at </w:t>
      </w:r>
      <w:r w:rsidRPr="008C4D92">
        <w:rPr>
          <w:color w:val="000000" w:themeColor="text1"/>
        </w:rPr>
        <w:lastRenderedPageBreak/>
        <w:t>paragraph 51 above. In those circumstanc</w:t>
      </w:r>
      <w:r w:rsidR="00BF7A95" w:rsidRPr="008C4D92">
        <w:rPr>
          <w:color w:val="000000" w:themeColor="text1"/>
        </w:rPr>
        <w:t xml:space="preserve">es, the erroneous reference to </w:t>
      </w:r>
      <w:r w:rsidR="00D8580E">
        <w:rPr>
          <w:color w:val="000000" w:themeColor="text1"/>
        </w:rPr>
        <w:t>‘</w:t>
      </w:r>
      <w:r w:rsidR="00BF7A95" w:rsidRPr="008C4D92">
        <w:rPr>
          <w:color w:val="000000" w:themeColor="text1"/>
        </w:rPr>
        <w:t>1988</w:t>
      </w:r>
      <w:r w:rsidR="00D8580E">
        <w:rPr>
          <w:color w:val="000000" w:themeColor="text1"/>
        </w:rPr>
        <w:t>’</w:t>
      </w:r>
      <w:r w:rsidRPr="008C4D92">
        <w:rPr>
          <w:color w:val="000000" w:themeColor="text1"/>
        </w:rPr>
        <w:t xml:space="preserve"> is irrelevant to the description of the property in the schedule, which is correct. I am therefore of the view that this error, while unfortunate, does not invalidate the appointment of the receiver.</w:t>
      </w:r>
      <w:r w:rsidR="00BF7A95" w:rsidRPr="008C4D92">
        <w:rPr>
          <w:color w:val="000000" w:themeColor="text1"/>
        </w:rPr>
        <w:t>”</w:t>
      </w:r>
    </w:p>
    <w:p w14:paraId="6ACEB0B0" w14:textId="77777777" w:rsidR="00770241" w:rsidRPr="008C4D92" w:rsidRDefault="00770241" w:rsidP="008E25FE">
      <w:pPr>
        <w:spacing w:line="480" w:lineRule="auto"/>
        <w:ind w:left="567"/>
        <w:jc w:val="both"/>
        <w:rPr>
          <w:color w:val="000000" w:themeColor="text1"/>
        </w:rPr>
      </w:pPr>
    </w:p>
    <w:p w14:paraId="16F687EE" w14:textId="560B74B3" w:rsidR="0051342B"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w:t>
      </w:r>
      <w:r w:rsidR="00BF7A95" w:rsidRPr="008C4D92">
        <w:rPr>
          <w:color w:val="000000" w:themeColor="text1"/>
        </w:rPr>
        <w:t xml:space="preserve">Regarding the Novation Deed, the reference to </w:t>
      </w:r>
      <w:r w:rsidR="000C294F" w:rsidRPr="008C4D92">
        <w:rPr>
          <w:color w:val="000000" w:themeColor="text1"/>
        </w:rPr>
        <w:t xml:space="preserve">the </w:t>
      </w:r>
      <w:r w:rsidR="00BF7A95" w:rsidRPr="008C4D92">
        <w:rPr>
          <w:color w:val="000000" w:themeColor="text1"/>
        </w:rPr>
        <w:t>2 November 2017</w:t>
      </w:r>
      <w:r w:rsidR="00770241" w:rsidRPr="008C4D92">
        <w:rPr>
          <w:color w:val="000000" w:themeColor="text1"/>
        </w:rPr>
        <w:t xml:space="preserve"> was</w:t>
      </w:r>
      <w:r w:rsidR="00BF7A95" w:rsidRPr="008C4D92">
        <w:rPr>
          <w:color w:val="000000" w:themeColor="text1"/>
        </w:rPr>
        <w:t>, he said, clearly a reference to the date of</w:t>
      </w:r>
      <w:r w:rsidR="00770241" w:rsidRPr="008C4D92">
        <w:rPr>
          <w:color w:val="000000" w:themeColor="text1"/>
        </w:rPr>
        <w:t xml:space="preserve"> the receivers’</w:t>
      </w:r>
      <w:r w:rsidR="00BF7A95" w:rsidRPr="008C4D92">
        <w:rPr>
          <w:color w:val="000000" w:themeColor="text1"/>
        </w:rPr>
        <w:t xml:space="preserve"> acceptance of the appointments.  He was of the view that the schedule correctly recorded the date of their appointment because it recorded the date of the acceptance of their appointment and therefore the date in the schedule was not incorrect. </w:t>
      </w:r>
    </w:p>
    <w:p w14:paraId="0AC961BF" w14:textId="77777777" w:rsidR="00BF7A95" w:rsidRPr="008C4D92" w:rsidRDefault="00BF7A95" w:rsidP="008E25FE">
      <w:pPr>
        <w:spacing w:line="480" w:lineRule="auto"/>
        <w:jc w:val="both"/>
        <w:rPr>
          <w:color w:val="000000" w:themeColor="text1"/>
        </w:rPr>
      </w:pPr>
    </w:p>
    <w:p w14:paraId="6AB79D46" w14:textId="0C479086" w:rsidR="00BF7A95"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w:t>
      </w:r>
      <w:r w:rsidR="00BF7A95" w:rsidRPr="008C4D92">
        <w:rPr>
          <w:color w:val="000000" w:themeColor="text1"/>
        </w:rPr>
        <w:t xml:space="preserve">As regards the </w:t>
      </w:r>
      <w:r w:rsidR="00FC0C48" w:rsidRPr="008C4D92">
        <w:rPr>
          <w:color w:val="000000" w:themeColor="text1"/>
        </w:rPr>
        <w:t xml:space="preserve">Global </w:t>
      </w:r>
      <w:r w:rsidR="00BF7A95" w:rsidRPr="008C4D92">
        <w:rPr>
          <w:color w:val="000000" w:themeColor="text1"/>
        </w:rPr>
        <w:t>Deed of Transfer, he sa</w:t>
      </w:r>
      <w:r w:rsidR="00563E38" w:rsidRPr="008C4D92">
        <w:rPr>
          <w:color w:val="000000" w:themeColor="text1"/>
        </w:rPr>
        <w:t>id</w:t>
      </w:r>
      <w:r w:rsidR="00BF7A95" w:rsidRPr="008C4D92">
        <w:rPr>
          <w:color w:val="000000" w:themeColor="text1"/>
        </w:rPr>
        <w:t xml:space="preserve"> that the schedule correctly identified the parties to the mortgage and the date and month; the only error was the reference to 1996 rather than 1998.  He said that the Amendment Deed of </w:t>
      </w:r>
      <w:r w:rsidR="000C294F" w:rsidRPr="008C4D92">
        <w:rPr>
          <w:color w:val="000000" w:themeColor="text1"/>
        </w:rPr>
        <w:t xml:space="preserve">the </w:t>
      </w:r>
      <w:r w:rsidR="00BF7A95" w:rsidRPr="008C4D92">
        <w:rPr>
          <w:color w:val="000000" w:themeColor="text1"/>
        </w:rPr>
        <w:t>22 October 2018 correctly identified the property. He also note</w:t>
      </w:r>
      <w:r w:rsidR="007813BE" w:rsidRPr="008C4D92">
        <w:rPr>
          <w:color w:val="000000" w:themeColor="text1"/>
        </w:rPr>
        <w:t>d</w:t>
      </w:r>
      <w:r w:rsidR="00BF7A95" w:rsidRPr="008C4D92">
        <w:rPr>
          <w:color w:val="000000" w:themeColor="text1"/>
        </w:rPr>
        <w:t xml:space="preserve"> that the folio shows that the mortgage/charge was registered by AIB in September 1998 and that the first plaintiff was registered on </w:t>
      </w:r>
      <w:r w:rsidR="000C294F" w:rsidRPr="008C4D92">
        <w:rPr>
          <w:color w:val="000000" w:themeColor="text1"/>
        </w:rPr>
        <w:t xml:space="preserve">the </w:t>
      </w:r>
      <w:r w:rsidR="00BF7A95" w:rsidRPr="008C4D92">
        <w:rPr>
          <w:color w:val="000000" w:themeColor="text1"/>
        </w:rPr>
        <w:t>13 December</w:t>
      </w:r>
      <w:r w:rsidR="00BC71B3" w:rsidRPr="008C4D92">
        <w:rPr>
          <w:color w:val="000000" w:themeColor="text1"/>
        </w:rPr>
        <w:t xml:space="preserve"> 2018.</w:t>
      </w:r>
      <w:r w:rsidR="00BF7A95" w:rsidRPr="008C4D92">
        <w:rPr>
          <w:color w:val="000000" w:themeColor="text1"/>
        </w:rPr>
        <w:t xml:space="preserve">  He then referred to ss. 31(1) and s.64 of the Register of Title Act 1964 and discussed </w:t>
      </w:r>
      <w:r w:rsidR="00BF7A95" w:rsidRPr="008C4D92">
        <w:rPr>
          <w:i/>
          <w:color w:val="000000" w:themeColor="text1"/>
        </w:rPr>
        <w:t>Tanager D</w:t>
      </w:r>
      <w:r w:rsidR="000C294F" w:rsidRPr="008C4D92">
        <w:rPr>
          <w:i/>
          <w:color w:val="000000" w:themeColor="text1"/>
        </w:rPr>
        <w:t>.</w:t>
      </w:r>
      <w:r w:rsidR="00BF7A95" w:rsidRPr="008C4D92">
        <w:rPr>
          <w:i/>
          <w:color w:val="000000" w:themeColor="text1"/>
        </w:rPr>
        <w:t>A</w:t>
      </w:r>
      <w:r w:rsidR="000C294F" w:rsidRPr="008C4D92">
        <w:rPr>
          <w:i/>
          <w:color w:val="000000" w:themeColor="text1"/>
        </w:rPr>
        <w:t>.</w:t>
      </w:r>
      <w:r w:rsidR="00BF7A95" w:rsidRPr="008C4D92">
        <w:rPr>
          <w:i/>
          <w:color w:val="000000" w:themeColor="text1"/>
        </w:rPr>
        <w:t>C</w:t>
      </w:r>
      <w:r w:rsidR="000C294F" w:rsidRPr="008C4D92">
        <w:rPr>
          <w:i/>
          <w:color w:val="000000" w:themeColor="text1"/>
        </w:rPr>
        <w:t>.</w:t>
      </w:r>
      <w:r w:rsidR="00BF7A95" w:rsidRPr="008C4D92">
        <w:rPr>
          <w:i/>
          <w:color w:val="000000" w:themeColor="text1"/>
        </w:rPr>
        <w:t xml:space="preserve"> v. Kane.  </w:t>
      </w:r>
      <w:r w:rsidR="00BF7A95" w:rsidRPr="008C4D92">
        <w:rPr>
          <w:color w:val="000000" w:themeColor="text1"/>
        </w:rPr>
        <w:t>He went on to say the following:</w:t>
      </w:r>
    </w:p>
    <w:p w14:paraId="21196BCF" w14:textId="44C60664" w:rsidR="00C71F2F" w:rsidRPr="008C4D92" w:rsidRDefault="00BF7A95" w:rsidP="008E25FE">
      <w:pPr>
        <w:spacing w:line="480" w:lineRule="auto"/>
        <w:ind w:left="567"/>
        <w:jc w:val="both"/>
        <w:rPr>
          <w:color w:val="000000" w:themeColor="text1"/>
        </w:rPr>
      </w:pPr>
      <w:r w:rsidRPr="008C4D92">
        <w:rPr>
          <w:color w:val="000000" w:themeColor="text1"/>
        </w:rPr>
        <w:t>“</w:t>
      </w:r>
      <w:r w:rsidR="00C03244">
        <w:rPr>
          <w:color w:val="000000" w:themeColor="text1"/>
        </w:rPr>
        <w:t>[</w:t>
      </w:r>
      <w:r w:rsidR="00C71F2F" w:rsidRPr="008C4D92">
        <w:rPr>
          <w:color w:val="000000" w:themeColor="text1"/>
        </w:rPr>
        <w:t>64.</w:t>
      </w:r>
      <w:r w:rsidR="00C03244">
        <w:rPr>
          <w:color w:val="000000" w:themeColor="text1"/>
        </w:rPr>
        <w:t>]</w:t>
      </w:r>
      <w:r w:rsidR="00C71F2F" w:rsidRPr="008C4D92">
        <w:rPr>
          <w:color w:val="000000" w:themeColor="text1"/>
        </w:rPr>
        <w:t xml:space="preserve"> </w:t>
      </w:r>
      <w:r w:rsidRPr="008C4D92">
        <w:rPr>
          <w:color w:val="000000" w:themeColor="text1"/>
        </w:rPr>
        <w:t xml:space="preserve">In my view, the provisions of s.31 and s.62 of the Registration of Title Act 1964 as quoted above, and the effect of those sections as confirmed by the Court of Appeal in </w:t>
      </w:r>
      <w:r w:rsidRPr="008C4D92">
        <w:rPr>
          <w:i/>
          <w:color w:val="000000" w:themeColor="text1"/>
        </w:rPr>
        <w:t>Tanager</w:t>
      </w:r>
      <w:r w:rsidRPr="008C4D92">
        <w:rPr>
          <w:color w:val="000000" w:themeColor="text1"/>
        </w:rPr>
        <w:t xml:space="preserve">, make it clear that the first named plaintiff is entitled to rely on the registration of it as the owner of the mortgage. This Court must, and does, accept that the registration of the first named plaintiff </w:t>
      </w:r>
      <w:r w:rsidR="00C71F2F" w:rsidRPr="008C4D92">
        <w:rPr>
          <w:color w:val="000000" w:themeColor="text1"/>
        </w:rPr>
        <w:t>as owner of the mortgage of 12</w:t>
      </w:r>
      <w:r w:rsidR="00C71F2F" w:rsidRPr="008C4D92">
        <w:rPr>
          <w:color w:val="000000" w:themeColor="text1"/>
          <w:vertAlign w:val="superscript"/>
        </w:rPr>
        <w:t>th</w:t>
      </w:r>
      <w:r w:rsidR="00C71F2F" w:rsidRPr="008C4D92">
        <w:rPr>
          <w:color w:val="000000" w:themeColor="text1"/>
        </w:rPr>
        <w:t xml:space="preserve"> </w:t>
      </w:r>
      <w:r w:rsidRPr="008C4D92">
        <w:rPr>
          <w:color w:val="000000" w:themeColor="text1"/>
        </w:rPr>
        <w:t xml:space="preserve">August, 1998 is correct. It was not at any stage suggested to me that the defendants intend to </w:t>
      </w:r>
      <w:r w:rsidRPr="008C4D92">
        <w:rPr>
          <w:color w:val="000000" w:themeColor="text1"/>
        </w:rPr>
        <w:lastRenderedPageBreak/>
        <w:t xml:space="preserve">apply to court for rectification of the Register, such that the court should consider adjournment of the present application to allow such an application to take place. </w:t>
      </w:r>
    </w:p>
    <w:p w14:paraId="6749B4D2" w14:textId="77777777" w:rsidR="00C71F2F" w:rsidRPr="008C4D92" w:rsidRDefault="00C71F2F" w:rsidP="008E25FE">
      <w:pPr>
        <w:spacing w:line="480" w:lineRule="auto"/>
        <w:ind w:left="567"/>
        <w:jc w:val="both"/>
        <w:rPr>
          <w:color w:val="000000" w:themeColor="text1"/>
        </w:rPr>
      </w:pPr>
    </w:p>
    <w:p w14:paraId="11AAC737" w14:textId="43582639" w:rsidR="00BF7A95" w:rsidRPr="008C4D92" w:rsidRDefault="00C03244" w:rsidP="008E25FE">
      <w:pPr>
        <w:spacing w:line="480" w:lineRule="auto"/>
        <w:ind w:left="567"/>
        <w:jc w:val="both"/>
        <w:rPr>
          <w:color w:val="000000" w:themeColor="text1"/>
        </w:rPr>
      </w:pPr>
      <w:r>
        <w:rPr>
          <w:color w:val="000000" w:themeColor="text1"/>
        </w:rPr>
        <w:t>[</w:t>
      </w:r>
      <w:r w:rsidR="00BF7A95" w:rsidRPr="008C4D92">
        <w:rPr>
          <w:color w:val="000000" w:themeColor="text1"/>
        </w:rPr>
        <w:t>65.</w:t>
      </w:r>
      <w:r>
        <w:rPr>
          <w:color w:val="000000" w:themeColor="text1"/>
        </w:rPr>
        <w:t>]</w:t>
      </w:r>
      <w:r w:rsidR="00BF7A95" w:rsidRPr="008C4D92">
        <w:rPr>
          <w:color w:val="000000" w:themeColor="text1"/>
        </w:rPr>
        <w:t xml:space="preserve"> In any event, it is in my view clear beyond argument, when one considers the totality of the docume</w:t>
      </w:r>
      <w:r w:rsidR="00C71F2F" w:rsidRPr="008C4D92">
        <w:rPr>
          <w:color w:val="000000" w:themeColor="text1"/>
        </w:rPr>
        <w:t xml:space="preserve">nt, that the reference to </w:t>
      </w:r>
      <w:r w:rsidR="00A13829">
        <w:rPr>
          <w:color w:val="000000" w:themeColor="text1"/>
        </w:rPr>
        <w:t>‘</w:t>
      </w:r>
      <w:r w:rsidR="00C71F2F" w:rsidRPr="008C4D92">
        <w:rPr>
          <w:color w:val="000000" w:themeColor="text1"/>
        </w:rPr>
        <w:t>1996</w:t>
      </w:r>
      <w:r w:rsidR="00A13829">
        <w:rPr>
          <w:color w:val="000000" w:themeColor="text1"/>
        </w:rPr>
        <w:t>’</w:t>
      </w:r>
      <w:r w:rsidR="00C71F2F" w:rsidRPr="008C4D92">
        <w:rPr>
          <w:color w:val="000000" w:themeColor="text1"/>
        </w:rPr>
        <w:t xml:space="preserve"> rather than </w:t>
      </w:r>
      <w:r w:rsidR="00A13829">
        <w:rPr>
          <w:color w:val="000000" w:themeColor="text1"/>
        </w:rPr>
        <w:t>‘</w:t>
      </w:r>
      <w:r w:rsidR="00C71F2F" w:rsidRPr="008C4D92">
        <w:rPr>
          <w:color w:val="000000" w:themeColor="text1"/>
        </w:rPr>
        <w:t>1998</w:t>
      </w:r>
      <w:r w:rsidR="00A13829">
        <w:rPr>
          <w:color w:val="000000" w:themeColor="text1"/>
        </w:rPr>
        <w:t>’</w:t>
      </w:r>
      <w:r w:rsidR="00BF7A95" w:rsidRPr="008C4D92">
        <w:rPr>
          <w:color w:val="000000" w:themeColor="text1"/>
        </w:rPr>
        <w:t xml:space="preserve"> in the schedule to the deed of transfer is indeed a typographical error only. The first named plaintiff acquired the loans, securities and documents set out in the schedule for value. It is not suggested th</w:t>
      </w:r>
      <w:r w:rsidR="00C71F2F" w:rsidRPr="008C4D92">
        <w:rPr>
          <w:color w:val="000000" w:themeColor="text1"/>
        </w:rPr>
        <w:t xml:space="preserve">at the entities referred to as </w:t>
      </w:r>
      <w:r w:rsidR="00743C7D">
        <w:rPr>
          <w:color w:val="000000" w:themeColor="text1"/>
        </w:rPr>
        <w:t>‘</w:t>
      </w:r>
      <w:r w:rsidR="00BF7A95" w:rsidRPr="008C4D92">
        <w:rPr>
          <w:color w:val="000000" w:themeColor="text1"/>
        </w:rPr>
        <w:t>sellers</w:t>
      </w:r>
      <w:r w:rsidR="00743C7D">
        <w:rPr>
          <w:color w:val="000000" w:themeColor="text1"/>
        </w:rPr>
        <w:t>’</w:t>
      </w:r>
      <w:r w:rsidR="00BF7A95" w:rsidRPr="008C4D92">
        <w:rPr>
          <w:color w:val="000000" w:themeColor="text1"/>
        </w:rPr>
        <w:t xml:space="preserve"> in the deed of transfer have any issue with the transfer of the mortgage, or contend that it was not duly transferred by them to the first named plaintiff by the deed. It would seem, on the basis of the evidence in this application, to be the case that rectification of the date in the mortgage might well be appropriate, should an application in that regard be made in separate proceedings involving the parties to the mortgage</w:t>
      </w:r>
      <w:r w:rsidR="00C71F2F" w:rsidRPr="008C4D92">
        <w:rPr>
          <w:color w:val="000000" w:themeColor="text1"/>
        </w:rPr>
        <w:t>.”</w:t>
      </w:r>
    </w:p>
    <w:p w14:paraId="5FA9442C" w14:textId="77777777" w:rsidR="00C71F2F" w:rsidRPr="008C4D92" w:rsidRDefault="00C71F2F" w:rsidP="008E25FE">
      <w:pPr>
        <w:spacing w:line="480" w:lineRule="auto"/>
        <w:ind w:left="567"/>
        <w:jc w:val="both"/>
        <w:rPr>
          <w:color w:val="000000" w:themeColor="text1"/>
        </w:rPr>
      </w:pPr>
    </w:p>
    <w:p w14:paraId="069B8980" w14:textId="77777777" w:rsidR="007A05FC"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w:t>
      </w:r>
      <w:r w:rsidR="000537D4" w:rsidRPr="008C4D92">
        <w:rPr>
          <w:color w:val="000000" w:themeColor="text1"/>
        </w:rPr>
        <w:t xml:space="preserve">The trial judge then turned to the second issue, arising from </w:t>
      </w:r>
      <w:r w:rsidR="00C71F2F" w:rsidRPr="008C4D92">
        <w:rPr>
          <w:color w:val="000000" w:themeColor="text1"/>
        </w:rPr>
        <w:t>the fact that the second defendant was not party to the 2008 loan</w:t>
      </w:r>
      <w:r w:rsidR="007A05FC" w:rsidRPr="008C4D92">
        <w:rPr>
          <w:color w:val="000000" w:themeColor="text1"/>
        </w:rPr>
        <w:t xml:space="preserve">. </w:t>
      </w:r>
      <w:r w:rsidR="00C71F2F" w:rsidRPr="008C4D92">
        <w:rPr>
          <w:color w:val="000000" w:themeColor="text1"/>
        </w:rPr>
        <w:t xml:space="preserve"> </w:t>
      </w:r>
      <w:r w:rsidR="007A05FC" w:rsidRPr="008C4D92">
        <w:rPr>
          <w:color w:val="000000" w:themeColor="text1"/>
        </w:rPr>
        <w:t>He</w:t>
      </w:r>
      <w:r w:rsidR="00C71F2F" w:rsidRPr="008C4D92">
        <w:rPr>
          <w:color w:val="000000" w:themeColor="text1"/>
        </w:rPr>
        <w:t xml:space="preserve"> said that the court was obliged to regard the first named plaintiff’s ownership of the mortgage as unassailable for the reasons set out above.  He said that it appeared that the second named defendant was aware of the terms of the 2008 loan because of her letter of guarantee</w:t>
      </w:r>
      <w:r w:rsidR="007A05FC" w:rsidRPr="008C4D92">
        <w:rPr>
          <w:color w:val="000000" w:themeColor="text1"/>
        </w:rPr>
        <w:t>, but added:</w:t>
      </w:r>
    </w:p>
    <w:p w14:paraId="6A4B8F31" w14:textId="3C73C1E6" w:rsidR="007A05FC" w:rsidRPr="009939CE" w:rsidRDefault="00C71F2F" w:rsidP="007A05FC">
      <w:pPr>
        <w:spacing w:line="480" w:lineRule="auto"/>
        <w:ind w:left="567"/>
        <w:jc w:val="both"/>
        <w:rPr>
          <w:iCs/>
          <w:color w:val="000000" w:themeColor="text1"/>
        </w:rPr>
      </w:pPr>
      <w:r w:rsidRPr="008C4D92">
        <w:rPr>
          <w:color w:val="000000" w:themeColor="text1"/>
        </w:rPr>
        <w:t xml:space="preserve"> </w:t>
      </w:r>
      <w:r w:rsidRPr="009939CE">
        <w:rPr>
          <w:iCs/>
          <w:color w:val="000000" w:themeColor="text1"/>
        </w:rPr>
        <w:t>“</w:t>
      </w:r>
      <w:r w:rsidR="00C03244">
        <w:rPr>
          <w:iCs/>
          <w:color w:val="000000" w:themeColor="text1"/>
        </w:rPr>
        <w:t>[</w:t>
      </w:r>
      <w:r w:rsidR="00720FB1">
        <w:rPr>
          <w:iCs/>
          <w:color w:val="000000" w:themeColor="text1"/>
        </w:rPr>
        <w:t>68</w:t>
      </w:r>
      <w:r w:rsidR="00C03244">
        <w:rPr>
          <w:iCs/>
          <w:color w:val="000000" w:themeColor="text1"/>
        </w:rPr>
        <w:t>.] …</w:t>
      </w:r>
      <w:r w:rsidR="00720FB1">
        <w:rPr>
          <w:iCs/>
          <w:color w:val="000000" w:themeColor="text1"/>
        </w:rPr>
        <w:t xml:space="preserve"> </w:t>
      </w:r>
      <w:r w:rsidRPr="009939CE">
        <w:rPr>
          <w:iCs/>
          <w:color w:val="000000" w:themeColor="text1"/>
        </w:rPr>
        <w:t>Even if she was not, the terms of the mortgage which provide that it is security for any future loans to either the first or second named defendants may render the question of her consent or otherwise academic.</w:t>
      </w:r>
      <w:r w:rsidR="00720FB1">
        <w:rPr>
          <w:iCs/>
          <w:color w:val="000000" w:themeColor="text1"/>
        </w:rPr>
        <w:t>”</w:t>
      </w:r>
    </w:p>
    <w:p w14:paraId="47DB0DAA" w14:textId="77777777" w:rsidR="007A05FC" w:rsidRPr="008C4D92" w:rsidRDefault="007A05FC" w:rsidP="007A05FC">
      <w:pPr>
        <w:spacing w:line="480" w:lineRule="auto"/>
        <w:ind w:left="567"/>
        <w:jc w:val="both"/>
        <w:rPr>
          <w:i/>
          <w:color w:val="000000" w:themeColor="text1"/>
        </w:rPr>
      </w:pPr>
    </w:p>
    <w:p w14:paraId="17418976" w14:textId="6B38F9D9" w:rsidR="004E4316" w:rsidRPr="008C4D92" w:rsidRDefault="00C71F2F" w:rsidP="007A05FC">
      <w:pPr>
        <w:pStyle w:val="ListParagraph"/>
        <w:numPr>
          <w:ilvl w:val="0"/>
          <w:numId w:val="19"/>
        </w:numPr>
        <w:spacing w:line="480" w:lineRule="auto"/>
        <w:jc w:val="both"/>
        <w:rPr>
          <w:color w:val="000000" w:themeColor="text1"/>
        </w:rPr>
      </w:pPr>
      <w:r w:rsidRPr="008C4D92">
        <w:rPr>
          <w:i/>
          <w:color w:val="000000" w:themeColor="text1"/>
        </w:rPr>
        <w:t xml:space="preserve">  </w:t>
      </w:r>
      <w:r w:rsidRPr="008C4D92">
        <w:rPr>
          <w:color w:val="000000" w:themeColor="text1"/>
        </w:rPr>
        <w:t xml:space="preserve">He noted that counsel for the respondents had submitted that it was significant that at no stage prior to the present application had the second named defendant ever argued that </w:t>
      </w:r>
      <w:r w:rsidRPr="008C4D92">
        <w:rPr>
          <w:color w:val="000000" w:themeColor="text1"/>
        </w:rPr>
        <w:lastRenderedPageBreak/>
        <w:t xml:space="preserve">the mortgage did not cover the 2008 loan or that she was entitled to reliefs from the terms of the mortgage.  He said that he did not have to resolve the issues on the application, but that the question was whether the onus of showing a strong case likely to succeed a trial had been met.  He was satisfied that it </w:t>
      </w:r>
      <w:r w:rsidR="004E4316" w:rsidRPr="008C4D92">
        <w:rPr>
          <w:color w:val="000000" w:themeColor="text1"/>
        </w:rPr>
        <w:t>had</w:t>
      </w:r>
      <w:r w:rsidR="00480918" w:rsidRPr="008C4D92">
        <w:rPr>
          <w:color w:val="000000" w:themeColor="text1"/>
        </w:rPr>
        <w:t xml:space="preserve"> been met</w:t>
      </w:r>
      <w:r w:rsidRPr="008C4D92">
        <w:rPr>
          <w:color w:val="000000" w:themeColor="text1"/>
        </w:rPr>
        <w:t xml:space="preserve">.  </w:t>
      </w:r>
    </w:p>
    <w:p w14:paraId="0D384812" w14:textId="77777777" w:rsidR="00162683" w:rsidRPr="008C4D92" w:rsidRDefault="00162683" w:rsidP="00162683">
      <w:pPr>
        <w:pStyle w:val="ListParagraph"/>
        <w:spacing w:line="480" w:lineRule="auto"/>
        <w:ind w:left="0"/>
        <w:jc w:val="both"/>
        <w:rPr>
          <w:color w:val="000000" w:themeColor="text1"/>
        </w:rPr>
      </w:pPr>
    </w:p>
    <w:p w14:paraId="7BA938DA" w14:textId="3FE27776" w:rsidR="0051342B" w:rsidRPr="008C4D92" w:rsidRDefault="004E4316" w:rsidP="007A05FC">
      <w:pPr>
        <w:pStyle w:val="ListParagraph"/>
        <w:numPr>
          <w:ilvl w:val="0"/>
          <w:numId w:val="19"/>
        </w:numPr>
        <w:spacing w:line="480" w:lineRule="auto"/>
        <w:jc w:val="both"/>
        <w:rPr>
          <w:color w:val="000000" w:themeColor="text1"/>
        </w:rPr>
      </w:pPr>
      <w:r w:rsidRPr="008C4D92">
        <w:rPr>
          <w:color w:val="000000" w:themeColor="text1"/>
        </w:rPr>
        <w:t xml:space="preserve">The trial judge then considered precisely </w:t>
      </w:r>
      <w:r w:rsidR="00C71F2F" w:rsidRPr="008C4D92">
        <w:rPr>
          <w:color w:val="000000" w:themeColor="text1"/>
        </w:rPr>
        <w:t xml:space="preserve">what order should be made.  He said that the current situation was completely unsatisfactory in that there might be as many as </w:t>
      </w:r>
      <w:r w:rsidR="004426DB">
        <w:rPr>
          <w:color w:val="000000" w:themeColor="text1"/>
        </w:rPr>
        <w:t>fifteen</w:t>
      </w:r>
      <w:r w:rsidR="00C71F2F" w:rsidRPr="008C4D92">
        <w:rPr>
          <w:color w:val="000000" w:themeColor="text1"/>
        </w:rPr>
        <w:t xml:space="preserve"> occupiers </w:t>
      </w:r>
      <w:r w:rsidR="007F407B" w:rsidRPr="008C4D92">
        <w:rPr>
          <w:color w:val="000000" w:themeColor="text1"/>
        </w:rPr>
        <w:t>then in the premises</w:t>
      </w:r>
      <w:r w:rsidR="00C71F2F" w:rsidRPr="008C4D92">
        <w:rPr>
          <w:color w:val="000000" w:themeColor="text1"/>
        </w:rPr>
        <w:t>.  None of the parties appeared to be aware of the situation regarding rent</w:t>
      </w:r>
      <w:r w:rsidR="004426DB">
        <w:rPr>
          <w:color w:val="000000" w:themeColor="text1"/>
        </w:rPr>
        <w:t>,</w:t>
      </w:r>
      <w:r w:rsidR="00C71F2F" w:rsidRPr="008C4D92">
        <w:rPr>
          <w:color w:val="000000" w:themeColor="text1"/>
        </w:rPr>
        <w:t xml:space="preserve"> although the second plaintiff suspected that the defendants continued to derive a substantial income from the premises.  Neither of the</w:t>
      </w:r>
      <w:r w:rsidR="007F407B" w:rsidRPr="008C4D92">
        <w:rPr>
          <w:color w:val="000000" w:themeColor="text1"/>
        </w:rPr>
        <w:t xml:space="preserve"> defendants resided</w:t>
      </w:r>
      <w:r w:rsidR="00C71F2F" w:rsidRPr="008C4D92">
        <w:rPr>
          <w:color w:val="000000" w:themeColor="text1"/>
        </w:rPr>
        <w:t xml:space="preserve"> in the property.  It was not in dispute that the first named defendant was in very substantial arrears in respect of the 2008 loan.  Taking all of that into account, he thought it would be appropriate to ma</w:t>
      </w:r>
      <w:r w:rsidR="007F407B" w:rsidRPr="008C4D92">
        <w:rPr>
          <w:color w:val="000000" w:themeColor="text1"/>
        </w:rPr>
        <w:t>k</w:t>
      </w:r>
      <w:r w:rsidR="00C71F2F" w:rsidRPr="008C4D92">
        <w:rPr>
          <w:color w:val="000000" w:themeColor="text1"/>
        </w:rPr>
        <w:t>e orders which would enable the plaintiff to take possession of the property.  He did</w:t>
      </w:r>
      <w:r w:rsidR="007F407B" w:rsidRPr="008C4D92">
        <w:rPr>
          <w:color w:val="000000" w:themeColor="text1"/>
        </w:rPr>
        <w:t>, however,</w:t>
      </w:r>
      <w:r w:rsidR="00C71F2F" w:rsidRPr="008C4D92">
        <w:rPr>
          <w:color w:val="000000" w:themeColor="text1"/>
        </w:rPr>
        <w:t xml:space="preserve"> take into account </w:t>
      </w:r>
      <w:r w:rsidR="007F407B" w:rsidRPr="008C4D92">
        <w:rPr>
          <w:color w:val="000000" w:themeColor="text1"/>
        </w:rPr>
        <w:t>a</w:t>
      </w:r>
      <w:r w:rsidR="00C71F2F" w:rsidRPr="008C4D92">
        <w:rPr>
          <w:color w:val="000000" w:themeColor="text1"/>
        </w:rPr>
        <w:t xml:space="preserve"> suggestion by counsel for the plaintiff that a stay might b</w:t>
      </w:r>
      <w:r w:rsidR="00213E96" w:rsidRPr="008C4D92">
        <w:rPr>
          <w:color w:val="000000" w:themeColor="text1"/>
        </w:rPr>
        <w:t>e</w:t>
      </w:r>
      <w:r w:rsidR="00C71F2F" w:rsidRPr="008C4D92">
        <w:rPr>
          <w:color w:val="000000" w:themeColor="text1"/>
        </w:rPr>
        <w:t xml:space="preserve"> placed on the sale of any property pending the determination</w:t>
      </w:r>
      <w:r w:rsidR="00E220FD" w:rsidRPr="008C4D92">
        <w:rPr>
          <w:color w:val="000000" w:themeColor="text1"/>
        </w:rPr>
        <w:t xml:space="preserve"> of the proceedings or agreement of the parties.  He said </w:t>
      </w:r>
      <w:r w:rsidR="00213E96" w:rsidRPr="008C4D92">
        <w:rPr>
          <w:color w:val="000000" w:themeColor="text1"/>
        </w:rPr>
        <w:t xml:space="preserve">that </w:t>
      </w:r>
      <w:r w:rsidR="00E220FD" w:rsidRPr="008C4D92">
        <w:rPr>
          <w:color w:val="000000" w:themeColor="text1"/>
        </w:rPr>
        <w:t>this would allow the receivers to secure the property and perhaps to regularise the position of the occupiers in terms of tenure, payment of rent and so on.  Any rent collected could be held in escrow pending the determination of the proceedings. In those circumstances he granted the order</w:t>
      </w:r>
      <w:r w:rsidR="00C71F2F" w:rsidRPr="008C4D92">
        <w:rPr>
          <w:color w:val="000000" w:themeColor="text1"/>
        </w:rPr>
        <w:t xml:space="preserve"> </w:t>
      </w:r>
      <w:r w:rsidR="00E220FD" w:rsidRPr="008C4D92">
        <w:rPr>
          <w:color w:val="000000" w:themeColor="text1"/>
        </w:rPr>
        <w:t>for possession but placed a stay on it</w:t>
      </w:r>
      <w:r w:rsidR="00355C53" w:rsidRPr="008C4D92">
        <w:rPr>
          <w:color w:val="000000" w:themeColor="text1"/>
        </w:rPr>
        <w:t xml:space="preserve"> pending the determination of the proceedings. </w:t>
      </w:r>
    </w:p>
    <w:p w14:paraId="5D8F933B" w14:textId="77777777" w:rsidR="00162683" w:rsidRPr="008C4D92" w:rsidRDefault="00162683" w:rsidP="00162683">
      <w:pPr>
        <w:pStyle w:val="ListParagraph"/>
        <w:spacing w:line="480" w:lineRule="auto"/>
        <w:ind w:left="0"/>
        <w:jc w:val="both"/>
        <w:rPr>
          <w:color w:val="000000" w:themeColor="text1"/>
        </w:rPr>
      </w:pPr>
    </w:p>
    <w:p w14:paraId="7C566B2A" w14:textId="5167E219" w:rsidR="008C5D0F" w:rsidRPr="008C4D92" w:rsidRDefault="00584F54" w:rsidP="007A05FC">
      <w:pPr>
        <w:pStyle w:val="ListParagraph"/>
        <w:numPr>
          <w:ilvl w:val="0"/>
          <w:numId w:val="19"/>
        </w:numPr>
        <w:spacing w:line="480" w:lineRule="auto"/>
        <w:jc w:val="both"/>
        <w:rPr>
          <w:color w:val="000000" w:themeColor="text1"/>
        </w:rPr>
      </w:pPr>
      <w:r w:rsidRPr="008C4D92">
        <w:rPr>
          <w:color w:val="000000" w:themeColor="text1"/>
        </w:rPr>
        <w:t>According to the written submissions of the plaintiffs, v</w:t>
      </w:r>
      <w:r w:rsidR="001679A4" w:rsidRPr="008C4D92">
        <w:rPr>
          <w:color w:val="000000" w:themeColor="text1"/>
        </w:rPr>
        <w:t>acant possession of the property was obtained by the</w:t>
      </w:r>
      <w:r w:rsidRPr="008C4D92">
        <w:rPr>
          <w:color w:val="000000" w:themeColor="text1"/>
        </w:rPr>
        <w:t>m</w:t>
      </w:r>
      <w:r w:rsidR="001679A4" w:rsidRPr="008C4D92">
        <w:rPr>
          <w:color w:val="000000" w:themeColor="text1"/>
        </w:rPr>
        <w:t xml:space="preserve"> on </w:t>
      </w:r>
      <w:r w:rsidR="00213E96" w:rsidRPr="008C4D92">
        <w:rPr>
          <w:color w:val="000000" w:themeColor="text1"/>
        </w:rPr>
        <w:t xml:space="preserve">the </w:t>
      </w:r>
      <w:r w:rsidR="001679A4" w:rsidRPr="008C4D92">
        <w:rPr>
          <w:color w:val="000000" w:themeColor="text1"/>
        </w:rPr>
        <w:t xml:space="preserve">20 March 2020. </w:t>
      </w:r>
      <w:r w:rsidR="008C5D0F" w:rsidRPr="008C4D92">
        <w:rPr>
          <w:color w:val="000000" w:themeColor="text1"/>
        </w:rPr>
        <w:t>They gave an undertaking</w:t>
      </w:r>
      <w:r w:rsidR="001679A4" w:rsidRPr="008C4D92">
        <w:rPr>
          <w:color w:val="000000" w:themeColor="text1"/>
        </w:rPr>
        <w:t xml:space="preserve"> not to proceed with the sale of the property pending the determination of the proceedings</w:t>
      </w:r>
      <w:r w:rsidR="008C5D0F" w:rsidRPr="008C4D92">
        <w:rPr>
          <w:color w:val="000000" w:themeColor="text1"/>
        </w:rPr>
        <w:t>.</w:t>
      </w:r>
    </w:p>
    <w:p w14:paraId="1A5A24EB" w14:textId="77777777" w:rsidR="008C5D0F" w:rsidRPr="008C4D92" w:rsidRDefault="008C5D0F" w:rsidP="008C5D0F">
      <w:pPr>
        <w:pStyle w:val="ListParagraph"/>
        <w:rPr>
          <w:color w:val="000000" w:themeColor="text1"/>
        </w:rPr>
      </w:pPr>
    </w:p>
    <w:p w14:paraId="1606EF65" w14:textId="6EC103DE" w:rsidR="001679A4" w:rsidRPr="008C4D92" w:rsidRDefault="001679A4" w:rsidP="007A05FC">
      <w:pPr>
        <w:pStyle w:val="ListParagraph"/>
        <w:numPr>
          <w:ilvl w:val="0"/>
          <w:numId w:val="19"/>
        </w:numPr>
        <w:spacing w:line="480" w:lineRule="auto"/>
        <w:jc w:val="both"/>
        <w:rPr>
          <w:color w:val="000000" w:themeColor="text1"/>
        </w:rPr>
      </w:pPr>
      <w:r w:rsidRPr="008C4D92">
        <w:rPr>
          <w:color w:val="000000" w:themeColor="text1"/>
        </w:rPr>
        <w:lastRenderedPageBreak/>
        <w:t xml:space="preserve"> </w:t>
      </w:r>
      <w:r w:rsidR="00696DD1" w:rsidRPr="008C4D92">
        <w:rPr>
          <w:color w:val="000000" w:themeColor="text1"/>
        </w:rPr>
        <w:t>No stay on the High Court order was sought by either defendant. According to the plaintiffs’ submissions, a timetable for pleadings</w:t>
      </w:r>
      <w:r w:rsidR="00213E96" w:rsidRPr="008C4D92">
        <w:rPr>
          <w:color w:val="000000" w:themeColor="text1"/>
        </w:rPr>
        <w:t xml:space="preserve"> was</w:t>
      </w:r>
      <w:r w:rsidR="00696DD1" w:rsidRPr="008C4D92">
        <w:rPr>
          <w:color w:val="000000" w:themeColor="text1"/>
        </w:rPr>
        <w:t xml:space="preserve"> agreed between the plaintiffs and the defendants was handed into the High Court on </w:t>
      </w:r>
      <w:r w:rsidR="00213E96" w:rsidRPr="008C4D92">
        <w:rPr>
          <w:color w:val="000000" w:themeColor="text1"/>
        </w:rPr>
        <w:t xml:space="preserve">the </w:t>
      </w:r>
      <w:r w:rsidR="00696DD1" w:rsidRPr="008C4D92">
        <w:rPr>
          <w:color w:val="000000" w:themeColor="text1"/>
        </w:rPr>
        <w:t>27 February 2020.</w:t>
      </w:r>
    </w:p>
    <w:p w14:paraId="0FDA16C6" w14:textId="77777777" w:rsidR="00C71F2F" w:rsidRPr="008C4D92" w:rsidRDefault="00DA7E6C" w:rsidP="008E25FE">
      <w:pPr>
        <w:pStyle w:val="Heading1"/>
        <w:jc w:val="both"/>
        <w:rPr>
          <w:rFonts w:cs="Times New Roman"/>
          <w:b w:val="0"/>
          <w:color w:val="000000" w:themeColor="text1"/>
          <w:sz w:val="28"/>
          <w:szCs w:val="28"/>
        </w:rPr>
      </w:pPr>
      <w:r w:rsidRPr="008C4D92">
        <w:rPr>
          <w:rFonts w:cs="Times New Roman"/>
          <w:color w:val="000000" w:themeColor="text1"/>
          <w:sz w:val="28"/>
          <w:szCs w:val="28"/>
        </w:rPr>
        <w:t>The appeal</w:t>
      </w:r>
    </w:p>
    <w:p w14:paraId="3CA86439" w14:textId="77777777" w:rsidR="00DA7E6C" w:rsidRPr="008C4D92" w:rsidRDefault="00DA7E6C" w:rsidP="008E25FE">
      <w:pPr>
        <w:jc w:val="both"/>
        <w:rPr>
          <w:color w:val="000000" w:themeColor="text1"/>
        </w:rPr>
      </w:pPr>
    </w:p>
    <w:p w14:paraId="2319C4B0" w14:textId="56C469DE" w:rsidR="0051342B" w:rsidRPr="008C4D92" w:rsidRDefault="0051342B" w:rsidP="008E25FE">
      <w:pPr>
        <w:numPr>
          <w:ilvl w:val="0"/>
          <w:numId w:val="19"/>
        </w:numPr>
        <w:spacing w:line="480" w:lineRule="auto"/>
        <w:jc w:val="both"/>
        <w:rPr>
          <w:color w:val="000000" w:themeColor="text1"/>
        </w:rPr>
      </w:pPr>
      <w:r w:rsidRPr="008C4D92">
        <w:rPr>
          <w:color w:val="000000" w:themeColor="text1"/>
        </w:rPr>
        <w:t xml:space="preserve"> </w:t>
      </w:r>
      <w:r w:rsidR="00C71F2F" w:rsidRPr="008C4D92">
        <w:rPr>
          <w:color w:val="000000" w:themeColor="text1"/>
        </w:rPr>
        <w:t xml:space="preserve"> </w:t>
      </w:r>
      <w:r w:rsidR="00DA7E6C" w:rsidRPr="008C4D92">
        <w:rPr>
          <w:color w:val="000000" w:themeColor="text1"/>
        </w:rPr>
        <w:t>The appeal was brought by the second defendant</w:t>
      </w:r>
      <w:r w:rsidR="00637FD4" w:rsidRPr="008C4D92">
        <w:rPr>
          <w:color w:val="000000" w:themeColor="text1"/>
        </w:rPr>
        <w:t xml:space="preserve"> only.</w:t>
      </w:r>
      <w:r w:rsidR="00DA7E6C" w:rsidRPr="008C4D92">
        <w:rPr>
          <w:color w:val="000000" w:themeColor="text1"/>
        </w:rPr>
        <w:t xml:space="preserve">  This is a matter to which the respondents objected in the opening paragraphs of their ground of opposition to the appeal.  They plead that </w:t>
      </w:r>
      <w:r w:rsidR="00FC2BD3" w:rsidRPr="008C4D92">
        <w:rPr>
          <w:color w:val="000000" w:themeColor="text1"/>
        </w:rPr>
        <w:t>the appeal</w:t>
      </w:r>
      <w:r w:rsidR="00DA7E6C" w:rsidRPr="008C4D92">
        <w:rPr>
          <w:color w:val="000000" w:themeColor="text1"/>
        </w:rPr>
        <w:t xml:space="preserve"> is procedurally invalid and improperly constituted in circumstances where the second </w:t>
      </w:r>
      <w:r w:rsidR="00341A52" w:rsidRPr="008C4D92">
        <w:rPr>
          <w:color w:val="000000" w:themeColor="text1"/>
        </w:rPr>
        <w:t>defendant</w:t>
      </w:r>
      <w:r w:rsidR="00DA7E6C" w:rsidRPr="008C4D92">
        <w:rPr>
          <w:color w:val="000000" w:themeColor="text1"/>
        </w:rPr>
        <w:t xml:space="preserve"> purports to reconstitute the proceedings on the basis that the first named defendant and the persons formerly in occupation of the property are now to be treated as notice parties to the appeal, in circumstances where the only affidavit on behalf of the defendants was </w:t>
      </w:r>
      <w:r w:rsidR="003C7EC9">
        <w:rPr>
          <w:color w:val="000000" w:themeColor="text1"/>
        </w:rPr>
        <w:t xml:space="preserve">sworn by </w:t>
      </w:r>
      <w:r w:rsidR="00DA7E6C" w:rsidRPr="008C4D92">
        <w:rPr>
          <w:color w:val="000000" w:themeColor="text1"/>
        </w:rPr>
        <w:t>the first named defendant</w:t>
      </w:r>
      <w:r w:rsidR="00CD41C0" w:rsidRPr="008C4D92">
        <w:rPr>
          <w:color w:val="000000" w:themeColor="text1"/>
        </w:rPr>
        <w:t>,</w:t>
      </w:r>
      <w:r w:rsidR="00DA7E6C" w:rsidRPr="008C4D92">
        <w:rPr>
          <w:color w:val="000000" w:themeColor="text1"/>
        </w:rPr>
        <w:t xml:space="preserve"> who has not appealed against the High Court Order. They also say that her appeal is unsustainable in circumstances where </w:t>
      </w:r>
      <w:r w:rsidR="00341A52" w:rsidRPr="008C4D92">
        <w:rPr>
          <w:color w:val="000000" w:themeColor="text1"/>
        </w:rPr>
        <w:t xml:space="preserve">the second </w:t>
      </w:r>
      <w:r w:rsidR="00213E96" w:rsidRPr="008C4D92">
        <w:rPr>
          <w:color w:val="000000" w:themeColor="text1"/>
        </w:rPr>
        <w:t xml:space="preserve">named </w:t>
      </w:r>
      <w:r w:rsidR="00341A52" w:rsidRPr="008C4D92">
        <w:rPr>
          <w:color w:val="000000" w:themeColor="text1"/>
        </w:rPr>
        <w:t>defendant</w:t>
      </w:r>
      <w:r w:rsidR="00DA7E6C" w:rsidRPr="008C4D92">
        <w:rPr>
          <w:color w:val="000000" w:themeColor="text1"/>
        </w:rPr>
        <w:t xml:space="preserve"> did not adduce any affidavit evidence independently of the replying affidavit sworn by the first named defendant who has not appealed.  The</w:t>
      </w:r>
      <w:r w:rsidR="00301458" w:rsidRPr="008C4D92">
        <w:rPr>
          <w:color w:val="000000" w:themeColor="text1"/>
        </w:rPr>
        <w:t>y</w:t>
      </w:r>
      <w:r w:rsidR="00DA7E6C" w:rsidRPr="008C4D92">
        <w:rPr>
          <w:color w:val="000000" w:themeColor="text1"/>
        </w:rPr>
        <w:t xml:space="preserve"> do not accept that the appeal is divisible</w:t>
      </w:r>
      <w:r w:rsidR="00301458" w:rsidRPr="008C4D92">
        <w:rPr>
          <w:color w:val="000000" w:themeColor="text1"/>
        </w:rPr>
        <w:t xml:space="preserve"> in this manner.</w:t>
      </w:r>
      <w:r w:rsidR="00153B91">
        <w:rPr>
          <w:color w:val="000000" w:themeColor="text1"/>
        </w:rPr>
        <w:t xml:space="preserve">  I do not think that anything turns on the manner in which the appeal was constituted. The second defendant was a party to the High Court proceedings and is entitled to appeal and rely on such affidavit evidence as was adduced in the High Court. I do not think anything of substance flows from the fact that she now describes her husband and the occupants of the property as notice parties. </w:t>
      </w:r>
    </w:p>
    <w:p w14:paraId="2E9B4F95" w14:textId="77777777" w:rsidR="00DA7E6C" w:rsidRPr="008C4D92" w:rsidRDefault="00DA7E6C" w:rsidP="008E25FE">
      <w:pPr>
        <w:spacing w:line="480" w:lineRule="auto"/>
        <w:jc w:val="both"/>
        <w:rPr>
          <w:color w:val="000000" w:themeColor="text1"/>
        </w:rPr>
      </w:pPr>
    </w:p>
    <w:p w14:paraId="1748D116" w14:textId="7A0589AD" w:rsidR="00C71F2F" w:rsidRPr="008C4D92" w:rsidRDefault="00C71F2F" w:rsidP="008E25FE">
      <w:pPr>
        <w:numPr>
          <w:ilvl w:val="0"/>
          <w:numId w:val="19"/>
        </w:numPr>
        <w:spacing w:line="480" w:lineRule="auto"/>
        <w:jc w:val="both"/>
        <w:rPr>
          <w:color w:val="000000" w:themeColor="text1"/>
        </w:rPr>
      </w:pPr>
      <w:r w:rsidRPr="008C4D92">
        <w:rPr>
          <w:color w:val="000000" w:themeColor="text1"/>
        </w:rPr>
        <w:t xml:space="preserve"> </w:t>
      </w:r>
      <w:r w:rsidR="00DA7E6C" w:rsidRPr="008C4D92">
        <w:rPr>
          <w:color w:val="000000" w:themeColor="text1"/>
        </w:rPr>
        <w:t>The grounds of appeal</w:t>
      </w:r>
      <w:r w:rsidR="00F146C9" w:rsidRPr="008C4D92">
        <w:rPr>
          <w:color w:val="000000" w:themeColor="text1"/>
        </w:rPr>
        <w:t xml:space="preserve"> filed on behalf of the second </w:t>
      </w:r>
      <w:r w:rsidR="00213E96" w:rsidRPr="008C4D92">
        <w:rPr>
          <w:color w:val="000000" w:themeColor="text1"/>
        </w:rPr>
        <w:t xml:space="preserve">named </w:t>
      </w:r>
      <w:r w:rsidR="00F146C9" w:rsidRPr="008C4D92">
        <w:rPr>
          <w:color w:val="000000" w:themeColor="text1"/>
        </w:rPr>
        <w:t>defendant</w:t>
      </w:r>
      <w:r w:rsidR="00DA7E6C" w:rsidRPr="008C4D92">
        <w:rPr>
          <w:color w:val="000000" w:themeColor="text1"/>
        </w:rPr>
        <w:t xml:space="preserve"> are relatively lengthy and I would summarise them as follows</w:t>
      </w:r>
      <w:r w:rsidR="003F57D2" w:rsidRPr="008C4D92">
        <w:rPr>
          <w:color w:val="000000" w:themeColor="text1"/>
        </w:rPr>
        <w:t>. It is contended that the trial judge erred:</w:t>
      </w:r>
    </w:p>
    <w:p w14:paraId="5F89F72E" w14:textId="6E0DBAB6" w:rsidR="0091699C" w:rsidRPr="008C4D92" w:rsidRDefault="003F57D2" w:rsidP="008E25FE">
      <w:pPr>
        <w:pStyle w:val="ListParagraph"/>
        <w:numPr>
          <w:ilvl w:val="0"/>
          <w:numId w:val="31"/>
        </w:numPr>
        <w:spacing w:line="480" w:lineRule="auto"/>
        <w:ind w:left="1134" w:hanging="567"/>
        <w:jc w:val="both"/>
        <w:rPr>
          <w:color w:val="000000" w:themeColor="text1"/>
        </w:rPr>
      </w:pPr>
      <w:r w:rsidRPr="008C4D92">
        <w:rPr>
          <w:color w:val="000000" w:themeColor="text1"/>
        </w:rPr>
        <w:t>In</w:t>
      </w:r>
      <w:r w:rsidR="00DA7E6C" w:rsidRPr="008C4D92">
        <w:rPr>
          <w:color w:val="000000" w:themeColor="text1"/>
        </w:rPr>
        <w:t xml:space="preserve"> holding that the respondents had a strong case that the appointment of the receiver was invalid</w:t>
      </w:r>
      <w:r w:rsidR="00B7133F" w:rsidRPr="008C4D92">
        <w:rPr>
          <w:color w:val="000000" w:themeColor="text1"/>
        </w:rPr>
        <w:t>,</w:t>
      </w:r>
      <w:r w:rsidR="00DA7E6C" w:rsidRPr="008C4D92">
        <w:rPr>
          <w:color w:val="000000" w:themeColor="text1"/>
        </w:rPr>
        <w:t xml:space="preserve"> and </w:t>
      </w:r>
      <w:r w:rsidR="00B7133F" w:rsidRPr="008C4D92">
        <w:rPr>
          <w:color w:val="000000" w:themeColor="text1"/>
        </w:rPr>
        <w:t xml:space="preserve">that </w:t>
      </w:r>
      <w:r w:rsidR="00AF26B8" w:rsidRPr="008C4D92">
        <w:rPr>
          <w:color w:val="000000" w:themeColor="text1"/>
        </w:rPr>
        <w:t xml:space="preserve">he </w:t>
      </w:r>
      <w:r w:rsidR="00DA7E6C" w:rsidRPr="008C4D92">
        <w:rPr>
          <w:color w:val="000000" w:themeColor="text1"/>
        </w:rPr>
        <w:t xml:space="preserve">incorrectly applied the </w:t>
      </w:r>
      <w:proofErr w:type="spellStart"/>
      <w:r w:rsidR="00DA7E6C" w:rsidRPr="008C4D92">
        <w:rPr>
          <w:i/>
          <w:color w:val="000000" w:themeColor="text1"/>
        </w:rPr>
        <w:t>Maha</w:t>
      </w:r>
      <w:proofErr w:type="spellEnd"/>
      <w:r w:rsidR="00DA7E6C" w:rsidRPr="008C4D92">
        <w:rPr>
          <w:i/>
          <w:color w:val="000000" w:themeColor="text1"/>
        </w:rPr>
        <w:t xml:space="preserve"> Ling</w:t>
      </w:r>
      <w:r w:rsidR="003C7EC9">
        <w:rPr>
          <w:i/>
          <w:color w:val="000000" w:themeColor="text1"/>
        </w:rPr>
        <w:t>a</w:t>
      </w:r>
      <w:r w:rsidR="00DA7E6C" w:rsidRPr="008C4D92">
        <w:rPr>
          <w:i/>
          <w:color w:val="000000" w:themeColor="text1"/>
        </w:rPr>
        <w:t xml:space="preserve">m </w:t>
      </w:r>
      <w:r w:rsidR="00DA7E6C" w:rsidRPr="008C4D92">
        <w:rPr>
          <w:color w:val="000000" w:themeColor="text1"/>
        </w:rPr>
        <w:t>test</w:t>
      </w:r>
      <w:r w:rsidR="0091699C" w:rsidRPr="008C4D92">
        <w:rPr>
          <w:color w:val="000000" w:themeColor="text1"/>
        </w:rPr>
        <w:t>.</w:t>
      </w:r>
    </w:p>
    <w:p w14:paraId="4ADC96C6" w14:textId="1D7CCFC9" w:rsidR="00DA7E6C" w:rsidRPr="008C4D92" w:rsidRDefault="00B7133F" w:rsidP="008E25FE">
      <w:pPr>
        <w:pStyle w:val="ListParagraph"/>
        <w:numPr>
          <w:ilvl w:val="0"/>
          <w:numId w:val="31"/>
        </w:numPr>
        <w:spacing w:line="480" w:lineRule="auto"/>
        <w:ind w:left="1134" w:hanging="567"/>
        <w:jc w:val="both"/>
        <w:rPr>
          <w:color w:val="000000" w:themeColor="text1"/>
        </w:rPr>
      </w:pPr>
      <w:r w:rsidRPr="008C4D92">
        <w:rPr>
          <w:color w:val="000000" w:themeColor="text1"/>
        </w:rPr>
        <w:lastRenderedPageBreak/>
        <w:t>In</w:t>
      </w:r>
      <w:r w:rsidR="00DA7E6C" w:rsidRPr="008C4D92">
        <w:rPr>
          <w:color w:val="000000" w:themeColor="text1"/>
        </w:rPr>
        <w:t xml:space="preserve"> </w:t>
      </w:r>
      <w:r w:rsidR="0091699C" w:rsidRPr="008C4D92">
        <w:rPr>
          <w:color w:val="000000" w:themeColor="text1"/>
        </w:rPr>
        <w:t>his conclusions concerning the documentation and in holding that the</w:t>
      </w:r>
      <w:r w:rsidR="00D0023A" w:rsidRPr="008C4D92">
        <w:rPr>
          <w:color w:val="000000" w:themeColor="text1"/>
        </w:rPr>
        <w:t>re was no</w:t>
      </w:r>
      <w:r w:rsidR="0091699C" w:rsidRPr="008C4D92">
        <w:rPr>
          <w:color w:val="000000" w:themeColor="text1"/>
        </w:rPr>
        <w:t xml:space="preserve"> issue of substance concerning the validity of the appointment in </w:t>
      </w:r>
      <w:r w:rsidR="00213E96" w:rsidRPr="008C4D92">
        <w:rPr>
          <w:color w:val="000000" w:themeColor="text1"/>
        </w:rPr>
        <w:t xml:space="preserve">the </w:t>
      </w:r>
      <w:r w:rsidR="0091699C" w:rsidRPr="008C4D92">
        <w:rPr>
          <w:color w:val="000000" w:themeColor="text1"/>
        </w:rPr>
        <w:t xml:space="preserve">power of the receiver on the basis of invalid appointment.  In this context, </w:t>
      </w:r>
      <w:r w:rsidR="00066D7E" w:rsidRPr="008C4D92">
        <w:rPr>
          <w:color w:val="000000" w:themeColor="text1"/>
        </w:rPr>
        <w:t xml:space="preserve">particular </w:t>
      </w:r>
      <w:r w:rsidR="0091699C" w:rsidRPr="008C4D92">
        <w:rPr>
          <w:color w:val="000000" w:themeColor="text1"/>
        </w:rPr>
        <w:t>complaint is made that the trial judge relied on the recital contained within the instrument of appointment of the receiver which was not an operative part of the instrument.</w:t>
      </w:r>
      <w:r w:rsidR="00562C0B" w:rsidRPr="008C4D92">
        <w:rPr>
          <w:color w:val="000000" w:themeColor="text1"/>
        </w:rPr>
        <w:t xml:space="preserve"> </w:t>
      </w:r>
      <w:r w:rsidR="00DE618A" w:rsidRPr="008C4D92">
        <w:rPr>
          <w:color w:val="000000" w:themeColor="text1"/>
        </w:rPr>
        <w:t xml:space="preserve">I pause to observe that the respondents contend that this, </w:t>
      </w:r>
      <w:r w:rsidR="00DE618A" w:rsidRPr="008C4D92">
        <w:rPr>
          <w:i/>
          <w:color w:val="000000" w:themeColor="text1"/>
        </w:rPr>
        <w:t>inter alia</w:t>
      </w:r>
      <w:r w:rsidR="00DE618A" w:rsidRPr="008C4D92">
        <w:rPr>
          <w:color w:val="000000" w:themeColor="text1"/>
        </w:rPr>
        <w:t xml:space="preserve">, is a new point made on appeal. </w:t>
      </w:r>
    </w:p>
    <w:p w14:paraId="0B90F576" w14:textId="405FF874" w:rsidR="0091699C" w:rsidRPr="008C4D92" w:rsidRDefault="00C45876" w:rsidP="008E25FE">
      <w:pPr>
        <w:pStyle w:val="ListParagraph"/>
        <w:numPr>
          <w:ilvl w:val="0"/>
          <w:numId w:val="31"/>
        </w:numPr>
        <w:spacing w:line="480" w:lineRule="auto"/>
        <w:ind w:left="1134" w:hanging="567"/>
        <w:jc w:val="both"/>
        <w:rPr>
          <w:color w:val="000000" w:themeColor="text1"/>
        </w:rPr>
      </w:pPr>
      <w:r w:rsidRPr="008C4D92">
        <w:rPr>
          <w:color w:val="000000" w:themeColor="text1"/>
        </w:rPr>
        <w:t>In</w:t>
      </w:r>
      <w:r w:rsidR="0091699C" w:rsidRPr="008C4D92">
        <w:rPr>
          <w:color w:val="000000" w:themeColor="text1"/>
        </w:rPr>
        <w:t xml:space="preserve"> finding that the errors in the documents were </w:t>
      </w:r>
      <w:r w:rsidR="0091699C" w:rsidRPr="008C4D92">
        <w:rPr>
          <w:i/>
          <w:color w:val="000000" w:themeColor="text1"/>
        </w:rPr>
        <w:t>de minimis</w:t>
      </w:r>
      <w:r w:rsidR="0091699C" w:rsidRPr="008C4D92">
        <w:rPr>
          <w:color w:val="000000" w:themeColor="text1"/>
        </w:rPr>
        <w:t xml:space="preserve"> and could be remedied by way of rectification in circumstances where the plaintiff had failed to plead rectification nor was there any indication that it would be sought before the hearing of the matter; and there was a more fundamental flaw than “appreciable deviation” from the terms of the mortgage in that it was not properly identified by the operative terms of the instrument appointing the receiver.</w:t>
      </w:r>
    </w:p>
    <w:p w14:paraId="532566F0" w14:textId="72DB7A2D" w:rsidR="0091699C" w:rsidRPr="008C4D92" w:rsidRDefault="00C45876" w:rsidP="008E25FE">
      <w:pPr>
        <w:pStyle w:val="ListParagraph"/>
        <w:numPr>
          <w:ilvl w:val="0"/>
          <w:numId w:val="31"/>
        </w:numPr>
        <w:spacing w:line="480" w:lineRule="auto"/>
        <w:ind w:left="1134" w:hanging="567"/>
        <w:jc w:val="both"/>
        <w:rPr>
          <w:color w:val="000000" w:themeColor="text1"/>
        </w:rPr>
      </w:pPr>
      <w:r w:rsidRPr="008C4D92">
        <w:rPr>
          <w:color w:val="000000" w:themeColor="text1"/>
        </w:rPr>
        <w:t>In</w:t>
      </w:r>
      <w:r w:rsidR="0091699C" w:rsidRPr="008C4D92">
        <w:rPr>
          <w:color w:val="000000" w:themeColor="text1"/>
        </w:rPr>
        <w:t xml:space="preserve"> holding that the 1998 mortgage was capable </w:t>
      </w:r>
      <w:r w:rsidRPr="008C4D92">
        <w:rPr>
          <w:color w:val="000000" w:themeColor="text1"/>
        </w:rPr>
        <w:t>of</w:t>
      </w:r>
      <w:r w:rsidR="0091699C" w:rsidRPr="008C4D92">
        <w:rPr>
          <w:color w:val="000000" w:themeColor="text1"/>
        </w:rPr>
        <w:t xml:space="preserve"> operating as a continuing security against the interests of the </w:t>
      </w:r>
      <w:r w:rsidR="006A6B90" w:rsidRPr="008C4D92">
        <w:rPr>
          <w:color w:val="000000" w:themeColor="text1"/>
        </w:rPr>
        <w:t>second</w:t>
      </w:r>
      <w:r w:rsidR="00E92AD7" w:rsidRPr="008C4D92">
        <w:rPr>
          <w:color w:val="000000" w:themeColor="text1"/>
        </w:rPr>
        <w:t xml:space="preserve"> named</w:t>
      </w:r>
      <w:r w:rsidR="006A6B90" w:rsidRPr="008C4D92">
        <w:rPr>
          <w:color w:val="000000" w:themeColor="text1"/>
        </w:rPr>
        <w:t xml:space="preserve"> defendant</w:t>
      </w:r>
      <w:r w:rsidR="0091699C" w:rsidRPr="008C4D92">
        <w:rPr>
          <w:color w:val="000000" w:themeColor="text1"/>
        </w:rPr>
        <w:t xml:space="preserve"> in circumstances where</w:t>
      </w:r>
      <w:r w:rsidR="006A6B90" w:rsidRPr="008C4D92">
        <w:rPr>
          <w:color w:val="000000" w:themeColor="text1"/>
        </w:rPr>
        <w:t xml:space="preserve"> she was </w:t>
      </w:r>
      <w:r w:rsidR="0091699C" w:rsidRPr="008C4D92">
        <w:rPr>
          <w:color w:val="000000" w:themeColor="text1"/>
        </w:rPr>
        <w:t>not a party to the 2008 loan, where that loan had discharged the previous 1998 loan, and where there was no evidence before the trial judge that the liability on foot of the guarantee had been called in.</w:t>
      </w:r>
    </w:p>
    <w:p w14:paraId="5CEAF26E" w14:textId="1FC0D7F2" w:rsidR="0091699C" w:rsidRPr="008C4D92" w:rsidRDefault="00926BA8" w:rsidP="008E25FE">
      <w:pPr>
        <w:pStyle w:val="ListParagraph"/>
        <w:numPr>
          <w:ilvl w:val="0"/>
          <w:numId w:val="31"/>
        </w:numPr>
        <w:spacing w:line="480" w:lineRule="auto"/>
        <w:ind w:left="1134" w:hanging="567"/>
        <w:jc w:val="both"/>
        <w:rPr>
          <w:color w:val="000000" w:themeColor="text1"/>
        </w:rPr>
      </w:pPr>
      <w:r w:rsidRPr="008C4D92">
        <w:rPr>
          <w:color w:val="000000" w:themeColor="text1"/>
        </w:rPr>
        <w:t xml:space="preserve">In </w:t>
      </w:r>
      <w:r w:rsidR="0091699C" w:rsidRPr="008C4D92">
        <w:rPr>
          <w:color w:val="000000" w:themeColor="text1"/>
        </w:rPr>
        <w:t xml:space="preserve">determining that the 1998 </w:t>
      </w:r>
      <w:r w:rsidR="009F1E17" w:rsidRPr="008C4D92">
        <w:rPr>
          <w:color w:val="000000" w:themeColor="text1"/>
        </w:rPr>
        <w:t>mortgage</w:t>
      </w:r>
      <w:r w:rsidR="0091699C" w:rsidRPr="008C4D92">
        <w:rPr>
          <w:color w:val="000000" w:themeColor="text1"/>
        </w:rPr>
        <w:t xml:space="preserve"> was a continuing security notwithstanding that he had no evidence that the 2008 loan was made on the security</w:t>
      </w:r>
      <w:r w:rsidRPr="008C4D92">
        <w:rPr>
          <w:color w:val="000000" w:themeColor="text1"/>
        </w:rPr>
        <w:t xml:space="preserve"> of the second defendant’s</w:t>
      </w:r>
      <w:r w:rsidR="0091699C" w:rsidRPr="008C4D92">
        <w:rPr>
          <w:color w:val="000000" w:themeColor="text1"/>
        </w:rPr>
        <w:t xml:space="preserve"> interests in the property secured by the 1998 mortgage, and</w:t>
      </w:r>
      <w:r w:rsidR="00F41390" w:rsidRPr="008C4D92">
        <w:rPr>
          <w:color w:val="000000" w:themeColor="text1"/>
        </w:rPr>
        <w:t xml:space="preserve"> where,</w:t>
      </w:r>
      <w:r w:rsidR="0091699C" w:rsidRPr="008C4D92">
        <w:rPr>
          <w:color w:val="000000" w:themeColor="text1"/>
        </w:rPr>
        <w:t xml:space="preserve"> on the contrary, a letter of guarantee was required</w:t>
      </w:r>
      <w:r w:rsidR="009F1E17" w:rsidRPr="008C4D92">
        <w:rPr>
          <w:color w:val="000000" w:themeColor="text1"/>
        </w:rPr>
        <w:t xml:space="preserve"> from her</w:t>
      </w:r>
      <w:r w:rsidR="0091699C" w:rsidRPr="008C4D92">
        <w:rPr>
          <w:color w:val="000000" w:themeColor="text1"/>
        </w:rPr>
        <w:t xml:space="preserve"> as security </w:t>
      </w:r>
      <w:r w:rsidR="00A7248F" w:rsidRPr="008C4D92">
        <w:rPr>
          <w:color w:val="000000" w:themeColor="text1"/>
        </w:rPr>
        <w:t>for</w:t>
      </w:r>
      <w:r w:rsidR="0091699C" w:rsidRPr="008C4D92">
        <w:rPr>
          <w:color w:val="000000" w:themeColor="text1"/>
        </w:rPr>
        <w:t xml:space="preserve"> that loan.  That letter was not in evidence at the hearing in the High Court nor was the letter of demand.  It was also pleaded that he erred in </w:t>
      </w:r>
      <w:r w:rsidR="0091699C" w:rsidRPr="008C4D92">
        <w:rPr>
          <w:color w:val="000000" w:themeColor="text1"/>
        </w:rPr>
        <w:lastRenderedPageBreak/>
        <w:t xml:space="preserve">finding that the joint liability aspect of the definition of mortgagor in the 1998 mortgage created a joint liability for the 2008 loan, because the terms of the 1998 mortgage made it clear that the </w:t>
      </w:r>
      <w:r w:rsidR="00AA69CA" w:rsidRPr="008C4D92">
        <w:rPr>
          <w:color w:val="000000" w:themeColor="text1"/>
        </w:rPr>
        <w:t>covenants</w:t>
      </w:r>
      <w:r w:rsidR="0091699C" w:rsidRPr="008C4D92">
        <w:rPr>
          <w:color w:val="000000" w:themeColor="text1"/>
        </w:rPr>
        <w:t xml:space="preserve"> and agreement</w:t>
      </w:r>
      <w:r w:rsidR="00AA69CA" w:rsidRPr="008C4D92">
        <w:rPr>
          <w:color w:val="000000" w:themeColor="text1"/>
        </w:rPr>
        <w:t xml:space="preserve">s were entered into jointly and severally.  </w:t>
      </w:r>
      <w:r w:rsidR="00F41390" w:rsidRPr="008C4D92">
        <w:rPr>
          <w:color w:val="000000" w:themeColor="text1"/>
        </w:rPr>
        <w:t>It is pleaded that the second defendant</w:t>
      </w:r>
      <w:r w:rsidR="00AA69CA" w:rsidRPr="008C4D92">
        <w:rPr>
          <w:color w:val="000000" w:themeColor="text1"/>
        </w:rPr>
        <w:t xml:space="preserve"> is entitled to redeem the 1998 mortgage insofar as it affects her obligations and interests thereunder, because of the repayment of the monies secured by the 1998 mortgage</w:t>
      </w:r>
      <w:r w:rsidR="00F41390" w:rsidRPr="008C4D92">
        <w:rPr>
          <w:color w:val="000000" w:themeColor="text1"/>
        </w:rPr>
        <w:t>, and that she</w:t>
      </w:r>
      <w:r w:rsidR="00AA69CA" w:rsidRPr="008C4D92">
        <w:rPr>
          <w:color w:val="000000" w:themeColor="text1"/>
        </w:rPr>
        <w:t xml:space="preserve"> is entitled to make this claim by way of counterclaim at the hearing of the proceedings in the High Court. </w:t>
      </w:r>
    </w:p>
    <w:p w14:paraId="3C635FB8" w14:textId="6A48A0FA" w:rsidR="00AA69CA" w:rsidRPr="008C4D92" w:rsidRDefault="00AA69CA" w:rsidP="008E25FE">
      <w:pPr>
        <w:pStyle w:val="ListParagraph"/>
        <w:numPr>
          <w:ilvl w:val="0"/>
          <w:numId w:val="31"/>
        </w:numPr>
        <w:spacing w:line="480" w:lineRule="auto"/>
        <w:ind w:left="1134" w:hanging="567"/>
        <w:jc w:val="both"/>
        <w:rPr>
          <w:color w:val="000000" w:themeColor="text1"/>
        </w:rPr>
      </w:pPr>
      <w:r w:rsidRPr="008C4D92">
        <w:rPr>
          <w:color w:val="000000" w:themeColor="text1"/>
        </w:rPr>
        <w:t>Th</w:t>
      </w:r>
      <w:r w:rsidR="000547E1" w:rsidRPr="008C4D92">
        <w:rPr>
          <w:color w:val="000000" w:themeColor="text1"/>
        </w:rPr>
        <w:t>at there</w:t>
      </w:r>
      <w:r w:rsidRPr="008C4D92">
        <w:rPr>
          <w:color w:val="000000" w:themeColor="text1"/>
        </w:rPr>
        <w:t xml:space="preserve"> was no evidence before the trial judge that any liability had been called in on foot of the guarantee and</w:t>
      </w:r>
      <w:r w:rsidR="000547E1" w:rsidRPr="008C4D92">
        <w:rPr>
          <w:color w:val="000000" w:themeColor="text1"/>
        </w:rPr>
        <w:t xml:space="preserve"> that</w:t>
      </w:r>
      <w:r w:rsidRPr="008C4D92">
        <w:rPr>
          <w:color w:val="000000" w:themeColor="text1"/>
        </w:rPr>
        <w:t xml:space="preserve"> in fact it was called in by letter of demand dated</w:t>
      </w:r>
      <w:r w:rsidR="0073244F" w:rsidRPr="008C4D92">
        <w:rPr>
          <w:color w:val="000000" w:themeColor="text1"/>
        </w:rPr>
        <w:t xml:space="preserve"> the</w:t>
      </w:r>
      <w:r w:rsidRPr="008C4D92">
        <w:rPr>
          <w:color w:val="000000" w:themeColor="text1"/>
        </w:rPr>
        <w:t xml:space="preserve"> 1 April 2014</w:t>
      </w:r>
      <w:r w:rsidR="000547E1" w:rsidRPr="008C4D92">
        <w:rPr>
          <w:color w:val="000000" w:themeColor="text1"/>
        </w:rPr>
        <w:t>;</w:t>
      </w:r>
      <w:r w:rsidRPr="008C4D92">
        <w:rPr>
          <w:color w:val="000000" w:themeColor="text1"/>
        </w:rPr>
        <w:t xml:space="preserve"> any liability is statute</w:t>
      </w:r>
      <w:r w:rsidR="0073244F" w:rsidRPr="008C4D92">
        <w:rPr>
          <w:color w:val="000000" w:themeColor="text1"/>
        </w:rPr>
        <w:t>-</w:t>
      </w:r>
      <w:r w:rsidRPr="008C4D92">
        <w:rPr>
          <w:color w:val="000000" w:themeColor="text1"/>
        </w:rPr>
        <w:t xml:space="preserve">barred because no proceedings </w:t>
      </w:r>
      <w:r w:rsidR="0073244F" w:rsidRPr="008C4D92">
        <w:rPr>
          <w:color w:val="000000" w:themeColor="text1"/>
        </w:rPr>
        <w:t xml:space="preserve">were </w:t>
      </w:r>
      <w:r w:rsidRPr="008C4D92">
        <w:rPr>
          <w:color w:val="000000" w:themeColor="text1"/>
        </w:rPr>
        <w:t xml:space="preserve">issued thereafter.  </w:t>
      </w:r>
    </w:p>
    <w:p w14:paraId="4B5BF60D" w14:textId="7BC69D8B" w:rsidR="00AA69CA" w:rsidRPr="008C4D92" w:rsidRDefault="00A21617" w:rsidP="008E25FE">
      <w:pPr>
        <w:pStyle w:val="ListParagraph"/>
        <w:numPr>
          <w:ilvl w:val="0"/>
          <w:numId w:val="31"/>
        </w:numPr>
        <w:spacing w:line="480" w:lineRule="auto"/>
        <w:ind w:left="1134" w:hanging="567"/>
        <w:jc w:val="both"/>
        <w:rPr>
          <w:color w:val="000000" w:themeColor="text1"/>
        </w:rPr>
      </w:pPr>
      <w:r w:rsidRPr="008C4D92">
        <w:rPr>
          <w:color w:val="000000" w:themeColor="text1"/>
        </w:rPr>
        <w:t>That he incorrectly</w:t>
      </w:r>
      <w:r w:rsidR="00AA69CA" w:rsidRPr="008C4D92">
        <w:rPr>
          <w:color w:val="000000" w:themeColor="text1"/>
        </w:rPr>
        <w:t xml:space="preserve"> concluded that having regard to the decision in </w:t>
      </w:r>
      <w:r w:rsidR="00AA69CA" w:rsidRPr="008C4D92">
        <w:rPr>
          <w:i/>
          <w:color w:val="000000" w:themeColor="text1"/>
        </w:rPr>
        <w:t>Tanager D</w:t>
      </w:r>
      <w:r w:rsidR="0073244F" w:rsidRPr="008C4D92">
        <w:rPr>
          <w:i/>
          <w:color w:val="000000" w:themeColor="text1"/>
        </w:rPr>
        <w:t>.</w:t>
      </w:r>
      <w:r w:rsidR="00AA69CA" w:rsidRPr="008C4D92">
        <w:rPr>
          <w:i/>
          <w:color w:val="000000" w:themeColor="text1"/>
        </w:rPr>
        <w:t>A</w:t>
      </w:r>
      <w:r w:rsidR="0073244F" w:rsidRPr="008C4D92">
        <w:rPr>
          <w:i/>
          <w:color w:val="000000" w:themeColor="text1"/>
        </w:rPr>
        <w:t>.</w:t>
      </w:r>
      <w:r w:rsidR="00AA69CA" w:rsidRPr="008C4D92">
        <w:rPr>
          <w:i/>
          <w:color w:val="000000" w:themeColor="text1"/>
        </w:rPr>
        <w:t>C</w:t>
      </w:r>
      <w:r w:rsidR="0073244F" w:rsidRPr="008C4D92">
        <w:rPr>
          <w:i/>
          <w:color w:val="000000" w:themeColor="text1"/>
        </w:rPr>
        <w:t xml:space="preserve">. </w:t>
      </w:r>
      <w:r w:rsidR="00AA69CA" w:rsidRPr="008C4D92">
        <w:rPr>
          <w:i/>
          <w:color w:val="000000" w:themeColor="text1"/>
        </w:rPr>
        <w:t xml:space="preserve">v. Kane </w:t>
      </w:r>
      <w:r w:rsidR="00AA69CA" w:rsidRPr="008C4D92">
        <w:rPr>
          <w:color w:val="000000" w:themeColor="text1"/>
        </w:rPr>
        <w:t xml:space="preserve">and </w:t>
      </w:r>
      <w:r w:rsidR="003C7EC9">
        <w:rPr>
          <w:color w:val="000000" w:themeColor="text1"/>
        </w:rPr>
        <w:t>S</w:t>
      </w:r>
      <w:r w:rsidR="0073244F" w:rsidRPr="008C4D92">
        <w:rPr>
          <w:color w:val="000000" w:themeColor="text1"/>
        </w:rPr>
        <w:t xml:space="preserve">ection </w:t>
      </w:r>
      <w:r w:rsidR="00AA69CA" w:rsidRPr="008C4D92">
        <w:rPr>
          <w:color w:val="000000" w:themeColor="text1"/>
        </w:rPr>
        <w:t xml:space="preserve">64 of Registration of Title Act 1964, the </w:t>
      </w:r>
      <w:r w:rsidR="00CF3FD0" w:rsidRPr="008C4D92">
        <w:rPr>
          <w:color w:val="000000" w:themeColor="text1"/>
        </w:rPr>
        <w:t xml:space="preserve">second </w:t>
      </w:r>
      <w:r w:rsidR="0073244F" w:rsidRPr="008C4D92">
        <w:rPr>
          <w:color w:val="000000" w:themeColor="text1"/>
        </w:rPr>
        <w:t xml:space="preserve">named </w:t>
      </w:r>
      <w:r w:rsidR="00CF3FD0" w:rsidRPr="008C4D92">
        <w:rPr>
          <w:color w:val="000000" w:themeColor="text1"/>
        </w:rPr>
        <w:t>defendant</w:t>
      </w:r>
      <w:r w:rsidR="00AA69CA" w:rsidRPr="008C4D92">
        <w:rPr>
          <w:color w:val="000000" w:themeColor="text1"/>
        </w:rPr>
        <w:t xml:space="preserve"> was not entitled to challenge the registration of the </w:t>
      </w:r>
      <w:r w:rsidR="00E31E46" w:rsidRPr="008C4D92">
        <w:rPr>
          <w:color w:val="000000" w:themeColor="text1"/>
        </w:rPr>
        <w:t>first plaintiff</w:t>
      </w:r>
      <w:r w:rsidR="00AA69CA" w:rsidRPr="008C4D92">
        <w:rPr>
          <w:color w:val="000000" w:themeColor="text1"/>
        </w:rPr>
        <w:t xml:space="preserve"> as owner of the charge.  The relevant legislation related only to the title of the owner of the charge but not the issue of whether the owner of the charge had satisfied the necessary proof</w:t>
      </w:r>
      <w:r w:rsidR="004254EB" w:rsidRPr="008C4D92">
        <w:rPr>
          <w:color w:val="000000" w:themeColor="text1"/>
        </w:rPr>
        <w:t>s,</w:t>
      </w:r>
      <w:r w:rsidR="00AA69CA" w:rsidRPr="008C4D92">
        <w:rPr>
          <w:color w:val="000000" w:themeColor="text1"/>
        </w:rPr>
        <w:t xml:space="preserve"> which it had not done in this case. </w:t>
      </w:r>
    </w:p>
    <w:p w14:paraId="21FB3341" w14:textId="77777777" w:rsidR="00AA69CA" w:rsidRPr="008C4D92" w:rsidRDefault="00AA69CA" w:rsidP="008E25FE">
      <w:pPr>
        <w:spacing w:line="480" w:lineRule="auto"/>
        <w:jc w:val="both"/>
        <w:rPr>
          <w:color w:val="000000" w:themeColor="text1"/>
        </w:rPr>
      </w:pPr>
    </w:p>
    <w:p w14:paraId="3CEA18FC" w14:textId="0D96C7F9" w:rsidR="00C71F2F" w:rsidRPr="008C4D92" w:rsidRDefault="00C71F2F" w:rsidP="008E25FE">
      <w:pPr>
        <w:numPr>
          <w:ilvl w:val="0"/>
          <w:numId w:val="19"/>
        </w:numPr>
        <w:spacing w:line="480" w:lineRule="auto"/>
        <w:jc w:val="both"/>
        <w:rPr>
          <w:color w:val="000000" w:themeColor="text1"/>
        </w:rPr>
      </w:pPr>
      <w:r w:rsidRPr="008C4D92">
        <w:rPr>
          <w:color w:val="000000" w:themeColor="text1"/>
        </w:rPr>
        <w:t xml:space="preserve"> </w:t>
      </w:r>
      <w:r w:rsidR="00AA69CA" w:rsidRPr="008C4D92">
        <w:rPr>
          <w:color w:val="000000" w:themeColor="text1"/>
        </w:rPr>
        <w:t xml:space="preserve">The </w:t>
      </w:r>
      <w:r w:rsidR="00587300" w:rsidRPr="008C4D92">
        <w:rPr>
          <w:color w:val="000000" w:themeColor="text1"/>
        </w:rPr>
        <w:t>plaintiffs</w:t>
      </w:r>
      <w:r w:rsidR="00E94A89" w:rsidRPr="008C4D92">
        <w:rPr>
          <w:color w:val="000000" w:themeColor="text1"/>
        </w:rPr>
        <w:t xml:space="preserve"> oppos</w:t>
      </w:r>
      <w:r w:rsidR="00A620CD" w:rsidRPr="008C4D92">
        <w:rPr>
          <w:color w:val="000000" w:themeColor="text1"/>
        </w:rPr>
        <w:t>e</w:t>
      </w:r>
      <w:r w:rsidR="00E94A89" w:rsidRPr="008C4D92">
        <w:rPr>
          <w:color w:val="000000" w:themeColor="text1"/>
        </w:rPr>
        <w:t xml:space="preserve"> the appeal in full</w:t>
      </w:r>
      <w:r w:rsidR="002E2DA3" w:rsidRPr="008C4D92">
        <w:rPr>
          <w:color w:val="000000" w:themeColor="text1"/>
        </w:rPr>
        <w:t xml:space="preserve"> and rely upon the trial judge’s judgment which they contend is correct</w:t>
      </w:r>
      <w:r w:rsidR="00E94A89" w:rsidRPr="008C4D92">
        <w:rPr>
          <w:color w:val="000000" w:themeColor="text1"/>
        </w:rPr>
        <w:t xml:space="preserve">. They plead that the errors in the documents did not impact on the validity of the appointment of the </w:t>
      </w:r>
      <w:r w:rsidR="00A620CD" w:rsidRPr="008C4D92">
        <w:rPr>
          <w:color w:val="000000" w:themeColor="text1"/>
        </w:rPr>
        <w:t>second and third plaintiffs</w:t>
      </w:r>
      <w:r w:rsidR="00E94A89" w:rsidRPr="008C4D92">
        <w:rPr>
          <w:color w:val="000000" w:themeColor="text1"/>
        </w:rPr>
        <w:t xml:space="preserve"> and/or were matters to be corrected/rectified at the hearing of the proceedings. </w:t>
      </w:r>
      <w:r w:rsidR="00345ECD" w:rsidRPr="008C4D92">
        <w:rPr>
          <w:color w:val="000000" w:themeColor="text1"/>
        </w:rPr>
        <w:t xml:space="preserve">They also contend that the second </w:t>
      </w:r>
      <w:r w:rsidR="0073244F" w:rsidRPr="008C4D92">
        <w:rPr>
          <w:color w:val="000000" w:themeColor="text1"/>
        </w:rPr>
        <w:t xml:space="preserve">named </w:t>
      </w:r>
      <w:r w:rsidR="00345ECD" w:rsidRPr="008C4D92">
        <w:rPr>
          <w:color w:val="000000" w:themeColor="text1"/>
        </w:rPr>
        <w:t>defendant continues to be bound by the 1998 mortgage</w:t>
      </w:r>
      <w:r w:rsidR="00283360" w:rsidRPr="008C4D92">
        <w:rPr>
          <w:color w:val="000000" w:themeColor="text1"/>
        </w:rPr>
        <w:t xml:space="preserve"> and </w:t>
      </w:r>
      <w:r w:rsidR="00236FCF" w:rsidRPr="008C4D92">
        <w:rPr>
          <w:color w:val="000000" w:themeColor="text1"/>
        </w:rPr>
        <w:t xml:space="preserve">they </w:t>
      </w:r>
      <w:r w:rsidR="00283360" w:rsidRPr="008C4D92">
        <w:rPr>
          <w:color w:val="000000" w:themeColor="text1"/>
        </w:rPr>
        <w:t xml:space="preserve">rely heavily upon the conclusiveness of the Register as discussed in </w:t>
      </w:r>
      <w:r w:rsidR="00283360" w:rsidRPr="008C4D92">
        <w:rPr>
          <w:i/>
          <w:color w:val="000000" w:themeColor="text1"/>
        </w:rPr>
        <w:t>Tanager</w:t>
      </w:r>
      <w:r w:rsidR="0073244F" w:rsidRPr="008C4D92">
        <w:rPr>
          <w:i/>
          <w:color w:val="000000" w:themeColor="text1"/>
        </w:rPr>
        <w:t xml:space="preserve"> D.A.C.</w:t>
      </w:r>
      <w:r w:rsidR="00283360" w:rsidRPr="008C4D92">
        <w:rPr>
          <w:i/>
          <w:color w:val="000000" w:themeColor="text1"/>
        </w:rPr>
        <w:t xml:space="preserve"> v. Kane.</w:t>
      </w:r>
      <w:r w:rsidR="008F6A74" w:rsidRPr="008C4D92">
        <w:rPr>
          <w:i/>
          <w:color w:val="000000" w:themeColor="text1"/>
        </w:rPr>
        <w:t xml:space="preserve"> </w:t>
      </w:r>
      <w:r w:rsidR="008F6A74" w:rsidRPr="008C4D92">
        <w:rPr>
          <w:color w:val="000000" w:themeColor="text1"/>
        </w:rPr>
        <w:t xml:space="preserve">They also </w:t>
      </w:r>
      <w:r w:rsidR="008F6A74" w:rsidRPr="008C4D92">
        <w:rPr>
          <w:color w:val="000000" w:themeColor="text1"/>
        </w:rPr>
        <w:lastRenderedPageBreak/>
        <w:t xml:space="preserve">contend that the Court could apply the “fair issue to be tried” standard to the case because there is no question of the property being sold prior to trial and the only issue is maintaining the property in the meantime. </w:t>
      </w:r>
    </w:p>
    <w:p w14:paraId="5CDF1D71" w14:textId="77777777" w:rsidR="007D0905" w:rsidRDefault="007D0905" w:rsidP="008E25FE">
      <w:pPr>
        <w:pStyle w:val="Heading1"/>
        <w:jc w:val="both"/>
        <w:rPr>
          <w:rFonts w:cs="Times New Roman"/>
          <w:color w:val="000000" w:themeColor="text1"/>
          <w:sz w:val="28"/>
          <w:szCs w:val="28"/>
        </w:rPr>
      </w:pPr>
    </w:p>
    <w:p w14:paraId="7BCD4340" w14:textId="2F013871" w:rsidR="00E94A89" w:rsidRPr="008C4D92" w:rsidRDefault="003F673A" w:rsidP="008E25FE">
      <w:pPr>
        <w:pStyle w:val="Heading1"/>
        <w:jc w:val="both"/>
        <w:rPr>
          <w:rFonts w:cs="Times New Roman"/>
          <w:b w:val="0"/>
          <w:color w:val="000000" w:themeColor="text1"/>
          <w:sz w:val="28"/>
          <w:szCs w:val="28"/>
        </w:rPr>
      </w:pPr>
      <w:r w:rsidRPr="008C4D92">
        <w:rPr>
          <w:rFonts w:cs="Times New Roman"/>
          <w:color w:val="000000" w:themeColor="text1"/>
          <w:sz w:val="28"/>
          <w:szCs w:val="28"/>
        </w:rPr>
        <w:t>Discussion</w:t>
      </w:r>
    </w:p>
    <w:p w14:paraId="0C99E7F0" w14:textId="77777777" w:rsidR="00E94A89" w:rsidRPr="008C4D92" w:rsidRDefault="00E94A89" w:rsidP="008E25FE">
      <w:pPr>
        <w:jc w:val="both"/>
        <w:rPr>
          <w:color w:val="000000" w:themeColor="text1"/>
        </w:rPr>
      </w:pPr>
    </w:p>
    <w:p w14:paraId="751C21D0" w14:textId="6C825347" w:rsidR="0051611D" w:rsidRPr="008C4D92" w:rsidRDefault="00C71F2F" w:rsidP="003F673A">
      <w:pPr>
        <w:numPr>
          <w:ilvl w:val="0"/>
          <w:numId w:val="19"/>
        </w:numPr>
        <w:spacing w:line="480" w:lineRule="auto"/>
        <w:jc w:val="both"/>
        <w:rPr>
          <w:color w:val="000000" w:themeColor="text1"/>
        </w:rPr>
      </w:pPr>
      <w:r w:rsidRPr="008C4D92">
        <w:rPr>
          <w:color w:val="000000" w:themeColor="text1"/>
        </w:rPr>
        <w:t xml:space="preserve"> </w:t>
      </w:r>
      <w:r w:rsidR="009B677C" w:rsidRPr="008C4D92">
        <w:rPr>
          <w:color w:val="000000" w:themeColor="text1"/>
        </w:rPr>
        <w:t xml:space="preserve">It is important to note at the outset that this is not a case where the plaintiffs sought an order for possession in summary proceedings </w:t>
      </w:r>
      <w:r w:rsidR="006C0A16" w:rsidRPr="008C4D92">
        <w:rPr>
          <w:color w:val="000000" w:themeColor="text1"/>
        </w:rPr>
        <w:t xml:space="preserve">pursuant to </w:t>
      </w:r>
      <w:r w:rsidR="003C7EC9">
        <w:rPr>
          <w:color w:val="000000" w:themeColor="text1"/>
        </w:rPr>
        <w:t>S</w:t>
      </w:r>
      <w:r w:rsidR="0073244F" w:rsidRPr="008C4D92">
        <w:rPr>
          <w:color w:val="000000" w:themeColor="text1"/>
        </w:rPr>
        <w:t xml:space="preserve">ection </w:t>
      </w:r>
      <w:r w:rsidR="006C0A16" w:rsidRPr="008C4D92">
        <w:rPr>
          <w:color w:val="000000" w:themeColor="text1"/>
        </w:rPr>
        <w:t xml:space="preserve">62(7) of the Registration </w:t>
      </w:r>
      <w:r w:rsidR="000F5FFE" w:rsidRPr="008C4D92">
        <w:rPr>
          <w:color w:val="000000" w:themeColor="text1"/>
        </w:rPr>
        <w:t>of Title Act 1964</w:t>
      </w:r>
      <w:r w:rsidR="00240F25">
        <w:rPr>
          <w:color w:val="000000" w:themeColor="text1"/>
        </w:rPr>
        <w:t>,</w:t>
      </w:r>
      <w:r w:rsidR="000F5FFE" w:rsidRPr="008C4D92">
        <w:rPr>
          <w:color w:val="000000" w:themeColor="text1"/>
        </w:rPr>
        <w:t xml:space="preserve"> </w:t>
      </w:r>
      <w:r w:rsidR="009B677C" w:rsidRPr="008C4D92">
        <w:rPr>
          <w:color w:val="000000" w:themeColor="text1"/>
        </w:rPr>
        <w:t>but rather a case where the plaintiffs had issued plenary proceedings seeking a panoply of equitable reliefs (</w:t>
      </w:r>
      <w:r w:rsidR="003C7EC9">
        <w:rPr>
          <w:color w:val="000000" w:themeColor="text1"/>
        </w:rPr>
        <w:t xml:space="preserve">i.e. </w:t>
      </w:r>
      <w:r w:rsidR="009B677C" w:rsidRPr="008C4D92">
        <w:rPr>
          <w:color w:val="000000" w:themeColor="text1"/>
        </w:rPr>
        <w:t>declarations and injunctions) and</w:t>
      </w:r>
      <w:r w:rsidR="00F977BD" w:rsidRPr="008C4D92">
        <w:rPr>
          <w:color w:val="000000" w:themeColor="text1"/>
        </w:rPr>
        <w:t xml:space="preserve"> then</w:t>
      </w:r>
      <w:r w:rsidR="009B677C" w:rsidRPr="008C4D92">
        <w:rPr>
          <w:color w:val="000000" w:themeColor="text1"/>
        </w:rPr>
        <w:t xml:space="preserve"> sought an interlocutory injunction within those proceedings. </w:t>
      </w:r>
      <w:r w:rsidR="001310FB" w:rsidRPr="008C4D92">
        <w:rPr>
          <w:color w:val="000000" w:themeColor="text1"/>
        </w:rPr>
        <w:t xml:space="preserve">The plaintiffs </w:t>
      </w:r>
      <w:r w:rsidR="00894509">
        <w:rPr>
          <w:color w:val="000000" w:themeColor="text1"/>
        </w:rPr>
        <w:t xml:space="preserve">have </w:t>
      </w:r>
      <w:r w:rsidR="001310FB" w:rsidRPr="008C4D92">
        <w:rPr>
          <w:color w:val="000000" w:themeColor="text1"/>
        </w:rPr>
        <w:t>therefore</w:t>
      </w:r>
      <w:r w:rsidR="00ED6F11">
        <w:rPr>
          <w:color w:val="000000" w:themeColor="text1"/>
        </w:rPr>
        <w:t xml:space="preserve"> chosen to</w:t>
      </w:r>
      <w:r w:rsidR="001310FB" w:rsidRPr="008C4D92">
        <w:rPr>
          <w:color w:val="000000" w:themeColor="text1"/>
        </w:rPr>
        <w:t xml:space="preserve"> invoke the equitable jurisdiction of the courts</w:t>
      </w:r>
      <w:r w:rsidR="00894509">
        <w:rPr>
          <w:color w:val="000000" w:themeColor="text1"/>
        </w:rPr>
        <w:t xml:space="preserve"> rather than the statutory procedure for obtaining possession</w:t>
      </w:r>
      <w:r w:rsidR="001310FB" w:rsidRPr="008C4D92">
        <w:rPr>
          <w:color w:val="000000" w:themeColor="text1"/>
        </w:rPr>
        <w:t xml:space="preserve">. </w:t>
      </w:r>
    </w:p>
    <w:p w14:paraId="11F5DA83" w14:textId="77777777" w:rsidR="003F673A" w:rsidRPr="008C4D92" w:rsidRDefault="003F673A" w:rsidP="003F673A">
      <w:pPr>
        <w:spacing w:line="480" w:lineRule="auto"/>
        <w:jc w:val="both"/>
        <w:rPr>
          <w:color w:val="000000" w:themeColor="text1"/>
        </w:rPr>
      </w:pPr>
    </w:p>
    <w:p w14:paraId="684DE5F9" w14:textId="77777777" w:rsidR="003F673A" w:rsidRPr="008C4D92" w:rsidRDefault="00E94A89" w:rsidP="008E25FE">
      <w:pPr>
        <w:numPr>
          <w:ilvl w:val="0"/>
          <w:numId w:val="19"/>
        </w:numPr>
        <w:spacing w:line="480" w:lineRule="auto"/>
        <w:jc w:val="both"/>
        <w:rPr>
          <w:color w:val="000000" w:themeColor="text1"/>
        </w:rPr>
      </w:pPr>
      <w:r w:rsidRPr="008C4D92">
        <w:rPr>
          <w:color w:val="000000" w:themeColor="text1"/>
        </w:rPr>
        <w:t xml:space="preserve">The appeal </w:t>
      </w:r>
      <w:r w:rsidR="003F673A" w:rsidRPr="008C4D92">
        <w:rPr>
          <w:color w:val="000000" w:themeColor="text1"/>
        </w:rPr>
        <w:t>raises a number of issues which may be enumerated as follows:</w:t>
      </w:r>
    </w:p>
    <w:p w14:paraId="0F7C7EAA" w14:textId="77777777" w:rsidR="003F673A" w:rsidRPr="008C4D92" w:rsidRDefault="003F673A" w:rsidP="003F673A">
      <w:pPr>
        <w:pStyle w:val="ListParagraph"/>
        <w:rPr>
          <w:color w:val="000000" w:themeColor="text1"/>
        </w:rPr>
      </w:pPr>
    </w:p>
    <w:p w14:paraId="17F4E81A" w14:textId="3B1406D6" w:rsidR="009E45B0" w:rsidRPr="008C4D92" w:rsidRDefault="009E45B0" w:rsidP="009E45B0">
      <w:pPr>
        <w:numPr>
          <w:ilvl w:val="1"/>
          <w:numId w:val="19"/>
        </w:numPr>
        <w:spacing w:line="480" w:lineRule="auto"/>
        <w:jc w:val="both"/>
        <w:rPr>
          <w:color w:val="000000" w:themeColor="text1"/>
        </w:rPr>
      </w:pPr>
      <w:r w:rsidRPr="002A13D2">
        <w:rPr>
          <w:color w:val="000000" w:themeColor="text1"/>
        </w:rPr>
        <w:t>Wh</w:t>
      </w:r>
      <w:r w:rsidR="004A159C">
        <w:rPr>
          <w:color w:val="000000" w:themeColor="text1"/>
        </w:rPr>
        <w:t>ether</w:t>
      </w:r>
      <w:r w:rsidRPr="002A13D2">
        <w:rPr>
          <w:color w:val="000000" w:themeColor="text1"/>
        </w:rPr>
        <w:t xml:space="preserve"> the appropriat</w:t>
      </w:r>
      <w:r>
        <w:rPr>
          <w:color w:val="000000" w:themeColor="text1"/>
        </w:rPr>
        <w:t>e threshold</w:t>
      </w:r>
      <w:r w:rsidRPr="002A13D2">
        <w:rPr>
          <w:color w:val="000000" w:themeColor="text1"/>
        </w:rPr>
        <w:t xml:space="preserve"> to be met by the plaintiffs </w:t>
      </w:r>
      <w:r>
        <w:rPr>
          <w:color w:val="000000" w:themeColor="text1"/>
        </w:rPr>
        <w:t xml:space="preserve">in this case is </w:t>
      </w:r>
      <w:r w:rsidRPr="002A13D2">
        <w:rPr>
          <w:color w:val="000000" w:themeColor="text1"/>
        </w:rPr>
        <w:t>a “strong case” or a “fair issue to be tried”;</w:t>
      </w:r>
    </w:p>
    <w:p w14:paraId="599358A4" w14:textId="0A5708CD" w:rsidR="00C70597" w:rsidRPr="008C4D92" w:rsidRDefault="003F673A" w:rsidP="00AE220A">
      <w:pPr>
        <w:numPr>
          <w:ilvl w:val="1"/>
          <w:numId w:val="19"/>
        </w:numPr>
        <w:spacing w:line="480" w:lineRule="auto"/>
        <w:jc w:val="both"/>
        <w:rPr>
          <w:color w:val="000000" w:themeColor="text1"/>
        </w:rPr>
      </w:pPr>
      <w:r w:rsidRPr="00AE220A">
        <w:rPr>
          <w:color w:val="000000" w:themeColor="text1"/>
        </w:rPr>
        <w:t xml:space="preserve">Whether </w:t>
      </w:r>
      <w:r w:rsidR="00E94A89" w:rsidRPr="008C4D92">
        <w:rPr>
          <w:color w:val="000000" w:themeColor="text1"/>
        </w:rPr>
        <w:t xml:space="preserve">errors in </w:t>
      </w:r>
      <w:r w:rsidR="009C7A03" w:rsidRPr="008C4D92">
        <w:rPr>
          <w:color w:val="000000" w:themeColor="text1"/>
        </w:rPr>
        <w:t>some of the</w:t>
      </w:r>
      <w:r w:rsidR="00E94A89" w:rsidRPr="008C4D92">
        <w:rPr>
          <w:color w:val="000000" w:themeColor="text1"/>
        </w:rPr>
        <w:t xml:space="preserve"> documentation</w:t>
      </w:r>
      <w:r w:rsidR="009C7A03" w:rsidRPr="008C4D92">
        <w:rPr>
          <w:color w:val="000000" w:themeColor="text1"/>
        </w:rPr>
        <w:t xml:space="preserve"> </w:t>
      </w:r>
      <w:r w:rsidRPr="008C4D92">
        <w:rPr>
          <w:color w:val="000000" w:themeColor="text1"/>
        </w:rPr>
        <w:t>raise q</w:t>
      </w:r>
      <w:r w:rsidR="004168E6" w:rsidRPr="008C4D92">
        <w:rPr>
          <w:color w:val="000000" w:themeColor="text1"/>
        </w:rPr>
        <w:t xml:space="preserve">uestions about the </w:t>
      </w:r>
      <w:r w:rsidRPr="008C4D92">
        <w:rPr>
          <w:color w:val="000000" w:themeColor="text1"/>
        </w:rPr>
        <w:t xml:space="preserve">appointment of the receivers sufficient to prevent the plaintiffs from establishing </w:t>
      </w:r>
      <w:r w:rsidR="00AE220A">
        <w:rPr>
          <w:color w:val="000000" w:themeColor="text1"/>
        </w:rPr>
        <w:t xml:space="preserve"> </w:t>
      </w:r>
      <w:r w:rsidRPr="008C4D92">
        <w:rPr>
          <w:color w:val="000000" w:themeColor="text1"/>
        </w:rPr>
        <w:t>that their appointment was valid</w:t>
      </w:r>
      <w:r w:rsidR="00B930BE">
        <w:rPr>
          <w:color w:val="000000" w:themeColor="text1"/>
        </w:rPr>
        <w:t xml:space="preserve"> (according to whichever test is appropriate: see issue (</w:t>
      </w:r>
      <w:r w:rsidR="00C14DB5">
        <w:rPr>
          <w:color w:val="000000" w:themeColor="text1"/>
        </w:rPr>
        <w:t>1</w:t>
      </w:r>
      <w:r w:rsidR="00B930BE">
        <w:rPr>
          <w:color w:val="000000" w:themeColor="text1"/>
        </w:rPr>
        <w:t>)</w:t>
      </w:r>
      <w:r w:rsidR="00C14DB5">
        <w:rPr>
          <w:color w:val="000000" w:themeColor="text1"/>
        </w:rPr>
        <w:t>)</w:t>
      </w:r>
      <w:r w:rsidR="00C70597" w:rsidRPr="008C4D92">
        <w:rPr>
          <w:color w:val="000000" w:themeColor="text1"/>
        </w:rPr>
        <w:t>;</w:t>
      </w:r>
    </w:p>
    <w:p w14:paraId="5C5F8D99" w14:textId="2E2F5693" w:rsidR="00C70597" w:rsidRDefault="00C70597" w:rsidP="003F673A">
      <w:pPr>
        <w:numPr>
          <w:ilvl w:val="1"/>
          <w:numId w:val="19"/>
        </w:numPr>
        <w:spacing w:line="480" w:lineRule="auto"/>
        <w:jc w:val="both"/>
        <w:rPr>
          <w:color w:val="000000" w:themeColor="text1"/>
        </w:rPr>
      </w:pPr>
      <w:r w:rsidRPr="008C4D92">
        <w:rPr>
          <w:color w:val="000000" w:themeColor="text1"/>
        </w:rPr>
        <w:t xml:space="preserve">Whether, having regard to the questions raised </w:t>
      </w:r>
      <w:r w:rsidR="00206F7A">
        <w:rPr>
          <w:color w:val="000000" w:themeColor="text1"/>
        </w:rPr>
        <w:t>as to</w:t>
      </w:r>
      <w:r w:rsidR="004A159C">
        <w:rPr>
          <w:color w:val="000000" w:themeColor="text1"/>
        </w:rPr>
        <w:t xml:space="preserve"> </w:t>
      </w:r>
      <w:r w:rsidR="00C14DB5">
        <w:rPr>
          <w:color w:val="000000" w:themeColor="text1"/>
        </w:rPr>
        <w:t>the second defendant’s position i</w:t>
      </w:r>
      <w:r w:rsidR="004A159C">
        <w:rPr>
          <w:color w:val="000000" w:themeColor="text1"/>
        </w:rPr>
        <w:t>n relation to</w:t>
      </w:r>
      <w:r w:rsidR="007850D5">
        <w:rPr>
          <w:color w:val="000000" w:themeColor="text1"/>
        </w:rPr>
        <w:t xml:space="preserve"> loan in 2008 which was made to the first defendant only</w:t>
      </w:r>
      <w:r w:rsidR="00C14DB5">
        <w:rPr>
          <w:color w:val="000000" w:themeColor="text1"/>
        </w:rPr>
        <w:t xml:space="preserve">, </w:t>
      </w:r>
      <w:r w:rsidR="00206F7A">
        <w:rPr>
          <w:color w:val="000000" w:themeColor="text1"/>
        </w:rPr>
        <w:t xml:space="preserve">and whether that loan was secured against the second defendant’s interest in the property, </w:t>
      </w:r>
      <w:r w:rsidR="00B930BE">
        <w:rPr>
          <w:color w:val="000000" w:themeColor="text1"/>
        </w:rPr>
        <w:t xml:space="preserve">the plaintiffs have </w:t>
      </w:r>
      <w:r w:rsidR="007850D5">
        <w:rPr>
          <w:color w:val="000000" w:themeColor="text1"/>
        </w:rPr>
        <w:t xml:space="preserve">sufficiently </w:t>
      </w:r>
      <w:r w:rsidR="00B930BE">
        <w:rPr>
          <w:color w:val="000000" w:themeColor="text1"/>
        </w:rPr>
        <w:t xml:space="preserve">made out </w:t>
      </w:r>
      <w:r w:rsidR="00C14DB5">
        <w:rPr>
          <w:color w:val="000000" w:themeColor="text1"/>
        </w:rPr>
        <w:t xml:space="preserve">a proprietary interest which </w:t>
      </w:r>
      <w:r w:rsidR="00C14DB5">
        <w:rPr>
          <w:color w:val="000000" w:themeColor="text1"/>
        </w:rPr>
        <w:lastRenderedPageBreak/>
        <w:t>they can assert as against the second defendant</w:t>
      </w:r>
      <w:r w:rsidR="00B930BE">
        <w:rPr>
          <w:color w:val="000000" w:themeColor="text1"/>
        </w:rPr>
        <w:t xml:space="preserve"> (again according to whichever test is appropriate: see issue (</w:t>
      </w:r>
      <w:r w:rsidR="00C14DB5">
        <w:rPr>
          <w:color w:val="000000" w:themeColor="text1"/>
        </w:rPr>
        <w:t>1</w:t>
      </w:r>
      <w:r w:rsidR="00B930BE">
        <w:rPr>
          <w:color w:val="000000" w:themeColor="text1"/>
        </w:rPr>
        <w:t xml:space="preserve">)), </w:t>
      </w:r>
      <w:r w:rsidR="00AE220A">
        <w:rPr>
          <w:color w:val="000000" w:themeColor="text1"/>
        </w:rPr>
        <w:t xml:space="preserve"> and</w:t>
      </w:r>
      <w:r w:rsidR="0006747A">
        <w:rPr>
          <w:color w:val="000000" w:themeColor="text1"/>
        </w:rPr>
        <w:t xml:space="preserve"> further, </w:t>
      </w:r>
      <w:r w:rsidRPr="008C4D92">
        <w:rPr>
          <w:color w:val="000000" w:themeColor="text1"/>
        </w:rPr>
        <w:t xml:space="preserve">whether </w:t>
      </w:r>
      <w:r w:rsidRPr="008C4D92">
        <w:rPr>
          <w:i/>
          <w:color w:val="000000" w:themeColor="text1"/>
        </w:rPr>
        <w:t>Tanager</w:t>
      </w:r>
      <w:r w:rsidR="0073244F" w:rsidRPr="008C4D92">
        <w:rPr>
          <w:i/>
          <w:color w:val="000000" w:themeColor="text1"/>
        </w:rPr>
        <w:t xml:space="preserve"> D.A.C.</w:t>
      </w:r>
      <w:r w:rsidRPr="008C4D92">
        <w:rPr>
          <w:i/>
          <w:color w:val="000000" w:themeColor="text1"/>
        </w:rPr>
        <w:t xml:space="preserve"> v. Kane </w:t>
      </w:r>
      <w:r w:rsidRPr="008C4D92">
        <w:rPr>
          <w:color w:val="000000" w:themeColor="text1"/>
        </w:rPr>
        <w:t xml:space="preserve">is relevant to this analysis; </w:t>
      </w:r>
    </w:p>
    <w:p w14:paraId="5ABB9BC9" w14:textId="48073999" w:rsidR="00D717E4" w:rsidRPr="008C4D92" w:rsidRDefault="00C70597" w:rsidP="00D717E4">
      <w:pPr>
        <w:numPr>
          <w:ilvl w:val="1"/>
          <w:numId w:val="19"/>
        </w:numPr>
        <w:spacing w:line="480" w:lineRule="auto"/>
        <w:jc w:val="both"/>
        <w:rPr>
          <w:color w:val="000000" w:themeColor="text1"/>
        </w:rPr>
      </w:pPr>
      <w:r w:rsidRPr="008C4D92">
        <w:rPr>
          <w:color w:val="000000" w:themeColor="text1"/>
        </w:rPr>
        <w:t xml:space="preserve">The balance of </w:t>
      </w:r>
      <w:r w:rsidR="004A2E3A">
        <w:rPr>
          <w:color w:val="000000" w:themeColor="text1"/>
        </w:rPr>
        <w:t>convenience/</w:t>
      </w:r>
      <w:r w:rsidRPr="008C4D92">
        <w:rPr>
          <w:color w:val="000000" w:themeColor="text1"/>
        </w:rPr>
        <w:t xml:space="preserve">justice, if that stage of the analysis is reached. </w:t>
      </w:r>
      <w:r w:rsidR="00E94A89" w:rsidRPr="008C4D92">
        <w:rPr>
          <w:color w:val="000000" w:themeColor="text1"/>
        </w:rPr>
        <w:t xml:space="preserve">  </w:t>
      </w:r>
      <w:r w:rsidR="00DC7E6C" w:rsidRPr="008C4D92">
        <w:rPr>
          <w:color w:val="000000" w:themeColor="text1"/>
        </w:rPr>
        <w:t xml:space="preserve"> </w:t>
      </w:r>
      <w:r w:rsidR="00D02AD7" w:rsidRPr="008C4D92">
        <w:rPr>
          <w:color w:val="000000" w:themeColor="text1"/>
        </w:rPr>
        <w:t xml:space="preserve">                                                                                                         </w:t>
      </w:r>
    </w:p>
    <w:p w14:paraId="29C2ACEC" w14:textId="77777777" w:rsidR="007D0905" w:rsidRDefault="007D0905" w:rsidP="0032726B">
      <w:pPr>
        <w:pStyle w:val="Heading1"/>
        <w:rPr>
          <w:color w:val="000000" w:themeColor="text1"/>
          <w:sz w:val="28"/>
          <w:szCs w:val="28"/>
        </w:rPr>
      </w:pPr>
    </w:p>
    <w:p w14:paraId="57BEF6A2" w14:textId="76796272" w:rsidR="0032726B" w:rsidRPr="009939CE" w:rsidRDefault="0032726B" w:rsidP="0032726B">
      <w:pPr>
        <w:pStyle w:val="Heading1"/>
        <w:rPr>
          <w:color w:val="000000" w:themeColor="text1"/>
          <w:sz w:val="28"/>
          <w:szCs w:val="28"/>
        </w:rPr>
      </w:pPr>
      <w:r w:rsidRPr="009939CE">
        <w:rPr>
          <w:color w:val="000000" w:themeColor="text1"/>
          <w:sz w:val="28"/>
          <w:szCs w:val="28"/>
        </w:rPr>
        <w:t>Issue 1: The Standard of Proof and the application of it to the present case</w:t>
      </w:r>
    </w:p>
    <w:p w14:paraId="5408867B" w14:textId="77777777" w:rsidR="0032726B" w:rsidRPr="008C4D92" w:rsidRDefault="0032726B" w:rsidP="0032726B">
      <w:pPr>
        <w:rPr>
          <w:color w:val="000000" w:themeColor="text1"/>
        </w:rPr>
      </w:pPr>
    </w:p>
    <w:p w14:paraId="661C1085" w14:textId="77777777" w:rsidR="0032726B" w:rsidRPr="008C4D92" w:rsidRDefault="0032726B" w:rsidP="0032726B">
      <w:pPr>
        <w:rPr>
          <w:color w:val="000000" w:themeColor="text1"/>
        </w:rPr>
      </w:pPr>
    </w:p>
    <w:p w14:paraId="5DB2B779" w14:textId="5EC1B0FE"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The High Court judge applied the “strong case” (i.e. </w:t>
      </w:r>
      <w:proofErr w:type="spellStart"/>
      <w:r w:rsidRPr="008C4D92">
        <w:rPr>
          <w:i/>
          <w:color w:val="000000" w:themeColor="text1"/>
          <w:shd w:val="clear" w:color="auto" w:fill="FFFFFF"/>
        </w:rPr>
        <w:t>Maha</w:t>
      </w:r>
      <w:proofErr w:type="spellEnd"/>
      <w:r w:rsidRPr="008C4D92">
        <w:rPr>
          <w:i/>
          <w:color w:val="000000" w:themeColor="text1"/>
          <w:shd w:val="clear" w:color="auto" w:fill="FFFFFF"/>
        </w:rPr>
        <w:t xml:space="preserve"> Lingam</w:t>
      </w:r>
      <w:r w:rsidRPr="008C4D92">
        <w:rPr>
          <w:color w:val="000000" w:themeColor="text1"/>
          <w:shd w:val="clear" w:color="auto" w:fill="FFFFFF"/>
        </w:rPr>
        <w:t>) standard and found the plaintiffs to have satisfied it. The second</w:t>
      </w:r>
      <w:r w:rsidRPr="0089623C">
        <w:rPr>
          <w:color w:val="000000" w:themeColor="text1"/>
          <w:shd w:val="clear" w:color="auto" w:fill="FFFFFF"/>
        </w:rPr>
        <w:t xml:space="preserve"> named </w:t>
      </w:r>
      <w:r w:rsidRPr="008C4D92">
        <w:rPr>
          <w:color w:val="000000" w:themeColor="text1"/>
          <w:shd w:val="clear" w:color="auto" w:fill="FFFFFF"/>
        </w:rPr>
        <w:t xml:space="preserve">defendant </w:t>
      </w:r>
      <w:r w:rsidR="003D6528">
        <w:rPr>
          <w:color w:val="000000" w:themeColor="text1"/>
          <w:shd w:val="clear" w:color="auto" w:fill="FFFFFF"/>
        </w:rPr>
        <w:t>supports the “strong test” threshold but submits</w:t>
      </w:r>
      <w:r w:rsidRPr="008C4D92">
        <w:rPr>
          <w:color w:val="000000" w:themeColor="text1"/>
          <w:shd w:val="clear" w:color="auto" w:fill="FFFFFF"/>
        </w:rPr>
        <w:t xml:space="preserve"> that he misapplied the test. </w:t>
      </w:r>
      <w:r w:rsidRPr="008C4D92">
        <w:rPr>
          <w:color w:val="000000" w:themeColor="text1"/>
        </w:rPr>
        <w:t xml:space="preserve">The plaintiffs submit that they have a strong case; but </w:t>
      </w:r>
      <w:r w:rsidR="00C629EE">
        <w:rPr>
          <w:color w:val="000000" w:themeColor="text1"/>
        </w:rPr>
        <w:t xml:space="preserve">also </w:t>
      </w:r>
      <w:r w:rsidRPr="008C4D92">
        <w:rPr>
          <w:color w:val="000000" w:themeColor="text1"/>
        </w:rPr>
        <w:t xml:space="preserve">submit in the alternative that if the Court has any concerns regarding satisfaction of the </w:t>
      </w:r>
      <w:r w:rsidR="008A1614">
        <w:rPr>
          <w:color w:val="000000" w:themeColor="text1"/>
        </w:rPr>
        <w:t xml:space="preserve">higher </w:t>
      </w:r>
      <w:r w:rsidRPr="008C4D92">
        <w:rPr>
          <w:color w:val="000000" w:themeColor="text1"/>
        </w:rPr>
        <w:t xml:space="preserve">test, </w:t>
      </w:r>
      <w:r w:rsidR="008A1614">
        <w:rPr>
          <w:color w:val="000000" w:themeColor="text1"/>
        </w:rPr>
        <w:t>it</w:t>
      </w:r>
      <w:r w:rsidRPr="008C4D92">
        <w:rPr>
          <w:color w:val="000000" w:themeColor="text1"/>
        </w:rPr>
        <w:t xml:space="preserve"> could approach the matter on the basis of the lower test of “fair issue to be tried”, given that the property will not be sold pending trial and the position is merely </w:t>
      </w:r>
      <w:r w:rsidR="008A1614">
        <w:rPr>
          <w:color w:val="000000" w:themeColor="text1"/>
        </w:rPr>
        <w:t xml:space="preserve">(according to the plaintiffs) </w:t>
      </w:r>
      <w:r w:rsidRPr="008C4D92">
        <w:rPr>
          <w:color w:val="000000" w:themeColor="text1"/>
        </w:rPr>
        <w:t xml:space="preserve">the preservation of the status quo. The plaintiffs ask the court to characterise the order in this case, on the analysis in </w:t>
      </w:r>
      <w:r w:rsidRPr="008C4D92">
        <w:rPr>
          <w:i/>
          <w:color w:val="000000" w:themeColor="text1"/>
        </w:rPr>
        <w:t xml:space="preserve">Charleton v. Scriven, </w:t>
      </w:r>
      <w:r w:rsidRPr="008C4D92">
        <w:rPr>
          <w:color w:val="000000" w:themeColor="text1"/>
        </w:rPr>
        <w:t xml:space="preserve">as one primarily directed </w:t>
      </w:r>
      <w:r w:rsidR="003C7EC9">
        <w:rPr>
          <w:color w:val="000000" w:themeColor="text1"/>
        </w:rPr>
        <w:t>at</w:t>
      </w:r>
      <w:r w:rsidRPr="008C4D92">
        <w:rPr>
          <w:color w:val="000000" w:themeColor="text1"/>
        </w:rPr>
        <w:t xml:space="preserve"> preserving the integrity and management of the property pending trial, rather than one which effectively determine</w:t>
      </w:r>
      <w:r w:rsidR="00B9162B">
        <w:rPr>
          <w:color w:val="000000" w:themeColor="text1"/>
        </w:rPr>
        <w:t>s</w:t>
      </w:r>
      <w:r w:rsidRPr="008C4D92">
        <w:rPr>
          <w:color w:val="000000" w:themeColor="text1"/>
        </w:rPr>
        <w:t xml:space="preserve"> the final issues in the case.</w:t>
      </w:r>
    </w:p>
    <w:p w14:paraId="2C359225" w14:textId="77777777" w:rsidR="0032726B" w:rsidRPr="008C4D92" w:rsidRDefault="0032726B" w:rsidP="0032726B">
      <w:pPr>
        <w:pStyle w:val="ListParagraph"/>
        <w:shd w:val="clear" w:color="auto" w:fill="FFFFFF"/>
        <w:spacing w:after="150" w:line="480" w:lineRule="auto"/>
        <w:ind w:left="0"/>
        <w:rPr>
          <w:color w:val="000000" w:themeColor="text1"/>
          <w:shd w:val="clear" w:color="auto" w:fill="FFFFFF"/>
        </w:rPr>
      </w:pPr>
    </w:p>
    <w:p w14:paraId="1E347294" w14:textId="77777777"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In </w:t>
      </w:r>
      <w:r w:rsidRPr="008C4D92">
        <w:rPr>
          <w:i/>
          <w:color w:val="000000" w:themeColor="text1"/>
          <w:shd w:val="clear" w:color="auto" w:fill="FFFFFF"/>
        </w:rPr>
        <w:t xml:space="preserve">AIB plc v. Diamond </w:t>
      </w:r>
      <w:r w:rsidRPr="008C4D92">
        <w:rPr>
          <w:color w:val="000000" w:themeColor="text1"/>
          <w:shd w:val="clear" w:color="auto" w:fill="FFFFFF"/>
        </w:rPr>
        <w:t>[2012] 3 IR 549, Clarke J</w:t>
      </w:r>
      <w:r>
        <w:rPr>
          <w:color w:val="000000" w:themeColor="text1"/>
          <w:shd w:val="clear" w:color="auto" w:fill="FFFFFF"/>
        </w:rPr>
        <w:t>.</w:t>
      </w:r>
      <w:r w:rsidRPr="008C4D92">
        <w:rPr>
          <w:color w:val="000000" w:themeColor="text1"/>
          <w:shd w:val="clear" w:color="auto" w:fill="FFFFFF"/>
        </w:rPr>
        <w:t xml:space="preserve"> (as he then was) said (at p</w:t>
      </w:r>
      <w:r>
        <w:rPr>
          <w:color w:val="000000" w:themeColor="text1"/>
          <w:shd w:val="clear" w:color="auto" w:fill="FFFFFF"/>
        </w:rPr>
        <w:t xml:space="preserve">age </w:t>
      </w:r>
      <w:r w:rsidRPr="008C4D92">
        <w:rPr>
          <w:color w:val="000000" w:themeColor="text1"/>
          <w:shd w:val="clear" w:color="auto" w:fill="FFFFFF"/>
        </w:rPr>
        <w:t>571):</w:t>
      </w:r>
    </w:p>
    <w:p w14:paraId="5D1C6923" w14:textId="4093B4D7" w:rsidR="0032726B" w:rsidRPr="008C4D92" w:rsidRDefault="0032726B" w:rsidP="0032726B">
      <w:pPr>
        <w:shd w:val="clear" w:color="auto" w:fill="FFFFFF"/>
        <w:spacing w:after="150" w:line="480" w:lineRule="auto"/>
        <w:ind w:left="567"/>
        <w:jc w:val="both"/>
        <w:rPr>
          <w:color w:val="000000" w:themeColor="text1"/>
          <w:shd w:val="clear" w:color="auto" w:fill="FFFFFF"/>
        </w:rPr>
      </w:pPr>
      <w:r w:rsidRPr="008C4D92">
        <w:rPr>
          <w:color w:val="000000" w:themeColor="text1"/>
          <w:shd w:val="clear" w:color="auto" w:fill="FFFFFF"/>
        </w:rPr>
        <w:t xml:space="preserve">“It is now well settled that in cases involving a mandatory injunction the court will normally require a higher level of likelihood that the plaintiff has a good case before granting an interlocutory injunction (see for example </w:t>
      </w:r>
      <w:r w:rsidRPr="008C4D92">
        <w:rPr>
          <w:i/>
          <w:iCs/>
          <w:color w:val="000000" w:themeColor="text1"/>
          <w:shd w:val="clear" w:color="auto" w:fill="FFFFFF"/>
        </w:rPr>
        <w:t xml:space="preserve">Lingam v. Health Service Executive </w:t>
      </w:r>
      <w:r w:rsidRPr="008C4D92">
        <w:rPr>
          <w:color w:val="000000" w:themeColor="text1"/>
          <w:shd w:val="clear" w:color="auto" w:fill="FFFFFF"/>
        </w:rPr>
        <w:t xml:space="preserve"> </w:t>
      </w:r>
      <w:r w:rsidR="003C7EC9">
        <w:rPr>
          <w:color w:val="000000" w:themeColor="text1"/>
          <w:shd w:val="clear" w:color="auto" w:fill="FFFFFF"/>
        </w:rPr>
        <w:t>[2005] IESC 89, [2006] 17 ELR 137</w:t>
      </w:r>
      <w:r w:rsidRPr="008C4D92">
        <w:rPr>
          <w:color w:val="000000" w:themeColor="text1"/>
          <w:shd w:val="clear" w:color="auto" w:fill="FFFFFF"/>
        </w:rPr>
        <w:t xml:space="preserve">. It may well be that the logic behind that departure from the normal rule can be found in the added risk of injustice that may </w:t>
      </w:r>
      <w:r w:rsidRPr="008C4D92">
        <w:rPr>
          <w:color w:val="000000" w:themeColor="text1"/>
          <w:shd w:val="clear" w:color="auto" w:fill="FFFFFF"/>
        </w:rPr>
        <w:lastRenderedPageBreak/>
        <w:t>arise where the court is asked not just to keep things as they were by means of a prohibitory injunction but to require someone to actively take a step which may, with the benefit of hindsight after a trial, turn out not to have been justified. The risk of injustice in the court taking such a step is obviously higher. In order to minimise the overall risk of injustice the court requires a higher level of likelihood about the strength of the plaintiff's case before being prepared to make such an order.</w:t>
      </w:r>
      <w:r>
        <w:rPr>
          <w:color w:val="000000" w:themeColor="text1"/>
          <w:shd w:val="clear" w:color="auto" w:fill="FFFFFF"/>
        </w:rPr>
        <w:t>”</w:t>
      </w:r>
    </w:p>
    <w:p w14:paraId="25FA4799" w14:textId="0CF9E5B7"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 In </w:t>
      </w:r>
      <w:proofErr w:type="spellStart"/>
      <w:r w:rsidRPr="008C4D92">
        <w:rPr>
          <w:i/>
          <w:color w:val="000000" w:themeColor="text1"/>
          <w:shd w:val="clear" w:color="auto" w:fill="FFFFFF"/>
        </w:rPr>
        <w:t>Charleton</w:t>
      </w:r>
      <w:proofErr w:type="spellEnd"/>
      <w:r w:rsidR="003C7EC9">
        <w:rPr>
          <w:i/>
          <w:color w:val="000000" w:themeColor="text1"/>
          <w:shd w:val="clear" w:color="auto" w:fill="FFFFFF"/>
        </w:rPr>
        <w:t xml:space="preserve"> &amp; Anor.</w:t>
      </w:r>
      <w:r w:rsidRPr="008C4D92">
        <w:rPr>
          <w:i/>
          <w:color w:val="000000" w:themeColor="text1"/>
          <w:shd w:val="clear" w:color="auto" w:fill="FFFFFF"/>
        </w:rPr>
        <w:t xml:space="preserve"> v. Scriven</w:t>
      </w:r>
      <w:r w:rsidRPr="008C4D92">
        <w:rPr>
          <w:color w:val="000000" w:themeColor="text1"/>
          <w:shd w:val="clear" w:color="auto" w:fill="FFFFFF"/>
        </w:rPr>
        <w:t>, Clarke C</w:t>
      </w:r>
      <w:r>
        <w:rPr>
          <w:color w:val="000000" w:themeColor="text1"/>
          <w:shd w:val="clear" w:color="auto" w:fill="FFFFFF"/>
        </w:rPr>
        <w:t>.</w:t>
      </w:r>
      <w:r w:rsidRPr="008C4D92">
        <w:rPr>
          <w:color w:val="000000" w:themeColor="text1"/>
          <w:shd w:val="clear" w:color="auto" w:fill="FFFFFF"/>
        </w:rPr>
        <w:t>J</w:t>
      </w:r>
      <w:r>
        <w:rPr>
          <w:color w:val="000000" w:themeColor="text1"/>
          <w:shd w:val="clear" w:color="auto" w:fill="FFFFFF"/>
        </w:rPr>
        <w:t>.</w:t>
      </w:r>
      <w:r w:rsidRPr="008C4D92">
        <w:rPr>
          <w:color w:val="000000" w:themeColor="text1"/>
          <w:shd w:val="clear" w:color="auto" w:fill="FFFFFF"/>
        </w:rPr>
        <w:t xml:space="preserve"> said that it was important to</w:t>
      </w:r>
      <w:r w:rsidR="00CA741B">
        <w:rPr>
          <w:color w:val="000000" w:themeColor="text1"/>
          <w:shd w:val="clear" w:color="auto" w:fill="FFFFFF"/>
        </w:rPr>
        <w:t xml:space="preserve"> note</w:t>
      </w:r>
      <w:r w:rsidRPr="008C4D92">
        <w:rPr>
          <w:color w:val="000000" w:themeColor="text1"/>
          <w:shd w:val="clear" w:color="auto" w:fill="FFFFFF"/>
        </w:rPr>
        <w:t xml:space="preserve"> that the assessment of whether the relief sought was mandatory should focus on the substance rather than the form of the relief sought:</w:t>
      </w:r>
      <w:r>
        <w:rPr>
          <w:color w:val="000000" w:themeColor="text1"/>
          <w:shd w:val="clear" w:color="auto" w:fill="FFFFFF"/>
        </w:rPr>
        <w:t xml:space="preserve"> </w:t>
      </w:r>
    </w:p>
    <w:p w14:paraId="0D9970EE" w14:textId="77777777" w:rsidR="0032726B" w:rsidRDefault="0032726B" w:rsidP="0032726B">
      <w:pPr>
        <w:pStyle w:val="ListParagraph"/>
        <w:shd w:val="clear" w:color="auto" w:fill="FFFFFF"/>
        <w:spacing w:line="480" w:lineRule="auto"/>
        <w:ind w:left="567"/>
        <w:jc w:val="both"/>
        <w:rPr>
          <w:color w:val="000000" w:themeColor="text1"/>
          <w:shd w:val="clear" w:color="auto" w:fill="FFFFFF"/>
        </w:rPr>
      </w:pPr>
      <w:r>
        <w:rPr>
          <w:color w:val="000000" w:themeColor="text1"/>
          <w:shd w:val="clear" w:color="auto" w:fill="FFFFFF"/>
        </w:rPr>
        <w:t xml:space="preserve">“ 4.6 </w:t>
      </w:r>
      <w:r w:rsidRPr="008C4D92">
        <w:rPr>
          <w:color w:val="000000" w:themeColor="text1"/>
          <w:shd w:val="clear" w:color="auto" w:fill="FFFFFF"/>
        </w:rPr>
        <w:t>However, there is also clear authority for the proposition that the assessment of whether an injunction can properly be said to be mandatory for those purposes is a matter of substance rather than one of form</w:t>
      </w:r>
    </w:p>
    <w:p w14:paraId="32235A8C" w14:textId="3B3F6905" w:rsidR="0032726B" w:rsidRPr="00034375" w:rsidRDefault="0032726B">
      <w:pPr>
        <w:pStyle w:val="ListParagraph"/>
        <w:shd w:val="clear" w:color="auto" w:fill="FFFFFF"/>
        <w:spacing w:after="150" w:line="480" w:lineRule="auto"/>
        <w:ind w:left="567"/>
        <w:jc w:val="both"/>
        <w:rPr>
          <w:color w:val="000000" w:themeColor="text1"/>
          <w:shd w:val="clear" w:color="auto" w:fill="FFFFFF"/>
        </w:rPr>
      </w:pPr>
      <w:r>
        <w:rPr>
          <w:color w:val="000000" w:themeColor="text1"/>
          <w:shd w:val="clear" w:color="auto" w:fill="FFFFFF"/>
        </w:rPr>
        <w:t>…</w:t>
      </w:r>
    </w:p>
    <w:p w14:paraId="11556D13" w14:textId="77777777" w:rsidR="0032726B" w:rsidRPr="008C4D92" w:rsidRDefault="0032726B" w:rsidP="0032726B">
      <w:pPr>
        <w:pStyle w:val="ListParagraph"/>
        <w:numPr>
          <w:ilvl w:val="1"/>
          <w:numId w:val="35"/>
        </w:numPr>
        <w:shd w:val="clear" w:color="auto" w:fill="FFFFFF"/>
        <w:spacing w:after="150" w:line="480" w:lineRule="auto"/>
        <w:ind w:left="567" w:firstLine="0"/>
        <w:jc w:val="both"/>
        <w:rPr>
          <w:color w:val="000000" w:themeColor="text1"/>
          <w:shd w:val="clear" w:color="auto" w:fill="FFFFFF"/>
        </w:rPr>
      </w:pPr>
      <w:r w:rsidRPr="008C4D92">
        <w:rPr>
          <w:color w:val="000000" w:themeColor="text1"/>
          <w:shd w:val="clear" w:color="auto" w:fill="FFFFFF"/>
        </w:rPr>
        <w:t xml:space="preserve">This substance over form approach can also be seen in, for example, my judgment in </w:t>
      </w:r>
      <w:r w:rsidRPr="008C4D92">
        <w:rPr>
          <w:i/>
          <w:iCs/>
          <w:color w:val="000000" w:themeColor="text1"/>
          <w:shd w:val="clear" w:color="auto" w:fill="FFFFFF"/>
        </w:rPr>
        <w:t>Bergin v. Galway Clinic Doughiska Ltd.</w:t>
      </w:r>
      <w:r w:rsidRPr="008C4D92">
        <w:rPr>
          <w:color w:val="000000" w:themeColor="text1"/>
          <w:shd w:val="clear" w:color="auto" w:fill="FFFFFF"/>
        </w:rPr>
        <w:t xml:space="preserve"> [2007] IEHC 386, [2008] 2 I.R. 205 and the judgment of Irvine J. in </w:t>
      </w:r>
      <w:r w:rsidRPr="008C4D92">
        <w:rPr>
          <w:i/>
          <w:iCs/>
          <w:color w:val="000000" w:themeColor="text1"/>
          <w:shd w:val="clear" w:color="auto" w:fill="FFFFFF"/>
        </w:rPr>
        <w:t>Stoskus v. Goode Concrete Limited</w:t>
      </w:r>
      <w:r w:rsidRPr="008C4D92">
        <w:rPr>
          <w:color w:val="000000" w:themeColor="text1"/>
          <w:shd w:val="clear" w:color="auto" w:fill="FFFFFF"/>
        </w:rPr>
        <w:t xml:space="preserve"> [2007] IEHC 432.</w:t>
      </w:r>
    </w:p>
    <w:p w14:paraId="15463EEE" w14:textId="77777777" w:rsidR="0032726B" w:rsidRPr="008C4D92" w:rsidRDefault="0032726B" w:rsidP="0032726B">
      <w:pPr>
        <w:pStyle w:val="ListParagraph"/>
        <w:numPr>
          <w:ilvl w:val="1"/>
          <w:numId w:val="35"/>
        </w:numPr>
        <w:shd w:val="clear" w:color="auto" w:fill="FFFFFF"/>
        <w:spacing w:after="150" w:line="480" w:lineRule="auto"/>
        <w:ind w:left="567" w:firstLine="0"/>
        <w:jc w:val="both"/>
        <w:rPr>
          <w:color w:val="000000" w:themeColor="text1"/>
          <w:shd w:val="clear" w:color="auto" w:fill="FFFFFF"/>
        </w:rPr>
      </w:pPr>
      <w:r w:rsidRPr="008C4D92">
        <w:rPr>
          <w:color w:val="000000" w:themeColor="text1"/>
          <w:shd w:val="clear" w:color="auto" w:fill="FFFFFF"/>
        </w:rPr>
        <w:t xml:space="preserve">The reason why a higher standard is applied is not because of some technicality but because of the greater risk of injustice which I have sought to identify. But that greater risk is a function of the substance of the order sought and the consequences which it might have for an individual who became bound to obey the interlocutory injunction but ultimately succeeded. It is clear that, at least in general terms, requiring someone to do something which, it may ultimately transpire, they were not required to do may give rise to a greater risk of injustice than simply requiring someone to refrain from doing something which they may ultimately be found to be </w:t>
      </w:r>
      <w:r w:rsidRPr="008C4D92">
        <w:rPr>
          <w:color w:val="000000" w:themeColor="text1"/>
          <w:shd w:val="clear" w:color="auto" w:fill="FFFFFF"/>
        </w:rPr>
        <w:lastRenderedPageBreak/>
        <w:t>entitled to do. But that question is dependent on an analysis of the substance of the effect of the injunction if granted, rather than the language used in its terms</w:t>
      </w:r>
      <w:r>
        <w:rPr>
          <w:color w:val="000000" w:themeColor="text1"/>
          <w:shd w:val="clear" w:color="auto" w:fill="FFFFFF"/>
        </w:rPr>
        <w:t>…”</w:t>
      </w:r>
    </w:p>
    <w:p w14:paraId="42E8FFCF" w14:textId="77777777" w:rsidR="0032726B" w:rsidRPr="008C4D92" w:rsidRDefault="0032726B" w:rsidP="0032726B">
      <w:pPr>
        <w:pStyle w:val="ListParagraph"/>
        <w:shd w:val="clear" w:color="auto" w:fill="FFFFFF"/>
        <w:spacing w:after="150" w:line="480" w:lineRule="auto"/>
        <w:ind w:left="1080"/>
        <w:rPr>
          <w:color w:val="000000" w:themeColor="text1"/>
          <w:shd w:val="clear" w:color="auto" w:fill="FFFFFF"/>
        </w:rPr>
      </w:pPr>
    </w:p>
    <w:p w14:paraId="7FAA8FBF" w14:textId="77777777"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That case involved a receiver injunction also. Mr. Scriven had entered into loan facility agreements with a bank on foot of which the bank had advanced €3.6m, with loans secured over eight residential properties. Mr. Scriven had been in default since 2009 and had not made any repayment since 2013. Following a demand duly made, receivers were appointed on foot of the deeds of charge. The validity of their appointment was in issue on the basis that the deed referred to the appointment of “receiver and manager or receivers and managers” whereas the actual instrument of appointment referred to “the receivers only” (i.e. not “managers”). </w:t>
      </w:r>
    </w:p>
    <w:p w14:paraId="4D5993A3" w14:textId="77777777" w:rsidR="0032726B" w:rsidRPr="008C4D92" w:rsidRDefault="0032726B" w:rsidP="0032726B">
      <w:pPr>
        <w:pStyle w:val="ListParagraph"/>
        <w:shd w:val="clear" w:color="auto" w:fill="FFFFFF"/>
        <w:spacing w:after="150" w:line="480" w:lineRule="auto"/>
        <w:ind w:left="0"/>
        <w:rPr>
          <w:color w:val="000000" w:themeColor="text1"/>
          <w:shd w:val="clear" w:color="auto" w:fill="FFFFFF"/>
        </w:rPr>
      </w:pPr>
    </w:p>
    <w:p w14:paraId="0081BACC" w14:textId="2669C44A"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At paragraph 5.2 of his judgment, Clarke C.J. said that it was important to keep in mind that at the time the injunction was granted and until the appeal, the relevant properties were let. He said that in those circumstances it was clear that the principal substance of what lay behind the injunction sought was that the </w:t>
      </w:r>
      <w:r w:rsidR="00DD4F8B">
        <w:rPr>
          <w:color w:val="000000" w:themeColor="text1"/>
          <w:shd w:val="clear" w:color="auto" w:fill="FFFFFF"/>
        </w:rPr>
        <w:t>r</w:t>
      </w:r>
      <w:r w:rsidRPr="008C4D92">
        <w:rPr>
          <w:color w:val="000000" w:themeColor="text1"/>
          <w:shd w:val="clear" w:color="auto" w:fill="FFFFFF"/>
        </w:rPr>
        <w:t xml:space="preserve">eceivers would be entitled to collect the rent without any interference. He accepted that some of the reliefs sought, such as that requiring Mr. Scriven to hand over possession of the properties, might be characterised as more mandatory than prohibitory in character. However, he thought that for the purposes of the assessment of whether it was appropriate to grant or refuse interlocutory relief in the case, it was appropriate to characterise much of the relief sought as essentially prohibitory in nature. Having analysed the position of the parties in relation to the validity of the receivers’ appointment, he concluded (at paragraph 6.10) that it would be difficult to suggest that a sufficiently strong case could be made to warrant the grant of an injunction which was essentially mandatory in character. He therefore distinguished between the relief which </w:t>
      </w:r>
      <w:r w:rsidRPr="008C4D92">
        <w:rPr>
          <w:color w:val="000000" w:themeColor="text1"/>
          <w:shd w:val="clear" w:color="auto" w:fill="FFFFFF"/>
        </w:rPr>
        <w:lastRenderedPageBreak/>
        <w:t>sought to retain the position that the receivers were entitled to collect the rent, on the one hand, and any relief which would allow the receivers to move on to selling the property, on the other. As regards the collection of rent, the balance of convenience favoured those sums being paid to the receiver and retained by them because in the event that the receivers ultimately lost the case, the monies could be paid over to Mr. Scriven.</w:t>
      </w:r>
    </w:p>
    <w:p w14:paraId="0BE7CAC7" w14:textId="77777777" w:rsidR="0032726B" w:rsidRPr="008C4D92" w:rsidRDefault="0032726B" w:rsidP="0032726B">
      <w:pPr>
        <w:pStyle w:val="ListParagraph"/>
        <w:shd w:val="clear" w:color="auto" w:fill="FFFFFF"/>
        <w:spacing w:after="150" w:line="480" w:lineRule="auto"/>
        <w:ind w:left="0"/>
        <w:jc w:val="both"/>
        <w:rPr>
          <w:color w:val="000000" w:themeColor="text1"/>
          <w:shd w:val="clear" w:color="auto" w:fill="FFFFFF"/>
        </w:rPr>
      </w:pPr>
    </w:p>
    <w:p w14:paraId="565ADD47" w14:textId="77777777" w:rsidR="0032726B" w:rsidRPr="008C4D92" w:rsidRDefault="0032726B" w:rsidP="0032726B">
      <w:pPr>
        <w:pStyle w:val="ListParagraph"/>
        <w:numPr>
          <w:ilvl w:val="0"/>
          <w:numId w:val="19"/>
        </w:numPr>
        <w:shd w:val="clear" w:color="auto" w:fill="FFFFFF"/>
        <w:spacing w:after="150" w:line="480" w:lineRule="auto"/>
        <w:jc w:val="both"/>
        <w:rPr>
          <w:color w:val="000000" w:themeColor="text1"/>
          <w:shd w:val="clear" w:color="auto" w:fill="FFFFFF"/>
        </w:rPr>
      </w:pPr>
      <w:r w:rsidRPr="008C4D92">
        <w:rPr>
          <w:color w:val="000000" w:themeColor="text1"/>
          <w:shd w:val="clear" w:color="auto" w:fill="FFFFFF"/>
        </w:rPr>
        <w:t xml:space="preserve"> He continued:</w:t>
      </w:r>
    </w:p>
    <w:p w14:paraId="76E7DFD8" w14:textId="77777777" w:rsidR="0032726B" w:rsidRPr="008C4D92" w:rsidRDefault="0032726B" w:rsidP="0032726B">
      <w:pPr>
        <w:shd w:val="clear" w:color="auto" w:fill="FFFFFF"/>
        <w:spacing w:after="150" w:line="480" w:lineRule="auto"/>
        <w:ind w:left="567"/>
        <w:jc w:val="both"/>
        <w:rPr>
          <w:color w:val="000000" w:themeColor="text1"/>
          <w:shd w:val="clear" w:color="auto" w:fill="FFFFFF"/>
        </w:rPr>
      </w:pPr>
      <w:r w:rsidRPr="008C4D92">
        <w:rPr>
          <w:color w:val="000000" w:themeColor="text1"/>
          <w:shd w:val="clear" w:color="auto" w:fill="FFFFFF"/>
        </w:rPr>
        <w:t>“6.12 Indeed, I would go further and suggest that, having regard to the underlying principle of attempting to fashion an order which runs the least risk of injustice, there may very well be an important distinction to be made in receivership cases between situations where the receivers concerned simply intend to maintain the situation pending a trial and ones where the substance of the interlocutory order sought is one designed to, in practice, bring the proceedings to an end. There is considerable logic in the view that, for example, a receiver who wished to obtain possession of residential property or a family farm so that it could be sold would need to make out a strong arguable case for it to be appropriate, having regard to the greatest risk of injustice test, to allow such an order to be made. On the other hand, where the matters are essentially financial or where there are strong grounds for believing that a receiver is necessary to ensure that property is properly managed and maintained pending a trial, very different considerations may apply.”</w:t>
      </w:r>
    </w:p>
    <w:p w14:paraId="38834AF8" w14:textId="77777777" w:rsidR="0032726B" w:rsidRPr="008C4D92" w:rsidRDefault="0032726B" w:rsidP="0032726B">
      <w:pPr>
        <w:pStyle w:val="ListParagraph"/>
        <w:rPr>
          <w:color w:val="000000" w:themeColor="text1"/>
        </w:rPr>
      </w:pPr>
    </w:p>
    <w:p w14:paraId="1FDFDC58" w14:textId="7D8D768A" w:rsidR="0032726B" w:rsidRDefault="0032726B" w:rsidP="0032726B">
      <w:pPr>
        <w:numPr>
          <w:ilvl w:val="0"/>
          <w:numId w:val="19"/>
        </w:numPr>
        <w:spacing w:line="480" w:lineRule="auto"/>
        <w:jc w:val="both"/>
        <w:rPr>
          <w:color w:val="000000" w:themeColor="text1"/>
        </w:rPr>
      </w:pPr>
      <w:r w:rsidRPr="008C4D92">
        <w:rPr>
          <w:color w:val="000000" w:themeColor="text1"/>
        </w:rPr>
        <w:t xml:space="preserve">Similar comments were made by Irvine J. in </w:t>
      </w:r>
      <w:proofErr w:type="spellStart"/>
      <w:r w:rsidRPr="008C4D92">
        <w:rPr>
          <w:i/>
          <w:color w:val="000000" w:themeColor="text1"/>
        </w:rPr>
        <w:t>Taite</w:t>
      </w:r>
      <w:proofErr w:type="spellEnd"/>
      <w:r w:rsidR="004C0F65">
        <w:rPr>
          <w:i/>
          <w:color w:val="000000" w:themeColor="text1"/>
        </w:rPr>
        <w:t xml:space="preserve"> &amp; Anor.</w:t>
      </w:r>
      <w:r w:rsidRPr="008C4D92">
        <w:rPr>
          <w:i/>
          <w:color w:val="000000" w:themeColor="text1"/>
        </w:rPr>
        <w:t xml:space="preserve"> v. </w:t>
      </w:r>
      <w:proofErr w:type="spellStart"/>
      <w:r w:rsidRPr="008C4D92">
        <w:rPr>
          <w:i/>
          <w:color w:val="000000" w:themeColor="text1"/>
        </w:rPr>
        <w:t>Beades</w:t>
      </w:r>
      <w:proofErr w:type="spellEnd"/>
      <w:r w:rsidRPr="008C4D92">
        <w:rPr>
          <w:i/>
          <w:color w:val="000000" w:themeColor="text1"/>
        </w:rPr>
        <w:t xml:space="preserve"> </w:t>
      </w:r>
      <w:r w:rsidRPr="008C4D92">
        <w:rPr>
          <w:color w:val="000000" w:themeColor="text1"/>
        </w:rPr>
        <w:t xml:space="preserve">[2019] IESC 92 at paragraphs 22-29 of her judgment. </w:t>
      </w:r>
      <w:r>
        <w:rPr>
          <w:color w:val="000000" w:themeColor="text1"/>
        </w:rPr>
        <w:t xml:space="preserve">In </w:t>
      </w:r>
      <w:proofErr w:type="spellStart"/>
      <w:r>
        <w:rPr>
          <w:i/>
          <w:color w:val="000000" w:themeColor="text1"/>
        </w:rPr>
        <w:t>Taite</w:t>
      </w:r>
      <w:proofErr w:type="spellEnd"/>
      <w:r w:rsidR="004C0F65">
        <w:rPr>
          <w:i/>
          <w:color w:val="000000" w:themeColor="text1"/>
        </w:rPr>
        <w:t xml:space="preserve"> &amp; Anor.</w:t>
      </w:r>
      <w:r>
        <w:rPr>
          <w:i/>
          <w:color w:val="000000" w:themeColor="text1"/>
        </w:rPr>
        <w:t xml:space="preserve"> v</w:t>
      </w:r>
      <w:r w:rsidR="001C657B">
        <w:rPr>
          <w:i/>
          <w:color w:val="000000" w:themeColor="text1"/>
        </w:rPr>
        <w:t>.</w:t>
      </w:r>
      <w:r>
        <w:rPr>
          <w:i/>
          <w:color w:val="000000" w:themeColor="text1"/>
        </w:rPr>
        <w:t xml:space="preserve"> </w:t>
      </w:r>
      <w:proofErr w:type="spellStart"/>
      <w:r>
        <w:rPr>
          <w:i/>
          <w:color w:val="000000" w:themeColor="text1"/>
        </w:rPr>
        <w:t>Beades</w:t>
      </w:r>
      <w:proofErr w:type="spellEnd"/>
      <w:r>
        <w:rPr>
          <w:i/>
          <w:color w:val="000000" w:themeColor="text1"/>
        </w:rPr>
        <w:t xml:space="preserve">, </w:t>
      </w:r>
      <w:r>
        <w:rPr>
          <w:color w:val="000000" w:themeColor="text1"/>
        </w:rPr>
        <w:t>the essential difference appears to have been that the receivers sought to exercise the power of sale, which necessitated the application of the higher standard. At paragraph 36, she said:</w:t>
      </w:r>
    </w:p>
    <w:p w14:paraId="6A14E40C" w14:textId="77777777" w:rsidR="0032726B" w:rsidRDefault="0032726B" w:rsidP="0032726B">
      <w:pPr>
        <w:spacing w:line="480" w:lineRule="auto"/>
        <w:jc w:val="both"/>
        <w:rPr>
          <w:color w:val="000000" w:themeColor="text1"/>
        </w:rPr>
      </w:pPr>
    </w:p>
    <w:p w14:paraId="3E7D9686" w14:textId="7DCCEFD3" w:rsidR="0032726B" w:rsidRPr="008C4D92" w:rsidRDefault="001C657B" w:rsidP="009939CE">
      <w:pPr>
        <w:spacing w:line="480" w:lineRule="auto"/>
        <w:ind w:left="567"/>
        <w:jc w:val="both"/>
        <w:rPr>
          <w:color w:val="000000" w:themeColor="text1"/>
        </w:rPr>
      </w:pPr>
      <w:r>
        <w:rPr>
          <w:color w:val="000000" w:themeColor="text1"/>
        </w:rPr>
        <w:t>“</w:t>
      </w:r>
      <w:r w:rsidR="0032726B" w:rsidRPr="00D45F6B">
        <w:rPr>
          <w:color w:val="000000" w:themeColor="text1"/>
        </w:rPr>
        <w:t xml:space="preserve">Whilst the receivers did not pursue an order for possession, relief which is claimed in the plenary summons, the purpose of the injunction was clearly to wrest control of the premises from Mr. </w:t>
      </w:r>
      <w:proofErr w:type="spellStart"/>
      <w:r w:rsidR="0032726B" w:rsidRPr="00D45F6B">
        <w:rPr>
          <w:color w:val="000000" w:themeColor="text1"/>
        </w:rPr>
        <w:t>Beades</w:t>
      </w:r>
      <w:proofErr w:type="spellEnd"/>
      <w:r w:rsidR="0032726B" w:rsidRPr="00D45F6B">
        <w:rPr>
          <w:color w:val="000000" w:themeColor="text1"/>
        </w:rPr>
        <w:t xml:space="preserve"> in order that they might exercise all of the powers provided for in Clause 11.4 of the deed of mortgage, including their right, not only to receive any rents payable in respect of the said premises, but also to sell or dispose of the assets. Thus, the relief sought, whilst couched in prohibitory terms, went a long way to giving the receivers the substantive relief claimed in the plenary summons, i.e. possession. For these reasons the interests of justice would demand that this court would review the evidence advanced by the receivers in the High Court under the higher threshold.</w:t>
      </w:r>
      <w:r>
        <w:rPr>
          <w:color w:val="000000" w:themeColor="text1"/>
        </w:rPr>
        <w:t>”</w:t>
      </w:r>
    </w:p>
    <w:p w14:paraId="73045750" w14:textId="77777777" w:rsidR="0032726B" w:rsidRPr="008C4D92" w:rsidRDefault="0032726B" w:rsidP="0032726B">
      <w:pPr>
        <w:spacing w:line="480" w:lineRule="auto"/>
        <w:jc w:val="both"/>
        <w:rPr>
          <w:color w:val="000000" w:themeColor="text1"/>
        </w:rPr>
      </w:pPr>
    </w:p>
    <w:p w14:paraId="08968097" w14:textId="77777777" w:rsidR="0032726B" w:rsidRDefault="0032726B" w:rsidP="0032726B">
      <w:pPr>
        <w:numPr>
          <w:ilvl w:val="0"/>
          <w:numId w:val="19"/>
        </w:numPr>
        <w:spacing w:line="480" w:lineRule="auto"/>
        <w:jc w:val="both"/>
        <w:rPr>
          <w:color w:val="000000" w:themeColor="text1"/>
        </w:rPr>
      </w:pPr>
      <w:r w:rsidRPr="008C4D92">
        <w:rPr>
          <w:color w:val="000000" w:themeColor="text1"/>
        </w:rPr>
        <w:t xml:space="preserve">In </w:t>
      </w:r>
      <w:r w:rsidRPr="008C4D92">
        <w:rPr>
          <w:i/>
          <w:color w:val="000000" w:themeColor="text1"/>
        </w:rPr>
        <w:t xml:space="preserve">Bank of Ireland v. O’Donnell </w:t>
      </w:r>
      <w:r w:rsidRPr="008C4D92">
        <w:rPr>
          <w:color w:val="000000" w:themeColor="text1"/>
        </w:rPr>
        <w:t xml:space="preserve">[2016] 2 IR 185, this Court upheld an interlocutory injunction requiring the occupants to vacate a property known as “Gorse Hill” in Killiney, County Dublin. This relief was characterised as mandatory in nature (see paragraph 97 of judgment therein) and the “strong case” test was held to be the correct one to be applied. The Court specifically distinguished this situation from that which arose in </w:t>
      </w:r>
      <w:r w:rsidRPr="008C4D92">
        <w:rPr>
          <w:i/>
          <w:color w:val="000000" w:themeColor="text1"/>
        </w:rPr>
        <w:t>Kavanagh and Lowe v. Lynch and St. Angela’s Student Residences Ltd.</w:t>
      </w:r>
      <w:r w:rsidRPr="008C4D92">
        <w:rPr>
          <w:color w:val="000000" w:themeColor="text1"/>
        </w:rPr>
        <w:t xml:space="preserve"> [2011] IEHC 348, where the defendants were not residing in the subject property (see paragraph 104 of the judgment).</w:t>
      </w:r>
    </w:p>
    <w:p w14:paraId="10CFE352" w14:textId="77777777" w:rsidR="0032726B" w:rsidRDefault="0032726B" w:rsidP="0032726B">
      <w:pPr>
        <w:spacing w:line="480" w:lineRule="auto"/>
        <w:jc w:val="both"/>
        <w:rPr>
          <w:color w:val="000000" w:themeColor="text1"/>
        </w:rPr>
      </w:pPr>
    </w:p>
    <w:p w14:paraId="125078B0" w14:textId="7C52C25F" w:rsidR="0032726B" w:rsidRPr="008C4D92" w:rsidRDefault="0032726B" w:rsidP="0032726B">
      <w:pPr>
        <w:numPr>
          <w:ilvl w:val="0"/>
          <w:numId w:val="19"/>
        </w:numPr>
        <w:spacing w:line="480" w:lineRule="auto"/>
        <w:jc w:val="both"/>
        <w:rPr>
          <w:color w:val="000000" w:themeColor="text1"/>
        </w:rPr>
      </w:pPr>
      <w:r>
        <w:rPr>
          <w:color w:val="000000" w:themeColor="text1"/>
        </w:rPr>
        <w:t xml:space="preserve">In the present case, </w:t>
      </w:r>
      <w:r w:rsidR="003E496C">
        <w:rPr>
          <w:color w:val="000000" w:themeColor="text1"/>
        </w:rPr>
        <w:t>it is true to say that neither of the defendants resided in the property</w:t>
      </w:r>
      <w:r w:rsidR="00783251">
        <w:rPr>
          <w:color w:val="000000" w:themeColor="text1"/>
        </w:rPr>
        <w:t xml:space="preserve"> and that tenants were </w:t>
      </w:r>
      <w:r w:rsidR="00783251">
        <w:rPr>
          <w:i/>
          <w:color w:val="000000" w:themeColor="text1"/>
        </w:rPr>
        <w:t xml:space="preserve">in situ </w:t>
      </w:r>
      <w:r w:rsidR="00783251">
        <w:rPr>
          <w:color w:val="000000" w:themeColor="text1"/>
        </w:rPr>
        <w:t>at the time of the application for the injunction, without any of the rental income being applied to discharge the debt</w:t>
      </w:r>
      <w:r w:rsidR="003E496C">
        <w:rPr>
          <w:color w:val="000000" w:themeColor="text1"/>
        </w:rPr>
        <w:t xml:space="preserve">. </w:t>
      </w:r>
      <w:r w:rsidR="00B05A52">
        <w:rPr>
          <w:color w:val="000000" w:themeColor="text1"/>
        </w:rPr>
        <w:t xml:space="preserve">However, </w:t>
      </w:r>
      <w:r>
        <w:rPr>
          <w:color w:val="000000" w:themeColor="text1"/>
        </w:rPr>
        <w:t>the plaintiffs did not seek merely to divert any rental income coming from the tenants in the property to the receivers</w:t>
      </w:r>
      <w:r w:rsidR="008151AC">
        <w:rPr>
          <w:color w:val="000000" w:themeColor="text1"/>
        </w:rPr>
        <w:t>, although they could have limited the relief sought to that end. Instead, they</w:t>
      </w:r>
      <w:r>
        <w:rPr>
          <w:color w:val="000000" w:themeColor="text1"/>
        </w:rPr>
        <w:t xml:space="preserve"> also sought </w:t>
      </w:r>
      <w:r>
        <w:rPr>
          <w:color w:val="000000" w:themeColor="text1"/>
        </w:rPr>
        <w:lastRenderedPageBreak/>
        <w:t>vacant possession of the property</w:t>
      </w:r>
      <w:r w:rsidR="008151AC">
        <w:rPr>
          <w:color w:val="000000" w:themeColor="text1"/>
        </w:rPr>
        <w:t xml:space="preserve"> and certain related reliefs</w:t>
      </w:r>
      <w:r>
        <w:rPr>
          <w:color w:val="000000" w:themeColor="text1"/>
        </w:rPr>
        <w:t xml:space="preserve">. In those circumstances, it seems to me that the correct characterisation of the relief sought is that it was mandatory in nature and that the trial judge was correct </w:t>
      </w:r>
      <w:r w:rsidR="001E73DC">
        <w:rPr>
          <w:color w:val="000000" w:themeColor="text1"/>
        </w:rPr>
        <w:t>in</w:t>
      </w:r>
      <w:r>
        <w:rPr>
          <w:color w:val="000000" w:themeColor="text1"/>
        </w:rPr>
        <w:t xml:space="preserve"> this regard. This is </w:t>
      </w:r>
      <w:r w:rsidR="009F4FE2">
        <w:rPr>
          <w:color w:val="000000" w:themeColor="text1"/>
        </w:rPr>
        <w:t>the position</w:t>
      </w:r>
      <w:r>
        <w:rPr>
          <w:color w:val="000000" w:themeColor="text1"/>
        </w:rPr>
        <w:t>, in my view, notwithstanding that the</w:t>
      </w:r>
      <w:r w:rsidR="001E73DC">
        <w:rPr>
          <w:color w:val="000000" w:themeColor="text1"/>
        </w:rPr>
        <w:t xml:space="preserve"> trial judge placed a stay on the order for sale and that </w:t>
      </w:r>
      <w:r w:rsidR="00ED76D7">
        <w:rPr>
          <w:color w:val="000000" w:themeColor="text1"/>
        </w:rPr>
        <w:t xml:space="preserve">the </w:t>
      </w:r>
      <w:r w:rsidR="00B05A52">
        <w:rPr>
          <w:color w:val="000000" w:themeColor="text1"/>
        </w:rPr>
        <w:t>plaintiffs</w:t>
      </w:r>
      <w:r>
        <w:rPr>
          <w:color w:val="000000" w:themeColor="text1"/>
        </w:rPr>
        <w:t xml:space="preserve"> ha</w:t>
      </w:r>
      <w:r w:rsidR="0089184A">
        <w:rPr>
          <w:color w:val="000000" w:themeColor="text1"/>
        </w:rPr>
        <w:t>d</w:t>
      </w:r>
      <w:r w:rsidR="00B05A52">
        <w:rPr>
          <w:color w:val="000000" w:themeColor="text1"/>
        </w:rPr>
        <w:t xml:space="preserve"> </w:t>
      </w:r>
      <w:r>
        <w:rPr>
          <w:color w:val="000000" w:themeColor="text1"/>
        </w:rPr>
        <w:t xml:space="preserve">given an undertaking not to sell the property pending the </w:t>
      </w:r>
      <w:r w:rsidR="009646F2">
        <w:rPr>
          <w:color w:val="000000" w:themeColor="text1"/>
        </w:rPr>
        <w:t xml:space="preserve">determination of the </w:t>
      </w:r>
      <w:r>
        <w:rPr>
          <w:color w:val="000000" w:themeColor="text1"/>
        </w:rPr>
        <w:t xml:space="preserve">proceedings. </w:t>
      </w:r>
      <w:r w:rsidR="009F4FE2">
        <w:rPr>
          <w:color w:val="000000" w:themeColor="text1"/>
        </w:rPr>
        <w:t>If</w:t>
      </w:r>
      <w:r w:rsidR="008820AF">
        <w:rPr>
          <w:color w:val="000000" w:themeColor="text1"/>
        </w:rPr>
        <w:t xml:space="preserve"> and when the stay is removed, the order</w:t>
      </w:r>
      <w:r w:rsidR="009F4FE2">
        <w:rPr>
          <w:color w:val="000000" w:themeColor="text1"/>
        </w:rPr>
        <w:t xml:space="preserve"> </w:t>
      </w:r>
      <w:r w:rsidR="00B25265">
        <w:rPr>
          <w:color w:val="000000" w:themeColor="text1"/>
        </w:rPr>
        <w:t xml:space="preserve">grants possession; the fact that its operation is stayed does not deprive it of its mandatory character. </w:t>
      </w:r>
      <w:r>
        <w:rPr>
          <w:color w:val="000000" w:themeColor="text1"/>
        </w:rPr>
        <w:t>If the</w:t>
      </w:r>
      <w:r w:rsidR="00F96DDD">
        <w:rPr>
          <w:color w:val="000000" w:themeColor="text1"/>
        </w:rPr>
        <w:t xml:space="preserve"> plaintiffs</w:t>
      </w:r>
      <w:r>
        <w:rPr>
          <w:color w:val="000000" w:themeColor="text1"/>
        </w:rPr>
        <w:t xml:space="preserve"> had confined themselves merely to diverting the rents to the receivers or requiring them to be paid into an escrow account, the “fair issue to be tried” test might </w:t>
      </w:r>
      <w:r w:rsidR="00B25265">
        <w:rPr>
          <w:color w:val="000000" w:themeColor="text1"/>
        </w:rPr>
        <w:t>have been</w:t>
      </w:r>
      <w:r>
        <w:rPr>
          <w:color w:val="000000" w:themeColor="text1"/>
        </w:rPr>
        <w:t xml:space="preserve"> the appropriate standard, but the </w:t>
      </w:r>
      <w:r w:rsidR="002842C7">
        <w:rPr>
          <w:color w:val="000000" w:themeColor="text1"/>
        </w:rPr>
        <w:t xml:space="preserve">overall substance of the reliefs sought, </w:t>
      </w:r>
      <w:r w:rsidR="00B25265">
        <w:rPr>
          <w:color w:val="000000" w:themeColor="text1"/>
        </w:rPr>
        <w:t>which included</w:t>
      </w:r>
      <w:r w:rsidR="002842C7">
        <w:rPr>
          <w:color w:val="000000" w:themeColor="text1"/>
        </w:rPr>
        <w:t xml:space="preserve"> vacant possession, were mandatory in nature </w:t>
      </w:r>
      <w:r>
        <w:rPr>
          <w:color w:val="000000" w:themeColor="text1"/>
        </w:rPr>
        <w:t xml:space="preserve">and accordingly </w:t>
      </w:r>
      <w:r w:rsidR="002842C7">
        <w:rPr>
          <w:color w:val="000000" w:themeColor="text1"/>
        </w:rPr>
        <w:t>the</w:t>
      </w:r>
      <w:r w:rsidR="007B0BF4">
        <w:rPr>
          <w:color w:val="000000" w:themeColor="text1"/>
        </w:rPr>
        <w:t xml:space="preserve"> plaintiffs</w:t>
      </w:r>
      <w:r w:rsidR="002842C7">
        <w:rPr>
          <w:color w:val="000000" w:themeColor="text1"/>
        </w:rPr>
        <w:t xml:space="preserve"> </w:t>
      </w:r>
      <w:r>
        <w:rPr>
          <w:color w:val="000000" w:themeColor="text1"/>
        </w:rPr>
        <w:t>must satisfy the higher threshold</w:t>
      </w:r>
      <w:r w:rsidR="002842C7">
        <w:rPr>
          <w:color w:val="000000" w:themeColor="text1"/>
        </w:rPr>
        <w:t xml:space="preserve"> of a “strong case”</w:t>
      </w:r>
      <w:r>
        <w:rPr>
          <w:color w:val="000000" w:themeColor="text1"/>
        </w:rPr>
        <w:t xml:space="preserve">. </w:t>
      </w:r>
    </w:p>
    <w:p w14:paraId="19CC71D1" w14:textId="77777777" w:rsidR="0032726B" w:rsidRPr="00034375" w:rsidRDefault="0032726B" w:rsidP="00034375">
      <w:pPr>
        <w:rPr>
          <w:color w:val="000000" w:themeColor="text1"/>
        </w:rPr>
      </w:pPr>
    </w:p>
    <w:p w14:paraId="3B2384E4" w14:textId="6D8353F5" w:rsidR="00D717E4" w:rsidRPr="009939CE" w:rsidRDefault="00D717E4" w:rsidP="00D717E4">
      <w:pPr>
        <w:pStyle w:val="Heading1"/>
        <w:rPr>
          <w:color w:val="000000" w:themeColor="text1"/>
          <w:sz w:val="28"/>
          <w:szCs w:val="28"/>
        </w:rPr>
      </w:pPr>
      <w:r w:rsidRPr="009939CE">
        <w:rPr>
          <w:color w:val="000000" w:themeColor="text1"/>
          <w:sz w:val="28"/>
          <w:szCs w:val="28"/>
        </w:rPr>
        <w:t xml:space="preserve">Issue </w:t>
      </w:r>
      <w:r w:rsidR="0032726B" w:rsidRPr="009939CE">
        <w:rPr>
          <w:color w:val="000000" w:themeColor="text1"/>
          <w:sz w:val="28"/>
          <w:szCs w:val="28"/>
        </w:rPr>
        <w:t>2</w:t>
      </w:r>
      <w:r w:rsidRPr="009939CE">
        <w:rPr>
          <w:color w:val="000000" w:themeColor="text1"/>
          <w:sz w:val="28"/>
          <w:szCs w:val="28"/>
        </w:rPr>
        <w:t xml:space="preserve">: </w:t>
      </w:r>
      <w:r w:rsidR="00162683" w:rsidRPr="009939CE">
        <w:rPr>
          <w:color w:val="000000" w:themeColor="text1"/>
          <w:sz w:val="28"/>
          <w:szCs w:val="28"/>
        </w:rPr>
        <w:t>E</w:t>
      </w:r>
      <w:r w:rsidRPr="009939CE">
        <w:rPr>
          <w:color w:val="000000" w:themeColor="text1"/>
          <w:sz w:val="28"/>
          <w:szCs w:val="28"/>
        </w:rPr>
        <w:t>rrors in documents</w:t>
      </w:r>
    </w:p>
    <w:p w14:paraId="5CADF42C" w14:textId="77777777" w:rsidR="00D717E4" w:rsidRPr="008C4D92" w:rsidRDefault="00D717E4" w:rsidP="00D717E4">
      <w:pPr>
        <w:rPr>
          <w:color w:val="000000" w:themeColor="text1"/>
        </w:rPr>
      </w:pPr>
    </w:p>
    <w:p w14:paraId="592731AA" w14:textId="3C554A5C" w:rsidR="00822B37" w:rsidRPr="008C4D92" w:rsidRDefault="000A60D9" w:rsidP="00945A59">
      <w:pPr>
        <w:numPr>
          <w:ilvl w:val="0"/>
          <w:numId w:val="19"/>
        </w:numPr>
        <w:spacing w:line="480" w:lineRule="auto"/>
        <w:jc w:val="both"/>
        <w:rPr>
          <w:color w:val="000000" w:themeColor="text1"/>
        </w:rPr>
      </w:pPr>
      <w:r w:rsidRPr="008C4D92">
        <w:rPr>
          <w:color w:val="000000" w:themeColor="text1"/>
        </w:rPr>
        <w:t>The second</w:t>
      </w:r>
      <w:r w:rsidR="0073244F" w:rsidRPr="008C4D92">
        <w:rPr>
          <w:color w:val="000000" w:themeColor="text1"/>
        </w:rPr>
        <w:t xml:space="preserve"> named </w:t>
      </w:r>
      <w:r w:rsidRPr="008C4D92">
        <w:rPr>
          <w:color w:val="000000" w:themeColor="text1"/>
        </w:rPr>
        <w:t xml:space="preserve">defendant submits that the errors described above (see section entitled “Key Documents”) </w:t>
      </w:r>
      <w:r w:rsidR="00C74146" w:rsidRPr="008C4D92">
        <w:rPr>
          <w:color w:val="000000" w:themeColor="text1"/>
        </w:rPr>
        <w:t>raise significant questions at to the validity of the transfer of the security to the first plaintiff</w:t>
      </w:r>
      <w:r w:rsidR="0073244F" w:rsidRPr="008C4D92">
        <w:rPr>
          <w:color w:val="000000" w:themeColor="text1"/>
        </w:rPr>
        <w:t xml:space="preserve"> and</w:t>
      </w:r>
      <w:r w:rsidR="00C74146" w:rsidRPr="008C4D92">
        <w:rPr>
          <w:color w:val="000000" w:themeColor="text1"/>
        </w:rPr>
        <w:t xml:space="preserve"> the validity of</w:t>
      </w:r>
      <w:r w:rsidR="00174E2B" w:rsidRPr="008C4D92">
        <w:rPr>
          <w:color w:val="000000" w:themeColor="text1"/>
        </w:rPr>
        <w:t xml:space="preserve"> the appointment of the receivers. </w:t>
      </w:r>
      <w:r w:rsidR="00C7448D" w:rsidRPr="008C4D92">
        <w:rPr>
          <w:color w:val="000000" w:themeColor="text1"/>
        </w:rPr>
        <w:t>She points to</w:t>
      </w:r>
      <w:r w:rsidR="006127DF" w:rsidRPr="008C4D92">
        <w:rPr>
          <w:color w:val="000000" w:themeColor="text1"/>
        </w:rPr>
        <w:t xml:space="preserve"> the </w:t>
      </w:r>
      <w:r w:rsidR="00E943A6" w:rsidRPr="008C4D92">
        <w:rPr>
          <w:color w:val="000000" w:themeColor="text1"/>
        </w:rPr>
        <w:t xml:space="preserve">requirement </w:t>
      </w:r>
      <w:r w:rsidR="00F34539" w:rsidRPr="008C4D92">
        <w:rPr>
          <w:color w:val="000000" w:themeColor="text1"/>
        </w:rPr>
        <w:t xml:space="preserve">that an appointment of a receiver must be </w:t>
      </w:r>
      <w:r w:rsidR="006127DF" w:rsidRPr="008C4D92">
        <w:rPr>
          <w:color w:val="000000" w:themeColor="text1"/>
        </w:rPr>
        <w:t xml:space="preserve">strictly in accordance with the original </w:t>
      </w:r>
      <w:r w:rsidR="00333597" w:rsidRPr="008C4D92">
        <w:rPr>
          <w:color w:val="000000" w:themeColor="text1"/>
        </w:rPr>
        <w:t>document authorising the appointment</w:t>
      </w:r>
      <w:r w:rsidR="00822B37" w:rsidRPr="008C4D92">
        <w:rPr>
          <w:color w:val="000000" w:themeColor="text1"/>
        </w:rPr>
        <w:t xml:space="preserve">, </w:t>
      </w:r>
      <w:r w:rsidR="008460B8" w:rsidRPr="008C4D92">
        <w:rPr>
          <w:color w:val="000000" w:themeColor="text1"/>
        </w:rPr>
        <w:t>as discussed in</w:t>
      </w:r>
      <w:r w:rsidR="00822B37" w:rsidRPr="008C4D92">
        <w:rPr>
          <w:color w:val="000000" w:themeColor="text1"/>
        </w:rPr>
        <w:t xml:space="preserve"> cases such as </w:t>
      </w:r>
      <w:r w:rsidR="00822B37" w:rsidRPr="008C4D92">
        <w:rPr>
          <w:i/>
          <w:color w:val="000000" w:themeColor="text1"/>
        </w:rPr>
        <w:t>The Merrow</w:t>
      </w:r>
      <w:r w:rsidR="00CE478A" w:rsidRPr="008C4D92">
        <w:rPr>
          <w:i/>
          <w:color w:val="000000" w:themeColor="text1"/>
        </w:rPr>
        <w:t xml:space="preserve"> Ltd v. Bank of Ireland Plc &amp; Anor. </w:t>
      </w:r>
      <w:r w:rsidR="00CE478A" w:rsidRPr="008C4D92">
        <w:rPr>
          <w:iCs/>
          <w:color w:val="000000" w:themeColor="text1"/>
        </w:rPr>
        <w:t>[2013] IEHC 130</w:t>
      </w:r>
      <w:r w:rsidR="00822B37" w:rsidRPr="008C4D92">
        <w:rPr>
          <w:i/>
          <w:color w:val="000000" w:themeColor="text1"/>
        </w:rPr>
        <w:t xml:space="preserve"> </w:t>
      </w:r>
      <w:r w:rsidR="00822B37" w:rsidRPr="008C4D92">
        <w:rPr>
          <w:color w:val="000000" w:themeColor="text1"/>
        </w:rPr>
        <w:t xml:space="preserve">and </w:t>
      </w:r>
      <w:r w:rsidR="00822B37" w:rsidRPr="008C4D92">
        <w:rPr>
          <w:i/>
          <w:color w:val="000000" w:themeColor="text1"/>
        </w:rPr>
        <w:t>Moroney v. McCarthy</w:t>
      </w:r>
      <w:r w:rsidR="00CE478A" w:rsidRPr="008C4D92">
        <w:rPr>
          <w:i/>
          <w:color w:val="000000" w:themeColor="text1"/>
        </w:rPr>
        <w:t xml:space="preserve"> &amp; Anor. </w:t>
      </w:r>
      <w:r w:rsidR="00CE478A" w:rsidRPr="008C4D92">
        <w:rPr>
          <w:iCs/>
          <w:color w:val="000000" w:themeColor="text1"/>
        </w:rPr>
        <w:t>[2018] IEHC 379</w:t>
      </w:r>
      <w:r w:rsidR="00333597" w:rsidRPr="008C4D92">
        <w:rPr>
          <w:color w:val="000000" w:themeColor="text1"/>
        </w:rPr>
        <w:t>.</w:t>
      </w:r>
      <w:r w:rsidR="0023371E" w:rsidRPr="008C4D92">
        <w:rPr>
          <w:color w:val="000000" w:themeColor="text1"/>
        </w:rPr>
        <w:t xml:space="preserve"> </w:t>
      </w:r>
      <w:r w:rsidR="00C7448D" w:rsidRPr="008C4D92">
        <w:rPr>
          <w:color w:val="000000" w:themeColor="text1"/>
        </w:rPr>
        <w:t>She</w:t>
      </w:r>
      <w:r w:rsidR="00822B37" w:rsidRPr="008C4D92">
        <w:rPr>
          <w:color w:val="000000" w:themeColor="text1"/>
        </w:rPr>
        <w:t xml:space="preserve"> also submit</w:t>
      </w:r>
      <w:r w:rsidR="00C7448D" w:rsidRPr="008C4D92">
        <w:rPr>
          <w:color w:val="000000" w:themeColor="text1"/>
        </w:rPr>
        <w:t>s</w:t>
      </w:r>
      <w:r w:rsidR="00822B37" w:rsidRPr="008C4D92">
        <w:rPr>
          <w:color w:val="000000" w:themeColor="text1"/>
        </w:rPr>
        <w:t xml:space="preserve"> that the High Court judge was in error insofar as he relied upon a recital</w:t>
      </w:r>
      <w:r w:rsidR="00FC1B37">
        <w:rPr>
          <w:color w:val="000000" w:themeColor="text1"/>
        </w:rPr>
        <w:t>,</w:t>
      </w:r>
      <w:r w:rsidR="00822B37" w:rsidRPr="008C4D92">
        <w:rPr>
          <w:color w:val="000000" w:themeColor="text1"/>
        </w:rPr>
        <w:t xml:space="preserve"> because it is a basic tenet of conveyancing law that recitals must yield to the operative part of an instrument.</w:t>
      </w:r>
      <w:r w:rsidR="00945A59" w:rsidRPr="008C4D92">
        <w:rPr>
          <w:color w:val="000000" w:themeColor="text1"/>
        </w:rPr>
        <w:t xml:space="preserve"> </w:t>
      </w:r>
      <w:r w:rsidR="006943D3" w:rsidRPr="008C4D92">
        <w:rPr>
          <w:color w:val="000000" w:themeColor="text1"/>
        </w:rPr>
        <w:t>The second defendant also submits</w:t>
      </w:r>
      <w:r w:rsidR="00822B37" w:rsidRPr="008C4D92">
        <w:rPr>
          <w:color w:val="000000" w:themeColor="text1"/>
        </w:rPr>
        <w:t xml:space="preserve"> that </w:t>
      </w:r>
      <w:r w:rsidR="00822B37" w:rsidRPr="008C4D92">
        <w:rPr>
          <w:i/>
          <w:color w:val="000000" w:themeColor="text1"/>
        </w:rPr>
        <w:t>Tanager</w:t>
      </w:r>
      <w:r w:rsidR="00CE478A" w:rsidRPr="008C4D92">
        <w:rPr>
          <w:i/>
          <w:color w:val="000000" w:themeColor="text1"/>
        </w:rPr>
        <w:t xml:space="preserve"> D.A.C.</w:t>
      </w:r>
      <w:r w:rsidR="00822B37" w:rsidRPr="008C4D92">
        <w:rPr>
          <w:i/>
          <w:color w:val="000000" w:themeColor="text1"/>
        </w:rPr>
        <w:t xml:space="preserve"> v. Kane </w:t>
      </w:r>
      <w:r w:rsidR="00822B37" w:rsidRPr="008C4D92">
        <w:rPr>
          <w:color w:val="000000" w:themeColor="text1"/>
        </w:rPr>
        <w:t xml:space="preserve">has nothing to do with </w:t>
      </w:r>
      <w:r w:rsidR="006943D3" w:rsidRPr="008C4D92">
        <w:rPr>
          <w:color w:val="000000" w:themeColor="text1"/>
        </w:rPr>
        <w:t xml:space="preserve">the issue of </w:t>
      </w:r>
      <w:r w:rsidR="00822B37" w:rsidRPr="008C4D92">
        <w:rPr>
          <w:color w:val="000000" w:themeColor="text1"/>
        </w:rPr>
        <w:t xml:space="preserve">whether the receivers were validly appointed. </w:t>
      </w:r>
    </w:p>
    <w:p w14:paraId="4FA938CC" w14:textId="77777777" w:rsidR="00822B37" w:rsidRPr="008C4D92" w:rsidRDefault="00822B37" w:rsidP="00822B37">
      <w:pPr>
        <w:pStyle w:val="ListParagraph"/>
        <w:rPr>
          <w:color w:val="000000" w:themeColor="text1"/>
        </w:rPr>
      </w:pPr>
    </w:p>
    <w:p w14:paraId="29F4D57C" w14:textId="2EE56307" w:rsidR="00822B37" w:rsidRPr="008C4D92" w:rsidRDefault="00822B37" w:rsidP="00822B37">
      <w:pPr>
        <w:numPr>
          <w:ilvl w:val="0"/>
          <w:numId w:val="19"/>
        </w:numPr>
        <w:spacing w:line="480" w:lineRule="auto"/>
        <w:jc w:val="both"/>
        <w:rPr>
          <w:color w:val="000000" w:themeColor="text1"/>
        </w:rPr>
      </w:pPr>
      <w:r w:rsidRPr="008C4D92">
        <w:rPr>
          <w:color w:val="000000" w:themeColor="text1"/>
        </w:rPr>
        <w:t xml:space="preserve">The plaintiffs submit that, as regards the Global Deed of Transfer, the registration of the first plaintiff on the Folio as owner of the charge is a complete answer to the suggestion that the first plaintiff did not validly acquire the charge from AIB. They rely on paragraph 64 of the trial judge’s judgment in which he reached this conclusion. They submit that the trial judge’s reference at paragraph 65 of his judgment to potential rectification of the date of the mortgage was clearly intended to be a reference to the parties to the Deed of  Transfer and to </w:t>
      </w:r>
      <w:r w:rsidR="00960330">
        <w:rPr>
          <w:color w:val="000000" w:themeColor="text1"/>
        </w:rPr>
        <w:t xml:space="preserve">the </w:t>
      </w:r>
      <w:r w:rsidRPr="008C4D92">
        <w:rPr>
          <w:color w:val="000000" w:themeColor="text1"/>
        </w:rPr>
        <w:t xml:space="preserve">rectification of the Schedule thereto, but that this was </w:t>
      </w:r>
      <w:r w:rsidRPr="008C4D92">
        <w:rPr>
          <w:i/>
          <w:color w:val="000000" w:themeColor="text1"/>
        </w:rPr>
        <w:t>obiter</w:t>
      </w:r>
      <w:r w:rsidRPr="008C4D92">
        <w:rPr>
          <w:color w:val="000000" w:themeColor="text1"/>
        </w:rPr>
        <w:t xml:space="preserve"> and did not detract from his core determination that the first plaintiff had made out a strong case that it was owner of the mortgage of </w:t>
      </w:r>
      <w:r w:rsidR="00CE478A" w:rsidRPr="008C4D92">
        <w:rPr>
          <w:color w:val="000000" w:themeColor="text1"/>
        </w:rPr>
        <w:t xml:space="preserve">the </w:t>
      </w:r>
      <w:r w:rsidRPr="008C4D92">
        <w:rPr>
          <w:color w:val="000000" w:themeColor="text1"/>
        </w:rPr>
        <w:t xml:space="preserve">12 August 1998 by virtue of its registration as owner of same on the Register. </w:t>
      </w:r>
    </w:p>
    <w:p w14:paraId="1570E471" w14:textId="77777777" w:rsidR="00E3610C" w:rsidRPr="008C4D92" w:rsidRDefault="00E3610C" w:rsidP="00E3610C">
      <w:pPr>
        <w:pStyle w:val="ListParagraph"/>
        <w:rPr>
          <w:color w:val="000000" w:themeColor="text1"/>
        </w:rPr>
      </w:pPr>
    </w:p>
    <w:p w14:paraId="63148CC6" w14:textId="3709958D" w:rsidR="00476274" w:rsidRPr="008C4D92" w:rsidRDefault="00E3610C" w:rsidP="00822B37">
      <w:pPr>
        <w:numPr>
          <w:ilvl w:val="0"/>
          <w:numId w:val="19"/>
        </w:numPr>
        <w:spacing w:line="480" w:lineRule="auto"/>
        <w:jc w:val="both"/>
        <w:rPr>
          <w:color w:val="000000" w:themeColor="text1"/>
        </w:rPr>
      </w:pPr>
      <w:r w:rsidRPr="008C4D92">
        <w:rPr>
          <w:color w:val="000000" w:themeColor="text1"/>
        </w:rPr>
        <w:t xml:space="preserve">In my view, the plaintiffs do appear to have a strong case </w:t>
      </w:r>
      <w:r w:rsidR="00093B00" w:rsidRPr="008C4D92">
        <w:rPr>
          <w:color w:val="000000" w:themeColor="text1"/>
        </w:rPr>
        <w:t xml:space="preserve">that the first plaintiff is the owner of the charge, having regard to the fact that it is registered on the </w:t>
      </w:r>
      <w:r w:rsidR="001C5AE4">
        <w:rPr>
          <w:color w:val="000000" w:themeColor="text1"/>
        </w:rPr>
        <w:t>F</w:t>
      </w:r>
      <w:r w:rsidR="00093B00" w:rsidRPr="008C4D92">
        <w:rPr>
          <w:color w:val="000000" w:themeColor="text1"/>
        </w:rPr>
        <w:t xml:space="preserve">olio as such, and having regard to the conclusiveness of the folio as </w:t>
      </w:r>
      <w:r w:rsidR="00945A59" w:rsidRPr="008C4D92">
        <w:rPr>
          <w:color w:val="000000" w:themeColor="text1"/>
        </w:rPr>
        <w:t xml:space="preserve">provided for by s.31(1) of the Act and </w:t>
      </w:r>
      <w:r w:rsidR="00093B00" w:rsidRPr="008C4D92">
        <w:rPr>
          <w:color w:val="000000" w:themeColor="text1"/>
        </w:rPr>
        <w:t xml:space="preserve">discussed in such cases as </w:t>
      </w:r>
      <w:r w:rsidR="00093B00" w:rsidRPr="008C4D92">
        <w:rPr>
          <w:i/>
          <w:color w:val="000000" w:themeColor="text1"/>
        </w:rPr>
        <w:t xml:space="preserve">Tanager </w:t>
      </w:r>
      <w:r w:rsidR="00CE478A" w:rsidRPr="008C4D92">
        <w:rPr>
          <w:i/>
          <w:color w:val="000000" w:themeColor="text1"/>
        </w:rPr>
        <w:t xml:space="preserve">D.A.C. </w:t>
      </w:r>
      <w:r w:rsidR="00093B00" w:rsidRPr="008C4D92">
        <w:rPr>
          <w:i/>
          <w:color w:val="000000" w:themeColor="text1"/>
        </w:rPr>
        <w:t xml:space="preserve">v. Kane </w:t>
      </w:r>
      <w:r w:rsidR="00093B00" w:rsidRPr="008C4D92">
        <w:rPr>
          <w:color w:val="000000" w:themeColor="text1"/>
        </w:rPr>
        <w:t xml:space="preserve">and </w:t>
      </w:r>
      <w:r w:rsidR="00093B00" w:rsidRPr="008C4D92">
        <w:rPr>
          <w:i/>
          <w:color w:val="000000" w:themeColor="text1"/>
        </w:rPr>
        <w:t xml:space="preserve">Bank of Ireland v. </w:t>
      </w:r>
      <w:r w:rsidR="00B92D1A" w:rsidRPr="008C4D92">
        <w:rPr>
          <w:i/>
          <w:color w:val="000000" w:themeColor="text1"/>
        </w:rPr>
        <w:t>Cody</w:t>
      </w:r>
      <w:r w:rsidR="00812615" w:rsidRPr="008C4D92">
        <w:rPr>
          <w:i/>
          <w:color w:val="000000" w:themeColor="text1"/>
        </w:rPr>
        <w:t xml:space="preserve"> </w:t>
      </w:r>
      <w:r w:rsidR="00812615" w:rsidRPr="008C4D92">
        <w:rPr>
          <w:color w:val="000000" w:themeColor="text1"/>
        </w:rPr>
        <w:t>[2021] IESC 26</w:t>
      </w:r>
      <w:r w:rsidR="00B92D1A" w:rsidRPr="008C4D92">
        <w:rPr>
          <w:i/>
          <w:color w:val="000000" w:themeColor="text1"/>
        </w:rPr>
        <w:t xml:space="preserve">. </w:t>
      </w:r>
      <w:r w:rsidR="00476274" w:rsidRPr="008C4D92">
        <w:rPr>
          <w:color w:val="000000" w:themeColor="text1"/>
        </w:rPr>
        <w:t xml:space="preserve">Insofar as the High Court judge spoke about rectification, I agree with the plaintiffs that this was at best </w:t>
      </w:r>
      <w:r w:rsidR="00476274" w:rsidRPr="008C4D92">
        <w:rPr>
          <w:i/>
          <w:color w:val="000000" w:themeColor="text1"/>
        </w:rPr>
        <w:t xml:space="preserve">obiter </w:t>
      </w:r>
      <w:r w:rsidR="00476274" w:rsidRPr="008C4D92">
        <w:rPr>
          <w:color w:val="000000" w:themeColor="text1"/>
        </w:rPr>
        <w:t>and that his core conclusion on this point was the conclusiveness of the Register on the question of the first plaintiff’s title to the charge</w:t>
      </w:r>
      <w:r w:rsidR="006170DF" w:rsidRPr="008C4D92">
        <w:rPr>
          <w:color w:val="000000" w:themeColor="text1"/>
        </w:rPr>
        <w:t>, and I agree with him that the plaintiffs had made out a strong case on this</w:t>
      </w:r>
      <w:r w:rsidR="00FC1B37">
        <w:rPr>
          <w:color w:val="000000" w:themeColor="text1"/>
        </w:rPr>
        <w:t xml:space="preserve"> specific</w:t>
      </w:r>
      <w:r w:rsidR="006170DF" w:rsidRPr="008C4D92">
        <w:rPr>
          <w:color w:val="000000" w:themeColor="text1"/>
        </w:rPr>
        <w:t xml:space="preserve"> issue.</w:t>
      </w:r>
    </w:p>
    <w:p w14:paraId="26696ECF" w14:textId="77777777" w:rsidR="00476274" w:rsidRPr="008C4D92" w:rsidRDefault="00476274" w:rsidP="00476274">
      <w:pPr>
        <w:pStyle w:val="ListParagraph"/>
        <w:rPr>
          <w:color w:val="000000" w:themeColor="text1"/>
        </w:rPr>
      </w:pPr>
    </w:p>
    <w:p w14:paraId="23F1FC83" w14:textId="371C722E" w:rsidR="00E3610C" w:rsidRPr="008C4D92" w:rsidRDefault="00E71DEF" w:rsidP="00822B37">
      <w:pPr>
        <w:numPr>
          <w:ilvl w:val="0"/>
          <w:numId w:val="19"/>
        </w:numPr>
        <w:spacing w:line="480" w:lineRule="auto"/>
        <w:jc w:val="both"/>
        <w:rPr>
          <w:color w:val="000000" w:themeColor="text1"/>
        </w:rPr>
      </w:pPr>
      <w:r w:rsidRPr="008C4D92">
        <w:rPr>
          <w:color w:val="000000" w:themeColor="text1"/>
        </w:rPr>
        <w:t>The question of the validity of the receivers’ appointment is a separate matter</w:t>
      </w:r>
      <w:r w:rsidR="000302F4" w:rsidRPr="008C4D92">
        <w:rPr>
          <w:color w:val="000000" w:themeColor="text1"/>
        </w:rPr>
        <w:t>;</w:t>
      </w:r>
      <w:r w:rsidR="00C52A6E">
        <w:rPr>
          <w:color w:val="000000" w:themeColor="text1"/>
        </w:rPr>
        <w:t xml:space="preserve"> I am of the view that</w:t>
      </w:r>
      <w:r w:rsidR="000302F4" w:rsidRPr="008C4D92">
        <w:rPr>
          <w:color w:val="000000" w:themeColor="text1"/>
        </w:rPr>
        <w:t xml:space="preserve"> the conclusiveness of the Register has </w:t>
      </w:r>
      <w:r w:rsidR="00C52A6E">
        <w:rPr>
          <w:color w:val="000000" w:themeColor="text1"/>
        </w:rPr>
        <w:t>no</w:t>
      </w:r>
      <w:r w:rsidR="000302F4" w:rsidRPr="008C4D92">
        <w:rPr>
          <w:color w:val="000000" w:themeColor="text1"/>
        </w:rPr>
        <w:t xml:space="preserve"> application to that issue. I turn now to </w:t>
      </w:r>
      <w:r w:rsidR="002C5835">
        <w:rPr>
          <w:color w:val="000000" w:themeColor="text1"/>
        </w:rPr>
        <w:t>what is therefore a separate</w:t>
      </w:r>
      <w:r w:rsidR="000302F4" w:rsidRPr="008C4D92">
        <w:rPr>
          <w:color w:val="000000" w:themeColor="text1"/>
        </w:rPr>
        <w:t xml:space="preserve"> issue</w:t>
      </w:r>
      <w:r w:rsidR="002C5835">
        <w:rPr>
          <w:color w:val="000000" w:themeColor="text1"/>
        </w:rPr>
        <w:t>; the documents in question here are the Instrument of Appointment and the Deed of Novation</w:t>
      </w:r>
      <w:r w:rsidR="000302F4" w:rsidRPr="008C4D92">
        <w:rPr>
          <w:color w:val="000000" w:themeColor="text1"/>
        </w:rPr>
        <w:t>.</w:t>
      </w:r>
    </w:p>
    <w:p w14:paraId="30AEB4B0" w14:textId="77777777" w:rsidR="00822B37" w:rsidRPr="008C4D92" w:rsidRDefault="00822B37" w:rsidP="00822B37">
      <w:pPr>
        <w:pStyle w:val="ListParagraph"/>
        <w:rPr>
          <w:color w:val="000000" w:themeColor="text1"/>
        </w:rPr>
      </w:pPr>
    </w:p>
    <w:p w14:paraId="30DE1BB0" w14:textId="05BB2129" w:rsidR="001E3130" w:rsidRPr="008C4D92" w:rsidRDefault="00FD3908" w:rsidP="00822B37">
      <w:pPr>
        <w:numPr>
          <w:ilvl w:val="0"/>
          <w:numId w:val="19"/>
        </w:numPr>
        <w:spacing w:line="480" w:lineRule="auto"/>
        <w:jc w:val="both"/>
        <w:rPr>
          <w:color w:val="000000" w:themeColor="text1"/>
        </w:rPr>
      </w:pPr>
      <w:r w:rsidRPr="008C4D92">
        <w:rPr>
          <w:color w:val="000000" w:themeColor="text1"/>
        </w:rPr>
        <w:lastRenderedPageBreak/>
        <w:t>I</w:t>
      </w:r>
      <w:r w:rsidR="006170DF" w:rsidRPr="008C4D92">
        <w:rPr>
          <w:color w:val="000000" w:themeColor="text1"/>
        </w:rPr>
        <w:t>n the first instance, I</w:t>
      </w:r>
      <w:r w:rsidRPr="008C4D92">
        <w:rPr>
          <w:color w:val="000000" w:themeColor="text1"/>
        </w:rPr>
        <w:t xml:space="preserve"> am not persuaded that </w:t>
      </w:r>
      <w:r w:rsidR="001E3130" w:rsidRPr="008C4D92">
        <w:rPr>
          <w:color w:val="000000" w:themeColor="text1"/>
        </w:rPr>
        <w:t>there is any error</w:t>
      </w:r>
      <w:r w:rsidRPr="008C4D92">
        <w:rPr>
          <w:color w:val="000000" w:themeColor="text1"/>
        </w:rPr>
        <w:t xml:space="preserve"> in relation to the description of the date of the receivers’ appointment </w:t>
      </w:r>
      <w:r w:rsidR="00C038CA" w:rsidRPr="008C4D92">
        <w:rPr>
          <w:color w:val="000000" w:themeColor="text1"/>
        </w:rPr>
        <w:t xml:space="preserve">in the Deed of Novation as </w:t>
      </w:r>
      <w:r w:rsidR="007F47EF" w:rsidRPr="008C4D92">
        <w:rPr>
          <w:color w:val="000000" w:themeColor="text1"/>
        </w:rPr>
        <w:t xml:space="preserve">the </w:t>
      </w:r>
      <w:r w:rsidR="00C038CA" w:rsidRPr="008C4D92">
        <w:rPr>
          <w:color w:val="000000" w:themeColor="text1"/>
        </w:rPr>
        <w:t xml:space="preserve">2 November 2017, </w:t>
      </w:r>
      <w:r w:rsidRPr="008C4D92">
        <w:rPr>
          <w:color w:val="000000" w:themeColor="text1"/>
        </w:rPr>
        <w:t xml:space="preserve">in circumstances where the 2 November 2017 was the date of their </w:t>
      </w:r>
      <w:r w:rsidRPr="00034375">
        <w:rPr>
          <w:i/>
          <w:color w:val="000000" w:themeColor="text1"/>
        </w:rPr>
        <w:t>acceptance</w:t>
      </w:r>
      <w:r w:rsidRPr="008C4D92">
        <w:rPr>
          <w:color w:val="000000" w:themeColor="text1"/>
        </w:rPr>
        <w:t xml:space="preserve"> of the appointment</w:t>
      </w:r>
      <w:r w:rsidR="00C038CA" w:rsidRPr="008C4D92">
        <w:rPr>
          <w:color w:val="000000" w:themeColor="text1"/>
        </w:rPr>
        <w:t xml:space="preserve">, even though the </w:t>
      </w:r>
      <w:r w:rsidR="00A311F3">
        <w:rPr>
          <w:color w:val="000000" w:themeColor="text1"/>
        </w:rPr>
        <w:t>d</w:t>
      </w:r>
      <w:r w:rsidR="00C038CA" w:rsidRPr="008C4D92">
        <w:rPr>
          <w:color w:val="000000" w:themeColor="text1"/>
        </w:rPr>
        <w:t xml:space="preserve">ate of the Instrument itself was </w:t>
      </w:r>
      <w:r w:rsidR="007F47EF" w:rsidRPr="008C4D92">
        <w:rPr>
          <w:color w:val="000000" w:themeColor="text1"/>
        </w:rPr>
        <w:t xml:space="preserve">the </w:t>
      </w:r>
      <w:r w:rsidR="00C038CA" w:rsidRPr="008C4D92">
        <w:rPr>
          <w:color w:val="000000" w:themeColor="text1"/>
        </w:rPr>
        <w:t>13 October 2017</w:t>
      </w:r>
      <w:r w:rsidRPr="008C4D92">
        <w:rPr>
          <w:color w:val="000000" w:themeColor="text1"/>
        </w:rPr>
        <w:t xml:space="preserve">. </w:t>
      </w:r>
      <w:r w:rsidR="006170DF" w:rsidRPr="008C4D92">
        <w:rPr>
          <w:color w:val="000000" w:themeColor="text1"/>
        </w:rPr>
        <w:t>In this regard I also agree with the High Court judge.</w:t>
      </w:r>
    </w:p>
    <w:p w14:paraId="53D8EC61" w14:textId="77777777" w:rsidR="001E3130" w:rsidRPr="008C4D92" w:rsidRDefault="001E3130" w:rsidP="001E3130">
      <w:pPr>
        <w:pStyle w:val="ListParagraph"/>
        <w:rPr>
          <w:color w:val="000000" w:themeColor="text1"/>
        </w:rPr>
      </w:pPr>
    </w:p>
    <w:p w14:paraId="7E15E0C3" w14:textId="347A09F4" w:rsidR="00FD3908" w:rsidRPr="008C4D92" w:rsidRDefault="00FF7AC9" w:rsidP="00822B37">
      <w:pPr>
        <w:numPr>
          <w:ilvl w:val="0"/>
          <w:numId w:val="19"/>
        </w:numPr>
        <w:spacing w:line="480" w:lineRule="auto"/>
        <w:jc w:val="both"/>
        <w:rPr>
          <w:color w:val="000000" w:themeColor="text1"/>
        </w:rPr>
      </w:pPr>
      <w:r>
        <w:rPr>
          <w:color w:val="000000" w:themeColor="text1"/>
        </w:rPr>
        <w:t>T</w:t>
      </w:r>
      <w:r w:rsidR="00FD3908" w:rsidRPr="008C4D92">
        <w:rPr>
          <w:color w:val="000000" w:themeColor="text1"/>
        </w:rPr>
        <w:t>here</w:t>
      </w:r>
      <w:r w:rsidR="006170DF" w:rsidRPr="008C4D92">
        <w:rPr>
          <w:color w:val="000000" w:themeColor="text1"/>
        </w:rPr>
        <w:t xml:space="preserve"> is, however,</w:t>
      </w:r>
      <w:r w:rsidR="00FD3908" w:rsidRPr="008C4D92">
        <w:rPr>
          <w:color w:val="000000" w:themeColor="text1"/>
        </w:rPr>
        <w:t xml:space="preserve"> a clear error in the Schedule to the Instrument of Appointment regarding the date of the mortgage</w:t>
      </w:r>
      <w:r w:rsidR="007F47EF" w:rsidRPr="008C4D92">
        <w:rPr>
          <w:color w:val="000000" w:themeColor="text1"/>
        </w:rPr>
        <w:t>,</w:t>
      </w:r>
      <w:r w:rsidR="00FD3908" w:rsidRPr="008C4D92">
        <w:rPr>
          <w:color w:val="000000" w:themeColor="text1"/>
        </w:rPr>
        <w:t xml:space="preserve"> albeit that the </w:t>
      </w:r>
      <w:r w:rsidR="00DC6345" w:rsidRPr="008C4D92">
        <w:rPr>
          <w:color w:val="000000" w:themeColor="text1"/>
        </w:rPr>
        <w:t>property</w:t>
      </w:r>
      <w:r w:rsidR="003950F9" w:rsidRPr="008C4D92">
        <w:rPr>
          <w:color w:val="000000" w:themeColor="text1"/>
        </w:rPr>
        <w:t xml:space="preserve"> address</w:t>
      </w:r>
      <w:r w:rsidR="00DC6345" w:rsidRPr="008C4D92">
        <w:rPr>
          <w:color w:val="000000" w:themeColor="text1"/>
        </w:rPr>
        <w:t xml:space="preserve"> itself is correctly described</w:t>
      </w:r>
      <w:r w:rsidR="006170DF" w:rsidRPr="008C4D92">
        <w:rPr>
          <w:color w:val="000000" w:themeColor="text1"/>
        </w:rPr>
        <w:t>, as is</w:t>
      </w:r>
      <w:r w:rsidR="00DC6345" w:rsidRPr="008C4D92">
        <w:rPr>
          <w:color w:val="000000" w:themeColor="text1"/>
        </w:rPr>
        <w:t xml:space="preserve"> the </w:t>
      </w:r>
      <w:r w:rsidR="003950F9" w:rsidRPr="008C4D92">
        <w:rPr>
          <w:color w:val="000000" w:themeColor="text1"/>
        </w:rPr>
        <w:t>F</w:t>
      </w:r>
      <w:r w:rsidR="00DC6345" w:rsidRPr="008C4D92">
        <w:rPr>
          <w:color w:val="000000" w:themeColor="text1"/>
        </w:rPr>
        <w:t xml:space="preserve">olio reference. </w:t>
      </w:r>
    </w:p>
    <w:p w14:paraId="285C9513" w14:textId="77777777" w:rsidR="00FD3908" w:rsidRPr="008C4D92" w:rsidRDefault="00FD3908" w:rsidP="00FD3908">
      <w:pPr>
        <w:pStyle w:val="ListParagraph"/>
        <w:rPr>
          <w:color w:val="000000" w:themeColor="text1"/>
        </w:rPr>
      </w:pPr>
    </w:p>
    <w:p w14:paraId="7FD2350A" w14:textId="04198601" w:rsidR="00A16ADF" w:rsidRPr="008C4D92" w:rsidRDefault="00CD5653" w:rsidP="00A16ADF">
      <w:pPr>
        <w:numPr>
          <w:ilvl w:val="0"/>
          <w:numId w:val="19"/>
        </w:numPr>
        <w:spacing w:line="480" w:lineRule="auto"/>
        <w:jc w:val="both"/>
        <w:rPr>
          <w:color w:val="000000" w:themeColor="text1"/>
        </w:rPr>
      </w:pPr>
      <w:r w:rsidRPr="008C4D92">
        <w:rPr>
          <w:color w:val="000000" w:themeColor="text1"/>
        </w:rPr>
        <w:t>The</w:t>
      </w:r>
      <w:r w:rsidR="00822B37" w:rsidRPr="008C4D92">
        <w:rPr>
          <w:color w:val="000000" w:themeColor="text1"/>
        </w:rPr>
        <w:t xml:space="preserve"> plaintiffs submit that authorities such as </w:t>
      </w:r>
      <w:r w:rsidR="00822B37" w:rsidRPr="008C4D92">
        <w:rPr>
          <w:i/>
          <w:color w:val="000000" w:themeColor="text1"/>
        </w:rPr>
        <w:t>The Merrow</w:t>
      </w:r>
      <w:r w:rsidR="007F47EF" w:rsidRPr="008C4D92">
        <w:rPr>
          <w:i/>
          <w:color w:val="000000" w:themeColor="text1"/>
        </w:rPr>
        <w:t xml:space="preserve"> v. Bank of Ireland</w:t>
      </w:r>
      <w:r w:rsidR="00822B37" w:rsidRPr="008C4D92">
        <w:rPr>
          <w:i/>
          <w:color w:val="000000" w:themeColor="text1"/>
        </w:rPr>
        <w:t xml:space="preserve"> </w:t>
      </w:r>
      <w:r w:rsidR="00822B37" w:rsidRPr="008C4D92">
        <w:rPr>
          <w:color w:val="000000" w:themeColor="text1"/>
        </w:rPr>
        <w:t xml:space="preserve">and </w:t>
      </w:r>
      <w:r w:rsidR="00822B37" w:rsidRPr="008C4D92">
        <w:rPr>
          <w:i/>
          <w:color w:val="000000" w:themeColor="text1"/>
        </w:rPr>
        <w:t xml:space="preserve">McCarthy v. Moroney </w:t>
      </w:r>
      <w:r w:rsidR="00DE7F38" w:rsidRPr="008C4D92">
        <w:rPr>
          <w:color w:val="000000" w:themeColor="text1"/>
        </w:rPr>
        <w:t xml:space="preserve">are distinguishable because they </w:t>
      </w:r>
      <w:r w:rsidR="00822B37" w:rsidRPr="008C4D92">
        <w:rPr>
          <w:color w:val="000000" w:themeColor="text1"/>
        </w:rPr>
        <w:t>concern compliance with the formalities of appointment</w:t>
      </w:r>
      <w:r w:rsidR="001228E7" w:rsidRPr="008C4D92">
        <w:rPr>
          <w:color w:val="000000" w:themeColor="text1"/>
        </w:rPr>
        <w:t xml:space="preserve"> (such as whether the appointment should be under seal)</w:t>
      </w:r>
      <w:r w:rsidR="00052824" w:rsidRPr="008C4D92">
        <w:rPr>
          <w:color w:val="000000" w:themeColor="text1"/>
        </w:rPr>
        <w:t xml:space="preserve"> and</w:t>
      </w:r>
      <w:r w:rsidR="00822B37" w:rsidRPr="008C4D92">
        <w:rPr>
          <w:color w:val="000000" w:themeColor="text1"/>
        </w:rPr>
        <w:t xml:space="preserve"> not the issue which arises here, namely the correct identification of the mortgage on foot of which they were appointed. Referring to the </w:t>
      </w:r>
      <w:r w:rsidR="00070A78" w:rsidRPr="008C4D92">
        <w:rPr>
          <w:color w:val="000000" w:themeColor="text1"/>
        </w:rPr>
        <w:t>recital</w:t>
      </w:r>
      <w:r w:rsidR="001C657B">
        <w:rPr>
          <w:color w:val="000000" w:themeColor="text1"/>
        </w:rPr>
        <w:t>,</w:t>
      </w:r>
      <w:r w:rsidR="00822B37" w:rsidRPr="008C4D92">
        <w:rPr>
          <w:color w:val="000000" w:themeColor="text1"/>
        </w:rPr>
        <w:t xml:space="preserve"> which correctly identifies the mortgage date as </w:t>
      </w:r>
      <w:r w:rsidR="007F47EF" w:rsidRPr="008C4D92">
        <w:rPr>
          <w:color w:val="000000" w:themeColor="text1"/>
        </w:rPr>
        <w:t xml:space="preserve">the </w:t>
      </w:r>
      <w:r w:rsidR="00822B37" w:rsidRPr="008C4D92">
        <w:rPr>
          <w:color w:val="000000" w:themeColor="text1"/>
        </w:rPr>
        <w:t>12 August 1998</w:t>
      </w:r>
      <w:r w:rsidR="00070A78" w:rsidRPr="008C4D92">
        <w:rPr>
          <w:color w:val="000000" w:themeColor="text1"/>
        </w:rPr>
        <w:t xml:space="preserve"> </w:t>
      </w:r>
      <w:r w:rsidR="00822B37" w:rsidRPr="008C4D92">
        <w:rPr>
          <w:color w:val="000000" w:themeColor="text1"/>
        </w:rPr>
        <w:t xml:space="preserve">and what they say is the “appointment” part of the instrument, they contend that the </w:t>
      </w:r>
      <w:r w:rsidR="007F47EF" w:rsidRPr="008C4D92">
        <w:rPr>
          <w:color w:val="000000" w:themeColor="text1"/>
        </w:rPr>
        <w:t>“</w:t>
      </w:r>
      <w:r w:rsidR="00822B37" w:rsidRPr="008C4D92">
        <w:rPr>
          <w:color w:val="000000" w:themeColor="text1"/>
        </w:rPr>
        <w:t>operative appointment</w:t>
      </w:r>
      <w:r w:rsidR="007F47EF" w:rsidRPr="008C4D92">
        <w:rPr>
          <w:color w:val="000000" w:themeColor="text1"/>
        </w:rPr>
        <w:t>”</w:t>
      </w:r>
      <w:r w:rsidR="00822B37" w:rsidRPr="008C4D92">
        <w:rPr>
          <w:color w:val="000000" w:themeColor="text1"/>
        </w:rPr>
        <w:t xml:space="preserve"> part clearly references the “charge</w:t>
      </w:r>
      <w:r w:rsidR="00070A78" w:rsidRPr="008C4D92">
        <w:rPr>
          <w:color w:val="000000" w:themeColor="text1"/>
        </w:rPr>
        <w:t>”</w:t>
      </w:r>
      <w:r w:rsidR="00822B37" w:rsidRPr="008C4D92">
        <w:rPr>
          <w:color w:val="000000" w:themeColor="text1"/>
        </w:rPr>
        <w:t xml:space="preserve"> in question as that defined in the </w:t>
      </w:r>
      <w:r w:rsidR="00070A78" w:rsidRPr="008C4D92">
        <w:rPr>
          <w:color w:val="000000" w:themeColor="text1"/>
        </w:rPr>
        <w:t>recital</w:t>
      </w:r>
      <w:r w:rsidR="00822B37" w:rsidRPr="008C4D92">
        <w:rPr>
          <w:color w:val="000000" w:themeColor="text1"/>
        </w:rPr>
        <w:t xml:space="preserve">, namely the mortgage of </w:t>
      </w:r>
      <w:r w:rsidR="007F47EF" w:rsidRPr="008C4D92">
        <w:rPr>
          <w:color w:val="000000" w:themeColor="text1"/>
        </w:rPr>
        <w:t xml:space="preserve">the </w:t>
      </w:r>
      <w:r w:rsidR="00822B37" w:rsidRPr="008C4D92">
        <w:rPr>
          <w:color w:val="000000" w:themeColor="text1"/>
        </w:rPr>
        <w:t xml:space="preserve">12 August 1998. The purpose of the Schedule was </w:t>
      </w:r>
      <w:r w:rsidR="00070A78" w:rsidRPr="008C4D92">
        <w:rPr>
          <w:color w:val="000000" w:themeColor="text1"/>
        </w:rPr>
        <w:t xml:space="preserve">merely </w:t>
      </w:r>
      <w:r w:rsidR="007F47EF" w:rsidRPr="008C4D92">
        <w:rPr>
          <w:color w:val="000000" w:themeColor="text1"/>
        </w:rPr>
        <w:t xml:space="preserve">to </w:t>
      </w:r>
      <w:r w:rsidR="00822B37" w:rsidRPr="008C4D92">
        <w:rPr>
          <w:color w:val="000000" w:themeColor="text1"/>
        </w:rPr>
        <w:t>specify the property over which they were being appointed and the property is</w:t>
      </w:r>
      <w:r w:rsidR="004F33D6" w:rsidRPr="008C4D92">
        <w:rPr>
          <w:color w:val="000000" w:themeColor="text1"/>
        </w:rPr>
        <w:t xml:space="preserve"> </w:t>
      </w:r>
      <w:r w:rsidR="00822B37" w:rsidRPr="008C4D92">
        <w:rPr>
          <w:color w:val="000000" w:themeColor="text1"/>
        </w:rPr>
        <w:t>correctly identified</w:t>
      </w:r>
      <w:r w:rsidR="001C657B">
        <w:rPr>
          <w:color w:val="000000" w:themeColor="text1"/>
        </w:rPr>
        <w:t xml:space="preserve"> there</w:t>
      </w:r>
      <w:r w:rsidR="00822B37" w:rsidRPr="008C4D92">
        <w:rPr>
          <w:color w:val="000000" w:themeColor="text1"/>
        </w:rPr>
        <w:t>. The</w:t>
      </w:r>
      <w:r w:rsidR="00811261" w:rsidRPr="008C4D92">
        <w:rPr>
          <w:color w:val="000000" w:themeColor="text1"/>
        </w:rPr>
        <w:t>refore, they contend, the</w:t>
      </w:r>
      <w:r w:rsidR="00822B37" w:rsidRPr="008C4D92">
        <w:rPr>
          <w:color w:val="000000" w:themeColor="text1"/>
        </w:rPr>
        <w:t xml:space="preserve"> fact that the </w:t>
      </w:r>
      <w:r w:rsidR="007F47EF" w:rsidRPr="008C4D92">
        <w:rPr>
          <w:color w:val="000000" w:themeColor="text1"/>
        </w:rPr>
        <w:t>S</w:t>
      </w:r>
      <w:r w:rsidR="00822B37" w:rsidRPr="008C4D92">
        <w:rPr>
          <w:color w:val="000000" w:themeColor="text1"/>
        </w:rPr>
        <w:t xml:space="preserve">chedule provides an incorrect date for the </w:t>
      </w:r>
      <w:r w:rsidR="007F47EF" w:rsidRPr="008C4D92">
        <w:rPr>
          <w:color w:val="000000" w:themeColor="text1"/>
        </w:rPr>
        <w:t>m</w:t>
      </w:r>
      <w:r w:rsidR="00822B37" w:rsidRPr="008C4D92">
        <w:rPr>
          <w:color w:val="000000" w:themeColor="text1"/>
        </w:rPr>
        <w:t xml:space="preserve">ortgage is immaterial to the legal effect of the instrument. </w:t>
      </w:r>
    </w:p>
    <w:p w14:paraId="334AC9DA" w14:textId="77777777" w:rsidR="00CD5653" w:rsidRPr="008C4D92" w:rsidRDefault="00CD5653" w:rsidP="00CD5653">
      <w:pPr>
        <w:spacing w:line="480" w:lineRule="auto"/>
        <w:jc w:val="both"/>
        <w:rPr>
          <w:color w:val="000000" w:themeColor="text1"/>
        </w:rPr>
      </w:pPr>
    </w:p>
    <w:p w14:paraId="4EACAC6F" w14:textId="6080DF58" w:rsidR="00236F93" w:rsidRPr="008C4D92" w:rsidRDefault="00C71F2F" w:rsidP="002E0398">
      <w:pPr>
        <w:numPr>
          <w:ilvl w:val="0"/>
          <w:numId w:val="19"/>
        </w:numPr>
        <w:spacing w:line="480" w:lineRule="auto"/>
        <w:jc w:val="both"/>
        <w:rPr>
          <w:color w:val="000000" w:themeColor="text1"/>
        </w:rPr>
      </w:pPr>
      <w:r w:rsidRPr="008C4D92">
        <w:rPr>
          <w:color w:val="000000" w:themeColor="text1"/>
        </w:rPr>
        <w:t xml:space="preserve"> </w:t>
      </w:r>
      <w:r w:rsidR="000302F4" w:rsidRPr="008C4D92">
        <w:rPr>
          <w:color w:val="000000" w:themeColor="text1"/>
        </w:rPr>
        <w:t>In</w:t>
      </w:r>
      <w:r w:rsidR="003A0174" w:rsidRPr="008C4D92">
        <w:rPr>
          <w:color w:val="000000" w:themeColor="text1"/>
        </w:rPr>
        <w:t xml:space="preserve"> </w:t>
      </w:r>
      <w:r w:rsidR="003A0174" w:rsidRPr="008C4D92">
        <w:rPr>
          <w:i/>
          <w:color w:val="000000" w:themeColor="text1"/>
        </w:rPr>
        <w:t>The Merrow Limited v. Bank of Scotland Plc</w:t>
      </w:r>
      <w:r w:rsidR="006F564F" w:rsidRPr="008C4D92">
        <w:rPr>
          <w:color w:val="000000" w:themeColor="text1"/>
        </w:rPr>
        <w:t>,</w:t>
      </w:r>
      <w:r w:rsidR="00753149" w:rsidRPr="008C4D92">
        <w:rPr>
          <w:color w:val="000000" w:themeColor="text1"/>
        </w:rPr>
        <w:t xml:space="preserve"> </w:t>
      </w:r>
      <w:r w:rsidR="003A0174" w:rsidRPr="008C4D92">
        <w:rPr>
          <w:color w:val="000000" w:themeColor="text1"/>
        </w:rPr>
        <w:t>the High Court (Gilligan J.)</w:t>
      </w:r>
      <w:r w:rsidR="003A0174" w:rsidRPr="008C4D92">
        <w:rPr>
          <w:i/>
          <w:color w:val="000000" w:themeColor="text1"/>
        </w:rPr>
        <w:t xml:space="preserve"> </w:t>
      </w:r>
      <w:r w:rsidR="006F564F" w:rsidRPr="008C4D92">
        <w:rPr>
          <w:color w:val="000000" w:themeColor="text1"/>
        </w:rPr>
        <w:t>accept</w:t>
      </w:r>
      <w:r w:rsidR="001C657B">
        <w:rPr>
          <w:color w:val="000000" w:themeColor="text1"/>
        </w:rPr>
        <w:t>ed</w:t>
      </w:r>
      <w:r w:rsidR="006F564F" w:rsidRPr="008C4D92">
        <w:rPr>
          <w:color w:val="000000" w:themeColor="text1"/>
        </w:rPr>
        <w:t xml:space="preserve"> </w:t>
      </w:r>
      <w:r w:rsidR="003A0174" w:rsidRPr="008C4D92">
        <w:rPr>
          <w:color w:val="000000" w:themeColor="text1"/>
        </w:rPr>
        <w:t>an argumen</w:t>
      </w:r>
      <w:r w:rsidR="006F564F" w:rsidRPr="008C4D92">
        <w:rPr>
          <w:color w:val="000000" w:themeColor="text1"/>
        </w:rPr>
        <w:t>t</w:t>
      </w:r>
      <w:r w:rsidR="003A0174" w:rsidRPr="008C4D92">
        <w:rPr>
          <w:color w:val="000000" w:themeColor="text1"/>
        </w:rPr>
        <w:t xml:space="preserve"> that the appointment of a receiver was not valid because it was not under seal in accordance with a particular clause of a debenture</w:t>
      </w:r>
      <w:r w:rsidR="003E6151" w:rsidRPr="008C4D92">
        <w:rPr>
          <w:color w:val="000000" w:themeColor="text1"/>
        </w:rPr>
        <w:t xml:space="preserve"> which required that </w:t>
      </w:r>
      <w:r w:rsidR="002E0398" w:rsidRPr="008C4D92">
        <w:rPr>
          <w:color w:val="000000" w:themeColor="text1"/>
        </w:rPr>
        <w:t>it be under seal</w:t>
      </w:r>
      <w:r w:rsidR="003A0174" w:rsidRPr="008C4D92">
        <w:rPr>
          <w:color w:val="000000" w:themeColor="text1"/>
        </w:rPr>
        <w:t xml:space="preserve">.  </w:t>
      </w:r>
      <w:r w:rsidR="003E6151" w:rsidRPr="008C4D92">
        <w:rPr>
          <w:color w:val="000000" w:themeColor="text1"/>
        </w:rPr>
        <w:t xml:space="preserve">In </w:t>
      </w:r>
      <w:r w:rsidR="003E6151" w:rsidRPr="008C4D92">
        <w:rPr>
          <w:color w:val="000000" w:themeColor="text1"/>
        </w:rPr>
        <w:lastRenderedPageBreak/>
        <w:t>the course of his judgment, Gilligan J.</w:t>
      </w:r>
      <w:r w:rsidR="003A0174" w:rsidRPr="008C4D92">
        <w:rPr>
          <w:color w:val="000000" w:themeColor="text1"/>
        </w:rPr>
        <w:t xml:space="preserve"> considered </w:t>
      </w:r>
      <w:r w:rsidR="00753149" w:rsidRPr="008C4D92">
        <w:rPr>
          <w:color w:val="000000" w:themeColor="text1"/>
        </w:rPr>
        <w:t xml:space="preserve">a number of </w:t>
      </w:r>
      <w:r w:rsidR="003A0174" w:rsidRPr="008C4D92">
        <w:rPr>
          <w:color w:val="000000" w:themeColor="text1"/>
        </w:rPr>
        <w:t xml:space="preserve">authorities </w:t>
      </w:r>
      <w:r w:rsidR="003E6151" w:rsidRPr="008C4D92">
        <w:rPr>
          <w:color w:val="000000" w:themeColor="text1"/>
        </w:rPr>
        <w:t xml:space="preserve">on </w:t>
      </w:r>
      <w:r w:rsidR="003A0174" w:rsidRPr="008C4D92">
        <w:rPr>
          <w:color w:val="000000" w:themeColor="text1"/>
        </w:rPr>
        <w:t>the question of appointing</w:t>
      </w:r>
      <w:r w:rsidR="003E6151" w:rsidRPr="008C4D92">
        <w:rPr>
          <w:color w:val="000000" w:themeColor="text1"/>
        </w:rPr>
        <w:t xml:space="preserve"> receivers</w:t>
      </w:r>
      <w:r w:rsidR="003A0174" w:rsidRPr="008C4D92">
        <w:rPr>
          <w:color w:val="000000" w:themeColor="text1"/>
        </w:rPr>
        <w:t xml:space="preserve"> </w:t>
      </w:r>
      <w:r w:rsidR="007F47EF" w:rsidRPr="008C4D92">
        <w:rPr>
          <w:color w:val="000000" w:themeColor="text1"/>
        </w:rPr>
        <w:t xml:space="preserve">in </w:t>
      </w:r>
      <w:r w:rsidR="003A0174" w:rsidRPr="008C4D92">
        <w:rPr>
          <w:color w:val="000000" w:themeColor="text1"/>
        </w:rPr>
        <w:t xml:space="preserve">accordance with debentures. </w:t>
      </w:r>
      <w:r w:rsidR="002E0398" w:rsidRPr="008C4D92">
        <w:rPr>
          <w:color w:val="000000" w:themeColor="text1"/>
        </w:rPr>
        <w:t>He considered it well</w:t>
      </w:r>
      <w:r w:rsidR="00D748B7">
        <w:rPr>
          <w:color w:val="000000" w:themeColor="text1"/>
        </w:rPr>
        <w:t xml:space="preserve"> </w:t>
      </w:r>
      <w:r w:rsidR="002E0398" w:rsidRPr="008C4D92">
        <w:rPr>
          <w:color w:val="000000" w:themeColor="text1"/>
        </w:rPr>
        <w:t>established that s</w:t>
      </w:r>
      <w:r w:rsidR="00236F93" w:rsidRPr="008C4D92">
        <w:rPr>
          <w:color w:val="000000" w:themeColor="text1"/>
        </w:rPr>
        <w:t xml:space="preserve">ince a receiver’s authority is derived from the instrument under which he is appointed, an appointment is not valid unless it is made in accordance with the terms of that instrument. </w:t>
      </w:r>
    </w:p>
    <w:p w14:paraId="5C0E4503" w14:textId="77777777" w:rsidR="006170DF" w:rsidRPr="008C4D92" w:rsidRDefault="006170DF" w:rsidP="006170DF">
      <w:pPr>
        <w:spacing w:line="480" w:lineRule="auto"/>
        <w:jc w:val="both"/>
        <w:rPr>
          <w:color w:val="000000" w:themeColor="text1"/>
        </w:rPr>
      </w:pPr>
    </w:p>
    <w:p w14:paraId="515FF384" w14:textId="51C70A0E" w:rsidR="00C71F2F" w:rsidRPr="008C4D92" w:rsidRDefault="00C71F2F" w:rsidP="008E25FE">
      <w:pPr>
        <w:numPr>
          <w:ilvl w:val="0"/>
          <w:numId w:val="19"/>
        </w:numPr>
        <w:spacing w:line="480" w:lineRule="auto"/>
        <w:jc w:val="both"/>
        <w:rPr>
          <w:color w:val="000000" w:themeColor="text1"/>
        </w:rPr>
      </w:pPr>
      <w:r w:rsidRPr="008C4D92">
        <w:rPr>
          <w:color w:val="000000" w:themeColor="text1"/>
        </w:rPr>
        <w:t xml:space="preserve"> </w:t>
      </w:r>
      <w:r w:rsidR="00FC57BA" w:rsidRPr="008C4D92">
        <w:rPr>
          <w:color w:val="000000" w:themeColor="text1"/>
        </w:rPr>
        <w:t xml:space="preserve">The analysis of Gilligan J. in </w:t>
      </w:r>
      <w:r w:rsidR="00FC57BA" w:rsidRPr="008C4D92">
        <w:rPr>
          <w:i/>
          <w:color w:val="000000" w:themeColor="text1"/>
        </w:rPr>
        <w:t xml:space="preserve">The Merrow </w:t>
      </w:r>
      <w:r w:rsidR="00FC57BA" w:rsidRPr="008C4D92">
        <w:rPr>
          <w:color w:val="000000" w:themeColor="text1"/>
        </w:rPr>
        <w:t>was followed in</w:t>
      </w:r>
      <w:r w:rsidR="002E0398" w:rsidRPr="008C4D92">
        <w:rPr>
          <w:color w:val="000000" w:themeColor="text1"/>
        </w:rPr>
        <w:t xml:space="preserve"> </w:t>
      </w:r>
      <w:r w:rsidR="00236F93" w:rsidRPr="008C4D92">
        <w:rPr>
          <w:i/>
          <w:color w:val="000000" w:themeColor="text1"/>
        </w:rPr>
        <w:t>Moroney v. Property Registration Authority and Ennis Property Finance</w:t>
      </w:r>
      <w:r w:rsidR="00FC57BA" w:rsidRPr="008C4D92">
        <w:rPr>
          <w:color w:val="000000" w:themeColor="text1"/>
        </w:rPr>
        <w:t xml:space="preserve">. </w:t>
      </w:r>
      <w:r w:rsidR="00236F93" w:rsidRPr="008C4D92">
        <w:rPr>
          <w:color w:val="000000" w:themeColor="text1"/>
        </w:rPr>
        <w:t xml:space="preserve"> </w:t>
      </w:r>
      <w:r w:rsidR="00CA71AA" w:rsidRPr="008C4D92">
        <w:rPr>
          <w:color w:val="000000" w:themeColor="text1"/>
        </w:rPr>
        <w:t xml:space="preserve">One of the arguments made </w:t>
      </w:r>
      <w:r w:rsidR="006478F9" w:rsidRPr="008C4D92">
        <w:rPr>
          <w:color w:val="000000" w:themeColor="text1"/>
        </w:rPr>
        <w:t xml:space="preserve">there </w:t>
      </w:r>
      <w:r w:rsidR="00CA71AA" w:rsidRPr="008C4D92">
        <w:rPr>
          <w:color w:val="000000" w:themeColor="text1"/>
        </w:rPr>
        <w:t xml:space="preserve">was that the </w:t>
      </w:r>
      <w:r w:rsidR="00FC57BA" w:rsidRPr="008C4D92">
        <w:rPr>
          <w:color w:val="000000" w:themeColor="text1"/>
        </w:rPr>
        <w:t>d</w:t>
      </w:r>
      <w:r w:rsidR="00CA71AA" w:rsidRPr="008C4D92">
        <w:rPr>
          <w:color w:val="000000" w:themeColor="text1"/>
        </w:rPr>
        <w:t xml:space="preserve">eed of </w:t>
      </w:r>
      <w:r w:rsidR="00FC57BA" w:rsidRPr="008C4D92">
        <w:rPr>
          <w:color w:val="000000" w:themeColor="text1"/>
        </w:rPr>
        <w:t>a</w:t>
      </w:r>
      <w:r w:rsidR="00CA71AA" w:rsidRPr="008C4D92">
        <w:rPr>
          <w:color w:val="000000" w:themeColor="text1"/>
        </w:rPr>
        <w:t xml:space="preserve">ppointment of the receiver was defective </w:t>
      </w:r>
      <w:r w:rsidR="00FC57BA" w:rsidRPr="008C4D92">
        <w:rPr>
          <w:color w:val="000000" w:themeColor="text1"/>
        </w:rPr>
        <w:t xml:space="preserve">because </w:t>
      </w:r>
      <w:r w:rsidR="00CA71AA" w:rsidRPr="008C4D92">
        <w:rPr>
          <w:color w:val="000000" w:themeColor="text1"/>
        </w:rPr>
        <w:t>it appointed him as receiver only</w:t>
      </w:r>
      <w:r w:rsidR="00FC57BA" w:rsidRPr="008C4D92">
        <w:rPr>
          <w:color w:val="000000" w:themeColor="text1"/>
        </w:rPr>
        <w:t>, and not</w:t>
      </w:r>
      <w:r w:rsidR="00CA71AA" w:rsidRPr="008C4D92">
        <w:rPr>
          <w:color w:val="000000" w:themeColor="text1"/>
        </w:rPr>
        <w:t xml:space="preserve"> as “receiver and manager”, which was the language used in the </w:t>
      </w:r>
      <w:r w:rsidR="00FC57BA" w:rsidRPr="008C4D92">
        <w:rPr>
          <w:color w:val="000000" w:themeColor="text1"/>
        </w:rPr>
        <w:t>d</w:t>
      </w:r>
      <w:r w:rsidR="00CA71AA" w:rsidRPr="008C4D92">
        <w:rPr>
          <w:color w:val="000000" w:themeColor="text1"/>
        </w:rPr>
        <w:t xml:space="preserve">eed of </w:t>
      </w:r>
      <w:r w:rsidR="00FC57BA" w:rsidRPr="008C4D92">
        <w:rPr>
          <w:color w:val="000000" w:themeColor="text1"/>
        </w:rPr>
        <w:t>m</w:t>
      </w:r>
      <w:r w:rsidR="00CA71AA" w:rsidRPr="008C4D92">
        <w:rPr>
          <w:color w:val="000000" w:themeColor="text1"/>
        </w:rPr>
        <w:t xml:space="preserve">ortgage.  </w:t>
      </w:r>
      <w:r w:rsidR="00FC57BA" w:rsidRPr="008C4D92">
        <w:rPr>
          <w:color w:val="000000" w:themeColor="text1"/>
        </w:rPr>
        <w:t xml:space="preserve">The High Court </w:t>
      </w:r>
      <w:r w:rsidR="001C657B">
        <w:rPr>
          <w:color w:val="000000" w:themeColor="text1"/>
        </w:rPr>
        <w:t xml:space="preserve">judge </w:t>
      </w:r>
      <w:r w:rsidR="00FC57BA" w:rsidRPr="008C4D92">
        <w:rPr>
          <w:color w:val="000000" w:themeColor="text1"/>
        </w:rPr>
        <w:t>(</w:t>
      </w:r>
      <w:r w:rsidR="00CA71AA" w:rsidRPr="008C4D92">
        <w:rPr>
          <w:color w:val="000000" w:themeColor="text1"/>
        </w:rPr>
        <w:t>McDonald J.</w:t>
      </w:r>
      <w:r w:rsidR="00FC57BA" w:rsidRPr="008C4D92">
        <w:rPr>
          <w:color w:val="000000" w:themeColor="text1"/>
        </w:rPr>
        <w:t>)</w:t>
      </w:r>
      <w:r w:rsidR="00CA71AA" w:rsidRPr="008C4D92">
        <w:rPr>
          <w:color w:val="000000" w:themeColor="text1"/>
        </w:rPr>
        <w:t xml:space="preserve"> noted in his judgment that he was referred to the decision in </w:t>
      </w:r>
      <w:r w:rsidR="00CA71AA" w:rsidRPr="008C4D92">
        <w:rPr>
          <w:i/>
          <w:color w:val="000000" w:themeColor="text1"/>
        </w:rPr>
        <w:t xml:space="preserve">The Merrow </w:t>
      </w:r>
      <w:r w:rsidR="00CA71AA" w:rsidRPr="008C4D92">
        <w:rPr>
          <w:color w:val="000000" w:themeColor="text1"/>
        </w:rPr>
        <w:t xml:space="preserve">and no others, but that he was aware that it had been applied in a number of subsequent authorities including </w:t>
      </w:r>
      <w:r w:rsidR="00CA71AA" w:rsidRPr="008C4D92">
        <w:rPr>
          <w:i/>
          <w:color w:val="000000" w:themeColor="text1"/>
        </w:rPr>
        <w:t xml:space="preserve">McCleary v. McPhillips </w:t>
      </w:r>
      <w:r w:rsidR="00CA71AA" w:rsidRPr="008C4D92">
        <w:rPr>
          <w:color w:val="000000" w:themeColor="text1"/>
        </w:rPr>
        <w:t xml:space="preserve">[2015] IEHC 591.  </w:t>
      </w:r>
    </w:p>
    <w:p w14:paraId="690DFCF2" w14:textId="77777777" w:rsidR="00CA71AA" w:rsidRPr="008C4D92" w:rsidRDefault="00CA71AA" w:rsidP="008E25FE">
      <w:pPr>
        <w:spacing w:line="480" w:lineRule="auto"/>
        <w:jc w:val="both"/>
        <w:rPr>
          <w:color w:val="000000" w:themeColor="text1"/>
        </w:rPr>
      </w:pPr>
    </w:p>
    <w:p w14:paraId="0079480E" w14:textId="2251814A" w:rsidR="00C20F42" w:rsidRPr="008C4D92" w:rsidRDefault="00C71F2F" w:rsidP="00C20F42">
      <w:pPr>
        <w:numPr>
          <w:ilvl w:val="0"/>
          <w:numId w:val="19"/>
        </w:numPr>
        <w:spacing w:line="480" w:lineRule="auto"/>
        <w:jc w:val="both"/>
        <w:rPr>
          <w:color w:val="000000" w:themeColor="text1"/>
        </w:rPr>
      </w:pPr>
      <w:r w:rsidRPr="008C4D92">
        <w:rPr>
          <w:color w:val="000000" w:themeColor="text1"/>
        </w:rPr>
        <w:t xml:space="preserve"> </w:t>
      </w:r>
      <w:r w:rsidR="00236F93" w:rsidRPr="008C4D92">
        <w:rPr>
          <w:color w:val="000000" w:themeColor="text1"/>
        </w:rPr>
        <w:t xml:space="preserve"> </w:t>
      </w:r>
      <w:r w:rsidR="00CA71AA" w:rsidRPr="008C4D92">
        <w:rPr>
          <w:color w:val="000000" w:themeColor="text1"/>
        </w:rPr>
        <w:t xml:space="preserve">McDonald J. referred to the various arguments made but ultimately came to the conclusion that the receiver would have an “uphill struggle” in persuading the court at trial that he had been validly appointed.  </w:t>
      </w:r>
      <w:r w:rsidR="00143C0D" w:rsidRPr="008C4D92">
        <w:rPr>
          <w:color w:val="000000" w:themeColor="text1"/>
        </w:rPr>
        <w:t>He said it</w:t>
      </w:r>
      <w:r w:rsidR="00CA71AA" w:rsidRPr="008C4D92">
        <w:rPr>
          <w:color w:val="000000" w:themeColor="text1"/>
        </w:rPr>
        <w:t xml:space="preserve"> was clear from the decision in </w:t>
      </w:r>
      <w:r w:rsidR="00CA71AA" w:rsidRPr="008C4D92">
        <w:rPr>
          <w:i/>
          <w:color w:val="000000" w:themeColor="text1"/>
        </w:rPr>
        <w:t xml:space="preserve">The Merrow </w:t>
      </w:r>
      <w:r w:rsidR="00CA71AA" w:rsidRPr="008C4D92">
        <w:rPr>
          <w:color w:val="000000" w:themeColor="text1"/>
        </w:rPr>
        <w:t xml:space="preserve">that one looks to see whether there has been strict compliance with the terms of the relevant instrument under which a receiver is appointed.  On the basis of the submissions made on behalf of the receiver, it was not established that there was a strong case that this was so. </w:t>
      </w:r>
    </w:p>
    <w:p w14:paraId="5BFE37AA" w14:textId="77777777" w:rsidR="00C20F42" w:rsidRPr="008C4D92" w:rsidRDefault="00C20F42" w:rsidP="00C20F42">
      <w:pPr>
        <w:pStyle w:val="ListParagraph"/>
        <w:rPr>
          <w:color w:val="000000" w:themeColor="text1"/>
        </w:rPr>
      </w:pPr>
    </w:p>
    <w:p w14:paraId="2BD9C242" w14:textId="1EBD30DC" w:rsidR="00C20F42" w:rsidRPr="008C4D92" w:rsidRDefault="008235CF" w:rsidP="00C20F42">
      <w:pPr>
        <w:numPr>
          <w:ilvl w:val="0"/>
          <w:numId w:val="19"/>
        </w:numPr>
        <w:spacing w:line="480" w:lineRule="auto"/>
        <w:jc w:val="both"/>
        <w:rPr>
          <w:color w:val="000000" w:themeColor="text1"/>
        </w:rPr>
      </w:pPr>
      <w:r w:rsidRPr="008C4D92">
        <w:rPr>
          <w:color w:val="000000" w:themeColor="text1"/>
        </w:rPr>
        <w:t xml:space="preserve">I accept the plaintiffs’ point that the authorities referred to concern compliance with </w:t>
      </w:r>
      <w:r w:rsidR="00FF7AC9">
        <w:rPr>
          <w:color w:val="000000" w:themeColor="text1"/>
        </w:rPr>
        <w:t xml:space="preserve">the formalities of </w:t>
      </w:r>
      <w:r w:rsidRPr="008C4D92">
        <w:rPr>
          <w:color w:val="000000" w:themeColor="text1"/>
        </w:rPr>
        <w:t xml:space="preserve">the instrument of appointment rather than identification of the property, but </w:t>
      </w:r>
      <w:r w:rsidR="00FF7AC9">
        <w:rPr>
          <w:color w:val="000000" w:themeColor="text1"/>
        </w:rPr>
        <w:t>in circumstances where</w:t>
      </w:r>
      <w:r w:rsidRPr="008C4D92">
        <w:rPr>
          <w:color w:val="000000" w:themeColor="text1"/>
        </w:rPr>
        <w:t xml:space="preserve"> receivers derive their powers solely from the mortgage, it is troubling that the Schedule misstate</w:t>
      </w:r>
      <w:r w:rsidR="004C26E3" w:rsidRPr="008C4D92">
        <w:rPr>
          <w:color w:val="000000" w:themeColor="text1"/>
        </w:rPr>
        <w:t>s</w:t>
      </w:r>
      <w:r w:rsidRPr="008C4D92">
        <w:rPr>
          <w:color w:val="000000" w:themeColor="text1"/>
        </w:rPr>
        <w:t xml:space="preserve"> the date of the </w:t>
      </w:r>
      <w:r w:rsidR="004C26E3" w:rsidRPr="008C4D92">
        <w:rPr>
          <w:color w:val="000000" w:themeColor="text1"/>
        </w:rPr>
        <w:t xml:space="preserve">very </w:t>
      </w:r>
      <w:r w:rsidRPr="008C4D92">
        <w:rPr>
          <w:color w:val="000000" w:themeColor="text1"/>
        </w:rPr>
        <w:t xml:space="preserve">mortgage </w:t>
      </w:r>
      <w:r w:rsidR="004C26E3" w:rsidRPr="008C4D92">
        <w:rPr>
          <w:color w:val="000000" w:themeColor="text1"/>
        </w:rPr>
        <w:t>which is said to confer authority upon them</w:t>
      </w:r>
      <w:r w:rsidRPr="008C4D92">
        <w:rPr>
          <w:color w:val="000000" w:themeColor="text1"/>
        </w:rPr>
        <w:t xml:space="preserve">. </w:t>
      </w:r>
      <w:r w:rsidR="00C50B27" w:rsidRPr="008C4D92">
        <w:rPr>
          <w:color w:val="000000" w:themeColor="text1"/>
        </w:rPr>
        <w:t xml:space="preserve">Whether this error is cured or negated by the insertion of the correct date in the </w:t>
      </w:r>
      <w:r w:rsidR="002D39A2" w:rsidRPr="008C4D92">
        <w:rPr>
          <w:color w:val="000000" w:themeColor="text1"/>
        </w:rPr>
        <w:t>r</w:t>
      </w:r>
      <w:r w:rsidR="00C50B27" w:rsidRPr="008C4D92">
        <w:rPr>
          <w:color w:val="000000" w:themeColor="text1"/>
        </w:rPr>
        <w:t xml:space="preserve">ecital seems to me to be </w:t>
      </w:r>
      <w:r w:rsidR="0041148E" w:rsidRPr="00D77ECB">
        <w:t xml:space="preserve">a </w:t>
      </w:r>
      <w:r w:rsidR="00C50B27" w:rsidRPr="00D77ECB">
        <w:t xml:space="preserve">matter which </w:t>
      </w:r>
      <w:r w:rsidR="00EE16CE" w:rsidRPr="00D77ECB">
        <w:t>is debateable</w:t>
      </w:r>
      <w:r w:rsidR="00EE16CE" w:rsidRPr="008C4D92">
        <w:rPr>
          <w:color w:val="000000" w:themeColor="text1"/>
        </w:rPr>
        <w:t xml:space="preserve">. The presence of the </w:t>
      </w:r>
      <w:r w:rsidR="002D39A2" w:rsidRPr="008C4D92">
        <w:rPr>
          <w:color w:val="000000" w:themeColor="text1"/>
        </w:rPr>
        <w:t xml:space="preserve">correct </w:t>
      </w:r>
      <w:r w:rsidR="002D39A2" w:rsidRPr="008C4D92">
        <w:rPr>
          <w:color w:val="000000" w:themeColor="text1"/>
        </w:rPr>
        <w:lastRenderedPageBreak/>
        <w:t>date in the r</w:t>
      </w:r>
      <w:r w:rsidR="00EE16CE" w:rsidRPr="008C4D92">
        <w:rPr>
          <w:color w:val="000000" w:themeColor="text1"/>
        </w:rPr>
        <w:t>ecital enables me to say that the plaintiffs have shown that there is a fair issue to be tried</w:t>
      </w:r>
      <w:r w:rsidR="001C657B">
        <w:rPr>
          <w:color w:val="000000" w:themeColor="text1"/>
        </w:rPr>
        <w:t xml:space="preserve"> </w:t>
      </w:r>
      <w:r w:rsidR="00EE16CE" w:rsidRPr="008C4D92">
        <w:rPr>
          <w:color w:val="000000" w:themeColor="text1"/>
        </w:rPr>
        <w:t xml:space="preserve">but </w:t>
      </w:r>
      <w:r w:rsidR="00A664ED" w:rsidRPr="008C4D92">
        <w:rPr>
          <w:color w:val="000000" w:themeColor="text1"/>
        </w:rPr>
        <w:t xml:space="preserve">given </w:t>
      </w:r>
      <w:r w:rsidR="00EE16CE" w:rsidRPr="008C4D92">
        <w:rPr>
          <w:color w:val="000000" w:themeColor="text1"/>
        </w:rPr>
        <w:t>the presence of the error in the Schedule</w:t>
      </w:r>
      <w:r w:rsidR="00A664ED" w:rsidRPr="008C4D92">
        <w:rPr>
          <w:color w:val="000000" w:themeColor="text1"/>
        </w:rPr>
        <w:t>, I have reservations about characterising the plaintiffs’ case in this regard as a strong one.</w:t>
      </w:r>
    </w:p>
    <w:p w14:paraId="3D68F175" w14:textId="77777777" w:rsidR="00555652" w:rsidRPr="008C4D92" w:rsidRDefault="00555652" w:rsidP="00555652">
      <w:pPr>
        <w:pStyle w:val="ListParagraph"/>
        <w:rPr>
          <w:color w:val="000000" w:themeColor="text1"/>
        </w:rPr>
      </w:pPr>
    </w:p>
    <w:p w14:paraId="1BD2A61D" w14:textId="7EF5E23F" w:rsidR="00236F93" w:rsidRPr="008C4D92" w:rsidRDefault="00B668D3" w:rsidP="008E25FE">
      <w:pPr>
        <w:pStyle w:val="Heading1"/>
        <w:jc w:val="both"/>
        <w:rPr>
          <w:rFonts w:cs="Times New Roman"/>
          <w:color w:val="000000" w:themeColor="text1"/>
          <w:sz w:val="28"/>
          <w:szCs w:val="28"/>
        </w:rPr>
      </w:pPr>
      <w:r w:rsidRPr="008C4D92">
        <w:rPr>
          <w:rFonts w:cs="Times New Roman"/>
          <w:color w:val="000000" w:themeColor="text1"/>
          <w:sz w:val="28"/>
          <w:szCs w:val="28"/>
        </w:rPr>
        <w:t xml:space="preserve">Issue </w:t>
      </w:r>
      <w:r w:rsidR="0032726B">
        <w:rPr>
          <w:rFonts w:cs="Times New Roman"/>
          <w:color w:val="000000" w:themeColor="text1"/>
          <w:sz w:val="28"/>
          <w:szCs w:val="28"/>
        </w:rPr>
        <w:t>3</w:t>
      </w:r>
      <w:r w:rsidRPr="008C4D92">
        <w:rPr>
          <w:rFonts w:cs="Times New Roman"/>
          <w:color w:val="000000" w:themeColor="text1"/>
          <w:sz w:val="28"/>
          <w:szCs w:val="28"/>
        </w:rPr>
        <w:t xml:space="preserve">: </w:t>
      </w:r>
      <w:r w:rsidR="00217F2B" w:rsidRPr="008C4D92">
        <w:rPr>
          <w:rFonts w:cs="Times New Roman"/>
          <w:color w:val="000000" w:themeColor="text1"/>
          <w:sz w:val="28"/>
          <w:szCs w:val="28"/>
        </w:rPr>
        <w:t>T</w:t>
      </w:r>
      <w:r w:rsidRPr="008C4D92">
        <w:rPr>
          <w:rFonts w:cs="Times New Roman"/>
          <w:color w:val="000000" w:themeColor="text1"/>
          <w:sz w:val="28"/>
          <w:szCs w:val="28"/>
        </w:rPr>
        <w:t>he</w:t>
      </w:r>
      <w:r w:rsidR="00C757DB" w:rsidRPr="008C4D92">
        <w:rPr>
          <w:rFonts w:cs="Times New Roman"/>
          <w:color w:val="000000" w:themeColor="text1"/>
          <w:sz w:val="28"/>
          <w:szCs w:val="28"/>
        </w:rPr>
        <w:t xml:space="preserve"> second defendant’s alleged release from the 1998 Mortgage</w:t>
      </w:r>
    </w:p>
    <w:p w14:paraId="5D514453" w14:textId="77777777" w:rsidR="006B421D" w:rsidRPr="008C4D92" w:rsidRDefault="006B421D" w:rsidP="006B421D">
      <w:pPr>
        <w:rPr>
          <w:color w:val="000000" w:themeColor="text1"/>
        </w:rPr>
      </w:pPr>
    </w:p>
    <w:p w14:paraId="68C57CD0" w14:textId="50FB037E" w:rsidR="008E6AD0" w:rsidRPr="008C4D92" w:rsidRDefault="0062786F" w:rsidP="008E6AD0">
      <w:pPr>
        <w:numPr>
          <w:ilvl w:val="0"/>
          <w:numId w:val="19"/>
        </w:numPr>
        <w:spacing w:line="480" w:lineRule="auto"/>
        <w:jc w:val="both"/>
        <w:rPr>
          <w:color w:val="000000" w:themeColor="text1"/>
        </w:rPr>
      </w:pPr>
      <w:r>
        <w:rPr>
          <w:color w:val="000000" w:themeColor="text1"/>
        </w:rPr>
        <w:t>The</w:t>
      </w:r>
      <w:r w:rsidR="00397485" w:rsidRPr="008C4D92">
        <w:rPr>
          <w:color w:val="000000" w:themeColor="text1"/>
        </w:rPr>
        <w:t xml:space="preserve"> </w:t>
      </w:r>
      <w:r w:rsidR="00FC4594" w:rsidRPr="008C4D92">
        <w:rPr>
          <w:color w:val="000000" w:themeColor="text1"/>
        </w:rPr>
        <w:t>second</w:t>
      </w:r>
      <w:r w:rsidR="00331734" w:rsidRPr="008C4D92">
        <w:rPr>
          <w:color w:val="000000" w:themeColor="text1"/>
        </w:rPr>
        <w:t xml:space="preserve"> named</w:t>
      </w:r>
      <w:r w:rsidR="00FC4594" w:rsidRPr="008C4D92">
        <w:rPr>
          <w:color w:val="000000" w:themeColor="text1"/>
        </w:rPr>
        <w:t xml:space="preserve"> defendant submits that there </w:t>
      </w:r>
      <w:r w:rsidR="008E6AD0" w:rsidRPr="008C4D92">
        <w:rPr>
          <w:color w:val="000000" w:themeColor="text1"/>
        </w:rPr>
        <w:t>is</w:t>
      </w:r>
      <w:r w:rsidR="00FC4594" w:rsidRPr="008C4D92">
        <w:rPr>
          <w:color w:val="000000" w:themeColor="text1"/>
        </w:rPr>
        <w:t xml:space="preserve"> no evidence that she had agreed to provide continued security</w:t>
      </w:r>
      <w:r w:rsidR="00363E3C" w:rsidRPr="008C4D92">
        <w:rPr>
          <w:color w:val="000000" w:themeColor="text1"/>
        </w:rPr>
        <w:t xml:space="preserve"> by way of mortgage on the property</w:t>
      </w:r>
      <w:r w:rsidR="00FC4594" w:rsidRPr="008C4D92">
        <w:rPr>
          <w:color w:val="000000" w:themeColor="text1"/>
        </w:rPr>
        <w:t xml:space="preserve"> in respect of th</w:t>
      </w:r>
      <w:r w:rsidR="0050799D" w:rsidRPr="008C4D92">
        <w:rPr>
          <w:color w:val="000000" w:themeColor="text1"/>
        </w:rPr>
        <w:t>e 2008 loan</w:t>
      </w:r>
      <w:r>
        <w:rPr>
          <w:color w:val="000000" w:themeColor="text1"/>
        </w:rPr>
        <w:t xml:space="preserve"> to her husband</w:t>
      </w:r>
      <w:r w:rsidR="00447730" w:rsidRPr="008C4D92">
        <w:rPr>
          <w:color w:val="000000" w:themeColor="text1"/>
        </w:rPr>
        <w:t>,</w:t>
      </w:r>
      <w:r w:rsidR="0050799D" w:rsidRPr="008C4D92">
        <w:rPr>
          <w:color w:val="000000" w:themeColor="text1"/>
        </w:rPr>
        <w:t xml:space="preserve"> and that in fact she had been released from the mortgage at that time</w:t>
      </w:r>
      <w:r w:rsidR="00363E3C" w:rsidRPr="008C4D92">
        <w:rPr>
          <w:color w:val="000000" w:themeColor="text1"/>
        </w:rPr>
        <w:t>.</w:t>
      </w:r>
      <w:r w:rsidR="00FC4594" w:rsidRPr="008C4D92">
        <w:rPr>
          <w:color w:val="000000" w:themeColor="text1"/>
        </w:rPr>
        <w:t xml:space="preserve"> </w:t>
      </w:r>
      <w:r w:rsidR="00B03ADA" w:rsidRPr="008C4D92">
        <w:rPr>
          <w:color w:val="000000" w:themeColor="text1"/>
        </w:rPr>
        <w:t xml:space="preserve">On the contrary, </w:t>
      </w:r>
      <w:r w:rsidR="00C459B8">
        <w:rPr>
          <w:color w:val="000000" w:themeColor="text1"/>
        </w:rPr>
        <w:t>s</w:t>
      </w:r>
      <w:r w:rsidR="00B03ADA" w:rsidRPr="008C4D92">
        <w:rPr>
          <w:color w:val="000000" w:themeColor="text1"/>
        </w:rPr>
        <w:t xml:space="preserve">he submits, </w:t>
      </w:r>
      <w:r w:rsidR="006314A8" w:rsidRPr="008C4D92">
        <w:rPr>
          <w:color w:val="000000" w:themeColor="text1"/>
        </w:rPr>
        <w:t>the evidence (</w:t>
      </w:r>
      <w:r w:rsidR="00331734" w:rsidRPr="008C4D92">
        <w:rPr>
          <w:color w:val="000000" w:themeColor="text1"/>
        </w:rPr>
        <w:t xml:space="preserve">i.e. </w:t>
      </w:r>
      <w:r w:rsidR="006314A8" w:rsidRPr="008C4D92">
        <w:rPr>
          <w:color w:val="000000" w:themeColor="text1"/>
        </w:rPr>
        <w:t>the wording of the letter of loan offer) is that it</w:t>
      </w:r>
      <w:r w:rsidR="00B03ADA" w:rsidRPr="008C4D92">
        <w:rPr>
          <w:color w:val="000000" w:themeColor="text1"/>
        </w:rPr>
        <w:t xml:space="preserve"> was a condition of drawdown that the existing home loan would be cleared. Further, </w:t>
      </w:r>
      <w:r w:rsidR="00C459B8">
        <w:rPr>
          <w:color w:val="000000" w:themeColor="text1"/>
        </w:rPr>
        <w:t>she</w:t>
      </w:r>
      <w:r w:rsidR="00B03ADA" w:rsidRPr="008C4D92">
        <w:rPr>
          <w:color w:val="000000" w:themeColor="text1"/>
        </w:rPr>
        <w:t xml:space="preserve"> was to provide a letter of guarantee for the new loan, guaranteeing the full amount</w:t>
      </w:r>
      <w:r w:rsidR="00C459B8">
        <w:rPr>
          <w:color w:val="000000" w:themeColor="text1"/>
        </w:rPr>
        <w:t xml:space="preserve"> borrowed by her husband</w:t>
      </w:r>
      <w:r w:rsidR="00B03ADA" w:rsidRPr="008C4D92">
        <w:rPr>
          <w:color w:val="000000" w:themeColor="text1"/>
        </w:rPr>
        <w:t>.</w:t>
      </w:r>
      <w:r w:rsidR="00C459B8">
        <w:rPr>
          <w:color w:val="000000" w:themeColor="text1"/>
        </w:rPr>
        <w:t xml:space="preserve"> She</w:t>
      </w:r>
      <w:r w:rsidR="00B03ADA" w:rsidRPr="008C4D92">
        <w:rPr>
          <w:color w:val="000000" w:themeColor="text1"/>
        </w:rPr>
        <w:t xml:space="preserve"> submits that in the circumstances</w:t>
      </w:r>
      <w:r w:rsidR="00920587" w:rsidRPr="008C4D92">
        <w:rPr>
          <w:color w:val="000000" w:themeColor="text1"/>
        </w:rPr>
        <w:t xml:space="preserve">, </w:t>
      </w:r>
      <w:r w:rsidR="00C459B8">
        <w:rPr>
          <w:color w:val="000000" w:themeColor="text1"/>
        </w:rPr>
        <w:t>her</w:t>
      </w:r>
      <w:r w:rsidR="00C459B8" w:rsidRPr="008C4D92">
        <w:rPr>
          <w:color w:val="000000" w:themeColor="text1"/>
        </w:rPr>
        <w:t xml:space="preserve"> </w:t>
      </w:r>
      <w:r w:rsidR="00920587" w:rsidRPr="008C4D92">
        <w:rPr>
          <w:color w:val="000000" w:themeColor="text1"/>
        </w:rPr>
        <w:t xml:space="preserve">liability in respect of the first loan was discharged and she was entitled to redemption of the 1998 </w:t>
      </w:r>
      <w:r w:rsidR="00331734" w:rsidRPr="008C4D92">
        <w:rPr>
          <w:color w:val="000000" w:themeColor="text1"/>
        </w:rPr>
        <w:t>m</w:t>
      </w:r>
      <w:r w:rsidR="00920587" w:rsidRPr="008C4D92">
        <w:rPr>
          <w:color w:val="000000" w:themeColor="text1"/>
        </w:rPr>
        <w:t xml:space="preserve">ortgage. A fresh situation had been created, whereby the relevance of the 1998 </w:t>
      </w:r>
      <w:r w:rsidR="00331734" w:rsidRPr="008C4D92">
        <w:rPr>
          <w:color w:val="000000" w:themeColor="text1"/>
        </w:rPr>
        <w:t>m</w:t>
      </w:r>
      <w:r w:rsidR="00920587" w:rsidRPr="008C4D92">
        <w:rPr>
          <w:color w:val="000000" w:themeColor="text1"/>
        </w:rPr>
        <w:t xml:space="preserve">ortgage was limited to providing additional security for the loan to the first defendant but only in respect of </w:t>
      </w:r>
      <w:r w:rsidR="00920587" w:rsidRPr="008C4D92">
        <w:rPr>
          <w:i/>
          <w:color w:val="000000" w:themeColor="text1"/>
        </w:rPr>
        <w:t>his</w:t>
      </w:r>
      <w:r w:rsidR="00920587" w:rsidRPr="008C4D92">
        <w:rPr>
          <w:color w:val="000000" w:themeColor="text1"/>
        </w:rPr>
        <w:t xml:space="preserve"> interest in the property. </w:t>
      </w:r>
    </w:p>
    <w:p w14:paraId="1ADC1B44" w14:textId="77777777" w:rsidR="008E6AD0" w:rsidRPr="008C4D92" w:rsidRDefault="008E6AD0" w:rsidP="008E6AD0">
      <w:pPr>
        <w:spacing w:line="480" w:lineRule="auto"/>
        <w:jc w:val="both"/>
        <w:rPr>
          <w:color w:val="000000" w:themeColor="text1"/>
        </w:rPr>
      </w:pPr>
    </w:p>
    <w:p w14:paraId="7E237655" w14:textId="588FCA1D" w:rsidR="00FB56EE" w:rsidRPr="008C4D92" w:rsidRDefault="008E6AD0" w:rsidP="008E6AD0">
      <w:pPr>
        <w:numPr>
          <w:ilvl w:val="0"/>
          <w:numId w:val="19"/>
        </w:numPr>
        <w:spacing w:line="480" w:lineRule="auto"/>
        <w:jc w:val="both"/>
        <w:rPr>
          <w:color w:val="000000" w:themeColor="text1"/>
        </w:rPr>
      </w:pPr>
      <w:r w:rsidRPr="008C4D92">
        <w:rPr>
          <w:color w:val="000000" w:themeColor="text1"/>
        </w:rPr>
        <w:t xml:space="preserve">Counsel </w:t>
      </w:r>
      <w:r w:rsidR="00C459B8">
        <w:rPr>
          <w:color w:val="000000" w:themeColor="text1"/>
        </w:rPr>
        <w:t xml:space="preserve">on her behalf </w:t>
      </w:r>
      <w:r w:rsidR="00363E3C" w:rsidRPr="008C4D92">
        <w:rPr>
          <w:color w:val="000000" w:themeColor="text1"/>
        </w:rPr>
        <w:t>submit</w:t>
      </w:r>
      <w:r w:rsidR="0005300C" w:rsidRPr="008C4D92">
        <w:rPr>
          <w:color w:val="000000" w:themeColor="text1"/>
        </w:rPr>
        <w:t>s</w:t>
      </w:r>
      <w:r w:rsidR="00363E3C" w:rsidRPr="008C4D92">
        <w:rPr>
          <w:color w:val="000000" w:themeColor="text1"/>
        </w:rPr>
        <w:t xml:space="preserve"> that the 1998 mortgage was not a continuing security nor an </w:t>
      </w:r>
      <w:r w:rsidR="00331734" w:rsidRPr="008C4D92">
        <w:rPr>
          <w:color w:val="000000" w:themeColor="text1"/>
        </w:rPr>
        <w:t>“</w:t>
      </w:r>
      <w:r w:rsidR="00363E3C" w:rsidRPr="008C4D92">
        <w:rPr>
          <w:color w:val="000000" w:themeColor="text1"/>
        </w:rPr>
        <w:t>all sums</w:t>
      </w:r>
      <w:r w:rsidR="00331734" w:rsidRPr="008C4D92">
        <w:rPr>
          <w:color w:val="000000" w:themeColor="text1"/>
        </w:rPr>
        <w:t>”</w:t>
      </w:r>
      <w:r w:rsidR="00363E3C" w:rsidRPr="008C4D92">
        <w:rPr>
          <w:color w:val="000000" w:themeColor="text1"/>
        </w:rPr>
        <w:t xml:space="preserve"> securit</w:t>
      </w:r>
      <w:r w:rsidR="00B231F8" w:rsidRPr="008C4D92">
        <w:rPr>
          <w:color w:val="000000" w:themeColor="text1"/>
        </w:rPr>
        <w:t>y, and that its</w:t>
      </w:r>
      <w:r w:rsidR="00363E3C" w:rsidRPr="008C4D92">
        <w:rPr>
          <w:color w:val="000000" w:themeColor="text1"/>
        </w:rPr>
        <w:t xml:space="preserve"> availability as security for subsequent lending was regulated by reference to the</w:t>
      </w:r>
      <w:r w:rsidR="00FB56EE" w:rsidRPr="008C4D92">
        <w:rPr>
          <w:color w:val="000000" w:themeColor="text1"/>
        </w:rPr>
        <w:t xml:space="preserve"> definition within the Mortgage Deed of</w:t>
      </w:r>
      <w:r w:rsidR="00363E3C" w:rsidRPr="008C4D92">
        <w:rPr>
          <w:color w:val="000000" w:themeColor="text1"/>
        </w:rPr>
        <w:t xml:space="preserve"> “relevant letter of offer” and </w:t>
      </w:r>
      <w:r w:rsidR="00FB56EE" w:rsidRPr="008C4D92">
        <w:rPr>
          <w:color w:val="000000" w:themeColor="text1"/>
        </w:rPr>
        <w:t xml:space="preserve">the </w:t>
      </w:r>
      <w:r w:rsidR="00363E3C" w:rsidRPr="008C4D92">
        <w:rPr>
          <w:color w:val="000000" w:themeColor="text1"/>
        </w:rPr>
        <w:t xml:space="preserve">satisfaction of a cumulative test for “future loan”.  Counsel </w:t>
      </w:r>
      <w:r w:rsidRPr="008C4D92">
        <w:rPr>
          <w:color w:val="000000" w:themeColor="text1"/>
        </w:rPr>
        <w:t>criticise</w:t>
      </w:r>
      <w:r w:rsidR="0005300C" w:rsidRPr="008C4D92">
        <w:rPr>
          <w:color w:val="000000" w:themeColor="text1"/>
        </w:rPr>
        <w:t>s</w:t>
      </w:r>
      <w:r w:rsidRPr="008C4D92">
        <w:rPr>
          <w:color w:val="000000" w:themeColor="text1"/>
        </w:rPr>
        <w:t xml:space="preserve"> the High Court judge’s analysis of the interaction between the terms “mortgagor”, “future loan”, and “joint/several liability</w:t>
      </w:r>
      <w:r w:rsidR="00EF7470" w:rsidRPr="008C4D92">
        <w:rPr>
          <w:color w:val="000000" w:themeColor="text1"/>
        </w:rPr>
        <w:t>”</w:t>
      </w:r>
      <w:r w:rsidR="00353B9C" w:rsidRPr="008C4D92">
        <w:rPr>
          <w:color w:val="000000" w:themeColor="text1"/>
        </w:rPr>
        <w:t xml:space="preserve">. </w:t>
      </w:r>
      <w:r w:rsidR="00FB56EE" w:rsidRPr="008C4D92">
        <w:rPr>
          <w:color w:val="000000" w:themeColor="text1"/>
        </w:rPr>
        <w:t>His argument runs upon the following lines.</w:t>
      </w:r>
    </w:p>
    <w:p w14:paraId="317F8BF2" w14:textId="77777777" w:rsidR="00FB56EE" w:rsidRPr="008C4D92" w:rsidRDefault="00FB56EE" w:rsidP="00FB56EE">
      <w:pPr>
        <w:pStyle w:val="ListParagraph"/>
        <w:rPr>
          <w:color w:val="000000" w:themeColor="text1"/>
        </w:rPr>
      </w:pPr>
    </w:p>
    <w:p w14:paraId="668513CC" w14:textId="38089345" w:rsidR="00397485" w:rsidRPr="008C4D92" w:rsidRDefault="0005300C" w:rsidP="00397485">
      <w:pPr>
        <w:numPr>
          <w:ilvl w:val="0"/>
          <w:numId w:val="19"/>
        </w:numPr>
        <w:spacing w:line="480" w:lineRule="auto"/>
        <w:jc w:val="both"/>
        <w:rPr>
          <w:color w:val="000000" w:themeColor="text1"/>
        </w:rPr>
      </w:pPr>
      <w:r w:rsidRPr="008C4D92">
        <w:rPr>
          <w:color w:val="000000" w:themeColor="text1"/>
        </w:rPr>
        <w:t>Counsel submits that the High Court judge</w:t>
      </w:r>
      <w:r w:rsidR="00FD7CBC" w:rsidRPr="008C4D92">
        <w:rPr>
          <w:color w:val="000000" w:themeColor="text1"/>
        </w:rPr>
        <w:t xml:space="preserve"> relied upon the reference to joint and several liability within the </w:t>
      </w:r>
      <w:r w:rsidR="00C4593F">
        <w:rPr>
          <w:color w:val="000000" w:themeColor="text1"/>
        </w:rPr>
        <w:t>m</w:t>
      </w:r>
      <w:r w:rsidR="00FD7CBC" w:rsidRPr="008C4D92">
        <w:rPr>
          <w:color w:val="000000" w:themeColor="text1"/>
        </w:rPr>
        <w:t xml:space="preserve">ortgage </w:t>
      </w:r>
      <w:r w:rsidR="00C4593F">
        <w:rPr>
          <w:color w:val="000000" w:themeColor="text1"/>
        </w:rPr>
        <w:t>d</w:t>
      </w:r>
      <w:r w:rsidR="00FD7CBC" w:rsidRPr="008C4D92">
        <w:rPr>
          <w:color w:val="000000" w:themeColor="text1"/>
        </w:rPr>
        <w:t>eed but</w:t>
      </w:r>
      <w:r w:rsidRPr="008C4D92">
        <w:rPr>
          <w:color w:val="000000" w:themeColor="text1"/>
        </w:rPr>
        <w:t xml:space="preserve"> failed to recogni</w:t>
      </w:r>
      <w:r w:rsidR="00331734" w:rsidRPr="008C4D92">
        <w:rPr>
          <w:color w:val="000000" w:themeColor="text1"/>
        </w:rPr>
        <w:t>s</w:t>
      </w:r>
      <w:r w:rsidRPr="008C4D92">
        <w:rPr>
          <w:color w:val="000000" w:themeColor="text1"/>
        </w:rPr>
        <w:t>e that joint</w:t>
      </w:r>
      <w:r w:rsidR="00FD7CBC" w:rsidRPr="008C4D92">
        <w:rPr>
          <w:color w:val="000000" w:themeColor="text1"/>
        </w:rPr>
        <w:t xml:space="preserve"> and</w:t>
      </w:r>
      <w:r w:rsidR="00B404A7" w:rsidRPr="008C4D92">
        <w:rPr>
          <w:color w:val="000000" w:themeColor="text1"/>
        </w:rPr>
        <w:t xml:space="preserve"> </w:t>
      </w:r>
      <w:r w:rsidRPr="008C4D92">
        <w:rPr>
          <w:color w:val="000000" w:themeColor="text1"/>
        </w:rPr>
        <w:t xml:space="preserve">several </w:t>
      </w:r>
      <w:r w:rsidRPr="008C4D92">
        <w:rPr>
          <w:color w:val="000000" w:themeColor="text1"/>
        </w:rPr>
        <w:lastRenderedPageBreak/>
        <w:t>liability was limited to covenants/agreements on the part of the mortgagors and did not apply to future loans.  In this regard, he</w:t>
      </w:r>
      <w:r w:rsidR="008F4B7F" w:rsidRPr="008C4D92">
        <w:rPr>
          <w:color w:val="000000" w:themeColor="text1"/>
        </w:rPr>
        <w:t xml:space="preserve"> points to</w:t>
      </w:r>
      <w:r w:rsidR="00397485" w:rsidRPr="008C4D92">
        <w:rPr>
          <w:color w:val="000000" w:themeColor="text1"/>
        </w:rPr>
        <w:t xml:space="preserve"> </w:t>
      </w:r>
      <w:r w:rsidR="00331734" w:rsidRPr="008C4D92">
        <w:rPr>
          <w:color w:val="000000" w:themeColor="text1"/>
        </w:rPr>
        <w:t>C</w:t>
      </w:r>
      <w:r w:rsidR="00397485" w:rsidRPr="008C4D92">
        <w:rPr>
          <w:color w:val="000000" w:themeColor="text1"/>
        </w:rPr>
        <w:t>lause C(1) of the mortgage which provides:</w:t>
      </w:r>
    </w:p>
    <w:p w14:paraId="0B37505A" w14:textId="77777777" w:rsidR="00163355" w:rsidRPr="008C4D92" w:rsidRDefault="00163355" w:rsidP="00163355">
      <w:pPr>
        <w:spacing w:line="480" w:lineRule="auto"/>
        <w:jc w:val="both"/>
        <w:rPr>
          <w:color w:val="000000" w:themeColor="text1"/>
        </w:rPr>
      </w:pPr>
    </w:p>
    <w:p w14:paraId="1A557664" w14:textId="654B98F8" w:rsidR="00397485" w:rsidRPr="008C4D92" w:rsidRDefault="00397485" w:rsidP="00397485">
      <w:pPr>
        <w:tabs>
          <w:tab w:val="left" w:pos="567"/>
        </w:tabs>
        <w:spacing w:line="480" w:lineRule="auto"/>
        <w:ind w:left="567"/>
        <w:jc w:val="both"/>
        <w:rPr>
          <w:color w:val="000000" w:themeColor="text1"/>
        </w:rPr>
      </w:pPr>
      <w:r w:rsidRPr="008C4D92">
        <w:rPr>
          <w:color w:val="000000" w:themeColor="text1"/>
        </w:rPr>
        <w:t xml:space="preserve">“Where two or more persons together constitute the </w:t>
      </w:r>
      <w:r w:rsidR="00A52396">
        <w:rPr>
          <w:color w:val="000000" w:themeColor="text1"/>
        </w:rPr>
        <w:t>M</w:t>
      </w:r>
      <w:r w:rsidRPr="008C4D92">
        <w:rPr>
          <w:color w:val="000000" w:themeColor="text1"/>
        </w:rPr>
        <w:t xml:space="preserve">ortgagor the covenants and agreements on the part of the mortgagor </w:t>
      </w:r>
      <w:r w:rsidR="00A52396">
        <w:rPr>
          <w:color w:val="000000" w:themeColor="text1"/>
        </w:rPr>
        <w:t xml:space="preserve">herein </w:t>
      </w:r>
      <w:r w:rsidRPr="008C4D92">
        <w:rPr>
          <w:color w:val="000000" w:themeColor="text1"/>
        </w:rPr>
        <w:t xml:space="preserve">expressed or implied by law in this </w:t>
      </w:r>
      <w:r w:rsidR="00A52396">
        <w:rPr>
          <w:color w:val="000000" w:themeColor="text1"/>
        </w:rPr>
        <w:t>M</w:t>
      </w:r>
      <w:r w:rsidRPr="008C4D92">
        <w:rPr>
          <w:color w:val="000000" w:themeColor="text1"/>
        </w:rPr>
        <w:t>ortgage shall be deemed to have been entered into jointly and severally by the said persons.”</w:t>
      </w:r>
    </w:p>
    <w:p w14:paraId="616F48F6" w14:textId="77777777" w:rsidR="00AF7125" w:rsidRPr="008C4D92" w:rsidRDefault="00AF7125" w:rsidP="00397485">
      <w:pPr>
        <w:spacing w:line="480" w:lineRule="auto"/>
        <w:jc w:val="both"/>
        <w:rPr>
          <w:color w:val="000000" w:themeColor="text1"/>
        </w:rPr>
      </w:pPr>
    </w:p>
    <w:p w14:paraId="3E5FBFB8" w14:textId="3C069A9A" w:rsidR="00AF7125" w:rsidRPr="008C4D92" w:rsidRDefault="008F4B7F" w:rsidP="00163355">
      <w:pPr>
        <w:pStyle w:val="ListParagraph"/>
        <w:numPr>
          <w:ilvl w:val="0"/>
          <w:numId w:val="19"/>
        </w:numPr>
        <w:spacing w:line="480" w:lineRule="auto"/>
        <w:jc w:val="both"/>
        <w:rPr>
          <w:color w:val="000000" w:themeColor="text1"/>
        </w:rPr>
      </w:pPr>
      <w:r w:rsidRPr="008C4D92">
        <w:rPr>
          <w:color w:val="000000" w:themeColor="text1"/>
        </w:rPr>
        <w:t xml:space="preserve">He contends that </w:t>
      </w:r>
      <w:r w:rsidR="00397485" w:rsidRPr="008C4D92">
        <w:rPr>
          <w:color w:val="000000" w:themeColor="text1"/>
        </w:rPr>
        <w:t>this is a liability clause and therefore calls for restrictive interpretation</w:t>
      </w:r>
      <w:r w:rsidR="0005300C" w:rsidRPr="008C4D92">
        <w:rPr>
          <w:color w:val="000000" w:themeColor="text1"/>
        </w:rPr>
        <w:t>, but that it</w:t>
      </w:r>
      <w:r w:rsidRPr="008C4D92">
        <w:rPr>
          <w:color w:val="000000" w:themeColor="text1"/>
        </w:rPr>
        <w:t xml:space="preserve"> </w:t>
      </w:r>
      <w:r w:rsidR="00397485" w:rsidRPr="008C4D92">
        <w:rPr>
          <w:color w:val="000000" w:themeColor="text1"/>
        </w:rPr>
        <w:t xml:space="preserve">does not define </w:t>
      </w:r>
      <w:r w:rsidR="0005300C" w:rsidRPr="008C4D92">
        <w:rPr>
          <w:color w:val="000000" w:themeColor="text1"/>
        </w:rPr>
        <w:t>the term “</w:t>
      </w:r>
      <w:r w:rsidR="00397485" w:rsidRPr="008C4D92">
        <w:rPr>
          <w:color w:val="000000" w:themeColor="text1"/>
        </w:rPr>
        <w:t>mortgagor</w:t>
      </w:r>
      <w:r w:rsidR="0005300C" w:rsidRPr="008C4D92">
        <w:rPr>
          <w:color w:val="000000" w:themeColor="text1"/>
        </w:rPr>
        <w:t>”</w:t>
      </w:r>
      <w:r w:rsidR="00397485" w:rsidRPr="008C4D92">
        <w:rPr>
          <w:color w:val="000000" w:themeColor="text1"/>
        </w:rPr>
        <w:t>, which i</w:t>
      </w:r>
      <w:r w:rsidR="0005300C" w:rsidRPr="008C4D92">
        <w:rPr>
          <w:color w:val="000000" w:themeColor="text1"/>
        </w:rPr>
        <w:t>nstead is</w:t>
      </w:r>
      <w:r w:rsidR="00397485" w:rsidRPr="008C4D92">
        <w:rPr>
          <w:color w:val="000000" w:themeColor="text1"/>
        </w:rPr>
        <w:t xml:space="preserve"> defined at </w:t>
      </w:r>
      <w:r w:rsidR="00331734" w:rsidRPr="008C4D92">
        <w:rPr>
          <w:color w:val="000000" w:themeColor="text1"/>
        </w:rPr>
        <w:t>C</w:t>
      </w:r>
      <w:r w:rsidR="00397485" w:rsidRPr="008C4D92">
        <w:rPr>
          <w:color w:val="000000" w:themeColor="text1"/>
        </w:rPr>
        <w:t>lause B(4)</w:t>
      </w:r>
      <w:r w:rsidRPr="008C4D92">
        <w:rPr>
          <w:color w:val="000000" w:themeColor="text1"/>
        </w:rPr>
        <w:t xml:space="preserve"> of the mortgage</w:t>
      </w:r>
      <w:r w:rsidR="00397485" w:rsidRPr="008C4D92">
        <w:rPr>
          <w:color w:val="000000" w:themeColor="text1"/>
        </w:rPr>
        <w:t xml:space="preserve"> as:</w:t>
      </w:r>
    </w:p>
    <w:p w14:paraId="25310628" w14:textId="77777777" w:rsidR="00163355" w:rsidRPr="008C4D92" w:rsidRDefault="00163355" w:rsidP="00163355">
      <w:pPr>
        <w:pStyle w:val="ListParagraph"/>
        <w:spacing w:line="480" w:lineRule="auto"/>
        <w:ind w:left="0"/>
        <w:jc w:val="both"/>
        <w:rPr>
          <w:color w:val="000000" w:themeColor="text1"/>
        </w:rPr>
      </w:pPr>
    </w:p>
    <w:p w14:paraId="6376BAF3" w14:textId="3C6CD6E1" w:rsidR="00397485" w:rsidRPr="008C4D92" w:rsidRDefault="00397485" w:rsidP="00397485">
      <w:pPr>
        <w:spacing w:line="480" w:lineRule="auto"/>
        <w:ind w:left="567"/>
        <w:jc w:val="both"/>
        <w:rPr>
          <w:color w:val="000000" w:themeColor="text1"/>
        </w:rPr>
      </w:pPr>
      <w:r w:rsidRPr="008C4D92">
        <w:rPr>
          <w:color w:val="000000" w:themeColor="text1"/>
        </w:rPr>
        <w:t xml:space="preserve">“The person or persons so named in part 1 of the </w:t>
      </w:r>
      <w:r w:rsidR="00A52396">
        <w:rPr>
          <w:color w:val="000000" w:themeColor="text1"/>
        </w:rPr>
        <w:t>M</w:t>
      </w:r>
      <w:r w:rsidRPr="008C4D92">
        <w:rPr>
          <w:color w:val="000000" w:themeColor="text1"/>
        </w:rPr>
        <w:t xml:space="preserve">ortgage </w:t>
      </w:r>
      <w:r w:rsidR="00A52396">
        <w:rPr>
          <w:color w:val="000000" w:themeColor="text1"/>
        </w:rPr>
        <w:t>P</w:t>
      </w:r>
      <w:r w:rsidRPr="008C4D92">
        <w:rPr>
          <w:color w:val="000000" w:themeColor="text1"/>
        </w:rPr>
        <w:t xml:space="preserve">articulars and the personal </w:t>
      </w:r>
      <w:r w:rsidR="00A52396">
        <w:rPr>
          <w:color w:val="000000" w:themeColor="text1"/>
        </w:rPr>
        <w:t>representative</w:t>
      </w:r>
      <w:r w:rsidR="00A52396" w:rsidRPr="008C4D92">
        <w:rPr>
          <w:color w:val="000000" w:themeColor="text1"/>
        </w:rPr>
        <w:t xml:space="preserve"> </w:t>
      </w:r>
      <w:r w:rsidRPr="008C4D92">
        <w:rPr>
          <w:color w:val="000000" w:themeColor="text1"/>
        </w:rPr>
        <w:t xml:space="preserve">or the personal representatives of the </w:t>
      </w:r>
      <w:r w:rsidR="00A52396">
        <w:rPr>
          <w:color w:val="000000" w:themeColor="text1"/>
        </w:rPr>
        <w:t>M</w:t>
      </w:r>
      <w:r w:rsidRPr="008C4D92">
        <w:rPr>
          <w:color w:val="000000" w:themeColor="text1"/>
        </w:rPr>
        <w:t xml:space="preserve">ortgagor and the person or persons deriving title under the </w:t>
      </w:r>
      <w:r w:rsidR="00A52396">
        <w:rPr>
          <w:color w:val="000000" w:themeColor="text1"/>
        </w:rPr>
        <w:t>M</w:t>
      </w:r>
      <w:r w:rsidRPr="008C4D92">
        <w:rPr>
          <w:color w:val="000000" w:themeColor="text1"/>
        </w:rPr>
        <w:t xml:space="preserve">ortgagor to the </w:t>
      </w:r>
      <w:r w:rsidR="00A52396">
        <w:rPr>
          <w:color w:val="000000" w:themeColor="text1"/>
        </w:rPr>
        <w:t>M</w:t>
      </w:r>
      <w:r w:rsidRPr="008C4D92">
        <w:rPr>
          <w:color w:val="000000" w:themeColor="text1"/>
        </w:rPr>
        <w:t xml:space="preserve">ortgaged </w:t>
      </w:r>
      <w:r w:rsidR="00A52396">
        <w:rPr>
          <w:color w:val="000000" w:themeColor="text1"/>
        </w:rPr>
        <w:t>P</w:t>
      </w:r>
      <w:r w:rsidRPr="008C4D92">
        <w:rPr>
          <w:color w:val="000000" w:themeColor="text1"/>
        </w:rPr>
        <w:t>roperty”.</w:t>
      </w:r>
    </w:p>
    <w:p w14:paraId="2217095F" w14:textId="77777777" w:rsidR="00AF7125" w:rsidRPr="008C4D92" w:rsidRDefault="00AF7125" w:rsidP="00397485">
      <w:pPr>
        <w:spacing w:line="480" w:lineRule="auto"/>
        <w:ind w:left="567"/>
        <w:jc w:val="both"/>
        <w:rPr>
          <w:color w:val="000000" w:themeColor="text1"/>
        </w:rPr>
      </w:pPr>
    </w:p>
    <w:p w14:paraId="405FD2B7" w14:textId="1165884C" w:rsidR="00397485" w:rsidRPr="008C4D92" w:rsidRDefault="00FB56EE" w:rsidP="00163355">
      <w:pPr>
        <w:pStyle w:val="ListParagraph"/>
        <w:numPr>
          <w:ilvl w:val="0"/>
          <w:numId w:val="19"/>
        </w:numPr>
        <w:spacing w:line="480" w:lineRule="auto"/>
        <w:jc w:val="both"/>
        <w:rPr>
          <w:color w:val="000000" w:themeColor="text1"/>
        </w:rPr>
      </w:pPr>
      <w:r w:rsidRPr="008C4D92">
        <w:rPr>
          <w:color w:val="000000" w:themeColor="text1"/>
        </w:rPr>
        <w:t>Counsel submits that</w:t>
      </w:r>
      <w:r w:rsidR="00397485" w:rsidRPr="008C4D92">
        <w:rPr>
          <w:color w:val="000000" w:themeColor="text1"/>
        </w:rPr>
        <w:t xml:space="preserve"> this claus</w:t>
      </w:r>
      <w:r w:rsidR="008F4B7F" w:rsidRPr="008C4D92">
        <w:rPr>
          <w:color w:val="000000" w:themeColor="text1"/>
        </w:rPr>
        <w:t>e</w:t>
      </w:r>
      <w:r w:rsidR="00397485" w:rsidRPr="008C4D92">
        <w:rPr>
          <w:color w:val="000000" w:themeColor="text1"/>
        </w:rPr>
        <w:t xml:space="preserve"> identifies who the mortgagors are and does not create any basis for liability by and/or between them on foot of the mortgage.  </w:t>
      </w:r>
      <w:r w:rsidR="008F4B7F" w:rsidRPr="008C4D92">
        <w:rPr>
          <w:color w:val="000000" w:themeColor="text1"/>
        </w:rPr>
        <w:t>He submits that in</w:t>
      </w:r>
      <w:r w:rsidR="00397485" w:rsidRPr="008C4D92">
        <w:rPr>
          <w:color w:val="000000" w:themeColor="text1"/>
        </w:rPr>
        <w:t xml:space="preserve"> giving these words their plain and ordinary meaning, </w:t>
      </w:r>
      <w:r w:rsidR="00AF7125" w:rsidRPr="008C4D92">
        <w:rPr>
          <w:color w:val="000000" w:themeColor="text1"/>
        </w:rPr>
        <w:t>“</w:t>
      </w:r>
      <w:r w:rsidR="00397485" w:rsidRPr="008C4D92">
        <w:rPr>
          <w:color w:val="000000" w:themeColor="text1"/>
        </w:rPr>
        <w:t>mortgagor</w:t>
      </w:r>
      <w:r w:rsidR="00AF7125" w:rsidRPr="008C4D92">
        <w:rPr>
          <w:color w:val="000000" w:themeColor="text1"/>
        </w:rPr>
        <w:t>”</w:t>
      </w:r>
      <w:r w:rsidR="00397485" w:rsidRPr="008C4D92">
        <w:rPr>
          <w:color w:val="000000" w:themeColor="text1"/>
        </w:rPr>
        <w:t xml:space="preserve"> does not mean </w:t>
      </w:r>
      <w:r w:rsidR="00397485" w:rsidRPr="008C4D92">
        <w:rPr>
          <w:i/>
          <w:color w:val="000000" w:themeColor="text1"/>
        </w:rPr>
        <w:t>either</w:t>
      </w:r>
      <w:r w:rsidR="00397485" w:rsidRPr="008C4D92">
        <w:rPr>
          <w:color w:val="000000" w:themeColor="text1"/>
        </w:rPr>
        <w:t xml:space="preserve"> of the</w:t>
      </w:r>
      <w:r w:rsidR="008F4B7F" w:rsidRPr="008C4D92">
        <w:rPr>
          <w:color w:val="000000" w:themeColor="text1"/>
        </w:rPr>
        <w:t xml:space="preserve"> mortgagors; rather, it</w:t>
      </w:r>
      <w:r w:rsidR="00397485" w:rsidRPr="008C4D92">
        <w:rPr>
          <w:color w:val="000000" w:themeColor="text1"/>
        </w:rPr>
        <w:t xml:space="preserve"> means </w:t>
      </w:r>
      <w:r w:rsidR="00397485" w:rsidRPr="008C4D92">
        <w:rPr>
          <w:i/>
          <w:color w:val="000000" w:themeColor="text1"/>
        </w:rPr>
        <w:t>both</w:t>
      </w:r>
      <w:r w:rsidR="00AF7125" w:rsidRPr="008C4D92">
        <w:rPr>
          <w:color w:val="000000" w:themeColor="text1"/>
        </w:rPr>
        <w:t xml:space="preserve"> </w:t>
      </w:r>
      <w:r w:rsidR="008F4B7F" w:rsidRPr="008C4D92">
        <w:rPr>
          <w:color w:val="000000" w:themeColor="text1"/>
        </w:rPr>
        <w:t xml:space="preserve">of the </w:t>
      </w:r>
      <w:r w:rsidR="000C250F" w:rsidRPr="008C4D92">
        <w:rPr>
          <w:color w:val="000000" w:themeColor="text1"/>
        </w:rPr>
        <w:t>mortgagors</w:t>
      </w:r>
      <w:r w:rsidR="00397485" w:rsidRPr="008C4D92">
        <w:rPr>
          <w:color w:val="000000" w:themeColor="text1"/>
        </w:rPr>
        <w:t xml:space="preserve"> in a situation where there is more than one.  </w:t>
      </w:r>
    </w:p>
    <w:p w14:paraId="2FE9881D" w14:textId="2B44F5E2" w:rsidR="002B4588" w:rsidRPr="008C4D92" w:rsidRDefault="002B4588" w:rsidP="00F85C64">
      <w:pPr>
        <w:spacing w:line="480" w:lineRule="auto"/>
        <w:jc w:val="both"/>
        <w:rPr>
          <w:color w:val="000000" w:themeColor="text1"/>
        </w:rPr>
      </w:pPr>
    </w:p>
    <w:p w14:paraId="76A950FD" w14:textId="367C4BE8" w:rsidR="00FD7CBC" w:rsidRPr="008C4D92" w:rsidRDefault="00163355" w:rsidP="00000EBA">
      <w:pPr>
        <w:numPr>
          <w:ilvl w:val="0"/>
          <w:numId w:val="19"/>
        </w:numPr>
        <w:spacing w:line="480" w:lineRule="auto"/>
        <w:jc w:val="both"/>
        <w:rPr>
          <w:color w:val="000000" w:themeColor="text1"/>
        </w:rPr>
      </w:pPr>
      <w:r w:rsidRPr="008C4D92">
        <w:rPr>
          <w:color w:val="000000" w:themeColor="text1"/>
        </w:rPr>
        <w:t>Counsel submits that the</w:t>
      </w:r>
      <w:r w:rsidR="00FD7CBC" w:rsidRPr="008C4D92">
        <w:rPr>
          <w:color w:val="000000" w:themeColor="text1"/>
        </w:rPr>
        <w:t xml:space="preserve"> basis of a liability for future loans was regulated by the meaning of the term “relevant letter of offer” </w:t>
      </w:r>
      <w:r w:rsidR="00E90AD0">
        <w:rPr>
          <w:color w:val="000000" w:themeColor="text1"/>
        </w:rPr>
        <w:t xml:space="preserve">in </w:t>
      </w:r>
      <w:r w:rsidR="00FD7CBC" w:rsidRPr="008C4D92">
        <w:rPr>
          <w:color w:val="000000" w:themeColor="text1"/>
        </w:rPr>
        <w:t>the “Definitions” section in the Deed of Mortgage as it applied to future loans (</w:t>
      </w:r>
      <w:r w:rsidR="00FC35F4">
        <w:rPr>
          <w:color w:val="000000" w:themeColor="text1"/>
        </w:rPr>
        <w:t xml:space="preserve">i.e. </w:t>
      </w:r>
      <w:r w:rsidR="004B3D54">
        <w:rPr>
          <w:color w:val="000000" w:themeColor="text1"/>
        </w:rPr>
        <w:t>“</w:t>
      </w:r>
      <w:r w:rsidR="00ED03D1">
        <w:rPr>
          <w:color w:val="000000" w:themeColor="text1"/>
        </w:rPr>
        <w:t>… “</w:t>
      </w:r>
      <w:r w:rsidR="00FD7CBC" w:rsidRPr="008C4D92">
        <w:rPr>
          <w:color w:val="000000" w:themeColor="text1"/>
        </w:rPr>
        <w:t>relevant letter of offer</w:t>
      </w:r>
      <w:r w:rsidR="00ED03D1">
        <w:rPr>
          <w:color w:val="000000" w:themeColor="text1"/>
        </w:rPr>
        <w:t>”</w:t>
      </w:r>
      <w:r w:rsidR="00FD7CBC" w:rsidRPr="008C4D92">
        <w:rPr>
          <w:color w:val="000000" w:themeColor="text1"/>
        </w:rPr>
        <w:t xml:space="preserve"> shall in addition </w:t>
      </w:r>
      <w:r w:rsidR="00FD7CBC" w:rsidRPr="008C4D92">
        <w:rPr>
          <w:color w:val="000000" w:themeColor="text1"/>
        </w:rPr>
        <w:lastRenderedPageBreak/>
        <w:t>mean and include for the purpose of this Mortgage any letter or letters of offer of a future loan…</w:t>
      </w:r>
      <w:r w:rsidR="001A3EE9">
        <w:rPr>
          <w:color w:val="000000" w:themeColor="text1"/>
        </w:rPr>
        <w:t xml:space="preserve"> </w:t>
      </w:r>
      <w:r w:rsidR="00FD7CBC" w:rsidRPr="008C4D92">
        <w:rPr>
          <w:i/>
          <w:color w:val="000000" w:themeColor="text1"/>
        </w:rPr>
        <w:t>agreed and accepted in writing between the Mortgagor and the Bank</w:t>
      </w:r>
      <w:r w:rsidR="00FD7CBC" w:rsidRPr="008C4D92">
        <w:rPr>
          <w:color w:val="000000" w:themeColor="text1"/>
        </w:rPr>
        <w:t xml:space="preserve"> at any future time or times</w:t>
      </w:r>
      <w:r w:rsidR="00220CD1">
        <w:rPr>
          <w:color w:val="000000" w:themeColor="text1"/>
        </w:rPr>
        <w:t>.</w:t>
      </w:r>
      <w:r w:rsidR="00FD7CBC" w:rsidRPr="008C4D92">
        <w:rPr>
          <w:color w:val="000000" w:themeColor="text1"/>
        </w:rPr>
        <w:t>”</w:t>
      </w:r>
      <w:r w:rsidR="00220CD1">
        <w:rPr>
          <w:color w:val="000000" w:themeColor="text1"/>
        </w:rPr>
        <w:t>(Emphasis added)</w:t>
      </w:r>
      <w:r w:rsidR="00FD7CBC" w:rsidRPr="008C4D92">
        <w:rPr>
          <w:color w:val="000000" w:themeColor="text1"/>
        </w:rPr>
        <w:t xml:space="preserve">).  </w:t>
      </w:r>
      <w:r w:rsidR="00B404A7" w:rsidRPr="008C4D92">
        <w:rPr>
          <w:color w:val="000000" w:themeColor="text1"/>
        </w:rPr>
        <w:t xml:space="preserve">No such writing existed as between the second defendant and </w:t>
      </w:r>
      <w:r w:rsidR="00331734" w:rsidRPr="008C4D92">
        <w:rPr>
          <w:color w:val="000000" w:themeColor="text1"/>
        </w:rPr>
        <w:t>the b</w:t>
      </w:r>
      <w:r w:rsidR="00B404A7" w:rsidRPr="008C4D92">
        <w:rPr>
          <w:color w:val="000000" w:themeColor="text1"/>
        </w:rPr>
        <w:t xml:space="preserve">ank. </w:t>
      </w:r>
      <w:r w:rsidR="00FD7CBC" w:rsidRPr="008C4D92">
        <w:rPr>
          <w:color w:val="000000" w:themeColor="text1"/>
        </w:rPr>
        <w:t xml:space="preserve">It is contended that, as a matter of fact, there was no future loan within the meaning of the definition required by the 1998 mortgage, but instead </w:t>
      </w:r>
      <w:r w:rsidR="00331734" w:rsidRPr="008C4D92">
        <w:rPr>
          <w:color w:val="000000" w:themeColor="text1"/>
        </w:rPr>
        <w:t xml:space="preserve">there was </w:t>
      </w:r>
      <w:r w:rsidR="00FD7CBC" w:rsidRPr="008C4D92">
        <w:rPr>
          <w:color w:val="000000" w:themeColor="text1"/>
        </w:rPr>
        <w:t xml:space="preserve">a new loan to Mr. White secured by the charge on </w:t>
      </w:r>
      <w:r w:rsidR="00FD7CBC" w:rsidRPr="008C4D92">
        <w:rPr>
          <w:i/>
          <w:color w:val="000000" w:themeColor="text1"/>
        </w:rPr>
        <w:t>his interest</w:t>
      </w:r>
      <w:r w:rsidR="00FD7CBC" w:rsidRPr="008C4D92">
        <w:rPr>
          <w:color w:val="000000" w:themeColor="text1"/>
        </w:rPr>
        <w:t xml:space="preserve"> in the property, together with the guarantee from the appellant.  It is submitted that in circumstances where any cause of action arising from the guarantee is statute</w:t>
      </w:r>
      <w:r w:rsidR="006C6A2B" w:rsidRPr="008C4D92">
        <w:rPr>
          <w:color w:val="000000" w:themeColor="text1"/>
        </w:rPr>
        <w:t>-</w:t>
      </w:r>
      <w:r w:rsidR="00FD7CBC" w:rsidRPr="008C4D92">
        <w:rPr>
          <w:color w:val="000000" w:themeColor="text1"/>
        </w:rPr>
        <w:t xml:space="preserve">barred, and where the guarantee is not exhibited or pleaded, the </w:t>
      </w:r>
      <w:r w:rsidR="00B404A7" w:rsidRPr="008C4D92">
        <w:rPr>
          <w:color w:val="000000" w:themeColor="text1"/>
        </w:rPr>
        <w:t xml:space="preserve">first </w:t>
      </w:r>
      <w:r w:rsidR="00FD7CBC" w:rsidRPr="008C4D92">
        <w:rPr>
          <w:color w:val="000000" w:themeColor="text1"/>
        </w:rPr>
        <w:t xml:space="preserve">plaintiff is asserting a security over her interest in the absence of any liability to support it. Security is contingent on liability and the security enjoyed by the lender is limited to the interests of the first defendant, </w:t>
      </w:r>
      <w:r w:rsidR="00E90AD0">
        <w:rPr>
          <w:color w:val="000000" w:themeColor="text1"/>
        </w:rPr>
        <w:t xml:space="preserve">i.e. </w:t>
      </w:r>
      <w:r w:rsidR="00FD7CBC" w:rsidRPr="008C4D92">
        <w:rPr>
          <w:color w:val="000000" w:themeColor="text1"/>
        </w:rPr>
        <w:t xml:space="preserve">the only debtor under the 2008 loan.  </w:t>
      </w:r>
    </w:p>
    <w:p w14:paraId="444C38D1" w14:textId="77777777" w:rsidR="00B404A7" w:rsidRPr="008C4D92" w:rsidRDefault="00B404A7" w:rsidP="00B404A7">
      <w:pPr>
        <w:spacing w:line="480" w:lineRule="auto"/>
        <w:jc w:val="both"/>
        <w:rPr>
          <w:color w:val="000000" w:themeColor="text1"/>
        </w:rPr>
      </w:pPr>
    </w:p>
    <w:p w14:paraId="0A866D6A" w14:textId="5978D8C6" w:rsidR="00397485" w:rsidRPr="008C4D92" w:rsidRDefault="002B4588" w:rsidP="00000EBA">
      <w:pPr>
        <w:numPr>
          <w:ilvl w:val="0"/>
          <w:numId w:val="19"/>
        </w:numPr>
        <w:spacing w:line="480" w:lineRule="auto"/>
        <w:jc w:val="both"/>
        <w:rPr>
          <w:color w:val="000000" w:themeColor="text1"/>
        </w:rPr>
      </w:pPr>
      <w:r w:rsidRPr="008C4D92">
        <w:rPr>
          <w:color w:val="000000" w:themeColor="text1"/>
        </w:rPr>
        <w:t xml:space="preserve">The second defendant also argues that </w:t>
      </w:r>
      <w:r w:rsidRPr="008C4D92">
        <w:rPr>
          <w:i/>
          <w:color w:val="000000" w:themeColor="text1"/>
        </w:rPr>
        <w:t>Tanager</w:t>
      </w:r>
      <w:r w:rsidR="00331734" w:rsidRPr="008C4D92">
        <w:rPr>
          <w:i/>
          <w:color w:val="000000" w:themeColor="text1"/>
        </w:rPr>
        <w:t xml:space="preserve"> D.A.C.</w:t>
      </w:r>
      <w:r w:rsidRPr="008C4D92">
        <w:rPr>
          <w:i/>
          <w:color w:val="000000" w:themeColor="text1"/>
        </w:rPr>
        <w:t xml:space="preserve"> v</w:t>
      </w:r>
      <w:r w:rsidR="00331734" w:rsidRPr="008C4D92">
        <w:rPr>
          <w:i/>
          <w:color w:val="000000" w:themeColor="text1"/>
        </w:rPr>
        <w:t>.</w:t>
      </w:r>
      <w:r w:rsidRPr="008C4D92">
        <w:rPr>
          <w:i/>
          <w:color w:val="000000" w:themeColor="text1"/>
        </w:rPr>
        <w:t xml:space="preserve"> Kane </w:t>
      </w:r>
      <w:r w:rsidRPr="008C4D92">
        <w:rPr>
          <w:color w:val="000000" w:themeColor="text1"/>
        </w:rPr>
        <w:t xml:space="preserve">has nothing to do with the issue arising in the present case. It is pointed out that </w:t>
      </w:r>
      <w:r w:rsidRPr="008C4D92">
        <w:rPr>
          <w:i/>
          <w:color w:val="000000" w:themeColor="text1"/>
        </w:rPr>
        <w:t>Tanager</w:t>
      </w:r>
      <w:r w:rsidR="00331734" w:rsidRPr="008C4D92">
        <w:rPr>
          <w:i/>
          <w:color w:val="000000" w:themeColor="text1"/>
        </w:rPr>
        <w:t xml:space="preserve"> D.A.C.</w:t>
      </w:r>
      <w:r w:rsidRPr="008C4D92">
        <w:rPr>
          <w:i/>
          <w:color w:val="000000" w:themeColor="text1"/>
        </w:rPr>
        <w:t xml:space="preserve"> v. Kane </w:t>
      </w:r>
      <w:r w:rsidRPr="008C4D92">
        <w:rPr>
          <w:color w:val="000000" w:themeColor="text1"/>
        </w:rPr>
        <w:t xml:space="preserve">involved a Circuit Court ejectment bill seeking summary possession pursuant to </w:t>
      </w:r>
      <w:r w:rsidR="00E90AD0">
        <w:rPr>
          <w:color w:val="000000" w:themeColor="text1"/>
        </w:rPr>
        <w:t>S</w:t>
      </w:r>
      <w:r w:rsidR="00331734" w:rsidRPr="008C4D92">
        <w:rPr>
          <w:color w:val="000000" w:themeColor="text1"/>
        </w:rPr>
        <w:t xml:space="preserve">ection </w:t>
      </w:r>
      <w:r w:rsidRPr="008C4D92">
        <w:rPr>
          <w:color w:val="000000" w:themeColor="text1"/>
        </w:rPr>
        <w:t xml:space="preserve">62(7) of the 1964 Act, whereas the present proceedings seek </w:t>
      </w:r>
      <w:r w:rsidR="00B404A7" w:rsidRPr="008C4D92">
        <w:rPr>
          <w:color w:val="000000" w:themeColor="text1"/>
        </w:rPr>
        <w:t xml:space="preserve">equitable relief, namely </w:t>
      </w:r>
      <w:r w:rsidRPr="008C4D92">
        <w:rPr>
          <w:color w:val="000000" w:themeColor="text1"/>
        </w:rPr>
        <w:t xml:space="preserve">declaratory and injunctive relief. Counsel </w:t>
      </w:r>
      <w:r w:rsidR="0057111C" w:rsidRPr="008C4D92">
        <w:rPr>
          <w:color w:val="000000" w:themeColor="text1"/>
        </w:rPr>
        <w:t>submi</w:t>
      </w:r>
      <w:r w:rsidR="00F84C8F" w:rsidRPr="008C4D92">
        <w:rPr>
          <w:color w:val="000000" w:themeColor="text1"/>
        </w:rPr>
        <w:t>ts</w:t>
      </w:r>
      <w:r w:rsidR="0057111C" w:rsidRPr="008C4D92">
        <w:rPr>
          <w:color w:val="000000" w:themeColor="text1"/>
        </w:rPr>
        <w:t xml:space="preserve"> </w:t>
      </w:r>
      <w:r w:rsidRPr="008C4D92">
        <w:rPr>
          <w:color w:val="000000" w:themeColor="text1"/>
        </w:rPr>
        <w:t xml:space="preserve">that </w:t>
      </w:r>
      <w:r w:rsidRPr="008C4D92">
        <w:rPr>
          <w:i/>
          <w:color w:val="000000" w:themeColor="text1"/>
        </w:rPr>
        <w:t xml:space="preserve">Tanager </w:t>
      </w:r>
      <w:r w:rsidR="00F84C8F" w:rsidRPr="008C4D92">
        <w:rPr>
          <w:color w:val="000000" w:themeColor="text1"/>
        </w:rPr>
        <w:t>in fact</w:t>
      </w:r>
      <w:r w:rsidRPr="008C4D92">
        <w:rPr>
          <w:color w:val="000000" w:themeColor="text1"/>
        </w:rPr>
        <w:t xml:space="preserve"> contemplate</w:t>
      </w:r>
      <w:r w:rsidR="00F84C8F" w:rsidRPr="008C4D92">
        <w:rPr>
          <w:color w:val="000000" w:themeColor="text1"/>
        </w:rPr>
        <w:t>s</w:t>
      </w:r>
      <w:r w:rsidRPr="008C4D92">
        <w:rPr>
          <w:color w:val="000000" w:themeColor="text1"/>
        </w:rPr>
        <w:t xml:space="preserve"> </w:t>
      </w:r>
      <w:r w:rsidR="00991EEF" w:rsidRPr="008C4D92">
        <w:rPr>
          <w:color w:val="000000" w:themeColor="text1"/>
        </w:rPr>
        <w:t>that other</w:t>
      </w:r>
      <w:r w:rsidRPr="008C4D92">
        <w:rPr>
          <w:color w:val="000000" w:themeColor="text1"/>
        </w:rPr>
        <w:t xml:space="preserve"> proceedings </w:t>
      </w:r>
      <w:r w:rsidR="00991EEF" w:rsidRPr="008C4D92">
        <w:rPr>
          <w:color w:val="000000" w:themeColor="text1"/>
        </w:rPr>
        <w:t>may b</w:t>
      </w:r>
      <w:r w:rsidR="0057111C" w:rsidRPr="008C4D92">
        <w:rPr>
          <w:color w:val="000000" w:themeColor="text1"/>
        </w:rPr>
        <w:t>e</w:t>
      </w:r>
      <w:r w:rsidR="00991EEF" w:rsidRPr="008C4D92">
        <w:rPr>
          <w:color w:val="000000" w:themeColor="text1"/>
        </w:rPr>
        <w:t xml:space="preserve"> brought </w:t>
      </w:r>
      <w:r w:rsidRPr="008C4D92">
        <w:rPr>
          <w:color w:val="000000" w:themeColor="text1"/>
        </w:rPr>
        <w:t xml:space="preserve">to challenge the validity of the </w:t>
      </w:r>
      <w:r w:rsidR="00C242FD" w:rsidRPr="008C4D92">
        <w:rPr>
          <w:color w:val="000000" w:themeColor="text1"/>
        </w:rPr>
        <w:t>charge</w:t>
      </w:r>
      <w:r w:rsidR="0057111C" w:rsidRPr="008C4D92">
        <w:rPr>
          <w:color w:val="000000" w:themeColor="text1"/>
        </w:rPr>
        <w:t>, and he indicate</w:t>
      </w:r>
      <w:r w:rsidR="00F84C8F" w:rsidRPr="008C4D92">
        <w:rPr>
          <w:color w:val="000000" w:themeColor="text1"/>
        </w:rPr>
        <w:t>s</w:t>
      </w:r>
      <w:r w:rsidR="0057111C" w:rsidRPr="008C4D92">
        <w:rPr>
          <w:color w:val="000000" w:themeColor="text1"/>
        </w:rPr>
        <w:t xml:space="preserve"> </w:t>
      </w:r>
      <w:r w:rsidR="00F84C8F" w:rsidRPr="008C4D92">
        <w:rPr>
          <w:color w:val="000000" w:themeColor="text1"/>
        </w:rPr>
        <w:t xml:space="preserve">that the second defendant intends to do so. </w:t>
      </w:r>
      <w:r w:rsidR="00495B39" w:rsidRPr="008C4D92">
        <w:rPr>
          <w:color w:val="000000" w:themeColor="text1"/>
        </w:rPr>
        <w:t xml:space="preserve">He points out that no issue of the kind raised by the second defendant arose in </w:t>
      </w:r>
      <w:r w:rsidR="00495B39" w:rsidRPr="008C4D92">
        <w:rPr>
          <w:i/>
          <w:color w:val="000000" w:themeColor="text1"/>
        </w:rPr>
        <w:t>Tanager</w:t>
      </w:r>
      <w:r w:rsidR="00331734" w:rsidRPr="008C4D92">
        <w:rPr>
          <w:i/>
          <w:color w:val="000000" w:themeColor="text1"/>
        </w:rPr>
        <w:t xml:space="preserve"> D.A.C.</w:t>
      </w:r>
      <w:r w:rsidR="00495B39" w:rsidRPr="008C4D92">
        <w:rPr>
          <w:i/>
          <w:color w:val="000000" w:themeColor="text1"/>
        </w:rPr>
        <w:t xml:space="preserve"> v. Kane.</w:t>
      </w:r>
    </w:p>
    <w:p w14:paraId="4C8743D6" w14:textId="77777777" w:rsidR="00F84C8F" w:rsidRPr="008C4D92" w:rsidRDefault="00F84C8F" w:rsidP="00F84C8F">
      <w:pPr>
        <w:pStyle w:val="ListParagraph"/>
        <w:rPr>
          <w:color w:val="000000" w:themeColor="text1"/>
        </w:rPr>
      </w:pPr>
    </w:p>
    <w:p w14:paraId="7291556E" w14:textId="77777777" w:rsidR="00F84C8F" w:rsidRPr="008C4D92" w:rsidRDefault="00F84C8F" w:rsidP="00F84C8F">
      <w:pPr>
        <w:spacing w:line="480" w:lineRule="auto"/>
        <w:jc w:val="both"/>
        <w:rPr>
          <w:color w:val="000000" w:themeColor="text1"/>
        </w:rPr>
      </w:pPr>
    </w:p>
    <w:p w14:paraId="6ABD62C6" w14:textId="315C748E" w:rsidR="00F84C8F" w:rsidRPr="008C4D92" w:rsidRDefault="00397485" w:rsidP="00397485">
      <w:pPr>
        <w:numPr>
          <w:ilvl w:val="0"/>
          <w:numId w:val="19"/>
        </w:numPr>
        <w:spacing w:line="480" w:lineRule="auto"/>
        <w:jc w:val="both"/>
        <w:rPr>
          <w:color w:val="000000" w:themeColor="text1"/>
        </w:rPr>
      </w:pPr>
      <w:r w:rsidRPr="008C4D92">
        <w:rPr>
          <w:color w:val="000000" w:themeColor="text1"/>
        </w:rPr>
        <w:t xml:space="preserve">The plaintiffs’ position is that when the loan was refinanced in March 2008, the second defendant remained with obligations in respect of the full debt as guarantor, though she was not a joint borrower, and </w:t>
      </w:r>
      <w:r w:rsidRPr="00034375">
        <w:rPr>
          <w:i/>
          <w:color w:val="000000" w:themeColor="text1"/>
        </w:rPr>
        <w:t>also</w:t>
      </w:r>
      <w:r w:rsidRPr="008C4D92">
        <w:rPr>
          <w:color w:val="000000" w:themeColor="text1"/>
        </w:rPr>
        <w:t xml:space="preserve"> remained a party </w:t>
      </w:r>
      <w:r w:rsidR="00766DF8" w:rsidRPr="008C4D92">
        <w:rPr>
          <w:color w:val="000000" w:themeColor="text1"/>
        </w:rPr>
        <w:t>to</w:t>
      </w:r>
      <w:r w:rsidRPr="008C4D92">
        <w:rPr>
          <w:color w:val="000000" w:themeColor="text1"/>
        </w:rPr>
        <w:t xml:space="preserve"> the 1998 mortgage which clearly covered any refinancing of the original purchase loan. They say it is significant that she signed a </w:t>
      </w:r>
      <w:r w:rsidRPr="008C4D92">
        <w:rPr>
          <w:color w:val="000000" w:themeColor="text1"/>
        </w:rPr>
        <w:lastRenderedPageBreak/>
        <w:t xml:space="preserve">Family Home Declaration which made clear that she was accepting the Bank’s entitlement to recover the property as security in the event of default on the loan. </w:t>
      </w:r>
    </w:p>
    <w:p w14:paraId="42F03743" w14:textId="77777777" w:rsidR="00436579" w:rsidRPr="008C4D92" w:rsidRDefault="00436579" w:rsidP="00436579">
      <w:pPr>
        <w:spacing w:line="480" w:lineRule="auto"/>
        <w:jc w:val="both"/>
        <w:rPr>
          <w:color w:val="000000" w:themeColor="text1"/>
        </w:rPr>
      </w:pPr>
    </w:p>
    <w:p w14:paraId="6220288A" w14:textId="120F5645" w:rsidR="00397485" w:rsidRPr="008C4D92" w:rsidRDefault="00397485" w:rsidP="00397485">
      <w:pPr>
        <w:numPr>
          <w:ilvl w:val="0"/>
          <w:numId w:val="19"/>
        </w:numPr>
        <w:spacing w:line="480" w:lineRule="auto"/>
        <w:jc w:val="both"/>
        <w:rPr>
          <w:color w:val="000000" w:themeColor="text1"/>
        </w:rPr>
      </w:pPr>
      <w:r w:rsidRPr="008C4D92">
        <w:rPr>
          <w:color w:val="000000" w:themeColor="text1"/>
        </w:rPr>
        <w:t>The</w:t>
      </w:r>
      <w:r w:rsidR="00F84C8F" w:rsidRPr="008C4D92">
        <w:rPr>
          <w:color w:val="000000" w:themeColor="text1"/>
        </w:rPr>
        <w:t xml:space="preserve"> plaintiffs lay emphasis on the fact</w:t>
      </w:r>
      <w:r w:rsidRPr="008C4D92">
        <w:rPr>
          <w:color w:val="000000" w:themeColor="text1"/>
        </w:rPr>
        <w:t xml:space="preserve"> that </w:t>
      </w:r>
      <w:r w:rsidR="00F84C8F" w:rsidRPr="008C4D92">
        <w:rPr>
          <w:color w:val="000000" w:themeColor="text1"/>
        </w:rPr>
        <w:t>the second defendant</w:t>
      </w:r>
      <w:r w:rsidRPr="008C4D92">
        <w:rPr>
          <w:color w:val="000000" w:themeColor="text1"/>
        </w:rPr>
        <w:t xml:space="preserve"> never swore any affidavit containing evidence which even on a </w:t>
      </w:r>
      <w:r w:rsidRPr="008C4D92">
        <w:rPr>
          <w:i/>
          <w:color w:val="000000" w:themeColor="text1"/>
        </w:rPr>
        <w:t xml:space="preserve">prima facie </w:t>
      </w:r>
      <w:r w:rsidRPr="008C4D92">
        <w:rPr>
          <w:color w:val="000000" w:themeColor="text1"/>
        </w:rPr>
        <w:t>basis substantiate</w:t>
      </w:r>
      <w:r w:rsidR="00F84C8F" w:rsidRPr="008C4D92">
        <w:rPr>
          <w:color w:val="000000" w:themeColor="text1"/>
        </w:rPr>
        <w:t>d</w:t>
      </w:r>
      <w:r w:rsidRPr="008C4D92">
        <w:rPr>
          <w:color w:val="000000" w:themeColor="text1"/>
        </w:rPr>
        <w:t xml:space="preserve"> the contention that it was agreed that she would be released from the mortgage</w:t>
      </w:r>
      <w:r w:rsidR="00067128" w:rsidRPr="008C4D92">
        <w:rPr>
          <w:color w:val="000000" w:themeColor="text1"/>
        </w:rPr>
        <w:t xml:space="preserve"> at the time of the 2008 loan</w:t>
      </w:r>
      <w:r w:rsidRPr="008C4D92">
        <w:rPr>
          <w:color w:val="000000" w:themeColor="text1"/>
        </w:rPr>
        <w:t>, or that any interest she had in the property did not remain secured to the Bank</w:t>
      </w:r>
      <w:r w:rsidR="001970CF" w:rsidRPr="008C4D92">
        <w:rPr>
          <w:color w:val="000000" w:themeColor="text1"/>
        </w:rPr>
        <w:t xml:space="preserve"> thereafter</w:t>
      </w:r>
      <w:r w:rsidRPr="008C4D92">
        <w:rPr>
          <w:color w:val="000000" w:themeColor="text1"/>
        </w:rPr>
        <w:t xml:space="preserve">. </w:t>
      </w:r>
      <w:r w:rsidR="00F84C8F" w:rsidRPr="008C4D92">
        <w:rPr>
          <w:color w:val="000000" w:themeColor="text1"/>
        </w:rPr>
        <w:t>They point out that at no time</w:t>
      </w:r>
      <w:r w:rsidRPr="008C4D92">
        <w:rPr>
          <w:color w:val="000000" w:themeColor="text1"/>
        </w:rPr>
        <w:t xml:space="preserve"> during the </w:t>
      </w:r>
      <w:r w:rsidR="00812615" w:rsidRPr="008C4D92">
        <w:rPr>
          <w:color w:val="000000" w:themeColor="text1"/>
        </w:rPr>
        <w:t>twelve</w:t>
      </w:r>
      <w:r w:rsidRPr="008C4D92">
        <w:rPr>
          <w:color w:val="000000" w:themeColor="text1"/>
        </w:rPr>
        <w:t xml:space="preserve"> years between the refinancing and the application for the injunction </w:t>
      </w:r>
      <w:r w:rsidR="00F84C8F" w:rsidRPr="008C4D92">
        <w:rPr>
          <w:color w:val="000000" w:themeColor="text1"/>
        </w:rPr>
        <w:t xml:space="preserve">did she </w:t>
      </w:r>
      <w:r w:rsidRPr="008C4D92">
        <w:rPr>
          <w:color w:val="000000" w:themeColor="text1"/>
        </w:rPr>
        <w:t xml:space="preserve">make </w:t>
      </w:r>
      <w:r w:rsidR="00F84C8F" w:rsidRPr="008C4D92">
        <w:rPr>
          <w:color w:val="000000" w:themeColor="text1"/>
        </w:rPr>
        <w:t xml:space="preserve">the argument that she was not bound by the 1998 </w:t>
      </w:r>
      <w:r w:rsidR="00812615" w:rsidRPr="008C4D92">
        <w:rPr>
          <w:color w:val="000000" w:themeColor="text1"/>
        </w:rPr>
        <w:t>m</w:t>
      </w:r>
      <w:r w:rsidR="00F84C8F" w:rsidRPr="008C4D92">
        <w:rPr>
          <w:color w:val="000000" w:themeColor="text1"/>
        </w:rPr>
        <w:t>ortgage</w:t>
      </w:r>
      <w:r w:rsidRPr="008C4D92">
        <w:rPr>
          <w:color w:val="000000" w:themeColor="text1"/>
        </w:rPr>
        <w:t xml:space="preserve">. </w:t>
      </w:r>
      <w:r w:rsidR="000C461B" w:rsidRPr="008C4D92">
        <w:rPr>
          <w:color w:val="000000" w:themeColor="text1"/>
        </w:rPr>
        <w:t xml:space="preserve">No attempt was made to reflect any such arrangement on the Register. </w:t>
      </w:r>
      <w:r w:rsidRPr="008C4D92">
        <w:rPr>
          <w:color w:val="000000" w:themeColor="text1"/>
        </w:rPr>
        <w:t>There is therefore, they say, a complete absence of any evidential foundation for her contention. What is advanced</w:t>
      </w:r>
      <w:r w:rsidR="00812615" w:rsidRPr="008C4D92">
        <w:rPr>
          <w:color w:val="000000" w:themeColor="text1"/>
        </w:rPr>
        <w:t xml:space="preserve"> </w:t>
      </w:r>
      <w:r w:rsidRPr="008C4D92">
        <w:rPr>
          <w:color w:val="000000" w:themeColor="text1"/>
        </w:rPr>
        <w:t>instead, they say, is a theoretical argument based on the documents to the effect that she must be taken to have been released from the 1998 mortgage</w:t>
      </w:r>
      <w:r w:rsidR="00F84C8F" w:rsidRPr="008C4D92">
        <w:rPr>
          <w:color w:val="000000" w:themeColor="text1"/>
        </w:rPr>
        <w:t xml:space="preserve"> by reason of the interpretation of the 1998 </w:t>
      </w:r>
      <w:r w:rsidR="00C4593F">
        <w:rPr>
          <w:color w:val="000000" w:themeColor="text1"/>
        </w:rPr>
        <w:t>m</w:t>
      </w:r>
      <w:r w:rsidR="00F84C8F" w:rsidRPr="008C4D92">
        <w:rPr>
          <w:color w:val="000000" w:themeColor="text1"/>
        </w:rPr>
        <w:t xml:space="preserve">ortgage </w:t>
      </w:r>
      <w:r w:rsidR="00C4593F">
        <w:rPr>
          <w:color w:val="000000" w:themeColor="text1"/>
        </w:rPr>
        <w:t>d</w:t>
      </w:r>
      <w:r w:rsidR="00F84C8F" w:rsidRPr="008C4D92">
        <w:rPr>
          <w:color w:val="000000" w:themeColor="text1"/>
        </w:rPr>
        <w:t xml:space="preserve">eed and </w:t>
      </w:r>
      <w:r w:rsidR="00C4593F">
        <w:rPr>
          <w:color w:val="000000" w:themeColor="text1"/>
        </w:rPr>
        <w:t xml:space="preserve">the </w:t>
      </w:r>
      <w:r w:rsidR="00F84C8F" w:rsidRPr="008C4D92">
        <w:rPr>
          <w:color w:val="000000" w:themeColor="text1"/>
        </w:rPr>
        <w:t xml:space="preserve">2008 </w:t>
      </w:r>
      <w:r w:rsidR="00C4593F">
        <w:rPr>
          <w:color w:val="000000" w:themeColor="text1"/>
        </w:rPr>
        <w:t>l</w:t>
      </w:r>
      <w:r w:rsidR="00F84C8F" w:rsidRPr="008C4D92">
        <w:rPr>
          <w:color w:val="000000" w:themeColor="text1"/>
        </w:rPr>
        <w:t xml:space="preserve">etter of </w:t>
      </w:r>
      <w:r w:rsidR="00C4593F">
        <w:rPr>
          <w:color w:val="000000" w:themeColor="text1"/>
        </w:rPr>
        <w:t>o</w:t>
      </w:r>
      <w:r w:rsidR="00F84C8F" w:rsidRPr="008C4D92">
        <w:rPr>
          <w:color w:val="000000" w:themeColor="text1"/>
        </w:rPr>
        <w:t>ffer</w:t>
      </w:r>
      <w:r w:rsidR="000C461B" w:rsidRPr="008C4D92">
        <w:rPr>
          <w:color w:val="000000" w:themeColor="text1"/>
        </w:rPr>
        <w:t xml:space="preserve">, unsupported by any affidavit evidence </w:t>
      </w:r>
      <w:r w:rsidR="00A37D01" w:rsidRPr="008C4D92">
        <w:rPr>
          <w:color w:val="000000" w:themeColor="text1"/>
        </w:rPr>
        <w:t xml:space="preserve">stating as a matter of fact </w:t>
      </w:r>
      <w:r w:rsidR="000C461B" w:rsidRPr="008C4D92">
        <w:rPr>
          <w:color w:val="000000" w:themeColor="text1"/>
        </w:rPr>
        <w:t xml:space="preserve">that </w:t>
      </w:r>
      <w:r w:rsidR="00A37D01" w:rsidRPr="008C4D92">
        <w:rPr>
          <w:color w:val="000000" w:themeColor="text1"/>
        </w:rPr>
        <w:t xml:space="preserve">the original home loan was discharged in full </w:t>
      </w:r>
      <w:r w:rsidR="006C49DD" w:rsidRPr="008C4D92">
        <w:rPr>
          <w:color w:val="000000" w:themeColor="text1"/>
        </w:rPr>
        <w:t>from the funds drawn down in 2008,</w:t>
      </w:r>
      <w:r w:rsidR="00A37D01" w:rsidRPr="008C4D92">
        <w:rPr>
          <w:color w:val="000000" w:themeColor="text1"/>
        </w:rPr>
        <w:t xml:space="preserve"> </w:t>
      </w:r>
      <w:r w:rsidR="00835681">
        <w:rPr>
          <w:color w:val="000000" w:themeColor="text1"/>
        </w:rPr>
        <w:t xml:space="preserve">and </w:t>
      </w:r>
      <w:r w:rsidR="00A37D01" w:rsidRPr="008C4D92">
        <w:rPr>
          <w:color w:val="000000" w:themeColor="text1"/>
        </w:rPr>
        <w:t xml:space="preserve">that </w:t>
      </w:r>
      <w:r w:rsidR="00F50E5E" w:rsidRPr="008C4D92">
        <w:rPr>
          <w:color w:val="000000" w:themeColor="text1"/>
        </w:rPr>
        <w:t>she</w:t>
      </w:r>
      <w:r w:rsidR="00A37D01" w:rsidRPr="008C4D92">
        <w:rPr>
          <w:color w:val="000000" w:themeColor="text1"/>
        </w:rPr>
        <w:t xml:space="preserve"> was</w:t>
      </w:r>
      <w:r w:rsidR="00F50E5E" w:rsidRPr="008C4D92">
        <w:rPr>
          <w:color w:val="000000" w:themeColor="text1"/>
        </w:rPr>
        <w:t xml:space="preserve"> released from the 1998 mortgage in 2008. </w:t>
      </w:r>
      <w:r w:rsidRPr="008C4D92">
        <w:rPr>
          <w:color w:val="000000" w:themeColor="text1"/>
        </w:rPr>
        <w:t xml:space="preserve"> </w:t>
      </w:r>
    </w:p>
    <w:p w14:paraId="06C01658" w14:textId="77777777" w:rsidR="00397485" w:rsidRPr="008C4D92" w:rsidRDefault="00397485" w:rsidP="00397485">
      <w:pPr>
        <w:pStyle w:val="ListParagraph"/>
        <w:rPr>
          <w:color w:val="000000" w:themeColor="text1"/>
        </w:rPr>
      </w:pPr>
    </w:p>
    <w:p w14:paraId="1225EA24" w14:textId="77777777" w:rsidR="00397485" w:rsidRPr="008C4D92" w:rsidRDefault="00397485" w:rsidP="00397485">
      <w:pPr>
        <w:spacing w:line="480" w:lineRule="auto"/>
        <w:jc w:val="both"/>
        <w:rPr>
          <w:color w:val="000000" w:themeColor="text1"/>
        </w:rPr>
      </w:pPr>
    </w:p>
    <w:p w14:paraId="53941515" w14:textId="13C6B95A" w:rsidR="00397485" w:rsidRPr="008C4D92" w:rsidRDefault="00FD5551" w:rsidP="00397485">
      <w:pPr>
        <w:numPr>
          <w:ilvl w:val="0"/>
          <w:numId w:val="19"/>
        </w:numPr>
        <w:spacing w:line="480" w:lineRule="auto"/>
        <w:jc w:val="both"/>
        <w:rPr>
          <w:color w:val="000000" w:themeColor="text1"/>
        </w:rPr>
      </w:pPr>
      <w:r w:rsidRPr="008C4D92">
        <w:rPr>
          <w:color w:val="000000" w:themeColor="text1"/>
        </w:rPr>
        <w:t>In</w:t>
      </w:r>
      <w:r w:rsidR="00397485" w:rsidRPr="008C4D92">
        <w:rPr>
          <w:color w:val="000000" w:themeColor="text1"/>
        </w:rPr>
        <w:t xml:space="preserve"> relation to the precise wording of the mortgage (“present loan”, “future loan” and “secured monies” in Section B of the 1998 Mortgage), the</w:t>
      </w:r>
      <w:r w:rsidR="003A03FF" w:rsidRPr="008C4D92">
        <w:rPr>
          <w:color w:val="000000" w:themeColor="text1"/>
        </w:rPr>
        <w:t xml:space="preserve"> plaintiffs</w:t>
      </w:r>
      <w:r w:rsidR="00397485" w:rsidRPr="008C4D92">
        <w:rPr>
          <w:color w:val="000000" w:themeColor="text1"/>
        </w:rPr>
        <w:t xml:space="preserve"> submit that the mortgage over the property was intended to cover any refinancing or rescheduling of the original loan or any amendments or variations thereto whether in whole or in part.</w:t>
      </w:r>
      <w:r w:rsidRPr="008C4D92">
        <w:rPr>
          <w:color w:val="000000" w:themeColor="text1"/>
        </w:rPr>
        <w:t xml:space="preserve"> </w:t>
      </w:r>
      <w:r w:rsidR="000C461B" w:rsidRPr="008C4D92">
        <w:rPr>
          <w:color w:val="000000" w:themeColor="text1"/>
        </w:rPr>
        <w:t>“</w:t>
      </w:r>
      <w:r w:rsidR="00397485" w:rsidRPr="008C4D92">
        <w:rPr>
          <w:color w:val="000000" w:themeColor="text1"/>
        </w:rPr>
        <w:t>Present loan” i</w:t>
      </w:r>
      <w:r w:rsidRPr="008C4D92">
        <w:rPr>
          <w:color w:val="000000" w:themeColor="text1"/>
        </w:rPr>
        <w:t xml:space="preserve">s clearly defined to </w:t>
      </w:r>
      <w:r w:rsidR="00F75055" w:rsidRPr="008C4D92">
        <w:rPr>
          <w:color w:val="000000" w:themeColor="text1"/>
        </w:rPr>
        <w:t>include</w:t>
      </w:r>
      <w:r w:rsidR="00397485" w:rsidRPr="008C4D92">
        <w:rPr>
          <w:color w:val="000000" w:themeColor="text1"/>
        </w:rPr>
        <w:t xml:space="preserve"> refinancing. “Secured monies” was defined to include future loans as well as “all other monies which the mortgagor covenants to pay to the Bank or discharge or is liable for under this mortgage”. The term “mortgagor” includes the first defendant, and the </w:t>
      </w:r>
      <w:r w:rsidR="00397485" w:rsidRPr="008C4D92">
        <w:rPr>
          <w:color w:val="000000" w:themeColor="text1"/>
        </w:rPr>
        <w:lastRenderedPageBreak/>
        <w:t xml:space="preserve">mortgage clearly covers the 2008 loan. They contend that it is clear that what happened in March 2008 was a refinancing of a whole series of other loans. They contend that the fact that </w:t>
      </w:r>
      <w:r w:rsidRPr="008C4D92">
        <w:rPr>
          <w:color w:val="000000" w:themeColor="text1"/>
        </w:rPr>
        <w:t xml:space="preserve">the second </w:t>
      </w:r>
      <w:r w:rsidR="00812615" w:rsidRPr="008C4D92">
        <w:rPr>
          <w:color w:val="000000" w:themeColor="text1"/>
        </w:rPr>
        <w:t xml:space="preserve">named </w:t>
      </w:r>
      <w:r w:rsidRPr="008C4D92">
        <w:rPr>
          <w:color w:val="000000" w:themeColor="text1"/>
        </w:rPr>
        <w:t>defendant</w:t>
      </w:r>
      <w:r w:rsidR="00397485" w:rsidRPr="008C4D92">
        <w:rPr>
          <w:color w:val="000000" w:themeColor="text1"/>
        </w:rPr>
        <w:t xml:space="preserve"> signed a letter of guarantee does not</w:t>
      </w:r>
      <w:r w:rsidRPr="008C4D92">
        <w:rPr>
          <w:color w:val="000000" w:themeColor="text1"/>
        </w:rPr>
        <w:t>, contrary to her submissions,</w:t>
      </w:r>
      <w:r w:rsidR="00397485" w:rsidRPr="008C4D92">
        <w:rPr>
          <w:color w:val="000000" w:themeColor="text1"/>
        </w:rPr>
        <w:t xml:space="preserve"> suggest </w:t>
      </w:r>
      <w:r w:rsidR="00E90AD0">
        <w:rPr>
          <w:color w:val="000000" w:themeColor="text1"/>
        </w:rPr>
        <w:t xml:space="preserve">that </w:t>
      </w:r>
      <w:r w:rsidR="00397485" w:rsidRPr="008C4D92">
        <w:rPr>
          <w:color w:val="000000" w:themeColor="text1"/>
        </w:rPr>
        <w:t xml:space="preserve">she </w:t>
      </w:r>
      <w:r w:rsidRPr="008C4D92">
        <w:rPr>
          <w:color w:val="000000" w:themeColor="text1"/>
        </w:rPr>
        <w:t>ceased to have</w:t>
      </w:r>
      <w:r w:rsidR="00397485" w:rsidRPr="008C4D92">
        <w:rPr>
          <w:color w:val="000000" w:themeColor="text1"/>
        </w:rPr>
        <w:t xml:space="preserve"> obligations under the 1998 mortgage</w:t>
      </w:r>
      <w:r w:rsidRPr="008C4D92">
        <w:rPr>
          <w:color w:val="000000" w:themeColor="text1"/>
        </w:rPr>
        <w:t>,</w:t>
      </w:r>
      <w:r w:rsidR="00397485" w:rsidRPr="008C4D92">
        <w:rPr>
          <w:color w:val="000000" w:themeColor="text1"/>
        </w:rPr>
        <w:t xml:space="preserve"> as financial institutions frequently take multiple securities. It does show, however, that she was aware of what was being done in 2008. </w:t>
      </w:r>
    </w:p>
    <w:p w14:paraId="72F9B4B2" w14:textId="77777777" w:rsidR="00397485" w:rsidRPr="008C4D92" w:rsidRDefault="00397485" w:rsidP="00397485">
      <w:pPr>
        <w:spacing w:line="480" w:lineRule="auto"/>
        <w:jc w:val="both"/>
        <w:rPr>
          <w:color w:val="000000" w:themeColor="text1"/>
        </w:rPr>
      </w:pPr>
    </w:p>
    <w:p w14:paraId="4717D192" w14:textId="2FD2DD19" w:rsidR="00397485" w:rsidRPr="008C4D92" w:rsidRDefault="00397485" w:rsidP="00CB0038">
      <w:pPr>
        <w:numPr>
          <w:ilvl w:val="0"/>
          <w:numId w:val="19"/>
        </w:numPr>
        <w:spacing w:line="480" w:lineRule="auto"/>
        <w:jc w:val="both"/>
        <w:rPr>
          <w:color w:val="000000" w:themeColor="text1"/>
        </w:rPr>
      </w:pPr>
      <w:r w:rsidRPr="008C4D92">
        <w:rPr>
          <w:color w:val="000000" w:themeColor="text1"/>
        </w:rPr>
        <w:t>The</w:t>
      </w:r>
      <w:r w:rsidR="00F9529D" w:rsidRPr="008C4D92">
        <w:rPr>
          <w:color w:val="000000" w:themeColor="text1"/>
        </w:rPr>
        <w:t xml:space="preserve"> plaintiffs </w:t>
      </w:r>
      <w:r w:rsidRPr="008C4D92">
        <w:rPr>
          <w:color w:val="000000" w:themeColor="text1"/>
        </w:rPr>
        <w:t xml:space="preserve">also rely on </w:t>
      </w:r>
      <w:r w:rsidRPr="008C4D92">
        <w:rPr>
          <w:i/>
          <w:color w:val="000000" w:themeColor="text1"/>
        </w:rPr>
        <w:t>Tanager</w:t>
      </w:r>
      <w:r w:rsidR="00812615" w:rsidRPr="008C4D92">
        <w:rPr>
          <w:i/>
          <w:color w:val="000000" w:themeColor="text1"/>
        </w:rPr>
        <w:t xml:space="preserve"> D.A.C.</w:t>
      </w:r>
      <w:r w:rsidRPr="008C4D92">
        <w:rPr>
          <w:i/>
          <w:color w:val="000000" w:themeColor="text1"/>
        </w:rPr>
        <w:t xml:space="preserve"> v</w:t>
      </w:r>
      <w:r w:rsidR="00812615" w:rsidRPr="008C4D92">
        <w:rPr>
          <w:i/>
          <w:color w:val="000000" w:themeColor="text1"/>
        </w:rPr>
        <w:t>.</w:t>
      </w:r>
      <w:r w:rsidRPr="008C4D92">
        <w:rPr>
          <w:i/>
          <w:color w:val="000000" w:themeColor="text1"/>
        </w:rPr>
        <w:t xml:space="preserve"> Kane </w:t>
      </w:r>
      <w:r w:rsidRPr="008C4D92">
        <w:rPr>
          <w:color w:val="000000" w:themeColor="text1"/>
        </w:rPr>
        <w:t xml:space="preserve">in respect of the conclusiveness of details on the Folio, submitting that the entirety of the property is affected by the 1998 mortgage. </w:t>
      </w:r>
      <w:r w:rsidR="00CB0038" w:rsidRPr="008C4D92">
        <w:rPr>
          <w:color w:val="000000" w:themeColor="text1"/>
        </w:rPr>
        <w:t xml:space="preserve">The Register does not record anything which would indicate her release from the mortgage and instead records the burden of the entire mortgage running against both of them. </w:t>
      </w:r>
      <w:r w:rsidRPr="008C4D92">
        <w:rPr>
          <w:color w:val="000000" w:themeColor="text1"/>
        </w:rPr>
        <w:t>They say that</w:t>
      </w:r>
      <w:r w:rsidR="00CB0038" w:rsidRPr="008C4D92">
        <w:rPr>
          <w:color w:val="000000" w:themeColor="text1"/>
        </w:rPr>
        <w:t xml:space="preserve"> insofar as the second defendant maintains that she is entitled to redemption of the mortgage,</w:t>
      </w:r>
      <w:r w:rsidRPr="008C4D92">
        <w:rPr>
          <w:color w:val="000000" w:themeColor="text1"/>
        </w:rPr>
        <w:t xml:space="preserve"> </w:t>
      </w:r>
      <w:r w:rsidRPr="008C4D92">
        <w:rPr>
          <w:i/>
          <w:color w:val="000000" w:themeColor="text1"/>
        </w:rPr>
        <w:t>Tanager</w:t>
      </w:r>
      <w:r w:rsidR="00812615" w:rsidRPr="008C4D92">
        <w:rPr>
          <w:i/>
          <w:color w:val="000000" w:themeColor="text1"/>
        </w:rPr>
        <w:t xml:space="preserve"> D.A.C.</w:t>
      </w:r>
      <w:r w:rsidRPr="008C4D92">
        <w:rPr>
          <w:i/>
          <w:color w:val="000000" w:themeColor="text1"/>
        </w:rPr>
        <w:t xml:space="preserve"> v. Kane </w:t>
      </w:r>
      <w:r w:rsidRPr="008C4D92">
        <w:rPr>
          <w:color w:val="000000" w:themeColor="text1"/>
        </w:rPr>
        <w:t xml:space="preserve">makes it clear that any rectification of the Register is not permitted in these proceedings.  </w:t>
      </w:r>
    </w:p>
    <w:p w14:paraId="77CFB4C3" w14:textId="77777777" w:rsidR="00397485" w:rsidRPr="008C4D92" w:rsidRDefault="00397485" w:rsidP="00397485">
      <w:pPr>
        <w:spacing w:line="480" w:lineRule="auto"/>
        <w:jc w:val="both"/>
        <w:rPr>
          <w:color w:val="000000" w:themeColor="text1"/>
        </w:rPr>
      </w:pPr>
    </w:p>
    <w:p w14:paraId="2C5E1F31" w14:textId="2CD520E7" w:rsidR="00236F93" w:rsidRPr="008C4D92" w:rsidRDefault="006070CC" w:rsidP="00436579">
      <w:pPr>
        <w:numPr>
          <w:ilvl w:val="0"/>
          <w:numId w:val="19"/>
        </w:numPr>
        <w:spacing w:line="480" w:lineRule="auto"/>
        <w:jc w:val="both"/>
        <w:rPr>
          <w:color w:val="000000" w:themeColor="text1"/>
        </w:rPr>
      </w:pPr>
      <w:r w:rsidRPr="008C4D92">
        <w:rPr>
          <w:color w:val="000000" w:themeColor="text1"/>
        </w:rPr>
        <w:t>As regards</w:t>
      </w:r>
      <w:r w:rsidR="0091105F" w:rsidRPr="008C4D92">
        <w:rPr>
          <w:color w:val="000000" w:themeColor="text1"/>
        </w:rPr>
        <w:t xml:space="preserve"> </w:t>
      </w:r>
      <w:r w:rsidR="0091105F" w:rsidRPr="008C4D92">
        <w:rPr>
          <w:i/>
          <w:color w:val="000000" w:themeColor="text1"/>
        </w:rPr>
        <w:t>Tanager</w:t>
      </w:r>
      <w:r w:rsidR="00812615" w:rsidRPr="008C4D92">
        <w:rPr>
          <w:i/>
          <w:color w:val="000000" w:themeColor="text1"/>
        </w:rPr>
        <w:t xml:space="preserve"> D.A.C.</w:t>
      </w:r>
      <w:r w:rsidR="0091105F" w:rsidRPr="008C4D92">
        <w:rPr>
          <w:i/>
          <w:color w:val="000000" w:themeColor="text1"/>
        </w:rPr>
        <w:t xml:space="preserve"> v. Kane</w:t>
      </w:r>
      <w:r w:rsidR="0091105F" w:rsidRPr="008C4D92">
        <w:rPr>
          <w:color w:val="000000" w:themeColor="text1"/>
        </w:rPr>
        <w:t>,</w:t>
      </w:r>
      <w:r w:rsidRPr="008C4D92">
        <w:rPr>
          <w:color w:val="000000" w:themeColor="text1"/>
        </w:rPr>
        <w:t xml:space="preserve"> it will be recalled that this was a judgment delivered by</w:t>
      </w:r>
      <w:r w:rsidR="0091105F" w:rsidRPr="008C4D92">
        <w:rPr>
          <w:color w:val="000000" w:themeColor="text1"/>
        </w:rPr>
        <w:t xml:space="preserve"> this Court </w:t>
      </w:r>
      <w:r w:rsidRPr="008C4D92">
        <w:rPr>
          <w:color w:val="000000" w:themeColor="text1"/>
        </w:rPr>
        <w:t>in a case stated</w:t>
      </w:r>
      <w:r w:rsidR="0091105F" w:rsidRPr="008C4D92">
        <w:rPr>
          <w:color w:val="000000" w:themeColor="text1"/>
        </w:rPr>
        <w:t xml:space="preserve"> from the High Court</w:t>
      </w:r>
      <w:r w:rsidRPr="008C4D92">
        <w:rPr>
          <w:color w:val="000000" w:themeColor="text1"/>
        </w:rPr>
        <w:t xml:space="preserve">. </w:t>
      </w:r>
      <w:r w:rsidR="0091105F" w:rsidRPr="008C4D92">
        <w:rPr>
          <w:color w:val="000000" w:themeColor="text1"/>
        </w:rPr>
        <w:t xml:space="preserve"> </w:t>
      </w:r>
      <w:r w:rsidRPr="008C4D92">
        <w:rPr>
          <w:color w:val="000000" w:themeColor="text1"/>
        </w:rPr>
        <w:t>The judgment of</w:t>
      </w:r>
      <w:r w:rsidR="007B032C" w:rsidRPr="008C4D92">
        <w:rPr>
          <w:color w:val="000000" w:themeColor="text1"/>
        </w:rPr>
        <w:t xml:space="preserve"> Baker J.</w:t>
      </w:r>
      <w:r w:rsidR="0091105F" w:rsidRPr="008C4D92">
        <w:rPr>
          <w:color w:val="000000" w:themeColor="text1"/>
        </w:rPr>
        <w:t xml:space="preserve"> discussed in some detail the history of</w:t>
      </w:r>
      <w:r w:rsidR="002B2A6F" w:rsidRPr="008C4D92">
        <w:rPr>
          <w:color w:val="000000" w:themeColor="text1"/>
        </w:rPr>
        <w:t xml:space="preserve"> </w:t>
      </w:r>
      <w:r w:rsidR="00812615" w:rsidRPr="008C4D92">
        <w:rPr>
          <w:color w:val="000000" w:themeColor="text1"/>
        </w:rPr>
        <w:t xml:space="preserve">the </w:t>
      </w:r>
      <w:r w:rsidR="002B2A6F" w:rsidRPr="008C4D92">
        <w:rPr>
          <w:color w:val="000000" w:themeColor="text1"/>
        </w:rPr>
        <w:t xml:space="preserve">registration of land in Ireland, </w:t>
      </w:r>
      <w:r w:rsidR="00812615" w:rsidRPr="008C4D92">
        <w:rPr>
          <w:color w:val="000000" w:themeColor="text1"/>
        </w:rPr>
        <w:t xml:space="preserve">including </w:t>
      </w:r>
      <w:r w:rsidR="002B2A6F" w:rsidRPr="008C4D92">
        <w:rPr>
          <w:color w:val="000000" w:themeColor="text1"/>
        </w:rPr>
        <w:t>the legislative history</w:t>
      </w:r>
      <w:r w:rsidR="00D77ECB">
        <w:rPr>
          <w:color w:val="000000" w:themeColor="text1"/>
        </w:rPr>
        <w:t xml:space="preserve"> prior to and including the 1964 Act</w:t>
      </w:r>
      <w:r w:rsidR="002B2A6F" w:rsidRPr="008C4D92">
        <w:rPr>
          <w:color w:val="000000" w:themeColor="text1"/>
        </w:rPr>
        <w:t xml:space="preserve">, </w:t>
      </w:r>
      <w:r w:rsidR="0091105F" w:rsidRPr="008C4D92">
        <w:rPr>
          <w:color w:val="000000" w:themeColor="text1"/>
        </w:rPr>
        <w:t xml:space="preserve">and the effect </w:t>
      </w:r>
      <w:r w:rsidR="002E242E" w:rsidRPr="008C4D92">
        <w:rPr>
          <w:color w:val="000000" w:themeColor="text1"/>
        </w:rPr>
        <w:t xml:space="preserve">in law </w:t>
      </w:r>
      <w:r w:rsidR="0091105F" w:rsidRPr="008C4D92">
        <w:rPr>
          <w:color w:val="000000" w:themeColor="text1"/>
        </w:rPr>
        <w:t xml:space="preserve">of </w:t>
      </w:r>
      <w:r w:rsidR="002E242E" w:rsidRPr="008C4D92">
        <w:rPr>
          <w:color w:val="000000" w:themeColor="text1"/>
        </w:rPr>
        <w:t>the registration of a charge</w:t>
      </w:r>
      <w:r w:rsidR="0091105F" w:rsidRPr="008C4D92">
        <w:rPr>
          <w:color w:val="000000" w:themeColor="text1"/>
        </w:rPr>
        <w:t xml:space="preserve">. </w:t>
      </w:r>
      <w:r w:rsidR="00544CBA" w:rsidRPr="008C4D92">
        <w:rPr>
          <w:color w:val="000000" w:themeColor="text1"/>
        </w:rPr>
        <w:t xml:space="preserve"> </w:t>
      </w:r>
      <w:r w:rsidR="00FC48AE" w:rsidRPr="008C4D92">
        <w:rPr>
          <w:color w:val="000000" w:themeColor="text1"/>
        </w:rPr>
        <w:t xml:space="preserve">She pointed out that the conclusiveness of the Register had been a cornerstone of the system of registration </w:t>
      </w:r>
      <w:r w:rsidR="00436579" w:rsidRPr="008C4D92">
        <w:rPr>
          <w:color w:val="000000" w:themeColor="text1"/>
        </w:rPr>
        <w:t>since its inception. Regarding</w:t>
      </w:r>
      <w:r w:rsidR="00E40DB6" w:rsidRPr="008C4D92">
        <w:rPr>
          <w:color w:val="000000" w:themeColor="text1"/>
        </w:rPr>
        <w:t xml:space="preserve"> the relationship between an application for possession and a challenge to the correctness of the register</w:t>
      </w:r>
      <w:r w:rsidR="00811CFC" w:rsidRPr="008C4D92">
        <w:rPr>
          <w:color w:val="000000" w:themeColor="text1"/>
        </w:rPr>
        <w:t>, she said</w:t>
      </w:r>
      <w:r w:rsidR="00E40DB6" w:rsidRPr="008C4D92">
        <w:rPr>
          <w:color w:val="000000" w:themeColor="text1"/>
        </w:rPr>
        <w:t>:</w:t>
      </w:r>
    </w:p>
    <w:p w14:paraId="0F07B811" w14:textId="6A270F8E" w:rsidR="00E40DB6" w:rsidRPr="008C4D92" w:rsidRDefault="00812615" w:rsidP="008E25FE">
      <w:pPr>
        <w:spacing w:line="480" w:lineRule="auto"/>
        <w:ind w:left="567"/>
        <w:jc w:val="both"/>
        <w:rPr>
          <w:color w:val="000000" w:themeColor="text1"/>
        </w:rPr>
      </w:pPr>
      <w:r w:rsidRPr="008C4D92">
        <w:rPr>
          <w:color w:val="000000" w:themeColor="text1"/>
        </w:rPr>
        <w:t>“[</w:t>
      </w:r>
      <w:r w:rsidR="00E40DB6" w:rsidRPr="008C4D92">
        <w:rPr>
          <w:color w:val="000000" w:themeColor="text1"/>
        </w:rPr>
        <w:t>60.</w:t>
      </w:r>
      <w:r w:rsidRPr="008C4D92">
        <w:rPr>
          <w:color w:val="000000" w:themeColor="text1"/>
        </w:rPr>
        <w:t>]</w:t>
      </w:r>
      <w:r w:rsidR="00E40DB6" w:rsidRPr="008C4D92">
        <w:rPr>
          <w:color w:val="000000" w:themeColor="text1"/>
        </w:rPr>
        <w:t xml:space="preserve"> The principles of conclusiveness do not prevent rectification</w:t>
      </w:r>
      <w:r w:rsidR="00436579" w:rsidRPr="008C4D92">
        <w:rPr>
          <w:color w:val="000000" w:themeColor="text1"/>
        </w:rPr>
        <w:t>…</w:t>
      </w:r>
      <w:r w:rsidR="00E40DB6" w:rsidRPr="008C4D92">
        <w:rPr>
          <w:color w:val="000000" w:themeColor="text1"/>
        </w:rPr>
        <w:t xml:space="preserve">, but such rectification is not engaged in the action for possession. The first observation to be made with regard to the power of rectification is that the jurisdiction is limited to </w:t>
      </w:r>
      <w:r w:rsidR="00E40DB6" w:rsidRPr="008C4D92">
        <w:rPr>
          <w:color w:val="000000" w:themeColor="text1"/>
        </w:rPr>
        <w:lastRenderedPageBreak/>
        <w:t xml:space="preserve">rectification in the case of actual fraud or mistake, and s. 31(1) of the 1964 Act expressly excludes from the power of rectification any argument that might derive from the knowledge of the registered owner of any </w:t>
      </w:r>
      <w:r w:rsidR="00A52396">
        <w:rPr>
          <w:color w:val="000000" w:themeColor="text1"/>
        </w:rPr>
        <w:t>“</w:t>
      </w:r>
      <w:r w:rsidR="00E40DB6" w:rsidRPr="008C4D92">
        <w:rPr>
          <w:color w:val="000000" w:themeColor="text1"/>
        </w:rPr>
        <w:t>deed, document, or matter relating to the land</w:t>
      </w:r>
      <w:r w:rsidR="00A52396">
        <w:rPr>
          <w:color w:val="000000" w:themeColor="text1"/>
        </w:rPr>
        <w:t>”</w:t>
      </w:r>
      <w:r w:rsidR="00E40DB6" w:rsidRPr="008C4D92">
        <w:rPr>
          <w:color w:val="000000" w:themeColor="text1"/>
        </w:rPr>
        <w:t>. The purpose of that restrictive power is to remove from registered title the vexed question of express or implied notice of any equities that might affect the ownership of land, precisely the type of issue that made and continues to make the conveyancing of unregistered land complex and, at times, uncertain.</w:t>
      </w:r>
    </w:p>
    <w:p w14:paraId="138447B0" w14:textId="77777777" w:rsidR="00812615" w:rsidRPr="008C4D92" w:rsidRDefault="00812615" w:rsidP="008E25FE">
      <w:pPr>
        <w:spacing w:line="480" w:lineRule="auto"/>
        <w:ind w:left="567"/>
        <w:jc w:val="both"/>
        <w:rPr>
          <w:color w:val="000000" w:themeColor="text1"/>
        </w:rPr>
      </w:pPr>
    </w:p>
    <w:p w14:paraId="362D1421" w14:textId="778C9971" w:rsidR="00E40DB6" w:rsidRPr="008C4D92" w:rsidRDefault="00812615" w:rsidP="008E25FE">
      <w:pPr>
        <w:spacing w:line="480" w:lineRule="auto"/>
        <w:ind w:left="567"/>
        <w:jc w:val="both"/>
        <w:rPr>
          <w:color w:val="000000" w:themeColor="text1"/>
        </w:rPr>
      </w:pPr>
      <w:r w:rsidRPr="008C4D92">
        <w:rPr>
          <w:color w:val="000000" w:themeColor="text1"/>
        </w:rPr>
        <w:t>[</w:t>
      </w:r>
      <w:r w:rsidR="00E40DB6" w:rsidRPr="008C4D92">
        <w:rPr>
          <w:color w:val="000000" w:themeColor="text1"/>
        </w:rPr>
        <w:t>61.</w:t>
      </w:r>
      <w:r w:rsidRPr="008C4D92">
        <w:rPr>
          <w:color w:val="000000" w:themeColor="text1"/>
        </w:rPr>
        <w:t>]</w:t>
      </w:r>
      <w:r w:rsidR="00E40DB6" w:rsidRPr="008C4D92">
        <w:rPr>
          <w:color w:val="000000" w:themeColor="text1"/>
        </w:rPr>
        <w:t xml:space="preserve"> The nature of this equitable jurisdiction to rectify was considered by Holmes L.J. in the old Irish Court of Appeal in </w:t>
      </w:r>
      <w:r w:rsidR="00E40DB6" w:rsidRPr="008C4D92">
        <w:rPr>
          <w:i/>
          <w:iCs/>
          <w:color w:val="000000" w:themeColor="text1"/>
        </w:rPr>
        <w:t>In re Patrick Leonard's Estate</w:t>
      </w:r>
      <w:r w:rsidR="00E40DB6" w:rsidRPr="008C4D92">
        <w:rPr>
          <w:color w:val="000000" w:themeColor="text1"/>
        </w:rPr>
        <w:t> </w:t>
      </w:r>
      <w:hyperlink r:id="rId8" w:history="1">
        <w:r w:rsidR="00E40DB6" w:rsidRPr="008C4D92">
          <w:rPr>
            <w:rStyle w:val="Hyperlink"/>
            <w:color w:val="000000" w:themeColor="text1"/>
            <w:u w:val="none"/>
          </w:rPr>
          <w:t>[1912] 1 IR 212, at p. 226</w:t>
        </w:r>
      </w:hyperlink>
      <w:r w:rsidR="00E40DB6" w:rsidRPr="008C4D92">
        <w:rPr>
          <w:color w:val="000000" w:themeColor="text1"/>
        </w:rPr>
        <w:t>, where he described the intention of the broadly similar provisions in the 1891 Act as ‘[…] to preserve the jurisdiction of the Chancery Courts to set aside or reform an instrument upon the grounds that it was entered into by what is known as fraud or mistake in equity.</w:t>
      </w:r>
      <w:r w:rsidR="00A52396">
        <w:rPr>
          <w:color w:val="000000" w:themeColor="text1"/>
        </w:rPr>
        <w:t>”</w:t>
      </w:r>
      <w:r w:rsidR="00E40DB6" w:rsidRPr="008C4D92">
        <w:rPr>
          <w:color w:val="000000" w:themeColor="text1"/>
        </w:rPr>
        <w:t xml:space="preserve"> The jurisdiction to rectify is exercisable in an </w:t>
      </w:r>
      <w:r w:rsidR="00E40DB6" w:rsidRPr="008C4D92">
        <w:rPr>
          <w:i/>
          <w:iCs/>
          <w:color w:val="000000" w:themeColor="text1"/>
        </w:rPr>
        <w:t>inter partes</w:t>
      </w:r>
      <w:r w:rsidR="00E40DB6" w:rsidRPr="008C4D92">
        <w:rPr>
          <w:color w:val="000000" w:themeColor="text1"/>
        </w:rPr>
        <w:t> action grounded on alleged mistake or fraud, and not in a summary action on affidavit.</w:t>
      </w:r>
    </w:p>
    <w:p w14:paraId="4965723B" w14:textId="77777777" w:rsidR="00812615" w:rsidRPr="008C4D92" w:rsidRDefault="00812615" w:rsidP="008E25FE">
      <w:pPr>
        <w:spacing w:line="480" w:lineRule="auto"/>
        <w:ind w:left="567"/>
        <w:jc w:val="both"/>
        <w:rPr>
          <w:color w:val="000000" w:themeColor="text1"/>
        </w:rPr>
      </w:pPr>
    </w:p>
    <w:p w14:paraId="7A6A196A" w14:textId="3F62E27A" w:rsidR="00E40DB6" w:rsidRPr="008C4D92" w:rsidRDefault="00812615" w:rsidP="008E25FE">
      <w:pPr>
        <w:spacing w:line="480" w:lineRule="auto"/>
        <w:ind w:left="567"/>
        <w:jc w:val="both"/>
        <w:rPr>
          <w:color w:val="000000" w:themeColor="text1"/>
        </w:rPr>
      </w:pPr>
      <w:r w:rsidRPr="008C4D92">
        <w:rPr>
          <w:color w:val="000000" w:themeColor="text1"/>
        </w:rPr>
        <w:t>[</w:t>
      </w:r>
      <w:r w:rsidR="00E40DB6" w:rsidRPr="008C4D92">
        <w:rPr>
          <w:color w:val="000000" w:themeColor="text1"/>
        </w:rPr>
        <w:t>62.</w:t>
      </w:r>
      <w:r w:rsidRPr="008C4D92">
        <w:rPr>
          <w:color w:val="000000" w:themeColor="text1"/>
        </w:rPr>
        <w:t>]</w:t>
      </w:r>
      <w:r w:rsidR="00E40DB6" w:rsidRPr="008C4D92">
        <w:rPr>
          <w:color w:val="000000" w:themeColor="text1"/>
        </w:rPr>
        <w:t xml:space="preserve"> Tanager argues that, as Mr Kane is a third party to the transfer from BOSI to BOS, he has no standing to challenge the Register, as the challenge would be confined to a challenge of either Tanager or BOS on account of a fraud or mistake in the transaction or instrument on foot of which Tanager became registered, and I agree. The argument could not be raised in the action between Tanager and Mr. Kane.</w:t>
      </w:r>
      <w:r w:rsidRPr="008C4D92">
        <w:rPr>
          <w:color w:val="000000" w:themeColor="text1"/>
        </w:rPr>
        <w:t>”</w:t>
      </w:r>
    </w:p>
    <w:p w14:paraId="64FE60B3" w14:textId="6DFF0BFE" w:rsidR="00236F93" w:rsidRPr="008C4D92" w:rsidRDefault="00236F93" w:rsidP="00840DAE">
      <w:pPr>
        <w:spacing w:line="480" w:lineRule="auto"/>
        <w:jc w:val="both"/>
        <w:rPr>
          <w:color w:val="000000" w:themeColor="text1"/>
        </w:rPr>
      </w:pPr>
    </w:p>
    <w:p w14:paraId="5C607384" w14:textId="12B9BA81" w:rsidR="00891E63" w:rsidRPr="008C4D92" w:rsidRDefault="00840DAE" w:rsidP="00840DAE">
      <w:pPr>
        <w:pStyle w:val="ListParagraph"/>
        <w:numPr>
          <w:ilvl w:val="0"/>
          <w:numId w:val="19"/>
        </w:numPr>
        <w:spacing w:line="480" w:lineRule="auto"/>
        <w:jc w:val="both"/>
        <w:rPr>
          <w:color w:val="000000" w:themeColor="text1"/>
        </w:rPr>
      </w:pPr>
      <w:r w:rsidRPr="008C4D92">
        <w:rPr>
          <w:color w:val="000000" w:themeColor="text1"/>
        </w:rPr>
        <w:t>Baker J</w:t>
      </w:r>
      <w:r w:rsidR="00812615" w:rsidRPr="008C4D92">
        <w:rPr>
          <w:color w:val="000000" w:themeColor="text1"/>
        </w:rPr>
        <w:t>.</w:t>
      </w:r>
      <w:r w:rsidRPr="008C4D92">
        <w:rPr>
          <w:color w:val="000000" w:themeColor="text1"/>
        </w:rPr>
        <w:t xml:space="preserve"> accepted that a court hearing proceedings for possession had an inherent jurisdiction, in a suitable case, to</w:t>
      </w:r>
      <w:r w:rsidR="00891E63" w:rsidRPr="008C4D92">
        <w:rPr>
          <w:color w:val="000000" w:themeColor="text1"/>
        </w:rPr>
        <w:t xml:space="preserve"> adjourn the proceedings or stay the enforcement or implementation of an order for possession, or to postpone the date of delivery of possession, </w:t>
      </w:r>
      <w:r w:rsidR="00891E63" w:rsidRPr="008C4D92">
        <w:rPr>
          <w:color w:val="000000" w:themeColor="text1"/>
        </w:rPr>
        <w:lastRenderedPageBreak/>
        <w:t xml:space="preserve">pending the determination of rectification proceedings, if it considered that those proceedings </w:t>
      </w:r>
      <w:r w:rsidRPr="008C4D92">
        <w:rPr>
          <w:color w:val="000000" w:themeColor="text1"/>
        </w:rPr>
        <w:t>were</w:t>
      </w:r>
      <w:r w:rsidR="00891E63" w:rsidRPr="008C4D92">
        <w:rPr>
          <w:color w:val="000000" w:themeColor="text1"/>
        </w:rPr>
        <w:t xml:space="preserve"> </w:t>
      </w:r>
      <w:r w:rsidR="00AA3847" w:rsidRPr="008C4D92">
        <w:rPr>
          <w:color w:val="000000" w:themeColor="text1"/>
        </w:rPr>
        <w:t>“</w:t>
      </w:r>
      <w:r w:rsidR="00891E63" w:rsidRPr="008C4D92">
        <w:rPr>
          <w:color w:val="000000" w:themeColor="text1"/>
        </w:rPr>
        <w:t>reasonably likely</w:t>
      </w:r>
      <w:r w:rsidR="00AA3847" w:rsidRPr="008C4D92">
        <w:rPr>
          <w:color w:val="000000" w:themeColor="text1"/>
        </w:rPr>
        <w:t>”</w:t>
      </w:r>
      <w:r w:rsidR="00891E63" w:rsidRPr="008C4D92">
        <w:rPr>
          <w:color w:val="000000" w:themeColor="text1"/>
        </w:rPr>
        <w:t xml:space="preserve"> to offer a defence to the claim for possession.</w:t>
      </w:r>
      <w:r w:rsidR="00AA3847" w:rsidRPr="008C4D92">
        <w:rPr>
          <w:color w:val="000000" w:themeColor="text1"/>
        </w:rPr>
        <w:t xml:space="preserve"> This </w:t>
      </w:r>
      <w:r w:rsidR="00981749" w:rsidRPr="008C4D92">
        <w:rPr>
          <w:color w:val="000000" w:themeColor="text1"/>
        </w:rPr>
        <w:t>condition was not satisfied, in her view,</w:t>
      </w:r>
      <w:r w:rsidR="00AA3847" w:rsidRPr="008C4D92">
        <w:rPr>
          <w:color w:val="000000" w:themeColor="text1"/>
        </w:rPr>
        <w:t xml:space="preserve"> in </w:t>
      </w:r>
      <w:r w:rsidR="00AA3847" w:rsidRPr="008C4D92">
        <w:rPr>
          <w:i/>
          <w:color w:val="000000" w:themeColor="text1"/>
        </w:rPr>
        <w:t>Tanager</w:t>
      </w:r>
      <w:r w:rsidR="00812615" w:rsidRPr="008C4D92">
        <w:rPr>
          <w:i/>
          <w:color w:val="000000" w:themeColor="text1"/>
        </w:rPr>
        <w:t xml:space="preserve"> D.A.C.</w:t>
      </w:r>
      <w:r w:rsidR="00AA3847" w:rsidRPr="008C4D92">
        <w:rPr>
          <w:i/>
          <w:color w:val="000000" w:themeColor="text1"/>
        </w:rPr>
        <w:t xml:space="preserve"> v. Kane </w:t>
      </w:r>
      <w:r w:rsidR="00AA3847" w:rsidRPr="008C4D92">
        <w:rPr>
          <w:color w:val="000000" w:themeColor="text1"/>
        </w:rPr>
        <w:t>itself.</w:t>
      </w:r>
    </w:p>
    <w:p w14:paraId="277874AF" w14:textId="77777777" w:rsidR="00344D94" w:rsidRPr="008C4D92" w:rsidRDefault="00344D94" w:rsidP="00344D94">
      <w:pPr>
        <w:pStyle w:val="ListParagraph"/>
        <w:spacing w:line="480" w:lineRule="auto"/>
        <w:ind w:left="0"/>
        <w:jc w:val="both"/>
        <w:rPr>
          <w:color w:val="000000" w:themeColor="text1"/>
        </w:rPr>
      </w:pPr>
    </w:p>
    <w:p w14:paraId="37E2F02B" w14:textId="70501E4C" w:rsidR="006070CC" w:rsidRPr="008C4D92" w:rsidRDefault="006070CC" w:rsidP="006070CC">
      <w:pPr>
        <w:numPr>
          <w:ilvl w:val="0"/>
          <w:numId w:val="19"/>
        </w:numPr>
        <w:spacing w:line="480" w:lineRule="auto"/>
        <w:jc w:val="both"/>
        <w:rPr>
          <w:color w:val="000000" w:themeColor="text1"/>
        </w:rPr>
      </w:pPr>
      <w:r w:rsidRPr="008C4D92">
        <w:rPr>
          <w:color w:val="000000" w:themeColor="text1"/>
        </w:rPr>
        <w:t xml:space="preserve">The plaintiffs maintain that </w:t>
      </w:r>
      <w:r w:rsidRPr="008C4D92">
        <w:rPr>
          <w:i/>
          <w:color w:val="000000" w:themeColor="text1"/>
        </w:rPr>
        <w:t>Tanager</w:t>
      </w:r>
      <w:r w:rsidR="00812615" w:rsidRPr="008C4D92">
        <w:rPr>
          <w:i/>
          <w:color w:val="000000" w:themeColor="text1"/>
        </w:rPr>
        <w:t xml:space="preserve"> D.A.C.</w:t>
      </w:r>
      <w:r w:rsidRPr="008C4D92">
        <w:rPr>
          <w:i/>
          <w:color w:val="000000" w:themeColor="text1"/>
        </w:rPr>
        <w:t xml:space="preserve"> v</w:t>
      </w:r>
      <w:r w:rsidR="00812615" w:rsidRPr="008C4D92">
        <w:rPr>
          <w:i/>
          <w:color w:val="000000" w:themeColor="text1"/>
        </w:rPr>
        <w:t>.</w:t>
      </w:r>
      <w:r w:rsidRPr="008C4D92">
        <w:rPr>
          <w:i/>
          <w:color w:val="000000" w:themeColor="text1"/>
        </w:rPr>
        <w:t xml:space="preserve"> Kane </w:t>
      </w:r>
      <w:r w:rsidRPr="008C4D92">
        <w:rPr>
          <w:color w:val="000000" w:themeColor="text1"/>
        </w:rPr>
        <w:t xml:space="preserve">makes it clear that they are entitled to rely on the charge as described on the </w:t>
      </w:r>
      <w:r w:rsidR="00423D81">
        <w:rPr>
          <w:color w:val="000000" w:themeColor="text1"/>
        </w:rPr>
        <w:t>F</w:t>
      </w:r>
      <w:r w:rsidRPr="008C4D92">
        <w:rPr>
          <w:color w:val="000000" w:themeColor="text1"/>
        </w:rPr>
        <w:t>olio in the present case, and that the court</w:t>
      </w:r>
      <w:r w:rsidR="00EB09B8">
        <w:rPr>
          <w:color w:val="000000" w:themeColor="text1"/>
        </w:rPr>
        <w:t>s are</w:t>
      </w:r>
      <w:r w:rsidRPr="008C4D92">
        <w:rPr>
          <w:color w:val="000000" w:themeColor="text1"/>
        </w:rPr>
        <w:t xml:space="preserve"> not in these proceedings entitled to go behind the </w:t>
      </w:r>
      <w:r w:rsidR="00423D81">
        <w:rPr>
          <w:color w:val="000000" w:themeColor="text1"/>
        </w:rPr>
        <w:t>F</w:t>
      </w:r>
      <w:r w:rsidRPr="008C4D92">
        <w:rPr>
          <w:color w:val="000000" w:themeColor="text1"/>
        </w:rPr>
        <w:t>olio. The second defendant maintains that the</w:t>
      </w:r>
      <w:r w:rsidR="00B04D52" w:rsidRPr="008C4D92">
        <w:rPr>
          <w:color w:val="000000" w:themeColor="text1"/>
        </w:rPr>
        <w:t xml:space="preserve"> factual</w:t>
      </w:r>
      <w:r w:rsidRPr="008C4D92">
        <w:rPr>
          <w:color w:val="000000" w:themeColor="text1"/>
        </w:rPr>
        <w:t xml:space="preserve"> context is very different and that </w:t>
      </w:r>
      <w:r w:rsidRPr="008C4D92">
        <w:rPr>
          <w:i/>
          <w:color w:val="000000" w:themeColor="text1"/>
        </w:rPr>
        <w:t>Tanager</w:t>
      </w:r>
      <w:r w:rsidR="00812615" w:rsidRPr="008C4D92">
        <w:rPr>
          <w:i/>
          <w:color w:val="000000" w:themeColor="text1"/>
        </w:rPr>
        <w:t xml:space="preserve"> D.A.C. </w:t>
      </w:r>
      <w:r w:rsidRPr="008C4D92">
        <w:rPr>
          <w:i/>
          <w:color w:val="000000" w:themeColor="text1"/>
        </w:rPr>
        <w:t xml:space="preserve"> v. Kane </w:t>
      </w:r>
      <w:r w:rsidRPr="008C4D92">
        <w:rPr>
          <w:color w:val="000000" w:themeColor="text1"/>
        </w:rPr>
        <w:t>does not apply. It is true that the factual context in which Baker J. made her comments was different. The proceedings were of a summary nature for recovery of possession of land and the specific point raised was whether Tanager had a valid title in circumstances where its predecessor in title (</w:t>
      </w:r>
      <w:r w:rsidR="00812615" w:rsidRPr="008C4D92">
        <w:rPr>
          <w:color w:val="000000" w:themeColor="text1"/>
        </w:rPr>
        <w:t xml:space="preserve">i.e. </w:t>
      </w:r>
      <w:r w:rsidRPr="008C4D92">
        <w:rPr>
          <w:color w:val="000000" w:themeColor="text1"/>
        </w:rPr>
        <w:t xml:space="preserve">Bank of Scotland) had failed to register the charge on the folio, although its predecessor in title </w:t>
      </w:r>
      <w:r w:rsidR="00F75055" w:rsidRPr="008C4D92">
        <w:rPr>
          <w:color w:val="000000" w:themeColor="text1"/>
        </w:rPr>
        <w:t>(Bank</w:t>
      </w:r>
      <w:r w:rsidRPr="008C4D92">
        <w:rPr>
          <w:color w:val="000000" w:themeColor="text1"/>
        </w:rPr>
        <w:t xml:space="preserve"> of Scotland Ireland Limited or </w:t>
      </w:r>
      <w:r w:rsidR="00DB2A5D">
        <w:rPr>
          <w:color w:val="000000" w:themeColor="text1"/>
        </w:rPr>
        <w:t>‘</w:t>
      </w:r>
      <w:r w:rsidRPr="008C4D92">
        <w:rPr>
          <w:color w:val="000000" w:themeColor="text1"/>
        </w:rPr>
        <w:t>BOSI</w:t>
      </w:r>
      <w:r w:rsidR="00DB2A5D">
        <w:rPr>
          <w:color w:val="000000" w:themeColor="text1"/>
        </w:rPr>
        <w:t>’</w:t>
      </w:r>
      <w:r w:rsidRPr="008C4D92">
        <w:rPr>
          <w:color w:val="000000" w:themeColor="text1"/>
        </w:rPr>
        <w:t xml:space="preserve">) had. The Court of Appeal held that the Bank of Scotland had become entitled by defeasance under an enactment, within the meaning of </w:t>
      </w:r>
      <w:r w:rsidR="00E90AD0">
        <w:rPr>
          <w:color w:val="000000" w:themeColor="text1"/>
        </w:rPr>
        <w:t>S</w:t>
      </w:r>
      <w:r w:rsidR="00812615" w:rsidRPr="008C4D92">
        <w:rPr>
          <w:color w:val="000000" w:themeColor="text1"/>
        </w:rPr>
        <w:t xml:space="preserve">ection </w:t>
      </w:r>
      <w:r w:rsidRPr="008C4D92">
        <w:rPr>
          <w:color w:val="000000" w:themeColor="text1"/>
        </w:rPr>
        <w:t xml:space="preserve">90 of the 1964 Act, to the interest of BOSI in the registered charge, and </w:t>
      </w:r>
      <w:r w:rsidR="00812615" w:rsidRPr="008C4D92">
        <w:rPr>
          <w:color w:val="000000" w:themeColor="text1"/>
        </w:rPr>
        <w:t xml:space="preserve">that </w:t>
      </w:r>
      <w:r w:rsidRPr="008C4D92">
        <w:rPr>
          <w:color w:val="000000" w:themeColor="text1"/>
        </w:rPr>
        <w:t xml:space="preserve">therefore Bank of Scotland was entitled to deal with the charge without being registered.  It is apparent </w:t>
      </w:r>
      <w:r w:rsidR="00000EBA" w:rsidRPr="008C4D92">
        <w:rPr>
          <w:color w:val="000000" w:themeColor="text1"/>
        </w:rPr>
        <w:t>therefore</w:t>
      </w:r>
      <w:r w:rsidRPr="008C4D92">
        <w:rPr>
          <w:color w:val="000000" w:themeColor="text1"/>
        </w:rPr>
        <w:t xml:space="preserve"> that</w:t>
      </w:r>
      <w:r w:rsidR="00000EBA" w:rsidRPr="008C4D92">
        <w:rPr>
          <w:color w:val="000000" w:themeColor="text1"/>
        </w:rPr>
        <w:t xml:space="preserve"> the form of the proceedings </w:t>
      </w:r>
      <w:r w:rsidR="00DB2A5D">
        <w:rPr>
          <w:color w:val="000000" w:themeColor="text1"/>
        </w:rPr>
        <w:t>was</w:t>
      </w:r>
      <w:r w:rsidR="00DB2A5D" w:rsidRPr="008C4D92">
        <w:rPr>
          <w:color w:val="000000" w:themeColor="text1"/>
        </w:rPr>
        <w:t xml:space="preserve"> </w:t>
      </w:r>
      <w:r w:rsidR="00000EBA" w:rsidRPr="008C4D92">
        <w:rPr>
          <w:color w:val="000000" w:themeColor="text1"/>
        </w:rPr>
        <w:t xml:space="preserve">different (summary proceedings in </w:t>
      </w:r>
      <w:r w:rsidR="00000EBA" w:rsidRPr="008C4D92">
        <w:rPr>
          <w:i/>
          <w:color w:val="000000" w:themeColor="text1"/>
        </w:rPr>
        <w:t>Tanager</w:t>
      </w:r>
      <w:r w:rsidR="00812615" w:rsidRPr="008C4D92">
        <w:rPr>
          <w:i/>
          <w:color w:val="000000" w:themeColor="text1"/>
        </w:rPr>
        <w:t xml:space="preserve"> D.A.C.</w:t>
      </w:r>
      <w:r w:rsidR="00000EBA" w:rsidRPr="008C4D92">
        <w:rPr>
          <w:i/>
          <w:color w:val="000000" w:themeColor="text1"/>
        </w:rPr>
        <w:t xml:space="preserve"> v. Kane; </w:t>
      </w:r>
      <w:r w:rsidR="00000EBA" w:rsidRPr="008C4D92">
        <w:rPr>
          <w:color w:val="000000" w:themeColor="text1"/>
        </w:rPr>
        <w:t>application for injunction here) and the issue arising there</w:t>
      </w:r>
      <w:r w:rsidRPr="008C4D92">
        <w:rPr>
          <w:color w:val="000000" w:themeColor="text1"/>
        </w:rPr>
        <w:t xml:space="preserve"> </w:t>
      </w:r>
      <w:r w:rsidR="00000EBA" w:rsidRPr="008C4D92">
        <w:rPr>
          <w:color w:val="000000" w:themeColor="text1"/>
        </w:rPr>
        <w:t>did not arise</w:t>
      </w:r>
      <w:r w:rsidRPr="008C4D92">
        <w:rPr>
          <w:color w:val="000000" w:themeColor="text1"/>
        </w:rPr>
        <w:t xml:space="preserve"> in the present case</w:t>
      </w:r>
      <w:r w:rsidR="00000EBA" w:rsidRPr="008C4D92">
        <w:rPr>
          <w:color w:val="000000" w:themeColor="text1"/>
        </w:rPr>
        <w:t xml:space="preserve"> (b</w:t>
      </w:r>
      <w:r w:rsidRPr="008C4D92">
        <w:rPr>
          <w:color w:val="000000" w:themeColor="text1"/>
        </w:rPr>
        <w:t xml:space="preserve">oth AIB and the first plaintiff are registered owners of the charge on </w:t>
      </w:r>
      <w:r w:rsidR="003A560A" w:rsidRPr="008C4D92">
        <w:rPr>
          <w:color w:val="000000" w:themeColor="text1"/>
        </w:rPr>
        <w:t xml:space="preserve">the </w:t>
      </w:r>
      <w:r w:rsidR="00922CEF" w:rsidRPr="008C4D92">
        <w:rPr>
          <w:color w:val="000000" w:themeColor="text1"/>
        </w:rPr>
        <w:t>Folio</w:t>
      </w:r>
      <w:r w:rsidR="003A560A" w:rsidRPr="008C4D92">
        <w:rPr>
          <w:color w:val="000000" w:themeColor="text1"/>
        </w:rPr>
        <w:t>)</w:t>
      </w:r>
      <w:r w:rsidRPr="008C4D92">
        <w:rPr>
          <w:color w:val="000000" w:themeColor="text1"/>
        </w:rPr>
        <w:t>.</w:t>
      </w:r>
      <w:r w:rsidR="00FC48AE" w:rsidRPr="008C4D92">
        <w:rPr>
          <w:color w:val="000000" w:themeColor="text1"/>
        </w:rPr>
        <w:t xml:space="preserve"> </w:t>
      </w:r>
    </w:p>
    <w:p w14:paraId="18248534" w14:textId="77777777" w:rsidR="006070CC" w:rsidRPr="008C4D92" w:rsidRDefault="006070CC" w:rsidP="006070CC">
      <w:pPr>
        <w:spacing w:line="480" w:lineRule="auto"/>
        <w:jc w:val="both"/>
        <w:rPr>
          <w:color w:val="000000" w:themeColor="text1"/>
        </w:rPr>
      </w:pPr>
    </w:p>
    <w:p w14:paraId="3D338065" w14:textId="46D638C2" w:rsidR="00F20332" w:rsidRPr="008C4D92" w:rsidRDefault="00891E63" w:rsidP="00F20332">
      <w:pPr>
        <w:pStyle w:val="ListParagraph"/>
        <w:numPr>
          <w:ilvl w:val="0"/>
          <w:numId w:val="19"/>
        </w:numPr>
        <w:spacing w:line="480" w:lineRule="auto"/>
        <w:jc w:val="both"/>
        <w:rPr>
          <w:color w:val="000000" w:themeColor="text1"/>
        </w:rPr>
      </w:pPr>
      <w:r w:rsidRPr="008C4D92">
        <w:rPr>
          <w:color w:val="000000" w:themeColor="text1"/>
        </w:rPr>
        <w:t>There was a recapitulation of many of the points</w:t>
      </w:r>
      <w:r w:rsidR="00F8392F" w:rsidRPr="008C4D92">
        <w:rPr>
          <w:color w:val="000000" w:themeColor="text1"/>
        </w:rPr>
        <w:t xml:space="preserve"> made in </w:t>
      </w:r>
      <w:r w:rsidR="00F8392F" w:rsidRPr="008C4D92">
        <w:rPr>
          <w:i/>
          <w:color w:val="000000" w:themeColor="text1"/>
        </w:rPr>
        <w:t>Tanager</w:t>
      </w:r>
      <w:r w:rsidR="00812615" w:rsidRPr="008C4D92">
        <w:rPr>
          <w:i/>
          <w:color w:val="000000" w:themeColor="text1"/>
        </w:rPr>
        <w:t xml:space="preserve"> D.A.C.</w:t>
      </w:r>
      <w:r w:rsidR="00F8392F" w:rsidRPr="008C4D92">
        <w:rPr>
          <w:i/>
          <w:color w:val="000000" w:themeColor="text1"/>
        </w:rPr>
        <w:t xml:space="preserve"> v. Kane</w:t>
      </w:r>
      <w:r w:rsidRPr="008C4D92">
        <w:rPr>
          <w:color w:val="000000" w:themeColor="text1"/>
        </w:rPr>
        <w:t xml:space="preserve"> in a</w:t>
      </w:r>
      <w:r w:rsidR="000A10DD" w:rsidRPr="008C4D92">
        <w:rPr>
          <w:color w:val="000000" w:themeColor="text1"/>
        </w:rPr>
        <w:t xml:space="preserve"> Supreme Court</w:t>
      </w:r>
      <w:r w:rsidRPr="008C4D92">
        <w:rPr>
          <w:color w:val="000000" w:themeColor="text1"/>
        </w:rPr>
        <w:t xml:space="preserve"> decision handed down in or about the time of the hearing of this appeal, in </w:t>
      </w:r>
      <w:r w:rsidRPr="008C4D92">
        <w:rPr>
          <w:i/>
          <w:color w:val="000000" w:themeColor="text1"/>
        </w:rPr>
        <w:t>Bank of Ireland Mortgage Bank v. Cody</w:t>
      </w:r>
      <w:r w:rsidR="004E0AD3" w:rsidRPr="008C4D92">
        <w:rPr>
          <w:color w:val="000000" w:themeColor="text1"/>
        </w:rPr>
        <w:t xml:space="preserve">, where the facts </w:t>
      </w:r>
      <w:r w:rsidR="0015674B" w:rsidRPr="008C4D92">
        <w:rPr>
          <w:color w:val="000000" w:themeColor="text1"/>
        </w:rPr>
        <w:t>-</w:t>
      </w:r>
      <w:r w:rsidR="00A93325" w:rsidRPr="008C4D92">
        <w:rPr>
          <w:color w:val="000000" w:themeColor="text1"/>
        </w:rPr>
        <w:t xml:space="preserve"> </w:t>
      </w:r>
      <w:r w:rsidR="0015674B" w:rsidRPr="008C4D92">
        <w:rPr>
          <w:color w:val="000000" w:themeColor="text1"/>
        </w:rPr>
        <w:t>although</w:t>
      </w:r>
      <w:r w:rsidR="004E0AD3" w:rsidRPr="008C4D92">
        <w:rPr>
          <w:color w:val="000000" w:themeColor="text1"/>
        </w:rPr>
        <w:t xml:space="preserve"> not the form of procedure</w:t>
      </w:r>
      <w:r w:rsidR="00A93325" w:rsidRPr="008C4D92">
        <w:rPr>
          <w:color w:val="000000" w:themeColor="text1"/>
        </w:rPr>
        <w:t xml:space="preserve"> </w:t>
      </w:r>
      <w:r w:rsidR="0015674B" w:rsidRPr="008C4D92">
        <w:rPr>
          <w:color w:val="000000" w:themeColor="text1"/>
        </w:rPr>
        <w:t>-</w:t>
      </w:r>
      <w:r w:rsidR="004E0AD3" w:rsidRPr="008C4D92">
        <w:rPr>
          <w:color w:val="000000" w:themeColor="text1"/>
        </w:rPr>
        <w:t xml:space="preserve"> were somewhat closer to those in the present case. The second</w:t>
      </w:r>
      <w:r w:rsidR="00A93325" w:rsidRPr="008C4D92">
        <w:rPr>
          <w:color w:val="000000" w:themeColor="text1"/>
        </w:rPr>
        <w:t xml:space="preserve"> named</w:t>
      </w:r>
      <w:r w:rsidR="004E0AD3" w:rsidRPr="008C4D92">
        <w:rPr>
          <w:color w:val="000000" w:themeColor="text1"/>
        </w:rPr>
        <w:t xml:space="preserve"> defendant, </w:t>
      </w:r>
      <w:r w:rsidR="00A93325" w:rsidRPr="008C4D92">
        <w:rPr>
          <w:color w:val="000000" w:themeColor="text1"/>
        </w:rPr>
        <w:t xml:space="preserve">the </w:t>
      </w:r>
      <w:r w:rsidR="004E0AD3" w:rsidRPr="008C4D92">
        <w:rPr>
          <w:color w:val="000000" w:themeColor="text1"/>
        </w:rPr>
        <w:t xml:space="preserve">wife </w:t>
      </w:r>
      <w:r w:rsidR="004E0AD3" w:rsidRPr="008C4D92">
        <w:rPr>
          <w:color w:val="000000" w:themeColor="text1"/>
        </w:rPr>
        <w:lastRenderedPageBreak/>
        <w:t>of the first</w:t>
      </w:r>
      <w:r w:rsidR="00A93325" w:rsidRPr="008C4D92">
        <w:rPr>
          <w:color w:val="000000" w:themeColor="text1"/>
        </w:rPr>
        <w:t xml:space="preserve"> named</w:t>
      </w:r>
      <w:r w:rsidR="004E0AD3" w:rsidRPr="008C4D92">
        <w:rPr>
          <w:color w:val="000000" w:themeColor="text1"/>
        </w:rPr>
        <w:t xml:space="preserve"> defendant, had sworn an affidavit that she was not present when her signature was purported to have been witnessed by Bank of Ireland personnel on a mortgage protection declaration form.  She suggested that the mortgage was part of a fraud and that the loans were created in her name without her knowledge or consent.  This arose in the context of a summary claim for possession and </w:t>
      </w:r>
      <w:r w:rsidR="00BE751A" w:rsidRPr="008C4D92">
        <w:rPr>
          <w:color w:val="000000" w:themeColor="text1"/>
        </w:rPr>
        <w:t xml:space="preserve">where the issue was </w:t>
      </w:r>
      <w:r w:rsidR="004E0AD3" w:rsidRPr="008C4D92">
        <w:rPr>
          <w:color w:val="000000" w:themeColor="text1"/>
        </w:rPr>
        <w:t xml:space="preserve">whether the matter should be sent to plenary hearing.  </w:t>
      </w:r>
      <w:r w:rsidR="004953B1" w:rsidRPr="008C4D92">
        <w:rPr>
          <w:color w:val="000000" w:themeColor="text1"/>
        </w:rPr>
        <w:t xml:space="preserve">In the course of her judgment, Baker J. dealt with the conclusiveness of the Register in similar terms to her decision in </w:t>
      </w:r>
      <w:r w:rsidR="004953B1" w:rsidRPr="008C4D92">
        <w:rPr>
          <w:i/>
          <w:color w:val="000000" w:themeColor="text1"/>
        </w:rPr>
        <w:t>Tanager D.A.C. v. Kane.</w:t>
      </w:r>
      <w:r w:rsidR="004953B1">
        <w:rPr>
          <w:i/>
          <w:color w:val="000000" w:themeColor="text1"/>
        </w:rPr>
        <w:t xml:space="preserve"> </w:t>
      </w:r>
      <w:r w:rsidR="004E0AD3" w:rsidRPr="008C4D92">
        <w:rPr>
          <w:color w:val="000000" w:themeColor="text1"/>
        </w:rPr>
        <w:t xml:space="preserve">Ultimately the </w:t>
      </w:r>
      <w:r w:rsidR="00570045" w:rsidRPr="008C4D92">
        <w:rPr>
          <w:color w:val="000000" w:themeColor="text1"/>
        </w:rPr>
        <w:t>Supreme Court</w:t>
      </w:r>
      <w:r w:rsidR="004E0AD3" w:rsidRPr="008C4D92">
        <w:rPr>
          <w:color w:val="000000" w:themeColor="text1"/>
        </w:rPr>
        <w:t xml:space="preserve"> upheld the trial judge’s decision that </w:t>
      </w:r>
      <w:r w:rsidR="004953B1">
        <w:rPr>
          <w:color w:val="000000" w:themeColor="text1"/>
        </w:rPr>
        <w:t xml:space="preserve">the second named defendant </w:t>
      </w:r>
      <w:r w:rsidR="004E0AD3" w:rsidRPr="008C4D92">
        <w:rPr>
          <w:color w:val="000000" w:themeColor="text1"/>
        </w:rPr>
        <w:t xml:space="preserve">had made out a stateable defence to the </w:t>
      </w:r>
      <w:r w:rsidR="00F75055" w:rsidRPr="008C4D92">
        <w:rPr>
          <w:color w:val="000000" w:themeColor="text1"/>
        </w:rPr>
        <w:t xml:space="preserve">claim </w:t>
      </w:r>
      <w:r w:rsidR="00CE2BC2">
        <w:rPr>
          <w:color w:val="000000" w:themeColor="text1"/>
        </w:rPr>
        <w:t>and remitted the</w:t>
      </w:r>
      <w:r w:rsidR="00FA7A8A" w:rsidRPr="008C4D92">
        <w:rPr>
          <w:color w:val="000000" w:themeColor="text1"/>
        </w:rPr>
        <w:t xml:space="preserve"> case</w:t>
      </w:r>
      <w:r w:rsidR="004E0AD3" w:rsidRPr="008C4D92">
        <w:rPr>
          <w:color w:val="000000" w:themeColor="text1"/>
        </w:rPr>
        <w:t xml:space="preserve"> to plenary hearing</w:t>
      </w:r>
      <w:r w:rsidR="009D7C42" w:rsidRPr="008C4D92">
        <w:rPr>
          <w:color w:val="000000" w:themeColor="text1"/>
        </w:rPr>
        <w:t xml:space="preserve"> (</w:t>
      </w:r>
      <w:r w:rsidR="00CE2BC2">
        <w:rPr>
          <w:color w:val="000000" w:themeColor="text1"/>
        </w:rPr>
        <w:t xml:space="preserve">thus overturning the trial judge on the remittal point). </w:t>
      </w:r>
      <w:r w:rsidR="00115914" w:rsidRPr="008C4D92">
        <w:rPr>
          <w:i/>
          <w:color w:val="000000" w:themeColor="text1"/>
        </w:rPr>
        <w:t xml:space="preserve">  </w:t>
      </w:r>
    </w:p>
    <w:p w14:paraId="15CF918F" w14:textId="4E78B1D0" w:rsidR="00891E63" w:rsidRPr="008C4D92" w:rsidRDefault="00891E63" w:rsidP="00F20332">
      <w:pPr>
        <w:pStyle w:val="ListParagraph"/>
        <w:spacing w:line="480" w:lineRule="auto"/>
        <w:ind w:left="0"/>
        <w:jc w:val="both"/>
        <w:rPr>
          <w:color w:val="000000" w:themeColor="text1"/>
        </w:rPr>
      </w:pPr>
    </w:p>
    <w:p w14:paraId="414044D9" w14:textId="234C41D8" w:rsidR="000F2713" w:rsidRPr="008C4D92" w:rsidRDefault="000F2713" w:rsidP="009939CE">
      <w:pPr>
        <w:pStyle w:val="Heading3"/>
      </w:pPr>
      <w:r w:rsidRPr="008C4D92">
        <w:rPr>
          <w:color w:val="000000" w:themeColor="text1"/>
          <w:sz w:val="26"/>
          <w:szCs w:val="26"/>
        </w:rPr>
        <w:t>Decision</w:t>
      </w:r>
    </w:p>
    <w:p w14:paraId="7050C4E9" w14:textId="77777777" w:rsidR="0085107D" w:rsidRPr="008C4D92" w:rsidRDefault="0085107D" w:rsidP="0085107D">
      <w:pPr>
        <w:pStyle w:val="ListParagraph"/>
        <w:rPr>
          <w:color w:val="000000" w:themeColor="text1"/>
        </w:rPr>
      </w:pPr>
    </w:p>
    <w:p w14:paraId="126DCC17" w14:textId="06C25C92" w:rsidR="00506F82" w:rsidRPr="00BC3FFD" w:rsidRDefault="00506F82" w:rsidP="00506F82">
      <w:pPr>
        <w:pStyle w:val="ListParagraph"/>
        <w:numPr>
          <w:ilvl w:val="0"/>
          <w:numId w:val="19"/>
        </w:numPr>
        <w:spacing w:line="480" w:lineRule="auto"/>
        <w:jc w:val="both"/>
        <w:rPr>
          <w:color w:val="000000" w:themeColor="text1"/>
        </w:rPr>
      </w:pPr>
      <w:r>
        <w:rPr>
          <w:color w:val="000000" w:themeColor="text1"/>
        </w:rPr>
        <w:t xml:space="preserve">Insofar as the plaintiffs rely upon the </w:t>
      </w:r>
      <w:proofErr w:type="spellStart"/>
      <w:r>
        <w:rPr>
          <w:color w:val="000000" w:themeColor="text1"/>
        </w:rPr>
        <w:t>conclusivity</w:t>
      </w:r>
      <w:proofErr w:type="spellEnd"/>
      <w:r>
        <w:rPr>
          <w:color w:val="000000" w:themeColor="text1"/>
        </w:rPr>
        <w:t xml:space="preserve"> of title and the decision in </w:t>
      </w:r>
      <w:r>
        <w:rPr>
          <w:i/>
          <w:color w:val="000000" w:themeColor="text1"/>
        </w:rPr>
        <w:t xml:space="preserve">Tanager </w:t>
      </w:r>
      <w:r w:rsidR="00111822">
        <w:rPr>
          <w:i/>
          <w:color w:val="000000" w:themeColor="text1"/>
        </w:rPr>
        <w:t xml:space="preserve">D.A.C. </w:t>
      </w:r>
      <w:r>
        <w:rPr>
          <w:i/>
          <w:color w:val="000000" w:themeColor="text1"/>
        </w:rPr>
        <w:t>v</w:t>
      </w:r>
      <w:r w:rsidR="00E90AD0">
        <w:rPr>
          <w:i/>
          <w:color w:val="000000" w:themeColor="text1"/>
        </w:rPr>
        <w:t>.</w:t>
      </w:r>
      <w:r>
        <w:rPr>
          <w:i/>
          <w:color w:val="000000" w:themeColor="text1"/>
        </w:rPr>
        <w:t xml:space="preserve"> Kane, </w:t>
      </w:r>
      <w:r>
        <w:rPr>
          <w:color w:val="000000" w:themeColor="text1"/>
        </w:rPr>
        <w:t xml:space="preserve">it seems to me that the issue raised by the second defendant is very different from that raised in the latter case. The </w:t>
      </w:r>
      <w:proofErr w:type="spellStart"/>
      <w:r>
        <w:rPr>
          <w:color w:val="000000" w:themeColor="text1"/>
        </w:rPr>
        <w:t>conclusivity</w:t>
      </w:r>
      <w:proofErr w:type="spellEnd"/>
      <w:r>
        <w:rPr>
          <w:color w:val="000000" w:themeColor="text1"/>
        </w:rPr>
        <w:t xml:space="preserve"> of title shows that the charge exists and that the plaintiffs own the charge but I do not think it necessarily follows (or that </w:t>
      </w:r>
      <w:r>
        <w:rPr>
          <w:i/>
          <w:color w:val="000000" w:themeColor="text1"/>
        </w:rPr>
        <w:t>Tanager</w:t>
      </w:r>
      <w:r w:rsidR="00E90AD0">
        <w:rPr>
          <w:i/>
          <w:color w:val="000000" w:themeColor="text1"/>
        </w:rPr>
        <w:t xml:space="preserve"> D.A.C.</w:t>
      </w:r>
      <w:r>
        <w:rPr>
          <w:i/>
          <w:color w:val="000000" w:themeColor="text1"/>
        </w:rPr>
        <w:t xml:space="preserve"> v</w:t>
      </w:r>
      <w:r w:rsidR="00E90AD0">
        <w:rPr>
          <w:i/>
          <w:color w:val="000000" w:themeColor="text1"/>
        </w:rPr>
        <w:t>.</w:t>
      </w:r>
      <w:r>
        <w:rPr>
          <w:i/>
          <w:color w:val="000000" w:themeColor="text1"/>
        </w:rPr>
        <w:t xml:space="preserve"> Kane </w:t>
      </w:r>
      <w:r>
        <w:rPr>
          <w:color w:val="000000" w:themeColor="text1"/>
        </w:rPr>
        <w:t xml:space="preserve">is authority for the proposition) that it conclusively decides that the second named defendant’s interest in the mortgage is the subject of the charge. </w:t>
      </w:r>
    </w:p>
    <w:p w14:paraId="6D3E847E" w14:textId="77777777" w:rsidR="00506F82" w:rsidRDefault="00506F82" w:rsidP="00034375">
      <w:pPr>
        <w:spacing w:line="480" w:lineRule="auto"/>
        <w:jc w:val="both"/>
        <w:rPr>
          <w:color w:val="000000" w:themeColor="text1"/>
        </w:rPr>
      </w:pPr>
    </w:p>
    <w:p w14:paraId="426FA514" w14:textId="3F86CD5E" w:rsidR="006B421D" w:rsidRPr="008C4D92" w:rsidRDefault="0085107D" w:rsidP="00291504">
      <w:pPr>
        <w:numPr>
          <w:ilvl w:val="0"/>
          <w:numId w:val="19"/>
        </w:numPr>
        <w:spacing w:line="480" w:lineRule="auto"/>
        <w:jc w:val="both"/>
        <w:rPr>
          <w:color w:val="000000" w:themeColor="text1"/>
        </w:rPr>
      </w:pPr>
      <w:r w:rsidRPr="008C4D92">
        <w:rPr>
          <w:color w:val="000000" w:themeColor="text1"/>
        </w:rPr>
        <w:t xml:space="preserve">Although the Deed </w:t>
      </w:r>
      <w:r w:rsidR="00827CB1">
        <w:rPr>
          <w:color w:val="000000" w:themeColor="text1"/>
        </w:rPr>
        <w:t xml:space="preserve">of Mortgage </w:t>
      </w:r>
      <w:r w:rsidRPr="008C4D92">
        <w:rPr>
          <w:color w:val="000000" w:themeColor="text1"/>
        </w:rPr>
        <w:t xml:space="preserve">anticipates the </w:t>
      </w:r>
      <w:r w:rsidR="00960BE5" w:rsidRPr="008C4D92">
        <w:rPr>
          <w:color w:val="000000" w:themeColor="text1"/>
        </w:rPr>
        <w:t>mortgage</w:t>
      </w:r>
      <w:r w:rsidRPr="008C4D92">
        <w:rPr>
          <w:color w:val="000000" w:themeColor="text1"/>
        </w:rPr>
        <w:t xml:space="preserve"> </w:t>
      </w:r>
      <w:r w:rsidR="00AE153B">
        <w:rPr>
          <w:color w:val="000000" w:themeColor="text1"/>
        </w:rPr>
        <w:t xml:space="preserve">potentially </w:t>
      </w:r>
      <w:r w:rsidRPr="008C4D92">
        <w:rPr>
          <w:color w:val="000000" w:themeColor="text1"/>
        </w:rPr>
        <w:t xml:space="preserve">operating as security for future loans and refinancing, as the plaintiffs point out, it is also the case that certain conditions must be satisfied before that can happen, including that any such future loan is accepted in writing by “the mortgagor”. The question of whether “the mortgagor” in this particular context means only one of the defendants or both of them becomes acutely important, therefore, because the loan offer was made to and accepted by the first defendant </w:t>
      </w:r>
      <w:r w:rsidRPr="008C4D92">
        <w:rPr>
          <w:color w:val="000000" w:themeColor="text1"/>
        </w:rPr>
        <w:lastRenderedPageBreak/>
        <w:t>only. If the second defendant is correct that the consent of both mortgagors is required, then her lack of written consent to the loan may be an indication that the intention was to release her from the mortgage insofar as it affect</w:t>
      </w:r>
      <w:r w:rsidR="000F2713" w:rsidRPr="008C4D92">
        <w:rPr>
          <w:color w:val="000000" w:themeColor="text1"/>
        </w:rPr>
        <w:t>ed</w:t>
      </w:r>
      <w:r w:rsidRPr="008C4D92">
        <w:rPr>
          <w:color w:val="000000" w:themeColor="text1"/>
        </w:rPr>
        <w:t xml:space="preserve"> her interest in the property</w:t>
      </w:r>
      <w:r w:rsidR="000F2713" w:rsidRPr="008C4D92">
        <w:rPr>
          <w:color w:val="000000" w:themeColor="text1"/>
        </w:rPr>
        <w:t xml:space="preserve"> because the original family home loan had been discharged upon drawdown of the 2008 loan</w:t>
      </w:r>
      <w:r w:rsidRPr="008C4D92">
        <w:rPr>
          <w:color w:val="000000" w:themeColor="text1"/>
        </w:rPr>
        <w:t xml:space="preserve">. </w:t>
      </w:r>
      <w:r w:rsidR="00753236">
        <w:rPr>
          <w:color w:val="000000" w:themeColor="text1"/>
        </w:rPr>
        <w:t xml:space="preserve">I find the plaintiffs’ argument that the signing of the Family Home </w:t>
      </w:r>
      <w:r w:rsidR="00E90AD0">
        <w:rPr>
          <w:color w:val="000000" w:themeColor="text1"/>
        </w:rPr>
        <w:t>D</w:t>
      </w:r>
      <w:r w:rsidR="00753236">
        <w:rPr>
          <w:color w:val="000000" w:themeColor="text1"/>
        </w:rPr>
        <w:t xml:space="preserve">eclaration is significant </w:t>
      </w:r>
      <w:r w:rsidR="00C73B7E">
        <w:rPr>
          <w:color w:val="000000" w:themeColor="text1"/>
        </w:rPr>
        <w:t xml:space="preserve">to be </w:t>
      </w:r>
      <w:r w:rsidR="00753236">
        <w:rPr>
          <w:color w:val="000000" w:themeColor="text1"/>
        </w:rPr>
        <w:t>rather unpersuasive, at least at first sight, on the ground that it appears to relate to the Beacon Court rather than the Avoca Park property</w:t>
      </w:r>
      <w:r w:rsidR="00CD228C">
        <w:rPr>
          <w:color w:val="000000" w:themeColor="text1"/>
        </w:rPr>
        <w:t>, as noted in my earlier section “Key Documents”</w:t>
      </w:r>
      <w:r w:rsidR="00753236">
        <w:rPr>
          <w:color w:val="000000" w:themeColor="text1"/>
        </w:rPr>
        <w:t xml:space="preserve">. </w:t>
      </w:r>
    </w:p>
    <w:p w14:paraId="1C689B72" w14:textId="77777777" w:rsidR="00F5695D" w:rsidRPr="008C4D92" w:rsidRDefault="00F5695D" w:rsidP="00F5695D">
      <w:pPr>
        <w:spacing w:line="480" w:lineRule="auto"/>
        <w:jc w:val="both"/>
        <w:rPr>
          <w:color w:val="000000" w:themeColor="text1"/>
        </w:rPr>
      </w:pPr>
    </w:p>
    <w:p w14:paraId="7A29ACA4" w14:textId="31815715" w:rsidR="00AD6F5E" w:rsidRPr="00AD6F5E" w:rsidRDefault="00F5695D" w:rsidP="00AD6F5E">
      <w:pPr>
        <w:numPr>
          <w:ilvl w:val="0"/>
          <w:numId w:val="19"/>
        </w:numPr>
        <w:spacing w:line="480" w:lineRule="auto"/>
        <w:jc w:val="both"/>
        <w:rPr>
          <w:color w:val="000000" w:themeColor="text1"/>
        </w:rPr>
      </w:pPr>
      <w:r w:rsidRPr="008C4D92">
        <w:rPr>
          <w:color w:val="000000" w:themeColor="text1"/>
        </w:rPr>
        <w:t xml:space="preserve">It may also be that </w:t>
      </w:r>
      <w:r w:rsidR="00E90AD0">
        <w:rPr>
          <w:color w:val="000000" w:themeColor="text1"/>
        </w:rPr>
        <w:t>S</w:t>
      </w:r>
      <w:r w:rsidR="00BE751A" w:rsidRPr="008C4D92">
        <w:rPr>
          <w:color w:val="000000" w:themeColor="text1"/>
        </w:rPr>
        <w:t xml:space="preserve">ection </w:t>
      </w:r>
      <w:r w:rsidRPr="008C4D92">
        <w:rPr>
          <w:color w:val="000000" w:themeColor="text1"/>
        </w:rPr>
        <w:t xml:space="preserve">30(1) of the </w:t>
      </w:r>
      <w:r w:rsidR="00960BE5" w:rsidRPr="008C4D92">
        <w:rPr>
          <w:color w:val="000000" w:themeColor="text1"/>
        </w:rPr>
        <w:t>Land and</w:t>
      </w:r>
      <w:r w:rsidRPr="008C4D92">
        <w:rPr>
          <w:color w:val="000000" w:themeColor="text1"/>
        </w:rPr>
        <w:t xml:space="preserve"> Conveyancing</w:t>
      </w:r>
      <w:r w:rsidR="00960BE5" w:rsidRPr="008C4D92">
        <w:rPr>
          <w:color w:val="000000" w:themeColor="text1"/>
        </w:rPr>
        <w:t xml:space="preserve"> Law Reform</w:t>
      </w:r>
      <w:r w:rsidRPr="008C4D92">
        <w:rPr>
          <w:color w:val="000000" w:themeColor="text1"/>
        </w:rPr>
        <w:t xml:space="preserve"> Act 2009 is of relevance in this context. It provides that any conveyance of land held in a joint tenancy by a joint tenant without the prior written consent of the other joint tenant is void both in law and equity. </w:t>
      </w:r>
    </w:p>
    <w:p w14:paraId="61B237B7" w14:textId="77777777" w:rsidR="00F5695D" w:rsidRPr="008C4D92" w:rsidRDefault="00F5695D" w:rsidP="00F5695D">
      <w:pPr>
        <w:spacing w:line="480" w:lineRule="auto"/>
        <w:jc w:val="both"/>
        <w:rPr>
          <w:color w:val="000000" w:themeColor="text1"/>
        </w:rPr>
      </w:pPr>
    </w:p>
    <w:p w14:paraId="444DFA3F" w14:textId="047C1B92" w:rsidR="0085107D" w:rsidRDefault="00AD6F5E" w:rsidP="00291504">
      <w:pPr>
        <w:pStyle w:val="ListParagraph"/>
        <w:numPr>
          <w:ilvl w:val="0"/>
          <w:numId w:val="19"/>
        </w:numPr>
        <w:spacing w:line="480" w:lineRule="auto"/>
        <w:jc w:val="both"/>
        <w:rPr>
          <w:color w:val="000000" w:themeColor="text1"/>
        </w:rPr>
      </w:pPr>
      <w:r>
        <w:rPr>
          <w:color w:val="000000" w:themeColor="text1"/>
        </w:rPr>
        <w:t>The second named defendant also argued that the original loan had been discharged in 2008 and that she is entitled to redemption of the mortgage. In this regard, she points to the wording of the 2008 facility letter in which it is a requirement that the original family home loan be discharged out of the mo</w:t>
      </w:r>
      <w:r w:rsidR="00E438A4">
        <w:rPr>
          <w:color w:val="000000" w:themeColor="text1"/>
        </w:rPr>
        <w:t>n</w:t>
      </w:r>
      <w:r>
        <w:rPr>
          <w:color w:val="000000" w:themeColor="text1"/>
        </w:rPr>
        <w:t xml:space="preserve">ies drawn down. It </w:t>
      </w:r>
      <w:r w:rsidR="006B421D" w:rsidRPr="008C4D92">
        <w:rPr>
          <w:color w:val="000000" w:themeColor="text1"/>
        </w:rPr>
        <w:t xml:space="preserve">seems to me </w:t>
      </w:r>
      <w:r w:rsidR="00BE751A" w:rsidRPr="008C4D92">
        <w:rPr>
          <w:color w:val="000000" w:themeColor="text1"/>
        </w:rPr>
        <w:t xml:space="preserve">to be </w:t>
      </w:r>
      <w:r w:rsidR="006B421D" w:rsidRPr="008C4D92">
        <w:rPr>
          <w:color w:val="000000" w:themeColor="text1"/>
        </w:rPr>
        <w:t xml:space="preserve">rather peculiar that the second </w:t>
      </w:r>
      <w:r w:rsidR="00BE751A" w:rsidRPr="008C4D92">
        <w:rPr>
          <w:color w:val="000000" w:themeColor="text1"/>
        </w:rPr>
        <w:t xml:space="preserve">named </w:t>
      </w:r>
      <w:r w:rsidR="006B421D" w:rsidRPr="008C4D92">
        <w:rPr>
          <w:color w:val="000000" w:themeColor="text1"/>
        </w:rPr>
        <w:t>defendant has failed to swear an</w:t>
      </w:r>
      <w:r w:rsidR="00CE3A4A" w:rsidRPr="008C4D92">
        <w:rPr>
          <w:color w:val="000000" w:themeColor="text1"/>
        </w:rPr>
        <w:t>y</w:t>
      </w:r>
      <w:r w:rsidR="006B421D" w:rsidRPr="008C4D92">
        <w:rPr>
          <w:color w:val="000000" w:themeColor="text1"/>
        </w:rPr>
        <w:t xml:space="preserve"> affidavit supporting the narrative that the original family home</w:t>
      </w:r>
      <w:r w:rsidR="00CE3A4A" w:rsidRPr="008C4D92">
        <w:rPr>
          <w:color w:val="000000" w:themeColor="text1"/>
        </w:rPr>
        <w:t xml:space="preserve"> loan</w:t>
      </w:r>
      <w:r w:rsidR="006B421D" w:rsidRPr="008C4D92">
        <w:rPr>
          <w:color w:val="000000" w:themeColor="text1"/>
        </w:rPr>
        <w:t xml:space="preserve"> was </w:t>
      </w:r>
      <w:r w:rsidR="00CE3A4A" w:rsidRPr="008C4D92">
        <w:rPr>
          <w:color w:val="000000" w:themeColor="text1"/>
        </w:rPr>
        <w:t xml:space="preserve">in fact </w:t>
      </w:r>
      <w:r w:rsidR="006B421D" w:rsidRPr="008C4D92">
        <w:rPr>
          <w:color w:val="000000" w:themeColor="text1"/>
        </w:rPr>
        <w:t xml:space="preserve">paid off and that she was released from the 1998 mortgage. </w:t>
      </w:r>
      <w:r w:rsidR="000F3F80" w:rsidRPr="008C4D92">
        <w:rPr>
          <w:color w:val="000000" w:themeColor="text1"/>
        </w:rPr>
        <w:t>One might also expect some kind of paper trail with regard to such a significant step, if it occurred.</w:t>
      </w:r>
      <w:r w:rsidR="006B421D" w:rsidRPr="008C4D92">
        <w:rPr>
          <w:color w:val="000000" w:themeColor="text1"/>
        </w:rPr>
        <w:t xml:space="preserve"> </w:t>
      </w:r>
      <w:r w:rsidR="00F5695D" w:rsidRPr="008C4D92">
        <w:rPr>
          <w:color w:val="000000" w:themeColor="text1"/>
        </w:rPr>
        <w:t xml:space="preserve">Further, no steps appear to have been taken to date, or at least at the time of the appeal hearing, either to file a counterclaim seeking redemption of the mortgage or to rectify the </w:t>
      </w:r>
      <w:r w:rsidR="003618AD">
        <w:rPr>
          <w:color w:val="000000" w:themeColor="text1"/>
        </w:rPr>
        <w:t xml:space="preserve">Register. </w:t>
      </w:r>
    </w:p>
    <w:p w14:paraId="6B73005D" w14:textId="77777777" w:rsidR="00930806" w:rsidRPr="00034375" w:rsidRDefault="00930806" w:rsidP="00034375">
      <w:pPr>
        <w:pStyle w:val="ListParagraph"/>
        <w:rPr>
          <w:color w:val="000000" w:themeColor="text1"/>
        </w:rPr>
      </w:pPr>
    </w:p>
    <w:p w14:paraId="6B1F67C4" w14:textId="77777777" w:rsidR="00A549C5" w:rsidRPr="008C4D92" w:rsidRDefault="00A549C5" w:rsidP="00A549C5">
      <w:pPr>
        <w:pStyle w:val="ListParagraph"/>
        <w:rPr>
          <w:color w:val="000000" w:themeColor="text1"/>
        </w:rPr>
      </w:pPr>
    </w:p>
    <w:p w14:paraId="51FCD25F" w14:textId="49F6827E" w:rsidR="00A549C5" w:rsidRPr="008C4D92" w:rsidRDefault="00A549C5" w:rsidP="00291504">
      <w:pPr>
        <w:pStyle w:val="ListParagraph"/>
        <w:numPr>
          <w:ilvl w:val="0"/>
          <w:numId w:val="19"/>
        </w:numPr>
        <w:spacing w:line="480" w:lineRule="auto"/>
        <w:jc w:val="both"/>
        <w:rPr>
          <w:color w:val="000000" w:themeColor="text1"/>
        </w:rPr>
      </w:pPr>
      <w:r w:rsidRPr="008C4D92">
        <w:rPr>
          <w:color w:val="000000" w:themeColor="text1"/>
        </w:rPr>
        <w:lastRenderedPageBreak/>
        <w:t>It must be borne in mind that these are plenary proceedings, and that these issues arise in the context of an interlocutory injunction.</w:t>
      </w:r>
      <w:r w:rsidR="0056232B" w:rsidRPr="008C4D92">
        <w:rPr>
          <w:color w:val="000000" w:themeColor="text1"/>
        </w:rPr>
        <w:t xml:space="preserve"> To what extent has the second defendant raised questions which undermine the plaintiffs’ claim t</w:t>
      </w:r>
      <w:r w:rsidR="0006271F" w:rsidRPr="008C4D92">
        <w:rPr>
          <w:color w:val="000000" w:themeColor="text1"/>
        </w:rPr>
        <w:t>hat the 1998 mortgage continues to bind both defendants?</w:t>
      </w:r>
      <w:r w:rsidRPr="008C4D92">
        <w:rPr>
          <w:color w:val="000000" w:themeColor="text1"/>
        </w:rPr>
        <w:t xml:space="preserve"> </w:t>
      </w:r>
      <w:r w:rsidR="000C27BE" w:rsidRPr="008C4D92">
        <w:rPr>
          <w:color w:val="000000" w:themeColor="text1"/>
        </w:rPr>
        <w:t xml:space="preserve">A much fuller picture may arise in the future, but as matters stand, I would be of the view that the plaintiffs have certainly demonstrated that there is a fair issue to be tried. I </w:t>
      </w:r>
      <w:r w:rsidR="00BC3FFD">
        <w:rPr>
          <w:color w:val="000000" w:themeColor="text1"/>
        </w:rPr>
        <w:t>am not convinced, however, that</w:t>
      </w:r>
      <w:r w:rsidR="000C27BE" w:rsidRPr="008C4D92">
        <w:rPr>
          <w:color w:val="000000" w:themeColor="text1"/>
        </w:rPr>
        <w:t xml:space="preserve"> they have a strong case</w:t>
      </w:r>
      <w:r w:rsidR="001B4145" w:rsidRPr="008C4D92">
        <w:rPr>
          <w:color w:val="000000" w:themeColor="text1"/>
        </w:rPr>
        <w:t xml:space="preserve"> that the second</w:t>
      </w:r>
      <w:r w:rsidR="00673FFE" w:rsidRPr="008C4D92">
        <w:rPr>
          <w:color w:val="000000" w:themeColor="text1"/>
        </w:rPr>
        <w:t xml:space="preserve"> named</w:t>
      </w:r>
      <w:r w:rsidR="001B4145" w:rsidRPr="008C4D92">
        <w:rPr>
          <w:color w:val="000000" w:themeColor="text1"/>
        </w:rPr>
        <w:t xml:space="preserve"> defendant is bound by the mortgage</w:t>
      </w:r>
      <w:r w:rsidR="00BC3FFD">
        <w:rPr>
          <w:color w:val="000000" w:themeColor="text1"/>
        </w:rPr>
        <w:t xml:space="preserve">. The decision in </w:t>
      </w:r>
      <w:r w:rsidR="00BC3FFD">
        <w:rPr>
          <w:i/>
          <w:color w:val="000000" w:themeColor="text1"/>
        </w:rPr>
        <w:t>Tanager</w:t>
      </w:r>
      <w:r w:rsidR="00E85729">
        <w:rPr>
          <w:i/>
          <w:color w:val="000000" w:themeColor="text1"/>
        </w:rPr>
        <w:t xml:space="preserve"> D.A.C.</w:t>
      </w:r>
      <w:r w:rsidR="00BC3FFD">
        <w:rPr>
          <w:i/>
          <w:color w:val="000000" w:themeColor="text1"/>
        </w:rPr>
        <w:t xml:space="preserve"> v. Kane </w:t>
      </w:r>
      <w:r w:rsidR="00BC3FFD">
        <w:rPr>
          <w:color w:val="000000" w:themeColor="text1"/>
        </w:rPr>
        <w:t>deals with a different matter (</w:t>
      </w:r>
      <w:r w:rsidR="007B08D4">
        <w:rPr>
          <w:color w:val="000000" w:themeColor="text1"/>
        </w:rPr>
        <w:t xml:space="preserve">i.e. </w:t>
      </w:r>
      <w:r w:rsidR="00BC3FFD">
        <w:rPr>
          <w:color w:val="000000" w:themeColor="text1"/>
        </w:rPr>
        <w:t xml:space="preserve">ownership of the charge), and </w:t>
      </w:r>
      <w:r w:rsidR="00540A3D">
        <w:rPr>
          <w:color w:val="000000" w:themeColor="text1"/>
        </w:rPr>
        <w:t>there are certainly arguments on both sides having regard to the wording of the Mortgage Deed</w:t>
      </w:r>
      <w:r w:rsidR="007821B4">
        <w:rPr>
          <w:color w:val="000000" w:themeColor="text1"/>
        </w:rPr>
        <w:t xml:space="preserve"> (</w:t>
      </w:r>
      <w:r w:rsidR="00540A3D">
        <w:rPr>
          <w:color w:val="000000" w:themeColor="text1"/>
        </w:rPr>
        <w:t xml:space="preserve">1998) and the Facility Letter (2008). </w:t>
      </w:r>
      <w:r w:rsidR="0006271F" w:rsidRPr="008C4D92">
        <w:rPr>
          <w:color w:val="000000" w:themeColor="text1"/>
        </w:rPr>
        <w:t xml:space="preserve"> </w:t>
      </w:r>
      <w:r w:rsidR="00E41EF1">
        <w:rPr>
          <w:color w:val="000000" w:themeColor="text1"/>
        </w:rPr>
        <w:t xml:space="preserve">There is no document which clearly contains the second defendant’s consent, and I do not consider the Family Home </w:t>
      </w:r>
      <w:r w:rsidR="00E85729">
        <w:rPr>
          <w:color w:val="000000" w:themeColor="text1"/>
        </w:rPr>
        <w:t>D</w:t>
      </w:r>
      <w:r w:rsidR="00E41EF1">
        <w:rPr>
          <w:color w:val="000000" w:themeColor="text1"/>
        </w:rPr>
        <w:t xml:space="preserve">eclaration (at least at first sight) to relate to the property in question at all. </w:t>
      </w:r>
    </w:p>
    <w:p w14:paraId="7E862BA2" w14:textId="77777777" w:rsidR="0085107D" w:rsidRPr="008C4D92" w:rsidRDefault="0085107D" w:rsidP="0085107D">
      <w:pPr>
        <w:pStyle w:val="ListParagraph"/>
        <w:rPr>
          <w:color w:val="000000" w:themeColor="text1"/>
        </w:rPr>
      </w:pPr>
    </w:p>
    <w:p w14:paraId="50F7D8E2" w14:textId="10F8E8A7" w:rsidR="00473841" w:rsidRPr="00111822" w:rsidRDefault="002E47CA" w:rsidP="00034375">
      <w:pPr>
        <w:pStyle w:val="Heading1"/>
      </w:pPr>
      <w:r w:rsidRPr="009939CE">
        <w:rPr>
          <w:sz w:val="28"/>
          <w:szCs w:val="28"/>
        </w:rPr>
        <w:t>Conclusion on whether the plaintiffs have made out a strong case</w:t>
      </w:r>
    </w:p>
    <w:p w14:paraId="6D589113" w14:textId="17B93090" w:rsidR="005E18E2" w:rsidRPr="008C4D92" w:rsidRDefault="002A4017" w:rsidP="00034375">
      <w:pPr>
        <w:numPr>
          <w:ilvl w:val="0"/>
          <w:numId w:val="19"/>
        </w:numPr>
        <w:spacing w:line="480" w:lineRule="auto"/>
        <w:jc w:val="both"/>
      </w:pPr>
      <w:r w:rsidRPr="00BE08C4">
        <w:rPr>
          <w:color w:val="000000" w:themeColor="text1"/>
        </w:rPr>
        <w:t xml:space="preserve"> I am of the view that having regard to the matters discussed above, </w:t>
      </w:r>
      <w:r w:rsidR="00C243C6" w:rsidRPr="00BE08C4">
        <w:rPr>
          <w:color w:val="000000" w:themeColor="text1"/>
        </w:rPr>
        <w:t xml:space="preserve">taken on a cumulative basis, </w:t>
      </w:r>
      <w:r w:rsidRPr="00BE08C4">
        <w:rPr>
          <w:color w:val="000000" w:themeColor="text1"/>
        </w:rPr>
        <w:t xml:space="preserve">the plaintiffs have not met the required threshold of a “strong case” in relation to their case as a whole. In those circumstances, </w:t>
      </w:r>
      <w:r w:rsidR="001353A5">
        <w:rPr>
          <w:color w:val="000000" w:themeColor="text1"/>
        </w:rPr>
        <w:t xml:space="preserve">I believe the appeal should be allowed and </w:t>
      </w:r>
      <w:r w:rsidRPr="00BE08C4">
        <w:rPr>
          <w:color w:val="000000" w:themeColor="text1"/>
        </w:rPr>
        <w:t>it is not strictly necessary to consider the balance of convenience</w:t>
      </w:r>
      <w:r w:rsidR="001353A5">
        <w:rPr>
          <w:color w:val="000000" w:themeColor="text1"/>
        </w:rPr>
        <w:t>. Nonetheless</w:t>
      </w:r>
      <w:r w:rsidRPr="00BE08C4">
        <w:rPr>
          <w:color w:val="000000" w:themeColor="text1"/>
        </w:rPr>
        <w:t xml:space="preserve"> some remarks in that regard may be apposite</w:t>
      </w:r>
      <w:r w:rsidR="00BE08C4">
        <w:rPr>
          <w:color w:val="000000" w:themeColor="text1"/>
        </w:rPr>
        <w:t>.</w:t>
      </w:r>
    </w:p>
    <w:p w14:paraId="6B5E0A50" w14:textId="1E11DE29" w:rsidR="0054753E" w:rsidRPr="008C4D92" w:rsidRDefault="0054753E" w:rsidP="0054753E">
      <w:pPr>
        <w:spacing w:line="480" w:lineRule="auto"/>
        <w:jc w:val="both"/>
        <w:rPr>
          <w:color w:val="000000" w:themeColor="text1"/>
        </w:rPr>
      </w:pPr>
    </w:p>
    <w:p w14:paraId="6DDD9629" w14:textId="14C81AE0" w:rsidR="00A66174" w:rsidRPr="00034375" w:rsidRDefault="00BE08C4" w:rsidP="00034375">
      <w:pPr>
        <w:pStyle w:val="ListParagraph"/>
        <w:numPr>
          <w:ilvl w:val="0"/>
          <w:numId w:val="19"/>
        </w:numPr>
        <w:shd w:val="clear" w:color="auto" w:fill="FFFFFF"/>
        <w:spacing w:after="150" w:line="480" w:lineRule="auto"/>
        <w:jc w:val="both"/>
        <w:rPr>
          <w:color w:val="000000" w:themeColor="text1"/>
          <w:shd w:val="clear" w:color="auto" w:fill="FFFFFF"/>
        </w:rPr>
      </w:pPr>
      <w:r>
        <w:rPr>
          <w:color w:val="000000" w:themeColor="text1"/>
        </w:rPr>
        <w:t xml:space="preserve">The judgment of O’Donnell J. </w:t>
      </w:r>
      <w:r w:rsidR="00A021FD" w:rsidRPr="008C4D92">
        <w:rPr>
          <w:i/>
          <w:color w:val="000000" w:themeColor="text1"/>
        </w:rPr>
        <w:t>Mer</w:t>
      </w:r>
      <w:r w:rsidR="001A3477" w:rsidRPr="008C4D92">
        <w:rPr>
          <w:i/>
          <w:color w:val="000000" w:themeColor="text1"/>
        </w:rPr>
        <w:t>c</w:t>
      </w:r>
      <w:r w:rsidR="00A021FD" w:rsidRPr="008C4D92">
        <w:rPr>
          <w:i/>
          <w:color w:val="000000" w:themeColor="text1"/>
        </w:rPr>
        <w:t>k Sharp &amp; Dohme Corporation v. Clonmel Healthcare Ltd</w:t>
      </w:r>
      <w:r w:rsidR="00E85729">
        <w:rPr>
          <w:i/>
          <w:color w:val="000000" w:themeColor="text1"/>
        </w:rPr>
        <w:t xml:space="preserve"> </w:t>
      </w:r>
      <w:r w:rsidR="00E85729">
        <w:rPr>
          <w:iCs/>
          <w:color w:val="000000" w:themeColor="text1"/>
        </w:rPr>
        <w:t>[2019] IESC 65</w:t>
      </w:r>
      <w:r w:rsidR="00A021FD" w:rsidRPr="008C4D92">
        <w:rPr>
          <w:i/>
          <w:color w:val="000000" w:themeColor="text1"/>
        </w:rPr>
        <w:t xml:space="preserve"> </w:t>
      </w:r>
      <w:r w:rsidR="00506C25" w:rsidRPr="008C4D92">
        <w:rPr>
          <w:color w:val="000000" w:themeColor="text1"/>
        </w:rPr>
        <w:t xml:space="preserve">(see paragraph </w:t>
      </w:r>
      <w:r w:rsidR="007A46A6" w:rsidRPr="008C4D92">
        <w:rPr>
          <w:color w:val="000000" w:themeColor="text1"/>
        </w:rPr>
        <w:t>52)</w:t>
      </w:r>
      <w:r>
        <w:rPr>
          <w:color w:val="000000" w:themeColor="text1"/>
        </w:rPr>
        <w:t xml:space="preserve"> emphasised the equitable nature of the relief in case of an interlocutory injunction as well as the flexibility of the remedy. He stressed the need to take all of the circumstances into account in striving to achieve a pre-trial position which would work the least injustice.</w:t>
      </w:r>
      <w:r w:rsidR="007A46A6" w:rsidRPr="008C4D92">
        <w:rPr>
          <w:color w:val="000000" w:themeColor="text1"/>
        </w:rPr>
        <w:t xml:space="preserve"> </w:t>
      </w:r>
      <w:r w:rsidR="00C960D7">
        <w:rPr>
          <w:color w:val="000000" w:themeColor="text1"/>
        </w:rPr>
        <w:t xml:space="preserve">In the present case, while the </w:t>
      </w:r>
      <w:r w:rsidR="0068267A" w:rsidRPr="000A0EAE">
        <w:rPr>
          <w:color w:val="000000" w:themeColor="text1"/>
        </w:rPr>
        <w:t xml:space="preserve">plaintiffs </w:t>
      </w:r>
      <w:r w:rsidR="00C960D7">
        <w:rPr>
          <w:color w:val="000000" w:themeColor="text1"/>
        </w:rPr>
        <w:t xml:space="preserve">submit that </w:t>
      </w:r>
      <w:r w:rsidR="0068267A" w:rsidRPr="000A0EAE">
        <w:rPr>
          <w:color w:val="000000" w:themeColor="text1"/>
        </w:rPr>
        <w:t xml:space="preserve">the situation at the time of the application </w:t>
      </w:r>
      <w:r w:rsidR="00C960D7">
        <w:rPr>
          <w:color w:val="000000" w:themeColor="text1"/>
        </w:rPr>
        <w:t xml:space="preserve">in the High Court </w:t>
      </w:r>
      <w:r w:rsidR="0068267A" w:rsidRPr="000A0EAE">
        <w:rPr>
          <w:color w:val="000000" w:themeColor="text1"/>
        </w:rPr>
        <w:t xml:space="preserve">was entirely </w:t>
      </w:r>
      <w:r w:rsidR="0068267A" w:rsidRPr="000A0EAE">
        <w:rPr>
          <w:color w:val="000000" w:themeColor="text1"/>
        </w:rPr>
        <w:lastRenderedPageBreak/>
        <w:t>unsatisfactory, with some sixteen people living in the property, and a complete lack of co-operation from the defendant</w:t>
      </w:r>
      <w:r w:rsidR="0068267A">
        <w:rPr>
          <w:color w:val="000000" w:themeColor="text1"/>
        </w:rPr>
        <w:t xml:space="preserve">, </w:t>
      </w:r>
      <w:r w:rsidR="00A00875">
        <w:rPr>
          <w:color w:val="000000" w:themeColor="text1"/>
        </w:rPr>
        <w:t>it is also true to note that</w:t>
      </w:r>
      <w:r w:rsidR="0068267A">
        <w:rPr>
          <w:color w:val="000000" w:themeColor="text1"/>
        </w:rPr>
        <w:t xml:space="preserve"> despite the</w:t>
      </w:r>
      <w:r w:rsidR="00A00875">
        <w:rPr>
          <w:color w:val="000000" w:themeColor="text1"/>
        </w:rPr>
        <w:t>ir</w:t>
      </w:r>
      <w:r w:rsidR="0068267A">
        <w:rPr>
          <w:color w:val="000000" w:themeColor="text1"/>
        </w:rPr>
        <w:t xml:space="preserve"> calling in of the public authorities, no hazard was identified or enforcement action taken.</w:t>
      </w:r>
      <w:r w:rsidR="009D6D2D">
        <w:rPr>
          <w:color w:val="000000" w:themeColor="text1"/>
        </w:rPr>
        <w:t xml:space="preserve"> </w:t>
      </w:r>
      <w:r w:rsidR="00B531A0">
        <w:rPr>
          <w:color w:val="000000" w:themeColor="text1"/>
        </w:rPr>
        <w:t>Secondly</w:t>
      </w:r>
      <w:r w:rsidR="001E0430">
        <w:rPr>
          <w:color w:val="000000" w:themeColor="text1"/>
        </w:rPr>
        <w:t>, it is of considerable</w:t>
      </w:r>
      <w:r w:rsidR="0068267A">
        <w:rPr>
          <w:color w:val="000000" w:themeColor="text1"/>
        </w:rPr>
        <w:t xml:space="preserve"> importance that at the hearing of the appeal </w:t>
      </w:r>
      <w:r w:rsidR="0068267A" w:rsidRPr="008C4D92">
        <w:rPr>
          <w:color w:val="000000" w:themeColor="text1"/>
        </w:rPr>
        <w:t>it was indicated by counsel on behalf of the plaintiffs that</w:t>
      </w:r>
      <w:r w:rsidR="00A23CDE">
        <w:rPr>
          <w:color w:val="000000" w:themeColor="text1"/>
        </w:rPr>
        <w:t xml:space="preserve"> the property </w:t>
      </w:r>
      <w:r w:rsidR="0073004C">
        <w:rPr>
          <w:color w:val="000000" w:themeColor="text1"/>
        </w:rPr>
        <w:t xml:space="preserve">had been secured by the receivers and </w:t>
      </w:r>
      <w:r w:rsidR="00A23CDE">
        <w:rPr>
          <w:color w:val="000000" w:themeColor="text1"/>
        </w:rPr>
        <w:t xml:space="preserve">was </w:t>
      </w:r>
      <w:r w:rsidR="0073004C">
        <w:rPr>
          <w:color w:val="000000" w:themeColor="text1"/>
        </w:rPr>
        <w:t xml:space="preserve">now </w:t>
      </w:r>
      <w:r w:rsidR="00A23CDE">
        <w:rPr>
          <w:color w:val="000000" w:themeColor="text1"/>
        </w:rPr>
        <w:t>vacant</w:t>
      </w:r>
      <w:r w:rsidR="0073004C">
        <w:rPr>
          <w:color w:val="000000" w:themeColor="text1"/>
        </w:rPr>
        <w:t>. No</w:t>
      </w:r>
      <w:r w:rsidR="0068267A" w:rsidRPr="008C4D92">
        <w:rPr>
          <w:color w:val="000000" w:themeColor="text1"/>
        </w:rPr>
        <w:t xml:space="preserve"> tenants had been secured for the property </w:t>
      </w:r>
      <w:r w:rsidR="0068267A">
        <w:rPr>
          <w:color w:val="000000" w:themeColor="text1"/>
        </w:rPr>
        <w:t xml:space="preserve">since the High Court order was made. Counsel said that this was because it was difficult to let the premises by reason of the </w:t>
      </w:r>
      <w:r w:rsidR="00A57072">
        <w:rPr>
          <w:color w:val="000000" w:themeColor="text1"/>
        </w:rPr>
        <w:t xml:space="preserve">pending </w:t>
      </w:r>
      <w:r w:rsidR="0068267A">
        <w:rPr>
          <w:color w:val="000000" w:themeColor="text1"/>
        </w:rPr>
        <w:t>court proceedings</w:t>
      </w:r>
      <w:r w:rsidR="00A23CDE">
        <w:rPr>
          <w:color w:val="000000" w:themeColor="text1"/>
        </w:rPr>
        <w:t>. However,</w:t>
      </w:r>
      <w:r w:rsidR="0068267A">
        <w:rPr>
          <w:color w:val="000000" w:themeColor="text1"/>
        </w:rPr>
        <w:t xml:space="preserve"> there was no affidavit evidence to this effect, and it is difficult</w:t>
      </w:r>
      <w:r w:rsidR="00A57072">
        <w:rPr>
          <w:color w:val="000000" w:themeColor="text1"/>
        </w:rPr>
        <w:t xml:space="preserve"> not to be somewhat sceptical about</w:t>
      </w:r>
      <w:r w:rsidR="0068267A">
        <w:rPr>
          <w:color w:val="000000" w:themeColor="text1"/>
        </w:rPr>
        <w:t xml:space="preserve"> this explanation </w:t>
      </w:r>
      <w:r w:rsidR="001B5BF2">
        <w:rPr>
          <w:color w:val="000000" w:themeColor="text1"/>
        </w:rPr>
        <w:t xml:space="preserve">having regard to </w:t>
      </w:r>
      <w:r w:rsidR="0068267A">
        <w:rPr>
          <w:color w:val="000000" w:themeColor="text1"/>
        </w:rPr>
        <w:t>the current Dublin rental climate. What has therefore happened is that</w:t>
      </w:r>
      <w:r w:rsidR="0073004C">
        <w:rPr>
          <w:color w:val="000000" w:themeColor="text1"/>
        </w:rPr>
        <w:t>, by obtaining the interlocutory injunction,</w:t>
      </w:r>
      <w:r w:rsidR="0068267A">
        <w:rPr>
          <w:color w:val="000000" w:themeColor="text1"/>
        </w:rPr>
        <w:t xml:space="preserve"> the plaintiffs</w:t>
      </w:r>
      <w:r w:rsidR="00A57072">
        <w:rPr>
          <w:color w:val="000000" w:themeColor="text1"/>
        </w:rPr>
        <w:t xml:space="preserve"> </w:t>
      </w:r>
      <w:r w:rsidR="0068267A">
        <w:rPr>
          <w:color w:val="000000" w:themeColor="text1"/>
        </w:rPr>
        <w:t xml:space="preserve">have created a situation where the </w:t>
      </w:r>
      <w:r w:rsidR="00BD6CB9">
        <w:rPr>
          <w:color w:val="000000" w:themeColor="text1"/>
        </w:rPr>
        <w:t xml:space="preserve">existing </w:t>
      </w:r>
      <w:r w:rsidR="0068267A">
        <w:rPr>
          <w:color w:val="000000" w:themeColor="text1"/>
        </w:rPr>
        <w:t>tenants were evicted and no new tenants have been secured. Nor was the Court informed of any significant efforts to bring the</w:t>
      </w:r>
      <w:r w:rsidR="0073004C">
        <w:rPr>
          <w:color w:val="000000" w:themeColor="text1"/>
        </w:rPr>
        <w:t xml:space="preserve"> substantive</w:t>
      </w:r>
      <w:r w:rsidR="0068267A">
        <w:rPr>
          <w:color w:val="000000" w:themeColor="text1"/>
        </w:rPr>
        <w:t xml:space="preserve"> matter to trial; merely that a timetable</w:t>
      </w:r>
      <w:r w:rsidR="0073004C">
        <w:rPr>
          <w:color w:val="000000" w:themeColor="text1"/>
        </w:rPr>
        <w:t xml:space="preserve"> had been</w:t>
      </w:r>
      <w:r w:rsidR="0068267A">
        <w:rPr>
          <w:color w:val="000000" w:themeColor="text1"/>
        </w:rPr>
        <w:t xml:space="preserve"> agreed.</w:t>
      </w:r>
      <w:r w:rsidR="00E11E60">
        <w:rPr>
          <w:color w:val="000000" w:themeColor="text1"/>
        </w:rPr>
        <w:t xml:space="preserve"> Meanwhile the property lies vacant</w:t>
      </w:r>
      <w:r w:rsidR="00D6330A">
        <w:rPr>
          <w:color w:val="000000" w:themeColor="text1"/>
        </w:rPr>
        <w:t xml:space="preserve"> and is generating no rent for anybody.</w:t>
      </w:r>
      <w:r w:rsidR="0047226D">
        <w:rPr>
          <w:color w:val="000000" w:themeColor="text1"/>
        </w:rPr>
        <w:t xml:space="preserve"> Were it necessary to decide the matter on the balance of convenience, th</w:t>
      </w:r>
      <w:r w:rsidR="00C30449">
        <w:rPr>
          <w:color w:val="000000" w:themeColor="text1"/>
        </w:rPr>
        <w:t xml:space="preserve">ese </w:t>
      </w:r>
      <w:r w:rsidR="0073004C">
        <w:rPr>
          <w:color w:val="000000" w:themeColor="text1"/>
        </w:rPr>
        <w:t>would be significant factors</w:t>
      </w:r>
      <w:r w:rsidR="0047226D">
        <w:rPr>
          <w:color w:val="000000" w:themeColor="text1"/>
        </w:rPr>
        <w:t xml:space="preserve"> in the balance in favour of a discharge of the interlocutory injunction. </w:t>
      </w:r>
      <w:r w:rsidR="00C30449">
        <w:rPr>
          <w:color w:val="000000" w:themeColor="text1"/>
        </w:rPr>
        <w:t xml:space="preserve">However, it is not necessary to proceed to this issue because of my earlier conclusion regarding the failure of the plaintiffs to meet the “strong case” threshold having regard to the various issues raised on behalf of the second defendant. </w:t>
      </w:r>
    </w:p>
    <w:p w14:paraId="0AEE826B" w14:textId="77777777" w:rsidR="00A66174" w:rsidRPr="008C4D92" w:rsidRDefault="00A66174" w:rsidP="00A66174">
      <w:pPr>
        <w:pStyle w:val="ListParagraph"/>
        <w:rPr>
          <w:color w:val="000000" w:themeColor="text1"/>
        </w:rPr>
      </w:pPr>
    </w:p>
    <w:p w14:paraId="45677D4D" w14:textId="71C5F627" w:rsidR="003A0A45" w:rsidRDefault="00FF1C19" w:rsidP="00BA726F">
      <w:pPr>
        <w:numPr>
          <w:ilvl w:val="0"/>
          <w:numId w:val="19"/>
        </w:numPr>
        <w:spacing w:line="480" w:lineRule="auto"/>
        <w:jc w:val="both"/>
        <w:rPr>
          <w:color w:val="000000" w:themeColor="text1"/>
        </w:rPr>
      </w:pPr>
      <w:r w:rsidRPr="008C4D92" w:rsidDel="004C750E">
        <w:rPr>
          <w:color w:val="000000" w:themeColor="text1"/>
        </w:rPr>
        <w:t xml:space="preserve"> </w:t>
      </w:r>
      <w:r w:rsidR="00111822">
        <w:rPr>
          <w:color w:val="000000" w:themeColor="text1"/>
        </w:rPr>
        <w:t>As this judgment is being delivered electronically, I wish to record that my colleagues Whelan and Donnelly J.J. have read the judgment and are in agreement with it.</w:t>
      </w:r>
    </w:p>
    <w:p w14:paraId="7679F136" w14:textId="77777777" w:rsidR="00111822" w:rsidRDefault="00111822" w:rsidP="009939CE">
      <w:pPr>
        <w:pStyle w:val="ListParagraph"/>
        <w:rPr>
          <w:color w:val="000000" w:themeColor="text1"/>
        </w:rPr>
      </w:pPr>
    </w:p>
    <w:p w14:paraId="3D5EBCB3" w14:textId="2438A342" w:rsidR="00111822" w:rsidRDefault="00111822" w:rsidP="00BA726F">
      <w:pPr>
        <w:numPr>
          <w:ilvl w:val="0"/>
          <w:numId w:val="19"/>
        </w:numPr>
        <w:spacing w:line="480" w:lineRule="auto"/>
        <w:jc w:val="both"/>
        <w:rPr>
          <w:color w:val="000000" w:themeColor="text1"/>
        </w:rPr>
      </w:pPr>
      <w:r>
        <w:rPr>
          <w:color w:val="000000" w:themeColor="text1"/>
        </w:rPr>
        <w:t xml:space="preserve">As the appellant has been successful in this appeal, my provisional view is that the appellant is entitled to the costs of the appeal. If the plaintiffs wish to contend for a different order, they have liberty to apply to the Court of Appeal Office within 14 days for a brief </w:t>
      </w:r>
      <w:r>
        <w:rPr>
          <w:color w:val="000000" w:themeColor="text1"/>
        </w:rPr>
        <w:lastRenderedPageBreak/>
        <w:t>hearing on the issue of costs. If such hearing is requested and results in an order in the</w:t>
      </w:r>
      <w:r w:rsidR="009939CE">
        <w:rPr>
          <w:color w:val="000000" w:themeColor="text1"/>
        </w:rPr>
        <w:t xml:space="preserve"> terms I have suggested, he may be liable for the additional costs of that hearing. In default of receipt of such application within 14 days, an order in the proposed terms will be made.</w:t>
      </w:r>
    </w:p>
    <w:p w14:paraId="16BEBEA1" w14:textId="28401E3F" w:rsidR="003A0A45" w:rsidRPr="004C750E" w:rsidRDefault="003A0A45" w:rsidP="009939CE">
      <w:pPr>
        <w:spacing w:line="480" w:lineRule="auto"/>
        <w:jc w:val="both"/>
        <w:rPr>
          <w:color w:val="000000" w:themeColor="text1"/>
        </w:rPr>
      </w:pPr>
    </w:p>
    <w:sectPr w:rsidR="003A0A45" w:rsidRPr="004C750E" w:rsidSect="004D2DE1">
      <w:headerReference w:type="even" r:id="rId9"/>
      <w:headerReference w:type="default" r:id="rId10"/>
      <w:footerReference w:type="default" r:id="rId11"/>
      <w:headerReference w:type="first" r:id="rId12"/>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B4636" w14:textId="77777777" w:rsidR="009024A9" w:rsidRDefault="009024A9">
      <w:r>
        <w:separator/>
      </w:r>
    </w:p>
  </w:endnote>
  <w:endnote w:type="continuationSeparator" w:id="0">
    <w:p w14:paraId="3ABBAFA7" w14:textId="77777777" w:rsidR="009024A9" w:rsidRDefault="0090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12041"/>
      <w:docPartObj>
        <w:docPartGallery w:val="Page Numbers (Bottom of Page)"/>
        <w:docPartUnique/>
      </w:docPartObj>
    </w:sdtPr>
    <w:sdtEndPr>
      <w:rPr>
        <w:noProof/>
      </w:rPr>
    </w:sdtEndPr>
    <w:sdtContent>
      <w:p w14:paraId="5F2A811E" w14:textId="5C19C5B8" w:rsidR="009024A9" w:rsidRDefault="00902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37E50" w14:textId="77777777" w:rsidR="009024A9" w:rsidRDefault="00902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4044" w14:textId="77777777" w:rsidR="009024A9" w:rsidRDefault="009024A9">
      <w:r>
        <w:separator/>
      </w:r>
    </w:p>
  </w:footnote>
  <w:footnote w:type="continuationSeparator" w:id="0">
    <w:p w14:paraId="685E0ACF" w14:textId="77777777" w:rsidR="009024A9" w:rsidRDefault="0090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68DE4" w14:textId="77777777" w:rsidR="009024A9" w:rsidRDefault="009024A9"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329E19B4" w14:textId="77777777" w:rsidR="009024A9" w:rsidRDefault="00902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8AB9D" w14:textId="77777777" w:rsidR="009024A9" w:rsidRDefault="009024A9"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14:paraId="1C4CA6B1" w14:textId="77777777" w:rsidR="009024A9" w:rsidRDefault="009024A9" w:rsidP="001B775E">
    <w:pPr>
      <w:pStyle w:val="Header"/>
      <w:jc w:val="center"/>
    </w:pPr>
  </w:p>
  <w:p w14:paraId="43A38322" w14:textId="77777777" w:rsidR="009024A9" w:rsidRDefault="009024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36DE7" w14:textId="77777777" w:rsidR="009024A9" w:rsidRDefault="009024A9" w:rsidP="00974626">
    <w:pPr>
      <w:pStyle w:val="Header"/>
      <w:jc w:val="center"/>
    </w:pPr>
    <w:r w:rsidRPr="009C3941">
      <w:rPr>
        <w:noProof/>
      </w:rPr>
      <w:drawing>
        <wp:inline distT="0" distB="0" distL="0" distR="0" wp14:anchorId="493B01ED" wp14:editId="77C5C14D">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AA67D36"/>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1809000F">
      <w:start w:val="1"/>
      <w:numFmt w:val="decimal"/>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1809001B">
      <w:start w:val="1"/>
      <w:numFmt w:val="lowerRoman"/>
      <w:lvlText w:val="%5."/>
      <w:lvlJc w:val="righ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193FD8"/>
    <w:multiLevelType w:val="hybridMultilevel"/>
    <w:tmpl w:val="FEB056E8"/>
    <w:lvl w:ilvl="0" w:tplc="18090017">
      <w:start w:val="1"/>
      <w:numFmt w:val="lowerLetter"/>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7" w15:restartNumberingAfterBreak="0">
    <w:nsid w:val="34500E42"/>
    <w:multiLevelType w:val="hybridMultilevel"/>
    <w:tmpl w:val="690A2D06"/>
    <w:lvl w:ilvl="0" w:tplc="C14CF194">
      <w:start w:val="1"/>
      <w:numFmt w:val="decimal"/>
      <w:lvlText w:val="%1."/>
      <w:lvlJc w:val="left"/>
      <w:pPr>
        <w:tabs>
          <w:tab w:val="num" w:pos="567"/>
        </w:tabs>
        <w:ind w:left="0" w:firstLine="0"/>
      </w:pPr>
      <w:rPr>
        <w:rFonts w:hint="default"/>
        <w:b/>
        <w:i w:val="0"/>
        <w:color w:val="auto"/>
        <w:sz w:val="24"/>
      </w:rPr>
    </w:lvl>
    <w:lvl w:ilvl="1" w:tplc="C14CF194">
      <w:start w:val="1"/>
      <w:numFmt w:val="decimal"/>
      <w:lvlText w:val="%2."/>
      <w:lvlJc w:val="left"/>
      <w:pPr>
        <w:tabs>
          <w:tab w:val="num" w:pos="1134"/>
        </w:tabs>
        <w:ind w:left="1134" w:hanging="567"/>
      </w:pPr>
      <w:rPr>
        <w:rFonts w:hint="default"/>
        <w:b/>
        <w:i w:val="0"/>
        <w:color w:val="auto"/>
        <w:sz w:val="24"/>
      </w:rPr>
    </w:lvl>
    <w:lvl w:ilvl="2" w:tplc="1809000F">
      <w:start w:val="1"/>
      <w:numFmt w:val="decimal"/>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1809001B">
      <w:start w:val="1"/>
      <w:numFmt w:val="lowerRoman"/>
      <w:lvlText w:val="%5."/>
      <w:lvlJc w:val="righ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CC76CD4"/>
    <w:multiLevelType w:val="multilevel"/>
    <w:tmpl w:val="E534856C"/>
    <w:lvl w:ilvl="0">
      <w:start w:val="1"/>
      <w:numFmt w:val="decimal"/>
      <w:lvlText w:val="%1."/>
      <w:lvlJc w:val="left"/>
      <w:pPr>
        <w:ind w:left="1287" w:hanging="360"/>
      </w:pPr>
    </w:lvl>
    <w:lvl w:ilvl="1">
      <w:start w:val="7"/>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68441F5"/>
    <w:multiLevelType w:val="multilevel"/>
    <w:tmpl w:val="3EB870EE"/>
    <w:lvl w:ilvl="0">
      <w:start w:val="4"/>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5D450E1"/>
    <w:multiLevelType w:val="multilevel"/>
    <w:tmpl w:val="28F489A4"/>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74065E36"/>
    <w:multiLevelType w:val="hybridMultilevel"/>
    <w:tmpl w:val="F32EBB12"/>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2"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ED69A4"/>
    <w:multiLevelType w:val="hybridMultilevel"/>
    <w:tmpl w:val="126ABBAC"/>
    <w:lvl w:ilvl="0" w:tplc="C14CF194">
      <w:start w:val="1"/>
      <w:numFmt w:val="decimal"/>
      <w:lvlText w:val="%1."/>
      <w:lvlJc w:val="left"/>
      <w:pPr>
        <w:tabs>
          <w:tab w:val="num" w:pos="567"/>
        </w:tabs>
        <w:ind w:left="0" w:firstLine="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8FF1ACF"/>
    <w:multiLevelType w:val="hybridMultilevel"/>
    <w:tmpl w:val="4840455E"/>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num w:numId="1">
    <w:abstractNumId w:val="2"/>
  </w:num>
  <w:num w:numId="2">
    <w:abstractNumId w:val="18"/>
  </w:num>
  <w:num w:numId="3">
    <w:abstractNumId w:val="29"/>
  </w:num>
  <w:num w:numId="4">
    <w:abstractNumId w:val="7"/>
  </w:num>
  <w:num w:numId="5">
    <w:abstractNumId w:val="30"/>
  </w:num>
  <w:num w:numId="6">
    <w:abstractNumId w:val="11"/>
  </w:num>
  <w:num w:numId="7">
    <w:abstractNumId w:val="10"/>
  </w:num>
  <w:num w:numId="8">
    <w:abstractNumId w:val="3"/>
  </w:num>
  <w:num w:numId="9">
    <w:abstractNumId w:val="27"/>
  </w:num>
  <w:num w:numId="10">
    <w:abstractNumId w:val="9"/>
  </w:num>
  <w:num w:numId="11">
    <w:abstractNumId w:val="21"/>
  </w:num>
  <w:num w:numId="12">
    <w:abstractNumId w:val="1"/>
  </w:num>
  <w:num w:numId="13">
    <w:abstractNumId w:val="32"/>
  </w:num>
  <w:num w:numId="14">
    <w:abstractNumId w:val="8"/>
  </w:num>
  <w:num w:numId="15">
    <w:abstractNumId w:val="15"/>
  </w:num>
  <w:num w:numId="16">
    <w:abstractNumId w:val="12"/>
  </w:num>
  <w:num w:numId="17">
    <w:abstractNumId w:val="20"/>
  </w:num>
  <w:num w:numId="18">
    <w:abstractNumId w:val="14"/>
  </w:num>
  <w:num w:numId="19">
    <w:abstractNumId w:val="4"/>
  </w:num>
  <w:num w:numId="20">
    <w:abstractNumId w:val="24"/>
  </w:num>
  <w:num w:numId="21">
    <w:abstractNumId w:val="13"/>
  </w:num>
  <w:num w:numId="22">
    <w:abstractNumId w:val="5"/>
  </w:num>
  <w:num w:numId="23">
    <w:abstractNumId w:val="25"/>
  </w:num>
  <w:num w:numId="24">
    <w:abstractNumId w:val="28"/>
  </w:num>
  <w:num w:numId="25">
    <w:abstractNumId w:val="22"/>
  </w:num>
  <w:num w:numId="26">
    <w:abstractNumId w:val="0"/>
  </w:num>
  <w:num w:numId="27">
    <w:abstractNumId w:val="16"/>
  </w:num>
  <w:num w:numId="28">
    <w:abstractNumId w:val="19"/>
  </w:num>
  <w:num w:numId="29">
    <w:abstractNumId w:val="6"/>
  </w:num>
  <w:num w:numId="30">
    <w:abstractNumId w:val="34"/>
  </w:num>
  <w:num w:numId="31">
    <w:abstractNumId w:val="31"/>
  </w:num>
  <w:num w:numId="32">
    <w:abstractNumId w:val="33"/>
  </w:num>
  <w:num w:numId="33">
    <w:abstractNumId w:val="26"/>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4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0EBA"/>
    <w:rsid w:val="00004EFE"/>
    <w:rsid w:val="00007FE2"/>
    <w:rsid w:val="00016A9B"/>
    <w:rsid w:val="0001761F"/>
    <w:rsid w:val="00024584"/>
    <w:rsid w:val="000302F4"/>
    <w:rsid w:val="00031C1D"/>
    <w:rsid w:val="00032966"/>
    <w:rsid w:val="00032BFD"/>
    <w:rsid w:val="00034375"/>
    <w:rsid w:val="00034559"/>
    <w:rsid w:val="000418F5"/>
    <w:rsid w:val="00043C28"/>
    <w:rsid w:val="0004558B"/>
    <w:rsid w:val="00047E99"/>
    <w:rsid w:val="00050E55"/>
    <w:rsid w:val="00050E5C"/>
    <w:rsid w:val="000521EA"/>
    <w:rsid w:val="0005243F"/>
    <w:rsid w:val="00052824"/>
    <w:rsid w:val="0005300C"/>
    <w:rsid w:val="000530E6"/>
    <w:rsid w:val="000537D4"/>
    <w:rsid w:val="000545ED"/>
    <w:rsid w:val="000547E1"/>
    <w:rsid w:val="00055DBA"/>
    <w:rsid w:val="00060A43"/>
    <w:rsid w:val="00060E5F"/>
    <w:rsid w:val="0006271F"/>
    <w:rsid w:val="00065438"/>
    <w:rsid w:val="00065A06"/>
    <w:rsid w:val="00066D7E"/>
    <w:rsid w:val="00067128"/>
    <w:rsid w:val="00067267"/>
    <w:rsid w:val="0006747A"/>
    <w:rsid w:val="00070A78"/>
    <w:rsid w:val="0007100E"/>
    <w:rsid w:val="0007165B"/>
    <w:rsid w:val="00072E08"/>
    <w:rsid w:val="00073E48"/>
    <w:rsid w:val="0007465E"/>
    <w:rsid w:val="00080533"/>
    <w:rsid w:val="0008431D"/>
    <w:rsid w:val="00085810"/>
    <w:rsid w:val="00090102"/>
    <w:rsid w:val="000910C1"/>
    <w:rsid w:val="000910ED"/>
    <w:rsid w:val="00091A7A"/>
    <w:rsid w:val="00092255"/>
    <w:rsid w:val="00093B00"/>
    <w:rsid w:val="00094B09"/>
    <w:rsid w:val="00095A6A"/>
    <w:rsid w:val="000A0EAE"/>
    <w:rsid w:val="000A10DD"/>
    <w:rsid w:val="000A31BD"/>
    <w:rsid w:val="000A4D4E"/>
    <w:rsid w:val="000A60D9"/>
    <w:rsid w:val="000A6AA3"/>
    <w:rsid w:val="000B203F"/>
    <w:rsid w:val="000B28AB"/>
    <w:rsid w:val="000B34A0"/>
    <w:rsid w:val="000B3E3F"/>
    <w:rsid w:val="000B4A2B"/>
    <w:rsid w:val="000B7A59"/>
    <w:rsid w:val="000B7BE2"/>
    <w:rsid w:val="000C0E3D"/>
    <w:rsid w:val="000C250F"/>
    <w:rsid w:val="000C27BE"/>
    <w:rsid w:val="000C294F"/>
    <w:rsid w:val="000C3641"/>
    <w:rsid w:val="000C3E36"/>
    <w:rsid w:val="000C461B"/>
    <w:rsid w:val="000C5521"/>
    <w:rsid w:val="000C646D"/>
    <w:rsid w:val="000C66B4"/>
    <w:rsid w:val="000C6914"/>
    <w:rsid w:val="000C7648"/>
    <w:rsid w:val="000D3C99"/>
    <w:rsid w:val="000E0DF9"/>
    <w:rsid w:val="000E2C9C"/>
    <w:rsid w:val="000E7CF1"/>
    <w:rsid w:val="000F06C3"/>
    <w:rsid w:val="000F08C9"/>
    <w:rsid w:val="000F2713"/>
    <w:rsid w:val="000F3F80"/>
    <w:rsid w:val="000F46C5"/>
    <w:rsid w:val="000F4CF5"/>
    <w:rsid w:val="000F5FFE"/>
    <w:rsid w:val="00100037"/>
    <w:rsid w:val="00101794"/>
    <w:rsid w:val="00103498"/>
    <w:rsid w:val="001034F7"/>
    <w:rsid w:val="00111822"/>
    <w:rsid w:val="00113ACA"/>
    <w:rsid w:val="00114016"/>
    <w:rsid w:val="00115914"/>
    <w:rsid w:val="001214D3"/>
    <w:rsid w:val="00121992"/>
    <w:rsid w:val="001222D5"/>
    <w:rsid w:val="001228E7"/>
    <w:rsid w:val="00123171"/>
    <w:rsid w:val="001310FB"/>
    <w:rsid w:val="001317C5"/>
    <w:rsid w:val="001346B3"/>
    <w:rsid w:val="001353A5"/>
    <w:rsid w:val="00136889"/>
    <w:rsid w:val="00137D5C"/>
    <w:rsid w:val="00143750"/>
    <w:rsid w:val="00143C0D"/>
    <w:rsid w:val="00143DE8"/>
    <w:rsid w:val="00143EBD"/>
    <w:rsid w:val="001442E4"/>
    <w:rsid w:val="00151CB6"/>
    <w:rsid w:val="001535E9"/>
    <w:rsid w:val="00153B91"/>
    <w:rsid w:val="0015674B"/>
    <w:rsid w:val="0015725D"/>
    <w:rsid w:val="00157AEE"/>
    <w:rsid w:val="00157FC3"/>
    <w:rsid w:val="0016248D"/>
    <w:rsid w:val="00162683"/>
    <w:rsid w:val="0016296F"/>
    <w:rsid w:val="00163355"/>
    <w:rsid w:val="00163875"/>
    <w:rsid w:val="001643F7"/>
    <w:rsid w:val="0016723D"/>
    <w:rsid w:val="0016732C"/>
    <w:rsid w:val="001673EE"/>
    <w:rsid w:val="001679A4"/>
    <w:rsid w:val="00174E2B"/>
    <w:rsid w:val="0017722B"/>
    <w:rsid w:val="0017786F"/>
    <w:rsid w:val="00180365"/>
    <w:rsid w:val="001829B0"/>
    <w:rsid w:val="0018462A"/>
    <w:rsid w:val="0018578C"/>
    <w:rsid w:val="001863AE"/>
    <w:rsid w:val="00186727"/>
    <w:rsid w:val="00187BD9"/>
    <w:rsid w:val="00190E6B"/>
    <w:rsid w:val="001970CF"/>
    <w:rsid w:val="00197492"/>
    <w:rsid w:val="001974BB"/>
    <w:rsid w:val="00197A24"/>
    <w:rsid w:val="00197DAB"/>
    <w:rsid w:val="001A3477"/>
    <w:rsid w:val="001A38A4"/>
    <w:rsid w:val="001A3EE9"/>
    <w:rsid w:val="001A43A6"/>
    <w:rsid w:val="001A6CA5"/>
    <w:rsid w:val="001A780C"/>
    <w:rsid w:val="001A7BCE"/>
    <w:rsid w:val="001A7CEE"/>
    <w:rsid w:val="001B1098"/>
    <w:rsid w:val="001B2502"/>
    <w:rsid w:val="001B3E09"/>
    <w:rsid w:val="001B4145"/>
    <w:rsid w:val="001B5BF2"/>
    <w:rsid w:val="001B775E"/>
    <w:rsid w:val="001C23C6"/>
    <w:rsid w:val="001C2E85"/>
    <w:rsid w:val="001C3575"/>
    <w:rsid w:val="001C5AE4"/>
    <w:rsid w:val="001C657B"/>
    <w:rsid w:val="001C7A14"/>
    <w:rsid w:val="001D3555"/>
    <w:rsid w:val="001D6D99"/>
    <w:rsid w:val="001E0430"/>
    <w:rsid w:val="001E0B6C"/>
    <w:rsid w:val="001E2983"/>
    <w:rsid w:val="001E3130"/>
    <w:rsid w:val="001E3253"/>
    <w:rsid w:val="001E57E7"/>
    <w:rsid w:val="001E72D5"/>
    <w:rsid w:val="001E73DC"/>
    <w:rsid w:val="001F0873"/>
    <w:rsid w:val="001F6110"/>
    <w:rsid w:val="00201262"/>
    <w:rsid w:val="00201447"/>
    <w:rsid w:val="00204E44"/>
    <w:rsid w:val="00206F7A"/>
    <w:rsid w:val="00207A13"/>
    <w:rsid w:val="002105D3"/>
    <w:rsid w:val="00213B77"/>
    <w:rsid w:val="00213E96"/>
    <w:rsid w:val="00217F2B"/>
    <w:rsid w:val="00220493"/>
    <w:rsid w:val="00220CD1"/>
    <w:rsid w:val="00221575"/>
    <w:rsid w:val="00221FAC"/>
    <w:rsid w:val="00225C3E"/>
    <w:rsid w:val="00226A4E"/>
    <w:rsid w:val="0023017E"/>
    <w:rsid w:val="0023371E"/>
    <w:rsid w:val="00234DAB"/>
    <w:rsid w:val="002369DD"/>
    <w:rsid w:val="00236F93"/>
    <w:rsid w:val="00236FCF"/>
    <w:rsid w:val="0024047A"/>
    <w:rsid w:val="00240F25"/>
    <w:rsid w:val="0024160C"/>
    <w:rsid w:val="00241B65"/>
    <w:rsid w:val="00243D31"/>
    <w:rsid w:val="00244952"/>
    <w:rsid w:val="00246E47"/>
    <w:rsid w:val="00250090"/>
    <w:rsid w:val="00251E8C"/>
    <w:rsid w:val="00252605"/>
    <w:rsid w:val="0025592F"/>
    <w:rsid w:val="00255C1A"/>
    <w:rsid w:val="002564B8"/>
    <w:rsid w:val="002601E3"/>
    <w:rsid w:val="002605A7"/>
    <w:rsid w:val="00260857"/>
    <w:rsid w:val="0026430C"/>
    <w:rsid w:val="002710C0"/>
    <w:rsid w:val="00271204"/>
    <w:rsid w:val="00271674"/>
    <w:rsid w:val="00271792"/>
    <w:rsid w:val="00273525"/>
    <w:rsid w:val="00274C70"/>
    <w:rsid w:val="0027546A"/>
    <w:rsid w:val="002757EA"/>
    <w:rsid w:val="00276BEE"/>
    <w:rsid w:val="00277806"/>
    <w:rsid w:val="00277C16"/>
    <w:rsid w:val="00280331"/>
    <w:rsid w:val="00281090"/>
    <w:rsid w:val="00281B35"/>
    <w:rsid w:val="00282E78"/>
    <w:rsid w:val="00283360"/>
    <w:rsid w:val="00283F52"/>
    <w:rsid w:val="002842C7"/>
    <w:rsid w:val="00285315"/>
    <w:rsid w:val="00290174"/>
    <w:rsid w:val="00291504"/>
    <w:rsid w:val="00291CC4"/>
    <w:rsid w:val="00293B7D"/>
    <w:rsid w:val="00293BA1"/>
    <w:rsid w:val="002944AA"/>
    <w:rsid w:val="002950BA"/>
    <w:rsid w:val="002A1530"/>
    <w:rsid w:val="002A4017"/>
    <w:rsid w:val="002A69F5"/>
    <w:rsid w:val="002A6F27"/>
    <w:rsid w:val="002B074A"/>
    <w:rsid w:val="002B2A6F"/>
    <w:rsid w:val="002B4219"/>
    <w:rsid w:val="002B4588"/>
    <w:rsid w:val="002B511A"/>
    <w:rsid w:val="002C1376"/>
    <w:rsid w:val="002C275C"/>
    <w:rsid w:val="002C534E"/>
    <w:rsid w:val="002C5835"/>
    <w:rsid w:val="002C5D8A"/>
    <w:rsid w:val="002C7F38"/>
    <w:rsid w:val="002D0284"/>
    <w:rsid w:val="002D0EC2"/>
    <w:rsid w:val="002D16AC"/>
    <w:rsid w:val="002D2196"/>
    <w:rsid w:val="002D39A2"/>
    <w:rsid w:val="002D5FBD"/>
    <w:rsid w:val="002D7034"/>
    <w:rsid w:val="002E0398"/>
    <w:rsid w:val="002E242E"/>
    <w:rsid w:val="002E258B"/>
    <w:rsid w:val="002E28ED"/>
    <w:rsid w:val="002E2A81"/>
    <w:rsid w:val="002E2DA3"/>
    <w:rsid w:val="002E2DDA"/>
    <w:rsid w:val="002E47CA"/>
    <w:rsid w:val="002E5643"/>
    <w:rsid w:val="002E648D"/>
    <w:rsid w:val="00301458"/>
    <w:rsid w:val="00312222"/>
    <w:rsid w:val="00317A0E"/>
    <w:rsid w:val="003219C6"/>
    <w:rsid w:val="00322CA8"/>
    <w:rsid w:val="00323CE7"/>
    <w:rsid w:val="00325CD7"/>
    <w:rsid w:val="00326E17"/>
    <w:rsid w:val="0032726B"/>
    <w:rsid w:val="0032750C"/>
    <w:rsid w:val="0033127F"/>
    <w:rsid w:val="00331734"/>
    <w:rsid w:val="00333597"/>
    <w:rsid w:val="003344CA"/>
    <w:rsid w:val="00335273"/>
    <w:rsid w:val="00340067"/>
    <w:rsid w:val="00341A52"/>
    <w:rsid w:val="0034297B"/>
    <w:rsid w:val="00344D94"/>
    <w:rsid w:val="00344DB6"/>
    <w:rsid w:val="00345ECD"/>
    <w:rsid w:val="003461A2"/>
    <w:rsid w:val="00346265"/>
    <w:rsid w:val="003478F2"/>
    <w:rsid w:val="0035019A"/>
    <w:rsid w:val="00351739"/>
    <w:rsid w:val="0035399C"/>
    <w:rsid w:val="00353B9C"/>
    <w:rsid w:val="00355C53"/>
    <w:rsid w:val="003576C2"/>
    <w:rsid w:val="00360FE9"/>
    <w:rsid w:val="003618AD"/>
    <w:rsid w:val="00363729"/>
    <w:rsid w:val="00363E3C"/>
    <w:rsid w:val="0036732E"/>
    <w:rsid w:val="00370F9B"/>
    <w:rsid w:val="003722AF"/>
    <w:rsid w:val="00372A36"/>
    <w:rsid w:val="00374A6F"/>
    <w:rsid w:val="00375578"/>
    <w:rsid w:val="00375FA2"/>
    <w:rsid w:val="0038239C"/>
    <w:rsid w:val="003879A8"/>
    <w:rsid w:val="003912C8"/>
    <w:rsid w:val="003950F9"/>
    <w:rsid w:val="00395E19"/>
    <w:rsid w:val="00397485"/>
    <w:rsid w:val="003A0174"/>
    <w:rsid w:val="003A03FF"/>
    <w:rsid w:val="003A0A45"/>
    <w:rsid w:val="003A0B8D"/>
    <w:rsid w:val="003A560A"/>
    <w:rsid w:val="003A7D55"/>
    <w:rsid w:val="003B10ED"/>
    <w:rsid w:val="003B6BB8"/>
    <w:rsid w:val="003C1820"/>
    <w:rsid w:val="003C7D6D"/>
    <w:rsid w:val="003C7EC9"/>
    <w:rsid w:val="003D0788"/>
    <w:rsid w:val="003D2C36"/>
    <w:rsid w:val="003D4BCF"/>
    <w:rsid w:val="003D6528"/>
    <w:rsid w:val="003D77F0"/>
    <w:rsid w:val="003E03CB"/>
    <w:rsid w:val="003E3AC9"/>
    <w:rsid w:val="003E3CA2"/>
    <w:rsid w:val="003E496C"/>
    <w:rsid w:val="003E6151"/>
    <w:rsid w:val="003E7113"/>
    <w:rsid w:val="003E748D"/>
    <w:rsid w:val="003F0775"/>
    <w:rsid w:val="003F167F"/>
    <w:rsid w:val="003F31E7"/>
    <w:rsid w:val="003F48FA"/>
    <w:rsid w:val="003F57D2"/>
    <w:rsid w:val="003F597F"/>
    <w:rsid w:val="003F673A"/>
    <w:rsid w:val="003F73F3"/>
    <w:rsid w:val="003F7572"/>
    <w:rsid w:val="003F78FB"/>
    <w:rsid w:val="004015C1"/>
    <w:rsid w:val="00402449"/>
    <w:rsid w:val="0040532C"/>
    <w:rsid w:val="00406F55"/>
    <w:rsid w:val="0041148E"/>
    <w:rsid w:val="00411FAC"/>
    <w:rsid w:val="004168E6"/>
    <w:rsid w:val="00420FE4"/>
    <w:rsid w:val="00423D81"/>
    <w:rsid w:val="0042517A"/>
    <w:rsid w:val="004254EB"/>
    <w:rsid w:val="00427E67"/>
    <w:rsid w:val="00430C9A"/>
    <w:rsid w:val="0043293E"/>
    <w:rsid w:val="0043323F"/>
    <w:rsid w:val="00435727"/>
    <w:rsid w:val="00436579"/>
    <w:rsid w:val="004367AB"/>
    <w:rsid w:val="0043709C"/>
    <w:rsid w:val="004376F7"/>
    <w:rsid w:val="00437AAF"/>
    <w:rsid w:val="00437C3D"/>
    <w:rsid w:val="00440BC3"/>
    <w:rsid w:val="004426DB"/>
    <w:rsid w:val="004426FE"/>
    <w:rsid w:val="00447730"/>
    <w:rsid w:val="004518D8"/>
    <w:rsid w:val="00451F66"/>
    <w:rsid w:val="004545C2"/>
    <w:rsid w:val="00460FE4"/>
    <w:rsid w:val="00461B75"/>
    <w:rsid w:val="00465FD4"/>
    <w:rsid w:val="00467936"/>
    <w:rsid w:val="00471CBE"/>
    <w:rsid w:val="00471D27"/>
    <w:rsid w:val="0047226D"/>
    <w:rsid w:val="00473841"/>
    <w:rsid w:val="00474E44"/>
    <w:rsid w:val="00476274"/>
    <w:rsid w:val="00480918"/>
    <w:rsid w:val="00482048"/>
    <w:rsid w:val="0048230D"/>
    <w:rsid w:val="00484BB1"/>
    <w:rsid w:val="0048725F"/>
    <w:rsid w:val="00487732"/>
    <w:rsid w:val="004906DD"/>
    <w:rsid w:val="00492EBF"/>
    <w:rsid w:val="00494250"/>
    <w:rsid w:val="00494374"/>
    <w:rsid w:val="004953B1"/>
    <w:rsid w:val="00495B39"/>
    <w:rsid w:val="004A0256"/>
    <w:rsid w:val="004A159C"/>
    <w:rsid w:val="004A267E"/>
    <w:rsid w:val="004A2E3A"/>
    <w:rsid w:val="004A2E6F"/>
    <w:rsid w:val="004A3F77"/>
    <w:rsid w:val="004A4F5F"/>
    <w:rsid w:val="004A7AE1"/>
    <w:rsid w:val="004B1E4F"/>
    <w:rsid w:val="004B26B5"/>
    <w:rsid w:val="004B3D54"/>
    <w:rsid w:val="004B5D45"/>
    <w:rsid w:val="004B5DD7"/>
    <w:rsid w:val="004B6078"/>
    <w:rsid w:val="004B643A"/>
    <w:rsid w:val="004B70AC"/>
    <w:rsid w:val="004C0F65"/>
    <w:rsid w:val="004C26E3"/>
    <w:rsid w:val="004C42E0"/>
    <w:rsid w:val="004C750E"/>
    <w:rsid w:val="004D11E7"/>
    <w:rsid w:val="004D263F"/>
    <w:rsid w:val="004D2DE1"/>
    <w:rsid w:val="004D4B5C"/>
    <w:rsid w:val="004D5255"/>
    <w:rsid w:val="004D79DC"/>
    <w:rsid w:val="004E0AD3"/>
    <w:rsid w:val="004E4000"/>
    <w:rsid w:val="004E4316"/>
    <w:rsid w:val="004E4E2D"/>
    <w:rsid w:val="004E5130"/>
    <w:rsid w:val="004E55AC"/>
    <w:rsid w:val="004E791D"/>
    <w:rsid w:val="004F252A"/>
    <w:rsid w:val="004F33D6"/>
    <w:rsid w:val="004F4178"/>
    <w:rsid w:val="004F6F6E"/>
    <w:rsid w:val="00500326"/>
    <w:rsid w:val="0050128E"/>
    <w:rsid w:val="00504952"/>
    <w:rsid w:val="00505593"/>
    <w:rsid w:val="00506C25"/>
    <w:rsid w:val="00506F82"/>
    <w:rsid w:val="0050799D"/>
    <w:rsid w:val="00507D96"/>
    <w:rsid w:val="0051036C"/>
    <w:rsid w:val="00510F6D"/>
    <w:rsid w:val="0051342B"/>
    <w:rsid w:val="00514DC3"/>
    <w:rsid w:val="0051611D"/>
    <w:rsid w:val="005210DF"/>
    <w:rsid w:val="00523D85"/>
    <w:rsid w:val="005270E7"/>
    <w:rsid w:val="0053018A"/>
    <w:rsid w:val="005362B6"/>
    <w:rsid w:val="00537667"/>
    <w:rsid w:val="005402CD"/>
    <w:rsid w:val="00540A3D"/>
    <w:rsid w:val="0054189A"/>
    <w:rsid w:val="00544CBA"/>
    <w:rsid w:val="00546BF4"/>
    <w:rsid w:val="0054753E"/>
    <w:rsid w:val="00550190"/>
    <w:rsid w:val="00551EA9"/>
    <w:rsid w:val="00552545"/>
    <w:rsid w:val="005530C4"/>
    <w:rsid w:val="00553372"/>
    <w:rsid w:val="00555652"/>
    <w:rsid w:val="0056232B"/>
    <w:rsid w:val="00562C0B"/>
    <w:rsid w:val="005630C9"/>
    <w:rsid w:val="00563E38"/>
    <w:rsid w:val="00563F4E"/>
    <w:rsid w:val="00567276"/>
    <w:rsid w:val="00570045"/>
    <w:rsid w:val="00570C6D"/>
    <w:rsid w:val="0057111C"/>
    <w:rsid w:val="005753BC"/>
    <w:rsid w:val="0057565C"/>
    <w:rsid w:val="00575A21"/>
    <w:rsid w:val="005812B6"/>
    <w:rsid w:val="005839A0"/>
    <w:rsid w:val="00584C85"/>
    <w:rsid w:val="00584F54"/>
    <w:rsid w:val="00587300"/>
    <w:rsid w:val="00587A0C"/>
    <w:rsid w:val="0059685C"/>
    <w:rsid w:val="005976DE"/>
    <w:rsid w:val="005A2205"/>
    <w:rsid w:val="005A3212"/>
    <w:rsid w:val="005A4F19"/>
    <w:rsid w:val="005A5E49"/>
    <w:rsid w:val="005A62FB"/>
    <w:rsid w:val="005B4390"/>
    <w:rsid w:val="005B5EA4"/>
    <w:rsid w:val="005B7396"/>
    <w:rsid w:val="005B7DCC"/>
    <w:rsid w:val="005C0EAF"/>
    <w:rsid w:val="005C133D"/>
    <w:rsid w:val="005C1E35"/>
    <w:rsid w:val="005D6243"/>
    <w:rsid w:val="005D6899"/>
    <w:rsid w:val="005D69AE"/>
    <w:rsid w:val="005E04D9"/>
    <w:rsid w:val="005E18E2"/>
    <w:rsid w:val="005E464E"/>
    <w:rsid w:val="005E7AAC"/>
    <w:rsid w:val="005F2EB0"/>
    <w:rsid w:val="005F43A8"/>
    <w:rsid w:val="005F653E"/>
    <w:rsid w:val="005F6B8D"/>
    <w:rsid w:val="005F6EFE"/>
    <w:rsid w:val="006006A4"/>
    <w:rsid w:val="0060333D"/>
    <w:rsid w:val="006055C0"/>
    <w:rsid w:val="00606579"/>
    <w:rsid w:val="006070CC"/>
    <w:rsid w:val="006116CE"/>
    <w:rsid w:val="006127DF"/>
    <w:rsid w:val="0061417C"/>
    <w:rsid w:val="00614F0B"/>
    <w:rsid w:val="00615348"/>
    <w:rsid w:val="006155A5"/>
    <w:rsid w:val="006170DF"/>
    <w:rsid w:val="00623CBD"/>
    <w:rsid w:val="00624A53"/>
    <w:rsid w:val="0062786F"/>
    <w:rsid w:val="00627CCE"/>
    <w:rsid w:val="006314A8"/>
    <w:rsid w:val="00631FFA"/>
    <w:rsid w:val="0063205B"/>
    <w:rsid w:val="00637133"/>
    <w:rsid w:val="00637FD4"/>
    <w:rsid w:val="00640541"/>
    <w:rsid w:val="006435F3"/>
    <w:rsid w:val="00644021"/>
    <w:rsid w:val="0064437F"/>
    <w:rsid w:val="006478F9"/>
    <w:rsid w:val="006518A2"/>
    <w:rsid w:val="006569AE"/>
    <w:rsid w:val="00656F8D"/>
    <w:rsid w:val="006622FA"/>
    <w:rsid w:val="00664265"/>
    <w:rsid w:val="00665A3E"/>
    <w:rsid w:val="00667AC3"/>
    <w:rsid w:val="00667EA2"/>
    <w:rsid w:val="00671F0C"/>
    <w:rsid w:val="00673FFE"/>
    <w:rsid w:val="006746D9"/>
    <w:rsid w:val="006778CC"/>
    <w:rsid w:val="00677A0D"/>
    <w:rsid w:val="00677F62"/>
    <w:rsid w:val="00680DAA"/>
    <w:rsid w:val="0068267A"/>
    <w:rsid w:val="00683772"/>
    <w:rsid w:val="00684C20"/>
    <w:rsid w:val="00685699"/>
    <w:rsid w:val="00686092"/>
    <w:rsid w:val="0069191A"/>
    <w:rsid w:val="006922D9"/>
    <w:rsid w:val="006943D3"/>
    <w:rsid w:val="00696DD1"/>
    <w:rsid w:val="006978B5"/>
    <w:rsid w:val="006A1E23"/>
    <w:rsid w:val="006A380E"/>
    <w:rsid w:val="006A5EA4"/>
    <w:rsid w:val="006A6B90"/>
    <w:rsid w:val="006A6B95"/>
    <w:rsid w:val="006B21A4"/>
    <w:rsid w:val="006B421D"/>
    <w:rsid w:val="006B7535"/>
    <w:rsid w:val="006B78E5"/>
    <w:rsid w:val="006B78F5"/>
    <w:rsid w:val="006B7B30"/>
    <w:rsid w:val="006C041C"/>
    <w:rsid w:val="006C0A16"/>
    <w:rsid w:val="006C188B"/>
    <w:rsid w:val="006C2ADA"/>
    <w:rsid w:val="006C2DB4"/>
    <w:rsid w:val="006C3443"/>
    <w:rsid w:val="006C397D"/>
    <w:rsid w:val="006C49DD"/>
    <w:rsid w:val="006C6A2B"/>
    <w:rsid w:val="006D371C"/>
    <w:rsid w:val="006D3BDE"/>
    <w:rsid w:val="006E7A9B"/>
    <w:rsid w:val="006F0605"/>
    <w:rsid w:val="006F2F4A"/>
    <w:rsid w:val="006F3173"/>
    <w:rsid w:val="006F3AF5"/>
    <w:rsid w:val="006F412E"/>
    <w:rsid w:val="006F4D30"/>
    <w:rsid w:val="006F564F"/>
    <w:rsid w:val="006F6E1F"/>
    <w:rsid w:val="00703CF2"/>
    <w:rsid w:val="0071634C"/>
    <w:rsid w:val="007172FF"/>
    <w:rsid w:val="00720FB1"/>
    <w:rsid w:val="007226BE"/>
    <w:rsid w:val="00722C47"/>
    <w:rsid w:val="00722CD7"/>
    <w:rsid w:val="00723ED9"/>
    <w:rsid w:val="00727A07"/>
    <w:rsid w:val="0073004C"/>
    <w:rsid w:val="007308D7"/>
    <w:rsid w:val="00731318"/>
    <w:rsid w:val="007316AB"/>
    <w:rsid w:val="0073244F"/>
    <w:rsid w:val="00733173"/>
    <w:rsid w:val="00733CAC"/>
    <w:rsid w:val="00734189"/>
    <w:rsid w:val="0073423B"/>
    <w:rsid w:val="00735996"/>
    <w:rsid w:val="00736968"/>
    <w:rsid w:val="0073795A"/>
    <w:rsid w:val="007403DB"/>
    <w:rsid w:val="007431F1"/>
    <w:rsid w:val="00743C7D"/>
    <w:rsid w:val="00745145"/>
    <w:rsid w:val="0074565F"/>
    <w:rsid w:val="0074587E"/>
    <w:rsid w:val="00750CA2"/>
    <w:rsid w:val="00751E55"/>
    <w:rsid w:val="00753149"/>
    <w:rsid w:val="00753236"/>
    <w:rsid w:val="00755202"/>
    <w:rsid w:val="007562FE"/>
    <w:rsid w:val="007567F4"/>
    <w:rsid w:val="00756F4C"/>
    <w:rsid w:val="00763CF6"/>
    <w:rsid w:val="00765E3B"/>
    <w:rsid w:val="00765E4B"/>
    <w:rsid w:val="00766DF8"/>
    <w:rsid w:val="00770241"/>
    <w:rsid w:val="00770F8F"/>
    <w:rsid w:val="00771D33"/>
    <w:rsid w:val="00775F3C"/>
    <w:rsid w:val="00777713"/>
    <w:rsid w:val="00777720"/>
    <w:rsid w:val="00781176"/>
    <w:rsid w:val="007813BE"/>
    <w:rsid w:val="007821B4"/>
    <w:rsid w:val="00783251"/>
    <w:rsid w:val="007850D5"/>
    <w:rsid w:val="00796F8E"/>
    <w:rsid w:val="007A05FC"/>
    <w:rsid w:val="007A0FEF"/>
    <w:rsid w:val="007A1EA8"/>
    <w:rsid w:val="007A46A6"/>
    <w:rsid w:val="007A523D"/>
    <w:rsid w:val="007A5465"/>
    <w:rsid w:val="007A6801"/>
    <w:rsid w:val="007A785A"/>
    <w:rsid w:val="007B032C"/>
    <w:rsid w:val="007B08D4"/>
    <w:rsid w:val="007B0BF4"/>
    <w:rsid w:val="007B299F"/>
    <w:rsid w:val="007B2D4F"/>
    <w:rsid w:val="007B2EC3"/>
    <w:rsid w:val="007B40EA"/>
    <w:rsid w:val="007B4755"/>
    <w:rsid w:val="007C1ABC"/>
    <w:rsid w:val="007C24A1"/>
    <w:rsid w:val="007C3FE7"/>
    <w:rsid w:val="007C51B2"/>
    <w:rsid w:val="007C5B99"/>
    <w:rsid w:val="007D0905"/>
    <w:rsid w:val="007D1CDE"/>
    <w:rsid w:val="007D33CA"/>
    <w:rsid w:val="007D5213"/>
    <w:rsid w:val="007D61B3"/>
    <w:rsid w:val="007E05BF"/>
    <w:rsid w:val="007E070C"/>
    <w:rsid w:val="007E08D7"/>
    <w:rsid w:val="007E1CBE"/>
    <w:rsid w:val="007E2D24"/>
    <w:rsid w:val="007E4CD3"/>
    <w:rsid w:val="007E5032"/>
    <w:rsid w:val="007E57E0"/>
    <w:rsid w:val="007E63A0"/>
    <w:rsid w:val="007E6916"/>
    <w:rsid w:val="007E69A4"/>
    <w:rsid w:val="007E6A68"/>
    <w:rsid w:val="007F407B"/>
    <w:rsid w:val="007F47EF"/>
    <w:rsid w:val="007F5018"/>
    <w:rsid w:val="008019EE"/>
    <w:rsid w:val="00802294"/>
    <w:rsid w:val="00802CD1"/>
    <w:rsid w:val="00806909"/>
    <w:rsid w:val="00811261"/>
    <w:rsid w:val="00811CFC"/>
    <w:rsid w:val="00812615"/>
    <w:rsid w:val="0081375E"/>
    <w:rsid w:val="00813A98"/>
    <w:rsid w:val="008151AC"/>
    <w:rsid w:val="008167D0"/>
    <w:rsid w:val="00820906"/>
    <w:rsid w:val="00821FD7"/>
    <w:rsid w:val="00822B37"/>
    <w:rsid w:val="00823171"/>
    <w:rsid w:val="008235CF"/>
    <w:rsid w:val="0082603A"/>
    <w:rsid w:val="00826C94"/>
    <w:rsid w:val="00827CB1"/>
    <w:rsid w:val="008314D6"/>
    <w:rsid w:val="008331F7"/>
    <w:rsid w:val="00833C00"/>
    <w:rsid w:val="00834D45"/>
    <w:rsid w:val="00835681"/>
    <w:rsid w:val="00835FA6"/>
    <w:rsid w:val="00836370"/>
    <w:rsid w:val="00840DAE"/>
    <w:rsid w:val="00841223"/>
    <w:rsid w:val="008420EE"/>
    <w:rsid w:val="008422F0"/>
    <w:rsid w:val="008451C1"/>
    <w:rsid w:val="00845437"/>
    <w:rsid w:val="008460B8"/>
    <w:rsid w:val="008468AF"/>
    <w:rsid w:val="008473CB"/>
    <w:rsid w:val="00850746"/>
    <w:rsid w:val="0085107D"/>
    <w:rsid w:val="0085137D"/>
    <w:rsid w:val="008517A2"/>
    <w:rsid w:val="00851C83"/>
    <w:rsid w:val="00852DD4"/>
    <w:rsid w:val="00852EBE"/>
    <w:rsid w:val="00860671"/>
    <w:rsid w:val="00862187"/>
    <w:rsid w:val="008634C9"/>
    <w:rsid w:val="008637F6"/>
    <w:rsid w:val="00863A37"/>
    <w:rsid w:val="00870DBF"/>
    <w:rsid w:val="008717D9"/>
    <w:rsid w:val="00872820"/>
    <w:rsid w:val="00873979"/>
    <w:rsid w:val="00876F53"/>
    <w:rsid w:val="008820AF"/>
    <w:rsid w:val="0088431B"/>
    <w:rsid w:val="0089184A"/>
    <w:rsid w:val="008918E1"/>
    <w:rsid w:val="00891E63"/>
    <w:rsid w:val="0089263D"/>
    <w:rsid w:val="00893585"/>
    <w:rsid w:val="00893E77"/>
    <w:rsid w:val="00894509"/>
    <w:rsid w:val="0089623C"/>
    <w:rsid w:val="008973EB"/>
    <w:rsid w:val="00897752"/>
    <w:rsid w:val="008A1614"/>
    <w:rsid w:val="008A231F"/>
    <w:rsid w:val="008A2DDC"/>
    <w:rsid w:val="008B2003"/>
    <w:rsid w:val="008B2806"/>
    <w:rsid w:val="008B2E04"/>
    <w:rsid w:val="008B5684"/>
    <w:rsid w:val="008C0A35"/>
    <w:rsid w:val="008C3136"/>
    <w:rsid w:val="008C4D92"/>
    <w:rsid w:val="008C59B6"/>
    <w:rsid w:val="008C5D0F"/>
    <w:rsid w:val="008D0629"/>
    <w:rsid w:val="008D28AF"/>
    <w:rsid w:val="008D290F"/>
    <w:rsid w:val="008D30A5"/>
    <w:rsid w:val="008D4035"/>
    <w:rsid w:val="008D40B5"/>
    <w:rsid w:val="008D49FA"/>
    <w:rsid w:val="008E157F"/>
    <w:rsid w:val="008E25FE"/>
    <w:rsid w:val="008E4686"/>
    <w:rsid w:val="008E4F92"/>
    <w:rsid w:val="008E5B2D"/>
    <w:rsid w:val="008E6AD0"/>
    <w:rsid w:val="008F0674"/>
    <w:rsid w:val="008F1C24"/>
    <w:rsid w:val="008F1E26"/>
    <w:rsid w:val="008F4131"/>
    <w:rsid w:val="008F4B7F"/>
    <w:rsid w:val="008F6A74"/>
    <w:rsid w:val="0090067D"/>
    <w:rsid w:val="009012C5"/>
    <w:rsid w:val="009024A9"/>
    <w:rsid w:val="00903DEB"/>
    <w:rsid w:val="0090439C"/>
    <w:rsid w:val="00904E62"/>
    <w:rsid w:val="00906539"/>
    <w:rsid w:val="0091078D"/>
    <w:rsid w:val="0091105F"/>
    <w:rsid w:val="00915E26"/>
    <w:rsid w:val="0091699C"/>
    <w:rsid w:val="00916BC9"/>
    <w:rsid w:val="009176CA"/>
    <w:rsid w:val="00920587"/>
    <w:rsid w:val="00922CEF"/>
    <w:rsid w:val="00926BA8"/>
    <w:rsid w:val="009277BB"/>
    <w:rsid w:val="0093020D"/>
    <w:rsid w:val="00930806"/>
    <w:rsid w:val="00932119"/>
    <w:rsid w:val="00933268"/>
    <w:rsid w:val="00934670"/>
    <w:rsid w:val="0093472E"/>
    <w:rsid w:val="00934D27"/>
    <w:rsid w:val="0093584C"/>
    <w:rsid w:val="00935B9E"/>
    <w:rsid w:val="0094128D"/>
    <w:rsid w:val="00942648"/>
    <w:rsid w:val="00945A59"/>
    <w:rsid w:val="00945E1B"/>
    <w:rsid w:val="009463C3"/>
    <w:rsid w:val="00947884"/>
    <w:rsid w:val="009553DE"/>
    <w:rsid w:val="009563F6"/>
    <w:rsid w:val="00960330"/>
    <w:rsid w:val="00960BE5"/>
    <w:rsid w:val="009632A3"/>
    <w:rsid w:val="009646F2"/>
    <w:rsid w:val="009650A8"/>
    <w:rsid w:val="00966AD0"/>
    <w:rsid w:val="00966FF7"/>
    <w:rsid w:val="0097060F"/>
    <w:rsid w:val="0097111C"/>
    <w:rsid w:val="009715D5"/>
    <w:rsid w:val="00974626"/>
    <w:rsid w:val="00975937"/>
    <w:rsid w:val="00977EC5"/>
    <w:rsid w:val="00981749"/>
    <w:rsid w:val="00981BE2"/>
    <w:rsid w:val="00984D59"/>
    <w:rsid w:val="00987204"/>
    <w:rsid w:val="00991EEF"/>
    <w:rsid w:val="009939CE"/>
    <w:rsid w:val="009971F9"/>
    <w:rsid w:val="009A1EDE"/>
    <w:rsid w:val="009A259B"/>
    <w:rsid w:val="009B0693"/>
    <w:rsid w:val="009B4417"/>
    <w:rsid w:val="009B4742"/>
    <w:rsid w:val="009B56C2"/>
    <w:rsid w:val="009B677C"/>
    <w:rsid w:val="009C0E8D"/>
    <w:rsid w:val="009C14F0"/>
    <w:rsid w:val="009C1652"/>
    <w:rsid w:val="009C5B1E"/>
    <w:rsid w:val="009C6945"/>
    <w:rsid w:val="009C76A9"/>
    <w:rsid w:val="009C7A03"/>
    <w:rsid w:val="009D2142"/>
    <w:rsid w:val="009D29F5"/>
    <w:rsid w:val="009D6685"/>
    <w:rsid w:val="009D6D2D"/>
    <w:rsid w:val="009D77A1"/>
    <w:rsid w:val="009D7C42"/>
    <w:rsid w:val="009E078B"/>
    <w:rsid w:val="009E45B0"/>
    <w:rsid w:val="009E749C"/>
    <w:rsid w:val="009E7890"/>
    <w:rsid w:val="009F005D"/>
    <w:rsid w:val="009F0710"/>
    <w:rsid w:val="009F09B2"/>
    <w:rsid w:val="009F1933"/>
    <w:rsid w:val="009F1E17"/>
    <w:rsid w:val="009F340E"/>
    <w:rsid w:val="009F3758"/>
    <w:rsid w:val="009F4D2E"/>
    <w:rsid w:val="009F4EB9"/>
    <w:rsid w:val="009F4FE2"/>
    <w:rsid w:val="009F529C"/>
    <w:rsid w:val="00A00875"/>
    <w:rsid w:val="00A00A6F"/>
    <w:rsid w:val="00A021FD"/>
    <w:rsid w:val="00A0373A"/>
    <w:rsid w:val="00A03A4A"/>
    <w:rsid w:val="00A03A89"/>
    <w:rsid w:val="00A060D0"/>
    <w:rsid w:val="00A067E3"/>
    <w:rsid w:val="00A13829"/>
    <w:rsid w:val="00A16ADF"/>
    <w:rsid w:val="00A17350"/>
    <w:rsid w:val="00A1797C"/>
    <w:rsid w:val="00A21617"/>
    <w:rsid w:val="00A23CDE"/>
    <w:rsid w:val="00A25B38"/>
    <w:rsid w:val="00A311F3"/>
    <w:rsid w:val="00A3277B"/>
    <w:rsid w:val="00A33BD3"/>
    <w:rsid w:val="00A3491D"/>
    <w:rsid w:val="00A35D72"/>
    <w:rsid w:val="00A36358"/>
    <w:rsid w:val="00A37D01"/>
    <w:rsid w:val="00A40C5A"/>
    <w:rsid w:val="00A4257B"/>
    <w:rsid w:val="00A51979"/>
    <w:rsid w:val="00A52396"/>
    <w:rsid w:val="00A549C5"/>
    <w:rsid w:val="00A55877"/>
    <w:rsid w:val="00A57072"/>
    <w:rsid w:val="00A6144B"/>
    <w:rsid w:val="00A620CD"/>
    <w:rsid w:val="00A62FCA"/>
    <w:rsid w:val="00A650F6"/>
    <w:rsid w:val="00A66174"/>
    <w:rsid w:val="00A664ED"/>
    <w:rsid w:val="00A67CE9"/>
    <w:rsid w:val="00A717BE"/>
    <w:rsid w:val="00A7248F"/>
    <w:rsid w:val="00A7591B"/>
    <w:rsid w:val="00A81A88"/>
    <w:rsid w:val="00A8294C"/>
    <w:rsid w:val="00A82A3B"/>
    <w:rsid w:val="00A832A6"/>
    <w:rsid w:val="00A83638"/>
    <w:rsid w:val="00A8582B"/>
    <w:rsid w:val="00A8770A"/>
    <w:rsid w:val="00A90BF7"/>
    <w:rsid w:val="00A91EC9"/>
    <w:rsid w:val="00A9250B"/>
    <w:rsid w:val="00A93325"/>
    <w:rsid w:val="00A9348A"/>
    <w:rsid w:val="00A95155"/>
    <w:rsid w:val="00AA3847"/>
    <w:rsid w:val="00AA5DA6"/>
    <w:rsid w:val="00AA69CA"/>
    <w:rsid w:val="00AA72CC"/>
    <w:rsid w:val="00AA745C"/>
    <w:rsid w:val="00AB15DD"/>
    <w:rsid w:val="00AB1AC6"/>
    <w:rsid w:val="00AB3E21"/>
    <w:rsid w:val="00AB4E35"/>
    <w:rsid w:val="00AC21E4"/>
    <w:rsid w:val="00AC3254"/>
    <w:rsid w:val="00AC36DB"/>
    <w:rsid w:val="00AD2621"/>
    <w:rsid w:val="00AD3210"/>
    <w:rsid w:val="00AD37D3"/>
    <w:rsid w:val="00AD38A0"/>
    <w:rsid w:val="00AD54E7"/>
    <w:rsid w:val="00AD572A"/>
    <w:rsid w:val="00AD5920"/>
    <w:rsid w:val="00AD5D5C"/>
    <w:rsid w:val="00AD6F5E"/>
    <w:rsid w:val="00AD79CD"/>
    <w:rsid w:val="00AE153B"/>
    <w:rsid w:val="00AE1671"/>
    <w:rsid w:val="00AE220A"/>
    <w:rsid w:val="00AE35C7"/>
    <w:rsid w:val="00AE6480"/>
    <w:rsid w:val="00AE6A4B"/>
    <w:rsid w:val="00AF0F63"/>
    <w:rsid w:val="00AF26B8"/>
    <w:rsid w:val="00AF2DD1"/>
    <w:rsid w:val="00AF66AE"/>
    <w:rsid w:val="00AF7125"/>
    <w:rsid w:val="00B02588"/>
    <w:rsid w:val="00B03ADA"/>
    <w:rsid w:val="00B04D52"/>
    <w:rsid w:val="00B05A52"/>
    <w:rsid w:val="00B07612"/>
    <w:rsid w:val="00B13FD4"/>
    <w:rsid w:val="00B14ED6"/>
    <w:rsid w:val="00B1709D"/>
    <w:rsid w:val="00B20156"/>
    <w:rsid w:val="00B21AE9"/>
    <w:rsid w:val="00B231F8"/>
    <w:rsid w:val="00B25265"/>
    <w:rsid w:val="00B34B1C"/>
    <w:rsid w:val="00B35CEE"/>
    <w:rsid w:val="00B404A7"/>
    <w:rsid w:val="00B460E3"/>
    <w:rsid w:val="00B5287B"/>
    <w:rsid w:val="00B531A0"/>
    <w:rsid w:val="00B550DB"/>
    <w:rsid w:val="00B5543F"/>
    <w:rsid w:val="00B55DA6"/>
    <w:rsid w:val="00B61449"/>
    <w:rsid w:val="00B62E73"/>
    <w:rsid w:val="00B653C5"/>
    <w:rsid w:val="00B668D3"/>
    <w:rsid w:val="00B66F09"/>
    <w:rsid w:val="00B701EE"/>
    <w:rsid w:val="00B70D45"/>
    <w:rsid w:val="00B7133F"/>
    <w:rsid w:val="00B7464F"/>
    <w:rsid w:val="00B77785"/>
    <w:rsid w:val="00B77BC7"/>
    <w:rsid w:val="00B80398"/>
    <w:rsid w:val="00B80650"/>
    <w:rsid w:val="00B827BC"/>
    <w:rsid w:val="00B8526C"/>
    <w:rsid w:val="00B9162B"/>
    <w:rsid w:val="00B92D1A"/>
    <w:rsid w:val="00B930BE"/>
    <w:rsid w:val="00B9340D"/>
    <w:rsid w:val="00B93CC1"/>
    <w:rsid w:val="00B93CF4"/>
    <w:rsid w:val="00B94A12"/>
    <w:rsid w:val="00B95AFB"/>
    <w:rsid w:val="00B95FE6"/>
    <w:rsid w:val="00B960DB"/>
    <w:rsid w:val="00BA33E1"/>
    <w:rsid w:val="00BA49C9"/>
    <w:rsid w:val="00BA726F"/>
    <w:rsid w:val="00BA7EF1"/>
    <w:rsid w:val="00BB2F12"/>
    <w:rsid w:val="00BB32BB"/>
    <w:rsid w:val="00BB352F"/>
    <w:rsid w:val="00BB3EC8"/>
    <w:rsid w:val="00BC32B5"/>
    <w:rsid w:val="00BC3747"/>
    <w:rsid w:val="00BC3FFD"/>
    <w:rsid w:val="00BC4671"/>
    <w:rsid w:val="00BC71B3"/>
    <w:rsid w:val="00BD0601"/>
    <w:rsid w:val="00BD14D9"/>
    <w:rsid w:val="00BD1828"/>
    <w:rsid w:val="00BD64B5"/>
    <w:rsid w:val="00BD6CB9"/>
    <w:rsid w:val="00BD7D8A"/>
    <w:rsid w:val="00BE08C4"/>
    <w:rsid w:val="00BE2003"/>
    <w:rsid w:val="00BE20F6"/>
    <w:rsid w:val="00BE24A8"/>
    <w:rsid w:val="00BE751A"/>
    <w:rsid w:val="00BF15F9"/>
    <w:rsid w:val="00BF427E"/>
    <w:rsid w:val="00BF5F38"/>
    <w:rsid w:val="00BF7A95"/>
    <w:rsid w:val="00BF7ADF"/>
    <w:rsid w:val="00C01510"/>
    <w:rsid w:val="00C01644"/>
    <w:rsid w:val="00C03244"/>
    <w:rsid w:val="00C038CA"/>
    <w:rsid w:val="00C102BA"/>
    <w:rsid w:val="00C12EA1"/>
    <w:rsid w:val="00C14DB5"/>
    <w:rsid w:val="00C16904"/>
    <w:rsid w:val="00C16914"/>
    <w:rsid w:val="00C1693D"/>
    <w:rsid w:val="00C17E94"/>
    <w:rsid w:val="00C20F42"/>
    <w:rsid w:val="00C210E1"/>
    <w:rsid w:val="00C231EC"/>
    <w:rsid w:val="00C242FD"/>
    <w:rsid w:val="00C243C6"/>
    <w:rsid w:val="00C25265"/>
    <w:rsid w:val="00C27F6D"/>
    <w:rsid w:val="00C30449"/>
    <w:rsid w:val="00C34B8D"/>
    <w:rsid w:val="00C37510"/>
    <w:rsid w:val="00C37922"/>
    <w:rsid w:val="00C37D81"/>
    <w:rsid w:val="00C40501"/>
    <w:rsid w:val="00C45876"/>
    <w:rsid w:val="00C4593F"/>
    <w:rsid w:val="00C459B8"/>
    <w:rsid w:val="00C4658F"/>
    <w:rsid w:val="00C47153"/>
    <w:rsid w:val="00C50B27"/>
    <w:rsid w:val="00C5152A"/>
    <w:rsid w:val="00C52A6E"/>
    <w:rsid w:val="00C5537C"/>
    <w:rsid w:val="00C554B6"/>
    <w:rsid w:val="00C56B6A"/>
    <w:rsid w:val="00C61AAD"/>
    <w:rsid w:val="00C629EE"/>
    <w:rsid w:val="00C64E53"/>
    <w:rsid w:val="00C6686C"/>
    <w:rsid w:val="00C70597"/>
    <w:rsid w:val="00C70999"/>
    <w:rsid w:val="00C71F2F"/>
    <w:rsid w:val="00C73B7E"/>
    <w:rsid w:val="00C74146"/>
    <w:rsid w:val="00C7448D"/>
    <w:rsid w:val="00C757B6"/>
    <w:rsid w:val="00C757DB"/>
    <w:rsid w:val="00C7701D"/>
    <w:rsid w:val="00C83E33"/>
    <w:rsid w:val="00C9392E"/>
    <w:rsid w:val="00C93A49"/>
    <w:rsid w:val="00C93C96"/>
    <w:rsid w:val="00C95B36"/>
    <w:rsid w:val="00C960D7"/>
    <w:rsid w:val="00C97297"/>
    <w:rsid w:val="00CA71AA"/>
    <w:rsid w:val="00CA741B"/>
    <w:rsid w:val="00CB0038"/>
    <w:rsid w:val="00CB3B86"/>
    <w:rsid w:val="00CB70B6"/>
    <w:rsid w:val="00CB792C"/>
    <w:rsid w:val="00CC0952"/>
    <w:rsid w:val="00CC4A34"/>
    <w:rsid w:val="00CC4D45"/>
    <w:rsid w:val="00CC6E68"/>
    <w:rsid w:val="00CC782F"/>
    <w:rsid w:val="00CD228C"/>
    <w:rsid w:val="00CD41C0"/>
    <w:rsid w:val="00CD475B"/>
    <w:rsid w:val="00CD5653"/>
    <w:rsid w:val="00CD6C9D"/>
    <w:rsid w:val="00CE2BC2"/>
    <w:rsid w:val="00CE3A4A"/>
    <w:rsid w:val="00CE478A"/>
    <w:rsid w:val="00CE5D74"/>
    <w:rsid w:val="00CF04BD"/>
    <w:rsid w:val="00CF0733"/>
    <w:rsid w:val="00CF3220"/>
    <w:rsid w:val="00CF3FD0"/>
    <w:rsid w:val="00CF5115"/>
    <w:rsid w:val="00CF74B2"/>
    <w:rsid w:val="00D0023A"/>
    <w:rsid w:val="00D01326"/>
    <w:rsid w:val="00D014AD"/>
    <w:rsid w:val="00D015A8"/>
    <w:rsid w:val="00D02AD7"/>
    <w:rsid w:val="00D03187"/>
    <w:rsid w:val="00D11002"/>
    <w:rsid w:val="00D11065"/>
    <w:rsid w:val="00D12C2E"/>
    <w:rsid w:val="00D159B5"/>
    <w:rsid w:val="00D16500"/>
    <w:rsid w:val="00D2015A"/>
    <w:rsid w:val="00D22011"/>
    <w:rsid w:val="00D2374B"/>
    <w:rsid w:val="00D25746"/>
    <w:rsid w:val="00D263E7"/>
    <w:rsid w:val="00D27BEC"/>
    <w:rsid w:val="00D35575"/>
    <w:rsid w:val="00D3773A"/>
    <w:rsid w:val="00D406D7"/>
    <w:rsid w:val="00D4174B"/>
    <w:rsid w:val="00D43D5C"/>
    <w:rsid w:val="00D45F6B"/>
    <w:rsid w:val="00D461E6"/>
    <w:rsid w:val="00D46813"/>
    <w:rsid w:val="00D47178"/>
    <w:rsid w:val="00D5207B"/>
    <w:rsid w:val="00D60CBB"/>
    <w:rsid w:val="00D61D3F"/>
    <w:rsid w:val="00D621F6"/>
    <w:rsid w:val="00D63058"/>
    <w:rsid w:val="00D6330A"/>
    <w:rsid w:val="00D66101"/>
    <w:rsid w:val="00D66AC2"/>
    <w:rsid w:val="00D700B6"/>
    <w:rsid w:val="00D717E4"/>
    <w:rsid w:val="00D724FD"/>
    <w:rsid w:val="00D728FC"/>
    <w:rsid w:val="00D73B37"/>
    <w:rsid w:val="00D748B7"/>
    <w:rsid w:val="00D76AEB"/>
    <w:rsid w:val="00D77ECB"/>
    <w:rsid w:val="00D802DE"/>
    <w:rsid w:val="00D82CB1"/>
    <w:rsid w:val="00D8580E"/>
    <w:rsid w:val="00D86CAD"/>
    <w:rsid w:val="00D87429"/>
    <w:rsid w:val="00D87B20"/>
    <w:rsid w:val="00D90F1B"/>
    <w:rsid w:val="00D9105A"/>
    <w:rsid w:val="00D920D1"/>
    <w:rsid w:val="00D93246"/>
    <w:rsid w:val="00D94A4B"/>
    <w:rsid w:val="00D94E7F"/>
    <w:rsid w:val="00D95CE3"/>
    <w:rsid w:val="00DA13D2"/>
    <w:rsid w:val="00DA1D2F"/>
    <w:rsid w:val="00DA4882"/>
    <w:rsid w:val="00DA7E6C"/>
    <w:rsid w:val="00DA7EBC"/>
    <w:rsid w:val="00DB0491"/>
    <w:rsid w:val="00DB2A5D"/>
    <w:rsid w:val="00DB3A95"/>
    <w:rsid w:val="00DB4F27"/>
    <w:rsid w:val="00DB6247"/>
    <w:rsid w:val="00DC12E5"/>
    <w:rsid w:val="00DC137F"/>
    <w:rsid w:val="00DC15A6"/>
    <w:rsid w:val="00DC62D8"/>
    <w:rsid w:val="00DC6345"/>
    <w:rsid w:val="00DC65F5"/>
    <w:rsid w:val="00DC7E6C"/>
    <w:rsid w:val="00DD0508"/>
    <w:rsid w:val="00DD34DC"/>
    <w:rsid w:val="00DD4D6B"/>
    <w:rsid w:val="00DD4F8B"/>
    <w:rsid w:val="00DD5B07"/>
    <w:rsid w:val="00DD70F4"/>
    <w:rsid w:val="00DD7896"/>
    <w:rsid w:val="00DE2162"/>
    <w:rsid w:val="00DE618A"/>
    <w:rsid w:val="00DE7F38"/>
    <w:rsid w:val="00DF1845"/>
    <w:rsid w:val="00DF5F96"/>
    <w:rsid w:val="00DF7CF1"/>
    <w:rsid w:val="00E00CAB"/>
    <w:rsid w:val="00E012B8"/>
    <w:rsid w:val="00E0226C"/>
    <w:rsid w:val="00E06E19"/>
    <w:rsid w:val="00E07420"/>
    <w:rsid w:val="00E1024E"/>
    <w:rsid w:val="00E1072A"/>
    <w:rsid w:val="00E11BD0"/>
    <w:rsid w:val="00E11E60"/>
    <w:rsid w:val="00E12468"/>
    <w:rsid w:val="00E2188C"/>
    <w:rsid w:val="00E220FD"/>
    <w:rsid w:val="00E227E6"/>
    <w:rsid w:val="00E22AE7"/>
    <w:rsid w:val="00E23BEA"/>
    <w:rsid w:val="00E24285"/>
    <w:rsid w:val="00E243E9"/>
    <w:rsid w:val="00E25ECB"/>
    <w:rsid w:val="00E267BD"/>
    <w:rsid w:val="00E30A22"/>
    <w:rsid w:val="00E30F0C"/>
    <w:rsid w:val="00E312EE"/>
    <w:rsid w:val="00E318F3"/>
    <w:rsid w:val="00E31E46"/>
    <w:rsid w:val="00E35473"/>
    <w:rsid w:val="00E3610C"/>
    <w:rsid w:val="00E40DB6"/>
    <w:rsid w:val="00E41B8A"/>
    <w:rsid w:val="00E41EF1"/>
    <w:rsid w:val="00E429AF"/>
    <w:rsid w:val="00E4332C"/>
    <w:rsid w:val="00E4381B"/>
    <w:rsid w:val="00E438A4"/>
    <w:rsid w:val="00E44F01"/>
    <w:rsid w:val="00E46044"/>
    <w:rsid w:val="00E46DEC"/>
    <w:rsid w:val="00E534BD"/>
    <w:rsid w:val="00E53BD0"/>
    <w:rsid w:val="00E549C1"/>
    <w:rsid w:val="00E56F3E"/>
    <w:rsid w:val="00E57E91"/>
    <w:rsid w:val="00E60442"/>
    <w:rsid w:val="00E6053E"/>
    <w:rsid w:val="00E628A2"/>
    <w:rsid w:val="00E646D9"/>
    <w:rsid w:val="00E65418"/>
    <w:rsid w:val="00E711EF"/>
    <w:rsid w:val="00E71DEF"/>
    <w:rsid w:val="00E720B6"/>
    <w:rsid w:val="00E74DA0"/>
    <w:rsid w:val="00E81ABA"/>
    <w:rsid w:val="00E85095"/>
    <w:rsid w:val="00E85729"/>
    <w:rsid w:val="00E86123"/>
    <w:rsid w:val="00E8756F"/>
    <w:rsid w:val="00E90AD0"/>
    <w:rsid w:val="00E90ED9"/>
    <w:rsid w:val="00E91324"/>
    <w:rsid w:val="00E913C8"/>
    <w:rsid w:val="00E92AD7"/>
    <w:rsid w:val="00E93256"/>
    <w:rsid w:val="00E943A6"/>
    <w:rsid w:val="00E94A89"/>
    <w:rsid w:val="00E95457"/>
    <w:rsid w:val="00EA7A13"/>
    <w:rsid w:val="00EB09B8"/>
    <w:rsid w:val="00EB163D"/>
    <w:rsid w:val="00EB1EC3"/>
    <w:rsid w:val="00EB5D0B"/>
    <w:rsid w:val="00EB7CD9"/>
    <w:rsid w:val="00EC3BE4"/>
    <w:rsid w:val="00EC58AE"/>
    <w:rsid w:val="00EC7A77"/>
    <w:rsid w:val="00ED03D1"/>
    <w:rsid w:val="00ED145C"/>
    <w:rsid w:val="00ED2AE7"/>
    <w:rsid w:val="00ED2EED"/>
    <w:rsid w:val="00ED3117"/>
    <w:rsid w:val="00ED4FE9"/>
    <w:rsid w:val="00ED6F11"/>
    <w:rsid w:val="00ED7591"/>
    <w:rsid w:val="00ED76D7"/>
    <w:rsid w:val="00EE16CE"/>
    <w:rsid w:val="00EE31BF"/>
    <w:rsid w:val="00EF0D56"/>
    <w:rsid w:val="00EF5B23"/>
    <w:rsid w:val="00EF5F18"/>
    <w:rsid w:val="00EF720B"/>
    <w:rsid w:val="00EF7470"/>
    <w:rsid w:val="00F00590"/>
    <w:rsid w:val="00F00D81"/>
    <w:rsid w:val="00F0392B"/>
    <w:rsid w:val="00F04EDD"/>
    <w:rsid w:val="00F055C7"/>
    <w:rsid w:val="00F07319"/>
    <w:rsid w:val="00F10AC1"/>
    <w:rsid w:val="00F118D1"/>
    <w:rsid w:val="00F146C9"/>
    <w:rsid w:val="00F15161"/>
    <w:rsid w:val="00F15CD4"/>
    <w:rsid w:val="00F177BB"/>
    <w:rsid w:val="00F20332"/>
    <w:rsid w:val="00F2055C"/>
    <w:rsid w:val="00F21C4A"/>
    <w:rsid w:val="00F222BA"/>
    <w:rsid w:val="00F26A3C"/>
    <w:rsid w:val="00F26E90"/>
    <w:rsid w:val="00F3222B"/>
    <w:rsid w:val="00F33D3B"/>
    <w:rsid w:val="00F34301"/>
    <w:rsid w:val="00F34528"/>
    <w:rsid w:val="00F34539"/>
    <w:rsid w:val="00F36D72"/>
    <w:rsid w:val="00F3781F"/>
    <w:rsid w:val="00F41390"/>
    <w:rsid w:val="00F43717"/>
    <w:rsid w:val="00F50E5E"/>
    <w:rsid w:val="00F5166F"/>
    <w:rsid w:val="00F51A05"/>
    <w:rsid w:val="00F5229A"/>
    <w:rsid w:val="00F52E6F"/>
    <w:rsid w:val="00F53FDB"/>
    <w:rsid w:val="00F5691A"/>
    <w:rsid w:val="00F5695D"/>
    <w:rsid w:val="00F6050C"/>
    <w:rsid w:val="00F62238"/>
    <w:rsid w:val="00F66392"/>
    <w:rsid w:val="00F66647"/>
    <w:rsid w:val="00F6695C"/>
    <w:rsid w:val="00F669B6"/>
    <w:rsid w:val="00F71B59"/>
    <w:rsid w:val="00F75055"/>
    <w:rsid w:val="00F77C25"/>
    <w:rsid w:val="00F82D77"/>
    <w:rsid w:val="00F8392F"/>
    <w:rsid w:val="00F84C8F"/>
    <w:rsid w:val="00F85709"/>
    <w:rsid w:val="00F859E9"/>
    <w:rsid w:val="00F85C64"/>
    <w:rsid w:val="00F87437"/>
    <w:rsid w:val="00F87676"/>
    <w:rsid w:val="00F91C12"/>
    <w:rsid w:val="00F9529D"/>
    <w:rsid w:val="00F95490"/>
    <w:rsid w:val="00F96DDD"/>
    <w:rsid w:val="00F977BD"/>
    <w:rsid w:val="00FA0027"/>
    <w:rsid w:val="00FA01B6"/>
    <w:rsid w:val="00FA152D"/>
    <w:rsid w:val="00FA2364"/>
    <w:rsid w:val="00FA2485"/>
    <w:rsid w:val="00FA5B0C"/>
    <w:rsid w:val="00FA7A8A"/>
    <w:rsid w:val="00FB03EB"/>
    <w:rsid w:val="00FB0DE8"/>
    <w:rsid w:val="00FB1A79"/>
    <w:rsid w:val="00FB37EA"/>
    <w:rsid w:val="00FB5319"/>
    <w:rsid w:val="00FB56EE"/>
    <w:rsid w:val="00FC0C48"/>
    <w:rsid w:val="00FC1B37"/>
    <w:rsid w:val="00FC2BD3"/>
    <w:rsid w:val="00FC35F4"/>
    <w:rsid w:val="00FC4594"/>
    <w:rsid w:val="00FC48AE"/>
    <w:rsid w:val="00FC57BA"/>
    <w:rsid w:val="00FC5931"/>
    <w:rsid w:val="00FC68D8"/>
    <w:rsid w:val="00FD0AEC"/>
    <w:rsid w:val="00FD18E0"/>
    <w:rsid w:val="00FD287B"/>
    <w:rsid w:val="00FD35B3"/>
    <w:rsid w:val="00FD3908"/>
    <w:rsid w:val="00FD4116"/>
    <w:rsid w:val="00FD5304"/>
    <w:rsid w:val="00FD5551"/>
    <w:rsid w:val="00FD5D90"/>
    <w:rsid w:val="00FD7A6D"/>
    <w:rsid w:val="00FD7CBC"/>
    <w:rsid w:val="00FE0497"/>
    <w:rsid w:val="00FE2AB1"/>
    <w:rsid w:val="00FE3E3C"/>
    <w:rsid w:val="00FE4F61"/>
    <w:rsid w:val="00FF1C19"/>
    <w:rsid w:val="00FF449E"/>
    <w:rsid w:val="00FF56F1"/>
    <w:rsid w:val="00FF6322"/>
    <w:rsid w:val="00FF6883"/>
    <w:rsid w:val="00FF7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8A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paragraph" w:styleId="Heading1">
    <w:name w:val="heading 1"/>
    <w:basedOn w:val="Normal"/>
    <w:next w:val="Normal"/>
    <w:link w:val="Heading1Char"/>
    <w:qFormat/>
    <w:rsid w:val="00FA2364"/>
    <w:pPr>
      <w:keepNext/>
      <w:keepLines/>
      <w:spacing w:before="240"/>
      <w:outlineLvl w:val="0"/>
    </w:pPr>
    <w:rPr>
      <w:rFonts w:eastAsiaTheme="majorEastAsia" w:cstheme="majorBidi"/>
      <w:b/>
      <w:sz w:val="32"/>
      <w:szCs w:val="32"/>
    </w:rPr>
  </w:style>
  <w:style w:type="paragraph" w:styleId="Heading3">
    <w:name w:val="heading 3"/>
    <w:basedOn w:val="Normal"/>
    <w:next w:val="Normal"/>
    <w:link w:val="Heading3Char"/>
    <w:unhideWhenUsed/>
    <w:qFormat/>
    <w:rsid w:val="005530C4"/>
    <w:pPr>
      <w:keepNext/>
      <w:keepLines/>
      <w:spacing w:before="4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link w:val="FooterChar"/>
    <w:uiPriority w:val="99"/>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customStyle="1" w:styleId="Heading1Char">
    <w:name w:val="Heading 1 Char"/>
    <w:basedOn w:val="DefaultParagraphFont"/>
    <w:link w:val="Heading1"/>
    <w:rsid w:val="00FA2364"/>
    <w:rPr>
      <w:rFonts w:eastAsiaTheme="majorEastAsia" w:cstheme="majorBidi"/>
      <w:b/>
      <w:sz w:val="32"/>
      <w:szCs w:val="32"/>
    </w:rPr>
  </w:style>
  <w:style w:type="character" w:customStyle="1" w:styleId="Heading3Char">
    <w:name w:val="Heading 3 Char"/>
    <w:basedOn w:val="DefaultParagraphFont"/>
    <w:link w:val="Heading3"/>
    <w:rsid w:val="005530C4"/>
    <w:rPr>
      <w:rFonts w:eastAsiaTheme="majorEastAsia" w:cstheme="majorBidi"/>
      <w:i/>
      <w:sz w:val="24"/>
      <w:szCs w:val="24"/>
    </w:rPr>
  </w:style>
  <w:style w:type="paragraph" w:styleId="NormalWeb">
    <w:name w:val="Normal (Web)"/>
    <w:basedOn w:val="Normal"/>
    <w:uiPriority w:val="99"/>
    <w:rsid w:val="00C25265"/>
  </w:style>
  <w:style w:type="character" w:styleId="Hyperlink">
    <w:name w:val="Hyperlink"/>
    <w:basedOn w:val="DefaultParagraphFont"/>
    <w:rsid w:val="00E40DB6"/>
    <w:rPr>
      <w:color w:val="0563C1" w:themeColor="hyperlink"/>
      <w:u w:val="single"/>
    </w:rPr>
  </w:style>
  <w:style w:type="character" w:styleId="CommentReference">
    <w:name w:val="annotation reference"/>
    <w:basedOn w:val="DefaultParagraphFont"/>
    <w:rsid w:val="004B5D45"/>
    <w:rPr>
      <w:sz w:val="16"/>
      <w:szCs w:val="16"/>
    </w:rPr>
  </w:style>
  <w:style w:type="paragraph" w:styleId="CommentText">
    <w:name w:val="annotation text"/>
    <w:basedOn w:val="Normal"/>
    <w:link w:val="CommentTextChar"/>
    <w:rsid w:val="004B5D45"/>
    <w:rPr>
      <w:sz w:val="20"/>
      <w:szCs w:val="20"/>
    </w:rPr>
  </w:style>
  <w:style w:type="character" w:customStyle="1" w:styleId="CommentTextChar">
    <w:name w:val="Comment Text Char"/>
    <w:basedOn w:val="DefaultParagraphFont"/>
    <w:link w:val="CommentText"/>
    <w:rsid w:val="004B5D45"/>
  </w:style>
  <w:style w:type="paragraph" w:styleId="CommentSubject">
    <w:name w:val="annotation subject"/>
    <w:basedOn w:val="CommentText"/>
    <w:next w:val="CommentText"/>
    <w:link w:val="CommentSubjectChar"/>
    <w:rsid w:val="004B5D45"/>
    <w:rPr>
      <w:b/>
      <w:bCs/>
    </w:rPr>
  </w:style>
  <w:style w:type="character" w:customStyle="1" w:styleId="CommentSubjectChar">
    <w:name w:val="Comment Subject Char"/>
    <w:basedOn w:val="CommentTextChar"/>
    <w:link w:val="CommentSubject"/>
    <w:rsid w:val="004B5D45"/>
    <w:rPr>
      <w:b/>
      <w:bCs/>
    </w:rPr>
  </w:style>
  <w:style w:type="character" w:styleId="Strong">
    <w:name w:val="Strong"/>
    <w:basedOn w:val="DefaultParagraphFont"/>
    <w:uiPriority w:val="22"/>
    <w:qFormat/>
    <w:rsid w:val="00092255"/>
    <w:rPr>
      <w:b/>
      <w:bCs/>
    </w:rPr>
  </w:style>
  <w:style w:type="character" w:styleId="Emphasis">
    <w:name w:val="Emphasis"/>
    <w:basedOn w:val="DefaultParagraphFont"/>
    <w:uiPriority w:val="20"/>
    <w:qFormat/>
    <w:rsid w:val="00092255"/>
    <w:rPr>
      <w:i/>
      <w:iCs/>
    </w:rPr>
  </w:style>
  <w:style w:type="character" w:customStyle="1" w:styleId="FooterChar">
    <w:name w:val="Footer Char"/>
    <w:basedOn w:val="DefaultParagraphFont"/>
    <w:link w:val="Footer"/>
    <w:uiPriority w:val="99"/>
    <w:rsid w:val="00A060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0488">
      <w:bodyDiv w:val="1"/>
      <w:marLeft w:val="0"/>
      <w:marRight w:val="0"/>
      <w:marTop w:val="0"/>
      <w:marBottom w:val="0"/>
      <w:divBdr>
        <w:top w:val="none" w:sz="0" w:space="0" w:color="auto"/>
        <w:left w:val="none" w:sz="0" w:space="0" w:color="auto"/>
        <w:bottom w:val="none" w:sz="0" w:space="0" w:color="auto"/>
        <w:right w:val="none" w:sz="0" w:space="0" w:color="auto"/>
      </w:divBdr>
    </w:div>
    <w:div w:id="444662793">
      <w:bodyDiv w:val="1"/>
      <w:marLeft w:val="0"/>
      <w:marRight w:val="0"/>
      <w:marTop w:val="0"/>
      <w:marBottom w:val="0"/>
      <w:divBdr>
        <w:top w:val="none" w:sz="0" w:space="0" w:color="auto"/>
        <w:left w:val="none" w:sz="0" w:space="0" w:color="auto"/>
        <w:bottom w:val="none" w:sz="0" w:space="0" w:color="auto"/>
        <w:right w:val="none" w:sz="0" w:space="0" w:color="auto"/>
      </w:divBdr>
    </w:div>
    <w:div w:id="756094753">
      <w:bodyDiv w:val="1"/>
      <w:marLeft w:val="0"/>
      <w:marRight w:val="0"/>
      <w:marTop w:val="0"/>
      <w:marBottom w:val="0"/>
      <w:divBdr>
        <w:top w:val="none" w:sz="0" w:space="0" w:color="auto"/>
        <w:left w:val="none" w:sz="0" w:space="0" w:color="auto"/>
        <w:bottom w:val="none" w:sz="0" w:space="0" w:color="auto"/>
        <w:right w:val="none" w:sz="0" w:space="0" w:color="auto"/>
      </w:divBdr>
      <w:divsChild>
        <w:div w:id="656767926">
          <w:marLeft w:val="0"/>
          <w:marRight w:val="0"/>
          <w:marTop w:val="0"/>
          <w:marBottom w:val="150"/>
          <w:divBdr>
            <w:top w:val="none" w:sz="0" w:space="0" w:color="auto"/>
            <w:left w:val="none" w:sz="0" w:space="0" w:color="auto"/>
            <w:bottom w:val="none" w:sz="0" w:space="0" w:color="auto"/>
            <w:right w:val="none" w:sz="0" w:space="0" w:color="auto"/>
          </w:divBdr>
        </w:div>
        <w:div w:id="825823782">
          <w:marLeft w:val="0"/>
          <w:marRight w:val="0"/>
          <w:marTop w:val="0"/>
          <w:marBottom w:val="150"/>
          <w:divBdr>
            <w:top w:val="none" w:sz="0" w:space="0" w:color="auto"/>
            <w:left w:val="none" w:sz="0" w:space="0" w:color="auto"/>
            <w:bottom w:val="none" w:sz="0" w:space="0" w:color="auto"/>
            <w:right w:val="none" w:sz="0" w:space="0" w:color="auto"/>
          </w:divBdr>
        </w:div>
        <w:div w:id="1266187527">
          <w:marLeft w:val="0"/>
          <w:marRight w:val="0"/>
          <w:marTop w:val="0"/>
          <w:marBottom w:val="150"/>
          <w:divBdr>
            <w:top w:val="none" w:sz="0" w:space="0" w:color="auto"/>
            <w:left w:val="none" w:sz="0" w:space="0" w:color="auto"/>
            <w:bottom w:val="none" w:sz="0" w:space="0" w:color="auto"/>
            <w:right w:val="none" w:sz="0" w:space="0" w:color="auto"/>
          </w:divBdr>
        </w:div>
      </w:divsChild>
    </w:div>
    <w:div w:id="988097670">
      <w:bodyDiv w:val="1"/>
      <w:marLeft w:val="0"/>
      <w:marRight w:val="0"/>
      <w:marTop w:val="0"/>
      <w:marBottom w:val="0"/>
      <w:divBdr>
        <w:top w:val="none" w:sz="0" w:space="0" w:color="auto"/>
        <w:left w:val="none" w:sz="0" w:space="0" w:color="auto"/>
        <w:bottom w:val="none" w:sz="0" w:space="0" w:color="auto"/>
        <w:right w:val="none" w:sz="0" w:space="0" w:color="auto"/>
      </w:divBdr>
      <w:divsChild>
        <w:div w:id="381099822">
          <w:marLeft w:val="0"/>
          <w:marRight w:val="0"/>
          <w:marTop w:val="0"/>
          <w:marBottom w:val="150"/>
          <w:divBdr>
            <w:top w:val="none" w:sz="0" w:space="0" w:color="auto"/>
            <w:left w:val="none" w:sz="0" w:space="0" w:color="auto"/>
            <w:bottom w:val="none" w:sz="0" w:space="0" w:color="auto"/>
            <w:right w:val="none" w:sz="0" w:space="0" w:color="auto"/>
          </w:divBdr>
        </w:div>
        <w:div w:id="2083596898">
          <w:marLeft w:val="0"/>
          <w:marRight w:val="0"/>
          <w:marTop w:val="0"/>
          <w:marBottom w:val="150"/>
          <w:divBdr>
            <w:top w:val="none" w:sz="0" w:space="0" w:color="auto"/>
            <w:left w:val="none" w:sz="0" w:space="0" w:color="auto"/>
            <w:bottom w:val="none" w:sz="0" w:space="0" w:color="auto"/>
            <w:right w:val="none" w:sz="0" w:space="0" w:color="auto"/>
          </w:divBdr>
        </w:div>
      </w:divsChild>
    </w:div>
    <w:div w:id="1498377573">
      <w:bodyDiv w:val="1"/>
      <w:marLeft w:val="0"/>
      <w:marRight w:val="0"/>
      <w:marTop w:val="0"/>
      <w:marBottom w:val="0"/>
      <w:divBdr>
        <w:top w:val="none" w:sz="0" w:space="0" w:color="auto"/>
        <w:left w:val="none" w:sz="0" w:space="0" w:color="auto"/>
        <w:bottom w:val="none" w:sz="0" w:space="0" w:color="auto"/>
        <w:right w:val="none" w:sz="0" w:space="0" w:color="auto"/>
      </w:divBdr>
      <w:divsChild>
        <w:div w:id="1155532849">
          <w:marLeft w:val="0"/>
          <w:marRight w:val="0"/>
          <w:marTop w:val="0"/>
          <w:marBottom w:val="150"/>
          <w:divBdr>
            <w:top w:val="none" w:sz="0" w:space="0" w:color="auto"/>
            <w:left w:val="none" w:sz="0" w:space="0" w:color="auto"/>
            <w:bottom w:val="none" w:sz="0" w:space="0" w:color="auto"/>
            <w:right w:val="none" w:sz="0" w:space="0" w:color="auto"/>
          </w:divBdr>
        </w:div>
        <w:div w:id="1246181352">
          <w:marLeft w:val="0"/>
          <w:marRight w:val="0"/>
          <w:marTop w:val="0"/>
          <w:marBottom w:val="150"/>
          <w:divBdr>
            <w:top w:val="none" w:sz="0" w:space="0" w:color="auto"/>
            <w:left w:val="none" w:sz="0" w:space="0" w:color="auto"/>
            <w:bottom w:val="none" w:sz="0" w:space="0" w:color="auto"/>
            <w:right w:val="none" w:sz="0" w:space="0" w:color="auto"/>
          </w:divBdr>
        </w:div>
      </w:divsChild>
    </w:div>
    <w:div w:id="1842743977">
      <w:bodyDiv w:val="1"/>
      <w:marLeft w:val="0"/>
      <w:marRight w:val="0"/>
      <w:marTop w:val="0"/>
      <w:marBottom w:val="0"/>
      <w:divBdr>
        <w:top w:val="none" w:sz="0" w:space="0" w:color="auto"/>
        <w:left w:val="none" w:sz="0" w:space="0" w:color="auto"/>
        <w:bottom w:val="none" w:sz="0" w:space="0" w:color="auto"/>
        <w:right w:val="none" w:sz="0" w:space="0" w:color="auto"/>
      </w:divBdr>
      <w:divsChild>
        <w:div w:id="874658738">
          <w:marLeft w:val="0"/>
          <w:marRight w:val="0"/>
          <w:marTop w:val="0"/>
          <w:marBottom w:val="150"/>
          <w:divBdr>
            <w:top w:val="none" w:sz="0" w:space="0" w:color="auto"/>
            <w:left w:val="none" w:sz="0" w:space="0" w:color="auto"/>
            <w:bottom w:val="none" w:sz="0" w:space="0" w:color="auto"/>
            <w:right w:val="none" w:sz="0" w:space="0" w:color="auto"/>
          </w:divBdr>
        </w:div>
        <w:div w:id="1117021101">
          <w:marLeft w:val="0"/>
          <w:marRight w:val="0"/>
          <w:marTop w:val="0"/>
          <w:marBottom w:val="150"/>
          <w:divBdr>
            <w:top w:val="none" w:sz="0" w:space="0" w:color="auto"/>
            <w:left w:val="none" w:sz="0" w:space="0" w:color="auto"/>
            <w:bottom w:val="none" w:sz="0" w:space="0" w:color="auto"/>
            <w:right w:val="none" w:sz="0" w:space="0" w:color="auto"/>
          </w:divBdr>
        </w:div>
        <w:div w:id="1770005464">
          <w:marLeft w:val="0"/>
          <w:marRight w:val="0"/>
          <w:marTop w:val="0"/>
          <w:marBottom w:val="150"/>
          <w:divBdr>
            <w:top w:val="none" w:sz="0" w:space="0" w:color="auto"/>
            <w:left w:val="none" w:sz="0" w:space="0" w:color="auto"/>
            <w:bottom w:val="none" w:sz="0" w:space="0" w:color="auto"/>
            <w:right w:val="none" w:sz="0" w:space="0" w:color="auto"/>
          </w:divBdr>
        </w:div>
        <w:div w:id="20721491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c4kjnyezm0wca/overview/c4KJnYeZm0W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32FB6-AAD8-4ECC-93DD-D1CF29D1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13474</Words>
  <Characters>65457</Characters>
  <Application>Microsoft Office Word</Application>
  <DocSecurity>0</DocSecurity>
  <Lines>545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2022-06-08T10:47:00Z</dcterms:created>
  <dcterms:modified xsi:type="dcterms:W3CDTF">2022-06-08T10:50:00Z</dcterms:modified>
</cp:coreProperties>
</file>