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6EB2"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THE HIGH COURT</w:t>
      </w:r>
    </w:p>
    <w:p w14:paraId="29EB632E"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JUDICIAL REVIEW</w:t>
      </w:r>
    </w:p>
    <w:p w14:paraId="1D6F456A" w14:textId="1716003B" w:rsidR="007708E1" w:rsidRPr="00A96949" w:rsidRDefault="007708E1" w:rsidP="003451CF">
      <w:pPr>
        <w:spacing w:line="360" w:lineRule="auto"/>
        <w:jc w:val="right"/>
        <w:rPr>
          <w:rFonts w:ascii="Verdana" w:hAnsi="Verdana"/>
          <w:b/>
          <w:sz w:val="18"/>
          <w:szCs w:val="18"/>
        </w:rPr>
      </w:pPr>
      <w:r w:rsidRPr="009F0440">
        <w:rPr>
          <w:rFonts w:ascii="Verdana" w:hAnsi="Verdana"/>
          <w:b/>
          <w:sz w:val="18"/>
          <w:szCs w:val="18"/>
        </w:rPr>
        <w:t xml:space="preserve">[2022] IEHC </w:t>
      </w:r>
      <w:r w:rsidR="009F0440" w:rsidRPr="009F0440">
        <w:rPr>
          <w:rFonts w:ascii="Verdana" w:hAnsi="Verdana"/>
          <w:b/>
          <w:sz w:val="18"/>
          <w:szCs w:val="18"/>
        </w:rPr>
        <w:t>327</w:t>
      </w:r>
    </w:p>
    <w:p w14:paraId="46489E40" w14:textId="4D1E45F9" w:rsidR="00C62776" w:rsidRPr="00A96949" w:rsidRDefault="00C62776" w:rsidP="003451CF">
      <w:pPr>
        <w:spacing w:line="360" w:lineRule="auto"/>
        <w:jc w:val="right"/>
        <w:rPr>
          <w:rFonts w:ascii="Verdana" w:hAnsi="Verdana"/>
          <w:b/>
          <w:sz w:val="18"/>
          <w:szCs w:val="18"/>
        </w:rPr>
      </w:pPr>
      <w:r w:rsidRPr="00A96949">
        <w:rPr>
          <w:rFonts w:ascii="Verdana" w:hAnsi="Verdana"/>
          <w:b/>
          <w:sz w:val="18"/>
          <w:szCs w:val="18"/>
        </w:rPr>
        <w:t>[2020 No. 74 JR]</w:t>
      </w:r>
    </w:p>
    <w:p w14:paraId="6AEBD31E" w14:textId="77777777" w:rsidR="00C62776" w:rsidRPr="00A96949" w:rsidRDefault="00C62776" w:rsidP="003451CF">
      <w:pPr>
        <w:spacing w:line="360" w:lineRule="auto"/>
        <w:rPr>
          <w:rFonts w:ascii="Verdana" w:hAnsi="Verdana"/>
          <w:b/>
          <w:sz w:val="18"/>
          <w:szCs w:val="18"/>
        </w:rPr>
      </w:pPr>
      <w:r w:rsidRPr="00A96949">
        <w:rPr>
          <w:rFonts w:ascii="Verdana" w:hAnsi="Verdana"/>
          <w:b/>
          <w:sz w:val="18"/>
          <w:szCs w:val="18"/>
        </w:rPr>
        <w:t xml:space="preserve">BETWEEN </w:t>
      </w:r>
    </w:p>
    <w:p w14:paraId="740F05E1"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 xml:space="preserve">JAMES BERNARD FLANNERY, JIM </w:t>
      </w:r>
      <w:proofErr w:type="gramStart"/>
      <w:r w:rsidRPr="00A96949">
        <w:rPr>
          <w:rFonts w:ascii="Verdana" w:hAnsi="Verdana"/>
          <w:b/>
          <w:sz w:val="18"/>
          <w:szCs w:val="18"/>
        </w:rPr>
        <w:t>NOLAN</w:t>
      </w:r>
      <w:proofErr w:type="gramEnd"/>
      <w:r w:rsidRPr="00A96949">
        <w:rPr>
          <w:rFonts w:ascii="Verdana" w:hAnsi="Verdana"/>
          <w:b/>
          <w:sz w:val="18"/>
          <w:szCs w:val="18"/>
        </w:rPr>
        <w:t xml:space="preserve"> AND PATSY KEARNS AS TRUSTEES OF KEVIN’S GAA</w:t>
      </w:r>
    </w:p>
    <w:p w14:paraId="7F617CCC" w14:textId="77777777" w:rsidR="00C62776" w:rsidRPr="00A96949" w:rsidRDefault="00C62776" w:rsidP="003451CF">
      <w:pPr>
        <w:spacing w:line="360" w:lineRule="auto"/>
        <w:jc w:val="right"/>
        <w:rPr>
          <w:rFonts w:ascii="Verdana" w:hAnsi="Verdana"/>
          <w:b/>
          <w:sz w:val="18"/>
          <w:szCs w:val="18"/>
        </w:rPr>
      </w:pPr>
      <w:r w:rsidRPr="00A96949">
        <w:rPr>
          <w:rFonts w:ascii="Verdana" w:hAnsi="Verdana"/>
          <w:b/>
          <w:sz w:val="18"/>
          <w:szCs w:val="18"/>
        </w:rPr>
        <w:t xml:space="preserve">APPLICANTS </w:t>
      </w:r>
    </w:p>
    <w:p w14:paraId="59FDAC3F"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AND</w:t>
      </w:r>
    </w:p>
    <w:p w14:paraId="73C5DCC0"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AN BORD PLEANÁLA</w:t>
      </w:r>
    </w:p>
    <w:p w14:paraId="08B2B939" w14:textId="77777777" w:rsidR="00C62776" w:rsidRPr="00A96949" w:rsidRDefault="00C62776" w:rsidP="003451CF">
      <w:pPr>
        <w:spacing w:line="360" w:lineRule="auto"/>
        <w:jc w:val="right"/>
        <w:rPr>
          <w:rFonts w:ascii="Verdana" w:hAnsi="Verdana"/>
          <w:b/>
          <w:sz w:val="18"/>
          <w:szCs w:val="18"/>
        </w:rPr>
      </w:pPr>
      <w:r w:rsidRPr="00A96949">
        <w:rPr>
          <w:rFonts w:ascii="Verdana" w:hAnsi="Verdana"/>
          <w:b/>
          <w:sz w:val="18"/>
          <w:szCs w:val="18"/>
        </w:rPr>
        <w:t>RESPONDENT</w:t>
      </w:r>
    </w:p>
    <w:p w14:paraId="4B7882C4"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AND</w:t>
      </w:r>
    </w:p>
    <w:p w14:paraId="693D88D8"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TEMPELOGUE SYNGE STREET GAA CLUB, DUBLIN CITY COUNCIL AND BARRY CARROLL</w:t>
      </w:r>
    </w:p>
    <w:p w14:paraId="78B7B908" w14:textId="77777777" w:rsidR="00C62776" w:rsidRPr="00A96949" w:rsidRDefault="00C62776" w:rsidP="003451CF">
      <w:pPr>
        <w:spacing w:line="360" w:lineRule="auto"/>
        <w:jc w:val="right"/>
        <w:rPr>
          <w:rFonts w:ascii="Verdana" w:hAnsi="Verdana"/>
          <w:b/>
          <w:sz w:val="18"/>
          <w:szCs w:val="18"/>
        </w:rPr>
      </w:pPr>
      <w:r w:rsidRPr="00A96949">
        <w:rPr>
          <w:rFonts w:ascii="Verdana" w:hAnsi="Verdana"/>
          <w:b/>
          <w:sz w:val="18"/>
          <w:szCs w:val="18"/>
        </w:rPr>
        <w:t>NOTICE PARTIES</w:t>
      </w:r>
    </w:p>
    <w:p w14:paraId="3B425DB2"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(NO. 3)</w:t>
      </w:r>
    </w:p>
    <w:p w14:paraId="7C113DD1"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AND</w:t>
      </w:r>
    </w:p>
    <w:p w14:paraId="3C7D780E" w14:textId="77777777" w:rsidR="008E1C58" w:rsidRPr="00A96949" w:rsidRDefault="008E1C58" w:rsidP="003451CF">
      <w:pPr>
        <w:spacing w:line="360" w:lineRule="auto"/>
        <w:jc w:val="center"/>
        <w:rPr>
          <w:rFonts w:ascii="Verdana" w:hAnsi="Verdana"/>
          <w:b/>
          <w:sz w:val="18"/>
          <w:szCs w:val="18"/>
        </w:rPr>
      </w:pPr>
    </w:p>
    <w:p w14:paraId="3473981D"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THE HIGH COURT</w:t>
      </w:r>
    </w:p>
    <w:p w14:paraId="519F6102"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JUDICIAL REVIEW</w:t>
      </w:r>
    </w:p>
    <w:p w14:paraId="6A5966B6" w14:textId="77777777" w:rsidR="00C62776" w:rsidRPr="00A96949" w:rsidRDefault="00C62776" w:rsidP="003451CF">
      <w:pPr>
        <w:spacing w:line="360" w:lineRule="auto"/>
        <w:jc w:val="right"/>
        <w:rPr>
          <w:rFonts w:ascii="Verdana" w:hAnsi="Verdana"/>
          <w:b/>
          <w:sz w:val="18"/>
          <w:szCs w:val="18"/>
        </w:rPr>
      </w:pPr>
      <w:r w:rsidRPr="00A96949">
        <w:rPr>
          <w:rFonts w:ascii="Verdana" w:hAnsi="Verdana"/>
          <w:b/>
          <w:sz w:val="18"/>
          <w:szCs w:val="18"/>
        </w:rPr>
        <w:t>[2020 No. 66 JR]</w:t>
      </w:r>
    </w:p>
    <w:p w14:paraId="02C63DEC" w14:textId="77777777" w:rsidR="00C62776" w:rsidRPr="00A96949" w:rsidRDefault="00C62776" w:rsidP="003451CF">
      <w:pPr>
        <w:spacing w:line="360" w:lineRule="auto"/>
        <w:rPr>
          <w:rFonts w:ascii="Verdana" w:hAnsi="Verdana"/>
          <w:b/>
          <w:sz w:val="18"/>
          <w:szCs w:val="18"/>
        </w:rPr>
      </w:pPr>
      <w:r w:rsidRPr="00A96949">
        <w:rPr>
          <w:rFonts w:ascii="Verdana" w:hAnsi="Verdana"/>
          <w:b/>
          <w:sz w:val="18"/>
          <w:szCs w:val="18"/>
        </w:rPr>
        <w:t>BETWEEN</w:t>
      </w:r>
    </w:p>
    <w:p w14:paraId="0A422622"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BARRY CARROLL AND BPAC PROPERTY HOLDINGS (IRELAND) LIMITED</w:t>
      </w:r>
    </w:p>
    <w:p w14:paraId="26BD9DF4" w14:textId="77777777" w:rsidR="00C62776" w:rsidRPr="00A96949" w:rsidRDefault="00C62776" w:rsidP="003451CF">
      <w:pPr>
        <w:spacing w:line="360" w:lineRule="auto"/>
        <w:jc w:val="right"/>
        <w:rPr>
          <w:rFonts w:ascii="Verdana" w:hAnsi="Verdana"/>
          <w:b/>
          <w:sz w:val="18"/>
          <w:szCs w:val="18"/>
        </w:rPr>
      </w:pPr>
      <w:r w:rsidRPr="00A96949">
        <w:rPr>
          <w:rFonts w:ascii="Verdana" w:hAnsi="Verdana"/>
          <w:b/>
          <w:sz w:val="18"/>
          <w:szCs w:val="18"/>
        </w:rPr>
        <w:t>APPLICANTS</w:t>
      </w:r>
    </w:p>
    <w:p w14:paraId="53615B91"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AND</w:t>
      </w:r>
    </w:p>
    <w:p w14:paraId="5902B4A2"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AN BORD PLEANÁLA</w:t>
      </w:r>
    </w:p>
    <w:p w14:paraId="57D8A309" w14:textId="77777777" w:rsidR="00C62776" w:rsidRPr="00A96949" w:rsidRDefault="00C62776" w:rsidP="003451CF">
      <w:pPr>
        <w:spacing w:line="360" w:lineRule="auto"/>
        <w:jc w:val="right"/>
        <w:rPr>
          <w:rFonts w:ascii="Verdana" w:hAnsi="Verdana"/>
          <w:b/>
          <w:sz w:val="18"/>
          <w:szCs w:val="18"/>
        </w:rPr>
      </w:pPr>
      <w:r w:rsidRPr="00A96949">
        <w:rPr>
          <w:rFonts w:ascii="Verdana" w:hAnsi="Verdana"/>
          <w:b/>
          <w:sz w:val="18"/>
          <w:szCs w:val="18"/>
        </w:rPr>
        <w:t>RESPONDENT</w:t>
      </w:r>
    </w:p>
    <w:p w14:paraId="2CF37799"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AND</w:t>
      </w:r>
    </w:p>
    <w:p w14:paraId="133FEE91" w14:textId="77777777" w:rsidR="00C62776" w:rsidRPr="00A96949" w:rsidRDefault="00C62776" w:rsidP="003451CF">
      <w:pPr>
        <w:spacing w:line="360" w:lineRule="auto"/>
        <w:jc w:val="center"/>
        <w:rPr>
          <w:rFonts w:ascii="Verdana" w:hAnsi="Verdana"/>
          <w:b/>
          <w:sz w:val="18"/>
          <w:szCs w:val="18"/>
        </w:rPr>
      </w:pPr>
      <w:r w:rsidRPr="00A96949">
        <w:rPr>
          <w:rFonts w:ascii="Verdana" w:hAnsi="Verdana"/>
          <w:b/>
          <w:sz w:val="18"/>
          <w:szCs w:val="18"/>
        </w:rPr>
        <w:t>TEMPELOGUE SYNGE STREET GAA CLUB</w:t>
      </w:r>
    </w:p>
    <w:p w14:paraId="16AFFD2E" w14:textId="77777777" w:rsidR="00C62776" w:rsidRPr="00A96949" w:rsidRDefault="00C62776" w:rsidP="003451CF">
      <w:pPr>
        <w:spacing w:line="360" w:lineRule="auto"/>
        <w:jc w:val="right"/>
        <w:rPr>
          <w:rFonts w:ascii="Verdana" w:hAnsi="Verdana"/>
          <w:b/>
          <w:sz w:val="18"/>
          <w:szCs w:val="18"/>
        </w:rPr>
      </w:pPr>
      <w:r w:rsidRPr="00A96949">
        <w:rPr>
          <w:rFonts w:ascii="Verdana" w:hAnsi="Verdana"/>
          <w:b/>
          <w:sz w:val="18"/>
          <w:szCs w:val="18"/>
        </w:rPr>
        <w:t>NOTICE PARTY</w:t>
      </w:r>
    </w:p>
    <w:p w14:paraId="5D56A1FA" w14:textId="5DF32951" w:rsidR="002E41CE" w:rsidRPr="00A96949" w:rsidRDefault="00FF31D1" w:rsidP="00730399">
      <w:pPr>
        <w:spacing w:line="360" w:lineRule="auto"/>
        <w:ind w:left="567" w:hanging="567"/>
        <w:jc w:val="both"/>
        <w:rPr>
          <w:rFonts w:ascii="Verdana" w:hAnsi="Verdana"/>
          <w:b/>
          <w:sz w:val="18"/>
          <w:szCs w:val="18"/>
        </w:rPr>
      </w:pPr>
      <w:r w:rsidRPr="00A96949">
        <w:rPr>
          <w:rFonts w:ascii="Verdana" w:hAnsi="Verdana"/>
          <w:b/>
          <w:sz w:val="18"/>
          <w:szCs w:val="18"/>
        </w:rPr>
        <w:t>JUDGMENT o</w:t>
      </w:r>
      <w:r w:rsidR="00C62776" w:rsidRPr="00A96949">
        <w:rPr>
          <w:rFonts w:ascii="Verdana" w:hAnsi="Verdana"/>
          <w:b/>
          <w:sz w:val="18"/>
          <w:szCs w:val="18"/>
        </w:rPr>
        <w:t>f</w:t>
      </w:r>
      <w:r w:rsidR="002E41CE" w:rsidRPr="00A96949">
        <w:rPr>
          <w:rFonts w:ascii="Verdana" w:hAnsi="Verdana"/>
          <w:b/>
          <w:sz w:val="18"/>
          <w:szCs w:val="18"/>
        </w:rPr>
        <w:t xml:space="preserve"> </w:t>
      </w:r>
      <w:r w:rsidRPr="00A96949">
        <w:rPr>
          <w:rFonts w:ascii="Verdana" w:hAnsi="Verdana"/>
          <w:b/>
          <w:sz w:val="18"/>
          <w:szCs w:val="18"/>
        </w:rPr>
        <w:t>Humphreys</w:t>
      </w:r>
      <w:r w:rsidR="001C6AFA" w:rsidRPr="00A96949">
        <w:rPr>
          <w:rFonts w:ascii="Verdana" w:hAnsi="Verdana"/>
          <w:b/>
          <w:sz w:val="18"/>
          <w:szCs w:val="18"/>
        </w:rPr>
        <w:t xml:space="preserve"> </w:t>
      </w:r>
      <w:r w:rsidR="00C62776" w:rsidRPr="00A96949">
        <w:rPr>
          <w:rFonts w:ascii="Verdana" w:hAnsi="Verdana"/>
          <w:b/>
          <w:sz w:val="18"/>
          <w:szCs w:val="18"/>
        </w:rPr>
        <w:t xml:space="preserve">J. </w:t>
      </w:r>
      <w:r w:rsidR="002E41CE" w:rsidRPr="00A96949">
        <w:rPr>
          <w:rFonts w:ascii="Verdana" w:hAnsi="Verdana"/>
          <w:b/>
          <w:sz w:val="18"/>
          <w:szCs w:val="18"/>
        </w:rPr>
        <w:t>delivered on</w:t>
      </w:r>
      <w:r w:rsidR="00AB064D">
        <w:rPr>
          <w:rFonts w:ascii="Verdana" w:hAnsi="Verdana"/>
          <w:b/>
          <w:sz w:val="18"/>
          <w:szCs w:val="18"/>
        </w:rPr>
        <w:t xml:space="preserve"> Wednesday</w:t>
      </w:r>
      <w:r w:rsidR="00C62776" w:rsidRPr="00A96949">
        <w:rPr>
          <w:rFonts w:ascii="Verdana" w:hAnsi="Verdana"/>
          <w:b/>
          <w:sz w:val="18"/>
          <w:szCs w:val="18"/>
        </w:rPr>
        <w:t xml:space="preserve"> </w:t>
      </w:r>
      <w:r w:rsidR="002E41CE" w:rsidRPr="00A96949">
        <w:rPr>
          <w:rFonts w:ascii="Verdana" w:hAnsi="Verdana"/>
          <w:b/>
          <w:sz w:val="18"/>
          <w:szCs w:val="18"/>
        </w:rPr>
        <w:t>the</w:t>
      </w:r>
      <w:r w:rsidR="00C62776" w:rsidRPr="00A96949">
        <w:rPr>
          <w:rFonts w:ascii="Verdana" w:hAnsi="Verdana"/>
          <w:b/>
          <w:sz w:val="18"/>
          <w:szCs w:val="18"/>
        </w:rPr>
        <w:t xml:space="preserve"> </w:t>
      </w:r>
      <w:r w:rsidR="00601AF1" w:rsidRPr="00601AF1">
        <w:rPr>
          <w:rFonts w:ascii="Verdana" w:hAnsi="Verdana"/>
          <w:b/>
          <w:sz w:val="18"/>
          <w:szCs w:val="18"/>
        </w:rPr>
        <w:t>8th</w:t>
      </w:r>
      <w:r w:rsidR="00C62776" w:rsidRPr="00601AF1">
        <w:rPr>
          <w:rFonts w:ascii="Verdana" w:hAnsi="Verdana"/>
          <w:b/>
          <w:sz w:val="18"/>
          <w:szCs w:val="18"/>
        </w:rPr>
        <w:t xml:space="preserve"> </w:t>
      </w:r>
      <w:r w:rsidR="002E41CE" w:rsidRPr="00601AF1">
        <w:rPr>
          <w:rFonts w:ascii="Verdana" w:hAnsi="Verdana"/>
          <w:b/>
          <w:sz w:val="18"/>
          <w:szCs w:val="18"/>
        </w:rPr>
        <w:t xml:space="preserve">day </w:t>
      </w:r>
      <w:r w:rsidRPr="00601AF1">
        <w:rPr>
          <w:rFonts w:ascii="Verdana" w:hAnsi="Verdana"/>
          <w:b/>
          <w:sz w:val="18"/>
          <w:szCs w:val="18"/>
        </w:rPr>
        <w:t>of</w:t>
      </w:r>
      <w:r w:rsidR="00C62776" w:rsidRPr="00601AF1">
        <w:rPr>
          <w:rFonts w:ascii="Verdana" w:hAnsi="Verdana"/>
          <w:b/>
          <w:sz w:val="18"/>
          <w:szCs w:val="18"/>
        </w:rPr>
        <w:t xml:space="preserve"> </w:t>
      </w:r>
      <w:proofErr w:type="gramStart"/>
      <w:r w:rsidR="00601AF1">
        <w:rPr>
          <w:rFonts w:ascii="Verdana" w:hAnsi="Verdana"/>
          <w:b/>
          <w:sz w:val="18"/>
          <w:szCs w:val="18"/>
        </w:rPr>
        <w:t>June</w:t>
      </w:r>
      <w:r w:rsidRPr="00A96949">
        <w:rPr>
          <w:rFonts w:ascii="Verdana" w:hAnsi="Verdana"/>
          <w:b/>
          <w:sz w:val="18"/>
          <w:szCs w:val="18"/>
        </w:rPr>
        <w:t>,</w:t>
      </w:r>
      <w:proofErr w:type="gramEnd"/>
      <w:r w:rsidRPr="00A96949">
        <w:rPr>
          <w:rFonts w:ascii="Verdana" w:hAnsi="Verdana"/>
          <w:b/>
          <w:sz w:val="18"/>
          <w:szCs w:val="18"/>
        </w:rPr>
        <w:t xml:space="preserve"> 2022</w:t>
      </w:r>
    </w:p>
    <w:p w14:paraId="5F90CC29" w14:textId="77777777" w:rsidR="005A37C9" w:rsidRPr="00A96949" w:rsidRDefault="00596E92"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In </w:t>
      </w:r>
      <w:r w:rsidR="00C36D00" w:rsidRPr="00A96949">
        <w:rPr>
          <w:rFonts w:ascii="Verdana" w:hAnsi="Verdana"/>
          <w:i/>
          <w:sz w:val="18"/>
          <w:szCs w:val="18"/>
        </w:rPr>
        <w:t xml:space="preserve">Flannery v. An Bord Pleanála </w:t>
      </w:r>
      <w:r w:rsidR="008E1C58" w:rsidRPr="00A96949">
        <w:rPr>
          <w:rFonts w:ascii="Verdana" w:hAnsi="Verdana"/>
          <w:i/>
          <w:sz w:val="18"/>
          <w:szCs w:val="18"/>
        </w:rPr>
        <w:t>(</w:t>
      </w:r>
      <w:r w:rsidR="00C36D00" w:rsidRPr="00A96949">
        <w:rPr>
          <w:rFonts w:ascii="Verdana" w:hAnsi="Verdana"/>
          <w:i/>
          <w:sz w:val="18"/>
          <w:szCs w:val="18"/>
        </w:rPr>
        <w:t>No. 1</w:t>
      </w:r>
      <w:r w:rsidR="008E1C58" w:rsidRPr="00A96949">
        <w:rPr>
          <w:rFonts w:ascii="Verdana" w:hAnsi="Verdana"/>
          <w:i/>
          <w:sz w:val="18"/>
          <w:szCs w:val="18"/>
        </w:rPr>
        <w:t>)</w:t>
      </w:r>
      <w:r w:rsidR="00C36D00" w:rsidRPr="00A96949">
        <w:rPr>
          <w:rFonts w:ascii="Verdana" w:hAnsi="Verdana"/>
          <w:i/>
          <w:sz w:val="18"/>
          <w:szCs w:val="18"/>
        </w:rPr>
        <w:t xml:space="preserve"> </w:t>
      </w:r>
      <w:r w:rsidR="00C36D00" w:rsidRPr="00A96949">
        <w:rPr>
          <w:rFonts w:ascii="Verdana" w:hAnsi="Verdana"/>
          <w:sz w:val="18"/>
          <w:szCs w:val="18"/>
        </w:rPr>
        <w:t>[2021] IEHC 140</w:t>
      </w:r>
      <w:r w:rsidR="008E1C58" w:rsidRPr="00A96949">
        <w:rPr>
          <w:rFonts w:ascii="Verdana" w:hAnsi="Verdana"/>
          <w:sz w:val="18"/>
          <w:szCs w:val="18"/>
        </w:rPr>
        <w:t>, [2021] 3 JIC 1216 (Unreported, High Court, 12</w:t>
      </w:r>
      <w:r w:rsidR="008E1C58" w:rsidRPr="00A96949">
        <w:rPr>
          <w:rFonts w:ascii="Verdana" w:hAnsi="Verdana"/>
          <w:sz w:val="18"/>
          <w:szCs w:val="18"/>
          <w:vertAlign w:val="superscript"/>
        </w:rPr>
        <w:t>th</w:t>
      </w:r>
      <w:r w:rsidR="008E1C58" w:rsidRPr="00A96949">
        <w:rPr>
          <w:rFonts w:ascii="Verdana" w:hAnsi="Verdana"/>
          <w:sz w:val="18"/>
          <w:szCs w:val="18"/>
        </w:rPr>
        <w:t xml:space="preserve"> March, 2021),</w:t>
      </w:r>
      <w:r w:rsidR="00C36D00" w:rsidRPr="00A96949">
        <w:rPr>
          <w:rFonts w:ascii="Verdana" w:hAnsi="Verdana"/>
          <w:sz w:val="18"/>
          <w:szCs w:val="18"/>
        </w:rPr>
        <w:t xml:space="preserve"> I refused an application for interrogatories.</w:t>
      </w:r>
    </w:p>
    <w:p w14:paraId="50F520A7" w14:textId="77777777" w:rsidR="005A37C9" w:rsidRPr="00A96949" w:rsidRDefault="00C36D00"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In </w:t>
      </w:r>
      <w:r w:rsidRPr="00A96949">
        <w:rPr>
          <w:rFonts w:ascii="Verdana" w:hAnsi="Verdana"/>
          <w:i/>
          <w:sz w:val="18"/>
          <w:szCs w:val="18"/>
        </w:rPr>
        <w:t xml:space="preserve">Flannery v. An Bord Pleanála </w:t>
      </w:r>
      <w:r w:rsidR="008E1C58" w:rsidRPr="00A96949">
        <w:rPr>
          <w:rFonts w:ascii="Verdana" w:hAnsi="Verdana"/>
          <w:i/>
          <w:sz w:val="18"/>
          <w:szCs w:val="18"/>
        </w:rPr>
        <w:t>(</w:t>
      </w:r>
      <w:r w:rsidRPr="00A96949">
        <w:rPr>
          <w:rFonts w:ascii="Verdana" w:hAnsi="Verdana"/>
          <w:i/>
          <w:sz w:val="18"/>
          <w:szCs w:val="18"/>
        </w:rPr>
        <w:t>No. 2</w:t>
      </w:r>
      <w:r w:rsidR="008E1C58" w:rsidRPr="00A96949">
        <w:rPr>
          <w:rFonts w:ascii="Verdana" w:hAnsi="Verdana"/>
          <w:i/>
          <w:sz w:val="18"/>
          <w:szCs w:val="18"/>
        </w:rPr>
        <w:t>)</w:t>
      </w:r>
      <w:r w:rsidRPr="00A96949">
        <w:rPr>
          <w:rFonts w:ascii="Verdana" w:hAnsi="Verdana"/>
          <w:i/>
          <w:sz w:val="18"/>
          <w:szCs w:val="18"/>
        </w:rPr>
        <w:t xml:space="preserve"> </w:t>
      </w:r>
      <w:r w:rsidRPr="00A96949">
        <w:rPr>
          <w:rFonts w:ascii="Verdana" w:hAnsi="Verdana"/>
          <w:sz w:val="18"/>
          <w:szCs w:val="18"/>
        </w:rPr>
        <w:t>[2022] IEHC 83</w:t>
      </w:r>
      <w:r w:rsidR="008E1C58" w:rsidRPr="00A96949">
        <w:rPr>
          <w:rFonts w:ascii="Verdana" w:hAnsi="Verdana"/>
          <w:sz w:val="18"/>
          <w:szCs w:val="18"/>
        </w:rPr>
        <w:t>, [2022] 2 JIC 2504 (Unreported, High Court, 25</w:t>
      </w:r>
      <w:r w:rsidR="008E1C58" w:rsidRPr="00A96949">
        <w:rPr>
          <w:rFonts w:ascii="Verdana" w:hAnsi="Verdana"/>
          <w:sz w:val="18"/>
          <w:szCs w:val="18"/>
          <w:vertAlign w:val="superscript"/>
        </w:rPr>
        <w:t>th</w:t>
      </w:r>
      <w:r w:rsidR="008E1C58" w:rsidRPr="00A96949">
        <w:rPr>
          <w:rFonts w:ascii="Verdana" w:hAnsi="Verdana"/>
          <w:sz w:val="18"/>
          <w:szCs w:val="18"/>
        </w:rPr>
        <w:t xml:space="preserve"> </w:t>
      </w:r>
      <w:proofErr w:type="gramStart"/>
      <w:r w:rsidR="008E1C58" w:rsidRPr="00A96949">
        <w:rPr>
          <w:rFonts w:ascii="Verdana" w:hAnsi="Verdana"/>
          <w:sz w:val="18"/>
          <w:szCs w:val="18"/>
        </w:rPr>
        <w:t>February,</w:t>
      </w:r>
      <w:proofErr w:type="gramEnd"/>
      <w:r w:rsidR="008E1C58" w:rsidRPr="00A96949">
        <w:rPr>
          <w:rFonts w:ascii="Verdana" w:hAnsi="Verdana"/>
          <w:sz w:val="18"/>
          <w:szCs w:val="18"/>
        </w:rPr>
        <w:t xml:space="preserve"> 2022),</w:t>
      </w:r>
      <w:r w:rsidRPr="00A96949">
        <w:rPr>
          <w:rFonts w:ascii="Verdana" w:hAnsi="Verdana"/>
          <w:sz w:val="18"/>
          <w:szCs w:val="18"/>
        </w:rPr>
        <w:t xml:space="preserve"> I granted </w:t>
      </w:r>
      <w:r w:rsidRPr="00A96949">
        <w:rPr>
          <w:rFonts w:ascii="Verdana" w:hAnsi="Verdana"/>
          <w:i/>
          <w:sz w:val="18"/>
          <w:szCs w:val="18"/>
        </w:rPr>
        <w:t xml:space="preserve">certiorari </w:t>
      </w:r>
      <w:r w:rsidRPr="00A96949">
        <w:rPr>
          <w:rFonts w:ascii="Verdana" w:hAnsi="Verdana"/>
          <w:sz w:val="18"/>
          <w:szCs w:val="18"/>
        </w:rPr>
        <w:t xml:space="preserve">of the </w:t>
      </w:r>
      <w:r w:rsidR="0047667E" w:rsidRPr="00A96949">
        <w:rPr>
          <w:rFonts w:ascii="Verdana" w:hAnsi="Verdana"/>
          <w:sz w:val="18"/>
          <w:szCs w:val="18"/>
        </w:rPr>
        <w:t>board decision challenged in this case.</w:t>
      </w:r>
    </w:p>
    <w:p w14:paraId="66F285C0" w14:textId="2490BEBC" w:rsidR="005A37C9" w:rsidRPr="00A96949" w:rsidRDefault="0047667E"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An issue has now arisen as to costs. </w:t>
      </w:r>
      <w:r w:rsidR="008E1C58" w:rsidRPr="00A96949">
        <w:rPr>
          <w:rFonts w:ascii="Verdana" w:hAnsi="Verdana"/>
          <w:sz w:val="18"/>
          <w:szCs w:val="18"/>
        </w:rPr>
        <w:t xml:space="preserve"> </w:t>
      </w:r>
      <w:r w:rsidRPr="00A96949">
        <w:rPr>
          <w:rFonts w:ascii="Verdana" w:hAnsi="Verdana"/>
          <w:sz w:val="18"/>
          <w:szCs w:val="18"/>
        </w:rPr>
        <w:t xml:space="preserve">The board has proposed an apportionment of costs based on </w:t>
      </w:r>
      <w:r w:rsidR="002B6BEC" w:rsidRPr="00A96949">
        <w:rPr>
          <w:rFonts w:ascii="Verdana" w:hAnsi="Verdana"/>
          <w:sz w:val="18"/>
          <w:szCs w:val="18"/>
        </w:rPr>
        <w:t>a division</w:t>
      </w:r>
      <w:r w:rsidRPr="00A96949">
        <w:rPr>
          <w:rFonts w:ascii="Verdana" w:hAnsi="Verdana"/>
          <w:sz w:val="18"/>
          <w:szCs w:val="18"/>
        </w:rPr>
        <w:t xml:space="preserve"> </w:t>
      </w:r>
      <w:r w:rsidR="003D0DF8" w:rsidRPr="00A96949">
        <w:rPr>
          <w:rFonts w:ascii="Verdana" w:hAnsi="Verdana"/>
          <w:sz w:val="18"/>
          <w:szCs w:val="18"/>
        </w:rPr>
        <w:t>between</w:t>
      </w:r>
      <w:r w:rsidRPr="00A96949">
        <w:rPr>
          <w:rFonts w:ascii="Verdana" w:hAnsi="Verdana"/>
          <w:sz w:val="18"/>
          <w:szCs w:val="18"/>
        </w:rPr>
        <w:t xml:space="preserve"> successful</w:t>
      </w:r>
      <w:r w:rsidR="003D0DF8" w:rsidRPr="00A96949">
        <w:rPr>
          <w:rFonts w:ascii="Verdana" w:hAnsi="Verdana"/>
          <w:sz w:val="18"/>
          <w:szCs w:val="18"/>
        </w:rPr>
        <w:t xml:space="preserve"> and unsuccessful</w:t>
      </w:r>
      <w:r w:rsidRPr="00A96949">
        <w:rPr>
          <w:rFonts w:ascii="Verdana" w:hAnsi="Verdana"/>
          <w:sz w:val="18"/>
          <w:szCs w:val="18"/>
        </w:rPr>
        <w:t xml:space="preserve"> grounds. </w:t>
      </w:r>
      <w:r w:rsidR="005A37C9" w:rsidRPr="00A96949">
        <w:rPr>
          <w:rFonts w:ascii="Verdana" w:hAnsi="Verdana"/>
          <w:sz w:val="18"/>
          <w:szCs w:val="18"/>
        </w:rPr>
        <w:t xml:space="preserve"> </w:t>
      </w:r>
      <w:r w:rsidRPr="00A96949">
        <w:rPr>
          <w:rFonts w:ascii="Verdana" w:hAnsi="Verdana"/>
          <w:sz w:val="18"/>
          <w:szCs w:val="18"/>
        </w:rPr>
        <w:t xml:space="preserve">That </w:t>
      </w:r>
      <w:r w:rsidR="003D0DF8" w:rsidRPr="00A96949">
        <w:rPr>
          <w:rFonts w:ascii="Verdana" w:hAnsi="Verdana"/>
          <w:sz w:val="18"/>
          <w:szCs w:val="18"/>
        </w:rPr>
        <w:t>exercise</w:t>
      </w:r>
      <w:r w:rsidRPr="00A96949">
        <w:rPr>
          <w:rFonts w:ascii="Verdana" w:hAnsi="Verdana"/>
          <w:sz w:val="18"/>
          <w:szCs w:val="18"/>
        </w:rPr>
        <w:t xml:space="preserve"> was facilitated</w:t>
      </w:r>
      <w:r w:rsidR="003D0DF8" w:rsidRPr="00A96949">
        <w:rPr>
          <w:rFonts w:ascii="Verdana" w:hAnsi="Verdana"/>
          <w:sz w:val="18"/>
          <w:szCs w:val="18"/>
        </w:rPr>
        <w:t xml:space="preserve"> in this </w:t>
      </w:r>
      <w:proofErr w:type="gramStart"/>
      <w:r w:rsidR="003D0DF8" w:rsidRPr="00A96949">
        <w:rPr>
          <w:rFonts w:ascii="Verdana" w:hAnsi="Verdana"/>
          <w:sz w:val="18"/>
          <w:szCs w:val="18"/>
        </w:rPr>
        <w:t>particular case</w:t>
      </w:r>
      <w:proofErr w:type="gramEnd"/>
      <w:r w:rsidRPr="00A96949">
        <w:rPr>
          <w:rFonts w:ascii="Verdana" w:hAnsi="Verdana"/>
          <w:sz w:val="18"/>
          <w:szCs w:val="18"/>
        </w:rPr>
        <w:t xml:space="preserve"> by the fact that the No. 2 judgment itemises 45 points in a Scott </w:t>
      </w:r>
      <w:r w:rsidR="007455F2" w:rsidRPr="00A96949">
        <w:rPr>
          <w:rFonts w:ascii="Verdana" w:hAnsi="Verdana"/>
          <w:sz w:val="18"/>
          <w:szCs w:val="18"/>
        </w:rPr>
        <w:t>Schedule</w:t>
      </w:r>
      <w:r w:rsidR="003D0DF8" w:rsidRPr="00A96949">
        <w:rPr>
          <w:rFonts w:ascii="Verdana" w:hAnsi="Verdana"/>
          <w:sz w:val="18"/>
          <w:szCs w:val="18"/>
        </w:rPr>
        <w:t>, prepared with the assistance of the parties,</w:t>
      </w:r>
      <w:r w:rsidR="007455F2" w:rsidRPr="00A96949">
        <w:rPr>
          <w:rFonts w:ascii="Verdana" w:hAnsi="Verdana"/>
          <w:sz w:val="18"/>
          <w:szCs w:val="18"/>
        </w:rPr>
        <w:t xml:space="preserve"> of</w:t>
      </w:r>
      <w:r w:rsidRPr="00A96949">
        <w:rPr>
          <w:rFonts w:ascii="Verdana" w:hAnsi="Verdana"/>
          <w:sz w:val="18"/>
          <w:szCs w:val="18"/>
        </w:rPr>
        <w:t xml:space="preserve"> which </w:t>
      </w:r>
      <w:r w:rsidR="003D0DF8" w:rsidRPr="00A96949">
        <w:rPr>
          <w:rFonts w:ascii="Verdana" w:hAnsi="Verdana"/>
          <w:sz w:val="18"/>
          <w:szCs w:val="18"/>
        </w:rPr>
        <w:t>13</w:t>
      </w:r>
      <w:r w:rsidRPr="00A96949">
        <w:rPr>
          <w:rFonts w:ascii="Verdana" w:hAnsi="Verdana"/>
          <w:sz w:val="18"/>
          <w:szCs w:val="18"/>
        </w:rPr>
        <w:t xml:space="preserve"> </w:t>
      </w:r>
      <w:r w:rsidR="003D0DF8" w:rsidRPr="00A96949">
        <w:rPr>
          <w:rFonts w:ascii="Verdana" w:hAnsi="Verdana"/>
          <w:sz w:val="18"/>
          <w:szCs w:val="18"/>
        </w:rPr>
        <w:t>points</w:t>
      </w:r>
      <w:r w:rsidRPr="00A96949">
        <w:rPr>
          <w:rFonts w:ascii="Verdana" w:hAnsi="Verdana"/>
          <w:sz w:val="18"/>
          <w:szCs w:val="18"/>
        </w:rPr>
        <w:t xml:space="preserve"> were successful.</w:t>
      </w:r>
    </w:p>
    <w:p w14:paraId="010203DA" w14:textId="5FF1EE8A" w:rsidR="007A2B5E" w:rsidRPr="00A96949" w:rsidRDefault="0047667E"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In relation to the three applicants whose cases were heard together</w:t>
      </w:r>
      <w:r w:rsidR="00444E4A" w:rsidRPr="00A96949">
        <w:rPr>
          <w:rFonts w:ascii="Verdana" w:hAnsi="Verdana"/>
          <w:sz w:val="18"/>
          <w:szCs w:val="18"/>
        </w:rPr>
        <w:t>,</w:t>
      </w:r>
      <w:r w:rsidRPr="00A96949">
        <w:rPr>
          <w:rFonts w:ascii="Verdana" w:hAnsi="Verdana"/>
          <w:sz w:val="18"/>
          <w:szCs w:val="18"/>
        </w:rPr>
        <w:t xml:space="preserve"> the board accepted </w:t>
      </w:r>
      <w:r w:rsidR="003D0DF8" w:rsidRPr="00A96949">
        <w:rPr>
          <w:rFonts w:ascii="Verdana" w:hAnsi="Verdana"/>
          <w:sz w:val="18"/>
          <w:szCs w:val="18"/>
        </w:rPr>
        <w:t xml:space="preserve">an order for </w:t>
      </w:r>
      <w:r w:rsidRPr="00A96949">
        <w:rPr>
          <w:rFonts w:ascii="Verdana" w:hAnsi="Verdana"/>
          <w:sz w:val="18"/>
          <w:szCs w:val="18"/>
        </w:rPr>
        <w:t xml:space="preserve">full costs in favour of the applicant in the </w:t>
      </w:r>
      <w:r w:rsidRPr="00A96949">
        <w:rPr>
          <w:rFonts w:ascii="Verdana" w:hAnsi="Verdana"/>
          <w:iCs/>
          <w:sz w:val="18"/>
          <w:szCs w:val="18"/>
        </w:rPr>
        <w:t>O’Sullivan</w:t>
      </w:r>
      <w:r w:rsidRPr="00A96949">
        <w:rPr>
          <w:rFonts w:ascii="Verdana" w:hAnsi="Verdana"/>
          <w:sz w:val="18"/>
          <w:szCs w:val="18"/>
        </w:rPr>
        <w:t xml:space="preserve"> case who</w:t>
      </w:r>
      <w:r w:rsidR="003D0DF8" w:rsidRPr="00A96949">
        <w:rPr>
          <w:rFonts w:ascii="Verdana" w:hAnsi="Verdana"/>
          <w:sz w:val="18"/>
          <w:szCs w:val="18"/>
        </w:rPr>
        <w:t xml:space="preserve"> won </w:t>
      </w:r>
      <w:proofErr w:type="gramStart"/>
      <w:r w:rsidR="003D0DF8" w:rsidRPr="00A96949">
        <w:rPr>
          <w:rFonts w:ascii="Verdana" w:hAnsi="Verdana"/>
          <w:sz w:val="18"/>
          <w:szCs w:val="18"/>
        </w:rPr>
        <w:t>all of</w:t>
      </w:r>
      <w:proofErr w:type="gramEnd"/>
      <w:r w:rsidR="003D0DF8" w:rsidRPr="00A96949">
        <w:rPr>
          <w:rFonts w:ascii="Verdana" w:hAnsi="Verdana"/>
          <w:sz w:val="18"/>
          <w:szCs w:val="18"/>
        </w:rPr>
        <w:t xml:space="preserve"> his </w:t>
      </w:r>
      <w:r w:rsidR="002B6BEC" w:rsidRPr="00A96949">
        <w:rPr>
          <w:rFonts w:ascii="Verdana" w:hAnsi="Verdana"/>
          <w:sz w:val="18"/>
          <w:szCs w:val="18"/>
        </w:rPr>
        <w:t xml:space="preserve">decided </w:t>
      </w:r>
      <w:r w:rsidR="003D0DF8" w:rsidRPr="00A96949">
        <w:rPr>
          <w:rFonts w:ascii="Verdana" w:hAnsi="Verdana"/>
          <w:sz w:val="18"/>
          <w:szCs w:val="18"/>
        </w:rPr>
        <w:lastRenderedPageBreak/>
        <w:t>points and</w:t>
      </w:r>
      <w:r w:rsidRPr="00A96949">
        <w:rPr>
          <w:rFonts w:ascii="Verdana" w:hAnsi="Verdana"/>
          <w:sz w:val="18"/>
          <w:szCs w:val="18"/>
        </w:rPr>
        <w:t xml:space="preserve"> accordingly dropped out of the present matter. </w:t>
      </w:r>
      <w:r w:rsidR="008E1C58" w:rsidRPr="00A96949">
        <w:rPr>
          <w:rFonts w:ascii="Verdana" w:hAnsi="Verdana"/>
          <w:sz w:val="18"/>
          <w:szCs w:val="18"/>
        </w:rPr>
        <w:t xml:space="preserve"> </w:t>
      </w:r>
      <w:r w:rsidRPr="00A96949">
        <w:rPr>
          <w:rFonts w:ascii="Verdana" w:hAnsi="Verdana"/>
          <w:sz w:val="18"/>
          <w:szCs w:val="18"/>
        </w:rPr>
        <w:t xml:space="preserve">The board proposes </w:t>
      </w:r>
      <w:r w:rsidR="002C03BF" w:rsidRPr="00A96949">
        <w:rPr>
          <w:rFonts w:ascii="Verdana" w:hAnsi="Verdana"/>
          <w:sz w:val="18"/>
          <w:szCs w:val="18"/>
        </w:rPr>
        <w:t>5</w:t>
      </w:r>
      <w:r w:rsidRPr="00A96949">
        <w:rPr>
          <w:rFonts w:ascii="Verdana" w:hAnsi="Verdana"/>
          <w:sz w:val="18"/>
          <w:szCs w:val="18"/>
        </w:rPr>
        <w:t>7% of costs in favour of the applicant in Flannery</w:t>
      </w:r>
      <w:r w:rsidRPr="00A96949">
        <w:rPr>
          <w:rFonts w:ascii="Verdana" w:hAnsi="Verdana"/>
          <w:i/>
          <w:sz w:val="18"/>
          <w:szCs w:val="18"/>
        </w:rPr>
        <w:t xml:space="preserve"> </w:t>
      </w:r>
      <w:r w:rsidRPr="00A96949">
        <w:rPr>
          <w:rFonts w:ascii="Verdana" w:hAnsi="Verdana"/>
          <w:sz w:val="18"/>
          <w:szCs w:val="18"/>
        </w:rPr>
        <w:t>and 50% in favour of the applicant in Carroll</w:t>
      </w:r>
      <w:r w:rsidRPr="00A96949">
        <w:rPr>
          <w:rFonts w:ascii="Verdana" w:hAnsi="Verdana"/>
          <w:i/>
          <w:sz w:val="18"/>
          <w:szCs w:val="18"/>
        </w:rPr>
        <w:t xml:space="preserve"> </w:t>
      </w:r>
      <w:r w:rsidRPr="00A96949">
        <w:rPr>
          <w:rFonts w:ascii="Verdana" w:hAnsi="Verdana"/>
          <w:sz w:val="18"/>
          <w:szCs w:val="18"/>
        </w:rPr>
        <w:t>based essentially on a headcount of points won and lost</w:t>
      </w:r>
      <w:r w:rsidR="003D0DF8" w:rsidRPr="00A96949">
        <w:rPr>
          <w:rFonts w:ascii="Verdana" w:hAnsi="Verdana"/>
          <w:sz w:val="18"/>
          <w:szCs w:val="18"/>
        </w:rPr>
        <w:t>, and excluding the matters not decided</w:t>
      </w:r>
      <w:r w:rsidRPr="00A96949">
        <w:rPr>
          <w:rFonts w:ascii="Verdana" w:hAnsi="Verdana"/>
          <w:sz w:val="18"/>
          <w:szCs w:val="18"/>
        </w:rPr>
        <w:t xml:space="preserve">. </w:t>
      </w:r>
    </w:p>
    <w:p w14:paraId="37533C56" w14:textId="0946A4D5" w:rsidR="001B0AEE" w:rsidRPr="00A96949" w:rsidRDefault="0047667E"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The board accepted pragmatically for the purposes of the present application that the applicant in Flannery</w:t>
      </w:r>
      <w:r w:rsidRPr="00A96949">
        <w:rPr>
          <w:rFonts w:ascii="Verdana" w:hAnsi="Verdana"/>
          <w:i/>
          <w:sz w:val="18"/>
          <w:szCs w:val="18"/>
        </w:rPr>
        <w:t xml:space="preserve"> </w:t>
      </w:r>
      <w:r w:rsidRPr="00A96949">
        <w:rPr>
          <w:rFonts w:ascii="Verdana" w:hAnsi="Verdana"/>
          <w:sz w:val="18"/>
          <w:szCs w:val="18"/>
        </w:rPr>
        <w:t xml:space="preserve">was entitled to rely on European law </w:t>
      </w:r>
      <w:r w:rsidR="003D0DF8" w:rsidRPr="00A96949">
        <w:rPr>
          <w:rFonts w:ascii="Verdana" w:hAnsi="Verdana"/>
          <w:sz w:val="18"/>
          <w:szCs w:val="18"/>
        </w:rPr>
        <w:t>so</w:t>
      </w:r>
      <w:r w:rsidRPr="00A96949">
        <w:rPr>
          <w:rFonts w:ascii="Verdana" w:hAnsi="Verdana"/>
          <w:sz w:val="18"/>
          <w:szCs w:val="18"/>
        </w:rPr>
        <w:t xml:space="preserve"> that an argument could be made that the approach to apportionment could be influenced by the Aarhus Convention. </w:t>
      </w:r>
      <w:r w:rsidR="001B0AEE" w:rsidRPr="00A96949">
        <w:rPr>
          <w:rFonts w:ascii="Verdana" w:hAnsi="Verdana"/>
          <w:sz w:val="18"/>
          <w:szCs w:val="18"/>
        </w:rPr>
        <w:t xml:space="preserve"> </w:t>
      </w:r>
      <w:r w:rsidRPr="00A96949">
        <w:rPr>
          <w:rFonts w:ascii="Verdana" w:hAnsi="Verdana"/>
          <w:sz w:val="18"/>
          <w:szCs w:val="18"/>
        </w:rPr>
        <w:t>This avoids the need to discuss what is and is not covered by the Aarhus Convention</w:t>
      </w:r>
      <w:r w:rsidR="003D0DF8" w:rsidRPr="00A96949">
        <w:rPr>
          <w:rFonts w:ascii="Verdana" w:hAnsi="Verdana"/>
          <w:sz w:val="18"/>
          <w:szCs w:val="18"/>
        </w:rPr>
        <w:t xml:space="preserve"> which thus helpfully allows the matter to </w:t>
      </w:r>
      <w:proofErr w:type="gramStart"/>
      <w:r w:rsidR="003D0DF8" w:rsidRPr="00A96949">
        <w:rPr>
          <w:rFonts w:ascii="Verdana" w:hAnsi="Verdana"/>
          <w:sz w:val="18"/>
          <w:szCs w:val="18"/>
        </w:rPr>
        <w:t>actually proceed</w:t>
      </w:r>
      <w:proofErr w:type="gramEnd"/>
      <w:r w:rsidR="003D0DF8" w:rsidRPr="00A96949">
        <w:rPr>
          <w:rFonts w:ascii="Verdana" w:hAnsi="Verdana"/>
          <w:sz w:val="18"/>
          <w:szCs w:val="18"/>
        </w:rPr>
        <w:t xml:space="preserve"> at the present time (given the state of flux in relation to the understanding of Aarhus at the moment</w:t>
      </w:r>
      <w:r w:rsidR="00DD755D">
        <w:rPr>
          <w:rFonts w:ascii="Verdana" w:hAnsi="Verdana"/>
          <w:sz w:val="18"/>
          <w:szCs w:val="18"/>
        </w:rPr>
        <w:t>)</w:t>
      </w:r>
      <w:r w:rsidRPr="00A96949">
        <w:rPr>
          <w:rFonts w:ascii="Verdana" w:hAnsi="Verdana"/>
          <w:sz w:val="18"/>
          <w:szCs w:val="18"/>
        </w:rPr>
        <w:t>.</w:t>
      </w:r>
      <w:r w:rsidR="00DF77B5" w:rsidRPr="00A96949">
        <w:rPr>
          <w:rFonts w:ascii="Verdana" w:hAnsi="Verdana"/>
          <w:sz w:val="18"/>
          <w:szCs w:val="18"/>
        </w:rPr>
        <w:t xml:space="preserve">  But I think that</w:t>
      </w:r>
      <w:r w:rsidR="00DD755D">
        <w:rPr>
          <w:rFonts w:ascii="Verdana" w:hAnsi="Verdana"/>
          <w:sz w:val="18"/>
          <w:szCs w:val="18"/>
        </w:rPr>
        <w:t xml:space="preserve"> such a</w:t>
      </w:r>
      <w:r w:rsidR="00DF77B5" w:rsidRPr="00A96949">
        <w:rPr>
          <w:rFonts w:ascii="Verdana" w:hAnsi="Verdana"/>
          <w:sz w:val="18"/>
          <w:szCs w:val="18"/>
        </w:rPr>
        <w:t xml:space="preserve"> concession was inevitable given that the action proceeded </w:t>
      </w:r>
      <w:proofErr w:type="gramStart"/>
      <w:r w:rsidR="00DF77B5" w:rsidRPr="00A96949">
        <w:rPr>
          <w:rFonts w:ascii="Verdana" w:hAnsi="Verdana"/>
          <w:sz w:val="18"/>
          <w:szCs w:val="18"/>
        </w:rPr>
        <w:t>on the basis of</w:t>
      </w:r>
      <w:proofErr w:type="gramEnd"/>
      <w:r w:rsidR="00DF77B5" w:rsidRPr="00A96949">
        <w:rPr>
          <w:rFonts w:ascii="Verdana" w:hAnsi="Verdana"/>
          <w:sz w:val="18"/>
          <w:szCs w:val="18"/>
        </w:rPr>
        <w:t xml:space="preserve"> agreement that s. 50B of the Planning and Development Act 2000 applied.  The applicants relied on that agreement to </w:t>
      </w:r>
      <w:r w:rsidR="00DD755D">
        <w:rPr>
          <w:rFonts w:ascii="Verdana" w:hAnsi="Verdana"/>
          <w:sz w:val="18"/>
          <w:szCs w:val="18"/>
        </w:rPr>
        <w:t>advance things to this point</w:t>
      </w:r>
      <w:r w:rsidR="00DF77B5" w:rsidRPr="00A96949">
        <w:rPr>
          <w:rFonts w:ascii="Verdana" w:hAnsi="Verdana"/>
          <w:sz w:val="18"/>
          <w:szCs w:val="18"/>
        </w:rPr>
        <w:t xml:space="preserve"> so it would be </w:t>
      </w:r>
      <w:r w:rsidR="00DD755D">
        <w:rPr>
          <w:rFonts w:ascii="Verdana" w:hAnsi="Verdana"/>
          <w:sz w:val="18"/>
          <w:szCs w:val="18"/>
        </w:rPr>
        <w:t>inappropriate</w:t>
      </w:r>
      <w:r w:rsidR="00DF77B5" w:rsidRPr="00A96949">
        <w:rPr>
          <w:rFonts w:ascii="Verdana" w:hAnsi="Verdana"/>
          <w:sz w:val="18"/>
          <w:szCs w:val="18"/>
        </w:rPr>
        <w:t xml:space="preserve"> to attempt to resile from that now.  Quite correctly the board didn’t attempt such a doomed exercise.  </w:t>
      </w:r>
    </w:p>
    <w:p w14:paraId="791FB37B" w14:textId="06D26540" w:rsidR="002B6BEC" w:rsidRPr="00A96949" w:rsidRDefault="002B6BEC" w:rsidP="00730399">
      <w:pPr>
        <w:pStyle w:val="ListParagraph"/>
        <w:spacing w:line="360" w:lineRule="auto"/>
        <w:ind w:left="567" w:hanging="567"/>
        <w:contextualSpacing w:val="0"/>
        <w:jc w:val="both"/>
        <w:rPr>
          <w:rFonts w:ascii="Verdana" w:hAnsi="Verdana"/>
          <w:b/>
          <w:sz w:val="18"/>
          <w:szCs w:val="18"/>
        </w:rPr>
      </w:pPr>
      <w:r w:rsidRPr="00A96949">
        <w:rPr>
          <w:rFonts w:ascii="Verdana" w:hAnsi="Verdana"/>
          <w:b/>
          <w:sz w:val="18"/>
          <w:szCs w:val="18"/>
        </w:rPr>
        <w:t>The costs</w:t>
      </w:r>
      <w:r w:rsidR="00665CCC" w:rsidRPr="00A96949">
        <w:rPr>
          <w:rFonts w:ascii="Verdana" w:hAnsi="Verdana"/>
          <w:b/>
          <w:sz w:val="18"/>
          <w:szCs w:val="18"/>
        </w:rPr>
        <w:t xml:space="preserve"> provisions of the 2000 Act</w:t>
      </w:r>
    </w:p>
    <w:p w14:paraId="0C1C9988" w14:textId="578EE20E" w:rsidR="002B589D" w:rsidRPr="00A96949" w:rsidRDefault="002B6BEC"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Sections 50, 50A and 50B of the 2000 </w:t>
      </w:r>
      <w:r w:rsidR="00DF77B5" w:rsidRPr="00A96949">
        <w:rPr>
          <w:rFonts w:ascii="Verdana" w:hAnsi="Verdana"/>
          <w:sz w:val="18"/>
          <w:szCs w:val="18"/>
        </w:rPr>
        <w:t xml:space="preserve">Act </w:t>
      </w:r>
      <w:r w:rsidRPr="00A96949">
        <w:rPr>
          <w:rFonts w:ascii="Verdana" w:hAnsi="Verdana"/>
          <w:sz w:val="18"/>
          <w:szCs w:val="18"/>
        </w:rPr>
        <w:t xml:space="preserve">deal respectively with judicial review of planning matters, supplemental provisions, and costs.  </w:t>
      </w:r>
      <w:r w:rsidR="00DD755D">
        <w:rPr>
          <w:rFonts w:ascii="Verdana" w:hAnsi="Verdana"/>
          <w:sz w:val="18"/>
          <w:szCs w:val="18"/>
        </w:rPr>
        <w:t>As noted above, i</w:t>
      </w:r>
      <w:r w:rsidR="002B589D" w:rsidRPr="00A96949">
        <w:rPr>
          <w:rFonts w:ascii="Verdana" w:hAnsi="Verdana"/>
          <w:sz w:val="18"/>
          <w:szCs w:val="18"/>
        </w:rPr>
        <w:t xml:space="preserve">t was agreed that the matter should be approached on the basis that s. 50B applies here.  Sub-section (2) provides that there would be no order as to costs in such cases, subject to sub-s. (2A) which states that “[t]he costs of proceedings, or a portion of such costs, as are appropriate, may be awarded to the applicant to the extent that the applicant succeeds in obtaining relief and any of those costs shall be borne by the respondent or notice party, or both of them, to the extent that the actions or omissions of the respondent or notice party, or both of them, contributed to the applicant obtaining relief.”  Sub-sections (3) and (4) deal with exceptions which are not relevant. </w:t>
      </w:r>
    </w:p>
    <w:p w14:paraId="6DBB8EB6" w14:textId="2DC27DE8" w:rsidR="001B2C21" w:rsidRPr="00A96949" w:rsidRDefault="001B2C21"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What is important here is that this provision is enabling rather than rigidly dictating the result.  It says costs “may” be awarded in proportion to the outcome for the applicant in terms of obtaining relief, but that sort of permissive phrasing doesn’t suggest that the court is bound by </w:t>
      </w:r>
      <w:r w:rsidR="00DF77B5" w:rsidRPr="00A96949">
        <w:rPr>
          <w:rFonts w:ascii="Verdana" w:hAnsi="Verdana"/>
          <w:sz w:val="18"/>
          <w:szCs w:val="18"/>
        </w:rPr>
        <w:t>a</w:t>
      </w:r>
      <w:r w:rsidR="00DD755D">
        <w:rPr>
          <w:rFonts w:ascii="Verdana" w:hAnsi="Verdana"/>
          <w:sz w:val="18"/>
          <w:szCs w:val="18"/>
        </w:rPr>
        <w:t>n absolutely</w:t>
      </w:r>
      <w:r w:rsidR="00DF77B5" w:rsidRPr="00A96949">
        <w:rPr>
          <w:rFonts w:ascii="Verdana" w:hAnsi="Verdana"/>
          <w:sz w:val="18"/>
          <w:szCs w:val="18"/>
        </w:rPr>
        <w:t xml:space="preserve"> fixed methodological</w:t>
      </w:r>
      <w:r w:rsidRPr="00A96949">
        <w:rPr>
          <w:rFonts w:ascii="Verdana" w:hAnsi="Verdana"/>
          <w:sz w:val="18"/>
          <w:szCs w:val="18"/>
        </w:rPr>
        <w:t xml:space="preserve"> </w:t>
      </w:r>
      <w:proofErr w:type="gramStart"/>
      <w:r w:rsidRPr="00A96949">
        <w:rPr>
          <w:rFonts w:ascii="Verdana" w:hAnsi="Verdana"/>
          <w:sz w:val="18"/>
          <w:szCs w:val="18"/>
        </w:rPr>
        <w:t>strait-jacket</w:t>
      </w:r>
      <w:proofErr w:type="gramEnd"/>
      <w:r w:rsidRPr="00A96949">
        <w:rPr>
          <w:rFonts w:ascii="Verdana" w:hAnsi="Verdana"/>
          <w:sz w:val="18"/>
          <w:szCs w:val="18"/>
        </w:rPr>
        <w:t xml:space="preserve">.  </w:t>
      </w:r>
    </w:p>
    <w:p w14:paraId="753C7941" w14:textId="263EEECB" w:rsidR="00665CCC" w:rsidRPr="00A96949" w:rsidRDefault="00665CCC"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It seems appropriate to consider the issue of costs here </w:t>
      </w:r>
      <w:r w:rsidR="00DD755D">
        <w:rPr>
          <w:rFonts w:ascii="Verdana" w:hAnsi="Verdana"/>
          <w:sz w:val="18"/>
          <w:szCs w:val="18"/>
        </w:rPr>
        <w:t>on an assumption that</w:t>
      </w:r>
      <w:r w:rsidRPr="00A96949">
        <w:rPr>
          <w:rFonts w:ascii="Verdana" w:hAnsi="Verdana"/>
          <w:sz w:val="18"/>
          <w:szCs w:val="18"/>
        </w:rPr>
        <w:t xml:space="preserve"> the 2000 Act does correctly transpose</w:t>
      </w:r>
      <w:r w:rsidR="00DF77B5" w:rsidRPr="00A96949">
        <w:rPr>
          <w:rFonts w:ascii="Verdana" w:hAnsi="Verdana"/>
          <w:sz w:val="18"/>
          <w:szCs w:val="18"/>
        </w:rPr>
        <w:t xml:space="preserve"> the Aarhus interpretative obligation required</w:t>
      </w:r>
      <w:r w:rsidR="00DD755D">
        <w:rPr>
          <w:rFonts w:ascii="Verdana" w:hAnsi="Verdana"/>
          <w:sz w:val="18"/>
          <w:szCs w:val="18"/>
        </w:rPr>
        <w:t xml:space="preserve"> by</w:t>
      </w:r>
      <w:r w:rsidRPr="00A96949">
        <w:rPr>
          <w:rFonts w:ascii="Verdana" w:hAnsi="Verdana"/>
          <w:sz w:val="18"/>
          <w:szCs w:val="18"/>
        </w:rPr>
        <w:t xml:space="preserve"> EU law, and then revisit that assumption at the end.  </w:t>
      </w:r>
    </w:p>
    <w:p w14:paraId="2C0B754B" w14:textId="45547E3D" w:rsidR="00EC4417" w:rsidRPr="00A96949" w:rsidRDefault="00EC4417" w:rsidP="00730399">
      <w:pPr>
        <w:pStyle w:val="ListParagraph"/>
        <w:spacing w:line="360" w:lineRule="auto"/>
        <w:ind w:left="0"/>
        <w:contextualSpacing w:val="0"/>
        <w:jc w:val="both"/>
        <w:rPr>
          <w:rFonts w:ascii="Verdana" w:hAnsi="Verdana"/>
          <w:b/>
          <w:sz w:val="18"/>
          <w:szCs w:val="18"/>
        </w:rPr>
      </w:pPr>
      <w:r w:rsidRPr="00A96949">
        <w:rPr>
          <w:rFonts w:ascii="Verdana" w:hAnsi="Verdana"/>
          <w:b/>
          <w:sz w:val="18"/>
          <w:szCs w:val="18"/>
        </w:rPr>
        <w:t xml:space="preserve">The approach to costs </w:t>
      </w:r>
      <w:r w:rsidR="00FB582E" w:rsidRPr="00A96949">
        <w:rPr>
          <w:rFonts w:ascii="Verdana" w:hAnsi="Verdana"/>
          <w:b/>
          <w:sz w:val="18"/>
          <w:szCs w:val="18"/>
        </w:rPr>
        <w:t xml:space="preserve">in the special context of environmental litigation </w:t>
      </w:r>
      <w:r w:rsidRPr="00A96949">
        <w:rPr>
          <w:rFonts w:ascii="Verdana" w:hAnsi="Verdana"/>
          <w:b/>
          <w:sz w:val="18"/>
          <w:szCs w:val="18"/>
        </w:rPr>
        <w:t>where the winner</w:t>
      </w:r>
      <w:r w:rsidR="00730399" w:rsidRPr="00A96949">
        <w:rPr>
          <w:rFonts w:ascii="Verdana" w:hAnsi="Verdana"/>
          <w:b/>
          <w:sz w:val="18"/>
          <w:szCs w:val="18"/>
        </w:rPr>
        <w:t xml:space="preserve"> </w:t>
      </w:r>
      <w:r w:rsidRPr="00A96949">
        <w:rPr>
          <w:rFonts w:ascii="Verdana" w:hAnsi="Verdana"/>
          <w:b/>
          <w:sz w:val="18"/>
          <w:szCs w:val="18"/>
        </w:rPr>
        <w:t>loses on some points</w:t>
      </w:r>
    </w:p>
    <w:p w14:paraId="45D85796" w14:textId="77777777" w:rsidR="001B2C21" w:rsidRPr="00A96949" w:rsidRDefault="00BE1DDD"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The starting point must be a presumption of full costs for the winning party even if they are not wholly successful on all issues. </w:t>
      </w:r>
      <w:r w:rsidR="001B0AEE" w:rsidRPr="00A96949">
        <w:rPr>
          <w:rFonts w:ascii="Verdana" w:hAnsi="Verdana"/>
          <w:sz w:val="18"/>
          <w:szCs w:val="18"/>
        </w:rPr>
        <w:t xml:space="preserve"> </w:t>
      </w:r>
    </w:p>
    <w:p w14:paraId="1E885E82" w14:textId="532E092D" w:rsidR="001B2C21" w:rsidRPr="00A96949" w:rsidRDefault="001B2C21"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In </w:t>
      </w:r>
      <w:r w:rsidR="00DD755D">
        <w:rPr>
          <w:rFonts w:ascii="Verdana" w:hAnsi="Verdana"/>
          <w:sz w:val="18"/>
          <w:szCs w:val="18"/>
        </w:rPr>
        <w:t>a</w:t>
      </w:r>
      <w:r w:rsidRPr="00A96949">
        <w:rPr>
          <w:rFonts w:ascii="Verdana" w:hAnsi="Verdana"/>
          <w:sz w:val="18"/>
          <w:szCs w:val="18"/>
        </w:rPr>
        <w:t xml:space="preserve"> commercial context, t</w:t>
      </w:r>
      <w:r w:rsidR="00BE1DDD" w:rsidRPr="00A96949">
        <w:rPr>
          <w:rFonts w:ascii="Verdana" w:hAnsi="Verdana"/>
          <w:sz w:val="18"/>
          <w:szCs w:val="18"/>
        </w:rPr>
        <w:t xml:space="preserve">hat is qualified by the approach in </w:t>
      </w:r>
      <w:r w:rsidR="00BE1DDD" w:rsidRPr="00A96949">
        <w:rPr>
          <w:rFonts w:ascii="Verdana" w:hAnsi="Verdana"/>
          <w:i/>
          <w:sz w:val="18"/>
          <w:szCs w:val="18"/>
        </w:rPr>
        <w:t>Veolia Water</w:t>
      </w:r>
      <w:r w:rsidR="003F62BF" w:rsidRPr="00A96949">
        <w:rPr>
          <w:rFonts w:ascii="Verdana" w:hAnsi="Verdana"/>
          <w:i/>
          <w:sz w:val="18"/>
          <w:szCs w:val="18"/>
        </w:rPr>
        <w:t xml:space="preserve"> UK Plc.</w:t>
      </w:r>
      <w:r w:rsidR="00BE1DDD" w:rsidRPr="00A96949">
        <w:rPr>
          <w:rFonts w:ascii="Verdana" w:hAnsi="Verdana"/>
          <w:i/>
          <w:sz w:val="18"/>
          <w:szCs w:val="18"/>
        </w:rPr>
        <w:t xml:space="preserve"> v. Fingal County Council</w:t>
      </w:r>
      <w:r w:rsidR="003F62BF" w:rsidRPr="00A96949">
        <w:rPr>
          <w:rFonts w:ascii="Verdana" w:hAnsi="Verdana"/>
          <w:i/>
          <w:sz w:val="18"/>
          <w:szCs w:val="18"/>
        </w:rPr>
        <w:t xml:space="preserve"> (No. 1)</w:t>
      </w:r>
      <w:r w:rsidR="00BE1DDD" w:rsidRPr="00A96949">
        <w:rPr>
          <w:rFonts w:ascii="Verdana" w:hAnsi="Verdana"/>
          <w:iCs/>
          <w:sz w:val="18"/>
          <w:szCs w:val="18"/>
        </w:rPr>
        <w:t xml:space="preserve"> </w:t>
      </w:r>
      <w:r w:rsidR="003F62BF" w:rsidRPr="00A96949">
        <w:rPr>
          <w:rFonts w:ascii="Verdana" w:hAnsi="Verdana"/>
          <w:iCs/>
          <w:sz w:val="18"/>
          <w:szCs w:val="18"/>
        </w:rPr>
        <w:t>[2006] IEHC 137</w:t>
      </w:r>
      <w:r w:rsidR="003F62BF" w:rsidRPr="00A96949">
        <w:rPr>
          <w:rFonts w:ascii="Verdana" w:hAnsi="Verdana"/>
          <w:sz w:val="18"/>
          <w:szCs w:val="18"/>
        </w:rPr>
        <w:t xml:space="preserve">, </w:t>
      </w:r>
      <w:r w:rsidR="00BE1DDD" w:rsidRPr="00A96949">
        <w:rPr>
          <w:rFonts w:ascii="Verdana" w:hAnsi="Verdana"/>
          <w:sz w:val="18"/>
          <w:szCs w:val="18"/>
        </w:rPr>
        <w:t>[2007] 1 I</w:t>
      </w:r>
      <w:r w:rsidR="003F62BF" w:rsidRPr="00A96949">
        <w:rPr>
          <w:rFonts w:ascii="Verdana" w:hAnsi="Verdana"/>
          <w:sz w:val="18"/>
          <w:szCs w:val="18"/>
        </w:rPr>
        <w:t>.</w:t>
      </w:r>
      <w:r w:rsidR="00BE1DDD" w:rsidRPr="00A96949">
        <w:rPr>
          <w:rFonts w:ascii="Verdana" w:hAnsi="Verdana"/>
          <w:sz w:val="18"/>
          <w:szCs w:val="18"/>
        </w:rPr>
        <w:t>R</w:t>
      </w:r>
      <w:r w:rsidR="003F62BF" w:rsidRPr="00A96949">
        <w:rPr>
          <w:rFonts w:ascii="Verdana" w:hAnsi="Verdana"/>
          <w:sz w:val="18"/>
          <w:szCs w:val="18"/>
        </w:rPr>
        <w:t>.</w:t>
      </w:r>
      <w:r w:rsidR="00BE1DDD" w:rsidRPr="00A96949">
        <w:rPr>
          <w:rFonts w:ascii="Verdana" w:hAnsi="Verdana"/>
          <w:sz w:val="18"/>
          <w:szCs w:val="18"/>
        </w:rPr>
        <w:t xml:space="preserve"> 690</w:t>
      </w:r>
      <w:r w:rsidR="001B0AEE" w:rsidRPr="00A96949">
        <w:rPr>
          <w:rFonts w:ascii="Verdana" w:hAnsi="Verdana"/>
          <w:sz w:val="18"/>
          <w:szCs w:val="18"/>
        </w:rPr>
        <w:t>,</w:t>
      </w:r>
      <w:r w:rsidR="00BE1DDD" w:rsidRPr="00A96949">
        <w:rPr>
          <w:rFonts w:ascii="Verdana" w:hAnsi="Verdana"/>
          <w:sz w:val="18"/>
          <w:szCs w:val="18"/>
        </w:rPr>
        <w:t xml:space="preserve"> whereby in complex cases the court should consider whether the costs were increased by reason of additional issues being </w:t>
      </w:r>
      <w:r w:rsidR="00BE1DDD" w:rsidRPr="00A96949">
        <w:rPr>
          <w:rFonts w:ascii="Verdana" w:hAnsi="Verdana"/>
          <w:sz w:val="18"/>
          <w:szCs w:val="18"/>
        </w:rPr>
        <w:lastRenderedPageBreak/>
        <w:t>raised which were not successful.</w:t>
      </w:r>
      <w:r w:rsidR="001B0AEE" w:rsidRPr="00A96949">
        <w:rPr>
          <w:rFonts w:ascii="Verdana" w:hAnsi="Verdana"/>
          <w:sz w:val="18"/>
          <w:szCs w:val="18"/>
        </w:rPr>
        <w:t xml:space="preserve">  </w:t>
      </w:r>
      <w:r w:rsidR="00FC526E" w:rsidRPr="00A96949">
        <w:rPr>
          <w:rFonts w:ascii="Verdana" w:hAnsi="Verdana"/>
          <w:sz w:val="18"/>
          <w:szCs w:val="18"/>
        </w:rPr>
        <w:t xml:space="preserve">That could in appropriate cases lead not just to a deduction from the winner’s costs but a cross-order for costs against the winner on the points she lost.  </w:t>
      </w:r>
      <w:r w:rsidR="00BE1DDD" w:rsidRPr="00A96949">
        <w:rPr>
          <w:rFonts w:ascii="Verdana" w:hAnsi="Verdana"/>
          <w:sz w:val="18"/>
          <w:szCs w:val="18"/>
        </w:rPr>
        <w:t xml:space="preserve">The </w:t>
      </w:r>
      <w:r w:rsidR="00BE1DDD" w:rsidRPr="00A96949">
        <w:rPr>
          <w:rFonts w:ascii="Verdana" w:hAnsi="Verdana"/>
          <w:i/>
          <w:sz w:val="18"/>
          <w:szCs w:val="18"/>
        </w:rPr>
        <w:t xml:space="preserve">Veolia </w:t>
      </w:r>
      <w:r w:rsidR="00BE1DDD" w:rsidRPr="00A96949">
        <w:rPr>
          <w:rFonts w:ascii="Verdana" w:hAnsi="Verdana"/>
          <w:sz w:val="18"/>
          <w:szCs w:val="18"/>
        </w:rPr>
        <w:t>approach is to some extent reflected in s. 169 of the Legal Services Regulation Act 2015</w:t>
      </w:r>
      <w:r w:rsidR="001B0AEE" w:rsidRPr="00A96949">
        <w:rPr>
          <w:rFonts w:ascii="Verdana" w:hAnsi="Verdana"/>
          <w:sz w:val="18"/>
          <w:szCs w:val="18"/>
        </w:rPr>
        <w:t xml:space="preserve"> (s</w:t>
      </w:r>
      <w:r w:rsidR="00BE1DDD" w:rsidRPr="00A96949">
        <w:rPr>
          <w:rFonts w:ascii="Verdana" w:hAnsi="Verdana"/>
          <w:sz w:val="18"/>
          <w:szCs w:val="18"/>
        </w:rPr>
        <w:t xml:space="preserve">ee for example </w:t>
      </w:r>
      <w:r w:rsidR="00BE1DDD" w:rsidRPr="00A96949">
        <w:rPr>
          <w:rFonts w:ascii="Verdana" w:hAnsi="Verdana"/>
          <w:i/>
          <w:sz w:val="18"/>
          <w:szCs w:val="18"/>
        </w:rPr>
        <w:t>Byrne v. Revenue Commissioners</w:t>
      </w:r>
      <w:r w:rsidR="003F62BF" w:rsidRPr="00A96949">
        <w:rPr>
          <w:rFonts w:ascii="Verdana" w:hAnsi="Verdana"/>
          <w:i/>
          <w:sz w:val="18"/>
          <w:szCs w:val="18"/>
        </w:rPr>
        <w:t xml:space="preserve"> (No. 2)</w:t>
      </w:r>
      <w:r w:rsidR="00BE1DDD" w:rsidRPr="00A96949">
        <w:rPr>
          <w:rFonts w:ascii="Verdana" w:hAnsi="Verdana"/>
          <w:i/>
          <w:sz w:val="18"/>
          <w:szCs w:val="18"/>
        </w:rPr>
        <w:t xml:space="preserve"> </w:t>
      </w:r>
      <w:r w:rsidR="00BE1DDD" w:rsidRPr="00A96949">
        <w:rPr>
          <w:rFonts w:ascii="Verdana" w:hAnsi="Verdana"/>
          <w:sz w:val="18"/>
          <w:szCs w:val="18"/>
        </w:rPr>
        <w:t>[2021] IEHC 415</w:t>
      </w:r>
      <w:r w:rsidR="003F62BF" w:rsidRPr="00A96949">
        <w:rPr>
          <w:rFonts w:ascii="Verdana" w:hAnsi="Verdana"/>
          <w:sz w:val="18"/>
          <w:szCs w:val="18"/>
        </w:rPr>
        <w:t>, [2021] 6 JIC 1702 (Unreported, High Court, Twomey J., 17</w:t>
      </w:r>
      <w:r w:rsidR="003F62BF" w:rsidRPr="00A96949">
        <w:rPr>
          <w:rFonts w:ascii="Verdana" w:hAnsi="Verdana"/>
          <w:sz w:val="18"/>
          <w:szCs w:val="18"/>
          <w:vertAlign w:val="superscript"/>
        </w:rPr>
        <w:t>th</w:t>
      </w:r>
      <w:r w:rsidR="003F62BF" w:rsidRPr="00A96949">
        <w:rPr>
          <w:rFonts w:ascii="Verdana" w:hAnsi="Verdana"/>
          <w:sz w:val="18"/>
          <w:szCs w:val="18"/>
        </w:rPr>
        <w:t xml:space="preserve"> </w:t>
      </w:r>
      <w:proofErr w:type="gramStart"/>
      <w:r w:rsidR="003F62BF" w:rsidRPr="00A96949">
        <w:rPr>
          <w:rFonts w:ascii="Verdana" w:hAnsi="Verdana"/>
          <w:sz w:val="18"/>
          <w:szCs w:val="18"/>
        </w:rPr>
        <w:t>June,</w:t>
      </w:r>
      <w:proofErr w:type="gramEnd"/>
      <w:r w:rsidR="003F62BF" w:rsidRPr="00A96949">
        <w:rPr>
          <w:rFonts w:ascii="Verdana" w:hAnsi="Verdana"/>
          <w:sz w:val="18"/>
          <w:szCs w:val="18"/>
        </w:rPr>
        <w:t xml:space="preserve"> 2021)</w:t>
      </w:r>
      <w:r w:rsidR="00BE1DDD" w:rsidRPr="00A96949">
        <w:rPr>
          <w:rFonts w:ascii="Verdana" w:hAnsi="Verdana"/>
          <w:sz w:val="18"/>
          <w:szCs w:val="18"/>
        </w:rPr>
        <w:t xml:space="preserve">, </w:t>
      </w:r>
      <w:r w:rsidR="00BE1DDD" w:rsidRPr="00A96949">
        <w:rPr>
          <w:rFonts w:ascii="Verdana" w:hAnsi="Verdana"/>
          <w:i/>
          <w:sz w:val="18"/>
          <w:szCs w:val="18"/>
        </w:rPr>
        <w:t xml:space="preserve">Chubb </w:t>
      </w:r>
      <w:r w:rsidR="003F62BF" w:rsidRPr="00A96949">
        <w:rPr>
          <w:rFonts w:ascii="Verdana" w:hAnsi="Verdana"/>
          <w:i/>
          <w:sz w:val="18"/>
          <w:szCs w:val="18"/>
        </w:rPr>
        <w:t xml:space="preserve">European Group SE </w:t>
      </w:r>
      <w:r w:rsidR="00BE1DDD" w:rsidRPr="00A96949">
        <w:rPr>
          <w:rFonts w:ascii="Verdana" w:hAnsi="Verdana"/>
          <w:i/>
          <w:sz w:val="18"/>
          <w:szCs w:val="18"/>
        </w:rPr>
        <w:t xml:space="preserve">v. </w:t>
      </w:r>
      <w:r w:rsidR="003F62BF" w:rsidRPr="00A96949">
        <w:rPr>
          <w:rFonts w:ascii="Verdana" w:hAnsi="Verdana"/>
          <w:i/>
          <w:sz w:val="18"/>
          <w:szCs w:val="18"/>
        </w:rPr>
        <w:t xml:space="preserve">The </w:t>
      </w:r>
      <w:r w:rsidR="00BE1DDD" w:rsidRPr="00A96949">
        <w:rPr>
          <w:rFonts w:ascii="Verdana" w:hAnsi="Verdana"/>
          <w:i/>
          <w:sz w:val="18"/>
          <w:szCs w:val="18"/>
        </w:rPr>
        <w:t xml:space="preserve">Health Insurance Authority </w:t>
      </w:r>
      <w:r w:rsidR="00BE1DDD" w:rsidRPr="00A96949">
        <w:rPr>
          <w:rFonts w:ascii="Verdana" w:hAnsi="Verdana"/>
          <w:sz w:val="18"/>
          <w:szCs w:val="18"/>
        </w:rPr>
        <w:t>[2020] IECA 183</w:t>
      </w:r>
      <w:r w:rsidR="003F62BF" w:rsidRPr="00A96949">
        <w:rPr>
          <w:rFonts w:ascii="Verdana" w:hAnsi="Verdana"/>
          <w:sz w:val="18"/>
          <w:szCs w:val="18"/>
        </w:rPr>
        <w:t>, [2020] 7 JIC 0801 (Unreported, Court of Appeal, Murray J. (Whelan and Power JJ. concurring), 8</w:t>
      </w:r>
      <w:r w:rsidR="003F62BF" w:rsidRPr="00A96949">
        <w:rPr>
          <w:rFonts w:ascii="Verdana" w:hAnsi="Verdana"/>
          <w:sz w:val="18"/>
          <w:szCs w:val="18"/>
          <w:vertAlign w:val="superscript"/>
        </w:rPr>
        <w:t>th</w:t>
      </w:r>
      <w:r w:rsidR="003F62BF" w:rsidRPr="00A96949">
        <w:rPr>
          <w:rFonts w:ascii="Verdana" w:hAnsi="Verdana"/>
          <w:sz w:val="18"/>
          <w:szCs w:val="18"/>
        </w:rPr>
        <w:t xml:space="preserve"> </w:t>
      </w:r>
      <w:proofErr w:type="gramStart"/>
      <w:r w:rsidR="003F62BF" w:rsidRPr="00A96949">
        <w:rPr>
          <w:rFonts w:ascii="Verdana" w:hAnsi="Verdana"/>
          <w:sz w:val="18"/>
          <w:szCs w:val="18"/>
        </w:rPr>
        <w:t>July,</w:t>
      </w:r>
      <w:proofErr w:type="gramEnd"/>
      <w:r w:rsidR="003F62BF" w:rsidRPr="00A96949">
        <w:rPr>
          <w:rFonts w:ascii="Verdana" w:hAnsi="Verdana"/>
          <w:sz w:val="18"/>
          <w:szCs w:val="18"/>
        </w:rPr>
        <w:t xml:space="preserve"> 2020)</w:t>
      </w:r>
      <w:r w:rsidR="00BE1DDD" w:rsidRPr="00A96949">
        <w:rPr>
          <w:rFonts w:ascii="Verdana" w:hAnsi="Verdana"/>
          <w:sz w:val="18"/>
          <w:szCs w:val="18"/>
        </w:rPr>
        <w:t xml:space="preserve">, </w:t>
      </w:r>
      <w:r w:rsidR="00BE1DDD" w:rsidRPr="00A96949">
        <w:rPr>
          <w:rFonts w:ascii="Verdana" w:hAnsi="Verdana"/>
          <w:i/>
          <w:sz w:val="18"/>
          <w:szCs w:val="18"/>
        </w:rPr>
        <w:t>Ryanai</w:t>
      </w:r>
      <w:r w:rsidR="00494352" w:rsidRPr="00A96949">
        <w:rPr>
          <w:rFonts w:ascii="Verdana" w:hAnsi="Verdana"/>
          <w:i/>
          <w:sz w:val="18"/>
          <w:szCs w:val="18"/>
        </w:rPr>
        <w:t>r DAC</w:t>
      </w:r>
      <w:r w:rsidR="00BE1DDD" w:rsidRPr="00A96949">
        <w:rPr>
          <w:rFonts w:ascii="Verdana" w:hAnsi="Verdana"/>
          <w:i/>
          <w:sz w:val="18"/>
          <w:szCs w:val="18"/>
        </w:rPr>
        <w:t xml:space="preserve"> v. </w:t>
      </w:r>
      <w:proofErr w:type="gramStart"/>
      <w:r w:rsidR="00BE1DDD" w:rsidRPr="00A96949">
        <w:rPr>
          <w:rFonts w:ascii="Verdana" w:hAnsi="Verdana"/>
          <w:i/>
          <w:sz w:val="18"/>
          <w:szCs w:val="18"/>
        </w:rPr>
        <w:t>An</w:t>
      </w:r>
      <w:proofErr w:type="gramEnd"/>
      <w:r w:rsidR="00BE1DDD" w:rsidRPr="00A96949">
        <w:rPr>
          <w:rFonts w:ascii="Verdana" w:hAnsi="Verdana"/>
          <w:i/>
          <w:sz w:val="18"/>
          <w:szCs w:val="18"/>
        </w:rPr>
        <w:t xml:space="preserve"> Taoiseach </w:t>
      </w:r>
      <w:r w:rsidR="00BE1DDD" w:rsidRPr="00A96949">
        <w:rPr>
          <w:rFonts w:ascii="Verdana" w:hAnsi="Verdana"/>
          <w:sz w:val="18"/>
          <w:szCs w:val="18"/>
        </w:rPr>
        <w:t>[2020] IEHC 673</w:t>
      </w:r>
      <w:r w:rsidR="00494352" w:rsidRPr="00A96949">
        <w:rPr>
          <w:rFonts w:ascii="Verdana" w:hAnsi="Verdana"/>
          <w:sz w:val="18"/>
          <w:szCs w:val="18"/>
        </w:rPr>
        <w:t>, [2020] 12 JIC 3101, (Unreported, High Court</w:t>
      </w:r>
      <w:r w:rsidR="00DB2F37" w:rsidRPr="00A96949">
        <w:rPr>
          <w:rFonts w:ascii="Verdana" w:hAnsi="Verdana"/>
          <w:sz w:val="18"/>
          <w:szCs w:val="18"/>
        </w:rPr>
        <w:t>,</w:t>
      </w:r>
      <w:r w:rsidR="00494352" w:rsidRPr="00A96949">
        <w:rPr>
          <w:rFonts w:ascii="Verdana" w:hAnsi="Verdana"/>
          <w:sz w:val="18"/>
          <w:szCs w:val="18"/>
        </w:rPr>
        <w:t xml:space="preserve"> Simons J., 31</w:t>
      </w:r>
      <w:r w:rsidR="00494352" w:rsidRPr="00A96949">
        <w:rPr>
          <w:rFonts w:ascii="Verdana" w:hAnsi="Verdana"/>
          <w:sz w:val="18"/>
          <w:szCs w:val="18"/>
          <w:vertAlign w:val="superscript"/>
        </w:rPr>
        <w:t>st</w:t>
      </w:r>
      <w:r w:rsidR="00494352" w:rsidRPr="00A96949">
        <w:rPr>
          <w:rFonts w:ascii="Verdana" w:hAnsi="Verdana"/>
          <w:sz w:val="18"/>
          <w:szCs w:val="18"/>
        </w:rPr>
        <w:t xml:space="preserve"> December, 2020)</w:t>
      </w:r>
      <w:r w:rsidR="001B0AEE" w:rsidRPr="00A96949">
        <w:rPr>
          <w:rFonts w:ascii="Verdana" w:hAnsi="Verdana"/>
          <w:sz w:val="18"/>
          <w:szCs w:val="18"/>
        </w:rPr>
        <w:t>)</w:t>
      </w:r>
      <w:r w:rsidR="00BE1DDD" w:rsidRPr="00A96949">
        <w:rPr>
          <w:rFonts w:ascii="Verdana" w:hAnsi="Verdana"/>
          <w:sz w:val="18"/>
          <w:szCs w:val="18"/>
        </w:rPr>
        <w:t>.</w:t>
      </w:r>
      <w:r w:rsidR="00FC526E" w:rsidRPr="00A96949">
        <w:rPr>
          <w:rFonts w:ascii="Verdana" w:hAnsi="Verdana"/>
          <w:sz w:val="18"/>
          <w:szCs w:val="18"/>
        </w:rPr>
        <w:t xml:space="preserve">  </w:t>
      </w:r>
    </w:p>
    <w:p w14:paraId="6C35D12F" w14:textId="665E6C5B" w:rsidR="001B2C21" w:rsidRPr="00A96949" w:rsidRDefault="001B2C21"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However, </w:t>
      </w:r>
      <w:r w:rsidR="00FB582E" w:rsidRPr="00A96949">
        <w:rPr>
          <w:rFonts w:ascii="Verdana" w:hAnsi="Verdana"/>
          <w:sz w:val="18"/>
          <w:szCs w:val="18"/>
        </w:rPr>
        <w:t>some</w:t>
      </w:r>
      <w:r w:rsidRPr="00A96949">
        <w:rPr>
          <w:rFonts w:ascii="Verdana" w:hAnsi="Verdana"/>
          <w:sz w:val="18"/>
          <w:szCs w:val="18"/>
        </w:rPr>
        <w:t xml:space="preserve"> important limitations should be noted. </w:t>
      </w:r>
    </w:p>
    <w:p w14:paraId="2D370907" w14:textId="24D0FC93" w:rsidR="00A1108C" w:rsidRPr="00A96949" w:rsidRDefault="001B2C21"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Firstly, i</w:t>
      </w:r>
      <w:r w:rsidR="00FC526E" w:rsidRPr="00A96949">
        <w:rPr>
          <w:rFonts w:ascii="Verdana" w:hAnsi="Verdana"/>
          <w:sz w:val="18"/>
          <w:szCs w:val="18"/>
        </w:rPr>
        <w:t xml:space="preserve">t should be </w:t>
      </w:r>
      <w:r w:rsidR="00665CCC" w:rsidRPr="00A96949">
        <w:rPr>
          <w:rFonts w:ascii="Verdana" w:hAnsi="Verdana"/>
          <w:sz w:val="18"/>
          <w:szCs w:val="18"/>
        </w:rPr>
        <w:t>emphasised</w:t>
      </w:r>
      <w:r w:rsidR="00FC526E" w:rsidRPr="00A96949">
        <w:rPr>
          <w:rFonts w:ascii="Verdana" w:hAnsi="Verdana"/>
          <w:sz w:val="18"/>
          <w:szCs w:val="18"/>
        </w:rPr>
        <w:t xml:space="preserve"> that </w:t>
      </w:r>
      <w:r w:rsidR="00FC526E" w:rsidRPr="00A96949">
        <w:rPr>
          <w:rFonts w:ascii="Verdana" w:hAnsi="Verdana"/>
          <w:i/>
          <w:sz w:val="18"/>
          <w:szCs w:val="18"/>
        </w:rPr>
        <w:t>Veolia</w:t>
      </w:r>
      <w:r w:rsidR="00FC526E" w:rsidRPr="00A96949">
        <w:rPr>
          <w:rFonts w:ascii="Verdana" w:hAnsi="Verdana"/>
          <w:sz w:val="18"/>
          <w:szCs w:val="18"/>
        </w:rPr>
        <w:t xml:space="preserve"> is not an approach that applies in every case of </w:t>
      </w:r>
      <w:r w:rsidR="00665CCC" w:rsidRPr="00A96949">
        <w:rPr>
          <w:rFonts w:ascii="Verdana" w:hAnsi="Verdana"/>
          <w:sz w:val="18"/>
          <w:szCs w:val="18"/>
        </w:rPr>
        <w:t>partial victory</w:t>
      </w:r>
      <w:r w:rsidR="00FC526E" w:rsidRPr="00A96949">
        <w:rPr>
          <w:rFonts w:ascii="Verdana" w:hAnsi="Verdana"/>
          <w:sz w:val="18"/>
          <w:szCs w:val="18"/>
        </w:rPr>
        <w:t xml:space="preserve">.  It applies only in complex cases and only then where the </w:t>
      </w:r>
      <w:r w:rsidR="00C662C7" w:rsidRPr="00A96949">
        <w:rPr>
          <w:rFonts w:ascii="Verdana" w:hAnsi="Verdana"/>
          <w:sz w:val="18"/>
          <w:szCs w:val="18"/>
        </w:rPr>
        <w:t xml:space="preserve">losing points added in some substantial way to the costs.  </w:t>
      </w:r>
      <w:r w:rsidRPr="00A96949">
        <w:rPr>
          <w:rFonts w:ascii="Verdana" w:hAnsi="Verdana"/>
          <w:sz w:val="18"/>
          <w:szCs w:val="18"/>
        </w:rPr>
        <w:t>It has no relevance to short cases</w:t>
      </w:r>
      <w:r w:rsidR="00DF77B5" w:rsidRPr="00A96949">
        <w:rPr>
          <w:rFonts w:ascii="Verdana" w:hAnsi="Verdana"/>
          <w:sz w:val="18"/>
          <w:szCs w:val="18"/>
        </w:rPr>
        <w:t xml:space="preserve"> and </w:t>
      </w:r>
      <w:proofErr w:type="gramStart"/>
      <w:r w:rsidR="00DF77B5" w:rsidRPr="00A96949">
        <w:rPr>
          <w:rFonts w:ascii="Verdana" w:hAnsi="Verdana"/>
          <w:sz w:val="18"/>
          <w:szCs w:val="18"/>
        </w:rPr>
        <w:t>really only</w:t>
      </w:r>
      <w:proofErr w:type="gramEnd"/>
      <w:r w:rsidR="00DF77B5" w:rsidRPr="00A96949">
        <w:rPr>
          <w:rFonts w:ascii="Verdana" w:hAnsi="Verdana"/>
          <w:sz w:val="18"/>
          <w:szCs w:val="18"/>
        </w:rPr>
        <w:t xml:space="preserve"> starts to become a factor at all if we get beyond a two-day hearing. </w:t>
      </w:r>
      <w:r w:rsidRPr="00A96949">
        <w:rPr>
          <w:rFonts w:ascii="Verdana" w:hAnsi="Verdana"/>
          <w:sz w:val="18"/>
          <w:szCs w:val="18"/>
        </w:rPr>
        <w:t xml:space="preserve"> </w:t>
      </w:r>
    </w:p>
    <w:p w14:paraId="7A32AEDB" w14:textId="0F3E89C7" w:rsidR="001B2C21" w:rsidRPr="00A96949" w:rsidRDefault="001B2C21"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Secondly, </w:t>
      </w:r>
      <w:r w:rsidRPr="00A96949">
        <w:rPr>
          <w:rFonts w:ascii="Verdana" w:hAnsi="Verdana"/>
          <w:i/>
          <w:iCs/>
          <w:sz w:val="18"/>
          <w:szCs w:val="18"/>
        </w:rPr>
        <w:t>Veolia</w:t>
      </w:r>
      <w:r w:rsidRPr="00A96949">
        <w:rPr>
          <w:rFonts w:ascii="Verdana" w:hAnsi="Verdana"/>
          <w:sz w:val="18"/>
          <w:szCs w:val="18"/>
        </w:rPr>
        <w:t xml:space="preserve"> arose in a commercial context, where it is accepted that private parties may have to pay for every cent they unnecessarily impose on another private party.  It does not have an automatic read-across to the totally different context of public law, still less the special context of environmental law.  </w:t>
      </w:r>
      <w:r w:rsidR="00DF77B5" w:rsidRPr="00A96949">
        <w:rPr>
          <w:rFonts w:ascii="Verdana" w:hAnsi="Verdana"/>
          <w:sz w:val="18"/>
          <w:szCs w:val="18"/>
        </w:rPr>
        <w:t xml:space="preserve">In public law generally there is a certain vindication of the </w:t>
      </w:r>
      <w:r w:rsidR="00423C03">
        <w:rPr>
          <w:rFonts w:ascii="Verdana" w:hAnsi="Verdana"/>
          <w:sz w:val="18"/>
          <w:szCs w:val="18"/>
        </w:rPr>
        <w:t>wider</w:t>
      </w:r>
      <w:r w:rsidR="00DF77B5" w:rsidRPr="00A96949">
        <w:rPr>
          <w:rFonts w:ascii="Verdana" w:hAnsi="Verdana"/>
          <w:sz w:val="18"/>
          <w:szCs w:val="18"/>
        </w:rPr>
        <w:t xml:space="preserve"> interest in requiring public bodies to be put through their paces</w:t>
      </w:r>
      <w:r w:rsidR="00423C03">
        <w:rPr>
          <w:rFonts w:ascii="Verdana" w:hAnsi="Verdana"/>
          <w:sz w:val="18"/>
          <w:szCs w:val="18"/>
        </w:rPr>
        <w:t xml:space="preserve"> in respect of substantial grounds of challenge</w:t>
      </w:r>
      <w:r w:rsidR="00DF77B5" w:rsidRPr="00A96949">
        <w:rPr>
          <w:rFonts w:ascii="Verdana" w:hAnsi="Verdana"/>
          <w:sz w:val="18"/>
          <w:szCs w:val="18"/>
        </w:rPr>
        <w:t>, regardless of the</w:t>
      </w:r>
      <w:r w:rsidR="00423C03">
        <w:rPr>
          <w:rFonts w:ascii="Verdana" w:hAnsi="Verdana"/>
          <w:sz w:val="18"/>
          <w:szCs w:val="18"/>
        </w:rPr>
        <w:t xml:space="preserve"> </w:t>
      </w:r>
      <w:proofErr w:type="gramStart"/>
      <w:r w:rsidR="00423C03">
        <w:rPr>
          <w:rFonts w:ascii="Verdana" w:hAnsi="Verdana"/>
          <w:sz w:val="18"/>
          <w:szCs w:val="18"/>
        </w:rPr>
        <w:t>final outcome</w:t>
      </w:r>
      <w:proofErr w:type="gramEnd"/>
      <w:r w:rsidR="00423C03">
        <w:rPr>
          <w:rFonts w:ascii="Verdana" w:hAnsi="Verdana"/>
          <w:sz w:val="18"/>
          <w:szCs w:val="18"/>
        </w:rPr>
        <w:t xml:space="preserve"> on any one ground</w:t>
      </w:r>
      <w:r w:rsidR="00DF77B5" w:rsidRPr="00A96949">
        <w:rPr>
          <w:rFonts w:ascii="Verdana" w:hAnsi="Verdana"/>
          <w:sz w:val="18"/>
          <w:szCs w:val="18"/>
        </w:rPr>
        <w:t xml:space="preserve">.  That is particularly so where the case is not just about a particular decision for the sole benefit or detriment of the applicant, but where </w:t>
      </w:r>
      <w:r w:rsidR="00423C03">
        <w:rPr>
          <w:rFonts w:ascii="Verdana" w:hAnsi="Verdana"/>
          <w:sz w:val="18"/>
          <w:szCs w:val="18"/>
        </w:rPr>
        <w:t>broader</w:t>
      </w:r>
      <w:r w:rsidR="00DF77B5" w:rsidRPr="00A96949">
        <w:rPr>
          <w:rFonts w:ascii="Verdana" w:hAnsi="Verdana"/>
          <w:sz w:val="18"/>
          <w:szCs w:val="18"/>
        </w:rPr>
        <w:t xml:space="preserve"> public considerations arise either by reason of the important issues involved or of the </w:t>
      </w:r>
      <w:r w:rsidR="00447356" w:rsidRPr="00A96949">
        <w:rPr>
          <w:rFonts w:ascii="Verdana" w:hAnsi="Verdana"/>
          <w:sz w:val="18"/>
          <w:szCs w:val="18"/>
        </w:rPr>
        <w:t xml:space="preserve">wider interests </w:t>
      </w:r>
      <w:r w:rsidR="00423C03">
        <w:rPr>
          <w:rFonts w:ascii="Verdana" w:hAnsi="Verdana"/>
          <w:sz w:val="18"/>
          <w:szCs w:val="18"/>
        </w:rPr>
        <w:t>engaged</w:t>
      </w:r>
      <w:r w:rsidR="00447356" w:rsidRPr="00A96949">
        <w:rPr>
          <w:rFonts w:ascii="Verdana" w:hAnsi="Verdana"/>
          <w:sz w:val="18"/>
          <w:szCs w:val="18"/>
        </w:rPr>
        <w:t xml:space="preserve"> – </w:t>
      </w:r>
      <w:r w:rsidR="00423C03">
        <w:rPr>
          <w:rFonts w:ascii="Verdana" w:hAnsi="Verdana"/>
          <w:sz w:val="18"/>
          <w:szCs w:val="18"/>
        </w:rPr>
        <w:t>such as the environmental concerns that can arise</w:t>
      </w:r>
      <w:r w:rsidR="00447356" w:rsidRPr="00A96949">
        <w:rPr>
          <w:rFonts w:ascii="Verdana" w:hAnsi="Verdana"/>
          <w:sz w:val="18"/>
          <w:szCs w:val="18"/>
        </w:rPr>
        <w:t xml:space="preserve"> in challenges to development consent decisions. </w:t>
      </w:r>
    </w:p>
    <w:p w14:paraId="1E22BDCB" w14:textId="4D855E96" w:rsidR="005C7255" w:rsidRPr="00A96949" w:rsidRDefault="00447356"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I</w:t>
      </w:r>
      <w:r w:rsidR="001B2C21" w:rsidRPr="00A96949">
        <w:rPr>
          <w:rFonts w:ascii="Verdana" w:hAnsi="Verdana"/>
          <w:sz w:val="18"/>
          <w:szCs w:val="18"/>
        </w:rPr>
        <w:t xml:space="preserve">n the latter context, the Supreme Court drew </w:t>
      </w:r>
      <w:r w:rsidR="00423C03">
        <w:rPr>
          <w:rFonts w:ascii="Verdana" w:hAnsi="Verdana"/>
          <w:sz w:val="18"/>
          <w:szCs w:val="18"/>
        </w:rPr>
        <w:t xml:space="preserve">to some extent </w:t>
      </w:r>
      <w:r w:rsidR="001B2C21" w:rsidRPr="00A96949">
        <w:rPr>
          <w:rFonts w:ascii="Verdana" w:hAnsi="Verdana"/>
          <w:sz w:val="18"/>
          <w:szCs w:val="18"/>
        </w:rPr>
        <w:t xml:space="preserve">on </w:t>
      </w:r>
      <w:r w:rsidR="001B2C21" w:rsidRPr="00A96949">
        <w:rPr>
          <w:rFonts w:ascii="Verdana" w:hAnsi="Verdana"/>
          <w:i/>
          <w:iCs/>
          <w:sz w:val="18"/>
          <w:szCs w:val="18"/>
        </w:rPr>
        <w:t>Veolia</w:t>
      </w:r>
      <w:r w:rsidR="001B2C21" w:rsidRPr="00A96949">
        <w:rPr>
          <w:rFonts w:ascii="Verdana" w:hAnsi="Verdana"/>
          <w:sz w:val="18"/>
          <w:szCs w:val="18"/>
        </w:rPr>
        <w:t xml:space="preserve"> </w:t>
      </w:r>
      <w:r w:rsidR="005C7255" w:rsidRPr="00A96949">
        <w:rPr>
          <w:rFonts w:ascii="Verdana" w:hAnsi="Verdana"/>
          <w:sz w:val="18"/>
          <w:szCs w:val="18"/>
        </w:rPr>
        <w:t xml:space="preserve">in an </w:t>
      </w:r>
      <w:proofErr w:type="gramStart"/>
      <w:r w:rsidR="005C7255" w:rsidRPr="00A96949">
        <w:rPr>
          <w:rFonts w:ascii="Verdana" w:hAnsi="Verdana"/>
          <w:i/>
          <w:iCs/>
          <w:sz w:val="18"/>
          <w:szCs w:val="18"/>
        </w:rPr>
        <w:t>ex tempore</w:t>
      </w:r>
      <w:proofErr w:type="gramEnd"/>
      <w:r w:rsidR="005C7255" w:rsidRPr="00A96949">
        <w:rPr>
          <w:rFonts w:ascii="Verdana" w:hAnsi="Verdana"/>
          <w:sz w:val="18"/>
          <w:szCs w:val="18"/>
        </w:rPr>
        <w:t xml:space="preserve"> ruling in</w:t>
      </w:r>
      <w:r w:rsidR="00FC526E" w:rsidRPr="00A96949">
        <w:rPr>
          <w:rFonts w:ascii="Verdana" w:hAnsi="Verdana"/>
          <w:sz w:val="18"/>
          <w:szCs w:val="18"/>
        </w:rPr>
        <w:t xml:space="preserve"> </w:t>
      </w:r>
      <w:r w:rsidR="00FC526E" w:rsidRPr="00A96949">
        <w:rPr>
          <w:rFonts w:ascii="Verdana" w:hAnsi="Verdana"/>
          <w:i/>
          <w:sz w:val="18"/>
          <w:szCs w:val="18"/>
        </w:rPr>
        <w:t xml:space="preserve">Connelly v. An Bord Pleanála </w:t>
      </w:r>
      <w:r w:rsidR="00FC526E" w:rsidRPr="00A96949">
        <w:rPr>
          <w:rFonts w:ascii="Verdana" w:hAnsi="Verdana"/>
          <w:sz w:val="18"/>
          <w:szCs w:val="18"/>
        </w:rPr>
        <w:t xml:space="preserve">[2018] IESC 36, [2018] 7 JIC 3002 (Unreported, Supreme Court, Clarke C.J. (O’Donnell, Dunne, </w:t>
      </w:r>
      <w:proofErr w:type="gramStart"/>
      <w:r w:rsidR="00FC526E" w:rsidRPr="00A96949">
        <w:rPr>
          <w:rFonts w:ascii="Verdana" w:hAnsi="Verdana"/>
          <w:sz w:val="18"/>
          <w:szCs w:val="18"/>
        </w:rPr>
        <w:t>O’Malley</w:t>
      </w:r>
      <w:proofErr w:type="gramEnd"/>
      <w:r w:rsidR="00FC526E" w:rsidRPr="00A96949">
        <w:rPr>
          <w:rFonts w:ascii="Verdana" w:hAnsi="Verdana"/>
          <w:sz w:val="18"/>
          <w:szCs w:val="18"/>
        </w:rPr>
        <w:t xml:space="preserve"> and Finlay Geoghegan JJ. concurring), 30</w:t>
      </w:r>
      <w:r w:rsidR="00FC526E" w:rsidRPr="00A96949">
        <w:rPr>
          <w:rFonts w:ascii="Verdana" w:hAnsi="Verdana"/>
          <w:sz w:val="18"/>
          <w:szCs w:val="18"/>
          <w:vertAlign w:val="superscript"/>
        </w:rPr>
        <w:t>th</w:t>
      </w:r>
      <w:r w:rsidR="00FC526E" w:rsidRPr="00A96949">
        <w:rPr>
          <w:rFonts w:ascii="Verdana" w:hAnsi="Verdana"/>
          <w:sz w:val="18"/>
          <w:szCs w:val="18"/>
        </w:rPr>
        <w:t xml:space="preserve"> </w:t>
      </w:r>
      <w:proofErr w:type="gramStart"/>
      <w:r w:rsidR="00FC526E" w:rsidRPr="00A96949">
        <w:rPr>
          <w:rFonts w:ascii="Verdana" w:hAnsi="Verdana"/>
          <w:sz w:val="18"/>
          <w:szCs w:val="18"/>
        </w:rPr>
        <w:t>July,</w:t>
      </w:r>
      <w:proofErr w:type="gramEnd"/>
      <w:r w:rsidR="00FC526E" w:rsidRPr="00A96949">
        <w:rPr>
          <w:rFonts w:ascii="Verdana" w:hAnsi="Verdana"/>
          <w:sz w:val="18"/>
          <w:szCs w:val="18"/>
        </w:rPr>
        <w:t xml:space="preserve"> 2018)</w:t>
      </w:r>
      <w:r w:rsidR="005C7255" w:rsidRPr="00A96949">
        <w:rPr>
          <w:rFonts w:ascii="Verdana" w:hAnsi="Verdana"/>
          <w:sz w:val="18"/>
          <w:szCs w:val="18"/>
        </w:rPr>
        <w:t>.  A couple of points were noteworthy in relation to that ruling.</w:t>
      </w:r>
    </w:p>
    <w:p w14:paraId="6AC5427B" w14:textId="108A7B4F" w:rsidR="005C7255" w:rsidRPr="00A96949" w:rsidRDefault="005C7255"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Firstly</w:t>
      </w:r>
      <w:r w:rsidR="009241A5" w:rsidRPr="00A96949">
        <w:rPr>
          <w:rFonts w:ascii="Verdana" w:hAnsi="Verdana"/>
          <w:sz w:val="18"/>
          <w:szCs w:val="18"/>
        </w:rPr>
        <w:t>,</w:t>
      </w:r>
      <w:r w:rsidRPr="00A96949">
        <w:rPr>
          <w:rFonts w:ascii="Verdana" w:hAnsi="Verdana"/>
          <w:sz w:val="18"/>
          <w:szCs w:val="18"/>
        </w:rPr>
        <w:t xml:space="preserve"> the matter doesn’t seem to have been argued in </w:t>
      </w:r>
      <w:proofErr w:type="gramStart"/>
      <w:r w:rsidRPr="00A96949">
        <w:rPr>
          <w:rFonts w:ascii="Verdana" w:hAnsi="Verdana"/>
          <w:sz w:val="18"/>
          <w:szCs w:val="18"/>
        </w:rPr>
        <w:t>great detail</w:t>
      </w:r>
      <w:proofErr w:type="gramEnd"/>
      <w:r w:rsidRPr="00A96949">
        <w:rPr>
          <w:rFonts w:ascii="Verdana" w:hAnsi="Verdana"/>
          <w:sz w:val="18"/>
          <w:szCs w:val="18"/>
        </w:rPr>
        <w:t xml:space="preserve"> in the sense that there is no reference to either s. 50B of the 2000 Act or more importantly to the Aarhus Convention. </w:t>
      </w:r>
    </w:p>
    <w:p w14:paraId="00B15458" w14:textId="621BE4CD" w:rsidR="00FC526E" w:rsidRPr="00A96949" w:rsidRDefault="005C7255"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Secondly, </w:t>
      </w:r>
      <w:r w:rsidRPr="00A96949">
        <w:rPr>
          <w:rFonts w:ascii="Verdana" w:hAnsi="Verdana"/>
          <w:i/>
          <w:iCs/>
          <w:sz w:val="18"/>
          <w:szCs w:val="18"/>
        </w:rPr>
        <w:t>Connelly</w:t>
      </w:r>
      <w:r w:rsidRPr="00A96949">
        <w:rPr>
          <w:rFonts w:ascii="Verdana" w:hAnsi="Verdana"/>
          <w:sz w:val="18"/>
          <w:szCs w:val="18"/>
        </w:rPr>
        <w:t xml:space="preserve"> itself seems to implicitly recognise the need for a softer version of </w:t>
      </w:r>
      <w:r w:rsidRPr="00A96949">
        <w:rPr>
          <w:rFonts w:ascii="Verdana" w:hAnsi="Verdana"/>
          <w:i/>
          <w:iCs/>
          <w:sz w:val="18"/>
          <w:szCs w:val="18"/>
        </w:rPr>
        <w:t>Veolia</w:t>
      </w:r>
      <w:r w:rsidRPr="00A96949">
        <w:rPr>
          <w:rFonts w:ascii="Verdana" w:hAnsi="Verdana"/>
          <w:sz w:val="18"/>
          <w:szCs w:val="18"/>
        </w:rPr>
        <w:t>, if that approach is to be applied</w:t>
      </w:r>
      <w:r w:rsidR="00FC526E" w:rsidRPr="00A96949">
        <w:rPr>
          <w:rFonts w:ascii="Verdana" w:hAnsi="Verdana"/>
          <w:sz w:val="18"/>
          <w:szCs w:val="18"/>
        </w:rPr>
        <w:t xml:space="preserve"> in the environmental context</w:t>
      </w:r>
      <w:r w:rsidRPr="00A96949">
        <w:rPr>
          <w:rFonts w:ascii="Verdana" w:hAnsi="Verdana"/>
          <w:sz w:val="18"/>
          <w:szCs w:val="18"/>
        </w:rPr>
        <w:t xml:space="preserve">, because </w:t>
      </w:r>
      <w:r w:rsidR="00FC526E" w:rsidRPr="00A96949">
        <w:rPr>
          <w:rFonts w:ascii="Verdana" w:hAnsi="Verdana"/>
          <w:sz w:val="18"/>
          <w:szCs w:val="18"/>
        </w:rPr>
        <w:t xml:space="preserve">in that ruling the Supreme Court did not </w:t>
      </w:r>
      <w:r w:rsidR="00885715" w:rsidRPr="00A96949">
        <w:rPr>
          <w:rFonts w:ascii="Verdana" w:hAnsi="Verdana"/>
          <w:sz w:val="18"/>
          <w:szCs w:val="18"/>
        </w:rPr>
        <w:t>introduce</w:t>
      </w:r>
      <w:r w:rsidR="00FC526E" w:rsidRPr="00A96949">
        <w:rPr>
          <w:rFonts w:ascii="Verdana" w:hAnsi="Verdana"/>
          <w:sz w:val="18"/>
          <w:szCs w:val="18"/>
        </w:rPr>
        <w:t xml:space="preserve"> the possibility of the cross-order against </w:t>
      </w:r>
      <w:r w:rsidR="001919C6" w:rsidRPr="00A96949">
        <w:rPr>
          <w:rFonts w:ascii="Verdana" w:hAnsi="Verdana"/>
          <w:sz w:val="18"/>
          <w:szCs w:val="18"/>
        </w:rPr>
        <w:t>an</w:t>
      </w:r>
      <w:r w:rsidR="00FC526E" w:rsidRPr="00A96949">
        <w:rPr>
          <w:rFonts w:ascii="Verdana" w:hAnsi="Verdana"/>
          <w:sz w:val="18"/>
          <w:szCs w:val="18"/>
        </w:rPr>
        <w:t xml:space="preserve"> environmental applicant, perhaps reflective of the broad and generous approach to costs in this </w:t>
      </w:r>
      <w:proofErr w:type="gramStart"/>
      <w:r w:rsidR="00FC526E" w:rsidRPr="00A96949">
        <w:rPr>
          <w:rFonts w:ascii="Verdana" w:hAnsi="Verdana"/>
          <w:sz w:val="18"/>
          <w:szCs w:val="18"/>
        </w:rPr>
        <w:t>particular area</w:t>
      </w:r>
      <w:proofErr w:type="gramEnd"/>
      <w:r w:rsidR="00FC526E" w:rsidRPr="00A96949">
        <w:rPr>
          <w:rFonts w:ascii="Verdana" w:hAnsi="Verdana"/>
          <w:sz w:val="18"/>
          <w:szCs w:val="18"/>
        </w:rPr>
        <w:t xml:space="preserve">. </w:t>
      </w:r>
      <w:r w:rsidR="00885715" w:rsidRPr="00A96949">
        <w:rPr>
          <w:rFonts w:ascii="Verdana" w:hAnsi="Verdana"/>
          <w:sz w:val="18"/>
          <w:szCs w:val="18"/>
        </w:rPr>
        <w:t xml:space="preserve"> Nor did th</w:t>
      </w:r>
      <w:r w:rsidR="00665CCC" w:rsidRPr="00A96949">
        <w:rPr>
          <w:rFonts w:ascii="Verdana" w:hAnsi="Verdana"/>
          <w:sz w:val="18"/>
          <w:szCs w:val="18"/>
        </w:rPr>
        <w:t xml:space="preserve">e board argue </w:t>
      </w:r>
      <w:r w:rsidRPr="00A96949">
        <w:rPr>
          <w:rFonts w:ascii="Verdana" w:hAnsi="Verdana"/>
          <w:sz w:val="18"/>
          <w:szCs w:val="18"/>
        </w:rPr>
        <w:t>in the present case</w:t>
      </w:r>
      <w:r w:rsidR="00665CCC" w:rsidRPr="00A96949">
        <w:rPr>
          <w:rFonts w:ascii="Verdana" w:hAnsi="Verdana"/>
          <w:sz w:val="18"/>
          <w:szCs w:val="18"/>
        </w:rPr>
        <w:t xml:space="preserve"> that there c</w:t>
      </w:r>
      <w:r w:rsidR="00885715" w:rsidRPr="00A96949">
        <w:rPr>
          <w:rFonts w:ascii="Verdana" w:hAnsi="Verdana"/>
          <w:sz w:val="18"/>
          <w:szCs w:val="18"/>
        </w:rPr>
        <w:t xml:space="preserve">ould be any form of cross-order. </w:t>
      </w:r>
    </w:p>
    <w:p w14:paraId="0ADFA919" w14:textId="399F6579" w:rsidR="00321A56" w:rsidRPr="00A96949" w:rsidRDefault="005C7255"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Thirdly</w:t>
      </w:r>
      <w:r w:rsidR="009241A5" w:rsidRPr="00A96949">
        <w:rPr>
          <w:rFonts w:ascii="Verdana" w:hAnsi="Verdana"/>
          <w:sz w:val="18"/>
          <w:szCs w:val="18"/>
        </w:rPr>
        <w:t>,</w:t>
      </w:r>
      <w:r w:rsidRPr="00A96949">
        <w:rPr>
          <w:rFonts w:ascii="Verdana" w:hAnsi="Verdana"/>
          <w:sz w:val="18"/>
          <w:szCs w:val="18"/>
        </w:rPr>
        <w:t xml:space="preserve"> the Supreme Court in para. 7 noted that the purpose of the possibility of some form of apportionment was to avoid “significantly increasing the costs and the amount of court time </w:t>
      </w:r>
      <w:r w:rsidRPr="00A96949">
        <w:rPr>
          <w:rFonts w:ascii="Verdana" w:hAnsi="Verdana"/>
          <w:sz w:val="18"/>
          <w:szCs w:val="18"/>
        </w:rPr>
        <w:lastRenderedPageBreak/>
        <w:t xml:space="preserve">and resources which require to be deployed in resolving the case” – thus expressly </w:t>
      </w:r>
      <w:r w:rsidR="00405EF1" w:rsidRPr="00A96949">
        <w:rPr>
          <w:rFonts w:ascii="Verdana" w:hAnsi="Verdana"/>
          <w:sz w:val="18"/>
          <w:szCs w:val="18"/>
        </w:rPr>
        <w:t>highlighting</w:t>
      </w:r>
      <w:r w:rsidRPr="00A96949">
        <w:rPr>
          <w:rFonts w:ascii="Verdana" w:hAnsi="Verdana"/>
          <w:sz w:val="18"/>
          <w:szCs w:val="18"/>
        </w:rPr>
        <w:t xml:space="preserve"> that the impact of costs rules on the courts system was a factor as opposed to just the impact on the other side. </w:t>
      </w:r>
      <w:r w:rsidR="00447356" w:rsidRPr="00A96949">
        <w:rPr>
          <w:rFonts w:ascii="Verdana" w:hAnsi="Verdana"/>
          <w:sz w:val="18"/>
          <w:szCs w:val="18"/>
        </w:rPr>
        <w:t xml:space="preserve"> That impact must ultimately be judged </w:t>
      </w:r>
      <w:proofErr w:type="gramStart"/>
      <w:r w:rsidR="00AF2F6E">
        <w:rPr>
          <w:rFonts w:ascii="Verdana" w:hAnsi="Verdana"/>
          <w:sz w:val="18"/>
          <w:szCs w:val="18"/>
        </w:rPr>
        <w:t>on the basis of</w:t>
      </w:r>
      <w:proofErr w:type="gramEnd"/>
      <w:r w:rsidR="00AF2F6E">
        <w:rPr>
          <w:rFonts w:ascii="Verdana" w:hAnsi="Verdana"/>
          <w:sz w:val="18"/>
          <w:szCs w:val="18"/>
        </w:rPr>
        <w:t xml:space="preserve"> the effect of any given approach on the system overall rather than by viewing </w:t>
      </w:r>
      <w:r w:rsidR="00447356" w:rsidRPr="00A96949">
        <w:rPr>
          <w:rFonts w:ascii="Verdana" w:hAnsi="Verdana"/>
          <w:sz w:val="18"/>
          <w:szCs w:val="18"/>
        </w:rPr>
        <w:t xml:space="preserve">any </w:t>
      </w:r>
      <w:r w:rsidR="00AF2F6E">
        <w:rPr>
          <w:rFonts w:ascii="Verdana" w:hAnsi="Verdana"/>
          <w:sz w:val="18"/>
          <w:szCs w:val="18"/>
        </w:rPr>
        <w:t xml:space="preserve">one </w:t>
      </w:r>
      <w:r w:rsidR="00447356" w:rsidRPr="00A96949">
        <w:rPr>
          <w:rFonts w:ascii="Verdana" w:hAnsi="Verdana"/>
          <w:sz w:val="18"/>
          <w:szCs w:val="18"/>
        </w:rPr>
        <w:t>given case</w:t>
      </w:r>
      <w:r w:rsidR="00AF2F6E">
        <w:rPr>
          <w:rFonts w:ascii="Verdana" w:hAnsi="Verdana"/>
          <w:sz w:val="18"/>
          <w:szCs w:val="18"/>
        </w:rPr>
        <w:t xml:space="preserve"> in isolation</w:t>
      </w:r>
      <w:r w:rsidR="00447356" w:rsidRPr="00A96949">
        <w:rPr>
          <w:rFonts w:ascii="Verdana" w:hAnsi="Verdana"/>
          <w:sz w:val="18"/>
          <w:szCs w:val="18"/>
        </w:rPr>
        <w:t>.</w:t>
      </w:r>
    </w:p>
    <w:p w14:paraId="295461F5" w14:textId="509CADD7" w:rsidR="005C7255" w:rsidRPr="00A96949" w:rsidRDefault="00321A56"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This is reinforced by what the court went on to say at para. 8 that: “an overly meticulous approach to identifying the precise issues or variations on issues, which were canvassed. To take that approach would be counterproductive in that it would turn every </w:t>
      </w:r>
      <w:proofErr w:type="gramStart"/>
      <w:r w:rsidRPr="00A96949">
        <w:rPr>
          <w:rFonts w:ascii="Verdana" w:hAnsi="Verdana"/>
          <w:sz w:val="18"/>
          <w:szCs w:val="18"/>
        </w:rPr>
        <w:t>costs</w:t>
      </w:r>
      <w:proofErr w:type="gramEnd"/>
      <w:r w:rsidRPr="00A96949">
        <w:rPr>
          <w:rFonts w:ascii="Verdana" w:hAnsi="Verdana"/>
          <w:sz w:val="18"/>
          <w:szCs w:val="18"/>
        </w:rPr>
        <w:t xml:space="preserve"> application into a major further hearing resulting in even more costs. In that context it is worth noting that the hearing this morning took over an hour.”</w:t>
      </w:r>
      <w:r w:rsidR="00447356" w:rsidRPr="00A96949">
        <w:rPr>
          <w:rFonts w:ascii="Verdana" w:hAnsi="Verdana"/>
          <w:sz w:val="18"/>
          <w:szCs w:val="18"/>
        </w:rPr>
        <w:t xml:space="preserve">  That is bad enough at Supreme Court level, but it becomes hugely more complex at first instance level where elaborate procedures for leave to appeal can then be triggered.  </w:t>
      </w:r>
    </w:p>
    <w:p w14:paraId="3ECE0D4C" w14:textId="669A6E44" w:rsidR="00321A56" w:rsidRPr="00A96949" w:rsidRDefault="00321A56"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A further important point in relation to </w:t>
      </w:r>
      <w:r w:rsidRPr="00A96949">
        <w:rPr>
          <w:rFonts w:ascii="Verdana" w:hAnsi="Verdana"/>
          <w:i/>
          <w:iCs/>
          <w:sz w:val="18"/>
          <w:szCs w:val="18"/>
        </w:rPr>
        <w:t>Connelly</w:t>
      </w:r>
      <w:r w:rsidRPr="00A96949">
        <w:rPr>
          <w:rFonts w:ascii="Verdana" w:hAnsi="Verdana"/>
          <w:sz w:val="18"/>
          <w:szCs w:val="18"/>
        </w:rPr>
        <w:t xml:space="preserve"> is to examine </w:t>
      </w:r>
      <w:r w:rsidR="00423C03">
        <w:rPr>
          <w:rFonts w:ascii="Verdana" w:hAnsi="Verdana"/>
          <w:sz w:val="18"/>
          <w:szCs w:val="18"/>
        </w:rPr>
        <w:t xml:space="preserve">the extent to which </w:t>
      </w:r>
      <w:r w:rsidRPr="00A96949">
        <w:rPr>
          <w:rFonts w:ascii="Verdana" w:hAnsi="Verdana"/>
          <w:sz w:val="18"/>
          <w:szCs w:val="18"/>
        </w:rPr>
        <w:t xml:space="preserve">the applicant was unsuccessful in that </w:t>
      </w:r>
      <w:proofErr w:type="gramStart"/>
      <w:r w:rsidRPr="00A96949">
        <w:rPr>
          <w:rFonts w:ascii="Verdana" w:hAnsi="Verdana"/>
          <w:sz w:val="18"/>
          <w:szCs w:val="18"/>
        </w:rPr>
        <w:t>particular case</w:t>
      </w:r>
      <w:proofErr w:type="gramEnd"/>
      <w:r w:rsidRPr="00A96949">
        <w:rPr>
          <w:rFonts w:ascii="Verdana" w:hAnsi="Verdana"/>
          <w:sz w:val="18"/>
          <w:szCs w:val="18"/>
        </w:rPr>
        <w:t>, which sets the context for the ruling on costs.</w:t>
      </w:r>
    </w:p>
    <w:p w14:paraId="685A274E" w14:textId="0528E03D" w:rsidR="006A7BAD" w:rsidRPr="00A96949" w:rsidRDefault="00321A56"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In the principal judgment, </w:t>
      </w:r>
      <w:r w:rsidR="00557C98" w:rsidRPr="00A96949">
        <w:rPr>
          <w:rFonts w:ascii="Verdana" w:hAnsi="Verdana"/>
          <w:i/>
          <w:iCs/>
          <w:sz w:val="18"/>
          <w:szCs w:val="18"/>
        </w:rPr>
        <w:t>Connelly v</w:t>
      </w:r>
      <w:r w:rsidR="00520DEA" w:rsidRPr="00A96949">
        <w:rPr>
          <w:rFonts w:ascii="Verdana" w:hAnsi="Verdana"/>
          <w:i/>
          <w:iCs/>
          <w:sz w:val="18"/>
          <w:szCs w:val="18"/>
        </w:rPr>
        <w:t>.</w:t>
      </w:r>
      <w:r w:rsidR="00557C98" w:rsidRPr="00A96949">
        <w:rPr>
          <w:rFonts w:ascii="Verdana" w:hAnsi="Verdana"/>
          <w:i/>
          <w:iCs/>
          <w:sz w:val="18"/>
          <w:szCs w:val="18"/>
        </w:rPr>
        <w:t xml:space="preserve"> An Bord Pleanála</w:t>
      </w:r>
      <w:r w:rsidR="00557C98" w:rsidRPr="00A96949">
        <w:rPr>
          <w:rFonts w:ascii="Verdana" w:hAnsi="Verdana"/>
          <w:sz w:val="18"/>
          <w:szCs w:val="18"/>
        </w:rPr>
        <w:t> [2018] IESC 31, [2018] 2 I.L.R.M. 453</w:t>
      </w:r>
      <w:r w:rsidRPr="00A96949">
        <w:rPr>
          <w:rFonts w:ascii="Verdana" w:hAnsi="Verdana"/>
          <w:sz w:val="18"/>
          <w:szCs w:val="18"/>
        </w:rPr>
        <w:t xml:space="preserve">, Clarke C.J. noted that </w:t>
      </w:r>
      <w:r w:rsidR="006A7BAD" w:rsidRPr="00A96949">
        <w:rPr>
          <w:rFonts w:ascii="Verdana" w:hAnsi="Verdana"/>
          <w:sz w:val="18"/>
          <w:szCs w:val="18"/>
        </w:rPr>
        <w:t xml:space="preserve">“the central issue with which the High Court was concerned, and also the central issue with which this Court is concerned on this appeal, relates to the question of whether, at least in very general terms, adequate reasons were given by the Board in its decision” (para. 1.3).  On that central issue the Supreme Court reversed the finding by the High Court (Barrett J.) and found that, generally, adequate reasons had been given.  </w:t>
      </w:r>
    </w:p>
    <w:p w14:paraId="4D220A72" w14:textId="6492B617" w:rsidR="00321A56" w:rsidRPr="00A96949" w:rsidRDefault="006A7BAD"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If one looks at the ten grounds of appeal (</w:t>
      </w:r>
      <w:r w:rsidR="00423C03">
        <w:rPr>
          <w:rFonts w:ascii="Verdana" w:hAnsi="Verdana"/>
          <w:sz w:val="18"/>
          <w:szCs w:val="18"/>
        </w:rPr>
        <w:t xml:space="preserve">conveniently, for present purposes, </w:t>
      </w:r>
      <w:r w:rsidRPr="00A96949">
        <w:rPr>
          <w:rFonts w:ascii="Verdana" w:hAnsi="Verdana"/>
          <w:sz w:val="18"/>
          <w:szCs w:val="18"/>
        </w:rPr>
        <w:t>set out in full at para. 2.3 of the principal judgment) and compares that to the result, on one view the board won on nine of them and the applicant ultimately succeeded on only one of those grounds</w:t>
      </w:r>
      <w:r w:rsidR="00447356" w:rsidRPr="00A96949">
        <w:rPr>
          <w:rFonts w:ascii="Verdana" w:hAnsi="Verdana"/>
          <w:sz w:val="18"/>
          <w:szCs w:val="18"/>
        </w:rPr>
        <w:t>, and even that one was expressly stated to be not the “central issue”</w:t>
      </w:r>
      <w:r w:rsidRPr="00A96949">
        <w:rPr>
          <w:rFonts w:ascii="Verdana" w:hAnsi="Verdana"/>
          <w:sz w:val="18"/>
          <w:szCs w:val="18"/>
        </w:rPr>
        <w:t xml:space="preserve">.  Yet in the costs ruling she was to get 75% of her costs. </w:t>
      </w:r>
    </w:p>
    <w:p w14:paraId="158B79A0" w14:textId="1B2D751F" w:rsidR="005028FD" w:rsidRPr="00A96949" w:rsidRDefault="00570B65"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We need to keep that context firmly in mind when coming to the Supreme Court’s comment in the costs ruling that </w:t>
      </w:r>
      <w:r w:rsidR="005028FD" w:rsidRPr="00A96949">
        <w:rPr>
          <w:rFonts w:ascii="Verdana" w:hAnsi="Verdana"/>
          <w:sz w:val="18"/>
          <w:szCs w:val="18"/>
        </w:rPr>
        <w:t xml:space="preserve">parties should be discouraged from “throwing the kitchen sink into every case”, substantially qualified “by reference to the fact that an otherwise successful party should not be deprived of full costs unless it can be shown that it is clear that the raising of unmeritorious points added materially to the overall cost of the proceedings” (para. 8). </w:t>
      </w:r>
    </w:p>
    <w:p w14:paraId="65A40B36" w14:textId="3ECFC8C7" w:rsidR="00570B65" w:rsidRPr="00A96949" w:rsidRDefault="00570B65"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Discounting a winning party’s costs by reference to some unsuccessful points, particularly outside the purely commercial context, may be more appropriate </w:t>
      </w:r>
      <w:r w:rsidR="00405EF1" w:rsidRPr="00A96949">
        <w:rPr>
          <w:rFonts w:ascii="Verdana" w:hAnsi="Verdana"/>
          <w:sz w:val="18"/>
          <w:szCs w:val="18"/>
        </w:rPr>
        <w:t xml:space="preserve">(assuming it is allowed by Aarhus – an assumption I will return to) </w:t>
      </w:r>
      <w:r w:rsidRPr="00A96949">
        <w:rPr>
          <w:rFonts w:ascii="Verdana" w:hAnsi="Verdana"/>
          <w:sz w:val="18"/>
          <w:szCs w:val="18"/>
        </w:rPr>
        <w:t xml:space="preserve">when there is a very wide gulf between the actual case and </w:t>
      </w:r>
      <w:r w:rsidR="00C662C7" w:rsidRPr="00A96949">
        <w:rPr>
          <w:rFonts w:ascii="Verdana" w:hAnsi="Verdana"/>
          <w:sz w:val="18"/>
          <w:szCs w:val="18"/>
        </w:rPr>
        <w:t xml:space="preserve">what the hearing would have looked like if it were confined to the points that got over the line.  </w:t>
      </w:r>
    </w:p>
    <w:p w14:paraId="4D8838DE" w14:textId="081A1A9A" w:rsidR="00D82EBD" w:rsidRPr="00A96949" w:rsidRDefault="00570B65"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To give some examples in terms of the general approach of looking to see what a hearing would have looked like on that alternative hypothesis, thi</w:t>
      </w:r>
      <w:r w:rsidR="00C662C7" w:rsidRPr="00A96949">
        <w:rPr>
          <w:rFonts w:ascii="Verdana" w:hAnsi="Verdana"/>
          <w:sz w:val="18"/>
          <w:szCs w:val="18"/>
        </w:rPr>
        <w:t xml:space="preserve">s was the approach I took in </w:t>
      </w:r>
      <w:r w:rsidR="00C07E54" w:rsidRPr="00A96949">
        <w:rPr>
          <w:rFonts w:ascii="Verdana" w:hAnsi="Verdana"/>
          <w:i/>
          <w:sz w:val="18"/>
          <w:szCs w:val="18"/>
        </w:rPr>
        <w:t>In re Star Elm Frames Ltd</w:t>
      </w:r>
      <w:r w:rsidR="009C1D2F" w:rsidRPr="00A96949">
        <w:rPr>
          <w:rFonts w:ascii="Verdana" w:hAnsi="Verdana"/>
          <w:i/>
          <w:sz w:val="18"/>
          <w:szCs w:val="18"/>
        </w:rPr>
        <w:t>.</w:t>
      </w:r>
      <w:r w:rsidR="00C07E54" w:rsidRPr="00A96949">
        <w:rPr>
          <w:rFonts w:ascii="Verdana" w:hAnsi="Verdana"/>
          <w:i/>
          <w:sz w:val="18"/>
          <w:szCs w:val="18"/>
        </w:rPr>
        <w:t xml:space="preserve"> &amp; Companies Act 2014 </w:t>
      </w:r>
      <w:r w:rsidR="00C07E54" w:rsidRPr="00A96949">
        <w:rPr>
          <w:rFonts w:ascii="Verdana" w:hAnsi="Verdana"/>
          <w:sz w:val="18"/>
          <w:szCs w:val="18"/>
        </w:rPr>
        <w:t>[2016] IEHC 666</w:t>
      </w:r>
      <w:r w:rsidR="009C1D2F" w:rsidRPr="00A96949">
        <w:rPr>
          <w:rFonts w:ascii="Verdana" w:hAnsi="Verdana"/>
          <w:sz w:val="18"/>
          <w:szCs w:val="18"/>
        </w:rPr>
        <w:t xml:space="preserve">, [2016] 10 JIC 0313 </w:t>
      </w:r>
      <w:r w:rsidR="009C1D2F" w:rsidRPr="00A96949">
        <w:rPr>
          <w:rFonts w:ascii="Verdana" w:hAnsi="Verdana"/>
          <w:sz w:val="18"/>
          <w:szCs w:val="18"/>
        </w:rPr>
        <w:lastRenderedPageBreak/>
        <w:t>(Unreported</w:t>
      </w:r>
      <w:r w:rsidR="00913363" w:rsidRPr="00A96949">
        <w:rPr>
          <w:rFonts w:ascii="Verdana" w:hAnsi="Verdana"/>
          <w:sz w:val="18"/>
          <w:szCs w:val="18"/>
        </w:rPr>
        <w:t>, High Court, 3</w:t>
      </w:r>
      <w:r w:rsidR="00913363" w:rsidRPr="00A96949">
        <w:rPr>
          <w:rFonts w:ascii="Verdana" w:hAnsi="Verdana"/>
          <w:sz w:val="18"/>
          <w:szCs w:val="18"/>
          <w:vertAlign w:val="superscript"/>
        </w:rPr>
        <w:t>rd</w:t>
      </w:r>
      <w:r w:rsidR="00913363" w:rsidRPr="00A96949">
        <w:rPr>
          <w:rFonts w:ascii="Verdana" w:hAnsi="Verdana"/>
          <w:sz w:val="18"/>
          <w:szCs w:val="18"/>
        </w:rPr>
        <w:t xml:space="preserve"> October, 2016</w:t>
      </w:r>
      <w:r w:rsidR="009C1D2F" w:rsidRPr="00A96949">
        <w:rPr>
          <w:rFonts w:ascii="Verdana" w:hAnsi="Verdana"/>
          <w:sz w:val="18"/>
          <w:szCs w:val="18"/>
        </w:rPr>
        <w:t>)</w:t>
      </w:r>
      <w:r w:rsidR="00913363" w:rsidRPr="00A96949">
        <w:rPr>
          <w:rFonts w:ascii="Verdana" w:hAnsi="Verdana"/>
          <w:sz w:val="18"/>
          <w:szCs w:val="18"/>
        </w:rPr>
        <w:t>,</w:t>
      </w:r>
      <w:r w:rsidR="00C07E54" w:rsidRPr="00A96949">
        <w:rPr>
          <w:rFonts w:ascii="Verdana" w:hAnsi="Verdana"/>
          <w:sz w:val="18"/>
          <w:szCs w:val="18"/>
        </w:rPr>
        <w:t xml:space="preserve"> where </w:t>
      </w:r>
      <w:r w:rsidR="00E442DE" w:rsidRPr="00A96949">
        <w:rPr>
          <w:rFonts w:ascii="Verdana" w:hAnsi="Verdana"/>
          <w:sz w:val="18"/>
          <w:szCs w:val="18"/>
        </w:rPr>
        <w:t xml:space="preserve">certain </w:t>
      </w:r>
      <w:r w:rsidR="00447356" w:rsidRPr="00A96949">
        <w:rPr>
          <w:rFonts w:ascii="Verdana" w:hAnsi="Verdana"/>
          <w:sz w:val="18"/>
          <w:szCs w:val="18"/>
        </w:rPr>
        <w:t>directors</w:t>
      </w:r>
      <w:r w:rsidR="00C07E54" w:rsidRPr="00A96949">
        <w:rPr>
          <w:rFonts w:ascii="Verdana" w:hAnsi="Verdana"/>
          <w:sz w:val="18"/>
          <w:szCs w:val="18"/>
        </w:rPr>
        <w:t xml:space="preserve"> made losing submissions but those were made briefly and did not add to the length of the proceedings, so </w:t>
      </w:r>
      <w:r w:rsidR="00447356" w:rsidRPr="00A96949">
        <w:rPr>
          <w:rFonts w:ascii="Verdana" w:hAnsi="Verdana"/>
          <w:sz w:val="18"/>
          <w:szCs w:val="18"/>
        </w:rPr>
        <w:t xml:space="preserve">even though those directors were unsuccessful, I thought that </w:t>
      </w:r>
      <w:r w:rsidR="00C07E54" w:rsidRPr="00A96949">
        <w:rPr>
          <w:rFonts w:ascii="Verdana" w:hAnsi="Verdana"/>
          <w:sz w:val="18"/>
          <w:szCs w:val="18"/>
        </w:rPr>
        <w:t xml:space="preserve">no order for costs </w:t>
      </w:r>
      <w:r w:rsidR="00447356" w:rsidRPr="00A96949">
        <w:rPr>
          <w:rFonts w:ascii="Verdana" w:hAnsi="Verdana"/>
          <w:sz w:val="18"/>
          <w:szCs w:val="18"/>
        </w:rPr>
        <w:t xml:space="preserve">against them </w:t>
      </w:r>
      <w:r w:rsidR="00C07E54" w:rsidRPr="00A96949">
        <w:rPr>
          <w:rFonts w:ascii="Verdana" w:hAnsi="Verdana"/>
          <w:sz w:val="18"/>
          <w:szCs w:val="18"/>
        </w:rPr>
        <w:t xml:space="preserve">was appropriate (para. 48). </w:t>
      </w:r>
      <w:r w:rsidR="00E442DE" w:rsidRPr="00A96949">
        <w:rPr>
          <w:rFonts w:ascii="Verdana" w:hAnsi="Verdana"/>
          <w:sz w:val="18"/>
          <w:szCs w:val="18"/>
        </w:rPr>
        <w:t xml:space="preserve">An order for costs was made against the liquidator on foot of among other things a comparison of the actual three-day hearing with the likely much shorter half-hour hearing that would have happened but for his intervention.  That comparison was specifically referred to by the Court of Appeal in affirming that order: In re </w:t>
      </w:r>
      <w:r w:rsidR="00E442DE" w:rsidRPr="00A96949">
        <w:rPr>
          <w:rStyle w:val="Emphasis"/>
          <w:rFonts w:ascii="Verdana" w:hAnsi="Verdana"/>
          <w:sz w:val="18"/>
          <w:szCs w:val="18"/>
        </w:rPr>
        <w:t>Star Elm Frames Ltd</w:t>
      </w:r>
      <w:r w:rsidR="00303048" w:rsidRPr="00A96949">
        <w:rPr>
          <w:rStyle w:val="Emphasis"/>
          <w:rFonts w:ascii="Verdana" w:hAnsi="Verdana"/>
          <w:sz w:val="18"/>
          <w:szCs w:val="18"/>
        </w:rPr>
        <w:t>.</w:t>
      </w:r>
      <w:r w:rsidR="00E442DE" w:rsidRPr="00A96949">
        <w:rPr>
          <w:rStyle w:val="Emphasis"/>
          <w:rFonts w:ascii="Verdana" w:hAnsi="Verdana"/>
          <w:sz w:val="18"/>
          <w:szCs w:val="18"/>
        </w:rPr>
        <w:t xml:space="preserve"> </w:t>
      </w:r>
      <w:r w:rsidR="00303048" w:rsidRPr="00A96949">
        <w:rPr>
          <w:rStyle w:val="Emphasis"/>
          <w:rFonts w:ascii="Verdana" w:hAnsi="Verdana"/>
          <w:sz w:val="18"/>
          <w:szCs w:val="18"/>
        </w:rPr>
        <w:t>v.</w:t>
      </w:r>
      <w:r w:rsidR="00E442DE" w:rsidRPr="00A96949">
        <w:rPr>
          <w:rStyle w:val="Emphasis"/>
          <w:rFonts w:ascii="Verdana" w:hAnsi="Verdana"/>
          <w:sz w:val="18"/>
          <w:szCs w:val="18"/>
        </w:rPr>
        <w:t xml:space="preserve"> Fitzpatrick</w:t>
      </w:r>
      <w:r w:rsidR="00E442DE" w:rsidRPr="00A96949">
        <w:rPr>
          <w:rStyle w:val="cite-as"/>
          <w:rFonts w:ascii="Verdana" w:hAnsi="Verdana"/>
          <w:sz w:val="18"/>
          <w:szCs w:val="18"/>
        </w:rPr>
        <w:t> [2018] IECA 103</w:t>
      </w:r>
      <w:r w:rsidR="00115320" w:rsidRPr="00A96949">
        <w:rPr>
          <w:rStyle w:val="cite-as"/>
          <w:rFonts w:ascii="Verdana" w:hAnsi="Verdana"/>
          <w:sz w:val="18"/>
          <w:szCs w:val="18"/>
        </w:rPr>
        <w:t xml:space="preserve">, [2018] 4 JIC 1905 (Unreported, Court of Appeal, </w:t>
      </w:r>
      <w:r w:rsidR="006049CF" w:rsidRPr="00A96949">
        <w:rPr>
          <w:rStyle w:val="cite-as"/>
          <w:rFonts w:ascii="Verdana" w:hAnsi="Verdana"/>
          <w:sz w:val="18"/>
          <w:szCs w:val="18"/>
        </w:rPr>
        <w:t>Peart J. (Irvine and Gilligan JJ. concurring), 19</w:t>
      </w:r>
      <w:r w:rsidR="006049CF" w:rsidRPr="00A96949">
        <w:rPr>
          <w:rStyle w:val="cite-as"/>
          <w:rFonts w:ascii="Verdana" w:hAnsi="Verdana"/>
          <w:sz w:val="18"/>
          <w:szCs w:val="18"/>
          <w:vertAlign w:val="superscript"/>
        </w:rPr>
        <w:t>th</w:t>
      </w:r>
      <w:r w:rsidR="006049CF" w:rsidRPr="00A96949">
        <w:rPr>
          <w:rStyle w:val="cite-as"/>
          <w:rFonts w:ascii="Verdana" w:hAnsi="Verdana"/>
          <w:sz w:val="18"/>
          <w:szCs w:val="18"/>
        </w:rPr>
        <w:t xml:space="preserve"> </w:t>
      </w:r>
      <w:proofErr w:type="gramStart"/>
      <w:r w:rsidR="006049CF" w:rsidRPr="00A96949">
        <w:rPr>
          <w:rStyle w:val="cite-as"/>
          <w:rFonts w:ascii="Verdana" w:hAnsi="Verdana"/>
          <w:sz w:val="18"/>
          <w:szCs w:val="18"/>
        </w:rPr>
        <w:t>April,</w:t>
      </w:r>
      <w:proofErr w:type="gramEnd"/>
      <w:r w:rsidR="006049CF" w:rsidRPr="00A96949">
        <w:rPr>
          <w:rStyle w:val="cite-as"/>
          <w:rFonts w:ascii="Verdana" w:hAnsi="Verdana"/>
          <w:sz w:val="18"/>
          <w:szCs w:val="18"/>
        </w:rPr>
        <w:t xml:space="preserve"> 2018</w:t>
      </w:r>
      <w:r w:rsidR="00115320" w:rsidRPr="00A96949">
        <w:rPr>
          <w:rStyle w:val="cite-as"/>
          <w:rFonts w:ascii="Verdana" w:hAnsi="Verdana"/>
          <w:sz w:val="18"/>
          <w:szCs w:val="18"/>
        </w:rPr>
        <w:t>) at</w:t>
      </w:r>
      <w:r w:rsidR="00E442DE" w:rsidRPr="00A96949">
        <w:rPr>
          <w:rStyle w:val="cite-as"/>
          <w:rFonts w:ascii="Verdana" w:hAnsi="Verdana"/>
          <w:sz w:val="18"/>
          <w:szCs w:val="18"/>
        </w:rPr>
        <w:t xml:space="preserve"> para. 38. </w:t>
      </w:r>
      <w:r w:rsidR="00464205" w:rsidRPr="00A96949">
        <w:rPr>
          <w:rStyle w:val="cite-as"/>
          <w:rFonts w:ascii="Verdana" w:hAnsi="Verdana"/>
          <w:sz w:val="18"/>
          <w:szCs w:val="18"/>
        </w:rPr>
        <w:t xml:space="preserve"> Similarly in </w:t>
      </w:r>
      <w:r w:rsidR="00464205" w:rsidRPr="00A96949">
        <w:rPr>
          <w:rFonts w:ascii="Verdana" w:hAnsi="Verdana"/>
          <w:i/>
          <w:sz w:val="18"/>
          <w:szCs w:val="18"/>
        </w:rPr>
        <w:t>N.B. v C.B.</w:t>
      </w:r>
      <w:r w:rsidR="00464205" w:rsidRPr="00A96949">
        <w:rPr>
          <w:rFonts w:ascii="Verdana" w:hAnsi="Verdana"/>
          <w:sz w:val="18"/>
          <w:szCs w:val="18"/>
        </w:rPr>
        <w:t> [2020] IEHC 216</w:t>
      </w:r>
      <w:r w:rsidR="000D6235" w:rsidRPr="00A96949">
        <w:rPr>
          <w:rFonts w:ascii="Verdana" w:hAnsi="Verdana"/>
          <w:sz w:val="18"/>
          <w:szCs w:val="18"/>
        </w:rPr>
        <w:t>, [2020] 5 JIC 0603 (</w:t>
      </w:r>
      <w:r w:rsidR="00493A7C" w:rsidRPr="00A96949">
        <w:rPr>
          <w:rFonts w:ascii="Verdana" w:hAnsi="Verdana"/>
          <w:sz w:val="18"/>
          <w:szCs w:val="18"/>
        </w:rPr>
        <w:t>Unreported, High Court, 6</w:t>
      </w:r>
      <w:r w:rsidR="00493A7C" w:rsidRPr="00A96949">
        <w:rPr>
          <w:rFonts w:ascii="Verdana" w:hAnsi="Verdana"/>
          <w:sz w:val="18"/>
          <w:szCs w:val="18"/>
          <w:vertAlign w:val="superscript"/>
        </w:rPr>
        <w:t>th</w:t>
      </w:r>
      <w:r w:rsidR="00493A7C" w:rsidRPr="00A96949">
        <w:rPr>
          <w:rFonts w:ascii="Verdana" w:hAnsi="Verdana"/>
          <w:sz w:val="18"/>
          <w:szCs w:val="18"/>
        </w:rPr>
        <w:t xml:space="preserve"> </w:t>
      </w:r>
      <w:proofErr w:type="gramStart"/>
      <w:r w:rsidR="00493A7C" w:rsidRPr="00A96949">
        <w:rPr>
          <w:rFonts w:ascii="Verdana" w:hAnsi="Verdana"/>
          <w:sz w:val="18"/>
          <w:szCs w:val="18"/>
        </w:rPr>
        <w:t>May,</w:t>
      </w:r>
      <w:proofErr w:type="gramEnd"/>
      <w:r w:rsidR="00493A7C" w:rsidRPr="00A96949">
        <w:rPr>
          <w:rFonts w:ascii="Verdana" w:hAnsi="Verdana"/>
          <w:sz w:val="18"/>
          <w:szCs w:val="18"/>
        </w:rPr>
        <w:t xml:space="preserve"> 2020</w:t>
      </w:r>
      <w:r w:rsidR="000D6235" w:rsidRPr="00A96949">
        <w:rPr>
          <w:rFonts w:ascii="Verdana" w:hAnsi="Verdana"/>
          <w:sz w:val="18"/>
          <w:szCs w:val="18"/>
        </w:rPr>
        <w:t>)</w:t>
      </w:r>
      <w:r w:rsidR="00493A7C" w:rsidRPr="00A96949">
        <w:rPr>
          <w:rFonts w:ascii="Verdana" w:hAnsi="Verdana"/>
          <w:sz w:val="18"/>
          <w:szCs w:val="18"/>
        </w:rPr>
        <w:t xml:space="preserve"> at </w:t>
      </w:r>
      <w:r w:rsidR="00464205" w:rsidRPr="00A96949">
        <w:rPr>
          <w:rFonts w:ascii="Verdana" w:hAnsi="Verdana"/>
          <w:sz w:val="18"/>
          <w:szCs w:val="18"/>
        </w:rPr>
        <w:t>paras. 42 to 45 I compared the actual 7 hour hearing with the one hour that would have been consumed had the moving parties limited themselves to points they made any headway on, and discounted one-seventh of the costs of the pa</w:t>
      </w:r>
      <w:r w:rsidR="00D83EC3" w:rsidRPr="00A96949">
        <w:rPr>
          <w:rFonts w:ascii="Verdana" w:hAnsi="Verdana"/>
          <w:sz w:val="18"/>
          <w:szCs w:val="18"/>
        </w:rPr>
        <w:t xml:space="preserve">rty that carried the main event, an approach that was deemed acceptable by the Court of Appeal: </w:t>
      </w:r>
      <w:r w:rsidR="00D82EBD" w:rsidRPr="00A96949">
        <w:rPr>
          <w:rFonts w:ascii="Verdana" w:hAnsi="Verdana"/>
          <w:i/>
          <w:sz w:val="18"/>
          <w:szCs w:val="18"/>
        </w:rPr>
        <w:t>E. and F. v G. and H</w:t>
      </w:r>
      <w:r w:rsidR="00012B69" w:rsidRPr="00A96949">
        <w:rPr>
          <w:rFonts w:ascii="Verdana" w:hAnsi="Verdana"/>
          <w:i/>
          <w:sz w:val="18"/>
          <w:szCs w:val="18"/>
        </w:rPr>
        <w:t>.</w:t>
      </w:r>
      <w:r w:rsidR="00D82EBD" w:rsidRPr="00A96949">
        <w:rPr>
          <w:rFonts w:ascii="Verdana" w:hAnsi="Verdana"/>
          <w:sz w:val="18"/>
          <w:szCs w:val="18"/>
        </w:rPr>
        <w:t> [2021] IECA 108</w:t>
      </w:r>
      <w:r w:rsidR="008337BB" w:rsidRPr="00A96949">
        <w:rPr>
          <w:rFonts w:ascii="Verdana" w:hAnsi="Verdana"/>
          <w:sz w:val="18"/>
          <w:szCs w:val="18"/>
        </w:rPr>
        <w:t xml:space="preserve">, [2021] 4 JIC 1301 (Unreported, </w:t>
      </w:r>
      <w:r w:rsidR="008745E7" w:rsidRPr="00A96949">
        <w:rPr>
          <w:rFonts w:ascii="Verdana" w:hAnsi="Verdana"/>
          <w:sz w:val="18"/>
          <w:szCs w:val="18"/>
        </w:rPr>
        <w:t>Court of Appeal</w:t>
      </w:r>
      <w:r w:rsidR="008337BB" w:rsidRPr="00A96949">
        <w:rPr>
          <w:rFonts w:ascii="Verdana" w:hAnsi="Verdana"/>
          <w:sz w:val="18"/>
          <w:szCs w:val="18"/>
        </w:rPr>
        <w:t xml:space="preserve">, </w:t>
      </w:r>
      <w:r w:rsidR="008745E7" w:rsidRPr="00A96949">
        <w:rPr>
          <w:rFonts w:ascii="Verdana" w:hAnsi="Verdana"/>
          <w:sz w:val="18"/>
          <w:szCs w:val="18"/>
        </w:rPr>
        <w:t>Whelan J. (</w:t>
      </w:r>
      <w:r w:rsidR="00E7700E" w:rsidRPr="00A96949">
        <w:rPr>
          <w:rFonts w:ascii="Verdana" w:hAnsi="Verdana"/>
          <w:sz w:val="18"/>
          <w:szCs w:val="18"/>
        </w:rPr>
        <w:t xml:space="preserve">Edwards and </w:t>
      </w:r>
      <w:r w:rsidR="00677827" w:rsidRPr="00A96949">
        <w:rPr>
          <w:rFonts w:ascii="Verdana" w:hAnsi="Verdana"/>
          <w:sz w:val="18"/>
          <w:szCs w:val="18"/>
        </w:rPr>
        <w:t>Ní Raifeartaigh JJ</w:t>
      </w:r>
      <w:r w:rsidR="001A7668" w:rsidRPr="00A96949">
        <w:rPr>
          <w:rFonts w:ascii="Verdana" w:hAnsi="Verdana"/>
          <w:sz w:val="18"/>
          <w:szCs w:val="18"/>
        </w:rPr>
        <w:t>.</w:t>
      </w:r>
      <w:r w:rsidR="00677827" w:rsidRPr="00A96949">
        <w:rPr>
          <w:rFonts w:ascii="Verdana" w:hAnsi="Verdana"/>
          <w:sz w:val="18"/>
          <w:szCs w:val="18"/>
        </w:rPr>
        <w:t xml:space="preserve"> concurring</w:t>
      </w:r>
      <w:r w:rsidR="008745E7" w:rsidRPr="00A96949">
        <w:rPr>
          <w:rFonts w:ascii="Verdana" w:hAnsi="Verdana"/>
          <w:sz w:val="18"/>
          <w:szCs w:val="18"/>
        </w:rPr>
        <w:t>), 13</w:t>
      </w:r>
      <w:r w:rsidR="008745E7" w:rsidRPr="00A96949">
        <w:rPr>
          <w:rFonts w:ascii="Verdana" w:hAnsi="Verdana"/>
          <w:sz w:val="18"/>
          <w:szCs w:val="18"/>
          <w:vertAlign w:val="superscript"/>
        </w:rPr>
        <w:t>th</w:t>
      </w:r>
      <w:r w:rsidR="008745E7" w:rsidRPr="00A96949">
        <w:rPr>
          <w:rFonts w:ascii="Verdana" w:hAnsi="Verdana"/>
          <w:sz w:val="18"/>
          <w:szCs w:val="18"/>
        </w:rPr>
        <w:t xml:space="preserve"> </w:t>
      </w:r>
      <w:proofErr w:type="gramStart"/>
      <w:r w:rsidR="008745E7" w:rsidRPr="00A96949">
        <w:rPr>
          <w:rFonts w:ascii="Verdana" w:hAnsi="Verdana"/>
          <w:sz w:val="18"/>
          <w:szCs w:val="18"/>
        </w:rPr>
        <w:t>April,</w:t>
      </w:r>
      <w:proofErr w:type="gramEnd"/>
      <w:r w:rsidR="008745E7" w:rsidRPr="00A96949">
        <w:rPr>
          <w:rFonts w:ascii="Verdana" w:hAnsi="Verdana"/>
          <w:sz w:val="18"/>
          <w:szCs w:val="18"/>
        </w:rPr>
        <w:t xml:space="preserve"> 2021</w:t>
      </w:r>
      <w:r w:rsidR="008337BB" w:rsidRPr="00A96949">
        <w:rPr>
          <w:rFonts w:ascii="Verdana" w:hAnsi="Verdana"/>
          <w:sz w:val="18"/>
          <w:szCs w:val="18"/>
        </w:rPr>
        <w:t>),</w:t>
      </w:r>
      <w:r w:rsidR="00D83EC3" w:rsidRPr="00A96949">
        <w:rPr>
          <w:rFonts w:ascii="Verdana" w:hAnsi="Verdana"/>
          <w:sz w:val="18"/>
          <w:szCs w:val="18"/>
        </w:rPr>
        <w:t xml:space="preserve"> paras. 129 and 130. </w:t>
      </w:r>
      <w:r w:rsidR="00A12B69">
        <w:rPr>
          <w:rFonts w:ascii="Verdana" w:hAnsi="Verdana"/>
          <w:sz w:val="18"/>
          <w:szCs w:val="18"/>
        </w:rPr>
        <w:t xml:space="preserve">These are examples, for what they are worth, of situations where there is a wide gulf between what the hearing should have looked like and what it did look like.  Such a major difference can have a costs relevance that a more modest distinction would not. </w:t>
      </w:r>
    </w:p>
    <w:p w14:paraId="366BB1AE" w14:textId="0A37CBE3" w:rsidR="00570B65" w:rsidRPr="00A96949" w:rsidRDefault="00570B65"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Returning to the Supreme Court’s point about the strain on the courts system, I think </w:t>
      </w:r>
      <w:r w:rsidR="00447356" w:rsidRPr="00A96949">
        <w:rPr>
          <w:rFonts w:ascii="Verdana" w:hAnsi="Verdana"/>
          <w:sz w:val="18"/>
          <w:szCs w:val="18"/>
        </w:rPr>
        <w:t>there is a need</w:t>
      </w:r>
      <w:r w:rsidRPr="00A96949">
        <w:rPr>
          <w:rFonts w:ascii="Verdana" w:hAnsi="Verdana"/>
          <w:sz w:val="18"/>
          <w:szCs w:val="18"/>
        </w:rPr>
        <w:t xml:space="preserve"> to look</w:t>
      </w:r>
      <w:r w:rsidR="00447356" w:rsidRPr="00A96949">
        <w:rPr>
          <w:rFonts w:ascii="Verdana" w:hAnsi="Verdana"/>
          <w:sz w:val="18"/>
          <w:szCs w:val="18"/>
        </w:rPr>
        <w:t xml:space="preserve"> in more detail</w:t>
      </w:r>
      <w:r w:rsidRPr="00A96949">
        <w:rPr>
          <w:rFonts w:ascii="Verdana" w:hAnsi="Verdana"/>
          <w:sz w:val="18"/>
          <w:szCs w:val="18"/>
        </w:rPr>
        <w:t xml:space="preserve"> at the issue of the workability of rules on environmental costs from a practical point of view</w:t>
      </w:r>
      <w:r w:rsidR="00447356" w:rsidRPr="00A96949">
        <w:rPr>
          <w:rFonts w:ascii="Verdana" w:hAnsi="Verdana"/>
          <w:sz w:val="18"/>
          <w:szCs w:val="18"/>
        </w:rPr>
        <w:t>,</w:t>
      </w:r>
      <w:r w:rsidRPr="00A96949">
        <w:rPr>
          <w:rFonts w:ascii="Verdana" w:hAnsi="Verdana"/>
          <w:sz w:val="18"/>
          <w:szCs w:val="18"/>
        </w:rPr>
        <w:t xml:space="preserve"> as</w:t>
      </w:r>
      <w:r w:rsidR="00FB582E" w:rsidRPr="00A96949">
        <w:rPr>
          <w:rFonts w:ascii="Verdana" w:hAnsi="Verdana"/>
          <w:sz w:val="18"/>
          <w:szCs w:val="18"/>
        </w:rPr>
        <w:t xml:space="preserve"> that court </w:t>
      </w:r>
      <w:r w:rsidR="00447356" w:rsidRPr="00A96949">
        <w:rPr>
          <w:rFonts w:ascii="Verdana" w:hAnsi="Verdana"/>
          <w:sz w:val="18"/>
          <w:szCs w:val="18"/>
        </w:rPr>
        <w:t>emphasised.  Nor should we overlook</w:t>
      </w:r>
      <w:r w:rsidR="00FB582E" w:rsidRPr="00A96949">
        <w:rPr>
          <w:rFonts w:ascii="Verdana" w:hAnsi="Verdana"/>
          <w:sz w:val="18"/>
          <w:szCs w:val="18"/>
        </w:rPr>
        <w:t xml:space="preserve"> the benefits to the system that environmental litigation can bring</w:t>
      </w:r>
      <w:r w:rsidRPr="00A96949">
        <w:rPr>
          <w:rFonts w:ascii="Verdana" w:hAnsi="Verdana"/>
          <w:sz w:val="18"/>
          <w:szCs w:val="18"/>
        </w:rPr>
        <w:t xml:space="preserve">. </w:t>
      </w:r>
      <w:r w:rsidR="00FB582E" w:rsidRPr="00A96949">
        <w:rPr>
          <w:rFonts w:ascii="Verdana" w:hAnsi="Verdana"/>
          <w:sz w:val="18"/>
          <w:szCs w:val="18"/>
        </w:rPr>
        <w:t xml:space="preserve"> </w:t>
      </w:r>
      <w:proofErr w:type="gramStart"/>
      <w:r w:rsidR="00FB582E" w:rsidRPr="00A96949">
        <w:rPr>
          <w:rFonts w:ascii="Verdana" w:hAnsi="Verdana"/>
          <w:sz w:val="18"/>
          <w:szCs w:val="18"/>
        </w:rPr>
        <w:t>Obviously</w:t>
      </w:r>
      <w:proofErr w:type="gramEnd"/>
      <w:r w:rsidR="00FB582E" w:rsidRPr="00A96949">
        <w:rPr>
          <w:rFonts w:ascii="Verdana" w:hAnsi="Verdana"/>
          <w:sz w:val="18"/>
          <w:szCs w:val="18"/>
        </w:rPr>
        <w:t xml:space="preserve"> development can have benefits as well</w:t>
      </w:r>
      <w:r w:rsidR="00447356" w:rsidRPr="00A96949">
        <w:rPr>
          <w:rFonts w:ascii="Verdana" w:hAnsi="Verdana"/>
          <w:sz w:val="18"/>
          <w:szCs w:val="18"/>
        </w:rPr>
        <w:t xml:space="preserve">, although </w:t>
      </w:r>
      <w:r w:rsidR="00FB582E" w:rsidRPr="00A96949">
        <w:rPr>
          <w:rFonts w:ascii="Verdana" w:hAnsi="Verdana"/>
          <w:sz w:val="18"/>
          <w:szCs w:val="18"/>
        </w:rPr>
        <w:t xml:space="preserve">those are fairly well spoken for already in the caselaw and otherwise.  </w:t>
      </w:r>
    </w:p>
    <w:p w14:paraId="1EC3ACCF" w14:textId="02A460DF" w:rsidR="00FB582E" w:rsidRPr="00A96949" w:rsidRDefault="00FB582E"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The applicants in Flannery</w:t>
      </w:r>
      <w:r w:rsidRPr="00A96949">
        <w:rPr>
          <w:rFonts w:ascii="Verdana" w:hAnsi="Verdana"/>
          <w:i/>
          <w:sz w:val="18"/>
          <w:szCs w:val="18"/>
        </w:rPr>
        <w:t xml:space="preserve"> </w:t>
      </w:r>
      <w:r w:rsidRPr="00A96949">
        <w:rPr>
          <w:rFonts w:ascii="Verdana" w:hAnsi="Verdana"/>
          <w:sz w:val="18"/>
          <w:szCs w:val="18"/>
        </w:rPr>
        <w:t>argue that the general law in relation to apportionment of costs should not apply to environmental cases submitting that:</w:t>
      </w:r>
    </w:p>
    <w:p w14:paraId="53C93AD1" w14:textId="77777777" w:rsidR="00FB582E" w:rsidRPr="00A96949" w:rsidRDefault="00FB582E" w:rsidP="00DF5B0C">
      <w:pPr>
        <w:pStyle w:val="ListParagraph"/>
        <w:spacing w:after="240" w:line="360" w:lineRule="auto"/>
        <w:ind w:left="1134"/>
        <w:contextualSpacing w:val="0"/>
        <w:jc w:val="both"/>
        <w:rPr>
          <w:rFonts w:ascii="Verdana" w:hAnsi="Verdana"/>
          <w:sz w:val="18"/>
          <w:szCs w:val="18"/>
        </w:rPr>
      </w:pPr>
      <w:r w:rsidRPr="00A96949">
        <w:rPr>
          <w:rFonts w:ascii="Verdana" w:hAnsi="Verdana"/>
          <w:sz w:val="18"/>
          <w:szCs w:val="18"/>
        </w:rPr>
        <w:t xml:space="preserve">“... environmental litigation </w:t>
      </w:r>
      <w:proofErr w:type="gramStart"/>
      <w:r w:rsidRPr="00A96949">
        <w:rPr>
          <w:rFonts w:ascii="Verdana" w:hAnsi="Verdana"/>
          <w:sz w:val="18"/>
          <w:szCs w:val="18"/>
        </w:rPr>
        <w:t>is considered to be</w:t>
      </w:r>
      <w:proofErr w:type="gramEnd"/>
      <w:r w:rsidRPr="00A96949">
        <w:rPr>
          <w:rFonts w:ascii="Verdana" w:hAnsi="Verdana"/>
          <w:sz w:val="18"/>
          <w:szCs w:val="18"/>
        </w:rPr>
        <w:t xml:space="preserve"> a positive influence on society, not a negative one: the general perception that litigation should be discouraged has no place in the Aarhus Convention. Indeed, more than being a right, it is a duty of the citizen to protect and improve the environment, and access to justice must be available to her for that purpose. That duty of participation extends to all decisions affecting the environment and sustainable development. The 1992 Rio Declaration confirms that sustainable development is” an integral part of the development process and cannot be considered in isolation from it.” (Principle 4.) The Brundtland Commission report says, “1. Sustainable development is development that meets the needs of the present without compromising the ability of future generations to meet their own needs.” (Report of the World Commission on Environment and Development: Our Common Future, 1987.) The 2000 Act is an Act to secure proper planning and sustainable development (according to its long title, S9 on development plans, and S34 on grant of permission.) In the context of an environment crisis and a biodiversity crisis, facilitating </w:t>
      </w:r>
      <w:r w:rsidRPr="00A96949">
        <w:rPr>
          <w:rFonts w:ascii="Verdana" w:hAnsi="Verdana"/>
          <w:sz w:val="18"/>
          <w:szCs w:val="18"/>
        </w:rPr>
        <w:lastRenderedPageBreak/>
        <w:t>litigation that aims to promote sustainable development, even if just by ensuring that authorising authorities properly apply the law, is more than just a feelgood objective; it is an existential requirement for society. ...</w:t>
      </w:r>
    </w:p>
    <w:p w14:paraId="69E257EA" w14:textId="60A9E1E6" w:rsidR="00FB582E" w:rsidRPr="00A96949" w:rsidRDefault="00FB582E" w:rsidP="00DF5B0C">
      <w:pPr>
        <w:pStyle w:val="ListParagraph"/>
        <w:spacing w:after="240" w:line="360" w:lineRule="auto"/>
        <w:ind w:left="1134"/>
        <w:contextualSpacing w:val="0"/>
        <w:jc w:val="both"/>
        <w:rPr>
          <w:rFonts w:ascii="Verdana" w:hAnsi="Verdana"/>
          <w:sz w:val="18"/>
          <w:szCs w:val="18"/>
        </w:rPr>
      </w:pPr>
      <w:r w:rsidRPr="00A96949">
        <w:rPr>
          <w:rFonts w:ascii="Verdana" w:hAnsi="Verdana"/>
          <w:sz w:val="18"/>
          <w:szCs w:val="18"/>
        </w:rPr>
        <w:t>It may be noted that this is not the case with litigation generally. In SPV Osus v HSBC [</w:t>
      </w:r>
      <w:r w:rsidRPr="00A96949">
        <w:rPr>
          <w:rFonts w:ascii="Verdana" w:hAnsi="Verdana"/>
          <w:i/>
          <w:iCs/>
          <w:sz w:val="18"/>
          <w:szCs w:val="18"/>
        </w:rPr>
        <w:t>SPV Osus Ltd v. HSBC Institutional Trust Services (Ireland) Ltd.</w:t>
      </w:r>
      <w:r w:rsidRPr="00A96949">
        <w:rPr>
          <w:rFonts w:ascii="Verdana" w:hAnsi="Verdana"/>
          <w:sz w:val="18"/>
          <w:szCs w:val="18"/>
        </w:rPr>
        <w:t xml:space="preserve"> [2018] IESC 44, [2019] 1 I.R. 1] the Supreme Court examined whether it should be possible for a litigant to assign a claim to a third party. O’Donnell J stated that, “since the significant restriction of legal aid in the United Kingdom, it has been permitted to seek a significant uplift in fees when a successful claim has been brought on a 'no foal, no fee' basis or to enter a conditional fee agreement, but a simple percentage contingency, and moreover one taken from the successful plaintiff, remains improper, certainly in this jurisdiction.” (§92.) He noted that litigation is not in itself a good thing. It is not a commodity to be traded and encouraged. Rather “it is necessary for the administration of justice. This, at its core, involves the resolution of disputes between citizens and others because those parties consider that they have been wronged, and have no other method of vindicating their rights. It would be foolish not to recognise that the practice of law is a business, but the administration of justice is not.” (§94) Litigation should be engaged in as a last resort. “Litigation is not a desirable </w:t>
      </w:r>
      <w:proofErr w:type="gramStart"/>
      <w:r w:rsidRPr="00A96949">
        <w:rPr>
          <w:rFonts w:ascii="Verdana" w:hAnsi="Verdana"/>
          <w:sz w:val="18"/>
          <w:szCs w:val="18"/>
        </w:rPr>
        <w:t>activity in itself, although</w:t>
      </w:r>
      <w:proofErr w:type="gramEnd"/>
      <w:r w:rsidRPr="00A96949">
        <w:rPr>
          <w:rFonts w:ascii="Verdana" w:hAnsi="Verdana"/>
          <w:sz w:val="18"/>
          <w:szCs w:val="18"/>
        </w:rPr>
        <w:t xml:space="preserve"> preferable to the alternative. The administration of justice is a public service which is justified by the necessity of providing a method a fair resolution of disputes between parties. In civil cases, it involves the awarding of remedies by way of compensation for a wrong to the person who has been determined to have suffered that wrong. Indeed, this can be seen perhaps as a performance of the State’s obligation to vindicate the rights of the citizen in the case of injustice done.” (§99.)</w:t>
      </w:r>
      <w:r w:rsidRPr="00A96949">
        <w:rPr>
          <w:rFonts w:ascii="Verdana" w:hAnsi="Verdana"/>
          <w:bCs/>
          <w:sz w:val="18"/>
          <w:szCs w:val="18"/>
        </w:rPr>
        <w:t>”</w:t>
      </w:r>
      <w:r w:rsidR="00DF5B0C" w:rsidRPr="00A96949">
        <w:rPr>
          <w:rFonts w:ascii="Verdana" w:hAnsi="Verdana"/>
          <w:bCs/>
          <w:sz w:val="18"/>
          <w:szCs w:val="18"/>
        </w:rPr>
        <w:t>.</w:t>
      </w:r>
    </w:p>
    <w:p w14:paraId="208C38C5" w14:textId="21D81168" w:rsidR="00570B65" w:rsidRPr="00A96949" w:rsidRDefault="00FB582E"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I agree that e</w:t>
      </w:r>
      <w:r w:rsidR="00570B65" w:rsidRPr="00A96949">
        <w:rPr>
          <w:rFonts w:ascii="Verdana" w:hAnsi="Verdana"/>
          <w:sz w:val="18"/>
          <w:szCs w:val="18"/>
        </w:rPr>
        <w:t xml:space="preserve">nvironmental litigation is not </w:t>
      </w:r>
      <w:r w:rsidR="00E968CA" w:rsidRPr="00A96949">
        <w:rPr>
          <w:rFonts w:ascii="Verdana" w:hAnsi="Verdana"/>
          <w:sz w:val="18"/>
          <w:szCs w:val="18"/>
        </w:rPr>
        <w:t xml:space="preserve">inherently a bad thing </w:t>
      </w:r>
      <w:r w:rsidR="00FA7C96">
        <w:rPr>
          <w:rFonts w:ascii="Verdana" w:hAnsi="Verdana"/>
          <w:sz w:val="18"/>
          <w:szCs w:val="18"/>
        </w:rPr>
        <w:t>in the same sense</w:t>
      </w:r>
      <w:r w:rsidR="00E968CA" w:rsidRPr="00A96949">
        <w:rPr>
          <w:rFonts w:ascii="Verdana" w:hAnsi="Verdana"/>
          <w:sz w:val="18"/>
          <w:szCs w:val="18"/>
        </w:rPr>
        <w:t xml:space="preserve"> that other litigation is in principle undesirable.  It is a necessary check and balance in </w:t>
      </w:r>
      <w:r w:rsidRPr="00A96949">
        <w:rPr>
          <w:rFonts w:ascii="Verdana" w:hAnsi="Verdana"/>
          <w:sz w:val="18"/>
          <w:szCs w:val="18"/>
        </w:rPr>
        <w:t xml:space="preserve">modern </w:t>
      </w:r>
      <w:r w:rsidR="00E968CA" w:rsidRPr="00A96949">
        <w:rPr>
          <w:rFonts w:ascii="Verdana" w:hAnsi="Verdana"/>
          <w:sz w:val="18"/>
          <w:szCs w:val="18"/>
        </w:rPr>
        <w:t xml:space="preserve">society, and particularly important </w:t>
      </w:r>
      <w:r w:rsidR="008C2577" w:rsidRPr="00A96949">
        <w:rPr>
          <w:rFonts w:ascii="Verdana" w:hAnsi="Verdana"/>
          <w:sz w:val="18"/>
          <w:szCs w:val="18"/>
        </w:rPr>
        <w:t>given the growing importance of environmental considerations in international and EU law.  Thus</w:t>
      </w:r>
      <w:r w:rsidR="00F55F04">
        <w:rPr>
          <w:rFonts w:ascii="Verdana" w:hAnsi="Verdana"/>
          <w:sz w:val="18"/>
          <w:szCs w:val="18"/>
        </w:rPr>
        <w:t>, like public interest law generally,</w:t>
      </w:r>
      <w:r w:rsidR="008C2577" w:rsidRPr="00A96949">
        <w:rPr>
          <w:rFonts w:ascii="Verdana" w:hAnsi="Verdana"/>
          <w:sz w:val="18"/>
          <w:szCs w:val="18"/>
        </w:rPr>
        <w:t xml:space="preserve"> it </w:t>
      </w:r>
      <w:r w:rsidR="00E968CA" w:rsidRPr="00A96949">
        <w:rPr>
          <w:rFonts w:ascii="Verdana" w:hAnsi="Verdana"/>
          <w:sz w:val="18"/>
          <w:szCs w:val="18"/>
        </w:rPr>
        <w:t xml:space="preserve">is </w:t>
      </w:r>
      <w:r w:rsidR="00F55F04">
        <w:rPr>
          <w:rFonts w:ascii="Verdana" w:hAnsi="Verdana"/>
          <w:sz w:val="18"/>
          <w:szCs w:val="18"/>
        </w:rPr>
        <w:t>akin to</w:t>
      </w:r>
      <w:r w:rsidR="00E968CA" w:rsidRPr="00A96949">
        <w:rPr>
          <w:rFonts w:ascii="Verdana" w:hAnsi="Verdana"/>
          <w:sz w:val="18"/>
          <w:szCs w:val="18"/>
        </w:rPr>
        <w:t xml:space="preserve"> other aspects of our system </w:t>
      </w:r>
      <w:r w:rsidR="00531C09" w:rsidRPr="00A96949">
        <w:rPr>
          <w:rFonts w:ascii="Verdana" w:hAnsi="Verdana"/>
          <w:sz w:val="18"/>
          <w:szCs w:val="18"/>
        </w:rPr>
        <w:t xml:space="preserve">that operate as a counterweight to institutional forces, so that </w:t>
      </w:r>
      <w:r w:rsidR="00E968CA" w:rsidRPr="00A96949">
        <w:rPr>
          <w:rFonts w:ascii="Verdana" w:hAnsi="Verdana"/>
          <w:sz w:val="18"/>
          <w:szCs w:val="18"/>
        </w:rPr>
        <w:t>wide standing rules</w:t>
      </w:r>
      <w:r w:rsidR="00531C09" w:rsidRPr="00A96949">
        <w:rPr>
          <w:rFonts w:ascii="Verdana" w:hAnsi="Verdana"/>
          <w:sz w:val="18"/>
          <w:szCs w:val="18"/>
        </w:rPr>
        <w:t xml:space="preserve"> and</w:t>
      </w:r>
      <w:r w:rsidR="00E968CA" w:rsidRPr="00A96949">
        <w:rPr>
          <w:rFonts w:ascii="Verdana" w:hAnsi="Verdana"/>
          <w:sz w:val="18"/>
          <w:szCs w:val="18"/>
        </w:rPr>
        <w:t xml:space="preserve"> costs protection </w:t>
      </w:r>
      <w:r w:rsidR="00531C09" w:rsidRPr="00A96949">
        <w:rPr>
          <w:rFonts w:ascii="Verdana" w:hAnsi="Verdana"/>
          <w:sz w:val="18"/>
          <w:szCs w:val="18"/>
        </w:rPr>
        <w:t>in environmental cases sit alongside principles such as</w:t>
      </w:r>
      <w:r w:rsidR="00E968CA" w:rsidRPr="00A96949">
        <w:rPr>
          <w:rFonts w:ascii="Verdana" w:hAnsi="Verdana"/>
          <w:sz w:val="18"/>
          <w:szCs w:val="18"/>
        </w:rPr>
        <w:t xml:space="preserve"> protection of NGOs from victimisation under Aarhus, FOI and freedom of environmental information rules,  </w:t>
      </w:r>
      <w:r w:rsidR="00405EF1" w:rsidRPr="00A96949">
        <w:rPr>
          <w:rFonts w:ascii="Verdana" w:hAnsi="Verdana"/>
          <w:sz w:val="18"/>
          <w:szCs w:val="18"/>
        </w:rPr>
        <w:t xml:space="preserve">ethics and </w:t>
      </w:r>
      <w:r w:rsidR="00E968CA" w:rsidRPr="00A96949">
        <w:rPr>
          <w:rFonts w:ascii="Verdana" w:hAnsi="Verdana"/>
          <w:sz w:val="18"/>
          <w:szCs w:val="18"/>
        </w:rPr>
        <w:t>protected disclosures</w:t>
      </w:r>
      <w:r w:rsidR="00531C09" w:rsidRPr="00A96949">
        <w:rPr>
          <w:rFonts w:ascii="Verdana" w:hAnsi="Verdana"/>
          <w:sz w:val="18"/>
          <w:szCs w:val="18"/>
        </w:rPr>
        <w:t xml:space="preserve"> legislation</w:t>
      </w:r>
      <w:r w:rsidR="00E968CA" w:rsidRPr="00A96949">
        <w:rPr>
          <w:rFonts w:ascii="Verdana" w:hAnsi="Verdana"/>
          <w:sz w:val="18"/>
          <w:szCs w:val="18"/>
        </w:rPr>
        <w:t xml:space="preserve">, </w:t>
      </w:r>
      <w:r w:rsidR="00531C09" w:rsidRPr="00A96949">
        <w:rPr>
          <w:rFonts w:ascii="Verdana" w:hAnsi="Verdana"/>
          <w:sz w:val="18"/>
          <w:szCs w:val="18"/>
        </w:rPr>
        <w:t xml:space="preserve">constitutional </w:t>
      </w:r>
      <w:r w:rsidR="00E968CA" w:rsidRPr="00A96949">
        <w:rPr>
          <w:rFonts w:ascii="Verdana" w:hAnsi="Verdana"/>
          <w:sz w:val="18"/>
          <w:szCs w:val="18"/>
        </w:rPr>
        <w:t>freedom of the press</w:t>
      </w:r>
      <w:r w:rsidR="008C2577" w:rsidRPr="00A96949">
        <w:rPr>
          <w:rFonts w:ascii="Verdana" w:hAnsi="Verdana"/>
          <w:sz w:val="18"/>
          <w:szCs w:val="18"/>
        </w:rPr>
        <w:t xml:space="preserve"> and </w:t>
      </w:r>
      <w:r w:rsidR="00531C09" w:rsidRPr="00A96949">
        <w:rPr>
          <w:rFonts w:ascii="Verdana" w:hAnsi="Verdana"/>
          <w:sz w:val="18"/>
          <w:szCs w:val="18"/>
        </w:rPr>
        <w:t xml:space="preserve">of </w:t>
      </w:r>
      <w:r w:rsidR="008C2577" w:rsidRPr="00A96949">
        <w:rPr>
          <w:rFonts w:ascii="Verdana" w:hAnsi="Verdana"/>
          <w:sz w:val="18"/>
          <w:szCs w:val="18"/>
        </w:rPr>
        <w:t>civil society</w:t>
      </w:r>
      <w:r w:rsidR="00E968CA" w:rsidRPr="00A96949">
        <w:rPr>
          <w:rFonts w:ascii="Verdana" w:hAnsi="Verdana"/>
          <w:sz w:val="18"/>
          <w:szCs w:val="18"/>
        </w:rPr>
        <w:t xml:space="preserve">, </w:t>
      </w:r>
      <w:r w:rsidR="00531C09" w:rsidRPr="00A96949">
        <w:rPr>
          <w:rFonts w:ascii="Verdana" w:hAnsi="Verdana"/>
          <w:sz w:val="18"/>
          <w:szCs w:val="18"/>
        </w:rPr>
        <w:t xml:space="preserve">mechanisms for scrutiny of decision-making such as </w:t>
      </w:r>
      <w:r w:rsidR="00E968CA" w:rsidRPr="00A96949">
        <w:rPr>
          <w:rFonts w:ascii="Verdana" w:hAnsi="Verdana"/>
          <w:sz w:val="18"/>
          <w:szCs w:val="18"/>
        </w:rPr>
        <w:t xml:space="preserve">parliamentary questions </w:t>
      </w:r>
      <w:r w:rsidR="00531C09" w:rsidRPr="00A96949">
        <w:rPr>
          <w:rFonts w:ascii="Verdana" w:hAnsi="Verdana"/>
          <w:sz w:val="18"/>
          <w:szCs w:val="18"/>
        </w:rPr>
        <w:t xml:space="preserve">and committees </w:t>
      </w:r>
      <w:r w:rsidR="00E968CA" w:rsidRPr="00A96949">
        <w:rPr>
          <w:rFonts w:ascii="Verdana" w:hAnsi="Verdana"/>
          <w:sz w:val="18"/>
          <w:szCs w:val="18"/>
        </w:rPr>
        <w:t xml:space="preserve">– the list goes on.  </w:t>
      </w:r>
    </w:p>
    <w:p w14:paraId="3A3AAFB2" w14:textId="28044413" w:rsidR="00FD6FC0" w:rsidRPr="00A96949" w:rsidRDefault="00FD6FC0"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Assuming it is permissible under Aarhus (to which we will return), the problem with a simplistic and general</w:t>
      </w:r>
      <w:r w:rsidR="00F55F04">
        <w:rPr>
          <w:rFonts w:ascii="Verdana" w:hAnsi="Verdana"/>
          <w:sz w:val="18"/>
          <w:szCs w:val="18"/>
        </w:rPr>
        <w:t>ised</w:t>
      </w:r>
      <w:r w:rsidRPr="00A96949">
        <w:rPr>
          <w:rFonts w:ascii="Verdana" w:hAnsi="Verdana"/>
          <w:sz w:val="18"/>
          <w:szCs w:val="18"/>
        </w:rPr>
        <w:t xml:space="preserve"> application of the possibility of discounting costs </w:t>
      </w:r>
      <w:r w:rsidR="00F55F04">
        <w:rPr>
          <w:rFonts w:ascii="Verdana" w:hAnsi="Verdana"/>
          <w:sz w:val="18"/>
          <w:szCs w:val="18"/>
        </w:rPr>
        <w:t xml:space="preserve">when a winning environmental litigant loses on some points </w:t>
      </w:r>
      <w:r w:rsidRPr="00A96949">
        <w:rPr>
          <w:rFonts w:ascii="Verdana" w:hAnsi="Verdana"/>
          <w:sz w:val="18"/>
          <w:szCs w:val="18"/>
        </w:rPr>
        <w:t xml:space="preserve">is that such an approach assumes that there is no friction in getting to the point of the correct apportionment.  But such an assumption is incorrect.  </w:t>
      </w:r>
    </w:p>
    <w:p w14:paraId="7CD73722" w14:textId="0A0412C4" w:rsidR="00F8386C" w:rsidRPr="00A96949" w:rsidRDefault="00F8386C"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lastRenderedPageBreak/>
        <w:t xml:space="preserve">O’Donnell J. made the important point in </w:t>
      </w:r>
      <w:r w:rsidRPr="00A96949">
        <w:rPr>
          <w:rFonts w:ascii="Verdana" w:hAnsi="Verdana"/>
          <w:i/>
          <w:sz w:val="18"/>
          <w:szCs w:val="18"/>
        </w:rPr>
        <w:t xml:space="preserve">Quinn Insurance Limited (Under Administration) v. PricewaterhouseCoopers </w:t>
      </w:r>
      <w:r w:rsidRPr="00A96949">
        <w:rPr>
          <w:rFonts w:ascii="Verdana" w:hAnsi="Verdana"/>
          <w:sz w:val="18"/>
          <w:szCs w:val="18"/>
        </w:rPr>
        <w:t>[2021] IESC 15, [2021] 1 I.L.R.M. 253 at para. 10, that:</w:t>
      </w:r>
    </w:p>
    <w:p w14:paraId="676B1C78" w14:textId="170C7E7B" w:rsidR="00F8386C" w:rsidRPr="00A96949" w:rsidRDefault="00F8386C" w:rsidP="00DF5B0C">
      <w:pPr>
        <w:pStyle w:val="ListParagraph"/>
        <w:spacing w:after="240" w:line="360" w:lineRule="auto"/>
        <w:ind w:left="1134"/>
        <w:contextualSpacing w:val="0"/>
        <w:jc w:val="both"/>
        <w:rPr>
          <w:rFonts w:ascii="Verdana" w:hAnsi="Verdana"/>
          <w:sz w:val="18"/>
          <w:szCs w:val="18"/>
        </w:rPr>
      </w:pPr>
      <w:r w:rsidRPr="00A96949">
        <w:rPr>
          <w:rFonts w:ascii="Verdana" w:hAnsi="Verdana"/>
          <w:sz w:val="18"/>
          <w:szCs w:val="18"/>
        </w:rPr>
        <w:t xml:space="preserve">“The progress of the law often involves the reduction of complex theories, or apparently wide discretion, to clear rules which can be readily applied. This is, in general, a beneficial process. As was once said, there are many areas where it is more important that the law be clear rather than clever. If parties have a shared understanding of the </w:t>
      </w:r>
      <w:proofErr w:type="gramStart"/>
      <w:r w:rsidRPr="00A96949">
        <w:rPr>
          <w:rFonts w:ascii="Verdana" w:hAnsi="Verdana"/>
          <w:sz w:val="18"/>
          <w:szCs w:val="18"/>
        </w:rPr>
        <w:t>manner in which</w:t>
      </w:r>
      <w:proofErr w:type="gramEnd"/>
      <w:r w:rsidRPr="00A96949">
        <w:rPr>
          <w:rFonts w:ascii="Verdana" w:hAnsi="Verdana"/>
          <w:sz w:val="18"/>
          <w:szCs w:val="18"/>
        </w:rPr>
        <w:t xml:space="preserve"> the law will be applied, they can order their affairs accordingly and avoid the stress, delay, cost and uncertainty involved in legal proceedings where the outcome cannot be predicted with confidence. But the rules of thumb to which a broad discretion can be reduced must be applied with an understanding of the overall objective sought to be achieved, and for which the discretion is granted.”</w:t>
      </w:r>
    </w:p>
    <w:p w14:paraId="58C05BBE" w14:textId="5CEB4D2A" w:rsidR="00E968CA" w:rsidRPr="00A96949" w:rsidRDefault="00FA7C96" w:rsidP="00654238">
      <w:pPr>
        <w:pStyle w:val="ListParagraph"/>
        <w:numPr>
          <w:ilvl w:val="0"/>
          <w:numId w:val="4"/>
        </w:numPr>
        <w:spacing w:after="240" w:line="360" w:lineRule="auto"/>
        <w:ind w:left="567" w:hanging="567"/>
        <w:contextualSpacing w:val="0"/>
        <w:jc w:val="both"/>
        <w:rPr>
          <w:rFonts w:ascii="Verdana" w:hAnsi="Verdana"/>
          <w:sz w:val="18"/>
          <w:szCs w:val="18"/>
        </w:rPr>
      </w:pPr>
      <w:r>
        <w:rPr>
          <w:rFonts w:ascii="Verdana" w:hAnsi="Verdana"/>
          <w:sz w:val="18"/>
          <w:szCs w:val="18"/>
        </w:rPr>
        <w:t xml:space="preserve">From a first instance perspective can I be permitted to respectfully </w:t>
      </w:r>
      <w:r w:rsidR="00A12B69">
        <w:rPr>
          <w:rFonts w:ascii="Verdana" w:hAnsi="Verdana"/>
          <w:sz w:val="18"/>
          <w:szCs w:val="18"/>
        </w:rPr>
        <w:t>celebrate</w:t>
      </w:r>
      <w:r>
        <w:rPr>
          <w:rFonts w:ascii="Verdana" w:hAnsi="Verdana"/>
          <w:sz w:val="18"/>
          <w:szCs w:val="18"/>
        </w:rPr>
        <w:t xml:space="preserve"> that penetrating insight.  Progress must be equated with both clarity of the rules and the practicality of their implementation.  </w:t>
      </w:r>
      <w:r w:rsidR="00E968CA" w:rsidRPr="00A96949">
        <w:rPr>
          <w:rFonts w:ascii="Verdana" w:hAnsi="Verdana"/>
          <w:sz w:val="18"/>
          <w:szCs w:val="18"/>
        </w:rPr>
        <w:t>One downside of the otherwise lauda</w:t>
      </w:r>
      <w:r w:rsidR="00E3608C" w:rsidRPr="00A96949">
        <w:rPr>
          <w:rFonts w:ascii="Verdana" w:hAnsi="Verdana"/>
          <w:sz w:val="18"/>
          <w:szCs w:val="18"/>
        </w:rPr>
        <w:t>ble</w:t>
      </w:r>
      <w:r w:rsidR="00E968CA" w:rsidRPr="00A96949">
        <w:rPr>
          <w:rFonts w:ascii="Verdana" w:hAnsi="Verdana"/>
          <w:sz w:val="18"/>
          <w:szCs w:val="18"/>
        </w:rPr>
        <w:t xml:space="preserve"> common law system is that cases tend to be looked at in isolation.  But </w:t>
      </w:r>
      <w:r w:rsidR="00685E20">
        <w:rPr>
          <w:rFonts w:ascii="Verdana" w:hAnsi="Verdana"/>
          <w:sz w:val="18"/>
          <w:szCs w:val="18"/>
        </w:rPr>
        <w:t xml:space="preserve">one needs to consider whether any given decision makes sense in a fully joined-up systemic approach.  And </w:t>
      </w:r>
      <w:r w:rsidR="00E968CA" w:rsidRPr="00A96949">
        <w:rPr>
          <w:rFonts w:ascii="Verdana" w:hAnsi="Verdana"/>
          <w:sz w:val="18"/>
          <w:szCs w:val="18"/>
        </w:rPr>
        <w:t>at the systemic level,</w:t>
      </w:r>
      <w:r>
        <w:rPr>
          <w:rFonts w:ascii="Verdana" w:hAnsi="Verdana"/>
          <w:sz w:val="18"/>
          <w:szCs w:val="18"/>
        </w:rPr>
        <w:t xml:space="preserve"> the crucial point on which the whole present judgment turns is this -</w:t>
      </w:r>
      <w:r w:rsidR="00E968CA" w:rsidRPr="00A96949">
        <w:rPr>
          <w:rFonts w:ascii="Verdana" w:hAnsi="Verdana"/>
          <w:sz w:val="18"/>
          <w:szCs w:val="18"/>
        </w:rPr>
        <w:t xml:space="preserve"> if the board can generate an argument as to why it should not pay full costs in a</w:t>
      </w:r>
      <w:r w:rsidR="008C2577" w:rsidRPr="00A96949">
        <w:rPr>
          <w:rFonts w:ascii="Verdana" w:hAnsi="Verdana"/>
          <w:sz w:val="18"/>
          <w:szCs w:val="18"/>
        </w:rPr>
        <w:t>n individual</w:t>
      </w:r>
      <w:r w:rsidR="00E968CA" w:rsidRPr="00A96949">
        <w:rPr>
          <w:rFonts w:ascii="Verdana" w:hAnsi="Verdana"/>
          <w:sz w:val="18"/>
          <w:szCs w:val="18"/>
        </w:rPr>
        <w:t xml:space="preserve"> case where applicants won most of their points (as here), then it is going to be able to generate that argument in </w:t>
      </w:r>
      <w:proofErr w:type="gramStart"/>
      <w:r w:rsidR="008C2577" w:rsidRPr="00A96949">
        <w:rPr>
          <w:rFonts w:ascii="Verdana" w:hAnsi="Verdana"/>
          <w:sz w:val="18"/>
          <w:szCs w:val="18"/>
        </w:rPr>
        <w:t xml:space="preserve">the </w:t>
      </w:r>
      <w:r>
        <w:rPr>
          <w:rFonts w:ascii="Verdana" w:hAnsi="Verdana"/>
          <w:sz w:val="18"/>
          <w:szCs w:val="18"/>
        </w:rPr>
        <w:t>vast</w:t>
      </w:r>
      <w:r w:rsidR="008C2577" w:rsidRPr="00A96949">
        <w:rPr>
          <w:rFonts w:ascii="Verdana" w:hAnsi="Verdana"/>
          <w:sz w:val="18"/>
          <w:szCs w:val="18"/>
        </w:rPr>
        <w:t xml:space="preserve"> majority of</w:t>
      </w:r>
      <w:proofErr w:type="gramEnd"/>
      <w:r w:rsidR="008C2577" w:rsidRPr="00A96949">
        <w:rPr>
          <w:rFonts w:ascii="Verdana" w:hAnsi="Verdana"/>
          <w:sz w:val="18"/>
          <w:szCs w:val="18"/>
        </w:rPr>
        <w:t xml:space="preserve"> cases</w:t>
      </w:r>
      <w:r w:rsidR="00D93643" w:rsidRPr="00A96949">
        <w:rPr>
          <w:rFonts w:ascii="Verdana" w:hAnsi="Verdana"/>
          <w:sz w:val="18"/>
          <w:szCs w:val="18"/>
        </w:rPr>
        <w:t xml:space="preserve">.  </w:t>
      </w:r>
      <w:r w:rsidR="00E968CA" w:rsidRPr="00A96949">
        <w:rPr>
          <w:rFonts w:ascii="Verdana" w:hAnsi="Verdana"/>
          <w:sz w:val="18"/>
          <w:szCs w:val="18"/>
        </w:rPr>
        <w:t xml:space="preserve">Let’s think about what that would look like. </w:t>
      </w:r>
    </w:p>
    <w:p w14:paraId="45BD5D13" w14:textId="62E7B326" w:rsidR="00E968CA" w:rsidRPr="00A96949" w:rsidRDefault="00E968CA" w:rsidP="00654238">
      <w:pPr>
        <w:pStyle w:val="ListParagraph"/>
        <w:numPr>
          <w:ilvl w:val="0"/>
          <w:numId w:val="4"/>
        </w:numPr>
        <w:spacing w:after="240" w:line="360" w:lineRule="auto"/>
        <w:ind w:left="567" w:hanging="567"/>
        <w:contextualSpacing w:val="0"/>
        <w:jc w:val="both"/>
        <w:rPr>
          <w:rFonts w:ascii="Verdana" w:hAnsi="Verdana"/>
          <w:sz w:val="18"/>
          <w:szCs w:val="18"/>
        </w:rPr>
      </w:pPr>
      <w:proofErr w:type="gramStart"/>
      <w:r w:rsidRPr="00A96949">
        <w:rPr>
          <w:rFonts w:ascii="Verdana" w:hAnsi="Verdana"/>
          <w:sz w:val="18"/>
          <w:szCs w:val="18"/>
        </w:rPr>
        <w:t>First of all</w:t>
      </w:r>
      <w:proofErr w:type="gramEnd"/>
      <w:r w:rsidRPr="00A96949">
        <w:rPr>
          <w:rFonts w:ascii="Verdana" w:hAnsi="Verdana"/>
          <w:sz w:val="18"/>
          <w:szCs w:val="18"/>
        </w:rPr>
        <w:t>, this involves (as here) detailed written</w:t>
      </w:r>
      <w:r w:rsidR="005E053F" w:rsidRPr="00A96949">
        <w:rPr>
          <w:rFonts w:ascii="Verdana" w:hAnsi="Verdana"/>
          <w:sz w:val="18"/>
          <w:szCs w:val="18"/>
        </w:rPr>
        <w:t xml:space="preserve"> legal</w:t>
      </w:r>
      <w:r w:rsidRPr="00A96949">
        <w:rPr>
          <w:rFonts w:ascii="Verdana" w:hAnsi="Verdana"/>
          <w:sz w:val="18"/>
          <w:szCs w:val="18"/>
        </w:rPr>
        <w:t xml:space="preserve"> submissions from the board and</w:t>
      </w:r>
      <w:r w:rsidR="005E053F" w:rsidRPr="00A96949">
        <w:rPr>
          <w:rFonts w:ascii="Verdana" w:hAnsi="Verdana"/>
          <w:sz w:val="18"/>
          <w:szCs w:val="18"/>
        </w:rPr>
        <w:t xml:space="preserve"> from</w:t>
      </w:r>
      <w:r w:rsidRPr="00A96949">
        <w:rPr>
          <w:rFonts w:ascii="Verdana" w:hAnsi="Verdana"/>
          <w:sz w:val="18"/>
          <w:szCs w:val="18"/>
        </w:rPr>
        <w:t xml:space="preserve"> all applicants involved</w:t>
      </w:r>
      <w:r w:rsidR="005E053F" w:rsidRPr="00A96949">
        <w:rPr>
          <w:rFonts w:ascii="Verdana" w:hAnsi="Verdana"/>
          <w:sz w:val="18"/>
          <w:szCs w:val="18"/>
        </w:rPr>
        <w:t>.  It involves time being found for a hearing and brief fees and instruction fees accordingly on all sides.  The court is then compelled to expend its finite physical and mental resources in grappling with the issues and in producing a judgment</w:t>
      </w:r>
      <w:r w:rsidR="00F55F04">
        <w:rPr>
          <w:rFonts w:ascii="Verdana" w:hAnsi="Verdana"/>
          <w:sz w:val="18"/>
          <w:szCs w:val="18"/>
        </w:rPr>
        <w:t xml:space="preserve">, which in this case </w:t>
      </w:r>
      <w:r w:rsidR="00696DB9">
        <w:rPr>
          <w:rFonts w:ascii="Verdana" w:hAnsi="Verdana"/>
          <w:sz w:val="18"/>
          <w:szCs w:val="18"/>
        </w:rPr>
        <w:t>is the stage we are now at</w:t>
      </w:r>
      <w:r w:rsidR="005E053F" w:rsidRPr="00A96949">
        <w:rPr>
          <w:rFonts w:ascii="Verdana" w:hAnsi="Verdana"/>
          <w:sz w:val="18"/>
          <w:szCs w:val="18"/>
        </w:rPr>
        <w:t xml:space="preserve">. </w:t>
      </w:r>
      <w:r w:rsidR="00A12B69">
        <w:rPr>
          <w:rFonts w:ascii="Verdana" w:hAnsi="Verdana"/>
          <w:sz w:val="18"/>
          <w:szCs w:val="18"/>
        </w:rPr>
        <w:t xml:space="preserve"> </w:t>
      </w:r>
      <w:r w:rsidR="00871A6F">
        <w:rPr>
          <w:rFonts w:ascii="Verdana" w:hAnsi="Verdana"/>
          <w:sz w:val="18"/>
          <w:szCs w:val="18"/>
        </w:rPr>
        <w:t xml:space="preserve">(If anyone is interested, this involved eight drafts which is somewhat more than usual.)  </w:t>
      </w:r>
      <w:r w:rsidR="00A12B69">
        <w:rPr>
          <w:rFonts w:ascii="Verdana" w:hAnsi="Verdana"/>
          <w:sz w:val="18"/>
          <w:szCs w:val="18"/>
        </w:rPr>
        <w:t xml:space="preserve">But that’s only the start of it.  </w:t>
      </w:r>
      <w:r w:rsidR="00871A6F">
        <w:rPr>
          <w:rFonts w:ascii="Verdana" w:hAnsi="Verdana"/>
          <w:sz w:val="18"/>
          <w:szCs w:val="18"/>
        </w:rPr>
        <w:t>The judgment</w:t>
      </w:r>
      <w:r w:rsidR="005E053F" w:rsidRPr="00A96949">
        <w:rPr>
          <w:rFonts w:ascii="Verdana" w:hAnsi="Verdana"/>
          <w:sz w:val="18"/>
          <w:szCs w:val="18"/>
        </w:rPr>
        <w:t xml:space="preserve"> </w:t>
      </w:r>
      <w:r w:rsidR="00531C09" w:rsidRPr="00A96949">
        <w:rPr>
          <w:rFonts w:ascii="Verdana" w:hAnsi="Verdana"/>
          <w:sz w:val="18"/>
          <w:szCs w:val="18"/>
        </w:rPr>
        <w:t>by design and inevitability</w:t>
      </w:r>
      <w:r w:rsidR="005E053F" w:rsidRPr="00A96949">
        <w:rPr>
          <w:rFonts w:ascii="Verdana" w:hAnsi="Verdana"/>
          <w:sz w:val="18"/>
          <w:szCs w:val="18"/>
        </w:rPr>
        <w:t xml:space="preserve"> will not please everybody so we then come to the detailed written legal submissions from the board and applicants</w:t>
      </w:r>
      <w:r w:rsidR="00531C09" w:rsidRPr="00A96949">
        <w:rPr>
          <w:rFonts w:ascii="Verdana" w:hAnsi="Verdana"/>
          <w:sz w:val="18"/>
          <w:szCs w:val="18"/>
        </w:rPr>
        <w:t xml:space="preserve"> and possibly other parties</w:t>
      </w:r>
      <w:r w:rsidR="005E053F" w:rsidRPr="00A96949">
        <w:rPr>
          <w:rFonts w:ascii="Verdana" w:hAnsi="Verdana"/>
          <w:sz w:val="18"/>
          <w:szCs w:val="18"/>
        </w:rPr>
        <w:t xml:space="preserve"> as to why there should be </w:t>
      </w:r>
      <w:proofErr w:type="gramStart"/>
      <w:r w:rsidR="005E053F" w:rsidRPr="00A96949">
        <w:rPr>
          <w:rFonts w:ascii="Verdana" w:hAnsi="Verdana"/>
          <w:sz w:val="18"/>
          <w:szCs w:val="18"/>
        </w:rPr>
        <w:t>leave</w:t>
      </w:r>
      <w:proofErr w:type="gramEnd"/>
      <w:r w:rsidR="005E053F" w:rsidRPr="00A96949">
        <w:rPr>
          <w:rFonts w:ascii="Verdana" w:hAnsi="Verdana"/>
          <w:sz w:val="18"/>
          <w:szCs w:val="18"/>
        </w:rPr>
        <w:t xml:space="preserve"> to appeal to the Court of Appeal.  That then again involves finding a hearing date, brief and instruction fees on all sides, </w:t>
      </w:r>
      <w:r w:rsidR="008C2577" w:rsidRPr="00A96949">
        <w:rPr>
          <w:rFonts w:ascii="Verdana" w:hAnsi="Verdana"/>
          <w:sz w:val="18"/>
          <w:szCs w:val="18"/>
        </w:rPr>
        <w:t>the court having to draw further from its now dwindling</w:t>
      </w:r>
      <w:r w:rsidR="005E053F" w:rsidRPr="00A96949">
        <w:rPr>
          <w:rFonts w:ascii="Verdana" w:hAnsi="Verdana"/>
          <w:sz w:val="18"/>
          <w:szCs w:val="18"/>
        </w:rPr>
        <w:t xml:space="preserve"> resources</w:t>
      </w:r>
      <w:r w:rsidR="008C2577" w:rsidRPr="00A96949">
        <w:rPr>
          <w:rFonts w:ascii="Verdana" w:hAnsi="Verdana"/>
          <w:sz w:val="18"/>
          <w:szCs w:val="18"/>
        </w:rPr>
        <w:t xml:space="preserve"> to get through a further hearing and produce</w:t>
      </w:r>
      <w:r w:rsidR="005E053F" w:rsidRPr="00A96949">
        <w:rPr>
          <w:rFonts w:ascii="Verdana" w:hAnsi="Verdana"/>
          <w:sz w:val="18"/>
          <w:szCs w:val="18"/>
        </w:rPr>
        <w:t xml:space="preserve"> a further judgment.  That will result inevitably in either a full hearing in the Court of Appeal, followed no doubt by an application for leave to appeal to the Supreme Court</w:t>
      </w:r>
      <w:r w:rsidR="00531C09" w:rsidRPr="00A96949">
        <w:rPr>
          <w:rFonts w:ascii="Verdana" w:hAnsi="Verdana"/>
          <w:sz w:val="18"/>
          <w:szCs w:val="18"/>
        </w:rPr>
        <w:t xml:space="preserve"> by whoever loses there</w:t>
      </w:r>
      <w:r w:rsidR="005E053F" w:rsidRPr="00A96949">
        <w:rPr>
          <w:rFonts w:ascii="Verdana" w:hAnsi="Verdana"/>
          <w:sz w:val="18"/>
          <w:szCs w:val="18"/>
        </w:rPr>
        <w:t xml:space="preserve">, or alternatively a leapfrog appeal to the Supreme Court regardless of the decision on whether there should be </w:t>
      </w:r>
      <w:proofErr w:type="gramStart"/>
      <w:r w:rsidR="005E053F" w:rsidRPr="00A96949">
        <w:rPr>
          <w:rFonts w:ascii="Verdana" w:hAnsi="Verdana"/>
          <w:sz w:val="18"/>
          <w:szCs w:val="18"/>
        </w:rPr>
        <w:t>leave</w:t>
      </w:r>
      <w:proofErr w:type="gramEnd"/>
      <w:r w:rsidR="005E053F" w:rsidRPr="00A96949">
        <w:rPr>
          <w:rFonts w:ascii="Verdana" w:hAnsi="Verdana"/>
          <w:sz w:val="18"/>
          <w:szCs w:val="18"/>
        </w:rPr>
        <w:t xml:space="preserve"> to appeal to the Court of Appeal.  Even if the Supreme Court shuts the door on that, it requires substantial paperwork and legal engagement on both sides even to get to that point, let alone it being another item on the Supreme Court’s to-do list. </w:t>
      </w:r>
      <w:r w:rsidR="00406305" w:rsidRPr="00A96949">
        <w:rPr>
          <w:rFonts w:ascii="Verdana" w:hAnsi="Verdana"/>
          <w:sz w:val="18"/>
          <w:szCs w:val="18"/>
        </w:rPr>
        <w:t xml:space="preserve"> That’s all bad enough in one case – but multiply that by the 8</w:t>
      </w:r>
      <w:r w:rsidR="00F55F04">
        <w:rPr>
          <w:rFonts w:ascii="Verdana" w:hAnsi="Verdana"/>
          <w:sz w:val="18"/>
          <w:szCs w:val="18"/>
        </w:rPr>
        <w:t>1</w:t>
      </w:r>
      <w:r w:rsidR="00406305" w:rsidRPr="00A96949">
        <w:rPr>
          <w:rFonts w:ascii="Verdana" w:hAnsi="Verdana"/>
          <w:sz w:val="18"/>
          <w:szCs w:val="18"/>
        </w:rPr>
        <w:t xml:space="preserve"> cases currently live</w:t>
      </w:r>
      <w:r w:rsidR="004B606B" w:rsidRPr="00A96949">
        <w:rPr>
          <w:rFonts w:ascii="Verdana" w:hAnsi="Verdana"/>
          <w:sz w:val="18"/>
          <w:szCs w:val="18"/>
        </w:rPr>
        <w:t xml:space="preserve"> at time of writing</w:t>
      </w:r>
      <w:r w:rsidR="00406305" w:rsidRPr="00A96949">
        <w:rPr>
          <w:rFonts w:ascii="Verdana" w:hAnsi="Verdana"/>
          <w:sz w:val="18"/>
          <w:szCs w:val="18"/>
        </w:rPr>
        <w:t xml:space="preserve"> in the Commercial Planning and SID list,</w:t>
      </w:r>
      <w:r w:rsidR="00531C09" w:rsidRPr="00A96949">
        <w:rPr>
          <w:rFonts w:ascii="Verdana" w:hAnsi="Verdana"/>
          <w:sz w:val="18"/>
          <w:szCs w:val="18"/>
        </w:rPr>
        <w:t xml:space="preserve"> a number that has been growing all the time over the past two legal years,</w:t>
      </w:r>
      <w:r w:rsidR="00406305" w:rsidRPr="00A96949">
        <w:rPr>
          <w:rFonts w:ascii="Verdana" w:hAnsi="Verdana"/>
          <w:sz w:val="18"/>
          <w:szCs w:val="18"/>
        </w:rPr>
        <w:t xml:space="preserve"> not </w:t>
      </w:r>
      <w:r w:rsidR="00406305" w:rsidRPr="00A96949">
        <w:rPr>
          <w:rFonts w:ascii="Verdana" w:hAnsi="Verdana"/>
          <w:sz w:val="18"/>
          <w:szCs w:val="18"/>
        </w:rPr>
        <w:lastRenderedPageBreak/>
        <w:t xml:space="preserve">to mention the other planning cases in the judicial review list, and </w:t>
      </w:r>
      <w:proofErr w:type="gramStart"/>
      <w:r w:rsidR="00406305" w:rsidRPr="00A96949">
        <w:rPr>
          <w:rFonts w:ascii="Verdana" w:hAnsi="Verdana"/>
          <w:sz w:val="18"/>
          <w:szCs w:val="18"/>
        </w:rPr>
        <w:t>pretty soon</w:t>
      </w:r>
      <w:proofErr w:type="gramEnd"/>
      <w:r w:rsidR="00406305" w:rsidRPr="00A96949">
        <w:rPr>
          <w:rFonts w:ascii="Verdana" w:hAnsi="Verdana"/>
          <w:sz w:val="18"/>
          <w:szCs w:val="18"/>
        </w:rPr>
        <w:t xml:space="preserve"> we </w:t>
      </w:r>
      <w:r w:rsidR="008C2577" w:rsidRPr="00A96949">
        <w:rPr>
          <w:rFonts w:ascii="Verdana" w:hAnsi="Verdana"/>
          <w:sz w:val="18"/>
          <w:szCs w:val="18"/>
        </w:rPr>
        <w:t>might</w:t>
      </w:r>
      <w:r w:rsidR="00406305" w:rsidRPr="00A96949">
        <w:rPr>
          <w:rFonts w:ascii="Verdana" w:hAnsi="Verdana"/>
          <w:sz w:val="18"/>
          <w:szCs w:val="18"/>
        </w:rPr>
        <w:t xml:space="preserve"> have a problem. </w:t>
      </w:r>
    </w:p>
    <w:p w14:paraId="56B2EA9B" w14:textId="7CD1B133" w:rsidR="007826A7" w:rsidRPr="00A96949" w:rsidRDefault="00FD6FC0"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T</w:t>
      </w:r>
      <w:r w:rsidR="007826A7" w:rsidRPr="00A96949">
        <w:rPr>
          <w:rFonts w:ascii="Verdana" w:hAnsi="Verdana"/>
          <w:sz w:val="18"/>
          <w:szCs w:val="18"/>
        </w:rPr>
        <w:t xml:space="preserve">he incentives here do not favour discounting as some sort of general </w:t>
      </w:r>
      <w:r w:rsidRPr="00A96949">
        <w:rPr>
          <w:rFonts w:ascii="Verdana" w:hAnsi="Verdana"/>
          <w:sz w:val="18"/>
          <w:szCs w:val="18"/>
        </w:rPr>
        <w:t>approach</w:t>
      </w:r>
      <w:r w:rsidR="007826A7" w:rsidRPr="00A96949">
        <w:rPr>
          <w:rFonts w:ascii="Verdana" w:hAnsi="Verdana"/>
          <w:sz w:val="18"/>
          <w:szCs w:val="18"/>
        </w:rPr>
        <w:t xml:space="preserve">.  Unlike in commercial cases, there is never going to be anything like the same level of </w:t>
      </w:r>
      <w:r w:rsidR="00696DB9">
        <w:rPr>
          <w:rFonts w:ascii="Verdana" w:hAnsi="Verdana"/>
          <w:sz w:val="18"/>
          <w:szCs w:val="18"/>
        </w:rPr>
        <w:t>deterrent</w:t>
      </w:r>
      <w:r w:rsidR="007826A7" w:rsidRPr="00A96949">
        <w:rPr>
          <w:rFonts w:ascii="Verdana" w:hAnsi="Verdana"/>
          <w:sz w:val="18"/>
          <w:szCs w:val="18"/>
        </w:rPr>
        <w:t xml:space="preserve"> for applicants </w:t>
      </w:r>
      <w:r w:rsidR="00696DB9">
        <w:rPr>
          <w:rFonts w:ascii="Verdana" w:hAnsi="Verdana"/>
          <w:sz w:val="18"/>
          <w:szCs w:val="18"/>
        </w:rPr>
        <w:t>to deter them from</w:t>
      </w:r>
      <w:r w:rsidR="007826A7" w:rsidRPr="00A96949">
        <w:rPr>
          <w:rFonts w:ascii="Verdana" w:hAnsi="Verdana"/>
          <w:sz w:val="18"/>
          <w:szCs w:val="18"/>
        </w:rPr>
        <w:t xml:space="preserve"> litigating the issue of costs all the way to the Supreme Court, Luxembourg</w:t>
      </w:r>
      <w:r w:rsidR="00A279D8" w:rsidRPr="00A96949">
        <w:rPr>
          <w:rFonts w:ascii="Verdana" w:hAnsi="Verdana"/>
          <w:sz w:val="18"/>
          <w:szCs w:val="18"/>
        </w:rPr>
        <w:t xml:space="preserve">, </w:t>
      </w:r>
      <w:r w:rsidR="007826A7" w:rsidRPr="00A96949">
        <w:rPr>
          <w:rFonts w:ascii="Verdana" w:hAnsi="Verdana"/>
          <w:sz w:val="18"/>
          <w:szCs w:val="18"/>
        </w:rPr>
        <w:t>Strasbourg</w:t>
      </w:r>
      <w:r w:rsidR="00A279D8" w:rsidRPr="00A96949">
        <w:rPr>
          <w:rFonts w:ascii="Verdana" w:hAnsi="Verdana"/>
          <w:sz w:val="18"/>
          <w:szCs w:val="18"/>
        </w:rPr>
        <w:t xml:space="preserve">, </w:t>
      </w:r>
      <w:r w:rsidR="00F55F04">
        <w:rPr>
          <w:rFonts w:ascii="Verdana" w:hAnsi="Verdana"/>
          <w:sz w:val="18"/>
          <w:szCs w:val="18"/>
        </w:rPr>
        <w:t>and</w:t>
      </w:r>
      <w:r w:rsidR="00A279D8" w:rsidRPr="00A96949">
        <w:rPr>
          <w:rFonts w:ascii="Verdana" w:hAnsi="Verdana"/>
          <w:sz w:val="18"/>
          <w:szCs w:val="18"/>
        </w:rPr>
        <w:t xml:space="preserve"> the Aarhus Convention Compliance Committee in Geneva</w:t>
      </w:r>
      <w:r w:rsidR="007826A7" w:rsidRPr="00A96949">
        <w:rPr>
          <w:rFonts w:ascii="Verdana" w:hAnsi="Verdana"/>
          <w:sz w:val="18"/>
          <w:szCs w:val="18"/>
        </w:rPr>
        <w:t xml:space="preserve"> if needs be, since the costs of the costs issue can never be prohibitively expensive.  With rules of the game that create </w:t>
      </w:r>
      <w:proofErr w:type="gramStart"/>
      <w:r w:rsidR="007826A7" w:rsidRPr="00A96949">
        <w:rPr>
          <w:rFonts w:ascii="Verdana" w:hAnsi="Verdana"/>
          <w:sz w:val="18"/>
          <w:szCs w:val="18"/>
        </w:rPr>
        <w:t xml:space="preserve">those sort of </w:t>
      </w:r>
      <w:r w:rsidR="00696DB9">
        <w:rPr>
          <w:rFonts w:ascii="Verdana" w:hAnsi="Verdana"/>
          <w:sz w:val="18"/>
          <w:szCs w:val="18"/>
        </w:rPr>
        <w:t>incentives</w:t>
      </w:r>
      <w:proofErr w:type="gramEnd"/>
      <w:r w:rsidR="007826A7" w:rsidRPr="00A96949">
        <w:rPr>
          <w:rFonts w:ascii="Verdana" w:hAnsi="Verdana"/>
          <w:sz w:val="18"/>
          <w:szCs w:val="18"/>
        </w:rPr>
        <w:t>, i</w:t>
      </w:r>
      <w:r w:rsidR="00F33C25">
        <w:rPr>
          <w:rFonts w:ascii="Verdana" w:hAnsi="Verdana"/>
          <w:sz w:val="18"/>
          <w:szCs w:val="18"/>
        </w:rPr>
        <w:t>n the event that anybody</w:t>
      </w:r>
      <w:r w:rsidR="00696DB9">
        <w:rPr>
          <w:rFonts w:ascii="Verdana" w:hAnsi="Verdana"/>
          <w:sz w:val="18"/>
          <w:szCs w:val="18"/>
        </w:rPr>
        <w:t xml:space="preserve"> in the board’s position (or even</w:t>
      </w:r>
      <w:r w:rsidR="00F33C25">
        <w:rPr>
          <w:rFonts w:ascii="Verdana" w:hAnsi="Verdana"/>
          <w:sz w:val="18"/>
          <w:szCs w:val="18"/>
        </w:rPr>
        <w:t>,</w:t>
      </w:r>
      <w:r w:rsidR="00696DB9">
        <w:rPr>
          <w:rFonts w:ascii="Verdana" w:hAnsi="Verdana"/>
          <w:sz w:val="18"/>
          <w:szCs w:val="18"/>
        </w:rPr>
        <w:t xml:space="preserve"> dare I say, in my position)</w:t>
      </w:r>
      <w:r w:rsidR="007826A7" w:rsidRPr="00A96949">
        <w:rPr>
          <w:rFonts w:ascii="Verdana" w:hAnsi="Verdana"/>
          <w:sz w:val="18"/>
          <w:szCs w:val="18"/>
        </w:rPr>
        <w:t xml:space="preserve"> were to </w:t>
      </w:r>
      <w:r w:rsidR="00696DB9">
        <w:rPr>
          <w:rFonts w:ascii="Verdana" w:hAnsi="Verdana"/>
          <w:sz w:val="18"/>
          <w:szCs w:val="18"/>
        </w:rPr>
        <w:t>have the conceit</w:t>
      </w:r>
      <w:r w:rsidR="007826A7" w:rsidRPr="00A96949">
        <w:rPr>
          <w:rFonts w:ascii="Verdana" w:hAnsi="Verdana"/>
          <w:sz w:val="18"/>
          <w:szCs w:val="18"/>
        </w:rPr>
        <w:t xml:space="preserve"> that</w:t>
      </w:r>
      <w:r w:rsidRPr="00A96949">
        <w:rPr>
          <w:rFonts w:ascii="Verdana" w:hAnsi="Verdana"/>
          <w:sz w:val="18"/>
          <w:szCs w:val="18"/>
        </w:rPr>
        <w:t xml:space="preserve">, </w:t>
      </w:r>
      <w:r w:rsidR="00696DB9">
        <w:rPr>
          <w:rFonts w:ascii="Verdana" w:hAnsi="Verdana"/>
          <w:sz w:val="18"/>
          <w:szCs w:val="18"/>
        </w:rPr>
        <w:t>in</w:t>
      </w:r>
      <w:r w:rsidRPr="00A96949">
        <w:rPr>
          <w:rFonts w:ascii="Verdana" w:hAnsi="Verdana"/>
          <w:sz w:val="18"/>
          <w:szCs w:val="18"/>
        </w:rPr>
        <w:t xml:space="preserve"> the environmental litigation context,</w:t>
      </w:r>
      <w:r w:rsidR="007826A7" w:rsidRPr="00A96949">
        <w:rPr>
          <w:rFonts w:ascii="Verdana" w:hAnsi="Verdana"/>
          <w:sz w:val="18"/>
          <w:szCs w:val="18"/>
        </w:rPr>
        <w:t xml:space="preserve"> they could heroically reduce costs</w:t>
      </w:r>
      <w:r w:rsidR="00A279D8" w:rsidRPr="00A96949">
        <w:rPr>
          <w:rFonts w:ascii="Verdana" w:hAnsi="Verdana"/>
          <w:sz w:val="18"/>
          <w:szCs w:val="18"/>
        </w:rPr>
        <w:t>, judicial effort</w:t>
      </w:r>
      <w:r w:rsidR="007826A7" w:rsidRPr="00A96949">
        <w:rPr>
          <w:rFonts w:ascii="Verdana" w:hAnsi="Verdana"/>
          <w:sz w:val="18"/>
          <w:szCs w:val="18"/>
        </w:rPr>
        <w:t xml:space="preserve"> and hearing times and disincentivise applicants by discounting </w:t>
      </w:r>
      <w:r w:rsidR="00696DB9">
        <w:rPr>
          <w:rFonts w:ascii="Verdana" w:hAnsi="Verdana"/>
          <w:sz w:val="18"/>
          <w:szCs w:val="18"/>
        </w:rPr>
        <w:t xml:space="preserve">the winner’s </w:t>
      </w:r>
      <w:r w:rsidR="007826A7" w:rsidRPr="00A96949">
        <w:rPr>
          <w:rFonts w:ascii="Verdana" w:hAnsi="Verdana"/>
          <w:sz w:val="18"/>
          <w:szCs w:val="18"/>
        </w:rPr>
        <w:t xml:space="preserve">costs, they might and almost certainly will </w:t>
      </w:r>
      <w:r w:rsidR="00696DB9">
        <w:rPr>
          <w:rFonts w:ascii="Verdana" w:hAnsi="Verdana"/>
          <w:sz w:val="18"/>
          <w:szCs w:val="18"/>
        </w:rPr>
        <w:t>be setting themselves up for disappointment</w:t>
      </w:r>
      <w:r w:rsidR="007826A7" w:rsidRPr="00A96949">
        <w:rPr>
          <w:rFonts w:ascii="Verdana" w:hAnsi="Verdana"/>
          <w:sz w:val="18"/>
          <w:szCs w:val="18"/>
        </w:rPr>
        <w:t xml:space="preserve">.  </w:t>
      </w:r>
    </w:p>
    <w:p w14:paraId="78EE1FCC" w14:textId="58E8EE5C" w:rsidR="00AD03DF" w:rsidRPr="00A96949" w:rsidRDefault="00AD03DF"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The </w:t>
      </w:r>
      <w:r w:rsidR="007826A7" w:rsidRPr="00A96949">
        <w:rPr>
          <w:rFonts w:ascii="Verdana" w:hAnsi="Verdana"/>
          <w:sz w:val="18"/>
          <w:szCs w:val="18"/>
        </w:rPr>
        <w:t xml:space="preserve">broader </w:t>
      </w:r>
      <w:r w:rsidRPr="00A96949">
        <w:rPr>
          <w:rFonts w:ascii="Verdana" w:hAnsi="Verdana"/>
          <w:sz w:val="18"/>
          <w:szCs w:val="18"/>
        </w:rPr>
        <w:t xml:space="preserve">context here is that environmental and planning law is highly complex compared to other </w:t>
      </w:r>
      <w:proofErr w:type="gramStart"/>
      <w:r w:rsidRPr="00A96949">
        <w:rPr>
          <w:rFonts w:ascii="Verdana" w:hAnsi="Verdana"/>
          <w:sz w:val="18"/>
          <w:szCs w:val="18"/>
        </w:rPr>
        <w:t>areas, and</w:t>
      </w:r>
      <w:proofErr w:type="gramEnd"/>
      <w:r w:rsidRPr="00A96949">
        <w:rPr>
          <w:rFonts w:ascii="Verdana" w:hAnsi="Verdana"/>
          <w:sz w:val="18"/>
          <w:szCs w:val="18"/>
        </w:rPr>
        <w:t xml:space="preserve"> imbued with an evolving overlay of EU law as well as domestic law – a context the board </w:t>
      </w:r>
      <w:r w:rsidR="00696DB9">
        <w:rPr>
          <w:rFonts w:ascii="Verdana" w:hAnsi="Verdana"/>
          <w:sz w:val="18"/>
          <w:szCs w:val="18"/>
        </w:rPr>
        <w:t xml:space="preserve">possibly could </w:t>
      </w:r>
      <w:r w:rsidRPr="00A96949">
        <w:rPr>
          <w:rFonts w:ascii="Verdana" w:hAnsi="Verdana"/>
          <w:sz w:val="18"/>
          <w:szCs w:val="18"/>
        </w:rPr>
        <w:t>be tempted to highlight if asked to explain why it is not winning all its cases.  But that also means that</w:t>
      </w:r>
      <w:r w:rsidR="00531C09" w:rsidRPr="00A96949">
        <w:rPr>
          <w:rFonts w:ascii="Verdana" w:hAnsi="Verdana"/>
          <w:sz w:val="18"/>
          <w:szCs w:val="18"/>
        </w:rPr>
        <w:t>,</w:t>
      </w:r>
      <w:r w:rsidRPr="00A96949">
        <w:rPr>
          <w:rFonts w:ascii="Verdana" w:hAnsi="Verdana"/>
          <w:sz w:val="18"/>
          <w:szCs w:val="18"/>
        </w:rPr>
        <w:t xml:space="preserve"> at least while the law is in </w:t>
      </w:r>
      <w:r w:rsidR="00696DB9">
        <w:rPr>
          <w:rFonts w:ascii="Verdana" w:hAnsi="Verdana"/>
          <w:sz w:val="18"/>
          <w:szCs w:val="18"/>
        </w:rPr>
        <w:t>its current</w:t>
      </w:r>
      <w:r w:rsidRPr="00A96949">
        <w:rPr>
          <w:rFonts w:ascii="Verdana" w:hAnsi="Verdana"/>
          <w:sz w:val="18"/>
          <w:szCs w:val="18"/>
        </w:rPr>
        <w:t xml:space="preserve"> state of flux, applicants </w:t>
      </w:r>
      <w:r w:rsidR="00FD6FC0" w:rsidRPr="00A96949">
        <w:rPr>
          <w:rFonts w:ascii="Verdana" w:hAnsi="Verdana"/>
          <w:sz w:val="18"/>
          <w:szCs w:val="18"/>
        </w:rPr>
        <w:t>can be</w:t>
      </w:r>
      <w:r w:rsidRPr="00A96949">
        <w:rPr>
          <w:rFonts w:ascii="Verdana" w:hAnsi="Verdana"/>
          <w:sz w:val="18"/>
          <w:szCs w:val="18"/>
        </w:rPr>
        <w:t xml:space="preserve"> somewhat handicapped in identifying </w:t>
      </w:r>
      <w:r w:rsidR="00531C09" w:rsidRPr="00A96949">
        <w:rPr>
          <w:rFonts w:ascii="Verdana" w:hAnsi="Verdana"/>
          <w:sz w:val="18"/>
          <w:szCs w:val="18"/>
        </w:rPr>
        <w:t xml:space="preserve">with </w:t>
      </w:r>
      <w:r w:rsidR="00B67C57">
        <w:rPr>
          <w:rFonts w:ascii="Verdana" w:hAnsi="Verdana"/>
          <w:sz w:val="18"/>
          <w:szCs w:val="18"/>
        </w:rPr>
        <w:t>reasonable</w:t>
      </w:r>
      <w:r w:rsidR="00531C09" w:rsidRPr="00A96949">
        <w:rPr>
          <w:rFonts w:ascii="Verdana" w:hAnsi="Verdana"/>
          <w:sz w:val="18"/>
          <w:szCs w:val="18"/>
        </w:rPr>
        <w:t xml:space="preserve"> confidence </w:t>
      </w:r>
      <w:r w:rsidRPr="00A96949">
        <w:rPr>
          <w:rFonts w:ascii="Verdana" w:hAnsi="Verdana"/>
          <w:sz w:val="18"/>
          <w:szCs w:val="18"/>
        </w:rPr>
        <w:t xml:space="preserve">exactly what are </w:t>
      </w:r>
      <w:r w:rsidR="00871A6F">
        <w:rPr>
          <w:rFonts w:ascii="Verdana" w:hAnsi="Verdana"/>
          <w:sz w:val="18"/>
          <w:szCs w:val="18"/>
        </w:rPr>
        <w:t xml:space="preserve">more </w:t>
      </w:r>
      <w:r w:rsidRPr="00A96949">
        <w:rPr>
          <w:rFonts w:ascii="Verdana" w:hAnsi="Verdana"/>
          <w:sz w:val="18"/>
          <w:szCs w:val="18"/>
        </w:rPr>
        <w:t xml:space="preserve">likely to be the winning points </w:t>
      </w:r>
      <w:r w:rsidR="00696DB9">
        <w:rPr>
          <w:rFonts w:ascii="Verdana" w:hAnsi="Verdana"/>
          <w:sz w:val="18"/>
          <w:szCs w:val="18"/>
        </w:rPr>
        <w:t xml:space="preserve">– </w:t>
      </w:r>
      <w:r w:rsidR="00B67C57">
        <w:rPr>
          <w:rFonts w:ascii="Verdana" w:hAnsi="Verdana"/>
          <w:sz w:val="18"/>
          <w:szCs w:val="18"/>
        </w:rPr>
        <w:t>albeit</w:t>
      </w:r>
      <w:r w:rsidR="00506868">
        <w:rPr>
          <w:rFonts w:ascii="Verdana" w:hAnsi="Verdana"/>
          <w:sz w:val="18"/>
          <w:szCs w:val="18"/>
        </w:rPr>
        <w:t xml:space="preserve"> </w:t>
      </w:r>
      <w:r w:rsidR="00696DB9">
        <w:rPr>
          <w:rFonts w:ascii="Verdana" w:hAnsi="Verdana"/>
          <w:sz w:val="18"/>
          <w:szCs w:val="18"/>
        </w:rPr>
        <w:t>a difficult job in any litigation context</w:t>
      </w:r>
      <w:r w:rsidRPr="00A96949">
        <w:rPr>
          <w:rFonts w:ascii="Verdana" w:hAnsi="Verdana"/>
          <w:sz w:val="18"/>
          <w:szCs w:val="18"/>
        </w:rPr>
        <w:t xml:space="preserve">.  </w:t>
      </w:r>
      <w:r w:rsidR="00FD6FC0" w:rsidRPr="00A96949">
        <w:rPr>
          <w:rFonts w:ascii="Verdana" w:hAnsi="Verdana"/>
          <w:sz w:val="18"/>
          <w:szCs w:val="18"/>
        </w:rPr>
        <w:t xml:space="preserve"> </w:t>
      </w:r>
      <w:r w:rsidR="00506868">
        <w:rPr>
          <w:rFonts w:ascii="Verdana" w:hAnsi="Verdana"/>
          <w:sz w:val="18"/>
          <w:szCs w:val="18"/>
        </w:rPr>
        <w:t xml:space="preserve">If anyone doubts the current state of flux in planning law, it might be </w:t>
      </w:r>
      <w:r w:rsidR="00871A6F">
        <w:rPr>
          <w:rFonts w:ascii="Verdana" w:hAnsi="Verdana"/>
          <w:sz w:val="18"/>
          <w:szCs w:val="18"/>
        </w:rPr>
        <w:t>educational</w:t>
      </w:r>
      <w:r w:rsidR="00506868">
        <w:rPr>
          <w:rFonts w:ascii="Verdana" w:hAnsi="Verdana"/>
          <w:sz w:val="18"/>
          <w:szCs w:val="18"/>
        </w:rPr>
        <w:t xml:space="preserve"> to point out that in the last four months, the Supreme Court has </w:t>
      </w:r>
      <w:r w:rsidR="00AC6A90">
        <w:rPr>
          <w:rFonts w:ascii="Verdana" w:hAnsi="Verdana"/>
          <w:sz w:val="18"/>
          <w:szCs w:val="18"/>
        </w:rPr>
        <w:t>granted</w:t>
      </w:r>
      <w:r w:rsidR="00506868">
        <w:rPr>
          <w:rFonts w:ascii="Verdana" w:hAnsi="Verdana"/>
          <w:sz w:val="18"/>
          <w:szCs w:val="18"/>
        </w:rPr>
        <w:t xml:space="preserve"> leave to appeal to it in </w:t>
      </w:r>
      <w:r w:rsidR="00AC6A90">
        <w:rPr>
          <w:rFonts w:ascii="Verdana" w:hAnsi="Verdana"/>
          <w:sz w:val="18"/>
          <w:szCs w:val="18"/>
        </w:rPr>
        <w:t>more</w:t>
      </w:r>
      <w:r w:rsidR="00506868">
        <w:rPr>
          <w:rFonts w:ascii="Verdana" w:hAnsi="Verdana"/>
          <w:sz w:val="18"/>
          <w:szCs w:val="18"/>
        </w:rPr>
        <w:t xml:space="preserve"> cases</w:t>
      </w:r>
      <w:r w:rsidR="009D435D">
        <w:rPr>
          <w:rFonts w:ascii="Verdana" w:hAnsi="Verdana"/>
          <w:sz w:val="18"/>
          <w:szCs w:val="18"/>
        </w:rPr>
        <w:t xml:space="preserve"> against the board</w:t>
      </w:r>
      <w:r w:rsidR="00AC6A90">
        <w:rPr>
          <w:rFonts w:ascii="Verdana" w:hAnsi="Verdana"/>
          <w:sz w:val="18"/>
          <w:szCs w:val="18"/>
        </w:rPr>
        <w:t xml:space="preserve"> than were granted during the first four legal years of the leave to appeal system</w:t>
      </w:r>
      <w:r w:rsidR="00506868">
        <w:rPr>
          <w:rFonts w:ascii="Verdana" w:hAnsi="Verdana"/>
          <w:sz w:val="18"/>
          <w:szCs w:val="18"/>
        </w:rPr>
        <w:t xml:space="preserve"> (</w:t>
      </w:r>
      <w:r w:rsidR="00AC6A90">
        <w:rPr>
          <w:rFonts w:ascii="Verdana" w:hAnsi="Verdana"/>
          <w:sz w:val="18"/>
          <w:szCs w:val="18"/>
        </w:rPr>
        <w:t xml:space="preserve">the nine recent cases are </w:t>
      </w:r>
      <w:r w:rsidR="00506868">
        <w:rPr>
          <w:rFonts w:ascii="Verdana" w:hAnsi="Verdana"/>
          <w:sz w:val="18"/>
          <w:szCs w:val="18"/>
        </w:rPr>
        <w:t>[2022] IESCDET 21 (Hellfire), 30 (Glann Mór), 31 (Waltham Abbey), 32 (Pembroke Rd), 42 (Ballyboden), 57 (Save Cork), 66 (Heather Hill), 67 (Protect East Meath)</w:t>
      </w:r>
      <w:r w:rsidR="009D435D">
        <w:rPr>
          <w:rFonts w:ascii="Verdana" w:hAnsi="Verdana"/>
          <w:sz w:val="18"/>
          <w:szCs w:val="18"/>
        </w:rPr>
        <w:t xml:space="preserve"> and</w:t>
      </w:r>
      <w:r w:rsidR="00506868">
        <w:rPr>
          <w:rFonts w:ascii="Verdana" w:hAnsi="Verdana"/>
          <w:sz w:val="18"/>
          <w:szCs w:val="18"/>
        </w:rPr>
        <w:t xml:space="preserve"> 68 (Enniskerry Alliance)</w:t>
      </w:r>
      <w:r w:rsidR="009D435D">
        <w:rPr>
          <w:rFonts w:ascii="Verdana" w:hAnsi="Verdana"/>
          <w:sz w:val="18"/>
          <w:szCs w:val="18"/>
        </w:rPr>
        <w:t xml:space="preserve">), </w:t>
      </w:r>
      <w:r w:rsidR="00B67C57">
        <w:rPr>
          <w:rFonts w:ascii="Verdana" w:hAnsi="Verdana"/>
          <w:sz w:val="18"/>
          <w:szCs w:val="18"/>
        </w:rPr>
        <w:t xml:space="preserve">compared to eight cases in the </w:t>
      </w:r>
      <w:r w:rsidR="00F33C25">
        <w:rPr>
          <w:rFonts w:ascii="Verdana" w:hAnsi="Verdana"/>
          <w:sz w:val="18"/>
          <w:szCs w:val="18"/>
        </w:rPr>
        <w:t xml:space="preserve">years </w:t>
      </w:r>
      <w:r w:rsidR="009D435D">
        <w:rPr>
          <w:rFonts w:ascii="Verdana" w:hAnsi="Verdana"/>
          <w:sz w:val="18"/>
          <w:szCs w:val="18"/>
        </w:rPr>
        <w:t xml:space="preserve">2014-15 to </w:t>
      </w:r>
      <w:r w:rsidR="00AC6A90">
        <w:rPr>
          <w:rFonts w:ascii="Verdana" w:hAnsi="Verdana"/>
          <w:sz w:val="18"/>
          <w:szCs w:val="18"/>
        </w:rPr>
        <w:t>2017-18</w:t>
      </w:r>
      <w:r w:rsidR="00B67C57">
        <w:rPr>
          <w:rFonts w:ascii="Verdana" w:hAnsi="Verdana"/>
          <w:sz w:val="18"/>
          <w:szCs w:val="18"/>
        </w:rPr>
        <w:t xml:space="preserve">: </w:t>
      </w:r>
      <w:r w:rsidR="00AC6A90">
        <w:rPr>
          <w:rFonts w:ascii="Verdana" w:hAnsi="Verdana"/>
          <w:sz w:val="18"/>
          <w:szCs w:val="18"/>
        </w:rPr>
        <w:t>[2016] IESCDET 29 (Grace) and  92 (Sweetman), [2017] IESCDET 19 (Sweetman), 32 (Callaghan), 57 (Connelly) and 102 (North Kerry Wind), [2018] IESCDET 61 (Fitzpatrick) and 82 (North East Pylon)).</w:t>
      </w:r>
    </w:p>
    <w:p w14:paraId="1F695639" w14:textId="058244DD" w:rsidR="00406305" w:rsidRPr="00A96949" w:rsidRDefault="00406305"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The </w:t>
      </w:r>
      <w:r w:rsidR="00531C09" w:rsidRPr="00A96949">
        <w:rPr>
          <w:rFonts w:ascii="Verdana" w:hAnsi="Verdana"/>
          <w:sz w:val="18"/>
          <w:szCs w:val="18"/>
        </w:rPr>
        <w:t>practical</w:t>
      </w:r>
      <w:r w:rsidRPr="00A96949">
        <w:rPr>
          <w:rFonts w:ascii="Verdana" w:hAnsi="Verdana"/>
          <w:sz w:val="18"/>
          <w:szCs w:val="18"/>
        </w:rPr>
        <w:t xml:space="preserve"> reality is that in cases where an applicant falls somewhat short of full success, but </w:t>
      </w:r>
      <w:r w:rsidR="00AD03DF" w:rsidRPr="00A96949">
        <w:rPr>
          <w:rFonts w:ascii="Verdana" w:hAnsi="Verdana"/>
          <w:sz w:val="18"/>
          <w:szCs w:val="18"/>
        </w:rPr>
        <w:t>not so far short as to make it obvious that a discount is required</w:t>
      </w:r>
      <w:r w:rsidR="00531C09" w:rsidRPr="00A96949">
        <w:rPr>
          <w:rFonts w:ascii="Verdana" w:hAnsi="Verdana"/>
          <w:sz w:val="18"/>
          <w:szCs w:val="18"/>
        </w:rPr>
        <w:t xml:space="preserve"> (subject to whether the Aarhus interpretative obligation kicks in in that scenario)</w:t>
      </w:r>
      <w:r w:rsidR="00AD03DF" w:rsidRPr="00A96949">
        <w:rPr>
          <w:rFonts w:ascii="Verdana" w:hAnsi="Verdana"/>
          <w:sz w:val="18"/>
          <w:szCs w:val="18"/>
        </w:rPr>
        <w:t xml:space="preserve">, the costs saving </w:t>
      </w:r>
      <w:r w:rsidR="004D4437" w:rsidRPr="00A96949">
        <w:rPr>
          <w:rFonts w:ascii="Verdana" w:hAnsi="Verdana"/>
          <w:sz w:val="18"/>
          <w:szCs w:val="18"/>
        </w:rPr>
        <w:t xml:space="preserve">to the board </w:t>
      </w:r>
      <w:r w:rsidR="00AD03DF" w:rsidRPr="00A96949">
        <w:rPr>
          <w:rFonts w:ascii="Verdana" w:hAnsi="Verdana"/>
          <w:sz w:val="18"/>
          <w:szCs w:val="18"/>
        </w:rPr>
        <w:t>of</w:t>
      </w:r>
      <w:r w:rsidR="004D4437" w:rsidRPr="00A96949">
        <w:rPr>
          <w:rFonts w:ascii="Verdana" w:hAnsi="Verdana"/>
          <w:sz w:val="18"/>
          <w:szCs w:val="18"/>
        </w:rPr>
        <w:t xml:space="preserve"> obtaining</w:t>
      </w:r>
      <w:r w:rsidR="00AD03DF" w:rsidRPr="00A96949">
        <w:rPr>
          <w:rFonts w:ascii="Verdana" w:hAnsi="Verdana"/>
          <w:sz w:val="18"/>
          <w:szCs w:val="18"/>
        </w:rPr>
        <w:t xml:space="preserve"> a</w:t>
      </w:r>
      <w:r w:rsidR="004D4437" w:rsidRPr="00A96949">
        <w:rPr>
          <w:rFonts w:ascii="Verdana" w:hAnsi="Verdana"/>
          <w:sz w:val="18"/>
          <w:szCs w:val="18"/>
        </w:rPr>
        <w:t xml:space="preserve">ny </w:t>
      </w:r>
      <w:r w:rsidR="00B67C57">
        <w:rPr>
          <w:rFonts w:ascii="Verdana" w:hAnsi="Verdana"/>
          <w:sz w:val="18"/>
          <w:szCs w:val="18"/>
        </w:rPr>
        <w:t>modest</w:t>
      </w:r>
      <w:r w:rsidR="004D4437" w:rsidRPr="00A96949">
        <w:rPr>
          <w:rFonts w:ascii="Verdana" w:hAnsi="Verdana"/>
          <w:sz w:val="18"/>
          <w:szCs w:val="18"/>
        </w:rPr>
        <w:t xml:space="preserve"> discount is outweighed by the additional costs of litigating that issue, </w:t>
      </w:r>
      <w:r w:rsidR="008C2577" w:rsidRPr="00A96949">
        <w:rPr>
          <w:rFonts w:ascii="Verdana" w:hAnsi="Verdana"/>
          <w:sz w:val="18"/>
          <w:szCs w:val="18"/>
        </w:rPr>
        <w:t>even</w:t>
      </w:r>
      <w:r w:rsidR="004D4437" w:rsidRPr="00A96949">
        <w:rPr>
          <w:rFonts w:ascii="Verdana" w:hAnsi="Verdana"/>
          <w:sz w:val="18"/>
          <w:szCs w:val="18"/>
        </w:rPr>
        <w:t xml:space="preserve"> at first instance</w:t>
      </w:r>
      <w:r w:rsidR="00B67C57">
        <w:rPr>
          <w:rFonts w:ascii="Verdana" w:hAnsi="Verdana"/>
          <w:sz w:val="18"/>
          <w:szCs w:val="18"/>
        </w:rPr>
        <w:t>,</w:t>
      </w:r>
      <w:r w:rsidR="004D4437" w:rsidRPr="00A96949">
        <w:rPr>
          <w:rFonts w:ascii="Verdana" w:hAnsi="Verdana"/>
          <w:sz w:val="18"/>
          <w:szCs w:val="18"/>
        </w:rPr>
        <w:t xml:space="preserve"> </w:t>
      </w:r>
      <w:r w:rsidR="008C2577" w:rsidRPr="00A96949">
        <w:rPr>
          <w:rFonts w:ascii="Verdana" w:hAnsi="Verdana"/>
          <w:sz w:val="18"/>
          <w:szCs w:val="18"/>
        </w:rPr>
        <w:t>let alone</w:t>
      </w:r>
      <w:r w:rsidR="004D4437" w:rsidRPr="00A96949">
        <w:rPr>
          <w:rFonts w:ascii="Verdana" w:hAnsi="Verdana"/>
          <w:sz w:val="18"/>
          <w:szCs w:val="18"/>
        </w:rPr>
        <w:t xml:space="preserve"> </w:t>
      </w:r>
      <w:r w:rsidR="00F33C25">
        <w:rPr>
          <w:rFonts w:ascii="Verdana" w:hAnsi="Verdana"/>
          <w:sz w:val="18"/>
          <w:szCs w:val="18"/>
        </w:rPr>
        <w:t>on appeal</w:t>
      </w:r>
      <w:r w:rsidR="004D4437" w:rsidRPr="00A96949">
        <w:rPr>
          <w:rFonts w:ascii="Verdana" w:hAnsi="Verdana"/>
          <w:sz w:val="18"/>
          <w:szCs w:val="18"/>
        </w:rPr>
        <w:t>.  The present case is such an example.  The best the board could</w:t>
      </w:r>
      <w:r w:rsidR="00A279D8" w:rsidRPr="00A96949">
        <w:rPr>
          <w:rFonts w:ascii="Verdana" w:hAnsi="Verdana"/>
          <w:sz w:val="18"/>
          <w:szCs w:val="18"/>
        </w:rPr>
        <w:t xml:space="preserve"> realistically</w:t>
      </w:r>
      <w:r w:rsidR="004D4437" w:rsidRPr="00A96949">
        <w:rPr>
          <w:rFonts w:ascii="Verdana" w:hAnsi="Verdana"/>
          <w:sz w:val="18"/>
          <w:szCs w:val="18"/>
        </w:rPr>
        <w:t xml:space="preserve"> hope for in the present cases </w:t>
      </w:r>
      <w:r w:rsidR="00A279D8" w:rsidRPr="00A96949">
        <w:rPr>
          <w:rFonts w:ascii="Verdana" w:hAnsi="Verdana"/>
          <w:sz w:val="18"/>
          <w:szCs w:val="18"/>
        </w:rPr>
        <w:t xml:space="preserve">(especially as there is no way that the hearing would have been less than 3 days on any scenario compared to the actual 4 days) </w:t>
      </w:r>
      <w:r w:rsidR="004D4437" w:rsidRPr="00A96949">
        <w:rPr>
          <w:rFonts w:ascii="Verdana" w:hAnsi="Verdana"/>
          <w:sz w:val="18"/>
          <w:szCs w:val="18"/>
        </w:rPr>
        <w:t xml:space="preserve">would be something in the order of a 25% discount.  But it has probably spent </w:t>
      </w:r>
      <w:r w:rsidR="00FD6FC0" w:rsidRPr="00A96949">
        <w:rPr>
          <w:rFonts w:ascii="Verdana" w:hAnsi="Verdana"/>
          <w:sz w:val="18"/>
          <w:szCs w:val="18"/>
        </w:rPr>
        <w:t>a fair portion of that</w:t>
      </w:r>
      <w:r w:rsidR="004D4437" w:rsidRPr="00A96949">
        <w:rPr>
          <w:rFonts w:ascii="Verdana" w:hAnsi="Verdana"/>
          <w:sz w:val="18"/>
          <w:szCs w:val="18"/>
        </w:rPr>
        <w:t xml:space="preserve"> already in litigating </w:t>
      </w:r>
      <w:r w:rsidR="00A279D8" w:rsidRPr="00A96949">
        <w:rPr>
          <w:rFonts w:ascii="Verdana" w:hAnsi="Verdana"/>
          <w:sz w:val="18"/>
          <w:szCs w:val="18"/>
        </w:rPr>
        <w:t>the discounting</w:t>
      </w:r>
      <w:r w:rsidR="004D4437" w:rsidRPr="00A96949">
        <w:rPr>
          <w:rFonts w:ascii="Verdana" w:hAnsi="Verdana"/>
          <w:sz w:val="18"/>
          <w:szCs w:val="18"/>
        </w:rPr>
        <w:t xml:space="preserve"> </w:t>
      </w:r>
      <w:proofErr w:type="gramStart"/>
      <w:r w:rsidR="004D4437" w:rsidRPr="00A96949">
        <w:rPr>
          <w:rFonts w:ascii="Verdana" w:hAnsi="Verdana"/>
          <w:sz w:val="18"/>
          <w:szCs w:val="18"/>
        </w:rPr>
        <w:t>issue, and</w:t>
      </w:r>
      <w:proofErr w:type="gramEnd"/>
      <w:r w:rsidR="004D4437" w:rsidRPr="00A96949">
        <w:rPr>
          <w:rFonts w:ascii="Verdana" w:hAnsi="Verdana"/>
          <w:sz w:val="18"/>
          <w:szCs w:val="18"/>
        </w:rPr>
        <w:t xml:space="preserve"> is going to be spending </w:t>
      </w:r>
      <w:r w:rsidR="00E3608C" w:rsidRPr="00A96949">
        <w:rPr>
          <w:rFonts w:ascii="Verdana" w:hAnsi="Verdana"/>
          <w:sz w:val="18"/>
          <w:szCs w:val="18"/>
        </w:rPr>
        <w:t xml:space="preserve">much </w:t>
      </w:r>
      <w:r w:rsidR="004D4437" w:rsidRPr="00A96949">
        <w:rPr>
          <w:rFonts w:ascii="Verdana" w:hAnsi="Verdana"/>
          <w:sz w:val="18"/>
          <w:szCs w:val="18"/>
        </w:rPr>
        <w:t>more if it pushes that claim to the maximum on appeal.  The bonus from the board’s point of view is</w:t>
      </w:r>
      <w:r w:rsidR="00A279D8" w:rsidRPr="00A96949">
        <w:rPr>
          <w:rFonts w:ascii="Verdana" w:hAnsi="Verdana"/>
          <w:sz w:val="18"/>
          <w:szCs w:val="18"/>
        </w:rPr>
        <w:t xml:space="preserve"> </w:t>
      </w:r>
      <w:r w:rsidR="004D4437" w:rsidRPr="00A96949">
        <w:rPr>
          <w:rFonts w:ascii="Verdana" w:hAnsi="Verdana"/>
          <w:sz w:val="18"/>
          <w:szCs w:val="18"/>
        </w:rPr>
        <w:t xml:space="preserve">that that money would go to its own lawyers rather than to the applicants, thereby creating a disincentive to environmental litigation, which </w:t>
      </w:r>
      <w:r w:rsidR="00A279D8" w:rsidRPr="00A96949">
        <w:rPr>
          <w:rFonts w:ascii="Verdana" w:hAnsi="Verdana"/>
          <w:sz w:val="18"/>
          <w:szCs w:val="18"/>
        </w:rPr>
        <w:t>sceptics</w:t>
      </w:r>
      <w:r w:rsidR="004D4437" w:rsidRPr="00A96949">
        <w:rPr>
          <w:rFonts w:ascii="Verdana" w:hAnsi="Verdana"/>
          <w:sz w:val="18"/>
          <w:szCs w:val="18"/>
        </w:rPr>
        <w:t xml:space="preserve"> </w:t>
      </w:r>
      <w:r w:rsidR="008C2577" w:rsidRPr="00A96949">
        <w:rPr>
          <w:rFonts w:ascii="Verdana" w:hAnsi="Verdana"/>
          <w:sz w:val="18"/>
          <w:szCs w:val="18"/>
        </w:rPr>
        <w:t>might suspect</w:t>
      </w:r>
      <w:r w:rsidR="004D4437" w:rsidRPr="00A96949">
        <w:rPr>
          <w:rFonts w:ascii="Verdana" w:hAnsi="Verdana"/>
          <w:sz w:val="18"/>
          <w:szCs w:val="18"/>
        </w:rPr>
        <w:t xml:space="preserve"> </w:t>
      </w:r>
      <w:r w:rsidR="00B67C57">
        <w:rPr>
          <w:rFonts w:ascii="Verdana" w:hAnsi="Verdana"/>
          <w:sz w:val="18"/>
          <w:szCs w:val="18"/>
        </w:rPr>
        <w:t xml:space="preserve">to </w:t>
      </w:r>
      <w:proofErr w:type="gramStart"/>
      <w:r w:rsidR="00B67C57">
        <w:rPr>
          <w:rFonts w:ascii="Verdana" w:hAnsi="Verdana"/>
          <w:sz w:val="18"/>
          <w:szCs w:val="18"/>
        </w:rPr>
        <w:t>be not be</w:t>
      </w:r>
      <w:proofErr w:type="gramEnd"/>
      <w:r w:rsidR="00B67C57">
        <w:rPr>
          <w:rFonts w:ascii="Verdana" w:hAnsi="Verdana"/>
          <w:sz w:val="18"/>
          <w:szCs w:val="18"/>
        </w:rPr>
        <w:t xml:space="preserve"> wholly disconnected from</w:t>
      </w:r>
      <w:r w:rsidR="004D4437" w:rsidRPr="00A96949">
        <w:rPr>
          <w:rFonts w:ascii="Verdana" w:hAnsi="Verdana"/>
          <w:sz w:val="18"/>
          <w:szCs w:val="18"/>
        </w:rPr>
        <w:t xml:space="preserve"> </w:t>
      </w:r>
      <w:r w:rsidR="00B67C57">
        <w:rPr>
          <w:rFonts w:ascii="Verdana" w:hAnsi="Verdana"/>
          <w:sz w:val="18"/>
          <w:szCs w:val="18"/>
        </w:rPr>
        <w:t xml:space="preserve">the </w:t>
      </w:r>
      <w:r w:rsidR="004D4437" w:rsidRPr="00A96949">
        <w:rPr>
          <w:rFonts w:ascii="Verdana" w:hAnsi="Verdana"/>
          <w:sz w:val="18"/>
          <w:szCs w:val="18"/>
        </w:rPr>
        <w:t xml:space="preserve">real purpose of the exercise.  </w:t>
      </w:r>
      <w:r w:rsidR="008C2577" w:rsidRPr="00A96949">
        <w:rPr>
          <w:rFonts w:ascii="Verdana" w:hAnsi="Verdana"/>
          <w:sz w:val="18"/>
          <w:szCs w:val="18"/>
        </w:rPr>
        <w:t xml:space="preserve"> </w:t>
      </w:r>
    </w:p>
    <w:p w14:paraId="2DA5431D" w14:textId="78C66E31" w:rsidR="004D4437" w:rsidRPr="00A96949" w:rsidRDefault="004D4437"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lastRenderedPageBreak/>
        <w:t>It’s tempting to say</w:t>
      </w:r>
      <w:r w:rsidR="00256F58" w:rsidRPr="00A96949">
        <w:rPr>
          <w:rFonts w:ascii="Verdana" w:hAnsi="Verdana"/>
          <w:sz w:val="18"/>
          <w:szCs w:val="18"/>
        </w:rPr>
        <w:t xml:space="preserve"> </w:t>
      </w:r>
      <w:r w:rsidRPr="00A96949">
        <w:rPr>
          <w:rFonts w:ascii="Verdana" w:hAnsi="Verdana"/>
          <w:sz w:val="18"/>
          <w:szCs w:val="18"/>
        </w:rPr>
        <w:t xml:space="preserve">that since the applicant in </w:t>
      </w:r>
      <w:r w:rsidRPr="00A96949">
        <w:rPr>
          <w:rFonts w:ascii="Verdana" w:hAnsi="Verdana"/>
          <w:i/>
          <w:iCs/>
          <w:sz w:val="18"/>
          <w:szCs w:val="18"/>
        </w:rPr>
        <w:t>Connelly</w:t>
      </w:r>
      <w:r w:rsidRPr="00A96949">
        <w:rPr>
          <w:rFonts w:ascii="Verdana" w:hAnsi="Verdana"/>
          <w:sz w:val="18"/>
          <w:szCs w:val="18"/>
        </w:rPr>
        <w:t xml:space="preserve"> won 10% of her case and got 75% of her costs, anyone who wins </w:t>
      </w:r>
      <w:r w:rsidR="00B67C57">
        <w:rPr>
          <w:rFonts w:ascii="Verdana" w:hAnsi="Verdana"/>
          <w:sz w:val="18"/>
          <w:szCs w:val="18"/>
        </w:rPr>
        <w:t>1</w:t>
      </w:r>
      <w:r w:rsidR="00871A6F">
        <w:rPr>
          <w:rFonts w:ascii="Verdana" w:hAnsi="Verdana"/>
          <w:sz w:val="18"/>
          <w:szCs w:val="18"/>
        </w:rPr>
        <w:t>3</w:t>
      </w:r>
      <w:r w:rsidR="00B67C57">
        <w:rPr>
          <w:rFonts w:ascii="Verdana" w:hAnsi="Verdana"/>
          <w:sz w:val="18"/>
          <w:szCs w:val="18"/>
        </w:rPr>
        <w:t>.</w:t>
      </w:r>
      <w:r w:rsidR="00871A6F">
        <w:rPr>
          <w:rFonts w:ascii="Verdana" w:hAnsi="Verdana"/>
          <w:sz w:val="18"/>
          <w:szCs w:val="18"/>
        </w:rPr>
        <w:t>3</w:t>
      </w:r>
      <w:r w:rsidRPr="00A96949">
        <w:rPr>
          <w:rFonts w:ascii="Verdana" w:hAnsi="Verdana"/>
          <w:sz w:val="18"/>
          <w:szCs w:val="18"/>
        </w:rPr>
        <w:t xml:space="preserve">% or more </w:t>
      </w:r>
      <w:r w:rsidR="00256F58" w:rsidRPr="00A96949">
        <w:rPr>
          <w:rFonts w:ascii="Verdana" w:hAnsi="Verdana"/>
          <w:sz w:val="18"/>
          <w:szCs w:val="18"/>
        </w:rPr>
        <w:t xml:space="preserve">of an environmental </w:t>
      </w:r>
      <w:r w:rsidR="00A279D8" w:rsidRPr="00A96949">
        <w:rPr>
          <w:rFonts w:ascii="Verdana" w:hAnsi="Verdana"/>
          <w:sz w:val="18"/>
          <w:szCs w:val="18"/>
        </w:rPr>
        <w:t>case</w:t>
      </w:r>
      <w:r w:rsidR="00256F58" w:rsidRPr="00A96949">
        <w:rPr>
          <w:rFonts w:ascii="Verdana" w:hAnsi="Verdana"/>
          <w:sz w:val="18"/>
          <w:szCs w:val="18"/>
        </w:rPr>
        <w:t xml:space="preserve"> </w:t>
      </w:r>
      <w:r w:rsidRPr="00A96949">
        <w:rPr>
          <w:rFonts w:ascii="Verdana" w:hAnsi="Verdana"/>
          <w:sz w:val="18"/>
          <w:szCs w:val="18"/>
        </w:rPr>
        <w:t xml:space="preserve">should get 100% of their costs. </w:t>
      </w:r>
      <w:r w:rsidR="00256F58" w:rsidRPr="00A96949">
        <w:rPr>
          <w:rFonts w:ascii="Verdana" w:hAnsi="Verdana"/>
          <w:sz w:val="18"/>
          <w:szCs w:val="18"/>
        </w:rPr>
        <w:t xml:space="preserve"> But obviously I’m not going to be that simplistic.  What I would say however is that in order to justify the downsides of the discounting exercise and to overcome all of the factors that apply in the special context of environmental litigation covered by s. 50B of the 2000 Act or the Environment (Miscellaneous Provisions) Act 2011 (which are specifically </w:t>
      </w:r>
      <w:r w:rsidR="00B67C57">
        <w:rPr>
          <w:rFonts w:ascii="Verdana" w:hAnsi="Verdana"/>
          <w:sz w:val="18"/>
          <w:szCs w:val="18"/>
        </w:rPr>
        <w:t xml:space="preserve">and expressly </w:t>
      </w:r>
      <w:r w:rsidR="00256F58" w:rsidRPr="00A96949">
        <w:rPr>
          <w:rFonts w:ascii="Verdana" w:hAnsi="Verdana"/>
          <w:sz w:val="18"/>
          <w:szCs w:val="18"/>
        </w:rPr>
        <w:t xml:space="preserve">excluded by the Legal Services Regulation Act 2015 s. 169(5)), a discount </w:t>
      </w:r>
      <w:r w:rsidR="00B67C57">
        <w:rPr>
          <w:rFonts w:ascii="Verdana" w:hAnsi="Verdana"/>
          <w:sz w:val="18"/>
          <w:szCs w:val="18"/>
        </w:rPr>
        <w:t xml:space="preserve">(assuming it is permitted by Aarhus) </w:t>
      </w:r>
      <w:r w:rsidR="00256F58" w:rsidRPr="00A96949">
        <w:rPr>
          <w:rFonts w:ascii="Verdana" w:hAnsi="Verdana"/>
          <w:sz w:val="18"/>
          <w:szCs w:val="18"/>
        </w:rPr>
        <w:t xml:space="preserve">should normally only be considered if an applicant falls significantly short of winning the majority of </w:t>
      </w:r>
      <w:r w:rsidR="00B67C57">
        <w:rPr>
          <w:rFonts w:ascii="Verdana" w:hAnsi="Verdana"/>
          <w:sz w:val="18"/>
          <w:szCs w:val="18"/>
        </w:rPr>
        <w:t>her</w:t>
      </w:r>
      <w:r w:rsidR="00256F58" w:rsidRPr="00A96949">
        <w:rPr>
          <w:rFonts w:ascii="Verdana" w:hAnsi="Verdana"/>
          <w:sz w:val="18"/>
          <w:szCs w:val="18"/>
        </w:rPr>
        <w:t xml:space="preserve"> significant and decided points, best judged </w:t>
      </w:r>
      <w:r w:rsidR="004B606B" w:rsidRPr="00A96949">
        <w:rPr>
          <w:rFonts w:ascii="Verdana" w:hAnsi="Verdana"/>
          <w:sz w:val="18"/>
          <w:szCs w:val="18"/>
        </w:rPr>
        <w:t xml:space="preserve">in the first instance </w:t>
      </w:r>
      <w:r w:rsidR="00B67C57">
        <w:rPr>
          <w:rFonts w:ascii="Verdana" w:hAnsi="Verdana"/>
          <w:sz w:val="18"/>
          <w:szCs w:val="18"/>
        </w:rPr>
        <w:t>with due regard to</w:t>
      </w:r>
      <w:r w:rsidR="00256F58" w:rsidRPr="00A96949">
        <w:rPr>
          <w:rFonts w:ascii="Verdana" w:hAnsi="Verdana"/>
          <w:sz w:val="18"/>
          <w:szCs w:val="18"/>
        </w:rPr>
        <w:t xml:space="preserve"> the amount of space devoted to those points in the principal judgment of the court concerned.  </w:t>
      </w:r>
    </w:p>
    <w:p w14:paraId="530D8469" w14:textId="00915CFB" w:rsidR="004D4437" w:rsidRPr="00A96949" w:rsidRDefault="00256F58"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Neither applicant here is in that category.  On the board’s own </w:t>
      </w:r>
      <w:proofErr w:type="gramStart"/>
      <w:r w:rsidRPr="00A96949">
        <w:rPr>
          <w:rFonts w:ascii="Verdana" w:hAnsi="Verdana"/>
          <w:sz w:val="18"/>
          <w:szCs w:val="18"/>
        </w:rPr>
        <w:t>analysis</w:t>
      </w:r>
      <w:proofErr w:type="gramEnd"/>
      <w:r w:rsidRPr="00A96949">
        <w:rPr>
          <w:rFonts w:ascii="Verdana" w:hAnsi="Verdana"/>
          <w:sz w:val="18"/>
          <w:szCs w:val="18"/>
        </w:rPr>
        <w:t xml:space="preserve"> the applicants in Flannery won a majority of their </w:t>
      </w:r>
      <w:r w:rsidR="00741B9B" w:rsidRPr="00A96949">
        <w:rPr>
          <w:rFonts w:ascii="Verdana" w:hAnsi="Verdana"/>
          <w:sz w:val="18"/>
          <w:szCs w:val="18"/>
        </w:rPr>
        <w:t xml:space="preserve">decided </w:t>
      </w:r>
      <w:r w:rsidRPr="00A96949">
        <w:rPr>
          <w:rFonts w:ascii="Verdana" w:hAnsi="Verdana"/>
          <w:sz w:val="18"/>
          <w:szCs w:val="18"/>
        </w:rPr>
        <w:t xml:space="preserve">points and the applicants in Carroll won half their </w:t>
      </w:r>
      <w:r w:rsidR="00741B9B" w:rsidRPr="00A96949">
        <w:rPr>
          <w:rFonts w:ascii="Verdana" w:hAnsi="Verdana"/>
          <w:sz w:val="18"/>
          <w:szCs w:val="18"/>
        </w:rPr>
        <w:t xml:space="preserve">decided </w:t>
      </w:r>
      <w:r w:rsidRPr="00A96949">
        <w:rPr>
          <w:rFonts w:ascii="Verdana" w:hAnsi="Verdana"/>
          <w:sz w:val="18"/>
          <w:szCs w:val="18"/>
        </w:rPr>
        <w:t xml:space="preserve">points.  </w:t>
      </w:r>
      <w:r w:rsidR="00741B9B" w:rsidRPr="00A96949">
        <w:rPr>
          <w:rFonts w:ascii="Verdana" w:hAnsi="Verdana"/>
          <w:sz w:val="18"/>
          <w:szCs w:val="18"/>
        </w:rPr>
        <w:t xml:space="preserve">That constitutes substantial success which doesn’t </w:t>
      </w:r>
      <w:r w:rsidR="004B606B" w:rsidRPr="00A96949">
        <w:rPr>
          <w:rFonts w:ascii="Verdana" w:hAnsi="Verdana"/>
          <w:sz w:val="18"/>
          <w:szCs w:val="18"/>
        </w:rPr>
        <w:t xml:space="preserve">pressingly </w:t>
      </w:r>
      <w:r w:rsidR="00474A55" w:rsidRPr="00A96949">
        <w:rPr>
          <w:rFonts w:ascii="Verdana" w:hAnsi="Verdana"/>
          <w:sz w:val="18"/>
          <w:szCs w:val="18"/>
        </w:rPr>
        <w:t>compel the court to require</w:t>
      </w:r>
      <w:r w:rsidR="00741B9B" w:rsidRPr="00A96949">
        <w:rPr>
          <w:rFonts w:ascii="Verdana" w:hAnsi="Verdana"/>
          <w:sz w:val="18"/>
          <w:szCs w:val="18"/>
        </w:rPr>
        <w:t xml:space="preserve"> any discounting especially given the </w:t>
      </w:r>
      <w:r w:rsidR="00F8386C" w:rsidRPr="00A96949">
        <w:rPr>
          <w:rFonts w:ascii="Verdana" w:hAnsi="Verdana"/>
          <w:sz w:val="18"/>
          <w:szCs w:val="18"/>
        </w:rPr>
        <w:t xml:space="preserve">costs likely to be incurred if </w:t>
      </w:r>
      <w:r w:rsidR="004B606B" w:rsidRPr="00A96949">
        <w:rPr>
          <w:rFonts w:ascii="Verdana" w:hAnsi="Verdana"/>
          <w:sz w:val="18"/>
          <w:szCs w:val="18"/>
        </w:rPr>
        <w:t>the courts are going to be compelled to under</w:t>
      </w:r>
      <w:r w:rsidR="00C86DEF" w:rsidRPr="00A96949">
        <w:rPr>
          <w:rFonts w:ascii="Verdana" w:hAnsi="Verdana"/>
          <w:sz w:val="18"/>
          <w:szCs w:val="18"/>
        </w:rPr>
        <w:t>take</w:t>
      </w:r>
      <w:r w:rsidR="004B606B" w:rsidRPr="00A96949">
        <w:rPr>
          <w:rFonts w:ascii="Verdana" w:hAnsi="Verdana"/>
          <w:sz w:val="18"/>
          <w:szCs w:val="18"/>
        </w:rPr>
        <w:t xml:space="preserve"> </w:t>
      </w:r>
      <w:r w:rsidR="007E5513">
        <w:rPr>
          <w:rFonts w:ascii="Verdana" w:hAnsi="Verdana"/>
          <w:sz w:val="18"/>
          <w:szCs w:val="18"/>
        </w:rPr>
        <w:t>such an</w:t>
      </w:r>
      <w:r w:rsidR="004B606B" w:rsidRPr="00A96949">
        <w:rPr>
          <w:rFonts w:ascii="Verdana" w:hAnsi="Verdana"/>
          <w:sz w:val="18"/>
          <w:szCs w:val="18"/>
        </w:rPr>
        <w:t xml:space="preserve"> exercise</w:t>
      </w:r>
      <w:r w:rsidR="00F8386C" w:rsidRPr="00A96949">
        <w:rPr>
          <w:rFonts w:ascii="Verdana" w:hAnsi="Verdana"/>
          <w:sz w:val="18"/>
          <w:szCs w:val="18"/>
        </w:rPr>
        <w:t xml:space="preserve">, the special context of environmental litigation, and indeed on the particular facts here the </w:t>
      </w:r>
      <w:r w:rsidR="00F33C25">
        <w:rPr>
          <w:rFonts w:ascii="Verdana" w:hAnsi="Verdana"/>
          <w:sz w:val="18"/>
          <w:szCs w:val="18"/>
        </w:rPr>
        <w:t>point</w:t>
      </w:r>
      <w:r w:rsidR="00F8386C" w:rsidRPr="00A96949">
        <w:rPr>
          <w:rFonts w:ascii="Verdana" w:hAnsi="Verdana"/>
          <w:sz w:val="18"/>
          <w:szCs w:val="18"/>
        </w:rPr>
        <w:t xml:space="preserve"> that the applicants ran their case in an efficient manner.  </w:t>
      </w:r>
    </w:p>
    <w:p w14:paraId="43B47774" w14:textId="213918DD" w:rsidR="00F8386C" w:rsidRPr="00A96949" w:rsidRDefault="00F8386C"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As far as the hearing is concerned, it should be repeated that all three cases were heard in a single hearing over 4 days.  That is </w:t>
      </w:r>
      <w:proofErr w:type="gramStart"/>
      <w:r w:rsidRPr="00A96949">
        <w:rPr>
          <w:rFonts w:ascii="Verdana" w:hAnsi="Verdana"/>
          <w:sz w:val="18"/>
          <w:szCs w:val="18"/>
        </w:rPr>
        <w:t>compactness in itself</w:t>
      </w:r>
      <w:r w:rsidR="00871A6F">
        <w:rPr>
          <w:rFonts w:ascii="Verdana" w:hAnsi="Verdana"/>
          <w:sz w:val="18"/>
          <w:szCs w:val="18"/>
        </w:rPr>
        <w:t xml:space="preserve">, </w:t>
      </w:r>
      <w:r w:rsidR="007E5513">
        <w:rPr>
          <w:rFonts w:ascii="Verdana" w:hAnsi="Verdana"/>
          <w:sz w:val="18"/>
          <w:szCs w:val="18"/>
        </w:rPr>
        <w:t>much</w:t>
      </w:r>
      <w:proofErr w:type="gramEnd"/>
      <w:r w:rsidR="00A279D8" w:rsidRPr="00A96949">
        <w:rPr>
          <w:rFonts w:ascii="Verdana" w:hAnsi="Verdana"/>
          <w:sz w:val="18"/>
          <w:szCs w:val="18"/>
        </w:rPr>
        <w:t xml:space="preserve"> of which is down to </w:t>
      </w:r>
      <w:r w:rsidR="00F2092D" w:rsidRPr="00A96949">
        <w:rPr>
          <w:rFonts w:ascii="Verdana" w:hAnsi="Verdana"/>
          <w:sz w:val="18"/>
          <w:szCs w:val="18"/>
        </w:rPr>
        <w:t xml:space="preserve">the requirements of </w:t>
      </w:r>
      <w:r w:rsidR="00A279D8" w:rsidRPr="00A96949">
        <w:rPr>
          <w:rFonts w:ascii="Verdana" w:hAnsi="Verdana"/>
          <w:sz w:val="18"/>
          <w:szCs w:val="18"/>
        </w:rPr>
        <w:t>recent Practice Directions in the list issued by Irvine P</w:t>
      </w:r>
      <w:r w:rsidRPr="00A96949">
        <w:rPr>
          <w:rFonts w:ascii="Verdana" w:hAnsi="Verdana"/>
          <w:sz w:val="18"/>
          <w:szCs w:val="18"/>
        </w:rPr>
        <w:t>.</w:t>
      </w:r>
      <w:r w:rsidR="007E5513">
        <w:rPr>
          <w:rFonts w:ascii="Verdana" w:hAnsi="Verdana"/>
          <w:sz w:val="18"/>
          <w:szCs w:val="18"/>
        </w:rPr>
        <w:t xml:space="preserve"> which have had the overall effect of reducing hearing times, and therefore costs, very significantl</w:t>
      </w:r>
      <w:r w:rsidR="00871A6F">
        <w:rPr>
          <w:rFonts w:ascii="Verdana" w:hAnsi="Verdana"/>
          <w:sz w:val="18"/>
          <w:szCs w:val="18"/>
        </w:rPr>
        <w:t>y.  I</w:t>
      </w:r>
      <w:r w:rsidR="007E5513">
        <w:rPr>
          <w:rFonts w:ascii="Verdana" w:hAnsi="Verdana"/>
          <w:sz w:val="18"/>
          <w:szCs w:val="18"/>
        </w:rPr>
        <w:t>t could legitimately be said that the board can regard that saving as money in its pocket already in relation to this case</w:t>
      </w:r>
      <w:r w:rsidR="00871A6F">
        <w:rPr>
          <w:rFonts w:ascii="Verdana" w:hAnsi="Verdana"/>
          <w:sz w:val="18"/>
          <w:szCs w:val="18"/>
        </w:rPr>
        <w:t xml:space="preserve"> among others</w:t>
      </w:r>
      <w:r w:rsidR="00F2092D" w:rsidRPr="00A96949">
        <w:rPr>
          <w:rFonts w:ascii="Verdana" w:hAnsi="Verdana"/>
          <w:sz w:val="18"/>
          <w:szCs w:val="18"/>
        </w:rPr>
        <w:t>.</w:t>
      </w:r>
      <w:r w:rsidRPr="00A96949">
        <w:rPr>
          <w:rFonts w:ascii="Verdana" w:hAnsi="Verdana"/>
          <w:sz w:val="18"/>
          <w:szCs w:val="18"/>
        </w:rPr>
        <w:t xml:space="preserve">  The best available record is that time was consumed by the applicants (including replies) is as follows: </w:t>
      </w:r>
    </w:p>
    <w:p w14:paraId="7D576AB0" w14:textId="6F7C1B37" w:rsidR="00F8386C" w:rsidRPr="00A96949" w:rsidRDefault="00F8386C" w:rsidP="00247458">
      <w:pPr>
        <w:pStyle w:val="ListParagraph"/>
        <w:numPr>
          <w:ilvl w:val="0"/>
          <w:numId w:val="17"/>
        </w:numPr>
        <w:spacing w:after="240" w:line="360" w:lineRule="auto"/>
        <w:ind w:left="1418" w:hanging="567"/>
        <w:contextualSpacing w:val="0"/>
        <w:jc w:val="both"/>
        <w:rPr>
          <w:rFonts w:ascii="Verdana" w:hAnsi="Verdana"/>
          <w:sz w:val="18"/>
          <w:szCs w:val="18"/>
        </w:rPr>
      </w:pPr>
      <w:r w:rsidRPr="00A96949">
        <w:rPr>
          <w:rFonts w:ascii="Verdana" w:hAnsi="Verdana"/>
          <w:sz w:val="18"/>
          <w:szCs w:val="18"/>
        </w:rPr>
        <w:t>applicant in O’Sullivan</w:t>
      </w:r>
      <w:r w:rsidR="00EE3541" w:rsidRPr="00A96949">
        <w:rPr>
          <w:rFonts w:ascii="Verdana" w:hAnsi="Verdana"/>
          <w:iCs/>
          <w:sz w:val="18"/>
          <w:szCs w:val="18"/>
        </w:rPr>
        <w:t xml:space="preserve"> (worth mentioning for comparison),</w:t>
      </w:r>
      <w:r w:rsidRPr="00A96949">
        <w:rPr>
          <w:rFonts w:ascii="Verdana" w:hAnsi="Verdana"/>
          <w:i/>
          <w:sz w:val="18"/>
          <w:szCs w:val="18"/>
        </w:rPr>
        <w:t xml:space="preserve"> </w:t>
      </w:r>
      <w:r w:rsidRPr="00A96949">
        <w:rPr>
          <w:rFonts w:ascii="Verdana" w:hAnsi="Verdana"/>
          <w:sz w:val="18"/>
          <w:szCs w:val="18"/>
        </w:rPr>
        <w:t xml:space="preserve">two hours and ten </w:t>
      </w:r>
      <w:proofErr w:type="gramStart"/>
      <w:r w:rsidRPr="00A96949">
        <w:rPr>
          <w:rFonts w:ascii="Verdana" w:hAnsi="Verdana"/>
          <w:sz w:val="18"/>
          <w:szCs w:val="18"/>
        </w:rPr>
        <w:t>minutes;</w:t>
      </w:r>
      <w:proofErr w:type="gramEnd"/>
      <w:r w:rsidRPr="00A96949">
        <w:rPr>
          <w:rFonts w:ascii="Verdana" w:hAnsi="Verdana"/>
          <w:sz w:val="18"/>
          <w:szCs w:val="18"/>
        </w:rPr>
        <w:t xml:space="preserve"> </w:t>
      </w:r>
    </w:p>
    <w:p w14:paraId="1DA4E211" w14:textId="77777777" w:rsidR="00F8386C" w:rsidRPr="00A96949" w:rsidRDefault="00F8386C" w:rsidP="00247458">
      <w:pPr>
        <w:pStyle w:val="ListParagraph"/>
        <w:numPr>
          <w:ilvl w:val="0"/>
          <w:numId w:val="17"/>
        </w:numPr>
        <w:spacing w:after="240" w:line="360" w:lineRule="auto"/>
        <w:ind w:left="1418" w:hanging="567"/>
        <w:contextualSpacing w:val="0"/>
        <w:jc w:val="both"/>
        <w:rPr>
          <w:rFonts w:ascii="Verdana" w:hAnsi="Verdana"/>
          <w:sz w:val="18"/>
          <w:szCs w:val="18"/>
        </w:rPr>
      </w:pPr>
      <w:r w:rsidRPr="00A96949">
        <w:rPr>
          <w:rFonts w:ascii="Verdana" w:hAnsi="Verdana"/>
          <w:sz w:val="18"/>
          <w:szCs w:val="18"/>
        </w:rPr>
        <w:t>applicants in Flannery</w:t>
      </w:r>
      <w:r w:rsidRPr="00A96949">
        <w:rPr>
          <w:rFonts w:ascii="Verdana" w:hAnsi="Verdana"/>
          <w:iCs/>
          <w:sz w:val="18"/>
          <w:szCs w:val="18"/>
        </w:rPr>
        <w:t>,</w:t>
      </w:r>
      <w:r w:rsidRPr="00A96949">
        <w:rPr>
          <w:rFonts w:ascii="Verdana" w:hAnsi="Verdana"/>
          <w:i/>
          <w:sz w:val="18"/>
          <w:szCs w:val="18"/>
        </w:rPr>
        <w:t xml:space="preserve"> </w:t>
      </w:r>
      <w:r w:rsidRPr="00A96949">
        <w:rPr>
          <w:rFonts w:ascii="Verdana" w:hAnsi="Verdana"/>
          <w:sz w:val="18"/>
          <w:szCs w:val="18"/>
        </w:rPr>
        <w:t xml:space="preserve">three </w:t>
      </w:r>
      <w:proofErr w:type="gramStart"/>
      <w:r w:rsidRPr="00A96949">
        <w:rPr>
          <w:rFonts w:ascii="Verdana" w:hAnsi="Verdana"/>
          <w:sz w:val="18"/>
          <w:szCs w:val="18"/>
        </w:rPr>
        <w:t>hours;</w:t>
      </w:r>
      <w:proofErr w:type="gramEnd"/>
      <w:r w:rsidRPr="00A96949">
        <w:rPr>
          <w:rFonts w:ascii="Verdana" w:hAnsi="Verdana"/>
          <w:sz w:val="18"/>
          <w:szCs w:val="18"/>
        </w:rPr>
        <w:t xml:space="preserve"> </w:t>
      </w:r>
    </w:p>
    <w:p w14:paraId="59817107" w14:textId="45F43098" w:rsidR="00F8386C" w:rsidRPr="00A96949" w:rsidRDefault="00F8386C" w:rsidP="00247458">
      <w:pPr>
        <w:pStyle w:val="ListParagraph"/>
        <w:numPr>
          <w:ilvl w:val="0"/>
          <w:numId w:val="17"/>
        </w:numPr>
        <w:spacing w:after="240" w:line="360" w:lineRule="auto"/>
        <w:ind w:left="1418" w:hanging="567"/>
        <w:contextualSpacing w:val="0"/>
        <w:jc w:val="both"/>
        <w:rPr>
          <w:rFonts w:ascii="Verdana" w:hAnsi="Verdana"/>
          <w:sz w:val="18"/>
          <w:szCs w:val="18"/>
        </w:rPr>
      </w:pPr>
      <w:r w:rsidRPr="00A96949">
        <w:rPr>
          <w:rFonts w:ascii="Verdana" w:hAnsi="Verdana"/>
          <w:sz w:val="18"/>
          <w:szCs w:val="18"/>
        </w:rPr>
        <w:t>applicants in Carroll</w:t>
      </w:r>
      <w:r w:rsidRPr="00A96949">
        <w:rPr>
          <w:rFonts w:ascii="Verdana" w:hAnsi="Verdana"/>
          <w:iCs/>
          <w:sz w:val="18"/>
          <w:szCs w:val="18"/>
        </w:rPr>
        <w:t>,</w:t>
      </w:r>
      <w:r w:rsidRPr="00A96949">
        <w:rPr>
          <w:rFonts w:ascii="Verdana" w:hAnsi="Verdana"/>
          <w:i/>
          <w:sz w:val="18"/>
          <w:szCs w:val="18"/>
        </w:rPr>
        <w:t xml:space="preserve"> </w:t>
      </w:r>
      <w:r w:rsidRPr="00A96949">
        <w:rPr>
          <w:rFonts w:ascii="Verdana" w:hAnsi="Verdana"/>
          <w:sz w:val="18"/>
          <w:szCs w:val="18"/>
        </w:rPr>
        <w:t xml:space="preserve">one hour and fifty minutes. </w:t>
      </w:r>
    </w:p>
    <w:p w14:paraId="52EF186C" w14:textId="59AB4477" w:rsidR="00741B9B" w:rsidRPr="00A96949" w:rsidRDefault="00F8386C"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 xml:space="preserve">It must be understood that that is somewhat approximate and that some slightly different calculations were offered, but the foregoing is based on the record kept by the List Registrar, combined my own note, and I think is the best available record.  Lawyers who may be aware of more leisurely presentations in other cases will no doubt be struck by how compact </w:t>
      </w:r>
      <w:proofErr w:type="gramStart"/>
      <w:r w:rsidRPr="00A96949">
        <w:rPr>
          <w:rFonts w:ascii="Verdana" w:hAnsi="Verdana"/>
          <w:sz w:val="18"/>
          <w:szCs w:val="18"/>
        </w:rPr>
        <w:t>all of</w:t>
      </w:r>
      <w:proofErr w:type="gramEnd"/>
      <w:r w:rsidRPr="00A96949">
        <w:rPr>
          <w:rFonts w:ascii="Verdana" w:hAnsi="Verdana"/>
          <w:sz w:val="18"/>
          <w:szCs w:val="18"/>
        </w:rPr>
        <w:t xml:space="preserve"> the submissions on the applicants’ side were.  </w:t>
      </w:r>
      <w:r w:rsidR="007E5513">
        <w:rPr>
          <w:rFonts w:ascii="Verdana" w:hAnsi="Verdana"/>
          <w:sz w:val="18"/>
          <w:szCs w:val="18"/>
        </w:rPr>
        <w:t xml:space="preserve">The 12-day hearing in </w:t>
      </w:r>
      <w:r w:rsidR="007E5513" w:rsidRPr="007E5513">
        <w:rPr>
          <w:rFonts w:ascii="Verdana" w:hAnsi="Verdana"/>
          <w:i/>
          <w:iCs/>
          <w:sz w:val="18"/>
          <w:szCs w:val="18"/>
        </w:rPr>
        <w:t>Joyce-Kemper v. An Bord Pleanála</w:t>
      </w:r>
      <w:r w:rsidR="007E5513">
        <w:rPr>
          <w:rFonts w:ascii="Verdana" w:hAnsi="Verdana"/>
          <w:sz w:val="18"/>
          <w:szCs w:val="18"/>
        </w:rPr>
        <w:t xml:space="preserve"> [2020 No. 22 JR] would not have been that unheard</w:t>
      </w:r>
      <w:r w:rsidR="00F33C25">
        <w:rPr>
          <w:rFonts w:ascii="Verdana" w:hAnsi="Verdana"/>
          <w:sz w:val="18"/>
          <w:szCs w:val="18"/>
        </w:rPr>
        <w:t>-</w:t>
      </w:r>
      <w:r w:rsidR="007E5513">
        <w:rPr>
          <w:rFonts w:ascii="Verdana" w:hAnsi="Verdana"/>
          <w:sz w:val="18"/>
          <w:szCs w:val="18"/>
        </w:rPr>
        <w:t xml:space="preserve">of prior to recent Practice Directions.  </w:t>
      </w:r>
      <w:r w:rsidRPr="00A96949">
        <w:rPr>
          <w:rFonts w:ascii="Verdana" w:hAnsi="Verdana"/>
          <w:sz w:val="18"/>
          <w:szCs w:val="18"/>
        </w:rPr>
        <w:t xml:space="preserve">Focused advocacy is generally effective advocacy, and shorter hearing times benefit all participants.  What happened in this case, at least at the hearing, couldn’t be </w:t>
      </w:r>
      <w:r w:rsidRPr="00A96949">
        <w:rPr>
          <w:rFonts w:ascii="Verdana" w:hAnsi="Verdana"/>
          <w:sz w:val="18"/>
          <w:szCs w:val="18"/>
        </w:rPr>
        <w:lastRenderedPageBreak/>
        <w:t xml:space="preserve">regarded as kitchen-sinking by any means in the sense meant by the Supreme Court in </w:t>
      </w:r>
      <w:r w:rsidRPr="00A96949">
        <w:rPr>
          <w:rFonts w:ascii="Verdana" w:hAnsi="Verdana"/>
          <w:i/>
          <w:iCs/>
          <w:sz w:val="18"/>
          <w:szCs w:val="18"/>
        </w:rPr>
        <w:t>Connelly</w:t>
      </w:r>
      <w:r w:rsidRPr="00A96949">
        <w:rPr>
          <w:rFonts w:ascii="Verdana" w:hAnsi="Verdana"/>
          <w:sz w:val="18"/>
          <w:szCs w:val="18"/>
        </w:rPr>
        <w:t>.</w:t>
      </w:r>
    </w:p>
    <w:p w14:paraId="2937EDE6" w14:textId="2D7F20B4" w:rsidR="009A5067" w:rsidRPr="00A96949" w:rsidRDefault="00F33C25" w:rsidP="00654238">
      <w:pPr>
        <w:pStyle w:val="ListParagraph"/>
        <w:numPr>
          <w:ilvl w:val="0"/>
          <w:numId w:val="4"/>
        </w:numPr>
        <w:spacing w:after="240" w:line="360" w:lineRule="auto"/>
        <w:ind w:left="567" w:hanging="567"/>
        <w:contextualSpacing w:val="0"/>
        <w:jc w:val="both"/>
        <w:rPr>
          <w:rFonts w:ascii="Verdana" w:hAnsi="Verdana"/>
          <w:sz w:val="18"/>
          <w:szCs w:val="18"/>
        </w:rPr>
      </w:pPr>
      <w:r>
        <w:rPr>
          <w:rFonts w:ascii="Verdana" w:hAnsi="Verdana"/>
          <w:sz w:val="18"/>
          <w:szCs w:val="18"/>
        </w:rPr>
        <w:t>In fairness to the applicants, one could mention</w:t>
      </w:r>
      <w:r w:rsidR="009A5067" w:rsidRPr="00A96949">
        <w:rPr>
          <w:rFonts w:ascii="Verdana" w:hAnsi="Verdana"/>
          <w:sz w:val="18"/>
          <w:szCs w:val="18"/>
        </w:rPr>
        <w:t xml:space="preserve"> in passing </w:t>
      </w:r>
      <w:proofErr w:type="gramStart"/>
      <w:r w:rsidR="009A5067" w:rsidRPr="00A96949">
        <w:rPr>
          <w:rFonts w:ascii="Verdana" w:hAnsi="Verdana"/>
          <w:sz w:val="18"/>
          <w:szCs w:val="18"/>
        </w:rPr>
        <w:t>that the board’s submissions</w:t>
      </w:r>
      <w:proofErr w:type="gramEnd"/>
      <w:r w:rsidR="009A5067" w:rsidRPr="00A96949">
        <w:rPr>
          <w:rFonts w:ascii="Verdana" w:hAnsi="Verdana"/>
          <w:sz w:val="18"/>
          <w:szCs w:val="18"/>
        </w:rPr>
        <w:t xml:space="preserve"> took almost two days by comparison.  </w:t>
      </w:r>
      <w:r w:rsidR="00FD6FC0" w:rsidRPr="00A96949">
        <w:rPr>
          <w:rFonts w:ascii="Verdana" w:hAnsi="Verdana"/>
          <w:sz w:val="18"/>
          <w:szCs w:val="18"/>
        </w:rPr>
        <w:t>That isn’t criticism obviously</w:t>
      </w:r>
      <w:r w:rsidR="00CC7016" w:rsidRPr="00A96949">
        <w:rPr>
          <w:rFonts w:ascii="Verdana" w:hAnsi="Verdana"/>
          <w:sz w:val="18"/>
          <w:szCs w:val="18"/>
        </w:rPr>
        <w:t>;</w:t>
      </w:r>
      <w:r w:rsidR="00FD6FC0" w:rsidRPr="00A96949">
        <w:rPr>
          <w:rFonts w:ascii="Verdana" w:hAnsi="Verdana"/>
          <w:sz w:val="18"/>
          <w:szCs w:val="18"/>
        </w:rPr>
        <w:t xml:space="preserve"> no-one could have presented the board’s case more skilfully</w:t>
      </w:r>
      <w:r w:rsidR="00CC7016" w:rsidRPr="00A96949">
        <w:rPr>
          <w:rFonts w:ascii="Verdana" w:hAnsi="Verdana"/>
          <w:sz w:val="18"/>
          <w:szCs w:val="18"/>
        </w:rPr>
        <w:t xml:space="preserve"> or helpfully to the court</w:t>
      </w:r>
      <w:r w:rsidR="00FD6FC0" w:rsidRPr="00A96949">
        <w:rPr>
          <w:rFonts w:ascii="Verdana" w:hAnsi="Verdana"/>
          <w:sz w:val="18"/>
          <w:szCs w:val="18"/>
        </w:rPr>
        <w:t xml:space="preserve"> than their lawyers here.  </w:t>
      </w:r>
    </w:p>
    <w:p w14:paraId="0D56EA1E" w14:textId="7FE46B34" w:rsidR="006D70D2" w:rsidRPr="00A96949" w:rsidRDefault="006D70D2" w:rsidP="00654238">
      <w:pPr>
        <w:pStyle w:val="ListParagraph"/>
        <w:numPr>
          <w:ilvl w:val="0"/>
          <w:numId w:val="4"/>
        </w:numPr>
        <w:spacing w:after="240" w:line="360" w:lineRule="auto"/>
        <w:ind w:left="567" w:hanging="567"/>
        <w:contextualSpacing w:val="0"/>
        <w:jc w:val="both"/>
        <w:rPr>
          <w:rFonts w:ascii="Verdana" w:hAnsi="Verdana"/>
          <w:b/>
          <w:bCs/>
          <w:sz w:val="18"/>
          <w:szCs w:val="18"/>
          <w:u w:val="single"/>
        </w:rPr>
      </w:pPr>
      <w:r w:rsidRPr="00A96949">
        <w:rPr>
          <w:rFonts w:ascii="Verdana" w:hAnsi="Verdana"/>
          <w:sz w:val="18"/>
          <w:szCs w:val="18"/>
        </w:rPr>
        <w:t>Finally</w:t>
      </w:r>
      <w:r w:rsidR="00475E44" w:rsidRPr="00A96949">
        <w:rPr>
          <w:rFonts w:ascii="Verdana" w:hAnsi="Verdana"/>
          <w:sz w:val="18"/>
          <w:szCs w:val="18"/>
        </w:rPr>
        <w:t>,</w:t>
      </w:r>
      <w:r w:rsidRPr="00A96949">
        <w:rPr>
          <w:rFonts w:ascii="Verdana" w:hAnsi="Verdana"/>
          <w:sz w:val="18"/>
          <w:szCs w:val="18"/>
        </w:rPr>
        <w:t xml:space="preserve"> it’s perhaps </w:t>
      </w:r>
      <w:r w:rsidR="00F2092D" w:rsidRPr="00A96949">
        <w:rPr>
          <w:rFonts w:ascii="Verdana" w:hAnsi="Verdana"/>
          <w:sz w:val="18"/>
          <w:szCs w:val="18"/>
        </w:rPr>
        <w:t>worth pointing out</w:t>
      </w:r>
      <w:r w:rsidRPr="00A96949">
        <w:rPr>
          <w:rFonts w:ascii="Verdana" w:hAnsi="Verdana"/>
          <w:sz w:val="18"/>
          <w:szCs w:val="18"/>
        </w:rPr>
        <w:t xml:space="preserve">, especially if I am wrong about everything else, that in a multi-handed hearing, any given applicant is only responsible for the time they themselves consume.  So even if one given applicant was a bit over-loquacious, which I don’t accept, that didn’t make much of a difference here because </w:t>
      </w:r>
      <w:r w:rsidR="00F33C25">
        <w:rPr>
          <w:rFonts w:ascii="Verdana" w:hAnsi="Verdana"/>
          <w:sz w:val="18"/>
          <w:szCs w:val="18"/>
        </w:rPr>
        <w:t>any one party</w:t>
      </w:r>
      <w:r w:rsidRPr="00A96949">
        <w:rPr>
          <w:rFonts w:ascii="Verdana" w:hAnsi="Verdana"/>
          <w:sz w:val="18"/>
          <w:szCs w:val="18"/>
        </w:rPr>
        <w:t xml:space="preserve"> can’t be held responsible for other people’s time consumption.  All parties had to be present throughout given the nature of the hearing involving three cases being dealt with together.  </w:t>
      </w:r>
      <w:r w:rsidR="00D92AFB">
        <w:rPr>
          <w:rFonts w:ascii="Verdana" w:hAnsi="Verdana"/>
          <w:sz w:val="18"/>
          <w:szCs w:val="18"/>
        </w:rPr>
        <w:t xml:space="preserve">It wouldn’t be fair to discount Party A’s costs because of Party B’s loquaciousness over which Party A had no control. </w:t>
      </w:r>
    </w:p>
    <w:p w14:paraId="614BED5F" w14:textId="65C2C92B" w:rsidR="006D70D2" w:rsidRPr="00A96949" w:rsidRDefault="006D70D2" w:rsidP="00654238">
      <w:pPr>
        <w:pStyle w:val="ListParagraph"/>
        <w:numPr>
          <w:ilvl w:val="0"/>
          <w:numId w:val="4"/>
        </w:numPr>
        <w:spacing w:after="240" w:line="360" w:lineRule="auto"/>
        <w:ind w:left="567" w:hanging="567"/>
        <w:contextualSpacing w:val="0"/>
        <w:jc w:val="both"/>
        <w:rPr>
          <w:rFonts w:ascii="Verdana" w:hAnsi="Verdana"/>
          <w:b/>
          <w:bCs/>
          <w:sz w:val="18"/>
          <w:szCs w:val="18"/>
          <w:u w:val="single"/>
        </w:rPr>
      </w:pPr>
      <w:r w:rsidRPr="00A96949">
        <w:rPr>
          <w:rFonts w:ascii="Verdana" w:hAnsi="Verdana"/>
          <w:sz w:val="18"/>
          <w:szCs w:val="18"/>
        </w:rPr>
        <w:t xml:space="preserve">I appreciate that the board is also making a point about unsuccessful points raised in paperwork – the hearing isn’t everything – but </w:t>
      </w:r>
      <w:r w:rsidR="00DF77B5" w:rsidRPr="00A96949">
        <w:rPr>
          <w:rFonts w:ascii="Verdana" w:hAnsi="Verdana"/>
          <w:sz w:val="18"/>
          <w:szCs w:val="18"/>
        </w:rPr>
        <w:t>on the</w:t>
      </w:r>
      <w:r w:rsidRPr="00A96949">
        <w:rPr>
          <w:rFonts w:ascii="Verdana" w:hAnsi="Verdana"/>
          <w:sz w:val="18"/>
          <w:szCs w:val="18"/>
        </w:rPr>
        <w:t xml:space="preserve"> costs </w:t>
      </w:r>
      <w:r w:rsidR="00DF77B5" w:rsidRPr="00A96949">
        <w:rPr>
          <w:rFonts w:ascii="Verdana" w:hAnsi="Verdana"/>
          <w:sz w:val="18"/>
          <w:szCs w:val="18"/>
        </w:rPr>
        <w:t>menu</w:t>
      </w:r>
      <w:r w:rsidRPr="00A96949">
        <w:rPr>
          <w:rFonts w:ascii="Verdana" w:hAnsi="Verdana"/>
          <w:sz w:val="18"/>
          <w:szCs w:val="18"/>
        </w:rPr>
        <w:t xml:space="preserve"> it is generally the main </w:t>
      </w:r>
      <w:r w:rsidR="00DF77B5" w:rsidRPr="00A96949">
        <w:rPr>
          <w:rFonts w:ascii="Verdana" w:hAnsi="Verdana"/>
          <w:sz w:val="18"/>
          <w:szCs w:val="18"/>
        </w:rPr>
        <w:t>course</w:t>
      </w:r>
      <w:r w:rsidRPr="00A96949">
        <w:rPr>
          <w:rFonts w:ascii="Verdana" w:hAnsi="Verdana"/>
          <w:sz w:val="18"/>
          <w:szCs w:val="18"/>
        </w:rPr>
        <w:t xml:space="preserve">.  There were not so many </w:t>
      </w:r>
      <w:r w:rsidR="00420FE4" w:rsidRPr="00A96949">
        <w:rPr>
          <w:rFonts w:ascii="Verdana" w:hAnsi="Verdana"/>
          <w:sz w:val="18"/>
          <w:szCs w:val="18"/>
        </w:rPr>
        <w:t>unsuccessful</w:t>
      </w:r>
      <w:r w:rsidRPr="00A96949">
        <w:rPr>
          <w:rFonts w:ascii="Verdana" w:hAnsi="Verdana"/>
          <w:sz w:val="18"/>
          <w:szCs w:val="18"/>
        </w:rPr>
        <w:t xml:space="preserve"> points raised in paperwork as to push the applicants into a situation where </w:t>
      </w:r>
      <w:proofErr w:type="gramStart"/>
      <w:r w:rsidR="00DF77B5" w:rsidRPr="00A96949">
        <w:rPr>
          <w:rFonts w:ascii="Verdana" w:hAnsi="Verdana"/>
          <w:sz w:val="18"/>
          <w:szCs w:val="18"/>
        </w:rPr>
        <w:t>the large majority</w:t>
      </w:r>
      <w:r w:rsidRPr="00A96949">
        <w:rPr>
          <w:rFonts w:ascii="Verdana" w:hAnsi="Verdana"/>
          <w:sz w:val="18"/>
          <w:szCs w:val="18"/>
        </w:rPr>
        <w:t xml:space="preserve"> of</w:t>
      </w:r>
      <w:proofErr w:type="gramEnd"/>
      <w:r w:rsidRPr="00A96949">
        <w:rPr>
          <w:rFonts w:ascii="Verdana" w:hAnsi="Verdana"/>
          <w:sz w:val="18"/>
          <w:szCs w:val="18"/>
        </w:rPr>
        <w:t xml:space="preserve"> their points failed</w:t>
      </w:r>
      <w:r w:rsidR="00420FE4" w:rsidRPr="00A96949">
        <w:rPr>
          <w:rFonts w:ascii="Verdana" w:hAnsi="Verdana"/>
          <w:sz w:val="18"/>
          <w:szCs w:val="18"/>
        </w:rPr>
        <w:t xml:space="preserve"> or where it would be necessary to disallow some of their costs.  In the paperwork context anyway, most papers would have to be submitted in any event, such as statements of grounds, affidavits, written submissions.  Maybe the content would be less complicated but much of the cost would be incurred on any scenario.</w:t>
      </w:r>
      <w:r w:rsidRPr="00A96949">
        <w:rPr>
          <w:rFonts w:ascii="Verdana" w:hAnsi="Verdana"/>
          <w:sz w:val="18"/>
          <w:szCs w:val="18"/>
        </w:rPr>
        <w:t xml:space="preserve"> </w:t>
      </w:r>
    </w:p>
    <w:p w14:paraId="62717F4D" w14:textId="53BC43B8" w:rsidR="00F2092D" w:rsidRPr="00A96949" w:rsidRDefault="00F2092D" w:rsidP="00654238">
      <w:pPr>
        <w:pStyle w:val="ListParagraph"/>
        <w:numPr>
          <w:ilvl w:val="0"/>
          <w:numId w:val="4"/>
        </w:numPr>
        <w:spacing w:after="240" w:line="360" w:lineRule="auto"/>
        <w:ind w:left="567" w:hanging="567"/>
        <w:contextualSpacing w:val="0"/>
        <w:jc w:val="both"/>
        <w:rPr>
          <w:rFonts w:ascii="Verdana" w:hAnsi="Verdana"/>
          <w:b/>
          <w:bCs/>
          <w:sz w:val="18"/>
          <w:szCs w:val="18"/>
          <w:u w:val="single"/>
        </w:rPr>
      </w:pPr>
      <w:r w:rsidRPr="00A96949">
        <w:rPr>
          <w:rFonts w:ascii="Verdana" w:hAnsi="Verdana"/>
          <w:sz w:val="18"/>
          <w:szCs w:val="18"/>
        </w:rPr>
        <w:t xml:space="preserve">And before concluding under this heading it is important to record that the applicants in Flannery had a fall-back argument that in the light of the fact that Aarhus wasn’t argued in the costs ruling in </w:t>
      </w:r>
      <w:r w:rsidRPr="00A96949">
        <w:rPr>
          <w:rFonts w:ascii="Verdana" w:hAnsi="Verdana"/>
          <w:i/>
          <w:iCs/>
          <w:sz w:val="18"/>
          <w:szCs w:val="18"/>
        </w:rPr>
        <w:t>Connelly</w:t>
      </w:r>
      <w:r w:rsidRPr="00A96949">
        <w:rPr>
          <w:rFonts w:ascii="Verdana" w:hAnsi="Verdana"/>
          <w:sz w:val="18"/>
          <w:szCs w:val="18"/>
        </w:rPr>
        <w:t xml:space="preserve">, if and insofar as discounting is envisaged by </w:t>
      </w:r>
      <w:r w:rsidRPr="00A96949">
        <w:rPr>
          <w:rFonts w:ascii="Verdana" w:hAnsi="Verdana"/>
          <w:i/>
          <w:iCs/>
          <w:sz w:val="18"/>
          <w:szCs w:val="18"/>
        </w:rPr>
        <w:t>Connelly</w:t>
      </w:r>
      <w:r w:rsidRPr="00A96949">
        <w:rPr>
          <w:rFonts w:ascii="Verdana" w:hAnsi="Verdana"/>
          <w:sz w:val="18"/>
          <w:szCs w:val="18"/>
        </w:rPr>
        <w:t xml:space="preserve">, this could create a breach of Aarhus.  That argument now largely doesn’t arise, because even applying </w:t>
      </w:r>
      <w:r w:rsidRPr="00A96949">
        <w:rPr>
          <w:rFonts w:ascii="Verdana" w:hAnsi="Verdana"/>
          <w:i/>
          <w:iCs/>
          <w:sz w:val="18"/>
          <w:szCs w:val="18"/>
        </w:rPr>
        <w:t>Connelly</w:t>
      </w:r>
      <w:r w:rsidRPr="00A96949">
        <w:rPr>
          <w:rFonts w:ascii="Verdana" w:hAnsi="Verdana"/>
          <w:sz w:val="18"/>
          <w:szCs w:val="18"/>
        </w:rPr>
        <w:t xml:space="preserve"> here I don’t think there is a compelling case for</w:t>
      </w:r>
      <w:r w:rsidR="00E3608C" w:rsidRPr="00A96949">
        <w:rPr>
          <w:rFonts w:ascii="Verdana" w:hAnsi="Verdana"/>
          <w:sz w:val="18"/>
          <w:szCs w:val="18"/>
        </w:rPr>
        <w:t xml:space="preserve"> me to be required to exercise my costs discretion to demand</w:t>
      </w:r>
      <w:r w:rsidRPr="00A96949">
        <w:rPr>
          <w:rFonts w:ascii="Verdana" w:hAnsi="Verdana"/>
          <w:sz w:val="18"/>
          <w:szCs w:val="18"/>
        </w:rPr>
        <w:t xml:space="preserve"> discounting, so I don’t need to consider any point not argued or decided in </w:t>
      </w:r>
      <w:r w:rsidRPr="00A96949">
        <w:rPr>
          <w:rFonts w:ascii="Verdana" w:hAnsi="Verdana"/>
          <w:i/>
          <w:iCs/>
          <w:sz w:val="18"/>
          <w:szCs w:val="18"/>
        </w:rPr>
        <w:t>Connelly</w:t>
      </w:r>
      <w:r w:rsidRPr="00A96949">
        <w:rPr>
          <w:rFonts w:ascii="Verdana" w:hAnsi="Verdana"/>
          <w:sz w:val="18"/>
          <w:szCs w:val="18"/>
        </w:rPr>
        <w:t xml:space="preserve"> in that regard.  The Flannery applicants have ensured however that things just couldn’t be left as being that simple though</w:t>
      </w:r>
      <w:r w:rsidR="00420FE4" w:rsidRPr="00A96949">
        <w:rPr>
          <w:rFonts w:ascii="Verdana" w:hAnsi="Verdana"/>
          <w:sz w:val="18"/>
          <w:szCs w:val="18"/>
        </w:rPr>
        <w:t>,</w:t>
      </w:r>
      <w:r w:rsidRPr="00A96949">
        <w:rPr>
          <w:rFonts w:ascii="Verdana" w:hAnsi="Verdana"/>
          <w:sz w:val="18"/>
          <w:szCs w:val="18"/>
        </w:rPr>
        <w:t xml:space="preserve"> because I </w:t>
      </w:r>
      <w:proofErr w:type="gramStart"/>
      <w:r w:rsidRPr="00A96949">
        <w:rPr>
          <w:rFonts w:ascii="Verdana" w:hAnsi="Verdana"/>
          <w:sz w:val="18"/>
          <w:szCs w:val="18"/>
        </w:rPr>
        <w:t>have to</w:t>
      </w:r>
      <w:proofErr w:type="gramEnd"/>
      <w:r w:rsidRPr="00A96949">
        <w:rPr>
          <w:rFonts w:ascii="Verdana" w:hAnsi="Verdana"/>
          <w:sz w:val="18"/>
          <w:szCs w:val="18"/>
        </w:rPr>
        <w:t xml:space="preserve"> add that there is a complication in respect of one point to which I will now turn. </w:t>
      </w:r>
    </w:p>
    <w:p w14:paraId="7BBAA1B9" w14:textId="7D9B6A30" w:rsidR="00C86DEF" w:rsidRPr="00A96949" w:rsidRDefault="00C86DEF" w:rsidP="00247458">
      <w:pPr>
        <w:pStyle w:val="ListParagraph"/>
        <w:spacing w:line="360" w:lineRule="auto"/>
        <w:ind w:left="567" w:hanging="567"/>
        <w:contextualSpacing w:val="0"/>
        <w:jc w:val="both"/>
        <w:rPr>
          <w:rFonts w:ascii="Verdana" w:hAnsi="Verdana"/>
          <w:b/>
          <w:bCs/>
          <w:sz w:val="18"/>
          <w:szCs w:val="18"/>
        </w:rPr>
      </w:pPr>
      <w:r w:rsidRPr="00A96949">
        <w:rPr>
          <w:rFonts w:ascii="Verdana" w:hAnsi="Verdana"/>
          <w:b/>
          <w:bCs/>
          <w:sz w:val="18"/>
          <w:szCs w:val="18"/>
        </w:rPr>
        <w:t>The costs of the interlocutory application</w:t>
      </w:r>
    </w:p>
    <w:p w14:paraId="34A6ECA1" w14:textId="68BE27CA" w:rsidR="00C86DEF" w:rsidRPr="00A96949" w:rsidRDefault="001974E3"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The failed interlocutory application</w:t>
      </w:r>
      <w:r w:rsidR="00D047E8" w:rsidRPr="00A96949">
        <w:rPr>
          <w:rFonts w:ascii="Verdana" w:hAnsi="Verdana"/>
          <w:sz w:val="18"/>
          <w:szCs w:val="18"/>
        </w:rPr>
        <w:t xml:space="preserve"> in Flannery</w:t>
      </w:r>
      <w:r w:rsidRPr="00A96949">
        <w:rPr>
          <w:rFonts w:ascii="Verdana" w:hAnsi="Verdana"/>
          <w:sz w:val="18"/>
          <w:szCs w:val="18"/>
        </w:rPr>
        <w:t xml:space="preserve"> is a different matter and lends itself to being discounted from the general costs order</w:t>
      </w:r>
      <w:r w:rsidR="00D047E8" w:rsidRPr="00A96949">
        <w:rPr>
          <w:rFonts w:ascii="Verdana" w:hAnsi="Verdana"/>
          <w:sz w:val="18"/>
          <w:szCs w:val="18"/>
        </w:rPr>
        <w:t xml:space="preserve"> on an application of </w:t>
      </w:r>
      <w:r w:rsidR="00D047E8" w:rsidRPr="00A96949">
        <w:rPr>
          <w:rFonts w:ascii="Verdana" w:hAnsi="Verdana"/>
          <w:i/>
          <w:iCs/>
          <w:sz w:val="18"/>
          <w:szCs w:val="18"/>
        </w:rPr>
        <w:t>Connelly</w:t>
      </w:r>
      <w:r w:rsidRPr="00A96949">
        <w:rPr>
          <w:rFonts w:ascii="Verdana" w:hAnsi="Verdana"/>
          <w:sz w:val="18"/>
          <w:szCs w:val="18"/>
        </w:rPr>
        <w:t xml:space="preserve">.  </w:t>
      </w:r>
      <w:r w:rsidR="00420FE4" w:rsidRPr="00A96949">
        <w:rPr>
          <w:rFonts w:ascii="Verdana" w:hAnsi="Verdana"/>
          <w:sz w:val="18"/>
          <w:szCs w:val="18"/>
        </w:rPr>
        <w:t xml:space="preserve">That unfortunately </w:t>
      </w:r>
      <w:r w:rsidR="00420FE4" w:rsidRPr="00685E20">
        <w:rPr>
          <w:rFonts w:ascii="Verdana" w:hAnsi="Verdana"/>
          <w:i/>
          <w:iCs/>
          <w:sz w:val="18"/>
          <w:szCs w:val="18"/>
        </w:rPr>
        <w:t>does</w:t>
      </w:r>
      <w:r w:rsidR="00420FE4" w:rsidRPr="00A96949">
        <w:rPr>
          <w:rFonts w:ascii="Verdana" w:hAnsi="Verdana"/>
          <w:sz w:val="18"/>
          <w:szCs w:val="18"/>
        </w:rPr>
        <w:t xml:space="preserve"> potentially raise the question of whether such a discount would trigger an Aarhus issue that, not being argued or decided in </w:t>
      </w:r>
      <w:r w:rsidR="00420FE4" w:rsidRPr="00A96949">
        <w:rPr>
          <w:rFonts w:ascii="Verdana" w:hAnsi="Verdana"/>
          <w:i/>
          <w:iCs/>
          <w:sz w:val="18"/>
          <w:szCs w:val="18"/>
        </w:rPr>
        <w:t>Connelly</w:t>
      </w:r>
      <w:r w:rsidR="00420FE4" w:rsidRPr="00A96949">
        <w:rPr>
          <w:rFonts w:ascii="Verdana" w:hAnsi="Verdana"/>
          <w:sz w:val="18"/>
          <w:szCs w:val="18"/>
        </w:rPr>
        <w:t>, could</w:t>
      </w:r>
      <w:r w:rsidR="00E13E4C">
        <w:rPr>
          <w:rFonts w:ascii="Verdana" w:hAnsi="Verdana"/>
          <w:sz w:val="18"/>
          <w:szCs w:val="18"/>
        </w:rPr>
        <w:t xml:space="preserve"> arguably</w:t>
      </w:r>
      <w:r w:rsidR="00420FE4" w:rsidRPr="00A96949">
        <w:rPr>
          <w:rFonts w:ascii="Verdana" w:hAnsi="Verdana"/>
          <w:sz w:val="18"/>
          <w:szCs w:val="18"/>
        </w:rPr>
        <w:t xml:space="preserve"> now be advanced in respect of this relatively small part of the costs.  </w:t>
      </w:r>
      <w:r w:rsidRPr="00A96949">
        <w:rPr>
          <w:rFonts w:ascii="Verdana" w:hAnsi="Verdana"/>
          <w:sz w:val="18"/>
          <w:szCs w:val="18"/>
        </w:rPr>
        <w:t xml:space="preserve">That potentially involves quite a degree of </w:t>
      </w:r>
      <w:r w:rsidR="00D047E8" w:rsidRPr="00A96949">
        <w:rPr>
          <w:rFonts w:ascii="Verdana" w:hAnsi="Verdana"/>
          <w:sz w:val="18"/>
          <w:szCs w:val="18"/>
        </w:rPr>
        <w:t xml:space="preserve">procedural complication and argument which I am not sure was wholly developed at the hearing.  </w:t>
      </w:r>
    </w:p>
    <w:p w14:paraId="7DE260C1" w14:textId="54916B33" w:rsidR="00D047E8" w:rsidRPr="00A96949" w:rsidRDefault="00D92AFB" w:rsidP="00654238">
      <w:pPr>
        <w:pStyle w:val="ListParagraph"/>
        <w:numPr>
          <w:ilvl w:val="0"/>
          <w:numId w:val="4"/>
        </w:numPr>
        <w:spacing w:after="240" w:line="360" w:lineRule="auto"/>
        <w:ind w:left="567" w:hanging="567"/>
        <w:contextualSpacing w:val="0"/>
        <w:jc w:val="both"/>
        <w:rPr>
          <w:rFonts w:ascii="Verdana" w:hAnsi="Verdana"/>
          <w:sz w:val="18"/>
          <w:szCs w:val="18"/>
        </w:rPr>
      </w:pPr>
      <w:r>
        <w:rPr>
          <w:rFonts w:ascii="Verdana" w:hAnsi="Verdana"/>
          <w:sz w:val="18"/>
          <w:szCs w:val="18"/>
        </w:rPr>
        <w:t xml:space="preserve">The immediate problem for the applicants is that there isn’t </w:t>
      </w:r>
      <w:proofErr w:type="gramStart"/>
      <w:r>
        <w:rPr>
          <w:rFonts w:ascii="Verdana" w:hAnsi="Verdana"/>
          <w:sz w:val="18"/>
          <w:szCs w:val="18"/>
        </w:rPr>
        <w:t xml:space="preserve">really </w:t>
      </w:r>
      <w:r w:rsidR="00AF2F6E">
        <w:rPr>
          <w:rFonts w:ascii="Verdana" w:hAnsi="Verdana"/>
          <w:sz w:val="18"/>
          <w:szCs w:val="18"/>
        </w:rPr>
        <w:t>much</w:t>
      </w:r>
      <w:proofErr w:type="gramEnd"/>
      <w:r w:rsidR="00AF2F6E">
        <w:rPr>
          <w:rFonts w:ascii="Verdana" w:hAnsi="Verdana"/>
          <w:sz w:val="18"/>
          <w:szCs w:val="18"/>
        </w:rPr>
        <w:t xml:space="preserve"> in the way of an</w:t>
      </w:r>
      <w:r>
        <w:rPr>
          <w:rFonts w:ascii="Verdana" w:hAnsi="Verdana"/>
          <w:sz w:val="18"/>
          <w:szCs w:val="18"/>
        </w:rPr>
        <w:t xml:space="preserve"> evidential basis for this claim.  </w:t>
      </w:r>
      <w:r w:rsidR="00AF2F6E">
        <w:rPr>
          <w:rFonts w:ascii="Verdana" w:hAnsi="Verdana"/>
          <w:sz w:val="18"/>
          <w:szCs w:val="18"/>
        </w:rPr>
        <w:t xml:space="preserve">But before making a final decision on that point I think it would </w:t>
      </w:r>
      <w:r w:rsidR="00AF2F6E">
        <w:rPr>
          <w:rFonts w:ascii="Verdana" w:hAnsi="Verdana"/>
          <w:sz w:val="18"/>
          <w:szCs w:val="18"/>
        </w:rPr>
        <w:lastRenderedPageBreak/>
        <w:t xml:space="preserve">be desirable to have further focused submissions on what exactly would be the essential </w:t>
      </w:r>
      <w:r w:rsidR="00F33C25">
        <w:rPr>
          <w:rFonts w:ascii="Verdana" w:hAnsi="Verdana"/>
          <w:sz w:val="18"/>
          <w:szCs w:val="18"/>
        </w:rPr>
        <w:t xml:space="preserve">factual </w:t>
      </w:r>
      <w:r w:rsidR="00AF2F6E">
        <w:rPr>
          <w:rFonts w:ascii="Verdana" w:hAnsi="Verdana"/>
          <w:sz w:val="18"/>
          <w:szCs w:val="18"/>
        </w:rPr>
        <w:t xml:space="preserve">proofs, if any, before such a legal point could be made, if the applicant wishes to pursue this point in the light of the present judgment.  The parties might endeavour to agree a sequence for short submissions on this point, preferably to be delivered before the next mention date.  </w:t>
      </w:r>
    </w:p>
    <w:p w14:paraId="65337A78" w14:textId="434AF695" w:rsidR="00756006" w:rsidRPr="00A96949" w:rsidRDefault="00756006" w:rsidP="007B453C">
      <w:pPr>
        <w:pStyle w:val="ListParagraph"/>
        <w:spacing w:line="360" w:lineRule="auto"/>
        <w:ind w:left="567" w:hanging="567"/>
        <w:contextualSpacing w:val="0"/>
        <w:jc w:val="both"/>
        <w:rPr>
          <w:rFonts w:ascii="Verdana" w:hAnsi="Verdana"/>
          <w:b/>
          <w:sz w:val="18"/>
          <w:szCs w:val="18"/>
        </w:rPr>
      </w:pPr>
      <w:r w:rsidRPr="00A96949">
        <w:rPr>
          <w:rFonts w:ascii="Verdana" w:hAnsi="Verdana"/>
          <w:b/>
          <w:sz w:val="18"/>
          <w:szCs w:val="18"/>
        </w:rPr>
        <w:t>Order</w:t>
      </w:r>
    </w:p>
    <w:p w14:paraId="099BCEC3" w14:textId="22555B68" w:rsidR="00756006" w:rsidRPr="00A96949" w:rsidRDefault="005E70A1" w:rsidP="00654238">
      <w:pPr>
        <w:pStyle w:val="ListParagraph"/>
        <w:numPr>
          <w:ilvl w:val="0"/>
          <w:numId w:val="4"/>
        </w:numPr>
        <w:spacing w:after="240" w:line="360" w:lineRule="auto"/>
        <w:ind w:left="567" w:hanging="567"/>
        <w:contextualSpacing w:val="0"/>
        <w:jc w:val="both"/>
        <w:rPr>
          <w:rFonts w:ascii="Verdana" w:hAnsi="Verdana"/>
          <w:sz w:val="18"/>
          <w:szCs w:val="18"/>
        </w:rPr>
      </w:pPr>
      <w:r w:rsidRPr="00A96949">
        <w:rPr>
          <w:rFonts w:ascii="Verdana" w:hAnsi="Verdana"/>
          <w:sz w:val="18"/>
          <w:szCs w:val="18"/>
        </w:rPr>
        <w:t>For the reasons outlined</w:t>
      </w:r>
      <w:r w:rsidR="005E05B6" w:rsidRPr="00A96949">
        <w:rPr>
          <w:rFonts w:ascii="Verdana" w:hAnsi="Verdana"/>
          <w:sz w:val="18"/>
          <w:szCs w:val="18"/>
        </w:rPr>
        <w:t>,</w:t>
      </w:r>
      <w:r w:rsidR="007455F2" w:rsidRPr="00A96949">
        <w:rPr>
          <w:rFonts w:ascii="Verdana" w:hAnsi="Verdana"/>
          <w:sz w:val="18"/>
          <w:szCs w:val="18"/>
        </w:rPr>
        <w:t xml:space="preserve"> the order will be as follows: </w:t>
      </w:r>
    </w:p>
    <w:p w14:paraId="69845A6F" w14:textId="63FD8BC4" w:rsidR="001A78D0" w:rsidRPr="00A96949" w:rsidRDefault="00465A52" w:rsidP="007B453C">
      <w:pPr>
        <w:pStyle w:val="ListParagraph"/>
        <w:numPr>
          <w:ilvl w:val="0"/>
          <w:numId w:val="16"/>
        </w:numPr>
        <w:spacing w:after="240" w:line="360" w:lineRule="auto"/>
        <w:ind w:left="1418" w:hanging="567"/>
        <w:contextualSpacing w:val="0"/>
        <w:jc w:val="both"/>
        <w:rPr>
          <w:rFonts w:ascii="Verdana" w:hAnsi="Verdana"/>
          <w:sz w:val="18"/>
          <w:szCs w:val="18"/>
        </w:rPr>
      </w:pPr>
      <w:r w:rsidRPr="00A96949">
        <w:rPr>
          <w:rFonts w:ascii="Verdana" w:hAnsi="Verdana"/>
          <w:sz w:val="18"/>
          <w:szCs w:val="18"/>
        </w:rPr>
        <w:t>i</w:t>
      </w:r>
      <w:r w:rsidR="007455F2" w:rsidRPr="00A96949">
        <w:rPr>
          <w:rFonts w:ascii="Verdana" w:hAnsi="Verdana"/>
          <w:sz w:val="18"/>
          <w:szCs w:val="18"/>
        </w:rPr>
        <w:t>n the Flannery</w:t>
      </w:r>
      <w:r w:rsidR="007455F2" w:rsidRPr="00A96949">
        <w:rPr>
          <w:rFonts w:ascii="Verdana" w:hAnsi="Verdana"/>
          <w:i/>
          <w:sz w:val="18"/>
          <w:szCs w:val="18"/>
        </w:rPr>
        <w:t xml:space="preserve"> </w:t>
      </w:r>
      <w:r w:rsidR="007455F2" w:rsidRPr="00A96949">
        <w:rPr>
          <w:rFonts w:ascii="Verdana" w:hAnsi="Verdana"/>
          <w:sz w:val="18"/>
          <w:szCs w:val="18"/>
        </w:rPr>
        <w:t>case</w:t>
      </w:r>
      <w:r w:rsidR="001A78D0" w:rsidRPr="00A96949">
        <w:rPr>
          <w:rFonts w:ascii="Verdana" w:hAnsi="Verdana"/>
          <w:sz w:val="18"/>
          <w:szCs w:val="18"/>
        </w:rPr>
        <w:t xml:space="preserve">, </w:t>
      </w:r>
      <w:r w:rsidR="0042730D" w:rsidRPr="00A96949">
        <w:rPr>
          <w:rFonts w:ascii="Verdana" w:hAnsi="Verdana"/>
          <w:sz w:val="18"/>
          <w:szCs w:val="18"/>
        </w:rPr>
        <w:t>that:</w:t>
      </w:r>
    </w:p>
    <w:p w14:paraId="287EE556" w14:textId="04D26A63" w:rsidR="001A78D0" w:rsidRPr="00A96949" w:rsidRDefault="001A78D0" w:rsidP="003B6DFF">
      <w:pPr>
        <w:pStyle w:val="ListParagraph"/>
        <w:numPr>
          <w:ilvl w:val="1"/>
          <w:numId w:val="16"/>
        </w:numPr>
        <w:spacing w:after="240" w:line="360" w:lineRule="auto"/>
        <w:ind w:left="1985" w:hanging="567"/>
        <w:contextualSpacing w:val="0"/>
        <w:jc w:val="both"/>
        <w:rPr>
          <w:rFonts w:ascii="Verdana" w:hAnsi="Verdana"/>
          <w:sz w:val="18"/>
          <w:szCs w:val="18"/>
        </w:rPr>
      </w:pPr>
      <w:r w:rsidRPr="00A96949">
        <w:rPr>
          <w:rFonts w:ascii="Verdana" w:hAnsi="Verdana"/>
          <w:sz w:val="18"/>
          <w:szCs w:val="18"/>
        </w:rPr>
        <w:t>the board will be ordered to pay the applicant</w:t>
      </w:r>
      <w:r w:rsidR="00474A55" w:rsidRPr="00A96949">
        <w:rPr>
          <w:rFonts w:ascii="Verdana" w:hAnsi="Verdana"/>
          <w:sz w:val="18"/>
          <w:szCs w:val="18"/>
        </w:rPr>
        <w:t>s</w:t>
      </w:r>
      <w:r w:rsidRPr="00A96949">
        <w:rPr>
          <w:rFonts w:ascii="Verdana" w:hAnsi="Verdana"/>
          <w:sz w:val="18"/>
          <w:szCs w:val="18"/>
        </w:rPr>
        <w:t xml:space="preserve"> the costs</w:t>
      </w:r>
      <w:r w:rsidR="00E13E4C">
        <w:rPr>
          <w:rFonts w:ascii="Verdana" w:hAnsi="Verdana"/>
          <w:sz w:val="18"/>
          <w:szCs w:val="18"/>
        </w:rPr>
        <w:t xml:space="preserve"> of the proceedings</w:t>
      </w:r>
      <w:r w:rsidR="001E6466" w:rsidRPr="00A96949">
        <w:rPr>
          <w:rFonts w:ascii="Verdana" w:hAnsi="Verdana"/>
          <w:sz w:val="18"/>
          <w:szCs w:val="18"/>
        </w:rPr>
        <w:t xml:space="preserve"> including reserved costs and the costs of written submissions but</w:t>
      </w:r>
      <w:r w:rsidRPr="00A96949">
        <w:rPr>
          <w:rFonts w:ascii="Verdana" w:hAnsi="Verdana"/>
          <w:sz w:val="18"/>
          <w:szCs w:val="18"/>
        </w:rPr>
        <w:t xml:space="preserve"> </w:t>
      </w:r>
      <w:r w:rsidR="001E6466" w:rsidRPr="00A96949">
        <w:rPr>
          <w:rFonts w:ascii="Verdana" w:hAnsi="Verdana"/>
          <w:sz w:val="18"/>
          <w:szCs w:val="18"/>
        </w:rPr>
        <w:t>excluding</w:t>
      </w:r>
      <w:r w:rsidR="00474A55" w:rsidRPr="00A96949">
        <w:rPr>
          <w:rFonts w:ascii="Verdana" w:hAnsi="Verdana"/>
          <w:sz w:val="18"/>
          <w:szCs w:val="18"/>
        </w:rPr>
        <w:t xml:space="preserve"> </w:t>
      </w:r>
      <w:r w:rsidRPr="00A96949">
        <w:rPr>
          <w:rFonts w:ascii="Verdana" w:hAnsi="Verdana"/>
          <w:sz w:val="18"/>
          <w:szCs w:val="18"/>
        </w:rPr>
        <w:t xml:space="preserve">the costs associated with the interlocutory </w:t>
      </w:r>
      <w:proofErr w:type="gramStart"/>
      <w:r w:rsidRPr="00A96949">
        <w:rPr>
          <w:rFonts w:ascii="Verdana" w:hAnsi="Verdana"/>
          <w:sz w:val="18"/>
          <w:szCs w:val="18"/>
        </w:rPr>
        <w:t>application;</w:t>
      </w:r>
      <w:proofErr w:type="gramEnd"/>
    </w:p>
    <w:p w14:paraId="4B698FCA" w14:textId="44220253" w:rsidR="001A78D0" w:rsidRDefault="001A78D0" w:rsidP="003B6DFF">
      <w:pPr>
        <w:pStyle w:val="ListParagraph"/>
        <w:numPr>
          <w:ilvl w:val="1"/>
          <w:numId w:val="16"/>
        </w:numPr>
        <w:spacing w:after="240" w:line="360" w:lineRule="auto"/>
        <w:ind w:left="1985" w:hanging="567"/>
        <w:contextualSpacing w:val="0"/>
        <w:jc w:val="both"/>
        <w:rPr>
          <w:rFonts w:ascii="Verdana" w:hAnsi="Verdana"/>
          <w:sz w:val="18"/>
          <w:szCs w:val="18"/>
        </w:rPr>
      </w:pPr>
      <w:r w:rsidRPr="00A96949">
        <w:rPr>
          <w:rFonts w:ascii="Verdana" w:hAnsi="Verdana"/>
          <w:sz w:val="18"/>
          <w:szCs w:val="18"/>
        </w:rPr>
        <w:t>the application for the costs</w:t>
      </w:r>
      <w:r w:rsidR="00474A55" w:rsidRPr="00A96949">
        <w:rPr>
          <w:rFonts w:ascii="Verdana" w:hAnsi="Verdana"/>
          <w:sz w:val="18"/>
          <w:szCs w:val="18"/>
        </w:rPr>
        <w:t xml:space="preserve"> </w:t>
      </w:r>
      <w:r w:rsidR="00420FE4" w:rsidRPr="00A96949">
        <w:rPr>
          <w:rFonts w:ascii="Verdana" w:hAnsi="Verdana"/>
          <w:sz w:val="18"/>
          <w:szCs w:val="18"/>
        </w:rPr>
        <w:t>associated with</w:t>
      </w:r>
      <w:r w:rsidR="00474A55" w:rsidRPr="00A96949">
        <w:rPr>
          <w:rFonts w:ascii="Verdana" w:hAnsi="Verdana"/>
          <w:sz w:val="18"/>
          <w:szCs w:val="18"/>
        </w:rPr>
        <w:t xml:space="preserve"> the interlocutory application</w:t>
      </w:r>
      <w:r w:rsidRPr="00A96949">
        <w:rPr>
          <w:rFonts w:ascii="Verdana" w:hAnsi="Verdana"/>
          <w:sz w:val="18"/>
          <w:szCs w:val="18"/>
        </w:rPr>
        <w:t xml:space="preserve"> against the board will be </w:t>
      </w:r>
      <w:proofErr w:type="gramStart"/>
      <w:r w:rsidRPr="00A96949">
        <w:rPr>
          <w:rFonts w:ascii="Verdana" w:hAnsi="Verdana"/>
          <w:sz w:val="18"/>
          <w:szCs w:val="18"/>
        </w:rPr>
        <w:t>adjourned;</w:t>
      </w:r>
      <w:proofErr w:type="gramEnd"/>
    </w:p>
    <w:p w14:paraId="6F18DE14" w14:textId="7C58AFD7" w:rsidR="00E13E4C" w:rsidRPr="00E13E4C" w:rsidRDefault="00E13E4C" w:rsidP="00E13E4C">
      <w:pPr>
        <w:pStyle w:val="ListParagraph"/>
        <w:numPr>
          <w:ilvl w:val="1"/>
          <w:numId w:val="16"/>
        </w:numPr>
        <w:spacing w:after="240" w:line="360" w:lineRule="auto"/>
        <w:ind w:left="1985" w:hanging="567"/>
        <w:contextualSpacing w:val="0"/>
        <w:jc w:val="both"/>
        <w:rPr>
          <w:rFonts w:ascii="Verdana" w:hAnsi="Verdana"/>
          <w:sz w:val="18"/>
          <w:szCs w:val="18"/>
        </w:rPr>
      </w:pPr>
      <w:r w:rsidRPr="00E13E4C">
        <w:rPr>
          <w:rFonts w:ascii="Verdana" w:hAnsi="Verdana"/>
          <w:sz w:val="18"/>
          <w:szCs w:val="18"/>
        </w:rPr>
        <w:t xml:space="preserve">the parties provide further written submissions as set out in the judgment if the applicant intends to pursue the costs associated with the interlocutory </w:t>
      </w:r>
      <w:proofErr w:type="gramStart"/>
      <w:r w:rsidRPr="00E13E4C">
        <w:rPr>
          <w:rFonts w:ascii="Verdana" w:hAnsi="Verdana"/>
          <w:sz w:val="18"/>
          <w:szCs w:val="18"/>
        </w:rPr>
        <w:t>application;</w:t>
      </w:r>
      <w:proofErr w:type="gramEnd"/>
      <w:r w:rsidRPr="00E13E4C">
        <w:rPr>
          <w:rFonts w:ascii="Verdana" w:hAnsi="Verdana"/>
          <w:sz w:val="18"/>
          <w:szCs w:val="18"/>
        </w:rPr>
        <w:t xml:space="preserve"> </w:t>
      </w:r>
    </w:p>
    <w:p w14:paraId="2BF6C7B3" w14:textId="09F6CC18" w:rsidR="0042730D" w:rsidRPr="00A96949" w:rsidRDefault="00465A52" w:rsidP="007B453C">
      <w:pPr>
        <w:pStyle w:val="ListParagraph"/>
        <w:numPr>
          <w:ilvl w:val="0"/>
          <w:numId w:val="16"/>
        </w:numPr>
        <w:spacing w:after="240" w:line="360" w:lineRule="auto"/>
        <w:ind w:left="1418" w:hanging="567"/>
        <w:contextualSpacing w:val="0"/>
        <w:jc w:val="both"/>
        <w:rPr>
          <w:rFonts w:ascii="Verdana" w:hAnsi="Verdana"/>
          <w:sz w:val="18"/>
          <w:szCs w:val="18"/>
        </w:rPr>
      </w:pPr>
      <w:r w:rsidRPr="00A96949">
        <w:rPr>
          <w:rFonts w:ascii="Verdana" w:hAnsi="Verdana"/>
          <w:sz w:val="18"/>
          <w:szCs w:val="18"/>
        </w:rPr>
        <w:t>i</w:t>
      </w:r>
      <w:r w:rsidR="007455F2" w:rsidRPr="00A96949">
        <w:rPr>
          <w:rFonts w:ascii="Verdana" w:hAnsi="Verdana"/>
          <w:sz w:val="18"/>
          <w:szCs w:val="18"/>
        </w:rPr>
        <w:t xml:space="preserve">n </w:t>
      </w:r>
      <w:r w:rsidR="0042730D" w:rsidRPr="00A96949">
        <w:rPr>
          <w:rFonts w:ascii="Verdana" w:hAnsi="Verdana"/>
          <w:sz w:val="18"/>
          <w:szCs w:val="18"/>
        </w:rPr>
        <w:t xml:space="preserve">the </w:t>
      </w:r>
      <w:r w:rsidR="007455F2" w:rsidRPr="00A96949">
        <w:rPr>
          <w:rFonts w:ascii="Verdana" w:hAnsi="Verdana"/>
          <w:sz w:val="18"/>
          <w:szCs w:val="18"/>
        </w:rPr>
        <w:t>Carroll</w:t>
      </w:r>
      <w:r w:rsidR="0042730D" w:rsidRPr="00A96949">
        <w:rPr>
          <w:rFonts w:ascii="Verdana" w:hAnsi="Verdana"/>
          <w:sz w:val="18"/>
          <w:szCs w:val="18"/>
        </w:rPr>
        <w:t xml:space="preserve"> case</w:t>
      </w:r>
      <w:r w:rsidRPr="00A96949">
        <w:rPr>
          <w:rFonts w:ascii="Verdana" w:hAnsi="Verdana"/>
          <w:iCs/>
          <w:sz w:val="18"/>
          <w:szCs w:val="18"/>
        </w:rPr>
        <w:t>,</w:t>
      </w:r>
      <w:r w:rsidR="007455F2" w:rsidRPr="00A96949">
        <w:rPr>
          <w:rFonts w:ascii="Verdana" w:hAnsi="Verdana"/>
          <w:i/>
          <w:sz w:val="18"/>
          <w:szCs w:val="18"/>
        </w:rPr>
        <w:t xml:space="preserve"> </w:t>
      </w:r>
      <w:r w:rsidR="0042730D" w:rsidRPr="00A96949">
        <w:rPr>
          <w:rFonts w:ascii="Verdana" w:hAnsi="Verdana"/>
          <w:sz w:val="18"/>
          <w:szCs w:val="18"/>
        </w:rPr>
        <w:t>that</w:t>
      </w:r>
      <w:r w:rsidR="00855B46" w:rsidRPr="00A96949">
        <w:rPr>
          <w:rFonts w:ascii="Verdana" w:hAnsi="Verdana"/>
          <w:sz w:val="18"/>
          <w:szCs w:val="18"/>
        </w:rPr>
        <w:t xml:space="preserve"> </w:t>
      </w:r>
      <w:r w:rsidR="0042730D" w:rsidRPr="00A96949">
        <w:rPr>
          <w:rFonts w:ascii="Verdana" w:hAnsi="Verdana"/>
          <w:sz w:val="18"/>
          <w:szCs w:val="18"/>
        </w:rPr>
        <w:t>the board will be ordered to pay the applicant</w:t>
      </w:r>
      <w:r w:rsidR="00474A55" w:rsidRPr="00A96949">
        <w:rPr>
          <w:rFonts w:ascii="Verdana" w:hAnsi="Verdana"/>
          <w:sz w:val="18"/>
          <w:szCs w:val="18"/>
        </w:rPr>
        <w:t>s</w:t>
      </w:r>
      <w:r w:rsidR="0042730D" w:rsidRPr="00A96949">
        <w:rPr>
          <w:rFonts w:ascii="Verdana" w:hAnsi="Verdana"/>
          <w:sz w:val="18"/>
          <w:szCs w:val="18"/>
        </w:rPr>
        <w:t xml:space="preserve"> </w:t>
      </w:r>
      <w:r w:rsidR="00855B46" w:rsidRPr="00A96949">
        <w:rPr>
          <w:rFonts w:ascii="Verdana" w:hAnsi="Verdana"/>
          <w:sz w:val="18"/>
          <w:szCs w:val="18"/>
        </w:rPr>
        <w:t>the costs</w:t>
      </w:r>
      <w:r w:rsidR="001E6466" w:rsidRPr="00A96949">
        <w:rPr>
          <w:rFonts w:ascii="Verdana" w:hAnsi="Verdana"/>
          <w:sz w:val="18"/>
          <w:szCs w:val="18"/>
        </w:rPr>
        <w:t xml:space="preserve"> </w:t>
      </w:r>
      <w:r w:rsidR="00E13E4C">
        <w:rPr>
          <w:rFonts w:ascii="Verdana" w:hAnsi="Verdana"/>
          <w:sz w:val="18"/>
          <w:szCs w:val="18"/>
        </w:rPr>
        <w:t xml:space="preserve">of the proceedings </w:t>
      </w:r>
      <w:r w:rsidR="001E6466" w:rsidRPr="00A96949">
        <w:rPr>
          <w:rFonts w:ascii="Verdana" w:hAnsi="Verdana"/>
          <w:sz w:val="18"/>
          <w:szCs w:val="18"/>
        </w:rPr>
        <w:t xml:space="preserve">including reserved costs and the costs of written </w:t>
      </w:r>
      <w:proofErr w:type="gramStart"/>
      <w:r w:rsidR="001E6466" w:rsidRPr="00A96949">
        <w:rPr>
          <w:rFonts w:ascii="Verdana" w:hAnsi="Verdana"/>
          <w:sz w:val="18"/>
          <w:szCs w:val="18"/>
        </w:rPr>
        <w:t>submissions</w:t>
      </w:r>
      <w:r w:rsidR="00855B46" w:rsidRPr="00A96949">
        <w:rPr>
          <w:rFonts w:ascii="Verdana" w:hAnsi="Verdana"/>
          <w:sz w:val="18"/>
          <w:szCs w:val="18"/>
        </w:rPr>
        <w:t>;</w:t>
      </w:r>
      <w:proofErr w:type="gramEnd"/>
    </w:p>
    <w:p w14:paraId="0FCC123E" w14:textId="0654A83A" w:rsidR="007455F2" w:rsidRPr="00A96949" w:rsidRDefault="00B40063" w:rsidP="007B453C">
      <w:pPr>
        <w:pStyle w:val="ListParagraph"/>
        <w:numPr>
          <w:ilvl w:val="0"/>
          <w:numId w:val="16"/>
        </w:numPr>
        <w:spacing w:after="240" w:line="360" w:lineRule="auto"/>
        <w:ind w:left="1418" w:hanging="567"/>
        <w:contextualSpacing w:val="0"/>
        <w:jc w:val="both"/>
        <w:rPr>
          <w:rFonts w:ascii="Verdana" w:hAnsi="Verdana"/>
          <w:sz w:val="18"/>
          <w:szCs w:val="18"/>
        </w:rPr>
      </w:pPr>
      <w:r w:rsidRPr="00A96949">
        <w:rPr>
          <w:rFonts w:ascii="Verdana" w:hAnsi="Verdana"/>
          <w:sz w:val="18"/>
          <w:szCs w:val="18"/>
        </w:rPr>
        <w:t xml:space="preserve">that the </w:t>
      </w:r>
      <w:r w:rsidR="00E13E4C">
        <w:rPr>
          <w:rFonts w:ascii="Verdana" w:hAnsi="Verdana"/>
          <w:sz w:val="18"/>
          <w:szCs w:val="18"/>
        </w:rPr>
        <w:t>cases</w:t>
      </w:r>
      <w:r w:rsidRPr="00A96949">
        <w:rPr>
          <w:rFonts w:ascii="Verdana" w:hAnsi="Verdana"/>
          <w:sz w:val="18"/>
          <w:szCs w:val="18"/>
        </w:rPr>
        <w:t xml:space="preserve"> be listed</w:t>
      </w:r>
      <w:r w:rsidR="007455F2" w:rsidRPr="00A96949">
        <w:rPr>
          <w:rFonts w:ascii="Verdana" w:hAnsi="Verdana"/>
          <w:sz w:val="18"/>
          <w:szCs w:val="18"/>
        </w:rPr>
        <w:t xml:space="preserve"> for mention</w:t>
      </w:r>
      <w:r w:rsidR="00420FE4" w:rsidRPr="00A96949">
        <w:rPr>
          <w:rFonts w:ascii="Verdana" w:hAnsi="Verdana"/>
          <w:sz w:val="18"/>
          <w:szCs w:val="18"/>
        </w:rPr>
        <w:t xml:space="preserve"> only</w:t>
      </w:r>
      <w:r w:rsidR="007455F2" w:rsidRPr="00A96949">
        <w:rPr>
          <w:rFonts w:ascii="Verdana" w:hAnsi="Verdana"/>
          <w:sz w:val="18"/>
          <w:szCs w:val="18"/>
        </w:rPr>
        <w:t xml:space="preserve"> on </w:t>
      </w:r>
      <w:r w:rsidR="00465A52" w:rsidRPr="00A96949">
        <w:rPr>
          <w:rFonts w:ascii="Verdana" w:hAnsi="Verdana"/>
          <w:sz w:val="18"/>
          <w:szCs w:val="18"/>
        </w:rPr>
        <w:t xml:space="preserve">Monday </w:t>
      </w:r>
      <w:r w:rsidR="00FC7CE1" w:rsidRPr="00A96949">
        <w:rPr>
          <w:rFonts w:ascii="Verdana" w:hAnsi="Verdana"/>
          <w:sz w:val="18"/>
          <w:szCs w:val="18"/>
        </w:rPr>
        <w:t xml:space="preserve">the </w:t>
      </w:r>
      <w:r w:rsidR="001648A6" w:rsidRPr="00A96949">
        <w:rPr>
          <w:rFonts w:ascii="Verdana" w:hAnsi="Verdana"/>
          <w:sz w:val="18"/>
          <w:szCs w:val="18"/>
        </w:rPr>
        <w:t>20</w:t>
      </w:r>
      <w:r w:rsidR="001648A6" w:rsidRPr="00A96949">
        <w:rPr>
          <w:rFonts w:ascii="Verdana" w:hAnsi="Verdana"/>
          <w:sz w:val="18"/>
          <w:szCs w:val="18"/>
          <w:vertAlign w:val="superscript"/>
        </w:rPr>
        <w:t>th</w:t>
      </w:r>
      <w:r w:rsidR="00294155" w:rsidRPr="00A96949">
        <w:rPr>
          <w:rFonts w:ascii="Verdana" w:hAnsi="Verdana"/>
          <w:sz w:val="18"/>
          <w:szCs w:val="18"/>
        </w:rPr>
        <w:t xml:space="preserve"> </w:t>
      </w:r>
      <w:r w:rsidR="00465A52" w:rsidRPr="00A96949">
        <w:rPr>
          <w:rFonts w:ascii="Verdana" w:hAnsi="Verdana"/>
          <w:sz w:val="18"/>
          <w:szCs w:val="18"/>
        </w:rPr>
        <w:t xml:space="preserve">of </w:t>
      </w:r>
      <w:proofErr w:type="gramStart"/>
      <w:r w:rsidR="001648A6" w:rsidRPr="00A96949">
        <w:rPr>
          <w:rFonts w:ascii="Verdana" w:hAnsi="Verdana"/>
          <w:sz w:val="18"/>
          <w:szCs w:val="18"/>
        </w:rPr>
        <w:t>June</w:t>
      </w:r>
      <w:r w:rsidR="00465A52" w:rsidRPr="00A96949">
        <w:rPr>
          <w:rFonts w:ascii="Verdana" w:hAnsi="Verdana"/>
          <w:sz w:val="18"/>
          <w:szCs w:val="18"/>
        </w:rPr>
        <w:t>,</w:t>
      </w:r>
      <w:proofErr w:type="gramEnd"/>
      <w:r w:rsidR="007455F2" w:rsidRPr="00A96949">
        <w:rPr>
          <w:rFonts w:ascii="Verdana" w:hAnsi="Verdana"/>
          <w:sz w:val="18"/>
          <w:szCs w:val="18"/>
        </w:rPr>
        <w:t xml:space="preserve"> 2022 </w:t>
      </w:r>
      <w:r w:rsidR="00474A55" w:rsidRPr="00A96949">
        <w:rPr>
          <w:rFonts w:ascii="Verdana" w:hAnsi="Verdana"/>
          <w:sz w:val="18"/>
          <w:szCs w:val="18"/>
        </w:rPr>
        <w:t>to</w:t>
      </w:r>
      <w:r w:rsidR="00420FE4" w:rsidRPr="00A96949">
        <w:rPr>
          <w:rFonts w:ascii="Verdana" w:hAnsi="Verdana"/>
          <w:sz w:val="18"/>
          <w:szCs w:val="18"/>
        </w:rPr>
        <w:t xml:space="preserve"> consider how to</w:t>
      </w:r>
      <w:r w:rsidR="00474A55" w:rsidRPr="00A96949">
        <w:rPr>
          <w:rFonts w:ascii="Verdana" w:hAnsi="Verdana"/>
          <w:sz w:val="18"/>
          <w:szCs w:val="18"/>
        </w:rPr>
        <w:t xml:space="preserve"> deal with the costs of the interlocutory matter</w:t>
      </w:r>
      <w:r w:rsidR="00E13E4C">
        <w:rPr>
          <w:rFonts w:ascii="Verdana" w:hAnsi="Verdana"/>
          <w:sz w:val="18"/>
          <w:szCs w:val="18"/>
        </w:rPr>
        <w:t xml:space="preserve"> in Flannery</w:t>
      </w:r>
      <w:r w:rsidR="00474A55" w:rsidRPr="00A96949">
        <w:rPr>
          <w:rFonts w:ascii="Verdana" w:hAnsi="Verdana"/>
          <w:sz w:val="18"/>
          <w:szCs w:val="18"/>
        </w:rPr>
        <w:t>, the costs of the costs hearing,</w:t>
      </w:r>
      <w:r w:rsidR="0042730D" w:rsidRPr="00A96949">
        <w:rPr>
          <w:rFonts w:ascii="Verdana" w:hAnsi="Verdana"/>
          <w:sz w:val="18"/>
          <w:szCs w:val="18"/>
        </w:rPr>
        <w:t xml:space="preserve"> and </w:t>
      </w:r>
      <w:r w:rsidR="007455F2" w:rsidRPr="00A96949">
        <w:rPr>
          <w:rFonts w:ascii="Verdana" w:hAnsi="Verdana"/>
          <w:sz w:val="18"/>
          <w:szCs w:val="18"/>
        </w:rPr>
        <w:t>any consequential directions</w:t>
      </w:r>
      <w:r w:rsidR="00E3608C" w:rsidRPr="00A96949">
        <w:rPr>
          <w:rFonts w:ascii="Verdana" w:hAnsi="Verdana"/>
          <w:sz w:val="18"/>
          <w:szCs w:val="18"/>
        </w:rPr>
        <w:t>.</w:t>
      </w:r>
    </w:p>
    <w:sectPr w:rsidR="007455F2" w:rsidRPr="00A96949"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50DD8" w14:textId="77777777" w:rsidR="00B023BD" w:rsidRDefault="00B023BD" w:rsidP="009E70E8">
      <w:r>
        <w:separator/>
      </w:r>
    </w:p>
  </w:endnote>
  <w:endnote w:type="continuationSeparator" w:id="0">
    <w:p w14:paraId="57A15995" w14:textId="77777777" w:rsidR="00B023BD" w:rsidRDefault="00B023BD"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A00E" w14:textId="77777777" w:rsidR="00B023BD" w:rsidRDefault="00B023BD" w:rsidP="009E70E8">
      <w:r>
        <w:separator/>
      </w:r>
    </w:p>
  </w:footnote>
  <w:footnote w:type="continuationSeparator" w:id="0">
    <w:p w14:paraId="4AC5827C" w14:textId="77777777" w:rsidR="00B023BD" w:rsidRDefault="00B023BD"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11A4DABF" w14:textId="77777777" w:rsidR="00881A96" w:rsidRDefault="00881A96">
        <w:pPr>
          <w:pStyle w:val="Header"/>
          <w:jc w:val="center"/>
        </w:pPr>
        <w:r>
          <w:fldChar w:fldCharType="begin"/>
        </w:r>
        <w:r>
          <w:instrText xml:space="preserve"> PAGE   \* MERGEFORMAT </w:instrText>
        </w:r>
        <w:r>
          <w:fldChar w:fldCharType="separate"/>
        </w:r>
        <w:r w:rsidR="002924E4">
          <w:rPr>
            <w:noProof/>
          </w:rPr>
          <w:t>2</w:t>
        </w:r>
        <w:r>
          <w:rPr>
            <w:noProof/>
          </w:rPr>
          <w:fldChar w:fldCharType="end"/>
        </w:r>
      </w:p>
    </w:sdtContent>
  </w:sdt>
  <w:p w14:paraId="7C687B7E" w14:textId="77777777" w:rsidR="00881A96" w:rsidRDefault="00881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DC9"/>
    <w:multiLevelType w:val="hybridMultilevel"/>
    <w:tmpl w:val="0CD0DFE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A0056AD"/>
    <w:multiLevelType w:val="hybridMultilevel"/>
    <w:tmpl w:val="C95ED668"/>
    <w:lvl w:ilvl="0" w:tplc="F790D488">
      <w:start w:val="1"/>
      <w:numFmt w:val="decimal"/>
      <w:lvlText w:val="%1."/>
      <w:lvlJc w:val="left"/>
      <w:pPr>
        <w:ind w:left="0" w:firstLine="0"/>
      </w:pPr>
      <w:rPr>
        <w:rFonts w:hint="default"/>
        <w:b w:val="0"/>
        <w:bCs/>
        <w:i w:val="0"/>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76D5CC1"/>
    <w:multiLevelType w:val="hybridMultilevel"/>
    <w:tmpl w:val="4B60FA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50E1F"/>
    <w:multiLevelType w:val="hybridMultilevel"/>
    <w:tmpl w:val="BD90AE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E60E51"/>
    <w:multiLevelType w:val="hybridMultilevel"/>
    <w:tmpl w:val="CF3E083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570548"/>
    <w:multiLevelType w:val="hybridMultilevel"/>
    <w:tmpl w:val="950463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6A6F75D8"/>
    <w:multiLevelType w:val="hybridMultilevel"/>
    <w:tmpl w:val="7054D7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71B879C2"/>
    <w:multiLevelType w:val="hybridMultilevel"/>
    <w:tmpl w:val="4AAC200C"/>
    <w:lvl w:ilvl="0" w:tplc="11CC322E">
      <w:start w:val="1"/>
      <w:numFmt w:val="lowerRoman"/>
      <w:lvlText w:val="(%1)."/>
      <w:lvlJc w:val="right"/>
      <w:pPr>
        <w:ind w:left="72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8B42C356">
      <w:start w:val="1"/>
      <w:numFmt w:val="lowerLetter"/>
      <w:lvlText w:val="(%2)."/>
      <w:lvlJc w:val="right"/>
      <w:pPr>
        <w:ind w:left="1440" w:hanging="360"/>
      </w:pPr>
      <w:rPr>
        <w:rFonts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22A1520"/>
    <w:multiLevelType w:val="hybridMultilevel"/>
    <w:tmpl w:val="4F1C508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739029F3"/>
    <w:multiLevelType w:val="hybridMultilevel"/>
    <w:tmpl w:val="280CA6B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4" w15:restartNumberingAfterBreak="0">
    <w:nsid w:val="759E12D3"/>
    <w:multiLevelType w:val="hybridMultilevel"/>
    <w:tmpl w:val="0444E210"/>
    <w:lvl w:ilvl="0" w:tplc="11CC322E">
      <w:start w:val="1"/>
      <w:numFmt w:val="lowerRoman"/>
      <w:lvlText w:val="(%1)."/>
      <w:lvlJc w:val="right"/>
      <w:pPr>
        <w:ind w:left="72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6AD18B7"/>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1"/>
  </w:num>
  <w:num w:numId="5">
    <w:abstractNumId w:val="10"/>
  </w:num>
  <w:num w:numId="6">
    <w:abstractNumId w:val="6"/>
  </w:num>
  <w:num w:numId="7">
    <w:abstractNumId w:val="8"/>
  </w:num>
  <w:num w:numId="8">
    <w:abstractNumId w:val="9"/>
  </w:num>
  <w:num w:numId="9">
    <w:abstractNumId w:val="7"/>
  </w:num>
  <w:num w:numId="10">
    <w:abstractNumId w:val="15"/>
  </w:num>
  <w:num w:numId="11">
    <w:abstractNumId w:val="13"/>
  </w:num>
  <w:num w:numId="12">
    <w:abstractNumId w:val="0"/>
  </w:num>
  <w:num w:numId="13">
    <w:abstractNumId w:val="5"/>
  </w:num>
  <w:num w:numId="14">
    <w:abstractNumId w:val="12"/>
  </w:num>
  <w:num w:numId="15">
    <w:abstractNumId w:val="14"/>
  </w:num>
  <w:num w:numId="16">
    <w:abstractNumId w:val="11"/>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82"/>
    <w:rsid w:val="00000DCD"/>
    <w:rsid w:val="00002C34"/>
    <w:rsid w:val="000055FF"/>
    <w:rsid w:val="00012406"/>
    <w:rsid w:val="00012B69"/>
    <w:rsid w:val="00035010"/>
    <w:rsid w:val="000407FF"/>
    <w:rsid w:val="00053133"/>
    <w:rsid w:val="0007359E"/>
    <w:rsid w:val="00074CD7"/>
    <w:rsid w:val="000764B9"/>
    <w:rsid w:val="00077252"/>
    <w:rsid w:val="000941B1"/>
    <w:rsid w:val="000A4843"/>
    <w:rsid w:val="000A6118"/>
    <w:rsid w:val="000D571E"/>
    <w:rsid w:val="000D6235"/>
    <w:rsid w:val="000E70ED"/>
    <w:rsid w:val="000F13A2"/>
    <w:rsid w:val="000F7183"/>
    <w:rsid w:val="00101610"/>
    <w:rsid w:val="00105712"/>
    <w:rsid w:val="001108EA"/>
    <w:rsid w:val="00115320"/>
    <w:rsid w:val="00131DFA"/>
    <w:rsid w:val="001648A6"/>
    <w:rsid w:val="00176E3F"/>
    <w:rsid w:val="001919C6"/>
    <w:rsid w:val="001974E3"/>
    <w:rsid w:val="001A5528"/>
    <w:rsid w:val="001A7668"/>
    <w:rsid w:val="001A78D0"/>
    <w:rsid w:val="001B0AEE"/>
    <w:rsid w:val="001B2C21"/>
    <w:rsid w:val="001C4D7D"/>
    <w:rsid w:val="001C6AFA"/>
    <w:rsid w:val="001D39DB"/>
    <w:rsid w:val="001E5750"/>
    <w:rsid w:val="001E6466"/>
    <w:rsid w:val="001F63E1"/>
    <w:rsid w:val="002265AB"/>
    <w:rsid w:val="00236AF2"/>
    <w:rsid w:val="00246D96"/>
    <w:rsid w:val="00247458"/>
    <w:rsid w:val="002551CA"/>
    <w:rsid w:val="00256F58"/>
    <w:rsid w:val="002766B2"/>
    <w:rsid w:val="00277A1D"/>
    <w:rsid w:val="002924E4"/>
    <w:rsid w:val="00294155"/>
    <w:rsid w:val="002A1276"/>
    <w:rsid w:val="002A3368"/>
    <w:rsid w:val="002B589D"/>
    <w:rsid w:val="002B5C04"/>
    <w:rsid w:val="002B6BEC"/>
    <w:rsid w:val="002C03BF"/>
    <w:rsid w:val="002C3278"/>
    <w:rsid w:val="002C4D84"/>
    <w:rsid w:val="002E1E86"/>
    <w:rsid w:val="002E41CE"/>
    <w:rsid w:val="002F766D"/>
    <w:rsid w:val="00303048"/>
    <w:rsid w:val="003119BD"/>
    <w:rsid w:val="00314399"/>
    <w:rsid w:val="00321A56"/>
    <w:rsid w:val="00342E11"/>
    <w:rsid w:val="003451CF"/>
    <w:rsid w:val="0036221A"/>
    <w:rsid w:val="00371790"/>
    <w:rsid w:val="00377B63"/>
    <w:rsid w:val="003822AB"/>
    <w:rsid w:val="00397830"/>
    <w:rsid w:val="003A6D7D"/>
    <w:rsid w:val="003B41A6"/>
    <w:rsid w:val="003B6DFF"/>
    <w:rsid w:val="003B6E5F"/>
    <w:rsid w:val="003D0DF8"/>
    <w:rsid w:val="003D5BFB"/>
    <w:rsid w:val="003F3879"/>
    <w:rsid w:val="003F62BF"/>
    <w:rsid w:val="00405EF1"/>
    <w:rsid w:val="00406305"/>
    <w:rsid w:val="00414687"/>
    <w:rsid w:val="00420FE4"/>
    <w:rsid w:val="00423C03"/>
    <w:rsid w:val="0042730D"/>
    <w:rsid w:val="00444E4A"/>
    <w:rsid w:val="0044605C"/>
    <w:rsid w:val="00447356"/>
    <w:rsid w:val="00451108"/>
    <w:rsid w:val="0045568C"/>
    <w:rsid w:val="00464205"/>
    <w:rsid w:val="00465A52"/>
    <w:rsid w:val="0047415B"/>
    <w:rsid w:val="00474A55"/>
    <w:rsid w:val="00475E44"/>
    <w:rsid w:val="0047667E"/>
    <w:rsid w:val="00477A27"/>
    <w:rsid w:val="004928A9"/>
    <w:rsid w:val="00493A7C"/>
    <w:rsid w:val="00494352"/>
    <w:rsid w:val="004A63CD"/>
    <w:rsid w:val="004B606B"/>
    <w:rsid w:val="004C6E00"/>
    <w:rsid w:val="004D4437"/>
    <w:rsid w:val="004F0B4A"/>
    <w:rsid w:val="005028FD"/>
    <w:rsid w:val="00502938"/>
    <w:rsid w:val="00506868"/>
    <w:rsid w:val="0051132C"/>
    <w:rsid w:val="0051140C"/>
    <w:rsid w:val="00520DEA"/>
    <w:rsid w:val="00531C09"/>
    <w:rsid w:val="00533CFE"/>
    <w:rsid w:val="00544E28"/>
    <w:rsid w:val="0054620B"/>
    <w:rsid w:val="00557C98"/>
    <w:rsid w:val="00570B65"/>
    <w:rsid w:val="00596E92"/>
    <w:rsid w:val="005A37C9"/>
    <w:rsid w:val="005A466E"/>
    <w:rsid w:val="005B5F56"/>
    <w:rsid w:val="005C2407"/>
    <w:rsid w:val="005C2495"/>
    <w:rsid w:val="005C7255"/>
    <w:rsid w:val="005E053F"/>
    <w:rsid w:val="005E05B6"/>
    <w:rsid w:val="005E4B8C"/>
    <w:rsid w:val="005E70A1"/>
    <w:rsid w:val="00601AF1"/>
    <w:rsid w:val="0060323D"/>
    <w:rsid w:val="006049CF"/>
    <w:rsid w:val="00614108"/>
    <w:rsid w:val="006209AC"/>
    <w:rsid w:val="0064488F"/>
    <w:rsid w:val="00654238"/>
    <w:rsid w:val="00665CA6"/>
    <w:rsid w:val="00665CCC"/>
    <w:rsid w:val="00673054"/>
    <w:rsid w:val="00675B7A"/>
    <w:rsid w:val="00677827"/>
    <w:rsid w:val="00685E20"/>
    <w:rsid w:val="00687F91"/>
    <w:rsid w:val="00691040"/>
    <w:rsid w:val="00691618"/>
    <w:rsid w:val="00696DB9"/>
    <w:rsid w:val="006A7B91"/>
    <w:rsid w:val="006A7BAD"/>
    <w:rsid w:val="006B7D16"/>
    <w:rsid w:val="006C4B34"/>
    <w:rsid w:val="006D5249"/>
    <w:rsid w:val="006D70D2"/>
    <w:rsid w:val="006E3821"/>
    <w:rsid w:val="006E3937"/>
    <w:rsid w:val="00705424"/>
    <w:rsid w:val="00721127"/>
    <w:rsid w:val="00721F9E"/>
    <w:rsid w:val="007236D0"/>
    <w:rsid w:val="00726C6E"/>
    <w:rsid w:val="00730399"/>
    <w:rsid w:val="007325BD"/>
    <w:rsid w:val="00741B9B"/>
    <w:rsid w:val="00741D80"/>
    <w:rsid w:val="007455F2"/>
    <w:rsid w:val="00756006"/>
    <w:rsid w:val="007708E1"/>
    <w:rsid w:val="007818CC"/>
    <w:rsid w:val="007826A7"/>
    <w:rsid w:val="00782CE2"/>
    <w:rsid w:val="00783C6C"/>
    <w:rsid w:val="00792F91"/>
    <w:rsid w:val="007A2B5E"/>
    <w:rsid w:val="007B151B"/>
    <w:rsid w:val="007B453C"/>
    <w:rsid w:val="007C168F"/>
    <w:rsid w:val="007D18F4"/>
    <w:rsid w:val="007E5513"/>
    <w:rsid w:val="007F0061"/>
    <w:rsid w:val="007F0485"/>
    <w:rsid w:val="007F1903"/>
    <w:rsid w:val="007F72D6"/>
    <w:rsid w:val="00821FD5"/>
    <w:rsid w:val="008337BB"/>
    <w:rsid w:val="00855B46"/>
    <w:rsid w:val="00871A6F"/>
    <w:rsid w:val="008745E7"/>
    <w:rsid w:val="0087460C"/>
    <w:rsid w:val="00877B96"/>
    <w:rsid w:val="00881A96"/>
    <w:rsid w:val="00885715"/>
    <w:rsid w:val="00887BF2"/>
    <w:rsid w:val="00890C8A"/>
    <w:rsid w:val="008A0E11"/>
    <w:rsid w:val="008A5B7A"/>
    <w:rsid w:val="008B325E"/>
    <w:rsid w:val="008C2577"/>
    <w:rsid w:val="008D3106"/>
    <w:rsid w:val="008E1C58"/>
    <w:rsid w:val="008E28A6"/>
    <w:rsid w:val="009035BE"/>
    <w:rsid w:val="0090777D"/>
    <w:rsid w:val="009107B8"/>
    <w:rsid w:val="00913363"/>
    <w:rsid w:val="0092330F"/>
    <w:rsid w:val="009241A5"/>
    <w:rsid w:val="00933121"/>
    <w:rsid w:val="00941547"/>
    <w:rsid w:val="0096508C"/>
    <w:rsid w:val="00971EAB"/>
    <w:rsid w:val="00972F4F"/>
    <w:rsid w:val="00976E2A"/>
    <w:rsid w:val="009778B9"/>
    <w:rsid w:val="00992EF9"/>
    <w:rsid w:val="00995AED"/>
    <w:rsid w:val="009A5067"/>
    <w:rsid w:val="009B2771"/>
    <w:rsid w:val="009C1D2F"/>
    <w:rsid w:val="009D000E"/>
    <w:rsid w:val="009D2382"/>
    <w:rsid w:val="009D435D"/>
    <w:rsid w:val="009E2871"/>
    <w:rsid w:val="009E42FF"/>
    <w:rsid w:val="009E70E8"/>
    <w:rsid w:val="009F0440"/>
    <w:rsid w:val="00A005A0"/>
    <w:rsid w:val="00A1108C"/>
    <w:rsid w:val="00A12B69"/>
    <w:rsid w:val="00A279D8"/>
    <w:rsid w:val="00A40BDB"/>
    <w:rsid w:val="00A50949"/>
    <w:rsid w:val="00A559CC"/>
    <w:rsid w:val="00A637D0"/>
    <w:rsid w:val="00A96949"/>
    <w:rsid w:val="00AA694F"/>
    <w:rsid w:val="00AB064D"/>
    <w:rsid w:val="00AC400D"/>
    <w:rsid w:val="00AC5D1D"/>
    <w:rsid w:val="00AC627C"/>
    <w:rsid w:val="00AC6A90"/>
    <w:rsid w:val="00AD03DF"/>
    <w:rsid w:val="00AE7E49"/>
    <w:rsid w:val="00AF2F6E"/>
    <w:rsid w:val="00B023BD"/>
    <w:rsid w:val="00B04A57"/>
    <w:rsid w:val="00B25737"/>
    <w:rsid w:val="00B40063"/>
    <w:rsid w:val="00B66A07"/>
    <w:rsid w:val="00B67C57"/>
    <w:rsid w:val="00B719D9"/>
    <w:rsid w:val="00B91226"/>
    <w:rsid w:val="00BA1B40"/>
    <w:rsid w:val="00BA3E72"/>
    <w:rsid w:val="00BB3877"/>
    <w:rsid w:val="00BB6188"/>
    <w:rsid w:val="00BC167B"/>
    <w:rsid w:val="00BC25FD"/>
    <w:rsid w:val="00BD4DDD"/>
    <w:rsid w:val="00BE1DDD"/>
    <w:rsid w:val="00C02605"/>
    <w:rsid w:val="00C07E54"/>
    <w:rsid w:val="00C10069"/>
    <w:rsid w:val="00C15833"/>
    <w:rsid w:val="00C27155"/>
    <w:rsid w:val="00C35AEF"/>
    <w:rsid w:val="00C36D00"/>
    <w:rsid w:val="00C562AC"/>
    <w:rsid w:val="00C62776"/>
    <w:rsid w:val="00C662C7"/>
    <w:rsid w:val="00C736A4"/>
    <w:rsid w:val="00C86DEF"/>
    <w:rsid w:val="00C95FBB"/>
    <w:rsid w:val="00C97EE8"/>
    <w:rsid w:val="00CB4D17"/>
    <w:rsid w:val="00CB574E"/>
    <w:rsid w:val="00CC7016"/>
    <w:rsid w:val="00CC7AB6"/>
    <w:rsid w:val="00CD1C8B"/>
    <w:rsid w:val="00CD3519"/>
    <w:rsid w:val="00CE27E4"/>
    <w:rsid w:val="00CF0802"/>
    <w:rsid w:val="00CF1897"/>
    <w:rsid w:val="00CF64DE"/>
    <w:rsid w:val="00D047E8"/>
    <w:rsid w:val="00D076FA"/>
    <w:rsid w:val="00D1398D"/>
    <w:rsid w:val="00D172F3"/>
    <w:rsid w:val="00D238BE"/>
    <w:rsid w:val="00D57EAA"/>
    <w:rsid w:val="00D703B3"/>
    <w:rsid w:val="00D76C11"/>
    <w:rsid w:val="00D82EBD"/>
    <w:rsid w:val="00D83EC3"/>
    <w:rsid w:val="00D92AFB"/>
    <w:rsid w:val="00D93643"/>
    <w:rsid w:val="00D968A7"/>
    <w:rsid w:val="00D96E01"/>
    <w:rsid w:val="00DA6ADC"/>
    <w:rsid w:val="00DB2F37"/>
    <w:rsid w:val="00DC388D"/>
    <w:rsid w:val="00DD2A5B"/>
    <w:rsid w:val="00DD3549"/>
    <w:rsid w:val="00DD37D2"/>
    <w:rsid w:val="00DD3C2B"/>
    <w:rsid w:val="00DD42F7"/>
    <w:rsid w:val="00DD755D"/>
    <w:rsid w:val="00DD7EF4"/>
    <w:rsid w:val="00DE6E96"/>
    <w:rsid w:val="00DF5004"/>
    <w:rsid w:val="00DF5B0C"/>
    <w:rsid w:val="00DF77B5"/>
    <w:rsid w:val="00E13E4C"/>
    <w:rsid w:val="00E32BC3"/>
    <w:rsid w:val="00E3608C"/>
    <w:rsid w:val="00E3641E"/>
    <w:rsid w:val="00E442DE"/>
    <w:rsid w:val="00E52A91"/>
    <w:rsid w:val="00E57EC1"/>
    <w:rsid w:val="00E67DC6"/>
    <w:rsid w:val="00E71760"/>
    <w:rsid w:val="00E7700E"/>
    <w:rsid w:val="00E874C4"/>
    <w:rsid w:val="00E968CA"/>
    <w:rsid w:val="00EA33EB"/>
    <w:rsid w:val="00EA3945"/>
    <w:rsid w:val="00EA571D"/>
    <w:rsid w:val="00EA7401"/>
    <w:rsid w:val="00EC4417"/>
    <w:rsid w:val="00ED237F"/>
    <w:rsid w:val="00ED73C8"/>
    <w:rsid w:val="00EE3541"/>
    <w:rsid w:val="00EF0CCE"/>
    <w:rsid w:val="00F2092D"/>
    <w:rsid w:val="00F23031"/>
    <w:rsid w:val="00F27908"/>
    <w:rsid w:val="00F300ED"/>
    <w:rsid w:val="00F30F19"/>
    <w:rsid w:val="00F33C25"/>
    <w:rsid w:val="00F527B2"/>
    <w:rsid w:val="00F55497"/>
    <w:rsid w:val="00F55F04"/>
    <w:rsid w:val="00F60087"/>
    <w:rsid w:val="00F60AC5"/>
    <w:rsid w:val="00F8087F"/>
    <w:rsid w:val="00F80D77"/>
    <w:rsid w:val="00F8386C"/>
    <w:rsid w:val="00F94644"/>
    <w:rsid w:val="00FA442B"/>
    <w:rsid w:val="00FA7C96"/>
    <w:rsid w:val="00FB582E"/>
    <w:rsid w:val="00FC526E"/>
    <w:rsid w:val="00FC5C83"/>
    <w:rsid w:val="00FC7CE1"/>
    <w:rsid w:val="00FD2CF2"/>
    <w:rsid w:val="00FD5582"/>
    <w:rsid w:val="00FD6FC0"/>
    <w:rsid w:val="00FE4C1A"/>
    <w:rsid w:val="00FE575E"/>
    <w:rsid w:val="00FE6DFE"/>
    <w:rsid w:val="00FE762A"/>
    <w:rsid w:val="00FE76A3"/>
    <w:rsid w:val="00FF27F0"/>
    <w:rsid w:val="00FF31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B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paragraph" w:styleId="Heading3">
    <w:name w:val="heading 3"/>
    <w:basedOn w:val="Normal"/>
    <w:link w:val="Heading3Char"/>
    <w:uiPriority w:val="9"/>
    <w:qFormat/>
    <w:rsid w:val="00C07E5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character" w:customStyle="1" w:styleId="Heading3Char">
    <w:name w:val="Heading 3 Char"/>
    <w:basedOn w:val="DefaultParagraphFont"/>
    <w:link w:val="Heading3"/>
    <w:uiPriority w:val="9"/>
    <w:rsid w:val="00C07E54"/>
    <w:rPr>
      <w:rFonts w:ascii="Times New Roman" w:eastAsia="Times New Roman" w:hAnsi="Times New Roman" w:cs="Times New Roman"/>
      <w:b/>
      <w:bCs/>
      <w:sz w:val="27"/>
      <w:szCs w:val="27"/>
      <w:lang w:eastAsia="en-IE"/>
    </w:rPr>
  </w:style>
  <w:style w:type="character" w:customStyle="1" w:styleId="cite-as">
    <w:name w:val="cite-as"/>
    <w:basedOn w:val="DefaultParagraphFont"/>
    <w:rsid w:val="00C07E54"/>
  </w:style>
  <w:style w:type="character" w:styleId="Emphasis">
    <w:name w:val="Emphasis"/>
    <w:basedOn w:val="DefaultParagraphFont"/>
    <w:uiPriority w:val="20"/>
    <w:qFormat/>
    <w:rsid w:val="00C07E54"/>
    <w:rPr>
      <w:i/>
      <w:iCs/>
    </w:rPr>
  </w:style>
  <w:style w:type="paragraph" w:customStyle="1" w:styleId="Casenamereferences-italics">
    <w:name w:val="Case name references - italics"/>
    <w:basedOn w:val="Normal"/>
    <w:link w:val="Casenamereferences-italicsChar"/>
    <w:autoRedefine/>
    <w:rsid w:val="00012406"/>
    <w:pPr>
      <w:tabs>
        <w:tab w:val="left" w:pos="567"/>
      </w:tabs>
      <w:spacing w:after="240" w:line="360" w:lineRule="auto"/>
      <w:ind w:left="567" w:hanging="567"/>
    </w:pPr>
    <w:rPr>
      <w:rFonts w:ascii="Verdana" w:hAnsi="Verdana"/>
      <w:i/>
      <w:iCs/>
      <w:sz w:val="18"/>
      <w:szCs w:val="20"/>
    </w:rPr>
  </w:style>
  <w:style w:type="character" w:customStyle="1" w:styleId="Casenamereferences-italicsChar">
    <w:name w:val="Case name references - italics Char"/>
    <w:link w:val="Casenamereferences-italics"/>
    <w:rsid w:val="00012406"/>
    <w:rPr>
      <w:rFonts w:ascii="Verdana" w:eastAsia="Times New Roman" w:hAnsi="Verdana" w:cs="Times New Roman"/>
      <w:i/>
      <w:iCs/>
      <w:sz w:val="18"/>
      <w:szCs w:val="20"/>
      <w:lang w:eastAsia="en-IE"/>
    </w:rPr>
  </w:style>
  <w:style w:type="character" w:customStyle="1" w:styleId="text-highlight">
    <w:name w:val="text-highlight"/>
    <w:basedOn w:val="DefaultParagraphFont"/>
    <w:rsid w:val="00321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793">
      <w:bodyDiv w:val="1"/>
      <w:marLeft w:val="0"/>
      <w:marRight w:val="0"/>
      <w:marTop w:val="0"/>
      <w:marBottom w:val="0"/>
      <w:divBdr>
        <w:top w:val="none" w:sz="0" w:space="0" w:color="auto"/>
        <w:left w:val="none" w:sz="0" w:space="0" w:color="auto"/>
        <w:bottom w:val="none" w:sz="0" w:space="0" w:color="auto"/>
        <w:right w:val="none" w:sz="0" w:space="0" w:color="auto"/>
      </w:divBdr>
      <w:divsChild>
        <w:div w:id="232087755">
          <w:marLeft w:val="0"/>
          <w:marRight w:val="0"/>
          <w:marTop w:val="225"/>
          <w:marBottom w:val="375"/>
          <w:divBdr>
            <w:top w:val="none" w:sz="0" w:space="0" w:color="auto"/>
            <w:left w:val="none" w:sz="0" w:space="0" w:color="auto"/>
            <w:bottom w:val="none" w:sz="0" w:space="0" w:color="auto"/>
            <w:right w:val="none" w:sz="0" w:space="0" w:color="auto"/>
          </w:divBdr>
        </w:div>
      </w:divsChild>
    </w:div>
    <w:div w:id="207373980">
      <w:bodyDiv w:val="1"/>
      <w:marLeft w:val="0"/>
      <w:marRight w:val="0"/>
      <w:marTop w:val="0"/>
      <w:marBottom w:val="0"/>
      <w:divBdr>
        <w:top w:val="none" w:sz="0" w:space="0" w:color="auto"/>
        <w:left w:val="none" w:sz="0" w:space="0" w:color="auto"/>
        <w:bottom w:val="none" w:sz="0" w:space="0" w:color="auto"/>
        <w:right w:val="none" w:sz="0" w:space="0" w:color="auto"/>
      </w:divBdr>
      <w:divsChild>
        <w:div w:id="1572735237">
          <w:marLeft w:val="0"/>
          <w:marRight w:val="0"/>
          <w:marTop w:val="225"/>
          <w:marBottom w:val="375"/>
          <w:divBdr>
            <w:top w:val="none" w:sz="0" w:space="0" w:color="auto"/>
            <w:left w:val="none" w:sz="0" w:space="0" w:color="auto"/>
            <w:bottom w:val="none" w:sz="0" w:space="0" w:color="auto"/>
            <w:right w:val="none" w:sz="0" w:space="0" w:color="auto"/>
          </w:divBdr>
        </w:div>
      </w:divsChild>
    </w:div>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854466886">
      <w:bodyDiv w:val="1"/>
      <w:marLeft w:val="0"/>
      <w:marRight w:val="0"/>
      <w:marTop w:val="0"/>
      <w:marBottom w:val="0"/>
      <w:divBdr>
        <w:top w:val="none" w:sz="0" w:space="0" w:color="auto"/>
        <w:left w:val="none" w:sz="0" w:space="0" w:color="auto"/>
        <w:bottom w:val="none" w:sz="0" w:space="0" w:color="auto"/>
        <w:right w:val="none" w:sz="0" w:space="0" w:color="auto"/>
      </w:divBdr>
      <w:divsChild>
        <w:div w:id="1413508363">
          <w:marLeft w:val="0"/>
          <w:marRight w:val="0"/>
          <w:marTop w:val="225"/>
          <w:marBottom w:val="375"/>
          <w:divBdr>
            <w:top w:val="none" w:sz="0" w:space="0" w:color="auto"/>
            <w:left w:val="none" w:sz="0" w:space="0" w:color="auto"/>
            <w:bottom w:val="none" w:sz="0" w:space="0" w:color="auto"/>
            <w:right w:val="none" w:sz="0" w:space="0" w:color="auto"/>
          </w:divBdr>
        </w:div>
      </w:divsChild>
    </w:div>
    <w:div w:id="1244560593">
      <w:bodyDiv w:val="1"/>
      <w:marLeft w:val="0"/>
      <w:marRight w:val="0"/>
      <w:marTop w:val="0"/>
      <w:marBottom w:val="0"/>
      <w:divBdr>
        <w:top w:val="none" w:sz="0" w:space="0" w:color="auto"/>
        <w:left w:val="none" w:sz="0" w:space="0" w:color="auto"/>
        <w:bottom w:val="none" w:sz="0" w:space="0" w:color="auto"/>
        <w:right w:val="none" w:sz="0" w:space="0" w:color="auto"/>
      </w:divBdr>
      <w:divsChild>
        <w:div w:id="165747873">
          <w:marLeft w:val="0"/>
          <w:marRight w:val="0"/>
          <w:marTop w:val="225"/>
          <w:marBottom w:val="375"/>
          <w:divBdr>
            <w:top w:val="none" w:sz="0" w:space="0" w:color="auto"/>
            <w:left w:val="none" w:sz="0" w:space="0" w:color="auto"/>
            <w:bottom w:val="none" w:sz="0" w:space="0" w:color="auto"/>
            <w:right w:val="none" w:sz="0" w:space="0" w:color="auto"/>
          </w:divBdr>
        </w:div>
      </w:divsChild>
    </w:div>
    <w:div w:id="1626037243">
      <w:bodyDiv w:val="1"/>
      <w:marLeft w:val="0"/>
      <w:marRight w:val="0"/>
      <w:marTop w:val="0"/>
      <w:marBottom w:val="0"/>
      <w:divBdr>
        <w:top w:val="none" w:sz="0" w:space="0" w:color="auto"/>
        <w:left w:val="none" w:sz="0" w:space="0" w:color="auto"/>
        <w:bottom w:val="none" w:sz="0" w:space="0" w:color="auto"/>
        <w:right w:val="none" w:sz="0" w:space="0" w:color="auto"/>
      </w:divBdr>
      <w:divsChild>
        <w:div w:id="1076169805">
          <w:marLeft w:val="0"/>
          <w:marRight w:val="0"/>
          <w:marTop w:val="225"/>
          <w:marBottom w:val="375"/>
          <w:divBdr>
            <w:top w:val="none" w:sz="0" w:space="0" w:color="auto"/>
            <w:left w:val="none" w:sz="0" w:space="0" w:color="auto"/>
            <w:bottom w:val="none" w:sz="0" w:space="0" w:color="auto"/>
            <w:right w:val="none" w:sz="0" w:space="0" w:color="auto"/>
          </w:divBdr>
        </w:div>
      </w:divsChild>
    </w:div>
    <w:div w:id="1902280152">
      <w:bodyDiv w:val="1"/>
      <w:marLeft w:val="0"/>
      <w:marRight w:val="0"/>
      <w:marTop w:val="0"/>
      <w:marBottom w:val="0"/>
      <w:divBdr>
        <w:top w:val="none" w:sz="0" w:space="0" w:color="auto"/>
        <w:left w:val="none" w:sz="0" w:space="0" w:color="auto"/>
        <w:bottom w:val="none" w:sz="0" w:space="0" w:color="auto"/>
        <w:right w:val="none" w:sz="0" w:space="0" w:color="auto"/>
      </w:divBdr>
      <w:divsChild>
        <w:div w:id="468203884">
          <w:marLeft w:val="0"/>
          <w:marRight w:val="0"/>
          <w:marTop w:val="22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4855</Words>
  <Characters>27676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2022-06-10T11:46:00Z</dcterms:created>
  <dcterms:modified xsi:type="dcterms:W3CDTF">2022-06-10T11:46:00Z</dcterms:modified>
</cp:coreProperties>
</file>