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259D" w14:textId="25CD7D8C" w:rsidR="0082138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THE HIGH COURT</w:t>
      </w:r>
    </w:p>
    <w:p w14:paraId="304F58D5" w14:textId="1DC144CB"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JUDICIAL REVIEW</w:t>
      </w:r>
    </w:p>
    <w:p w14:paraId="5D8FAA43" w14:textId="3363628F" w:rsidR="008130DC" w:rsidRPr="008B7C3B" w:rsidRDefault="008130DC" w:rsidP="003B0670">
      <w:pPr>
        <w:spacing w:line="360" w:lineRule="auto"/>
        <w:jc w:val="right"/>
        <w:rPr>
          <w:rFonts w:ascii="Verdana" w:hAnsi="Verdana"/>
          <w:b/>
          <w:color w:val="000000" w:themeColor="text1"/>
          <w:sz w:val="18"/>
          <w:szCs w:val="18"/>
        </w:rPr>
      </w:pPr>
      <w:r w:rsidRPr="008B7C3B">
        <w:rPr>
          <w:rFonts w:ascii="Verdana" w:hAnsi="Verdana"/>
          <w:b/>
          <w:color w:val="000000" w:themeColor="text1"/>
          <w:sz w:val="18"/>
          <w:szCs w:val="18"/>
        </w:rPr>
        <w:t xml:space="preserve">[2022] IEHC </w:t>
      </w:r>
      <w:r w:rsidR="00641B80" w:rsidRPr="00641B80">
        <w:rPr>
          <w:rFonts w:ascii="Verdana" w:hAnsi="Verdana"/>
          <w:b/>
          <w:color w:val="000000" w:themeColor="text1"/>
          <w:sz w:val="18"/>
          <w:szCs w:val="18"/>
        </w:rPr>
        <w:t>349</w:t>
      </w:r>
    </w:p>
    <w:p w14:paraId="17213926" w14:textId="5B621A16" w:rsidR="0082138D" w:rsidRPr="008B7C3B" w:rsidRDefault="00FF095D" w:rsidP="003B0670">
      <w:pPr>
        <w:spacing w:line="360" w:lineRule="auto"/>
        <w:jc w:val="right"/>
        <w:rPr>
          <w:rFonts w:ascii="Verdana" w:hAnsi="Verdana"/>
          <w:b/>
          <w:color w:val="000000" w:themeColor="text1"/>
          <w:sz w:val="18"/>
          <w:szCs w:val="18"/>
        </w:rPr>
      </w:pPr>
      <w:r w:rsidRPr="008B7C3B">
        <w:rPr>
          <w:rFonts w:ascii="Verdana" w:hAnsi="Verdana"/>
          <w:b/>
          <w:color w:val="000000" w:themeColor="text1"/>
          <w:sz w:val="18"/>
          <w:szCs w:val="18"/>
        </w:rPr>
        <w:t xml:space="preserve">[2020 </w:t>
      </w:r>
      <w:r w:rsidR="003C6D47" w:rsidRPr="008B7C3B">
        <w:rPr>
          <w:rFonts w:ascii="Verdana" w:hAnsi="Verdana"/>
          <w:b/>
          <w:color w:val="000000" w:themeColor="text1"/>
          <w:sz w:val="18"/>
          <w:szCs w:val="18"/>
        </w:rPr>
        <w:t xml:space="preserve">No. </w:t>
      </w:r>
      <w:r w:rsidRPr="008B7C3B">
        <w:rPr>
          <w:rFonts w:ascii="Verdana" w:hAnsi="Verdana"/>
          <w:b/>
          <w:color w:val="000000" w:themeColor="text1"/>
          <w:sz w:val="18"/>
          <w:szCs w:val="18"/>
        </w:rPr>
        <w:t>22 JR]</w:t>
      </w:r>
    </w:p>
    <w:p w14:paraId="3B9F8AEA" w14:textId="6B02AA12"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 xml:space="preserve">IN THE MATTER OF SECTION 50 OF THE PLANNING AND DEVELOPMENT ACT 2000, AS AMENDED                                                                                                                                     </w:t>
      </w:r>
    </w:p>
    <w:p w14:paraId="72A110BE" w14:textId="15F0F9A3" w:rsidR="00FF095D" w:rsidRPr="008B7C3B" w:rsidRDefault="00FF095D" w:rsidP="003B0670">
      <w:pPr>
        <w:spacing w:line="360" w:lineRule="auto"/>
        <w:rPr>
          <w:rFonts w:ascii="Verdana" w:hAnsi="Verdana"/>
          <w:b/>
          <w:color w:val="000000" w:themeColor="text1"/>
          <w:sz w:val="18"/>
          <w:szCs w:val="18"/>
        </w:rPr>
      </w:pPr>
      <w:r w:rsidRPr="008B7C3B">
        <w:rPr>
          <w:rFonts w:ascii="Verdana" w:hAnsi="Verdana"/>
          <w:b/>
          <w:color w:val="000000" w:themeColor="text1"/>
          <w:sz w:val="18"/>
          <w:szCs w:val="18"/>
        </w:rPr>
        <w:t>BETWEEN</w:t>
      </w:r>
    </w:p>
    <w:p w14:paraId="280C2BC8" w14:textId="64890C2B"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SABRINA JOYCE-KEMPER</w:t>
      </w:r>
    </w:p>
    <w:p w14:paraId="75F85AB7" w14:textId="61C17421" w:rsidR="00FF095D" w:rsidRPr="008B7C3B" w:rsidRDefault="00FF095D" w:rsidP="003B0670">
      <w:pPr>
        <w:spacing w:line="360" w:lineRule="auto"/>
        <w:jc w:val="right"/>
        <w:rPr>
          <w:rFonts w:ascii="Verdana" w:hAnsi="Verdana"/>
          <w:b/>
          <w:color w:val="000000" w:themeColor="text1"/>
          <w:sz w:val="18"/>
          <w:szCs w:val="18"/>
        </w:rPr>
      </w:pPr>
      <w:r w:rsidRPr="008B7C3B">
        <w:rPr>
          <w:rFonts w:ascii="Verdana" w:hAnsi="Verdana"/>
          <w:b/>
          <w:color w:val="000000" w:themeColor="text1"/>
          <w:sz w:val="18"/>
          <w:szCs w:val="18"/>
        </w:rPr>
        <w:t>APPLICANT</w:t>
      </w:r>
    </w:p>
    <w:p w14:paraId="53BD0E1F" w14:textId="33E944AA"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AND</w:t>
      </w:r>
    </w:p>
    <w:p w14:paraId="4ACE6048" w14:textId="77777777"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AN BORD PLEANÁLA, IRELAND AND THE ATTORNEY GENERAL</w:t>
      </w:r>
    </w:p>
    <w:p w14:paraId="3AC023FD" w14:textId="297363F4" w:rsidR="00FF095D" w:rsidRPr="008B7C3B" w:rsidRDefault="00FF095D" w:rsidP="003B0670">
      <w:pPr>
        <w:spacing w:line="360" w:lineRule="auto"/>
        <w:jc w:val="right"/>
        <w:rPr>
          <w:rFonts w:ascii="Verdana" w:hAnsi="Verdana"/>
          <w:b/>
          <w:color w:val="000000" w:themeColor="text1"/>
          <w:sz w:val="18"/>
          <w:szCs w:val="18"/>
        </w:rPr>
      </w:pPr>
      <w:r w:rsidRPr="008B7C3B">
        <w:rPr>
          <w:rFonts w:ascii="Verdana" w:hAnsi="Verdana"/>
          <w:b/>
          <w:color w:val="000000" w:themeColor="text1"/>
          <w:sz w:val="18"/>
          <w:szCs w:val="18"/>
        </w:rPr>
        <w:t>RESPONDENTS</w:t>
      </w:r>
    </w:p>
    <w:p w14:paraId="7831786C" w14:textId="2D354733"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AND</w:t>
      </w:r>
    </w:p>
    <w:p w14:paraId="3706DB17" w14:textId="48A36413" w:rsidR="00FF095D"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IRISH WATER DAC</w:t>
      </w:r>
    </w:p>
    <w:p w14:paraId="24385973" w14:textId="77777777" w:rsidR="00FF095D" w:rsidRPr="008B7C3B" w:rsidRDefault="00FF095D" w:rsidP="003B0670">
      <w:pPr>
        <w:spacing w:line="360" w:lineRule="auto"/>
        <w:jc w:val="right"/>
        <w:rPr>
          <w:rFonts w:ascii="Verdana" w:hAnsi="Verdana"/>
          <w:b/>
          <w:color w:val="000000" w:themeColor="text1"/>
          <w:sz w:val="18"/>
          <w:szCs w:val="18"/>
        </w:rPr>
      </w:pPr>
      <w:r w:rsidRPr="008B7C3B">
        <w:rPr>
          <w:rFonts w:ascii="Verdana" w:hAnsi="Verdana"/>
          <w:b/>
          <w:color w:val="000000" w:themeColor="text1"/>
          <w:sz w:val="18"/>
          <w:szCs w:val="18"/>
        </w:rPr>
        <w:t>NOTICE PARTY</w:t>
      </w:r>
    </w:p>
    <w:p w14:paraId="3BE5C0F6" w14:textId="4CC0ACA9" w:rsidR="006927CC" w:rsidRPr="008B7C3B" w:rsidRDefault="00FF095D" w:rsidP="003B0670">
      <w:pPr>
        <w:spacing w:line="360" w:lineRule="auto"/>
        <w:jc w:val="center"/>
        <w:rPr>
          <w:rFonts w:ascii="Verdana" w:hAnsi="Verdana"/>
          <w:b/>
          <w:color w:val="000000" w:themeColor="text1"/>
          <w:sz w:val="18"/>
          <w:szCs w:val="18"/>
        </w:rPr>
      </w:pPr>
      <w:r w:rsidRPr="008B7C3B">
        <w:rPr>
          <w:rFonts w:ascii="Verdana" w:hAnsi="Verdana"/>
          <w:b/>
          <w:color w:val="000000" w:themeColor="text1"/>
          <w:sz w:val="18"/>
          <w:szCs w:val="18"/>
        </w:rPr>
        <w:t>(N</w:t>
      </w:r>
      <w:r w:rsidR="00675DA6" w:rsidRPr="008B7C3B">
        <w:rPr>
          <w:rFonts w:ascii="Verdana" w:hAnsi="Verdana"/>
          <w:b/>
          <w:color w:val="000000" w:themeColor="text1"/>
          <w:sz w:val="18"/>
          <w:szCs w:val="18"/>
        </w:rPr>
        <w:t>o</w:t>
      </w:r>
      <w:r w:rsidRPr="008B7C3B">
        <w:rPr>
          <w:rFonts w:ascii="Verdana" w:hAnsi="Verdana"/>
          <w:b/>
          <w:color w:val="000000" w:themeColor="text1"/>
          <w:sz w:val="18"/>
          <w:szCs w:val="18"/>
        </w:rPr>
        <w:t>. 5)</w:t>
      </w:r>
    </w:p>
    <w:p w14:paraId="40168498" w14:textId="4DEAF14F" w:rsidR="0082138D" w:rsidRPr="001C1881" w:rsidRDefault="00F15823"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JUDGMENT of</w:t>
      </w:r>
      <w:r w:rsidR="0082138D" w:rsidRPr="001C1881">
        <w:rPr>
          <w:rFonts w:ascii="Verdana" w:hAnsi="Verdana"/>
          <w:b/>
          <w:color w:val="000000" w:themeColor="text1"/>
          <w:sz w:val="18"/>
          <w:szCs w:val="18"/>
        </w:rPr>
        <w:t xml:space="preserve"> </w:t>
      </w:r>
      <w:r w:rsidR="006927CC" w:rsidRPr="001C1881">
        <w:rPr>
          <w:rFonts w:ascii="Verdana" w:hAnsi="Verdana"/>
          <w:b/>
          <w:color w:val="000000" w:themeColor="text1"/>
          <w:sz w:val="18"/>
          <w:szCs w:val="18"/>
        </w:rPr>
        <w:t>Humphreys</w:t>
      </w:r>
      <w:r w:rsidR="0082138D" w:rsidRPr="001C1881">
        <w:rPr>
          <w:rFonts w:ascii="Verdana" w:hAnsi="Verdana"/>
          <w:b/>
          <w:color w:val="000000" w:themeColor="text1"/>
          <w:sz w:val="18"/>
          <w:szCs w:val="18"/>
        </w:rPr>
        <w:t xml:space="preserve"> </w:t>
      </w:r>
      <w:r w:rsidR="00FF095D" w:rsidRPr="001C1881">
        <w:rPr>
          <w:rFonts w:ascii="Verdana" w:hAnsi="Verdana"/>
          <w:b/>
          <w:color w:val="000000" w:themeColor="text1"/>
          <w:sz w:val="18"/>
          <w:szCs w:val="18"/>
        </w:rPr>
        <w:t xml:space="preserve">J. </w:t>
      </w:r>
      <w:r w:rsidR="0082138D" w:rsidRPr="001C1881">
        <w:rPr>
          <w:rFonts w:ascii="Verdana" w:hAnsi="Verdana"/>
          <w:b/>
          <w:color w:val="000000" w:themeColor="text1"/>
          <w:sz w:val="18"/>
          <w:szCs w:val="18"/>
        </w:rPr>
        <w:t xml:space="preserve">delivered on </w:t>
      </w:r>
      <w:r w:rsidR="00641B80" w:rsidRPr="00641B80">
        <w:rPr>
          <w:rFonts w:ascii="Verdana" w:hAnsi="Verdana"/>
          <w:b/>
          <w:color w:val="000000" w:themeColor="text1"/>
          <w:sz w:val="18"/>
          <w:szCs w:val="18"/>
        </w:rPr>
        <w:t>Friday</w:t>
      </w:r>
      <w:r w:rsidR="00FF095D" w:rsidRPr="00641B80">
        <w:rPr>
          <w:rFonts w:ascii="Verdana" w:hAnsi="Verdana"/>
          <w:b/>
          <w:color w:val="000000" w:themeColor="text1"/>
          <w:sz w:val="18"/>
          <w:szCs w:val="18"/>
        </w:rPr>
        <w:t xml:space="preserve"> </w:t>
      </w:r>
      <w:r w:rsidR="0082138D" w:rsidRPr="00641B80">
        <w:rPr>
          <w:rFonts w:ascii="Verdana" w:hAnsi="Verdana"/>
          <w:b/>
          <w:color w:val="000000" w:themeColor="text1"/>
          <w:sz w:val="18"/>
          <w:szCs w:val="18"/>
        </w:rPr>
        <w:t>the</w:t>
      </w:r>
      <w:r w:rsidR="00FF095D" w:rsidRPr="00641B80">
        <w:rPr>
          <w:rFonts w:ascii="Verdana" w:hAnsi="Verdana"/>
          <w:b/>
          <w:color w:val="000000" w:themeColor="text1"/>
          <w:sz w:val="18"/>
          <w:szCs w:val="18"/>
        </w:rPr>
        <w:t xml:space="preserve"> </w:t>
      </w:r>
      <w:r w:rsidR="00641B80" w:rsidRPr="00641B80">
        <w:rPr>
          <w:rFonts w:ascii="Verdana" w:hAnsi="Verdana"/>
          <w:b/>
          <w:color w:val="000000" w:themeColor="text1"/>
          <w:sz w:val="18"/>
          <w:szCs w:val="18"/>
        </w:rPr>
        <w:t>10th</w:t>
      </w:r>
      <w:r w:rsidR="00FF095D" w:rsidRPr="00641B80">
        <w:rPr>
          <w:rFonts w:ascii="Verdana" w:hAnsi="Verdana"/>
          <w:b/>
          <w:color w:val="000000" w:themeColor="text1"/>
          <w:sz w:val="18"/>
          <w:szCs w:val="18"/>
        </w:rPr>
        <w:t xml:space="preserve"> </w:t>
      </w:r>
      <w:r w:rsidR="0082138D" w:rsidRPr="00641B80">
        <w:rPr>
          <w:rFonts w:ascii="Verdana" w:hAnsi="Verdana"/>
          <w:b/>
          <w:color w:val="000000" w:themeColor="text1"/>
          <w:sz w:val="18"/>
          <w:szCs w:val="18"/>
        </w:rPr>
        <w:t xml:space="preserve">day </w:t>
      </w:r>
      <w:r w:rsidR="009637C7" w:rsidRPr="00641B80">
        <w:rPr>
          <w:rFonts w:ascii="Verdana" w:hAnsi="Verdana"/>
          <w:b/>
          <w:color w:val="000000" w:themeColor="text1"/>
          <w:sz w:val="18"/>
          <w:szCs w:val="18"/>
        </w:rPr>
        <w:t>of</w:t>
      </w:r>
      <w:r w:rsidR="00FF095D" w:rsidRPr="00641B80">
        <w:rPr>
          <w:rFonts w:ascii="Verdana" w:hAnsi="Verdana"/>
          <w:b/>
          <w:color w:val="000000" w:themeColor="text1"/>
          <w:sz w:val="18"/>
          <w:szCs w:val="18"/>
        </w:rPr>
        <w:t xml:space="preserve"> </w:t>
      </w:r>
      <w:proofErr w:type="gramStart"/>
      <w:r w:rsidR="00641B80">
        <w:rPr>
          <w:rFonts w:ascii="Verdana" w:hAnsi="Verdana"/>
          <w:b/>
          <w:color w:val="000000" w:themeColor="text1"/>
          <w:sz w:val="18"/>
          <w:szCs w:val="18"/>
        </w:rPr>
        <w:t>June</w:t>
      </w:r>
      <w:r w:rsidR="009637C7" w:rsidRPr="001C1881">
        <w:rPr>
          <w:rFonts w:ascii="Verdana" w:hAnsi="Verdana"/>
          <w:b/>
          <w:color w:val="000000" w:themeColor="text1"/>
          <w:sz w:val="18"/>
          <w:szCs w:val="18"/>
        </w:rPr>
        <w:t>,</w:t>
      </w:r>
      <w:proofErr w:type="gramEnd"/>
      <w:r w:rsidR="0082138D" w:rsidRPr="001C1881">
        <w:rPr>
          <w:rFonts w:ascii="Verdana" w:hAnsi="Verdana"/>
          <w:b/>
          <w:color w:val="000000" w:themeColor="text1"/>
          <w:sz w:val="18"/>
          <w:szCs w:val="18"/>
        </w:rPr>
        <w:t xml:space="preserve"> 2022</w:t>
      </w:r>
    </w:p>
    <w:p w14:paraId="5C609C63" w14:textId="04D28BDA" w:rsidR="00962C8D" w:rsidRPr="008B7C3B" w:rsidRDefault="006927CC"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 </w:t>
      </w:r>
      <w:r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Pr="008B7C3B">
        <w:rPr>
          <w:rFonts w:ascii="Verdana" w:hAnsi="Verdana"/>
          <w:i/>
          <w:color w:val="000000" w:themeColor="text1"/>
          <w:sz w:val="18"/>
          <w:szCs w:val="18"/>
        </w:rPr>
        <w:t xml:space="preserve">Kemper v. An Bord </w:t>
      </w:r>
      <w:r w:rsidR="00294044" w:rsidRPr="008B7C3B">
        <w:rPr>
          <w:rFonts w:ascii="Verdana" w:hAnsi="Verdana"/>
          <w:i/>
          <w:color w:val="000000" w:themeColor="text1"/>
          <w:sz w:val="18"/>
          <w:szCs w:val="18"/>
        </w:rPr>
        <w:t xml:space="preserve">Pleanála </w:t>
      </w:r>
      <w:r w:rsidR="00962C8D" w:rsidRPr="008B7C3B">
        <w:rPr>
          <w:rFonts w:ascii="Verdana" w:hAnsi="Verdana"/>
          <w:i/>
          <w:color w:val="000000" w:themeColor="text1"/>
          <w:sz w:val="18"/>
          <w:szCs w:val="18"/>
        </w:rPr>
        <w:t>(</w:t>
      </w:r>
      <w:r w:rsidR="00294044" w:rsidRPr="008B7C3B">
        <w:rPr>
          <w:rFonts w:ascii="Verdana" w:hAnsi="Verdana"/>
          <w:i/>
          <w:color w:val="000000" w:themeColor="text1"/>
          <w:sz w:val="18"/>
          <w:szCs w:val="18"/>
        </w:rPr>
        <w:t>No.</w:t>
      </w:r>
      <w:r w:rsidRPr="008B7C3B">
        <w:rPr>
          <w:rFonts w:ascii="Verdana" w:hAnsi="Verdana"/>
          <w:i/>
          <w:color w:val="000000" w:themeColor="text1"/>
          <w:sz w:val="18"/>
          <w:szCs w:val="18"/>
        </w:rPr>
        <w:t xml:space="preserve"> 1</w:t>
      </w:r>
      <w:r w:rsidR="00962C8D" w:rsidRPr="008B7C3B">
        <w:rPr>
          <w:rFonts w:ascii="Verdana" w:hAnsi="Verdana"/>
          <w:i/>
          <w:color w:val="000000" w:themeColor="text1"/>
          <w:sz w:val="18"/>
          <w:szCs w:val="18"/>
        </w:rPr>
        <w:t>)</w:t>
      </w:r>
      <w:r w:rsidRPr="008B7C3B">
        <w:rPr>
          <w:rFonts w:ascii="Verdana" w:hAnsi="Verdana"/>
          <w:color w:val="000000" w:themeColor="text1"/>
          <w:sz w:val="18"/>
          <w:szCs w:val="18"/>
        </w:rPr>
        <w:t xml:space="preserve"> [2020] IEHC 477</w:t>
      </w:r>
      <w:r w:rsidR="00A47CBC" w:rsidRPr="008B7C3B">
        <w:rPr>
          <w:rFonts w:ascii="Verdana" w:hAnsi="Verdana"/>
          <w:color w:val="000000" w:themeColor="text1"/>
          <w:sz w:val="18"/>
          <w:szCs w:val="18"/>
        </w:rPr>
        <w:t>, [2020] 9 JIC 2301 (Unreported, High Court, 23</w:t>
      </w:r>
      <w:r w:rsidR="00A47CBC" w:rsidRPr="008B7C3B">
        <w:rPr>
          <w:rFonts w:ascii="Verdana" w:hAnsi="Verdana"/>
          <w:color w:val="000000" w:themeColor="text1"/>
          <w:sz w:val="18"/>
          <w:szCs w:val="18"/>
          <w:vertAlign w:val="superscript"/>
        </w:rPr>
        <w:t>rd</w:t>
      </w:r>
      <w:r w:rsidR="00A47CBC" w:rsidRPr="008B7C3B">
        <w:rPr>
          <w:rFonts w:ascii="Verdana" w:hAnsi="Verdana"/>
          <w:color w:val="000000" w:themeColor="text1"/>
          <w:sz w:val="18"/>
          <w:szCs w:val="18"/>
        </w:rPr>
        <w:t xml:space="preserve"> September, 2020),</w:t>
      </w:r>
      <w:r w:rsidRPr="008B7C3B">
        <w:rPr>
          <w:rFonts w:ascii="Verdana" w:hAnsi="Verdana"/>
          <w:color w:val="000000" w:themeColor="text1"/>
          <w:sz w:val="18"/>
          <w:szCs w:val="18"/>
        </w:rPr>
        <w:t xml:space="preserve"> </w:t>
      </w:r>
      <w:r w:rsidR="00AB313B" w:rsidRPr="008B7C3B">
        <w:rPr>
          <w:rFonts w:ascii="Verdana" w:hAnsi="Verdana"/>
          <w:color w:val="000000" w:themeColor="text1"/>
          <w:sz w:val="18"/>
          <w:szCs w:val="18"/>
        </w:rPr>
        <w:t>All</w:t>
      </w:r>
      <w:r w:rsidR="000144BC" w:rsidRPr="008B7C3B">
        <w:rPr>
          <w:rFonts w:ascii="Verdana" w:hAnsi="Verdana"/>
          <w:color w:val="000000" w:themeColor="text1"/>
          <w:sz w:val="18"/>
          <w:szCs w:val="18"/>
        </w:rPr>
        <w:t>e</w:t>
      </w:r>
      <w:r w:rsidR="00AB313B" w:rsidRPr="008B7C3B">
        <w:rPr>
          <w:rFonts w:ascii="Verdana" w:hAnsi="Verdana"/>
          <w:color w:val="000000" w:themeColor="text1"/>
          <w:sz w:val="18"/>
          <w:szCs w:val="18"/>
        </w:rPr>
        <w:t>n J. refused a recusal application in relation to the present proceedings</w:t>
      </w:r>
      <w:r w:rsidR="003C6D47" w:rsidRPr="008B7C3B">
        <w:rPr>
          <w:rFonts w:ascii="Verdana" w:hAnsi="Verdana"/>
          <w:color w:val="000000" w:themeColor="text1"/>
          <w:sz w:val="18"/>
          <w:szCs w:val="18"/>
        </w:rPr>
        <w:t>,</w:t>
      </w:r>
      <w:r w:rsidR="00AB313B" w:rsidRPr="008B7C3B">
        <w:rPr>
          <w:rFonts w:ascii="Verdana" w:hAnsi="Verdana"/>
          <w:color w:val="000000" w:themeColor="text1"/>
          <w:sz w:val="18"/>
          <w:szCs w:val="18"/>
        </w:rPr>
        <w:t xml:space="preserve"> which are a challenge to a grant of planning permission to Irish Water made on 11</w:t>
      </w:r>
      <w:r w:rsidR="00AB313B" w:rsidRPr="008B7C3B">
        <w:rPr>
          <w:rFonts w:ascii="Verdana" w:hAnsi="Verdana"/>
          <w:color w:val="000000" w:themeColor="text1"/>
          <w:sz w:val="18"/>
          <w:szCs w:val="18"/>
          <w:vertAlign w:val="superscript"/>
        </w:rPr>
        <w:t>th</w:t>
      </w:r>
      <w:r w:rsidR="00AB313B" w:rsidRPr="008B7C3B">
        <w:rPr>
          <w:rFonts w:ascii="Verdana" w:hAnsi="Verdana"/>
          <w:color w:val="000000" w:themeColor="text1"/>
          <w:sz w:val="18"/>
          <w:szCs w:val="18"/>
        </w:rPr>
        <w:t xml:space="preserve"> November, 2019 for the construction and operation of a sewerage scheme and waste water treatment plant at </w:t>
      </w:r>
      <w:r w:rsidR="00294044" w:rsidRPr="008B7C3B">
        <w:rPr>
          <w:rFonts w:ascii="Verdana" w:hAnsi="Verdana"/>
          <w:color w:val="000000" w:themeColor="text1"/>
          <w:sz w:val="18"/>
          <w:szCs w:val="18"/>
        </w:rPr>
        <w:t>Clonshaugh</w:t>
      </w:r>
      <w:r w:rsidR="00AB313B" w:rsidRPr="008B7C3B">
        <w:rPr>
          <w:rFonts w:ascii="Verdana" w:hAnsi="Verdana"/>
          <w:color w:val="000000" w:themeColor="text1"/>
          <w:sz w:val="18"/>
          <w:szCs w:val="18"/>
        </w:rPr>
        <w:t xml:space="preserve"> in North Dublin</w:t>
      </w:r>
      <w:r w:rsidR="00962C8D" w:rsidRPr="008B7C3B">
        <w:rPr>
          <w:rFonts w:ascii="Verdana" w:hAnsi="Verdana"/>
          <w:color w:val="000000" w:themeColor="text1"/>
          <w:sz w:val="18"/>
          <w:szCs w:val="18"/>
        </w:rPr>
        <w:t>,</w:t>
      </w:r>
      <w:r w:rsidR="00AB313B" w:rsidRPr="008B7C3B">
        <w:rPr>
          <w:rFonts w:ascii="Verdana" w:hAnsi="Verdana"/>
          <w:color w:val="000000" w:themeColor="text1"/>
          <w:sz w:val="18"/>
          <w:szCs w:val="18"/>
        </w:rPr>
        <w:t xml:space="preserve"> as well as a two metre diameter marine outfall pipe through which treated effluent will be discharged into the sea off Silver Strand beach in Portmarnock.</w:t>
      </w:r>
    </w:p>
    <w:p w14:paraId="3AE99941" w14:textId="351F203E" w:rsidR="00803A32" w:rsidRPr="008B7C3B" w:rsidRDefault="00AB313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applicant appealed to the Court of </w:t>
      </w:r>
      <w:r w:rsidR="00294044" w:rsidRPr="008B7C3B">
        <w:rPr>
          <w:rFonts w:ascii="Verdana" w:hAnsi="Verdana"/>
          <w:color w:val="000000" w:themeColor="text1"/>
          <w:sz w:val="18"/>
          <w:szCs w:val="18"/>
        </w:rPr>
        <w:t xml:space="preserve">Appeal </w:t>
      </w:r>
      <w:r w:rsidR="003C6D47" w:rsidRPr="008B7C3B">
        <w:rPr>
          <w:rFonts w:ascii="Verdana" w:hAnsi="Verdana"/>
          <w:color w:val="000000" w:themeColor="text1"/>
          <w:sz w:val="18"/>
          <w:szCs w:val="18"/>
        </w:rPr>
        <w:t>[</w:t>
      </w:r>
      <w:r w:rsidR="00294044" w:rsidRPr="008B7C3B">
        <w:rPr>
          <w:rFonts w:ascii="Verdana" w:hAnsi="Verdana"/>
          <w:color w:val="000000" w:themeColor="text1"/>
          <w:sz w:val="18"/>
          <w:szCs w:val="18"/>
        </w:rPr>
        <w:t>Record</w:t>
      </w:r>
      <w:r w:rsidRPr="008B7C3B">
        <w:rPr>
          <w:rFonts w:ascii="Verdana" w:hAnsi="Verdana"/>
          <w:color w:val="000000" w:themeColor="text1"/>
          <w:sz w:val="18"/>
          <w:szCs w:val="18"/>
        </w:rPr>
        <w:t xml:space="preserve"> No. 2020/166</w:t>
      </w:r>
      <w:r w:rsidR="003C6D47" w:rsidRPr="008B7C3B">
        <w:rPr>
          <w:rFonts w:ascii="Verdana" w:hAnsi="Verdana"/>
          <w:color w:val="000000" w:themeColor="text1"/>
          <w:sz w:val="18"/>
          <w:szCs w:val="18"/>
        </w:rPr>
        <w:t>]</w:t>
      </w:r>
      <w:r w:rsidRPr="008B7C3B">
        <w:rPr>
          <w:rFonts w:ascii="Verdana" w:hAnsi="Verdana"/>
          <w:color w:val="000000" w:themeColor="text1"/>
          <w:sz w:val="18"/>
          <w:szCs w:val="18"/>
        </w:rPr>
        <w:t xml:space="preserve"> against the recusal decision</w:t>
      </w:r>
      <w:r w:rsidR="003C6D47" w:rsidRPr="008B7C3B">
        <w:rPr>
          <w:rFonts w:ascii="Verdana" w:hAnsi="Verdana"/>
          <w:color w:val="000000" w:themeColor="text1"/>
          <w:sz w:val="18"/>
          <w:szCs w:val="18"/>
        </w:rPr>
        <w:t>.  T</w:t>
      </w:r>
      <w:r w:rsidRPr="008B7C3B">
        <w:rPr>
          <w:rFonts w:ascii="Verdana" w:hAnsi="Verdana"/>
          <w:color w:val="000000" w:themeColor="text1"/>
          <w:sz w:val="18"/>
          <w:szCs w:val="18"/>
        </w:rPr>
        <w:t xml:space="preserve">hat </w:t>
      </w:r>
      <w:r w:rsidR="003C6D47" w:rsidRPr="008B7C3B">
        <w:rPr>
          <w:rFonts w:ascii="Verdana" w:hAnsi="Verdana"/>
          <w:color w:val="000000" w:themeColor="text1"/>
          <w:sz w:val="18"/>
          <w:szCs w:val="18"/>
        </w:rPr>
        <w:t xml:space="preserve">appeal </w:t>
      </w:r>
      <w:r w:rsidRPr="008B7C3B">
        <w:rPr>
          <w:rFonts w:ascii="Verdana" w:hAnsi="Verdana"/>
          <w:color w:val="000000" w:themeColor="text1"/>
          <w:sz w:val="18"/>
          <w:szCs w:val="18"/>
        </w:rPr>
        <w:t>was due to be heard on 26</w:t>
      </w:r>
      <w:r w:rsidRPr="008B7C3B">
        <w:rPr>
          <w:rFonts w:ascii="Verdana" w:hAnsi="Verdana"/>
          <w:color w:val="000000" w:themeColor="text1"/>
          <w:sz w:val="18"/>
          <w:szCs w:val="18"/>
          <w:vertAlign w:val="superscript"/>
        </w:rPr>
        <w:t>th</w:t>
      </w:r>
      <w:r w:rsidRPr="008B7C3B">
        <w:rPr>
          <w:rFonts w:ascii="Verdana" w:hAnsi="Verdana"/>
          <w:color w:val="000000" w:themeColor="text1"/>
          <w:sz w:val="18"/>
          <w:szCs w:val="18"/>
        </w:rPr>
        <w:t xml:space="preserve"> </w:t>
      </w:r>
      <w:proofErr w:type="gramStart"/>
      <w:r w:rsidRPr="008B7C3B">
        <w:rPr>
          <w:rFonts w:ascii="Verdana" w:hAnsi="Verdana"/>
          <w:color w:val="000000" w:themeColor="text1"/>
          <w:sz w:val="18"/>
          <w:szCs w:val="18"/>
        </w:rPr>
        <w:t>November,</w:t>
      </w:r>
      <w:proofErr w:type="gramEnd"/>
      <w:r w:rsidRPr="008B7C3B">
        <w:rPr>
          <w:rFonts w:ascii="Verdana" w:hAnsi="Verdana"/>
          <w:color w:val="000000" w:themeColor="text1"/>
          <w:sz w:val="18"/>
          <w:szCs w:val="18"/>
        </w:rPr>
        <w:t xml:space="preserve"> 2020</w:t>
      </w:r>
      <w:r w:rsidR="003C6D47" w:rsidRPr="008B7C3B">
        <w:rPr>
          <w:rFonts w:ascii="Verdana" w:hAnsi="Verdana"/>
          <w:color w:val="000000" w:themeColor="text1"/>
          <w:sz w:val="18"/>
          <w:szCs w:val="18"/>
        </w:rPr>
        <w:t>,</w:t>
      </w:r>
      <w:r w:rsidRPr="008B7C3B">
        <w:rPr>
          <w:rFonts w:ascii="Verdana" w:hAnsi="Verdana"/>
          <w:color w:val="000000" w:themeColor="text1"/>
          <w:sz w:val="18"/>
          <w:szCs w:val="18"/>
        </w:rPr>
        <w:t xml:space="preserve"> but </w:t>
      </w:r>
      <w:r w:rsidR="00765425">
        <w:rPr>
          <w:rFonts w:ascii="Verdana" w:hAnsi="Verdana"/>
          <w:color w:val="000000" w:themeColor="text1"/>
          <w:sz w:val="18"/>
          <w:szCs w:val="18"/>
        </w:rPr>
        <w:t>just</w:t>
      </w:r>
      <w:r w:rsidRPr="008B7C3B">
        <w:rPr>
          <w:rFonts w:ascii="Verdana" w:hAnsi="Verdana"/>
          <w:color w:val="000000" w:themeColor="text1"/>
          <w:sz w:val="18"/>
          <w:szCs w:val="18"/>
        </w:rPr>
        <w:t xml:space="preserve"> before that hearing</w:t>
      </w:r>
      <w:r w:rsidR="003C6D47" w:rsidRPr="008B7C3B">
        <w:rPr>
          <w:rFonts w:ascii="Verdana" w:hAnsi="Verdana"/>
          <w:color w:val="000000" w:themeColor="text1"/>
          <w:sz w:val="18"/>
          <w:szCs w:val="18"/>
        </w:rPr>
        <w:t>,</w:t>
      </w:r>
      <w:r w:rsidRPr="008B7C3B">
        <w:rPr>
          <w:rFonts w:ascii="Verdana" w:hAnsi="Verdana"/>
          <w:color w:val="000000" w:themeColor="text1"/>
          <w:sz w:val="18"/>
          <w:szCs w:val="18"/>
        </w:rPr>
        <w:t xml:space="preserve"> Allen J. gave </w:t>
      </w:r>
      <w:r w:rsidR="00294044" w:rsidRPr="008B7C3B">
        <w:rPr>
          <w:rFonts w:ascii="Verdana" w:hAnsi="Verdana"/>
          <w:color w:val="000000" w:themeColor="text1"/>
          <w:sz w:val="18"/>
          <w:szCs w:val="18"/>
        </w:rPr>
        <w:t>judgment</w:t>
      </w:r>
      <w:r w:rsidRPr="008B7C3B">
        <w:rPr>
          <w:rFonts w:ascii="Verdana" w:hAnsi="Verdana"/>
          <w:color w:val="000000" w:themeColor="text1"/>
          <w:sz w:val="18"/>
          <w:szCs w:val="18"/>
        </w:rPr>
        <w:t xml:space="preserve"> in the substantive application</w:t>
      </w:r>
      <w:r w:rsidR="003C6D47" w:rsidRPr="008B7C3B">
        <w:rPr>
          <w:rFonts w:ascii="Verdana" w:hAnsi="Verdana"/>
          <w:color w:val="000000" w:themeColor="text1"/>
          <w:sz w:val="18"/>
          <w:szCs w:val="18"/>
        </w:rPr>
        <w:t>.  A</w:t>
      </w:r>
      <w:r w:rsidRPr="008B7C3B">
        <w:rPr>
          <w:rFonts w:ascii="Verdana" w:hAnsi="Verdana"/>
          <w:color w:val="000000" w:themeColor="text1"/>
          <w:sz w:val="18"/>
          <w:szCs w:val="18"/>
        </w:rPr>
        <w:t xml:space="preserve">s that was in favour of the applicant the recusal appeal was rendered otiose. </w:t>
      </w:r>
    </w:p>
    <w:p w14:paraId="2EA92AE1" w14:textId="01C293AF" w:rsidR="00DA1F8B" w:rsidRPr="008B7C3B" w:rsidRDefault="00AB313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In</w:t>
      </w:r>
      <w:r w:rsidR="003C6D47" w:rsidRPr="008B7C3B">
        <w:rPr>
          <w:rFonts w:ascii="Verdana" w:hAnsi="Verdana"/>
          <w:color w:val="000000" w:themeColor="text1"/>
          <w:sz w:val="18"/>
          <w:szCs w:val="18"/>
        </w:rPr>
        <w:t xml:space="preserve"> that judgment,</w:t>
      </w:r>
      <w:r w:rsidRPr="008B7C3B">
        <w:rPr>
          <w:rFonts w:ascii="Verdana" w:hAnsi="Verdana"/>
          <w:color w:val="000000" w:themeColor="text1"/>
          <w:sz w:val="18"/>
          <w:szCs w:val="18"/>
        </w:rPr>
        <w:t xml:space="preserve"> </w:t>
      </w:r>
      <w:r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Pr="008B7C3B">
        <w:rPr>
          <w:rFonts w:ascii="Verdana" w:hAnsi="Verdana"/>
          <w:i/>
          <w:color w:val="000000" w:themeColor="text1"/>
          <w:sz w:val="18"/>
          <w:szCs w:val="18"/>
        </w:rPr>
        <w:t xml:space="preserve">Kemper v. An Bord </w:t>
      </w:r>
      <w:r w:rsidR="00294044" w:rsidRPr="008B7C3B">
        <w:rPr>
          <w:rFonts w:ascii="Verdana" w:hAnsi="Verdana"/>
          <w:i/>
          <w:color w:val="000000" w:themeColor="text1"/>
          <w:sz w:val="18"/>
          <w:szCs w:val="18"/>
        </w:rPr>
        <w:t xml:space="preserve">Pleanála </w:t>
      </w:r>
      <w:r w:rsidR="000A558E" w:rsidRPr="008B7C3B">
        <w:rPr>
          <w:rFonts w:ascii="Verdana" w:hAnsi="Verdana"/>
          <w:i/>
          <w:color w:val="000000" w:themeColor="text1"/>
          <w:sz w:val="18"/>
          <w:szCs w:val="18"/>
        </w:rPr>
        <w:t>(</w:t>
      </w:r>
      <w:r w:rsidR="00294044" w:rsidRPr="008B7C3B">
        <w:rPr>
          <w:rFonts w:ascii="Verdana" w:hAnsi="Verdana"/>
          <w:i/>
          <w:color w:val="000000" w:themeColor="text1"/>
          <w:sz w:val="18"/>
          <w:szCs w:val="18"/>
        </w:rPr>
        <w:t>No.</w:t>
      </w:r>
      <w:r w:rsidRPr="008B7C3B">
        <w:rPr>
          <w:rFonts w:ascii="Verdana" w:hAnsi="Verdana"/>
          <w:i/>
          <w:color w:val="000000" w:themeColor="text1"/>
          <w:sz w:val="18"/>
          <w:szCs w:val="18"/>
        </w:rPr>
        <w:t xml:space="preserve"> 2</w:t>
      </w:r>
      <w:r w:rsidR="000A558E" w:rsidRPr="008B7C3B">
        <w:rPr>
          <w:rFonts w:ascii="Verdana" w:hAnsi="Verdana"/>
          <w:i/>
          <w:color w:val="000000" w:themeColor="text1"/>
          <w:sz w:val="18"/>
          <w:szCs w:val="18"/>
        </w:rPr>
        <w:t>)</w:t>
      </w:r>
      <w:r w:rsidRPr="008B7C3B">
        <w:rPr>
          <w:rFonts w:ascii="Verdana" w:hAnsi="Verdana"/>
          <w:color w:val="000000" w:themeColor="text1"/>
          <w:sz w:val="18"/>
          <w:szCs w:val="18"/>
        </w:rPr>
        <w:t xml:space="preserve"> [2020] IEHC 601</w:t>
      </w:r>
      <w:r w:rsidR="000A558E" w:rsidRPr="008B7C3B">
        <w:rPr>
          <w:rFonts w:ascii="Verdana" w:hAnsi="Verdana"/>
          <w:color w:val="000000" w:themeColor="text1"/>
          <w:sz w:val="18"/>
          <w:szCs w:val="18"/>
        </w:rPr>
        <w:t>, [2020] 11 JIC 2402 (Unreported, High Court, 24</w:t>
      </w:r>
      <w:r w:rsidR="000A558E" w:rsidRPr="008B7C3B">
        <w:rPr>
          <w:rFonts w:ascii="Verdana" w:hAnsi="Verdana"/>
          <w:color w:val="000000" w:themeColor="text1"/>
          <w:sz w:val="18"/>
          <w:szCs w:val="18"/>
          <w:vertAlign w:val="superscript"/>
        </w:rPr>
        <w:t>th</w:t>
      </w:r>
      <w:r w:rsidR="000A558E" w:rsidRPr="008B7C3B">
        <w:rPr>
          <w:rFonts w:ascii="Verdana" w:hAnsi="Verdana"/>
          <w:color w:val="000000" w:themeColor="text1"/>
          <w:sz w:val="18"/>
          <w:szCs w:val="18"/>
        </w:rPr>
        <w:t xml:space="preserve"> </w:t>
      </w:r>
      <w:proofErr w:type="gramStart"/>
      <w:r w:rsidR="000A558E" w:rsidRPr="008B7C3B">
        <w:rPr>
          <w:rFonts w:ascii="Verdana" w:hAnsi="Verdana"/>
          <w:color w:val="000000" w:themeColor="text1"/>
          <w:sz w:val="18"/>
          <w:szCs w:val="18"/>
        </w:rPr>
        <w:t>November,</w:t>
      </w:r>
      <w:proofErr w:type="gramEnd"/>
      <w:r w:rsidR="000A558E" w:rsidRPr="008B7C3B">
        <w:rPr>
          <w:rFonts w:ascii="Verdana" w:hAnsi="Verdana"/>
          <w:color w:val="000000" w:themeColor="text1"/>
          <w:sz w:val="18"/>
          <w:szCs w:val="18"/>
        </w:rPr>
        <w:t xml:space="preserve"> 2020),</w:t>
      </w:r>
      <w:r w:rsidRPr="008B7C3B">
        <w:rPr>
          <w:rFonts w:ascii="Verdana" w:hAnsi="Verdana"/>
          <w:color w:val="000000" w:themeColor="text1"/>
          <w:sz w:val="18"/>
          <w:szCs w:val="18"/>
        </w:rPr>
        <w:t xml:space="preserve"> Allen J. quashed the planning decision at issue here</w:t>
      </w:r>
      <w:r w:rsidR="000144BC" w:rsidRPr="008B7C3B">
        <w:rPr>
          <w:rFonts w:ascii="Verdana" w:hAnsi="Verdana"/>
          <w:color w:val="000000" w:themeColor="text1"/>
          <w:sz w:val="18"/>
          <w:szCs w:val="18"/>
        </w:rPr>
        <w:t>,</w:t>
      </w:r>
      <w:r w:rsidRPr="008B7C3B">
        <w:rPr>
          <w:rFonts w:ascii="Verdana" w:hAnsi="Verdana"/>
          <w:color w:val="000000" w:themeColor="text1"/>
          <w:sz w:val="18"/>
          <w:szCs w:val="18"/>
        </w:rPr>
        <w:t xml:space="preserve"> but only on one of the grounds raised by the applicant. </w:t>
      </w:r>
    </w:p>
    <w:p w14:paraId="2ADED288" w14:textId="2721F38F" w:rsidR="00AB313B"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 </w:t>
      </w:r>
      <w:r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Pr="008B7C3B">
        <w:rPr>
          <w:rFonts w:ascii="Verdana" w:hAnsi="Verdana"/>
          <w:i/>
          <w:color w:val="000000" w:themeColor="text1"/>
          <w:sz w:val="18"/>
          <w:szCs w:val="18"/>
        </w:rPr>
        <w:t xml:space="preserve">Kemper v. An Bord </w:t>
      </w:r>
      <w:r w:rsidR="00294044" w:rsidRPr="008B7C3B">
        <w:rPr>
          <w:rFonts w:ascii="Verdana" w:hAnsi="Verdana"/>
          <w:i/>
          <w:color w:val="000000" w:themeColor="text1"/>
          <w:sz w:val="18"/>
          <w:szCs w:val="18"/>
        </w:rPr>
        <w:t xml:space="preserve">Pleanála </w:t>
      </w:r>
      <w:r w:rsidR="000A558E" w:rsidRPr="008B7C3B">
        <w:rPr>
          <w:rFonts w:ascii="Verdana" w:hAnsi="Verdana"/>
          <w:i/>
          <w:color w:val="000000" w:themeColor="text1"/>
          <w:sz w:val="18"/>
          <w:szCs w:val="18"/>
        </w:rPr>
        <w:t>(</w:t>
      </w:r>
      <w:r w:rsidR="00294044" w:rsidRPr="008B7C3B">
        <w:rPr>
          <w:rFonts w:ascii="Verdana" w:hAnsi="Verdana"/>
          <w:i/>
          <w:color w:val="000000" w:themeColor="text1"/>
          <w:sz w:val="18"/>
          <w:szCs w:val="18"/>
        </w:rPr>
        <w:t>No.</w:t>
      </w:r>
      <w:r w:rsidRPr="008B7C3B">
        <w:rPr>
          <w:rFonts w:ascii="Verdana" w:hAnsi="Verdana"/>
          <w:i/>
          <w:color w:val="000000" w:themeColor="text1"/>
          <w:sz w:val="18"/>
          <w:szCs w:val="18"/>
        </w:rPr>
        <w:t xml:space="preserve"> 3</w:t>
      </w:r>
      <w:r w:rsidR="000A558E" w:rsidRPr="008B7C3B">
        <w:rPr>
          <w:rFonts w:ascii="Verdana" w:hAnsi="Verdana"/>
          <w:i/>
          <w:color w:val="000000" w:themeColor="text1"/>
          <w:sz w:val="18"/>
          <w:szCs w:val="18"/>
        </w:rPr>
        <w:t>)</w:t>
      </w:r>
      <w:r w:rsidRPr="008B7C3B">
        <w:rPr>
          <w:rFonts w:ascii="Verdana" w:hAnsi="Verdana"/>
          <w:color w:val="000000" w:themeColor="text1"/>
          <w:sz w:val="18"/>
          <w:szCs w:val="18"/>
        </w:rPr>
        <w:t xml:space="preserve"> [2021] IEHC 281</w:t>
      </w:r>
      <w:r w:rsidR="000A558E" w:rsidRPr="008B7C3B">
        <w:rPr>
          <w:rFonts w:ascii="Verdana" w:hAnsi="Verdana"/>
          <w:color w:val="000000" w:themeColor="text1"/>
          <w:sz w:val="18"/>
          <w:szCs w:val="18"/>
        </w:rPr>
        <w:t>, [2021] 4 JIC 2704 (Unreported, High Court, 27</w:t>
      </w:r>
      <w:r w:rsidR="000A558E" w:rsidRPr="008B7C3B">
        <w:rPr>
          <w:rFonts w:ascii="Verdana" w:hAnsi="Verdana"/>
          <w:color w:val="000000" w:themeColor="text1"/>
          <w:sz w:val="18"/>
          <w:szCs w:val="18"/>
          <w:vertAlign w:val="superscript"/>
        </w:rPr>
        <w:t>th</w:t>
      </w:r>
      <w:r w:rsidR="000A558E" w:rsidRPr="008B7C3B">
        <w:rPr>
          <w:rFonts w:ascii="Verdana" w:hAnsi="Verdana"/>
          <w:color w:val="000000" w:themeColor="text1"/>
          <w:sz w:val="18"/>
          <w:szCs w:val="18"/>
        </w:rPr>
        <w:t xml:space="preserve"> </w:t>
      </w:r>
      <w:proofErr w:type="gramStart"/>
      <w:r w:rsidR="000A558E" w:rsidRPr="008B7C3B">
        <w:rPr>
          <w:rFonts w:ascii="Verdana" w:hAnsi="Verdana"/>
          <w:color w:val="000000" w:themeColor="text1"/>
          <w:sz w:val="18"/>
          <w:szCs w:val="18"/>
        </w:rPr>
        <w:t>April,</w:t>
      </w:r>
      <w:proofErr w:type="gramEnd"/>
      <w:r w:rsidR="000A558E" w:rsidRPr="008B7C3B">
        <w:rPr>
          <w:rFonts w:ascii="Verdana" w:hAnsi="Verdana"/>
          <w:color w:val="000000" w:themeColor="text1"/>
          <w:sz w:val="18"/>
          <w:szCs w:val="18"/>
        </w:rPr>
        <w:t xml:space="preserve"> 2021), </w:t>
      </w:r>
      <w:r w:rsidRPr="008B7C3B">
        <w:rPr>
          <w:rFonts w:ascii="Verdana" w:hAnsi="Verdana"/>
          <w:color w:val="000000" w:themeColor="text1"/>
          <w:sz w:val="18"/>
          <w:szCs w:val="18"/>
        </w:rPr>
        <w:t xml:space="preserve">Allen J. decided to remit the matter back to An Bord Pleanála. </w:t>
      </w:r>
    </w:p>
    <w:p w14:paraId="413F6840" w14:textId="24A2E61B" w:rsidR="00DA1F8B"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 </w:t>
      </w:r>
      <w:r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Pr="008B7C3B">
        <w:rPr>
          <w:rFonts w:ascii="Verdana" w:hAnsi="Verdana"/>
          <w:i/>
          <w:color w:val="000000" w:themeColor="text1"/>
          <w:sz w:val="18"/>
          <w:szCs w:val="18"/>
        </w:rPr>
        <w:t xml:space="preserve">Kemper v. An Bord </w:t>
      </w:r>
      <w:r w:rsidR="00294044" w:rsidRPr="008B7C3B">
        <w:rPr>
          <w:rFonts w:ascii="Verdana" w:hAnsi="Verdana"/>
          <w:i/>
          <w:color w:val="000000" w:themeColor="text1"/>
          <w:sz w:val="18"/>
          <w:szCs w:val="18"/>
        </w:rPr>
        <w:t xml:space="preserve">Pleanála </w:t>
      </w:r>
      <w:r w:rsidR="000A558E" w:rsidRPr="008B7C3B">
        <w:rPr>
          <w:rFonts w:ascii="Verdana" w:hAnsi="Verdana"/>
          <w:i/>
          <w:color w:val="000000" w:themeColor="text1"/>
          <w:sz w:val="18"/>
          <w:szCs w:val="18"/>
        </w:rPr>
        <w:t>(</w:t>
      </w:r>
      <w:r w:rsidR="00294044" w:rsidRPr="008B7C3B">
        <w:rPr>
          <w:rFonts w:ascii="Verdana" w:hAnsi="Verdana"/>
          <w:i/>
          <w:color w:val="000000" w:themeColor="text1"/>
          <w:sz w:val="18"/>
          <w:szCs w:val="18"/>
        </w:rPr>
        <w:t>No.</w:t>
      </w:r>
      <w:r w:rsidRPr="008B7C3B">
        <w:rPr>
          <w:rFonts w:ascii="Verdana" w:hAnsi="Verdana"/>
          <w:i/>
          <w:color w:val="000000" w:themeColor="text1"/>
          <w:sz w:val="18"/>
          <w:szCs w:val="18"/>
        </w:rPr>
        <w:t xml:space="preserve"> 4</w:t>
      </w:r>
      <w:r w:rsidR="000A558E" w:rsidRPr="008B7C3B">
        <w:rPr>
          <w:rFonts w:ascii="Verdana" w:hAnsi="Verdana"/>
          <w:i/>
          <w:color w:val="000000" w:themeColor="text1"/>
          <w:sz w:val="18"/>
          <w:szCs w:val="18"/>
        </w:rPr>
        <w:t>)</w:t>
      </w:r>
      <w:r w:rsidRPr="008B7C3B">
        <w:rPr>
          <w:rFonts w:ascii="Verdana" w:hAnsi="Verdana"/>
          <w:color w:val="000000" w:themeColor="text1"/>
          <w:sz w:val="18"/>
          <w:szCs w:val="18"/>
        </w:rPr>
        <w:t xml:space="preserve"> [2022] IEHC 25</w:t>
      </w:r>
      <w:r w:rsidR="000A558E" w:rsidRPr="008B7C3B">
        <w:rPr>
          <w:rFonts w:ascii="Verdana" w:hAnsi="Verdana"/>
          <w:color w:val="000000" w:themeColor="text1"/>
          <w:sz w:val="18"/>
          <w:szCs w:val="18"/>
        </w:rPr>
        <w:t>, [2022] 1 JIC 2106 (Unreported, High Court, 21</w:t>
      </w:r>
      <w:r w:rsidR="000A558E" w:rsidRPr="008B7C3B">
        <w:rPr>
          <w:rFonts w:ascii="Verdana" w:hAnsi="Verdana"/>
          <w:color w:val="000000" w:themeColor="text1"/>
          <w:sz w:val="18"/>
          <w:szCs w:val="18"/>
          <w:vertAlign w:val="superscript"/>
        </w:rPr>
        <w:t>st</w:t>
      </w:r>
      <w:r w:rsidR="000A558E" w:rsidRPr="008B7C3B">
        <w:rPr>
          <w:rFonts w:ascii="Verdana" w:hAnsi="Verdana"/>
          <w:color w:val="000000" w:themeColor="text1"/>
          <w:sz w:val="18"/>
          <w:szCs w:val="18"/>
        </w:rPr>
        <w:t xml:space="preserve"> </w:t>
      </w:r>
      <w:proofErr w:type="gramStart"/>
      <w:r w:rsidR="000A558E" w:rsidRPr="008B7C3B">
        <w:rPr>
          <w:rFonts w:ascii="Verdana" w:hAnsi="Verdana"/>
          <w:color w:val="000000" w:themeColor="text1"/>
          <w:sz w:val="18"/>
          <w:szCs w:val="18"/>
        </w:rPr>
        <w:t>January,</w:t>
      </w:r>
      <w:proofErr w:type="gramEnd"/>
      <w:r w:rsidR="000A558E" w:rsidRPr="008B7C3B">
        <w:rPr>
          <w:rFonts w:ascii="Verdana" w:hAnsi="Verdana"/>
          <w:color w:val="000000" w:themeColor="text1"/>
          <w:sz w:val="18"/>
          <w:szCs w:val="18"/>
        </w:rPr>
        <w:t xml:space="preserve"> 2022), </w:t>
      </w:r>
      <w:r w:rsidRPr="008B7C3B">
        <w:rPr>
          <w:rFonts w:ascii="Verdana" w:hAnsi="Verdana"/>
          <w:color w:val="000000" w:themeColor="text1"/>
          <w:sz w:val="18"/>
          <w:szCs w:val="18"/>
        </w:rPr>
        <w:t xml:space="preserve">Allen J. awarded 25% of the cost to the applicant against the </w:t>
      </w:r>
      <w:r w:rsidR="000144BC" w:rsidRPr="008B7C3B">
        <w:rPr>
          <w:rFonts w:ascii="Verdana" w:hAnsi="Verdana"/>
          <w:color w:val="000000" w:themeColor="text1"/>
          <w:sz w:val="18"/>
          <w:szCs w:val="18"/>
        </w:rPr>
        <w:t>b</w:t>
      </w:r>
      <w:r w:rsidRPr="008B7C3B">
        <w:rPr>
          <w:rFonts w:ascii="Verdana" w:hAnsi="Verdana"/>
          <w:color w:val="000000" w:themeColor="text1"/>
          <w:sz w:val="18"/>
          <w:szCs w:val="18"/>
        </w:rPr>
        <w:t>oard minus the costs of the re</w:t>
      </w:r>
      <w:r w:rsidR="00A47CBC" w:rsidRPr="008B7C3B">
        <w:rPr>
          <w:rFonts w:ascii="Verdana" w:hAnsi="Verdana"/>
          <w:color w:val="000000" w:themeColor="text1"/>
          <w:sz w:val="18"/>
          <w:szCs w:val="18"/>
        </w:rPr>
        <w:t>c</w:t>
      </w:r>
      <w:r w:rsidRPr="008B7C3B">
        <w:rPr>
          <w:rFonts w:ascii="Verdana" w:hAnsi="Verdana"/>
          <w:color w:val="000000" w:themeColor="text1"/>
          <w:sz w:val="18"/>
          <w:szCs w:val="18"/>
        </w:rPr>
        <w:t>usal and remittal applications</w:t>
      </w:r>
      <w:r w:rsidR="000A558E" w:rsidRPr="008B7C3B">
        <w:rPr>
          <w:rFonts w:ascii="Verdana" w:hAnsi="Verdana"/>
          <w:color w:val="000000" w:themeColor="text1"/>
          <w:sz w:val="18"/>
          <w:szCs w:val="18"/>
        </w:rPr>
        <w:t>,</w:t>
      </w:r>
      <w:r w:rsidRPr="008B7C3B">
        <w:rPr>
          <w:rFonts w:ascii="Verdana" w:hAnsi="Verdana"/>
          <w:color w:val="000000" w:themeColor="text1"/>
          <w:sz w:val="18"/>
          <w:szCs w:val="18"/>
        </w:rPr>
        <w:t xml:space="preserve"> with no order as to costs against the State.</w:t>
      </w:r>
    </w:p>
    <w:p w14:paraId="388F259C" w14:textId="790B2DC0" w:rsidR="00DA1F8B"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lastRenderedPageBreak/>
        <w:t xml:space="preserve">I am now dealing with the question of leave to appeal in respect of the costs issue. </w:t>
      </w:r>
      <w:r w:rsidR="000144BC"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That question was transferred to me following Allen J.’s elevation to the Court of Appeal. </w:t>
      </w:r>
    </w:p>
    <w:p w14:paraId="66A29AA6" w14:textId="77777777" w:rsidR="00DA1F8B" w:rsidRPr="001C1881" w:rsidRDefault="00DA1F8B"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Brief procedural history</w:t>
      </w:r>
    </w:p>
    <w:p w14:paraId="01128FC9" w14:textId="184A695F" w:rsidR="000144BC"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w:t>
      </w:r>
      <w:r w:rsidRPr="008B7C3B">
        <w:rPr>
          <w:rFonts w:ascii="Verdana" w:hAnsi="Verdana"/>
          <w:i/>
          <w:iCs/>
          <w:color w:val="000000" w:themeColor="text1"/>
          <w:sz w:val="18"/>
          <w:szCs w:val="18"/>
        </w:rPr>
        <w:t>ex parte</w:t>
      </w:r>
      <w:r w:rsidRPr="008B7C3B">
        <w:rPr>
          <w:rFonts w:ascii="Verdana" w:hAnsi="Verdana"/>
          <w:color w:val="000000" w:themeColor="text1"/>
          <w:sz w:val="18"/>
          <w:szCs w:val="18"/>
        </w:rPr>
        <w:t xml:space="preserve"> application</w:t>
      </w:r>
      <w:r w:rsidR="003C6D47" w:rsidRPr="008B7C3B">
        <w:rPr>
          <w:rFonts w:ascii="Verdana" w:hAnsi="Verdana"/>
          <w:color w:val="000000" w:themeColor="text1"/>
          <w:sz w:val="18"/>
          <w:szCs w:val="18"/>
        </w:rPr>
        <w:t xml:space="preserve"> in the proceedings</w:t>
      </w:r>
      <w:r w:rsidRPr="008B7C3B">
        <w:rPr>
          <w:rFonts w:ascii="Verdana" w:hAnsi="Verdana"/>
          <w:color w:val="000000" w:themeColor="text1"/>
          <w:sz w:val="18"/>
          <w:szCs w:val="18"/>
        </w:rPr>
        <w:t xml:space="preserve"> was </w:t>
      </w:r>
      <w:r w:rsidR="003C6D47" w:rsidRPr="008B7C3B">
        <w:rPr>
          <w:rFonts w:ascii="Verdana" w:hAnsi="Verdana"/>
          <w:color w:val="000000" w:themeColor="text1"/>
          <w:sz w:val="18"/>
          <w:szCs w:val="18"/>
        </w:rPr>
        <w:t xml:space="preserve">originally </w:t>
      </w:r>
      <w:r w:rsidRPr="008B7C3B">
        <w:rPr>
          <w:rFonts w:ascii="Verdana" w:hAnsi="Verdana"/>
          <w:color w:val="000000" w:themeColor="text1"/>
          <w:sz w:val="18"/>
          <w:szCs w:val="18"/>
        </w:rPr>
        <w:t>opened before Meenan J. on 14</w:t>
      </w:r>
      <w:r w:rsidRPr="008B7C3B">
        <w:rPr>
          <w:rFonts w:ascii="Verdana" w:hAnsi="Verdana"/>
          <w:color w:val="000000" w:themeColor="text1"/>
          <w:sz w:val="18"/>
          <w:szCs w:val="18"/>
          <w:vertAlign w:val="superscript"/>
        </w:rPr>
        <w:t>th</w:t>
      </w:r>
      <w:r w:rsidRPr="008B7C3B">
        <w:rPr>
          <w:rFonts w:ascii="Verdana" w:hAnsi="Verdana"/>
          <w:color w:val="000000" w:themeColor="text1"/>
          <w:sz w:val="18"/>
          <w:szCs w:val="18"/>
        </w:rPr>
        <w:t xml:space="preserve"> </w:t>
      </w:r>
      <w:proofErr w:type="gramStart"/>
      <w:r w:rsidRPr="008B7C3B">
        <w:rPr>
          <w:rFonts w:ascii="Verdana" w:hAnsi="Verdana"/>
          <w:color w:val="000000" w:themeColor="text1"/>
          <w:sz w:val="18"/>
          <w:szCs w:val="18"/>
        </w:rPr>
        <w:t>January,</w:t>
      </w:r>
      <w:proofErr w:type="gramEnd"/>
      <w:r w:rsidRPr="008B7C3B">
        <w:rPr>
          <w:rFonts w:ascii="Verdana" w:hAnsi="Verdana"/>
          <w:color w:val="000000" w:themeColor="text1"/>
          <w:sz w:val="18"/>
          <w:szCs w:val="18"/>
        </w:rPr>
        <w:t xml:space="preserve"> 2020. </w:t>
      </w:r>
      <w:r w:rsidR="000144BC"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It was then transferred to the </w:t>
      </w:r>
      <w:r w:rsidR="000144BC" w:rsidRPr="008B7C3B">
        <w:rPr>
          <w:rFonts w:ascii="Verdana" w:hAnsi="Verdana"/>
          <w:color w:val="000000" w:themeColor="text1"/>
          <w:sz w:val="18"/>
          <w:szCs w:val="18"/>
        </w:rPr>
        <w:t>S</w:t>
      </w:r>
      <w:r w:rsidRPr="008B7C3B">
        <w:rPr>
          <w:rFonts w:ascii="Verdana" w:hAnsi="Verdana"/>
          <w:color w:val="000000" w:themeColor="text1"/>
          <w:sz w:val="18"/>
          <w:szCs w:val="18"/>
        </w:rPr>
        <w:t xml:space="preserve">trategic </w:t>
      </w:r>
      <w:r w:rsidR="000144BC" w:rsidRPr="008B7C3B">
        <w:rPr>
          <w:rFonts w:ascii="Verdana" w:hAnsi="Verdana"/>
          <w:color w:val="000000" w:themeColor="text1"/>
          <w:sz w:val="18"/>
          <w:szCs w:val="18"/>
        </w:rPr>
        <w:t>I</w:t>
      </w:r>
      <w:r w:rsidRPr="008B7C3B">
        <w:rPr>
          <w:rFonts w:ascii="Verdana" w:hAnsi="Verdana"/>
          <w:color w:val="000000" w:themeColor="text1"/>
          <w:sz w:val="18"/>
          <w:szCs w:val="18"/>
        </w:rPr>
        <w:t xml:space="preserve">nfrastructure </w:t>
      </w:r>
      <w:r w:rsidR="000144BC" w:rsidRPr="008B7C3B">
        <w:rPr>
          <w:rFonts w:ascii="Verdana" w:hAnsi="Verdana"/>
          <w:color w:val="000000" w:themeColor="text1"/>
          <w:sz w:val="18"/>
          <w:szCs w:val="18"/>
        </w:rPr>
        <w:t>D</w:t>
      </w:r>
      <w:r w:rsidRPr="008B7C3B">
        <w:rPr>
          <w:rFonts w:ascii="Verdana" w:hAnsi="Verdana"/>
          <w:color w:val="000000" w:themeColor="text1"/>
          <w:sz w:val="18"/>
          <w:szCs w:val="18"/>
        </w:rPr>
        <w:t xml:space="preserve">evelopment </w:t>
      </w:r>
      <w:r w:rsidR="000144BC" w:rsidRPr="008B7C3B">
        <w:rPr>
          <w:rFonts w:ascii="Verdana" w:hAnsi="Verdana"/>
          <w:color w:val="000000" w:themeColor="text1"/>
          <w:sz w:val="18"/>
          <w:szCs w:val="18"/>
        </w:rPr>
        <w:t>L</w:t>
      </w:r>
      <w:r w:rsidRPr="008B7C3B">
        <w:rPr>
          <w:rFonts w:ascii="Verdana" w:hAnsi="Verdana"/>
          <w:color w:val="000000" w:themeColor="text1"/>
          <w:sz w:val="18"/>
          <w:szCs w:val="18"/>
        </w:rPr>
        <w:t>ist.</w:t>
      </w:r>
    </w:p>
    <w:p w14:paraId="0713CF5D" w14:textId="0624C5DD" w:rsidR="00DA1F8B"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By order of Simons J. of 23</w:t>
      </w:r>
      <w:r w:rsidRPr="008B7C3B">
        <w:rPr>
          <w:rFonts w:ascii="Verdana" w:hAnsi="Verdana"/>
          <w:color w:val="000000" w:themeColor="text1"/>
          <w:sz w:val="18"/>
          <w:szCs w:val="18"/>
          <w:vertAlign w:val="superscript"/>
        </w:rPr>
        <w:t>rd</w:t>
      </w:r>
      <w:r w:rsidRPr="008B7C3B">
        <w:rPr>
          <w:rFonts w:ascii="Verdana" w:hAnsi="Verdana"/>
          <w:color w:val="000000" w:themeColor="text1"/>
          <w:sz w:val="18"/>
          <w:szCs w:val="18"/>
        </w:rPr>
        <w:t xml:space="preserve"> </w:t>
      </w:r>
      <w:proofErr w:type="gramStart"/>
      <w:r w:rsidRPr="008B7C3B">
        <w:rPr>
          <w:rFonts w:ascii="Verdana" w:hAnsi="Verdana"/>
          <w:color w:val="000000" w:themeColor="text1"/>
          <w:sz w:val="18"/>
          <w:szCs w:val="18"/>
        </w:rPr>
        <w:t>January,</w:t>
      </w:r>
      <w:proofErr w:type="gramEnd"/>
      <w:r w:rsidRPr="008B7C3B">
        <w:rPr>
          <w:rFonts w:ascii="Verdana" w:hAnsi="Verdana"/>
          <w:color w:val="000000" w:themeColor="text1"/>
          <w:sz w:val="18"/>
          <w:szCs w:val="18"/>
        </w:rPr>
        <w:t xml:space="preserve"> 2020 it was directed that the leave application be made on notice and the court raised the question of a possible telescoped hearing.</w:t>
      </w:r>
      <w:r w:rsidR="000144BC" w:rsidRPr="008B7C3B">
        <w:rPr>
          <w:rFonts w:ascii="Verdana" w:hAnsi="Verdana"/>
          <w:color w:val="000000" w:themeColor="text1"/>
          <w:sz w:val="18"/>
          <w:szCs w:val="18"/>
        </w:rPr>
        <w:t xml:space="preserve">  </w:t>
      </w:r>
      <w:r w:rsidRPr="008B7C3B">
        <w:rPr>
          <w:rFonts w:ascii="Verdana" w:hAnsi="Verdana"/>
          <w:color w:val="000000" w:themeColor="text1"/>
          <w:sz w:val="18"/>
          <w:szCs w:val="18"/>
        </w:rPr>
        <w:t>Ultimately eight days were set aside for a telescoped hearing and the hearing that actually took place went on for twelve days before Allen J. from 7</w:t>
      </w:r>
      <w:r w:rsidRPr="008B7C3B">
        <w:rPr>
          <w:rFonts w:ascii="Verdana" w:hAnsi="Verdana"/>
          <w:color w:val="000000" w:themeColor="text1"/>
          <w:sz w:val="18"/>
          <w:szCs w:val="18"/>
          <w:vertAlign w:val="superscript"/>
        </w:rPr>
        <w:t>th</w:t>
      </w:r>
      <w:r w:rsidRPr="008B7C3B">
        <w:rPr>
          <w:rFonts w:ascii="Verdana" w:hAnsi="Verdana"/>
          <w:color w:val="000000" w:themeColor="text1"/>
          <w:sz w:val="18"/>
          <w:szCs w:val="18"/>
        </w:rPr>
        <w:t xml:space="preserve"> </w:t>
      </w:r>
      <w:proofErr w:type="gramStart"/>
      <w:r w:rsidRPr="008B7C3B">
        <w:rPr>
          <w:rFonts w:ascii="Verdana" w:hAnsi="Verdana"/>
          <w:color w:val="000000" w:themeColor="text1"/>
          <w:sz w:val="18"/>
          <w:szCs w:val="18"/>
        </w:rPr>
        <w:t>July,</w:t>
      </w:r>
      <w:proofErr w:type="gramEnd"/>
      <w:r w:rsidRPr="008B7C3B">
        <w:rPr>
          <w:rFonts w:ascii="Verdana" w:hAnsi="Verdana"/>
          <w:color w:val="000000" w:themeColor="text1"/>
          <w:sz w:val="18"/>
          <w:szCs w:val="18"/>
        </w:rPr>
        <w:t xml:space="preserve"> 2020 to 24</w:t>
      </w:r>
      <w:r w:rsidRPr="008B7C3B">
        <w:rPr>
          <w:rFonts w:ascii="Verdana" w:hAnsi="Verdana"/>
          <w:color w:val="000000" w:themeColor="text1"/>
          <w:sz w:val="18"/>
          <w:szCs w:val="18"/>
          <w:vertAlign w:val="superscript"/>
        </w:rPr>
        <w:t>th</w:t>
      </w:r>
      <w:r w:rsidRPr="008B7C3B">
        <w:rPr>
          <w:rFonts w:ascii="Verdana" w:hAnsi="Verdana"/>
          <w:color w:val="000000" w:themeColor="text1"/>
          <w:sz w:val="18"/>
          <w:szCs w:val="18"/>
        </w:rPr>
        <w:t xml:space="preserve"> July, 2020. </w:t>
      </w:r>
      <w:r w:rsidR="000144BC"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That gave rise to the judgments referred to above. </w:t>
      </w:r>
    </w:p>
    <w:p w14:paraId="167FC3EC" w14:textId="24467E80" w:rsidR="000144BC"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It is possibly worth noting that the changes and improvements to the </w:t>
      </w:r>
      <w:r w:rsidR="000144BC" w:rsidRPr="008B7C3B">
        <w:rPr>
          <w:rFonts w:ascii="Verdana" w:hAnsi="Verdana"/>
          <w:color w:val="000000" w:themeColor="text1"/>
          <w:sz w:val="18"/>
          <w:szCs w:val="18"/>
        </w:rPr>
        <w:t>C</w:t>
      </w:r>
      <w:r w:rsidRPr="008B7C3B">
        <w:rPr>
          <w:rFonts w:ascii="Verdana" w:hAnsi="Verdana"/>
          <w:color w:val="000000" w:themeColor="text1"/>
          <w:sz w:val="18"/>
          <w:szCs w:val="18"/>
        </w:rPr>
        <w:t xml:space="preserve">ommercial </w:t>
      </w:r>
      <w:r w:rsidR="000144BC" w:rsidRPr="008B7C3B">
        <w:rPr>
          <w:rFonts w:ascii="Verdana" w:hAnsi="Verdana"/>
          <w:color w:val="000000" w:themeColor="text1"/>
          <w:sz w:val="18"/>
          <w:szCs w:val="18"/>
        </w:rPr>
        <w:t>P</w:t>
      </w:r>
      <w:r w:rsidRPr="008B7C3B">
        <w:rPr>
          <w:rFonts w:ascii="Verdana" w:hAnsi="Verdana"/>
          <w:color w:val="000000" w:themeColor="text1"/>
          <w:sz w:val="18"/>
          <w:szCs w:val="18"/>
        </w:rPr>
        <w:t xml:space="preserve">lanning and </w:t>
      </w:r>
      <w:r w:rsidR="000144BC" w:rsidRPr="008B7C3B">
        <w:rPr>
          <w:rFonts w:ascii="Verdana" w:hAnsi="Verdana"/>
          <w:color w:val="000000" w:themeColor="text1"/>
          <w:sz w:val="18"/>
          <w:szCs w:val="18"/>
        </w:rPr>
        <w:t>S</w:t>
      </w:r>
      <w:r w:rsidRPr="008B7C3B">
        <w:rPr>
          <w:rFonts w:ascii="Verdana" w:hAnsi="Verdana"/>
          <w:color w:val="000000" w:themeColor="text1"/>
          <w:sz w:val="18"/>
          <w:szCs w:val="18"/>
        </w:rPr>
        <w:t xml:space="preserve">trategic </w:t>
      </w:r>
      <w:r w:rsidR="000144BC" w:rsidRPr="008B7C3B">
        <w:rPr>
          <w:rFonts w:ascii="Verdana" w:hAnsi="Verdana"/>
          <w:color w:val="000000" w:themeColor="text1"/>
          <w:sz w:val="18"/>
          <w:szCs w:val="18"/>
        </w:rPr>
        <w:t>I</w:t>
      </w:r>
      <w:r w:rsidRPr="008B7C3B">
        <w:rPr>
          <w:rFonts w:ascii="Verdana" w:hAnsi="Verdana"/>
          <w:color w:val="000000" w:themeColor="text1"/>
          <w:sz w:val="18"/>
          <w:szCs w:val="18"/>
        </w:rPr>
        <w:t xml:space="preserve">nfrastructure </w:t>
      </w:r>
      <w:r w:rsidR="000144BC" w:rsidRPr="008B7C3B">
        <w:rPr>
          <w:rFonts w:ascii="Verdana" w:hAnsi="Verdana"/>
          <w:color w:val="000000" w:themeColor="text1"/>
          <w:sz w:val="18"/>
          <w:szCs w:val="18"/>
        </w:rPr>
        <w:t>D</w:t>
      </w:r>
      <w:r w:rsidRPr="008B7C3B">
        <w:rPr>
          <w:rFonts w:ascii="Verdana" w:hAnsi="Verdana"/>
          <w:color w:val="000000" w:themeColor="text1"/>
          <w:sz w:val="18"/>
          <w:szCs w:val="18"/>
        </w:rPr>
        <w:t xml:space="preserve">evelopment </w:t>
      </w:r>
      <w:r w:rsidR="000144BC" w:rsidRPr="008B7C3B">
        <w:rPr>
          <w:rFonts w:ascii="Verdana" w:hAnsi="Verdana"/>
          <w:color w:val="000000" w:themeColor="text1"/>
          <w:sz w:val="18"/>
          <w:szCs w:val="18"/>
        </w:rPr>
        <w:t>L</w:t>
      </w:r>
      <w:r w:rsidRPr="008B7C3B">
        <w:rPr>
          <w:rFonts w:ascii="Verdana" w:hAnsi="Verdana"/>
          <w:color w:val="000000" w:themeColor="text1"/>
          <w:sz w:val="18"/>
          <w:szCs w:val="18"/>
        </w:rPr>
        <w:t xml:space="preserve">ist introduced by </w:t>
      </w:r>
      <w:r w:rsidR="00765425">
        <w:rPr>
          <w:rFonts w:ascii="Verdana" w:hAnsi="Verdana"/>
          <w:color w:val="000000" w:themeColor="text1"/>
          <w:sz w:val="18"/>
          <w:szCs w:val="18"/>
        </w:rPr>
        <w:t xml:space="preserve">recent </w:t>
      </w:r>
      <w:r w:rsidRPr="008B7C3B">
        <w:rPr>
          <w:rFonts w:ascii="Verdana" w:hAnsi="Verdana"/>
          <w:color w:val="000000" w:themeColor="text1"/>
          <w:sz w:val="18"/>
          <w:szCs w:val="18"/>
        </w:rPr>
        <w:t xml:space="preserve">Practice Directions issued by Irvine P. have had the result that hearings are now generally in the three to </w:t>
      </w:r>
      <w:r w:rsidR="00294044" w:rsidRPr="008B7C3B">
        <w:rPr>
          <w:rFonts w:ascii="Verdana" w:hAnsi="Verdana"/>
          <w:color w:val="000000" w:themeColor="text1"/>
          <w:sz w:val="18"/>
          <w:szCs w:val="18"/>
        </w:rPr>
        <w:t>four-day</w:t>
      </w:r>
      <w:r w:rsidRPr="008B7C3B">
        <w:rPr>
          <w:rFonts w:ascii="Verdana" w:hAnsi="Verdana"/>
          <w:color w:val="000000" w:themeColor="text1"/>
          <w:sz w:val="18"/>
          <w:szCs w:val="18"/>
        </w:rPr>
        <w:t xml:space="preserve"> range</w:t>
      </w:r>
      <w:r w:rsidR="000144BC" w:rsidRPr="008B7C3B">
        <w:rPr>
          <w:rFonts w:ascii="Verdana" w:hAnsi="Verdana"/>
          <w:color w:val="000000" w:themeColor="text1"/>
          <w:sz w:val="18"/>
          <w:szCs w:val="18"/>
        </w:rPr>
        <w:t>,</w:t>
      </w:r>
      <w:r w:rsidRPr="008B7C3B">
        <w:rPr>
          <w:rFonts w:ascii="Verdana" w:hAnsi="Verdana"/>
          <w:color w:val="000000" w:themeColor="text1"/>
          <w:sz w:val="18"/>
          <w:szCs w:val="18"/>
        </w:rPr>
        <w:t xml:space="preserve"> that telescoping of cases no longer normally occurs and that leave applications are dealt with normally on the Monday following the case being initiated or shortly </w:t>
      </w:r>
      <w:r w:rsidR="00294044" w:rsidRPr="008B7C3B">
        <w:rPr>
          <w:rFonts w:ascii="Verdana" w:hAnsi="Verdana"/>
          <w:color w:val="000000" w:themeColor="text1"/>
          <w:sz w:val="18"/>
          <w:szCs w:val="18"/>
        </w:rPr>
        <w:t>thereafter</w:t>
      </w:r>
    </w:p>
    <w:p w14:paraId="1E06DC55" w14:textId="15780849" w:rsidR="00DA1F8B" w:rsidRPr="008B7C3B" w:rsidRDefault="00DA1F8B"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All of this came too late for this applicant which is a shame </w:t>
      </w:r>
      <w:r w:rsidR="00765425">
        <w:rPr>
          <w:rFonts w:ascii="Verdana" w:hAnsi="Verdana"/>
          <w:color w:val="000000" w:themeColor="text1"/>
          <w:sz w:val="18"/>
          <w:szCs w:val="18"/>
        </w:rPr>
        <w:t>from her point of view</w:t>
      </w:r>
      <w:r w:rsidRPr="008B7C3B">
        <w:rPr>
          <w:rFonts w:ascii="Verdana" w:hAnsi="Verdana"/>
          <w:color w:val="000000" w:themeColor="text1"/>
          <w:sz w:val="18"/>
          <w:szCs w:val="18"/>
        </w:rPr>
        <w:t xml:space="preserve">. </w:t>
      </w:r>
      <w:r w:rsidR="000144BC" w:rsidRPr="008B7C3B">
        <w:rPr>
          <w:rFonts w:ascii="Verdana" w:hAnsi="Verdana"/>
          <w:color w:val="000000" w:themeColor="text1"/>
          <w:sz w:val="18"/>
          <w:szCs w:val="18"/>
        </w:rPr>
        <w:t xml:space="preserve"> </w:t>
      </w:r>
      <w:r w:rsidR="004F3550" w:rsidRPr="008B7C3B">
        <w:rPr>
          <w:rFonts w:ascii="Verdana" w:hAnsi="Verdana"/>
          <w:color w:val="000000" w:themeColor="text1"/>
          <w:sz w:val="18"/>
          <w:szCs w:val="18"/>
        </w:rPr>
        <w:t>All that goes to show that there is a beauty in concision</w:t>
      </w:r>
      <w:r w:rsidR="003C6D47" w:rsidRPr="008B7C3B">
        <w:rPr>
          <w:rFonts w:ascii="Verdana" w:hAnsi="Verdana"/>
          <w:color w:val="000000" w:themeColor="text1"/>
          <w:sz w:val="18"/>
          <w:szCs w:val="18"/>
        </w:rPr>
        <w:t>,</w:t>
      </w:r>
      <w:r w:rsidR="004F3550" w:rsidRPr="008B7C3B">
        <w:rPr>
          <w:rFonts w:ascii="Verdana" w:hAnsi="Verdana"/>
          <w:color w:val="000000" w:themeColor="text1"/>
          <w:sz w:val="18"/>
          <w:szCs w:val="18"/>
        </w:rPr>
        <w:t xml:space="preserve"> and there are benefits for all involved. </w:t>
      </w:r>
    </w:p>
    <w:p w14:paraId="110C85AA" w14:textId="77777777" w:rsidR="000144BC" w:rsidRPr="001C1881" w:rsidRDefault="004F3550"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Legal principles applicable to certification</w:t>
      </w:r>
    </w:p>
    <w:p w14:paraId="4717636E" w14:textId="77777777" w:rsidR="003C6D47" w:rsidRPr="008B7C3B" w:rsidRDefault="004F3550"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color w:val="000000" w:themeColor="text1"/>
          <w:sz w:val="18"/>
          <w:szCs w:val="18"/>
        </w:rPr>
        <w:t>The requirement for leave to appeal derives from s. 50</w:t>
      </w:r>
      <w:proofErr w:type="gramStart"/>
      <w:r w:rsidRPr="008B7C3B">
        <w:rPr>
          <w:rFonts w:ascii="Verdana" w:hAnsi="Verdana"/>
          <w:color w:val="000000" w:themeColor="text1"/>
          <w:sz w:val="18"/>
          <w:szCs w:val="18"/>
        </w:rPr>
        <w:t>A(</w:t>
      </w:r>
      <w:proofErr w:type="gramEnd"/>
      <w:r w:rsidRPr="008B7C3B">
        <w:rPr>
          <w:rFonts w:ascii="Verdana" w:hAnsi="Verdana"/>
          <w:color w:val="000000" w:themeColor="text1"/>
          <w:sz w:val="18"/>
          <w:szCs w:val="18"/>
        </w:rPr>
        <w:t xml:space="preserve">7) of the Planning and Development Act 2000. </w:t>
      </w:r>
      <w:r w:rsidR="000144BC" w:rsidRPr="008B7C3B">
        <w:rPr>
          <w:rFonts w:ascii="Verdana" w:hAnsi="Verdana"/>
          <w:color w:val="000000" w:themeColor="text1"/>
          <w:sz w:val="18"/>
          <w:szCs w:val="18"/>
        </w:rPr>
        <w:t xml:space="preserve"> </w:t>
      </w:r>
      <w:r w:rsidR="003C6D47" w:rsidRPr="008B7C3B">
        <w:rPr>
          <w:rFonts w:ascii="Verdana" w:hAnsi="Verdana"/>
          <w:sz w:val="18"/>
          <w:szCs w:val="18"/>
        </w:rPr>
        <w:t xml:space="preserve">The caselaw in that regard is well established and is referred to in the parties’ submissions, and was recently helpfully summarised by Barniville J. in </w:t>
      </w:r>
      <w:r w:rsidR="003C6D47" w:rsidRPr="008B7C3B">
        <w:rPr>
          <w:rFonts w:ascii="Verdana" w:hAnsi="Verdana"/>
          <w:i/>
          <w:iCs/>
          <w:sz w:val="18"/>
          <w:szCs w:val="18"/>
        </w:rPr>
        <w:t>Cork Harbour Alliance for a Safe Environment v. An Bord Pleanála</w:t>
      </w:r>
      <w:r w:rsidR="003C6D47" w:rsidRPr="008B7C3B">
        <w:rPr>
          <w:rFonts w:ascii="Verdana" w:hAnsi="Verdana"/>
          <w:sz w:val="18"/>
          <w:szCs w:val="18"/>
        </w:rPr>
        <w:t xml:space="preserve"> [2022] IEHC 231, [2022] 4 JIC 2601 (Unreported, High Court, 26</w:t>
      </w:r>
      <w:r w:rsidR="003C6D47" w:rsidRPr="008B7C3B">
        <w:rPr>
          <w:rFonts w:ascii="Verdana" w:hAnsi="Verdana"/>
          <w:sz w:val="18"/>
          <w:szCs w:val="18"/>
          <w:vertAlign w:val="superscript"/>
        </w:rPr>
        <w:t>th</w:t>
      </w:r>
      <w:r w:rsidR="003C6D47" w:rsidRPr="008B7C3B">
        <w:rPr>
          <w:rFonts w:ascii="Verdana" w:hAnsi="Verdana"/>
          <w:sz w:val="18"/>
          <w:szCs w:val="18"/>
        </w:rPr>
        <w:t xml:space="preserve"> </w:t>
      </w:r>
      <w:proofErr w:type="gramStart"/>
      <w:r w:rsidR="003C6D47" w:rsidRPr="008B7C3B">
        <w:rPr>
          <w:rFonts w:ascii="Verdana" w:hAnsi="Verdana"/>
          <w:sz w:val="18"/>
          <w:szCs w:val="18"/>
        </w:rPr>
        <w:t>April,</w:t>
      </w:r>
      <w:proofErr w:type="gramEnd"/>
      <w:r w:rsidR="003C6D47" w:rsidRPr="008B7C3B">
        <w:rPr>
          <w:rFonts w:ascii="Verdana" w:hAnsi="Verdana"/>
          <w:sz w:val="18"/>
          <w:szCs w:val="18"/>
        </w:rPr>
        <w:t xml:space="preserve"> 2022).</w:t>
      </w:r>
    </w:p>
    <w:p w14:paraId="04A6BFA1" w14:textId="674E4C0C" w:rsidR="004F3550" w:rsidRPr="001C1881" w:rsidRDefault="004F3550"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The applicant’s questions</w:t>
      </w:r>
    </w:p>
    <w:p w14:paraId="0C122356" w14:textId="5D8CE2D5" w:rsidR="004F3550" w:rsidRPr="008B7C3B" w:rsidRDefault="004F3550"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The applicant proposed ten questions of law of exceptional public importance and in addition two questions which she wanted referred to the CJEU.</w:t>
      </w:r>
      <w:r w:rsidR="000144BC" w:rsidRPr="008B7C3B">
        <w:rPr>
          <w:rFonts w:ascii="Verdana" w:hAnsi="Verdana"/>
          <w:color w:val="000000" w:themeColor="text1"/>
          <w:sz w:val="18"/>
          <w:szCs w:val="18"/>
        </w:rPr>
        <w:t xml:space="preserve">  </w:t>
      </w:r>
      <w:proofErr w:type="gramStart"/>
      <w:r w:rsidRPr="008B7C3B">
        <w:rPr>
          <w:rFonts w:ascii="Verdana" w:hAnsi="Verdana"/>
          <w:color w:val="000000" w:themeColor="text1"/>
          <w:sz w:val="18"/>
          <w:szCs w:val="18"/>
        </w:rPr>
        <w:t>So</w:t>
      </w:r>
      <w:proofErr w:type="gramEnd"/>
      <w:r w:rsidRPr="008B7C3B">
        <w:rPr>
          <w:rFonts w:ascii="Verdana" w:hAnsi="Verdana"/>
          <w:color w:val="000000" w:themeColor="text1"/>
          <w:sz w:val="18"/>
          <w:szCs w:val="18"/>
        </w:rPr>
        <w:t xml:space="preserve"> in effect there were twelve questions for consideration as a basis for taking the matter further. </w:t>
      </w:r>
      <w:r w:rsidR="007F1CC7"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I will refer to the latter two for simplicity as questions 11 and 12. </w:t>
      </w:r>
    </w:p>
    <w:p w14:paraId="00E6DD20" w14:textId="2569FDDD" w:rsidR="00717C39" w:rsidRPr="008B7C3B" w:rsidRDefault="00717C39"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 essence the applicant’s submissions broke down </w:t>
      </w:r>
      <w:r w:rsidR="007D3DD6" w:rsidRPr="008B7C3B">
        <w:rPr>
          <w:rFonts w:ascii="Verdana" w:hAnsi="Verdana"/>
          <w:color w:val="000000" w:themeColor="text1"/>
          <w:sz w:val="18"/>
          <w:szCs w:val="18"/>
        </w:rPr>
        <w:t>into</w:t>
      </w:r>
      <w:r w:rsidRPr="008B7C3B">
        <w:rPr>
          <w:rFonts w:ascii="Verdana" w:hAnsi="Verdana"/>
          <w:color w:val="000000" w:themeColor="text1"/>
          <w:sz w:val="18"/>
          <w:szCs w:val="18"/>
        </w:rPr>
        <w:t xml:space="preserve"> three basic </w:t>
      </w:r>
      <w:r w:rsidR="007D3DD6" w:rsidRPr="008B7C3B">
        <w:rPr>
          <w:rFonts w:ascii="Verdana" w:hAnsi="Verdana"/>
          <w:color w:val="000000" w:themeColor="text1"/>
          <w:sz w:val="18"/>
          <w:szCs w:val="18"/>
        </w:rPr>
        <w:t>issues</w:t>
      </w:r>
      <w:r w:rsidRPr="008B7C3B">
        <w:rPr>
          <w:rFonts w:ascii="Verdana" w:hAnsi="Verdana"/>
          <w:color w:val="000000" w:themeColor="text1"/>
          <w:sz w:val="18"/>
          <w:szCs w:val="18"/>
        </w:rPr>
        <w:t>:</w:t>
      </w:r>
    </w:p>
    <w:p w14:paraId="57A4FB5A" w14:textId="67F0527C" w:rsidR="00717C39" w:rsidRPr="008B7C3B" w:rsidRDefault="00717C39" w:rsidP="001C1881">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circumstances for discounting costs envisaged by the Supreme Court in </w:t>
      </w:r>
      <w:r w:rsidRPr="008B7C3B">
        <w:rPr>
          <w:rFonts w:ascii="Verdana" w:hAnsi="Verdana"/>
          <w:i/>
          <w:color w:val="000000" w:themeColor="text1"/>
          <w:sz w:val="18"/>
          <w:szCs w:val="18"/>
        </w:rPr>
        <w:t>Connelly v. An Bord Pleanála</w:t>
      </w:r>
      <w:r w:rsidRPr="008B7C3B">
        <w:rPr>
          <w:rFonts w:ascii="Verdana" w:hAnsi="Verdana"/>
          <w:iCs/>
          <w:color w:val="000000" w:themeColor="text1"/>
          <w:sz w:val="18"/>
          <w:szCs w:val="18"/>
        </w:rPr>
        <w:t xml:space="preserve"> [2018] IESC 36, [2018] 7 JIC 3002 (Unreported, Supreme Court, Clarke C.J. (O’Donnell, Dunne, </w:t>
      </w:r>
      <w:proofErr w:type="gramStart"/>
      <w:r w:rsidRPr="008B7C3B">
        <w:rPr>
          <w:rFonts w:ascii="Verdana" w:hAnsi="Verdana"/>
          <w:iCs/>
          <w:color w:val="000000" w:themeColor="text1"/>
          <w:sz w:val="18"/>
          <w:szCs w:val="18"/>
        </w:rPr>
        <w:t>O’Malley</w:t>
      </w:r>
      <w:proofErr w:type="gramEnd"/>
      <w:r w:rsidRPr="008B7C3B">
        <w:rPr>
          <w:rFonts w:ascii="Verdana" w:hAnsi="Verdana"/>
          <w:iCs/>
          <w:color w:val="000000" w:themeColor="text1"/>
          <w:sz w:val="18"/>
          <w:szCs w:val="18"/>
        </w:rPr>
        <w:t xml:space="preserve"> and Finlay Geoghegan JJ. concurring), 30</w:t>
      </w:r>
      <w:r w:rsidRPr="008B7C3B">
        <w:rPr>
          <w:rFonts w:ascii="Verdana" w:hAnsi="Verdana"/>
          <w:iCs/>
          <w:color w:val="000000" w:themeColor="text1"/>
          <w:sz w:val="18"/>
          <w:szCs w:val="18"/>
          <w:vertAlign w:val="superscript"/>
        </w:rPr>
        <w:t>th</w:t>
      </w:r>
      <w:r w:rsidRPr="008B7C3B">
        <w:rPr>
          <w:rFonts w:ascii="Verdana" w:hAnsi="Verdana"/>
          <w:iCs/>
          <w:color w:val="000000" w:themeColor="text1"/>
          <w:sz w:val="18"/>
          <w:szCs w:val="18"/>
        </w:rPr>
        <w:t xml:space="preserve"> </w:t>
      </w:r>
      <w:proofErr w:type="gramStart"/>
      <w:r w:rsidRPr="008B7C3B">
        <w:rPr>
          <w:rFonts w:ascii="Verdana" w:hAnsi="Verdana"/>
          <w:iCs/>
          <w:color w:val="000000" w:themeColor="text1"/>
          <w:sz w:val="18"/>
          <w:szCs w:val="18"/>
        </w:rPr>
        <w:t>July,</w:t>
      </w:r>
      <w:proofErr w:type="gramEnd"/>
      <w:r w:rsidRPr="008B7C3B">
        <w:rPr>
          <w:rFonts w:ascii="Verdana" w:hAnsi="Verdana"/>
          <w:iCs/>
          <w:color w:val="000000" w:themeColor="text1"/>
          <w:sz w:val="18"/>
          <w:szCs w:val="18"/>
        </w:rPr>
        <w:t xml:space="preserve"> 2018) </w:t>
      </w:r>
      <w:r w:rsidR="007D3DD6" w:rsidRPr="008B7C3B">
        <w:rPr>
          <w:rFonts w:ascii="Verdana" w:hAnsi="Verdana"/>
          <w:iCs/>
          <w:color w:val="000000" w:themeColor="text1"/>
          <w:sz w:val="18"/>
          <w:szCs w:val="18"/>
        </w:rPr>
        <w:t xml:space="preserve">should be interpreted in a restrictive way and </w:t>
      </w:r>
      <w:r w:rsidRPr="008B7C3B">
        <w:rPr>
          <w:rFonts w:ascii="Verdana" w:hAnsi="Verdana"/>
          <w:iCs/>
          <w:color w:val="000000" w:themeColor="text1"/>
          <w:sz w:val="18"/>
          <w:szCs w:val="18"/>
        </w:rPr>
        <w:t>were not satisfied here.</w:t>
      </w:r>
    </w:p>
    <w:p w14:paraId="14BC8BE3" w14:textId="41309EC5" w:rsidR="00717C39" w:rsidRPr="008B7C3B" w:rsidRDefault="00717C39" w:rsidP="001C1881">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If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applies here, the discounting of costs</w:t>
      </w:r>
      <w:r w:rsidR="007D3DD6" w:rsidRPr="008B7C3B">
        <w:rPr>
          <w:rFonts w:ascii="Verdana" w:hAnsi="Verdana"/>
          <w:color w:val="000000" w:themeColor="text1"/>
          <w:sz w:val="18"/>
          <w:szCs w:val="18"/>
        </w:rPr>
        <w:t xml:space="preserve"> here</w:t>
      </w:r>
      <w:r w:rsidRPr="008B7C3B">
        <w:rPr>
          <w:rFonts w:ascii="Verdana" w:hAnsi="Verdana"/>
          <w:color w:val="000000" w:themeColor="text1"/>
          <w:sz w:val="18"/>
          <w:szCs w:val="18"/>
        </w:rPr>
        <w:t xml:space="preserve"> was excessive.</w:t>
      </w:r>
    </w:p>
    <w:p w14:paraId="689BABAC" w14:textId="5E5458BB" w:rsidR="00717C39" w:rsidRPr="008B7C3B" w:rsidRDefault="00717C39" w:rsidP="001C1881">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lastRenderedPageBreak/>
        <w:t xml:space="preserve">If discounting as applied here is permissible, that is in breach of the Aarhus Convention on a basis not argued in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w:t>
      </w:r>
    </w:p>
    <w:p w14:paraId="723B79DB" w14:textId="683B10EF" w:rsidR="00717C39" w:rsidRPr="001C1881" w:rsidRDefault="00804092"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 xml:space="preserve">Issue I - </w:t>
      </w:r>
      <w:r w:rsidR="00717C39" w:rsidRPr="001C1881">
        <w:rPr>
          <w:rFonts w:ascii="Verdana" w:hAnsi="Verdana"/>
          <w:b/>
          <w:color w:val="000000" w:themeColor="text1"/>
          <w:sz w:val="18"/>
          <w:szCs w:val="18"/>
        </w:rPr>
        <w:t>Whether Connelly applies</w:t>
      </w:r>
    </w:p>
    <w:p w14:paraId="47E7150D" w14:textId="79A295F2" w:rsidR="00717C39" w:rsidRPr="008B7C3B" w:rsidRDefault="00717C39"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first set of points refers to whether the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discounting approach applies here.  </w:t>
      </w:r>
      <w:r w:rsidR="006B25C8" w:rsidRPr="008B7C3B">
        <w:rPr>
          <w:rFonts w:ascii="Verdana" w:hAnsi="Verdana"/>
          <w:color w:val="000000" w:themeColor="text1"/>
          <w:sz w:val="18"/>
          <w:szCs w:val="18"/>
        </w:rPr>
        <w:t xml:space="preserve">I agree with Allen J. </w:t>
      </w:r>
      <w:r w:rsidRPr="008B7C3B">
        <w:rPr>
          <w:rFonts w:ascii="Verdana" w:hAnsi="Verdana"/>
          <w:color w:val="000000" w:themeColor="text1"/>
          <w:sz w:val="18"/>
          <w:szCs w:val="18"/>
        </w:rPr>
        <w:t xml:space="preserve">that it does, not on any kind of automatic basis but in circumstances where an applicant falls significantly short of winning </w:t>
      </w:r>
      <w:proofErr w:type="gramStart"/>
      <w:r w:rsidRPr="008B7C3B">
        <w:rPr>
          <w:rFonts w:ascii="Verdana" w:hAnsi="Verdana"/>
          <w:color w:val="000000" w:themeColor="text1"/>
          <w:sz w:val="18"/>
          <w:szCs w:val="18"/>
        </w:rPr>
        <w:t>a majority of</w:t>
      </w:r>
      <w:proofErr w:type="gramEnd"/>
      <w:r w:rsidRPr="008B7C3B">
        <w:rPr>
          <w:rFonts w:ascii="Verdana" w:hAnsi="Verdana"/>
          <w:color w:val="000000" w:themeColor="text1"/>
          <w:sz w:val="18"/>
          <w:szCs w:val="18"/>
        </w:rPr>
        <w:t xml:space="preserve"> her significant points, or where there is a discrete hearing of an interlocutory issue on which she failed (see </w:t>
      </w:r>
      <w:r w:rsidRPr="008B7C3B">
        <w:rPr>
          <w:rFonts w:ascii="Verdana" w:hAnsi="Verdana"/>
          <w:i/>
          <w:iCs/>
          <w:color w:val="000000" w:themeColor="text1"/>
          <w:sz w:val="18"/>
          <w:szCs w:val="18"/>
        </w:rPr>
        <w:t xml:space="preserve">Flannery v. </w:t>
      </w:r>
      <w:r w:rsidR="00E057BC" w:rsidRPr="008B7C3B">
        <w:rPr>
          <w:rFonts w:ascii="Verdana" w:hAnsi="Verdana"/>
          <w:i/>
          <w:iCs/>
          <w:color w:val="000000" w:themeColor="text1"/>
          <w:sz w:val="18"/>
          <w:szCs w:val="18"/>
        </w:rPr>
        <w:t>An Bord Pleanála</w:t>
      </w:r>
      <w:r w:rsidR="00F83B42" w:rsidRPr="008B7C3B">
        <w:rPr>
          <w:rFonts w:ascii="Verdana" w:hAnsi="Verdana"/>
          <w:i/>
          <w:iCs/>
          <w:color w:val="000000" w:themeColor="text1"/>
          <w:sz w:val="18"/>
          <w:szCs w:val="18"/>
        </w:rPr>
        <w:t xml:space="preserve"> (No. 3)</w:t>
      </w:r>
      <w:r w:rsidR="00E057BC" w:rsidRPr="008B7C3B">
        <w:rPr>
          <w:rFonts w:ascii="Verdana" w:hAnsi="Verdana"/>
          <w:color w:val="000000" w:themeColor="text1"/>
          <w:sz w:val="18"/>
          <w:szCs w:val="18"/>
        </w:rPr>
        <w:t xml:space="preserve"> [2022]</w:t>
      </w:r>
      <w:r w:rsidR="00FB44FB" w:rsidRPr="008B7C3B">
        <w:rPr>
          <w:rFonts w:ascii="Verdana" w:hAnsi="Verdana"/>
          <w:color w:val="000000" w:themeColor="text1"/>
          <w:sz w:val="18"/>
          <w:szCs w:val="18"/>
        </w:rPr>
        <w:t xml:space="preserve"> </w:t>
      </w:r>
      <w:r w:rsidR="003D531D" w:rsidRPr="008B7C3B">
        <w:rPr>
          <w:rFonts w:ascii="Verdana" w:hAnsi="Verdana"/>
          <w:color w:val="000000" w:themeColor="text1"/>
          <w:sz w:val="18"/>
          <w:szCs w:val="18"/>
        </w:rPr>
        <w:t xml:space="preserve">IEHC 327 (Unreported, High Court, </w:t>
      </w:r>
      <w:r w:rsidR="000162D6" w:rsidRPr="008B7C3B">
        <w:rPr>
          <w:rFonts w:ascii="Verdana" w:hAnsi="Verdana"/>
          <w:color w:val="000000" w:themeColor="text1"/>
          <w:sz w:val="18"/>
          <w:szCs w:val="18"/>
        </w:rPr>
        <w:t>8</w:t>
      </w:r>
      <w:r w:rsidR="000162D6" w:rsidRPr="008B7C3B">
        <w:rPr>
          <w:rFonts w:ascii="Verdana" w:hAnsi="Verdana"/>
          <w:color w:val="000000" w:themeColor="text1"/>
          <w:sz w:val="18"/>
          <w:szCs w:val="18"/>
          <w:vertAlign w:val="superscript"/>
        </w:rPr>
        <w:t>th</w:t>
      </w:r>
      <w:r w:rsidR="000162D6" w:rsidRPr="008B7C3B">
        <w:rPr>
          <w:rFonts w:ascii="Verdana" w:hAnsi="Verdana"/>
          <w:color w:val="000000" w:themeColor="text1"/>
          <w:sz w:val="18"/>
          <w:szCs w:val="18"/>
        </w:rPr>
        <w:t xml:space="preserve"> </w:t>
      </w:r>
      <w:proofErr w:type="gramStart"/>
      <w:r w:rsidR="000162D6" w:rsidRPr="008B7C3B">
        <w:rPr>
          <w:rFonts w:ascii="Verdana" w:hAnsi="Verdana"/>
          <w:color w:val="000000" w:themeColor="text1"/>
          <w:sz w:val="18"/>
          <w:szCs w:val="18"/>
        </w:rPr>
        <w:t>June,</w:t>
      </w:r>
      <w:proofErr w:type="gramEnd"/>
      <w:r w:rsidR="000162D6" w:rsidRPr="008B7C3B">
        <w:rPr>
          <w:rFonts w:ascii="Verdana" w:hAnsi="Verdana"/>
          <w:color w:val="000000" w:themeColor="text1"/>
          <w:sz w:val="18"/>
          <w:szCs w:val="18"/>
        </w:rPr>
        <w:t xml:space="preserve"> 2022</w:t>
      </w:r>
      <w:r w:rsidR="003D531D" w:rsidRPr="008B7C3B">
        <w:rPr>
          <w:rFonts w:ascii="Verdana" w:hAnsi="Verdana"/>
          <w:color w:val="000000" w:themeColor="text1"/>
          <w:sz w:val="18"/>
          <w:szCs w:val="18"/>
        </w:rPr>
        <w:t>)</w:t>
      </w:r>
      <w:r w:rsidR="00E057BC" w:rsidRPr="008B7C3B">
        <w:rPr>
          <w:rFonts w:ascii="Verdana" w:hAnsi="Verdana"/>
          <w:color w:val="000000" w:themeColor="text1"/>
          <w:sz w:val="18"/>
          <w:szCs w:val="18"/>
        </w:rPr>
        <w:t xml:space="preserve">).  Both aspects apply here.  The applicant sought to challenge this in </w:t>
      </w:r>
      <w:proofErr w:type="gramStart"/>
      <w:r w:rsidR="00E057BC" w:rsidRPr="008B7C3B">
        <w:rPr>
          <w:rFonts w:ascii="Verdana" w:hAnsi="Verdana"/>
          <w:color w:val="000000" w:themeColor="text1"/>
          <w:sz w:val="18"/>
          <w:szCs w:val="18"/>
        </w:rPr>
        <w:t>a number of</w:t>
      </w:r>
      <w:proofErr w:type="gramEnd"/>
      <w:r w:rsidR="00E057BC" w:rsidRPr="008B7C3B">
        <w:rPr>
          <w:rFonts w:ascii="Verdana" w:hAnsi="Verdana"/>
          <w:color w:val="000000" w:themeColor="text1"/>
          <w:sz w:val="18"/>
          <w:szCs w:val="18"/>
        </w:rPr>
        <w:t xml:space="preserve"> ways.</w:t>
      </w:r>
    </w:p>
    <w:p w14:paraId="2EE25549" w14:textId="77777777" w:rsidR="004F3550" w:rsidRPr="001C1881" w:rsidRDefault="004F3550" w:rsidP="001C1881">
      <w:pPr>
        <w:pStyle w:val="ListParagraph"/>
        <w:spacing w:line="360" w:lineRule="auto"/>
        <w:ind w:left="567" w:hanging="567"/>
        <w:contextualSpacing w:val="0"/>
        <w:jc w:val="both"/>
        <w:rPr>
          <w:rFonts w:ascii="Verdana" w:hAnsi="Verdana"/>
          <w:b/>
          <w:color w:val="000000" w:themeColor="text1"/>
          <w:sz w:val="18"/>
          <w:szCs w:val="18"/>
        </w:rPr>
      </w:pPr>
      <w:r w:rsidRPr="001C1881">
        <w:rPr>
          <w:rFonts w:ascii="Verdana" w:hAnsi="Verdana"/>
          <w:b/>
          <w:color w:val="000000" w:themeColor="text1"/>
          <w:sz w:val="18"/>
          <w:szCs w:val="18"/>
        </w:rPr>
        <w:t xml:space="preserve">Whether the applicants losing points were substantial (questions 1 and 2) </w:t>
      </w:r>
    </w:p>
    <w:p w14:paraId="57471F56" w14:textId="32E1E02E" w:rsidR="000144BC" w:rsidRPr="008B7C3B" w:rsidRDefault="004F3550"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1 provides as follows:</w:t>
      </w:r>
    </w:p>
    <w:p w14:paraId="1E620886" w14:textId="529F68FD" w:rsidR="00E0395A" w:rsidRPr="008B7C3B" w:rsidRDefault="00E0395A" w:rsidP="00287B75">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“Is it an </w:t>
      </w:r>
      <w:r w:rsidRPr="008B7C3B">
        <w:rPr>
          <w:rFonts w:ascii="Verdana" w:hAnsi="Verdana"/>
          <w:i/>
          <w:iCs/>
          <w:color w:val="000000" w:themeColor="text1"/>
          <w:sz w:val="18"/>
          <w:szCs w:val="18"/>
        </w:rPr>
        <w:t>inevitable result</w:t>
      </w:r>
      <w:r w:rsidRPr="008B7C3B">
        <w:rPr>
          <w:rFonts w:ascii="Verdana" w:hAnsi="Verdana"/>
          <w:color w:val="000000" w:themeColor="text1"/>
          <w:sz w:val="18"/>
          <w:szCs w:val="18"/>
        </w:rPr>
        <w:t xml:space="preserve"> of a telescoped hearing of a judicial review leave application and judicial review that there could be no determination that any of the applicant’s pleaded grounds were ‘substantial’ or ‘not substantial’ until the judgment is delivered, as the Trial Judge found at paragraph 18 of his judgment, and if so is it the case that telescoped hearings are by their nature incompatible with the ‘not prohibitively expensive’ and ‘timely access to justice’ rules in the Aarhus Convention as transposed into EU Law and therefore incompatible with EU Law?”</w:t>
      </w:r>
    </w:p>
    <w:p w14:paraId="3BEEB074" w14:textId="216EFEA4" w:rsidR="004F3550" w:rsidRPr="008B7C3B" w:rsidRDefault="004F3550"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The question is based on the premise that the applicant would be better off for costs purposes with an unsuccessful but substantial point than with an unsuccessful but insubstantial point.</w:t>
      </w:r>
      <w:r w:rsidR="000144BC" w:rsidRPr="008B7C3B">
        <w:rPr>
          <w:rFonts w:ascii="Verdana" w:hAnsi="Verdana"/>
          <w:color w:val="000000" w:themeColor="text1"/>
          <w:sz w:val="18"/>
          <w:szCs w:val="18"/>
        </w:rPr>
        <w:t xml:space="preserve">  </w:t>
      </w:r>
      <w:r w:rsidR="006B25C8" w:rsidRPr="008B7C3B">
        <w:rPr>
          <w:rFonts w:ascii="Verdana" w:hAnsi="Verdana"/>
          <w:color w:val="000000" w:themeColor="text1"/>
          <w:sz w:val="18"/>
          <w:szCs w:val="18"/>
        </w:rPr>
        <w:t>Allen J.’s reading, and mine, is that</w:t>
      </w:r>
      <w:r w:rsidR="000144BC" w:rsidRPr="008B7C3B">
        <w:rPr>
          <w:rFonts w:ascii="Verdana" w:hAnsi="Verdana"/>
          <w:i/>
          <w:color w:val="000000" w:themeColor="text1"/>
          <w:sz w:val="18"/>
          <w:szCs w:val="18"/>
        </w:rPr>
        <w:t xml:space="preserve"> </w:t>
      </w:r>
      <w:r w:rsidRPr="008B7C3B">
        <w:rPr>
          <w:rFonts w:ascii="Verdana" w:hAnsi="Verdana"/>
          <w:i/>
          <w:color w:val="000000" w:themeColor="text1"/>
          <w:sz w:val="18"/>
          <w:szCs w:val="18"/>
        </w:rPr>
        <w:t xml:space="preserve">Connelly </w:t>
      </w:r>
      <w:r w:rsidRPr="008B7C3B">
        <w:rPr>
          <w:rFonts w:ascii="Verdana" w:hAnsi="Verdana"/>
          <w:color w:val="000000" w:themeColor="text1"/>
          <w:sz w:val="18"/>
          <w:szCs w:val="18"/>
        </w:rPr>
        <w:t>involves a distinction between the successful and the unsuccessful points</w:t>
      </w:r>
      <w:r w:rsidR="000144BC" w:rsidRPr="008B7C3B">
        <w:rPr>
          <w:rFonts w:ascii="Verdana" w:hAnsi="Verdana"/>
          <w:color w:val="000000" w:themeColor="text1"/>
          <w:sz w:val="18"/>
          <w:szCs w:val="18"/>
        </w:rPr>
        <w:t>,</w:t>
      </w:r>
      <w:r w:rsidRPr="008B7C3B">
        <w:rPr>
          <w:rFonts w:ascii="Verdana" w:hAnsi="Verdana"/>
          <w:color w:val="000000" w:themeColor="text1"/>
          <w:sz w:val="18"/>
          <w:szCs w:val="18"/>
        </w:rPr>
        <w:t xml:space="preserve"> not a distinction as between degrees of lack of success.</w:t>
      </w:r>
      <w:r w:rsidR="006B25C8" w:rsidRPr="008B7C3B">
        <w:rPr>
          <w:rFonts w:ascii="Verdana" w:hAnsi="Verdana"/>
          <w:color w:val="000000" w:themeColor="text1"/>
          <w:sz w:val="18"/>
          <w:szCs w:val="18"/>
        </w:rPr>
        <w:t xml:space="preserve">  The applicant contends that that is incorrect. </w:t>
      </w:r>
      <w:r w:rsidR="000144BC" w:rsidRPr="008B7C3B">
        <w:rPr>
          <w:rFonts w:ascii="Verdana" w:hAnsi="Verdana"/>
          <w:color w:val="000000" w:themeColor="text1"/>
          <w:sz w:val="18"/>
          <w:szCs w:val="18"/>
        </w:rPr>
        <w:t xml:space="preserve">  </w:t>
      </w:r>
      <w:r w:rsidR="006B25C8" w:rsidRPr="008B7C3B">
        <w:rPr>
          <w:rFonts w:ascii="Verdana" w:hAnsi="Verdana"/>
          <w:color w:val="000000" w:themeColor="text1"/>
          <w:sz w:val="18"/>
          <w:szCs w:val="18"/>
        </w:rPr>
        <w:t xml:space="preserve"> </w:t>
      </w:r>
    </w:p>
    <w:p w14:paraId="075D7F0C" w14:textId="461D0CA7" w:rsidR="000144BC" w:rsidRPr="008B7C3B" w:rsidRDefault="004F3550"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2 provides as follows</w:t>
      </w:r>
      <w:r w:rsidR="00E0395A" w:rsidRPr="008B7C3B">
        <w:rPr>
          <w:rFonts w:ascii="Verdana" w:hAnsi="Verdana"/>
          <w:color w:val="000000" w:themeColor="text1"/>
          <w:sz w:val="18"/>
          <w:szCs w:val="18"/>
        </w:rPr>
        <w:t>:</w:t>
      </w:r>
    </w:p>
    <w:p w14:paraId="637B3277" w14:textId="077E033C" w:rsidR="00E0395A" w:rsidRPr="008B7C3B" w:rsidRDefault="00E0395A" w:rsidP="00287B75">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“In circumstances where a Court is granting an order in favour of an applicant quashing a permission what remedy exists for such applicant in respect of a finding by the High Court that other pleaded grounds of judicial review are ‘insubstantial’? Is it necessary (or possible) for such applicant to seek leave to appeal through the identification of a point of law of exceptional public importance in an application to the same judge for leave to appeal such grounds? If so, is same compatible with the NPE rules under national and EU law? If not, can the lack of success in respect of such grounds inform the decision of the Court in respect of costs?”</w:t>
      </w:r>
    </w:p>
    <w:p w14:paraId="50FB50DD" w14:textId="10F41F51" w:rsidR="00D21FE1" w:rsidRPr="008B7C3B" w:rsidRDefault="007D3DD6"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Insofar as the question of an applicant’s remedy is concerned, there was some discussion at the hearing of the present application as to the extent to which this extended to the remittal decision.  </w:t>
      </w:r>
      <w:r w:rsidR="00104643" w:rsidRPr="008B7C3B">
        <w:rPr>
          <w:rFonts w:ascii="Verdana" w:hAnsi="Verdana"/>
          <w:color w:val="000000" w:themeColor="text1"/>
          <w:sz w:val="18"/>
          <w:szCs w:val="18"/>
        </w:rPr>
        <w:t xml:space="preserve">The board accepted </w:t>
      </w:r>
      <w:r w:rsidR="00E057BC" w:rsidRPr="008B7C3B">
        <w:rPr>
          <w:rFonts w:ascii="Verdana" w:hAnsi="Verdana"/>
          <w:color w:val="000000" w:themeColor="text1"/>
          <w:sz w:val="18"/>
          <w:szCs w:val="18"/>
        </w:rPr>
        <w:t xml:space="preserve">in an abstract sort of way </w:t>
      </w:r>
      <w:r w:rsidR="00104643" w:rsidRPr="008B7C3B">
        <w:rPr>
          <w:rFonts w:ascii="Verdana" w:hAnsi="Verdana"/>
          <w:color w:val="000000" w:themeColor="text1"/>
          <w:sz w:val="18"/>
          <w:szCs w:val="18"/>
        </w:rPr>
        <w:t xml:space="preserve">that there had to be </w:t>
      </w:r>
      <w:r w:rsidR="00D21FE1" w:rsidRPr="008B7C3B">
        <w:rPr>
          <w:rFonts w:ascii="Verdana" w:hAnsi="Verdana"/>
          <w:color w:val="000000" w:themeColor="text1"/>
          <w:sz w:val="18"/>
          <w:szCs w:val="18"/>
        </w:rPr>
        <w:t xml:space="preserve">a </w:t>
      </w:r>
      <w:r w:rsidR="00104643" w:rsidRPr="008B7C3B">
        <w:rPr>
          <w:rFonts w:ascii="Verdana" w:hAnsi="Verdana"/>
          <w:color w:val="000000" w:themeColor="text1"/>
          <w:sz w:val="18"/>
          <w:szCs w:val="18"/>
        </w:rPr>
        <w:t>remedy</w:t>
      </w:r>
      <w:r w:rsidR="00E057BC" w:rsidRPr="008B7C3B">
        <w:rPr>
          <w:rFonts w:ascii="Verdana" w:hAnsi="Verdana"/>
          <w:color w:val="000000" w:themeColor="text1"/>
          <w:sz w:val="18"/>
          <w:szCs w:val="18"/>
        </w:rPr>
        <w:t xml:space="preserve"> for an applicant</w:t>
      </w:r>
      <w:r w:rsidR="00104643" w:rsidRPr="008B7C3B">
        <w:rPr>
          <w:rFonts w:ascii="Verdana" w:hAnsi="Verdana"/>
          <w:color w:val="000000" w:themeColor="text1"/>
          <w:sz w:val="18"/>
          <w:szCs w:val="18"/>
        </w:rPr>
        <w:t xml:space="preserve"> in relation to a remittal decision</w:t>
      </w:r>
      <w:r w:rsidR="00E057BC" w:rsidRPr="008B7C3B">
        <w:rPr>
          <w:rFonts w:ascii="Verdana" w:hAnsi="Verdana"/>
          <w:color w:val="000000" w:themeColor="text1"/>
          <w:sz w:val="18"/>
          <w:szCs w:val="18"/>
        </w:rPr>
        <w:t>, which would apply</w:t>
      </w:r>
      <w:r w:rsidR="00104643" w:rsidRPr="008B7C3B">
        <w:rPr>
          <w:rFonts w:ascii="Verdana" w:hAnsi="Verdana"/>
          <w:color w:val="000000" w:themeColor="text1"/>
          <w:sz w:val="18"/>
          <w:szCs w:val="18"/>
        </w:rPr>
        <w:t xml:space="preserve"> if an applicant thought that there should not be a remittal or </w:t>
      </w:r>
      <w:r w:rsidR="00E057BC" w:rsidRPr="008B7C3B">
        <w:rPr>
          <w:rFonts w:ascii="Verdana" w:hAnsi="Verdana"/>
          <w:color w:val="000000" w:themeColor="text1"/>
          <w:sz w:val="18"/>
          <w:szCs w:val="18"/>
        </w:rPr>
        <w:t xml:space="preserve">alternatively that </w:t>
      </w:r>
      <w:r w:rsidR="00104643" w:rsidRPr="008B7C3B">
        <w:rPr>
          <w:rFonts w:ascii="Verdana" w:hAnsi="Verdana"/>
          <w:color w:val="000000" w:themeColor="text1"/>
          <w:sz w:val="18"/>
          <w:szCs w:val="18"/>
        </w:rPr>
        <w:t>there should be remittal to a different point</w:t>
      </w:r>
      <w:r w:rsidR="00E057BC" w:rsidRPr="008B7C3B">
        <w:rPr>
          <w:rFonts w:ascii="Verdana" w:hAnsi="Verdana"/>
          <w:color w:val="000000" w:themeColor="text1"/>
          <w:sz w:val="18"/>
          <w:szCs w:val="18"/>
        </w:rPr>
        <w:t xml:space="preserve"> in </w:t>
      </w:r>
      <w:r w:rsidR="00E057BC" w:rsidRPr="008B7C3B">
        <w:rPr>
          <w:rFonts w:ascii="Verdana" w:hAnsi="Verdana"/>
          <w:color w:val="000000" w:themeColor="text1"/>
          <w:sz w:val="18"/>
          <w:szCs w:val="18"/>
        </w:rPr>
        <w:lastRenderedPageBreak/>
        <w:t xml:space="preserve">the process.  </w:t>
      </w:r>
      <w:r w:rsidR="00BC2B9C" w:rsidRPr="008B7C3B">
        <w:rPr>
          <w:rFonts w:ascii="Verdana" w:hAnsi="Verdana"/>
          <w:color w:val="000000" w:themeColor="text1"/>
          <w:sz w:val="18"/>
          <w:szCs w:val="18"/>
        </w:rPr>
        <w:t xml:space="preserve">They suggested that the </w:t>
      </w:r>
      <w:r w:rsidR="00BC2B9C" w:rsidRPr="008B7C3B">
        <w:rPr>
          <w:rFonts w:ascii="Verdana" w:hAnsi="Verdana"/>
          <w:i/>
          <w:iCs/>
          <w:color w:val="000000" w:themeColor="text1"/>
          <w:sz w:val="18"/>
          <w:szCs w:val="18"/>
        </w:rPr>
        <w:t>certiorari</w:t>
      </w:r>
      <w:r w:rsidR="00BC2B9C" w:rsidRPr="008B7C3B">
        <w:rPr>
          <w:rFonts w:ascii="Verdana" w:hAnsi="Verdana"/>
          <w:color w:val="000000" w:themeColor="text1"/>
          <w:sz w:val="18"/>
          <w:szCs w:val="18"/>
        </w:rPr>
        <w:t xml:space="preserve"> and the remittal were in effect a single order, which I think makes a fair bit of sense on a first reading.  </w:t>
      </w:r>
      <w:r w:rsidR="00E057BC" w:rsidRPr="008B7C3B">
        <w:rPr>
          <w:rFonts w:ascii="Verdana" w:hAnsi="Verdana"/>
          <w:color w:val="000000" w:themeColor="text1"/>
          <w:sz w:val="18"/>
          <w:szCs w:val="18"/>
        </w:rPr>
        <w:t xml:space="preserve">The board was however somewhat non-committal about </w:t>
      </w:r>
      <w:r w:rsidR="00104643" w:rsidRPr="008B7C3B">
        <w:rPr>
          <w:rFonts w:ascii="Verdana" w:hAnsi="Verdana"/>
          <w:color w:val="000000" w:themeColor="text1"/>
          <w:sz w:val="18"/>
          <w:szCs w:val="18"/>
        </w:rPr>
        <w:t xml:space="preserve">whether the applicant was precluded from raising a point in </w:t>
      </w:r>
      <w:r w:rsidR="00BC2B9C" w:rsidRPr="008B7C3B">
        <w:rPr>
          <w:rFonts w:ascii="Verdana" w:hAnsi="Verdana"/>
          <w:color w:val="000000" w:themeColor="text1"/>
          <w:sz w:val="18"/>
          <w:szCs w:val="18"/>
        </w:rPr>
        <w:t>the appeal-of-remittal</w:t>
      </w:r>
      <w:r w:rsidR="00104643" w:rsidRPr="008B7C3B">
        <w:rPr>
          <w:rFonts w:ascii="Verdana" w:hAnsi="Verdana"/>
          <w:color w:val="000000" w:themeColor="text1"/>
          <w:sz w:val="18"/>
          <w:szCs w:val="18"/>
        </w:rPr>
        <w:t xml:space="preserve"> context just because it had been rejected at the substantive stage. </w:t>
      </w:r>
      <w:r w:rsidR="00D21FE1" w:rsidRPr="008B7C3B">
        <w:rPr>
          <w:rFonts w:ascii="Verdana" w:hAnsi="Verdana"/>
          <w:color w:val="000000" w:themeColor="text1"/>
          <w:sz w:val="18"/>
          <w:szCs w:val="18"/>
        </w:rPr>
        <w:t xml:space="preserve"> </w:t>
      </w:r>
      <w:r w:rsidR="00E057BC" w:rsidRPr="008B7C3B">
        <w:rPr>
          <w:rFonts w:ascii="Verdana" w:hAnsi="Verdana"/>
          <w:color w:val="000000" w:themeColor="text1"/>
          <w:sz w:val="18"/>
          <w:szCs w:val="18"/>
        </w:rPr>
        <w:t xml:space="preserve">The argument against such preclusion is that </w:t>
      </w:r>
      <w:r w:rsidR="00104643" w:rsidRPr="008B7C3B">
        <w:rPr>
          <w:rFonts w:ascii="Verdana" w:hAnsi="Verdana"/>
          <w:color w:val="000000" w:themeColor="text1"/>
          <w:sz w:val="18"/>
          <w:szCs w:val="18"/>
        </w:rPr>
        <w:t xml:space="preserve">there cannot be some sort of </w:t>
      </w:r>
      <w:r w:rsidR="00294044" w:rsidRPr="008B7C3B">
        <w:rPr>
          <w:rFonts w:ascii="Verdana" w:hAnsi="Verdana"/>
          <w:color w:val="000000" w:themeColor="text1"/>
          <w:sz w:val="18"/>
          <w:szCs w:val="18"/>
        </w:rPr>
        <w:t>one-way</w:t>
      </w:r>
      <w:r w:rsidR="00104643" w:rsidRPr="008B7C3B">
        <w:rPr>
          <w:rFonts w:ascii="Verdana" w:hAnsi="Verdana"/>
          <w:color w:val="000000" w:themeColor="text1"/>
          <w:sz w:val="18"/>
          <w:szCs w:val="18"/>
        </w:rPr>
        <w:t xml:space="preserve"> system whereby an applicant can be disadvantaged on appeal because she wins </w:t>
      </w:r>
      <w:r w:rsidR="00104643" w:rsidRPr="008B7C3B">
        <w:rPr>
          <w:rFonts w:ascii="Verdana" w:hAnsi="Verdana"/>
          <w:i/>
          <w:color w:val="000000" w:themeColor="text1"/>
          <w:sz w:val="18"/>
          <w:szCs w:val="18"/>
        </w:rPr>
        <w:t xml:space="preserve">certiorari </w:t>
      </w:r>
      <w:r w:rsidR="00104643" w:rsidRPr="008B7C3B">
        <w:rPr>
          <w:rFonts w:ascii="Verdana" w:hAnsi="Verdana"/>
          <w:color w:val="000000" w:themeColor="text1"/>
          <w:sz w:val="18"/>
          <w:szCs w:val="18"/>
        </w:rPr>
        <w:t xml:space="preserve">although not on all grounds. </w:t>
      </w:r>
      <w:r w:rsidR="00D21FE1" w:rsidRPr="008B7C3B">
        <w:rPr>
          <w:rFonts w:ascii="Verdana" w:hAnsi="Verdana"/>
          <w:color w:val="000000" w:themeColor="text1"/>
          <w:sz w:val="18"/>
          <w:szCs w:val="18"/>
        </w:rPr>
        <w:t xml:space="preserve"> </w:t>
      </w:r>
      <w:r w:rsidR="00104643" w:rsidRPr="008B7C3B">
        <w:rPr>
          <w:rFonts w:ascii="Verdana" w:hAnsi="Verdana"/>
          <w:color w:val="000000" w:themeColor="text1"/>
          <w:sz w:val="18"/>
          <w:szCs w:val="18"/>
        </w:rPr>
        <w:t>That would mean an applicant would be handicapped in an appellate context if they win at first instance compared to somebody who loses at first instance and thus can seek to appeal everything.</w:t>
      </w:r>
    </w:p>
    <w:p w14:paraId="7D1604CE" w14:textId="78EA91EB" w:rsidR="00D21FE1" w:rsidRPr="008B7C3B" w:rsidRDefault="00104643"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remedy is to seek leave to appeal to the Court of </w:t>
      </w:r>
      <w:r w:rsidR="00294044" w:rsidRPr="008B7C3B">
        <w:rPr>
          <w:rFonts w:ascii="Verdana" w:hAnsi="Verdana"/>
          <w:color w:val="000000" w:themeColor="text1"/>
          <w:sz w:val="18"/>
          <w:szCs w:val="18"/>
        </w:rPr>
        <w:t>Appeal in</w:t>
      </w:r>
      <w:r w:rsidR="00412787" w:rsidRPr="008B7C3B">
        <w:rPr>
          <w:rFonts w:ascii="Verdana" w:hAnsi="Verdana"/>
          <w:color w:val="000000" w:themeColor="text1"/>
          <w:sz w:val="18"/>
          <w:szCs w:val="18"/>
        </w:rPr>
        <w:t xml:space="preserve"> relation to any substantive decision or to seek leapfrog appeal to the Supreme </w:t>
      </w:r>
      <w:r w:rsidR="00294044" w:rsidRPr="008B7C3B">
        <w:rPr>
          <w:rFonts w:ascii="Verdana" w:hAnsi="Verdana"/>
          <w:color w:val="000000" w:themeColor="text1"/>
          <w:sz w:val="18"/>
          <w:szCs w:val="18"/>
        </w:rPr>
        <w:t>Court or</w:t>
      </w:r>
      <w:r w:rsidR="00412787" w:rsidRPr="008B7C3B">
        <w:rPr>
          <w:rFonts w:ascii="Verdana" w:hAnsi="Verdana"/>
          <w:color w:val="000000" w:themeColor="text1"/>
          <w:sz w:val="18"/>
          <w:szCs w:val="18"/>
        </w:rPr>
        <w:t xml:space="preserve"> both. </w:t>
      </w:r>
      <w:r w:rsidR="00D21FE1" w:rsidRPr="008B7C3B">
        <w:rPr>
          <w:rFonts w:ascii="Verdana" w:hAnsi="Verdana"/>
          <w:color w:val="000000" w:themeColor="text1"/>
          <w:sz w:val="18"/>
          <w:szCs w:val="18"/>
        </w:rPr>
        <w:t xml:space="preserve"> </w:t>
      </w:r>
      <w:r w:rsidR="00294044" w:rsidRPr="008B7C3B">
        <w:rPr>
          <w:rFonts w:ascii="Verdana" w:hAnsi="Verdana"/>
          <w:color w:val="000000" w:themeColor="text1"/>
          <w:sz w:val="18"/>
          <w:szCs w:val="18"/>
        </w:rPr>
        <w:t>However,</w:t>
      </w:r>
      <w:r w:rsidR="00412787" w:rsidRPr="008B7C3B">
        <w:rPr>
          <w:rFonts w:ascii="Verdana" w:hAnsi="Verdana"/>
          <w:color w:val="000000" w:themeColor="text1"/>
          <w:sz w:val="18"/>
          <w:szCs w:val="18"/>
        </w:rPr>
        <w:t xml:space="preserve"> that is constrained in practice where an applicant wins. </w:t>
      </w:r>
      <w:r w:rsidR="00D21FE1" w:rsidRPr="008B7C3B">
        <w:rPr>
          <w:rFonts w:ascii="Verdana" w:hAnsi="Verdana"/>
          <w:color w:val="000000" w:themeColor="text1"/>
          <w:sz w:val="18"/>
          <w:szCs w:val="18"/>
        </w:rPr>
        <w:t xml:space="preserve"> </w:t>
      </w:r>
      <w:r w:rsidR="00412787" w:rsidRPr="008B7C3B">
        <w:rPr>
          <w:rFonts w:ascii="Verdana" w:hAnsi="Verdana"/>
          <w:color w:val="000000" w:themeColor="text1"/>
          <w:sz w:val="18"/>
          <w:szCs w:val="18"/>
        </w:rPr>
        <w:t xml:space="preserve">Normally in such a case </w:t>
      </w:r>
      <w:r w:rsidR="00E057BC" w:rsidRPr="008B7C3B">
        <w:rPr>
          <w:rFonts w:ascii="Verdana" w:hAnsi="Verdana"/>
          <w:color w:val="000000" w:themeColor="text1"/>
          <w:sz w:val="18"/>
          <w:szCs w:val="18"/>
        </w:rPr>
        <w:t>the winning side</w:t>
      </w:r>
      <w:r w:rsidR="00412787" w:rsidRPr="008B7C3B">
        <w:rPr>
          <w:rFonts w:ascii="Verdana" w:hAnsi="Verdana"/>
          <w:color w:val="000000" w:themeColor="text1"/>
          <w:sz w:val="18"/>
          <w:szCs w:val="18"/>
        </w:rPr>
        <w:t xml:space="preserve"> is waiting for the respondent to seek to appeal and then</w:t>
      </w:r>
      <w:proofErr w:type="gramStart"/>
      <w:r w:rsidR="00E057BC"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as an applicant</w:t>
      </w:r>
      <w:r w:rsidR="00E057BC"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one can</w:t>
      </w:r>
      <w:proofErr w:type="gramEnd"/>
      <w:r w:rsidR="00412787" w:rsidRPr="008B7C3B">
        <w:rPr>
          <w:rFonts w:ascii="Verdana" w:hAnsi="Verdana"/>
          <w:color w:val="000000" w:themeColor="text1"/>
          <w:sz w:val="18"/>
          <w:szCs w:val="18"/>
        </w:rPr>
        <w:t xml:space="preserve"> seek to cross</w:t>
      </w:r>
      <w:r w:rsidR="00D21FE1"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appeal. </w:t>
      </w:r>
      <w:r w:rsidR="00D21FE1" w:rsidRPr="008B7C3B">
        <w:rPr>
          <w:rFonts w:ascii="Verdana" w:hAnsi="Verdana"/>
          <w:color w:val="000000" w:themeColor="text1"/>
          <w:sz w:val="18"/>
          <w:szCs w:val="18"/>
        </w:rPr>
        <w:t xml:space="preserve"> </w:t>
      </w:r>
      <w:r w:rsidR="00412787" w:rsidRPr="008B7C3B">
        <w:rPr>
          <w:rFonts w:ascii="Verdana" w:hAnsi="Verdana"/>
          <w:color w:val="000000" w:themeColor="text1"/>
          <w:sz w:val="18"/>
          <w:szCs w:val="18"/>
        </w:rPr>
        <w:t>Since the respondent did not appeal the substantive order</w:t>
      </w:r>
      <w:r w:rsidR="00D21FE1"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the question of cross</w:t>
      </w:r>
      <w:r w:rsidR="00D21FE1" w:rsidRPr="008B7C3B">
        <w:rPr>
          <w:rFonts w:ascii="Verdana" w:hAnsi="Verdana"/>
          <w:color w:val="000000" w:themeColor="text1"/>
          <w:sz w:val="18"/>
          <w:szCs w:val="18"/>
        </w:rPr>
        <w:t>-</w:t>
      </w:r>
      <w:r w:rsidR="00412787" w:rsidRPr="008B7C3B">
        <w:rPr>
          <w:rFonts w:ascii="Verdana" w:hAnsi="Verdana"/>
          <w:color w:val="000000" w:themeColor="text1"/>
          <w:sz w:val="18"/>
          <w:szCs w:val="18"/>
        </w:rPr>
        <w:t>appeal did not arise.</w:t>
      </w:r>
    </w:p>
    <w:p w14:paraId="39D361D1" w14:textId="2B00E0FB" w:rsidR="00BC2B9C" w:rsidRPr="008B7C3B" w:rsidRDefault="00412787"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alternative option would be to seek leave to appeal of the remittal decision. </w:t>
      </w:r>
      <w:r w:rsidR="00D21FE1" w:rsidRPr="008B7C3B">
        <w:rPr>
          <w:rFonts w:ascii="Verdana" w:hAnsi="Verdana"/>
          <w:color w:val="000000" w:themeColor="text1"/>
          <w:sz w:val="18"/>
          <w:szCs w:val="18"/>
        </w:rPr>
        <w:t xml:space="preserve"> </w:t>
      </w:r>
      <w:r w:rsidR="00BC2B9C" w:rsidRPr="008B7C3B">
        <w:rPr>
          <w:rFonts w:ascii="Verdana" w:hAnsi="Verdana"/>
          <w:color w:val="000000" w:themeColor="text1"/>
          <w:sz w:val="18"/>
          <w:szCs w:val="18"/>
        </w:rPr>
        <w:t xml:space="preserve">  Barniville J. noted in </w:t>
      </w:r>
      <w:r w:rsidR="00BC2B9C" w:rsidRPr="008B7C3B">
        <w:rPr>
          <w:rFonts w:ascii="Verdana" w:hAnsi="Verdana"/>
          <w:i/>
          <w:iCs/>
          <w:color w:val="000000" w:themeColor="text1"/>
          <w:sz w:val="18"/>
          <w:szCs w:val="18"/>
        </w:rPr>
        <w:t xml:space="preserve">Cork Harbour Alliance for a Safe Environment v. An Bord Pleanála </w:t>
      </w:r>
      <w:r w:rsidR="00BC2B9C" w:rsidRPr="008B7C3B">
        <w:rPr>
          <w:rFonts w:ascii="Verdana" w:hAnsi="Verdana"/>
          <w:color w:val="000000" w:themeColor="text1"/>
          <w:sz w:val="18"/>
          <w:szCs w:val="18"/>
        </w:rPr>
        <w:t>[2022] IEHC 231, [2022] 4 JIC 2601 (Unreported, High Court, 26</w:t>
      </w:r>
      <w:r w:rsidR="00BC2B9C" w:rsidRPr="008B7C3B">
        <w:rPr>
          <w:rFonts w:ascii="Verdana" w:hAnsi="Verdana"/>
          <w:color w:val="000000" w:themeColor="text1"/>
          <w:sz w:val="18"/>
          <w:szCs w:val="18"/>
          <w:vertAlign w:val="superscript"/>
        </w:rPr>
        <w:t>th</w:t>
      </w:r>
      <w:r w:rsidR="00BC2B9C" w:rsidRPr="008B7C3B">
        <w:rPr>
          <w:rFonts w:ascii="Verdana" w:hAnsi="Verdana"/>
          <w:color w:val="000000" w:themeColor="text1"/>
          <w:sz w:val="18"/>
          <w:szCs w:val="18"/>
        </w:rPr>
        <w:t xml:space="preserve"> </w:t>
      </w:r>
      <w:proofErr w:type="gramStart"/>
      <w:r w:rsidR="00BC2B9C" w:rsidRPr="008B7C3B">
        <w:rPr>
          <w:rFonts w:ascii="Verdana" w:hAnsi="Verdana"/>
          <w:color w:val="000000" w:themeColor="text1"/>
          <w:sz w:val="18"/>
          <w:szCs w:val="18"/>
        </w:rPr>
        <w:t>April,</w:t>
      </w:r>
      <w:proofErr w:type="gramEnd"/>
      <w:r w:rsidR="00BC2B9C" w:rsidRPr="008B7C3B">
        <w:rPr>
          <w:rFonts w:ascii="Verdana" w:hAnsi="Verdana"/>
          <w:color w:val="000000" w:themeColor="text1"/>
          <w:sz w:val="18"/>
          <w:szCs w:val="18"/>
        </w:rPr>
        <w:t xml:space="preserve"> 2022), that the issue of leave to appeal a remittal order had never previously arisen (para. 1), so maybe one can’t be critical of the applicant here for being uncertain as to the procedure.  That said, the questions in that rather fact-heavy case seemed to relate to the remittal issue alone rather than to an attempt to raise the sort of point that the applicant seems to be saying she should have a remedy about here, namely that the substantive judgment was wrong in some way that means that remittal shouldn’t happen at all or should be to a different point in the process.</w:t>
      </w:r>
    </w:p>
    <w:p w14:paraId="3C59D2E3" w14:textId="56AD173D" w:rsidR="00D21FE1" w:rsidRPr="008B7C3B" w:rsidRDefault="00E057BC"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If the premise is that such an applicant must have a remedy, then</w:t>
      </w:r>
      <w:r w:rsidR="00412787" w:rsidRPr="008B7C3B">
        <w:rPr>
          <w:rFonts w:ascii="Verdana" w:hAnsi="Verdana"/>
          <w:color w:val="000000" w:themeColor="text1"/>
          <w:sz w:val="18"/>
          <w:szCs w:val="18"/>
        </w:rPr>
        <w:t xml:space="preserve"> a court considering leave to appeal of a remittal decision could legitimately take the view that while a remittal to a particular point in the process followed </w:t>
      </w:r>
      <w:r w:rsidRPr="008B7C3B">
        <w:rPr>
          <w:rFonts w:ascii="Verdana" w:hAnsi="Verdana"/>
          <w:color w:val="000000" w:themeColor="text1"/>
          <w:sz w:val="18"/>
          <w:szCs w:val="18"/>
        </w:rPr>
        <w:t xml:space="preserve">logically </w:t>
      </w:r>
      <w:r w:rsidR="00412787" w:rsidRPr="008B7C3B">
        <w:rPr>
          <w:rFonts w:ascii="Verdana" w:hAnsi="Verdana"/>
          <w:color w:val="000000" w:themeColor="text1"/>
          <w:sz w:val="18"/>
          <w:szCs w:val="18"/>
        </w:rPr>
        <w:t>from the ground on which the substantive case was decided</w:t>
      </w:r>
      <w:r w:rsidR="00D21FE1"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there might nonetheless be a legitimate question appropriate for appeal as to whether a separate and wider point should have been decided in favour of the applicant which would have militated against remittal at all or would have suggested remittal to </w:t>
      </w:r>
      <w:r w:rsidRPr="008B7C3B">
        <w:rPr>
          <w:rFonts w:ascii="Verdana" w:hAnsi="Verdana"/>
          <w:color w:val="000000" w:themeColor="text1"/>
          <w:sz w:val="18"/>
          <w:szCs w:val="18"/>
        </w:rPr>
        <w:t>an earlier</w:t>
      </w:r>
      <w:r w:rsidR="00412787" w:rsidRPr="008B7C3B">
        <w:rPr>
          <w:rFonts w:ascii="Verdana" w:hAnsi="Verdana"/>
          <w:color w:val="000000" w:themeColor="text1"/>
          <w:sz w:val="18"/>
          <w:szCs w:val="18"/>
        </w:rPr>
        <w:t xml:space="preserve"> point in the process.</w:t>
      </w:r>
    </w:p>
    <w:p w14:paraId="7D5BDCAC" w14:textId="625ED20C" w:rsidR="00E057BC" w:rsidRPr="008B7C3B" w:rsidRDefault="00412787"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w:t>
      </w:r>
      <w:r w:rsidR="00E057BC" w:rsidRPr="008B7C3B">
        <w:rPr>
          <w:rFonts w:ascii="Verdana" w:hAnsi="Verdana"/>
          <w:color w:val="000000" w:themeColor="text1"/>
          <w:sz w:val="18"/>
          <w:szCs w:val="18"/>
        </w:rPr>
        <w:t>he adoption of such an approach would</w:t>
      </w:r>
      <w:r w:rsidRPr="008B7C3B">
        <w:rPr>
          <w:rFonts w:ascii="Verdana" w:hAnsi="Verdana"/>
          <w:color w:val="000000" w:themeColor="text1"/>
          <w:sz w:val="18"/>
          <w:szCs w:val="18"/>
        </w:rPr>
        <w:t xml:space="preserve"> impl</w:t>
      </w:r>
      <w:r w:rsidR="00E057BC" w:rsidRPr="008B7C3B">
        <w:rPr>
          <w:rFonts w:ascii="Verdana" w:hAnsi="Verdana"/>
          <w:color w:val="000000" w:themeColor="text1"/>
          <w:sz w:val="18"/>
          <w:szCs w:val="18"/>
        </w:rPr>
        <w:t>y</w:t>
      </w:r>
      <w:r w:rsidRPr="008B7C3B">
        <w:rPr>
          <w:rFonts w:ascii="Verdana" w:hAnsi="Verdana"/>
          <w:color w:val="000000" w:themeColor="text1"/>
          <w:sz w:val="18"/>
          <w:szCs w:val="18"/>
        </w:rPr>
        <w:t xml:space="preserve"> that an applicant does have some sort of remedy albeit indirectly by seeking leave to appeal against remittal a decision. </w:t>
      </w:r>
      <w:r w:rsidR="00D21FE1" w:rsidRPr="008B7C3B">
        <w:rPr>
          <w:rFonts w:ascii="Verdana" w:hAnsi="Verdana"/>
          <w:color w:val="000000" w:themeColor="text1"/>
          <w:sz w:val="18"/>
          <w:szCs w:val="18"/>
        </w:rPr>
        <w:t xml:space="preserve"> </w:t>
      </w:r>
      <w:r w:rsidRPr="008B7C3B">
        <w:rPr>
          <w:rFonts w:ascii="Verdana" w:hAnsi="Verdana"/>
          <w:color w:val="000000" w:themeColor="text1"/>
          <w:sz w:val="18"/>
          <w:szCs w:val="18"/>
        </w:rPr>
        <w:t>Even if remittal follows from the substantive judgment</w:t>
      </w:r>
      <w:r w:rsidR="00D21FE1" w:rsidRPr="008B7C3B">
        <w:rPr>
          <w:rFonts w:ascii="Verdana" w:hAnsi="Verdana"/>
          <w:color w:val="000000" w:themeColor="text1"/>
          <w:sz w:val="18"/>
          <w:szCs w:val="18"/>
        </w:rPr>
        <w:t>,</w:t>
      </w:r>
      <w:r w:rsidRPr="008B7C3B">
        <w:rPr>
          <w:rFonts w:ascii="Verdana" w:hAnsi="Verdana"/>
          <w:color w:val="000000" w:themeColor="text1"/>
          <w:sz w:val="18"/>
          <w:szCs w:val="18"/>
        </w:rPr>
        <w:t xml:space="preserve"> the leave to appeal process allows one to </w:t>
      </w:r>
      <w:r w:rsidR="00E057BC" w:rsidRPr="008B7C3B">
        <w:rPr>
          <w:rFonts w:ascii="Verdana" w:hAnsi="Verdana"/>
          <w:color w:val="000000" w:themeColor="text1"/>
          <w:sz w:val="18"/>
          <w:szCs w:val="18"/>
        </w:rPr>
        <w:t>propose</w:t>
      </w:r>
      <w:r w:rsidRPr="008B7C3B">
        <w:rPr>
          <w:rFonts w:ascii="Verdana" w:hAnsi="Verdana"/>
          <w:color w:val="000000" w:themeColor="text1"/>
          <w:sz w:val="18"/>
          <w:szCs w:val="18"/>
        </w:rPr>
        <w:t xml:space="preserve"> an assumption that the remittal judgment and</w:t>
      </w:r>
      <w:r w:rsidR="00D21FE1" w:rsidRPr="008B7C3B">
        <w:rPr>
          <w:rFonts w:ascii="Verdana" w:hAnsi="Verdana"/>
          <w:color w:val="000000" w:themeColor="text1"/>
          <w:sz w:val="18"/>
          <w:szCs w:val="18"/>
        </w:rPr>
        <w:t>,</w:t>
      </w:r>
      <w:r w:rsidRPr="008B7C3B">
        <w:rPr>
          <w:rFonts w:ascii="Verdana" w:hAnsi="Verdana"/>
          <w:color w:val="000000" w:themeColor="text1"/>
          <w:sz w:val="18"/>
          <w:szCs w:val="18"/>
        </w:rPr>
        <w:t xml:space="preserve"> therefore</w:t>
      </w:r>
      <w:r w:rsidR="00D21FE1" w:rsidRPr="008B7C3B">
        <w:rPr>
          <w:rFonts w:ascii="Verdana" w:hAnsi="Verdana"/>
          <w:color w:val="000000" w:themeColor="text1"/>
          <w:sz w:val="18"/>
          <w:szCs w:val="18"/>
        </w:rPr>
        <w:t>,</w:t>
      </w:r>
      <w:r w:rsidRPr="008B7C3B">
        <w:rPr>
          <w:rFonts w:ascii="Verdana" w:hAnsi="Verdana"/>
          <w:color w:val="000000" w:themeColor="text1"/>
          <w:sz w:val="18"/>
          <w:szCs w:val="18"/>
        </w:rPr>
        <w:t xml:space="preserve"> by necessary implication</w:t>
      </w:r>
      <w:r w:rsidR="00E057BC" w:rsidRPr="008B7C3B">
        <w:rPr>
          <w:rFonts w:ascii="Verdana" w:hAnsi="Verdana"/>
          <w:color w:val="000000" w:themeColor="text1"/>
          <w:sz w:val="18"/>
          <w:szCs w:val="18"/>
        </w:rPr>
        <w:t>,</w:t>
      </w:r>
      <w:r w:rsidRPr="008B7C3B">
        <w:rPr>
          <w:rFonts w:ascii="Verdana" w:hAnsi="Verdana"/>
          <w:color w:val="000000" w:themeColor="text1"/>
          <w:sz w:val="18"/>
          <w:szCs w:val="18"/>
        </w:rPr>
        <w:t xml:space="preserve"> the substantive judgment</w:t>
      </w:r>
      <w:r w:rsidR="00D21FE1" w:rsidRPr="008B7C3B">
        <w:rPr>
          <w:rFonts w:ascii="Verdana" w:hAnsi="Verdana"/>
          <w:color w:val="000000" w:themeColor="text1"/>
          <w:sz w:val="18"/>
          <w:szCs w:val="18"/>
        </w:rPr>
        <w:t>,</w:t>
      </w:r>
      <w:r w:rsidR="00DE424E"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might not be correct. </w:t>
      </w:r>
      <w:r w:rsidR="00D21FE1"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I do not think it is necessary or appropriate to force applicants to seek exotic further options like asking for </w:t>
      </w:r>
      <w:r w:rsidR="00294044" w:rsidRPr="008B7C3B">
        <w:rPr>
          <w:rFonts w:ascii="Verdana" w:hAnsi="Verdana"/>
          <w:color w:val="000000" w:themeColor="text1"/>
          <w:sz w:val="18"/>
          <w:szCs w:val="18"/>
        </w:rPr>
        <w:t>declarations</w:t>
      </w:r>
      <w:r w:rsidRPr="008B7C3B">
        <w:rPr>
          <w:rFonts w:ascii="Verdana" w:hAnsi="Verdana"/>
          <w:color w:val="000000" w:themeColor="text1"/>
          <w:sz w:val="18"/>
          <w:szCs w:val="18"/>
        </w:rPr>
        <w:t xml:space="preserve"> even if they win or requiring them to engage in any other form of procedural contortion </w:t>
      </w:r>
      <w:proofErr w:type="gramStart"/>
      <w:r w:rsidRPr="008B7C3B">
        <w:rPr>
          <w:rFonts w:ascii="Verdana" w:hAnsi="Verdana"/>
          <w:color w:val="000000" w:themeColor="text1"/>
          <w:sz w:val="18"/>
          <w:szCs w:val="18"/>
        </w:rPr>
        <w:t>in order to</w:t>
      </w:r>
      <w:proofErr w:type="gramEnd"/>
      <w:r w:rsidRPr="008B7C3B">
        <w:rPr>
          <w:rFonts w:ascii="Verdana" w:hAnsi="Verdana"/>
          <w:color w:val="000000" w:themeColor="text1"/>
          <w:sz w:val="18"/>
          <w:szCs w:val="18"/>
        </w:rPr>
        <w:t xml:space="preserve"> create an appealable order.</w:t>
      </w:r>
      <w:r w:rsidR="00DE424E" w:rsidRPr="008B7C3B">
        <w:rPr>
          <w:rFonts w:ascii="Verdana" w:hAnsi="Verdana"/>
          <w:color w:val="000000" w:themeColor="text1"/>
          <w:sz w:val="18"/>
          <w:szCs w:val="18"/>
        </w:rPr>
        <w:t xml:space="preserve">  </w:t>
      </w:r>
      <w:r w:rsidR="005502A9" w:rsidRPr="008B7C3B">
        <w:rPr>
          <w:rFonts w:ascii="Verdana" w:hAnsi="Verdana"/>
          <w:color w:val="000000" w:themeColor="text1"/>
          <w:sz w:val="18"/>
          <w:szCs w:val="18"/>
        </w:rPr>
        <w:t xml:space="preserve">Arguing </w:t>
      </w:r>
      <w:r w:rsidR="00BC2B9C" w:rsidRPr="008B7C3B">
        <w:rPr>
          <w:rFonts w:ascii="Verdana" w:hAnsi="Verdana"/>
          <w:color w:val="000000" w:themeColor="text1"/>
          <w:sz w:val="18"/>
          <w:szCs w:val="18"/>
        </w:rPr>
        <w:t>that there is a remedy is one thing but</w:t>
      </w:r>
      <w:r w:rsidR="00765425">
        <w:rPr>
          <w:rFonts w:ascii="Verdana" w:hAnsi="Verdana"/>
          <w:color w:val="000000" w:themeColor="text1"/>
          <w:sz w:val="18"/>
          <w:szCs w:val="18"/>
        </w:rPr>
        <w:t xml:space="preserve">, if I understand matters </w:t>
      </w:r>
      <w:r w:rsidR="00765425">
        <w:rPr>
          <w:rFonts w:ascii="Verdana" w:hAnsi="Verdana"/>
          <w:color w:val="000000" w:themeColor="text1"/>
          <w:sz w:val="18"/>
          <w:szCs w:val="18"/>
        </w:rPr>
        <w:lastRenderedPageBreak/>
        <w:t>correctly as of time of writing,</w:t>
      </w:r>
      <w:r w:rsidR="00BC2B9C" w:rsidRPr="008B7C3B">
        <w:rPr>
          <w:rFonts w:ascii="Verdana" w:hAnsi="Verdana"/>
          <w:color w:val="000000" w:themeColor="text1"/>
          <w:sz w:val="18"/>
          <w:szCs w:val="18"/>
        </w:rPr>
        <w:t xml:space="preserve"> the applicant hasn’t applied to the court for leave to appeal the remittal decision.  </w:t>
      </w:r>
    </w:p>
    <w:p w14:paraId="7B9BC29B" w14:textId="35F76920" w:rsidR="00DE424E" w:rsidRPr="008B7C3B" w:rsidRDefault="002E74E4"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All that said,</w:t>
      </w:r>
      <w:r w:rsidR="00412787" w:rsidRPr="008B7C3B">
        <w:rPr>
          <w:rFonts w:ascii="Verdana" w:hAnsi="Verdana"/>
          <w:color w:val="000000" w:themeColor="text1"/>
          <w:sz w:val="18"/>
          <w:szCs w:val="18"/>
        </w:rPr>
        <w:t xml:space="preserve"> </w:t>
      </w:r>
      <w:r w:rsidR="00BC2B9C" w:rsidRPr="008B7C3B">
        <w:rPr>
          <w:rFonts w:ascii="Verdana" w:hAnsi="Verdana"/>
          <w:color w:val="000000" w:themeColor="text1"/>
          <w:sz w:val="18"/>
          <w:szCs w:val="18"/>
        </w:rPr>
        <w:t>the existence of such a remedy</w:t>
      </w:r>
      <w:r w:rsidR="00412787" w:rsidRPr="008B7C3B">
        <w:rPr>
          <w:rFonts w:ascii="Verdana" w:hAnsi="Verdana"/>
          <w:color w:val="000000" w:themeColor="text1"/>
          <w:sz w:val="18"/>
          <w:szCs w:val="18"/>
        </w:rPr>
        <w:t xml:space="preserve"> </w:t>
      </w:r>
      <w:r w:rsidR="005502A9" w:rsidRPr="008B7C3B">
        <w:rPr>
          <w:rFonts w:ascii="Verdana" w:hAnsi="Verdana"/>
          <w:color w:val="000000" w:themeColor="text1"/>
          <w:sz w:val="18"/>
          <w:szCs w:val="18"/>
        </w:rPr>
        <w:t>would</w:t>
      </w:r>
      <w:r w:rsidR="00412787" w:rsidRPr="008B7C3B">
        <w:rPr>
          <w:rFonts w:ascii="Verdana" w:hAnsi="Verdana"/>
          <w:color w:val="000000" w:themeColor="text1"/>
          <w:sz w:val="18"/>
          <w:szCs w:val="18"/>
        </w:rPr>
        <w:t xml:space="preserve"> not help her in relation to the </w:t>
      </w:r>
      <w:r w:rsidR="00BC2B9C" w:rsidRPr="008B7C3B">
        <w:rPr>
          <w:rFonts w:ascii="Verdana" w:hAnsi="Verdana"/>
          <w:i/>
          <w:iCs/>
          <w:color w:val="000000" w:themeColor="text1"/>
          <w:sz w:val="18"/>
          <w:szCs w:val="18"/>
        </w:rPr>
        <w:t>Connelly</w:t>
      </w:r>
      <w:r w:rsidR="00412787" w:rsidRPr="008B7C3B">
        <w:rPr>
          <w:rFonts w:ascii="Verdana" w:hAnsi="Verdana"/>
          <w:color w:val="000000" w:themeColor="text1"/>
          <w:sz w:val="18"/>
          <w:szCs w:val="18"/>
        </w:rPr>
        <w:t xml:space="preserve"> argument </w:t>
      </w:r>
      <w:r w:rsidR="006B25C8" w:rsidRPr="008B7C3B">
        <w:rPr>
          <w:rFonts w:ascii="Verdana" w:hAnsi="Verdana"/>
          <w:color w:val="000000" w:themeColor="text1"/>
          <w:sz w:val="18"/>
          <w:szCs w:val="18"/>
        </w:rPr>
        <w:t xml:space="preserve">if it </w:t>
      </w:r>
      <w:proofErr w:type="gramStart"/>
      <w:r w:rsidR="006B25C8" w:rsidRPr="008B7C3B">
        <w:rPr>
          <w:rFonts w:ascii="Verdana" w:hAnsi="Verdana"/>
          <w:color w:val="000000" w:themeColor="text1"/>
          <w:sz w:val="18"/>
          <w:szCs w:val="18"/>
        </w:rPr>
        <w:t>is</w:t>
      </w:r>
      <w:proofErr w:type="gramEnd"/>
      <w:r w:rsidR="006B25C8" w:rsidRPr="008B7C3B">
        <w:rPr>
          <w:rFonts w:ascii="Verdana" w:hAnsi="Verdana"/>
          <w:color w:val="000000" w:themeColor="text1"/>
          <w:sz w:val="18"/>
          <w:szCs w:val="18"/>
        </w:rPr>
        <w:t xml:space="preserve"> correct that</w:t>
      </w:r>
      <w:r w:rsidR="00412787" w:rsidRPr="008B7C3B">
        <w:rPr>
          <w:rFonts w:ascii="Verdana" w:hAnsi="Verdana"/>
          <w:color w:val="000000" w:themeColor="text1"/>
          <w:sz w:val="18"/>
          <w:szCs w:val="18"/>
        </w:rPr>
        <w:t xml:space="preserve"> the relevant distinction in </w:t>
      </w:r>
      <w:r w:rsidR="00412787" w:rsidRPr="008B7C3B">
        <w:rPr>
          <w:rFonts w:ascii="Verdana" w:hAnsi="Verdana"/>
          <w:i/>
          <w:color w:val="000000" w:themeColor="text1"/>
          <w:sz w:val="18"/>
          <w:szCs w:val="18"/>
        </w:rPr>
        <w:t xml:space="preserve">Connelly </w:t>
      </w:r>
      <w:r w:rsidR="00412787" w:rsidRPr="008B7C3B">
        <w:rPr>
          <w:rFonts w:ascii="Verdana" w:hAnsi="Verdana"/>
          <w:color w:val="000000" w:themeColor="text1"/>
          <w:sz w:val="18"/>
          <w:szCs w:val="18"/>
        </w:rPr>
        <w:t>is not between substantial and insubstantial points</w:t>
      </w:r>
      <w:r w:rsidR="00D21FE1"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but between winning and losing points.</w:t>
      </w:r>
    </w:p>
    <w:p w14:paraId="091424AD" w14:textId="77777777" w:rsidR="00412787" w:rsidRPr="00287B75" w:rsidRDefault="00412787" w:rsidP="00287B75">
      <w:pPr>
        <w:pStyle w:val="ListParagraph"/>
        <w:spacing w:line="360" w:lineRule="auto"/>
        <w:ind w:left="567" w:hanging="567"/>
        <w:contextualSpacing w:val="0"/>
        <w:jc w:val="both"/>
        <w:rPr>
          <w:rFonts w:ascii="Verdana" w:hAnsi="Verdana"/>
          <w:b/>
          <w:color w:val="000000" w:themeColor="text1"/>
          <w:sz w:val="18"/>
          <w:szCs w:val="18"/>
        </w:rPr>
      </w:pPr>
      <w:r w:rsidRPr="00287B75">
        <w:rPr>
          <w:rFonts w:ascii="Verdana" w:hAnsi="Verdana"/>
          <w:b/>
          <w:color w:val="000000" w:themeColor="text1"/>
          <w:sz w:val="18"/>
          <w:szCs w:val="18"/>
        </w:rPr>
        <w:t xml:space="preserve">Whether “unmeritorious” in </w:t>
      </w:r>
      <w:r w:rsidRPr="00287B75">
        <w:rPr>
          <w:rFonts w:ascii="Verdana" w:hAnsi="Verdana"/>
          <w:b/>
          <w:i/>
          <w:color w:val="000000" w:themeColor="text1"/>
          <w:sz w:val="18"/>
          <w:szCs w:val="18"/>
        </w:rPr>
        <w:t xml:space="preserve">Connelly </w:t>
      </w:r>
      <w:r w:rsidRPr="00287B75">
        <w:rPr>
          <w:rFonts w:ascii="Verdana" w:hAnsi="Verdana"/>
          <w:b/>
          <w:color w:val="000000" w:themeColor="text1"/>
          <w:sz w:val="18"/>
          <w:szCs w:val="18"/>
        </w:rPr>
        <w:t>means unsuccessful (questions 3, 4 and 9)</w:t>
      </w:r>
    </w:p>
    <w:p w14:paraId="6A4608B3" w14:textId="21BDE3C0" w:rsidR="00D21FE1" w:rsidRPr="008B7C3B" w:rsidRDefault="00412787"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3 provides as follows</w:t>
      </w:r>
      <w:r w:rsidR="00E0395A" w:rsidRPr="008B7C3B">
        <w:rPr>
          <w:rFonts w:ascii="Verdana" w:hAnsi="Verdana"/>
          <w:color w:val="000000" w:themeColor="text1"/>
          <w:sz w:val="18"/>
          <w:szCs w:val="18"/>
        </w:rPr>
        <w:t>:</w:t>
      </w:r>
    </w:p>
    <w:p w14:paraId="0CD70CDA" w14:textId="0EC2700F" w:rsidR="00E0395A" w:rsidRPr="008B7C3B" w:rsidRDefault="00E0395A" w:rsidP="00287B75">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“What is the relationship between an </w:t>
      </w:r>
      <w:r w:rsidRPr="008B7C3B">
        <w:rPr>
          <w:rFonts w:ascii="Verdana" w:hAnsi="Verdana"/>
          <w:i/>
          <w:iCs/>
          <w:color w:val="000000" w:themeColor="text1"/>
          <w:sz w:val="18"/>
          <w:szCs w:val="18"/>
        </w:rPr>
        <w:t>unmeritorious</w:t>
      </w:r>
      <w:r w:rsidRPr="008B7C3B">
        <w:rPr>
          <w:rFonts w:ascii="Verdana" w:hAnsi="Verdana"/>
          <w:color w:val="000000" w:themeColor="text1"/>
          <w:sz w:val="18"/>
          <w:szCs w:val="18"/>
        </w:rPr>
        <w:t xml:space="preserve"> ground within the meaning of the term as used by the Supreme Court in </w:t>
      </w:r>
      <w:r w:rsidRPr="008B7C3B">
        <w:rPr>
          <w:rFonts w:ascii="Verdana" w:hAnsi="Verdana"/>
          <w:i/>
          <w:iCs/>
          <w:color w:val="000000" w:themeColor="text1"/>
          <w:sz w:val="18"/>
          <w:szCs w:val="18"/>
        </w:rPr>
        <w:t>Connelly v An Bord Pleanála</w:t>
      </w:r>
      <w:r w:rsidRPr="008B7C3B">
        <w:rPr>
          <w:rFonts w:ascii="Verdana" w:hAnsi="Verdana"/>
          <w:color w:val="000000" w:themeColor="text1"/>
          <w:sz w:val="18"/>
          <w:szCs w:val="18"/>
        </w:rPr>
        <w:t xml:space="preserve"> (ex-tempore, High Court, Clarke C.J., 30th July 2018) and the </w:t>
      </w:r>
      <w:r w:rsidRPr="008B7C3B">
        <w:rPr>
          <w:rFonts w:ascii="Verdana" w:hAnsi="Verdana"/>
          <w:i/>
          <w:iCs/>
          <w:color w:val="000000" w:themeColor="text1"/>
          <w:sz w:val="18"/>
          <w:szCs w:val="18"/>
        </w:rPr>
        <w:t>success</w:t>
      </w:r>
      <w:r w:rsidRPr="008B7C3B">
        <w:rPr>
          <w:rFonts w:ascii="Verdana" w:hAnsi="Verdana"/>
          <w:color w:val="000000" w:themeColor="text1"/>
          <w:sz w:val="18"/>
          <w:szCs w:val="18"/>
        </w:rPr>
        <w:t xml:space="preserve"> of a ground? Was the Trial Judge correct in his finding at paragraph 76 of the judgment that only test of </w:t>
      </w:r>
      <w:r w:rsidRPr="008B7C3B">
        <w:rPr>
          <w:rFonts w:ascii="Verdana" w:hAnsi="Verdana"/>
          <w:i/>
          <w:iCs/>
          <w:color w:val="000000" w:themeColor="text1"/>
          <w:sz w:val="18"/>
          <w:szCs w:val="18"/>
        </w:rPr>
        <w:t>merit</w:t>
      </w:r>
      <w:r w:rsidRPr="008B7C3B">
        <w:rPr>
          <w:rFonts w:ascii="Verdana" w:hAnsi="Verdana"/>
          <w:color w:val="000000" w:themeColor="text1"/>
          <w:sz w:val="18"/>
          <w:szCs w:val="18"/>
        </w:rPr>
        <w:t xml:space="preserve"> is whether a point was won or lost, or is Humphreys J. correct in his observation at paragraph 5 of </w:t>
      </w:r>
      <w:r w:rsidRPr="008B7C3B">
        <w:rPr>
          <w:rFonts w:ascii="Verdana" w:hAnsi="Verdana"/>
          <w:i/>
          <w:iCs/>
          <w:color w:val="000000" w:themeColor="text1"/>
          <w:sz w:val="18"/>
          <w:szCs w:val="18"/>
        </w:rPr>
        <w:t>Reid (No. 2)</w:t>
      </w:r>
      <w:r w:rsidRPr="008B7C3B">
        <w:rPr>
          <w:rFonts w:ascii="Verdana" w:hAnsi="Verdana"/>
          <w:color w:val="000000" w:themeColor="text1"/>
          <w:sz w:val="18"/>
          <w:szCs w:val="18"/>
        </w:rPr>
        <w:t xml:space="preserve"> that a point can reach the threshold for a substantial ground, even though it does not reach the threshold for success?”</w:t>
      </w:r>
    </w:p>
    <w:p w14:paraId="46CF9D03" w14:textId="77777777" w:rsidR="005502A9" w:rsidRPr="008B7C3B" w:rsidRDefault="005502A9"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Various terms may be used to describe the weight or substance of a party’s points or the lack of such substance.  I could attempt to arrange these on an ascending scale as follows: </w:t>
      </w:r>
    </w:p>
    <w:p w14:paraId="25C7521C" w14:textId="77777777"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The Northern Irish Court of Appeal recently used the term “plain nonsense” to refer to something that makes no sense in either legal or any other terms (</w:t>
      </w:r>
      <w:r w:rsidRPr="008B7C3B">
        <w:rPr>
          <w:rFonts w:ascii="Verdana" w:hAnsi="Verdana"/>
          <w:i/>
          <w:sz w:val="18"/>
          <w:szCs w:val="18"/>
        </w:rPr>
        <w:t>Department of Finance, Land and Property Services v. Foster</w:t>
      </w:r>
      <w:r w:rsidRPr="008B7C3B">
        <w:rPr>
          <w:rFonts w:ascii="Verdana" w:hAnsi="Verdana"/>
          <w:sz w:val="18"/>
          <w:szCs w:val="18"/>
        </w:rPr>
        <w:t xml:space="preserve"> [2022] NICA 19 </w:t>
      </w:r>
      <w:r w:rsidRPr="008B7C3B">
        <w:rPr>
          <w:rFonts w:ascii="Verdana" w:hAnsi="Verdana"/>
          <w:i/>
          <w:iCs/>
          <w:sz w:val="18"/>
          <w:szCs w:val="18"/>
        </w:rPr>
        <w:t>per</w:t>
      </w:r>
      <w:r w:rsidRPr="008B7C3B">
        <w:rPr>
          <w:rFonts w:ascii="Verdana" w:hAnsi="Verdana"/>
          <w:sz w:val="18"/>
          <w:szCs w:val="18"/>
        </w:rPr>
        <w:t xml:space="preserve"> Treacy L.J. at para. 2). </w:t>
      </w:r>
    </w:p>
    <w:p w14:paraId="6AA5C3BA" w14:textId="77777777"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An unstateable point (not specifically defined in Murdoch and Hunt’s </w:t>
      </w:r>
      <w:r w:rsidRPr="008B7C3B">
        <w:rPr>
          <w:rFonts w:ascii="Verdana" w:hAnsi="Verdana"/>
          <w:i/>
          <w:iCs/>
          <w:sz w:val="18"/>
          <w:szCs w:val="18"/>
        </w:rPr>
        <w:t>Dictionary of Irish Law</w:t>
      </w:r>
      <w:r w:rsidRPr="008B7C3B">
        <w:rPr>
          <w:rFonts w:ascii="Verdana" w:hAnsi="Verdana"/>
          <w:sz w:val="18"/>
          <w:szCs w:val="18"/>
        </w:rPr>
        <w:t>, 6</w:t>
      </w:r>
      <w:r w:rsidRPr="008B7C3B">
        <w:rPr>
          <w:rFonts w:ascii="Verdana" w:hAnsi="Verdana"/>
          <w:sz w:val="18"/>
          <w:szCs w:val="18"/>
          <w:vertAlign w:val="superscript"/>
        </w:rPr>
        <w:t>th</w:t>
      </w:r>
      <w:r w:rsidRPr="008B7C3B">
        <w:rPr>
          <w:rFonts w:ascii="Verdana" w:hAnsi="Verdana"/>
          <w:sz w:val="18"/>
          <w:szCs w:val="18"/>
        </w:rPr>
        <w:t xml:space="preserve"> ed. (Dublin, Bloomsbury, 2016)) is one that is perhaps grammatically </w:t>
      </w:r>
      <w:proofErr w:type="gramStart"/>
      <w:r w:rsidRPr="008B7C3B">
        <w:rPr>
          <w:rFonts w:ascii="Verdana" w:hAnsi="Verdana"/>
          <w:sz w:val="18"/>
          <w:szCs w:val="18"/>
        </w:rPr>
        <w:t>coherent, but</w:t>
      </w:r>
      <w:proofErr w:type="gramEnd"/>
      <w:r w:rsidRPr="008B7C3B">
        <w:rPr>
          <w:rFonts w:ascii="Verdana" w:hAnsi="Verdana"/>
          <w:sz w:val="18"/>
          <w:szCs w:val="18"/>
        </w:rPr>
        <w:t xml:space="preserve"> makes no sense in legal terms. </w:t>
      </w:r>
    </w:p>
    <w:p w14:paraId="7452A250" w14:textId="77777777"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A frivolous or vexatious point is one which, while possibly technically stateable is “futile, or misconceived or hopeless” either on the facts of the particular case or generally (</w:t>
      </w:r>
      <w:r w:rsidRPr="008B7C3B">
        <w:rPr>
          <w:rFonts w:ascii="Verdana" w:hAnsi="Verdana"/>
          <w:i/>
          <w:sz w:val="18"/>
          <w:szCs w:val="18"/>
        </w:rPr>
        <w:t xml:space="preserve">R. v. </w:t>
      </w:r>
      <w:proofErr w:type="gramStart"/>
      <w:r w:rsidRPr="008B7C3B">
        <w:rPr>
          <w:rFonts w:ascii="Verdana" w:hAnsi="Verdana"/>
          <w:i/>
          <w:sz w:val="18"/>
          <w:szCs w:val="18"/>
        </w:rPr>
        <w:t>North West</w:t>
      </w:r>
      <w:proofErr w:type="gramEnd"/>
      <w:r w:rsidRPr="008B7C3B">
        <w:rPr>
          <w:rFonts w:ascii="Verdana" w:hAnsi="Verdana"/>
          <w:i/>
          <w:sz w:val="18"/>
          <w:szCs w:val="18"/>
        </w:rPr>
        <w:t xml:space="preserve"> Suffolk</w:t>
      </w:r>
      <w:r w:rsidRPr="008B7C3B">
        <w:rPr>
          <w:rFonts w:ascii="Verdana" w:hAnsi="Verdana"/>
          <w:sz w:val="18"/>
          <w:szCs w:val="18"/>
        </w:rPr>
        <w:t xml:space="preserve"> [1997] EWCA Civ 1575 cited in Murdoch and Hunt’s </w:t>
      </w:r>
      <w:r w:rsidRPr="008B7C3B">
        <w:rPr>
          <w:rFonts w:ascii="Verdana" w:hAnsi="Verdana"/>
          <w:i/>
          <w:iCs/>
          <w:sz w:val="18"/>
          <w:szCs w:val="18"/>
        </w:rPr>
        <w:t>Dictionary of Irish Law</w:t>
      </w:r>
      <w:r w:rsidRPr="008B7C3B">
        <w:rPr>
          <w:rFonts w:ascii="Verdana" w:hAnsi="Verdana"/>
          <w:sz w:val="18"/>
          <w:szCs w:val="18"/>
        </w:rPr>
        <w:t>, 6</w:t>
      </w:r>
      <w:r w:rsidRPr="008B7C3B">
        <w:rPr>
          <w:rFonts w:ascii="Verdana" w:hAnsi="Verdana"/>
          <w:sz w:val="18"/>
          <w:szCs w:val="18"/>
          <w:vertAlign w:val="superscript"/>
        </w:rPr>
        <w:t>th</w:t>
      </w:r>
      <w:r w:rsidRPr="008B7C3B">
        <w:rPr>
          <w:rFonts w:ascii="Verdana" w:hAnsi="Verdana"/>
          <w:sz w:val="18"/>
          <w:szCs w:val="18"/>
        </w:rPr>
        <w:t xml:space="preserve"> ed. at p. 740).</w:t>
      </w:r>
    </w:p>
    <w:p w14:paraId="2129DEE9" w14:textId="77777777"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A point that is not arguable (for the purposes of judicial review) is one which may not be technically frivolous or vexatious, but which cannot be advanced for legal reasons (</w:t>
      </w:r>
      <w:proofErr w:type="gramStart"/>
      <w:r w:rsidRPr="008B7C3B">
        <w:rPr>
          <w:rFonts w:ascii="Verdana" w:hAnsi="Verdana"/>
          <w:sz w:val="18"/>
          <w:szCs w:val="18"/>
        </w:rPr>
        <w:t>similar to</w:t>
      </w:r>
      <w:proofErr w:type="gramEnd"/>
      <w:r w:rsidRPr="008B7C3B">
        <w:rPr>
          <w:rFonts w:ascii="Verdana" w:hAnsi="Verdana"/>
          <w:sz w:val="18"/>
          <w:szCs w:val="18"/>
        </w:rPr>
        <w:t xml:space="preserve"> time, standing or acquiescence) or is so infirm that it is not appropriate for grant of leave to seek judicial review. </w:t>
      </w:r>
    </w:p>
    <w:p w14:paraId="5E595042" w14:textId="7F3843F1"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A point that is not substantial is one that may be </w:t>
      </w:r>
      <w:proofErr w:type="gramStart"/>
      <w:r w:rsidRPr="008B7C3B">
        <w:rPr>
          <w:rFonts w:ascii="Verdana" w:hAnsi="Verdana"/>
          <w:sz w:val="18"/>
          <w:szCs w:val="18"/>
        </w:rPr>
        <w:t>arguable, but</w:t>
      </w:r>
      <w:proofErr w:type="gramEnd"/>
      <w:r w:rsidR="00FA3339">
        <w:rPr>
          <w:rFonts w:ascii="Verdana" w:hAnsi="Verdana"/>
          <w:sz w:val="18"/>
          <w:szCs w:val="18"/>
        </w:rPr>
        <w:t xml:space="preserve"> is one</w:t>
      </w:r>
      <w:r w:rsidRPr="008B7C3B">
        <w:rPr>
          <w:rFonts w:ascii="Verdana" w:hAnsi="Verdana"/>
          <w:sz w:val="18"/>
          <w:szCs w:val="18"/>
        </w:rPr>
        <w:t xml:space="preserve"> in relation to which only trivial or tenuous grounds can be advanced such that it does not meet a substantial grounds threshold. </w:t>
      </w:r>
    </w:p>
    <w:p w14:paraId="2368D5FC" w14:textId="77777777" w:rsidR="005502A9" w:rsidRPr="008B7C3B" w:rsidRDefault="005502A9" w:rsidP="00287B75">
      <w:pPr>
        <w:pStyle w:val="ListParagraph"/>
        <w:numPr>
          <w:ilvl w:val="0"/>
          <w:numId w:val="11"/>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lastRenderedPageBreak/>
        <w:t xml:space="preserve">And </w:t>
      </w:r>
      <w:proofErr w:type="gramStart"/>
      <w:r w:rsidRPr="008B7C3B">
        <w:rPr>
          <w:rFonts w:ascii="Verdana" w:hAnsi="Verdana"/>
          <w:sz w:val="18"/>
          <w:szCs w:val="18"/>
        </w:rPr>
        <w:t>finally</w:t>
      </w:r>
      <w:proofErr w:type="gramEnd"/>
      <w:r w:rsidRPr="008B7C3B">
        <w:rPr>
          <w:rFonts w:ascii="Verdana" w:hAnsi="Verdana"/>
          <w:sz w:val="18"/>
          <w:szCs w:val="18"/>
        </w:rPr>
        <w:t xml:space="preserve"> we get to unsuccessful points that a court reaches and rejects, and unsuccessful points that it upholds. </w:t>
      </w:r>
    </w:p>
    <w:p w14:paraId="07E5EE81" w14:textId="77777777" w:rsidR="005502A9" w:rsidRPr="008B7C3B" w:rsidRDefault="005502A9"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Thus, a point may be stateable, arguable and substantial, but can fall short of being successful.</w:t>
      </w:r>
    </w:p>
    <w:p w14:paraId="1AFB890E" w14:textId="77777777" w:rsidR="005502A9" w:rsidRPr="008B7C3B" w:rsidRDefault="005502A9"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Essentially the applicant argues that where </w:t>
      </w:r>
      <w:r w:rsidRPr="008B7C3B">
        <w:rPr>
          <w:rFonts w:ascii="Verdana" w:hAnsi="Verdana"/>
          <w:i/>
          <w:iCs/>
          <w:sz w:val="18"/>
          <w:szCs w:val="18"/>
        </w:rPr>
        <w:t>Connelly</w:t>
      </w:r>
      <w:r w:rsidRPr="008B7C3B">
        <w:rPr>
          <w:rFonts w:ascii="Verdana" w:hAnsi="Verdana"/>
          <w:sz w:val="18"/>
          <w:szCs w:val="18"/>
        </w:rPr>
        <w:t xml:space="preserve"> refers to an “unmeritorious” point that must be equated to something close to frivolous.  </w:t>
      </w:r>
    </w:p>
    <w:p w14:paraId="40CF208C" w14:textId="77777777" w:rsidR="005502A9" w:rsidRPr="008B7C3B" w:rsidRDefault="005502A9"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 “Meritorious” is not defined in Murdoch and Hunt, but t</w:t>
      </w:r>
      <w:r w:rsidRPr="008B7C3B">
        <w:rPr>
          <w:rFonts w:ascii="Verdana" w:hAnsi="Verdana"/>
          <w:iCs/>
          <w:sz w:val="18"/>
          <w:szCs w:val="18"/>
        </w:rPr>
        <w:t>he</w:t>
      </w:r>
      <w:r w:rsidRPr="008B7C3B">
        <w:rPr>
          <w:rFonts w:ascii="Verdana" w:hAnsi="Verdana"/>
          <w:i/>
          <w:iCs/>
          <w:sz w:val="18"/>
          <w:szCs w:val="18"/>
        </w:rPr>
        <w:t xml:space="preserve"> Shorter Oxford English Dictionary</w:t>
      </w:r>
      <w:r w:rsidRPr="008B7C3B">
        <w:rPr>
          <w:rFonts w:ascii="Verdana" w:hAnsi="Verdana"/>
          <w:sz w:val="18"/>
          <w:szCs w:val="18"/>
        </w:rPr>
        <w:t xml:space="preserve">, (Oxford, OUP, 1973) Vol. 2 at p. 1310, defines the first meaning of meritorious as “Of actions: Productive of merit; serving to earn reward; esp. in </w:t>
      </w:r>
      <w:r w:rsidRPr="008B7C3B">
        <w:rPr>
          <w:rFonts w:ascii="Verdana" w:hAnsi="Verdana"/>
          <w:i/>
          <w:iCs/>
          <w:sz w:val="18"/>
          <w:szCs w:val="18"/>
        </w:rPr>
        <w:t>Theol</w:t>
      </w:r>
      <w:r w:rsidRPr="008B7C3B">
        <w:rPr>
          <w:rFonts w:ascii="Verdana" w:hAnsi="Verdana"/>
          <w:sz w:val="18"/>
          <w:szCs w:val="18"/>
        </w:rPr>
        <w:t xml:space="preserve">., said of good works, penance, etc.”  The primary meaning of “meritorious” implies that a point that has merit is one that would earn the maker of the point a reward in the sense of some positive outcome.  There is in fairness a secondary meaning along the lines of not being so wholly lacking in merit as to be not worth arguing.  Examples of the use of that sort of secondary sense of “meritorious” include the Northern Irish Court of Appeal judgment in </w:t>
      </w:r>
      <w:r w:rsidRPr="008B7C3B">
        <w:rPr>
          <w:rFonts w:ascii="Verdana" w:hAnsi="Verdana"/>
          <w:i/>
          <w:sz w:val="18"/>
          <w:szCs w:val="18"/>
        </w:rPr>
        <w:t>Foster</w:t>
      </w:r>
      <w:r w:rsidRPr="008B7C3B">
        <w:rPr>
          <w:rFonts w:ascii="Verdana" w:hAnsi="Verdana"/>
          <w:sz w:val="18"/>
          <w:szCs w:val="18"/>
        </w:rPr>
        <w:t xml:space="preserve"> as well as by Jackson L.J. in the report </w:t>
      </w:r>
      <w:r w:rsidRPr="008B7C3B">
        <w:rPr>
          <w:rFonts w:ascii="Verdana" w:hAnsi="Verdana"/>
          <w:i/>
          <w:iCs/>
          <w:sz w:val="18"/>
          <w:szCs w:val="18"/>
        </w:rPr>
        <w:t>Review of Civil Litigation Costs: Final Report, December 2009</w:t>
      </w:r>
      <w:r w:rsidRPr="008B7C3B">
        <w:rPr>
          <w:rFonts w:ascii="Verdana" w:hAnsi="Verdana"/>
          <w:sz w:val="18"/>
          <w:szCs w:val="18"/>
        </w:rPr>
        <w:t xml:space="preserve">, p. 310.  </w:t>
      </w:r>
    </w:p>
    <w:p w14:paraId="4ADB7E0C" w14:textId="4DCCEB4C" w:rsidR="005502A9" w:rsidRPr="008B7C3B" w:rsidRDefault="005502A9"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With those terminological distinctions noted, </w:t>
      </w:r>
      <w:r w:rsidR="00412787" w:rsidRPr="008B7C3B">
        <w:rPr>
          <w:rFonts w:ascii="Verdana" w:hAnsi="Verdana"/>
          <w:color w:val="000000" w:themeColor="text1"/>
          <w:sz w:val="18"/>
          <w:szCs w:val="18"/>
        </w:rPr>
        <w:t xml:space="preserve">I need to make the point that the question posits a false dichotomy between </w:t>
      </w:r>
      <w:r w:rsidR="00412787"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00412787" w:rsidRPr="008B7C3B">
        <w:rPr>
          <w:rFonts w:ascii="Verdana" w:hAnsi="Verdana"/>
          <w:i/>
          <w:color w:val="000000" w:themeColor="text1"/>
          <w:sz w:val="18"/>
          <w:szCs w:val="18"/>
        </w:rPr>
        <w:t xml:space="preserve">Kemper </w:t>
      </w:r>
      <w:r w:rsidR="00D21FE1" w:rsidRPr="008B7C3B">
        <w:rPr>
          <w:rFonts w:ascii="Verdana" w:hAnsi="Verdana"/>
          <w:i/>
          <w:color w:val="000000" w:themeColor="text1"/>
          <w:sz w:val="18"/>
          <w:szCs w:val="18"/>
        </w:rPr>
        <w:t>(</w:t>
      </w:r>
      <w:r w:rsidR="00412787" w:rsidRPr="008B7C3B">
        <w:rPr>
          <w:rFonts w:ascii="Verdana" w:hAnsi="Verdana"/>
          <w:i/>
          <w:color w:val="000000" w:themeColor="text1"/>
          <w:sz w:val="18"/>
          <w:szCs w:val="18"/>
        </w:rPr>
        <w:t>No. 4</w:t>
      </w:r>
      <w:r w:rsidR="00D21FE1" w:rsidRPr="008B7C3B">
        <w:rPr>
          <w:rFonts w:ascii="Verdana" w:hAnsi="Verdana"/>
          <w:i/>
          <w:color w:val="000000" w:themeColor="text1"/>
          <w:sz w:val="18"/>
          <w:szCs w:val="18"/>
        </w:rPr>
        <w:t>)</w:t>
      </w:r>
      <w:r w:rsidR="00412787" w:rsidRPr="008B7C3B">
        <w:rPr>
          <w:rFonts w:ascii="Verdana" w:hAnsi="Verdana"/>
          <w:color w:val="000000" w:themeColor="text1"/>
          <w:sz w:val="18"/>
          <w:szCs w:val="18"/>
        </w:rPr>
        <w:t xml:space="preserve"> and </w:t>
      </w:r>
      <w:r w:rsidR="00DE424E" w:rsidRPr="008B7C3B">
        <w:rPr>
          <w:rFonts w:ascii="Verdana" w:hAnsi="Verdana"/>
          <w:i/>
          <w:color w:val="000000" w:themeColor="text1"/>
          <w:sz w:val="18"/>
          <w:szCs w:val="18"/>
        </w:rPr>
        <w:t>Reid v. An Bord Pleanála (No. 2)</w:t>
      </w:r>
      <w:r w:rsidR="00DE424E" w:rsidRPr="008B7C3B">
        <w:rPr>
          <w:rFonts w:ascii="Verdana" w:hAnsi="Verdana"/>
          <w:iCs/>
          <w:color w:val="000000" w:themeColor="text1"/>
          <w:sz w:val="18"/>
          <w:szCs w:val="18"/>
        </w:rPr>
        <w:t xml:space="preserve"> [2021] IEHC 362, [2021] 5 JIC </w:t>
      </w:r>
      <w:proofErr w:type="gramStart"/>
      <w:r w:rsidR="00DE424E" w:rsidRPr="008B7C3B">
        <w:rPr>
          <w:rFonts w:ascii="Verdana" w:hAnsi="Verdana"/>
          <w:iCs/>
          <w:color w:val="000000" w:themeColor="text1"/>
          <w:sz w:val="18"/>
          <w:szCs w:val="18"/>
        </w:rPr>
        <w:t>2705  (</w:t>
      </w:r>
      <w:proofErr w:type="gramEnd"/>
      <w:r w:rsidR="00DE424E" w:rsidRPr="008B7C3B">
        <w:rPr>
          <w:rFonts w:ascii="Verdana" w:hAnsi="Verdana"/>
          <w:iCs/>
          <w:color w:val="000000" w:themeColor="text1"/>
          <w:sz w:val="18"/>
          <w:szCs w:val="18"/>
        </w:rPr>
        <w:t>Unreported, High Court, 27</w:t>
      </w:r>
      <w:r w:rsidR="00DE424E" w:rsidRPr="008B7C3B">
        <w:rPr>
          <w:rFonts w:ascii="Verdana" w:hAnsi="Verdana"/>
          <w:iCs/>
          <w:color w:val="000000" w:themeColor="text1"/>
          <w:sz w:val="18"/>
          <w:szCs w:val="18"/>
          <w:vertAlign w:val="superscript"/>
        </w:rPr>
        <w:t>th</w:t>
      </w:r>
      <w:r w:rsidR="00DE424E" w:rsidRPr="008B7C3B">
        <w:rPr>
          <w:rFonts w:ascii="Verdana" w:hAnsi="Verdana"/>
          <w:iCs/>
          <w:color w:val="000000" w:themeColor="text1"/>
          <w:sz w:val="18"/>
          <w:szCs w:val="18"/>
        </w:rPr>
        <w:t xml:space="preserve"> May, 2021)</w:t>
      </w:r>
      <w:r w:rsidR="00412787" w:rsidRPr="008B7C3B">
        <w:rPr>
          <w:rFonts w:ascii="Verdana" w:hAnsi="Verdana"/>
          <w:iCs/>
          <w:color w:val="000000" w:themeColor="text1"/>
          <w:sz w:val="18"/>
          <w:szCs w:val="18"/>
        </w:rPr>
        <w:t>.</w:t>
      </w:r>
      <w:r w:rsidR="00DE424E" w:rsidRPr="008B7C3B">
        <w:rPr>
          <w:rFonts w:ascii="Verdana" w:hAnsi="Verdana"/>
          <w:color w:val="000000" w:themeColor="text1"/>
          <w:sz w:val="18"/>
          <w:szCs w:val="18"/>
        </w:rPr>
        <w:t xml:space="preserve">  </w:t>
      </w:r>
      <w:r w:rsidR="00412787" w:rsidRPr="008B7C3B">
        <w:rPr>
          <w:rFonts w:ascii="Verdana" w:hAnsi="Verdana"/>
          <w:color w:val="000000" w:themeColor="text1"/>
          <w:sz w:val="18"/>
          <w:szCs w:val="18"/>
        </w:rPr>
        <w:t xml:space="preserve">In </w:t>
      </w:r>
      <w:r w:rsidR="00412787" w:rsidRPr="008B7C3B">
        <w:rPr>
          <w:rFonts w:ascii="Verdana" w:hAnsi="Verdana"/>
          <w:i/>
          <w:color w:val="000000" w:themeColor="text1"/>
          <w:sz w:val="18"/>
          <w:szCs w:val="18"/>
        </w:rPr>
        <w:t>Joyce</w:t>
      </w:r>
      <w:r w:rsidR="00D21FE1" w:rsidRPr="008B7C3B">
        <w:rPr>
          <w:rFonts w:ascii="Verdana" w:hAnsi="Verdana"/>
          <w:i/>
          <w:color w:val="000000" w:themeColor="text1"/>
          <w:sz w:val="18"/>
          <w:szCs w:val="18"/>
        </w:rPr>
        <w:t>-</w:t>
      </w:r>
      <w:r w:rsidR="00412787" w:rsidRPr="008B7C3B">
        <w:rPr>
          <w:rFonts w:ascii="Verdana" w:hAnsi="Verdana"/>
          <w:i/>
          <w:color w:val="000000" w:themeColor="text1"/>
          <w:sz w:val="18"/>
          <w:szCs w:val="18"/>
        </w:rPr>
        <w:t xml:space="preserve">Kemper </w:t>
      </w:r>
      <w:r w:rsidR="00D21FE1" w:rsidRPr="008B7C3B">
        <w:rPr>
          <w:rFonts w:ascii="Verdana" w:hAnsi="Verdana"/>
          <w:i/>
          <w:color w:val="000000" w:themeColor="text1"/>
          <w:sz w:val="18"/>
          <w:szCs w:val="18"/>
        </w:rPr>
        <w:t>(</w:t>
      </w:r>
      <w:r w:rsidR="00412787" w:rsidRPr="008B7C3B">
        <w:rPr>
          <w:rFonts w:ascii="Verdana" w:hAnsi="Verdana"/>
          <w:i/>
          <w:color w:val="000000" w:themeColor="text1"/>
          <w:sz w:val="18"/>
          <w:szCs w:val="18"/>
        </w:rPr>
        <w:t>No. 4</w:t>
      </w:r>
      <w:r w:rsidR="00D21FE1" w:rsidRPr="008B7C3B">
        <w:rPr>
          <w:rFonts w:ascii="Verdana" w:hAnsi="Verdana"/>
          <w:i/>
          <w:color w:val="000000" w:themeColor="text1"/>
          <w:sz w:val="18"/>
          <w:szCs w:val="18"/>
        </w:rPr>
        <w:t>)</w:t>
      </w:r>
      <w:r w:rsidR="00412787" w:rsidRPr="008B7C3B">
        <w:rPr>
          <w:rFonts w:ascii="Verdana" w:hAnsi="Verdana"/>
          <w:color w:val="000000" w:themeColor="text1"/>
          <w:sz w:val="18"/>
          <w:szCs w:val="18"/>
        </w:rPr>
        <w:t xml:space="preserve"> Allen J. considered that </w:t>
      </w:r>
      <w:r w:rsidRPr="008B7C3B">
        <w:rPr>
          <w:rFonts w:ascii="Verdana" w:hAnsi="Verdana"/>
          <w:color w:val="000000" w:themeColor="text1"/>
          <w:sz w:val="18"/>
          <w:szCs w:val="18"/>
        </w:rPr>
        <w:t>“</w:t>
      </w:r>
      <w:r w:rsidR="00412787" w:rsidRPr="008B7C3B">
        <w:rPr>
          <w:rFonts w:ascii="Verdana" w:hAnsi="Verdana"/>
          <w:color w:val="000000" w:themeColor="text1"/>
          <w:sz w:val="18"/>
          <w:szCs w:val="18"/>
        </w:rPr>
        <w:t>unmeritorious</w:t>
      </w:r>
      <w:r w:rsidRPr="008B7C3B">
        <w:rPr>
          <w:rFonts w:ascii="Verdana" w:hAnsi="Verdana"/>
          <w:color w:val="000000" w:themeColor="text1"/>
          <w:sz w:val="18"/>
          <w:szCs w:val="18"/>
        </w:rPr>
        <w:t>”</w:t>
      </w:r>
      <w:r w:rsidR="00412787" w:rsidRPr="008B7C3B">
        <w:rPr>
          <w:rFonts w:ascii="Verdana" w:hAnsi="Verdana"/>
          <w:color w:val="000000" w:themeColor="text1"/>
          <w:sz w:val="18"/>
          <w:szCs w:val="18"/>
        </w:rPr>
        <w:t xml:space="preserve"> in </w:t>
      </w:r>
      <w:r w:rsidR="00412787" w:rsidRPr="008B7C3B">
        <w:rPr>
          <w:rFonts w:ascii="Verdana" w:hAnsi="Verdana"/>
          <w:i/>
          <w:color w:val="000000" w:themeColor="text1"/>
          <w:sz w:val="18"/>
          <w:szCs w:val="18"/>
        </w:rPr>
        <w:t xml:space="preserve">Connelly </w:t>
      </w:r>
      <w:r w:rsidR="00412787" w:rsidRPr="008B7C3B">
        <w:rPr>
          <w:rFonts w:ascii="Verdana" w:hAnsi="Verdana"/>
          <w:color w:val="000000" w:themeColor="text1"/>
          <w:sz w:val="18"/>
          <w:szCs w:val="18"/>
        </w:rPr>
        <w:t xml:space="preserve">means unsuccessful. </w:t>
      </w:r>
      <w:r w:rsidR="00D21FE1" w:rsidRPr="008B7C3B">
        <w:rPr>
          <w:rFonts w:ascii="Verdana" w:hAnsi="Verdana"/>
          <w:color w:val="000000" w:themeColor="text1"/>
          <w:sz w:val="18"/>
          <w:szCs w:val="18"/>
        </w:rPr>
        <w:t xml:space="preserve"> </w:t>
      </w:r>
      <w:r w:rsidR="00412787" w:rsidRPr="008B7C3B">
        <w:rPr>
          <w:rFonts w:ascii="Verdana" w:hAnsi="Verdana"/>
          <w:color w:val="000000" w:themeColor="text1"/>
          <w:sz w:val="18"/>
          <w:szCs w:val="18"/>
        </w:rPr>
        <w:t>I agree</w:t>
      </w:r>
      <w:r w:rsidR="00412787" w:rsidRPr="008B7C3B">
        <w:rPr>
          <w:rFonts w:ascii="Verdana" w:hAnsi="Verdana"/>
          <w:i/>
          <w:color w:val="000000" w:themeColor="text1"/>
          <w:sz w:val="18"/>
          <w:szCs w:val="18"/>
        </w:rPr>
        <w:t xml:space="preserve">. </w:t>
      </w:r>
      <w:r w:rsidR="00D21FE1" w:rsidRPr="008B7C3B">
        <w:rPr>
          <w:rFonts w:ascii="Verdana" w:hAnsi="Verdana"/>
          <w:i/>
          <w:color w:val="000000" w:themeColor="text1"/>
          <w:sz w:val="18"/>
          <w:szCs w:val="18"/>
        </w:rPr>
        <w:t xml:space="preserve"> </w:t>
      </w:r>
      <w:r w:rsidR="00412787" w:rsidRPr="008B7C3B">
        <w:rPr>
          <w:rFonts w:ascii="Verdana" w:hAnsi="Verdana"/>
          <w:i/>
          <w:color w:val="000000" w:themeColor="text1"/>
          <w:sz w:val="18"/>
          <w:szCs w:val="18"/>
        </w:rPr>
        <w:t xml:space="preserve">Reid </w:t>
      </w:r>
      <w:r w:rsidR="00D21FE1" w:rsidRPr="008B7C3B">
        <w:rPr>
          <w:rFonts w:ascii="Verdana" w:hAnsi="Verdana"/>
          <w:i/>
          <w:color w:val="000000" w:themeColor="text1"/>
          <w:sz w:val="18"/>
          <w:szCs w:val="18"/>
        </w:rPr>
        <w:t>(</w:t>
      </w:r>
      <w:r w:rsidR="00412787" w:rsidRPr="008B7C3B">
        <w:rPr>
          <w:rFonts w:ascii="Verdana" w:hAnsi="Verdana"/>
          <w:i/>
          <w:color w:val="000000" w:themeColor="text1"/>
          <w:sz w:val="18"/>
          <w:szCs w:val="18"/>
        </w:rPr>
        <w:t>No. 2</w:t>
      </w:r>
      <w:r w:rsidR="00D21FE1" w:rsidRPr="008B7C3B">
        <w:rPr>
          <w:rFonts w:ascii="Verdana" w:hAnsi="Verdana"/>
          <w:i/>
          <w:color w:val="000000" w:themeColor="text1"/>
          <w:sz w:val="18"/>
          <w:szCs w:val="18"/>
        </w:rPr>
        <w:t>)</w:t>
      </w:r>
      <w:r w:rsidR="00412787" w:rsidRPr="008B7C3B">
        <w:rPr>
          <w:rFonts w:ascii="Verdana" w:hAnsi="Verdana"/>
          <w:color w:val="000000" w:themeColor="text1"/>
          <w:sz w:val="18"/>
          <w:szCs w:val="18"/>
        </w:rPr>
        <w:t xml:space="preserve"> does not contradict that</w:t>
      </w:r>
      <w:r w:rsidR="003C4AC0">
        <w:rPr>
          <w:rFonts w:ascii="Verdana" w:hAnsi="Verdana"/>
          <w:color w:val="000000" w:themeColor="text1"/>
          <w:sz w:val="18"/>
          <w:szCs w:val="18"/>
        </w:rPr>
        <w:t>;</w:t>
      </w:r>
      <w:r w:rsidR="00412787" w:rsidRPr="008B7C3B">
        <w:rPr>
          <w:rFonts w:ascii="Verdana" w:hAnsi="Verdana"/>
          <w:color w:val="000000" w:themeColor="text1"/>
          <w:sz w:val="18"/>
          <w:szCs w:val="18"/>
        </w:rPr>
        <w:t xml:space="preserve"> it only points out for this purpose that points may be substantial but not successful. </w:t>
      </w:r>
      <w:r w:rsidR="00D21FE1" w:rsidRPr="008B7C3B">
        <w:rPr>
          <w:rFonts w:ascii="Verdana" w:hAnsi="Verdana"/>
          <w:color w:val="000000" w:themeColor="text1"/>
          <w:sz w:val="18"/>
          <w:szCs w:val="18"/>
        </w:rPr>
        <w:t xml:space="preserve"> </w:t>
      </w:r>
    </w:p>
    <w:p w14:paraId="2BB69653" w14:textId="2B868352" w:rsidR="00F42F5E" w:rsidRPr="008B7C3B" w:rsidRDefault="00EA560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4 is</w:t>
      </w:r>
      <w:r w:rsidR="00B41FEA" w:rsidRPr="008B7C3B">
        <w:rPr>
          <w:rFonts w:ascii="Verdana" w:hAnsi="Verdana"/>
          <w:color w:val="000000" w:themeColor="text1"/>
          <w:sz w:val="18"/>
          <w:szCs w:val="18"/>
        </w:rPr>
        <w:t>:</w:t>
      </w:r>
    </w:p>
    <w:p w14:paraId="6268B0E3" w14:textId="1BCD9A15" w:rsidR="00B41FEA" w:rsidRPr="008B7C3B" w:rsidRDefault="00B41FEA" w:rsidP="00287B75">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“Is the correct approach to exercising the discretion to award costs in s.50B of the Planning and Development Act, 2000 </w:t>
      </w:r>
      <w:r w:rsidRPr="00FA3339">
        <w:rPr>
          <w:rFonts w:ascii="Verdana" w:hAnsi="Verdana"/>
          <w:color w:val="000000" w:themeColor="text1"/>
          <w:sz w:val="18"/>
          <w:szCs w:val="18"/>
        </w:rPr>
        <w:t>to start by identifying the extent of the applicant’s success and to make an award of costs to that extent, and to the extent that the respondent’s or notice party’s action or omission contributed to that success,</w:t>
      </w:r>
      <w:r w:rsidRPr="008B7C3B">
        <w:rPr>
          <w:rFonts w:ascii="Verdana" w:hAnsi="Verdana"/>
          <w:color w:val="000000" w:themeColor="text1"/>
          <w:sz w:val="18"/>
          <w:szCs w:val="18"/>
        </w:rPr>
        <w:t xml:space="preserve"> as determined by the Trial Judge in paragraph 70 of the judgment?”</w:t>
      </w:r>
    </w:p>
    <w:p w14:paraId="4A5B6D2A" w14:textId="39D46525" w:rsidR="00F42F5E" w:rsidRPr="008B7C3B" w:rsidRDefault="00EA560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That in effect seems to me to be a repeat of the essence of question 3 and again seeks clarification of </w:t>
      </w:r>
      <w:r w:rsidR="00FA3339">
        <w:rPr>
          <w:rFonts w:ascii="Verdana" w:hAnsi="Verdana"/>
          <w:color w:val="000000" w:themeColor="text1"/>
          <w:sz w:val="18"/>
          <w:szCs w:val="18"/>
        </w:rPr>
        <w:t xml:space="preserve">what is envisaged by </w:t>
      </w:r>
      <w:r w:rsidRPr="008B7C3B">
        <w:rPr>
          <w:rFonts w:ascii="Verdana" w:hAnsi="Verdana"/>
          <w:color w:val="000000" w:themeColor="text1"/>
          <w:sz w:val="18"/>
          <w:szCs w:val="18"/>
        </w:rPr>
        <w:t xml:space="preserve">the Supreme Court’s decision in </w:t>
      </w:r>
      <w:r w:rsidRPr="008B7C3B">
        <w:rPr>
          <w:rFonts w:ascii="Verdana" w:hAnsi="Verdana"/>
          <w:i/>
          <w:color w:val="000000" w:themeColor="text1"/>
          <w:sz w:val="18"/>
          <w:szCs w:val="18"/>
        </w:rPr>
        <w:t>Connelly.</w:t>
      </w:r>
    </w:p>
    <w:p w14:paraId="186EE9D8" w14:textId="65E1B846" w:rsidR="00F42F5E" w:rsidRPr="008B7C3B" w:rsidRDefault="00EA560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9 provides that</w:t>
      </w:r>
      <w:r w:rsidR="00B41FEA" w:rsidRPr="008B7C3B">
        <w:rPr>
          <w:rFonts w:ascii="Verdana" w:hAnsi="Verdana"/>
          <w:color w:val="000000" w:themeColor="text1"/>
          <w:sz w:val="18"/>
          <w:szCs w:val="18"/>
        </w:rPr>
        <w:t>:</w:t>
      </w:r>
    </w:p>
    <w:p w14:paraId="1F673976" w14:textId="6924D09D" w:rsidR="00B41FEA" w:rsidRPr="008B7C3B" w:rsidRDefault="00B41FEA"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“Is there a difference in costs terms between grounds that are substantial but ultimately unsuccessful and grounds that are found simply to be unsubstantial? If so, is there an onus </w:t>
      </w:r>
      <w:r w:rsidRPr="008B7C3B">
        <w:rPr>
          <w:rFonts w:ascii="Verdana" w:hAnsi="Verdana"/>
          <w:color w:val="000000" w:themeColor="text1"/>
          <w:sz w:val="18"/>
          <w:szCs w:val="18"/>
          <w:u w:val="single"/>
        </w:rPr>
        <w:t>on an applicant</w:t>
      </w:r>
      <w:r w:rsidRPr="008B7C3B">
        <w:rPr>
          <w:rFonts w:ascii="Verdana" w:hAnsi="Verdana"/>
          <w:color w:val="000000" w:themeColor="text1"/>
          <w:sz w:val="18"/>
          <w:szCs w:val="18"/>
        </w:rPr>
        <w:t xml:space="preserve"> for leave to seek judicial review to identify substantial grounds and to advance only such grounds, as found by the Trial Judge in paragraph 88 of the judgment? Can members of the public be penalised in a successful case (and after a full hearing) for advancing grounds that are ultimately found to not be substantial, and how does this sit with the requirement in EU law that members of the public must have </w:t>
      </w:r>
      <w:r w:rsidRPr="008B7C3B">
        <w:rPr>
          <w:rFonts w:ascii="Verdana" w:hAnsi="Verdana"/>
          <w:color w:val="000000" w:themeColor="text1"/>
          <w:sz w:val="18"/>
          <w:szCs w:val="18"/>
        </w:rPr>
        <w:lastRenderedPageBreak/>
        <w:t>access to judicial procedures to challenge acts and omissions which contravene provisions of its national law relating to the environment that are fair, equitable, timely and not prohibitively expensive.”</w:t>
      </w:r>
    </w:p>
    <w:p w14:paraId="11596DE7" w14:textId="69A48437" w:rsidR="00EA560D" w:rsidRPr="008B7C3B" w:rsidRDefault="00F42F5E"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A</w:t>
      </w:r>
      <w:r w:rsidR="00EA560D" w:rsidRPr="008B7C3B">
        <w:rPr>
          <w:rFonts w:ascii="Verdana" w:hAnsi="Verdana"/>
          <w:color w:val="000000" w:themeColor="text1"/>
          <w:sz w:val="18"/>
          <w:szCs w:val="18"/>
        </w:rPr>
        <w:t>gain</w:t>
      </w:r>
      <w:r w:rsidRPr="008B7C3B">
        <w:rPr>
          <w:rFonts w:ascii="Verdana" w:hAnsi="Verdana"/>
          <w:color w:val="000000" w:themeColor="text1"/>
          <w:sz w:val="18"/>
          <w:szCs w:val="18"/>
        </w:rPr>
        <w:t>,</w:t>
      </w:r>
      <w:r w:rsidR="00EA560D" w:rsidRPr="008B7C3B">
        <w:rPr>
          <w:rFonts w:ascii="Verdana" w:hAnsi="Verdana"/>
          <w:color w:val="000000" w:themeColor="text1"/>
          <w:sz w:val="18"/>
          <w:szCs w:val="18"/>
        </w:rPr>
        <w:t xml:space="preserve"> that seems to me to be a repeat in essence of questions 3 and 4. </w:t>
      </w:r>
    </w:p>
    <w:p w14:paraId="71D00927" w14:textId="486955DE" w:rsidR="00804092" w:rsidRPr="005E6328" w:rsidRDefault="00804092" w:rsidP="005E6328">
      <w:pPr>
        <w:pStyle w:val="ListParagraph"/>
        <w:spacing w:line="360" w:lineRule="auto"/>
        <w:ind w:left="0"/>
        <w:contextualSpacing w:val="0"/>
        <w:jc w:val="both"/>
        <w:rPr>
          <w:rFonts w:ascii="Verdana" w:hAnsi="Verdana"/>
          <w:b/>
          <w:bCs/>
          <w:color w:val="000000" w:themeColor="text1"/>
          <w:sz w:val="18"/>
          <w:szCs w:val="18"/>
        </w:rPr>
      </w:pPr>
      <w:r w:rsidRPr="005E6328">
        <w:rPr>
          <w:rFonts w:ascii="Verdana" w:hAnsi="Verdana"/>
          <w:b/>
          <w:bCs/>
          <w:color w:val="000000" w:themeColor="text1"/>
          <w:sz w:val="18"/>
          <w:szCs w:val="18"/>
        </w:rPr>
        <w:t>Issue II – the methodology of the discount</w:t>
      </w:r>
    </w:p>
    <w:p w14:paraId="0C0FF021" w14:textId="0F6999B3" w:rsidR="00804092" w:rsidRPr="008B7C3B" w:rsidRDefault="00804092"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Some of the applicant’s questions are directed towards the metho</w:t>
      </w:r>
      <w:r w:rsidR="00DF368A" w:rsidRPr="008B7C3B">
        <w:rPr>
          <w:rFonts w:ascii="Verdana" w:hAnsi="Verdana"/>
          <w:color w:val="000000" w:themeColor="text1"/>
          <w:sz w:val="18"/>
          <w:szCs w:val="18"/>
        </w:rPr>
        <w:t>do</w:t>
      </w:r>
      <w:r w:rsidRPr="008B7C3B">
        <w:rPr>
          <w:rFonts w:ascii="Verdana" w:hAnsi="Verdana"/>
          <w:color w:val="000000" w:themeColor="text1"/>
          <w:sz w:val="18"/>
          <w:szCs w:val="18"/>
        </w:rPr>
        <w:t>logy of the discount, on the assumption that discounting is permissible.  While not stating this outright</w:t>
      </w:r>
      <w:r w:rsidR="00DF368A" w:rsidRPr="008B7C3B">
        <w:rPr>
          <w:rFonts w:ascii="Verdana" w:hAnsi="Verdana"/>
          <w:color w:val="000000" w:themeColor="text1"/>
          <w:sz w:val="18"/>
          <w:szCs w:val="18"/>
        </w:rPr>
        <w:t xml:space="preserve"> in the questions,</w:t>
      </w:r>
      <w:r w:rsidRPr="008B7C3B">
        <w:rPr>
          <w:rFonts w:ascii="Verdana" w:hAnsi="Verdana"/>
          <w:color w:val="000000" w:themeColor="text1"/>
          <w:sz w:val="18"/>
          <w:szCs w:val="18"/>
        </w:rPr>
        <w:t xml:space="preserve"> the implication is that a 25% award of costs is too low</w:t>
      </w:r>
      <w:r w:rsidR="00FA3339">
        <w:rPr>
          <w:rFonts w:ascii="Verdana" w:hAnsi="Verdana"/>
          <w:color w:val="000000" w:themeColor="text1"/>
          <w:sz w:val="18"/>
          <w:szCs w:val="18"/>
        </w:rPr>
        <w:t xml:space="preserve"> in circumstances such as those here</w:t>
      </w:r>
      <w:r w:rsidRPr="008B7C3B">
        <w:rPr>
          <w:rFonts w:ascii="Verdana" w:hAnsi="Verdana"/>
          <w:color w:val="000000" w:themeColor="text1"/>
          <w:sz w:val="18"/>
          <w:szCs w:val="18"/>
        </w:rPr>
        <w:t xml:space="preserve">, even assuming that discounting is permissible.  </w:t>
      </w:r>
      <w:r w:rsidR="00FA3339">
        <w:rPr>
          <w:rFonts w:ascii="Verdana" w:hAnsi="Verdana"/>
          <w:color w:val="000000" w:themeColor="text1"/>
          <w:sz w:val="18"/>
          <w:szCs w:val="18"/>
        </w:rPr>
        <w:t xml:space="preserve"> </w:t>
      </w:r>
    </w:p>
    <w:p w14:paraId="60CE6CB2" w14:textId="77777777" w:rsidR="00804092" w:rsidRPr="005E6328" w:rsidRDefault="00804092" w:rsidP="005E6328">
      <w:pPr>
        <w:pStyle w:val="ListParagraph"/>
        <w:spacing w:line="360" w:lineRule="auto"/>
        <w:ind w:left="0"/>
        <w:contextualSpacing w:val="0"/>
        <w:jc w:val="both"/>
        <w:rPr>
          <w:rFonts w:ascii="Verdana" w:hAnsi="Verdana"/>
          <w:b/>
          <w:color w:val="000000" w:themeColor="text1"/>
          <w:sz w:val="18"/>
          <w:szCs w:val="18"/>
        </w:rPr>
      </w:pPr>
      <w:r w:rsidRPr="005E6328">
        <w:rPr>
          <w:rFonts w:ascii="Verdana" w:hAnsi="Verdana"/>
          <w:b/>
          <w:color w:val="000000" w:themeColor="text1"/>
          <w:sz w:val="18"/>
          <w:szCs w:val="18"/>
        </w:rPr>
        <w:t>Whether an applicant who obtains a relief should get the full costs of all points directed to that relief (question 5)</w:t>
      </w:r>
    </w:p>
    <w:p w14:paraId="6A2CDBAD" w14:textId="77777777" w:rsidR="00804092" w:rsidRPr="008B7C3B" w:rsidRDefault="00804092"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5 provides as follows:</w:t>
      </w:r>
    </w:p>
    <w:p w14:paraId="55F47515" w14:textId="77777777" w:rsidR="00804092" w:rsidRPr="008B7C3B" w:rsidRDefault="00804092" w:rsidP="001C1881">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“If this is correct, how is such success to be measured? By reference to the reliefs pleaded (but not pursued at hearing) or by reference to the relief in fact pursued and obtained? In the instant case the only relief actively pursued was obtained.”</w:t>
      </w:r>
    </w:p>
    <w:p w14:paraId="1E3C7C6D" w14:textId="388C2487" w:rsidR="00804092" w:rsidRPr="008B7C3B" w:rsidRDefault="006B25C8"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This question seems to be an </w:t>
      </w:r>
      <w:r w:rsidR="00DD729D" w:rsidRPr="008B7C3B">
        <w:rPr>
          <w:rFonts w:ascii="Verdana" w:hAnsi="Verdana"/>
          <w:color w:val="000000" w:themeColor="text1"/>
          <w:sz w:val="18"/>
          <w:szCs w:val="18"/>
        </w:rPr>
        <w:t>attempt to interpret the methodology to be used under</w:t>
      </w:r>
      <w:r w:rsidR="00804092" w:rsidRPr="008B7C3B">
        <w:rPr>
          <w:rFonts w:ascii="Verdana" w:hAnsi="Verdana"/>
          <w:color w:val="000000" w:themeColor="text1"/>
          <w:sz w:val="18"/>
          <w:szCs w:val="18"/>
        </w:rPr>
        <w:t xml:space="preserve"> </w:t>
      </w:r>
      <w:r w:rsidR="00804092" w:rsidRPr="008B7C3B">
        <w:rPr>
          <w:rFonts w:ascii="Verdana" w:hAnsi="Verdana"/>
          <w:i/>
          <w:color w:val="000000" w:themeColor="text1"/>
          <w:sz w:val="18"/>
          <w:szCs w:val="18"/>
        </w:rPr>
        <w:t>Connelly</w:t>
      </w:r>
      <w:r w:rsidR="00DD729D" w:rsidRPr="008B7C3B">
        <w:rPr>
          <w:rFonts w:ascii="Verdana" w:hAnsi="Verdana"/>
          <w:i/>
          <w:color w:val="000000" w:themeColor="text1"/>
          <w:sz w:val="18"/>
          <w:szCs w:val="18"/>
        </w:rPr>
        <w:t xml:space="preserve"> </w:t>
      </w:r>
      <w:r w:rsidR="00DD729D" w:rsidRPr="008B7C3B">
        <w:rPr>
          <w:rFonts w:ascii="Verdana" w:hAnsi="Verdana"/>
          <w:iCs/>
          <w:color w:val="000000" w:themeColor="text1"/>
          <w:sz w:val="18"/>
          <w:szCs w:val="18"/>
        </w:rPr>
        <w:t xml:space="preserve">and the relevance of the relief granted.  I am not sure that it is a totally necessary question because it is clear in </w:t>
      </w:r>
      <w:r w:rsidR="00DD729D" w:rsidRPr="008B7C3B">
        <w:rPr>
          <w:rFonts w:ascii="Verdana" w:hAnsi="Verdana"/>
          <w:i/>
          <w:color w:val="000000" w:themeColor="text1"/>
          <w:sz w:val="18"/>
          <w:szCs w:val="18"/>
        </w:rPr>
        <w:t>Connelly</w:t>
      </w:r>
      <w:r w:rsidR="00DD729D" w:rsidRPr="008B7C3B">
        <w:rPr>
          <w:rFonts w:ascii="Verdana" w:hAnsi="Verdana"/>
          <w:iCs/>
          <w:color w:val="000000" w:themeColor="text1"/>
          <w:sz w:val="18"/>
          <w:szCs w:val="18"/>
        </w:rPr>
        <w:t xml:space="preserve"> that the grant of relief alone isn’t decisive</w:t>
      </w:r>
      <w:r w:rsidR="00804092" w:rsidRPr="008B7C3B">
        <w:rPr>
          <w:rFonts w:ascii="Verdana" w:hAnsi="Verdana"/>
          <w:iCs/>
          <w:color w:val="000000" w:themeColor="text1"/>
          <w:sz w:val="18"/>
          <w:szCs w:val="18"/>
        </w:rPr>
        <w:t xml:space="preserve">.  </w:t>
      </w:r>
      <w:r w:rsidR="00DD729D" w:rsidRPr="008B7C3B">
        <w:rPr>
          <w:rFonts w:ascii="Verdana" w:hAnsi="Verdana"/>
          <w:iCs/>
          <w:color w:val="000000" w:themeColor="text1"/>
          <w:sz w:val="18"/>
          <w:szCs w:val="18"/>
        </w:rPr>
        <w:t xml:space="preserve"> </w:t>
      </w:r>
    </w:p>
    <w:p w14:paraId="458F8EB9" w14:textId="77777777" w:rsidR="00EA560D" w:rsidRPr="005E6328" w:rsidRDefault="00EA560D" w:rsidP="005E6328">
      <w:pPr>
        <w:pStyle w:val="ListParagraph"/>
        <w:spacing w:line="360" w:lineRule="auto"/>
        <w:ind w:left="567" w:hanging="567"/>
        <w:contextualSpacing w:val="0"/>
        <w:jc w:val="both"/>
        <w:rPr>
          <w:rFonts w:ascii="Verdana" w:hAnsi="Verdana"/>
          <w:b/>
          <w:color w:val="000000" w:themeColor="text1"/>
          <w:sz w:val="18"/>
          <w:szCs w:val="18"/>
        </w:rPr>
      </w:pPr>
      <w:r w:rsidRPr="005E6328">
        <w:rPr>
          <w:rFonts w:ascii="Verdana" w:hAnsi="Verdana"/>
          <w:b/>
          <w:color w:val="000000" w:themeColor="text1"/>
          <w:sz w:val="18"/>
          <w:szCs w:val="18"/>
        </w:rPr>
        <w:t>Methodology for apportionment (question 6)</w:t>
      </w:r>
    </w:p>
    <w:p w14:paraId="06843BA8" w14:textId="318B3322" w:rsidR="00F42F5E" w:rsidRPr="008B7C3B" w:rsidRDefault="00EA560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6 provides as follows:</w:t>
      </w:r>
    </w:p>
    <w:p w14:paraId="44356BC7" w14:textId="24A6AA20" w:rsidR="00B41FEA" w:rsidRPr="008B7C3B" w:rsidRDefault="00B41FEA"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“Alternatively, is success to be measured by reference to the grounds pleaded, pursued and/or those that were successful? Is it appropriate to consider this issue numerically or by reference to the time spent at hearing? Are grounds of opposition to be similarly considered (such as the </w:t>
      </w:r>
      <w:proofErr w:type="gramStart"/>
      <w:r w:rsidRPr="008B7C3B">
        <w:rPr>
          <w:rFonts w:ascii="Verdana" w:hAnsi="Verdana"/>
          <w:color w:val="000000" w:themeColor="text1"/>
          <w:sz w:val="18"/>
          <w:szCs w:val="18"/>
        </w:rPr>
        <w:t>issue based</w:t>
      </w:r>
      <w:proofErr w:type="gramEnd"/>
      <w:r w:rsidRPr="008B7C3B">
        <w:rPr>
          <w:rFonts w:ascii="Verdana" w:hAnsi="Verdana"/>
          <w:color w:val="000000" w:themeColor="text1"/>
          <w:sz w:val="18"/>
          <w:szCs w:val="18"/>
        </w:rPr>
        <w:t xml:space="preserve"> locus standi opposition point dropped by the respondent after over a day at hearing)?”</w:t>
      </w:r>
    </w:p>
    <w:p w14:paraId="324A581B" w14:textId="4EF71D5D" w:rsidR="005502A9" w:rsidRPr="008B7C3B" w:rsidRDefault="00EA560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methodology in accordance with </w:t>
      </w:r>
      <w:r w:rsidRPr="008B7C3B">
        <w:rPr>
          <w:rFonts w:ascii="Verdana" w:hAnsi="Verdana"/>
          <w:i/>
          <w:color w:val="000000" w:themeColor="text1"/>
          <w:sz w:val="18"/>
          <w:szCs w:val="18"/>
        </w:rPr>
        <w:t xml:space="preserve">Connelly </w:t>
      </w:r>
      <w:r w:rsidRPr="008B7C3B">
        <w:rPr>
          <w:rFonts w:ascii="Verdana" w:hAnsi="Verdana"/>
          <w:color w:val="000000" w:themeColor="text1"/>
          <w:sz w:val="18"/>
          <w:szCs w:val="18"/>
        </w:rPr>
        <w:t xml:space="preserve">is to compare what </w:t>
      </w:r>
      <w:proofErr w:type="gramStart"/>
      <w:r w:rsidRPr="008B7C3B">
        <w:rPr>
          <w:rFonts w:ascii="Verdana" w:hAnsi="Verdana"/>
          <w:color w:val="000000" w:themeColor="text1"/>
          <w:sz w:val="18"/>
          <w:szCs w:val="18"/>
        </w:rPr>
        <w:t>actually happened</w:t>
      </w:r>
      <w:proofErr w:type="gramEnd"/>
      <w:r w:rsidRPr="008B7C3B">
        <w:rPr>
          <w:rFonts w:ascii="Verdana" w:hAnsi="Verdana"/>
          <w:color w:val="000000" w:themeColor="text1"/>
          <w:sz w:val="18"/>
          <w:szCs w:val="18"/>
        </w:rPr>
        <w:t xml:space="preserve"> with what would have happened if the winner had only advanced the points they won</w:t>
      </w:r>
      <w:r w:rsidR="005502A9" w:rsidRPr="008B7C3B">
        <w:rPr>
          <w:rFonts w:ascii="Verdana" w:hAnsi="Verdana"/>
          <w:color w:val="000000" w:themeColor="text1"/>
          <w:sz w:val="18"/>
          <w:szCs w:val="18"/>
        </w:rPr>
        <w:t xml:space="preserve">.  </w:t>
      </w:r>
      <w:r w:rsidR="00DF368A" w:rsidRPr="008B7C3B">
        <w:rPr>
          <w:rFonts w:ascii="Verdana" w:hAnsi="Verdana"/>
          <w:color w:val="000000" w:themeColor="text1"/>
          <w:sz w:val="18"/>
          <w:szCs w:val="18"/>
        </w:rPr>
        <w:t xml:space="preserve">That isn’t mechanical and it wasn’t mechanical in </w:t>
      </w:r>
      <w:r w:rsidR="00DF368A" w:rsidRPr="008B7C3B">
        <w:rPr>
          <w:rFonts w:ascii="Verdana" w:hAnsi="Verdana"/>
          <w:i/>
          <w:iCs/>
          <w:color w:val="000000" w:themeColor="text1"/>
          <w:sz w:val="18"/>
          <w:szCs w:val="18"/>
        </w:rPr>
        <w:t>Connelly</w:t>
      </w:r>
      <w:r w:rsidR="00DF368A" w:rsidRPr="008B7C3B">
        <w:rPr>
          <w:rFonts w:ascii="Verdana" w:hAnsi="Verdana"/>
          <w:color w:val="000000" w:themeColor="text1"/>
          <w:sz w:val="18"/>
          <w:szCs w:val="18"/>
        </w:rPr>
        <w:t xml:space="preserve"> itself.  </w:t>
      </w:r>
      <w:r w:rsidR="005502A9" w:rsidRPr="008B7C3B">
        <w:rPr>
          <w:rFonts w:ascii="Verdana" w:hAnsi="Verdana"/>
          <w:color w:val="000000" w:themeColor="text1"/>
          <w:sz w:val="18"/>
          <w:szCs w:val="18"/>
        </w:rPr>
        <w:t xml:space="preserve">If there is a wide gulf between the two, there may be a discount, but as </w:t>
      </w:r>
      <w:r w:rsidR="005502A9" w:rsidRPr="008B7C3B">
        <w:rPr>
          <w:rFonts w:ascii="Verdana" w:hAnsi="Verdana"/>
          <w:i/>
          <w:iCs/>
          <w:color w:val="000000" w:themeColor="text1"/>
          <w:sz w:val="18"/>
          <w:szCs w:val="18"/>
        </w:rPr>
        <w:t>Connelly</w:t>
      </w:r>
      <w:r w:rsidR="005502A9" w:rsidRPr="008B7C3B">
        <w:rPr>
          <w:rFonts w:ascii="Verdana" w:hAnsi="Verdana"/>
          <w:color w:val="000000" w:themeColor="text1"/>
          <w:sz w:val="18"/>
          <w:szCs w:val="18"/>
        </w:rPr>
        <w:t xml:space="preserve"> itself indicates that is not mathematically proportionate – the applicant in </w:t>
      </w:r>
      <w:r w:rsidR="005502A9" w:rsidRPr="008B7C3B">
        <w:rPr>
          <w:rFonts w:ascii="Verdana" w:hAnsi="Verdana"/>
          <w:i/>
          <w:iCs/>
          <w:color w:val="000000" w:themeColor="text1"/>
          <w:sz w:val="18"/>
          <w:szCs w:val="18"/>
        </w:rPr>
        <w:t>Connelly</w:t>
      </w:r>
      <w:r w:rsidR="005502A9" w:rsidRPr="008B7C3B">
        <w:rPr>
          <w:rFonts w:ascii="Verdana" w:hAnsi="Verdana"/>
          <w:color w:val="000000" w:themeColor="text1"/>
          <w:sz w:val="18"/>
          <w:szCs w:val="18"/>
        </w:rPr>
        <w:t xml:space="preserve"> won 10% of the case and got 75% of the costs. </w:t>
      </w:r>
      <w:r w:rsidR="00DF368A" w:rsidRPr="008B7C3B">
        <w:rPr>
          <w:rFonts w:ascii="Verdana" w:hAnsi="Verdana"/>
          <w:color w:val="000000" w:themeColor="text1"/>
          <w:sz w:val="18"/>
          <w:szCs w:val="18"/>
        </w:rPr>
        <w:t xml:space="preserve">  In </w:t>
      </w:r>
      <w:r w:rsidR="00DF368A" w:rsidRPr="008B7C3B">
        <w:rPr>
          <w:rFonts w:ascii="Verdana" w:hAnsi="Verdana"/>
          <w:i/>
          <w:iCs/>
          <w:color w:val="000000" w:themeColor="text1"/>
          <w:sz w:val="18"/>
          <w:szCs w:val="18"/>
        </w:rPr>
        <w:t>Flannery</w:t>
      </w:r>
      <w:r w:rsidR="00F35F19" w:rsidRPr="008B7C3B">
        <w:rPr>
          <w:rFonts w:ascii="Verdana" w:hAnsi="Verdana"/>
          <w:color w:val="000000" w:themeColor="text1"/>
          <w:sz w:val="18"/>
          <w:szCs w:val="18"/>
        </w:rPr>
        <w:t xml:space="preserve"> </w:t>
      </w:r>
      <w:r w:rsidR="00F35F19" w:rsidRPr="008B7C3B">
        <w:rPr>
          <w:rFonts w:ascii="Verdana" w:hAnsi="Verdana"/>
          <w:i/>
          <w:iCs/>
          <w:color w:val="000000" w:themeColor="text1"/>
          <w:sz w:val="18"/>
          <w:szCs w:val="18"/>
        </w:rPr>
        <w:t>(No. 3)</w:t>
      </w:r>
      <w:r w:rsidR="00DD729D" w:rsidRPr="008B7C3B">
        <w:rPr>
          <w:rFonts w:ascii="Verdana" w:hAnsi="Verdana"/>
          <w:color w:val="000000" w:themeColor="text1"/>
          <w:sz w:val="18"/>
          <w:szCs w:val="18"/>
        </w:rPr>
        <w:t xml:space="preserve"> </w:t>
      </w:r>
      <w:r w:rsidR="00DF368A" w:rsidRPr="008B7C3B">
        <w:rPr>
          <w:rFonts w:ascii="Verdana" w:hAnsi="Verdana"/>
          <w:color w:val="000000" w:themeColor="text1"/>
          <w:sz w:val="18"/>
          <w:szCs w:val="18"/>
        </w:rPr>
        <w:t xml:space="preserve">I considered that there should be no discounting unless an applicant won substantially less than half her substantial </w:t>
      </w:r>
      <w:proofErr w:type="gramStart"/>
      <w:r w:rsidR="00DF368A" w:rsidRPr="008B7C3B">
        <w:rPr>
          <w:rFonts w:ascii="Verdana" w:hAnsi="Verdana"/>
          <w:color w:val="000000" w:themeColor="text1"/>
          <w:sz w:val="18"/>
          <w:szCs w:val="18"/>
        </w:rPr>
        <w:t>points, or</w:t>
      </w:r>
      <w:proofErr w:type="gramEnd"/>
      <w:r w:rsidR="00DF368A" w:rsidRPr="008B7C3B">
        <w:rPr>
          <w:rFonts w:ascii="Verdana" w:hAnsi="Verdana"/>
          <w:color w:val="000000" w:themeColor="text1"/>
          <w:sz w:val="18"/>
          <w:szCs w:val="18"/>
        </w:rPr>
        <w:t xml:space="preserve"> lost a discrete interlocutory hearing.  </w:t>
      </w:r>
      <w:r w:rsidR="00DD729D" w:rsidRPr="008B7C3B">
        <w:rPr>
          <w:rFonts w:ascii="Verdana" w:hAnsi="Verdana"/>
          <w:color w:val="000000" w:themeColor="text1"/>
          <w:sz w:val="18"/>
          <w:szCs w:val="18"/>
        </w:rPr>
        <w:t xml:space="preserve">Nonetheless I am not sure one could call the methodology something that is completely settled. </w:t>
      </w:r>
    </w:p>
    <w:p w14:paraId="0BBCF0EE" w14:textId="602DD6BA" w:rsidR="00EA560D" w:rsidRPr="005E6328" w:rsidRDefault="00EA560D" w:rsidP="005E6328">
      <w:pPr>
        <w:pStyle w:val="ListParagraph"/>
        <w:spacing w:line="360" w:lineRule="auto"/>
        <w:ind w:left="567" w:hanging="567"/>
        <w:contextualSpacing w:val="0"/>
        <w:jc w:val="both"/>
        <w:rPr>
          <w:rFonts w:ascii="Verdana" w:hAnsi="Verdana"/>
          <w:b/>
          <w:color w:val="000000" w:themeColor="text1"/>
          <w:sz w:val="18"/>
          <w:szCs w:val="18"/>
        </w:rPr>
      </w:pPr>
      <w:r w:rsidRPr="005E6328">
        <w:rPr>
          <w:rFonts w:ascii="Verdana" w:hAnsi="Verdana"/>
          <w:b/>
          <w:color w:val="000000" w:themeColor="text1"/>
          <w:sz w:val="18"/>
          <w:szCs w:val="18"/>
        </w:rPr>
        <w:t>T</w:t>
      </w:r>
      <w:r w:rsidR="00F9663F" w:rsidRPr="005E6328">
        <w:rPr>
          <w:rFonts w:ascii="Verdana" w:hAnsi="Verdana"/>
          <w:b/>
          <w:color w:val="000000" w:themeColor="text1"/>
          <w:sz w:val="18"/>
          <w:szCs w:val="18"/>
        </w:rPr>
        <w:t xml:space="preserve">he relevance of the non-issuing of declarations (question 7) </w:t>
      </w:r>
    </w:p>
    <w:p w14:paraId="79F7AA7C" w14:textId="7B46F874" w:rsidR="00F42F5E" w:rsidRPr="008B7C3B" w:rsidRDefault="00F9663F"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7 provides as follows:</w:t>
      </w:r>
    </w:p>
    <w:p w14:paraId="6CB66330" w14:textId="53AF353E" w:rsidR="00B41FEA" w:rsidRPr="008B7C3B" w:rsidRDefault="00B41FEA"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lastRenderedPageBreak/>
        <w:t xml:space="preserve">“In circumstances where an applicant has been successful in obtaining </w:t>
      </w:r>
      <w:r w:rsidRPr="008B7C3B">
        <w:rPr>
          <w:rFonts w:ascii="Verdana" w:hAnsi="Verdana"/>
          <w:i/>
          <w:iCs/>
          <w:color w:val="000000" w:themeColor="text1"/>
          <w:sz w:val="18"/>
          <w:szCs w:val="18"/>
        </w:rPr>
        <w:t>certiorari</w:t>
      </w:r>
      <w:r w:rsidRPr="008B7C3B">
        <w:rPr>
          <w:rFonts w:ascii="Verdana" w:hAnsi="Verdana"/>
          <w:color w:val="000000" w:themeColor="text1"/>
          <w:sz w:val="18"/>
          <w:szCs w:val="18"/>
        </w:rPr>
        <w:t xml:space="preserve">, is </w:t>
      </w:r>
      <w:r w:rsidRPr="008B7C3B">
        <w:rPr>
          <w:rFonts w:ascii="Verdana" w:hAnsi="Verdana"/>
          <w:i/>
          <w:iCs/>
          <w:color w:val="000000" w:themeColor="text1"/>
          <w:sz w:val="18"/>
          <w:szCs w:val="18"/>
        </w:rPr>
        <w:t>certiorari</w:t>
      </w:r>
      <w:r w:rsidRPr="008B7C3B">
        <w:rPr>
          <w:rFonts w:ascii="Verdana" w:hAnsi="Verdana"/>
          <w:color w:val="000000" w:themeColor="text1"/>
          <w:sz w:val="18"/>
          <w:szCs w:val="18"/>
        </w:rPr>
        <w:t xml:space="preserve"> the full extent to which an applicant may succeed in obtaining relief, with any declaratory relief considered to be a redundant duplicate relief as described in Practice Direction HC107, or was the Trial Judge correct to conclude, as he did at paragraph 71 of the judgment that </w:t>
      </w:r>
      <w:r w:rsidRPr="00FA3339">
        <w:rPr>
          <w:rFonts w:ascii="Verdana" w:hAnsi="Verdana"/>
          <w:color w:val="000000" w:themeColor="text1"/>
          <w:sz w:val="18"/>
          <w:szCs w:val="18"/>
        </w:rPr>
        <w:t xml:space="preserve">“the applicant’s success was limited” </w:t>
      </w:r>
      <w:r w:rsidRPr="008B7C3B">
        <w:rPr>
          <w:rFonts w:ascii="Verdana" w:hAnsi="Verdana"/>
          <w:color w:val="000000" w:themeColor="text1"/>
          <w:sz w:val="18"/>
          <w:szCs w:val="18"/>
        </w:rPr>
        <w:t xml:space="preserve">because although she secured the Order of </w:t>
      </w:r>
      <w:r w:rsidRPr="008B7C3B">
        <w:rPr>
          <w:rFonts w:ascii="Verdana" w:hAnsi="Verdana"/>
          <w:i/>
          <w:iCs/>
          <w:color w:val="000000" w:themeColor="text1"/>
          <w:sz w:val="18"/>
          <w:szCs w:val="18"/>
        </w:rPr>
        <w:t>certiorari</w:t>
      </w:r>
      <w:r w:rsidRPr="008B7C3B">
        <w:rPr>
          <w:rFonts w:ascii="Verdana" w:hAnsi="Verdana"/>
          <w:color w:val="000000" w:themeColor="text1"/>
          <w:sz w:val="18"/>
          <w:szCs w:val="18"/>
        </w:rPr>
        <w:t xml:space="preserve"> which she sought, she did not obtain any of the declarations which she sought even though these were not actively (or at all) pursued?”</w:t>
      </w:r>
    </w:p>
    <w:p w14:paraId="26D42841" w14:textId="36B84133" w:rsidR="00DD729D" w:rsidRPr="008B7C3B" w:rsidRDefault="00FA3339" w:rsidP="005E6328">
      <w:pPr>
        <w:pStyle w:val="ListParagraph"/>
        <w:numPr>
          <w:ilvl w:val="0"/>
          <w:numId w:val="8"/>
        </w:numPr>
        <w:spacing w:after="240" w:line="360" w:lineRule="auto"/>
        <w:ind w:left="567" w:hanging="567"/>
        <w:contextualSpacing w:val="0"/>
        <w:jc w:val="both"/>
        <w:rPr>
          <w:rFonts w:ascii="Verdana" w:hAnsi="Verdana"/>
          <w:b/>
          <w:bCs/>
          <w:color w:val="000000" w:themeColor="text1"/>
          <w:sz w:val="18"/>
          <w:szCs w:val="18"/>
          <w:u w:val="single"/>
        </w:rPr>
      </w:pPr>
      <w:r>
        <w:rPr>
          <w:rFonts w:ascii="Verdana" w:hAnsi="Verdana"/>
          <w:color w:val="000000" w:themeColor="text1"/>
          <w:sz w:val="18"/>
          <w:szCs w:val="18"/>
        </w:rPr>
        <w:t xml:space="preserve">The point reflected in </w:t>
      </w:r>
      <w:r w:rsidR="00F9663F" w:rsidRPr="008B7C3B">
        <w:rPr>
          <w:rFonts w:ascii="Verdana" w:hAnsi="Verdana"/>
          <w:color w:val="000000" w:themeColor="text1"/>
          <w:sz w:val="18"/>
          <w:szCs w:val="18"/>
        </w:rPr>
        <w:t xml:space="preserve">Practice Direction HC107 </w:t>
      </w:r>
      <w:r>
        <w:rPr>
          <w:rFonts w:ascii="Verdana" w:hAnsi="Verdana"/>
          <w:color w:val="000000" w:themeColor="text1"/>
          <w:sz w:val="18"/>
          <w:szCs w:val="18"/>
        </w:rPr>
        <w:t xml:space="preserve">(leaving aside whether it has a formal application here) </w:t>
      </w:r>
      <w:r w:rsidR="00F9663F" w:rsidRPr="008B7C3B">
        <w:rPr>
          <w:rFonts w:ascii="Verdana" w:hAnsi="Verdana"/>
          <w:color w:val="000000" w:themeColor="text1"/>
          <w:sz w:val="18"/>
          <w:szCs w:val="18"/>
        </w:rPr>
        <w:t xml:space="preserve">is relevant to this because it highlights </w:t>
      </w:r>
      <w:proofErr w:type="gramStart"/>
      <w:r w:rsidR="00F9663F" w:rsidRPr="008B7C3B">
        <w:rPr>
          <w:rFonts w:ascii="Verdana" w:hAnsi="Verdana"/>
          <w:color w:val="000000" w:themeColor="text1"/>
          <w:sz w:val="18"/>
          <w:szCs w:val="18"/>
        </w:rPr>
        <w:t>that elaborate declarations</w:t>
      </w:r>
      <w:proofErr w:type="gramEnd"/>
      <w:r w:rsidR="00F9663F" w:rsidRPr="008B7C3B">
        <w:rPr>
          <w:rFonts w:ascii="Verdana" w:hAnsi="Verdana"/>
          <w:color w:val="000000" w:themeColor="text1"/>
          <w:sz w:val="18"/>
          <w:szCs w:val="18"/>
        </w:rPr>
        <w:t xml:space="preserve"> are generally unnecessary. </w:t>
      </w:r>
      <w:r w:rsidR="00F42F5E" w:rsidRPr="008B7C3B">
        <w:rPr>
          <w:rFonts w:ascii="Verdana" w:hAnsi="Verdana"/>
          <w:color w:val="000000" w:themeColor="text1"/>
          <w:sz w:val="18"/>
          <w:szCs w:val="18"/>
        </w:rPr>
        <w:t xml:space="preserve"> </w:t>
      </w:r>
      <w:r w:rsidR="00F9663F" w:rsidRPr="008B7C3B">
        <w:rPr>
          <w:rFonts w:ascii="Verdana" w:hAnsi="Verdana"/>
          <w:color w:val="000000" w:themeColor="text1"/>
          <w:sz w:val="18"/>
          <w:szCs w:val="18"/>
        </w:rPr>
        <w:t xml:space="preserve">If you get </w:t>
      </w:r>
      <w:proofErr w:type="gramStart"/>
      <w:r w:rsidR="00F9663F" w:rsidRPr="008B7C3B">
        <w:rPr>
          <w:rFonts w:ascii="Verdana" w:hAnsi="Verdana"/>
          <w:i/>
          <w:color w:val="000000" w:themeColor="text1"/>
          <w:sz w:val="18"/>
          <w:szCs w:val="18"/>
        </w:rPr>
        <w:t>certiorari</w:t>
      </w:r>
      <w:proofErr w:type="gramEnd"/>
      <w:r w:rsidR="00F9663F" w:rsidRPr="008B7C3B">
        <w:rPr>
          <w:rFonts w:ascii="Verdana" w:hAnsi="Verdana"/>
          <w:i/>
          <w:color w:val="000000" w:themeColor="text1"/>
          <w:sz w:val="18"/>
          <w:szCs w:val="18"/>
        </w:rPr>
        <w:t xml:space="preserve"> </w:t>
      </w:r>
      <w:r w:rsidR="00F9663F" w:rsidRPr="008B7C3B">
        <w:rPr>
          <w:rFonts w:ascii="Verdana" w:hAnsi="Verdana"/>
          <w:color w:val="000000" w:themeColor="text1"/>
          <w:sz w:val="18"/>
          <w:szCs w:val="18"/>
        </w:rPr>
        <w:t>you do not need declarations</w:t>
      </w:r>
      <w:r w:rsidR="00F42F5E" w:rsidRPr="008B7C3B">
        <w:rPr>
          <w:rFonts w:ascii="Verdana" w:hAnsi="Verdana"/>
          <w:color w:val="000000" w:themeColor="text1"/>
          <w:sz w:val="18"/>
          <w:szCs w:val="18"/>
        </w:rPr>
        <w:t>,</w:t>
      </w:r>
      <w:r w:rsidR="00F9663F" w:rsidRPr="008B7C3B">
        <w:rPr>
          <w:rFonts w:ascii="Verdana" w:hAnsi="Verdana"/>
          <w:color w:val="000000" w:themeColor="text1"/>
          <w:sz w:val="18"/>
          <w:szCs w:val="18"/>
        </w:rPr>
        <w:t xml:space="preserve"> and if you are refused </w:t>
      </w:r>
      <w:r w:rsidR="00F9663F" w:rsidRPr="008B7C3B">
        <w:rPr>
          <w:rFonts w:ascii="Verdana" w:hAnsi="Verdana"/>
          <w:i/>
          <w:color w:val="000000" w:themeColor="text1"/>
          <w:sz w:val="18"/>
          <w:szCs w:val="18"/>
        </w:rPr>
        <w:t xml:space="preserve">certiorari </w:t>
      </w:r>
      <w:r w:rsidR="00F9663F" w:rsidRPr="008B7C3B">
        <w:rPr>
          <w:rFonts w:ascii="Verdana" w:hAnsi="Verdana"/>
          <w:color w:val="000000" w:themeColor="text1"/>
          <w:sz w:val="18"/>
          <w:szCs w:val="18"/>
        </w:rPr>
        <w:t xml:space="preserve">there won’t be any basis for declarations. </w:t>
      </w:r>
      <w:r w:rsidR="00F42F5E" w:rsidRPr="008B7C3B">
        <w:rPr>
          <w:rFonts w:ascii="Verdana" w:hAnsi="Verdana"/>
          <w:color w:val="000000" w:themeColor="text1"/>
          <w:sz w:val="18"/>
          <w:szCs w:val="18"/>
        </w:rPr>
        <w:t xml:space="preserve"> </w:t>
      </w:r>
      <w:r w:rsidR="00F9663F" w:rsidRPr="008B7C3B">
        <w:rPr>
          <w:rFonts w:ascii="Verdana" w:hAnsi="Verdana"/>
          <w:color w:val="000000" w:themeColor="text1"/>
          <w:sz w:val="18"/>
          <w:szCs w:val="18"/>
        </w:rPr>
        <w:t>There are occasional exceptions</w:t>
      </w:r>
      <w:r w:rsidR="00F42F5E" w:rsidRPr="008B7C3B">
        <w:rPr>
          <w:rFonts w:ascii="Verdana" w:hAnsi="Verdana"/>
          <w:color w:val="000000" w:themeColor="text1"/>
          <w:sz w:val="18"/>
          <w:szCs w:val="18"/>
        </w:rPr>
        <w:t>,</w:t>
      </w:r>
      <w:r w:rsidR="00F9663F" w:rsidRPr="008B7C3B">
        <w:rPr>
          <w:rFonts w:ascii="Verdana" w:hAnsi="Verdana"/>
          <w:color w:val="000000" w:themeColor="text1"/>
          <w:sz w:val="18"/>
          <w:szCs w:val="18"/>
        </w:rPr>
        <w:t xml:space="preserve"> but they very much are exceptions. </w:t>
      </w:r>
      <w:r w:rsidR="00F42F5E" w:rsidRPr="008B7C3B">
        <w:rPr>
          <w:rFonts w:ascii="Verdana" w:hAnsi="Verdana"/>
          <w:color w:val="000000" w:themeColor="text1"/>
          <w:sz w:val="18"/>
          <w:szCs w:val="18"/>
        </w:rPr>
        <w:t xml:space="preserve"> </w:t>
      </w:r>
      <w:r>
        <w:rPr>
          <w:rFonts w:ascii="Verdana" w:hAnsi="Verdana"/>
          <w:color w:val="000000" w:themeColor="text1"/>
          <w:sz w:val="18"/>
          <w:szCs w:val="18"/>
        </w:rPr>
        <w:t xml:space="preserve">The logic compels the conclusion that it shouldn’t </w:t>
      </w:r>
      <w:r w:rsidR="00F9663F" w:rsidRPr="008B7C3B">
        <w:rPr>
          <w:rFonts w:ascii="Verdana" w:hAnsi="Verdana"/>
          <w:color w:val="000000" w:themeColor="text1"/>
          <w:sz w:val="18"/>
          <w:szCs w:val="18"/>
        </w:rPr>
        <w:t xml:space="preserve">really be hugely relevant to costs that an applicant does not achieve any declaratory </w:t>
      </w:r>
      <w:r w:rsidR="00294044" w:rsidRPr="008B7C3B">
        <w:rPr>
          <w:rFonts w:ascii="Verdana" w:hAnsi="Verdana"/>
          <w:color w:val="000000" w:themeColor="text1"/>
          <w:sz w:val="18"/>
          <w:szCs w:val="18"/>
        </w:rPr>
        <w:t>reliefs</w:t>
      </w:r>
      <w:r w:rsidR="00F9663F" w:rsidRPr="008B7C3B">
        <w:rPr>
          <w:rFonts w:ascii="Verdana" w:hAnsi="Verdana"/>
          <w:color w:val="000000" w:themeColor="text1"/>
          <w:sz w:val="18"/>
          <w:szCs w:val="18"/>
        </w:rPr>
        <w:t xml:space="preserve">. </w:t>
      </w:r>
      <w:r w:rsidR="00F42F5E" w:rsidRPr="008B7C3B">
        <w:rPr>
          <w:rFonts w:ascii="Verdana" w:hAnsi="Verdana"/>
          <w:color w:val="000000" w:themeColor="text1"/>
          <w:sz w:val="18"/>
          <w:szCs w:val="18"/>
        </w:rPr>
        <w:t xml:space="preserve"> </w:t>
      </w:r>
      <w:r w:rsidR="00F9663F" w:rsidRPr="008B7C3B">
        <w:rPr>
          <w:rFonts w:ascii="Verdana" w:hAnsi="Verdana"/>
          <w:color w:val="000000" w:themeColor="text1"/>
          <w:sz w:val="18"/>
          <w:szCs w:val="18"/>
        </w:rPr>
        <w:t xml:space="preserve">I see the reference to not getting declarations more as a passing comment by Allen J. rather than being anything on which the order </w:t>
      </w:r>
      <w:proofErr w:type="gramStart"/>
      <w:r w:rsidR="00F9663F" w:rsidRPr="008B7C3B">
        <w:rPr>
          <w:rFonts w:ascii="Verdana" w:hAnsi="Verdana"/>
          <w:color w:val="000000" w:themeColor="text1"/>
          <w:sz w:val="18"/>
          <w:szCs w:val="18"/>
        </w:rPr>
        <w:t>actually turns</w:t>
      </w:r>
      <w:proofErr w:type="gramEnd"/>
      <w:r w:rsidR="00DD729D" w:rsidRPr="008B7C3B">
        <w:rPr>
          <w:rFonts w:ascii="Verdana" w:hAnsi="Verdana"/>
          <w:color w:val="000000" w:themeColor="text1"/>
          <w:sz w:val="18"/>
          <w:szCs w:val="18"/>
        </w:rPr>
        <w:t>, although the point possibly feeds into the methodology argument.</w:t>
      </w:r>
    </w:p>
    <w:p w14:paraId="2CDBAD00" w14:textId="6C557E1E" w:rsidR="00804092" w:rsidRPr="005E6328" w:rsidRDefault="00804092" w:rsidP="005E6328">
      <w:pPr>
        <w:pStyle w:val="ListParagraph"/>
        <w:spacing w:line="360" w:lineRule="auto"/>
        <w:ind w:left="567" w:hanging="567"/>
        <w:contextualSpacing w:val="0"/>
        <w:jc w:val="both"/>
        <w:rPr>
          <w:rFonts w:ascii="Verdana" w:hAnsi="Verdana"/>
          <w:b/>
          <w:color w:val="000000" w:themeColor="text1"/>
          <w:sz w:val="18"/>
          <w:szCs w:val="18"/>
        </w:rPr>
      </w:pPr>
      <w:r w:rsidRPr="005E6328">
        <w:rPr>
          <w:rFonts w:ascii="Verdana" w:hAnsi="Verdana"/>
          <w:b/>
          <w:color w:val="000000" w:themeColor="text1"/>
          <w:sz w:val="18"/>
          <w:szCs w:val="18"/>
        </w:rPr>
        <w:t>Issue III – The Aarhus arguments that were not raised in Connelly</w:t>
      </w:r>
    </w:p>
    <w:p w14:paraId="237E7B86" w14:textId="4366648B" w:rsidR="00804092" w:rsidRPr="008B7C3B" w:rsidRDefault="00804092"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applicant then turns to arguments of breach of EU law and the Aarhus </w:t>
      </w:r>
      <w:r w:rsidR="005B1EE8" w:rsidRPr="008B7C3B">
        <w:rPr>
          <w:rFonts w:ascii="Verdana" w:hAnsi="Verdana"/>
          <w:color w:val="000000" w:themeColor="text1"/>
          <w:sz w:val="18"/>
          <w:szCs w:val="18"/>
        </w:rPr>
        <w:t>Convention</w:t>
      </w:r>
      <w:r w:rsidRPr="008B7C3B">
        <w:rPr>
          <w:rFonts w:ascii="Verdana" w:hAnsi="Verdana"/>
          <w:color w:val="000000" w:themeColor="text1"/>
          <w:sz w:val="18"/>
          <w:szCs w:val="18"/>
        </w:rPr>
        <w:t xml:space="preserve"> that were not raised in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w:t>
      </w:r>
      <w:r w:rsidR="005B1EE8" w:rsidRPr="008B7C3B">
        <w:rPr>
          <w:rFonts w:ascii="Verdana" w:hAnsi="Verdana"/>
          <w:color w:val="000000" w:themeColor="text1"/>
          <w:sz w:val="18"/>
          <w:szCs w:val="18"/>
        </w:rPr>
        <w:t>She now argues</w:t>
      </w:r>
      <w:r w:rsidRPr="008B7C3B">
        <w:rPr>
          <w:rFonts w:ascii="Verdana" w:hAnsi="Verdana"/>
          <w:color w:val="000000" w:themeColor="text1"/>
          <w:sz w:val="18"/>
          <w:szCs w:val="18"/>
        </w:rPr>
        <w:t xml:space="preserve"> that the discounting allowed by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would give rise to a breach of EU law.  </w:t>
      </w:r>
    </w:p>
    <w:p w14:paraId="6DCE4538" w14:textId="4C489784" w:rsidR="00F9663F" w:rsidRPr="005E6328" w:rsidRDefault="00F9663F" w:rsidP="005E6328">
      <w:pPr>
        <w:pStyle w:val="ListParagraph"/>
        <w:spacing w:line="360" w:lineRule="auto"/>
        <w:ind w:left="567" w:hanging="567"/>
        <w:contextualSpacing w:val="0"/>
        <w:jc w:val="both"/>
        <w:rPr>
          <w:rFonts w:ascii="Verdana" w:hAnsi="Verdana"/>
          <w:b/>
          <w:color w:val="000000" w:themeColor="text1"/>
          <w:sz w:val="18"/>
          <w:szCs w:val="18"/>
        </w:rPr>
      </w:pPr>
      <w:r w:rsidRPr="005E6328">
        <w:rPr>
          <w:rFonts w:ascii="Verdana" w:hAnsi="Verdana"/>
          <w:b/>
          <w:color w:val="000000" w:themeColor="text1"/>
          <w:sz w:val="18"/>
          <w:szCs w:val="18"/>
        </w:rPr>
        <w:t>Alleged conflict with EU law (question</w:t>
      </w:r>
      <w:r w:rsidR="00463BB7" w:rsidRPr="005E6328">
        <w:rPr>
          <w:rFonts w:ascii="Verdana" w:hAnsi="Verdana"/>
          <w:b/>
          <w:color w:val="000000" w:themeColor="text1"/>
          <w:sz w:val="18"/>
          <w:szCs w:val="18"/>
        </w:rPr>
        <w:t>s</w:t>
      </w:r>
      <w:r w:rsidRPr="005E6328">
        <w:rPr>
          <w:rFonts w:ascii="Verdana" w:hAnsi="Verdana"/>
          <w:b/>
          <w:color w:val="000000" w:themeColor="text1"/>
          <w:sz w:val="18"/>
          <w:szCs w:val="18"/>
        </w:rPr>
        <w:t xml:space="preserve"> 8</w:t>
      </w:r>
      <w:r w:rsidR="00463BB7" w:rsidRPr="005E6328">
        <w:rPr>
          <w:rFonts w:ascii="Verdana" w:hAnsi="Verdana"/>
          <w:b/>
          <w:color w:val="000000" w:themeColor="text1"/>
          <w:sz w:val="18"/>
          <w:szCs w:val="18"/>
        </w:rPr>
        <w:t xml:space="preserve"> and 10 to 12</w:t>
      </w:r>
      <w:r w:rsidRPr="005E6328">
        <w:rPr>
          <w:rFonts w:ascii="Verdana" w:hAnsi="Verdana"/>
          <w:b/>
          <w:color w:val="000000" w:themeColor="text1"/>
          <w:sz w:val="18"/>
          <w:szCs w:val="18"/>
        </w:rPr>
        <w:t>)</w:t>
      </w:r>
    </w:p>
    <w:p w14:paraId="00DBE7DB" w14:textId="73D3FD20" w:rsidR="00F42F5E" w:rsidRPr="008B7C3B" w:rsidRDefault="00F9663F"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8 provides as follows:</w:t>
      </w:r>
    </w:p>
    <w:p w14:paraId="26A2B787" w14:textId="373E2D28" w:rsidR="00B41FEA" w:rsidRPr="008B7C3B" w:rsidRDefault="00B41FEA"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“Is the object of the cost protection provisions of Article 11 of the EIA Directive (as transposed by s.50B of the Planning and Development Act, 2000, as amended) “</w:t>
      </w:r>
      <w:r w:rsidRPr="008B7C3B">
        <w:rPr>
          <w:rFonts w:ascii="Verdana" w:hAnsi="Verdana"/>
          <w:i/>
          <w:iCs/>
          <w:color w:val="000000" w:themeColor="text1"/>
          <w:sz w:val="18"/>
          <w:szCs w:val="18"/>
        </w:rPr>
        <w:t>to do justice to the parties by fashioning an order which will have the result that the successful applicant will be paid, and that the respondent will pay no more than, the costs properly and necessarily incurred by the applicant in achieving the result which he or she has achieved</w:t>
      </w:r>
      <w:r w:rsidRPr="008B7C3B">
        <w:rPr>
          <w:rFonts w:ascii="Verdana" w:hAnsi="Verdana"/>
          <w:color w:val="000000" w:themeColor="text1"/>
          <w:sz w:val="18"/>
          <w:szCs w:val="18"/>
        </w:rPr>
        <w:t>”, as determined by the Trial Judge at paragraph 70 of his judgement, or are Article 11 and s.50B to be interpreted to the fullest extent possible in such a way that persons should not be prevented from seeking, or pursuing a claim for, a review by the courts by reason of the financial burden that might arise as a result and if so has that been achieved in this case?”</w:t>
      </w:r>
    </w:p>
    <w:p w14:paraId="7A34FBF9" w14:textId="56FC89EF" w:rsidR="00F42F5E" w:rsidRPr="008B7C3B" w:rsidRDefault="00F9663F"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Question 10 provides as follows:</w:t>
      </w:r>
    </w:p>
    <w:p w14:paraId="3144822C" w14:textId="154E7930" w:rsidR="00B857E8" w:rsidRPr="008B7C3B" w:rsidRDefault="00B857E8"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judgment, by ordering payment by the losing party of 25% of (a part of) the legal fees payable by the applicant to her own advisers, has ensured a solicitor-client balance of more than €225,000 that is unrecoverable from the other side notwithstanding the applicant’s success and that will remain owing by the Applicant. Is this in breach of the not prohibitively expensive rule in terms of the financial burden on the Applicant and to </w:t>
      </w:r>
      <w:r w:rsidRPr="008B7C3B">
        <w:rPr>
          <w:rFonts w:ascii="Verdana" w:hAnsi="Verdana"/>
          <w:color w:val="000000" w:themeColor="text1"/>
          <w:sz w:val="18"/>
          <w:szCs w:val="18"/>
        </w:rPr>
        <w:lastRenderedPageBreak/>
        <w:t xml:space="preserve">what extent should a risk that the willingness of lawyers to act in such matters could be diminished as a result (as identified by Humphreys J. in </w:t>
      </w:r>
      <w:r w:rsidRPr="008B7C3B">
        <w:rPr>
          <w:rFonts w:ascii="Verdana" w:hAnsi="Verdana"/>
          <w:i/>
          <w:iCs/>
          <w:color w:val="000000" w:themeColor="text1"/>
          <w:sz w:val="18"/>
          <w:szCs w:val="18"/>
        </w:rPr>
        <w:t>Enniskerry Alliance</w:t>
      </w:r>
      <w:r w:rsidRPr="008B7C3B">
        <w:rPr>
          <w:rFonts w:ascii="Verdana" w:hAnsi="Verdana"/>
          <w:color w:val="000000" w:themeColor="text1"/>
          <w:sz w:val="18"/>
          <w:szCs w:val="18"/>
        </w:rPr>
        <w:t>) be factored into the consideration of not prohibitively expensive?”</w:t>
      </w:r>
    </w:p>
    <w:p w14:paraId="22FFF47D" w14:textId="7BA27C4D" w:rsidR="00F42F5E" w:rsidRPr="008B7C3B" w:rsidRDefault="00F9663F"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The applicant also proposes what I am calling questions 11 and 12</w:t>
      </w:r>
      <w:r w:rsidR="00F42F5E" w:rsidRPr="008B7C3B">
        <w:rPr>
          <w:rFonts w:ascii="Verdana" w:hAnsi="Verdana"/>
          <w:color w:val="000000" w:themeColor="text1"/>
          <w:sz w:val="18"/>
          <w:szCs w:val="18"/>
        </w:rPr>
        <w:t>,</w:t>
      </w:r>
      <w:r w:rsidRPr="008B7C3B">
        <w:rPr>
          <w:rFonts w:ascii="Verdana" w:hAnsi="Verdana"/>
          <w:color w:val="000000" w:themeColor="text1"/>
          <w:sz w:val="18"/>
          <w:szCs w:val="18"/>
        </w:rPr>
        <w:t xml:space="preserve"> which are as follows:</w:t>
      </w:r>
    </w:p>
    <w:p w14:paraId="0A4F6754" w14:textId="79B02E8D" w:rsidR="00A47CBC" w:rsidRPr="008B7C3B" w:rsidRDefault="00B857E8"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“Does the obligation in Case C-530/11 for the national court to make sure that the resulting financial risk for the claimant is included in the court’s assessment of whether or not the proceedings are prohibitively expensive, mean that the court must make sure that any obligation on the claimant to pay part of their own lawyer’s fees is not prohibitively expensive particularly in circumstances where the applicant has been successful in obtaining relief?”</w:t>
      </w:r>
    </w:p>
    <w:p w14:paraId="6F834B73" w14:textId="74003D23" w:rsidR="00A47CBC" w:rsidRPr="008B7C3B" w:rsidRDefault="00A47CBC" w:rsidP="005E6328">
      <w:pPr>
        <w:pStyle w:val="ListParagraph"/>
        <w:spacing w:after="240" w:line="360" w:lineRule="auto"/>
        <w:ind w:left="1134"/>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 an adversarial legal system where costs are inherently high and normally </w:t>
      </w:r>
      <w:proofErr w:type="gramStart"/>
      <w:r w:rsidRPr="008B7C3B">
        <w:rPr>
          <w:rFonts w:ascii="Verdana" w:hAnsi="Verdana"/>
          <w:color w:val="000000" w:themeColor="text1"/>
          <w:sz w:val="18"/>
          <w:szCs w:val="18"/>
        </w:rPr>
        <w:t>a costs</w:t>
      </w:r>
      <w:proofErr w:type="gramEnd"/>
      <w:r w:rsidRPr="008B7C3B">
        <w:rPr>
          <w:rFonts w:ascii="Verdana" w:hAnsi="Verdana"/>
          <w:color w:val="000000" w:themeColor="text1"/>
          <w:sz w:val="18"/>
          <w:szCs w:val="18"/>
        </w:rPr>
        <w:t xml:space="preserve"> follow the event rule applies, are the NPE requirements of EU law (and in particular Article 11 EIA) met if costs awarded to successful applicants are limited only to points that were ultimately successful?”</w:t>
      </w:r>
    </w:p>
    <w:p w14:paraId="17E96DE2" w14:textId="4A2BF6CC" w:rsidR="00463BB7" w:rsidRPr="008B7C3B" w:rsidRDefault="00463BB7"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The applicant submits that we need to turn to the Aarhus interpretative obligation which wasn’t argued in </w:t>
      </w:r>
      <w:r w:rsidRPr="008B7C3B">
        <w:rPr>
          <w:rFonts w:ascii="Verdana" w:hAnsi="Verdana"/>
          <w:i/>
          <w:sz w:val="18"/>
          <w:szCs w:val="18"/>
        </w:rPr>
        <w:t>Connelly</w:t>
      </w:r>
      <w:r w:rsidRPr="008B7C3B">
        <w:rPr>
          <w:rFonts w:ascii="Verdana" w:hAnsi="Verdana"/>
          <w:sz w:val="18"/>
          <w:szCs w:val="18"/>
        </w:rPr>
        <w:t xml:space="preserve">.  </w:t>
      </w:r>
      <w:proofErr w:type="gramStart"/>
      <w:r w:rsidRPr="008B7C3B">
        <w:rPr>
          <w:rFonts w:ascii="Verdana" w:hAnsi="Verdana"/>
          <w:sz w:val="18"/>
          <w:szCs w:val="18"/>
        </w:rPr>
        <w:t>Indeed</w:t>
      </w:r>
      <w:proofErr w:type="gramEnd"/>
      <w:r w:rsidRPr="008B7C3B">
        <w:rPr>
          <w:rFonts w:ascii="Verdana" w:hAnsi="Verdana"/>
          <w:sz w:val="18"/>
          <w:szCs w:val="18"/>
        </w:rPr>
        <w:t xml:space="preserve"> there is no reference in </w:t>
      </w:r>
      <w:r w:rsidRPr="008B7C3B">
        <w:rPr>
          <w:rFonts w:ascii="Verdana" w:hAnsi="Verdana"/>
          <w:i/>
          <w:sz w:val="18"/>
          <w:szCs w:val="18"/>
        </w:rPr>
        <w:t>Connelly</w:t>
      </w:r>
      <w:r w:rsidRPr="008B7C3B">
        <w:rPr>
          <w:rFonts w:ascii="Verdana" w:hAnsi="Verdana"/>
          <w:sz w:val="18"/>
          <w:szCs w:val="18"/>
        </w:rPr>
        <w:t xml:space="preserve"> to the Aarhus Convention at all.  So insofar as the applicant launches Aarhus arguments, notwithstanding a decision of the Supreme Court, those points attract the </w:t>
      </w:r>
      <w:proofErr w:type="gramStart"/>
      <w:r w:rsidRPr="008B7C3B">
        <w:rPr>
          <w:rFonts w:ascii="Verdana" w:hAnsi="Verdana"/>
          <w:sz w:val="18"/>
          <w:szCs w:val="18"/>
        </w:rPr>
        <w:t>doctrine  articulated</w:t>
      </w:r>
      <w:proofErr w:type="gramEnd"/>
      <w:r w:rsidRPr="008B7C3B">
        <w:rPr>
          <w:rFonts w:ascii="Verdana" w:hAnsi="Verdana"/>
          <w:sz w:val="18"/>
          <w:szCs w:val="18"/>
        </w:rPr>
        <w:t xml:space="preserve"> by that court in </w:t>
      </w:r>
      <w:r w:rsidRPr="008B7C3B">
        <w:rPr>
          <w:rFonts w:ascii="Verdana" w:hAnsi="Verdana"/>
          <w:i/>
          <w:sz w:val="18"/>
          <w:szCs w:val="18"/>
        </w:rPr>
        <w:t>The State (Quinn) v. Ryan</w:t>
      </w:r>
      <w:r w:rsidRPr="008B7C3B">
        <w:rPr>
          <w:rFonts w:ascii="Verdana" w:hAnsi="Verdana"/>
          <w:sz w:val="18"/>
          <w:szCs w:val="18"/>
        </w:rPr>
        <w:t xml:space="preserve"> [1965] I.R. 70, that “a point not argued is a point not decided” (</w:t>
      </w:r>
      <w:r w:rsidRPr="008B7C3B">
        <w:rPr>
          <w:rFonts w:ascii="Verdana" w:hAnsi="Verdana"/>
          <w:i/>
          <w:sz w:val="18"/>
          <w:szCs w:val="18"/>
        </w:rPr>
        <w:t>per</w:t>
      </w:r>
      <w:r w:rsidRPr="008B7C3B">
        <w:rPr>
          <w:rFonts w:ascii="Verdana" w:hAnsi="Verdana"/>
          <w:sz w:val="18"/>
          <w:szCs w:val="18"/>
        </w:rPr>
        <w:t xml:space="preserve">  Ó Dálaigh C.J. at p. 120).  </w:t>
      </w:r>
    </w:p>
    <w:p w14:paraId="71294327" w14:textId="77777777" w:rsidR="00463BB7" w:rsidRPr="008B7C3B" w:rsidRDefault="00463BB7"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Article 9(4) of the Aarhus convention provides that judicial-type review procedures “shall provide adequate and effective remedies, including injunctive relief as appropriate, and be fair, equitable, timely and not prohibitively expensive. Decisions under this article shall be given or recorded in writing. Decisions of courts, and whenever possible of other bodies, shall be publicly accessible.”</w:t>
      </w:r>
    </w:p>
    <w:p w14:paraId="57021704" w14:textId="44E9CB7D" w:rsidR="00463BB7" w:rsidRPr="008B7C3B" w:rsidRDefault="00463BB7"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The CJEU decided in </w:t>
      </w:r>
      <w:r w:rsidR="00A335CB" w:rsidRPr="008B7C3B">
        <w:rPr>
          <w:rFonts w:ascii="Verdana" w:hAnsi="Verdana"/>
          <w:color w:val="000000" w:themeColor="text1"/>
          <w:sz w:val="18"/>
          <w:szCs w:val="18"/>
        </w:rPr>
        <w:t xml:space="preserve">Case C-167/17 </w:t>
      </w:r>
      <w:r w:rsidR="00A335CB" w:rsidRPr="008B7C3B">
        <w:rPr>
          <w:rFonts w:ascii="Verdana" w:hAnsi="Verdana"/>
          <w:i/>
          <w:color w:val="000000" w:themeColor="text1"/>
          <w:sz w:val="18"/>
          <w:szCs w:val="18"/>
        </w:rPr>
        <w:t xml:space="preserve">Klohn v. An Bord Pleanála </w:t>
      </w:r>
      <w:r w:rsidR="00A335CB" w:rsidRPr="008B7C3B">
        <w:rPr>
          <w:rFonts w:ascii="Verdana" w:hAnsi="Verdana"/>
          <w:iCs/>
          <w:color w:val="000000" w:themeColor="text1"/>
          <w:sz w:val="18"/>
          <w:szCs w:val="18"/>
        </w:rPr>
        <w:t>(Court of Justice of the European Union, 17</w:t>
      </w:r>
      <w:r w:rsidR="00A335CB" w:rsidRPr="008B7C3B">
        <w:rPr>
          <w:rFonts w:ascii="Verdana" w:hAnsi="Verdana"/>
          <w:iCs/>
          <w:color w:val="000000" w:themeColor="text1"/>
          <w:sz w:val="18"/>
          <w:szCs w:val="18"/>
          <w:vertAlign w:val="superscript"/>
        </w:rPr>
        <w:t>th</w:t>
      </w:r>
      <w:r w:rsidR="00A335CB" w:rsidRPr="008B7C3B">
        <w:rPr>
          <w:rFonts w:ascii="Verdana" w:hAnsi="Verdana"/>
          <w:iCs/>
          <w:color w:val="000000" w:themeColor="text1"/>
          <w:sz w:val="18"/>
          <w:szCs w:val="18"/>
        </w:rPr>
        <w:t xml:space="preserve"> October, 2018, ECLI:EU:C:2018:833)</w:t>
      </w:r>
      <w:r w:rsidR="00973D42" w:rsidRPr="008B7C3B">
        <w:rPr>
          <w:rFonts w:ascii="Verdana" w:hAnsi="Verdana"/>
          <w:iCs/>
          <w:color w:val="000000" w:themeColor="text1"/>
          <w:sz w:val="18"/>
          <w:szCs w:val="18"/>
        </w:rPr>
        <w:t xml:space="preserve">, </w:t>
      </w:r>
      <w:r w:rsidRPr="008B7C3B">
        <w:rPr>
          <w:rFonts w:ascii="Verdana" w:hAnsi="Verdana"/>
          <w:sz w:val="18"/>
          <w:szCs w:val="18"/>
        </w:rPr>
        <w:t>that the requirement of the EIA directive (85/337/EEC as amended) implementing Aarhus to the effect that certain judicial proceedings in environmental matters must not be prohibitively expensive does not have direct effect, but where that article has not been transposed by a Member State, the national courts of that Member State are nonetheless required to interpret national law to the fullest extent possible, once the time limit for transposing that article has expired, in such a way that persons should not be prevented from seeking, or pursuing a claim for, a review by the courts, which falls within the scope of that article, by reason of the financial burden that might arise as a result.</w:t>
      </w:r>
    </w:p>
    <w:p w14:paraId="0639EB5E" w14:textId="258522EB" w:rsidR="00463BB7" w:rsidRPr="008B7C3B" w:rsidRDefault="00463BB7"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The applicant’s essential argument can be rephrased in the following way:</w:t>
      </w:r>
    </w:p>
    <w:p w14:paraId="770732BD" w14:textId="77777777"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lastRenderedPageBreak/>
        <w:t xml:space="preserve">the not-prohibitively-expensive rule applies not just to liability to the other side but also to one’s own side’s costs (Case C-260/11 </w:t>
      </w:r>
      <w:r w:rsidRPr="008B7C3B">
        <w:rPr>
          <w:rFonts w:ascii="Verdana" w:hAnsi="Verdana"/>
          <w:i/>
          <w:iCs/>
          <w:sz w:val="18"/>
          <w:szCs w:val="18"/>
        </w:rPr>
        <w:t>Edwards v. Environment Agency</w:t>
      </w:r>
      <w:r w:rsidRPr="008B7C3B">
        <w:rPr>
          <w:rFonts w:ascii="Verdana" w:hAnsi="Verdana"/>
          <w:sz w:val="18"/>
          <w:szCs w:val="18"/>
        </w:rPr>
        <w:t xml:space="preserve"> (Court of Justice of the European Union, 11</w:t>
      </w:r>
      <w:r w:rsidRPr="008B7C3B">
        <w:rPr>
          <w:rFonts w:ascii="Verdana" w:hAnsi="Verdana"/>
          <w:sz w:val="18"/>
          <w:szCs w:val="18"/>
          <w:vertAlign w:val="superscript"/>
        </w:rPr>
        <w:t>th</w:t>
      </w:r>
      <w:r w:rsidRPr="008B7C3B">
        <w:rPr>
          <w:rFonts w:ascii="Verdana" w:hAnsi="Verdana"/>
          <w:sz w:val="18"/>
          <w:szCs w:val="18"/>
        </w:rPr>
        <w:t xml:space="preserve"> </w:t>
      </w:r>
      <w:proofErr w:type="gramStart"/>
      <w:r w:rsidRPr="008B7C3B">
        <w:rPr>
          <w:rFonts w:ascii="Verdana" w:hAnsi="Verdana"/>
          <w:sz w:val="18"/>
          <w:szCs w:val="18"/>
        </w:rPr>
        <w:t>April,</w:t>
      </w:r>
      <w:proofErr w:type="gramEnd"/>
      <w:r w:rsidRPr="008B7C3B">
        <w:rPr>
          <w:rFonts w:ascii="Verdana" w:hAnsi="Verdana"/>
          <w:sz w:val="18"/>
          <w:szCs w:val="18"/>
        </w:rPr>
        <w:t xml:space="preserve"> 2013, ECLI:EU:C:2013:221) and Case C-530/11 </w:t>
      </w:r>
      <w:r w:rsidRPr="008B7C3B">
        <w:rPr>
          <w:rFonts w:ascii="Verdana" w:hAnsi="Verdana"/>
          <w:i/>
          <w:iCs/>
          <w:sz w:val="18"/>
          <w:szCs w:val="18"/>
        </w:rPr>
        <w:t>European Commission v. United Kingdom</w:t>
      </w:r>
      <w:r w:rsidRPr="008B7C3B">
        <w:rPr>
          <w:rFonts w:ascii="Verdana" w:hAnsi="Verdana"/>
          <w:sz w:val="18"/>
          <w:szCs w:val="18"/>
        </w:rPr>
        <w:t xml:space="preserve"> (Opinion of Advocate General Kokott, 12</w:t>
      </w:r>
      <w:r w:rsidRPr="008B7C3B">
        <w:rPr>
          <w:rFonts w:ascii="Verdana" w:hAnsi="Verdana"/>
          <w:sz w:val="18"/>
          <w:szCs w:val="18"/>
          <w:vertAlign w:val="superscript"/>
        </w:rPr>
        <w:t>th</w:t>
      </w:r>
      <w:r w:rsidRPr="008B7C3B">
        <w:rPr>
          <w:rFonts w:ascii="Verdana" w:hAnsi="Verdana"/>
          <w:sz w:val="18"/>
          <w:szCs w:val="18"/>
        </w:rPr>
        <w:t xml:space="preserve"> September, 2013, ECLI:EU:C:2013:554));</w:t>
      </w:r>
    </w:p>
    <w:p w14:paraId="6A326256" w14:textId="77777777"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a large solicitor-client liability such as would arise in respect of a partial costs order would be a breach of that rule and thus of the Aarhus </w:t>
      </w:r>
      <w:proofErr w:type="gramStart"/>
      <w:r w:rsidRPr="008B7C3B">
        <w:rPr>
          <w:rFonts w:ascii="Verdana" w:hAnsi="Verdana"/>
          <w:sz w:val="18"/>
          <w:szCs w:val="18"/>
        </w:rPr>
        <w:t>convention;</w:t>
      </w:r>
      <w:proofErr w:type="gramEnd"/>
    </w:p>
    <w:p w14:paraId="29F369D1" w14:textId="77777777"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lack of deterrence in practice doesn’t equate to the costs not being prohibitive for the purposes of EU law (Case C-530/11 </w:t>
      </w:r>
      <w:r w:rsidRPr="008B7C3B">
        <w:rPr>
          <w:rFonts w:ascii="Verdana" w:hAnsi="Verdana"/>
          <w:i/>
          <w:iCs/>
          <w:sz w:val="18"/>
          <w:szCs w:val="18"/>
        </w:rPr>
        <w:t>European Commission v. United Kingdom</w:t>
      </w:r>
      <w:r w:rsidRPr="008B7C3B">
        <w:rPr>
          <w:rFonts w:ascii="Verdana" w:hAnsi="Verdana"/>
          <w:sz w:val="18"/>
          <w:szCs w:val="18"/>
        </w:rPr>
        <w:t xml:space="preserve"> (Court of Justice of the European Union, 13</w:t>
      </w:r>
      <w:r w:rsidRPr="008B7C3B">
        <w:rPr>
          <w:rFonts w:ascii="Verdana" w:hAnsi="Verdana"/>
          <w:sz w:val="18"/>
          <w:szCs w:val="18"/>
          <w:vertAlign w:val="superscript"/>
        </w:rPr>
        <w:t>th</w:t>
      </w:r>
      <w:r w:rsidRPr="008B7C3B">
        <w:rPr>
          <w:rFonts w:ascii="Verdana" w:hAnsi="Verdana"/>
          <w:sz w:val="18"/>
          <w:szCs w:val="18"/>
        </w:rPr>
        <w:t xml:space="preserve"> </w:t>
      </w:r>
      <w:proofErr w:type="gramStart"/>
      <w:r w:rsidRPr="008B7C3B">
        <w:rPr>
          <w:rFonts w:ascii="Verdana" w:hAnsi="Verdana"/>
          <w:sz w:val="18"/>
          <w:szCs w:val="18"/>
        </w:rPr>
        <w:t>February,</w:t>
      </w:r>
      <w:proofErr w:type="gramEnd"/>
      <w:r w:rsidRPr="008B7C3B">
        <w:rPr>
          <w:rFonts w:ascii="Verdana" w:hAnsi="Verdana"/>
          <w:sz w:val="18"/>
          <w:szCs w:val="18"/>
        </w:rPr>
        <w:t xml:space="preserve"> 2014, ECLI:EU:C:2014:67), para. 50.  </w:t>
      </w:r>
    </w:p>
    <w:p w14:paraId="7A2F31F7" w14:textId="77777777"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there is no domestic legislation effectively preventing the imposition of prohibitively expensive solicitor-client liability on an environmental </w:t>
      </w:r>
      <w:proofErr w:type="gramStart"/>
      <w:r w:rsidRPr="008B7C3B">
        <w:rPr>
          <w:rFonts w:ascii="Verdana" w:hAnsi="Verdana"/>
          <w:sz w:val="18"/>
          <w:szCs w:val="18"/>
        </w:rPr>
        <w:t>applicant;</w:t>
      </w:r>
      <w:proofErr w:type="gramEnd"/>
    </w:p>
    <w:p w14:paraId="7F9CD606" w14:textId="530E368C"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in the absence of legislation there is a failure in transposition of Aarhus which has the effect that, notwithstanding that this aspect of Aarhus is not directly effective, the court must apply an interpretative obligation to implement Aarhus insofar as possible (</w:t>
      </w:r>
      <w:r w:rsidR="00A043B1" w:rsidRPr="008B7C3B">
        <w:rPr>
          <w:rFonts w:ascii="Verdana" w:hAnsi="Verdana"/>
          <w:color w:val="000000" w:themeColor="text1"/>
          <w:sz w:val="18"/>
          <w:szCs w:val="18"/>
        </w:rPr>
        <w:t xml:space="preserve">Case C-167/17 </w:t>
      </w:r>
      <w:r w:rsidR="00A043B1" w:rsidRPr="008B7C3B">
        <w:rPr>
          <w:rFonts w:ascii="Verdana" w:hAnsi="Verdana"/>
          <w:i/>
          <w:color w:val="000000" w:themeColor="text1"/>
          <w:sz w:val="18"/>
          <w:szCs w:val="18"/>
        </w:rPr>
        <w:t>Klohn v. An Bord Pleanála</w:t>
      </w:r>
      <w:proofErr w:type="gramStart"/>
      <w:r w:rsidR="00973D42" w:rsidRPr="008B7C3B">
        <w:rPr>
          <w:rFonts w:ascii="Verdana" w:hAnsi="Verdana"/>
          <w:iCs/>
          <w:color w:val="000000" w:themeColor="text1"/>
          <w:sz w:val="18"/>
          <w:szCs w:val="18"/>
        </w:rPr>
        <w:t>)</w:t>
      </w:r>
      <w:r w:rsidRPr="008B7C3B">
        <w:rPr>
          <w:rFonts w:ascii="Verdana" w:hAnsi="Verdana"/>
          <w:sz w:val="18"/>
          <w:szCs w:val="18"/>
        </w:rPr>
        <w:t>;</w:t>
      </w:r>
      <w:proofErr w:type="gramEnd"/>
    </w:p>
    <w:p w14:paraId="3ECBA9C7" w14:textId="5AD11DC0"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the net result of that obligation is that in the absence of such legislation, a respondent to an environmental judicial review that is an emanation of the State must be required to pay full costs notwithstanding the normal exercise of the costs discretion provided by domestic law and procedure, in order to avoid such solicitor-client liability </w:t>
      </w:r>
      <w:proofErr w:type="gramStart"/>
      <w:r w:rsidRPr="008B7C3B">
        <w:rPr>
          <w:rFonts w:ascii="Verdana" w:hAnsi="Verdana"/>
          <w:sz w:val="18"/>
          <w:szCs w:val="18"/>
        </w:rPr>
        <w:t>arising;</w:t>
      </w:r>
      <w:proofErr w:type="gramEnd"/>
      <w:r w:rsidRPr="008B7C3B">
        <w:rPr>
          <w:rFonts w:ascii="Verdana" w:hAnsi="Verdana"/>
          <w:sz w:val="18"/>
          <w:szCs w:val="18"/>
        </w:rPr>
        <w:t xml:space="preserve"> </w:t>
      </w:r>
    </w:p>
    <w:p w14:paraId="263D0C0A" w14:textId="2B531866" w:rsidR="00463BB7" w:rsidRPr="008B7C3B" w:rsidRDefault="00463BB7"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sz w:val="18"/>
          <w:szCs w:val="18"/>
        </w:rPr>
        <w:t xml:space="preserve">whether an applicant seeks declarations as to non-transposition or not is irrelevant as the interpretative obligation can be enforced against the board as an emanation of the </w:t>
      </w:r>
      <w:proofErr w:type="gramStart"/>
      <w:r w:rsidRPr="008B7C3B">
        <w:rPr>
          <w:rFonts w:ascii="Verdana" w:hAnsi="Verdana"/>
          <w:sz w:val="18"/>
          <w:szCs w:val="18"/>
        </w:rPr>
        <w:t>State</w:t>
      </w:r>
      <w:r w:rsidR="00FB1651" w:rsidRPr="008B7C3B">
        <w:rPr>
          <w:rFonts w:ascii="Verdana" w:hAnsi="Verdana"/>
          <w:sz w:val="18"/>
          <w:szCs w:val="18"/>
        </w:rPr>
        <w:t>;</w:t>
      </w:r>
      <w:proofErr w:type="gramEnd"/>
    </w:p>
    <w:p w14:paraId="580C061B" w14:textId="681A7A42" w:rsidR="00FB1651" w:rsidRPr="008B7C3B" w:rsidRDefault="00FB1651" w:rsidP="005E6328">
      <w:pPr>
        <w:pStyle w:val="ListParagraph"/>
        <w:numPr>
          <w:ilvl w:val="1"/>
          <w:numId w:val="8"/>
        </w:numPr>
        <w:spacing w:after="240" w:line="360" w:lineRule="auto"/>
        <w:ind w:left="1701" w:hanging="567"/>
        <w:contextualSpacing w:val="0"/>
        <w:jc w:val="both"/>
        <w:rPr>
          <w:rFonts w:ascii="Verdana" w:hAnsi="Verdana"/>
          <w:sz w:val="18"/>
          <w:szCs w:val="18"/>
        </w:rPr>
      </w:pPr>
      <w:r w:rsidRPr="008B7C3B">
        <w:rPr>
          <w:rFonts w:ascii="Verdana" w:hAnsi="Verdana"/>
          <w:color w:val="000000" w:themeColor="text1"/>
          <w:sz w:val="18"/>
          <w:szCs w:val="18"/>
        </w:rPr>
        <w:t xml:space="preserve">whether an applicant has challenged the whole or any part of the costs system or not is irrelevant because she is not looking for a declaration, but rather is looking for existing costs discretion to be construed in the most favourable sense. </w:t>
      </w:r>
    </w:p>
    <w:p w14:paraId="0F039FD2" w14:textId="57DF6257" w:rsidR="00463BB7" w:rsidRPr="008B7C3B" w:rsidRDefault="00463BB7" w:rsidP="005E6328">
      <w:pPr>
        <w:pStyle w:val="ListParagraph"/>
        <w:numPr>
          <w:ilvl w:val="0"/>
          <w:numId w:val="8"/>
        </w:numPr>
        <w:spacing w:after="240" w:line="360" w:lineRule="auto"/>
        <w:ind w:left="567" w:hanging="567"/>
        <w:contextualSpacing w:val="0"/>
        <w:jc w:val="both"/>
        <w:rPr>
          <w:rFonts w:ascii="Verdana" w:hAnsi="Verdana"/>
          <w:sz w:val="18"/>
          <w:szCs w:val="18"/>
        </w:rPr>
      </w:pPr>
      <w:r w:rsidRPr="008B7C3B">
        <w:rPr>
          <w:rFonts w:ascii="Verdana" w:hAnsi="Verdana"/>
          <w:sz w:val="18"/>
          <w:szCs w:val="18"/>
        </w:rPr>
        <w:t xml:space="preserve">On the one hand, applicants calling for restrictions on what applicants’ solicitors can charge by way of solicitor-client liability could be a case of being careful what you wish for.  But that said, it’s easier to bridle at the applicant’s punchline here than it is to say why exactly the reasoning is incorrect. </w:t>
      </w:r>
    </w:p>
    <w:p w14:paraId="1073BFEA" w14:textId="0026B8A6" w:rsidR="000C2F43" w:rsidRPr="008B7C3B" w:rsidRDefault="00463BB7"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If </w:t>
      </w:r>
      <w:r w:rsidR="00BF7731">
        <w:rPr>
          <w:rFonts w:ascii="Verdana" w:hAnsi="Verdana"/>
          <w:color w:val="000000" w:themeColor="text1"/>
          <w:sz w:val="18"/>
          <w:szCs w:val="18"/>
        </w:rPr>
        <w:t>the logic</w:t>
      </w:r>
      <w:r w:rsidRPr="008B7C3B">
        <w:rPr>
          <w:rFonts w:ascii="Verdana" w:hAnsi="Verdana"/>
          <w:color w:val="000000" w:themeColor="text1"/>
          <w:sz w:val="18"/>
          <w:szCs w:val="18"/>
        </w:rPr>
        <w:t xml:space="preserve"> has a </w:t>
      </w:r>
      <w:proofErr w:type="gramStart"/>
      <w:r w:rsidRPr="008B7C3B">
        <w:rPr>
          <w:rFonts w:ascii="Verdana" w:hAnsi="Verdana"/>
          <w:color w:val="000000" w:themeColor="text1"/>
          <w:sz w:val="18"/>
          <w:szCs w:val="18"/>
        </w:rPr>
        <w:t>weakness</w:t>
      </w:r>
      <w:proofErr w:type="gramEnd"/>
      <w:r w:rsidRPr="008B7C3B">
        <w:rPr>
          <w:rFonts w:ascii="Verdana" w:hAnsi="Verdana"/>
          <w:color w:val="000000" w:themeColor="text1"/>
          <w:sz w:val="18"/>
          <w:szCs w:val="18"/>
        </w:rPr>
        <w:t xml:space="preserve"> it may be in the area of what precise facts need to be </w:t>
      </w:r>
      <w:r w:rsidR="00FB1651" w:rsidRPr="008B7C3B">
        <w:rPr>
          <w:rFonts w:ascii="Verdana" w:hAnsi="Verdana"/>
          <w:color w:val="000000" w:themeColor="text1"/>
          <w:sz w:val="18"/>
          <w:szCs w:val="18"/>
        </w:rPr>
        <w:t>proved</w:t>
      </w:r>
      <w:r w:rsidRPr="008B7C3B">
        <w:rPr>
          <w:rFonts w:ascii="Verdana" w:hAnsi="Verdana"/>
          <w:color w:val="000000" w:themeColor="text1"/>
          <w:sz w:val="18"/>
          <w:szCs w:val="18"/>
        </w:rPr>
        <w:t xml:space="preserve"> before this argument can be made.  </w:t>
      </w:r>
      <w:r w:rsidR="00F9663F" w:rsidRPr="008B7C3B">
        <w:rPr>
          <w:rFonts w:ascii="Verdana" w:hAnsi="Verdana"/>
          <w:color w:val="000000" w:themeColor="text1"/>
          <w:sz w:val="18"/>
          <w:szCs w:val="18"/>
        </w:rPr>
        <w:t xml:space="preserve">The </w:t>
      </w:r>
      <w:r w:rsidR="00F42F5E" w:rsidRPr="008B7C3B">
        <w:rPr>
          <w:rFonts w:ascii="Verdana" w:hAnsi="Verdana"/>
          <w:color w:val="000000" w:themeColor="text1"/>
          <w:sz w:val="18"/>
          <w:szCs w:val="18"/>
        </w:rPr>
        <w:t>b</w:t>
      </w:r>
      <w:r w:rsidR="00F9663F" w:rsidRPr="008B7C3B">
        <w:rPr>
          <w:rFonts w:ascii="Verdana" w:hAnsi="Verdana"/>
          <w:color w:val="000000" w:themeColor="text1"/>
          <w:sz w:val="18"/>
          <w:szCs w:val="18"/>
        </w:rPr>
        <w:t xml:space="preserve">oard and the State complain that the precise extent </w:t>
      </w:r>
      <w:r w:rsidR="00F9663F" w:rsidRPr="008B7C3B">
        <w:rPr>
          <w:rFonts w:ascii="Verdana" w:hAnsi="Verdana"/>
          <w:color w:val="000000" w:themeColor="text1"/>
          <w:sz w:val="18"/>
          <w:szCs w:val="18"/>
        </w:rPr>
        <w:lastRenderedPageBreak/>
        <w:t>of the applicant’s liability has not been established</w:t>
      </w:r>
      <w:r w:rsidR="00F42F5E" w:rsidRPr="008B7C3B">
        <w:rPr>
          <w:rFonts w:ascii="Verdana" w:hAnsi="Verdana"/>
          <w:color w:val="000000" w:themeColor="text1"/>
          <w:sz w:val="18"/>
          <w:szCs w:val="18"/>
        </w:rPr>
        <w:t>,</w:t>
      </w:r>
      <w:r w:rsidR="00F9663F" w:rsidRPr="008B7C3B">
        <w:rPr>
          <w:rFonts w:ascii="Verdana" w:hAnsi="Verdana"/>
          <w:color w:val="000000" w:themeColor="text1"/>
          <w:sz w:val="18"/>
          <w:szCs w:val="18"/>
        </w:rPr>
        <w:t xml:space="preserve"> </w:t>
      </w:r>
      <w:r w:rsidRPr="008B7C3B">
        <w:rPr>
          <w:rFonts w:ascii="Verdana" w:hAnsi="Verdana"/>
          <w:color w:val="000000" w:themeColor="text1"/>
          <w:sz w:val="18"/>
          <w:szCs w:val="18"/>
        </w:rPr>
        <w:t>which may be a</w:t>
      </w:r>
      <w:r w:rsidR="005B1EE8" w:rsidRPr="008B7C3B">
        <w:rPr>
          <w:rFonts w:ascii="Verdana" w:hAnsi="Verdana"/>
          <w:color w:val="000000" w:themeColor="text1"/>
          <w:sz w:val="18"/>
          <w:szCs w:val="18"/>
        </w:rPr>
        <w:t xml:space="preserve">n arguable </w:t>
      </w:r>
      <w:r w:rsidRPr="008B7C3B">
        <w:rPr>
          <w:rFonts w:ascii="Verdana" w:hAnsi="Verdana"/>
          <w:color w:val="000000" w:themeColor="text1"/>
          <w:sz w:val="18"/>
          <w:szCs w:val="18"/>
        </w:rPr>
        <w:t>point although on any view</w:t>
      </w:r>
      <w:r w:rsidR="00F9663F" w:rsidRPr="008B7C3B">
        <w:rPr>
          <w:rFonts w:ascii="Verdana" w:hAnsi="Verdana"/>
          <w:color w:val="000000" w:themeColor="text1"/>
          <w:sz w:val="18"/>
          <w:szCs w:val="18"/>
        </w:rPr>
        <w:t xml:space="preserve"> we know that there is </w:t>
      </w:r>
      <w:r w:rsidR="000C2F43" w:rsidRPr="008B7C3B">
        <w:rPr>
          <w:rFonts w:ascii="Verdana" w:hAnsi="Verdana"/>
          <w:color w:val="000000" w:themeColor="text1"/>
          <w:sz w:val="18"/>
          <w:szCs w:val="18"/>
        </w:rPr>
        <w:t>an extremely high solicitor</w:t>
      </w:r>
      <w:r w:rsidR="00BF7731">
        <w:rPr>
          <w:rFonts w:ascii="Verdana" w:hAnsi="Verdana"/>
          <w:color w:val="000000" w:themeColor="text1"/>
          <w:sz w:val="18"/>
          <w:szCs w:val="18"/>
        </w:rPr>
        <w:t>-</w:t>
      </w:r>
      <w:r w:rsidR="000C2F43" w:rsidRPr="008B7C3B">
        <w:rPr>
          <w:rFonts w:ascii="Verdana" w:hAnsi="Verdana"/>
          <w:color w:val="000000" w:themeColor="text1"/>
          <w:sz w:val="18"/>
          <w:szCs w:val="18"/>
        </w:rPr>
        <w:t xml:space="preserve">client liability. </w:t>
      </w:r>
    </w:p>
    <w:p w14:paraId="1B531BD6" w14:textId="227FDE27" w:rsidR="00463BB7" w:rsidRPr="008B7C3B" w:rsidRDefault="000C2F43"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complaint is also made that the applicant is impugning a regime that she sought to invoke at the outset of the proceedings. </w:t>
      </w:r>
      <w:r w:rsidR="006454EE" w:rsidRPr="008B7C3B">
        <w:rPr>
          <w:rFonts w:ascii="Verdana" w:hAnsi="Verdana"/>
          <w:color w:val="000000" w:themeColor="text1"/>
          <w:sz w:val="18"/>
          <w:szCs w:val="18"/>
        </w:rPr>
        <w:t xml:space="preserve"> </w:t>
      </w:r>
      <w:r w:rsidRPr="008B7C3B">
        <w:rPr>
          <w:rFonts w:ascii="Verdana" w:hAnsi="Verdana"/>
          <w:color w:val="000000" w:themeColor="text1"/>
          <w:sz w:val="18"/>
          <w:szCs w:val="18"/>
        </w:rPr>
        <w:t xml:space="preserve">I do not see that as a fatal objection because the respondents did not rely on any express or implied assurance that the applicant was not going to challenge that regime. </w:t>
      </w:r>
      <w:r w:rsidR="006454EE" w:rsidRPr="008B7C3B">
        <w:rPr>
          <w:rFonts w:ascii="Verdana" w:hAnsi="Verdana"/>
          <w:color w:val="000000" w:themeColor="text1"/>
          <w:sz w:val="18"/>
          <w:szCs w:val="18"/>
        </w:rPr>
        <w:t xml:space="preserve"> </w:t>
      </w:r>
      <w:r w:rsidRPr="008B7C3B">
        <w:rPr>
          <w:rFonts w:ascii="Verdana" w:hAnsi="Verdana"/>
          <w:color w:val="000000" w:themeColor="text1"/>
          <w:sz w:val="18"/>
          <w:szCs w:val="18"/>
        </w:rPr>
        <w:t>They did not alter their position</w:t>
      </w:r>
      <w:r w:rsidR="00BF7731">
        <w:rPr>
          <w:rFonts w:ascii="Verdana" w:hAnsi="Verdana"/>
          <w:color w:val="000000" w:themeColor="text1"/>
          <w:sz w:val="18"/>
          <w:szCs w:val="18"/>
        </w:rPr>
        <w:t xml:space="preserve"> in reliance on an assurance that the regime was not going to be challenged</w:t>
      </w:r>
      <w:r w:rsidRPr="008B7C3B">
        <w:rPr>
          <w:rFonts w:ascii="Verdana" w:hAnsi="Verdana"/>
          <w:color w:val="000000" w:themeColor="text1"/>
          <w:sz w:val="18"/>
          <w:szCs w:val="18"/>
        </w:rPr>
        <w:t xml:space="preserve"> in some way that would make it unjust for the applicant to raise this point now. </w:t>
      </w:r>
      <w:r w:rsidR="006454EE" w:rsidRPr="008B7C3B">
        <w:rPr>
          <w:rFonts w:ascii="Verdana" w:hAnsi="Verdana"/>
          <w:color w:val="000000" w:themeColor="text1"/>
          <w:sz w:val="18"/>
          <w:szCs w:val="18"/>
        </w:rPr>
        <w:t xml:space="preserve"> </w:t>
      </w:r>
      <w:r w:rsidRPr="008B7C3B">
        <w:rPr>
          <w:rFonts w:ascii="Verdana" w:hAnsi="Verdana"/>
          <w:color w:val="000000" w:themeColor="text1"/>
          <w:sz w:val="18"/>
          <w:szCs w:val="18"/>
        </w:rPr>
        <w:t>More fundamentally though</w:t>
      </w:r>
      <w:r w:rsidR="006454EE" w:rsidRPr="008B7C3B">
        <w:rPr>
          <w:rFonts w:ascii="Verdana" w:hAnsi="Verdana"/>
          <w:color w:val="000000" w:themeColor="text1"/>
          <w:sz w:val="18"/>
          <w:szCs w:val="18"/>
        </w:rPr>
        <w:t>,</w:t>
      </w:r>
      <w:r w:rsidRPr="008B7C3B">
        <w:rPr>
          <w:rFonts w:ascii="Verdana" w:hAnsi="Verdana"/>
          <w:color w:val="000000" w:themeColor="text1"/>
          <w:sz w:val="18"/>
          <w:szCs w:val="18"/>
        </w:rPr>
        <w:t xml:space="preserve"> the applicant is not in fact challenging the regime as a primary </w:t>
      </w:r>
      <w:proofErr w:type="gramStart"/>
      <w:r w:rsidRPr="008B7C3B">
        <w:rPr>
          <w:rFonts w:ascii="Verdana" w:hAnsi="Verdana"/>
          <w:color w:val="000000" w:themeColor="text1"/>
          <w:sz w:val="18"/>
          <w:szCs w:val="18"/>
        </w:rPr>
        <w:t>submission</w:t>
      </w:r>
      <w:r w:rsidR="006454EE" w:rsidRPr="008B7C3B">
        <w:rPr>
          <w:rFonts w:ascii="Verdana" w:hAnsi="Verdana"/>
          <w:color w:val="000000" w:themeColor="text1"/>
          <w:sz w:val="18"/>
          <w:szCs w:val="18"/>
        </w:rPr>
        <w:t>,</w:t>
      </w:r>
      <w:r w:rsidRPr="008B7C3B">
        <w:rPr>
          <w:rFonts w:ascii="Verdana" w:hAnsi="Verdana"/>
          <w:color w:val="000000" w:themeColor="text1"/>
          <w:sz w:val="18"/>
          <w:szCs w:val="18"/>
        </w:rPr>
        <w:t xml:space="preserve"> but</w:t>
      </w:r>
      <w:proofErr w:type="gramEnd"/>
      <w:r w:rsidRPr="008B7C3B">
        <w:rPr>
          <w:rFonts w:ascii="Verdana" w:hAnsi="Verdana"/>
          <w:color w:val="000000" w:themeColor="text1"/>
          <w:sz w:val="18"/>
          <w:szCs w:val="18"/>
        </w:rPr>
        <w:t xml:space="preserve"> is rather arguing how the cost</w:t>
      </w:r>
      <w:r w:rsidR="00BF7731">
        <w:rPr>
          <w:rFonts w:ascii="Verdana" w:hAnsi="Verdana"/>
          <w:color w:val="000000" w:themeColor="text1"/>
          <w:sz w:val="18"/>
          <w:szCs w:val="18"/>
        </w:rPr>
        <w:t>s</w:t>
      </w:r>
      <w:r w:rsidRPr="008B7C3B">
        <w:rPr>
          <w:rFonts w:ascii="Verdana" w:hAnsi="Verdana"/>
          <w:color w:val="000000" w:themeColor="text1"/>
          <w:sz w:val="18"/>
          <w:szCs w:val="18"/>
        </w:rPr>
        <w:t xml:space="preserve"> discretion should be exercised. </w:t>
      </w:r>
    </w:p>
    <w:p w14:paraId="7BF31D8B" w14:textId="77777777" w:rsidR="006454EE" w:rsidRPr="008B7C3B" w:rsidRDefault="000C2F43"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question then is as to what is the legal consequence of any argument that the Aarhus Convention is thereby being infringed. </w:t>
      </w:r>
      <w:r w:rsidR="006454EE" w:rsidRPr="008B7C3B">
        <w:rPr>
          <w:rFonts w:ascii="Verdana" w:hAnsi="Verdana"/>
          <w:color w:val="000000" w:themeColor="text1"/>
          <w:sz w:val="18"/>
          <w:szCs w:val="18"/>
        </w:rPr>
        <w:t xml:space="preserve"> </w:t>
      </w:r>
      <w:r w:rsidRPr="008B7C3B">
        <w:rPr>
          <w:rFonts w:ascii="Verdana" w:hAnsi="Verdana"/>
          <w:color w:val="000000" w:themeColor="text1"/>
          <w:sz w:val="18"/>
          <w:szCs w:val="18"/>
        </w:rPr>
        <w:t>There seem to be only three types of consequence</w:t>
      </w:r>
      <w:r w:rsidR="006454EE" w:rsidRPr="008B7C3B">
        <w:rPr>
          <w:rFonts w:ascii="Verdana" w:hAnsi="Verdana"/>
          <w:color w:val="000000" w:themeColor="text1"/>
          <w:sz w:val="18"/>
          <w:szCs w:val="18"/>
        </w:rPr>
        <w:t>:</w:t>
      </w:r>
    </w:p>
    <w:p w14:paraId="4B0739C3" w14:textId="77777777" w:rsidR="006454EE" w:rsidRPr="008B7C3B" w:rsidRDefault="000C2F43"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to enforce the Aarhus rules as directly </w:t>
      </w:r>
      <w:proofErr w:type="gramStart"/>
      <w:r w:rsidRPr="008B7C3B">
        <w:rPr>
          <w:rFonts w:ascii="Verdana" w:hAnsi="Verdana"/>
          <w:color w:val="000000" w:themeColor="text1"/>
          <w:sz w:val="18"/>
          <w:szCs w:val="18"/>
        </w:rPr>
        <w:t>effective</w:t>
      </w:r>
      <w:r w:rsidR="006454EE" w:rsidRPr="008B7C3B">
        <w:rPr>
          <w:rFonts w:ascii="Verdana" w:hAnsi="Verdana"/>
          <w:color w:val="000000" w:themeColor="text1"/>
          <w:sz w:val="18"/>
          <w:szCs w:val="18"/>
        </w:rPr>
        <w:t>;</w:t>
      </w:r>
      <w:proofErr w:type="gramEnd"/>
    </w:p>
    <w:p w14:paraId="0516AFC2" w14:textId="249FF608" w:rsidR="00FB1651" w:rsidRPr="008B7C3B" w:rsidRDefault="00FB1651"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to declare that there has been non-transposition; or</w:t>
      </w:r>
    </w:p>
    <w:p w14:paraId="0408AF46" w14:textId="6F4D7434" w:rsidR="006454EE" w:rsidRPr="008B7C3B" w:rsidRDefault="000C2F43"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to construe national law in such a way as to ensure Aarhus compliance insofar as possible</w:t>
      </w:r>
      <w:r w:rsidR="00FB1651" w:rsidRPr="008B7C3B">
        <w:rPr>
          <w:rFonts w:ascii="Verdana" w:hAnsi="Verdana"/>
          <w:color w:val="000000" w:themeColor="text1"/>
          <w:sz w:val="18"/>
          <w:szCs w:val="18"/>
        </w:rPr>
        <w:t>.</w:t>
      </w:r>
    </w:p>
    <w:p w14:paraId="69B0245D" w14:textId="5F4B102E" w:rsidR="006454EE" w:rsidRPr="008B7C3B" w:rsidRDefault="000C2F43"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Under the first heading</w:t>
      </w:r>
      <w:r w:rsidR="006454EE" w:rsidRPr="008B7C3B">
        <w:rPr>
          <w:rFonts w:ascii="Verdana" w:hAnsi="Verdana"/>
          <w:color w:val="000000" w:themeColor="text1"/>
          <w:sz w:val="18"/>
          <w:szCs w:val="18"/>
        </w:rPr>
        <w:t>,</w:t>
      </w:r>
      <w:r w:rsidRPr="008B7C3B">
        <w:rPr>
          <w:rFonts w:ascii="Verdana" w:hAnsi="Verdana"/>
          <w:color w:val="000000" w:themeColor="text1"/>
          <w:sz w:val="18"/>
          <w:szCs w:val="18"/>
        </w:rPr>
        <w:t xml:space="preserve"> the Aarhus obligations are not sufficiently clear, precise and unconditional as to give rise to direct effect</w:t>
      </w:r>
      <w:r w:rsidR="006454EE" w:rsidRPr="008B7C3B">
        <w:rPr>
          <w:rFonts w:ascii="Verdana" w:hAnsi="Verdana"/>
          <w:color w:val="000000" w:themeColor="text1"/>
          <w:sz w:val="18"/>
          <w:szCs w:val="18"/>
        </w:rPr>
        <w:t>: s</w:t>
      </w:r>
      <w:r w:rsidRPr="008B7C3B">
        <w:rPr>
          <w:rFonts w:ascii="Verdana" w:hAnsi="Verdana"/>
          <w:color w:val="000000" w:themeColor="text1"/>
          <w:sz w:val="18"/>
          <w:szCs w:val="18"/>
        </w:rPr>
        <w:t xml:space="preserve">ee Case C-543/14 </w:t>
      </w:r>
      <w:r w:rsidR="00B20A77" w:rsidRPr="008B7C3B">
        <w:rPr>
          <w:rFonts w:ascii="Verdana" w:hAnsi="Verdana"/>
          <w:i/>
          <w:color w:val="000000" w:themeColor="text1"/>
          <w:sz w:val="18"/>
          <w:szCs w:val="18"/>
        </w:rPr>
        <w:t>Ordre des barreaux francophones et germanophone v. Conseil des ministers</w:t>
      </w:r>
      <w:r w:rsidR="00B20A77" w:rsidRPr="008B7C3B">
        <w:rPr>
          <w:rFonts w:ascii="Verdana" w:hAnsi="Verdana"/>
          <w:iCs/>
          <w:color w:val="000000" w:themeColor="text1"/>
          <w:sz w:val="18"/>
          <w:szCs w:val="18"/>
        </w:rPr>
        <w:t xml:space="preserve"> (Court of Justice of the European Union, 28</w:t>
      </w:r>
      <w:r w:rsidR="00B20A77" w:rsidRPr="008B7C3B">
        <w:rPr>
          <w:rFonts w:ascii="Verdana" w:hAnsi="Verdana"/>
          <w:iCs/>
          <w:color w:val="000000" w:themeColor="text1"/>
          <w:sz w:val="18"/>
          <w:szCs w:val="18"/>
          <w:vertAlign w:val="superscript"/>
        </w:rPr>
        <w:t>th</w:t>
      </w:r>
      <w:r w:rsidR="00B20A77" w:rsidRPr="008B7C3B">
        <w:rPr>
          <w:rFonts w:ascii="Verdana" w:hAnsi="Verdana"/>
          <w:iCs/>
          <w:color w:val="000000" w:themeColor="text1"/>
          <w:sz w:val="18"/>
          <w:szCs w:val="18"/>
        </w:rPr>
        <w:t xml:space="preserve"> </w:t>
      </w:r>
      <w:proofErr w:type="gramStart"/>
      <w:r w:rsidR="00B20A77" w:rsidRPr="008B7C3B">
        <w:rPr>
          <w:rFonts w:ascii="Verdana" w:hAnsi="Verdana"/>
          <w:iCs/>
          <w:color w:val="000000" w:themeColor="text1"/>
          <w:sz w:val="18"/>
          <w:szCs w:val="18"/>
        </w:rPr>
        <w:t>July,</w:t>
      </w:r>
      <w:proofErr w:type="gramEnd"/>
      <w:r w:rsidR="00B20A77" w:rsidRPr="008B7C3B">
        <w:rPr>
          <w:rFonts w:ascii="Verdana" w:hAnsi="Verdana"/>
          <w:iCs/>
          <w:color w:val="000000" w:themeColor="text1"/>
          <w:sz w:val="18"/>
          <w:szCs w:val="18"/>
        </w:rPr>
        <w:t xml:space="preserve"> 2016, ECLI:EU:C:2016:605) </w:t>
      </w:r>
      <w:r w:rsidRPr="008B7C3B">
        <w:rPr>
          <w:rFonts w:ascii="Verdana" w:hAnsi="Verdana"/>
          <w:iCs/>
          <w:color w:val="000000" w:themeColor="text1"/>
          <w:sz w:val="18"/>
          <w:szCs w:val="18"/>
        </w:rPr>
        <w:t>and</w:t>
      </w:r>
      <w:r w:rsidRPr="008B7C3B">
        <w:rPr>
          <w:rFonts w:ascii="Verdana" w:hAnsi="Verdana"/>
          <w:color w:val="000000" w:themeColor="text1"/>
          <w:sz w:val="18"/>
          <w:szCs w:val="18"/>
        </w:rPr>
        <w:t xml:space="preserve"> Case C-167/17 </w:t>
      </w:r>
      <w:r w:rsidRPr="008B7C3B">
        <w:rPr>
          <w:rFonts w:ascii="Verdana" w:hAnsi="Verdana"/>
          <w:i/>
          <w:color w:val="000000" w:themeColor="text1"/>
          <w:sz w:val="18"/>
          <w:szCs w:val="18"/>
        </w:rPr>
        <w:t>Klohn v. An Bord Pleanála</w:t>
      </w:r>
      <w:r w:rsidR="00F02BFE" w:rsidRPr="008B7C3B">
        <w:rPr>
          <w:rFonts w:ascii="Verdana" w:hAnsi="Verdana"/>
          <w:iCs/>
          <w:color w:val="000000" w:themeColor="text1"/>
          <w:sz w:val="18"/>
          <w:szCs w:val="18"/>
        </w:rPr>
        <w:t>.</w:t>
      </w:r>
    </w:p>
    <w:p w14:paraId="754FB0DE" w14:textId="502249EC" w:rsidR="00810CC6" w:rsidRPr="008B7C3B" w:rsidRDefault="000C2F43"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Under the </w:t>
      </w:r>
      <w:r w:rsidR="00FB1651" w:rsidRPr="008B7C3B">
        <w:rPr>
          <w:rFonts w:ascii="Verdana" w:hAnsi="Verdana"/>
          <w:color w:val="000000" w:themeColor="text1"/>
          <w:sz w:val="18"/>
          <w:szCs w:val="18"/>
        </w:rPr>
        <w:t>second</w:t>
      </w:r>
      <w:r w:rsidRPr="008B7C3B">
        <w:rPr>
          <w:rFonts w:ascii="Verdana" w:hAnsi="Verdana"/>
          <w:color w:val="000000" w:themeColor="text1"/>
          <w:sz w:val="18"/>
          <w:szCs w:val="18"/>
        </w:rPr>
        <w:t xml:space="preserve"> heading regarding non-transposition</w:t>
      </w:r>
      <w:r w:rsidR="006454EE" w:rsidRPr="008B7C3B">
        <w:rPr>
          <w:rFonts w:ascii="Verdana" w:hAnsi="Verdana"/>
          <w:color w:val="000000" w:themeColor="text1"/>
          <w:sz w:val="18"/>
          <w:szCs w:val="18"/>
        </w:rPr>
        <w:t>,</w:t>
      </w:r>
      <w:r w:rsidRPr="008B7C3B">
        <w:rPr>
          <w:rFonts w:ascii="Verdana" w:hAnsi="Verdana"/>
          <w:color w:val="000000" w:themeColor="text1"/>
          <w:sz w:val="18"/>
          <w:szCs w:val="18"/>
        </w:rPr>
        <w:t xml:space="preserve"> the applicant has not made any such claim in the statement of grounds or sought a declaration to that effect. </w:t>
      </w:r>
      <w:r w:rsidR="006454EE" w:rsidRPr="008B7C3B">
        <w:rPr>
          <w:rFonts w:ascii="Verdana" w:hAnsi="Verdana"/>
          <w:color w:val="000000" w:themeColor="text1"/>
          <w:sz w:val="18"/>
          <w:szCs w:val="18"/>
        </w:rPr>
        <w:t xml:space="preserve"> </w:t>
      </w:r>
      <w:r w:rsidRPr="008B7C3B">
        <w:rPr>
          <w:rFonts w:ascii="Verdana" w:hAnsi="Verdana"/>
          <w:color w:val="000000" w:themeColor="text1"/>
          <w:sz w:val="18"/>
          <w:szCs w:val="18"/>
        </w:rPr>
        <w:t>Thus</w:t>
      </w:r>
      <w:r w:rsidR="006454EE" w:rsidRPr="008B7C3B">
        <w:rPr>
          <w:rFonts w:ascii="Verdana" w:hAnsi="Verdana"/>
          <w:color w:val="000000" w:themeColor="text1"/>
          <w:sz w:val="18"/>
          <w:szCs w:val="18"/>
        </w:rPr>
        <w:t>,</w:t>
      </w:r>
      <w:r w:rsidRPr="008B7C3B">
        <w:rPr>
          <w:rFonts w:ascii="Verdana" w:hAnsi="Verdana"/>
          <w:color w:val="000000" w:themeColor="text1"/>
          <w:sz w:val="18"/>
          <w:szCs w:val="18"/>
        </w:rPr>
        <w:t xml:space="preserve"> </w:t>
      </w:r>
      <w:r w:rsidR="00810CC6" w:rsidRPr="008B7C3B">
        <w:rPr>
          <w:rFonts w:ascii="Verdana" w:hAnsi="Verdana"/>
          <w:color w:val="000000" w:themeColor="text1"/>
          <w:sz w:val="18"/>
          <w:szCs w:val="18"/>
        </w:rPr>
        <w:t xml:space="preserve">there isn’t any basis for prosecuting that point in these proceedings either in this court or an appeal. </w:t>
      </w:r>
      <w:r w:rsidR="006454EE" w:rsidRPr="008B7C3B">
        <w:rPr>
          <w:rFonts w:ascii="Verdana" w:hAnsi="Verdana"/>
          <w:color w:val="000000" w:themeColor="text1"/>
          <w:sz w:val="18"/>
          <w:szCs w:val="18"/>
        </w:rPr>
        <w:t xml:space="preserve"> </w:t>
      </w:r>
      <w:r w:rsidR="00810CC6" w:rsidRPr="008B7C3B">
        <w:rPr>
          <w:rFonts w:ascii="Verdana" w:hAnsi="Verdana"/>
          <w:color w:val="000000" w:themeColor="text1"/>
          <w:sz w:val="18"/>
          <w:szCs w:val="18"/>
        </w:rPr>
        <w:t>The court simply isn’t seized of the issue</w:t>
      </w:r>
      <w:r w:rsidR="005B1EE8" w:rsidRPr="008B7C3B">
        <w:rPr>
          <w:rFonts w:ascii="Verdana" w:hAnsi="Verdana"/>
          <w:color w:val="000000" w:themeColor="text1"/>
          <w:sz w:val="18"/>
          <w:szCs w:val="18"/>
        </w:rPr>
        <w:t>,</w:t>
      </w:r>
      <w:r w:rsidR="00810CC6" w:rsidRPr="008B7C3B">
        <w:rPr>
          <w:rFonts w:ascii="Verdana" w:hAnsi="Verdana"/>
          <w:color w:val="000000" w:themeColor="text1"/>
          <w:sz w:val="18"/>
          <w:szCs w:val="18"/>
        </w:rPr>
        <w:t xml:space="preserve"> much like the Supreme </w:t>
      </w:r>
      <w:r w:rsidR="00294044" w:rsidRPr="008B7C3B">
        <w:rPr>
          <w:rFonts w:ascii="Verdana" w:hAnsi="Verdana"/>
          <w:color w:val="000000" w:themeColor="text1"/>
          <w:sz w:val="18"/>
          <w:szCs w:val="18"/>
        </w:rPr>
        <w:t>Court in</w:t>
      </w:r>
      <w:r w:rsidR="00810CC6" w:rsidRPr="008B7C3B">
        <w:rPr>
          <w:rFonts w:ascii="Verdana" w:hAnsi="Verdana"/>
          <w:color w:val="000000" w:themeColor="text1"/>
          <w:sz w:val="18"/>
          <w:szCs w:val="18"/>
        </w:rPr>
        <w:t xml:space="preserve"> </w:t>
      </w:r>
      <w:r w:rsidR="00810CC6" w:rsidRPr="008B7C3B">
        <w:rPr>
          <w:rFonts w:ascii="Verdana" w:hAnsi="Verdana"/>
          <w:i/>
          <w:color w:val="000000" w:themeColor="text1"/>
          <w:sz w:val="18"/>
          <w:szCs w:val="18"/>
        </w:rPr>
        <w:t xml:space="preserve">Klohn v. An Bord Pleanála </w:t>
      </w:r>
      <w:r w:rsidR="00810CC6" w:rsidRPr="008B7C3B">
        <w:rPr>
          <w:rFonts w:ascii="Verdana" w:hAnsi="Verdana"/>
          <w:color w:val="000000" w:themeColor="text1"/>
          <w:sz w:val="18"/>
          <w:szCs w:val="18"/>
        </w:rPr>
        <w:t>[2021] IESC 51</w:t>
      </w:r>
      <w:r w:rsidR="003C709B" w:rsidRPr="008B7C3B">
        <w:rPr>
          <w:rFonts w:ascii="Verdana" w:hAnsi="Verdana"/>
          <w:color w:val="000000" w:themeColor="text1"/>
          <w:sz w:val="18"/>
          <w:szCs w:val="18"/>
        </w:rPr>
        <w:t>, [2021] 8 JIC 0302 (Unreported, Supreme Court, Clarke C.J. (O’Donnell and Dunne JJ. concurring), 3</w:t>
      </w:r>
      <w:r w:rsidR="003C709B" w:rsidRPr="008B7C3B">
        <w:rPr>
          <w:rFonts w:ascii="Verdana" w:hAnsi="Verdana"/>
          <w:color w:val="000000" w:themeColor="text1"/>
          <w:sz w:val="18"/>
          <w:szCs w:val="18"/>
          <w:vertAlign w:val="superscript"/>
        </w:rPr>
        <w:t>rd</w:t>
      </w:r>
      <w:r w:rsidR="003C709B" w:rsidRPr="008B7C3B">
        <w:rPr>
          <w:rFonts w:ascii="Verdana" w:hAnsi="Verdana"/>
          <w:color w:val="000000" w:themeColor="text1"/>
          <w:sz w:val="18"/>
          <w:szCs w:val="18"/>
        </w:rPr>
        <w:t xml:space="preserve"> </w:t>
      </w:r>
      <w:proofErr w:type="gramStart"/>
      <w:r w:rsidR="003C709B" w:rsidRPr="008B7C3B">
        <w:rPr>
          <w:rFonts w:ascii="Verdana" w:hAnsi="Verdana"/>
          <w:color w:val="000000" w:themeColor="text1"/>
          <w:sz w:val="18"/>
          <w:szCs w:val="18"/>
        </w:rPr>
        <w:t>August,</w:t>
      </w:r>
      <w:proofErr w:type="gramEnd"/>
      <w:r w:rsidR="003C709B" w:rsidRPr="008B7C3B">
        <w:rPr>
          <w:rFonts w:ascii="Verdana" w:hAnsi="Verdana"/>
          <w:color w:val="000000" w:themeColor="text1"/>
          <w:sz w:val="18"/>
          <w:szCs w:val="18"/>
        </w:rPr>
        <w:t xml:space="preserve"> 2021),</w:t>
      </w:r>
      <w:r w:rsidR="00810CC6" w:rsidRPr="008B7C3B">
        <w:rPr>
          <w:rFonts w:ascii="Verdana" w:hAnsi="Verdana"/>
          <w:color w:val="000000" w:themeColor="text1"/>
          <w:sz w:val="18"/>
          <w:szCs w:val="18"/>
        </w:rPr>
        <w:t xml:space="preserve"> at para. 4.6. </w:t>
      </w:r>
    </w:p>
    <w:p w14:paraId="559F186A" w14:textId="288FB1B2" w:rsidR="00810CC6" w:rsidRPr="008B7C3B" w:rsidRDefault="00810CC6"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Returning then to the question of an interpretative obligation the applicant’s argument </w:t>
      </w:r>
      <w:r w:rsidR="0011300E" w:rsidRPr="008B7C3B">
        <w:rPr>
          <w:rFonts w:ascii="Verdana" w:hAnsi="Verdana"/>
          <w:color w:val="000000" w:themeColor="text1"/>
          <w:sz w:val="18"/>
          <w:szCs w:val="18"/>
        </w:rPr>
        <w:t xml:space="preserve">does seem arguable and is certainly important, although </w:t>
      </w:r>
      <w:r w:rsidRPr="008B7C3B">
        <w:rPr>
          <w:rFonts w:ascii="Verdana" w:hAnsi="Verdana"/>
          <w:color w:val="000000" w:themeColor="text1"/>
          <w:sz w:val="18"/>
          <w:szCs w:val="18"/>
        </w:rPr>
        <w:t xml:space="preserve">on one view </w:t>
      </w:r>
      <w:r w:rsidR="0011300E" w:rsidRPr="008B7C3B">
        <w:rPr>
          <w:rFonts w:ascii="Verdana" w:hAnsi="Verdana"/>
          <w:color w:val="000000" w:themeColor="text1"/>
          <w:sz w:val="18"/>
          <w:szCs w:val="18"/>
        </w:rPr>
        <w:t xml:space="preserve">it </w:t>
      </w:r>
      <w:r w:rsidRPr="008B7C3B">
        <w:rPr>
          <w:rFonts w:ascii="Verdana" w:hAnsi="Verdana"/>
          <w:color w:val="000000" w:themeColor="text1"/>
          <w:sz w:val="18"/>
          <w:szCs w:val="18"/>
        </w:rPr>
        <w:t>applies equally if an applicant loses hands down because she can still claim that being left with a solicitor</w:t>
      </w:r>
      <w:r w:rsidR="00744BB1" w:rsidRPr="008B7C3B">
        <w:rPr>
          <w:rFonts w:ascii="Verdana" w:hAnsi="Verdana"/>
          <w:color w:val="000000" w:themeColor="text1"/>
          <w:sz w:val="18"/>
          <w:szCs w:val="18"/>
        </w:rPr>
        <w:t>-</w:t>
      </w:r>
      <w:r w:rsidRPr="008B7C3B">
        <w:rPr>
          <w:rFonts w:ascii="Verdana" w:hAnsi="Verdana"/>
          <w:color w:val="000000" w:themeColor="text1"/>
          <w:sz w:val="18"/>
          <w:szCs w:val="18"/>
        </w:rPr>
        <w:t>client balance is a breach of Aarhus such that a respondent must pay the costs.</w:t>
      </w:r>
      <w:r w:rsidR="00FB1651" w:rsidRPr="008B7C3B">
        <w:rPr>
          <w:rFonts w:ascii="Verdana" w:hAnsi="Verdana"/>
          <w:color w:val="000000" w:themeColor="text1"/>
          <w:sz w:val="18"/>
          <w:szCs w:val="18"/>
        </w:rPr>
        <w:t xml:space="preserve">  It’s easier to complain about that conclusion as well than it is to see why it doesn’t follow.  </w:t>
      </w:r>
    </w:p>
    <w:p w14:paraId="0AB63174" w14:textId="56CEB2A1" w:rsidR="00B94F25" w:rsidRPr="008B7C3B" w:rsidRDefault="00B94F25"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Insofar as a reference to the CJEU at this late stage is concerned, I don’t think that a leave to appeal application is normally an appropriate vehicle for a reference.  If reference there is to be, it would be rather better to deal with it when making the decision itself rather than the purely satellite process as to whether the decision should be appealed.  That may arise in certain situations, but it is not something one would automatically gravitate to.  I am not obliged to refer such a question </w:t>
      </w:r>
      <w:r w:rsidR="00BF7731">
        <w:rPr>
          <w:rFonts w:ascii="Verdana" w:hAnsi="Verdana"/>
          <w:color w:val="000000" w:themeColor="text1"/>
          <w:sz w:val="18"/>
          <w:szCs w:val="18"/>
        </w:rPr>
        <w:t>as</w:t>
      </w:r>
      <w:r w:rsidRPr="008B7C3B">
        <w:rPr>
          <w:rFonts w:ascii="Verdana" w:hAnsi="Verdana"/>
          <w:color w:val="000000" w:themeColor="text1"/>
          <w:sz w:val="18"/>
          <w:szCs w:val="18"/>
        </w:rPr>
        <w:t xml:space="preserve"> the High Court is not a court of last resort since 2014 </w:t>
      </w:r>
      <w:r w:rsidRPr="008B7C3B">
        <w:rPr>
          <w:rFonts w:ascii="Verdana" w:hAnsi="Verdana"/>
          <w:color w:val="000000" w:themeColor="text1"/>
          <w:sz w:val="18"/>
          <w:szCs w:val="18"/>
        </w:rPr>
        <w:lastRenderedPageBreak/>
        <w:t xml:space="preserve">because the Supreme Court can always grant leave to appeal: see Case C-99/00 </w:t>
      </w:r>
      <w:r w:rsidRPr="008B7C3B">
        <w:rPr>
          <w:rFonts w:ascii="Verdana" w:hAnsi="Verdana"/>
          <w:i/>
          <w:color w:val="000000" w:themeColor="text1"/>
          <w:sz w:val="18"/>
          <w:szCs w:val="18"/>
        </w:rPr>
        <w:t>Lyckeskog</w:t>
      </w:r>
      <w:r w:rsidR="00A15CC3" w:rsidRPr="008B7C3B">
        <w:rPr>
          <w:rFonts w:ascii="Verdana" w:hAnsi="Verdana"/>
          <w:i/>
          <w:color w:val="000000" w:themeColor="text1"/>
          <w:sz w:val="18"/>
          <w:szCs w:val="18"/>
        </w:rPr>
        <w:t xml:space="preserve"> </w:t>
      </w:r>
      <w:r w:rsidR="00A15CC3" w:rsidRPr="008B7C3B">
        <w:rPr>
          <w:rFonts w:ascii="Verdana" w:hAnsi="Verdana"/>
          <w:iCs/>
          <w:color w:val="000000" w:themeColor="text1"/>
          <w:sz w:val="18"/>
          <w:szCs w:val="18"/>
        </w:rPr>
        <w:t xml:space="preserve">(Court of Justice of the European Union, </w:t>
      </w:r>
      <w:r w:rsidR="002E6EF2" w:rsidRPr="008B7C3B">
        <w:rPr>
          <w:rFonts w:ascii="Verdana" w:hAnsi="Verdana"/>
          <w:iCs/>
          <w:color w:val="000000" w:themeColor="text1"/>
          <w:sz w:val="18"/>
          <w:szCs w:val="18"/>
        </w:rPr>
        <w:t>4</w:t>
      </w:r>
      <w:r w:rsidR="002E6EF2" w:rsidRPr="008B7C3B">
        <w:rPr>
          <w:rFonts w:ascii="Verdana" w:hAnsi="Verdana"/>
          <w:iCs/>
          <w:color w:val="000000" w:themeColor="text1"/>
          <w:sz w:val="18"/>
          <w:szCs w:val="18"/>
          <w:vertAlign w:val="superscript"/>
        </w:rPr>
        <w:t>th</w:t>
      </w:r>
      <w:r w:rsidR="002E6EF2" w:rsidRPr="008B7C3B">
        <w:rPr>
          <w:rFonts w:ascii="Verdana" w:hAnsi="Verdana"/>
          <w:iCs/>
          <w:color w:val="000000" w:themeColor="text1"/>
          <w:sz w:val="18"/>
          <w:szCs w:val="18"/>
        </w:rPr>
        <w:t xml:space="preserve"> </w:t>
      </w:r>
      <w:proofErr w:type="gramStart"/>
      <w:r w:rsidR="002E6EF2" w:rsidRPr="008B7C3B">
        <w:rPr>
          <w:rFonts w:ascii="Verdana" w:hAnsi="Verdana"/>
          <w:iCs/>
          <w:color w:val="000000" w:themeColor="text1"/>
          <w:sz w:val="18"/>
          <w:szCs w:val="18"/>
        </w:rPr>
        <w:t>June,</w:t>
      </w:r>
      <w:proofErr w:type="gramEnd"/>
      <w:r w:rsidR="002E6EF2" w:rsidRPr="008B7C3B">
        <w:rPr>
          <w:rFonts w:ascii="Verdana" w:hAnsi="Verdana"/>
          <w:iCs/>
          <w:color w:val="000000" w:themeColor="text1"/>
          <w:sz w:val="18"/>
          <w:szCs w:val="18"/>
        </w:rPr>
        <w:t xml:space="preserve"> 2002,</w:t>
      </w:r>
      <w:r w:rsidR="002E6EF2" w:rsidRPr="008B7C3B">
        <w:rPr>
          <w:rFonts w:ascii="Verdana" w:hAnsi="Verdana"/>
          <w:sz w:val="18"/>
          <w:szCs w:val="18"/>
        </w:rPr>
        <w:t xml:space="preserve"> </w:t>
      </w:r>
      <w:r w:rsidR="002E6EF2" w:rsidRPr="008B7C3B">
        <w:rPr>
          <w:rFonts w:ascii="Verdana" w:hAnsi="Verdana"/>
          <w:iCs/>
          <w:color w:val="000000" w:themeColor="text1"/>
          <w:sz w:val="18"/>
          <w:szCs w:val="18"/>
        </w:rPr>
        <w:t>ECLI:EU:C:2002:329</w:t>
      </w:r>
      <w:r w:rsidR="00A15CC3" w:rsidRPr="008B7C3B">
        <w:rPr>
          <w:rFonts w:ascii="Verdana" w:hAnsi="Verdana"/>
          <w:iCs/>
          <w:color w:val="000000" w:themeColor="text1"/>
          <w:sz w:val="18"/>
          <w:szCs w:val="18"/>
        </w:rPr>
        <w:t>)</w:t>
      </w:r>
      <w:r w:rsidRPr="008B7C3B">
        <w:rPr>
          <w:rFonts w:ascii="Verdana" w:hAnsi="Verdana"/>
          <w:color w:val="000000" w:themeColor="text1"/>
          <w:sz w:val="18"/>
          <w:szCs w:val="18"/>
        </w:rPr>
        <w:t xml:space="preserve">.  </w:t>
      </w:r>
    </w:p>
    <w:p w14:paraId="4F8D3B8B" w14:textId="14DCFC17" w:rsidR="00DC32BD" w:rsidRPr="005E6328" w:rsidRDefault="00DC32BD" w:rsidP="005E6328">
      <w:pPr>
        <w:pStyle w:val="ListParagraph"/>
        <w:spacing w:line="360" w:lineRule="auto"/>
        <w:ind w:left="567" w:hanging="567"/>
        <w:contextualSpacing w:val="0"/>
        <w:jc w:val="both"/>
        <w:rPr>
          <w:rFonts w:ascii="Verdana" w:hAnsi="Verdana"/>
          <w:b/>
          <w:bCs/>
          <w:color w:val="000000" w:themeColor="text1"/>
          <w:sz w:val="18"/>
          <w:szCs w:val="18"/>
        </w:rPr>
      </w:pPr>
      <w:r w:rsidRPr="005E6328">
        <w:rPr>
          <w:rFonts w:ascii="Verdana" w:hAnsi="Verdana"/>
          <w:b/>
          <w:bCs/>
          <w:color w:val="000000" w:themeColor="text1"/>
          <w:sz w:val="18"/>
          <w:szCs w:val="18"/>
        </w:rPr>
        <w:t>Impact on other cases of granting leave to appeal</w:t>
      </w:r>
    </w:p>
    <w:p w14:paraId="5BA9E749" w14:textId="2DCD489E" w:rsidR="00DC32BD" w:rsidRPr="008B7C3B" w:rsidRDefault="00DC32B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All that said, the applicant’s three essential questions are individually and collectively significant.  I would try to </w:t>
      </w:r>
      <w:r w:rsidR="00BF7731">
        <w:rPr>
          <w:rFonts w:ascii="Verdana" w:hAnsi="Verdana"/>
          <w:color w:val="000000" w:themeColor="text1"/>
          <w:sz w:val="18"/>
          <w:szCs w:val="18"/>
        </w:rPr>
        <w:t>reformulate</w:t>
      </w:r>
      <w:r w:rsidRPr="008B7C3B">
        <w:rPr>
          <w:rFonts w:ascii="Verdana" w:hAnsi="Verdana"/>
          <w:color w:val="000000" w:themeColor="text1"/>
          <w:sz w:val="18"/>
          <w:szCs w:val="18"/>
        </w:rPr>
        <w:t xml:space="preserve"> them along the</w:t>
      </w:r>
      <w:r w:rsidR="00423501" w:rsidRPr="008B7C3B">
        <w:rPr>
          <w:rFonts w:ascii="Verdana" w:hAnsi="Verdana"/>
          <w:color w:val="000000" w:themeColor="text1"/>
          <w:sz w:val="18"/>
          <w:szCs w:val="18"/>
        </w:rPr>
        <w:t>se</w:t>
      </w:r>
      <w:r w:rsidRPr="008B7C3B">
        <w:rPr>
          <w:rFonts w:ascii="Verdana" w:hAnsi="Verdana"/>
          <w:color w:val="000000" w:themeColor="text1"/>
          <w:sz w:val="18"/>
          <w:szCs w:val="18"/>
        </w:rPr>
        <w:t xml:space="preserve"> lines:</w:t>
      </w:r>
    </w:p>
    <w:p w14:paraId="75C780AD" w14:textId="0435BE58" w:rsidR="00423501" w:rsidRPr="008B7C3B" w:rsidRDefault="00DC32BD"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whether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should be interpreted on the basis that discounting</w:t>
      </w:r>
      <w:r w:rsidR="00423501" w:rsidRPr="008B7C3B">
        <w:rPr>
          <w:rFonts w:ascii="Verdana" w:hAnsi="Verdana"/>
          <w:color w:val="000000" w:themeColor="text1"/>
          <w:sz w:val="18"/>
          <w:szCs w:val="18"/>
        </w:rPr>
        <w:t>, insofar as it is permissible,</w:t>
      </w:r>
      <w:r w:rsidRPr="008B7C3B">
        <w:rPr>
          <w:rFonts w:ascii="Verdana" w:hAnsi="Verdana"/>
          <w:color w:val="000000" w:themeColor="text1"/>
          <w:sz w:val="18"/>
          <w:szCs w:val="18"/>
        </w:rPr>
        <w:t xml:space="preserve"> can be considered if an applicant’s points are not just unsuccessful but </w:t>
      </w:r>
      <w:r w:rsidR="00423501" w:rsidRPr="008B7C3B">
        <w:rPr>
          <w:rFonts w:ascii="Verdana" w:hAnsi="Verdana"/>
          <w:color w:val="000000" w:themeColor="text1"/>
          <w:sz w:val="18"/>
          <w:szCs w:val="18"/>
        </w:rPr>
        <w:t xml:space="preserve">are ones that should not have been </w:t>
      </w:r>
      <w:proofErr w:type="gramStart"/>
      <w:r w:rsidR="00423501" w:rsidRPr="008B7C3B">
        <w:rPr>
          <w:rFonts w:ascii="Verdana" w:hAnsi="Verdana"/>
          <w:color w:val="000000" w:themeColor="text1"/>
          <w:sz w:val="18"/>
          <w:szCs w:val="18"/>
        </w:rPr>
        <w:t>argued;</w:t>
      </w:r>
      <w:proofErr w:type="gramEnd"/>
    </w:p>
    <w:p w14:paraId="581DF01E" w14:textId="680D6258" w:rsidR="00423501" w:rsidRPr="008B7C3B" w:rsidRDefault="00423501"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whether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should be interpreted on the basis that discounting, insofar as it is permissible, should </w:t>
      </w:r>
      <w:r w:rsidR="00DC32BD" w:rsidRPr="008B7C3B">
        <w:rPr>
          <w:rFonts w:ascii="Verdana" w:hAnsi="Verdana"/>
          <w:color w:val="000000" w:themeColor="text1"/>
          <w:sz w:val="18"/>
          <w:szCs w:val="18"/>
        </w:rPr>
        <w:t xml:space="preserve">be applied </w:t>
      </w:r>
      <w:r w:rsidRPr="008B7C3B">
        <w:rPr>
          <w:rFonts w:ascii="Verdana" w:hAnsi="Verdana"/>
          <w:color w:val="000000" w:themeColor="text1"/>
          <w:sz w:val="18"/>
          <w:szCs w:val="18"/>
        </w:rPr>
        <w:t xml:space="preserve">to a more </w:t>
      </w:r>
      <w:r w:rsidR="00836EB1" w:rsidRPr="008B7C3B">
        <w:rPr>
          <w:rFonts w:ascii="Verdana" w:hAnsi="Verdana"/>
          <w:color w:val="000000" w:themeColor="text1"/>
          <w:sz w:val="18"/>
          <w:szCs w:val="18"/>
        </w:rPr>
        <w:t>limited</w:t>
      </w:r>
      <w:r w:rsidRPr="008B7C3B">
        <w:rPr>
          <w:rFonts w:ascii="Verdana" w:hAnsi="Verdana"/>
          <w:color w:val="000000" w:themeColor="text1"/>
          <w:sz w:val="18"/>
          <w:szCs w:val="18"/>
        </w:rPr>
        <w:t xml:space="preserve"> proportion of the costs</w:t>
      </w:r>
      <w:r w:rsidR="00836EB1" w:rsidRPr="008B7C3B">
        <w:rPr>
          <w:rFonts w:ascii="Verdana" w:hAnsi="Verdana"/>
          <w:color w:val="000000" w:themeColor="text1"/>
          <w:sz w:val="18"/>
          <w:szCs w:val="18"/>
        </w:rPr>
        <w:t xml:space="preserve"> rather</w:t>
      </w:r>
      <w:r w:rsidRPr="008B7C3B">
        <w:rPr>
          <w:rFonts w:ascii="Verdana" w:hAnsi="Verdana"/>
          <w:color w:val="000000" w:themeColor="text1"/>
          <w:sz w:val="18"/>
          <w:szCs w:val="18"/>
        </w:rPr>
        <w:t xml:space="preserve"> than </w:t>
      </w:r>
      <w:r w:rsidR="00836EB1" w:rsidRPr="008B7C3B">
        <w:rPr>
          <w:rFonts w:ascii="Verdana" w:hAnsi="Verdana"/>
          <w:color w:val="000000" w:themeColor="text1"/>
          <w:sz w:val="18"/>
          <w:szCs w:val="18"/>
        </w:rPr>
        <w:t>to something approaching</w:t>
      </w:r>
      <w:r w:rsidRPr="008B7C3B">
        <w:rPr>
          <w:rFonts w:ascii="Verdana" w:hAnsi="Verdana"/>
          <w:color w:val="000000" w:themeColor="text1"/>
          <w:sz w:val="18"/>
          <w:szCs w:val="18"/>
        </w:rPr>
        <w:t xml:space="preserve"> a proportionate </w:t>
      </w:r>
      <w:proofErr w:type="gramStart"/>
      <w:r w:rsidRPr="008B7C3B">
        <w:rPr>
          <w:rFonts w:ascii="Verdana" w:hAnsi="Verdana"/>
          <w:color w:val="000000" w:themeColor="text1"/>
          <w:sz w:val="18"/>
          <w:szCs w:val="18"/>
        </w:rPr>
        <w:t>deduction;</w:t>
      </w:r>
      <w:proofErr w:type="gramEnd"/>
    </w:p>
    <w:p w14:paraId="702943AC" w14:textId="30864700" w:rsidR="00DC32BD" w:rsidRPr="008B7C3B" w:rsidRDefault="00836EB1" w:rsidP="005E6328">
      <w:pPr>
        <w:pStyle w:val="ListParagraph"/>
        <w:numPr>
          <w:ilvl w:val="1"/>
          <w:numId w:val="8"/>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whether the</w:t>
      </w:r>
      <w:r w:rsidR="00DC32BD" w:rsidRPr="008B7C3B">
        <w:rPr>
          <w:rFonts w:ascii="Verdana" w:hAnsi="Verdana"/>
          <w:color w:val="000000" w:themeColor="text1"/>
          <w:sz w:val="18"/>
          <w:szCs w:val="18"/>
        </w:rPr>
        <w:t xml:space="preserve"> </w:t>
      </w:r>
      <w:r w:rsidR="00DC32BD" w:rsidRPr="008B7C3B">
        <w:rPr>
          <w:rFonts w:ascii="Verdana" w:hAnsi="Verdana"/>
          <w:i/>
          <w:iCs/>
          <w:color w:val="000000" w:themeColor="text1"/>
          <w:sz w:val="18"/>
          <w:szCs w:val="18"/>
        </w:rPr>
        <w:t>Connelly</w:t>
      </w:r>
      <w:r w:rsidR="00DC32BD" w:rsidRPr="008B7C3B">
        <w:rPr>
          <w:rFonts w:ascii="Verdana" w:hAnsi="Verdana"/>
          <w:color w:val="000000" w:themeColor="text1"/>
          <w:sz w:val="18"/>
          <w:szCs w:val="18"/>
        </w:rPr>
        <w:t xml:space="preserve"> </w:t>
      </w:r>
      <w:r w:rsidRPr="008B7C3B">
        <w:rPr>
          <w:rFonts w:ascii="Verdana" w:hAnsi="Verdana"/>
          <w:color w:val="000000" w:themeColor="text1"/>
          <w:sz w:val="18"/>
          <w:szCs w:val="18"/>
        </w:rPr>
        <w:t>approach</w:t>
      </w:r>
      <w:r w:rsidR="00DC32BD" w:rsidRPr="008B7C3B">
        <w:rPr>
          <w:rFonts w:ascii="Verdana" w:hAnsi="Verdana"/>
          <w:color w:val="000000" w:themeColor="text1"/>
          <w:sz w:val="18"/>
          <w:szCs w:val="18"/>
        </w:rPr>
        <w:t xml:space="preserve"> should be nuanced to </w:t>
      </w:r>
      <w:proofErr w:type="gramStart"/>
      <w:r w:rsidR="00DC32BD" w:rsidRPr="008B7C3B">
        <w:rPr>
          <w:rFonts w:ascii="Verdana" w:hAnsi="Verdana"/>
          <w:color w:val="000000" w:themeColor="text1"/>
          <w:sz w:val="18"/>
          <w:szCs w:val="18"/>
        </w:rPr>
        <w:t>take into account</w:t>
      </w:r>
      <w:proofErr w:type="gramEnd"/>
      <w:r w:rsidR="00DC32BD" w:rsidRPr="008B7C3B">
        <w:rPr>
          <w:rFonts w:ascii="Verdana" w:hAnsi="Verdana"/>
          <w:color w:val="000000" w:themeColor="text1"/>
          <w:sz w:val="18"/>
          <w:szCs w:val="18"/>
        </w:rPr>
        <w:t xml:space="preserve"> the Aarhus Convention, so that no solicitor-client balance should arise until such time as legislation is enacted to </w:t>
      </w:r>
      <w:r w:rsidRPr="008B7C3B">
        <w:rPr>
          <w:rFonts w:ascii="Verdana" w:hAnsi="Verdana"/>
          <w:color w:val="000000" w:themeColor="text1"/>
          <w:sz w:val="18"/>
          <w:szCs w:val="18"/>
        </w:rPr>
        <w:t>prevent</w:t>
      </w:r>
      <w:r w:rsidR="00DC32BD" w:rsidRPr="008B7C3B">
        <w:rPr>
          <w:rFonts w:ascii="Verdana" w:hAnsi="Verdana"/>
          <w:color w:val="000000" w:themeColor="text1"/>
          <w:sz w:val="18"/>
          <w:szCs w:val="18"/>
        </w:rPr>
        <w:t xml:space="preserve"> prohibitive solicitor-client charges in environmental litigation</w:t>
      </w:r>
      <w:r w:rsidRPr="008B7C3B">
        <w:rPr>
          <w:rFonts w:ascii="Verdana" w:hAnsi="Verdana"/>
          <w:color w:val="000000" w:themeColor="text1"/>
          <w:sz w:val="18"/>
          <w:szCs w:val="18"/>
        </w:rPr>
        <w:t>.</w:t>
      </w:r>
    </w:p>
    <w:p w14:paraId="4D35BF33" w14:textId="77777777" w:rsidR="00836EB1" w:rsidRPr="008B7C3B" w:rsidRDefault="00836EB1"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These </w:t>
      </w:r>
      <w:r w:rsidR="00DC32BD" w:rsidRPr="008B7C3B">
        <w:rPr>
          <w:rFonts w:ascii="Verdana" w:hAnsi="Verdana"/>
          <w:color w:val="000000" w:themeColor="text1"/>
          <w:sz w:val="18"/>
          <w:szCs w:val="18"/>
        </w:rPr>
        <w:t xml:space="preserve">are in my </w:t>
      </w:r>
      <w:proofErr w:type="gramStart"/>
      <w:r w:rsidR="00DC32BD" w:rsidRPr="008B7C3B">
        <w:rPr>
          <w:rFonts w:ascii="Verdana" w:hAnsi="Verdana"/>
          <w:color w:val="000000" w:themeColor="text1"/>
          <w:sz w:val="18"/>
          <w:szCs w:val="18"/>
        </w:rPr>
        <w:t>view points</w:t>
      </w:r>
      <w:proofErr w:type="gramEnd"/>
      <w:r w:rsidR="00DC32BD" w:rsidRPr="008B7C3B">
        <w:rPr>
          <w:rFonts w:ascii="Verdana" w:hAnsi="Verdana"/>
          <w:color w:val="000000" w:themeColor="text1"/>
          <w:sz w:val="18"/>
          <w:szCs w:val="18"/>
        </w:rPr>
        <w:t xml:space="preserve"> of law of exceptional public importance and ones where it is desirable in the public interest that there be clarification.  </w:t>
      </w:r>
    </w:p>
    <w:p w14:paraId="3B5D325B" w14:textId="2DF53A39" w:rsidR="00836EB1" w:rsidRPr="008B7C3B" w:rsidRDefault="00836EB1"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I did have some feelings of hesitation about granting leave to appeal, but after some introspection I think that I can make a stab at identifying the underlying reasons for that.</w:t>
      </w:r>
    </w:p>
    <w:p w14:paraId="7E855541" w14:textId="088912DF" w:rsidR="00836EB1" w:rsidRPr="008B7C3B" w:rsidRDefault="00836EB1"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first problem is the impact on all other cases of there being an issue of this nature before the appellate courts.  There must be a practical system that will allow other cases to be processed.  I think that such a system can be devised.  Pending the resolution of this matter on appeal, where an applicant wins in a future case, but not on all points, the court in deciding on costs can make its own adjudication of whether </w:t>
      </w:r>
      <w:r w:rsidRPr="008B7C3B">
        <w:rPr>
          <w:rFonts w:ascii="Verdana" w:hAnsi="Verdana"/>
          <w:i/>
          <w:iCs/>
          <w:color w:val="000000" w:themeColor="text1"/>
          <w:sz w:val="18"/>
          <w:szCs w:val="18"/>
        </w:rPr>
        <w:t>Connelly</w:t>
      </w:r>
      <w:r w:rsidRPr="008B7C3B">
        <w:rPr>
          <w:rFonts w:ascii="Verdana" w:hAnsi="Verdana"/>
          <w:color w:val="000000" w:themeColor="text1"/>
          <w:sz w:val="18"/>
          <w:szCs w:val="18"/>
        </w:rPr>
        <w:t xml:space="preserve"> requires discounting and if </w:t>
      </w:r>
      <w:proofErr w:type="gramStart"/>
      <w:r w:rsidRPr="008B7C3B">
        <w:rPr>
          <w:rFonts w:ascii="Verdana" w:hAnsi="Verdana"/>
          <w:color w:val="000000" w:themeColor="text1"/>
          <w:sz w:val="18"/>
          <w:szCs w:val="18"/>
        </w:rPr>
        <w:t>so</w:t>
      </w:r>
      <w:proofErr w:type="gramEnd"/>
      <w:r w:rsidRPr="008B7C3B">
        <w:rPr>
          <w:rFonts w:ascii="Verdana" w:hAnsi="Verdana"/>
          <w:color w:val="000000" w:themeColor="text1"/>
          <w:sz w:val="18"/>
          <w:szCs w:val="18"/>
        </w:rPr>
        <w:t xml:space="preserve"> how much.  I</w:t>
      </w:r>
      <w:r w:rsidR="008A781D">
        <w:rPr>
          <w:rFonts w:ascii="Verdana" w:hAnsi="Verdana"/>
          <w:color w:val="000000" w:themeColor="text1"/>
          <w:sz w:val="18"/>
          <w:szCs w:val="18"/>
        </w:rPr>
        <w:t>f a discounted order is to be made, the court</w:t>
      </w:r>
      <w:r w:rsidRPr="008B7C3B">
        <w:rPr>
          <w:rFonts w:ascii="Verdana" w:hAnsi="Verdana"/>
          <w:color w:val="000000" w:themeColor="text1"/>
          <w:sz w:val="18"/>
          <w:szCs w:val="18"/>
        </w:rPr>
        <w:t xml:space="preserve"> can then award the applicant that amount, and rather than as normal make no order as to the balance, simply adjourn that with liberty to apply after this point is clarified</w:t>
      </w:r>
      <w:r w:rsidR="00FB7C9F" w:rsidRPr="008B7C3B">
        <w:rPr>
          <w:rFonts w:ascii="Verdana" w:hAnsi="Verdana"/>
          <w:color w:val="000000" w:themeColor="text1"/>
          <w:sz w:val="18"/>
          <w:szCs w:val="18"/>
        </w:rPr>
        <w:t xml:space="preserve"> – unless </w:t>
      </w:r>
      <w:r w:rsidR="008A781D">
        <w:rPr>
          <w:rFonts w:ascii="Verdana" w:hAnsi="Verdana"/>
          <w:color w:val="000000" w:themeColor="text1"/>
          <w:sz w:val="18"/>
          <w:szCs w:val="18"/>
        </w:rPr>
        <w:t>any</w:t>
      </w:r>
      <w:r w:rsidR="00FB7C9F" w:rsidRPr="008B7C3B">
        <w:rPr>
          <w:rFonts w:ascii="Verdana" w:hAnsi="Verdana"/>
          <w:color w:val="000000" w:themeColor="text1"/>
          <w:sz w:val="18"/>
          <w:szCs w:val="18"/>
        </w:rPr>
        <w:t xml:space="preserve"> given applicant is seeking a reference on that point which takes us to the next issue</w:t>
      </w:r>
      <w:r w:rsidRPr="008B7C3B">
        <w:rPr>
          <w:rFonts w:ascii="Verdana" w:hAnsi="Verdana"/>
          <w:color w:val="000000" w:themeColor="text1"/>
          <w:sz w:val="18"/>
          <w:szCs w:val="18"/>
        </w:rPr>
        <w:t xml:space="preserve">. </w:t>
      </w:r>
    </w:p>
    <w:p w14:paraId="10DB54EA" w14:textId="623F4B45" w:rsidR="00E77CDC" w:rsidRPr="008B7C3B" w:rsidRDefault="00E77CDC"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The second problem which in a way is more intractable arises in relation to the third </w:t>
      </w:r>
      <w:r w:rsidR="008A781D">
        <w:rPr>
          <w:rFonts w:ascii="Verdana" w:hAnsi="Verdana"/>
          <w:color w:val="000000" w:themeColor="text1"/>
          <w:sz w:val="18"/>
          <w:szCs w:val="18"/>
        </w:rPr>
        <w:t>reformulated question</w:t>
      </w:r>
      <w:r w:rsidRPr="008B7C3B">
        <w:rPr>
          <w:rFonts w:ascii="Verdana" w:hAnsi="Verdana"/>
          <w:color w:val="000000" w:themeColor="text1"/>
          <w:sz w:val="18"/>
          <w:szCs w:val="18"/>
        </w:rPr>
        <w:t xml:space="preserve">.  Sure, the appellate courts can readily clarify the first two questions, but in relation to the last </w:t>
      </w:r>
      <w:proofErr w:type="gramStart"/>
      <w:r w:rsidRPr="008B7C3B">
        <w:rPr>
          <w:rFonts w:ascii="Verdana" w:hAnsi="Verdana"/>
          <w:color w:val="000000" w:themeColor="text1"/>
          <w:sz w:val="18"/>
          <w:szCs w:val="18"/>
        </w:rPr>
        <w:t>one,  since</w:t>
      </w:r>
      <w:proofErr w:type="gramEnd"/>
      <w:r w:rsidRPr="008B7C3B">
        <w:rPr>
          <w:rFonts w:ascii="Verdana" w:hAnsi="Verdana"/>
          <w:color w:val="000000" w:themeColor="text1"/>
          <w:sz w:val="18"/>
          <w:szCs w:val="18"/>
        </w:rPr>
        <w:t xml:space="preserve"> we are talking about clarification of a Supreme Court decision by refence to EU law issues, the definitive clarification can only be given by the CJEU, unless the point is </w:t>
      </w:r>
      <w:r w:rsidRPr="008B7C3B">
        <w:rPr>
          <w:rFonts w:ascii="Verdana" w:hAnsi="Verdana"/>
          <w:i/>
          <w:iCs/>
          <w:color w:val="000000" w:themeColor="text1"/>
          <w:sz w:val="18"/>
          <w:szCs w:val="18"/>
        </w:rPr>
        <w:t>acte clair</w:t>
      </w:r>
      <w:r w:rsidRPr="008B7C3B">
        <w:rPr>
          <w:rFonts w:ascii="Verdana" w:hAnsi="Verdana"/>
          <w:color w:val="000000" w:themeColor="text1"/>
          <w:sz w:val="18"/>
          <w:szCs w:val="18"/>
        </w:rPr>
        <w:t xml:space="preserve">.  I am not </w:t>
      </w:r>
      <w:proofErr w:type="gramStart"/>
      <w:r w:rsidR="008E5E64">
        <w:rPr>
          <w:rFonts w:ascii="Verdana" w:hAnsi="Verdana"/>
          <w:color w:val="000000" w:themeColor="text1"/>
          <w:sz w:val="18"/>
          <w:szCs w:val="18"/>
        </w:rPr>
        <w:t>absolutely sure</w:t>
      </w:r>
      <w:proofErr w:type="gramEnd"/>
      <w:r w:rsidRPr="008B7C3B">
        <w:rPr>
          <w:rFonts w:ascii="Verdana" w:hAnsi="Verdana"/>
          <w:color w:val="000000" w:themeColor="text1"/>
          <w:sz w:val="18"/>
          <w:szCs w:val="18"/>
        </w:rPr>
        <w:t xml:space="preserve"> that it is, but I don’t think that the grant of leave to appeal in this case automatically precludes consideration of a reference of this point either at all or more particularly in some other case.    </w:t>
      </w:r>
    </w:p>
    <w:p w14:paraId="7CBFC0D0" w14:textId="60BD22BA" w:rsidR="00DC32BD" w:rsidRPr="008B7C3B" w:rsidRDefault="008A781D"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proofErr w:type="gramStart"/>
      <w:r>
        <w:rPr>
          <w:rFonts w:ascii="Verdana" w:hAnsi="Verdana"/>
          <w:color w:val="000000" w:themeColor="text1"/>
          <w:sz w:val="18"/>
          <w:szCs w:val="18"/>
        </w:rPr>
        <w:lastRenderedPageBreak/>
        <w:t>Overall</w:t>
      </w:r>
      <w:proofErr w:type="gramEnd"/>
      <w:r>
        <w:rPr>
          <w:rFonts w:ascii="Verdana" w:hAnsi="Verdana"/>
          <w:color w:val="000000" w:themeColor="text1"/>
          <w:sz w:val="18"/>
          <w:szCs w:val="18"/>
        </w:rPr>
        <w:t xml:space="preserve"> I am just about persuaded that the downsides of leave to appeal can be managed such that it can be said that the statutory criteria are satisfied here.  But while the applicant will therefore be getting leave to appeal, </w:t>
      </w:r>
      <w:r w:rsidR="00E77CDC" w:rsidRPr="008B7C3B">
        <w:rPr>
          <w:rFonts w:ascii="Verdana" w:hAnsi="Verdana"/>
          <w:color w:val="000000" w:themeColor="text1"/>
          <w:sz w:val="18"/>
          <w:szCs w:val="18"/>
        </w:rPr>
        <w:t xml:space="preserve">I would </w:t>
      </w:r>
      <w:r>
        <w:rPr>
          <w:rFonts w:ascii="Verdana" w:hAnsi="Verdana"/>
          <w:color w:val="000000" w:themeColor="text1"/>
          <w:sz w:val="18"/>
          <w:szCs w:val="18"/>
        </w:rPr>
        <w:t>respectfully suggest to</w:t>
      </w:r>
      <w:r w:rsidR="00E77CDC" w:rsidRPr="008B7C3B">
        <w:rPr>
          <w:rFonts w:ascii="Verdana" w:hAnsi="Verdana"/>
          <w:color w:val="000000" w:themeColor="text1"/>
          <w:sz w:val="18"/>
          <w:szCs w:val="18"/>
        </w:rPr>
        <w:t xml:space="preserve"> the parties </w:t>
      </w:r>
      <w:r>
        <w:rPr>
          <w:rFonts w:ascii="Verdana" w:hAnsi="Verdana"/>
          <w:color w:val="000000" w:themeColor="text1"/>
          <w:sz w:val="18"/>
          <w:szCs w:val="18"/>
        </w:rPr>
        <w:t>that they might consider giving the Supreme Court the opportunity to consider</w:t>
      </w:r>
      <w:r w:rsidR="00E77CDC" w:rsidRPr="008B7C3B">
        <w:rPr>
          <w:rFonts w:ascii="Verdana" w:hAnsi="Verdana"/>
          <w:color w:val="000000" w:themeColor="text1"/>
          <w:sz w:val="18"/>
          <w:szCs w:val="18"/>
        </w:rPr>
        <w:t xml:space="preserve"> a leapfrog application in this matter given that </w:t>
      </w:r>
      <w:r>
        <w:rPr>
          <w:rFonts w:ascii="Verdana" w:hAnsi="Verdana"/>
          <w:color w:val="000000" w:themeColor="text1"/>
          <w:sz w:val="18"/>
          <w:szCs w:val="18"/>
        </w:rPr>
        <w:t>that c</w:t>
      </w:r>
      <w:r w:rsidR="00E77CDC" w:rsidRPr="008B7C3B">
        <w:rPr>
          <w:rFonts w:ascii="Verdana" w:hAnsi="Verdana"/>
          <w:color w:val="000000" w:themeColor="text1"/>
          <w:sz w:val="18"/>
          <w:szCs w:val="18"/>
        </w:rPr>
        <w:t xml:space="preserve">ourt is </w:t>
      </w:r>
      <w:r w:rsidR="008E5E64">
        <w:rPr>
          <w:rFonts w:ascii="Verdana" w:hAnsi="Verdana"/>
          <w:color w:val="000000" w:themeColor="text1"/>
          <w:sz w:val="18"/>
          <w:szCs w:val="18"/>
        </w:rPr>
        <w:t xml:space="preserve">currently </w:t>
      </w:r>
      <w:r w:rsidR="00E77CDC" w:rsidRPr="008B7C3B">
        <w:rPr>
          <w:rFonts w:ascii="Verdana" w:hAnsi="Verdana"/>
          <w:color w:val="000000" w:themeColor="text1"/>
          <w:sz w:val="18"/>
          <w:szCs w:val="18"/>
        </w:rPr>
        <w:t xml:space="preserve">endeavouring to address the question of environmental costs </w:t>
      </w:r>
      <w:r>
        <w:rPr>
          <w:rFonts w:ascii="Verdana" w:hAnsi="Verdana"/>
          <w:color w:val="000000" w:themeColor="text1"/>
          <w:sz w:val="18"/>
          <w:szCs w:val="18"/>
        </w:rPr>
        <w:t>more generally</w:t>
      </w:r>
      <w:r w:rsidR="00E77CDC" w:rsidRPr="008B7C3B">
        <w:rPr>
          <w:rFonts w:ascii="Verdana" w:hAnsi="Verdana"/>
          <w:color w:val="000000" w:themeColor="text1"/>
          <w:sz w:val="18"/>
          <w:szCs w:val="18"/>
        </w:rPr>
        <w:t xml:space="preserve">. </w:t>
      </w:r>
    </w:p>
    <w:p w14:paraId="505EDD21" w14:textId="6A6BC90A" w:rsidR="00294044" w:rsidRPr="005E6328" w:rsidRDefault="00294044" w:rsidP="005E6328">
      <w:pPr>
        <w:spacing w:line="360" w:lineRule="auto"/>
        <w:ind w:left="567" w:hanging="567"/>
        <w:jc w:val="both"/>
        <w:rPr>
          <w:rFonts w:ascii="Verdana" w:hAnsi="Verdana"/>
          <w:b/>
          <w:color w:val="000000" w:themeColor="text1"/>
          <w:sz w:val="18"/>
          <w:szCs w:val="18"/>
        </w:rPr>
      </w:pPr>
      <w:r w:rsidRPr="005E6328">
        <w:rPr>
          <w:rFonts w:ascii="Verdana" w:hAnsi="Verdana"/>
          <w:b/>
          <w:color w:val="000000" w:themeColor="text1"/>
          <w:sz w:val="18"/>
          <w:szCs w:val="18"/>
        </w:rPr>
        <w:t>Order</w:t>
      </w:r>
    </w:p>
    <w:p w14:paraId="62562D2D" w14:textId="6E500B49" w:rsidR="00810CC6" w:rsidRPr="008B7C3B" w:rsidRDefault="00294044" w:rsidP="005E6328">
      <w:pPr>
        <w:pStyle w:val="ListParagraph"/>
        <w:numPr>
          <w:ilvl w:val="0"/>
          <w:numId w:val="8"/>
        </w:numPr>
        <w:spacing w:after="240" w:line="360" w:lineRule="auto"/>
        <w:ind w:left="567"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 xml:space="preserve">For these reasons the order will be as follows: </w:t>
      </w:r>
    </w:p>
    <w:p w14:paraId="1F1010A9" w14:textId="5317967C" w:rsidR="00294044" w:rsidRPr="008B7C3B" w:rsidRDefault="00962C8D" w:rsidP="005E6328">
      <w:pPr>
        <w:pStyle w:val="ListParagraph"/>
        <w:numPr>
          <w:ilvl w:val="0"/>
          <w:numId w:val="10"/>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w:t>
      </w:r>
      <w:r w:rsidR="00294044" w:rsidRPr="008B7C3B">
        <w:rPr>
          <w:rFonts w:ascii="Verdana" w:hAnsi="Verdana"/>
          <w:color w:val="000000" w:themeColor="text1"/>
          <w:sz w:val="18"/>
          <w:szCs w:val="18"/>
        </w:rPr>
        <w:t xml:space="preserve">he application for leave to appeal is </w:t>
      </w:r>
      <w:r w:rsidR="00E77CDC" w:rsidRPr="008B7C3B">
        <w:rPr>
          <w:rFonts w:ascii="Verdana" w:hAnsi="Verdana"/>
          <w:color w:val="000000" w:themeColor="text1"/>
          <w:sz w:val="18"/>
          <w:szCs w:val="18"/>
        </w:rPr>
        <w:t xml:space="preserve">granted on the basis of the reworded questions set out in the judgment which are certified for the </w:t>
      </w:r>
      <w:proofErr w:type="gramStart"/>
      <w:r w:rsidR="00E77CDC" w:rsidRPr="008B7C3B">
        <w:rPr>
          <w:rFonts w:ascii="Verdana" w:hAnsi="Verdana"/>
          <w:color w:val="000000" w:themeColor="text1"/>
          <w:sz w:val="18"/>
          <w:szCs w:val="18"/>
        </w:rPr>
        <w:t>purpose</w:t>
      </w:r>
      <w:r w:rsidRPr="008B7C3B">
        <w:rPr>
          <w:rFonts w:ascii="Verdana" w:hAnsi="Verdana"/>
          <w:color w:val="000000" w:themeColor="text1"/>
          <w:sz w:val="18"/>
          <w:szCs w:val="18"/>
        </w:rPr>
        <w:t>;</w:t>
      </w:r>
      <w:proofErr w:type="gramEnd"/>
    </w:p>
    <w:p w14:paraId="6433D5AF" w14:textId="2AE8EA89" w:rsidR="007D3DD6" w:rsidRPr="008B7C3B" w:rsidRDefault="007D3DD6" w:rsidP="005E6328">
      <w:pPr>
        <w:pStyle w:val="ListParagraph"/>
        <w:numPr>
          <w:ilvl w:val="0"/>
          <w:numId w:val="10"/>
        </w:numPr>
        <w:spacing w:after="240" w:line="360" w:lineRule="auto"/>
        <w:ind w:left="1701" w:hanging="567"/>
        <w:contextualSpacing w:val="0"/>
        <w:jc w:val="both"/>
        <w:rPr>
          <w:rFonts w:ascii="Verdana" w:hAnsi="Verdana"/>
          <w:color w:val="000000" w:themeColor="text1"/>
          <w:sz w:val="18"/>
          <w:szCs w:val="18"/>
        </w:rPr>
      </w:pPr>
      <w:r w:rsidRPr="008B7C3B">
        <w:rPr>
          <w:rFonts w:ascii="Verdana" w:hAnsi="Verdana"/>
          <w:color w:val="000000" w:themeColor="text1"/>
          <w:sz w:val="18"/>
          <w:szCs w:val="18"/>
        </w:rPr>
        <w:t>the order to that effect will be perfected forthwith to facilitate the parties in relation to any other procedural steps; and</w:t>
      </w:r>
    </w:p>
    <w:p w14:paraId="4CBF15A4" w14:textId="2F7F6830" w:rsidR="00294044" w:rsidRPr="008E5E64" w:rsidRDefault="00294044" w:rsidP="005E6328">
      <w:pPr>
        <w:pStyle w:val="ListParagraph"/>
        <w:numPr>
          <w:ilvl w:val="0"/>
          <w:numId w:val="10"/>
        </w:numPr>
        <w:spacing w:after="240" w:line="360" w:lineRule="auto"/>
        <w:ind w:left="1701" w:hanging="567"/>
        <w:contextualSpacing w:val="0"/>
        <w:jc w:val="both"/>
        <w:rPr>
          <w:rFonts w:ascii="Verdana" w:hAnsi="Verdana"/>
          <w:color w:val="000000" w:themeColor="text1"/>
          <w:sz w:val="18"/>
          <w:szCs w:val="18"/>
        </w:rPr>
      </w:pPr>
      <w:r w:rsidRPr="008E5E64">
        <w:rPr>
          <w:rFonts w:ascii="Verdana" w:hAnsi="Verdana"/>
          <w:color w:val="000000" w:themeColor="text1"/>
          <w:sz w:val="18"/>
          <w:szCs w:val="18"/>
        </w:rPr>
        <w:t>I will list the matter for mention on Monday</w:t>
      </w:r>
      <w:r w:rsidR="00FF095D" w:rsidRPr="008E5E64">
        <w:rPr>
          <w:rFonts w:ascii="Verdana" w:hAnsi="Verdana"/>
          <w:color w:val="000000" w:themeColor="text1"/>
          <w:sz w:val="18"/>
          <w:szCs w:val="18"/>
        </w:rPr>
        <w:t xml:space="preserve"> </w:t>
      </w:r>
      <w:r w:rsidR="008E5E64" w:rsidRPr="008E5E64">
        <w:rPr>
          <w:rFonts w:ascii="Verdana" w:hAnsi="Verdana"/>
          <w:color w:val="000000" w:themeColor="text1"/>
          <w:sz w:val="18"/>
          <w:szCs w:val="18"/>
        </w:rPr>
        <w:t>the 20</w:t>
      </w:r>
      <w:r w:rsidR="008E5E64" w:rsidRPr="008E5E64">
        <w:rPr>
          <w:rFonts w:ascii="Verdana" w:hAnsi="Verdana"/>
          <w:color w:val="000000" w:themeColor="text1"/>
          <w:sz w:val="18"/>
          <w:szCs w:val="18"/>
          <w:vertAlign w:val="superscript"/>
        </w:rPr>
        <w:t>th</w:t>
      </w:r>
      <w:r w:rsidR="008E5E64" w:rsidRPr="008E5E64">
        <w:rPr>
          <w:rFonts w:ascii="Verdana" w:hAnsi="Verdana"/>
          <w:color w:val="000000" w:themeColor="text1"/>
          <w:sz w:val="18"/>
          <w:szCs w:val="18"/>
        </w:rPr>
        <w:t xml:space="preserve"> day of</w:t>
      </w:r>
      <w:r w:rsidR="00962C8D" w:rsidRPr="008E5E64">
        <w:rPr>
          <w:rFonts w:ascii="Verdana" w:hAnsi="Verdana"/>
          <w:color w:val="000000" w:themeColor="text1"/>
          <w:sz w:val="18"/>
          <w:szCs w:val="18"/>
        </w:rPr>
        <w:t xml:space="preserve"> </w:t>
      </w:r>
      <w:proofErr w:type="gramStart"/>
      <w:r w:rsidR="008E5E64" w:rsidRPr="008E5E64">
        <w:rPr>
          <w:rFonts w:ascii="Verdana" w:hAnsi="Verdana"/>
          <w:color w:val="000000" w:themeColor="text1"/>
          <w:sz w:val="18"/>
          <w:szCs w:val="18"/>
        </w:rPr>
        <w:t>June</w:t>
      </w:r>
      <w:r w:rsidR="00962C8D" w:rsidRPr="008E5E64">
        <w:rPr>
          <w:rFonts w:ascii="Verdana" w:hAnsi="Verdana"/>
          <w:color w:val="000000" w:themeColor="text1"/>
          <w:sz w:val="18"/>
          <w:szCs w:val="18"/>
        </w:rPr>
        <w:t>,</w:t>
      </w:r>
      <w:proofErr w:type="gramEnd"/>
      <w:r w:rsidR="00962C8D" w:rsidRPr="008E5E64">
        <w:rPr>
          <w:rFonts w:ascii="Verdana" w:hAnsi="Verdana"/>
          <w:color w:val="000000" w:themeColor="text1"/>
          <w:sz w:val="18"/>
          <w:szCs w:val="18"/>
        </w:rPr>
        <w:t xml:space="preserve"> 2022</w:t>
      </w:r>
      <w:r w:rsidRPr="008E5E64">
        <w:rPr>
          <w:rFonts w:ascii="Verdana" w:hAnsi="Verdana"/>
          <w:color w:val="000000" w:themeColor="text1"/>
          <w:sz w:val="18"/>
          <w:szCs w:val="18"/>
        </w:rPr>
        <w:t xml:space="preserve"> </w:t>
      </w:r>
      <w:r w:rsidR="008E5E64">
        <w:rPr>
          <w:rFonts w:ascii="Verdana" w:hAnsi="Verdana"/>
          <w:color w:val="000000" w:themeColor="text1"/>
          <w:sz w:val="18"/>
          <w:szCs w:val="18"/>
        </w:rPr>
        <w:t xml:space="preserve">to deal with costs of the leave to appeal application and </w:t>
      </w:r>
      <w:r w:rsidRPr="008E5E64">
        <w:rPr>
          <w:rFonts w:ascii="Verdana" w:hAnsi="Verdana"/>
          <w:color w:val="000000" w:themeColor="text1"/>
          <w:sz w:val="18"/>
          <w:szCs w:val="18"/>
        </w:rPr>
        <w:t>for any consequential</w:t>
      </w:r>
      <w:r w:rsidR="007D3DD6" w:rsidRPr="008E5E64">
        <w:rPr>
          <w:rFonts w:ascii="Verdana" w:hAnsi="Verdana"/>
          <w:color w:val="000000" w:themeColor="text1"/>
          <w:sz w:val="18"/>
          <w:szCs w:val="18"/>
        </w:rPr>
        <w:t xml:space="preserve"> or other</w:t>
      </w:r>
      <w:r w:rsidRPr="008E5E64">
        <w:rPr>
          <w:rFonts w:ascii="Verdana" w:hAnsi="Verdana"/>
          <w:color w:val="000000" w:themeColor="text1"/>
          <w:sz w:val="18"/>
          <w:szCs w:val="18"/>
        </w:rPr>
        <w:t xml:space="preserve"> matters. </w:t>
      </w:r>
    </w:p>
    <w:sectPr w:rsidR="00294044" w:rsidRPr="008E5E64"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D963" w14:textId="77777777" w:rsidR="005E07EA" w:rsidRDefault="005E07EA" w:rsidP="009E70E8">
      <w:r>
        <w:separator/>
      </w:r>
    </w:p>
  </w:endnote>
  <w:endnote w:type="continuationSeparator" w:id="0">
    <w:p w14:paraId="1DBF6A76" w14:textId="77777777" w:rsidR="005E07EA" w:rsidRDefault="005E07EA"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A23A" w14:textId="77777777" w:rsidR="005E07EA" w:rsidRDefault="005E07EA" w:rsidP="009E70E8">
      <w:r>
        <w:separator/>
      </w:r>
    </w:p>
  </w:footnote>
  <w:footnote w:type="continuationSeparator" w:id="0">
    <w:p w14:paraId="215A2943" w14:textId="77777777" w:rsidR="005E07EA" w:rsidRDefault="005E07EA"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5B7EA88A" w14:textId="77777777" w:rsidR="009E70E8" w:rsidRDefault="009E70E8">
        <w:pPr>
          <w:pStyle w:val="Header"/>
          <w:jc w:val="center"/>
        </w:pPr>
        <w:r>
          <w:fldChar w:fldCharType="begin"/>
        </w:r>
        <w:r>
          <w:instrText xml:space="preserve"> PAGE   \* MERGEFORMAT </w:instrText>
        </w:r>
        <w:r>
          <w:fldChar w:fldCharType="separate"/>
        </w:r>
        <w:r w:rsidR="00294044">
          <w:rPr>
            <w:noProof/>
          </w:rPr>
          <w:t>9</w:t>
        </w:r>
        <w:r>
          <w:rPr>
            <w:noProof/>
          </w:rPr>
          <w:fldChar w:fldCharType="end"/>
        </w:r>
      </w:p>
    </w:sdtContent>
  </w:sdt>
  <w:p w14:paraId="2514A1F5"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A55DF"/>
    <w:multiLevelType w:val="hybridMultilevel"/>
    <w:tmpl w:val="7E16A8D2"/>
    <w:lvl w:ilvl="0" w:tplc="ED0EEB5E">
      <w:start w:val="1"/>
      <w:numFmt w:val="decimal"/>
      <w:lvlText w:val="%1."/>
      <w:lvlJc w:val="left"/>
      <w:pPr>
        <w:ind w:left="0" w:firstLine="0"/>
      </w:pPr>
      <w:rPr>
        <w:rFonts w:ascii="Verdana" w:hAnsi="Verdana" w:cs="Times New Roman" w:hint="default"/>
        <w:b w:val="0"/>
        <w:bCs/>
        <w:i w:val="0"/>
      </w:rPr>
    </w:lvl>
    <w:lvl w:ilvl="1" w:tplc="014ACE16">
      <w:start w:val="1"/>
      <w:numFmt w:val="lowerRoman"/>
      <w:lvlText w:val="(%2)."/>
      <w:lvlJc w:val="right"/>
      <w:pPr>
        <w:ind w:left="1440" w:hanging="360"/>
      </w:pPr>
      <w:rPr>
        <w:rFonts w:hint="default"/>
        <w:caps w:val="0"/>
        <w:smallCaps w:val="0"/>
        <w:strike w:val="0"/>
        <w:dstrike w:val="0"/>
        <w:outline w:val="0"/>
        <w:emboss w:val="0"/>
        <w:imprint w:val="0"/>
        <w:spacing w:val="0"/>
        <w:w w:val="100"/>
        <w:kern w:val="0"/>
        <w:position w:val="0"/>
        <w:vertAlign w:val="baseline"/>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ED3EA7"/>
    <w:multiLevelType w:val="hybridMultilevel"/>
    <w:tmpl w:val="F2A677EE"/>
    <w:lvl w:ilvl="0" w:tplc="014ACE16">
      <w:start w:val="1"/>
      <w:numFmt w:val="lowerRoman"/>
      <w:lvlText w:val="(%1)."/>
      <w:lvlJc w:val="right"/>
      <w:pPr>
        <w:ind w:left="1440" w:hanging="360"/>
      </w:pPr>
      <w:rPr>
        <w:rFonts w:hint="default"/>
        <w:caps w:val="0"/>
        <w:smallCaps w:val="0"/>
        <w:strike w:val="0"/>
        <w:dstrike w:val="0"/>
        <w:outline w:val="0"/>
        <w:emboss w:val="0"/>
        <w:imprint w:val="0"/>
        <w:spacing w:val="0"/>
        <w:w w:val="100"/>
        <w:kern w:val="0"/>
        <w:position w:val="0"/>
        <w:vertAlign w:val="baseline"/>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759E12D3"/>
    <w:multiLevelType w:val="hybridMultilevel"/>
    <w:tmpl w:val="0444E210"/>
    <w:lvl w:ilvl="0" w:tplc="11CC322E">
      <w:start w:val="1"/>
      <w:numFmt w:val="lowerRoman"/>
      <w:lvlText w:val="(%1)."/>
      <w:lvlJc w:val="right"/>
      <w:pPr>
        <w:ind w:left="72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9" w15:restartNumberingAfterBreak="0">
    <w:nsid w:val="7D2C5269"/>
    <w:multiLevelType w:val="hybridMultilevel"/>
    <w:tmpl w:val="9F7861DE"/>
    <w:lvl w:ilvl="0" w:tplc="014ACE16">
      <w:start w:val="1"/>
      <w:numFmt w:val="lowerRoman"/>
      <w:lvlText w:val="(%1)."/>
      <w:lvlJc w:val="right"/>
      <w:pPr>
        <w:ind w:left="720" w:hanging="360"/>
      </w:pPr>
      <w:rPr>
        <w:rFonts w:hint="default"/>
        <w:caps w:val="0"/>
        <w:smallCaps w:val="0"/>
        <w:strike w:val="0"/>
        <w:dstrike w:val="0"/>
        <w:outline w:val="0"/>
        <w:emboss w:val="0"/>
        <w:imprint w:val="0"/>
        <w:spacing w:val="0"/>
        <w:w w:val="100"/>
        <w:kern w:val="0"/>
        <w:position w:val="0"/>
        <w:vertAlign w:val="baseli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0"/>
  </w:num>
  <w:num w:numId="5">
    <w:abstractNumId w:val="6"/>
  </w:num>
  <w:num w:numId="6">
    <w:abstractNumId w:val="4"/>
  </w:num>
  <w:num w:numId="7">
    <w:abstractNumId w:val="5"/>
  </w:num>
  <w:num w:numId="8">
    <w:abstractNumId w:val="2"/>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44BC"/>
    <w:rsid w:val="000162D6"/>
    <w:rsid w:val="00033955"/>
    <w:rsid w:val="000A558E"/>
    <w:rsid w:val="000C2653"/>
    <w:rsid w:val="000C2F43"/>
    <w:rsid w:val="00104643"/>
    <w:rsid w:val="0011300E"/>
    <w:rsid w:val="001223A7"/>
    <w:rsid w:val="001C1881"/>
    <w:rsid w:val="001C6AFA"/>
    <w:rsid w:val="001F3DBB"/>
    <w:rsid w:val="002551CA"/>
    <w:rsid w:val="00287B75"/>
    <w:rsid w:val="00294044"/>
    <w:rsid w:val="002A5906"/>
    <w:rsid w:val="002D7794"/>
    <w:rsid w:val="002E41CE"/>
    <w:rsid w:val="002E6EF2"/>
    <w:rsid w:val="002E74E4"/>
    <w:rsid w:val="003511B0"/>
    <w:rsid w:val="003B0670"/>
    <w:rsid w:val="003C4AC0"/>
    <w:rsid w:val="003C6D47"/>
    <w:rsid w:val="003C709B"/>
    <w:rsid w:val="003D531D"/>
    <w:rsid w:val="00412787"/>
    <w:rsid w:val="00423501"/>
    <w:rsid w:val="0044197E"/>
    <w:rsid w:val="00463BB7"/>
    <w:rsid w:val="004C6E00"/>
    <w:rsid w:val="004F3550"/>
    <w:rsid w:val="0051132C"/>
    <w:rsid w:val="00531271"/>
    <w:rsid w:val="005502A9"/>
    <w:rsid w:val="005A466E"/>
    <w:rsid w:val="005B1EE8"/>
    <w:rsid w:val="005C2407"/>
    <w:rsid w:val="005C2495"/>
    <w:rsid w:val="005E07EA"/>
    <w:rsid w:val="005E6328"/>
    <w:rsid w:val="00640AF6"/>
    <w:rsid w:val="00641B80"/>
    <w:rsid w:val="006454EE"/>
    <w:rsid w:val="00675DA6"/>
    <w:rsid w:val="006927CC"/>
    <w:rsid w:val="006B25C8"/>
    <w:rsid w:val="007032A4"/>
    <w:rsid w:val="00717C39"/>
    <w:rsid w:val="00721F9E"/>
    <w:rsid w:val="00744BB1"/>
    <w:rsid w:val="00765425"/>
    <w:rsid w:val="007818CC"/>
    <w:rsid w:val="00783C6C"/>
    <w:rsid w:val="007D3DD6"/>
    <w:rsid w:val="007F1903"/>
    <w:rsid w:val="007F1CC7"/>
    <w:rsid w:val="00803A32"/>
    <w:rsid w:val="00804092"/>
    <w:rsid w:val="00810CC6"/>
    <w:rsid w:val="008130DC"/>
    <w:rsid w:val="0082138D"/>
    <w:rsid w:val="0083353C"/>
    <w:rsid w:val="00836EB1"/>
    <w:rsid w:val="0087460C"/>
    <w:rsid w:val="008A781D"/>
    <w:rsid w:val="008B7C3B"/>
    <w:rsid w:val="008C0062"/>
    <w:rsid w:val="008E5E64"/>
    <w:rsid w:val="00904BC7"/>
    <w:rsid w:val="00930229"/>
    <w:rsid w:val="00962C8D"/>
    <w:rsid w:val="009637C7"/>
    <w:rsid w:val="00973D42"/>
    <w:rsid w:val="00992515"/>
    <w:rsid w:val="009B2771"/>
    <w:rsid w:val="009D2382"/>
    <w:rsid w:val="009E70E8"/>
    <w:rsid w:val="00A043B1"/>
    <w:rsid w:val="00A10FED"/>
    <w:rsid w:val="00A15CC3"/>
    <w:rsid w:val="00A335CB"/>
    <w:rsid w:val="00A47CBC"/>
    <w:rsid w:val="00AA694F"/>
    <w:rsid w:val="00AB313B"/>
    <w:rsid w:val="00AD43AD"/>
    <w:rsid w:val="00B20A77"/>
    <w:rsid w:val="00B25737"/>
    <w:rsid w:val="00B41FEA"/>
    <w:rsid w:val="00B719D9"/>
    <w:rsid w:val="00B857E8"/>
    <w:rsid w:val="00B94F25"/>
    <w:rsid w:val="00BC2B9C"/>
    <w:rsid w:val="00BF562A"/>
    <w:rsid w:val="00BF7731"/>
    <w:rsid w:val="00C02605"/>
    <w:rsid w:val="00C41D1A"/>
    <w:rsid w:val="00D21FE1"/>
    <w:rsid w:val="00DA1F8B"/>
    <w:rsid w:val="00DC32BD"/>
    <w:rsid w:val="00DD2C4A"/>
    <w:rsid w:val="00DD729D"/>
    <w:rsid w:val="00DD7EF4"/>
    <w:rsid w:val="00DE424E"/>
    <w:rsid w:val="00DE6E96"/>
    <w:rsid w:val="00DF368A"/>
    <w:rsid w:val="00E0395A"/>
    <w:rsid w:val="00E057BC"/>
    <w:rsid w:val="00E77CDC"/>
    <w:rsid w:val="00E86FE5"/>
    <w:rsid w:val="00E90155"/>
    <w:rsid w:val="00EA33EB"/>
    <w:rsid w:val="00EA560D"/>
    <w:rsid w:val="00F02BFE"/>
    <w:rsid w:val="00F15823"/>
    <w:rsid w:val="00F35F19"/>
    <w:rsid w:val="00F42F5E"/>
    <w:rsid w:val="00F83B42"/>
    <w:rsid w:val="00F9663F"/>
    <w:rsid w:val="00FA3339"/>
    <w:rsid w:val="00FB1651"/>
    <w:rsid w:val="00FB44FB"/>
    <w:rsid w:val="00FB7C9F"/>
    <w:rsid w:val="00FD6B48"/>
    <w:rsid w:val="00FF09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4F0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5160</Words>
  <Characters>29416</Characters>
  <Application>Microsoft Office Word</Application>
  <DocSecurity>4</DocSecurity>
  <Lines>245</Lines>
  <Paragraphs>69</Paragraphs>
  <ScaleCrop>false</ScaleCrop>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2022-06-13T10:53:00Z</dcterms:created>
  <dcterms:modified xsi:type="dcterms:W3CDTF">2022-06-13T10:53:00Z</dcterms:modified>
</cp:coreProperties>
</file>