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DE711" w14:textId="07906E64" w:rsidR="007F1903" w:rsidRPr="0002250C" w:rsidRDefault="007F1903" w:rsidP="0002250C">
      <w:pPr>
        <w:spacing w:line="360" w:lineRule="auto"/>
        <w:jc w:val="center"/>
        <w:rPr>
          <w:rFonts w:ascii="Verdana" w:hAnsi="Verdana"/>
          <w:b/>
          <w:sz w:val="18"/>
          <w:szCs w:val="18"/>
        </w:rPr>
      </w:pPr>
      <w:r w:rsidRPr="0002250C">
        <w:rPr>
          <w:rFonts w:ascii="Verdana" w:hAnsi="Verdana"/>
          <w:b/>
          <w:sz w:val="18"/>
          <w:szCs w:val="18"/>
        </w:rPr>
        <w:t>THE HIGH COURT</w:t>
      </w:r>
    </w:p>
    <w:p w14:paraId="65065FD9" w14:textId="5E491795" w:rsidR="007F1903" w:rsidRPr="0002250C" w:rsidRDefault="00E95001" w:rsidP="0002250C">
      <w:pPr>
        <w:spacing w:line="360" w:lineRule="auto"/>
        <w:jc w:val="center"/>
        <w:rPr>
          <w:rFonts w:ascii="Verdana" w:hAnsi="Verdana"/>
          <w:b/>
          <w:sz w:val="18"/>
          <w:szCs w:val="18"/>
        </w:rPr>
      </w:pPr>
      <w:r w:rsidRPr="0002250C">
        <w:rPr>
          <w:rFonts w:ascii="Verdana" w:hAnsi="Verdana"/>
          <w:b/>
          <w:sz w:val="18"/>
          <w:szCs w:val="18"/>
        </w:rPr>
        <w:t>JUDICIAL REVIEW</w:t>
      </w:r>
      <w:r w:rsidR="002758D9">
        <w:rPr>
          <w:rFonts w:ascii="Verdana" w:hAnsi="Verdana"/>
          <w:b/>
          <w:sz w:val="18"/>
          <w:szCs w:val="18"/>
        </w:rPr>
        <w:t xml:space="preserve"> </w:t>
      </w:r>
    </w:p>
    <w:p w14:paraId="0584807D" w14:textId="29674D6E" w:rsidR="00E07ED9" w:rsidRPr="0002250C" w:rsidRDefault="00F77AB3" w:rsidP="0002250C">
      <w:pPr>
        <w:spacing w:line="360" w:lineRule="auto"/>
        <w:jc w:val="right"/>
        <w:rPr>
          <w:rFonts w:ascii="Verdana" w:hAnsi="Verdana"/>
          <w:b/>
          <w:sz w:val="18"/>
          <w:szCs w:val="18"/>
        </w:rPr>
      </w:pPr>
      <w:r w:rsidRPr="00F77AB3">
        <w:rPr>
          <w:rFonts w:ascii="Verdana" w:hAnsi="Verdana"/>
          <w:b/>
          <w:sz w:val="18"/>
          <w:szCs w:val="18"/>
        </w:rPr>
        <w:t>[2022] IEHC 372</w:t>
      </w:r>
    </w:p>
    <w:p w14:paraId="4097FE98" w14:textId="3BA008F5" w:rsidR="007F1903" w:rsidRPr="0002250C" w:rsidRDefault="005A466E" w:rsidP="0002250C">
      <w:pPr>
        <w:spacing w:line="360" w:lineRule="auto"/>
        <w:jc w:val="right"/>
        <w:rPr>
          <w:rFonts w:ascii="Verdana" w:hAnsi="Verdana"/>
          <w:b/>
          <w:sz w:val="18"/>
          <w:szCs w:val="18"/>
        </w:rPr>
      </w:pPr>
      <w:r w:rsidRPr="0002250C">
        <w:rPr>
          <w:rFonts w:ascii="Verdana" w:hAnsi="Verdana"/>
          <w:b/>
          <w:sz w:val="18"/>
          <w:szCs w:val="18"/>
        </w:rPr>
        <w:t>[</w:t>
      </w:r>
      <w:r w:rsidR="007B66CA" w:rsidRPr="0002250C">
        <w:rPr>
          <w:rFonts w:ascii="Verdana" w:hAnsi="Verdana"/>
          <w:b/>
          <w:sz w:val="18"/>
          <w:szCs w:val="18"/>
        </w:rPr>
        <w:t>2022 No. 157 JR</w:t>
      </w:r>
      <w:r w:rsidR="00FF31D1" w:rsidRPr="0002250C">
        <w:rPr>
          <w:rFonts w:ascii="Verdana" w:hAnsi="Verdana"/>
          <w:b/>
          <w:sz w:val="18"/>
          <w:szCs w:val="18"/>
        </w:rPr>
        <w:t>]</w:t>
      </w:r>
    </w:p>
    <w:p w14:paraId="25D7A781" w14:textId="4FF31322" w:rsidR="00E95001" w:rsidRPr="0002250C" w:rsidRDefault="00E95001" w:rsidP="0002250C">
      <w:pPr>
        <w:spacing w:line="360" w:lineRule="auto"/>
        <w:jc w:val="both"/>
        <w:rPr>
          <w:rFonts w:ascii="Verdana" w:hAnsi="Verdana"/>
          <w:b/>
          <w:sz w:val="18"/>
          <w:szCs w:val="18"/>
        </w:rPr>
      </w:pPr>
      <w:r w:rsidRPr="0002250C">
        <w:rPr>
          <w:rFonts w:ascii="Verdana" w:hAnsi="Verdana"/>
          <w:b/>
          <w:sz w:val="18"/>
          <w:szCs w:val="18"/>
        </w:rPr>
        <w:t>BETWEEN</w:t>
      </w:r>
    </w:p>
    <w:p w14:paraId="5D41CB2A" w14:textId="00C8111A" w:rsidR="00E95001" w:rsidRPr="0002250C" w:rsidRDefault="00E95001" w:rsidP="0002250C">
      <w:pPr>
        <w:spacing w:line="360" w:lineRule="auto"/>
        <w:jc w:val="center"/>
        <w:rPr>
          <w:rFonts w:ascii="Verdana" w:hAnsi="Verdana"/>
          <w:b/>
          <w:sz w:val="18"/>
          <w:szCs w:val="18"/>
        </w:rPr>
      </w:pPr>
      <w:r w:rsidRPr="0002250C">
        <w:rPr>
          <w:rFonts w:ascii="Verdana" w:hAnsi="Verdana"/>
          <w:b/>
          <w:sz w:val="18"/>
          <w:szCs w:val="18"/>
        </w:rPr>
        <w:t>MARTIN STAPLETON</w:t>
      </w:r>
    </w:p>
    <w:p w14:paraId="401BF927" w14:textId="644AA45C" w:rsidR="00E95001" w:rsidRPr="0002250C" w:rsidRDefault="00E95001" w:rsidP="0002250C">
      <w:pPr>
        <w:spacing w:line="360" w:lineRule="auto"/>
        <w:jc w:val="right"/>
        <w:rPr>
          <w:rFonts w:ascii="Verdana" w:hAnsi="Verdana"/>
          <w:b/>
          <w:sz w:val="18"/>
          <w:szCs w:val="18"/>
        </w:rPr>
      </w:pPr>
      <w:r w:rsidRPr="0002250C">
        <w:rPr>
          <w:rFonts w:ascii="Verdana" w:hAnsi="Verdana"/>
          <w:b/>
          <w:sz w:val="18"/>
          <w:szCs w:val="18"/>
        </w:rPr>
        <w:t>APPLICANT</w:t>
      </w:r>
    </w:p>
    <w:p w14:paraId="7A1254C7" w14:textId="5316EF41" w:rsidR="00E95001" w:rsidRPr="0002250C" w:rsidRDefault="00E95001" w:rsidP="0002250C">
      <w:pPr>
        <w:spacing w:line="360" w:lineRule="auto"/>
        <w:jc w:val="center"/>
        <w:rPr>
          <w:rFonts w:ascii="Verdana" w:hAnsi="Verdana"/>
          <w:b/>
          <w:sz w:val="18"/>
          <w:szCs w:val="18"/>
        </w:rPr>
      </w:pPr>
      <w:r w:rsidRPr="0002250C">
        <w:rPr>
          <w:rFonts w:ascii="Verdana" w:hAnsi="Verdana"/>
          <w:b/>
          <w:sz w:val="18"/>
          <w:szCs w:val="18"/>
        </w:rPr>
        <w:t>AND</w:t>
      </w:r>
    </w:p>
    <w:p w14:paraId="5E0BFCDF" w14:textId="2B5E4955" w:rsidR="00E95001" w:rsidRPr="0002250C" w:rsidRDefault="00E95001" w:rsidP="0002250C">
      <w:pPr>
        <w:spacing w:line="360" w:lineRule="auto"/>
        <w:jc w:val="center"/>
        <w:rPr>
          <w:rFonts w:ascii="Verdana" w:hAnsi="Verdana"/>
          <w:b/>
          <w:sz w:val="18"/>
          <w:szCs w:val="18"/>
        </w:rPr>
      </w:pPr>
      <w:r w:rsidRPr="0002250C">
        <w:rPr>
          <w:rFonts w:ascii="Verdana" w:hAnsi="Verdana"/>
          <w:b/>
          <w:sz w:val="18"/>
          <w:szCs w:val="18"/>
        </w:rPr>
        <w:t>AN BORD PLEANÁLA</w:t>
      </w:r>
      <w:r w:rsidR="00B87201">
        <w:rPr>
          <w:rFonts w:ascii="Verdana" w:hAnsi="Verdana"/>
          <w:b/>
          <w:sz w:val="18"/>
          <w:szCs w:val="18"/>
        </w:rPr>
        <w:t>,</w:t>
      </w:r>
    </w:p>
    <w:p w14:paraId="0CF0CCBC" w14:textId="132A9AC2" w:rsidR="00E95001" w:rsidRPr="0002250C" w:rsidRDefault="00E95001" w:rsidP="0002250C">
      <w:pPr>
        <w:spacing w:line="360" w:lineRule="auto"/>
        <w:jc w:val="center"/>
        <w:rPr>
          <w:rFonts w:ascii="Verdana" w:hAnsi="Verdana"/>
          <w:b/>
          <w:sz w:val="18"/>
          <w:szCs w:val="18"/>
        </w:rPr>
      </w:pPr>
      <w:r w:rsidRPr="0002250C">
        <w:rPr>
          <w:rFonts w:ascii="Verdana" w:hAnsi="Verdana"/>
          <w:b/>
          <w:sz w:val="18"/>
          <w:szCs w:val="18"/>
        </w:rPr>
        <w:t>THE MINISTER FOR HOUSING, LOCAL GOVERNMENT AND HERITAGE</w:t>
      </w:r>
      <w:r w:rsidR="00B87201">
        <w:rPr>
          <w:rFonts w:ascii="Verdana" w:hAnsi="Verdana"/>
          <w:b/>
          <w:sz w:val="18"/>
          <w:szCs w:val="18"/>
        </w:rPr>
        <w:t>,</w:t>
      </w:r>
    </w:p>
    <w:p w14:paraId="0CEAF3FC" w14:textId="1FB2F236" w:rsidR="00E95001" w:rsidRPr="0002250C" w:rsidRDefault="00E95001" w:rsidP="0002250C">
      <w:pPr>
        <w:spacing w:line="360" w:lineRule="auto"/>
        <w:jc w:val="center"/>
        <w:rPr>
          <w:rFonts w:ascii="Verdana" w:hAnsi="Verdana"/>
          <w:b/>
          <w:sz w:val="18"/>
          <w:szCs w:val="18"/>
        </w:rPr>
      </w:pPr>
      <w:r w:rsidRPr="0002250C">
        <w:rPr>
          <w:rFonts w:ascii="Verdana" w:hAnsi="Verdana"/>
          <w:b/>
          <w:sz w:val="18"/>
          <w:szCs w:val="18"/>
        </w:rPr>
        <w:t>IRELAND AND THE ATTORNEY GENERAL</w:t>
      </w:r>
    </w:p>
    <w:p w14:paraId="2C9EBA0E" w14:textId="18850D64" w:rsidR="00E95001" w:rsidRPr="0002250C" w:rsidRDefault="00E95001" w:rsidP="0002250C">
      <w:pPr>
        <w:spacing w:line="360" w:lineRule="auto"/>
        <w:jc w:val="right"/>
        <w:rPr>
          <w:rFonts w:ascii="Verdana" w:hAnsi="Verdana"/>
          <w:b/>
          <w:sz w:val="18"/>
          <w:szCs w:val="18"/>
        </w:rPr>
      </w:pPr>
      <w:r w:rsidRPr="0002250C">
        <w:rPr>
          <w:rFonts w:ascii="Verdana" w:hAnsi="Verdana"/>
          <w:b/>
          <w:sz w:val="18"/>
          <w:szCs w:val="18"/>
        </w:rPr>
        <w:t>RESPONDENTS</w:t>
      </w:r>
    </w:p>
    <w:p w14:paraId="605464B4" w14:textId="3EA6341C" w:rsidR="00E95001" w:rsidRPr="0002250C" w:rsidRDefault="00E95001" w:rsidP="0002250C">
      <w:pPr>
        <w:spacing w:line="360" w:lineRule="auto"/>
        <w:jc w:val="center"/>
        <w:rPr>
          <w:rFonts w:ascii="Verdana" w:hAnsi="Verdana"/>
          <w:b/>
          <w:sz w:val="18"/>
          <w:szCs w:val="18"/>
        </w:rPr>
      </w:pPr>
      <w:r w:rsidRPr="0002250C">
        <w:rPr>
          <w:rFonts w:ascii="Verdana" w:hAnsi="Verdana"/>
          <w:b/>
          <w:sz w:val="18"/>
          <w:szCs w:val="18"/>
        </w:rPr>
        <w:t>AND</w:t>
      </w:r>
    </w:p>
    <w:p w14:paraId="60D5450A" w14:textId="39B5EBFA" w:rsidR="00E95001" w:rsidRPr="0002250C" w:rsidRDefault="00E95001" w:rsidP="0002250C">
      <w:pPr>
        <w:spacing w:line="360" w:lineRule="auto"/>
        <w:jc w:val="center"/>
        <w:rPr>
          <w:rFonts w:ascii="Verdana" w:hAnsi="Verdana"/>
          <w:b/>
          <w:sz w:val="18"/>
          <w:szCs w:val="18"/>
        </w:rPr>
      </w:pPr>
      <w:r w:rsidRPr="0002250C">
        <w:rPr>
          <w:rFonts w:ascii="Verdana" w:hAnsi="Verdana"/>
          <w:b/>
          <w:sz w:val="18"/>
          <w:szCs w:val="18"/>
        </w:rPr>
        <w:t>SAVONA L</w:t>
      </w:r>
      <w:r w:rsidR="009D7B2C" w:rsidRPr="0002250C">
        <w:rPr>
          <w:rFonts w:ascii="Verdana" w:hAnsi="Verdana"/>
          <w:b/>
          <w:sz w:val="18"/>
          <w:szCs w:val="18"/>
        </w:rPr>
        <w:t>IMITED</w:t>
      </w:r>
      <w:r w:rsidR="00B87201">
        <w:rPr>
          <w:rFonts w:ascii="Verdana" w:hAnsi="Verdana"/>
          <w:b/>
          <w:sz w:val="18"/>
          <w:szCs w:val="18"/>
        </w:rPr>
        <w:t xml:space="preserve"> </w:t>
      </w:r>
      <w:r w:rsidRPr="0002250C">
        <w:rPr>
          <w:rFonts w:ascii="Verdana" w:hAnsi="Verdana"/>
          <w:b/>
          <w:sz w:val="18"/>
          <w:szCs w:val="18"/>
        </w:rPr>
        <w:t>AND</w:t>
      </w:r>
      <w:r w:rsidR="00B87201">
        <w:rPr>
          <w:rFonts w:ascii="Verdana" w:hAnsi="Verdana"/>
          <w:b/>
          <w:sz w:val="18"/>
          <w:szCs w:val="18"/>
        </w:rPr>
        <w:t xml:space="preserve"> </w:t>
      </w:r>
      <w:r w:rsidRPr="0002250C">
        <w:rPr>
          <w:rFonts w:ascii="Verdana" w:hAnsi="Verdana"/>
          <w:b/>
          <w:sz w:val="18"/>
          <w:szCs w:val="18"/>
        </w:rPr>
        <w:t>DUBLIN CITY COUNCIL</w:t>
      </w:r>
    </w:p>
    <w:p w14:paraId="14AC80E9" w14:textId="64C06350" w:rsidR="002E41CE" w:rsidRPr="0002250C" w:rsidRDefault="00E95001" w:rsidP="0002250C">
      <w:pPr>
        <w:spacing w:line="360" w:lineRule="auto"/>
        <w:jc w:val="right"/>
        <w:rPr>
          <w:rFonts w:ascii="Verdana" w:hAnsi="Verdana"/>
          <w:b/>
          <w:sz w:val="18"/>
          <w:szCs w:val="18"/>
        </w:rPr>
      </w:pPr>
      <w:r w:rsidRPr="0002250C">
        <w:rPr>
          <w:rFonts w:ascii="Verdana" w:hAnsi="Verdana"/>
          <w:b/>
          <w:sz w:val="18"/>
          <w:szCs w:val="18"/>
        </w:rPr>
        <w:t>NOTICE PARTIES</w:t>
      </w:r>
    </w:p>
    <w:p w14:paraId="38DA2F6E" w14:textId="367611AB" w:rsidR="002E41CE" w:rsidRPr="0002250C" w:rsidRDefault="00FF31D1" w:rsidP="0002250C">
      <w:pPr>
        <w:spacing w:line="360" w:lineRule="auto"/>
        <w:ind w:left="567" w:hanging="567"/>
        <w:jc w:val="both"/>
        <w:rPr>
          <w:rFonts w:ascii="Verdana" w:hAnsi="Verdana"/>
          <w:b/>
          <w:sz w:val="18"/>
          <w:szCs w:val="18"/>
        </w:rPr>
      </w:pPr>
      <w:r w:rsidRPr="0002250C">
        <w:rPr>
          <w:rFonts w:ascii="Verdana" w:hAnsi="Verdana"/>
          <w:b/>
          <w:sz w:val="18"/>
          <w:szCs w:val="18"/>
        </w:rPr>
        <w:t>JUDGMENT of</w:t>
      </w:r>
      <w:r w:rsidR="002E41CE" w:rsidRPr="0002250C">
        <w:rPr>
          <w:rFonts w:ascii="Verdana" w:hAnsi="Verdana"/>
          <w:b/>
          <w:sz w:val="18"/>
          <w:szCs w:val="18"/>
        </w:rPr>
        <w:t xml:space="preserve"> </w:t>
      </w:r>
      <w:r w:rsidRPr="0002250C">
        <w:rPr>
          <w:rFonts w:ascii="Verdana" w:hAnsi="Verdana"/>
          <w:b/>
          <w:sz w:val="18"/>
          <w:szCs w:val="18"/>
        </w:rPr>
        <w:t>Humphreys</w:t>
      </w:r>
      <w:r w:rsidR="00142C0F" w:rsidRPr="0002250C">
        <w:rPr>
          <w:rFonts w:ascii="Verdana" w:hAnsi="Verdana"/>
          <w:b/>
          <w:sz w:val="18"/>
          <w:szCs w:val="18"/>
        </w:rPr>
        <w:t xml:space="preserve"> J.</w:t>
      </w:r>
      <w:r w:rsidR="001C6AFA" w:rsidRPr="0002250C">
        <w:rPr>
          <w:rFonts w:ascii="Verdana" w:hAnsi="Verdana"/>
          <w:b/>
          <w:sz w:val="18"/>
          <w:szCs w:val="18"/>
        </w:rPr>
        <w:t xml:space="preserve"> </w:t>
      </w:r>
      <w:r w:rsidR="002E41CE" w:rsidRPr="0002250C">
        <w:rPr>
          <w:rFonts w:ascii="Verdana" w:hAnsi="Verdana"/>
          <w:b/>
          <w:sz w:val="18"/>
          <w:szCs w:val="18"/>
        </w:rPr>
        <w:t xml:space="preserve">delivered on </w:t>
      </w:r>
      <w:r w:rsidR="004A2BF8">
        <w:rPr>
          <w:rFonts w:ascii="Verdana" w:hAnsi="Verdana"/>
          <w:b/>
          <w:sz w:val="18"/>
          <w:szCs w:val="18"/>
        </w:rPr>
        <w:t>Wednesday</w:t>
      </w:r>
      <w:r w:rsidR="00142C0F" w:rsidRPr="0002250C">
        <w:rPr>
          <w:rFonts w:ascii="Verdana" w:hAnsi="Verdana"/>
          <w:b/>
          <w:sz w:val="18"/>
          <w:szCs w:val="18"/>
        </w:rPr>
        <w:t xml:space="preserve"> </w:t>
      </w:r>
      <w:r w:rsidR="002E41CE" w:rsidRPr="0002250C">
        <w:rPr>
          <w:rFonts w:ascii="Verdana" w:hAnsi="Verdana"/>
          <w:b/>
          <w:sz w:val="18"/>
          <w:szCs w:val="18"/>
        </w:rPr>
        <w:t>the</w:t>
      </w:r>
      <w:r w:rsidR="00142C0F" w:rsidRPr="0002250C">
        <w:rPr>
          <w:rFonts w:ascii="Verdana" w:hAnsi="Verdana"/>
          <w:b/>
          <w:sz w:val="18"/>
          <w:szCs w:val="18"/>
        </w:rPr>
        <w:t xml:space="preserve"> </w:t>
      </w:r>
      <w:r w:rsidR="004A2BF8">
        <w:rPr>
          <w:rFonts w:ascii="Verdana" w:hAnsi="Verdana"/>
          <w:b/>
          <w:sz w:val="18"/>
          <w:szCs w:val="18"/>
        </w:rPr>
        <w:t>22nd</w:t>
      </w:r>
      <w:r w:rsidR="00142C0F" w:rsidRPr="0002250C">
        <w:rPr>
          <w:rFonts w:ascii="Verdana" w:hAnsi="Verdana"/>
          <w:b/>
          <w:sz w:val="18"/>
          <w:szCs w:val="18"/>
        </w:rPr>
        <w:t xml:space="preserve"> </w:t>
      </w:r>
      <w:r w:rsidR="002E41CE" w:rsidRPr="0002250C">
        <w:rPr>
          <w:rFonts w:ascii="Verdana" w:hAnsi="Verdana"/>
          <w:b/>
          <w:sz w:val="18"/>
          <w:szCs w:val="18"/>
        </w:rPr>
        <w:t xml:space="preserve">day </w:t>
      </w:r>
      <w:r w:rsidRPr="0002250C">
        <w:rPr>
          <w:rFonts w:ascii="Verdana" w:hAnsi="Verdana"/>
          <w:b/>
          <w:sz w:val="18"/>
          <w:szCs w:val="18"/>
        </w:rPr>
        <w:t>of</w:t>
      </w:r>
      <w:r w:rsidR="00142C0F" w:rsidRPr="0002250C">
        <w:rPr>
          <w:rFonts w:ascii="Verdana" w:hAnsi="Verdana"/>
          <w:b/>
          <w:sz w:val="18"/>
          <w:szCs w:val="18"/>
        </w:rPr>
        <w:t xml:space="preserve"> </w:t>
      </w:r>
      <w:proofErr w:type="gramStart"/>
      <w:r w:rsidR="004A2BF8">
        <w:rPr>
          <w:rFonts w:ascii="Verdana" w:hAnsi="Verdana"/>
          <w:b/>
          <w:sz w:val="18"/>
          <w:szCs w:val="18"/>
        </w:rPr>
        <w:t>June</w:t>
      </w:r>
      <w:r w:rsidRPr="0002250C">
        <w:rPr>
          <w:rFonts w:ascii="Verdana" w:hAnsi="Verdana"/>
          <w:b/>
          <w:sz w:val="18"/>
          <w:szCs w:val="18"/>
        </w:rPr>
        <w:t>,</w:t>
      </w:r>
      <w:proofErr w:type="gramEnd"/>
      <w:r w:rsidRPr="0002250C">
        <w:rPr>
          <w:rFonts w:ascii="Verdana" w:hAnsi="Verdana"/>
          <w:b/>
          <w:sz w:val="18"/>
          <w:szCs w:val="18"/>
        </w:rPr>
        <w:t xml:space="preserve"> 2022</w:t>
      </w:r>
    </w:p>
    <w:p w14:paraId="6E28774F" w14:textId="621A9423" w:rsidR="007C5DDB" w:rsidRPr="0002250C" w:rsidRDefault="009350F4" w:rsidP="0002250C">
      <w:pPr>
        <w:pStyle w:val="ListParagraph"/>
        <w:numPr>
          <w:ilvl w:val="0"/>
          <w:numId w:val="4"/>
        </w:numPr>
        <w:spacing w:after="240" w:line="360" w:lineRule="auto"/>
        <w:ind w:left="567" w:hanging="567"/>
        <w:contextualSpacing w:val="0"/>
        <w:jc w:val="both"/>
        <w:rPr>
          <w:rFonts w:ascii="Verdana" w:hAnsi="Verdana"/>
          <w:b/>
          <w:sz w:val="18"/>
          <w:szCs w:val="18"/>
        </w:rPr>
      </w:pPr>
      <w:r w:rsidRPr="0002250C">
        <w:rPr>
          <w:rFonts w:ascii="Verdana" w:hAnsi="Verdana"/>
          <w:sz w:val="18"/>
          <w:szCs w:val="18"/>
        </w:rPr>
        <w:t xml:space="preserve">This </w:t>
      </w:r>
      <w:r w:rsidR="00EE520E" w:rsidRPr="0002250C">
        <w:rPr>
          <w:rFonts w:ascii="Verdana" w:hAnsi="Verdana"/>
          <w:sz w:val="18"/>
          <w:szCs w:val="18"/>
        </w:rPr>
        <w:t>matter</w:t>
      </w:r>
      <w:r w:rsidRPr="0002250C">
        <w:rPr>
          <w:rFonts w:ascii="Verdana" w:hAnsi="Verdana"/>
          <w:sz w:val="18"/>
          <w:szCs w:val="18"/>
        </w:rPr>
        <w:t xml:space="preserve"> arises from a decision by the </w:t>
      </w:r>
      <w:r w:rsidR="00923800" w:rsidRPr="0002250C">
        <w:rPr>
          <w:rFonts w:ascii="Verdana" w:hAnsi="Verdana"/>
          <w:sz w:val="18"/>
          <w:szCs w:val="18"/>
        </w:rPr>
        <w:t>b</w:t>
      </w:r>
      <w:r w:rsidRPr="0002250C">
        <w:rPr>
          <w:rFonts w:ascii="Verdana" w:hAnsi="Verdana"/>
          <w:sz w:val="18"/>
          <w:szCs w:val="18"/>
        </w:rPr>
        <w:t>oard on 23</w:t>
      </w:r>
      <w:r w:rsidRPr="0002250C">
        <w:rPr>
          <w:rFonts w:ascii="Verdana" w:hAnsi="Verdana"/>
          <w:sz w:val="18"/>
          <w:szCs w:val="18"/>
          <w:vertAlign w:val="superscript"/>
        </w:rPr>
        <w:t>rd</w:t>
      </w:r>
      <w:r w:rsidRPr="0002250C">
        <w:rPr>
          <w:rFonts w:ascii="Verdana" w:hAnsi="Verdana"/>
          <w:sz w:val="18"/>
          <w:szCs w:val="18"/>
        </w:rPr>
        <w:t xml:space="preserve"> </w:t>
      </w:r>
      <w:proofErr w:type="gramStart"/>
      <w:r w:rsidRPr="0002250C">
        <w:rPr>
          <w:rFonts w:ascii="Verdana" w:hAnsi="Verdana"/>
          <w:sz w:val="18"/>
          <w:szCs w:val="18"/>
        </w:rPr>
        <w:t>December,</w:t>
      </w:r>
      <w:proofErr w:type="gramEnd"/>
      <w:r w:rsidRPr="0002250C">
        <w:rPr>
          <w:rFonts w:ascii="Verdana" w:hAnsi="Verdana"/>
          <w:sz w:val="18"/>
          <w:szCs w:val="18"/>
        </w:rPr>
        <w:t xml:space="preserve"> 2021 to grant permission for a strategic housing development in Clontarf</w:t>
      </w:r>
      <w:r w:rsidR="00EE520E" w:rsidRPr="0002250C">
        <w:rPr>
          <w:rFonts w:ascii="Verdana" w:hAnsi="Verdana"/>
          <w:sz w:val="18"/>
          <w:szCs w:val="18"/>
        </w:rPr>
        <w:t>, Dublin 3.</w:t>
      </w:r>
    </w:p>
    <w:p w14:paraId="55F278D2" w14:textId="77777777" w:rsidR="00350BE0" w:rsidRPr="0002250C" w:rsidRDefault="009350F4" w:rsidP="0002250C">
      <w:pPr>
        <w:pStyle w:val="ListParagraph"/>
        <w:numPr>
          <w:ilvl w:val="0"/>
          <w:numId w:val="4"/>
        </w:numPr>
        <w:spacing w:after="240" w:line="360" w:lineRule="auto"/>
        <w:ind w:left="567" w:hanging="567"/>
        <w:contextualSpacing w:val="0"/>
        <w:jc w:val="both"/>
        <w:rPr>
          <w:rFonts w:ascii="Verdana" w:hAnsi="Verdana"/>
          <w:b/>
          <w:sz w:val="18"/>
          <w:szCs w:val="18"/>
        </w:rPr>
      </w:pPr>
      <w:r w:rsidRPr="0002250C">
        <w:rPr>
          <w:rFonts w:ascii="Verdana" w:hAnsi="Verdana"/>
          <w:sz w:val="18"/>
          <w:szCs w:val="18"/>
        </w:rPr>
        <w:t>The statement of grounds was filed on 25</w:t>
      </w:r>
      <w:r w:rsidRPr="0002250C">
        <w:rPr>
          <w:rFonts w:ascii="Verdana" w:hAnsi="Verdana"/>
          <w:sz w:val="18"/>
          <w:szCs w:val="18"/>
          <w:vertAlign w:val="superscript"/>
        </w:rPr>
        <w:t>th</w:t>
      </w:r>
      <w:r w:rsidRPr="0002250C">
        <w:rPr>
          <w:rFonts w:ascii="Verdana" w:hAnsi="Verdana"/>
          <w:sz w:val="18"/>
          <w:szCs w:val="18"/>
        </w:rPr>
        <w:t xml:space="preserve"> </w:t>
      </w:r>
      <w:proofErr w:type="gramStart"/>
      <w:r w:rsidRPr="0002250C">
        <w:rPr>
          <w:rFonts w:ascii="Verdana" w:hAnsi="Verdana"/>
          <w:sz w:val="18"/>
          <w:szCs w:val="18"/>
        </w:rPr>
        <w:t>February,</w:t>
      </w:r>
      <w:proofErr w:type="gramEnd"/>
      <w:r w:rsidRPr="0002250C">
        <w:rPr>
          <w:rFonts w:ascii="Verdana" w:hAnsi="Verdana"/>
          <w:sz w:val="18"/>
          <w:szCs w:val="18"/>
        </w:rPr>
        <w:t xml:space="preserve"> 2022 and amended statements filed on 16</w:t>
      </w:r>
      <w:r w:rsidRPr="0002250C">
        <w:rPr>
          <w:rFonts w:ascii="Verdana" w:hAnsi="Verdana"/>
          <w:sz w:val="18"/>
          <w:szCs w:val="18"/>
          <w:vertAlign w:val="superscript"/>
        </w:rPr>
        <w:t>th</w:t>
      </w:r>
      <w:r w:rsidRPr="0002250C">
        <w:rPr>
          <w:rFonts w:ascii="Verdana" w:hAnsi="Verdana"/>
          <w:sz w:val="18"/>
          <w:szCs w:val="18"/>
        </w:rPr>
        <w:t xml:space="preserve"> and 23</w:t>
      </w:r>
      <w:r w:rsidRPr="0002250C">
        <w:rPr>
          <w:rFonts w:ascii="Verdana" w:hAnsi="Verdana"/>
          <w:sz w:val="18"/>
          <w:szCs w:val="18"/>
          <w:vertAlign w:val="superscript"/>
        </w:rPr>
        <w:t>rd</w:t>
      </w:r>
      <w:r w:rsidRPr="0002250C">
        <w:rPr>
          <w:rFonts w:ascii="Verdana" w:hAnsi="Verdana"/>
          <w:sz w:val="18"/>
          <w:szCs w:val="18"/>
        </w:rPr>
        <w:t xml:space="preserve"> March, 2022.</w:t>
      </w:r>
      <w:r w:rsidR="00350BE0" w:rsidRPr="0002250C">
        <w:rPr>
          <w:rFonts w:ascii="Verdana" w:hAnsi="Verdana"/>
          <w:sz w:val="18"/>
          <w:szCs w:val="18"/>
        </w:rPr>
        <w:t xml:space="preserve">  </w:t>
      </w:r>
      <w:r w:rsidRPr="0002250C">
        <w:rPr>
          <w:rFonts w:ascii="Verdana" w:hAnsi="Verdana"/>
          <w:sz w:val="18"/>
          <w:szCs w:val="18"/>
        </w:rPr>
        <w:t>The relief sought is as follows:</w:t>
      </w:r>
    </w:p>
    <w:p w14:paraId="52F099A2" w14:textId="77777777" w:rsidR="00367256" w:rsidRPr="0002250C" w:rsidRDefault="00350BE0" w:rsidP="0002250C">
      <w:pPr>
        <w:pStyle w:val="ListParagraph"/>
        <w:spacing w:after="240" w:line="360" w:lineRule="auto"/>
        <w:ind w:left="1418" w:hanging="567"/>
        <w:contextualSpacing w:val="0"/>
        <w:jc w:val="both"/>
        <w:rPr>
          <w:rFonts w:ascii="Verdana" w:hAnsi="Verdana"/>
          <w:sz w:val="18"/>
          <w:szCs w:val="18"/>
        </w:rPr>
      </w:pPr>
      <w:r w:rsidRPr="0002250C">
        <w:rPr>
          <w:rFonts w:ascii="Verdana" w:hAnsi="Verdana"/>
          <w:sz w:val="18"/>
          <w:szCs w:val="18"/>
        </w:rPr>
        <w:t>“</w:t>
      </w:r>
      <w:r w:rsidR="00367256" w:rsidRPr="0002250C">
        <w:rPr>
          <w:rFonts w:ascii="Verdana" w:hAnsi="Verdana"/>
          <w:sz w:val="18"/>
          <w:szCs w:val="18"/>
        </w:rPr>
        <w:t>1.</w:t>
      </w:r>
      <w:r w:rsidR="00367256" w:rsidRPr="0002250C">
        <w:rPr>
          <w:rFonts w:ascii="Verdana" w:hAnsi="Verdana"/>
          <w:sz w:val="18"/>
          <w:szCs w:val="18"/>
        </w:rPr>
        <w:tab/>
        <w:t>An Order of Certiorari pursuant to Order 84 of the Rules of the Superior Courts 1986 as amended and Section 50 of the Planning and Development Act 2000 as amended quashing the decision of the First Respondent, An Bord Pleanála (the Board), dated 23 December 2021, file reference 311333, authorising a proposed strategic housing development of 131 build-to-rent apartment units at Redcourt, Seafield Road, Clontarf, Dublin.</w:t>
      </w:r>
    </w:p>
    <w:p w14:paraId="7342C92B" w14:textId="77777777" w:rsidR="00367256" w:rsidRPr="0002250C" w:rsidRDefault="00367256" w:rsidP="0002250C">
      <w:pPr>
        <w:pStyle w:val="ListParagraph"/>
        <w:spacing w:after="240" w:line="360" w:lineRule="auto"/>
        <w:ind w:left="1418" w:hanging="567"/>
        <w:contextualSpacing w:val="0"/>
        <w:jc w:val="both"/>
        <w:rPr>
          <w:rFonts w:ascii="Verdana" w:hAnsi="Verdana"/>
          <w:sz w:val="18"/>
          <w:szCs w:val="18"/>
        </w:rPr>
      </w:pPr>
      <w:r w:rsidRPr="0002250C">
        <w:rPr>
          <w:rFonts w:ascii="Verdana" w:hAnsi="Verdana"/>
          <w:sz w:val="18"/>
          <w:szCs w:val="18"/>
        </w:rPr>
        <w:t>2.</w:t>
      </w:r>
      <w:r w:rsidRPr="0002250C">
        <w:rPr>
          <w:rFonts w:ascii="Verdana" w:hAnsi="Verdana"/>
          <w:sz w:val="18"/>
          <w:szCs w:val="18"/>
        </w:rPr>
        <w:tab/>
        <w:t>Such declaration(s) of the legal rights and/or legal position of the applicant and (if and insofar as legally permissible and appropriate) persons similarly situated and/or of the legal duties and/or legal position of the Respondents as the court considers appropriate.</w:t>
      </w:r>
    </w:p>
    <w:p w14:paraId="642C7759" w14:textId="77777777" w:rsidR="00367256" w:rsidRPr="0002250C" w:rsidRDefault="00367256" w:rsidP="0002250C">
      <w:pPr>
        <w:pStyle w:val="ListParagraph"/>
        <w:spacing w:after="240" w:line="360" w:lineRule="auto"/>
        <w:ind w:left="1418" w:hanging="567"/>
        <w:contextualSpacing w:val="0"/>
        <w:jc w:val="both"/>
        <w:rPr>
          <w:rFonts w:ascii="Verdana" w:hAnsi="Verdana"/>
          <w:sz w:val="18"/>
          <w:szCs w:val="18"/>
        </w:rPr>
      </w:pPr>
      <w:r w:rsidRPr="0002250C">
        <w:rPr>
          <w:rFonts w:ascii="Verdana" w:hAnsi="Verdana"/>
          <w:sz w:val="18"/>
          <w:szCs w:val="18"/>
        </w:rPr>
        <w:t>3.</w:t>
      </w:r>
      <w:r w:rsidRPr="0002250C">
        <w:rPr>
          <w:rFonts w:ascii="Verdana" w:hAnsi="Verdana"/>
          <w:sz w:val="18"/>
          <w:szCs w:val="18"/>
        </w:rPr>
        <w:tab/>
        <w:t>A declaration that the Urban Development and Building Heights Guidelines for Planning Authorities 2018 (and / or 2020) are invalid, ultra vires and / or unconstitutional and should be set aside.</w:t>
      </w:r>
    </w:p>
    <w:p w14:paraId="18EB6D92" w14:textId="77777777" w:rsidR="00367256" w:rsidRPr="0002250C" w:rsidRDefault="00367256" w:rsidP="0002250C">
      <w:pPr>
        <w:pStyle w:val="ListParagraph"/>
        <w:spacing w:after="240" w:line="360" w:lineRule="auto"/>
        <w:ind w:left="1418" w:hanging="567"/>
        <w:contextualSpacing w:val="0"/>
        <w:jc w:val="both"/>
        <w:rPr>
          <w:rFonts w:ascii="Verdana" w:hAnsi="Verdana"/>
          <w:sz w:val="18"/>
          <w:szCs w:val="18"/>
        </w:rPr>
      </w:pPr>
      <w:r w:rsidRPr="0002250C">
        <w:rPr>
          <w:rFonts w:ascii="Verdana" w:hAnsi="Verdana"/>
          <w:sz w:val="18"/>
          <w:szCs w:val="18"/>
        </w:rPr>
        <w:t>4.</w:t>
      </w:r>
      <w:r w:rsidRPr="0002250C">
        <w:rPr>
          <w:rFonts w:ascii="Verdana" w:hAnsi="Verdana"/>
          <w:sz w:val="18"/>
          <w:szCs w:val="18"/>
        </w:rPr>
        <w:tab/>
        <w:t xml:space="preserve">A stay pursuant to Order 84 Rule 20(8)(b) of the Rules of the Superior Courts on the operation of the </w:t>
      </w:r>
      <w:proofErr w:type="gramStart"/>
      <w:r w:rsidRPr="0002250C">
        <w:rPr>
          <w:rFonts w:ascii="Verdana" w:hAnsi="Verdana"/>
          <w:sz w:val="18"/>
          <w:szCs w:val="18"/>
        </w:rPr>
        <w:t>above Board</w:t>
      </w:r>
      <w:proofErr w:type="gramEnd"/>
      <w:r w:rsidRPr="0002250C">
        <w:rPr>
          <w:rFonts w:ascii="Verdana" w:hAnsi="Verdana"/>
          <w:sz w:val="18"/>
          <w:szCs w:val="18"/>
        </w:rPr>
        <w:t xml:space="preserve"> Decision of 23 December 2021, file reference 311333, pending conclusion of the present proceedings.</w:t>
      </w:r>
    </w:p>
    <w:p w14:paraId="1AD74485" w14:textId="77777777" w:rsidR="00367256" w:rsidRPr="0002250C" w:rsidRDefault="00367256" w:rsidP="0002250C">
      <w:pPr>
        <w:pStyle w:val="ListParagraph"/>
        <w:spacing w:after="240" w:line="360" w:lineRule="auto"/>
        <w:ind w:left="1418" w:hanging="567"/>
        <w:contextualSpacing w:val="0"/>
        <w:jc w:val="both"/>
        <w:rPr>
          <w:rFonts w:ascii="Verdana" w:hAnsi="Verdana"/>
          <w:sz w:val="18"/>
          <w:szCs w:val="18"/>
        </w:rPr>
      </w:pPr>
      <w:r w:rsidRPr="0002250C">
        <w:rPr>
          <w:rFonts w:ascii="Verdana" w:hAnsi="Verdana"/>
          <w:sz w:val="18"/>
          <w:szCs w:val="18"/>
        </w:rPr>
        <w:t>5.</w:t>
      </w:r>
      <w:r w:rsidRPr="0002250C">
        <w:rPr>
          <w:rFonts w:ascii="Verdana" w:hAnsi="Verdana"/>
          <w:sz w:val="18"/>
          <w:szCs w:val="18"/>
        </w:rPr>
        <w:tab/>
        <w:t xml:space="preserve">A Declaratory Order pursuant to Section 7 of the Environment (Miscellaneous Provisions) Act 2011 as amended, Order 99 of the Rules of the Superior Courts as </w:t>
      </w:r>
      <w:r w:rsidRPr="0002250C">
        <w:rPr>
          <w:rFonts w:ascii="Verdana" w:hAnsi="Verdana"/>
          <w:sz w:val="18"/>
          <w:szCs w:val="18"/>
        </w:rPr>
        <w:lastRenderedPageBreak/>
        <w:t>amended, the inherent jurisdiction of the Court,  Article 47 of the Charter on Fundamental Rights of the European Union, Articles 4(3) and 19(1) of the Treaty on European Union, and / or Article 9 of the Convention on Access to Information, Public Participation In Decision-Making and Access to Justice In Environmental Matters done at Aarhus, Denmark, on 25 June 1998 (the Aarhus Convention), confirming that Section 50B of the Planning and Development Act 2000 as amended and / or Sections 3 and 4 of the Environment (Miscellaneous Provisions) Act 2011 apply to the Grounds set out at Part E hereof.</w:t>
      </w:r>
    </w:p>
    <w:p w14:paraId="4F6C6AEC" w14:textId="77777777" w:rsidR="00367256" w:rsidRPr="0002250C" w:rsidRDefault="00367256" w:rsidP="0002250C">
      <w:pPr>
        <w:pStyle w:val="ListParagraph"/>
        <w:spacing w:after="240" w:line="360" w:lineRule="auto"/>
        <w:ind w:left="1418" w:hanging="567"/>
        <w:contextualSpacing w:val="0"/>
        <w:jc w:val="both"/>
        <w:rPr>
          <w:rFonts w:ascii="Verdana" w:hAnsi="Verdana"/>
          <w:sz w:val="18"/>
          <w:szCs w:val="18"/>
        </w:rPr>
      </w:pPr>
      <w:r w:rsidRPr="0002250C">
        <w:rPr>
          <w:rFonts w:ascii="Verdana" w:hAnsi="Verdana"/>
          <w:sz w:val="18"/>
          <w:szCs w:val="18"/>
        </w:rPr>
        <w:t>6.</w:t>
      </w:r>
      <w:r w:rsidRPr="0002250C">
        <w:rPr>
          <w:rFonts w:ascii="Verdana" w:hAnsi="Verdana"/>
          <w:sz w:val="18"/>
          <w:szCs w:val="18"/>
        </w:rPr>
        <w:tab/>
        <w:t>A Declaratory Order pursuant to Section 7 of the Environment (Miscellaneous Provisions) Act 2011 as amended, Order 99 of the Rules of the Superior Courts as amended, and/or pursuant to the inherent jurisdiction of the Court, that, if and insofar as the Applicants may not be entitled to an Order in the terms of the preceding paragraph, or an Order to equivalent effect, the State has failed adequately to guarantee and defend the Applicants’ right to bring proceedings at a cost that is not prohibitively expensive, has failed to ensure the Applicants’ right to effective judicial protection, and / or has failed to ensure reasonable predictability in relation to the costs of proceedings, and has accordingly failed to comply with the requirements of Article 47 of the Charter on Fundamental Rights of the European Union, Articles 4(3) and 19(1) of the Treaty on European Union, and / or Article 9 of the Aarhus Convention.</w:t>
      </w:r>
    </w:p>
    <w:p w14:paraId="0D4EB9F4" w14:textId="77777777" w:rsidR="00367256" w:rsidRPr="0002250C" w:rsidRDefault="00367256" w:rsidP="0002250C">
      <w:pPr>
        <w:pStyle w:val="ListParagraph"/>
        <w:spacing w:after="240" w:line="360" w:lineRule="auto"/>
        <w:ind w:left="1418" w:hanging="567"/>
        <w:contextualSpacing w:val="0"/>
        <w:jc w:val="both"/>
        <w:rPr>
          <w:rFonts w:ascii="Verdana" w:hAnsi="Verdana"/>
          <w:sz w:val="18"/>
          <w:szCs w:val="18"/>
        </w:rPr>
      </w:pPr>
      <w:r w:rsidRPr="0002250C">
        <w:rPr>
          <w:rFonts w:ascii="Verdana" w:hAnsi="Verdana"/>
          <w:sz w:val="18"/>
          <w:szCs w:val="18"/>
        </w:rPr>
        <w:t>7.</w:t>
      </w:r>
      <w:r w:rsidRPr="0002250C">
        <w:rPr>
          <w:rFonts w:ascii="Verdana" w:hAnsi="Verdana"/>
          <w:sz w:val="18"/>
          <w:szCs w:val="18"/>
        </w:rPr>
        <w:tab/>
        <w:t>A Declaratory Order pursuant to Order 84 Rule 18(2) of the rules of the Superior Courts as amended and Article 4(3) of the Treaty on European Union, that the Minister, Ireland and the Attorney General, and / or the Board, are required by law to pay to the Applicants on the conclusion of the present proceedings, the amount of any costs which the Applicants may be ordered to pay to the other Respondents or Notice Parties, or so much of such sum as may be necessary to ensure that the costs borne by the Applicants in the proceedings are not prohibitively expensive for it.</w:t>
      </w:r>
    </w:p>
    <w:p w14:paraId="20406D6E" w14:textId="77777777" w:rsidR="00367256" w:rsidRPr="0002250C" w:rsidRDefault="00367256" w:rsidP="0002250C">
      <w:pPr>
        <w:pStyle w:val="ListParagraph"/>
        <w:spacing w:after="240" w:line="360" w:lineRule="auto"/>
        <w:ind w:left="1418" w:hanging="567"/>
        <w:contextualSpacing w:val="0"/>
        <w:jc w:val="both"/>
        <w:rPr>
          <w:rFonts w:ascii="Verdana" w:hAnsi="Verdana"/>
          <w:sz w:val="18"/>
          <w:szCs w:val="18"/>
        </w:rPr>
      </w:pPr>
      <w:r w:rsidRPr="0002250C">
        <w:rPr>
          <w:rFonts w:ascii="Verdana" w:hAnsi="Verdana"/>
          <w:sz w:val="18"/>
          <w:szCs w:val="18"/>
        </w:rPr>
        <w:t>8.</w:t>
      </w:r>
      <w:r w:rsidRPr="0002250C">
        <w:rPr>
          <w:rFonts w:ascii="Verdana" w:hAnsi="Verdana"/>
          <w:sz w:val="18"/>
          <w:szCs w:val="18"/>
        </w:rPr>
        <w:tab/>
        <w:t>An order referring a question or questions of law for determination by the Court of Justice of the European Union.</w:t>
      </w:r>
    </w:p>
    <w:p w14:paraId="62B2D9BE" w14:textId="77777777" w:rsidR="00367256" w:rsidRPr="0002250C" w:rsidRDefault="00367256" w:rsidP="0002250C">
      <w:pPr>
        <w:pStyle w:val="ListParagraph"/>
        <w:spacing w:after="240" w:line="360" w:lineRule="auto"/>
        <w:ind w:left="1418" w:hanging="567"/>
        <w:contextualSpacing w:val="0"/>
        <w:jc w:val="both"/>
        <w:rPr>
          <w:rFonts w:ascii="Verdana" w:hAnsi="Verdana"/>
          <w:sz w:val="18"/>
          <w:szCs w:val="18"/>
        </w:rPr>
      </w:pPr>
      <w:r w:rsidRPr="0002250C">
        <w:rPr>
          <w:rFonts w:ascii="Verdana" w:hAnsi="Verdana"/>
          <w:sz w:val="18"/>
          <w:szCs w:val="18"/>
        </w:rPr>
        <w:t>9.</w:t>
      </w:r>
      <w:r w:rsidRPr="0002250C">
        <w:rPr>
          <w:rFonts w:ascii="Verdana" w:hAnsi="Verdana"/>
          <w:sz w:val="18"/>
          <w:szCs w:val="18"/>
        </w:rPr>
        <w:tab/>
        <w:t>If necessary, an extension of time to apply for leave to seek judicial review of the decision of the Board, pursuant to Section 50(8) of the 2000 Act.</w:t>
      </w:r>
    </w:p>
    <w:p w14:paraId="0258447D" w14:textId="77777777" w:rsidR="00367256" w:rsidRPr="0002250C" w:rsidRDefault="00367256" w:rsidP="0002250C">
      <w:pPr>
        <w:pStyle w:val="ListParagraph"/>
        <w:spacing w:after="240" w:line="360" w:lineRule="auto"/>
        <w:ind w:left="1418" w:hanging="567"/>
        <w:contextualSpacing w:val="0"/>
        <w:jc w:val="both"/>
        <w:rPr>
          <w:rFonts w:ascii="Verdana" w:hAnsi="Verdana"/>
          <w:sz w:val="18"/>
          <w:szCs w:val="18"/>
        </w:rPr>
      </w:pPr>
      <w:r w:rsidRPr="0002250C">
        <w:rPr>
          <w:rFonts w:ascii="Verdana" w:hAnsi="Verdana"/>
          <w:sz w:val="18"/>
          <w:szCs w:val="18"/>
        </w:rPr>
        <w:t>10.</w:t>
      </w:r>
      <w:r w:rsidRPr="0002250C">
        <w:rPr>
          <w:rFonts w:ascii="Verdana" w:hAnsi="Verdana"/>
          <w:sz w:val="18"/>
          <w:szCs w:val="18"/>
        </w:rPr>
        <w:tab/>
        <w:t>Further or other relief.</w:t>
      </w:r>
    </w:p>
    <w:p w14:paraId="255A5F10" w14:textId="0F48298F" w:rsidR="001B6531" w:rsidRPr="0002250C" w:rsidRDefault="00367256" w:rsidP="0002250C">
      <w:pPr>
        <w:pStyle w:val="ListParagraph"/>
        <w:spacing w:after="240" w:line="360" w:lineRule="auto"/>
        <w:ind w:left="1418" w:hanging="567"/>
        <w:contextualSpacing w:val="0"/>
        <w:jc w:val="both"/>
        <w:rPr>
          <w:rFonts w:ascii="Verdana" w:hAnsi="Verdana"/>
          <w:b/>
          <w:sz w:val="18"/>
          <w:szCs w:val="18"/>
        </w:rPr>
      </w:pPr>
      <w:r w:rsidRPr="0002250C">
        <w:rPr>
          <w:rFonts w:ascii="Verdana" w:hAnsi="Verdana"/>
          <w:sz w:val="18"/>
          <w:szCs w:val="18"/>
        </w:rPr>
        <w:t>11.</w:t>
      </w:r>
      <w:r w:rsidRPr="0002250C">
        <w:rPr>
          <w:rFonts w:ascii="Verdana" w:hAnsi="Verdana"/>
          <w:sz w:val="18"/>
          <w:szCs w:val="18"/>
        </w:rPr>
        <w:tab/>
        <w:t>Costs.</w:t>
      </w:r>
      <w:r w:rsidR="00350BE0" w:rsidRPr="0002250C">
        <w:rPr>
          <w:rFonts w:ascii="Verdana" w:hAnsi="Verdana"/>
          <w:sz w:val="18"/>
          <w:szCs w:val="18"/>
        </w:rPr>
        <w:t>”</w:t>
      </w:r>
    </w:p>
    <w:p w14:paraId="16FDA2F6" w14:textId="53772660" w:rsidR="009350F4" w:rsidRPr="0002250C" w:rsidRDefault="009350F4" w:rsidP="0002250C">
      <w:pPr>
        <w:pStyle w:val="ListParagraph"/>
        <w:numPr>
          <w:ilvl w:val="0"/>
          <w:numId w:val="4"/>
        </w:numPr>
        <w:spacing w:after="240" w:line="360" w:lineRule="auto"/>
        <w:ind w:left="567" w:hanging="567"/>
        <w:contextualSpacing w:val="0"/>
        <w:jc w:val="both"/>
        <w:rPr>
          <w:rFonts w:ascii="Verdana" w:hAnsi="Verdana"/>
          <w:sz w:val="18"/>
          <w:szCs w:val="18"/>
        </w:rPr>
      </w:pPr>
      <w:r w:rsidRPr="0002250C">
        <w:rPr>
          <w:rFonts w:ascii="Verdana" w:hAnsi="Verdana"/>
          <w:sz w:val="18"/>
          <w:szCs w:val="18"/>
        </w:rPr>
        <w:t>The core grounds pleaded are as follows:</w:t>
      </w:r>
    </w:p>
    <w:p w14:paraId="5435FC6E" w14:textId="77777777" w:rsidR="0042578F" w:rsidRPr="0002250C" w:rsidRDefault="00E960F2" w:rsidP="000353ED">
      <w:pPr>
        <w:pStyle w:val="ListParagraph"/>
        <w:spacing w:line="360" w:lineRule="auto"/>
        <w:ind w:left="1418"/>
        <w:contextualSpacing w:val="0"/>
        <w:jc w:val="both"/>
        <w:rPr>
          <w:rFonts w:ascii="Verdana" w:hAnsi="Verdana"/>
          <w:sz w:val="18"/>
          <w:szCs w:val="18"/>
        </w:rPr>
      </w:pPr>
      <w:r w:rsidRPr="0002250C">
        <w:rPr>
          <w:rFonts w:ascii="Verdana" w:hAnsi="Verdana"/>
          <w:sz w:val="18"/>
          <w:szCs w:val="18"/>
        </w:rPr>
        <w:t>“</w:t>
      </w:r>
      <w:r w:rsidR="0042578F" w:rsidRPr="0002250C">
        <w:rPr>
          <w:rFonts w:ascii="Verdana" w:hAnsi="Verdana"/>
          <w:b/>
          <w:bCs/>
          <w:sz w:val="18"/>
          <w:szCs w:val="18"/>
        </w:rPr>
        <w:t>Grounds Relating to Compliance with National Law</w:t>
      </w:r>
    </w:p>
    <w:p w14:paraId="3621F7AE" w14:textId="77777777" w:rsidR="0042578F" w:rsidRPr="0002250C" w:rsidRDefault="0042578F" w:rsidP="0002250C">
      <w:pPr>
        <w:pStyle w:val="ListParagraph"/>
        <w:spacing w:after="240" w:line="360" w:lineRule="auto"/>
        <w:ind w:left="1418"/>
        <w:contextualSpacing w:val="0"/>
        <w:jc w:val="both"/>
        <w:rPr>
          <w:rFonts w:ascii="Verdana" w:hAnsi="Verdana"/>
          <w:sz w:val="18"/>
          <w:szCs w:val="18"/>
        </w:rPr>
      </w:pPr>
      <w:r w:rsidRPr="0002250C">
        <w:rPr>
          <w:rFonts w:ascii="Verdana" w:hAnsi="Verdana"/>
          <w:sz w:val="18"/>
          <w:szCs w:val="18"/>
        </w:rPr>
        <w:lastRenderedPageBreak/>
        <w:t>1. The impugned decision is invalid because the Board erred in its interpretation of the term ‘structure’ for the purposes of S2 of the 2000 Act, failing to recognise that the overall roof would be part of the structure and that the space beneath it would not constitute open space or communal open space for the purposes of para 16.10 of the Development Plan, resulting in an unidentified material contravention of the Development Plan contrary to S9(6) of the 2016 Act and S37(2)(b) of the 2000 Act.</w:t>
      </w:r>
    </w:p>
    <w:p w14:paraId="5027A161" w14:textId="77777777" w:rsidR="0042578F" w:rsidRPr="0002250C" w:rsidRDefault="0042578F" w:rsidP="0002250C">
      <w:pPr>
        <w:pStyle w:val="ListParagraph"/>
        <w:spacing w:after="240" w:line="360" w:lineRule="auto"/>
        <w:ind w:left="1418"/>
        <w:contextualSpacing w:val="0"/>
        <w:jc w:val="both"/>
        <w:rPr>
          <w:rFonts w:ascii="Verdana" w:hAnsi="Verdana"/>
          <w:sz w:val="18"/>
          <w:szCs w:val="18"/>
        </w:rPr>
      </w:pPr>
      <w:r w:rsidRPr="0002250C">
        <w:rPr>
          <w:rFonts w:ascii="Verdana" w:hAnsi="Verdana"/>
          <w:sz w:val="18"/>
          <w:szCs w:val="18"/>
        </w:rPr>
        <w:t>2. The impugned decision is invalid because the Board erred in its interpretation and application of SPPR3 and part 3.2 of the Height Guidelines, and S9(6) of the 2016 Act, failing to have appropriate and reasonable regard to the BRE Trust’s Site Layout Planning for Daylight and Sunlight, in particular the recommended average daylight factor (ADF) of 5% for a well daylit space, or to identify a rationale for alternative compensatory design solutions.</w:t>
      </w:r>
    </w:p>
    <w:p w14:paraId="1B66F7E8" w14:textId="77777777" w:rsidR="0042578F" w:rsidRPr="0002250C" w:rsidRDefault="0042578F" w:rsidP="0002250C">
      <w:pPr>
        <w:pStyle w:val="ListParagraph"/>
        <w:spacing w:after="240" w:line="360" w:lineRule="auto"/>
        <w:ind w:left="1418"/>
        <w:contextualSpacing w:val="0"/>
        <w:jc w:val="both"/>
        <w:rPr>
          <w:rFonts w:ascii="Verdana" w:hAnsi="Verdana"/>
          <w:sz w:val="18"/>
          <w:szCs w:val="18"/>
        </w:rPr>
      </w:pPr>
      <w:r w:rsidRPr="0002250C">
        <w:rPr>
          <w:rFonts w:ascii="Verdana" w:hAnsi="Verdana"/>
          <w:sz w:val="18"/>
          <w:szCs w:val="18"/>
        </w:rPr>
        <w:t>3. The impugned decision is invalid because the Board erred in its interpretation and application of S9(1)(a)(iii), S9(2) and S18 of the 2016 Act, and S143 of the 2000 Act, National Strategic Outcomes of the National Planning Framework, or failed to apply those provisions or requirements in relation to capacity of public transport to service the Proposed Development.</w:t>
      </w:r>
    </w:p>
    <w:p w14:paraId="584147D0" w14:textId="77777777" w:rsidR="0042578F" w:rsidRPr="0002250C" w:rsidRDefault="0042578F" w:rsidP="000353ED">
      <w:pPr>
        <w:pStyle w:val="ListParagraph"/>
        <w:spacing w:line="360" w:lineRule="auto"/>
        <w:ind w:left="1418"/>
        <w:contextualSpacing w:val="0"/>
        <w:jc w:val="both"/>
        <w:rPr>
          <w:rFonts w:ascii="Verdana" w:hAnsi="Verdana"/>
          <w:b/>
          <w:bCs/>
          <w:sz w:val="18"/>
          <w:szCs w:val="18"/>
        </w:rPr>
      </w:pPr>
      <w:r w:rsidRPr="0002250C">
        <w:rPr>
          <w:rFonts w:ascii="Verdana" w:hAnsi="Verdana"/>
          <w:b/>
          <w:bCs/>
          <w:sz w:val="18"/>
          <w:szCs w:val="18"/>
        </w:rPr>
        <w:t>Grounds Relating to Compliance with European Union Law</w:t>
      </w:r>
    </w:p>
    <w:p w14:paraId="5B6CC9CE" w14:textId="77777777" w:rsidR="0042578F" w:rsidRPr="0002250C" w:rsidRDefault="0042578F" w:rsidP="0002250C">
      <w:pPr>
        <w:pStyle w:val="ListParagraph"/>
        <w:spacing w:after="240" w:line="360" w:lineRule="auto"/>
        <w:ind w:left="1418"/>
        <w:contextualSpacing w:val="0"/>
        <w:jc w:val="both"/>
        <w:rPr>
          <w:rFonts w:ascii="Verdana" w:hAnsi="Verdana"/>
          <w:sz w:val="18"/>
          <w:szCs w:val="18"/>
        </w:rPr>
      </w:pPr>
      <w:r w:rsidRPr="0002250C">
        <w:rPr>
          <w:rFonts w:ascii="Verdana" w:hAnsi="Verdana"/>
          <w:sz w:val="18"/>
          <w:szCs w:val="18"/>
        </w:rPr>
        <w:t>4. If and insofar as their ordinary meaning may not be as set out in Ground 2 above, the impugned decision is invalid because the Board erred in its interpretation and application of SPPR3 and part 3.2 of the Height Guidelines, and S9(6) of the 2016 Act, having regard to their proper interpretation in the context of the National Planning Framework, the Binding Reductions Regulation, European Climate Law and Climate Neutrality Regulation, failed to consider the need to deliver sustainable development under S9 of the 2016 Act, S34 of the 2000 Act, A3(3) of the Treaty on European Union, and A11 of the Treaty on the Functioning of the European Union, and thereby breached its obligation pursuant to A4(3) of the Treaty on European Union not to adopt a decision that would undermine the State’s obligations under those Regulations.</w:t>
      </w:r>
    </w:p>
    <w:p w14:paraId="7786DC78" w14:textId="77777777" w:rsidR="0042578F" w:rsidRPr="0002250C" w:rsidRDefault="0042578F" w:rsidP="0002250C">
      <w:pPr>
        <w:pStyle w:val="ListParagraph"/>
        <w:spacing w:after="240" w:line="360" w:lineRule="auto"/>
        <w:ind w:left="1418"/>
        <w:contextualSpacing w:val="0"/>
        <w:jc w:val="both"/>
        <w:rPr>
          <w:rFonts w:ascii="Verdana" w:hAnsi="Verdana"/>
          <w:sz w:val="18"/>
          <w:szCs w:val="18"/>
        </w:rPr>
      </w:pPr>
      <w:r w:rsidRPr="0002250C">
        <w:rPr>
          <w:rFonts w:ascii="Verdana" w:hAnsi="Verdana"/>
          <w:sz w:val="18"/>
          <w:szCs w:val="18"/>
        </w:rPr>
        <w:t xml:space="preserve">5. If and insofar as their ordinary meaning may not be as set out in Ground 3 above, the impugned decision is invalid because the Board erred in its interpretation and application of S9(1)(a)(iii), S9(2) and S18 of the 2016 Act, and S143 of the 2000 Act, having regard to their proper interpretation in the context of the National Planning Framework, the Binding Reductions Regulation, European Climate Law and Climate Neutrality Regulation, failed to consider the need to deliver sustainable development under S9 of the 2016 Act, S34 of the 2000 Act, A3(3) of the Treaty on European Union, and A11 of the Treaty on the Functioning of the European Union, and breached its obligation pursuant to A4(3) of the Treaty on European Union not </w:t>
      </w:r>
      <w:r w:rsidRPr="0002250C">
        <w:rPr>
          <w:rFonts w:ascii="Verdana" w:hAnsi="Verdana"/>
          <w:sz w:val="18"/>
          <w:szCs w:val="18"/>
        </w:rPr>
        <w:lastRenderedPageBreak/>
        <w:t>to adopt a decision that would undermine the State’s obligations under those Regulations.</w:t>
      </w:r>
    </w:p>
    <w:p w14:paraId="0BC4D25F" w14:textId="77777777" w:rsidR="0042578F" w:rsidRPr="0002250C" w:rsidRDefault="0042578F" w:rsidP="0002250C">
      <w:pPr>
        <w:pStyle w:val="ListParagraph"/>
        <w:spacing w:after="240" w:line="360" w:lineRule="auto"/>
        <w:ind w:left="1418"/>
        <w:contextualSpacing w:val="0"/>
        <w:jc w:val="both"/>
        <w:rPr>
          <w:rFonts w:ascii="Verdana" w:hAnsi="Verdana"/>
          <w:sz w:val="18"/>
          <w:szCs w:val="18"/>
        </w:rPr>
      </w:pPr>
      <w:r w:rsidRPr="0002250C">
        <w:rPr>
          <w:rFonts w:ascii="Verdana" w:hAnsi="Verdana"/>
          <w:sz w:val="18"/>
          <w:szCs w:val="18"/>
        </w:rPr>
        <w:t>6. The impugned decision is invalid because the Board failed to apply or comply with A4(1)(a) of the European Communities Environmental Objectives (Surface Waters) Regulations 2009, S.I. No. 272 of 2009 (Surface Waters Regulations), A4(1)(a) of the Water Framework Directive (2000/60) and / or A4(3) of the Treaty on European Union in relation to transitional waters in the Tolka estuary and around the North Bull Island.</w:t>
      </w:r>
    </w:p>
    <w:p w14:paraId="18C733D9" w14:textId="77777777" w:rsidR="0042578F" w:rsidRPr="0002250C" w:rsidRDefault="0042578F" w:rsidP="000353ED">
      <w:pPr>
        <w:pStyle w:val="ListParagraph"/>
        <w:spacing w:line="360" w:lineRule="auto"/>
        <w:ind w:left="1418"/>
        <w:contextualSpacing w:val="0"/>
        <w:jc w:val="both"/>
        <w:rPr>
          <w:rFonts w:ascii="Verdana" w:hAnsi="Verdana"/>
          <w:b/>
          <w:bCs/>
          <w:sz w:val="18"/>
          <w:szCs w:val="18"/>
        </w:rPr>
      </w:pPr>
      <w:r w:rsidRPr="0002250C">
        <w:rPr>
          <w:rFonts w:ascii="Verdana" w:hAnsi="Verdana"/>
          <w:b/>
          <w:bCs/>
          <w:sz w:val="18"/>
          <w:szCs w:val="18"/>
        </w:rPr>
        <w:t xml:space="preserve">Grounds Relating to the Validity of Guidelines and Regulations </w:t>
      </w:r>
      <w:proofErr w:type="gramStart"/>
      <w:r w:rsidRPr="0002250C">
        <w:rPr>
          <w:rFonts w:ascii="Verdana" w:hAnsi="Verdana"/>
          <w:b/>
          <w:bCs/>
          <w:sz w:val="18"/>
          <w:szCs w:val="18"/>
        </w:rPr>
        <w:t>with regard to</w:t>
      </w:r>
      <w:proofErr w:type="gramEnd"/>
      <w:r w:rsidRPr="0002250C">
        <w:rPr>
          <w:rFonts w:ascii="Verdana" w:hAnsi="Verdana"/>
          <w:b/>
          <w:bCs/>
          <w:sz w:val="18"/>
          <w:szCs w:val="18"/>
        </w:rPr>
        <w:t xml:space="preserve"> the Constitution</w:t>
      </w:r>
    </w:p>
    <w:p w14:paraId="2D1CBB30" w14:textId="77777777" w:rsidR="0042578F" w:rsidRPr="0002250C" w:rsidRDefault="0042578F" w:rsidP="000353ED">
      <w:pPr>
        <w:pStyle w:val="ListParagraph"/>
        <w:spacing w:line="360" w:lineRule="auto"/>
        <w:ind w:left="1418"/>
        <w:contextualSpacing w:val="0"/>
        <w:jc w:val="both"/>
        <w:rPr>
          <w:rFonts w:ascii="Verdana" w:hAnsi="Verdana"/>
          <w:sz w:val="18"/>
          <w:szCs w:val="18"/>
        </w:rPr>
      </w:pPr>
      <w:r w:rsidRPr="0002250C">
        <w:rPr>
          <w:rFonts w:ascii="Verdana" w:hAnsi="Verdana"/>
          <w:b/>
          <w:bCs/>
          <w:sz w:val="18"/>
          <w:szCs w:val="18"/>
        </w:rPr>
        <w:t>Validity of Guidelines</w:t>
      </w:r>
    </w:p>
    <w:p w14:paraId="4245F27C" w14:textId="77777777" w:rsidR="0042578F" w:rsidRPr="0002250C" w:rsidRDefault="0042578F" w:rsidP="0002250C">
      <w:pPr>
        <w:pStyle w:val="ListParagraph"/>
        <w:spacing w:after="240" w:line="360" w:lineRule="auto"/>
        <w:ind w:left="1418"/>
        <w:contextualSpacing w:val="0"/>
        <w:jc w:val="both"/>
        <w:rPr>
          <w:rFonts w:ascii="Verdana" w:hAnsi="Verdana"/>
          <w:sz w:val="18"/>
          <w:szCs w:val="18"/>
        </w:rPr>
      </w:pPr>
      <w:r w:rsidRPr="0002250C">
        <w:rPr>
          <w:rFonts w:ascii="Verdana" w:hAnsi="Verdana"/>
          <w:sz w:val="18"/>
          <w:szCs w:val="18"/>
        </w:rPr>
        <w:t>7. In the alternative to Ground E1.3, the impugned decision is invalid because it is based on invalid Guidelines which exceed the powers conferred on the Minister by S28(1C) of the 2000 Act.</w:t>
      </w:r>
    </w:p>
    <w:p w14:paraId="107454EB" w14:textId="77777777" w:rsidR="0042578F" w:rsidRPr="0002250C" w:rsidRDefault="0042578F" w:rsidP="0002250C">
      <w:pPr>
        <w:pStyle w:val="ListParagraph"/>
        <w:spacing w:after="240" w:line="360" w:lineRule="auto"/>
        <w:ind w:left="1418"/>
        <w:contextualSpacing w:val="0"/>
        <w:jc w:val="both"/>
        <w:rPr>
          <w:rFonts w:ascii="Verdana" w:hAnsi="Verdana"/>
          <w:sz w:val="18"/>
          <w:szCs w:val="18"/>
        </w:rPr>
      </w:pPr>
      <w:r w:rsidRPr="0002250C">
        <w:rPr>
          <w:rFonts w:ascii="Verdana" w:hAnsi="Verdana"/>
          <w:sz w:val="18"/>
          <w:szCs w:val="18"/>
        </w:rPr>
        <w:t>8. In the alternative, the impugned decision is invalid because it is based on SPPR3 of the Height Guidelines, which are adopted pursuant to Section 28(1C) of the 2000 Act, and that Section is contrary to Article 15.2.1 of the Constitution.</w:t>
      </w:r>
    </w:p>
    <w:p w14:paraId="59EA74FD" w14:textId="77777777" w:rsidR="0042578F" w:rsidRPr="0002250C" w:rsidRDefault="0042578F" w:rsidP="000353ED">
      <w:pPr>
        <w:pStyle w:val="ListParagraph"/>
        <w:spacing w:line="360" w:lineRule="auto"/>
        <w:ind w:left="1418"/>
        <w:contextualSpacing w:val="0"/>
        <w:jc w:val="both"/>
        <w:rPr>
          <w:rFonts w:ascii="Verdana" w:hAnsi="Verdana"/>
          <w:b/>
          <w:bCs/>
          <w:sz w:val="18"/>
          <w:szCs w:val="18"/>
        </w:rPr>
      </w:pPr>
      <w:r w:rsidRPr="0002250C">
        <w:rPr>
          <w:rFonts w:ascii="Verdana" w:hAnsi="Verdana"/>
          <w:b/>
          <w:bCs/>
          <w:sz w:val="18"/>
          <w:szCs w:val="18"/>
        </w:rPr>
        <w:t>Grounds Relating to Costs</w:t>
      </w:r>
    </w:p>
    <w:p w14:paraId="1D0808EB" w14:textId="129701E7" w:rsidR="00E960F2" w:rsidRPr="0002250C" w:rsidRDefault="0042578F" w:rsidP="0002250C">
      <w:pPr>
        <w:pStyle w:val="ListParagraph"/>
        <w:spacing w:after="240" w:line="360" w:lineRule="auto"/>
        <w:ind w:left="1418"/>
        <w:contextualSpacing w:val="0"/>
        <w:jc w:val="both"/>
        <w:rPr>
          <w:rFonts w:ascii="Verdana" w:hAnsi="Verdana"/>
          <w:sz w:val="18"/>
          <w:szCs w:val="18"/>
        </w:rPr>
      </w:pPr>
      <w:r w:rsidRPr="0002250C">
        <w:rPr>
          <w:rFonts w:ascii="Verdana" w:hAnsi="Verdana"/>
          <w:sz w:val="18"/>
          <w:szCs w:val="18"/>
        </w:rPr>
        <w:t>9. The grounds advanced in the present proceedings are grounds alleging contraventions of national law relating to the environment for the purposes of A9(3) of the Aarhus Convention, and attract the operation of S3(1) and (2) of the Environment (Miscellaneous Provisions) Act 2011, or, in the alternative, of S50</w:t>
      </w:r>
      <w:proofErr w:type="gramStart"/>
      <w:r w:rsidRPr="0002250C">
        <w:rPr>
          <w:rFonts w:ascii="Verdana" w:hAnsi="Verdana"/>
          <w:sz w:val="18"/>
          <w:szCs w:val="18"/>
        </w:rPr>
        <w:t>B(</w:t>
      </w:r>
      <w:proofErr w:type="gramEnd"/>
      <w:r w:rsidRPr="0002250C">
        <w:rPr>
          <w:rFonts w:ascii="Verdana" w:hAnsi="Verdana"/>
          <w:sz w:val="18"/>
          <w:szCs w:val="18"/>
        </w:rPr>
        <w:t>2) and (2A) of the 2000 Act as amended.</w:t>
      </w:r>
      <w:r w:rsidR="00E960F2" w:rsidRPr="0002250C">
        <w:rPr>
          <w:rFonts w:ascii="Verdana" w:hAnsi="Verdana"/>
          <w:sz w:val="18"/>
          <w:szCs w:val="18"/>
        </w:rPr>
        <w:t>”</w:t>
      </w:r>
    </w:p>
    <w:p w14:paraId="1B61690C" w14:textId="7260A160" w:rsidR="009350F4" w:rsidRPr="0002250C" w:rsidRDefault="009350F4" w:rsidP="0002250C">
      <w:pPr>
        <w:pStyle w:val="ListParagraph"/>
        <w:numPr>
          <w:ilvl w:val="0"/>
          <w:numId w:val="4"/>
        </w:numPr>
        <w:spacing w:after="240" w:line="360" w:lineRule="auto"/>
        <w:ind w:left="567" w:hanging="567"/>
        <w:contextualSpacing w:val="0"/>
        <w:jc w:val="both"/>
        <w:rPr>
          <w:rFonts w:ascii="Verdana" w:hAnsi="Verdana"/>
          <w:sz w:val="18"/>
          <w:szCs w:val="18"/>
        </w:rPr>
      </w:pPr>
      <w:r w:rsidRPr="0002250C">
        <w:rPr>
          <w:rFonts w:ascii="Verdana" w:hAnsi="Verdana"/>
          <w:sz w:val="18"/>
          <w:szCs w:val="18"/>
        </w:rPr>
        <w:t xml:space="preserve">The </w:t>
      </w:r>
      <w:r w:rsidR="00FC78D4" w:rsidRPr="0002250C">
        <w:rPr>
          <w:rFonts w:ascii="Verdana" w:hAnsi="Verdana"/>
          <w:sz w:val="18"/>
          <w:szCs w:val="18"/>
        </w:rPr>
        <w:t>applicant brought</w:t>
      </w:r>
      <w:r w:rsidRPr="0002250C">
        <w:rPr>
          <w:rFonts w:ascii="Verdana" w:hAnsi="Verdana"/>
          <w:sz w:val="18"/>
          <w:szCs w:val="18"/>
        </w:rPr>
        <w:t xml:space="preserve"> a motion filed on 27</w:t>
      </w:r>
      <w:r w:rsidRPr="0002250C">
        <w:rPr>
          <w:rFonts w:ascii="Verdana" w:hAnsi="Verdana"/>
          <w:sz w:val="18"/>
          <w:szCs w:val="18"/>
          <w:vertAlign w:val="superscript"/>
        </w:rPr>
        <w:t>th</w:t>
      </w:r>
      <w:r w:rsidRPr="0002250C">
        <w:rPr>
          <w:rFonts w:ascii="Verdana" w:hAnsi="Verdana"/>
          <w:sz w:val="18"/>
          <w:szCs w:val="18"/>
        </w:rPr>
        <w:t xml:space="preserve"> </w:t>
      </w:r>
      <w:proofErr w:type="gramStart"/>
      <w:r w:rsidRPr="0002250C">
        <w:rPr>
          <w:rFonts w:ascii="Verdana" w:hAnsi="Verdana"/>
          <w:sz w:val="18"/>
          <w:szCs w:val="18"/>
        </w:rPr>
        <w:t>May,</w:t>
      </w:r>
      <w:proofErr w:type="gramEnd"/>
      <w:r w:rsidRPr="0002250C">
        <w:rPr>
          <w:rFonts w:ascii="Verdana" w:hAnsi="Verdana"/>
          <w:sz w:val="18"/>
          <w:szCs w:val="18"/>
        </w:rPr>
        <w:t xml:space="preserve"> 2022 for a protective cost</w:t>
      </w:r>
      <w:r w:rsidR="00EE520E" w:rsidRPr="0002250C">
        <w:rPr>
          <w:rFonts w:ascii="Verdana" w:hAnsi="Verdana"/>
          <w:sz w:val="18"/>
          <w:szCs w:val="18"/>
        </w:rPr>
        <w:t>s</w:t>
      </w:r>
      <w:r w:rsidRPr="0002250C">
        <w:rPr>
          <w:rFonts w:ascii="Verdana" w:hAnsi="Verdana"/>
          <w:sz w:val="18"/>
          <w:szCs w:val="18"/>
        </w:rPr>
        <w:t xml:space="preserve"> order</w:t>
      </w:r>
      <w:r w:rsidR="00425302" w:rsidRPr="0002250C">
        <w:rPr>
          <w:rFonts w:ascii="Verdana" w:hAnsi="Verdana"/>
          <w:sz w:val="18"/>
          <w:szCs w:val="18"/>
        </w:rPr>
        <w:t>,</w:t>
      </w:r>
      <w:r w:rsidRPr="0002250C">
        <w:rPr>
          <w:rFonts w:ascii="Verdana" w:hAnsi="Verdana"/>
          <w:sz w:val="18"/>
          <w:szCs w:val="18"/>
        </w:rPr>
        <w:t xml:space="preserve"> specifically a declaration that s. 50B of the Planning and Development Act 2000 or s. 3 of the Environment (Miscellaneous Provisions) Act 2001 applies</w:t>
      </w:r>
      <w:r w:rsidR="00B86717" w:rsidRPr="0002250C">
        <w:rPr>
          <w:rFonts w:ascii="Verdana" w:hAnsi="Verdana"/>
          <w:sz w:val="18"/>
          <w:szCs w:val="18"/>
        </w:rPr>
        <w:t>,</w:t>
      </w:r>
      <w:r w:rsidRPr="0002250C">
        <w:rPr>
          <w:rFonts w:ascii="Verdana" w:hAnsi="Verdana"/>
          <w:sz w:val="18"/>
          <w:szCs w:val="18"/>
        </w:rPr>
        <w:t xml:space="preserve"> or alternatively a declaration in effect that the Aarhus Convention interpretative </w:t>
      </w:r>
      <w:r w:rsidR="00D329AF" w:rsidRPr="0002250C">
        <w:rPr>
          <w:rFonts w:ascii="Verdana" w:hAnsi="Verdana"/>
          <w:sz w:val="18"/>
          <w:szCs w:val="18"/>
        </w:rPr>
        <w:t>obligation</w:t>
      </w:r>
      <w:r w:rsidRPr="0002250C">
        <w:rPr>
          <w:rFonts w:ascii="Verdana" w:hAnsi="Verdana"/>
          <w:sz w:val="18"/>
          <w:szCs w:val="18"/>
        </w:rPr>
        <w:t xml:space="preserve"> applies.</w:t>
      </w:r>
      <w:r w:rsidR="00B86717" w:rsidRPr="0002250C">
        <w:rPr>
          <w:rFonts w:ascii="Verdana" w:hAnsi="Verdana"/>
          <w:sz w:val="18"/>
          <w:szCs w:val="18"/>
        </w:rPr>
        <w:t xml:space="preserve">  </w:t>
      </w:r>
      <w:r w:rsidRPr="0002250C">
        <w:rPr>
          <w:rFonts w:ascii="Verdana" w:hAnsi="Verdana"/>
          <w:sz w:val="18"/>
          <w:szCs w:val="18"/>
        </w:rPr>
        <w:t xml:space="preserve">There was also a </w:t>
      </w:r>
      <w:r w:rsidR="00425302" w:rsidRPr="0002250C">
        <w:rPr>
          <w:rFonts w:ascii="Verdana" w:hAnsi="Verdana"/>
          <w:sz w:val="18"/>
          <w:szCs w:val="18"/>
        </w:rPr>
        <w:t>fall-back</w:t>
      </w:r>
      <w:r w:rsidRPr="0002250C">
        <w:rPr>
          <w:rFonts w:ascii="Verdana" w:hAnsi="Verdana"/>
          <w:sz w:val="18"/>
          <w:szCs w:val="18"/>
        </w:rPr>
        <w:t xml:space="preserve"> </w:t>
      </w:r>
      <w:r w:rsidR="002150CC" w:rsidRPr="0002250C">
        <w:rPr>
          <w:rFonts w:ascii="Verdana" w:hAnsi="Verdana"/>
          <w:sz w:val="18"/>
          <w:szCs w:val="18"/>
        </w:rPr>
        <w:t xml:space="preserve">claim for </w:t>
      </w:r>
      <w:r w:rsidRPr="0002250C">
        <w:rPr>
          <w:rFonts w:ascii="Verdana" w:hAnsi="Verdana"/>
          <w:sz w:val="18"/>
          <w:szCs w:val="18"/>
        </w:rPr>
        <w:t xml:space="preserve">relief </w:t>
      </w:r>
      <w:proofErr w:type="gramStart"/>
      <w:r w:rsidRPr="0002250C">
        <w:rPr>
          <w:rFonts w:ascii="Verdana" w:hAnsi="Verdana"/>
          <w:sz w:val="18"/>
          <w:szCs w:val="18"/>
        </w:rPr>
        <w:t>in the event that</w:t>
      </w:r>
      <w:proofErr w:type="gramEnd"/>
      <w:r w:rsidRPr="0002250C">
        <w:rPr>
          <w:rFonts w:ascii="Verdana" w:hAnsi="Verdana"/>
          <w:sz w:val="18"/>
          <w:szCs w:val="18"/>
        </w:rPr>
        <w:t xml:space="preserve"> the State has not properly transposed EU law. </w:t>
      </w:r>
    </w:p>
    <w:p w14:paraId="57333B72" w14:textId="1ABD90A5" w:rsidR="006518CB" w:rsidRPr="0002250C" w:rsidRDefault="009350F4" w:rsidP="0002250C">
      <w:pPr>
        <w:pStyle w:val="ListParagraph"/>
        <w:numPr>
          <w:ilvl w:val="0"/>
          <w:numId w:val="4"/>
        </w:numPr>
        <w:spacing w:after="240" w:line="360" w:lineRule="auto"/>
        <w:ind w:left="567" w:hanging="567"/>
        <w:contextualSpacing w:val="0"/>
        <w:jc w:val="both"/>
        <w:rPr>
          <w:rFonts w:ascii="Verdana" w:hAnsi="Verdana"/>
          <w:sz w:val="18"/>
          <w:szCs w:val="18"/>
        </w:rPr>
      </w:pPr>
      <w:r w:rsidRPr="0002250C">
        <w:rPr>
          <w:rFonts w:ascii="Verdana" w:hAnsi="Verdana"/>
          <w:sz w:val="18"/>
          <w:szCs w:val="18"/>
        </w:rPr>
        <w:t>On 2</w:t>
      </w:r>
      <w:r w:rsidRPr="0002250C">
        <w:rPr>
          <w:rFonts w:ascii="Verdana" w:hAnsi="Verdana"/>
          <w:sz w:val="18"/>
          <w:szCs w:val="18"/>
          <w:vertAlign w:val="superscript"/>
        </w:rPr>
        <w:t>nd</w:t>
      </w:r>
      <w:r w:rsidRPr="0002250C">
        <w:rPr>
          <w:rFonts w:ascii="Verdana" w:hAnsi="Verdana"/>
          <w:sz w:val="18"/>
          <w:szCs w:val="18"/>
        </w:rPr>
        <w:t xml:space="preserve"> June, 2022</w:t>
      </w:r>
      <w:r w:rsidR="00921FD3" w:rsidRPr="0002250C">
        <w:rPr>
          <w:rFonts w:ascii="Verdana" w:hAnsi="Verdana"/>
          <w:sz w:val="18"/>
          <w:szCs w:val="18"/>
        </w:rPr>
        <w:t>,</w:t>
      </w:r>
      <w:r w:rsidRPr="0002250C">
        <w:rPr>
          <w:rFonts w:ascii="Verdana" w:hAnsi="Verdana"/>
          <w:sz w:val="18"/>
          <w:szCs w:val="18"/>
        </w:rPr>
        <w:t xml:space="preserve"> the issue in relation to the </w:t>
      </w:r>
      <w:r w:rsidR="00921FD3" w:rsidRPr="0002250C">
        <w:rPr>
          <w:rFonts w:ascii="Verdana" w:hAnsi="Verdana"/>
          <w:sz w:val="18"/>
          <w:szCs w:val="18"/>
        </w:rPr>
        <w:t>b</w:t>
      </w:r>
      <w:r w:rsidRPr="0002250C">
        <w:rPr>
          <w:rFonts w:ascii="Verdana" w:hAnsi="Verdana"/>
          <w:sz w:val="18"/>
          <w:szCs w:val="18"/>
        </w:rPr>
        <w:t>oard was adjourned to 25</w:t>
      </w:r>
      <w:r w:rsidRPr="0002250C">
        <w:rPr>
          <w:rFonts w:ascii="Verdana" w:hAnsi="Verdana"/>
          <w:sz w:val="18"/>
          <w:szCs w:val="18"/>
          <w:vertAlign w:val="superscript"/>
        </w:rPr>
        <w:t>th</w:t>
      </w:r>
      <w:r w:rsidR="00921FD3" w:rsidRPr="0002250C">
        <w:rPr>
          <w:rFonts w:ascii="Verdana" w:hAnsi="Verdana"/>
          <w:sz w:val="18"/>
          <w:szCs w:val="18"/>
        </w:rPr>
        <w:t xml:space="preserve"> </w:t>
      </w:r>
      <w:r w:rsidRPr="0002250C">
        <w:rPr>
          <w:rFonts w:ascii="Verdana" w:hAnsi="Verdana"/>
          <w:sz w:val="18"/>
          <w:szCs w:val="18"/>
        </w:rPr>
        <w:t xml:space="preserve">July, 2022 on the basis that the </w:t>
      </w:r>
      <w:r w:rsidR="00921FD3" w:rsidRPr="0002250C">
        <w:rPr>
          <w:rFonts w:ascii="Verdana" w:hAnsi="Verdana"/>
          <w:sz w:val="18"/>
          <w:szCs w:val="18"/>
        </w:rPr>
        <w:t>b</w:t>
      </w:r>
      <w:r w:rsidRPr="0002250C">
        <w:rPr>
          <w:rFonts w:ascii="Verdana" w:hAnsi="Verdana"/>
          <w:sz w:val="18"/>
          <w:szCs w:val="18"/>
        </w:rPr>
        <w:t xml:space="preserve">oard would take a pragmatic approach to the filing of pleadings </w:t>
      </w:r>
      <w:r w:rsidR="00332F49" w:rsidRPr="0002250C">
        <w:rPr>
          <w:rFonts w:ascii="Verdana" w:hAnsi="Verdana"/>
          <w:sz w:val="18"/>
          <w:szCs w:val="18"/>
        </w:rPr>
        <w:t>(</w:t>
      </w:r>
      <w:r w:rsidRPr="0002250C">
        <w:rPr>
          <w:rFonts w:ascii="Verdana" w:hAnsi="Verdana"/>
          <w:sz w:val="18"/>
          <w:szCs w:val="18"/>
        </w:rPr>
        <w:t>that is</w:t>
      </w:r>
      <w:r w:rsidR="006A14D7" w:rsidRPr="0002250C">
        <w:rPr>
          <w:rFonts w:ascii="Verdana" w:hAnsi="Verdana"/>
          <w:sz w:val="18"/>
          <w:szCs w:val="18"/>
        </w:rPr>
        <w:t>,</w:t>
      </w:r>
      <w:r w:rsidRPr="0002250C">
        <w:rPr>
          <w:rFonts w:ascii="Verdana" w:hAnsi="Verdana"/>
          <w:sz w:val="18"/>
          <w:szCs w:val="18"/>
        </w:rPr>
        <w:t xml:space="preserve"> </w:t>
      </w:r>
      <w:r w:rsidR="00EE520E" w:rsidRPr="0002250C">
        <w:rPr>
          <w:rFonts w:ascii="Verdana" w:hAnsi="Verdana"/>
          <w:sz w:val="18"/>
          <w:szCs w:val="18"/>
        </w:rPr>
        <w:t xml:space="preserve">accept </w:t>
      </w:r>
      <w:r w:rsidR="00B87201">
        <w:rPr>
          <w:rFonts w:ascii="Verdana" w:hAnsi="Verdana"/>
          <w:sz w:val="18"/>
          <w:szCs w:val="18"/>
        </w:rPr>
        <w:t>without making any concession as to the legal position otherwise</w:t>
      </w:r>
      <w:r w:rsidRPr="0002250C">
        <w:rPr>
          <w:rFonts w:ascii="Verdana" w:hAnsi="Verdana"/>
          <w:sz w:val="18"/>
          <w:szCs w:val="18"/>
        </w:rPr>
        <w:t xml:space="preserve"> that the applicant is not liable for costs</w:t>
      </w:r>
      <w:r w:rsidR="00EE520E" w:rsidRPr="0002250C">
        <w:rPr>
          <w:rFonts w:ascii="Verdana" w:hAnsi="Verdana"/>
          <w:sz w:val="18"/>
          <w:szCs w:val="18"/>
        </w:rPr>
        <w:t xml:space="preserve"> </w:t>
      </w:r>
      <w:r w:rsidR="00B87201">
        <w:rPr>
          <w:rFonts w:ascii="Verdana" w:hAnsi="Verdana"/>
          <w:sz w:val="18"/>
          <w:szCs w:val="18"/>
        </w:rPr>
        <w:t>in the event of not winning the case, as concerns costs up to the close of pleadings</w:t>
      </w:r>
      <w:r w:rsidR="00332F49" w:rsidRPr="0002250C">
        <w:rPr>
          <w:rFonts w:ascii="Verdana" w:hAnsi="Verdana"/>
          <w:sz w:val="18"/>
          <w:szCs w:val="18"/>
        </w:rPr>
        <w:t>)</w:t>
      </w:r>
      <w:r w:rsidRPr="0002250C">
        <w:rPr>
          <w:rFonts w:ascii="Verdana" w:hAnsi="Verdana"/>
          <w:sz w:val="18"/>
          <w:szCs w:val="18"/>
        </w:rPr>
        <w:t xml:space="preserve"> and </w:t>
      </w:r>
      <w:r w:rsidR="00B87201">
        <w:rPr>
          <w:rFonts w:ascii="Verdana" w:hAnsi="Verdana"/>
          <w:sz w:val="18"/>
          <w:szCs w:val="18"/>
        </w:rPr>
        <w:t xml:space="preserve">that we would </w:t>
      </w:r>
      <w:r w:rsidRPr="0002250C">
        <w:rPr>
          <w:rFonts w:ascii="Verdana" w:hAnsi="Verdana"/>
          <w:sz w:val="18"/>
          <w:szCs w:val="18"/>
        </w:rPr>
        <w:t>rev</w:t>
      </w:r>
      <w:r w:rsidR="00D3084A" w:rsidRPr="0002250C">
        <w:rPr>
          <w:rFonts w:ascii="Verdana" w:hAnsi="Verdana"/>
          <w:sz w:val="18"/>
          <w:szCs w:val="18"/>
        </w:rPr>
        <w:t>iew</w:t>
      </w:r>
      <w:r w:rsidRPr="0002250C">
        <w:rPr>
          <w:rFonts w:ascii="Verdana" w:hAnsi="Verdana"/>
          <w:sz w:val="18"/>
          <w:szCs w:val="18"/>
        </w:rPr>
        <w:t xml:space="preserve"> the costs position regarding subsequent steps once </w:t>
      </w:r>
      <w:r w:rsidR="00EE520E" w:rsidRPr="0002250C">
        <w:rPr>
          <w:rFonts w:ascii="Verdana" w:hAnsi="Verdana"/>
          <w:sz w:val="18"/>
          <w:szCs w:val="18"/>
        </w:rPr>
        <w:t>pleadings are</w:t>
      </w:r>
      <w:r w:rsidRPr="0002250C">
        <w:rPr>
          <w:rFonts w:ascii="Verdana" w:hAnsi="Verdana"/>
          <w:sz w:val="18"/>
          <w:szCs w:val="18"/>
        </w:rPr>
        <w:t xml:space="preserve"> complete.</w:t>
      </w:r>
    </w:p>
    <w:p w14:paraId="4F1AF533" w14:textId="60632660" w:rsidR="006518CB" w:rsidRPr="0002250C" w:rsidRDefault="009350F4" w:rsidP="0002250C">
      <w:pPr>
        <w:pStyle w:val="ListParagraph"/>
        <w:numPr>
          <w:ilvl w:val="0"/>
          <w:numId w:val="4"/>
        </w:numPr>
        <w:spacing w:after="240" w:line="360" w:lineRule="auto"/>
        <w:ind w:left="567" w:hanging="567"/>
        <w:contextualSpacing w:val="0"/>
        <w:jc w:val="both"/>
        <w:rPr>
          <w:rFonts w:ascii="Verdana" w:hAnsi="Verdana"/>
          <w:sz w:val="18"/>
          <w:szCs w:val="18"/>
        </w:rPr>
      </w:pPr>
      <w:r w:rsidRPr="0002250C">
        <w:rPr>
          <w:rFonts w:ascii="Verdana" w:hAnsi="Verdana"/>
          <w:sz w:val="18"/>
          <w:szCs w:val="18"/>
        </w:rPr>
        <w:t xml:space="preserve">The present </w:t>
      </w:r>
      <w:r w:rsidR="00FC78D4" w:rsidRPr="0002250C">
        <w:rPr>
          <w:rFonts w:ascii="Verdana" w:hAnsi="Verdana"/>
          <w:sz w:val="18"/>
          <w:szCs w:val="18"/>
        </w:rPr>
        <w:t>motion</w:t>
      </w:r>
      <w:r w:rsidR="006518CB" w:rsidRPr="0002250C">
        <w:rPr>
          <w:rFonts w:ascii="Verdana" w:hAnsi="Verdana"/>
          <w:sz w:val="18"/>
          <w:szCs w:val="18"/>
        </w:rPr>
        <w:t>,</w:t>
      </w:r>
      <w:r w:rsidR="00FC78D4" w:rsidRPr="0002250C">
        <w:rPr>
          <w:rFonts w:ascii="Verdana" w:hAnsi="Verdana"/>
          <w:sz w:val="18"/>
          <w:szCs w:val="18"/>
        </w:rPr>
        <w:t xml:space="preserve"> therefore</w:t>
      </w:r>
      <w:r w:rsidR="006518CB" w:rsidRPr="0002250C">
        <w:rPr>
          <w:rFonts w:ascii="Verdana" w:hAnsi="Verdana"/>
          <w:sz w:val="18"/>
          <w:szCs w:val="18"/>
        </w:rPr>
        <w:t>,</w:t>
      </w:r>
      <w:r w:rsidRPr="0002250C">
        <w:rPr>
          <w:rFonts w:ascii="Verdana" w:hAnsi="Verdana"/>
          <w:sz w:val="18"/>
          <w:szCs w:val="18"/>
        </w:rPr>
        <w:t xml:space="preserve"> relates only to relief against the State</w:t>
      </w:r>
      <w:r w:rsidR="00B87201">
        <w:rPr>
          <w:rFonts w:ascii="Verdana" w:hAnsi="Verdana"/>
          <w:sz w:val="18"/>
          <w:szCs w:val="18"/>
        </w:rPr>
        <w:t>.  It was given a hearing date of</w:t>
      </w:r>
      <w:r w:rsidRPr="0002250C">
        <w:rPr>
          <w:rFonts w:ascii="Verdana" w:hAnsi="Verdana"/>
          <w:sz w:val="18"/>
          <w:szCs w:val="18"/>
        </w:rPr>
        <w:t xml:space="preserve"> 15</w:t>
      </w:r>
      <w:r w:rsidRPr="0002250C">
        <w:rPr>
          <w:rFonts w:ascii="Verdana" w:hAnsi="Verdana"/>
          <w:sz w:val="18"/>
          <w:szCs w:val="18"/>
          <w:vertAlign w:val="superscript"/>
        </w:rPr>
        <w:t>th</w:t>
      </w:r>
      <w:r w:rsidRPr="0002250C">
        <w:rPr>
          <w:rFonts w:ascii="Verdana" w:hAnsi="Verdana"/>
          <w:sz w:val="18"/>
          <w:szCs w:val="18"/>
        </w:rPr>
        <w:t xml:space="preserve"> </w:t>
      </w:r>
      <w:proofErr w:type="gramStart"/>
      <w:r w:rsidRPr="0002250C">
        <w:rPr>
          <w:rFonts w:ascii="Verdana" w:hAnsi="Verdana"/>
          <w:sz w:val="18"/>
          <w:szCs w:val="18"/>
        </w:rPr>
        <w:t>June,</w:t>
      </w:r>
      <w:proofErr w:type="gramEnd"/>
      <w:r w:rsidRPr="0002250C">
        <w:rPr>
          <w:rFonts w:ascii="Verdana" w:hAnsi="Verdana"/>
          <w:sz w:val="18"/>
          <w:szCs w:val="18"/>
        </w:rPr>
        <w:t xml:space="preserve"> 2022.</w:t>
      </w:r>
    </w:p>
    <w:p w14:paraId="0307B540" w14:textId="3D095B8E" w:rsidR="009350F4" w:rsidRPr="0002250C" w:rsidRDefault="009350F4" w:rsidP="0002250C">
      <w:pPr>
        <w:pStyle w:val="ListParagraph"/>
        <w:numPr>
          <w:ilvl w:val="0"/>
          <w:numId w:val="4"/>
        </w:numPr>
        <w:spacing w:after="240" w:line="360" w:lineRule="auto"/>
        <w:ind w:left="567" w:hanging="567"/>
        <w:contextualSpacing w:val="0"/>
        <w:jc w:val="both"/>
        <w:rPr>
          <w:rFonts w:ascii="Verdana" w:hAnsi="Verdana"/>
          <w:sz w:val="18"/>
          <w:szCs w:val="18"/>
        </w:rPr>
      </w:pPr>
      <w:r w:rsidRPr="0002250C">
        <w:rPr>
          <w:rFonts w:ascii="Verdana" w:hAnsi="Verdana"/>
          <w:sz w:val="18"/>
          <w:szCs w:val="18"/>
        </w:rPr>
        <w:lastRenderedPageBreak/>
        <w:t>In written submissions</w:t>
      </w:r>
      <w:r w:rsidR="00B87201">
        <w:rPr>
          <w:rFonts w:ascii="Verdana" w:hAnsi="Verdana"/>
          <w:sz w:val="18"/>
          <w:szCs w:val="18"/>
        </w:rPr>
        <w:t>,</w:t>
      </w:r>
      <w:r w:rsidRPr="0002250C">
        <w:rPr>
          <w:rFonts w:ascii="Verdana" w:hAnsi="Verdana"/>
          <w:sz w:val="18"/>
          <w:szCs w:val="18"/>
        </w:rPr>
        <w:t xml:space="preserve"> the applicant had argued that the court should not deliver judgment until the Supreme </w:t>
      </w:r>
      <w:r w:rsidR="00FC78D4" w:rsidRPr="0002250C">
        <w:rPr>
          <w:rFonts w:ascii="Verdana" w:hAnsi="Verdana"/>
          <w:sz w:val="18"/>
          <w:szCs w:val="18"/>
        </w:rPr>
        <w:t>Court had</w:t>
      </w:r>
      <w:r w:rsidRPr="0002250C">
        <w:rPr>
          <w:rFonts w:ascii="Verdana" w:hAnsi="Verdana"/>
          <w:sz w:val="18"/>
          <w:szCs w:val="18"/>
        </w:rPr>
        <w:t xml:space="preserve"> determined the appeal in </w:t>
      </w:r>
      <w:r w:rsidR="00AF15CA" w:rsidRPr="0002250C">
        <w:rPr>
          <w:rFonts w:ascii="Verdana" w:hAnsi="Verdana"/>
          <w:i/>
          <w:iCs/>
          <w:sz w:val="18"/>
          <w:szCs w:val="18"/>
        </w:rPr>
        <w:t>Heather Hill Management Company CLG v. An Bord Pleanála</w:t>
      </w:r>
      <w:r w:rsidR="00AF15CA" w:rsidRPr="0002250C">
        <w:rPr>
          <w:rFonts w:ascii="Verdana" w:hAnsi="Verdana"/>
          <w:sz w:val="18"/>
          <w:szCs w:val="18"/>
        </w:rPr>
        <w:t xml:space="preserve"> [2021] IECA 259 (Unreported, Court of Appeal, Costello J. (Ní Raifeartaigh and Pilkington JJ. concurring), 14</w:t>
      </w:r>
      <w:r w:rsidR="00AF15CA" w:rsidRPr="0002250C">
        <w:rPr>
          <w:rFonts w:ascii="Verdana" w:hAnsi="Verdana"/>
          <w:sz w:val="18"/>
          <w:szCs w:val="18"/>
          <w:vertAlign w:val="superscript"/>
        </w:rPr>
        <w:t>th</w:t>
      </w:r>
      <w:r w:rsidR="00AF15CA" w:rsidRPr="0002250C">
        <w:rPr>
          <w:rFonts w:ascii="Verdana" w:hAnsi="Verdana"/>
          <w:sz w:val="18"/>
          <w:szCs w:val="18"/>
        </w:rPr>
        <w:t xml:space="preserve"> </w:t>
      </w:r>
      <w:proofErr w:type="gramStart"/>
      <w:r w:rsidR="00AF15CA" w:rsidRPr="0002250C">
        <w:rPr>
          <w:rFonts w:ascii="Verdana" w:hAnsi="Verdana"/>
          <w:sz w:val="18"/>
          <w:szCs w:val="18"/>
        </w:rPr>
        <w:t>October,</w:t>
      </w:r>
      <w:proofErr w:type="gramEnd"/>
      <w:r w:rsidR="00AF15CA" w:rsidRPr="0002250C">
        <w:rPr>
          <w:rFonts w:ascii="Verdana" w:hAnsi="Verdana"/>
          <w:sz w:val="18"/>
          <w:szCs w:val="18"/>
        </w:rPr>
        <w:t xml:space="preserve"> 2021)</w:t>
      </w:r>
      <w:r w:rsidRPr="0002250C">
        <w:rPr>
          <w:rFonts w:ascii="Verdana" w:hAnsi="Verdana"/>
          <w:sz w:val="18"/>
          <w:szCs w:val="18"/>
        </w:rPr>
        <w:t>.</w:t>
      </w:r>
      <w:r w:rsidR="00AF15CA" w:rsidRPr="0002250C">
        <w:rPr>
          <w:rFonts w:ascii="Verdana" w:hAnsi="Verdana"/>
          <w:sz w:val="18"/>
          <w:szCs w:val="18"/>
        </w:rPr>
        <w:t xml:space="preserve">  </w:t>
      </w:r>
      <w:r w:rsidRPr="0002250C">
        <w:rPr>
          <w:rFonts w:ascii="Verdana" w:hAnsi="Verdana"/>
          <w:sz w:val="18"/>
          <w:szCs w:val="18"/>
        </w:rPr>
        <w:t xml:space="preserve">That makes very little sense </w:t>
      </w:r>
      <w:r w:rsidR="00FC78D4" w:rsidRPr="0002250C">
        <w:rPr>
          <w:rFonts w:ascii="Verdana" w:hAnsi="Verdana"/>
          <w:sz w:val="18"/>
          <w:szCs w:val="18"/>
        </w:rPr>
        <w:t>because there</w:t>
      </w:r>
      <w:r w:rsidRPr="0002250C">
        <w:rPr>
          <w:rFonts w:ascii="Verdana" w:hAnsi="Verdana"/>
          <w:sz w:val="18"/>
          <w:szCs w:val="18"/>
        </w:rPr>
        <w:t xml:space="preserve"> is no point in the court hearing a matter but then declining to deliver judgment.</w:t>
      </w:r>
      <w:r w:rsidR="00E97605" w:rsidRPr="0002250C">
        <w:rPr>
          <w:rFonts w:ascii="Verdana" w:hAnsi="Verdana"/>
          <w:sz w:val="18"/>
          <w:szCs w:val="18"/>
        </w:rPr>
        <w:t xml:space="preserve">  </w:t>
      </w:r>
      <w:r w:rsidRPr="0002250C">
        <w:rPr>
          <w:rFonts w:ascii="Verdana" w:hAnsi="Verdana"/>
          <w:sz w:val="18"/>
          <w:szCs w:val="18"/>
        </w:rPr>
        <w:t>The correct course would have been to seek an adjournment of the motion</w:t>
      </w:r>
      <w:r w:rsidR="00E97605" w:rsidRPr="0002250C">
        <w:rPr>
          <w:rFonts w:ascii="Verdana" w:hAnsi="Verdana"/>
          <w:sz w:val="18"/>
          <w:szCs w:val="18"/>
        </w:rPr>
        <w:t>,</w:t>
      </w:r>
      <w:r w:rsidRPr="0002250C">
        <w:rPr>
          <w:rFonts w:ascii="Verdana" w:hAnsi="Verdana"/>
          <w:sz w:val="18"/>
          <w:szCs w:val="18"/>
        </w:rPr>
        <w:t xml:space="preserve"> which the applicant did</w:t>
      </w:r>
      <w:r w:rsidR="00EE520E" w:rsidRPr="0002250C">
        <w:rPr>
          <w:rFonts w:ascii="Verdana" w:hAnsi="Verdana"/>
          <w:sz w:val="18"/>
          <w:szCs w:val="18"/>
        </w:rPr>
        <w:t>n’</w:t>
      </w:r>
      <w:r w:rsidRPr="0002250C">
        <w:rPr>
          <w:rFonts w:ascii="Verdana" w:hAnsi="Verdana"/>
          <w:sz w:val="18"/>
          <w:szCs w:val="18"/>
        </w:rPr>
        <w:t>t do</w:t>
      </w:r>
      <w:r w:rsidR="00DA4287" w:rsidRPr="0002250C">
        <w:rPr>
          <w:rFonts w:ascii="Verdana" w:hAnsi="Verdana"/>
          <w:sz w:val="18"/>
          <w:szCs w:val="18"/>
        </w:rPr>
        <w:t xml:space="preserve">. </w:t>
      </w:r>
    </w:p>
    <w:p w14:paraId="59C0FB17" w14:textId="662CB02C" w:rsidR="00DA4287" w:rsidRPr="0002250C" w:rsidRDefault="00DA4287" w:rsidP="0002250C">
      <w:pPr>
        <w:pStyle w:val="ListParagraph"/>
        <w:numPr>
          <w:ilvl w:val="0"/>
          <w:numId w:val="4"/>
        </w:numPr>
        <w:spacing w:after="240" w:line="360" w:lineRule="auto"/>
        <w:ind w:left="567" w:hanging="567"/>
        <w:contextualSpacing w:val="0"/>
        <w:jc w:val="both"/>
        <w:rPr>
          <w:rFonts w:ascii="Verdana" w:hAnsi="Verdana"/>
          <w:sz w:val="18"/>
          <w:szCs w:val="18"/>
        </w:rPr>
      </w:pPr>
      <w:r w:rsidRPr="0002250C">
        <w:rPr>
          <w:rFonts w:ascii="Verdana" w:hAnsi="Verdana"/>
          <w:sz w:val="18"/>
          <w:szCs w:val="18"/>
        </w:rPr>
        <w:t>At the completion of the hearing</w:t>
      </w:r>
      <w:r w:rsidR="00A61802" w:rsidRPr="0002250C">
        <w:rPr>
          <w:rFonts w:ascii="Verdana" w:hAnsi="Verdana"/>
          <w:sz w:val="18"/>
          <w:szCs w:val="18"/>
        </w:rPr>
        <w:t>,</w:t>
      </w:r>
      <w:r w:rsidRPr="0002250C">
        <w:rPr>
          <w:rFonts w:ascii="Verdana" w:hAnsi="Verdana"/>
          <w:sz w:val="18"/>
          <w:szCs w:val="18"/>
        </w:rPr>
        <w:t xml:space="preserve"> I indicated the order being made in respect of s. 50B </w:t>
      </w:r>
      <w:r w:rsidR="00EE520E" w:rsidRPr="0002250C">
        <w:rPr>
          <w:rFonts w:ascii="Verdana" w:hAnsi="Verdana"/>
          <w:sz w:val="18"/>
          <w:szCs w:val="18"/>
        </w:rPr>
        <w:t xml:space="preserve">of the 2000 Act </w:t>
      </w:r>
      <w:r w:rsidRPr="0002250C">
        <w:rPr>
          <w:rFonts w:ascii="Verdana" w:hAnsi="Verdana"/>
          <w:sz w:val="18"/>
          <w:szCs w:val="18"/>
        </w:rPr>
        <w:t xml:space="preserve">and the 2011 Act and indicated that a formal judgment would be given later </w:t>
      </w:r>
      <w:r w:rsidR="00B87201">
        <w:rPr>
          <w:rFonts w:ascii="Verdana" w:hAnsi="Verdana"/>
          <w:sz w:val="18"/>
          <w:szCs w:val="18"/>
        </w:rPr>
        <w:t>giving reasons and</w:t>
      </w:r>
      <w:r w:rsidRPr="0002250C">
        <w:rPr>
          <w:rFonts w:ascii="Verdana" w:hAnsi="Verdana"/>
          <w:sz w:val="18"/>
          <w:szCs w:val="18"/>
        </w:rPr>
        <w:t xml:space="preserve"> </w:t>
      </w:r>
      <w:r w:rsidR="00FC78D4" w:rsidRPr="0002250C">
        <w:rPr>
          <w:rFonts w:ascii="Verdana" w:hAnsi="Verdana"/>
          <w:sz w:val="18"/>
          <w:szCs w:val="18"/>
        </w:rPr>
        <w:t>dealing with</w:t>
      </w:r>
      <w:r w:rsidRPr="0002250C">
        <w:rPr>
          <w:rFonts w:ascii="Verdana" w:hAnsi="Verdana"/>
          <w:sz w:val="18"/>
          <w:szCs w:val="18"/>
        </w:rPr>
        <w:t xml:space="preserve"> the Aarhus Convention</w:t>
      </w:r>
      <w:r w:rsidR="00B87201">
        <w:rPr>
          <w:rFonts w:ascii="Verdana" w:hAnsi="Verdana"/>
          <w:sz w:val="18"/>
          <w:szCs w:val="18"/>
        </w:rPr>
        <w:t xml:space="preserve"> issues</w:t>
      </w:r>
      <w:r w:rsidRPr="0002250C">
        <w:rPr>
          <w:rFonts w:ascii="Verdana" w:hAnsi="Verdana"/>
          <w:sz w:val="18"/>
          <w:szCs w:val="18"/>
        </w:rPr>
        <w:t xml:space="preserve">. </w:t>
      </w:r>
    </w:p>
    <w:p w14:paraId="5B6D8CF4" w14:textId="48CE9CD3" w:rsidR="00DA4287" w:rsidRPr="000353ED" w:rsidRDefault="00DA4287" w:rsidP="000353ED">
      <w:pPr>
        <w:pStyle w:val="ListParagraph"/>
        <w:spacing w:line="360" w:lineRule="auto"/>
        <w:ind w:left="567" w:hanging="567"/>
        <w:contextualSpacing w:val="0"/>
        <w:jc w:val="both"/>
        <w:rPr>
          <w:rFonts w:ascii="Verdana" w:hAnsi="Verdana"/>
          <w:b/>
          <w:sz w:val="18"/>
          <w:szCs w:val="18"/>
        </w:rPr>
      </w:pPr>
      <w:r w:rsidRPr="000353ED">
        <w:rPr>
          <w:rFonts w:ascii="Verdana" w:hAnsi="Verdana"/>
          <w:b/>
          <w:sz w:val="18"/>
          <w:szCs w:val="18"/>
        </w:rPr>
        <w:t>Clai</w:t>
      </w:r>
      <w:r w:rsidR="00B87201">
        <w:rPr>
          <w:rFonts w:ascii="Verdana" w:hAnsi="Verdana"/>
          <w:b/>
          <w:sz w:val="18"/>
          <w:szCs w:val="18"/>
        </w:rPr>
        <w:t xml:space="preserve">m </w:t>
      </w:r>
      <w:r w:rsidRPr="000353ED">
        <w:rPr>
          <w:rFonts w:ascii="Verdana" w:hAnsi="Verdana"/>
          <w:b/>
          <w:sz w:val="18"/>
          <w:szCs w:val="18"/>
        </w:rPr>
        <w:t>regarding s. 50B of the 2000 Act</w:t>
      </w:r>
    </w:p>
    <w:p w14:paraId="14C55731" w14:textId="47B1FBBE" w:rsidR="00DA4287" w:rsidRPr="0002250C" w:rsidRDefault="00DA4287" w:rsidP="0002250C">
      <w:pPr>
        <w:pStyle w:val="ListParagraph"/>
        <w:numPr>
          <w:ilvl w:val="0"/>
          <w:numId w:val="4"/>
        </w:numPr>
        <w:spacing w:after="240" w:line="360" w:lineRule="auto"/>
        <w:ind w:left="567" w:hanging="567"/>
        <w:contextualSpacing w:val="0"/>
        <w:jc w:val="both"/>
        <w:rPr>
          <w:rFonts w:ascii="Verdana" w:hAnsi="Verdana"/>
          <w:sz w:val="18"/>
          <w:szCs w:val="18"/>
        </w:rPr>
      </w:pPr>
      <w:r w:rsidRPr="0002250C">
        <w:rPr>
          <w:rFonts w:ascii="Verdana" w:hAnsi="Verdana"/>
          <w:sz w:val="18"/>
          <w:szCs w:val="18"/>
        </w:rPr>
        <w:t xml:space="preserve">There is no basis whatsoever for a </w:t>
      </w:r>
      <w:r w:rsidR="00FC78D4" w:rsidRPr="0002250C">
        <w:rPr>
          <w:rFonts w:ascii="Verdana" w:hAnsi="Verdana"/>
          <w:sz w:val="18"/>
          <w:szCs w:val="18"/>
        </w:rPr>
        <w:t>declaration that s.</w:t>
      </w:r>
      <w:r w:rsidRPr="0002250C">
        <w:rPr>
          <w:rFonts w:ascii="Verdana" w:hAnsi="Verdana"/>
          <w:sz w:val="18"/>
          <w:szCs w:val="18"/>
        </w:rPr>
        <w:t xml:space="preserve"> 50B applies. A claim that ministerial guidelines under s. 28 of the 2000 Act are </w:t>
      </w:r>
      <w:r w:rsidRPr="0002250C">
        <w:rPr>
          <w:rFonts w:ascii="Verdana" w:hAnsi="Verdana"/>
          <w:i/>
          <w:iCs/>
          <w:sz w:val="18"/>
          <w:szCs w:val="18"/>
        </w:rPr>
        <w:t>ultra vires</w:t>
      </w:r>
      <w:r w:rsidRPr="0002250C">
        <w:rPr>
          <w:rFonts w:ascii="Verdana" w:hAnsi="Verdana"/>
          <w:sz w:val="18"/>
          <w:szCs w:val="18"/>
        </w:rPr>
        <w:t xml:space="preserve"> or that s. 28 is invalid is not a proceeding under the </w:t>
      </w:r>
      <w:proofErr w:type="gramStart"/>
      <w:r w:rsidR="001206D9" w:rsidRPr="0002250C">
        <w:rPr>
          <w:rFonts w:ascii="Verdana" w:hAnsi="Verdana"/>
          <w:sz w:val="18"/>
          <w:szCs w:val="18"/>
        </w:rPr>
        <w:t>h</w:t>
      </w:r>
      <w:r w:rsidRPr="0002250C">
        <w:rPr>
          <w:rFonts w:ascii="Verdana" w:hAnsi="Verdana"/>
          <w:sz w:val="18"/>
          <w:szCs w:val="18"/>
        </w:rPr>
        <w:t>abitats</w:t>
      </w:r>
      <w:proofErr w:type="gramEnd"/>
      <w:r w:rsidRPr="0002250C">
        <w:rPr>
          <w:rFonts w:ascii="Verdana" w:hAnsi="Verdana"/>
          <w:sz w:val="18"/>
          <w:szCs w:val="18"/>
        </w:rPr>
        <w:t xml:space="preserve"> </w:t>
      </w:r>
      <w:r w:rsidR="001206D9" w:rsidRPr="0002250C">
        <w:rPr>
          <w:rFonts w:ascii="Verdana" w:hAnsi="Verdana"/>
          <w:sz w:val="18"/>
          <w:szCs w:val="18"/>
        </w:rPr>
        <w:t>d</w:t>
      </w:r>
      <w:r w:rsidRPr="0002250C">
        <w:rPr>
          <w:rFonts w:ascii="Verdana" w:hAnsi="Verdana"/>
          <w:sz w:val="18"/>
          <w:szCs w:val="18"/>
        </w:rPr>
        <w:t xml:space="preserve">irective or any EU </w:t>
      </w:r>
      <w:r w:rsidR="001206D9" w:rsidRPr="0002250C">
        <w:rPr>
          <w:rFonts w:ascii="Verdana" w:hAnsi="Verdana"/>
          <w:sz w:val="18"/>
          <w:szCs w:val="18"/>
        </w:rPr>
        <w:t>d</w:t>
      </w:r>
      <w:r w:rsidRPr="0002250C">
        <w:rPr>
          <w:rFonts w:ascii="Verdana" w:hAnsi="Verdana"/>
          <w:sz w:val="18"/>
          <w:szCs w:val="18"/>
        </w:rPr>
        <w:t xml:space="preserve">irective on public participation or under a national law giving effect to such a </w:t>
      </w:r>
      <w:r w:rsidR="001206D9" w:rsidRPr="0002250C">
        <w:rPr>
          <w:rFonts w:ascii="Verdana" w:hAnsi="Verdana"/>
          <w:sz w:val="18"/>
          <w:szCs w:val="18"/>
        </w:rPr>
        <w:t>d</w:t>
      </w:r>
      <w:r w:rsidRPr="0002250C">
        <w:rPr>
          <w:rFonts w:ascii="Verdana" w:hAnsi="Verdana"/>
          <w:sz w:val="18"/>
          <w:szCs w:val="18"/>
        </w:rPr>
        <w:t xml:space="preserve">irective. </w:t>
      </w:r>
    </w:p>
    <w:p w14:paraId="71AEB183" w14:textId="582D3086" w:rsidR="00DA4287" w:rsidRPr="000353ED" w:rsidRDefault="00DA4287" w:rsidP="000353ED">
      <w:pPr>
        <w:pStyle w:val="ListParagraph"/>
        <w:spacing w:line="360" w:lineRule="auto"/>
        <w:ind w:left="567" w:hanging="567"/>
        <w:contextualSpacing w:val="0"/>
        <w:jc w:val="both"/>
        <w:rPr>
          <w:rFonts w:ascii="Verdana" w:hAnsi="Verdana"/>
          <w:b/>
          <w:sz w:val="18"/>
          <w:szCs w:val="18"/>
        </w:rPr>
      </w:pPr>
      <w:r w:rsidRPr="000353ED">
        <w:rPr>
          <w:rFonts w:ascii="Verdana" w:hAnsi="Verdana"/>
          <w:b/>
          <w:sz w:val="18"/>
          <w:szCs w:val="18"/>
        </w:rPr>
        <w:t>Claim</w:t>
      </w:r>
      <w:r w:rsidR="00B87201">
        <w:rPr>
          <w:rFonts w:ascii="Verdana" w:hAnsi="Verdana"/>
          <w:b/>
          <w:sz w:val="18"/>
          <w:szCs w:val="18"/>
        </w:rPr>
        <w:t xml:space="preserve"> </w:t>
      </w:r>
      <w:r w:rsidRPr="000353ED">
        <w:rPr>
          <w:rFonts w:ascii="Verdana" w:hAnsi="Verdana"/>
          <w:b/>
          <w:sz w:val="18"/>
          <w:szCs w:val="18"/>
        </w:rPr>
        <w:t>under the 2011 Act</w:t>
      </w:r>
    </w:p>
    <w:p w14:paraId="55DCF011" w14:textId="05194F68" w:rsidR="00DA4287" w:rsidRPr="0002250C" w:rsidRDefault="00DA4287" w:rsidP="0002250C">
      <w:pPr>
        <w:pStyle w:val="ListParagraph"/>
        <w:numPr>
          <w:ilvl w:val="0"/>
          <w:numId w:val="4"/>
        </w:numPr>
        <w:spacing w:after="240" w:line="360" w:lineRule="auto"/>
        <w:ind w:left="567" w:hanging="567"/>
        <w:contextualSpacing w:val="0"/>
        <w:jc w:val="both"/>
        <w:rPr>
          <w:rFonts w:ascii="Verdana" w:hAnsi="Verdana"/>
          <w:sz w:val="18"/>
          <w:szCs w:val="18"/>
        </w:rPr>
      </w:pPr>
      <w:r w:rsidRPr="0002250C">
        <w:rPr>
          <w:rFonts w:ascii="Verdana" w:hAnsi="Verdana"/>
          <w:sz w:val="18"/>
          <w:szCs w:val="18"/>
        </w:rPr>
        <w:t>The 2011 Act only applies, by virtue of s. 4(1)(a), where the proceedings are “</w:t>
      </w:r>
      <w:r w:rsidR="00AC0FD5" w:rsidRPr="0002250C">
        <w:rPr>
          <w:rFonts w:ascii="Verdana" w:hAnsi="Verdana"/>
          <w:sz w:val="18"/>
          <w:szCs w:val="18"/>
        </w:rPr>
        <w:t>for the purpose of ensuring compliance with, or the enforcement of, a statutory requirement</w:t>
      </w:r>
      <w:r w:rsidRPr="0002250C">
        <w:rPr>
          <w:rFonts w:ascii="Verdana" w:hAnsi="Verdana"/>
          <w:sz w:val="18"/>
          <w:szCs w:val="18"/>
        </w:rPr>
        <w:t xml:space="preserve">” or in other related circumstances. </w:t>
      </w:r>
    </w:p>
    <w:p w14:paraId="3CA2FDAE" w14:textId="28A98B68" w:rsidR="00305B45" w:rsidRPr="0002250C" w:rsidRDefault="00DA4287" w:rsidP="0002250C">
      <w:pPr>
        <w:pStyle w:val="ListParagraph"/>
        <w:numPr>
          <w:ilvl w:val="0"/>
          <w:numId w:val="4"/>
        </w:numPr>
        <w:spacing w:after="240" w:line="360" w:lineRule="auto"/>
        <w:ind w:left="567" w:hanging="567"/>
        <w:contextualSpacing w:val="0"/>
        <w:jc w:val="both"/>
        <w:rPr>
          <w:rFonts w:ascii="Verdana" w:hAnsi="Verdana"/>
          <w:b/>
          <w:sz w:val="18"/>
          <w:szCs w:val="18"/>
          <w:u w:val="single"/>
        </w:rPr>
      </w:pPr>
      <w:r w:rsidRPr="0002250C">
        <w:rPr>
          <w:rFonts w:ascii="Verdana" w:hAnsi="Verdana"/>
          <w:sz w:val="18"/>
          <w:szCs w:val="18"/>
        </w:rPr>
        <w:t xml:space="preserve">An action seeking to invalidate a statutory requirement </w:t>
      </w:r>
      <w:r w:rsidR="008F4DA6" w:rsidRPr="0002250C">
        <w:rPr>
          <w:rFonts w:ascii="Verdana" w:hAnsi="Verdana"/>
          <w:sz w:val="18"/>
          <w:szCs w:val="18"/>
        </w:rPr>
        <w:t>(</w:t>
      </w:r>
      <w:r w:rsidRPr="0002250C">
        <w:rPr>
          <w:rFonts w:ascii="Verdana" w:hAnsi="Verdana"/>
          <w:sz w:val="18"/>
          <w:szCs w:val="18"/>
        </w:rPr>
        <w:t xml:space="preserve">including a requirement in an instrument </w:t>
      </w:r>
      <w:r w:rsidR="00C3221C">
        <w:rPr>
          <w:rFonts w:ascii="Verdana" w:hAnsi="Verdana"/>
          <w:sz w:val="18"/>
          <w:szCs w:val="18"/>
        </w:rPr>
        <w:t xml:space="preserve">such as a guideline </w:t>
      </w:r>
      <w:r w:rsidR="00DD4843" w:rsidRPr="0002250C">
        <w:rPr>
          <w:rFonts w:ascii="Verdana" w:hAnsi="Verdana"/>
          <w:sz w:val="18"/>
          <w:szCs w:val="18"/>
        </w:rPr>
        <w:t>made under a statute</w:t>
      </w:r>
      <w:r w:rsidR="008F4DA6" w:rsidRPr="0002250C">
        <w:rPr>
          <w:rFonts w:ascii="Verdana" w:hAnsi="Verdana"/>
          <w:sz w:val="18"/>
          <w:szCs w:val="18"/>
        </w:rPr>
        <w:t>)</w:t>
      </w:r>
      <w:r w:rsidR="00514A19" w:rsidRPr="0002250C">
        <w:rPr>
          <w:rFonts w:ascii="Verdana" w:hAnsi="Verdana"/>
          <w:sz w:val="18"/>
          <w:szCs w:val="18"/>
        </w:rPr>
        <w:t>,</w:t>
      </w:r>
      <w:r w:rsidR="00DD4843" w:rsidRPr="0002250C">
        <w:rPr>
          <w:rFonts w:ascii="Verdana" w:hAnsi="Verdana"/>
          <w:sz w:val="18"/>
          <w:szCs w:val="18"/>
        </w:rPr>
        <w:t xml:space="preserve"> is not an action to ensure compliance with or enforcement of a statutory requirement</w:t>
      </w:r>
      <w:r w:rsidR="00514A19" w:rsidRPr="0002250C">
        <w:rPr>
          <w:rFonts w:ascii="Verdana" w:hAnsi="Verdana"/>
          <w:sz w:val="18"/>
          <w:szCs w:val="18"/>
        </w:rPr>
        <w:t>.  I</w:t>
      </w:r>
      <w:r w:rsidR="00DD4843" w:rsidRPr="0002250C">
        <w:rPr>
          <w:rFonts w:ascii="Verdana" w:hAnsi="Verdana"/>
          <w:sz w:val="18"/>
          <w:szCs w:val="18"/>
        </w:rPr>
        <w:t>f I am wrong about that</w:t>
      </w:r>
      <w:r w:rsidR="00514A19" w:rsidRPr="0002250C">
        <w:rPr>
          <w:rFonts w:ascii="Verdana" w:hAnsi="Verdana"/>
          <w:sz w:val="18"/>
          <w:szCs w:val="18"/>
        </w:rPr>
        <w:t>,</w:t>
      </w:r>
      <w:r w:rsidR="00DD4843" w:rsidRPr="0002250C">
        <w:rPr>
          <w:rFonts w:ascii="Verdana" w:hAnsi="Verdana"/>
          <w:sz w:val="18"/>
          <w:szCs w:val="18"/>
        </w:rPr>
        <w:t xml:space="preserve"> such an action is not aimed at preventing “damage to the environment” in the sense meant by the 2011 Act as explained in </w:t>
      </w:r>
      <w:r w:rsidR="00327717" w:rsidRPr="0002250C">
        <w:rPr>
          <w:rFonts w:ascii="Verdana" w:hAnsi="Verdana"/>
          <w:i/>
          <w:iCs/>
          <w:sz w:val="18"/>
          <w:szCs w:val="18"/>
        </w:rPr>
        <w:t>Enniskerry Alliance v. An Bord Pleanála (No. 1)</w:t>
      </w:r>
      <w:r w:rsidR="00327717" w:rsidRPr="0002250C">
        <w:rPr>
          <w:rFonts w:ascii="Verdana" w:hAnsi="Verdana"/>
          <w:sz w:val="18"/>
          <w:szCs w:val="18"/>
        </w:rPr>
        <w:t xml:space="preserve"> [2022] IEHC 6, [2022] 1 JIC 1410 (Unreported, High Court, 14</w:t>
      </w:r>
      <w:r w:rsidR="00327717" w:rsidRPr="0002250C">
        <w:rPr>
          <w:rFonts w:ascii="Verdana" w:hAnsi="Verdana"/>
          <w:sz w:val="18"/>
          <w:szCs w:val="18"/>
          <w:vertAlign w:val="superscript"/>
        </w:rPr>
        <w:t>th</w:t>
      </w:r>
      <w:r w:rsidR="00327717" w:rsidRPr="0002250C">
        <w:rPr>
          <w:rFonts w:ascii="Verdana" w:hAnsi="Verdana"/>
          <w:sz w:val="18"/>
          <w:szCs w:val="18"/>
        </w:rPr>
        <w:t xml:space="preserve"> </w:t>
      </w:r>
      <w:proofErr w:type="gramStart"/>
      <w:r w:rsidR="00327717" w:rsidRPr="0002250C">
        <w:rPr>
          <w:rFonts w:ascii="Verdana" w:hAnsi="Verdana"/>
          <w:sz w:val="18"/>
          <w:szCs w:val="18"/>
        </w:rPr>
        <w:t>January,</w:t>
      </w:r>
      <w:proofErr w:type="gramEnd"/>
      <w:r w:rsidR="00327717" w:rsidRPr="0002250C">
        <w:rPr>
          <w:rFonts w:ascii="Verdana" w:hAnsi="Verdana"/>
          <w:sz w:val="18"/>
          <w:szCs w:val="18"/>
        </w:rPr>
        <w:t xml:space="preserve"> 2022)</w:t>
      </w:r>
      <w:r w:rsidR="00DD4843" w:rsidRPr="0002250C">
        <w:rPr>
          <w:rFonts w:ascii="Verdana" w:hAnsi="Verdana"/>
          <w:iCs/>
          <w:sz w:val="18"/>
          <w:szCs w:val="18"/>
        </w:rPr>
        <w:t xml:space="preserve">, </w:t>
      </w:r>
      <w:r w:rsidR="00DD4843" w:rsidRPr="0002250C">
        <w:rPr>
          <w:rFonts w:ascii="Verdana" w:hAnsi="Verdana"/>
          <w:i/>
          <w:sz w:val="18"/>
          <w:szCs w:val="18"/>
        </w:rPr>
        <w:t xml:space="preserve">Enniskerry Alliance v. An Bord </w:t>
      </w:r>
      <w:r w:rsidR="00FC78D4" w:rsidRPr="0002250C">
        <w:rPr>
          <w:rFonts w:ascii="Verdana" w:hAnsi="Verdana"/>
          <w:i/>
          <w:sz w:val="18"/>
          <w:szCs w:val="18"/>
        </w:rPr>
        <w:t xml:space="preserve">Pleanála </w:t>
      </w:r>
      <w:r w:rsidR="00EA4015" w:rsidRPr="0002250C">
        <w:rPr>
          <w:rFonts w:ascii="Verdana" w:hAnsi="Verdana"/>
          <w:i/>
          <w:sz w:val="18"/>
          <w:szCs w:val="18"/>
        </w:rPr>
        <w:t>(</w:t>
      </w:r>
      <w:r w:rsidR="00FC78D4" w:rsidRPr="0002250C">
        <w:rPr>
          <w:rFonts w:ascii="Verdana" w:hAnsi="Verdana"/>
          <w:i/>
          <w:sz w:val="18"/>
          <w:szCs w:val="18"/>
        </w:rPr>
        <w:t>No.</w:t>
      </w:r>
      <w:r w:rsidR="00DD4843" w:rsidRPr="0002250C">
        <w:rPr>
          <w:rFonts w:ascii="Verdana" w:hAnsi="Verdana"/>
          <w:i/>
          <w:sz w:val="18"/>
          <w:szCs w:val="18"/>
        </w:rPr>
        <w:t xml:space="preserve"> 2</w:t>
      </w:r>
      <w:r w:rsidR="00EA4015" w:rsidRPr="0002250C">
        <w:rPr>
          <w:rFonts w:ascii="Verdana" w:hAnsi="Verdana"/>
          <w:i/>
          <w:sz w:val="18"/>
          <w:szCs w:val="18"/>
        </w:rPr>
        <w:t>)</w:t>
      </w:r>
      <w:r w:rsidR="00EA4015" w:rsidRPr="0002250C">
        <w:rPr>
          <w:rFonts w:ascii="Verdana" w:hAnsi="Verdana"/>
          <w:iCs/>
          <w:sz w:val="18"/>
          <w:szCs w:val="18"/>
        </w:rPr>
        <w:t xml:space="preserve"> [2022] IEHC 337</w:t>
      </w:r>
      <w:r w:rsidR="00EA4AA2" w:rsidRPr="0002250C">
        <w:rPr>
          <w:rFonts w:ascii="Verdana" w:hAnsi="Verdana"/>
          <w:iCs/>
          <w:sz w:val="18"/>
          <w:szCs w:val="18"/>
        </w:rPr>
        <w:t>,</w:t>
      </w:r>
      <w:r w:rsidR="00EA4015" w:rsidRPr="0002250C">
        <w:rPr>
          <w:rFonts w:ascii="Verdana" w:hAnsi="Verdana"/>
          <w:iCs/>
          <w:sz w:val="18"/>
          <w:szCs w:val="18"/>
        </w:rPr>
        <w:t xml:space="preserve"> [2022] 6 JIC 1002</w:t>
      </w:r>
      <w:r w:rsidR="00C1676E" w:rsidRPr="0002250C">
        <w:rPr>
          <w:rFonts w:ascii="Verdana" w:hAnsi="Verdana"/>
          <w:iCs/>
          <w:sz w:val="18"/>
          <w:szCs w:val="18"/>
        </w:rPr>
        <w:t xml:space="preserve"> (Unreported, High Court, </w:t>
      </w:r>
      <w:r w:rsidR="00580D75" w:rsidRPr="0002250C">
        <w:rPr>
          <w:rFonts w:ascii="Verdana" w:hAnsi="Verdana"/>
          <w:iCs/>
          <w:sz w:val="18"/>
          <w:szCs w:val="18"/>
        </w:rPr>
        <w:t>10</w:t>
      </w:r>
      <w:r w:rsidR="00580D75" w:rsidRPr="0002250C">
        <w:rPr>
          <w:rFonts w:ascii="Verdana" w:hAnsi="Verdana"/>
          <w:iCs/>
          <w:sz w:val="18"/>
          <w:szCs w:val="18"/>
          <w:vertAlign w:val="superscript"/>
        </w:rPr>
        <w:t>th</w:t>
      </w:r>
      <w:r w:rsidR="00580D75" w:rsidRPr="0002250C">
        <w:rPr>
          <w:rFonts w:ascii="Verdana" w:hAnsi="Verdana"/>
          <w:iCs/>
          <w:sz w:val="18"/>
          <w:szCs w:val="18"/>
        </w:rPr>
        <w:t xml:space="preserve"> </w:t>
      </w:r>
      <w:proofErr w:type="gramStart"/>
      <w:r w:rsidR="00580D75" w:rsidRPr="0002250C">
        <w:rPr>
          <w:rFonts w:ascii="Verdana" w:hAnsi="Verdana"/>
          <w:iCs/>
          <w:sz w:val="18"/>
          <w:szCs w:val="18"/>
        </w:rPr>
        <w:t>June,</w:t>
      </w:r>
      <w:proofErr w:type="gramEnd"/>
      <w:r w:rsidR="00580D75" w:rsidRPr="0002250C">
        <w:rPr>
          <w:rFonts w:ascii="Verdana" w:hAnsi="Verdana"/>
          <w:iCs/>
          <w:sz w:val="18"/>
          <w:szCs w:val="18"/>
        </w:rPr>
        <w:t xml:space="preserve"> 2022</w:t>
      </w:r>
      <w:r w:rsidR="00C1676E" w:rsidRPr="0002250C">
        <w:rPr>
          <w:rFonts w:ascii="Verdana" w:hAnsi="Verdana"/>
          <w:iCs/>
          <w:sz w:val="18"/>
          <w:szCs w:val="18"/>
        </w:rPr>
        <w:t>)</w:t>
      </w:r>
      <w:r w:rsidR="00B87201">
        <w:rPr>
          <w:rFonts w:ascii="Verdana" w:hAnsi="Verdana"/>
          <w:iCs/>
          <w:sz w:val="18"/>
          <w:szCs w:val="18"/>
        </w:rPr>
        <w:t xml:space="preserve"> and</w:t>
      </w:r>
      <w:r w:rsidR="00DD4843" w:rsidRPr="0002250C">
        <w:rPr>
          <w:rFonts w:ascii="Verdana" w:hAnsi="Verdana"/>
          <w:iCs/>
          <w:sz w:val="18"/>
          <w:szCs w:val="18"/>
        </w:rPr>
        <w:t xml:space="preserve"> </w:t>
      </w:r>
      <w:r w:rsidR="00305B45" w:rsidRPr="0002250C">
        <w:rPr>
          <w:rFonts w:ascii="Verdana" w:hAnsi="Verdana"/>
          <w:i/>
          <w:sz w:val="18"/>
          <w:szCs w:val="18"/>
        </w:rPr>
        <w:t>Save Roscam Peninsula CLG v</w:t>
      </w:r>
      <w:r w:rsidR="00400244" w:rsidRPr="0002250C">
        <w:rPr>
          <w:rFonts w:ascii="Verdana" w:hAnsi="Verdana"/>
          <w:i/>
          <w:sz w:val="18"/>
          <w:szCs w:val="18"/>
        </w:rPr>
        <w:t>.</w:t>
      </w:r>
      <w:r w:rsidR="00305B45" w:rsidRPr="0002250C">
        <w:rPr>
          <w:rFonts w:ascii="Verdana" w:hAnsi="Verdana"/>
          <w:i/>
          <w:sz w:val="18"/>
          <w:szCs w:val="18"/>
        </w:rPr>
        <w:t xml:space="preserve"> </w:t>
      </w:r>
      <w:r w:rsidR="00400244" w:rsidRPr="0002250C">
        <w:rPr>
          <w:rFonts w:ascii="Verdana" w:hAnsi="Verdana"/>
          <w:i/>
          <w:sz w:val="18"/>
          <w:szCs w:val="18"/>
        </w:rPr>
        <w:t>A</w:t>
      </w:r>
      <w:r w:rsidR="00305B45" w:rsidRPr="0002250C">
        <w:rPr>
          <w:rFonts w:ascii="Verdana" w:hAnsi="Verdana"/>
          <w:i/>
          <w:sz w:val="18"/>
          <w:szCs w:val="18"/>
        </w:rPr>
        <w:t>n Bord Plean</w:t>
      </w:r>
      <w:r w:rsidR="00400244" w:rsidRPr="0002250C">
        <w:rPr>
          <w:rFonts w:ascii="Verdana" w:hAnsi="Verdana"/>
          <w:i/>
          <w:sz w:val="18"/>
          <w:szCs w:val="18"/>
        </w:rPr>
        <w:t>á</w:t>
      </w:r>
      <w:r w:rsidR="00305B45" w:rsidRPr="0002250C">
        <w:rPr>
          <w:rFonts w:ascii="Verdana" w:hAnsi="Verdana"/>
          <w:i/>
          <w:sz w:val="18"/>
          <w:szCs w:val="18"/>
        </w:rPr>
        <w:t>la</w:t>
      </w:r>
      <w:r w:rsidR="00305B45" w:rsidRPr="0002250C">
        <w:rPr>
          <w:rFonts w:ascii="Verdana" w:hAnsi="Verdana"/>
          <w:iCs/>
          <w:sz w:val="18"/>
          <w:szCs w:val="18"/>
        </w:rPr>
        <w:t xml:space="preserve"> [2022] IEHC 328</w:t>
      </w:r>
      <w:r w:rsidR="00400244" w:rsidRPr="0002250C">
        <w:rPr>
          <w:rFonts w:ascii="Verdana" w:hAnsi="Verdana"/>
          <w:iCs/>
          <w:sz w:val="18"/>
          <w:szCs w:val="18"/>
        </w:rPr>
        <w:t xml:space="preserve">, </w:t>
      </w:r>
      <w:r w:rsidR="00241B30" w:rsidRPr="0002250C">
        <w:rPr>
          <w:rFonts w:ascii="Verdana" w:hAnsi="Verdana"/>
          <w:iCs/>
          <w:sz w:val="18"/>
          <w:szCs w:val="18"/>
        </w:rPr>
        <w:t xml:space="preserve">[2022] 6 JIC 0903 </w:t>
      </w:r>
      <w:r w:rsidR="00400244" w:rsidRPr="0002250C">
        <w:rPr>
          <w:rFonts w:ascii="Verdana" w:hAnsi="Verdana"/>
          <w:iCs/>
          <w:sz w:val="18"/>
          <w:szCs w:val="18"/>
        </w:rPr>
        <w:t xml:space="preserve">(Unreported, High Court, </w:t>
      </w:r>
      <w:r w:rsidR="00C47D03" w:rsidRPr="0002250C">
        <w:rPr>
          <w:rFonts w:ascii="Verdana" w:hAnsi="Verdana"/>
          <w:iCs/>
          <w:sz w:val="18"/>
          <w:szCs w:val="18"/>
        </w:rPr>
        <w:t>9</w:t>
      </w:r>
      <w:r w:rsidR="00C47D03" w:rsidRPr="0002250C">
        <w:rPr>
          <w:rFonts w:ascii="Verdana" w:hAnsi="Verdana"/>
          <w:iCs/>
          <w:sz w:val="18"/>
          <w:szCs w:val="18"/>
          <w:vertAlign w:val="superscript"/>
        </w:rPr>
        <w:t>th</w:t>
      </w:r>
      <w:r w:rsidR="00C47D03" w:rsidRPr="0002250C">
        <w:rPr>
          <w:rFonts w:ascii="Verdana" w:hAnsi="Verdana"/>
          <w:iCs/>
          <w:sz w:val="18"/>
          <w:szCs w:val="18"/>
        </w:rPr>
        <w:t xml:space="preserve"> </w:t>
      </w:r>
      <w:proofErr w:type="gramStart"/>
      <w:r w:rsidR="00C47D03" w:rsidRPr="0002250C">
        <w:rPr>
          <w:rFonts w:ascii="Verdana" w:hAnsi="Verdana"/>
          <w:iCs/>
          <w:sz w:val="18"/>
          <w:szCs w:val="18"/>
        </w:rPr>
        <w:t>June,</w:t>
      </w:r>
      <w:proofErr w:type="gramEnd"/>
      <w:r w:rsidR="00C47D03" w:rsidRPr="0002250C">
        <w:rPr>
          <w:rFonts w:ascii="Verdana" w:hAnsi="Verdana"/>
          <w:iCs/>
          <w:sz w:val="18"/>
          <w:szCs w:val="18"/>
        </w:rPr>
        <w:t xml:space="preserve"> 2022</w:t>
      </w:r>
      <w:r w:rsidR="00400244" w:rsidRPr="0002250C">
        <w:rPr>
          <w:rFonts w:ascii="Verdana" w:hAnsi="Verdana"/>
          <w:iCs/>
          <w:sz w:val="18"/>
          <w:szCs w:val="18"/>
        </w:rPr>
        <w:t>).</w:t>
      </w:r>
      <w:r w:rsidR="00B87201">
        <w:rPr>
          <w:rFonts w:ascii="Verdana" w:hAnsi="Verdana"/>
          <w:iCs/>
          <w:sz w:val="18"/>
          <w:szCs w:val="18"/>
        </w:rPr>
        <w:t xml:space="preserve">  </w:t>
      </w:r>
      <w:r w:rsidR="00C3221C">
        <w:rPr>
          <w:rFonts w:ascii="Verdana" w:hAnsi="Verdana"/>
          <w:iCs/>
          <w:sz w:val="18"/>
          <w:szCs w:val="18"/>
        </w:rPr>
        <w:t xml:space="preserve">The harm thereby prevented is insufficiently tangible and in addition is not a harm to the existing natural or human ecosystem in the sense of the statute but rather a complaint that a more Utopian development might have been authorised but for the guidelines.  </w:t>
      </w:r>
      <w:r w:rsidR="00B87201">
        <w:rPr>
          <w:rFonts w:ascii="Verdana" w:hAnsi="Verdana"/>
          <w:iCs/>
          <w:sz w:val="18"/>
          <w:szCs w:val="18"/>
        </w:rPr>
        <w:t>The 2011 Act does not apply.</w:t>
      </w:r>
    </w:p>
    <w:p w14:paraId="4FB9F167" w14:textId="6F930AB9" w:rsidR="00DD4843" w:rsidRPr="000353ED" w:rsidRDefault="00DD4843" w:rsidP="000353ED">
      <w:pPr>
        <w:pStyle w:val="ListParagraph"/>
        <w:spacing w:line="360" w:lineRule="auto"/>
        <w:ind w:left="567" w:hanging="567"/>
        <w:contextualSpacing w:val="0"/>
        <w:jc w:val="both"/>
        <w:rPr>
          <w:rFonts w:ascii="Verdana" w:hAnsi="Verdana"/>
          <w:b/>
          <w:sz w:val="18"/>
          <w:szCs w:val="18"/>
        </w:rPr>
      </w:pPr>
      <w:r w:rsidRPr="000353ED">
        <w:rPr>
          <w:rFonts w:ascii="Verdana" w:hAnsi="Verdana"/>
          <w:b/>
          <w:sz w:val="18"/>
          <w:szCs w:val="18"/>
        </w:rPr>
        <w:t>Claim regarding Aarhus interpretative obligation</w:t>
      </w:r>
    </w:p>
    <w:p w14:paraId="76E1ED74" w14:textId="1ED63ADA" w:rsidR="00B01B1E" w:rsidRPr="0002250C" w:rsidRDefault="00DD4843" w:rsidP="0002250C">
      <w:pPr>
        <w:pStyle w:val="ListParagraph"/>
        <w:numPr>
          <w:ilvl w:val="0"/>
          <w:numId w:val="4"/>
        </w:numPr>
        <w:spacing w:after="240" w:line="360" w:lineRule="auto"/>
        <w:ind w:left="567" w:hanging="567"/>
        <w:contextualSpacing w:val="0"/>
        <w:jc w:val="both"/>
        <w:rPr>
          <w:rFonts w:ascii="Verdana" w:hAnsi="Verdana"/>
          <w:sz w:val="18"/>
          <w:szCs w:val="18"/>
        </w:rPr>
      </w:pPr>
      <w:r w:rsidRPr="0002250C">
        <w:rPr>
          <w:rFonts w:ascii="Verdana" w:hAnsi="Verdana"/>
          <w:sz w:val="18"/>
          <w:szCs w:val="18"/>
        </w:rPr>
        <w:t xml:space="preserve">The applicant has proposed </w:t>
      </w:r>
      <w:proofErr w:type="gramStart"/>
      <w:r w:rsidRPr="0002250C">
        <w:rPr>
          <w:rFonts w:ascii="Verdana" w:hAnsi="Verdana"/>
          <w:sz w:val="18"/>
          <w:szCs w:val="18"/>
        </w:rPr>
        <w:t>a number of</w:t>
      </w:r>
      <w:proofErr w:type="gramEnd"/>
      <w:r w:rsidRPr="0002250C">
        <w:rPr>
          <w:rFonts w:ascii="Verdana" w:hAnsi="Verdana"/>
          <w:sz w:val="18"/>
          <w:szCs w:val="18"/>
        </w:rPr>
        <w:t xml:space="preserve"> questions for reference to the CJEU in relation to the Aarhus interpretative obligation</w:t>
      </w:r>
      <w:r w:rsidR="00EE520E" w:rsidRPr="0002250C">
        <w:rPr>
          <w:rFonts w:ascii="Verdana" w:hAnsi="Verdana"/>
          <w:sz w:val="18"/>
          <w:szCs w:val="18"/>
        </w:rPr>
        <w:t>.  M</w:t>
      </w:r>
      <w:r w:rsidRPr="0002250C">
        <w:rPr>
          <w:rFonts w:ascii="Verdana" w:hAnsi="Verdana"/>
          <w:sz w:val="18"/>
          <w:szCs w:val="18"/>
        </w:rPr>
        <w:t xml:space="preserve">any of these overlap with the </w:t>
      </w:r>
      <w:r w:rsidRPr="0002250C">
        <w:rPr>
          <w:rFonts w:ascii="Verdana" w:hAnsi="Verdana"/>
          <w:i/>
          <w:sz w:val="18"/>
          <w:szCs w:val="18"/>
        </w:rPr>
        <w:t>Enniskerry Alliance</w:t>
      </w:r>
      <w:r w:rsidRPr="0002250C">
        <w:rPr>
          <w:rFonts w:ascii="Verdana" w:hAnsi="Verdana"/>
          <w:sz w:val="18"/>
          <w:szCs w:val="18"/>
        </w:rPr>
        <w:t xml:space="preserve"> case.</w:t>
      </w:r>
    </w:p>
    <w:p w14:paraId="2CA9A0FC" w14:textId="77777777" w:rsidR="00B01B1E" w:rsidRPr="0002250C" w:rsidRDefault="00DD4843" w:rsidP="0002250C">
      <w:pPr>
        <w:pStyle w:val="ListParagraph"/>
        <w:numPr>
          <w:ilvl w:val="0"/>
          <w:numId w:val="4"/>
        </w:numPr>
        <w:spacing w:after="240" w:line="360" w:lineRule="auto"/>
        <w:ind w:left="567" w:hanging="567"/>
        <w:contextualSpacing w:val="0"/>
        <w:jc w:val="both"/>
        <w:rPr>
          <w:rFonts w:ascii="Verdana" w:hAnsi="Verdana"/>
          <w:sz w:val="18"/>
          <w:szCs w:val="18"/>
        </w:rPr>
      </w:pPr>
      <w:r w:rsidRPr="0002250C">
        <w:rPr>
          <w:rFonts w:ascii="Verdana" w:hAnsi="Verdana"/>
          <w:sz w:val="18"/>
          <w:szCs w:val="18"/>
        </w:rPr>
        <w:t>The first question is</w:t>
      </w:r>
      <w:r w:rsidR="00522252" w:rsidRPr="0002250C">
        <w:rPr>
          <w:rFonts w:ascii="Verdana" w:hAnsi="Verdana"/>
          <w:sz w:val="18"/>
          <w:szCs w:val="18"/>
        </w:rPr>
        <w:t>:</w:t>
      </w:r>
    </w:p>
    <w:p w14:paraId="20A74057" w14:textId="77777777" w:rsidR="00B01B1E" w:rsidRPr="0002250C" w:rsidRDefault="00DD4843" w:rsidP="00E738F2">
      <w:pPr>
        <w:pStyle w:val="ListParagraph"/>
        <w:spacing w:after="240" w:line="360" w:lineRule="auto"/>
        <w:ind w:left="1418"/>
        <w:contextualSpacing w:val="0"/>
        <w:jc w:val="both"/>
        <w:rPr>
          <w:rFonts w:ascii="Verdana" w:hAnsi="Verdana"/>
          <w:sz w:val="18"/>
          <w:szCs w:val="18"/>
        </w:rPr>
      </w:pPr>
      <w:r w:rsidRPr="0002250C">
        <w:rPr>
          <w:rFonts w:ascii="Verdana" w:hAnsi="Verdana"/>
          <w:sz w:val="18"/>
          <w:szCs w:val="18"/>
        </w:rPr>
        <w:lastRenderedPageBreak/>
        <w:t>“</w:t>
      </w:r>
      <w:r w:rsidR="000655E0" w:rsidRPr="0002250C">
        <w:rPr>
          <w:rFonts w:ascii="Verdana" w:hAnsi="Verdana"/>
          <w:sz w:val="18"/>
          <w:szCs w:val="18"/>
        </w:rPr>
        <w:t>Is the Aarhus Convention itself an instrument of EU law for the purposes of engaging the jurisdiction of the Court under A267 TFEU, or is it necessary that there be a further distinct measure of EU law engaged?”</w:t>
      </w:r>
    </w:p>
    <w:p w14:paraId="2B6ED103" w14:textId="2755C65A" w:rsidR="00EF3877" w:rsidRPr="0002250C" w:rsidRDefault="00DD4843" w:rsidP="0002250C">
      <w:pPr>
        <w:pStyle w:val="ListParagraph"/>
        <w:numPr>
          <w:ilvl w:val="0"/>
          <w:numId w:val="4"/>
        </w:numPr>
        <w:spacing w:after="240" w:line="360" w:lineRule="auto"/>
        <w:ind w:left="567" w:hanging="567"/>
        <w:contextualSpacing w:val="0"/>
        <w:jc w:val="both"/>
        <w:rPr>
          <w:rFonts w:ascii="Verdana" w:hAnsi="Verdana"/>
          <w:sz w:val="18"/>
          <w:szCs w:val="18"/>
        </w:rPr>
      </w:pPr>
      <w:r w:rsidRPr="0002250C">
        <w:rPr>
          <w:rFonts w:ascii="Verdana" w:hAnsi="Verdana"/>
          <w:sz w:val="18"/>
          <w:szCs w:val="18"/>
        </w:rPr>
        <w:t xml:space="preserve">That seems to me to be a repeat in essence of </w:t>
      </w:r>
      <w:r w:rsidRPr="0002250C">
        <w:rPr>
          <w:rFonts w:ascii="Verdana" w:hAnsi="Verdana"/>
          <w:i/>
          <w:sz w:val="18"/>
          <w:szCs w:val="18"/>
        </w:rPr>
        <w:t xml:space="preserve">Enniskerry. </w:t>
      </w:r>
    </w:p>
    <w:p w14:paraId="156ED4A9" w14:textId="77777777" w:rsidR="00B01B1E" w:rsidRPr="0002250C" w:rsidRDefault="00DD4843" w:rsidP="0002250C">
      <w:pPr>
        <w:pStyle w:val="ListParagraph"/>
        <w:numPr>
          <w:ilvl w:val="0"/>
          <w:numId w:val="4"/>
        </w:numPr>
        <w:spacing w:after="240" w:line="360" w:lineRule="auto"/>
        <w:ind w:left="567" w:hanging="567"/>
        <w:contextualSpacing w:val="0"/>
        <w:jc w:val="both"/>
        <w:rPr>
          <w:rFonts w:ascii="Verdana" w:hAnsi="Verdana"/>
          <w:sz w:val="18"/>
          <w:szCs w:val="18"/>
        </w:rPr>
      </w:pPr>
      <w:r w:rsidRPr="0002250C">
        <w:rPr>
          <w:rFonts w:ascii="Verdana" w:hAnsi="Verdana"/>
          <w:sz w:val="18"/>
          <w:szCs w:val="18"/>
        </w:rPr>
        <w:t>The second question is</w:t>
      </w:r>
      <w:r w:rsidR="00B01B1E" w:rsidRPr="0002250C">
        <w:rPr>
          <w:rFonts w:ascii="Verdana" w:hAnsi="Verdana"/>
          <w:sz w:val="18"/>
          <w:szCs w:val="18"/>
        </w:rPr>
        <w:t>:</w:t>
      </w:r>
    </w:p>
    <w:p w14:paraId="5D8832E5" w14:textId="77777777" w:rsidR="00B01B1E" w:rsidRPr="0002250C" w:rsidRDefault="00DD4843" w:rsidP="006A1E2C">
      <w:pPr>
        <w:pStyle w:val="ListParagraph"/>
        <w:spacing w:after="240" w:line="360" w:lineRule="auto"/>
        <w:ind w:left="1418"/>
        <w:contextualSpacing w:val="0"/>
        <w:jc w:val="both"/>
        <w:rPr>
          <w:rFonts w:ascii="Verdana" w:hAnsi="Verdana"/>
          <w:sz w:val="18"/>
          <w:szCs w:val="18"/>
        </w:rPr>
      </w:pPr>
      <w:r w:rsidRPr="0002250C">
        <w:rPr>
          <w:rFonts w:ascii="Verdana" w:hAnsi="Verdana"/>
          <w:sz w:val="18"/>
          <w:szCs w:val="18"/>
        </w:rPr>
        <w:t>“</w:t>
      </w:r>
      <w:r w:rsidR="00CF64FE" w:rsidRPr="0002250C">
        <w:rPr>
          <w:rFonts w:ascii="Verdana" w:hAnsi="Verdana"/>
          <w:sz w:val="18"/>
          <w:szCs w:val="18"/>
        </w:rPr>
        <w:t>If the latter, are any or all of the following sufficient to engage that jurisdiction: Decision 2016/1841, Regulations 2018/842, 2018/1999, 2021/1119, where the impugned instrument was adopted in part for the purpose of ensuring denser development in order to promote sustainable development and reduce carbon emissions from transport, and indirectly to address climate change</w:t>
      </w:r>
      <w:r w:rsidRPr="0002250C">
        <w:rPr>
          <w:rFonts w:ascii="Verdana" w:hAnsi="Verdana"/>
          <w:sz w:val="18"/>
          <w:szCs w:val="18"/>
        </w:rPr>
        <w:t>”</w:t>
      </w:r>
      <w:r w:rsidR="00B20F66" w:rsidRPr="0002250C">
        <w:rPr>
          <w:rFonts w:ascii="Verdana" w:hAnsi="Verdana"/>
          <w:sz w:val="18"/>
          <w:szCs w:val="18"/>
        </w:rPr>
        <w:t>.</w:t>
      </w:r>
    </w:p>
    <w:p w14:paraId="34D3C0A2" w14:textId="6DC29983" w:rsidR="00B20F66" w:rsidRPr="0002250C" w:rsidRDefault="00DD4843" w:rsidP="0002250C">
      <w:pPr>
        <w:pStyle w:val="ListParagraph"/>
        <w:numPr>
          <w:ilvl w:val="0"/>
          <w:numId w:val="4"/>
        </w:numPr>
        <w:spacing w:after="240" w:line="360" w:lineRule="auto"/>
        <w:ind w:left="567" w:hanging="567"/>
        <w:contextualSpacing w:val="0"/>
        <w:jc w:val="both"/>
        <w:rPr>
          <w:rFonts w:ascii="Verdana" w:hAnsi="Verdana"/>
          <w:sz w:val="18"/>
          <w:szCs w:val="18"/>
        </w:rPr>
      </w:pPr>
      <w:r w:rsidRPr="0002250C">
        <w:rPr>
          <w:rFonts w:ascii="Verdana" w:hAnsi="Verdana"/>
          <w:sz w:val="18"/>
          <w:szCs w:val="18"/>
        </w:rPr>
        <w:t xml:space="preserve">That does not add a whole lot to </w:t>
      </w:r>
      <w:r w:rsidRPr="0002250C">
        <w:rPr>
          <w:rFonts w:ascii="Verdana" w:hAnsi="Verdana"/>
          <w:i/>
          <w:sz w:val="18"/>
          <w:szCs w:val="18"/>
        </w:rPr>
        <w:t xml:space="preserve">Enniskerry </w:t>
      </w:r>
      <w:r w:rsidRPr="0002250C">
        <w:rPr>
          <w:rFonts w:ascii="Verdana" w:hAnsi="Verdana"/>
          <w:sz w:val="18"/>
          <w:szCs w:val="18"/>
        </w:rPr>
        <w:t xml:space="preserve">and is likely to be answered in substance by the </w:t>
      </w:r>
      <w:r w:rsidR="00EF3877" w:rsidRPr="0002250C">
        <w:rPr>
          <w:rFonts w:ascii="Verdana" w:hAnsi="Verdana"/>
          <w:sz w:val="18"/>
          <w:szCs w:val="18"/>
        </w:rPr>
        <w:t>answer in that case.</w:t>
      </w:r>
    </w:p>
    <w:p w14:paraId="0797DDBF" w14:textId="77777777" w:rsidR="0087255C" w:rsidRPr="0002250C" w:rsidRDefault="00EF3877" w:rsidP="0002250C">
      <w:pPr>
        <w:pStyle w:val="ListParagraph"/>
        <w:numPr>
          <w:ilvl w:val="0"/>
          <w:numId w:val="4"/>
        </w:numPr>
        <w:spacing w:after="240" w:line="360" w:lineRule="auto"/>
        <w:ind w:left="567" w:hanging="567"/>
        <w:contextualSpacing w:val="0"/>
        <w:jc w:val="both"/>
        <w:rPr>
          <w:rFonts w:ascii="Verdana" w:hAnsi="Verdana"/>
          <w:sz w:val="18"/>
          <w:szCs w:val="18"/>
        </w:rPr>
      </w:pPr>
      <w:r w:rsidRPr="0002250C">
        <w:rPr>
          <w:rFonts w:ascii="Verdana" w:hAnsi="Verdana"/>
          <w:sz w:val="18"/>
          <w:szCs w:val="18"/>
        </w:rPr>
        <w:t>The second question continues</w:t>
      </w:r>
      <w:r w:rsidR="0087255C" w:rsidRPr="0002250C">
        <w:rPr>
          <w:rFonts w:ascii="Verdana" w:hAnsi="Verdana"/>
          <w:sz w:val="18"/>
          <w:szCs w:val="18"/>
        </w:rPr>
        <w:t>:</w:t>
      </w:r>
    </w:p>
    <w:p w14:paraId="3C3AEE29" w14:textId="77777777" w:rsidR="0087255C" w:rsidRPr="0002250C" w:rsidRDefault="00EF3877" w:rsidP="006A1E2C">
      <w:pPr>
        <w:pStyle w:val="ListParagraph"/>
        <w:spacing w:after="240" w:line="360" w:lineRule="auto"/>
        <w:ind w:left="1418"/>
        <w:contextualSpacing w:val="0"/>
        <w:jc w:val="both"/>
        <w:rPr>
          <w:rFonts w:ascii="Verdana" w:hAnsi="Verdana"/>
          <w:sz w:val="18"/>
          <w:szCs w:val="18"/>
        </w:rPr>
      </w:pPr>
      <w:r w:rsidRPr="0002250C">
        <w:rPr>
          <w:rFonts w:ascii="Verdana" w:hAnsi="Verdana"/>
          <w:sz w:val="18"/>
          <w:szCs w:val="18"/>
        </w:rPr>
        <w:t>“</w:t>
      </w:r>
      <w:r w:rsidR="008524E4" w:rsidRPr="0002250C">
        <w:rPr>
          <w:rFonts w:ascii="Verdana" w:hAnsi="Verdana"/>
          <w:sz w:val="18"/>
          <w:szCs w:val="18"/>
        </w:rPr>
        <w:t>Or, where the impugned decision was adopted pursuant to a national law intended to promote sustainable development in the field of town and country planning, and where the impugned instrument pursuant to which that decision was taken was itself adopted pursuant to the same national law, for the same purpose and subject to strategic assessment under that Directive.</w:t>
      </w:r>
      <w:r w:rsidRPr="0002250C">
        <w:rPr>
          <w:rFonts w:ascii="Verdana" w:hAnsi="Verdana"/>
          <w:sz w:val="18"/>
          <w:szCs w:val="18"/>
        </w:rPr>
        <w:t>”</w:t>
      </w:r>
    </w:p>
    <w:p w14:paraId="5969E5FE" w14:textId="77777777" w:rsidR="006D669E" w:rsidRPr="0002250C" w:rsidRDefault="00EF3877" w:rsidP="0002250C">
      <w:pPr>
        <w:pStyle w:val="ListParagraph"/>
        <w:numPr>
          <w:ilvl w:val="0"/>
          <w:numId w:val="4"/>
        </w:numPr>
        <w:spacing w:after="240" w:line="360" w:lineRule="auto"/>
        <w:ind w:left="567" w:hanging="567"/>
        <w:contextualSpacing w:val="0"/>
        <w:jc w:val="both"/>
        <w:rPr>
          <w:rFonts w:ascii="Verdana" w:hAnsi="Verdana"/>
          <w:sz w:val="18"/>
          <w:szCs w:val="18"/>
        </w:rPr>
      </w:pPr>
      <w:r w:rsidRPr="0002250C">
        <w:rPr>
          <w:rFonts w:ascii="Verdana" w:hAnsi="Verdana"/>
          <w:sz w:val="18"/>
          <w:szCs w:val="18"/>
        </w:rPr>
        <w:t xml:space="preserve">That likewise does not add a whole lot to </w:t>
      </w:r>
      <w:r w:rsidRPr="0002250C">
        <w:rPr>
          <w:rFonts w:ascii="Verdana" w:hAnsi="Verdana"/>
          <w:i/>
          <w:sz w:val="18"/>
          <w:szCs w:val="18"/>
        </w:rPr>
        <w:t>Enniskerry</w:t>
      </w:r>
      <w:r w:rsidRPr="0002250C">
        <w:rPr>
          <w:rFonts w:ascii="Verdana" w:hAnsi="Verdana"/>
          <w:sz w:val="18"/>
          <w:szCs w:val="18"/>
        </w:rPr>
        <w:t xml:space="preserve"> or </w:t>
      </w:r>
      <w:proofErr w:type="gramStart"/>
      <w:r w:rsidRPr="0002250C">
        <w:rPr>
          <w:rFonts w:ascii="Verdana" w:hAnsi="Verdana"/>
          <w:sz w:val="18"/>
          <w:szCs w:val="18"/>
        </w:rPr>
        <w:t>in particular to</w:t>
      </w:r>
      <w:proofErr w:type="gramEnd"/>
      <w:r w:rsidRPr="0002250C">
        <w:rPr>
          <w:rFonts w:ascii="Verdana" w:hAnsi="Verdana"/>
          <w:sz w:val="18"/>
          <w:szCs w:val="18"/>
        </w:rPr>
        <w:t xml:space="preserve"> the reference in </w:t>
      </w:r>
      <w:r w:rsidRPr="0002250C">
        <w:rPr>
          <w:rFonts w:ascii="Verdana" w:hAnsi="Verdana"/>
          <w:i/>
          <w:sz w:val="18"/>
          <w:szCs w:val="18"/>
        </w:rPr>
        <w:t>Save Roscam</w:t>
      </w:r>
      <w:r w:rsidRPr="0002250C">
        <w:rPr>
          <w:rFonts w:ascii="Verdana" w:hAnsi="Verdana"/>
          <w:iCs/>
          <w:sz w:val="18"/>
          <w:szCs w:val="18"/>
        </w:rPr>
        <w:t>.</w:t>
      </w:r>
      <w:r w:rsidR="00FC0D09" w:rsidRPr="0002250C">
        <w:rPr>
          <w:rFonts w:ascii="Verdana" w:hAnsi="Verdana"/>
          <w:iCs/>
          <w:sz w:val="18"/>
          <w:szCs w:val="18"/>
        </w:rPr>
        <w:t xml:space="preserve">  </w:t>
      </w:r>
    </w:p>
    <w:p w14:paraId="72AA56DC" w14:textId="58AB749F" w:rsidR="002150CC" w:rsidRPr="0002250C" w:rsidRDefault="002150CC" w:rsidP="0002250C">
      <w:pPr>
        <w:pStyle w:val="ListParagraph"/>
        <w:numPr>
          <w:ilvl w:val="0"/>
          <w:numId w:val="4"/>
        </w:numPr>
        <w:spacing w:after="240" w:line="360" w:lineRule="auto"/>
        <w:ind w:left="567" w:hanging="567"/>
        <w:contextualSpacing w:val="0"/>
        <w:jc w:val="both"/>
        <w:rPr>
          <w:rFonts w:ascii="Verdana" w:hAnsi="Verdana"/>
          <w:sz w:val="18"/>
          <w:szCs w:val="18"/>
        </w:rPr>
      </w:pPr>
      <w:r w:rsidRPr="0002250C">
        <w:rPr>
          <w:rFonts w:ascii="Verdana" w:hAnsi="Verdana"/>
          <w:sz w:val="18"/>
          <w:szCs w:val="18"/>
        </w:rPr>
        <w:t>The applicant’s third question is as follows:</w:t>
      </w:r>
    </w:p>
    <w:p w14:paraId="0BD3280B" w14:textId="77777777" w:rsidR="002150CC" w:rsidRPr="0002250C" w:rsidRDefault="002150CC" w:rsidP="006A1E2C">
      <w:pPr>
        <w:pStyle w:val="ListParagraph"/>
        <w:spacing w:after="240" w:line="360" w:lineRule="auto"/>
        <w:ind w:left="1418"/>
        <w:contextualSpacing w:val="0"/>
        <w:jc w:val="both"/>
        <w:rPr>
          <w:rFonts w:ascii="Verdana" w:hAnsi="Verdana"/>
          <w:sz w:val="18"/>
          <w:szCs w:val="18"/>
        </w:rPr>
      </w:pPr>
      <w:r w:rsidRPr="0002250C">
        <w:rPr>
          <w:rFonts w:ascii="Verdana" w:hAnsi="Verdana"/>
          <w:sz w:val="18"/>
          <w:szCs w:val="18"/>
        </w:rPr>
        <w:t>“If the jurisdiction of the Court is engaged pursuant to A267 TFEU, do A9(2), (3) and (4) Aarhus, taken together, apply to the entirety of proceedings that seek to challenge the validity of a decision taken pursuant a national law intended to promote sustainable development in the field of town and country planning?”</w:t>
      </w:r>
    </w:p>
    <w:p w14:paraId="3EB3D3AF" w14:textId="3EA93B89" w:rsidR="002150CC" w:rsidRPr="0002250C" w:rsidRDefault="002150CC" w:rsidP="0002250C">
      <w:pPr>
        <w:pStyle w:val="ListParagraph"/>
        <w:numPr>
          <w:ilvl w:val="0"/>
          <w:numId w:val="4"/>
        </w:numPr>
        <w:spacing w:after="240" w:line="360" w:lineRule="auto"/>
        <w:ind w:left="567" w:hanging="567"/>
        <w:contextualSpacing w:val="0"/>
        <w:jc w:val="both"/>
        <w:rPr>
          <w:rFonts w:ascii="Verdana" w:hAnsi="Verdana"/>
          <w:sz w:val="18"/>
          <w:szCs w:val="18"/>
        </w:rPr>
      </w:pPr>
      <w:r w:rsidRPr="0002250C">
        <w:rPr>
          <w:rFonts w:ascii="Verdana" w:hAnsi="Verdana"/>
          <w:color w:val="000000" w:themeColor="text1"/>
          <w:sz w:val="18"/>
          <w:szCs w:val="18"/>
        </w:rPr>
        <w:t>The question of splitting an applicant’s challenge so that some grounds were covered by cost</w:t>
      </w:r>
      <w:r w:rsidR="00B87201">
        <w:rPr>
          <w:rFonts w:ascii="Verdana" w:hAnsi="Verdana"/>
          <w:color w:val="000000" w:themeColor="text1"/>
          <w:sz w:val="18"/>
          <w:szCs w:val="18"/>
        </w:rPr>
        <w:t>s</w:t>
      </w:r>
      <w:r w:rsidRPr="0002250C">
        <w:rPr>
          <w:rFonts w:ascii="Verdana" w:hAnsi="Verdana"/>
          <w:color w:val="000000" w:themeColor="text1"/>
          <w:sz w:val="18"/>
          <w:szCs w:val="18"/>
        </w:rPr>
        <w:t xml:space="preserve"> protection and others </w:t>
      </w:r>
      <w:proofErr w:type="gramStart"/>
      <w:r w:rsidRPr="0002250C">
        <w:rPr>
          <w:rFonts w:ascii="Verdana" w:hAnsi="Verdana"/>
          <w:color w:val="000000" w:themeColor="text1"/>
          <w:sz w:val="18"/>
          <w:szCs w:val="18"/>
        </w:rPr>
        <w:t>are not was</w:t>
      </w:r>
      <w:proofErr w:type="gramEnd"/>
      <w:r w:rsidRPr="0002250C">
        <w:rPr>
          <w:rFonts w:ascii="Verdana" w:hAnsi="Verdana"/>
          <w:color w:val="000000" w:themeColor="text1"/>
          <w:sz w:val="18"/>
          <w:szCs w:val="18"/>
        </w:rPr>
        <w:t xml:space="preserve"> addressed in Case C-470/16 </w:t>
      </w:r>
      <w:r w:rsidRPr="0002250C">
        <w:rPr>
          <w:rFonts w:ascii="Verdana" w:hAnsi="Verdana"/>
          <w:i/>
          <w:iCs/>
          <w:color w:val="000000" w:themeColor="text1"/>
          <w:sz w:val="18"/>
          <w:szCs w:val="18"/>
        </w:rPr>
        <w:t>North East Pylon Pressure Campaign Limited v. An Bord Pleanála</w:t>
      </w:r>
      <w:r w:rsidRPr="0002250C">
        <w:rPr>
          <w:rFonts w:ascii="Verdana" w:hAnsi="Verdana"/>
          <w:color w:val="000000" w:themeColor="text1"/>
          <w:sz w:val="18"/>
          <w:szCs w:val="18"/>
        </w:rPr>
        <w:t xml:space="preserve"> (Court of Justice of the European Union, 15</w:t>
      </w:r>
      <w:r w:rsidRPr="0002250C">
        <w:rPr>
          <w:rFonts w:ascii="Verdana" w:hAnsi="Verdana"/>
          <w:color w:val="000000" w:themeColor="text1"/>
          <w:sz w:val="18"/>
          <w:szCs w:val="18"/>
          <w:vertAlign w:val="superscript"/>
        </w:rPr>
        <w:t>th</w:t>
      </w:r>
      <w:r w:rsidRPr="0002250C">
        <w:rPr>
          <w:rFonts w:ascii="Verdana" w:hAnsi="Verdana"/>
          <w:color w:val="000000" w:themeColor="text1"/>
          <w:sz w:val="18"/>
          <w:szCs w:val="18"/>
        </w:rPr>
        <w:t xml:space="preserve"> March, 2018, ECLI:EU:C:2018:185), but only in the context of art. 11(4) of directive 2011/92/EU.  The court held: “[w]here an applicant raises both pleas alleging infringement of the rules on public participation in decision-making in environmental matters and pleas alleging infringement of other rules, the requirement that certain judicial procedures not be prohibitively expensive laid down in Article 11(4) of Directive 2011/92 applies only to the costs relating to the part of the challenge alleging infringement of the rules on public participation.”</w:t>
      </w:r>
      <w:r w:rsidRPr="0002250C">
        <w:rPr>
          <w:rFonts w:ascii="Verdana" w:hAnsi="Verdana"/>
          <w:sz w:val="18"/>
          <w:szCs w:val="18"/>
        </w:rPr>
        <w:t xml:space="preserve">  T</w:t>
      </w:r>
      <w:r w:rsidRPr="0002250C">
        <w:rPr>
          <w:rFonts w:ascii="Verdana" w:hAnsi="Verdana"/>
          <w:color w:val="000000" w:themeColor="text1"/>
          <w:sz w:val="18"/>
          <w:szCs w:val="18"/>
        </w:rPr>
        <w:t>h</w:t>
      </w:r>
      <w:r w:rsidR="00B87201">
        <w:rPr>
          <w:rFonts w:ascii="Verdana" w:hAnsi="Verdana"/>
          <w:color w:val="000000" w:themeColor="text1"/>
          <w:sz w:val="18"/>
          <w:szCs w:val="18"/>
        </w:rPr>
        <w:t>at</w:t>
      </w:r>
      <w:r w:rsidRPr="0002250C">
        <w:rPr>
          <w:rFonts w:ascii="Verdana" w:hAnsi="Verdana"/>
          <w:color w:val="000000" w:themeColor="text1"/>
          <w:sz w:val="18"/>
          <w:szCs w:val="18"/>
        </w:rPr>
        <w:t xml:space="preserve"> does not relate to the interpretative obligation.</w:t>
      </w:r>
    </w:p>
    <w:p w14:paraId="7E11B72B" w14:textId="77777777" w:rsidR="002150CC" w:rsidRPr="0002250C" w:rsidRDefault="002150CC" w:rsidP="0002250C">
      <w:pPr>
        <w:pStyle w:val="ListParagraph"/>
        <w:numPr>
          <w:ilvl w:val="0"/>
          <w:numId w:val="4"/>
        </w:numPr>
        <w:spacing w:after="240" w:line="360" w:lineRule="auto"/>
        <w:ind w:left="567" w:hanging="567"/>
        <w:contextualSpacing w:val="0"/>
        <w:jc w:val="both"/>
        <w:rPr>
          <w:rFonts w:ascii="Verdana" w:hAnsi="Verdana"/>
          <w:sz w:val="18"/>
          <w:szCs w:val="18"/>
        </w:rPr>
      </w:pPr>
      <w:r w:rsidRPr="0002250C">
        <w:rPr>
          <w:rFonts w:ascii="Verdana" w:hAnsi="Verdana"/>
          <w:color w:val="000000" w:themeColor="text1"/>
          <w:sz w:val="18"/>
          <w:szCs w:val="18"/>
        </w:rPr>
        <w:lastRenderedPageBreak/>
        <w:t xml:space="preserve">But the question of whether this cost-splitting approach is permissible under the interpretative obligation will probably be answered in substance in </w:t>
      </w:r>
      <w:r w:rsidRPr="0002250C">
        <w:rPr>
          <w:rFonts w:ascii="Verdana" w:hAnsi="Verdana"/>
          <w:i/>
          <w:color w:val="000000" w:themeColor="text1"/>
          <w:sz w:val="18"/>
          <w:szCs w:val="18"/>
        </w:rPr>
        <w:t>Enniskerry</w:t>
      </w:r>
      <w:r w:rsidRPr="0002250C">
        <w:rPr>
          <w:rFonts w:ascii="Verdana" w:hAnsi="Verdana"/>
          <w:iCs/>
          <w:color w:val="000000" w:themeColor="text1"/>
          <w:sz w:val="18"/>
          <w:szCs w:val="18"/>
        </w:rPr>
        <w:t xml:space="preserve">. </w:t>
      </w:r>
    </w:p>
    <w:p w14:paraId="7AA14FA6" w14:textId="62DD10B1" w:rsidR="0087255C" w:rsidRPr="0002250C" w:rsidRDefault="002150CC" w:rsidP="0002250C">
      <w:pPr>
        <w:pStyle w:val="ListParagraph"/>
        <w:numPr>
          <w:ilvl w:val="0"/>
          <w:numId w:val="4"/>
        </w:numPr>
        <w:spacing w:after="240" w:line="360" w:lineRule="auto"/>
        <w:ind w:left="567" w:hanging="567"/>
        <w:contextualSpacing w:val="0"/>
        <w:jc w:val="both"/>
        <w:rPr>
          <w:rFonts w:ascii="Verdana" w:hAnsi="Verdana"/>
          <w:sz w:val="18"/>
          <w:szCs w:val="18"/>
        </w:rPr>
      </w:pPr>
      <w:r w:rsidRPr="0002250C">
        <w:rPr>
          <w:rFonts w:ascii="Verdana" w:hAnsi="Verdana"/>
          <w:iCs/>
          <w:color w:val="000000" w:themeColor="text1"/>
          <w:sz w:val="18"/>
          <w:szCs w:val="18"/>
        </w:rPr>
        <w:t xml:space="preserve"> </w:t>
      </w:r>
      <w:r w:rsidR="00EF3877" w:rsidRPr="0002250C">
        <w:rPr>
          <w:rFonts w:ascii="Verdana" w:hAnsi="Verdana"/>
          <w:sz w:val="18"/>
          <w:szCs w:val="18"/>
        </w:rPr>
        <w:t>Question 4 is</w:t>
      </w:r>
      <w:r w:rsidR="00C71430" w:rsidRPr="0002250C">
        <w:rPr>
          <w:rFonts w:ascii="Verdana" w:hAnsi="Verdana"/>
          <w:sz w:val="18"/>
          <w:szCs w:val="18"/>
        </w:rPr>
        <w:t>:</w:t>
      </w:r>
    </w:p>
    <w:p w14:paraId="2C8AF713" w14:textId="67D1E73F" w:rsidR="00FC0D09" w:rsidRPr="0002250C" w:rsidRDefault="00C92C63" w:rsidP="006A1E2C">
      <w:pPr>
        <w:pStyle w:val="ListParagraph"/>
        <w:spacing w:after="240" w:line="360" w:lineRule="auto"/>
        <w:ind w:left="1418"/>
        <w:contextualSpacing w:val="0"/>
        <w:jc w:val="both"/>
        <w:rPr>
          <w:rFonts w:ascii="Verdana" w:hAnsi="Verdana"/>
          <w:sz w:val="18"/>
          <w:szCs w:val="18"/>
        </w:rPr>
      </w:pPr>
      <w:r w:rsidRPr="0002250C">
        <w:rPr>
          <w:rFonts w:ascii="Verdana" w:hAnsi="Verdana"/>
          <w:sz w:val="18"/>
          <w:szCs w:val="18"/>
        </w:rPr>
        <w:t>“</w:t>
      </w:r>
      <w:r w:rsidR="00C71430" w:rsidRPr="0002250C">
        <w:rPr>
          <w:rFonts w:ascii="Verdana" w:hAnsi="Verdana"/>
          <w:sz w:val="18"/>
          <w:szCs w:val="18"/>
        </w:rPr>
        <w:t>If the answer to the preceding question is no, do A9(3) and (4) Aarhus apply to that portion of proceedings that seeks to challenge the validity of an instrument pursuant to which the impugned decision was taken where both the decision and the instrument are adopted pursuant to a national law intended to promote sustainable development in the field of town and country planning?</w:t>
      </w:r>
      <w:r w:rsidRPr="0002250C">
        <w:rPr>
          <w:rFonts w:ascii="Verdana" w:hAnsi="Verdana"/>
          <w:sz w:val="18"/>
          <w:szCs w:val="18"/>
        </w:rPr>
        <w:t>”</w:t>
      </w:r>
    </w:p>
    <w:p w14:paraId="5EAACE8D" w14:textId="56361AE9" w:rsidR="00B37200" w:rsidRPr="0002250C" w:rsidRDefault="00EF3877" w:rsidP="0002250C">
      <w:pPr>
        <w:pStyle w:val="ListParagraph"/>
        <w:numPr>
          <w:ilvl w:val="0"/>
          <w:numId w:val="4"/>
        </w:numPr>
        <w:spacing w:after="240" w:line="360" w:lineRule="auto"/>
        <w:ind w:left="567" w:hanging="567"/>
        <w:contextualSpacing w:val="0"/>
        <w:jc w:val="both"/>
        <w:rPr>
          <w:rFonts w:ascii="Verdana" w:hAnsi="Verdana"/>
          <w:sz w:val="18"/>
          <w:szCs w:val="18"/>
        </w:rPr>
      </w:pPr>
      <w:r w:rsidRPr="0002250C">
        <w:rPr>
          <w:rFonts w:ascii="Verdana" w:hAnsi="Verdana"/>
          <w:sz w:val="18"/>
          <w:szCs w:val="18"/>
        </w:rPr>
        <w:t>As far as the challenge to the constitutionality of legislation is concerned</w:t>
      </w:r>
      <w:r w:rsidR="006D669E" w:rsidRPr="0002250C">
        <w:rPr>
          <w:rFonts w:ascii="Verdana" w:hAnsi="Verdana"/>
          <w:sz w:val="18"/>
          <w:szCs w:val="18"/>
        </w:rPr>
        <w:t>,</w:t>
      </w:r>
      <w:r w:rsidRPr="0002250C">
        <w:rPr>
          <w:rFonts w:ascii="Verdana" w:hAnsi="Verdana"/>
          <w:sz w:val="18"/>
          <w:szCs w:val="18"/>
        </w:rPr>
        <w:t xml:space="preserve"> </w:t>
      </w:r>
      <w:r w:rsidR="00CC5F1B" w:rsidRPr="0002250C">
        <w:rPr>
          <w:rFonts w:ascii="Verdana" w:hAnsi="Verdana"/>
          <w:sz w:val="18"/>
          <w:szCs w:val="18"/>
        </w:rPr>
        <w:t>this falls outside the Aarhus Convention.</w:t>
      </w:r>
      <w:r w:rsidR="006552E8" w:rsidRPr="0002250C">
        <w:rPr>
          <w:rFonts w:ascii="Verdana" w:hAnsi="Verdana"/>
          <w:sz w:val="18"/>
          <w:szCs w:val="18"/>
        </w:rPr>
        <w:t xml:space="preserve">  </w:t>
      </w:r>
      <w:r w:rsidR="00CC5F1B" w:rsidRPr="0002250C">
        <w:rPr>
          <w:rFonts w:ascii="Verdana" w:hAnsi="Verdana"/>
          <w:sz w:val="18"/>
          <w:szCs w:val="18"/>
        </w:rPr>
        <w:t xml:space="preserve">Article 2(2) of </w:t>
      </w:r>
      <w:r w:rsidR="006D669E" w:rsidRPr="0002250C">
        <w:rPr>
          <w:rFonts w:ascii="Verdana" w:hAnsi="Verdana"/>
          <w:sz w:val="18"/>
          <w:szCs w:val="18"/>
        </w:rPr>
        <w:t>Aarhus</w:t>
      </w:r>
      <w:r w:rsidR="00CC5F1B" w:rsidRPr="0002250C">
        <w:rPr>
          <w:rFonts w:ascii="Verdana" w:hAnsi="Verdana"/>
          <w:sz w:val="18"/>
          <w:szCs w:val="18"/>
        </w:rPr>
        <w:t xml:space="preserve"> defines public authority as follows:</w:t>
      </w:r>
    </w:p>
    <w:p w14:paraId="65066E97" w14:textId="674B5523" w:rsidR="00886BCA" w:rsidRPr="0002250C" w:rsidRDefault="00886BCA" w:rsidP="006A1E2C">
      <w:pPr>
        <w:pStyle w:val="ListParagraph"/>
        <w:spacing w:after="240" w:line="360" w:lineRule="auto"/>
        <w:ind w:left="1418"/>
        <w:contextualSpacing w:val="0"/>
        <w:jc w:val="both"/>
        <w:rPr>
          <w:rFonts w:ascii="Verdana" w:hAnsi="Verdana"/>
          <w:sz w:val="18"/>
          <w:szCs w:val="18"/>
        </w:rPr>
      </w:pPr>
      <w:r w:rsidRPr="0002250C">
        <w:rPr>
          <w:rFonts w:ascii="Verdana" w:hAnsi="Verdana"/>
          <w:sz w:val="18"/>
          <w:szCs w:val="18"/>
        </w:rPr>
        <w:t>“Public authority” means: (a) Government at national, regional and other level; (b) Natural or legal persons performing public administrative functions under national law, including specific duties, activities or services in relation to the environment; (c) Any other natural or legal persons having public responsibilities or functions, or providing public services, in relation to the environment, under the control of a body or person falling within subparagraphs (a) or (b) above; (d) The institutions of any regional economic integration organization referred to in article 17 which is a Party to this Convention. This definition does not include bodies or institutions acting in a judicial or legislative capacity;”</w:t>
      </w:r>
    </w:p>
    <w:p w14:paraId="65DE7626" w14:textId="77777777" w:rsidR="006D669E" w:rsidRPr="0002250C" w:rsidRDefault="00CC5F1B" w:rsidP="0002250C">
      <w:pPr>
        <w:pStyle w:val="ListParagraph"/>
        <w:numPr>
          <w:ilvl w:val="0"/>
          <w:numId w:val="4"/>
        </w:numPr>
        <w:spacing w:after="240" w:line="360" w:lineRule="auto"/>
        <w:ind w:left="567" w:hanging="567"/>
        <w:contextualSpacing w:val="0"/>
        <w:jc w:val="both"/>
        <w:rPr>
          <w:rFonts w:ascii="Verdana" w:hAnsi="Verdana"/>
          <w:sz w:val="18"/>
          <w:szCs w:val="18"/>
        </w:rPr>
      </w:pPr>
      <w:r w:rsidRPr="0002250C">
        <w:rPr>
          <w:rFonts w:ascii="Verdana" w:hAnsi="Verdana"/>
          <w:sz w:val="18"/>
          <w:szCs w:val="18"/>
        </w:rPr>
        <w:t xml:space="preserve">What is in issue in the present motion is the requirement that costs be not prohibitively expensive under </w:t>
      </w:r>
      <w:r w:rsidR="00BC3243" w:rsidRPr="0002250C">
        <w:rPr>
          <w:rFonts w:ascii="Verdana" w:hAnsi="Verdana"/>
          <w:sz w:val="18"/>
          <w:szCs w:val="18"/>
        </w:rPr>
        <w:t>art.</w:t>
      </w:r>
      <w:r w:rsidRPr="0002250C">
        <w:rPr>
          <w:rFonts w:ascii="Verdana" w:hAnsi="Verdana"/>
          <w:sz w:val="18"/>
          <w:szCs w:val="18"/>
        </w:rPr>
        <w:t xml:space="preserve"> 9(4) of Aarhus.  That </w:t>
      </w:r>
      <w:proofErr w:type="gramStart"/>
      <w:r w:rsidRPr="0002250C">
        <w:rPr>
          <w:rFonts w:ascii="Verdana" w:hAnsi="Verdana"/>
          <w:sz w:val="18"/>
          <w:szCs w:val="18"/>
        </w:rPr>
        <w:t>refers back</w:t>
      </w:r>
      <w:proofErr w:type="gramEnd"/>
      <w:r w:rsidRPr="0002250C">
        <w:rPr>
          <w:rFonts w:ascii="Verdana" w:hAnsi="Verdana"/>
          <w:sz w:val="18"/>
          <w:szCs w:val="18"/>
        </w:rPr>
        <w:t xml:space="preserve"> to </w:t>
      </w:r>
      <w:r w:rsidR="00BC3243" w:rsidRPr="0002250C">
        <w:rPr>
          <w:rFonts w:ascii="Verdana" w:hAnsi="Verdana"/>
          <w:sz w:val="18"/>
          <w:szCs w:val="18"/>
        </w:rPr>
        <w:t>art.</w:t>
      </w:r>
      <w:r w:rsidRPr="0002250C">
        <w:rPr>
          <w:rFonts w:ascii="Verdana" w:hAnsi="Verdana"/>
          <w:sz w:val="18"/>
          <w:szCs w:val="18"/>
        </w:rPr>
        <w:t xml:space="preserve"> 9(1), (2) and (3). </w:t>
      </w:r>
      <w:r w:rsidR="00BC3243" w:rsidRPr="0002250C">
        <w:rPr>
          <w:rFonts w:ascii="Verdana" w:hAnsi="Verdana"/>
          <w:sz w:val="18"/>
          <w:szCs w:val="18"/>
        </w:rPr>
        <w:t xml:space="preserve"> </w:t>
      </w:r>
      <w:r w:rsidR="006D669E" w:rsidRPr="0002250C">
        <w:rPr>
          <w:rFonts w:ascii="Verdana" w:hAnsi="Verdana"/>
          <w:sz w:val="18"/>
          <w:szCs w:val="18"/>
        </w:rPr>
        <w:t>The position is as follows:</w:t>
      </w:r>
    </w:p>
    <w:p w14:paraId="2A970B66" w14:textId="77777777" w:rsidR="006D669E" w:rsidRPr="0002250C" w:rsidRDefault="00CC5F1B" w:rsidP="006A1E2C">
      <w:pPr>
        <w:pStyle w:val="ListParagraph"/>
        <w:numPr>
          <w:ilvl w:val="1"/>
          <w:numId w:val="4"/>
        </w:numPr>
        <w:spacing w:after="240" w:line="360" w:lineRule="auto"/>
        <w:ind w:left="1418" w:hanging="567"/>
        <w:contextualSpacing w:val="0"/>
        <w:jc w:val="both"/>
        <w:rPr>
          <w:rFonts w:ascii="Verdana" w:hAnsi="Verdana"/>
          <w:sz w:val="18"/>
          <w:szCs w:val="18"/>
        </w:rPr>
      </w:pPr>
      <w:r w:rsidRPr="0002250C">
        <w:rPr>
          <w:rFonts w:ascii="Verdana" w:hAnsi="Verdana"/>
          <w:sz w:val="18"/>
          <w:szCs w:val="18"/>
        </w:rPr>
        <w:t>Article 9(4) is purely derivative</w:t>
      </w:r>
      <w:r w:rsidR="006D669E" w:rsidRPr="0002250C">
        <w:rPr>
          <w:rFonts w:ascii="Verdana" w:hAnsi="Verdana"/>
          <w:sz w:val="18"/>
          <w:szCs w:val="18"/>
        </w:rPr>
        <w:t>.  I</w:t>
      </w:r>
      <w:r w:rsidRPr="0002250C">
        <w:rPr>
          <w:rFonts w:ascii="Verdana" w:hAnsi="Verdana"/>
          <w:sz w:val="18"/>
          <w:szCs w:val="18"/>
        </w:rPr>
        <w:t xml:space="preserve">t requires the application of either </w:t>
      </w:r>
      <w:r w:rsidR="006D669E" w:rsidRPr="0002250C">
        <w:rPr>
          <w:rFonts w:ascii="Verdana" w:hAnsi="Verdana"/>
          <w:sz w:val="18"/>
          <w:szCs w:val="18"/>
        </w:rPr>
        <w:t>art. 9</w:t>
      </w:r>
      <w:r w:rsidRPr="0002250C">
        <w:rPr>
          <w:rFonts w:ascii="Verdana" w:hAnsi="Verdana"/>
          <w:sz w:val="18"/>
          <w:szCs w:val="18"/>
        </w:rPr>
        <w:t xml:space="preserve">(1), (2) or (3).  </w:t>
      </w:r>
      <w:r w:rsidR="009101B9" w:rsidRPr="0002250C">
        <w:rPr>
          <w:rFonts w:ascii="Verdana" w:hAnsi="Verdana"/>
          <w:sz w:val="18"/>
          <w:szCs w:val="18"/>
        </w:rPr>
        <w:t xml:space="preserve"> </w:t>
      </w:r>
    </w:p>
    <w:p w14:paraId="49B72509" w14:textId="767A42A8" w:rsidR="006D669E" w:rsidRPr="0002250C" w:rsidRDefault="00EC6D12" w:rsidP="006A1E2C">
      <w:pPr>
        <w:pStyle w:val="ListParagraph"/>
        <w:numPr>
          <w:ilvl w:val="1"/>
          <w:numId w:val="4"/>
        </w:numPr>
        <w:spacing w:after="240" w:line="360" w:lineRule="auto"/>
        <w:ind w:left="1418" w:hanging="567"/>
        <w:contextualSpacing w:val="0"/>
        <w:jc w:val="both"/>
        <w:rPr>
          <w:rFonts w:ascii="Verdana" w:hAnsi="Verdana"/>
          <w:sz w:val="18"/>
          <w:szCs w:val="18"/>
        </w:rPr>
      </w:pPr>
      <w:r w:rsidRPr="0002250C">
        <w:rPr>
          <w:rFonts w:ascii="Verdana" w:hAnsi="Verdana"/>
          <w:sz w:val="18"/>
          <w:szCs w:val="18"/>
        </w:rPr>
        <w:t>Article 9</w:t>
      </w:r>
      <w:r w:rsidR="00CC5F1B" w:rsidRPr="0002250C">
        <w:rPr>
          <w:rFonts w:ascii="Verdana" w:hAnsi="Verdana"/>
          <w:sz w:val="18"/>
          <w:szCs w:val="18"/>
        </w:rPr>
        <w:t>(1) is</w:t>
      </w:r>
      <w:r w:rsidR="006D669E" w:rsidRPr="0002250C">
        <w:rPr>
          <w:rFonts w:ascii="Verdana" w:hAnsi="Verdana"/>
          <w:sz w:val="18"/>
          <w:szCs w:val="18"/>
        </w:rPr>
        <w:t xml:space="preserve"> about information and is</w:t>
      </w:r>
      <w:r w:rsidR="00CC5F1B" w:rsidRPr="0002250C">
        <w:rPr>
          <w:rFonts w:ascii="Verdana" w:hAnsi="Verdana"/>
          <w:sz w:val="18"/>
          <w:szCs w:val="18"/>
        </w:rPr>
        <w:t xml:space="preserve"> irrelevant to the present case. </w:t>
      </w:r>
      <w:r w:rsidR="009101B9" w:rsidRPr="0002250C">
        <w:rPr>
          <w:rFonts w:ascii="Verdana" w:hAnsi="Verdana"/>
          <w:sz w:val="18"/>
          <w:szCs w:val="18"/>
        </w:rPr>
        <w:t xml:space="preserve"> </w:t>
      </w:r>
    </w:p>
    <w:p w14:paraId="2549695D" w14:textId="77777777" w:rsidR="006D669E" w:rsidRPr="0002250C" w:rsidRDefault="00D113EF" w:rsidP="006A1E2C">
      <w:pPr>
        <w:pStyle w:val="ListParagraph"/>
        <w:numPr>
          <w:ilvl w:val="1"/>
          <w:numId w:val="4"/>
        </w:numPr>
        <w:spacing w:after="240" w:line="360" w:lineRule="auto"/>
        <w:ind w:left="1418" w:hanging="567"/>
        <w:contextualSpacing w:val="0"/>
        <w:jc w:val="both"/>
        <w:rPr>
          <w:rFonts w:ascii="Verdana" w:hAnsi="Verdana"/>
          <w:sz w:val="18"/>
          <w:szCs w:val="18"/>
        </w:rPr>
      </w:pPr>
      <w:r w:rsidRPr="0002250C">
        <w:rPr>
          <w:rFonts w:ascii="Verdana" w:hAnsi="Verdana"/>
          <w:sz w:val="18"/>
          <w:szCs w:val="18"/>
        </w:rPr>
        <w:t>Article</w:t>
      </w:r>
      <w:r w:rsidR="009101B9" w:rsidRPr="0002250C">
        <w:rPr>
          <w:rFonts w:ascii="Verdana" w:hAnsi="Verdana"/>
          <w:sz w:val="18"/>
          <w:szCs w:val="18"/>
        </w:rPr>
        <w:t xml:space="preserve"> </w:t>
      </w:r>
      <w:r w:rsidR="00CC5F1B" w:rsidRPr="0002250C">
        <w:rPr>
          <w:rFonts w:ascii="Verdana" w:hAnsi="Verdana"/>
          <w:sz w:val="18"/>
          <w:szCs w:val="18"/>
        </w:rPr>
        <w:t xml:space="preserve">9(3) is expressly limited to acts of public authorities and private persons. </w:t>
      </w:r>
      <w:r w:rsidR="00921813" w:rsidRPr="0002250C">
        <w:rPr>
          <w:rFonts w:ascii="Verdana" w:hAnsi="Verdana"/>
          <w:sz w:val="18"/>
          <w:szCs w:val="18"/>
        </w:rPr>
        <w:t xml:space="preserve"> </w:t>
      </w:r>
    </w:p>
    <w:p w14:paraId="078E81AE" w14:textId="37318853" w:rsidR="00B602C1" w:rsidRPr="0002250C" w:rsidRDefault="00D113EF" w:rsidP="006A1E2C">
      <w:pPr>
        <w:pStyle w:val="ListParagraph"/>
        <w:numPr>
          <w:ilvl w:val="1"/>
          <w:numId w:val="4"/>
        </w:numPr>
        <w:spacing w:after="240" w:line="360" w:lineRule="auto"/>
        <w:ind w:left="1418" w:hanging="567"/>
        <w:contextualSpacing w:val="0"/>
        <w:jc w:val="both"/>
        <w:rPr>
          <w:rFonts w:ascii="Verdana" w:hAnsi="Verdana"/>
          <w:sz w:val="18"/>
          <w:szCs w:val="18"/>
        </w:rPr>
      </w:pPr>
      <w:r w:rsidRPr="0002250C">
        <w:rPr>
          <w:rFonts w:ascii="Verdana" w:hAnsi="Verdana"/>
          <w:sz w:val="18"/>
          <w:szCs w:val="18"/>
        </w:rPr>
        <w:t>Article</w:t>
      </w:r>
      <w:r w:rsidR="00921813" w:rsidRPr="0002250C">
        <w:rPr>
          <w:rFonts w:ascii="Verdana" w:hAnsi="Verdana"/>
          <w:sz w:val="18"/>
          <w:szCs w:val="18"/>
        </w:rPr>
        <w:t xml:space="preserve"> </w:t>
      </w:r>
      <w:r w:rsidR="00CC5F1B" w:rsidRPr="0002250C">
        <w:rPr>
          <w:rFonts w:ascii="Verdana" w:hAnsi="Verdana"/>
          <w:sz w:val="18"/>
          <w:szCs w:val="18"/>
        </w:rPr>
        <w:t xml:space="preserve">9(2) is not </w:t>
      </w:r>
      <w:r w:rsidR="003E7CCA">
        <w:rPr>
          <w:rFonts w:ascii="Verdana" w:hAnsi="Verdana"/>
          <w:sz w:val="18"/>
          <w:szCs w:val="18"/>
        </w:rPr>
        <w:t>in</w:t>
      </w:r>
      <w:r w:rsidR="00CC5F1B" w:rsidRPr="0002250C">
        <w:rPr>
          <w:rFonts w:ascii="Verdana" w:hAnsi="Verdana"/>
          <w:sz w:val="18"/>
          <w:szCs w:val="18"/>
        </w:rPr>
        <w:t xml:space="preserve"> its terms </w:t>
      </w:r>
      <w:r w:rsidR="006D669E" w:rsidRPr="0002250C">
        <w:rPr>
          <w:rFonts w:ascii="Verdana" w:hAnsi="Verdana"/>
          <w:sz w:val="18"/>
          <w:szCs w:val="18"/>
        </w:rPr>
        <w:t xml:space="preserve">expressly </w:t>
      </w:r>
      <w:r w:rsidR="00CC5F1B" w:rsidRPr="0002250C">
        <w:rPr>
          <w:rFonts w:ascii="Verdana" w:hAnsi="Verdana"/>
          <w:sz w:val="18"/>
          <w:szCs w:val="18"/>
        </w:rPr>
        <w:t xml:space="preserve">limited to public </w:t>
      </w:r>
      <w:proofErr w:type="gramStart"/>
      <w:r w:rsidR="00CC5F1B" w:rsidRPr="0002250C">
        <w:rPr>
          <w:rFonts w:ascii="Verdana" w:hAnsi="Verdana"/>
          <w:sz w:val="18"/>
          <w:szCs w:val="18"/>
        </w:rPr>
        <w:t>authorities</w:t>
      </w:r>
      <w:r w:rsidR="00921813" w:rsidRPr="0002250C">
        <w:rPr>
          <w:rFonts w:ascii="Verdana" w:hAnsi="Verdana"/>
          <w:sz w:val="18"/>
          <w:szCs w:val="18"/>
        </w:rPr>
        <w:t>,</w:t>
      </w:r>
      <w:r w:rsidR="00CC5F1B" w:rsidRPr="0002250C">
        <w:rPr>
          <w:rFonts w:ascii="Verdana" w:hAnsi="Verdana"/>
          <w:sz w:val="18"/>
          <w:szCs w:val="18"/>
        </w:rPr>
        <w:t xml:space="preserve"> but</w:t>
      </w:r>
      <w:proofErr w:type="gramEnd"/>
      <w:r w:rsidR="00CC5F1B" w:rsidRPr="0002250C">
        <w:rPr>
          <w:rFonts w:ascii="Verdana" w:hAnsi="Verdana"/>
          <w:sz w:val="18"/>
          <w:szCs w:val="18"/>
        </w:rPr>
        <w:t xml:space="preserve"> refers back to </w:t>
      </w:r>
      <w:r w:rsidR="00921813" w:rsidRPr="0002250C">
        <w:rPr>
          <w:rFonts w:ascii="Verdana" w:hAnsi="Verdana"/>
          <w:sz w:val="18"/>
          <w:szCs w:val="18"/>
        </w:rPr>
        <w:t>art.</w:t>
      </w:r>
      <w:r w:rsidR="00CC5F1B" w:rsidRPr="0002250C">
        <w:rPr>
          <w:rFonts w:ascii="Verdana" w:hAnsi="Verdana"/>
          <w:sz w:val="18"/>
          <w:szCs w:val="18"/>
        </w:rPr>
        <w:t xml:space="preserve"> 6. </w:t>
      </w:r>
      <w:r w:rsidR="00921813" w:rsidRPr="0002250C">
        <w:rPr>
          <w:rFonts w:ascii="Verdana" w:hAnsi="Verdana"/>
          <w:sz w:val="18"/>
          <w:szCs w:val="18"/>
        </w:rPr>
        <w:t xml:space="preserve"> </w:t>
      </w:r>
      <w:r w:rsidR="00CC5F1B" w:rsidRPr="0002250C">
        <w:rPr>
          <w:rFonts w:ascii="Verdana" w:hAnsi="Verdana"/>
          <w:sz w:val="18"/>
          <w:szCs w:val="18"/>
        </w:rPr>
        <w:t xml:space="preserve">The text of </w:t>
      </w:r>
      <w:r w:rsidR="00921813" w:rsidRPr="0002250C">
        <w:rPr>
          <w:rFonts w:ascii="Verdana" w:hAnsi="Verdana"/>
          <w:sz w:val="18"/>
          <w:szCs w:val="18"/>
        </w:rPr>
        <w:t>art.</w:t>
      </w:r>
      <w:r w:rsidR="00CC5F1B" w:rsidRPr="0002250C">
        <w:rPr>
          <w:rFonts w:ascii="Verdana" w:hAnsi="Verdana"/>
          <w:sz w:val="18"/>
          <w:szCs w:val="18"/>
        </w:rPr>
        <w:t xml:space="preserve"> 6 is closely tied into the acts of public authorities and it seems to me implicit</w:t>
      </w:r>
      <w:r w:rsidR="00B62F9A" w:rsidRPr="0002250C">
        <w:rPr>
          <w:rFonts w:ascii="Verdana" w:hAnsi="Verdana"/>
          <w:sz w:val="18"/>
          <w:szCs w:val="18"/>
        </w:rPr>
        <w:t>,</w:t>
      </w:r>
      <w:r w:rsidR="00CC5F1B" w:rsidRPr="0002250C">
        <w:rPr>
          <w:rFonts w:ascii="Verdana" w:hAnsi="Verdana"/>
          <w:sz w:val="18"/>
          <w:szCs w:val="18"/>
        </w:rPr>
        <w:t xml:space="preserve"> particularly having regard to </w:t>
      </w:r>
      <w:r w:rsidR="00B602C1" w:rsidRPr="0002250C">
        <w:rPr>
          <w:rFonts w:ascii="Verdana" w:hAnsi="Verdana"/>
          <w:sz w:val="18"/>
          <w:szCs w:val="18"/>
        </w:rPr>
        <w:t>art.</w:t>
      </w:r>
      <w:r w:rsidR="00CC5F1B" w:rsidRPr="0002250C">
        <w:rPr>
          <w:rFonts w:ascii="Verdana" w:hAnsi="Verdana"/>
          <w:sz w:val="18"/>
          <w:szCs w:val="18"/>
        </w:rPr>
        <w:t xml:space="preserve"> 6(2)(</w:t>
      </w:r>
      <w:r w:rsidR="006C15BA" w:rsidRPr="0002250C">
        <w:rPr>
          <w:rFonts w:ascii="Verdana" w:hAnsi="Verdana"/>
          <w:sz w:val="18"/>
          <w:szCs w:val="18"/>
        </w:rPr>
        <w:t>c)</w:t>
      </w:r>
      <w:r w:rsidR="00CC5F1B" w:rsidRPr="0002250C">
        <w:rPr>
          <w:rFonts w:ascii="Verdana" w:hAnsi="Verdana"/>
          <w:sz w:val="18"/>
          <w:szCs w:val="18"/>
        </w:rPr>
        <w:t xml:space="preserve"> and (d)</w:t>
      </w:r>
      <w:r w:rsidR="00C11B2F" w:rsidRPr="0002250C">
        <w:rPr>
          <w:rFonts w:ascii="Verdana" w:hAnsi="Verdana"/>
          <w:sz w:val="18"/>
          <w:szCs w:val="18"/>
        </w:rPr>
        <w:t>,</w:t>
      </w:r>
      <w:r w:rsidR="00CC5F1B" w:rsidRPr="0002250C">
        <w:rPr>
          <w:rFonts w:ascii="Verdana" w:hAnsi="Verdana"/>
          <w:sz w:val="18"/>
          <w:szCs w:val="18"/>
        </w:rPr>
        <w:t xml:space="preserve"> that </w:t>
      </w:r>
      <w:r w:rsidR="00B602C1" w:rsidRPr="0002250C">
        <w:rPr>
          <w:rFonts w:ascii="Verdana" w:hAnsi="Verdana"/>
          <w:sz w:val="18"/>
          <w:szCs w:val="18"/>
        </w:rPr>
        <w:t>art.</w:t>
      </w:r>
      <w:r w:rsidR="00CC5F1B" w:rsidRPr="0002250C">
        <w:rPr>
          <w:rFonts w:ascii="Verdana" w:hAnsi="Verdana"/>
          <w:sz w:val="18"/>
          <w:szCs w:val="18"/>
        </w:rPr>
        <w:t xml:space="preserve"> 6 only applies to the </w:t>
      </w:r>
      <w:r w:rsidR="006D669E" w:rsidRPr="0002250C">
        <w:rPr>
          <w:rFonts w:ascii="Verdana" w:hAnsi="Verdana"/>
          <w:sz w:val="18"/>
          <w:szCs w:val="18"/>
        </w:rPr>
        <w:t>a</w:t>
      </w:r>
      <w:r w:rsidR="00CC5F1B" w:rsidRPr="0002250C">
        <w:rPr>
          <w:rFonts w:ascii="Verdana" w:hAnsi="Verdana"/>
          <w:sz w:val="18"/>
          <w:szCs w:val="18"/>
        </w:rPr>
        <w:t>cts of public authorities.</w:t>
      </w:r>
      <w:r w:rsidR="003E7CCA">
        <w:rPr>
          <w:rFonts w:ascii="Verdana" w:hAnsi="Verdana"/>
          <w:sz w:val="18"/>
          <w:szCs w:val="18"/>
        </w:rPr>
        <w:t xml:space="preserve">  The provision relates only to an “environmental decision-making procedure”, and that pre-supposes a decision-maker which can only be a public authority in the context.  </w:t>
      </w:r>
    </w:p>
    <w:p w14:paraId="740AD980" w14:textId="512343DC" w:rsidR="00B44B94" w:rsidRPr="0002250C" w:rsidRDefault="006C15BA" w:rsidP="0002250C">
      <w:pPr>
        <w:pStyle w:val="ListParagraph"/>
        <w:numPr>
          <w:ilvl w:val="0"/>
          <w:numId w:val="4"/>
        </w:numPr>
        <w:spacing w:after="240" w:line="360" w:lineRule="auto"/>
        <w:ind w:left="567" w:hanging="567"/>
        <w:contextualSpacing w:val="0"/>
        <w:jc w:val="both"/>
        <w:rPr>
          <w:rFonts w:ascii="Verdana" w:hAnsi="Verdana"/>
          <w:sz w:val="18"/>
          <w:szCs w:val="18"/>
        </w:rPr>
      </w:pPr>
      <w:r w:rsidRPr="0002250C">
        <w:rPr>
          <w:rFonts w:ascii="Verdana" w:hAnsi="Verdana"/>
          <w:sz w:val="18"/>
          <w:szCs w:val="18"/>
        </w:rPr>
        <w:t>Thus</w:t>
      </w:r>
      <w:r w:rsidR="00F15616" w:rsidRPr="0002250C">
        <w:rPr>
          <w:rFonts w:ascii="Verdana" w:hAnsi="Verdana"/>
          <w:sz w:val="18"/>
          <w:szCs w:val="18"/>
        </w:rPr>
        <w:t>,</w:t>
      </w:r>
      <w:r w:rsidRPr="0002250C">
        <w:rPr>
          <w:rFonts w:ascii="Verdana" w:hAnsi="Verdana"/>
          <w:sz w:val="18"/>
          <w:szCs w:val="18"/>
        </w:rPr>
        <w:t xml:space="preserve"> insofar as the applicant’s point relates to a challenge to the validity of legislation</w:t>
      </w:r>
      <w:r w:rsidR="00223F6F" w:rsidRPr="0002250C">
        <w:rPr>
          <w:rFonts w:ascii="Verdana" w:hAnsi="Verdana"/>
          <w:sz w:val="18"/>
          <w:szCs w:val="18"/>
        </w:rPr>
        <w:t>,</w:t>
      </w:r>
      <w:r w:rsidRPr="0002250C">
        <w:rPr>
          <w:rFonts w:ascii="Verdana" w:hAnsi="Verdana"/>
          <w:sz w:val="18"/>
          <w:szCs w:val="18"/>
        </w:rPr>
        <w:t xml:space="preserve"> </w:t>
      </w:r>
      <w:r w:rsidR="006D669E" w:rsidRPr="0002250C">
        <w:rPr>
          <w:rFonts w:ascii="Verdana" w:hAnsi="Verdana"/>
          <w:sz w:val="18"/>
          <w:szCs w:val="18"/>
        </w:rPr>
        <w:t>it</w:t>
      </w:r>
      <w:r w:rsidRPr="0002250C">
        <w:rPr>
          <w:rFonts w:ascii="Verdana" w:hAnsi="Verdana"/>
          <w:sz w:val="18"/>
          <w:szCs w:val="18"/>
        </w:rPr>
        <w:t xml:space="preserve"> seems </w:t>
      </w:r>
      <w:r w:rsidRPr="0002250C">
        <w:rPr>
          <w:rFonts w:ascii="Verdana" w:hAnsi="Verdana"/>
          <w:i/>
          <w:sz w:val="18"/>
          <w:szCs w:val="18"/>
        </w:rPr>
        <w:t>acte clair</w:t>
      </w:r>
      <w:r w:rsidRPr="0002250C">
        <w:rPr>
          <w:rFonts w:ascii="Verdana" w:hAnsi="Verdana"/>
          <w:sz w:val="18"/>
          <w:szCs w:val="18"/>
        </w:rPr>
        <w:t xml:space="preserve"> that challenge falls outside the scope of the Aarhus Convention.</w:t>
      </w:r>
    </w:p>
    <w:p w14:paraId="50EF363F" w14:textId="66F1E98D" w:rsidR="002150CC" w:rsidRPr="0002250C" w:rsidRDefault="002150CC" w:rsidP="0002250C">
      <w:pPr>
        <w:pStyle w:val="ListParagraph"/>
        <w:numPr>
          <w:ilvl w:val="0"/>
          <w:numId w:val="4"/>
        </w:numPr>
        <w:spacing w:after="240" w:line="360" w:lineRule="auto"/>
        <w:ind w:left="567" w:hanging="567"/>
        <w:contextualSpacing w:val="0"/>
        <w:jc w:val="both"/>
        <w:rPr>
          <w:rFonts w:ascii="Verdana" w:hAnsi="Verdana"/>
          <w:sz w:val="18"/>
          <w:szCs w:val="18"/>
        </w:rPr>
      </w:pPr>
      <w:r w:rsidRPr="0002250C">
        <w:rPr>
          <w:rFonts w:ascii="Verdana" w:hAnsi="Verdana"/>
          <w:sz w:val="18"/>
          <w:szCs w:val="18"/>
        </w:rPr>
        <w:lastRenderedPageBreak/>
        <w:t>It follows that there can be no question of relief against the State in respect of non-transposition of Aarhus</w:t>
      </w:r>
      <w:r w:rsidR="006708E0" w:rsidRPr="0002250C">
        <w:rPr>
          <w:rFonts w:ascii="Verdana" w:hAnsi="Verdana"/>
          <w:sz w:val="18"/>
          <w:szCs w:val="18"/>
        </w:rPr>
        <w:t xml:space="preserve"> in this respect.</w:t>
      </w:r>
    </w:p>
    <w:p w14:paraId="305D236D" w14:textId="334184B4" w:rsidR="00B44B94" w:rsidRPr="0002250C" w:rsidRDefault="006C15BA" w:rsidP="0002250C">
      <w:pPr>
        <w:pStyle w:val="ListParagraph"/>
        <w:numPr>
          <w:ilvl w:val="0"/>
          <w:numId w:val="4"/>
        </w:numPr>
        <w:spacing w:after="240" w:line="360" w:lineRule="auto"/>
        <w:ind w:left="567" w:hanging="567"/>
        <w:contextualSpacing w:val="0"/>
        <w:jc w:val="both"/>
        <w:rPr>
          <w:rFonts w:ascii="Verdana" w:hAnsi="Verdana"/>
          <w:sz w:val="18"/>
          <w:szCs w:val="18"/>
        </w:rPr>
      </w:pPr>
      <w:r w:rsidRPr="0002250C">
        <w:rPr>
          <w:rFonts w:ascii="Verdana" w:hAnsi="Verdana"/>
          <w:sz w:val="18"/>
          <w:szCs w:val="18"/>
        </w:rPr>
        <w:t>Insofar as the applicant’s complaint relates to a challenge to the ministerial guidelines</w:t>
      </w:r>
      <w:r w:rsidR="006D669E" w:rsidRPr="0002250C">
        <w:rPr>
          <w:rFonts w:ascii="Verdana" w:hAnsi="Verdana"/>
          <w:sz w:val="18"/>
          <w:szCs w:val="18"/>
        </w:rPr>
        <w:t>,</w:t>
      </w:r>
      <w:r w:rsidRPr="0002250C">
        <w:rPr>
          <w:rFonts w:ascii="Verdana" w:hAnsi="Verdana"/>
          <w:sz w:val="18"/>
          <w:szCs w:val="18"/>
        </w:rPr>
        <w:t xml:space="preserve"> that does raise a new question </w:t>
      </w:r>
      <w:proofErr w:type="gramStart"/>
      <w:r w:rsidRPr="0002250C">
        <w:rPr>
          <w:rFonts w:ascii="Verdana" w:hAnsi="Verdana"/>
          <w:sz w:val="18"/>
          <w:szCs w:val="18"/>
        </w:rPr>
        <w:t>similar to</w:t>
      </w:r>
      <w:proofErr w:type="gramEnd"/>
      <w:r w:rsidRPr="0002250C">
        <w:rPr>
          <w:rFonts w:ascii="Verdana" w:hAnsi="Verdana"/>
          <w:sz w:val="18"/>
          <w:szCs w:val="18"/>
        </w:rPr>
        <w:t xml:space="preserve"> question 4 in </w:t>
      </w:r>
      <w:r w:rsidRPr="0002250C">
        <w:rPr>
          <w:rFonts w:ascii="Verdana" w:hAnsi="Verdana"/>
          <w:i/>
          <w:sz w:val="18"/>
          <w:szCs w:val="18"/>
        </w:rPr>
        <w:t>Enniskerry</w:t>
      </w:r>
      <w:r w:rsidR="003E7CCA">
        <w:rPr>
          <w:rFonts w:ascii="Verdana" w:hAnsi="Verdana"/>
          <w:iCs/>
          <w:sz w:val="18"/>
          <w:szCs w:val="18"/>
        </w:rPr>
        <w:t>, which I would attempt to formulate</w:t>
      </w:r>
      <w:r w:rsidRPr="0002250C">
        <w:rPr>
          <w:rFonts w:ascii="Verdana" w:hAnsi="Verdana"/>
          <w:i/>
          <w:sz w:val="18"/>
          <w:szCs w:val="18"/>
        </w:rPr>
        <w:t xml:space="preserve"> </w:t>
      </w:r>
      <w:r w:rsidRPr="0002250C">
        <w:rPr>
          <w:rFonts w:ascii="Verdana" w:hAnsi="Verdana"/>
          <w:sz w:val="18"/>
          <w:szCs w:val="18"/>
        </w:rPr>
        <w:t>as follows:</w:t>
      </w:r>
    </w:p>
    <w:p w14:paraId="660B8A38" w14:textId="032EE809" w:rsidR="00B44B94" w:rsidRPr="0002250C" w:rsidRDefault="0064552C" w:rsidP="00C63DB2">
      <w:pPr>
        <w:pStyle w:val="ListParagraph"/>
        <w:spacing w:after="240" w:line="360" w:lineRule="auto"/>
        <w:ind w:left="1418"/>
        <w:contextualSpacing w:val="0"/>
        <w:jc w:val="both"/>
        <w:rPr>
          <w:rFonts w:ascii="Verdana" w:hAnsi="Verdana"/>
          <w:b/>
          <w:bCs/>
          <w:sz w:val="18"/>
          <w:szCs w:val="18"/>
        </w:rPr>
      </w:pPr>
      <w:r w:rsidRPr="0002250C">
        <w:rPr>
          <w:rFonts w:ascii="Verdana" w:hAnsi="Verdana"/>
          <w:b/>
          <w:bCs/>
          <w:sz w:val="18"/>
          <w:szCs w:val="18"/>
        </w:rPr>
        <w:t xml:space="preserve">Is a challenge to be considered as falling outside the interpretative obligation whereby in proceedings where the application of national environmental law is at issue, it is for the national court to give an interpretation of national procedural law which, to the fullest extent possible, is consistent with the objectives laid down in Article 9(3) and (4) of the Aarhus Convention, so that judicial procedures are not prohibitively expensive, either as not being one where the application of national environmental law is in issue or as not within the sphere of EU environmental law, merely because it  </w:t>
      </w:r>
      <w:r w:rsidR="006D669E" w:rsidRPr="0002250C">
        <w:rPr>
          <w:rFonts w:ascii="Verdana" w:hAnsi="Verdana"/>
          <w:b/>
          <w:bCs/>
          <w:sz w:val="18"/>
          <w:szCs w:val="18"/>
        </w:rPr>
        <w:t>i</w:t>
      </w:r>
      <w:r w:rsidRPr="0002250C">
        <w:rPr>
          <w:rFonts w:ascii="Verdana" w:hAnsi="Verdana"/>
          <w:b/>
          <w:bCs/>
          <w:sz w:val="18"/>
          <w:szCs w:val="18"/>
        </w:rPr>
        <w:t xml:space="preserve">nvolves a challenge to the validity of an instrument adopted under </w:t>
      </w:r>
      <w:r w:rsidR="00C1615C">
        <w:rPr>
          <w:rFonts w:ascii="Verdana" w:hAnsi="Verdana"/>
          <w:b/>
          <w:bCs/>
          <w:sz w:val="18"/>
          <w:szCs w:val="18"/>
        </w:rPr>
        <w:t>a statutory provision based on domestic public law or constitutional law</w:t>
      </w:r>
      <w:r w:rsidR="002150CC" w:rsidRPr="0002250C">
        <w:rPr>
          <w:rFonts w:ascii="Verdana" w:hAnsi="Verdana"/>
          <w:b/>
          <w:bCs/>
          <w:sz w:val="18"/>
          <w:szCs w:val="18"/>
        </w:rPr>
        <w:t xml:space="preserve"> (for example</w:t>
      </w:r>
      <w:r w:rsidR="00C1615C">
        <w:rPr>
          <w:rFonts w:ascii="Verdana" w:hAnsi="Verdana"/>
          <w:b/>
          <w:bCs/>
          <w:sz w:val="18"/>
          <w:szCs w:val="18"/>
        </w:rPr>
        <w:t>, a challenge</w:t>
      </w:r>
      <w:r w:rsidRPr="0002250C">
        <w:rPr>
          <w:rFonts w:ascii="Verdana" w:hAnsi="Verdana"/>
          <w:b/>
          <w:bCs/>
          <w:sz w:val="18"/>
          <w:szCs w:val="18"/>
        </w:rPr>
        <w:t xml:space="preserve"> </w:t>
      </w:r>
      <w:r w:rsidR="006D669E" w:rsidRPr="0002250C">
        <w:rPr>
          <w:rFonts w:ascii="Verdana" w:hAnsi="Verdana"/>
          <w:b/>
          <w:bCs/>
          <w:sz w:val="18"/>
          <w:szCs w:val="18"/>
        </w:rPr>
        <w:t>on the basis of</w:t>
      </w:r>
      <w:r w:rsidRPr="0002250C">
        <w:rPr>
          <w:rFonts w:ascii="Verdana" w:hAnsi="Verdana"/>
          <w:b/>
          <w:bCs/>
          <w:sz w:val="18"/>
          <w:szCs w:val="18"/>
        </w:rPr>
        <w:t xml:space="preserve"> national </w:t>
      </w:r>
      <w:r w:rsidR="002150CC" w:rsidRPr="0002250C">
        <w:rPr>
          <w:rFonts w:ascii="Verdana" w:hAnsi="Verdana"/>
          <w:b/>
          <w:bCs/>
          <w:sz w:val="18"/>
          <w:szCs w:val="18"/>
        </w:rPr>
        <w:t xml:space="preserve">administrative law principles and </w:t>
      </w:r>
      <w:r w:rsidRPr="0002250C">
        <w:rPr>
          <w:rFonts w:ascii="Verdana" w:hAnsi="Verdana"/>
          <w:b/>
          <w:bCs/>
          <w:sz w:val="18"/>
          <w:szCs w:val="18"/>
        </w:rPr>
        <w:t>constit</w:t>
      </w:r>
      <w:r w:rsidR="00F92615" w:rsidRPr="0002250C">
        <w:rPr>
          <w:rFonts w:ascii="Verdana" w:hAnsi="Verdana"/>
          <w:b/>
          <w:bCs/>
          <w:sz w:val="18"/>
          <w:szCs w:val="18"/>
        </w:rPr>
        <w:t>ut</w:t>
      </w:r>
      <w:r w:rsidRPr="0002250C">
        <w:rPr>
          <w:rFonts w:ascii="Verdana" w:hAnsi="Verdana"/>
          <w:b/>
          <w:bCs/>
          <w:sz w:val="18"/>
          <w:szCs w:val="18"/>
        </w:rPr>
        <w:t>ion</w:t>
      </w:r>
      <w:r w:rsidR="00F92615" w:rsidRPr="0002250C">
        <w:rPr>
          <w:rFonts w:ascii="Verdana" w:hAnsi="Verdana"/>
          <w:b/>
          <w:bCs/>
          <w:sz w:val="18"/>
          <w:szCs w:val="18"/>
        </w:rPr>
        <w:t>al</w:t>
      </w:r>
      <w:r w:rsidRPr="0002250C">
        <w:rPr>
          <w:rFonts w:ascii="Verdana" w:hAnsi="Verdana"/>
          <w:b/>
          <w:bCs/>
          <w:sz w:val="18"/>
          <w:szCs w:val="18"/>
        </w:rPr>
        <w:t xml:space="preserve"> </w:t>
      </w:r>
      <w:r w:rsidR="00F92615" w:rsidRPr="0002250C">
        <w:rPr>
          <w:rFonts w:ascii="Verdana" w:hAnsi="Verdana"/>
          <w:b/>
          <w:bCs/>
          <w:sz w:val="18"/>
          <w:szCs w:val="18"/>
        </w:rPr>
        <w:t>provisions</w:t>
      </w:r>
      <w:r w:rsidRPr="0002250C">
        <w:rPr>
          <w:rFonts w:ascii="Verdana" w:hAnsi="Verdana"/>
          <w:b/>
          <w:bCs/>
          <w:sz w:val="18"/>
          <w:szCs w:val="18"/>
        </w:rPr>
        <w:t xml:space="preserve"> regarding the exercise of the legislative function </w:t>
      </w:r>
      <w:r w:rsidR="006D669E" w:rsidRPr="0002250C">
        <w:rPr>
          <w:rFonts w:ascii="Verdana" w:hAnsi="Verdana"/>
          <w:b/>
          <w:bCs/>
          <w:sz w:val="18"/>
          <w:szCs w:val="18"/>
        </w:rPr>
        <w:t>in accordance with</w:t>
      </w:r>
      <w:r w:rsidRPr="0002250C">
        <w:rPr>
          <w:rFonts w:ascii="Verdana" w:hAnsi="Verdana"/>
          <w:b/>
          <w:bCs/>
          <w:sz w:val="18"/>
          <w:szCs w:val="18"/>
        </w:rPr>
        <w:t xml:space="preserve"> the separation of p</w:t>
      </w:r>
      <w:r w:rsidR="00F92615" w:rsidRPr="0002250C">
        <w:rPr>
          <w:rFonts w:ascii="Verdana" w:hAnsi="Verdana"/>
          <w:b/>
          <w:bCs/>
          <w:sz w:val="18"/>
          <w:szCs w:val="18"/>
        </w:rPr>
        <w:t>o</w:t>
      </w:r>
      <w:r w:rsidRPr="0002250C">
        <w:rPr>
          <w:rFonts w:ascii="Verdana" w:hAnsi="Verdana"/>
          <w:b/>
          <w:bCs/>
          <w:sz w:val="18"/>
          <w:szCs w:val="18"/>
        </w:rPr>
        <w:t>wers as between the legislature and the executive</w:t>
      </w:r>
      <w:r w:rsidR="002150CC" w:rsidRPr="0002250C">
        <w:rPr>
          <w:rFonts w:ascii="Verdana" w:hAnsi="Verdana"/>
          <w:b/>
          <w:bCs/>
          <w:sz w:val="18"/>
          <w:szCs w:val="18"/>
        </w:rPr>
        <w:t>)</w:t>
      </w:r>
      <w:r w:rsidRPr="0002250C">
        <w:rPr>
          <w:rFonts w:ascii="Verdana" w:hAnsi="Verdana"/>
          <w:b/>
          <w:bCs/>
          <w:sz w:val="18"/>
          <w:szCs w:val="18"/>
        </w:rPr>
        <w:t xml:space="preserve"> in a context r</w:t>
      </w:r>
      <w:r w:rsidR="008E0E99" w:rsidRPr="0002250C">
        <w:rPr>
          <w:rFonts w:ascii="Verdana" w:hAnsi="Verdana"/>
          <w:b/>
          <w:bCs/>
          <w:sz w:val="18"/>
          <w:szCs w:val="18"/>
        </w:rPr>
        <w:t>e</w:t>
      </w:r>
      <w:r w:rsidRPr="0002250C">
        <w:rPr>
          <w:rFonts w:ascii="Verdana" w:hAnsi="Verdana"/>
          <w:b/>
          <w:bCs/>
          <w:sz w:val="18"/>
          <w:szCs w:val="18"/>
        </w:rPr>
        <w:t xml:space="preserve">lating to the </w:t>
      </w:r>
      <w:r w:rsidR="008E0E99" w:rsidRPr="0002250C">
        <w:rPr>
          <w:rFonts w:ascii="Verdana" w:hAnsi="Verdana"/>
          <w:b/>
          <w:bCs/>
          <w:sz w:val="18"/>
          <w:szCs w:val="18"/>
        </w:rPr>
        <w:t>environment</w:t>
      </w:r>
      <w:r w:rsidRPr="0002250C">
        <w:rPr>
          <w:rFonts w:ascii="Verdana" w:hAnsi="Verdana"/>
          <w:b/>
          <w:bCs/>
          <w:sz w:val="18"/>
          <w:szCs w:val="18"/>
        </w:rPr>
        <w:t xml:space="preserve"> </w:t>
      </w:r>
      <w:r w:rsidR="006D669E" w:rsidRPr="0002250C">
        <w:rPr>
          <w:rFonts w:ascii="Verdana" w:hAnsi="Verdana"/>
          <w:b/>
          <w:bCs/>
          <w:sz w:val="18"/>
          <w:szCs w:val="18"/>
        </w:rPr>
        <w:t xml:space="preserve">or </w:t>
      </w:r>
      <w:r w:rsidRPr="0002250C">
        <w:rPr>
          <w:rFonts w:ascii="Verdana" w:hAnsi="Verdana"/>
          <w:b/>
          <w:bCs/>
          <w:sz w:val="18"/>
          <w:szCs w:val="18"/>
        </w:rPr>
        <w:t xml:space="preserve">by way of a challenge to the procedure by which </w:t>
      </w:r>
      <w:r w:rsidR="008E0E99" w:rsidRPr="0002250C">
        <w:rPr>
          <w:rFonts w:ascii="Verdana" w:hAnsi="Verdana"/>
          <w:b/>
          <w:bCs/>
          <w:sz w:val="18"/>
          <w:szCs w:val="18"/>
        </w:rPr>
        <w:t>guidelines</w:t>
      </w:r>
      <w:r w:rsidRPr="0002250C">
        <w:rPr>
          <w:rFonts w:ascii="Verdana" w:hAnsi="Verdana"/>
          <w:b/>
          <w:bCs/>
          <w:sz w:val="18"/>
          <w:szCs w:val="18"/>
        </w:rPr>
        <w:t xml:space="preserve"> with env</w:t>
      </w:r>
      <w:r w:rsidR="008E0E99" w:rsidRPr="0002250C">
        <w:rPr>
          <w:rFonts w:ascii="Verdana" w:hAnsi="Verdana"/>
          <w:b/>
          <w:bCs/>
          <w:sz w:val="18"/>
          <w:szCs w:val="18"/>
        </w:rPr>
        <w:t>ironmen</w:t>
      </w:r>
      <w:r w:rsidRPr="0002250C">
        <w:rPr>
          <w:rFonts w:ascii="Verdana" w:hAnsi="Verdana"/>
          <w:b/>
          <w:bCs/>
          <w:sz w:val="18"/>
          <w:szCs w:val="18"/>
        </w:rPr>
        <w:t>t</w:t>
      </w:r>
      <w:r w:rsidR="008E0E99" w:rsidRPr="0002250C">
        <w:rPr>
          <w:rFonts w:ascii="Verdana" w:hAnsi="Verdana"/>
          <w:b/>
          <w:bCs/>
          <w:sz w:val="18"/>
          <w:szCs w:val="18"/>
        </w:rPr>
        <w:t>a</w:t>
      </w:r>
      <w:r w:rsidRPr="0002250C">
        <w:rPr>
          <w:rFonts w:ascii="Verdana" w:hAnsi="Verdana"/>
          <w:b/>
          <w:bCs/>
          <w:sz w:val="18"/>
          <w:szCs w:val="18"/>
        </w:rPr>
        <w:t xml:space="preserve">l relevance </w:t>
      </w:r>
      <w:r w:rsidR="00C1615C">
        <w:rPr>
          <w:rFonts w:ascii="Verdana" w:hAnsi="Verdana"/>
          <w:b/>
          <w:bCs/>
          <w:sz w:val="18"/>
          <w:szCs w:val="18"/>
        </w:rPr>
        <w:t xml:space="preserve">(assessed under directive 2001/42) </w:t>
      </w:r>
      <w:r w:rsidRPr="0002250C">
        <w:rPr>
          <w:rFonts w:ascii="Verdana" w:hAnsi="Verdana"/>
          <w:b/>
          <w:bCs/>
          <w:sz w:val="18"/>
          <w:szCs w:val="18"/>
        </w:rPr>
        <w:t>were adopted</w:t>
      </w:r>
      <w:r w:rsidR="003847D3" w:rsidRPr="0002250C">
        <w:rPr>
          <w:rFonts w:ascii="Verdana" w:hAnsi="Verdana"/>
          <w:b/>
          <w:bCs/>
          <w:sz w:val="18"/>
          <w:szCs w:val="18"/>
        </w:rPr>
        <w:t>.</w:t>
      </w:r>
    </w:p>
    <w:p w14:paraId="42068C59" w14:textId="7BFBFBC2" w:rsidR="001F053B" w:rsidRPr="0002250C" w:rsidRDefault="006C15BA" w:rsidP="0002250C">
      <w:pPr>
        <w:pStyle w:val="ListParagraph"/>
        <w:numPr>
          <w:ilvl w:val="0"/>
          <w:numId w:val="4"/>
        </w:numPr>
        <w:spacing w:after="240" w:line="360" w:lineRule="auto"/>
        <w:ind w:left="567" w:hanging="567"/>
        <w:contextualSpacing w:val="0"/>
        <w:jc w:val="both"/>
        <w:rPr>
          <w:rFonts w:ascii="Verdana" w:hAnsi="Verdana"/>
          <w:sz w:val="18"/>
          <w:szCs w:val="18"/>
        </w:rPr>
      </w:pPr>
      <w:r w:rsidRPr="0002250C">
        <w:rPr>
          <w:rFonts w:ascii="Verdana" w:hAnsi="Verdana"/>
          <w:sz w:val="18"/>
          <w:szCs w:val="18"/>
        </w:rPr>
        <w:t xml:space="preserve">It is </w:t>
      </w:r>
      <w:r w:rsidR="006D669E" w:rsidRPr="0002250C">
        <w:rPr>
          <w:rFonts w:ascii="Verdana" w:hAnsi="Verdana"/>
          <w:sz w:val="18"/>
          <w:szCs w:val="18"/>
        </w:rPr>
        <w:t>perhaps fair to say</w:t>
      </w:r>
      <w:r w:rsidRPr="0002250C">
        <w:rPr>
          <w:rFonts w:ascii="Verdana" w:hAnsi="Verdana"/>
          <w:sz w:val="18"/>
          <w:szCs w:val="18"/>
        </w:rPr>
        <w:t xml:space="preserve"> that the Irish courts to date have not treated </w:t>
      </w:r>
      <w:r w:rsidR="003E7CCA">
        <w:rPr>
          <w:rFonts w:ascii="Verdana" w:hAnsi="Verdana"/>
          <w:sz w:val="18"/>
          <w:szCs w:val="18"/>
        </w:rPr>
        <w:t>similar</w:t>
      </w:r>
      <w:r w:rsidRPr="0002250C">
        <w:rPr>
          <w:rFonts w:ascii="Verdana" w:hAnsi="Verdana"/>
          <w:sz w:val="18"/>
          <w:szCs w:val="18"/>
        </w:rPr>
        <w:t xml:space="preserve"> challenges as subject to the Aarhus interpretative obligation</w:t>
      </w:r>
      <w:r w:rsidR="008605C1" w:rsidRPr="0002250C">
        <w:rPr>
          <w:rFonts w:ascii="Verdana" w:hAnsi="Verdana"/>
          <w:sz w:val="18"/>
          <w:szCs w:val="18"/>
        </w:rPr>
        <w:t>, but d</w:t>
      </w:r>
      <w:r w:rsidRPr="0002250C">
        <w:rPr>
          <w:rFonts w:ascii="Verdana" w:hAnsi="Verdana"/>
          <w:sz w:val="18"/>
          <w:szCs w:val="18"/>
        </w:rPr>
        <w:t xml:space="preserve">ecisions of domestic courts do not automatically make an EU point </w:t>
      </w:r>
      <w:r w:rsidRPr="0002250C">
        <w:rPr>
          <w:rFonts w:ascii="Verdana" w:hAnsi="Verdana"/>
          <w:i/>
          <w:sz w:val="18"/>
          <w:szCs w:val="18"/>
        </w:rPr>
        <w:t xml:space="preserve">acte </w:t>
      </w:r>
      <w:r w:rsidR="00FC78D4" w:rsidRPr="0002250C">
        <w:rPr>
          <w:rFonts w:ascii="Verdana" w:hAnsi="Verdana"/>
          <w:i/>
          <w:sz w:val="18"/>
          <w:szCs w:val="18"/>
        </w:rPr>
        <w:t>clair</w:t>
      </w:r>
      <w:r w:rsidR="00FC78D4" w:rsidRPr="0002250C">
        <w:rPr>
          <w:rFonts w:ascii="Verdana" w:hAnsi="Verdana"/>
          <w:sz w:val="18"/>
          <w:szCs w:val="18"/>
        </w:rPr>
        <w:t>.</w:t>
      </w:r>
      <w:r w:rsidRPr="0002250C">
        <w:rPr>
          <w:rFonts w:ascii="Verdana" w:hAnsi="Verdana"/>
          <w:sz w:val="18"/>
          <w:szCs w:val="18"/>
        </w:rPr>
        <w:t xml:space="preserve"> </w:t>
      </w:r>
    </w:p>
    <w:p w14:paraId="669EF72D" w14:textId="2B60CF22" w:rsidR="0047288B" w:rsidRPr="0002250C" w:rsidRDefault="001F053B" w:rsidP="0002250C">
      <w:pPr>
        <w:pStyle w:val="ListParagraph"/>
        <w:numPr>
          <w:ilvl w:val="0"/>
          <w:numId w:val="4"/>
        </w:numPr>
        <w:spacing w:after="240" w:line="360" w:lineRule="auto"/>
        <w:ind w:left="567" w:hanging="567"/>
        <w:contextualSpacing w:val="0"/>
        <w:jc w:val="both"/>
        <w:rPr>
          <w:rFonts w:ascii="Verdana" w:hAnsi="Verdana"/>
          <w:sz w:val="18"/>
          <w:szCs w:val="18"/>
        </w:rPr>
      </w:pPr>
      <w:r w:rsidRPr="0002250C">
        <w:rPr>
          <w:rFonts w:ascii="Verdana" w:hAnsi="Verdana"/>
          <w:sz w:val="18"/>
          <w:szCs w:val="18"/>
        </w:rPr>
        <w:t>The applicant’s fifth question is as follows</w:t>
      </w:r>
      <w:r w:rsidR="0047288B" w:rsidRPr="0002250C">
        <w:rPr>
          <w:rFonts w:ascii="Verdana" w:hAnsi="Verdana"/>
          <w:sz w:val="18"/>
          <w:szCs w:val="18"/>
        </w:rPr>
        <w:t>:</w:t>
      </w:r>
    </w:p>
    <w:p w14:paraId="69172F02" w14:textId="77777777" w:rsidR="0047288B" w:rsidRPr="0002250C" w:rsidRDefault="0047288B" w:rsidP="00C63DB2">
      <w:pPr>
        <w:pStyle w:val="ListParagraph"/>
        <w:spacing w:after="240" w:line="360" w:lineRule="auto"/>
        <w:ind w:left="1418"/>
        <w:contextualSpacing w:val="0"/>
        <w:jc w:val="both"/>
        <w:rPr>
          <w:rFonts w:ascii="Verdana" w:hAnsi="Verdana"/>
          <w:sz w:val="18"/>
          <w:szCs w:val="18"/>
        </w:rPr>
      </w:pPr>
      <w:r w:rsidRPr="0002250C">
        <w:rPr>
          <w:rFonts w:ascii="Verdana" w:hAnsi="Verdana"/>
          <w:sz w:val="18"/>
          <w:szCs w:val="18"/>
        </w:rPr>
        <w:t>“If A9(3) and (4) Aarhus apply, in interpreting the concept of an act that contravenes provisions of national law relating to the environment, should the national court look to:</w:t>
      </w:r>
    </w:p>
    <w:p w14:paraId="39734AA6" w14:textId="78D95787" w:rsidR="0047288B" w:rsidRPr="0002250C" w:rsidRDefault="0047288B" w:rsidP="00C63DB2">
      <w:pPr>
        <w:pStyle w:val="ListParagraph"/>
        <w:spacing w:after="240" w:line="360" w:lineRule="auto"/>
        <w:ind w:left="1418"/>
        <w:contextualSpacing w:val="0"/>
        <w:jc w:val="both"/>
        <w:rPr>
          <w:rFonts w:ascii="Verdana" w:hAnsi="Verdana"/>
          <w:sz w:val="18"/>
          <w:szCs w:val="18"/>
        </w:rPr>
      </w:pPr>
      <w:r w:rsidRPr="0002250C">
        <w:rPr>
          <w:rFonts w:ascii="Verdana" w:hAnsi="Verdana"/>
          <w:sz w:val="18"/>
          <w:szCs w:val="18"/>
        </w:rPr>
        <w:t>the grounds of challenge, to see if the form of the grounds is specific to environmental law (eg, error of law, excess of jurisdiction, consideration of irrelevant material, failure to consider relevant material, unreasonableness – referred to as classic grounds of judicial review), or</w:t>
      </w:r>
    </w:p>
    <w:p w14:paraId="1703A3DD" w14:textId="2F33B40D" w:rsidR="0047288B" w:rsidRPr="0002250C" w:rsidRDefault="0047288B" w:rsidP="00C63DB2">
      <w:pPr>
        <w:pStyle w:val="ListParagraph"/>
        <w:spacing w:after="240" w:line="360" w:lineRule="auto"/>
        <w:ind w:left="1418"/>
        <w:contextualSpacing w:val="0"/>
        <w:jc w:val="both"/>
        <w:rPr>
          <w:rFonts w:ascii="Verdana" w:hAnsi="Verdana"/>
          <w:sz w:val="18"/>
          <w:szCs w:val="18"/>
        </w:rPr>
      </w:pPr>
      <w:r w:rsidRPr="0002250C">
        <w:rPr>
          <w:rFonts w:ascii="Verdana" w:hAnsi="Verdana"/>
          <w:sz w:val="18"/>
          <w:szCs w:val="18"/>
        </w:rPr>
        <w:t>The provision of law pursuant to which the impugned decision was adopted, to determine if it relates to the environment, or</w:t>
      </w:r>
    </w:p>
    <w:p w14:paraId="01B21BCC" w14:textId="5A5B6404" w:rsidR="0047288B" w:rsidRPr="0002250C" w:rsidRDefault="0047288B" w:rsidP="00C63DB2">
      <w:pPr>
        <w:pStyle w:val="ListParagraph"/>
        <w:spacing w:after="240" w:line="360" w:lineRule="auto"/>
        <w:ind w:left="1418"/>
        <w:contextualSpacing w:val="0"/>
        <w:jc w:val="both"/>
        <w:rPr>
          <w:rFonts w:ascii="Verdana" w:hAnsi="Verdana"/>
          <w:sz w:val="18"/>
          <w:szCs w:val="18"/>
        </w:rPr>
      </w:pPr>
      <w:r w:rsidRPr="0002250C">
        <w:rPr>
          <w:rFonts w:ascii="Verdana" w:hAnsi="Verdana"/>
          <w:sz w:val="18"/>
          <w:szCs w:val="18"/>
        </w:rPr>
        <w:t>The provision of law pursuant to which the impugned instrument was adopted, to determine if it relates to the environment, or</w:t>
      </w:r>
    </w:p>
    <w:p w14:paraId="28E111AA" w14:textId="2E646E3C" w:rsidR="0047288B" w:rsidRPr="0002250C" w:rsidRDefault="0047288B" w:rsidP="00C63DB2">
      <w:pPr>
        <w:pStyle w:val="ListParagraph"/>
        <w:spacing w:after="240" w:line="360" w:lineRule="auto"/>
        <w:ind w:left="1418"/>
        <w:contextualSpacing w:val="0"/>
        <w:jc w:val="both"/>
        <w:rPr>
          <w:rFonts w:ascii="Verdana" w:hAnsi="Verdana"/>
          <w:sz w:val="18"/>
          <w:szCs w:val="18"/>
        </w:rPr>
      </w:pPr>
      <w:r w:rsidRPr="0002250C">
        <w:rPr>
          <w:rFonts w:ascii="Verdana" w:hAnsi="Verdana"/>
          <w:sz w:val="18"/>
          <w:szCs w:val="18"/>
        </w:rPr>
        <w:lastRenderedPageBreak/>
        <w:t>The impugned decision itself, to determine if it relates to the environment, or</w:t>
      </w:r>
    </w:p>
    <w:p w14:paraId="5D6F7535" w14:textId="476B5B42" w:rsidR="0047288B" w:rsidRPr="0002250C" w:rsidRDefault="0047288B" w:rsidP="00C63DB2">
      <w:pPr>
        <w:pStyle w:val="ListParagraph"/>
        <w:spacing w:after="240" w:line="360" w:lineRule="auto"/>
        <w:ind w:left="1418"/>
        <w:contextualSpacing w:val="0"/>
        <w:jc w:val="both"/>
        <w:rPr>
          <w:rFonts w:ascii="Verdana" w:hAnsi="Verdana"/>
          <w:sz w:val="18"/>
          <w:szCs w:val="18"/>
        </w:rPr>
      </w:pPr>
      <w:r w:rsidRPr="0002250C">
        <w:rPr>
          <w:rFonts w:ascii="Verdana" w:hAnsi="Verdana"/>
          <w:sz w:val="18"/>
          <w:szCs w:val="18"/>
        </w:rPr>
        <w:t>The impugned instrument, to determine if it relates to the environment, or</w:t>
      </w:r>
    </w:p>
    <w:p w14:paraId="3BF72172" w14:textId="08BA8313" w:rsidR="0047288B" w:rsidRPr="0002250C" w:rsidRDefault="0047288B" w:rsidP="00C63DB2">
      <w:pPr>
        <w:pStyle w:val="ListParagraph"/>
        <w:spacing w:after="240" w:line="360" w:lineRule="auto"/>
        <w:ind w:left="1418"/>
        <w:contextualSpacing w:val="0"/>
        <w:jc w:val="both"/>
        <w:rPr>
          <w:rFonts w:ascii="Verdana" w:hAnsi="Verdana"/>
          <w:sz w:val="18"/>
          <w:szCs w:val="18"/>
        </w:rPr>
      </w:pPr>
      <w:r w:rsidRPr="0002250C">
        <w:rPr>
          <w:rFonts w:ascii="Verdana" w:hAnsi="Verdana"/>
          <w:sz w:val="18"/>
          <w:szCs w:val="18"/>
        </w:rPr>
        <w:t>To some other factor or to any combination of the above factors?”</w:t>
      </w:r>
    </w:p>
    <w:p w14:paraId="753ECE55" w14:textId="3F923242" w:rsidR="00B34D3C" w:rsidRPr="0002250C" w:rsidRDefault="001F053B" w:rsidP="0002250C">
      <w:pPr>
        <w:pStyle w:val="ListParagraph"/>
        <w:numPr>
          <w:ilvl w:val="0"/>
          <w:numId w:val="4"/>
        </w:numPr>
        <w:spacing w:after="240" w:line="360" w:lineRule="auto"/>
        <w:ind w:left="567" w:hanging="567"/>
        <w:contextualSpacing w:val="0"/>
        <w:jc w:val="both"/>
        <w:rPr>
          <w:rFonts w:ascii="Verdana" w:hAnsi="Verdana"/>
          <w:sz w:val="18"/>
          <w:szCs w:val="18"/>
        </w:rPr>
      </w:pPr>
      <w:r w:rsidRPr="0002250C">
        <w:rPr>
          <w:rFonts w:ascii="Verdana" w:hAnsi="Verdana"/>
          <w:sz w:val="18"/>
          <w:szCs w:val="18"/>
        </w:rPr>
        <w:t xml:space="preserve">That does not add a whole lot to </w:t>
      </w:r>
      <w:r w:rsidRPr="0002250C">
        <w:rPr>
          <w:rFonts w:ascii="Verdana" w:hAnsi="Verdana"/>
          <w:i/>
          <w:sz w:val="18"/>
          <w:szCs w:val="18"/>
        </w:rPr>
        <w:t>Enniskerry</w:t>
      </w:r>
      <w:r w:rsidR="00B34D3C" w:rsidRPr="0002250C">
        <w:rPr>
          <w:rFonts w:ascii="Verdana" w:hAnsi="Verdana"/>
          <w:iCs/>
          <w:sz w:val="18"/>
          <w:szCs w:val="18"/>
        </w:rPr>
        <w:t>.</w:t>
      </w:r>
    </w:p>
    <w:p w14:paraId="7190B8D0" w14:textId="77777777" w:rsidR="00C04DAB" w:rsidRPr="0002250C" w:rsidRDefault="001F053B" w:rsidP="0002250C">
      <w:pPr>
        <w:pStyle w:val="ListParagraph"/>
        <w:numPr>
          <w:ilvl w:val="0"/>
          <w:numId w:val="4"/>
        </w:numPr>
        <w:spacing w:after="240" w:line="360" w:lineRule="auto"/>
        <w:ind w:left="567" w:hanging="567"/>
        <w:contextualSpacing w:val="0"/>
        <w:jc w:val="both"/>
        <w:rPr>
          <w:rFonts w:ascii="Verdana" w:hAnsi="Verdana"/>
          <w:sz w:val="18"/>
          <w:szCs w:val="18"/>
        </w:rPr>
      </w:pPr>
      <w:r w:rsidRPr="0002250C">
        <w:rPr>
          <w:rFonts w:ascii="Verdana" w:hAnsi="Verdana"/>
          <w:iCs/>
          <w:sz w:val="18"/>
          <w:szCs w:val="18"/>
        </w:rPr>
        <w:t>The</w:t>
      </w:r>
      <w:r w:rsidRPr="0002250C">
        <w:rPr>
          <w:rFonts w:ascii="Verdana" w:hAnsi="Verdana"/>
          <w:sz w:val="18"/>
          <w:szCs w:val="18"/>
        </w:rPr>
        <w:t xml:space="preserve"> sixth question proposed by the applicant is as follows</w:t>
      </w:r>
      <w:r w:rsidR="00830B93" w:rsidRPr="0002250C">
        <w:rPr>
          <w:rFonts w:ascii="Verdana" w:hAnsi="Verdana"/>
          <w:sz w:val="18"/>
          <w:szCs w:val="18"/>
        </w:rPr>
        <w:t>:</w:t>
      </w:r>
    </w:p>
    <w:p w14:paraId="3A4B3518" w14:textId="30547DE3" w:rsidR="008B582D" w:rsidRPr="0002250C" w:rsidRDefault="00830B93" w:rsidP="00C63DB2">
      <w:pPr>
        <w:pStyle w:val="ListParagraph"/>
        <w:spacing w:after="240" w:line="360" w:lineRule="auto"/>
        <w:ind w:left="1418"/>
        <w:contextualSpacing w:val="0"/>
        <w:jc w:val="both"/>
        <w:rPr>
          <w:rFonts w:ascii="Verdana" w:hAnsi="Verdana"/>
          <w:sz w:val="18"/>
          <w:szCs w:val="18"/>
        </w:rPr>
      </w:pPr>
      <w:r w:rsidRPr="0002250C">
        <w:rPr>
          <w:rFonts w:ascii="Verdana" w:hAnsi="Verdana"/>
          <w:sz w:val="18"/>
          <w:szCs w:val="18"/>
        </w:rPr>
        <w:t>“If the answer to the preceding question is that the court should look to the grounds of challenge, is it significant that national procedural law prescribes that a challenge to the validity of a decision can only be taken by way of judicial review, and that none of the classic grounds of judicial review is specific to the environment?”</w:t>
      </w:r>
    </w:p>
    <w:p w14:paraId="2A6657E0" w14:textId="77777777" w:rsidR="00C04DAB" w:rsidRPr="0002250C" w:rsidRDefault="00C04DAB" w:rsidP="0002250C">
      <w:pPr>
        <w:pStyle w:val="ListParagraph"/>
        <w:numPr>
          <w:ilvl w:val="0"/>
          <w:numId w:val="4"/>
        </w:numPr>
        <w:spacing w:after="240" w:line="360" w:lineRule="auto"/>
        <w:ind w:left="567" w:hanging="567"/>
        <w:contextualSpacing w:val="0"/>
        <w:jc w:val="both"/>
        <w:rPr>
          <w:rFonts w:ascii="Verdana" w:hAnsi="Verdana"/>
          <w:sz w:val="18"/>
          <w:szCs w:val="18"/>
        </w:rPr>
      </w:pPr>
      <w:r w:rsidRPr="0002250C">
        <w:rPr>
          <w:rFonts w:ascii="Verdana" w:hAnsi="Verdana"/>
          <w:sz w:val="18"/>
          <w:szCs w:val="18"/>
        </w:rPr>
        <w:t>A</w:t>
      </w:r>
      <w:r w:rsidR="001F053B" w:rsidRPr="0002250C">
        <w:rPr>
          <w:rFonts w:ascii="Verdana" w:hAnsi="Verdana"/>
          <w:sz w:val="18"/>
          <w:szCs w:val="18"/>
        </w:rPr>
        <w:t>gain</w:t>
      </w:r>
      <w:r w:rsidRPr="0002250C">
        <w:rPr>
          <w:rFonts w:ascii="Verdana" w:hAnsi="Verdana"/>
          <w:sz w:val="18"/>
          <w:szCs w:val="18"/>
        </w:rPr>
        <w:t>,</w:t>
      </w:r>
      <w:r w:rsidR="001F053B" w:rsidRPr="0002250C">
        <w:rPr>
          <w:rFonts w:ascii="Verdana" w:hAnsi="Verdana"/>
          <w:sz w:val="18"/>
          <w:szCs w:val="18"/>
        </w:rPr>
        <w:t xml:space="preserve"> that does not add much to what the CJEU has already been asked in </w:t>
      </w:r>
      <w:r w:rsidR="001F053B" w:rsidRPr="0002250C">
        <w:rPr>
          <w:rFonts w:ascii="Verdana" w:hAnsi="Verdana"/>
          <w:i/>
          <w:sz w:val="18"/>
          <w:szCs w:val="18"/>
        </w:rPr>
        <w:t>Enniskerry</w:t>
      </w:r>
      <w:r w:rsidRPr="0002250C">
        <w:rPr>
          <w:rFonts w:ascii="Verdana" w:hAnsi="Verdana"/>
          <w:iCs/>
          <w:sz w:val="18"/>
          <w:szCs w:val="18"/>
        </w:rPr>
        <w:t>.</w:t>
      </w:r>
    </w:p>
    <w:p w14:paraId="0C0ED91A" w14:textId="0CF648F3" w:rsidR="00324388" w:rsidRPr="0002250C" w:rsidRDefault="001F053B" w:rsidP="0002250C">
      <w:pPr>
        <w:pStyle w:val="ListParagraph"/>
        <w:numPr>
          <w:ilvl w:val="0"/>
          <w:numId w:val="4"/>
        </w:numPr>
        <w:spacing w:after="240" w:line="360" w:lineRule="auto"/>
        <w:ind w:left="567" w:hanging="567"/>
        <w:contextualSpacing w:val="0"/>
        <w:jc w:val="both"/>
        <w:rPr>
          <w:rFonts w:ascii="Verdana" w:hAnsi="Verdana"/>
          <w:sz w:val="18"/>
          <w:szCs w:val="18"/>
        </w:rPr>
      </w:pPr>
      <w:r w:rsidRPr="0002250C">
        <w:rPr>
          <w:rFonts w:ascii="Verdana" w:hAnsi="Verdana"/>
          <w:iCs/>
          <w:sz w:val="18"/>
          <w:szCs w:val="18"/>
        </w:rPr>
        <w:t>It</w:t>
      </w:r>
      <w:r w:rsidRPr="0002250C">
        <w:rPr>
          <w:rFonts w:ascii="Verdana" w:hAnsi="Verdana"/>
          <w:sz w:val="18"/>
          <w:szCs w:val="18"/>
        </w:rPr>
        <w:t xml:space="preserve"> seems to me having regard to the foregoing </w:t>
      </w:r>
      <w:r w:rsidR="00FC78D4" w:rsidRPr="0002250C">
        <w:rPr>
          <w:rFonts w:ascii="Verdana" w:hAnsi="Verdana"/>
          <w:sz w:val="18"/>
          <w:szCs w:val="18"/>
        </w:rPr>
        <w:t xml:space="preserve">that </w:t>
      </w:r>
      <w:r w:rsidR="002150CC" w:rsidRPr="0002250C">
        <w:rPr>
          <w:rFonts w:ascii="Verdana" w:hAnsi="Verdana"/>
          <w:sz w:val="18"/>
          <w:szCs w:val="18"/>
        </w:rPr>
        <w:t xml:space="preserve">a </w:t>
      </w:r>
      <w:r w:rsidRPr="0002250C">
        <w:rPr>
          <w:rFonts w:ascii="Verdana" w:hAnsi="Verdana"/>
          <w:sz w:val="18"/>
          <w:szCs w:val="18"/>
        </w:rPr>
        <w:t>referable question of EU law arise</w:t>
      </w:r>
      <w:bookmarkStart w:id="0" w:name="_Hlk103542247"/>
      <w:r w:rsidR="002150CC" w:rsidRPr="0002250C">
        <w:rPr>
          <w:rFonts w:ascii="Verdana" w:hAnsi="Verdana"/>
          <w:sz w:val="18"/>
          <w:szCs w:val="18"/>
        </w:rPr>
        <w:t>s</w:t>
      </w:r>
      <w:r w:rsidR="00324388" w:rsidRPr="0002250C">
        <w:rPr>
          <w:rFonts w:ascii="Verdana" w:hAnsi="Verdana"/>
          <w:sz w:val="18"/>
          <w:szCs w:val="18"/>
        </w:rPr>
        <w:t xml:space="preserve">, that </w:t>
      </w:r>
      <w:r w:rsidR="002150CC" w:rsidRPr="0002250C">
        <w:rPr>
          <w:rFonts w:ascii="Verdana" w:hAnsi="Verdana"/>
          <w:sz w:val="18"/>
          <w:szCs w:val="18"/>
        </w:rPr>
        <w:t>this</w:t>
      </w:r>
      <w:r w:rsidR="00324388" w:rsidRPr="0002250C">
        <w:rPr>
          <w:rFonts w:ascii="Verdana" w:hAnsi="Verdana"/>
          <w:sz w:val="18"/>
          <w:szCs w:val="18"/>
        </w:rPr>
        <w:t xml:space="preserve"> relate</w:t>
      </w:r>
      <w:r w:rsidR="003E7CCA">
        <w:rPr>
          <w:rFonts w:ascii="Verdana" w:hAnsi="Verdana"/>
          <w:sz w:val="18"/>
          <w:szCs w:val="18"/>
        </w:rPr>
        <w:t>s</w:t>
      </w:r>
      <w:r w:rsidR="00324388" w:rsidRPr="0002250C">
        <w:rPr>
          <w:rFonts w:ascii="Verdana" w:hAnsi="Verdana"/>
          <w:sz w:val="18"/>
          <w:szCs w:val="18"/>
        </w:rPr>
        <w:t xml:space="preserve"> to the interpretation rather than application of EU law, that </w:t>
      </w:r>
      <w:r w:rsidR="002150CC" w:rsidRPr="0002250C">
        <w:rPr>
          <w:rFonts w:ascii="Verdana" w:hAnsi="Verdana"/>
          <w:sz w:val="18"/>
          <w:szCs w:val="18"/>
        </w:rPr>
        <w:t xml:space="preserve">an </w:t>
      </w:r>
      <w:r w:rsidR="00324388" w:rsidRPr="0002250C">
        <w:rPr>
          <w:rFonts w:ascii="Verdana" w:hAnsi="Verdana"/>
          <w:sz w:val="18"/>
          <w:szCs w:val="18"/>
        </w:rPr>
        <w:t>answer</w:t>
      </w:r>
      <w:r w:rsidR="002150CC" w:rsidRPr="0002250C">
        <w:rPr>
          <w:rFonts w:ascii="Verdana" w:hAnsi="Verdana"/>
          <w:sz w:val="18"/>
          <w:szCs w:val="18"/>
        </w:rPr>
        <w:t xml:space="preserve"> is </w:t>
      </w:r>
      <w:r w:rsidR="00324388" w:rsidRPr="0002250C">
        <w:rPr>
          <w:rFonts w:ascii="Verdana" w:hAnsi="Verdana"/>
          <w:sz w:val="18"/>
          <w:szCs w:val="18"/>
        </w:rPr>
        <w:t>necessary for the decision of this court, that the answer</w:t>
      </w:r>
      <w:r w:rsidR="002150CC" w:rsidRPr="0002250C">
        <w:rPr>
          <w:rFonts w:ascii="Verdana" w:hAnsi="Verdana"/>
          <w:sz w:val="18"/>
          <w:szCs w:val="18"/>
        </w:rPr>
        <w:t xml:space="preserve"> is</w:t>
      </w:r>
      <w:r w:rsidR="00324388" w:rsidRPr="0002250C">
        <w:rPr>
          <w:rFonts w:ascii="Verdana" w:hAnsi="Verdana"/>
          <w:sz w:val="18"/>
          <w:szCs w:val="18"/>
        </w:rPr>
        <w:t xml:space="preserve"> not </w:t>
      </w:r>
      <w:r w:rsidR="00324388" w:rsidRPr="0002250C">
        <w:rPr>
          <w:rFonts w:ascii="Verdana" w:hAnsi="Verdana"/>
          <w:i/>
          <w:iCs/>
          <w:sz w:val="18"/>
          <w:szCs w:val="18"/>
        </w:rPr>
        <w:t>acte clair</w:t>
      </w:r>
      <w:r w:rsidR="00324388" w:rsidRPr="0002250C">
        <w:rPr>
          <w:rFonts w:ascii="Verdana" w:hAnsi="Verdana"/>
          <w:sz w:val="18"/>
          <w:szCs w:val="18"/>
        </w:rPr>
        <w:t xml:space="preserve"> or </w:t>
      </w:r>
      <w:r w:rsidR="00324388" w:rsidRPr="0002250C">
        <w:rPr>
          <w:rFonts w:ascii="Verdana" w:hAnsi="Verdana"/>
          <w:i/>
          <w:iCs/>
          <w:sz w:val="18"/>
          <w:szCs w:val="18"/>
        </w:rPr>
        <w:t>acte éclairé</w:t>
      </w:r>
      <w:r w:rsidR="00324388" w:rsidRPr="0002250C">
        <w:rPr>
          <w:rFonts w:ascii="Verdana" w:hAnsi="Verdana"/>
          <w:sz w:val="18"/>
          <w:szCs w:val="18"/>
        </w:rPr>
        <w:t xml:space="preserve">, and that </w:t>
      </w:r>
      <w:r w:rsidR="002150CC" w:rsidRPr="0002250C">
        <w:rPr>
          <w:rFonts w:ascii="Verdana" w:hAnsi="Verdana"/>
          <w:sz w:val="18"/>
          <w:szCs w:val="18"/>
        </w:rPr>
        <w:t>it is</w:t>
      </w:r>
      <w:r w:rsidR="00324388" w:rsidRPr="0002250C">
        <w:rPr>
          <w:rFonts w:ascii="Verdana" w:hAnsi="Verdana"/>
          <w:sz w:val="18"/>
          <w:szCs w:val="18"/>
        </w:rPr>
        <w:t xml:space="preserve"> appropriate in all circumstances to make a reference to the Court of Justice of the European Union under article 267 TFEU.</w:t>
      </w:r>
      <w:bookmarkEnd w:id="0"/>
    </w:p>
    <w:p w14:paraId="0F367CA9" w14:textId="77777777" w:rsidR="001F053B" w:rsidRPr="000353ED" w:rsidRDefault="001F053B" w:rsidP="000353ED">
      <w:pPr>
        <w:pStyle w:val="ListParagraph"/>
        <w:spacing w:line="360" w:lineRule="auto"/>
        <w:ind w:left="567" w:hanging="567"/>
        <w:contextualSpacing w:val="0"/>
        <w:jc w:val="both"/>
        <w:rPr>
          <w:rFonts w:ascii="Verdana" w:hAnsi="Verdana"/>
          <w:b/>
          <w:sz w:val="18"/>
          <w:szCs w:val="18"/>
        </w:rPr>
      </w:pPr>
      <w:r w:rsidRPr="000353ED">
        <w:rPr>
          <w:rFonts w:ascii="Verdana" w:hAnsi="Verdana"/>
          <w:b/>
          <w:sz w:val="18"/>
          <w:szCs w:val="18"/>
        </w:rPr>
        <w:t xml:space="preserve">Order </w:t>
      </w:r>
    </w:p>
    <w:p w14:paraId="39D6269D" w14:textId="68312793" w:rsidR="00324388" w:rsidRPr="0002250C" w:rsidRDefault="001F053B" w:rsidP="0002250C">
      <w:pPr>
        <w:pStyle w:val="ListParagraph"/>
        <w:numPr>
          <w:ilvl w:val="0"/>
          <w:numId w:val="4"/>
        </w:numPr>
        <w:spacing w:after="240" w:line="360" w:lineRule="auto"/>
        <w:ind w:left="567" w:hanging="567"/>
        <w:contextualSpacing w:val="0"/>
        <w:jc w:val="both"/>
        <w:rPr>
          <w:rFonts w:ascii="Verdana" w:hAnsi="Verdana"/>
          <w:sz w:val="18"/>
          <w:szCs w:val="18"/>
        </w:rPr>
      </w:pPr>
      <w:r w:rsidRPr="0002250C">
        <w:rPr>
          <w:rFonts w:ascii="Verdana" w:hAnsi="Verdana"/>
          <w:sz w:val="18"/>
          <w:szCs w:val="18"/>
        </w:rPr>
        <w:t xml:space="preserve">The order </w:t>
      </w:r>
      <w:r w:rsidR="00324388" w:rsidRPr="0002250C">
        <w:rPr>
          <w:rFonts w:ascii="Verdana" w:hAnsi="Verdana"/>
          <w:sz w:val="18"/>
          <w:szCs w:val="18"/>
        </w:rPr>
        <w:t>will be</w:t>
      </w:r>
      <w:r w:rsidR="00D44EF1" w:rsidRPr="0002250C">
        <w:rPr>
          <w:rFonts w:ascii="Verdana" w:hAnsi="Verdana"/>
          <w:sz w:val="18"/>
          <w:szCs w:val="18"/>
        </w:rPr>
        <w:t xml:space="preserve"> as follows</w:t>
      </w:r>
      <w:r w:rsidR="00324388" w:rsidRPr="0002250C">
        <w:rPr>
          <w:rFonts w:ascii="Verdana" w:hAnsi="Verdana"/>
          <w:sz w:val="18"/>
          <w:szCs w:val="18"/>
        </w:rPr>
        <w:t>:</w:t>
      </w:r>
    </w:p>
    <w:p w14:paraId="2C71E70E" w14:textId="799E2BA4" w:rsidR="006708E0" w:rsidRPr="0002250C" w:rsidRDefault="006708E0" w:rsidP="00C63DB2">
      <w:pPr>
        <w:pStyle w:val="ListParagraph"/>
        <w:numPr>
          <w:ilvl w:val="1"/>
          <w:numId w:val="4"/>
        </w:numPr>
        <w:spacing w:after="240" w:line="360" w:lineRule="auto"/>
        <w:ind w:left="1418" w:hanging="567"/>
        <w:contextualSpacing w:val="0"/>
        <w:jc w:val="both"/>
        <w:rPr>
          <w:rFonts w:ascii="Verdana" w:hAnsi="Verdana"/>
          <w:sz w:val="18"/>
          <w:szCs w:val="18"/>
        </w:rPr>
      </w:pPr>
      <w:r w:rsidRPr="0002250C">
        <w:rPr>
          <w:rFonts w:ascii="Verdana" w:hAnsi="Verdana"/>
          <w:sz w:val="18"/>
          <w:szCs w:val="18"/>
        </w:rPr>
        <w:t>as announced on 15</w:t>
      </w:r>
      <w:r w:rsidRPr="0002250C">
        <w:rPr>
          <w:rFonts w:ascii="Verdana" w:hAnsi="Verdana"/>
          <w:sz w:val="18"/>
          <w:szCs w:val="18"/>
          <w:vertAlign w:val="superscript"/>
        </w:rPr>
        <w:t>th</w:t>
      </w:r>
      <w:r w:rsidRPr="0002250C">
        <w:rPr>
          <w:rFonts w:ascii="Verdana" w:hAnsi="Verdana"/>
          <w:sz w:val="18"/>
          <w:szCs w:val="18"/>
        </w:rPr>
        <w:t xml:space="preserve"> </w:t>
      </w:r>
      <w:proofErr w:type="gramStart"/>
      <w:r w:rsidRPr="0002250C">
        <w:rPr>
          <w:rFonts w:ascii="Verdana" w:hAnsi="Verdana"/>
          <w:sz w:val="18"/>
          <w:szCs w:val="18"/>
        </w:rPr>
        <w:t>June,</w:t>
      </w:r>
      <w:proofErr w:type="gramEnd"/>
      <w:r w:rsidRPr="0002250C">
        <w:rPr>
          <w:rFonts w:ascii="Verdana" w:hAnsi="Verdana"/>
          <w:sz w:val="18"/>
          <w:szCs w:val="18"/>
        </w:rPr>
        <w:t xml:space="preserve"> 2022, the declaration under s. 50B of the 2000 Act is refused;</w:t>
      </w:r>
    </w:p>
    <w:p w14:paraId="28B9C3ED" w14:textId="43FD3CE5" w:rsidR="006708E0" w:rsidRPr="0002250C" w:rsidRDefault="006708E0" w:rsidP="00C63DB2">
      <w:pPr>
        <w:pStyle w:val="ListParagraph"/>
        <w:numPr>
          <w:ilvl w:val="1"/>
          <w:numId w:val="4"/>
        </w:numPr>
        <w:spacing w:after="240" w:line="360" w:lineRule="auto"/>
        <w:ind w:left="1418" w:hanging="567"/>
        <w:contextualSpacing w:val="0"/>
        <w:jc w:val="both"/>
        <w:rPr>
          <w:rFonts w:ascii="Verdana" w:hAnsi="Verdana"/>
          <w:sz w:val="18"/>
          <w:szCs w:val="18"/>
        </w:rPr>
      </w:pPr>
      <w:r w:rsidRPr="0002250C">
        <w:rPr>
          <w:rFonts w:ascii="Verdana" w:hAnsi="Verdana"/>
          <w:sz w:val="18"/>
          <w:szCs w:val="18"/>
        </w:rPr>
        <w:t>as announced on 15</w:t>
      </w:r>
      <w:r w:rsidRPr="0002250C">
        <w:rPr>
          <w:rFonts w:ascii="Verdana" w:hAnsi="Verdana"/>
          <w:sz w:val="18"/>
          <w:szCs w:val="18"/>
          <w:vertAlign w:val="superscript"/>
        </w:rPr>
        <w:t>th</w:t>
      </w:r>
      <w:r w:rsidRPr="0002250C">
        <w:rPr>
          <w:rFonts w:ascii="Verdana" w:hAnsi="Verdana"/>
          <w:sz w:val="18"/>
          <w:szCs w:val="18"/>
        </w:rPr>
        <w:t xml:space="preserve"> </w:t>
      </w:r>
      <w:proofErr w:type="gramStart"/>
      <w:r w:rsidRPr="0002250C">
        <w:rPr>
          <w:rFonts w:ascii="Verdana" w:hAnsi="Verdana"/>
          <w:sz w:val="18"/>
          <w:szCs w:val="18"/>
        </w:rPr>
        <w:t>June,</w:t>
      </w:r>
      <w:proofErr w:type="gramEnd"/>
      <w:r w:rsidRPr="0002250C">
        <w:rPr>
          <w:rFonts w:ascii="Verdana" w:hAnsi="Verdana"/>
          <w:sz w:val="18"/>
          <w:szCs w:val="18"/>
        </w:rPr>
        <w:t xml:space="preserve"> 2022, the declaration under the 2011 Act is refused;</w:t>
      </w:r>
    </w:p>
    <w:p w14:paraId="4619F1EC" w14:textId="43755871" w:rsidR="006708E0" w:rsidRPr="0002250C" w:rsidRDefault="006708E0" w:rsidP="00C63DB2">
      <w:pPr>
        <w:pStyle w:val="ListParagraph"/>
        <w:numPr>
          <w:ilvl w:val="1"/>
          <w:numId w:val="4"/>
        </w:numPr>
        <w:spacing w:after="240" w:line="360" w:lineRule="auto"/>
        <w:ind w:left="1418" w:hanging="567"/>
        <w:contextualSpacing w:val="0"/>
        <w:jc w:val="both"/>
        <w:rPr>
          <w:rFonts w:ascii="Verdana" w:hAnsi="Verdana"/>
          <w:sz w:val="18"/>
          <w:szCs w:val="18"/>
        </w:rPr>
      </w:pPr>
      <w:r w:rsidRPr="0002250C">
        <w:rPr>
          <w:rFonts w:ascii="Verdana" w:hAnsi="Verdana"/>
          <w:sz w:val="18"/>
          <w:szCs w:val="18"/>
        </w:rPr>
        <w:t xml:space="preserve">the declaration that the challenge to the validity of primary legislation is covered by the Aarhus obligation is </w:t>
      </w:r>
      <w:proofErr w:type="gramStart"/>
      <w:r w:rsidRPr="0002250C">
        <w:rPr>
          <w:rFonts w:ascii="Verdana" w:hAnsi="Verdana"/>
          <w:sz w:val="18"/>
          <w:szCs w:val="18"/>
        </w:rPr>
        <w:t>refused;</w:t>
      </w:r>
      <w:proofErr w:type="gramEnd"/>
    </w:p>
    <w:p w14:paraId="6C62D2BC" w14:textId="03E36F34" w:rsidR="006708E0" w:rsidRPr="0002250C" w:rsidRDefault="006708E0" w:rsidP="00C63DB2">
      <w:pPr>
        <w:pStyle w:val="ListParagraph"/>
        <w:numPr>
          <w:ilvl w:val="1"/>
          <w:numId w:val="4"/>
        </w:numPr>
        <w:spacing w:after="240" w:line="360" w:lineRule="auto"/>
        <w:ind w:left="1418" w:hanging="567"/>
        <w:contextualSpacing w:val="0"/>
        <w:jc w:val="both"/>
        <w:rPr>
          <w:rFonts w:ascii="Verdana" w:hAnsi="Verdana"/>
          <w:sz w:val="18"/>
          <w:szCs w:val="18"/>
        </w:rPr>
      </w:pPr>
      <w:r w:rsidRPr="0002250C">
        <w:rPr>
          <w:rFonts w:ascii="Verdana" w:hAnsi="Verdana"/>
          <w:sz w:val="18"/>
          <w:szCs w:val="18"/>
        </w:rPr>
        <w:t xml:space="preserve">the claim for relief by reference to any alleged non-transposition of Aarhus in respect of the challenge to the validity of primary legislation is </w:t>
      </w:r>
      <w:proofErr w:type="gramStart"/>
      <w:r w:rsidRPr="0002250C">
        <w:rPr>
          <w:rFonts w:ascii="Verdana" w:hAnsi="Verdana"/>
          <w:sz w:val="18"/>
          <w:szCs w:val="18"/>
        </w:rPr>
        <w:t>refused;</w:t>
      </w:r>
      <w:proofErr w:type="gramEnd"/>
    </w:p>
    <w:p w14:paraId="7AFB3965" w14:textId="3EAAE2B6" w:rsidR="00D44EF1" w:rsidRPr="0002250C" w:rsidRDefault="006708E0" w:rsidP="00C63DB2">
      <w:pPr>
        <w:pStyle w:val="ListParagraph"/>
        <w:numPr>
          <w:ilvl w:val="1"/>
          <w:numId w:val="4"/>
        </w:numPr>
        <w:spacing w:after="240" w:line="360" w:lineRule="auto"/>
        <w:ind w:left="1418" w:hanging="567"/>
        <w:contextualSpacing w:val="0"/>
        <w:jc w:val="both"/>
        <w:rPr>
          <w:rFonts w:ascii="Verdana" w:hAnsi="Verdana"/>
          <w:sz w:val="18"/>
          <w:szCs w:val="18"/>
        </w:rPr>
      </w:pPr>
      <w:r w:rsidRPr="0002250C">
        <w:rPr>
          <w:rFonts w:ascii="Verdana" w:hAnsi="Verdana"/>
          <w:sz w:val="18"/>
          <w:szCs w:val="18"/>
        </w:rPr>
        <w:t>a</w:t>
      </w:r>
      <w:r w:rsidR="002150CC" w:rsidRPr="0002250C">
        <w:rPr>
          <w:rFonts w:ascii="Verdana" w:hAnsi="Verdana"/>
          <w:sz w:val="18"/>
          <w:szCs w:val="18"/>
        </w:rPr>
        <w:t>s regards the challenge to</w:t>
      </w:r>
      <w:r w:rsidR="00C3221C">
        <w:rPr>
          <w:rFonts w:ascii="Verdana" w:hAnsi="Verdana"/>
          <w:sz w:val="18"/>
          <w:szCs w:val="18"/>
        </w:rPr>
        <w:t xml:space="preserve"> the guidelines made under primary legislat</w:t>
      </w:r>
      <w:r w:rsidR="002150CC" w:rsidRPr="0002250C">
        <w:rPr>
          <w:rFonts w:ascii="Verdana" w:hAnsi="Verdana"/>
          <w:sz w:val="18"/>
          <w:szCs w:val="18"/>
        </w:rPr>
        <w:t xml:space="preserve">ion, </w:t>
      </w:r>
      <w:r w:rsidR="00324388" w:rsidRPr="0002250C">
        <w:rPr>
          <w:rFonts w:ascii="Verdana" w:hAnsi="Verdana"/>
          <w:sz w:val="18"/>
          <w:szCs w:val="18"/>
        </w:rPr>
        <w:t xml:space="preserve">I will </w:t>
      </w:r>
      <w:r w:rsidR="00FC78D4" w:rsidRPr="0002250C">
        <w:rPr>
          <w:rFonts w:ascii="Verdana" w:hAnsi="Verdana"/>
          <w:sz w:val="18"/>
          <w:szCs w:val="18"/>
        </w:rPr>
        <w:t xml:space="preserve">in principle to refer the question identified to the </w:t>
      </w:r>
      <w:proofErr w:type="gramStart"/>
      <w:r w:rsidR="00FC78D4" w:rsidRPr="0002250C">
        <w:rPr>
          <w:rFonts w:ascii="Verdana" w:hAnsi="Verdana"/>
          <w:sz w:val="18"/>
          <w:szCs w:val="18"/>
        </w:rPr>
        <w:t>CJEU</w:t>
      </w:r>
      <w:r w:rsidR="00D44EF1" w:rsidRPr="0002250C">
        <w:rPr>
          <w:rFonts w:ascii="Verdana" w:hAnsi="Verdana"/>
          <w:sz w:val="18"/>
          <w:szCs w:val="18"/>
        </w:rPr>
        <w:t>;</w:t>
      </w:r>
      <w:proofErr w:type="gramEnd"/>
    </w:p>
    <w:p w14:paraId="734D1EB1" w14:textId="77777777" w:rsidR="00D44EF1" w:rsidRPr="0002250C" w:rsidRDefault="00FC78D4" w:rsidP="00C63DB2">
      <w:pPr>
        <w:pStyle w:val="ListParagraph"/>
        <w:numPr>
          <w:ilvl w:val="1"/>
          <w:numId w:val="4"/>
        </w:numPr>
        <w:spacing w:after="240" w:line="360" w:lineRule="auto"/>
        <w:ind w:left="1418" w:hanging="567"/>
        <w:contextualSpacing w:val="0"/>
        <w:jc w:val="both"/>
        <w:rPr>
          <w:rFonts w:ascii="Verdana" w:hAnsi="Verdana"/>
          <w:sz w:val="18"/>
          <w:szCs w:val="18"/>
        </w:rPr>
      </w:pPr>
      <w:r w:rsidRPr="0002250C">
        <w:rPr>
          <w:rFonts w:ascii="Verdana" w:hAnsi="Verdana"/>
          <w:sz w:val="18"/>
          <w:szCs w:val="18"/>
        </w:rPr>
        <w:t xml:space="preserve">in that regard I will require the parties to make submissions in the </w:t>
      </w:r>
      <w:r w:rsidR="00A9132C" w:rsidRPr="0002250C">
        <w:rPr>
          <w:rFonts w:ascii="Verdana" w:hAnsi="Verdana"/>
          <w:i/>
          <w:iCs/>
          <w:sz w:val="18"/>
          <w:szCs w:val="18"/>
        </w:rPr>
        <w:t xml:space="preserve">Eco Advocacy CLG v. An Bord Pleanála (No. 1) </w:t>
      </w:r>
      <w:r w:rsidR="00A9132C" w:rsidRPr="0002250C">
        <w:rPr>
          <w:rFonts w:ascii="Verdana" w:hAnsi="Verdana"/>
          <w:sz w:val="18"/>
          <w:szCs w:val="18"/>
        </w:rPr>
        <w:t>[2021] IEHC 265, [2021] 5 JIC 2704 (Unreported, High Court, 27</w:t>
      </w:r>
      <w:r w:rsidR="00A9132C" w:rsidRPr="0002250C">
        <w:rPr>
          <w:rFonts w:ascii="Verdana" w:hAnsi="Verdana"/>
          <w:sz w:val="18"/>
          <w:szCs w:val="18"/>
          <w:vertAlign w:val="superscript"/>
        </w:rPr>
        <w:t>th</w:t>
      </w:r>
      <w:r w:rsidR="00A9132C" w:rsidRPr="0002250C">
        <w:rPr>
          <w:rFonts w:ascii="Verdana" w:hAnsi="Verdana"/>
          <w:sz w:val="18"/>
          <w:szCs w:val="18"/>
        </w:rPr>
        <w:t xml:space="preserve"> </w:t>
      </w:r>
      <w:proofErr w:type="gramStart"/>
      <w:r w:rsidR="00A9132C" w:rsidRPr="0002250C">
        <w:rPr>
          <w:rFonts w:ascii="Verdana" w:hAnsi="Verdana"/>
          <w:sz w:val="18"/>
          <w:szCs w:val="18"/>
        </w:rPr>
        <w:t>May,</w:t>
      </w:r>
      <w:proofErr w:type="gramEnd"/>
      <w:r w:rsidR="00A9132C" w:rsidRPr="0002250C">
        <w:rPr>
          <w:rFonts w:ascii="Verdana" w:hAnsi="Verdana"/>
          <w:sz w:val="18"/>
          <w:szCs w:val="18"/>
        </w:rPr>
        <w:t xml:space="preserve"> 2021)</w:t>
      </w:r>
      <w:r w:rsidR="002F32B7" w:rsidRPr="0002250C">
        <w:rPr>
          <w:rFonts w:ascii="Verdana" w:hAnsi="Verdana"/>
          <w:iCs/>
          <w:sz w:val="18"/>
          <w:szCs w:val="18"/>
        </w:rPr>
        <w:t>,</w:t>
      </w:r>
      <w:r w:rsidRPr="0002250C">
        <w:rPr>
          <w:rFonts w:ascii="Verdana" w:hAnsi="Verdana"/>
          <w:i/>
          <w:sz w:val="18"/>
          <w:szCs w:val="18"/>
        </w:rPr>
        <w:t xml:space="preserve"> </w:t>
      </w:r>
      <w:r w:rsidRPr="0002250C">
        <w:rPr>
          <w:rFonts w:ascii="Verdana" w:hAnsi="Verdana"/>
          <w:sz w:val="18"/>
          <w:szCs w:val="18"/>
        </w:rPr>
        <w:t>format within the two weeks following the date of this judgment</w:t>
      </w:r>
      <w:r w:rsidR="00D44EF1" w:rsidRPr="0002250C">
        <w:rPr>
          <w:rFonts w:ascii="Verdana" w:hAnsi="Verdana"/>
          <w:sz w:val="18"/>
          <w:szCs w:val="18"/>
        </w:rPr>
        <w:t>;</w:t>
      </w:r>
    </w:p>
    <w:p w14:paraId="4B84F6E2" w14:textId="0F0BBD4B" w:rsidR="00D44EF1" w:rsidRPr="0002250C" w:rsidRDefault="00D44EF1" w:rsidP="00C63DB2">
      <w:pPr>
        <w:pStyle w:val="ListParagraph"/>
        <w:numPr>
          <w:ilvl w:val="1"/>
          <w:numId w:val="4"/>
        </w:numPr>
        <w:spacing w:after="240" w:line="360" w:lineRule="auto"/>
        <w:ind w:left="1418" w:hanging="567"/>
        <w:contextualSpacing w:val="0"/>
        <w:jc w:val="both"/>
        <w:rPr>
          <w:rFonts w:ascii="Verdana" w:hAnsi="Verdana"/>
          <w:sz w:val="18"/>
          <w:szCs w:val="18"/>
        </w:rPr>
      </w:pPr>
      <w:r w:rsidRPr="0002250C">
        <w:rPr>
          <w:rFonts w:ascii="Verdana" w:hAnsi="Verdana"/>
          <w:sz w:val="18"/>
          <w:szCs w:val="18"/>
        </w:rPr>
        <w:lastRenderedPageBreak/>
        <w:t>i</w:t>
      </w:r>
      <w:r w:rsidR="00FC78D4" w:rsidRPr="0002250C">
        <w:rPr>
          <w:rFonts w:ascii="Verdana" w:hAnsi="Verdana"/>
          <w:sz w:val="18"/>
          <w:szCs w:val="18"/>
        </w:rPr>
        <w:t>n order to accelerate th</w:t>
      </w:r>
      <w:r w:rsidRPr="0002250C">
        <w:rPr>
          <w:rFonts w:ascii="Verdana" w:hAnsi="Verdana"/>
          <w:sz w:val="18"/>
          <w:szCs w:val="18"/>
        </w:rPr>
        <w:t>at</w:t>
      </w:r>
      <w:r w:rsidR="00FC78D4" w:rsidRPr="0002250C">
        <w:rPr>
          <w:rFonts w:ascii="Verdana" w:hAnsi="Verdana"/>
          <w:sz w:val="18"/>
          <w:szCs w:val="18"/>
        </w:rPr>
        <w:t xml:space="preserve"> process, I </w:t>
      </w:r>
      <w:r w:rsidR="003E7CCA">
        <w:rPr>
          <w:rFonts w:ascii="Verdana" w:hAnsi="Verdana"/>
          <w:sz w:val="18"/>
          <w:szCs w:val="18"/>
        </w:rPr>
        <w:t>will direct</w:t>
      </w:r>
      <w:r w:rsidR="00FC78D4" w:rsidRPr="0002250C">
        <w:rPr>
          <w:rFonts w:ascii="Verdana" w:hAnsi="Verdana"/>
          <w:sz w:val="18"/>
          <w:szCs w:val="18"/>
        </w:rPr>
        <w:t xml:space="preserve"> that the submissions be simultaneous rather than sequential</w:t>
      </w:r>
      <w:r w:rsidRPr="0002250C">
        <w:rPr>
          <w:rFonts w:ascii="Verdana" w:hAnsi="Verdana"/>
          <w:sz w:val="18"/>
          <w:szCs w:val="18"/>
        </w:rPr>
        <w:t xml:space="preserve"> and </w:t>
      </w:r>
      <w:r w:rsidR="003E7CCA">
        <w:rPr>
          <w:rFonts w:ascii="Verdana" w:hAnsi="Verdana"/>
          <w:sz w:val="18"/>
          <w:szCs w:val="18"/>
        </w:rPr>
        <w:t>any of the parties, including notice parties, that wish to get involved</w:t>
      </w:r>
      <w:r w:rsidRPr="0002250C">
        <w:rPr>
          <w:rFonts w:ascii="Verdana" w:hAnsi="Verdana"/>
          <w:sz w:val="18"/>
          <w:szCs w:val="18"/>
        </w:rPr>
        <w:t xml:space="preserve"> should deliver such submissions within that two</w:t>
      </w:r>
      <w:r w:rsidR="00CB1F25">
        <w:rPr>
          <w:rFonts w:ascii="Verdana" w:hAnsi="Verdana"/>
          <w:sz w:val="18"/>
          <w:szCs w:val="18"/>
        </w:rPr>
        <w:t>-</w:t>
      </w:r>
      <w:r w:rsidRPr="0002250C">
        <w:rPr>
          <w:rFonts w:ascii="Verdana" w:hAnsi="Verdana"/>
          <w:sz w:val="18"/>
          <w:szCs w:val="18"/>
        </w:rPr>
        <w:t xml:space="preserve">week </w:t>
      </w:r>
      <w:proofErr w:type="gramStart"/>
      <w:r w:rsidRPr="0002250C">
        <w:rPr>
          <w:rFonts w:ascii="Verdana" w:hAnsi="Verdana"/>
          <w:sz w:val="18"/>
          <w:szCs w:val="18"/>
        </w:rPr>
        <w:t>period;</w:t>
      </w:r>
      <w:proofErr w:type="gramEnd"/>
    </w:p>
    <w:p w14:paraId="0F9F7B7B" w14:textId="7AAB2A1C" w:rsidR="001F053B" w:rsidRPr="00C3221C" w:rsidRDefault="00FC78D4" w:rsidP="00C63DB2">
      <w:pPr>
        <w:pStyle w:val="ListParagraph"/>
        <w:numPr>
          <w:ilvl w:val="1"/>
          <w:numId w:val="4"/>
        </w:numPr>
        <w:spacing w:after="240" w:line="360" w:lineRule="auto"/>
        <w:ind w:left="1418" w:hanging="567"/>
        <w:contextualSpacing w:val="0"/>
        <w:jc w:val="both"/>
        <w:rPr>
          <w:rFonts w:ascii="Verdana" w:hAnsi="Verdana"/>
          <w:sz w:val="18"/>
          <w:szCs w:val="18"/>
        </w:rPr>
      </w:pPr>
      <w:r w:rsidRPr="00C3221C">
        <w:rPr>
          <w:rFonts w:ascii="Verdana" w:hAnsi="Verdana"/>
          <w:sz w:val="18"/>
          <w:szCs w:val="18"/>
        </w:rPr>
        <w:t xml:space="preserve">I </w:t>
      </w:r>
      <w:r w:rsidR="00653D96" w:rsidRPr="00C3221C">
        <w:rPr>
          <w:rFonts w:ascii="Verdana" w:hAnsi="Verdana"/>
          <w:sz w:val="18"/>
          <w:szCs w:val="18"/>
        </w:rPr>
        <w:t xml:space="preserve">will </w:t>
      </w:r>
      <w:r w:rsidRPr="00C3221C">
        <w:rPr>
          <w:rFonts w:ascii="Verdana" w:hAnsi="Verdana"/>
          <w:sz w:val="18"/>
          <w:szCs w:val="18"/>
        </w:rPr>
        <w:t>list the matter for mention on</w:t>
      </w:r>
      <w:r w:rsidR="00CB14CE" w:rsidRPr="00C3221C">
        <w:rPr>
          <w:rFonts w:ascii="Verdana" w:hAnsi="Verdana"/>
          <w:sz w:val="18"/>
          <w:szCs w:val="18"/>
        </w:rPr>
        <w:t xml:space="preserve"> </w:t>
      </w:r>
      <w:r w:rsidR="003E7CCA" w:rsidRPr="00C3221C">
        <w:rPr>
          <w:rFonts w:ascii="Verdana" w:hAnsi="Verdana"/>
          <w:sz w:val="18"/>
          <w:szCs w:val="18"/>
        </w:rPr>
        <w:t>Monday 11</w:t>
      </w:r>
      <w:r w:rsidR="003E7CCA" w:rsidRPr="00C3221C">
        <w:rPr>
          <w:rFonts w:ascii="Verdana" w:hAnsi="Verdana"/>
          <w:sz w:val="18"/>
          <w:szCs w:val="18"/>
          <w:vertAlign w:val="superscript"/>
        </w:rPr>
        <w:t>th</w:t>
      </w:r>
      <w:r w:rsidR="003E7CCA" w:rsidRPr="00C3221C">
        <w:rPr>
          <w:rFonts w:ascii="Verdana" w:hAnsi="Verdana"/>
          <w:sz w:val="18"/>
          <w:szCs w:val="18"/>
        </w:rPr>
        <w:t xml:space="preserve"> </w:t>
      </w:r>
      <w:proofErr w:type="gramStart"/>
      <w:r w:rsidR="003E7CCA" w:rsidRPr="00C3221C">
        <w:rPr>
          <w:rFonts w:ascii="Verdana" w:hAnsi="Verdana"/>
          <w:sz w:val="18"/>
          <w:szCs w:val="18"/>
        </w:rPr>
        <w:t>July</w:t>
      </w:r>
      <w:r w:rsidR="00CB14CE" w:rsidRPr="00C3221C">
        <w:rPr>
          <w:rFonts w:ascii="Verdana" w:hAnsi="Verdana"/>
          <w:sz w:val="18"/>
          <w:szCs w:val="18"/>
        </w:rPr>
        <w:t>,</w:t>
      </w:r>
      <w:proofErr w:type="gramEnd"/>
      <w:r w:rsidR="00CB14CE" w:rsidRPr="00C3221C">
        <w:rPr>
          <w:rFonts w:ascii="Verdana" w:hAnsi="Verdana"/>
          <w:sz w:val="18"/>
          <w:szCs w:val="18"/>
        </w:rPr>
        <w:t xml:space="preserve"> 2022</w:t>
      </w:r>
      <w:r w:rsidRPr="00C3221C">
        <w:rPr>
          <w:rFonts w:ascii="Verdana" w:hAnsi="Verdana"/>
          <w:sz w:val="18"/>
          <w:szCs w:val="18"/>
        </w:rPr>
        <w:t xml:space="preserve"> to confirm that the submissions have been delivered</w:t>
      </w:r>
      <w:r w:rsidR="00E03516" w:rsidRPr="00C3221C">
        <w:rPr>
          <w:rFonts w:ascii="Verdana" w:hAnsi="Verdana"/>
          <w:sz w:val="18"/>
          <w:szCs w:val="18"/>
        </w:rPr>
        <w:t>.</w:t>
      </w:r>
    </w:p>
    <w:sectPr w:rsidR="001F053B" w:rsidRPr="00C3221C" w:rsidSect="009E70E8">
      <w:head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E4198" w14:textId="77777777" w:rsidR="00637738" w:rsidRDefault="00637738" w:rsidP="009E70E8">
      <w:r>
        <w:separator/>
      </w:r>
    </w:p>
  </w:endnote>
  <w:endnote w:type="continuationSeparator" w:id="0">
    <w:p w14:paraId="7CBE39F7" w14:textId="77777777" w:rsidR="00637738" w:rsidRDefault="00637738" w:rsidP="009E7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DF610" w14:textId="77777777" w:rsidR="00637738" w:rsidRDefault="00637738" w:rsidP="009E70E8">
      <w:r>
        <w:separator/>
      </w:r>
    </w:p>
  </w:footnote>
  <w:footnote w:type="continuationSeparator" w:id="0">
    <w:p w14:paraId="3D76067A" w14:textId="77777777" w:rsidR="00637738" w:rsidRDefault="00637738" w:rsidP="009E70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678318"/>
      <w:docPartObj>
        <w:docPartGallery w:val="Page Numbers (Top of Page)"/>
        <w:docPartUnique/>
      </w:docPartObj>
    </w:sdtPr>
    <w:sdtEndPr>
      <w:rPr>
        <w:noProof/>
      </w:rPr>
    </w:sdtEndPr>
    <w:sdtContent>
      <w:p w14:paraId="0218863C" w14:textId="77777777" w:rsidR="009E70E8" w:rsidRDefault="009E70E8">
        <w:pPr>
          <w:pStyle w:val="Header"/>
          <w:jc w:val="center"/>
        </w:pPr>
        <w:r>
          <w:fldChar w:fldCharType="begin"/>
        </w:r>
        <w:r>
          <w:instrText xml:space="preserve"> PAGE   \* MERGEFORMAT </w:instrText>
        </w:r>
        <w:r>
          <w:fldChar w:fldCharType="separate"/>
        </w:r>
        <w:r w:rsidR="00FC78D4">
          <w:rPr>
            <w:noProof/>
          </w:rPr>
          <w:t>5</w:t>
        </w:r>
        <w:r>
          <w:rPr>
            <w:noProof/>
          </w:rPr>
          <w:fldChar w:fldCharType="end"/>
        </w:r>
      </w:p>
    </w:sdtContent>
  </w:sdt>
  <w:p w14:paraId="01E26665" w14:textId="77777777" w:rsidR="009E70E8" w:rsidRDefault="009E70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056AD"/>
    <w:multiLevelType w:val="hybridMultilevel"/>
    <w:tmpl w:val="DD4C3FC4"/>
    <w:lvl w:ilvl="0" w:tplc="C0DA0334">
      <w:start w:val="1"/>
      <w:numFmt w:val="decimal"/>
      <w:lvlText w:val="%1."/>
      <w:lvlJc w:val="left"/>
      <w:pPr>
        <w:ind w:left="0" w:firstLine="0"/>
      </w:pPr>
      <w:rPr>
        <w:rFonts w:hint="default"/>
        <w:b w:val="0"/>
        <w:bCs/>
        <w:i w:val="0"/>
      </w:rPr>
    </w:lvl>
    <w:lvl w:ilvl="1" w:tplc="5BAC5224">
      <w:start w:val="1"/>
      <w:numFmt w:val="lowerRoman"/>
      <w:lvlText w:val="(%2)."/>
      <w:lvlJc w:val="righ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6531013"/>
    <w:multiLevelType w:val="hybridMultilevel"/>
    <w:tmpl w:val="EE668436"/>
    <w:lvl w:ilvl="0" w:tplc="040CAFC0">
      <w:start w:val="1"/>
      <w:numFmt w:val="lowerLetter"/>
      <w:lvlText w:val="(%1)"/>
      <w:lvlJc w:val="left"/>
      <w:pPr>
        <w:ind w:left="1494" w:hanging="360"/>
      </w:pPr>
      <w:rPr>
        <w:rFonts w:hint="default"/>
      </w:rPr>
    </w:lvl>
    <w:lvl w:ilvl="1" w:tplc="18090019" w:tentative="1">
      <w:start w:val="1"/>
      <w:numFmt w:val="lowerLetter"/>
      <w:lvlText w:val="%2."/>
      <w:lvlJc w:val="left"/>
      <w:pPr>
        <w:ind w:left="2214" w:hanging="360"/>
      </w:pPr>
    </w:lvl>
    <w:lvl w:ilvl="2" w:tplc="1809001B" w:tentative="1">
      <w:start w:val="1"/>
      <w:numFmt w:val="lowerRoman"/>
      <w:lvlText w:val="%3."/>
      <w:lvlJc w:val="right"/>
      <w:pPr>
        <w:ind w:left="2934" w:hanging="180"/>
      </w:pPr>
    </w:lvl>
    <w:lvl w:ilvl="3" w:tplc="1809000F" w:tentative="1">
      <w:start w:val="1"/>
      <w:numFmt w:val="decimal"/>
      <w:lvlText w:val="%4."/>
      <w:lvlJc w:val="left"/>
      <w:pPr>
        <w:ind w:left="3654" w:hanging="360"/>
      </w:pPr>
    </w:lvl>
    <w:lvl w:ilvl="4" w:tplc="18090019" w:tentative="1">
      <w:start w:val="1"/>
      <w:numFmt w:val="lowerLetter"/>
      <w:lvlText w:val="%5."/>
      <w:lvlJc w:val="left"/>
      <w:pPr>
        <w:ind w:left="4374" w:hanging="360"/>
      </w:pPr>
    </w:lvl>
    <w:lvl w:ilvl="5" w:tplc="1809001B" w:tentative="1">
      <w:start w:val="1"/>
      <w:numFmt w:val="lowerRoman"/>
      <w:lvlText w:val="%6."/>
      <w:lvlJc w:val="right"/>
      <w:pPr>
        <w:ind w:left="5094" w:hanging="180"/>
      </w:pPr>
    </w:lvl>
    <w:lvl w:ilvl="6" w:tplc="1809000F" w:tentative="1">
      <w:start w:val="1"/>
      <w:numFmt w:val="decimal"/>
      <w:lvlText w:val="%7."/>
      <w:lvlJc w:val="left"/>
      <w:pPr>
        <w:ind w:left="5814" w:hanging="360"/>
      </w:pPr>
    </w:lvl>
    <w:lvl w:ilvl="7" w:tplc="18090019" w:tentative="1">
      <w:start w:val="1"/>
      <w:numFmt w:val="lowerLetter"/>
      <w:lvlText w:val="%8."/>
      <w:lvlJc w:val="left"/>
      <w:pPr>
        <w:ind w:left="6534" w:hanging="360"/>
      </w:pPr>
    </w:lvl>
    <w:lvl w:ilvl="8" w:tplc="1809001B" w:tentative="1">
      <w:start w:val="1"/>
      <w:numFmt w:val="lowerRoman"/>
      <w:lvlText w:val="%9."/>
      <w:lvlJc w:val="right"/>
      <w:pPr>
        <w:ind w:left="7254" w:hanging="180"/>
      </w:pPr>
    </w:lvl>
  </w:abstractNum>
  <w:abstractNum w:abstractNumId="2" w15:restartNumberingAfterBreak="0">
    <w:nsid w:val="28417824"/>
    <w:multiLevelType w:val="hybridMultilevel"/>
    <w:tmpl w:val="75AE1190"/>
    <w:lvl w:ilvl="0" w:tplc="FA2CF3B2">
      <w:start w:val="1"/>
      <w:numFmt w:val="decimal"/>
      <w:lvlText w:val="%1."/>
      <w:lvlJc w:val="left"/>
      <w:pPr>
        <w:ind w:left="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80447B"/>
    <w:multiLevelType w:val="hybridMultilevel"/>
    <w:tmpl w:val="ABF44B2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E744580"/>
    <w:multiLevelType w:val="hybridMultilevel"/>
    <w:tmpl w:val="064CF73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1570548"/>
    <w:multiLevelType w:val="hybridMultilevel"/>
    <w:tmpl w:val="9504636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61A83085"/>
    <w:multiLevelType w:val="hybridMultilevel"/>
    <w:tmpl w:val="054CB4C0"/>
    <w:lvl w:ilvl="0" w:tplc="65F04572">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7" w15:restartNumberingAfterBreak="0">
    <w:nsid w:val="65FE0E23"/>
    <w:multiLevelType w:val="hybridMultilevel"/>
    <w:tmpl w:val="BB8EAEE2"/>
    <w:lvl w:ilvl="0" w:tplc="3772949E">
      <w:start w:val="1"/>
      <w:numFmt w:val="decimal"/>
      <w:lvlText w:val="%1."/>
      <w:lvlJc w:val="left"/>
      <w:pPr>
        <w:ind w:left="360" w:hanging="360"/>
      </w:pPr>
      <w:rPr>
        <w:b/>
      </w:rPr>
    </w:lvl>
    <w:lvl w:ilvl="1" w:tplc="8744D90A">
      <w:start w:val="1"/>
      <w:numFmt w:val="lowerLetter"/>
      <w:lvlText w:val="(%2)."/>
      <w:lvlJc w:val="right"/>
      <w:pPr>
        <w:ind w:left="1080" w:hanging="360"/>
      </w:pPr>
      <w:rPr>
        <w:rFonts w:hint="default"/>
        <w:caps w:val="0"/>
        <w:smallCaps w:val="0"/>
        <w:strike w:val="0"/>
        <w:dstrike w:val="0"/>
        <w:outline w:val="0"/>
        <w:emboss w:val="0"/>
        <w:imprint w:val="0"/>
        <w:spacing w:val="0"/>
        <w:w w:val="100"/>
        <w:kern w:val="0"/>
        <w:position w:val="0"/>
        <w:vertAlign w:val="baseline"/>
      </w:rPr>
    </w:lvl>
    <w:lvl w:ilvl="2" w:tplc="5BAC5224">
      <w:start w:val="1"/>
      <w:numFmt w:val="lowerRoman"/>
      <w:lvlText w:val="(%3)."/>
      <w:lvlJc w:val="right"/>
      <w:pPr>
        <w:ind w:left="1800" w:hanging="180"/>
      </w:pPr>
      <w:rPr>
        <w:rFonts w:hint="default"/>
      </w:r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8" w15:restartNumberingAfterBreak="0">
    <w:nsid w:val="6A6F75D8"/>
    <w:multiLevelType w:val="hybridMultilevel"/>
    <w:tmpl w:val="7054D79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6B7776C0"/>
    <w:multiLevelType w:val="hybridMultilevel"/>
    <w:tmpl w:val="F884A050"/>
    <w:lvl w:ilvl="0" w:tplc="1BA00FC6">
      <w:start w:val="1"/>
      <w:numFmt w:val="lowerRoman"/>
      <w:lvlText w:val="(%1)."/>
      <w:lvlJc w:val="righ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6D5B04F2"/>
    <w:multiLevelType w:val="hybridMultilevel"/>
    <w:tmpl w:val="CBA27A2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1" w15:restartNumberingAfterBreak="0">
    <w:nsid w:val="717D1888"/>
    <w:multiLevelType w:val="hybridMultilevel"/>
    <w:tmpl w:val="9280E5E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7BCC0A85"/>
    <w:multiLevelType w:val="hybridMultilevel"/>
    <w:tmpl w:val="7A80EA1C"/>
    <w:lvl w:ilvl="0" w:tplc="F748345C">
      <w:start w:val="1"/>
      <w:numFmt w:val="decimal"/>
      <w:lvlText w:val="%1."/>
      <w:lvlJc w:val="left"/>
      <w:pPr>
        <w:tabs>
          <w:tab w:val="num" w:pos="720"/>
        </w:tabs>
        <w:ind w:left="720" w:hanging="360"/>
      </w:pPr>
      <w:rPr>
        <w:b/>
      </w:rPr>
    </w:lvl>
    <w:lvl w:ilvl="1" w:tplc="18090019">
      <w:start w:val="1"/>
      <w:numFmt w:val="lowerLetter"/>
      <w:lvlText w:val="%2."/>
      <w:lvlJc w:val="left"/>
      <w:pPr>
        <w:tabs>
          <w:tab w:val="num" w:pos="1440"/>
        </w:tabs>
        <w:ind w:left="1440" w:hanging="360"/>
      </w:pPr>
    </w:lvl>
    <w:lvl w:ilvl="2" w:tplc="1809001B">
      <w:start w:val="1"/>
      <w:numFmt w:val="lowerRoman"/>
      <w:lvlText w:val="%3."/>
      <w:lvlJc w:val="right"/>
      <w:pPr>
        <w:tabs>
          <w:tab w:val="num" w:pos="2160"/>
        </w:tabs>
        <w:ind w:left="2160" w:hanging="180"/>
      </w:pPr>
    </w:lvl>
    <w:lvl w:ilvl="3" w:tplc="1809000F">
      <w:start w:val="1"/>
      <w:numFmt w:val="decimal"/>
      <w:lvlText w:val="%4."/>
      <w:lvlJc w:val="left"/>
      <w:pPr>
        <w:tabs>
          <w:tab w:val="num" w:pos="2880"/>
        </w:tabs>
        <w:ind w:left="2880" w:hanging="360"/>
      </w:pPr>
    </w:lvl>
    <w:lvl w:ilvl="4" w:tplc="18090019">
      <w:start w:val="1"/>
      <w:numFmt w:val="lowerLetter"/>
      <w:lvlText w:val="%5."/>
      <w:lvlJc w:val="left"/>
      <w:pPr>
        <w:tabs>
          <w:tab w:val="num" w:pos="3600"/>
        </w:tabs>
        <w:ind w:left="3600" w:hanging="360"/>
      </w:pPr>
    </w:lvl>
    <w:lvl w:ilvl="5" w:tplc="1809001B">
      <w:start w:val="1"/>
      <w:numFmt w:val="lowerRoman"/>
      <w:lvlText w:val="%6."/>
      <w:lvlJc w:val="right"/>
      <w:pPr>
        <w:tabs>
          <w:tab w:val="num" w:pos="4320"/>
        </w:tabs>
        <w:ind w:left="4320" w:hanging="180"/>
      </w:pPr>
    </w:lvl>
    <w:lvl w:ilvl="6" w:tplc="1809000F">
      <w:start w:val="1"/>
      <w:numFmt w:val="decimal"/>
      <w:lvlText w:val="%7."/>
      <w:lvlJc w:val="left"/>
      <w:pPr>
        <w:tabs>
          <w:tab w:val="num" w:pos="5040"/>
        </w:tabs>
        <w:ind w:left="5040" w:hanging="360"/>
      </w:pPr>
    </w:lvl>
    <w:lvl w:ilvl="7" w:tplc="18090019">
      <w:start w:val="1"/>
      <w:numFmt w:val="lowerLetter"/>
      <w:lvlText w:val="%8."/>
      <w:lvlJc w:val="left"/>
      <w:pPr>
        <w:tabs>
          <w:tab w:val="num" w:pos="5760"/>
        </w:tabs>
        <w:ind w:left="5760" w:hanging="360"/>
      </w:pPr>
    </w:lvl>
    <w:lvl w:ilvl="8" w:tplc="1809001B">
      <w:start w:val="1"/>
      <w:numFmt w:val="lowerRoman"/>
      <w:lvlText w:val="%9."/>
      <w:lvlJc w:val="right"/>
      <w:pPr>
        <w:tabs>
          <w:tab w:val="num" w:pos="6480"/>
        </w:tabs>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2"/>
  </w:num>
  <w:num w:numId="4">
    <w:abstractNumId w:val="0"/>
  </w:num>
  <w:num w:numId="5">
    <w:abstractNumId w:val="10"/>
  </w:num>
  <w:num w:numId="6">
    <w:abstractNumId w:val="4"/>
  </w:num>
  <w:num w:numId="7">
    <w:abstractNumId w:val="6"/>
  </w:num>
  <w:num w:numId="8">
    <w:abstractNumId w:val="8"/>
  </w:num>
  <w:num w:numId="9">
    <w:abstractNumId w:val="5"/>
  </w:num>
  <w:num w:numId="10">
    <w:abstractNumId w:val="3"/>
  </w:num>
  <w:num w:numId="11">
    <w:abstractNumId w:val="11"/>
  </w:num>
  <w:num w:numId="12">
    <w:abstractNumId w:val="1"/>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382"/>
    <w:rsid w:val="0002250C"/>
    <w:rsid w:val="00032B4A"/>
    <w:rsid w:val="000353ED"/>
    <w:rsid w:val="000407FF"/>
    <w:rsid w:val="00050996"/>
    <w:rsid w:val="000655E0"/>
    <w:rsid w:val="000724DB"/>
    <w:rsid w:val="000848E5"/>
    <w:rsid w:val="000A4843"/>
    <w:rsid w:val="000A6CCA"/>
    <w:rsid w:val="000E4641"/>
    <w:rsid w:val="000F0787"/>
    <w:rsid w:val="00113BD3"/>
    <w:rsid w:val="001206D9"/>
    <w:rsid w:val="00142C0F"/>
    <w:rsid w:val="00160BB1"/>
    <w:rsid w:val="00165CC9"/>
    <w:rsid w:val="00166E8A"/>
    <w:rsid w:val="001A39AB"/>
    <w:rsid w:val="001B3B66"/>
    <w:rsid w:val="001B6531"/>
    <w:rsid w:val="001C6AFA"/>
    <w:rsid w:val="001D0BB5"/>
    <w:rsid w:val="001D75F9"/>
    <w:rsid w:val="001F053B"/>
    <w:rsid w:val="001F7AD2"/>
    <w:rsid w:val="002150CC"/>
    <w:rsid w:val="00223F6F"/>
    <w:rsid w:val="002342D3"/>
    <w:rsid w:val="00241B30"/>
    <w:rsid w:val="002551CA"/>
    <w:rsid w:val="002758D9"/>
    <w:rsid w:val="002B4B27"/>
    <w:rsid w:val="002C3278"/>
    <w:rsid w:val="002E41CE"/>
    <w:rsid w:val="002F32B7"/>
    <w:rsid w:val="002F6E8A"/>
    <w:rsid w:val="00305B45"/>
    <w:rsid w:val="0031693D"/>
    <w:rsid w:val="00324388"/>
    <w:rsid w:val="00324EB1"/>
    <w:rsid w:val="00327717"/>
    <w:rsid w:val="00332F49"/>
    <w:rsid w:val="00350BE0"/>
    <w:rsid w:val="00364AA6"/>
    <w:rsid w:val="00367256"/>
    <w:rsid w:val="00377B63"/>
    <w:rsid w:val="003847D3"/>
    <w:rsid w:val="003D1CA2"/>
    <w:rsid w:val="003E7CCA"/>
    <w:rsid w:val="00400244"/>
    <w:rsid w:val="00425302"/>
    <w:rsid w:val="0042578F"/>
    <w:rsid w:val="00452F5D"/>
    <w:rsid w:val="0047288B"/>
    <w:rsid w:val="004A2BF8"/>
    <w:rsid w:val="004C6E00"/>
    <w:rsid w:val="004F1DA2"/>
    <w:rsid w:val="0051132C"/>
    <w:rsid w:val="00514A19"/>
    <w:rsid w:val="0051536A"/>
    <w:rsid w:val="00522252"/>
    <w:rsid w:val="00522BDA"/>
    <w:rsid w:val="0055268D"/>
    <w:rsid w:val="00562079"/>
    <w:rsid w:val="0057354B"/>
    <w:rsid w:val="00580D75"/>
    <w:rsid w:val="00584FD1"/>
    <w:rsid w:val="005966F9"/>
    <w:rsid w:val="005A466E"/>
    <w:rsid w:val="005C2407"/>
    <w:rsid w:val="005C2495"/>
    <w:rsid w:val="005F061D"/>
    <w:rsid w:val="00637738"/>
    <w:rsid w:val="0064552C"/>
    <w:rsid w:val="00646E82"/>
    <w:rsid w:val="006518CB"/>
    <w:rsid w:val="00653D96"/>
    <w:rsid w:val="006552E8"/>
    <w:rsid w:val="00667451"/>
    <w:rsid w:val="006708E0"/>
    <w:rsid w:val="006773CC"/>
    <w:rsid w:val="006A14D7"/>
    <w:rsid w:val="006A1E2C"/>
    <w:rsid w:val="006C15BA"/>
    <w:rsid w:val="006D669E"/>
    <w:rsid w:val="006F6796"/>
    <w:rsid w:val="00721F9E"/>
    <w:rsid w:val="00732C7B"/>
    <w:rsid w:val="007818CC"/>
    <w:rsid w:val="00783C6C"/>
    <w:rsid w:val="00791163"/>
    <w:rsid w:val="00795A3A"/>
    <w:rsid w:val="007B66CA"/>
    <w:rsid w:val="007C5DDB"/>
    <w:rsid w:val="007D1F28"/>
    <w:rsid w:val="007F1903"/>
    <w:rsid w:val="007F2CA2"/>
    <w:rsid w:val="00830B93"/>
    <w:rsid w:val="00832819"/>
    <w:rsid w:val="008524E4"/>
    <w:rsid w:val="008605C1"/>
    <w:rsid w:val="00861D73"/>
    <w:rsid w:val="0087255C"/>
    <w:rsid w:val="0087460C"/>
    <w:rsid w:val="00886BCA"/>
    <w:rsid w:val="00887E76"/>
    <w:rsid w:val="008A7C28"/>
    <w:rsid w:val="008B582D"/>
    <w:rsid w:val="008C31AE"/>
    <w:rsid w:val="008C36A3"/>
    <w:rsid w:val="008D770F"/>
    <w:rsid w:val="008E0E99"/>
    <w:rsid w:val="008F4DA6"/>
    <w:rsid w:val="009012BC"/>
    <w:rsid w:val="009101B9"/>
    <w:rsid w:val="00921813"/>
    <w:rsid w:val="00921FD3"/>
    <w:rsid w:val="00922FAF"/>
    <w:rsid w:val="00923800"/>
    <w:rsid w:val="009350F4"/>
    <w:rsid w:val="00936034"/>
    <w:rsid w:val="00946286"/>
    <w:rsid w:val="00962B69"/>
    <w:rsid w:val="009874F9"/>
    <w:rsid w:val="009B2771"/>
    <w:rsid w:val="009D2382"/>
    <w:rsid w:val="009D7B2C"/>
    <w:rsid w:val="009E4B9E"/>
    <w:rsid w:val="009E70E8"/>
    <w:rsid w:val="00A1746C"/>
    <w:rsid w:val="00A61802"/>
    <w:rsid w:val="00A9132C"/>
    <w:rsid w:val="00AA694F"/>
    <w:rsid w:val="00AC0FD5"/>
    <w:rsid w:val="00AD33AB"/>
    <w:rsid w:val="00AF15CA"/>
    <w:rsid w:val="00B01B1E"/>
    <w:rsid w:val="00B066B2"/>
    <w:rsid w:val="00B20F66"/>
    <w:rsid w:val="00B25737"/>
    <w:rsid w:val="00B34D3C"/>
    <w:rsid w:val="00B37200"/>
    <w:rsid w:val="00B44B94"/>
    <w:rsid w:val="00B465B6"/>
    <w:rsid w:val="00B57CA2"/>
    <w:rsid w:val="00B602C1"/>
    <w:rsid w:val="00B62F9A"/>
    <w:rsid w:val="00B67EF6"/>
    <w:rsid w:val="00B719D9"/>
    <w:rsid w:val="00B86717"/>
    <w:rsid w:val="00B87201"/>
    <w:rsid w:val="00BC3243"/>
    <w:rsid w:val="00BD4DD7"/>
    <w:rsid w:val="00BD6F43"/>
    <w:rsid w:val="00C02605"/>
    <w:rsid w:val="00C04DAB"/>
    <w:rsid w:val="00C11B2F"/>
    <w:rsid w:val="00C1615C"/>
    <w:rsid w:val="00C1676E"/>
    <w:rsid w:val="00C312B3"/>
    <w:rsid w:val="00C3221C"/>
    <w:rsid w:val="00C47D03"/>
    <w:rsid w:val="00C56437"/>
    <w:rsid w:val="00C63DB2"/>
    <w:rsid w:val="00C71430"/>
    <w:rsid w:val="00C85956"/>
    <w:rsid w:val="00C92C63"/>
    <w:rsid w:val="00CA5BAB"/>
    <w:rsid w:val="00CB14CE"/>
    <w:rsid w:val="00CB1F25"/>
    <w:rsid w:val="00CB3A2B"/>
    <w:rsid w:val="00CB4D17"/>
    <w:rsid w:val="00CC5F1B"/>
    <w:rsid w:val="00CF64FE"/>
    <w:rsid w:val="00D113EF"/>
    <w:rsid w:val="00D12E12"/>
    <w:rsid w:val="00D3084A"/>
    <w:rsid w:val="00D329AF"/>
    <w:rsid w:val="00D410A2"/>
    <w:rsid w:val="00D44EF1"/>
    <w:rsid w:val="00D72027"/>
    <w:rsid w:val="00DA4287"/>
    <w:rsid w:val="00DC343F"/>
    <w:rsid w:val="00DC4CA4"/>
    <w:rsid w:val="00DD4843"/>
    <w:rsid w:val="00DD7EF4"/>
    <w:rsid w:val="00DE6E96"/>
    <w:rsid w:val="00E03516"/>
    <w:rsid w:val="00E04972"/>
    <w:rsid w:val="00E07ED9"/>
    <w:rsid w:val="00E26E2F"/>
    <w:rsid w:val="00E34BF5"/>
    <w:rsid w:val="00E67A4E"/>
    <w:rsid w:val="00E67DC6"/>
    <w:rsid w:val="00E738F2"/>
    <w:rsid w:val="00E862F6"/>
    <w:rsid w:val="00E95001"/>
    <w:rsid w:val="00E960F2"/>
    <w:rsid w:val="00E97605"/>
    <w:rsid w:val="00EA33EB"/>
    <w:rsid w:val="00EA4015"/>
    <w:rsid w:val="00EA4AA2"/>
    <w:rsid w:val="00EC6D12"/>
    <w:rsid w:val="00EE4D1E"/>
    <w:rsid w:val="00EE520E"/>
    <w:rsid w:val="00EF3877"/>
    <w:rsid w:val="00F15616"/>
    <w:rsid w:val="00F26878"/>
    <w:rsid w:val="00F65248"/>
    <w:rsid w:val="00F67B43"/>
    <w:rsid w:val="00F77AB3"/>
    <w:rsid w:val="00F92615"/>
    <w:rsid w:val="00FC0D09"/>
    <w:rsid w:val="00FC78D4"/>
    <w:rsid w:val="00FE2D7E"/>
    <w:rsid w:val="00FF31D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E1BB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382"/>
    <w:pPr>
      <w:spacing w:after="0" w:line="240" w:lineRule="auto"/>
    </w:pPr>
    <w:rPr>
      <w:rFonts w:ascii="Times New Roman" w:eastAsia="Times New Roman" w:hAnsi="Times New Roman" w:cs="Times New Roman"/>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0E8"/>
    <w:pPr>
      <w:tabs>
        <w:tab w:val="center" w:pos="4513"/>
        <w:tab w:val="right" w:pos="9026"/>
      </w:tabs>
    </w:pPr>
  </w:style>
  <w:style w:type="character" w:customStyle="1" w:styleId="HeaderChar">
    <w:name w:val="Header Char"/>
    <w:basedOn w:val="DefaultParagraphFont"/>
    <w:link w:val="Header"/>
    <w:uiPriority w:val="99"/>
    <w:rsid w:val="009E70E8"/>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9E70E8"/>
    <w:pPr>
      <w:tabs>
        <w:tab w:val="center" w:pos="4513"/>
        <w:tab w:val="right" w:pos="9026"/>
      </w:tabs>
    </w:pPr>
  </w:style>
  <w:style w:type="character" w:customStyle="1" w:styleId="FooterChar">
    <w:name w:val="Footer Char"/>
    <w:basedOn w:val="DefaultParagraphFont"/>
    <w:link w:val="Footer"/>
    <w:uiPriority w:val="99"/>
    <w:rsid w:val="009E70E8"/>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7F1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95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3380</Words>
  <Characters>19267</Characters>
  <Application>Microsoft Office Word</Application>
  <DocSecurity>4</DocSecurity>
  <Lines>160</Lines>
  <Paragraphs>45</Paragraphs>
  <ScaleCrop>false</ScaleCrop>
  <Company/>
  <LinksUpToDate>false</LinksUpToDate>
  <CharactersWithSpaces>22602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2022-06-22T12:03:00Z</dcterms:created>
  <dcterms:modified xsi:type="dcterms:W3CDTF">2022-06-22T12:03:00Z</dcterms:modified>
</cp:coreProperties>
</file>