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CDD1D" w14:textId="77777777" w:rsidR="00D92310" w:rsidRDefault="00D92310" w:rsidP="00D92310">
      <w:pP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THE HIGH COURT</w:t>
      </w:r>
    </w:p>
    <w:p w14:paraId="57AB802B" w14:textId="77777777" w:rsidR="00D92310" w:rsidRPr="007D38E3" w:rsidRDefault="00D92310" w:rsidP="00D92310">
      <w:pPr>
        <w:spacing w:after="0" w:line="240" w:lineRule="auto"/>
        <w:jc w:val="center"/>
        <w:rPr>
          <w:rFonts w:ascii="Times New Roman" w:eastAsia="Times New Roman" w:hAnsi="Times New Roman" w:cs="Times New Roman"/>
          <w:b/>
          <w:sz w:val="24"/>
          <w:szCs w:val="24"/>
        </w:rPr>
      </w:pPr>
    </w:p>
    <w:p w14:paraId="6960DB45" w14:textId="610AB4B3" w:rsidR="00D92310" w:rsidRPr="007D38E3" w:rsidRDefault="00DF7079" w:rsidP="00DF7079">
      <w:pPr>
        <w:spacing w:after="0"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[2022] IEHC 386</w:t>
      </w:r>
      <w:r w:rsidR="00E63F3C">
        <w:rPr>
          <w:rFonts w:ascii="Times New Roman" w:eastAsia="Times New Roman" w:hAnsi="Times New Roman" w:cs="Times New Roman"/>
          <w:b/>
          <w:sz w:val="24"/>
          <w:szCs w:val="24"/>
        </w:rPr>
        <w:t xml:space="preserve">                                               </w:t>
      </w:r>
      <w:r w:rsidR="00D9231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D92310">
        <w:rPr>
          <w:rFonts w:ascii="Times New Roman" w:eastAsia="Times New Roman" w:hAnsi="Times New Roman" w:cs="Times New Roman"/>
          <w:b/>
          <w:sz w:val="24"/>
          <w:szCs w:val="24"/>
        </w:rPr>
        <w:t xml:space="preserve"> </w:t>
      </w:r>
      <w:proofErr w:type="gramStart"/>
      <w:r w:rsidR="00D9231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proofErr w:type="gramEnd"/>
      <w:r w:rsidR="009341D6">
        <w:rPr>
          <w:rFonts w:ascii="Times New Roman" w:eastAsia="Times New Roman" w:hAnsi="Times New Roman" w:cs="Times New Roman"/>
          <w:b/>
          <w:sz w:val="24"/>
          <w:szCs w:val="24"/>
        </w:rPr>
        <w:t>Record No. 2016/3315P</w:t>
      </w:r>
      <w:r w:rsidR="00D92310" w:rsidRPr="007D38E3">
        <w:rPr>
          <w:rFonts w:ascii="Times New Roman" w:eastAsia="Times New Roman" w:hAnsi="Times New Roman" w:cs="Times New Roman"/>
          <w:b/>
          <w:sz w:val="24"/>
          <w:szCs w:val="24"/>
        </w:rPr>
        <w:t>]</w:t>
      </w:r>
    </w:p>
    <w:p w14:paraId="43C8C440" w14:textId="77777777" w:rsidR="00D92310" w:rsidRPr="007D38E3" w:rsidRDefault="00D92310" w:rsidP="00D92310">
      <w:pPr>
        <w:spacing w:after="0" w:line="360" w:lineRule="auto"/>
        <w:rPr>
          <w:rFonts w:ascii="Times New Roman" w:eastAsia="Times New Roman" w:hAnsi="Times New Roman" w:cs="Times New Roman"/>
          <w:b/>
          <w:sz w:val="24"/>
          <w:szCs w:val="24"/>
        </w:rPr>
      </w:pPr>
      <w:r w:rsidRPr="007D38E3">
        <w:rPr>
          <w:rFonts w:ascii="Times New Roman" w:eastAsia="Times New Roman" w:hAnsi="Times New Roman" w:cs="Times New Roman"/>
          <w:b/>
          <w:sz w:val="24"/>
          <w:szCs w:val="24"/>
        </w:rPr>
        <w:t>BETWEEN:</w:t>
      </w:r>
    </w:p>
    <w:p w14:paraId="081DB175" w14:textId="77777777" w:rsidR="00D92310" w:rsidRPr="007D38E3" w:rsidRDefault="00D92310" w:rsidP="00D9231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SANDRA DONOGHUE</w:t>
      </w:r>
    </w:p>
    <w:p w14:paraId="762D7FB0" w14:textId="77777777" w:rsidR="00D92310" w:rsidRDefault="00D92310" w:rsidP="00D9231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PLAINTIFF</w:t>
      </w:r>
    </w:p>
    <w:p w14:paraId="4A8866E4" w14:textId="77777777" w:rsidR="00D92310" w:rsidRDefault="00D92310" w:rsidP="00D92310">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AND</w:t>
      </w:r>
    </w:p>
    <w:p w14:paraId="6DE01EA7" w14:textId="77777777" w:rsidR="00D92310" w:rsidRDefault="00D92310" w:rsidP="00D92310">
      <w:pPr>
        <w:spacing w:after="0" w:line="360" w:lineRule="auto"/>
        <w:jc w:val="center"/>
        <w:rPr>
          <w:rFonts w:ascii="Times New Roman" w:eastAsia="Times New Roman" w:hAnsi="Times New Roman" w:cs="Times New Roman"/>
          <w:b/>
          <w:sz w:val="24"/>
          <w:szCs w:val="24"/>
        </w:rPr>
      </w:pPr>
    </w:p>
    <w:p w14:paraId="4A04E71A" w14:textId="77777777" w:rsidR="00D92310" w:rsidRPr="007D38E3" w:rsidRDefault="00D92310" w:rsidP="00D92310">
      <w:pPr>
        <w:spacing w:after="0" w:line="360" w:lineRule="auto"/>
        <w:jc w:val="center"/>
        <w:rPr>
          <w:rFonts w:ascii="Times New Roman" w:eastAsia="Times New Roman" w:hAnsi="Times New Roman" w:cs="Times New Roman"/>
          <w:color w:val="FF0000"/>
          <w:sz w:val="24"/>
          <w:szCs w:val="24"/>
        </w:rPr>
      </w:pPr>
      <w:r>
        <w:rPr>
          <w:rFonts w:ascii="Times New Roman" w:eastAsia="Times New Roman" w:hAnsi="Times New Roman" w:cs="Times New Roman"/>
          <w:b/>
          <w:sz w:val="24"/>
          <w:szCs w:val="24"/>
        </w:rPr>
        <w:t>GERARD CONNOLLY</w:t>
      </w:r>
    </w:p>
    <w:p w14:paraId="3922A2CB" w14:textId="77777777" w:rsidR="00D92310" w:rsidRPr="007D38E3" w:rsidRDefault="00D92310" w:rsidP="00D92310">
      <w:pPr>
        <w:spacing w:after="0" w:line="360" w:lineRule="auto"/>
        <w:jc w:val="right"/>
        <w:rPr>
          <w:rFonts w:ascii="Times New Roman" w:eastAsia="Times New Roman" w:hAnsi="Times New Roman" w:cs="Times New Roman"/>
          <w:b/>
          <w:sz w:val="24"/>
          <w:szCs w:val="24"/>
        </w:rPr>
      </w:pPr>
      <w:r>
        <w:rPr>
          <w:rFonts w:ascii="Times New Roman" w:eastAsia="Times New Roman" w:hAnsi="Times New Roman" w:cs="Times New Roman"/>
          <w:b/>
          <w:sz w:val="24"/>
          <w:szCs w:val="24"/>
        </w:rPr>
        <w:t>DEFENDANT</w:t>
      </w:r>
    </w:p>
    <w:p w14:paraId="00CC1121" w14:textId="77777777" w:rsidR="00D92310" w:rsidRPr="007D38E3" w:rsidRDefault="00D92310" w:rsidP="00D92310">
      <w:pPr>
        <w:spacing w:after="0" w:line="360" w:lineRule="auto"/>
        <w:jc w:val="center"/>
        <w:rPr>
          <w:rFonts w:ascii="Times New Roman" w:eastAsia="Times New Roman" w:hAnsi="Times New Roman" w:cs="Times New Roman"/>
          <w:b/>
          <w:sz w:val="24"/>
          <w:szCs w:val="24"/>
        </w:rPr>
      </w:pPr>
    </w:p>
    <w:p w14:paraId="2FB9C820" w14:textId="77777777" w:rsidR="00D92310" w:rsidRDefault="00D92310" w:rsidP="00D92310">
      <w:pPr>
        <w:spacing w:line="480" w:lineRule="auto"/>
        <w:jc w:val="both"/>
        <w:rPr>
          <w:rFonts w:ascii="Palatino Linotype" w:eastAsia="Times New Roman" w:hAnsi="Palatino Linotype" w:cs="Times New Roman"/>
          <w:b/>
          <w:sz w:val="24"/>
          <w:szCs w:val="24"/>
          <w:u w:val="single"/>
          <w:lang w:eastAsia="en-IE"/>
        </w:rPr>
      </w:pPr>
      <w:r w:rsidRPr="00545140">
        <w:rPr>
          <w:rFonts w:ascii="Palatino Linotype" w:eastAsia="Times New Roman" w:hAnsi="Palatino Linotype" w:cs="Times New Roman"/>
          <w:b/>
          <w:sz w:val="24"/>
          <w:szCs w:val="24"/>
          <w:u w:val="single"/>
          <w:lang w:eastAsia="en-IE"/>
        </w:rPr>
        <w:t>Judgment of Ms. Justice Mary Rose Gearty delivered on the</w:t>
      </w:r>
      <w:r>
        <w:rPr>
          <w:rFonts w:ascii="Palatino Linotype" w:eastAsia="Times New Roman" w:hAnsi="Palatino Linotype" w:cs="Times New Roman"/>
          <w:b/>
          <w:sz w:val="24"/>
          <w:szCs w:val="24"/>
          <w:u w:val="single"/>
          <w:lang w:eastAsia="en-IE"/>
        </w:rPr>
        <w:t xml:space="preserve"> 16</w:t>
      </w:r>
      <w:r w:rsidRPr="00D92310">
        <w:rPr>
          <w:rFonts w:ascii="Palatino Linotype" w:eastAsia="Times New Roman" w:hAnsi="Palatino Linotype" w:cs="Times New Roman"/>
          <w:b/>
          <w:sz w:val="24"/>
          <w:szCs w:val="24"/>
          <w:u w:val="single"/>
          <w:lang w:eastAsia="en-IE"/>
        </w:rPr>
        <w:t>th</w:t>
      </w:r>
      <w:r>
        <w:rPr>
          <w:rFonts w:ascii="Palatino Linotype" w:eastAsia="Times New Roman" w:hAnsi="Palatino Linotype" w:cs="Times New Roman"/>
          <w:b/>
          <w:sz w:val="24"/>
          <w:szCs w:val="24"/>
          <w:u w:val="single"/>
          <w:lang w:eastAsia="en-IE"/>
        </w:rPr>
        <w:t xml:space="preserve"> day of </w:t>
      </w:r>
      <w:proofErr w:type="gramStart"/>
      <w:r>
        <w:rPr>
          <w:rFonts w:ascii="Palatino Linotype" w:eastAsia="Times New Roman" w:hAnsi="Palatino Linotype" w:cs="Times New Roman"/>
          <w:b/>
          <w:sz w:val="24"/>
          <w:szCs w:val="24"/>
          <w:u w:val="single"/>
          <w:lang w:eastAsia="en-IE"/>
        </w:rPr>
        <w:t>June,</w:t>
      </w:r>
      <w:proofErr w:type="gramEnd"/>
      <w:r>
        <w:rPr>
          <w:rFonts w:ascii="Palatino Linotype" w:eastAsia="Times New Roman" w:hAnsi="Palatino Linotype" w:cs="Times New Roman"/>
          <w:b/>
          <w:sz w:val="24"/>
          <w:szCs w:val="24"/>
          <w:u w:val="single"/>
          <w:lang w:eastAsia="en-IE"/>
        </w:rPr>
        <w:t xml:space="preserve"> 2022</w:t>
      </w:r>
    </w:p>
    <w:p w14:paraId="053F42C1" w14:textId="6553E699" w:rsidR="003E6DB1" w:rsidRPr="00C75505" w:rsidRDefault="0028098E" w:rsidP="0028098E">
      <w:pPr>
        <w:spacing w:line="480" w:lineRule="auto"/>
        <w:jc w:val="both"/>
        <w:rPr>
          <w:rFonts w:ascii="Palatino Linotype" w:eastAsia="Times New Roman" w:hAnsi="Palatino Linotype" w:cs="Times New Roman"/>
          <w:b/>
          <w:sz w:val="24"/>
          <w:szCs w:val="24"/>
          <w:lang w:eastAsia="en-IE"/>
        </w:rPr>
      </w:pPr>
      <w:r w:rsidRPr="00C75505">
        <w:rPr>
          <w:rFonts w:ascii="Palatino Linotype" w:hAnsi="Palatino Linotype"/>
          <w:b/>
        </w:rPr>
        <w:t xml:space="preserve">1. </w:t>
      </w:r>
      <w:r w:rsidR="004C4E5A">
        <w:rPr>
          <w:rFonts w:ascii="Palatino Linotype" w:hAnsi="Palatino Linotype"/>
          <w:b/>
        </w:rPr>
        <w:t xml:space="preserve"> </w:t>
      </w:r>
      <w:r w:rsidR="003E6DB1" w:rsidRPr="00C75505">
        <w:rPr>
          <w:rFonts w:ascii="Palatino Linotype" w:hAnsi="Palatino Linotype"/>
          <w:b/>
        </w:rPr>
        <w:t>Introduction</w:t>
      </w:r>
    </w:p>
    <w:p w14:paraId="66F09DE5" w14:textId="1C071E20" w:rsidR="00C84E7E" w:rsidRDefault="0028098E" w:rsidP="0028098E">
      <w:pPr>
        <w:spacing w:line="480" w:lineRule="auto"/>
        <w:jc w:val="both"/>
        <w:rPr>
          <w:rFonts w:ascii="Palatino Linotype" w:hAnsi="Palatino Linotype"/>
        </w:rPr>
      </w:pPr>
      <w:r>
        <w:rPr>
          <w:rFonts w:ascii="Palatino Linotype" w:hAnsi="Palatino Linotype"/>
        </w:rPr>
        <w:t>1.1</w:t>
      </w:r>
      <w:r>
        <w:rPr>
          <w:rFonts w:ascii="Palatino Linotype" w:hAnsi="Palatino Linotype"/>
        </w:rPr>
        <w:tab/>
      </w:r>
      <w:r w:rsidR="003E6DB1">
        <w:rPr>
          <w:rFonts w:ascii="Palatino Linotype" w:hAnsi="Palatino Linotype"/>
        </w:rPr>
        <w:t xml:space="preserve">This Plaintiff </w:t>
      </w:r>
      <w:r w:rsidR="00AC48BF">
        <w:rPr>
          <w:rFonts w:ascii="Palatino Linotype" w:hAnsi="Palatino Linotype"/>
        </w:rPr>
        <w:t xml:space="preserve">alleges that she was sexually abused by the Defendant, her uncle. She </w:t>
      </w:r>
      <w:r w:rsidR="005551D6">
        <w:rPr>
          <w:rFonts w:ascii="Palatino Linotype" w:hAnsi="Palatino Linotype"/>
        </w:rPr>
        <w:t>claims damages for</w:t>
      </w:r>
      <w:r w:rsidR="00AC48BF">
        <w:rPr>
          <w:rFonts w:ascii="Palatino Linotype" w:hAnsi="Palatino Linotype"/>
        </w:rPr>
        <w:t xml:space="preserve"> frequent </w:t>
      </w:r>
      <w:r w:rsidR="00C84E7E">
        <w:rPr>
          <w:rFonts w:ascii="Palatino Linotype" w:hAnsi="Palatino Linotype"/>
        </w:rPr>
        <w:t xml:space="preserve">acts of </w:t>
      </w:r>
      <w:r w:rsidR="00E05FC4">
        <w:rPr>
          <w:rFonts w:ascii="Palatino Linotype" w:hAnsi="Palatino Linotype"/>
        </w:rPr>
        <w:t xml:space="preserve">indecent </w:t>
      </w:r>
      <w:r w:rsidR="00C84E7E">
        <w:rPr>
          <w:rFonts w:ascii="Palatino Linotype" w:hAnsi="Palatino Linotype"/>
        </w:rPr>
        <w:t xml:space="preserve">assault carried out </w:t>
      </w:r>
      <w:r w:rsidR="008C7C54">
        <w:rPr>
          <w:rFonts w:ascii="Palatino Linotype" w:hAnsi="Palatino Linotype"/>
        </w:rPr>
        <w:t xml:space="preserve">at her grandfather’s home </w:t>
      </w:r>
      <w:r w:rsidR="00C84E7E">
        <w:rPr>
          <w:rFonts w:ascii="Palatino Linotype" w:hAnsi="Palatino Linotype"/>
        </w:rPr>
        <w:t>when she was between 5 and 15 years of age, in the 1970’s and 80’s. The Plaintiff</w:t>
      </w:r>
      <w:r w:rsidR="00AC48BF">
        <w:rPr>
          <w:rFonts w:ascii="Palatino Linotype" w:hAnsi="Palatino Linotype"/>
        </w:rPr>
        <w:t xml:space="preserve"> </w:t>
      </w:r>
      <w:r w:rsidR="005551D6">
        <w:rPr>
          <w:rFonts w:ascii="Palatino Linotype" w:hAnsi="Palatino Linotype"/>
        </w:rPr>
        <w:t>claims that</w:t>
      </w:r>
      <w:r w:rsidR="00C84E7E">
        <w:rPr>
          <w:rFonts w:ascii="Palatino Linotype" w:hAnsi="Palatino Linotype"/>
        </w:rPr>
        <w:t xml:space="preserve"> </w:t>
      </w:r>
      <w:r w:rsidR="005551D6">
        <w:rPr>
          <w:rFonts w:ascii="Palatino Linotype" w:hAnsi="Palatino Linotype"/>
        </w:rPr>
        <w:t xml:space="preserve">she suffered </w:t>
      </w:r>
      <w:r w:rsidR="008C7C54">
        <w:rPr>
          <w:rFonts w:ascii="Palatino Linotype" w:hAnsi="Palatino Linotype"/>
        </w:rPr>
        <w:t>from</w:t>
      </w:r>
      <w:r w:rsidR="00C84E7E">
        <w:rPr>
          <w:rFonts w:ascii="Palatino Linotype" w:hAnsi="Palatino Linotype"/>
        </w:rPr>
        <w:t xml:space="preserve"> </w:t>
      </w:r>
      <w:r w:rsidR="008C7C54">
        <w:rPr>
          <w:rFonts w:ascii="Palatino Linotype" w:hAnsi="Palatino Linotype"/>
        </w:rPr>
        <w:t xml:space="preserve">depression, up to and including suicidal ideation, ongoing </w:t>
      </w:r>
      <w:proofErr w:type="gramStart"/>
      <w:r w:rsidR="008C7C54">
        <w:rPr>
          <w:rFonts w:ascii="Palatino Linotype" w:hAnsi="Palatino Linotype"/>
        </w:rPr>
        <w:t>anxiety</w:t>
      </w:r>
      <w:proofErr w:type="gramEnd"/>
      <w:r w:rsidR="008C7C54">
        <w:rPr>
          <w:rFonts w:ascii="Palatino Linotype" w:hAnsi="Palatino Linotype"/>
        </w:rPr>
        <w:t xml:space="preserve"> </w:t>
      </w:r>
      <w:r w:rsidR="00C84E7E">
        <w:rPr>
          <w:rFonts w:ascii="Palatino Linotype" w:hAnsi="Palatino Linotype"/>
        </w:rPr>
        <w:t>and</w:t>
      </w:r>
      <w:r w:rsidR="005551D6">
        <w:rPr>
          <w:rFonts w:ascii="Palatino Linotype" w:hAnsi="Palatino Linotype"/>
        </w:rPr>
        <w:t xml:space="preserve"> the</w:t>
      </w:r>
      <w:r w:rsidR="008C7C54">
        <w:rPr>
          <w:rFonts w:ascii="Palatino Linotype" w:hAnsi="Palatino Linotype"/>
        </w:rPr>
        <w:t xml:space="preserve"> </w:t>
      </w:r>
      <w:r w:rsidR="005551D6">
        <w:rPr>
          <w:rFonts w:ascii="Palatino Linotype" w:hAnsi="Palatino Linotype"/>
        </w:rPr>
        <w:t>aggravation of a debilitating bowel condition</w:t>
      </w:r>
      <w:r w:rsidR="00C84E7E">
        <w:rPr>
          <w:rFonts w:ascii="Palatino Linotype" w:hAnsi="Palatino Linotype"/>
        </w:rPr>
        <w:t xml:space="preserve"> </w:t>
      </w:r>
      <w:r w:rsidR="005551D6">
        <w:rPr>
          <w:rFonts w:ascii="Palatino Linotype" w:hAnsi="Palatino Linotype"/>
        </w:rPr>
        <w:t>as a result</w:t>
      </w:r>
      <w:r w:rsidR="00C84E7E">
        <w:rPr>
          <w:rFonts w:ascii="Palatino Linotype" w:hAnsi="Palatino Linotype"/>
        </w:rPr>
        <w:t xml:space="preserve"> </w:t>
      </w:r>
      <w:r w:rsidR="005551D6">
        <w:rPr>
          <w:rFonts w:ascii="Palatino Linotype" w:hAnsi="Palatino Linotype"/>
        </w:rPr>
        <w:t>of</w:t>
      </w:r>
      <w:r w:rsidR="00C84E7E">
        <w:rPr>
          <w:rFonts w:ascii="Palatino Linotype" w:hAnsi="Palatino Linotype"/>
        </w:rPr>
        <w:t xml:space="preserve"> th</w:t>
      </w:r>
      <w:r w:rsidR="005551D6">
        <w:rPr>
          <w:rFonts w:ascii="Palatino Linotype" w:hAnsi="Palatino Linotype"/>
        </w:rPr>
        <w:t>e</w:t>
      </w:r>
      <w:r w:rsidR="00C84E7E">
        <w:rPr>
          <w:rFonts w:ascii="Palatino Linotype" w:hAnsi="Palatino Linotype"/>
        </w:rPr>
        <w:t xml:space="preserve"> abuse</w:t>
      </w:r>
      <w:r w:rsidR="003E6DB1">
        <w:rPr>
          <w:rFonts w:ascii="Palatino Linotype" w:hAnsi="Palatino Linotype"/>
        </w:rPr>
        <w:t xml:space="preserve">. </w:t>
      </w:r>
      <w:r w:rsidR="005551D6">
        <w:rPr>
          <w:rFonts w:ascii="Palatino Linotype" w:hAnsi="Palatino Linotype"/>
        </w:rPr>
        <w:t xml:space="preserve">Effectively, she says, her childhood was taken from </w:t>
      </w:r>
      <w:proofErr w:type="gramStart"/>
      <w:r w:rsidR="005551D6">
        <w:rPr>
          <w:rFonts w:ascii="Palatino Linotype" w:hAnsi="Palatino Linotype"/>
        </w:rPr>
        <w:t>her</w:t>
      </w:r>
      <w:proofErr w:type="gramEnd"/>
      <w:r w:rsidR="005551D6">
        <w:rPr>
          <w:rFonts w:ascii="Palatino Linotype" w:hAnsi="Palatino Linotype"/>
        </w:rPr>
        <w:t xml:space="preserve"> and she dissociated herself from the</w:t>
      </w:r>
      <w:r w:rsidR="008C7C54">
        <w:rPr>
          <w:rFonts w:ascii="Palatino Linotype" w:hAnsi="Palatino Linotype"/>
        </w:rPr>
        <w:t xml:space="preserve"> little</w:t>
      </w:r>
      <w:r w:rsidR="005551D6">
        <w:rPr>
          <w:rFonts w:ascii="Palatino Linotype" w:hAnsi="Palatino Linotype"/>
        </w:rPr>
        <w:t xml:space="preserve"> girl she was, in order to protect herself.  She still takes anti-anxiety medication to cope with her low mood.</w:t>
      </w:r>
    </w:p>
    <w:p w14:paraId="37E65018" w14:textId="53B0E9FC" w:rsidR="003E6DB1" w:rsidRDefault="0028098E" w:rsidP="0028098E">
      <w:pPr>
        <w:spacing w:line="480" w:lineRule="auto"/>
        <w:jc w:val="both"/>
        <w:rPr>
          <w:rFonts w:ascii="Palatino Linotype" w:hAnsi="Palatino Linotype"/>
        </w:rPr>
      </w:pPr>
      <w:r>
        <w:rPr>
          <w:rFonts w:ascii="Palatino Linotype" w:hAnsi="Palatino Linotype"/>
        </w:rPr>
        <w:t>1.2</w:t>
      </w:r>
      <w:r>
        <w:rPr>
          <w:rFonts w:ascii="Palatino Linotype" w:hAnsi="Palatino Linotype"/>
        </w:rPr>
        <w:tab/>
      </w:r>
      <w:r w:rsidR="00C84E7E" w:rsidRPr="00C84E7E">
        <w:rPr>
          <w:rFonts w:ascii="Palatino Linotype" w:hAnsi="Palatino Linotype"/>
        </w:rPr>
        <w:t>The Defendant represented himself at the hearing</w:t>
      </w:r>
      <w:r w:rsidR="00C84E7E">
        <w:rPr>
          <w:rFonts w:ascii="Palatino Linotype" w:hAnsi="Palatino Linotype"/>
        </w:rPr>
        <w:t>. He</w:t>
      </w:r>
      <w:r w:rsidR="00E550CC" w:rsidRPr="003E6DB1">
        <w:rPr>
          <w:rFonts w:ascii="Palatino Linotype" w:hAnsi="Palatino Linotype"/>
        </w:rPr>
        <w:t xml:space="preserve"> claim</w:t>
      </w:r>
      <w:r w:rsidR="003E6DB1">
        <w:rPr>
          <w:rFonts w:ascii="Palatino Linotype" w:hAnsi="Palatino Linotype"/>
        </w:rPr>
        <w:t>ed that the action was</w:t>
      </w:r>
      <w:r w:rsidR="00E550CC" w:rsidRPr="003E6DB1">
        <w:rPr>
          <w:rFonts w:ascii="Palatino Linotype" w:hAnsi="Palatino Linotype"/>
        </w:rPr>
        <w:t xml:space="preserve"> statute</w:t>
      </w:r>
      <w:r w:rsidR="005551D6">
        <w:rPr>
          <w:rFonts w:ascii="Palatino Linotype" w:hAnsi="Palatino Linotype"/>
        </w:rPr>
        <w:t>-</w:t>
      </w:r>
      <w:r w:rsidR="00E550CC" w:rsidRPr="003E6DB1">
        <w:rPr>
          <w:rFonts w:ascii="Palatino Linotype" w:hAnsi="Palatino Linotype"/>
        </w:rPr>
        <w:t xml:space="preserve">barred </w:t>
      </w:r>
      <w:r w:rsidR="003E6DB1">
        <w:rPr>
          <w:rFonts w:ascii="Palatino Linotype" w:hAnsi="Palatino Linotype"/>
        </w:rPr>
        <w:t xml:space="preserve">as the case did not commence until many years after the last alleged assault.  The Defendant denied the allegations and, while his denials were not specifically put to the Plaintiff in evidence, it was clear from the </w:t>
      </w:r>
      <w:r w:rsidR="008C7C54">
        <w:rPr>
          <w:rFonts w:ascii="Palatino Linotype" w:hAnsi="Palatino Linotype"/>
        </w:rPr>
        <w:t>defence filed and the conduct</w:t>
      </w:r>
      <w:r w:rsidR="003E6DB1">
        <w:rPr>
          <w:rFonts w:ascii="Palatino Linotype" w:hAnsi="Palatino Linotype"/>
        </w:rPr>
        <w:t xml:space="preserve"> of the case that no assault was admitted.</w:t>
      </w:r>
      <w:r w:rsidR="005551D6">
        <w:rPr>
          <w:rFonts w:ascii="Palatino Linotype" w:hAnsi="Palatino Linotype"/>
        </w:rPr>
        <w:t xml:space="preserve">  He did not give evidence in the proceedings, nor did he call witnesses.</w:t>
      </w:r>
    </w:p>
    <w:p w14:paraId="531642EF" w14:textId="4F9E3DED" w:rsidR="008C7C54" w:rsidRDefault="0028098E" w:rsidP="0028098E">
      <w:pPr>
        <w:spacing w:line="480" w:lineRule="auto"/>
        <w:jc w:val="both"/>
        <w:rPr>
          <w:rFonts w:ascii="Palatino Linotype" w:hAnsi="Palatino Linotype"/>
        </w:rPr>
      </w:pPr>
      <w:r>
        <w:rPr>
          <w:rFonts w:ascii="Palatino Linotype" w:hAnsi="Palatino Linotype"/>
        </w:rPr>
        <w:lastRenderedPageBreak/>
        <w:t>1.3</w:t>
      </w:r>
      <w:r>
        <w:rPr>
          <w:rFonts w:ascii="Palatino Linotype" w:hAnsi="Palatino Linotype"/>
        </w:rPr>
        <w:tab/>
      </w:r>
      <w:r w:rsidR="00A76E9F">
        <w:rPr>
          <w:rFonts w:ascii="Palatino Linotype" w:hAnsi="Palatino Linotype"/>
        </w:rPr>
        <w:t>In separate criminal proceedings, t</w:t>
      </w:r>
      <w:r w:rsidR="003E6DB1">
        <w:rPr>
          <w:rFonts w:ascii="Palatino Linotype" w:hAnsi="Palatino Linotype"/>
        </w:rPr>
        <w:t xml:space="preserve">he Defendant was convicted by a jury of several counts of </w:t>
      </w:r>
      <w:r w:rsidR="008C7C54">
        <w:rPr>
          <w:rFonts w:ascii="Palatino Linotype" w:hAnsi="Palatino Linotype"/>
        </w:rPr>
        <w:t>indecent</w:t>
      </w:r>
      <w:r w:rsidR="003E6DB1">
        <w:rPr>
          <w:rFonts w:ascii="Palatino Linotype" w:hAnsi="Palatino Linotype"/>
        </w:rPr>
        <w:t xml:space="preserve"> assault in respect of this Plaintiff</w:t>
      </w:r>
      <w:r w:rsidR="00A76E9F">
        <w:rPr>
          <w:rFonts w:ascii="Palatino Linotype" w:hAnsi="Palatino Linotype"/>
        </w:rPr>
        <w:t>. That</w:t>
      </w:r>
      <w:r w:rsidR="003E6DB1">
        <w:rPr>
          <w:rFonts w:ascii="Palatino Linotype" w:hAnsi="Palatino Linotype"/>
        </w:rPr>
        <w:t xml:space="preserve"> trial took place in 2015</w:t>
      </w:r>
      <w:r w:rsidR="008C7C54">
        <w:rPr>
          <w:rFonts w:ascii="Palatino Linotype" w:hAnsi="Palatino Linotype"/>
        </w:rPr>
        <w:t xml:space="preserve"> and th</w:t>
      </w:r>
      <w:r w:rsidR="003E6DB1">
        <w:rPr>
          <w:rFonts w:ascii="Palatino Linotype" w:hAnsi="Palatino Linotype"/>
        </w:rPr>
        <w:t>e convictions were upheld</w:t>
      </w:r>
      <w:r w:rsidR="00A76E9F">
        <w:rPr>
          <w:rFonts w:ascii="Palatino Linotype" w:hAnsi="Palatino Linotype"/>
        </w:rPr>
        <w:t xml:space="preserve"> by the Court of Appeal</w:t>
      </w:r>
      <w:r w:rsidR="003E6DB1">
        <w:rPr>
          <w:rFonts w:ascii="Palatino Linotype" w:hAnsi="Palatino Linotype"/>
        </w:rPr>
        <w:t xml:space="preserve"> in 2017. The convictions were in respect of events for one year of the period complained of, when the Plaintiff was 5 years</w:t>
      </w:r>
      <w:r w:rsidR="00CE17E8">
        <w:rPr>
          <w:rFonts w:ascii="Palatino Linotype" w:hAnsi="Palatino Linotype"/>
        </w:rPr>
        <w:t xml:space="preserve"> old</w:t>
      </w:r>
      <w:r w:rsidR="003E6DB1">
        <w:rPr>
          <w:rFonts w:ascii="Palatino Linotype" w:hAnsi="Palatino Linotype"/>
        </w:rPr>
        <w:t>.</w:t>
      </w:r>
    </w:p>
    <w:p w14:paraId="79F5C745" w14:textId="0E152506" w:rsidR="003E6DB1" w:rsidRPr="00C75505" w:rsidRDefault="0028098E" w:rsidP="0028098E">
      <w:pPr>
        <w:spacing w:line="480" w:lineRule="auto"/>
        <w:jc w:val="both"/>
        <w:rPr>
          <w:rFonts w:ascii="Palatino Linotype" w:hAnsi="Palatino Linotype"/>
          <w:b/>
        </w:rPr>
      </w:pPr>
      <w:r w:rsidRPr="00C75505">
        <w:rPr>
          <w:rFonts w:ascii="Palatino Linotype" w:hAnsi="Palatino Linotype"/>
          <w:b/>
        </w:rPr>
        <w:t xml:space="preserve">2. </w:t>
      </w:r>
      <w:r w:rsidR="004C4E5A">
        <w:rPr>
          <w:rFonts w:ascii="Palatino Linotype" w:hAnsi="Palatino Linotype"/>
          <w:b/>
        </w:rPr>
        <w:t xml:space="preserve"> </w:t>
      </w:r>
      <w:r w:rsidR="00A76E9F" w:rsidRPr="00C75505">
        <w:rPr>
          <w:rFonts w:ascii="Palatino Linotype" w:hAnsi="Palatino Linotype"/>
          <w:b/>
        </w:rPr>
        <w:t>Procedural</w:t>
      </w:r>
      <w:r w:rsidR="00C0709E">
        <w:rPr>
          <w:rFonts w:ascii="Palatino Linotype" w:hAnsi="Palatino Linotype"/>
          <w:b/>
        </w:rPr>
        <w:t xml:space="preserve"> History</w:t>
      </w:r>
      <w:r w:rsidR="00A76E9F" w:rsidRPr="00C75505">
        <w:rPr>
          <w:rFonts w:ascii="Palatino Linotype" w:hAnsi="Palatino Linotype"/>
          <w:b/>
        </w:rPr>
        <w:t>:</w:t>
      </w:r>
      <w:r w:rsidR="00C0709E">
        <w:rPr>
          <w:rFonts w:ascii="Palatino Linotype" w:hAnsi="Palatino Linotype"/>
          <w:b/>
        </w:rPr>
        <w:t xml:space="preserve"> </w:t>
      </w:r>
      <w:r w:rsidR="00A76E9F" w:rsidRPr="00C75505">
        <w:rPr>
          <w:rFonts w:ascii="Palatino Linotype" w:hAnsi="Palatino Linotype"/>
          <w:b/>
        </w:rPr>
        <w:t>The Adjournment Applications</w:t>
      </w:r>
      <w:r w:rsidR="00C0709E">
        <w:rPr>
          <w:rFonts w:ascii="Palatino Linotype" w:hAnsi="Palatino Linotype"/>
          <w:b/>
        </w:rPr>
        <w:t xml:space="preserve"> and the Right to a Lawyer</w:t>
      </w:r>
    </w:p>
    <w:p w14:paraId="51790192" w14:textId="7545DB2A" w:rsidR="00C0709E" w:rsidRDefault="0028098E" w:rsidP="0028098E">
      <w:pPr>
        <w:spacing w:line="480" w:lineRule="auto"/>
        <w:jc w:val="both"/>
        <w:rPr>
          <w:rFonts w:ascii="Palatino Linotype" w:hAnsi="Palatino Linotype"/>
          <w:bCs/>
        </w:rPr>
      </w:pPr>
      <w:r>
        <w:rPr>
          <w:rFonts w:ascii="Palatino Linotype" w:hAnsi="Palatino Linotype"/>
          <w:bCs/>
        </w:rPr>
        <w:t>2.1</w:t>
      </w:r>
      <w:r>
        <w:rPr>
          <w:rFonts w:ascii="Palatino Linotype" w:hAnsi="Palatino Linotype"/>
          <w:bCs/>
        </w:rPr>
        <w:tab/>
      </w:r>
      <w:r w:rsidR="00C0709E">
        <w:rPr>
          <w:rFonts w:ascii="Palatino Linotype" w:hAnsi="Palatino Linotype"/>
          <w:bCs/>
        </w:rPr>
        <w:t>This case was listed for hearing in February, but the defence solicitors came off record on the hearing date.  The Defendant asked for time within which to instruct other lawyers.  As the case continued before he could do so, it is important to set out the history of events</w:t>
      </w:r>
      <w:r w:rsidR="00270686">
        <w:rPr>
          <w:rFonts w:ascii="Palatino Linotype" w:hAnsi="Palatino Linotype"/>
          <w:bCs/>
        </w:rPr>
        <w:t>,</w:t>
      </w:r>
      <w:r w:rsidR="00C0709E">
        <w:rPr>
          <w:rFonts w:ascii="Palatino Linotype" w:hAnsi="Palatino Linotype"/>
          <w:bCs/>
        </w:rPr>
        <w:t xml:space="preserve"> which explain</w:t>
      </w:r>
      <w:r w:rsidR="007A6C71">
        <w:rPr>
          <w:rFonts w:ascii="Palatino Linotype" w:hAnsi="Palatino Linotype"/>
          <w:bCs/>
        </w:rPr>
        <w:t>s</w:t>
      </w:r>
      <w:r w:rsidR="00C0709E">
        <w:rPr>
          <w:rFonts w:ascii="Palatino Linotype" w:hAnsi="Palatino Linotype"/>
          <w:bCs/>
        </w:rPr>
        <w:t xml:space="preserve"> how this arose. </w:t>
      </w:r>
    </w:p>
    <w:p w14:paraId="763F0237" w14:textId="662D075A" w:rsidR="00C0709E" w:rsidRDefault="00C0709E" w:rsidP="0028098E">
      <w:pPr>
        <w:spacing w:line="480" w:lineRule="auto"/>
        <w:jc w:val="both"/>
        <w:rPr>
          <w:rFonts w:ascii="Palatino Linotype" w:hAnsi="Palatino Linotype"/>
          <w:bCs/>
        </w:rPr>
      </w:pPr>
      <w:r>
        <w:rPr>
          <w:rFonts w:ascii="Palatino Linotype" w:hAnsi="Palatino Linotype"/>
          <w:bCs/>
        </w:rPr>
        <w:t>2.2</w:t>
      </w:r>
      <w:r>
        <w:rPr>
          <w:rFonts w:ascii="Palatino Linotype" w:hAnsi="Palatino Linotype"/>
          <w:bCs/>
        </w:rPr>
        <w:tab/>
      </w:r>
      <w:r w:rsidR="003F22C9">
        <w:rPr>
          <w:rFonts w:ascii="Palatino Linotype" w:hAnsi="Palatino Linotype"/>
          <w:bCs/>
        </w:rPr>
        <w:t>The Personal Injury Summons is dated the 15</w:t>
      </w:r>
      <w:r w:rsidR="00010BFB">
        <w:rPr>
          <w:rFonts w:ascii="Palatino Linotype" w:hAnsi="Palatino Linotype"/>
          <w:bCs/>
        </w:rPr>
        <w:t>th</w:t>
      </w:r>
      <w:r w:rsidR="003F22C9">
        <w:rPr>
          <w:rFonts w:ascii="Palatino Linotype" w:hAnsi="Palatino Linotype"/>
          <w:bCs/>
        </w:rPr>
        <w:t xml:space="preserve"> of </w:t>
      </w:r>
      <w:proofErr w:type="gramStart"/>
      <w:r w:rsidR="003F22C9">
        <w:rPr>
          <w:rFonts w:ascii="Palatino Linotype" w:hAnsi="Palatino Linotype"/>
          <w:bCs/>
        </w:rPr>
        <w:t>April,</w:t>
      </w:r>
      <w:proofErr w:type="gramEnd"/>
      <w:r w:rsidR="003F22C9">
        <w:rPr>
          <w:rFonts w:ascii="Palatino Linotype" w:hAnsi="Palatino Linotype"/>
          <w:bCs/>
        </w:rPr>
        <w:t xml:space="preserve"> 2016. Pleadings were exchanged and a full defence filed in 2017.</w:t>
      </w:r>
      <w:r w:rsidR="009341D6">
        <w:rPr>
          <w:rFonts w:ascii="Palatino Linotype" w:hAnsi="Palatino Linotype"/>
          <w:bCs/>
        </w:rPr>
        <w:t xml:space="preserve"> </w:t>
      </w:r>
      <w:r w:rsidR="007D118F">
        <w:rPr>
          <w:rFonts w:ascii="Palatino Linotype" w:hAnsi="Palatino Linotype"/>
          <w:bCs/>
        </w:rPr>
        <w:t xml:space="preserve"> </w:t>
      </w:r>
      <w:r w:rsidR="003F22C9">
        <w:rPr>
          <w:rFonts w:ascii="Palatino Linotype" w:hAnsi="Palatino Linotype"/>
          <w:bCs/>
        </w:rPr>
        <w:t xml:space="preserve">Notices of Intention to Proceed were served on the Defendant in </w:t>
      </w:r>
      <w:proofErr w:type="gramStart"/>
      <w:r w:rsidR="003F22C9">
        <w:rPr>
          <w:rFonts w:ascii="Palatino Linotype" w:hAnsi="Palatino Linotype"/>
          <w:bCs/>
        </w:rPr>
        <w:t>March</w:t>
      </w:r>
      <w:r w:rsidR="00010BFB">
        <w:rPr>
          <w:rFonts w:ascii="Palatino Linotype" w:hAnsi="Palatino Linotype"/>
          <w:bCs/>
        </w:rPr>
        <w:t>,</w:t>
      </w:r>
      <w:proofErr w:type="gramEnd"/>
      <w:r w:rsidR="003F22C9">
        <w:rPr>
          <w:rFonts w:ascii="Palatino Linotype" w:hAnsi="Palatino Linotype"/>
          <w:bCs/>
        </w:rPr>
        <w:t xml:space="preserve"> 2019 and in September</w:t>
      </w:r>
      <w:r w:rsidR="00010BFB">
        <w:rPr>
          <w:rFonts w:ascii="Palatino Linotype" w:hAnsi="Palatino Linotype"/>
          <w:bCs/>
        </w:rPr>
        <w:t>,</w:t>
      </w:r>
      <w:r w:rsidR="003F22C9">
        <w:rPr>
          <w:rFonts w:ascii="Palatino Linotype" w:hAnsi="Palatino Linotype"/>
          <w:bCs/>
        </w:rPr>
        <w:t xml:space="preserve"> 2020. </w:t>
      </w:r>
      <w:r w:rsidR="007D118F">
        <w:rPr>
          <w:rFonts w:ascii="Palatino Linotype" w:hAnsi="Palatino Linotype"/>
          <w:bCs/>
        </w:rPr>
        <w:t xml:space="preserve"> The </w:t>
      </w:r>
      <w:r w:rsidR="003F22C9">
        <w:rPr>
          <w:rFonts w:ascii="Palatino Linotype" w:hAnsi="Palatino Linotype"/>
          <w:bCs/>
        </w:rPr>
        <w:t xml:space="preserve">Notice of Trial was dated the </w:t>
      </w:r>
      <w:r w:rsidR="00010BFB">
        <w:rPr>
          <w:rFonts w:ascii="Palatino Linotype" w:hAnsi="Palatino Linotype"/>
          <w:bCs/>
        </w:rPr>
        <w:t>16</w:t>
      </w:r>
      <w:r w:rsidR="00010BFB" w:rsidRPr="00010BFB">
        <w:rPr>
          <w:rFonts w:ascii="Palatino Linotype" w:hAnsi="Palatino Linotype"/>
          <w:bCs/>
        </w:rPr>
        <w:t>th</w:t>
      </w:r>
      <w:r w:rsidR="00010BFB">
        <w:rPr>
          <w:rFonts w:ascii="Palatino Linotype" w:hAnsi="Palatino Linotype"/>
          <w:bCs/>
        </w:rPr>
        <w:t xml:space="preserve"> </w:t>
      </w:r>
      <w:r w:rsidR="003F22C9">
        <w:rPr>
          <w:rFonts w:ascii="Palatino Linotype" w:hAnsi="Palatino Linotype"/>
          <w:bCs/>
        </w:rPr>
        <w:t xml:space="preserve">of </w:t>
      </w:r>
      <w:proofErr w:type="gramStart"/>
      <w:r w:rsidR="003F22C9">
        <w:rPr>
          <w:rFonts w:ascii="Palatino Linotype" w:hAnsi="Palatino Linotype"/>
          <w:bCs/>
        </w:rPr>
        <w:t>April,</w:t>
      </w:r>
      <w:proofErr w:type="gramEnd"/>
      <w:r w:rsidR="003F22C9">
        <w:rPr>
          <w:rFonts w:ascii="Palatino Linotype" w:hAnsi="Palatino Linotype"/>
          <w:bCs/>
        </w:rPr>
        <w:t xml:space="preserve"> 2019</w:t>
      </w:r>
      <w:r w:rsidR="009D6DF1">
        <w:rPr>
          <w:rFonts w:ascii="Palatino Linotype" w:hAnsi="Palatino Linotype"/>
          <w:bCs/>
        </w:rPr>
        <w:t xml:space="preserve"> and the case was given a hearing date: the </w:t>
      </w:r>
      <w:r w:rsidR="00010BFB">
        <w:rPr>
          <w:rFonts w:ascii="Palatino Linotype" w:hAnsi="Palatino Linotype"/>
          <w:bCs/>
        </w:rPr>
        <w:t>9</w:t>
      </w:r>
      <w:r w:rsidR="00010BFB" w:rsidRPr="00010BFB">
        <w:rPr>
          <w:rFonts w:ascii="Palatino Linotype" w:hAnsi="Palatino Linotype"/>
          <w:bCs/>
        </w:rPr>
        <w:t>th</w:t>
      </w:r>
      <w:r w:rsidR="00010BFB">
        <w:rPr>
          <w:rFonts w:ascii="Palatino Linotype" w:hAnsi="Palatino Linotype"/>
          <w:bCs/>
        </w:rPr>
        <w:t xml:space="preserve"> </w:t>
      </w:r>
      <w:r w:rsidR="009D6DF1">
        <w:rPr>
          <w:rFonts w:ascii="Palatino Linotype" w:hAnsi="Palatino Linotype"/>
          <w:bCs/>
        </w:rPr>
        <w:t>of February, 2022</w:t>
      </w:r>
      <w:r w:rsidR="003F22C9">
        <w:rPr>
          <w:rFonts w:ascii="Palatino Linotype" w:hAnsi="Palatino Linotype"/>
          <w:bCs/>
        </w:rPr>
        <w:t xml:space="preserve">. </w:t>
      </w:r>
      <w:r w:rsidR="005551D6">
        <w:rPr>
          <w:rFonts w:ascii="Palatino Linotype" w:hAnsi="Palatino Linotype"/>
          <w:bCs/>
        </w:rPr>
        <w:t xml:space="preserve">There were, therefore, clear indications of an impending trial date from early 2019. </w:t>
      </w:r>
    </w:p>
    <w:p w14:paraId="64EA9EBF" w14:textId="34D71D14" w:rsidR="00A10E7A" w:rsidRDefault="00C0709E" w:rsidP="0028098E">
      <w:pPr>
        <w:spacing w:line="480" w:lineRule="auto"/>
        <w:jc w:val="both"/>
        <w:rPr>
          <w:rFonts w:ascii="Palatino Linotype" w:hAnsi="Palatino Linotype"/>
          <w:bCs/>
        </w:rPr>
      </w:pPr>
      <w:r>
        <w:rPr>
          <w:rFonts w:ascii="Palatino Linotype" w:hAnsi="Palatino Linotype"/>
          <w:bCs/>
        </w:rPr>
        <w:t>2.3</w:t>
      </w:r>
      <w:r>
        <w:rPr>
          <w:rFonts w:ascii="Palatino Linotype" w:hAnsi="Palatino Linotype"/>
          <w:bCs/>
        </w:rPr>
        <w:tab/>
        <w:t>The</w:t>
      </w:r>
      <w:r w:rsidR="003F22C9">
        <w:rPr>
          <w:rFonts w:ascii="Palatino Linotype" w:hAnsi="Palatino Linotype"/>
          <w:bCs/>
        </w:rPr>
        <w:t xml:space="preserve"> </w:t>
      </w:r>
      <w:r w:rsidR="009D6DF1">
        <w:rPr>
          <w:rFonts w:ascii="Palatino Linotype" w:hAnsi="Palatino Linotype"/>
          <w:bCs/>
        </w:rPr>
        <w:t>m</w:t>
      </w:r>
      <w:r w:rsidR="003F22C9">
        <w:rPr>
          <w:rFonts w:ascii="Palatino Linotype" w:hAnsi="Palatino Linotype"/>
          <w:bCs/>
        </w:rPr>
        <w:t>otion</w:t>
      </w:r>
      <w:r w:rsidR="009D6DF1">
        <w:rPr>
          <w:rFonts w:ascii="Palatino Linotype" w:hAnsi="Palatino Linotype"/>
          <w:bCs/>
        </w:rPr>
        <w:t xml:space="preserve"> to come off record</w:t>
      </w:r>
      <w:r w:rsidR="003F22C9">
        <w:rPr>
          <w:rFonts w:ascii="Palatino Linotype" w:hAnsi="Palatino Linotype"/>
          <w:bCs/>
        </w:rPr>
        <w:t xml:space="preserve">, filed by the Defendant’s legal team, was listed </w:t>
      </w:r>
      <w:r w:rsidR="009D6DF1">
        <w:rPr>
          <w:rFonts w:ascii="Palatino Linotype" w:hAnsi="Palatino Linotype"/>
          <w:bCs/>
        </w:rPr>
        <w:t xml:space="preserve">on </w:t>
      </w:r>
      <w:r w:rsidR="009D6DF1" w:rsidRPr="009D6DF1">
        <w:rPr>
          <w:rFonts w:ascii="Palatino Linotype" w:hAnsi="Palatino Linotype"/>
          <w:bCs/>
        </w:rPr>
        <w:t>the 3</w:t>
      </w:r>
      <w:r w:rsidR="00E95E46">
        <w:rPr>
          <w:rFonts w:ascii="Palatino Linotype" w:hAnsi="Palatino Linotype"/>
          <w:bCs/>
        </w:rPr>
        <w:t>rd</w:t>
      </w:r>
      <w:r w:rsidR="009D6DF1" w:rsidRPr="009D6DF1">
        <w:rPr>
          <w:rFonts w:ascii="Palatino Linotype" w:hAnsi="Palatino Linotype"/>
          <w:bCs/>
        </w:rPr>
        <w:t xml:space="preserve"> of </w:t>
      </w:r>
      <w:proofErr w:type="gramStart"/>
      <w:r w:rsidR="009D6DF1" w:rsidRPr="009D6DF1">
        <w:rPr>
          <w:rFonts w:ascii="Palatino Linotype" w:hAnsi="Palatino Linotype"/>
          <w:bCs/>
        </w:rPr>
        <w:t>February</w:t>
      </w:r>
      <w:r w:rsidR="00E95E46">
        <w:rPr>
          <w:rFonts w:ascii="Palatino Linotype" w:hAnsi="Palatino Linotype"/>
          <w:bCs/>
        </w:rPr>
        <w:t>,</w:t>
      </w:r>
      <w:proofErr w:type="gramEnd"/>
      <w:r w:rsidR="009D6DF1" w:rsidRPr="009D6DF1">
        <w:rPr>
          <w:rFonts w:ascii="Palatino Linotype" w:hAnsi="Palatino Linotype"/>
          <w:bCs/>
        </w:rPr>
        <w:t xml:space="preserve"> 2022</w:t>
      </w:r>
      <w:r w:rsidR="009D6DF1">
        <w:rPr>
          <w:rFonts w:ascii="Palatino Linotype" w:hAnsi="Palatino Linotype"/>
          <w:bCs/>
        </w:rPr>
        <w:t>, the week before the hearing date</w:t>
      </w:r>
      <w:r w:rsidR="00935372">
        <w:rPr>
          <w:rFonts w:ascii="Palatino Linotype" w:hAnsi="Palatino Linotype"/>
          <w:bCs/>
        </w:rPr>
        <w:t>. On</w:t>
      </w:r>
      <w:r w:rsidR="008C7C54">
        <w:rPr>
          <w:rFonts w:ascii="Palatino Linotype" w:hAnsi="Palatino Linotype"/>
          <w:bCs/>
        </w:rPr>
        <w:t xml:space="preserve"> the</w:t>
      </w:r>
      <w:r w:rsidR="00935372">
        <w:rPr>
          <w:rFonts w:ascii="Palatino Linotype" w:hAnsi="Palatino Linotype"/>
          <w:bCs/>
        </w:rPr>
        <w:t xml:space="preserve"> 9</w:t>
      </w:r>
      <w:r w:rsidR="00E50079">
        <w:rPr>
          <w:rFonts w:ascii="Palatino Linotype" w:hAnsi="Palatino Linotype"/>
          <w:bCs/>
        </w:rPr>
        <w:t>th</w:t>
      </w:r>
      <w:r w:rsidR="00935372">
        <w:rPr>
          <w:rFonts w:ascii="Palatino Linotype" w:hAnsi="Palatino Linotype"/>
          <w:bCs/>
        </w:rPr>
        <w:t xml:space="preserve"> of February</w:t>
      </w:r>
      <w:r w:rsidR="00E95E46">
        <w:rPr>
          <w:rFonts w:ascii="Palatino Linotype" w:hAnsi="Palatino Linotype"/>
          <w:bCs/>
        </w:rPr>
        <w:t>,</w:t>
      </w:r>
      <w:r w:rsidR="00935372">
        <w:rPr>
          <w:rFonts w:ascii="Palatino Linotype" w:hAnsi="Palatino Linotype"/>
          <w:bCs/>
        </w:rPr>
        <w:t xml:space="preserve"> </w:t>
      </w:r>
      <w:r w:rsidR="0044237B">
        <w:rPr>
          <w:rFonts w:ascii="Palatino Linotype" w:hAnsi="Palatino Linotype"/>
          <w:bCs/>
        </w:rPr>
        <w:t xml:space="preserve">the case and the motion were both assigned to </w:t>
      </w:r>
      <w:r w:rsidR="00935372">
        <w:rPr>
          <w:rFonts w:ascii="Palatino Linotype" w:hAnsi="Palatino Linotype"/>
          <w:bCs/>
        </w:rPr>
        <w:t xml:space="preserve">this Court </w:t>
      </w:r>
      <w:r w:rsidR="0044237B">
        <w:rPr>
          <w:rFonts w:ascii="Palatino Linotype" w:hAnsi="Palatino Linotype"/>
          <w:bCs/>
        </w:rPr>
        <w:t>for hearing</w:t>
      </w:r>
      <w:r w:rsidR="00935372">
        <w:rPr>
          <w:rFonts w:ascii="Palatino Linotype" w:hAnsi="Palatino Linotype"/>
          <w:bCs/>
        </w:rPr>
        <w:t xml:space="preserve">. </w:t>
      </w:r>
      <w:r w:rsidR="008C7C54">
        <w:rPr>
          <w:rFonts w:ascii="Palatino Linotype" w:hAnsi="Palatino Linotype"/>
          <w:bCs/>
        </w:rPr>
        <w:t xml:space="preserve"> T</w:t>
      </w:r>
      <w:r w:rsidR="00935372">
        <w:rPr>
          <w:rFonts w:ascii="Palatino Linotype" w:hAnsi="Palatino Linotype"/>
          <w:bCs/>
        </w:rPr>
        <w:t xml:space="preserve">he </w:t>
      </w:r>
      <w:r w:rsidR="009D6DF1">
        <w:rPr>
          <w:rFonts w:ascii="Palatino Linotype" w:hAnsi="Palatino Linotype"/>
          <w:bCs/>
        </w:rPr>
        <w:t>application of the Defendant’s solicitors</w:t>
      </w:r>
      <w:r w:rsidR="00935372">
        <w:rPr>
          <w:rFonts w:ascii="Palatino Linotype" w:hAnsi="Palatino Linotype"/>
          <w:bCs/>
        </w:rPr>
        <w:t xml:space="preserve"> to come off record was </w:t>
      </w:r>
      <w:r w:rsidR="007D118F">
        <w:rPr>
          <w:rFonts w:ascii="Palatino Linotype" w:hAnsi="Palatino Linotype"/>
          <w:bCs/>
        </w:rPr>
        <w:t xml:space="preserve">heard and </w:t>
      </w:r>
      <w:r w:rsidR="00935372">
        <w:rPr>
          <w:rFonts w:ascii="Palatino Linotype" w:hAnsi="Palatino Linotype"/>
          <w:bCs/>
        </w:rPr>
        <w:t xml:space="preserve">granted, leaving the Defendant without legal representation. </w:t>
      </w:r>
      <w:r w:rsidR="005F16E5">
        <w:rPr>
          <w:rFonts w:ascii="Palatino Linotype" w:hAnsi="Palatino Linotype"/>
          <w:bCs/>
        </w:rPr>
        <w:t xml:space="preserve">The Court heard that there had been no reply from the Defendant to messages from his solicitors for a period of </w:t>
      </w:r>
      <w:r w:rsidR="005551D6">
        <w:rPr>
          <w:rFonts w:ascii="Palatino Linotype" w:hAnsi="Palatino Linotype"/>
          <w:bCs/>
        </w:rPr>
        <w:t xml:space="preserve">well </w:t>
      </w:r>
      <w:r w:rsidR="005F16E5">
        <w:rPr>
          <w:rFonts w:ascii="Palatino Linotype" w:hAnsi="Palatino Linotype"/>
          <w:bCs/>
        </w:rPr>
        <w:t xml:space="preserve">over a year before </w:t>
      </w:r>
      <w:r w:rsidR="005551D6">
        <w:rPr>
          <w:rFonts w:ascii="Palatino Linotype" w:hAnsi="Palatino Linotype"/>
          <w:bCs/>
        </w:rPr>
        <w:t>that</w:t>
      </w:r>
      <w:r w:rsidR="005F16E5">
        <w:rPr>
          <w:rFonts w:ascii="Palatino Linotype" w:hAnsi="Palatino Linotype"/>
          <w:bCs/>
        </w:rPr>
        <w:t xml:space="preserve"> date.  </w:t>
      </w:r>
      <w:r w:rsidR="00935372">
        <w:rPr>
          <w:rFonts w:ascii="Palatino Linotype" w:hAnsi="Palatino Linotype"/>
          <w:bCs/>
        </w:rPr>
        <w:t xml:space="preserve">The Defendant </w:t>
      </w:r>
      <w:r w:rsidR="007D118F">
        <w:rPr>
          <w:rFonts w:ascii="Palatino Linotype" w:hAnsi="Palatino Linotype"/>
          <w:bCs/>
        </w:rPr>
        <w:t xml:space="preserve">wanted time to </w:t>
      </w:r>
      <w:r w:rsidR="00935372">
        <w:rPr>
          <w:rFonts w:ascii="Palatino Linotype" w:hAnsi="Palatino Linotype"/>
          <w:bCs/>
        </w:rPr>
        <w:t xml:space="preserve">obtain legal aid and </w:t>
      </w:r>
      <w:r w:rsidR="007D118F">
        <w:rPr>
          <w:rFonts w:ascii="Palatino Linotype" w:hAnsi="Palatino Linotype"/>
          <w:bCs/>
        </w:rPr>
        <w:t>told</w:t>
      </w:r>
      <w:r w:rsidR="00935372">
        <w:rPr>
          <w:rFonts w:ascii="Palatino Linotype" w:hAnsi="Palatino Linotype"/>
          <w:bCs/>
        </w:rPr>
        <w:t xml:space="preserve"> the Court </w:t>
      </w:r>
      <w:r w:rsidR="007D118F">
        <w:rPr>
          <w:rFonts w:ascii="Palatino Linotype" w:hAnsi="Palatino Linotype"/>
          <w:bCs/>
        </w:rPr>
        <w:t>that he had applied</w:t>
      </w:r>
      <w:r w:rsidR="00935372">
        <w:rPr>
          <w:rFonts w:ascii="Palatino Linotype" w:hAnsi="Palatino Linotype"/>
          <w:bCs/>
        </w:rPr>
        <w:t xml:space="preserve"> to the Legal Aid Board. </w:t>
      </w:r>
      <w:r w:rsidR="005364D3">
        <w:rPr>
          <w:rFonts w:ascii="Palatino Linotype" w:hAnsi="Palatino Linotype"/>
          <w:bCs/>
        </w:rPr>
        <w:t>T</w:t>
      </w:r>
      <w:r w:rsidR="00935372">
        <w:rPr>
          <w:rFonts w:ascii="Palatino Linotype" w:hAnsi="Palatino Linotype"/>
          <w:bCs/>
        </w:rPr>
        <w:t xml:space="preserve">he </w:t>
      </w:r>
      <w:r w:rsidR="00935372">
        <w:rPr>
          <w:rFonts w:ascii="Palatino Linotype" w:hAnsi="Palatino Linotype"/>
          <w:bCs/>
        </w:rPr>
        <w:lastRenderedPageBreak/>
        <w:t xml:space="preserve">Court </w:t>
      </w:r>
      <w:r w:rsidR="009D6DF1">
        <w:rPr>
          <w:rFonts w:ascii="Palatino Linotype" w:hAnsi="Palatino Linotype"/>
          <w:bCs/>
        </w:rPr>
        <w:t xml:space="preserve">heard both parties and, although the Plaintiff objected, granted </w:t>
      </w:r>
      <w:r w:rsidR="00935372">
        <w:rPr>
          <w:rFonts w:ascii="Palatino Linotype" w:hAnsi="Palatino Linotype"/>
          <w:bCs/>
        </w:rPr>
        <w:t>a</w:t>
      </w:r>
      <w:r w:rsidR="009D6DF1">
        <w:rPr>
          <w:rFonts w:ascii="Palatino Linotype" w:hAnsi="Palatino Linotype"/>
          <w:bCs/>
        </w:rPr>
        <w:t xml:space="preserve"> short </w:t>
      </w:r>
      <w:r w:rsidR="00935372">
        <w:rPr>
          <w:rFonts w:ascii="Palatino Linotype" w:hAnsi="Palatino Linotype"/>
          <w:bCs/>
        </w:rPr>
        <w:t>adjournment</w:t>
      </w:r>
      <w:r w:rsidR="009D6DF1">
        <w:rPr>
          <w:rFonts w:ascii="Palatino Linotype" w:hAnsi="Palatino Linotype"/>
          <w:bCs/>
        </w:rPr>
        <w:t xml:space="preserve"> of the hearing</w:t>
      </w:r>
      <w:r w:rsidR="00935372">
        <w:rPr>
          <w:rFonts w:ascii="Palatino Linotype" w:hAnsi="Palatino Linotype"/>
          <w:bCs/>
        </w:rPr>
        <w:t xml:space="preserve"> to allow </w:t>
      </w:r>
      <w:r w:rsidR="009D6DF1">
        <w:rPr>
          <w:rFonts w:ascii="Palatino Linotype" w:hAnsi="Palatino Linotype"/>
          <w:bCs/>
        </w:rPr>
        <w:t>his</w:t>
      </w:r>
      <w:r w:rsidR="00D12A3F">
        <w:rPr>
          <w:rFonts w:ascii="Palatino Linotype" w:hAnsi="Palatino Linotype"/>
          <w:bCs/>
        </w:rPr>
        <w:t xml:space="preserve"> application to be </w:t>
      </w:r>
      <w:r w:rsidR="005364D3">
        <w:rPr>
          <w:rFonts w:ascii="Palatino Linotype" w:hAnsi="Palatino Linotype"/>
          <w:bCs/>
        </w:rPr>
        <w:t>assessed</w:t>
      </w:r>
      <w:r w:rsidR="009D6DF1">
        <w:rPr>
          <w:rFonts w:ascii="Palatino Linotype" w:hAnsi="Palatino Linotype"/>
          <w:bCs/>
        </w:rPr>
        <w:t xml:space="preserve"> by the Board</w:t>
      </w:r>
      <w:r w:rsidR="00A10E7A">
        <w:rPr>
          <w:rFonts w:ascii="Palatino Linotype" w:hAnsi="Palatino Linotype"/>
          <w:bCs/>
        </w:rPr>
        <w:t>.</w:t>
      </w:r>
    </w:p>
    <w:p w14:paraId="17D8E8D2" w14:textId="11296656" w:rsidR="00D12A3F" w:rsidRDefault="0028098E" w:rsidP="0028098E">
      <w:pPr>
        <w:spacing w:line="480" w:lineRule="auto"/>
        <w:jc w:val="both"/>
        <w:rPr>
          <w:rFonts w:ascii="Palatino Linotype" w:hAnsi="Palatino Linotype"/>
          <w:bCs/>
        </w:rPr>
      </w:pPr>
      <w:r>
        <w:rPr>
          <w:rFonts w:ascii="Palatino Linotype" w:hAnsi="Palatino Linotype"/>
          <w:bCs/>
        </w:rPr>
        <w:t>2.</w:t>
      </w:r>
      <w:r w:rsidR="009341D6">
        <w:rPr>
          <w:rFonts w:ascii="Palatino Linotype" w:hAnsi="Palatino Linotype"/>
          <w:bCs/>
        </w:rPr>
        <w:t>4</w:t>
      </w:r>
      <w:r>
        <w:rPr>
          <w:rFonts w:ascii="Palatino Linotype" w:hAnsi="Palatino Linotype"/>
          <w:bCs/>
        </w:rPr>
        <w:tab/>
      </w:r>
      <w:r w:rsidR="00D12A3F">
        <w:rPr>
          <w:rFonts w:ascii="Palatino Linotype" w:hAnsi="Palatino Linotype"/>
          <w:bCs/>
        </w:rPr>
        <w:t>The parties came before the Court again on the 1</w:t>
      </w:r>
      <w:r w:rsidR="00E50079">
        <w:rPr>
          <w:rFonts w:ascii="Palatino Linotype" w:hAnsi="Palatino Linotype"/>
          <w:bCs/>
        </w:rPr>
        <w:t>st</w:t>
      </w:r>
      <w:r w:rsidR="00D12A3F">
        <w:rPr>
          <w:rFonts w:ascii="Palatino Linotype" w:hAnsi="Palatino Linotype"/>
          <w:bCs/>
        </w:rPr>
        <w:t xml:space="preserve"> of </w:t>
      </w:r>
      <w:proofErr w:type="gramStart"/>
      <w:r w:rsidR="00D12A3F">
        <w:rPr>
          <w:rFonts w:ascii="Palatino Linotype" w:hAnsi="Palatino Linotype"/>
          <w:bCs/>
        </w:rPr>
        <w:t>March,</w:t>
      </w:r>
      <w:proofErr w:type="gramEnd"/>
      <w:r w:rsidR="00D12A3F">
        <w:rPr>
          <w:rFonts w:ascii="Palatino Linotype" w:hAnsi="Palatino Linotype"/>
          <w:bCs/>
        </w:rPr>
        <w:t xml:space="preserve"> </w:t>
      </w:r>
      <w:r w:rsidR="00464339">
        <w:rPr>
          <w:rFonts w:ascii="Palatino Linotype" w:hAnsi="Palatino Linotype"/>
          <w:bCs/>
        </w:rPr>
        <w:t xml:space="preserve">2022, </w:t>
      </w:r>
      <w:r w:rsidR="00D12A3F">
        <w:rPr>
          <w:rFonts w:ascii="Palatino Linotype" w:hAnsi="Palatino Linotype"/>
          <w:bCs/>
        </w:rPr>
        <w:t>whe</w:t>
      </w:r>
      <w:r w:rsidR="005F16E5">
        <w:rPr>
          <w:rFonts w:ascii="Palatino Linotype" w:hAnsi="Palatino Linotype"/>
          <w:bCs/>
        </w:rPr>
        <w:t>n</w:t>
      </w:r>
      <w:r w:rsidR="00D12A3F">
        <w:rPr>
          <w:rFonts w:ascii="Palatino Linotype" w:hAnsi="Palatino Linotype"/>
          <w:bCs/>
        </w:rPr>
        <w:t xml:space="preserve"> the Defendant </w:t>
      </w:r>
      <w:r w:rsidR="00C0709E">
        <w:rPr>
          <w:rFonts w:ascii="Palatino Linotype" w:hAnsi="Palatino Linotype"/>
          <w:bCs/>
        </w:rPr>
        <w:t>told</w:t>
      </w:r>
      <w:r w:rsidR="009365EE">
        <w:rPr>
          <w:rFonts w:ascii="Palatino Linotype" w:hAnsi="Palatino Linotype"/>
          <w:bCs/>
        </w:rPr>
        <w:t xml:space="preserve"> the Court </w:t>
      </w:r>
      <w:r w:rsidR="00C0709E">
        <w:rPr>
          <w:rFonts w:ascii="Palatino Linotype" w:hAnsi="Palatino Linotype"/>
          <w:bCs/>
        </w:rPr>
        <w:t>about his</w:t>
      </w:r>
      <w:r w:rsidR="00D12A3F">
        <w:rPr>
          <w:rFonts w:ascii="Palatino Linotype" w:hAnsi="Palatino Linotype"/>
          <w:bCs/>
        </w:rPr>
        <w:t xml:space="preserve"> correspondence with the Legal Aid Board. The Defendant </w:t>
      </w:r>
      <w:r w:rsidR="00C0709E">
        <w:rPr>
          <w:rFonts w:ascii="Palatino Linotype" w:hAnsi="Palatino Linotype"/>
          <w:bCs/>
        </w:rPr>
        <w:t>was confident</w:t>
      </w:r>
      <w:r w:rsidR="00D12A3F">
        <w:rPr>
          <w:rFonts w:ascii="Palatino Linotype" w:hAnsi="Palatino Linotype"/>
          <w:bCs/>
        </w:rPr>
        <w:t xml:space="preserve"> that he </w:t>
      </w:r>
      <w:r w:rsidR="009365EE">
        <w:rPr>
          <w:rFonts w:ascii="Palatino Linotype" w:hAnsi="Palatino Linotype"/>
          <w:bCs/>
        </w:rPr>
        <w:t>would probably get</w:t>
      </w:r>
      <w:r w:rsidR="00D12A3F">
        <w:rPr>
          <w:rFonts w:ascii="Palatino Linotype" w:hAnsi="Palatino Linotype"/>
          <w:bCs/>
        </w:rPr>
        <w:t xml:space="preserve"> </w:t>
      </w:r>
      <w:r w:rsidR="009365EE">
        <w:rPr>
          <w:rFonts w:ascii="Palatino Linotype" w:hAnsi="Palatino Linotype"/>
          <w:bCs/>
        </w:rPr>
        <w:t>l</w:t>
      </w:r>
      <w:r w:rsidR="00D12A3F">
        <w:rPr>
          <w:rFonts w:ascii="Palatino Linotype" w:hAnsi="Palatino Linotype"/>
          <w:bCs/>
        </w:rPr>
        <w:t xml:space="preserve">egal </w:t>
      </w:r>
      <w:r w:rsidR="009365EE">
        <w:rPr>
          <w:rFonts w:ascii="Palatino Linotype" w:hAnsi="Palatino Linotype"/>
          <w:bCs/>
        </w:rPr>
        <w:t>a</w:t>
      </w:r>
      <w:r w:rsidR="00D12A3F">
        <w:rPr>
          <w:rFonts w:ascii="Palatino Linotype" w:hAnsi="Palatino Linotype"/>
          <w:bCs/>
        </w:rPr>
        <w:t>id</w:t>
      </w:r>
      <w:r w:rsidR="009365EE">
        <w:rPr>
          <w:rFonts w:ascii="Palatino Linotype" w:hAnsi="Palatino Linotype"/>
          <w:bCs/>
        </w:rPr>
        <w:t xml:space="preserve"> funding</w:t>
      </w:r>
      <w:r w:rsidR="00D12A3F">
        <w:rPr>
          <w:rFonts w:ascii="Palatino Linotype" w:hAnsi="Palatino Linotype"/>
          <w:bCs/>
        </w:rPr>
        <w:t xml:space="preserve"> and </w:t>
      </w:r>
      <w:r w:rsidR="009365EE">
        <w:rPr>
          <w:rFonts w:ascii="Palatino Linotype" w:hAnsi="Palatino Linotype"/>
          <w:bCs/>
        </w:rPr>
        <w:t>gave</w:t>
      </w:r>
      <w:r w:rsidR="00D12A3F">
        <w:rPr>
          <w:rFonts w:ascii="Palatino Linotype" w:hAnsi="Palatino Linotype"/>
          <w:bCs/>
        </w:rPr>
        <w:t xml:space="preserve"> a letter to the Court to support this understanding. </w:t>
      </w:r>
      <w:r w:rsidR="005F16E5">
        <w:rPr>
          <w:rFonts w:ascii="Palatino Linotype" w:hAnsi="Palatino Linotype"/>
          <w:bCs/>
        </w:rPr>
        <w:t>T</w:t>
      </w:r>
      <w:r w:rsidR="00D12A3F">
        <w:rPr>
          <w:rFonts w:ascii="Palatino Linotype" w:hAnsi="Palatino Linotype"/>
          <w:bCs/>
        </w:rPr>
        <w:t xml:space="preserve">he </w:t>
      </w:r>
      <w:r w:rsidR="005F16E5">
        <w:rPr>
          <w:rFonts w:ascii="Palatino Linotype" w:hAnsi="Palatino Linotype"/>
          <w:bCs/>
        </w:rPr>
        <w:t xml:space="preserve">wording of the </w:t>
      </w:r>
      <w:r w:rsidR="00D12A3F">
        <w:rPr>
          <w:rFonts w:ascii="Palatino Linotype" w:hAnsi="Palatino Linotype"/>
          <w:bCs/>
        </w:rPr>
        <w:t xml:space="preserve">letter </w:t>
      </w:r>
      <w:r w:rsidR="009365EE">
        <w:rPr>
          <w:rFonts w:ascii="Palatino Linotype" w:hAnsi="Palatino Linotype"/>
          <w:bCs/>
        </w:rPr>
        <w:t xml:space="preserve">explained why </w:t>
      </w:r>
      <w:r w:rsidR="005F16E5">
        <w:rPr>
          <w:rFonts w:ascii="Palatino Linotype" w:hAnsi="Palatino Linotype"/>
          <w:bCs/>
        </w:rPr>
        <w:t xml:space="preserve">he </w:t>
      </w:r>
      <w:r w:rsidR="009365EE">
        <w:rPr>
          <w:rFonts w:ascii="Palatino Linotype" w:hAnsi="Palatino Linotype"/>
          <w:bCs/>
        </w:rPr>
        <w:t>had had</w:t>
      </w:r>
      <w:r w:rsidR="00D12A3F">
        <w:rPr>
          <w:rFonts w:ascii="Palatino Linotype" w:hAnsi="Palatino Linotype"/>
          <w:bCs/>
        </w:rPr>
        <w:t xml:space="preserve"> </w:t>
      </w:r>
      <w:r w:rsidR="009365EE">
        <w:rPr>
          <w:rFonts w:ascii="Palatino Linotype" w:hAnsi="Palatino Linotype"/>
          <w:bCs/>
        </w:rPr>
        <w:t>t</w:t>
      </w:r>
      <w:r w:rsidR="00D12A3F">
        <w:rPr>
          <w:rFonts w:ascii="Palatino Linotype" w:hAnsi="Palatino Linotype"/>
          <w:bCs/>
        </w:rPr>
        <w:t>his impressio</w:t>
      </w:r>
      <w:r w:rsidR="005F16E5">
        <w:rPr>
          <w:rFonts w:ascii="Palatino Linotype" w:hAnsi="Palatino Linotype"/>
          <w:bCs/>
        </w:rPr>
        <w:t xml:space="preserve">n as </w:t>
      </w:r>
      <w:r w:rsidR="00C0709E">
        <w:rPr>
          <w:rFonts w:ascii="Palatino Linotype" w:hAnsi="Palatino Linotype"/>
          <w:bCs/>
        </w:rPr>
        <w:t>the letter indicated that</w:t>
      </w:r>
      <w:r w:rsidR="009365EE">
        <w:rPr>
          <w:rFonts w:ascii="Palatino Linotype" w:hAnsi="Palatino Linotype"/>
          <w:bCs/>
        </w:rPr>
        <w:t xml:space="preserve"> his financial situation </w:t>
      </w:r>
      <w:r w:rsidR="00C0709E">
        <w:rPr>
          <w:rFonts w:ascii="Palatino Linotype" w:hAnsi="Palatino Linotype"/>
          <w:bCs/>
        </w:rPr>
        <w:t>was such that</w:t>
      </w:r>
      <w:r w:rsidR="009365EE">
        <w:rPr>
          <w:rFonts w:ascii="Palatino Linotype" w:hAnsi="Palatino Linotype"/>
          <w:bCs/>
        </w:rPr>
        <w:t xml:space="preserve"> he would be eligible,</w:t>
      </w:r>
      <w:r w:rsidR="00D12A3F">
        <w:rPr>
          <w:rFonts w:ascii="Palatino Linotype" w:hAnsi="Palatino Linotype"/>
          <w:bCs/>
        </w:rPr>
        <w:t xml:space="preserve"> but </w:t>
      </w:r>
      <w:r w:rsidR="005F16E5">
        <w:rPr>
          <w:rFonts w:ascii="Palatino Linotype" w:hAnsi="Palatino Linotype"/>
          <w:bCs/>
        </w:rPr>
        <w:t xml:space="preserve">the letter </w:t>
      </w:r>
      <w:r w:rsidR="00D12A3F">
        <w:rPr>
          <w:rFonts w:ascii="Palatino Linotype" w:hAnsi="Palatino Linotype"/>
          <w:bCs/>
        </w:rPr>
        <w:t xml:space="preserve">did not confirm </w:t>
      </w:r>
      <w:r w:rsidR="005F16E5">
        <w:rPr>
          <w:rFonts w:ascii="Palatino Linotype" w:hAnsi="Palatino Linotype"/>
          <w:bCs/>
        </w:rPr>
        <w:t>that</w:t>
      </w:r>
      <w:r w:rsidR="00D12A3F">
        <w:rPr>
          <w:rFonts w:ascii="Palatino Linotype" w:hAnsi="Palatino Linotype"/>
          <w:bCs/>
        </w:rPr>
        <w:t xml:space="preserve"> legal aid </w:t>
      </w:r>
      <w:r w:rsidR="009365EE">
        <w:rPr>
          <w:rFonts w:ascii="Palatino Linotype" w:hAnsi="Palatino Linotype"/>
          <w:bCs/>
        </w:rPr>
        <w:t>would</w:t>
      </w:r>
      <w:r w:rsidR="005F16E5">
        <w:rPr>
          <w:rFonts w:ascii="Palatino Linotype" w:hAnsi="Palatino Linotype"/>
          <w:bCs/>
        </w:rPr>
        <w:t>, in fact,</w:t>
      </w:r>
      <w:r w:rsidR="009365EE">
        <w:rPr>
          <w:rFonts w:ascii="Palatino Linotype" w:hAnsi="Palatino Linotype"/>
          <w:bCs/>
        </w:rPr>
        <w:t xml:space="preserve"> be</w:t>
      </w:r>
      <w:r w:rsidR="00D12A3F">
        <w:rPr>
          <w:rFonts w:ascii="Palatino Linotype" w:hAnsi="Palatino Linotype"/>
          <w:bCs/>
        </w:rPr>
        <w:t xml:space="preserve"> </w:t>
      </w:r>
      <w:r w:rsidR="009365EE">
        <w:rPr>
          <w:rFonts w:ascii="Palatino Linotype" w:hAnsi="Palatino Linotype"/>
          <w:bCs/>
        </w:rPr>
        <w:t>granted</w:t>
      </w:r>
      <w:r w:rsidR="00D12A3F">
        <w:rPr>
          <w:rFonts w:ascii="Palatino Linotype" w:hAnsi="Palatino Linotype"/>
          <w:bCs/>
        </w:rPr>
        <w:t xml:space="preserve">. The Court adjourned the </w:t>
      </w:r>
      <w:r w:rsidR="005F16E5">
        <w:rPr>
          <w:rFonts w:ascii="Palatino Linotype" w:hAnsi="Palatino Linotype"/>
          <w:bCs/>
        </w:rPr>
        <w:t>case</w:t>
      </w:r>
      <w:r w:rsidR="00D12A3F">
        <w:rPr>
          <w:rFonts w:ascii="Palatino Linotype" w:hAnsi="Palatino Linotype"/>
          <w:bCs/>
        </w:rPr>
        <w:t xml:space="preserve"> </w:t>
      </w:r>
      <w:r w:rsidR="00C0709E">
        <w:rPr>
          <w:rFonts w:ascii="Palatino Linotype" w:hAnsi="Palatino Linotype"/>
          <w:bCs/>
        </w:rPr>
        <w:t xml:space="preserve">again </w:t>
      </w:r>
      <w:r w:rsidR="00D12A3F">
        <w:rPr>
          <w:rFonts w:ascii="Palatino Linotype" w:hAnsi="Palatino Linotype"/>
          <w:bCs/>
        </w:rPr>
        <w:t>to allow time for the application</w:t>
      </w:r>
      <w:r w:rsidR="009365EE">
        <w:rPr>
          <w:rFonts w:ascii="Palatino Linotype" w:hAnsi="Palatino Linotype"/>
          <w:bCs/>
        </w:rPr>
        <w:t xml:space="preserve"> to be processed but stressed the urgency of the matter</w:t>
      </w:r>
      <w:r w:rsidR="00D12A3F">
        <w:rPr>
          <w:rFonts w:ascii="Palatino Linotype" w:hAnsi="Palatino Linotype"/>
          <w:bCs/>
        </w:rPr>
        <w:t>. A hearing date was set</w:t>
      </w:r>
      <w:r w:rsidR="00C0709E">
        <w:rPr>
          <w:rFonts w:ascii="Palatino Linotype" w:hAnsi="Palatino Linotype"/>
          <w:bCs/>
        </w:rPr>
        <w:t xml:space="preserve">: </w:t>
      </w:r>
      <w:r w:rsidR="00D12A3F">
        <w:rPr>
          <w:rFonts w:ascii="Palatino Linotype" w:hAnsi="Palatino Linotype"/>
          <w:bCs/>
        </w:rPr>
        <w:t xml:space="preserve"> 26</w:t>
      </w:r>
      <w:r w:rsidR="00464339">
        <w:rPr>
          <w:rFonts w:ascii="Palatino Linotype" w:hAnsi="Palatino Linotype"/>
          <w:bCs/>
        </w:rPr>
        <w:t>th</w:t>
      </w:r>
      <w:r w:rsidR="00D12A3F">
        <w:rPr>
          <w:rFonts w:ascii="Palatino Linotype" w:hAnsi="Palatino Linotype"/>
          <w:bCs/>
        </w:rPr>
        <w:t xml:space="preserve"> of </w:t>
      </w:r>
      <w:proofErr w:type="gramStart"/>
      <w:r w:rsidR="00D12A3F">
        <w:rPr>
          <w:rFonts w:ascii="Palatino Linotype" w:hAnsi="Palatino Linotype"/>
          <w:bCs/>
        </w:rPr>
        <w:t>April,</w:t>
      </w:r>
      <w:proofErr w:type="gramEnd"/>
      <w:r w:rsidR="00D12A3F">
        <w:rPr>
          <w:rFonts w:ascii="Palatino Linotype" w:hAnsi="Palatino Linotype"/>
          <w:bCs/>
        </w:rPr>
        <w:t xml:space="preserve"> 2022. </w:t>
      </w:r>
      <w:r w:rsidR="00FA302B">
        <w:rPr>
          <w:rFonts w:ascii="Palatino Linotype" w:hAnsi="Palatino Linotype"/>
          <w:bCs/>
        </w:rPr>
        <w:t xml:space="preserve">The Court listed the </w:t>
      </w:r>
      <w:r w:rsidR="005F16E5">
        <w:rPr>
          <w:rFonts w:ascii="Palatino Linotype" w:hAnsi="Palatino Linotype"/>
          <w:bCs/>
        </w:rPr>
        <w:t>case</w:t>
      </w:r>
      <w:r w:rsidR="00FA302B">
        <w:rPr>
          <w:rFonts w:ascii="Palatino Linotype" w:hAnsi="Palatino Linotype"/>
          <w:bCs/>
        </w:rPr>
        <w:t xml:space="preserve"> </w:t>
      </w:r>
      <w:r w:rsidR="005F16E5">
        <w:rPr>
          <w:rFonts w:ascii="Palatino Linotype" w:hAnsi="Palatino Linotype"/>
          <w:bCs/>
        </w:rPr>
        <w:t>for mention</w:t>
      </w:r>
      <w:r w:rsidR="00FA302B">
        <w:rPr>
          <w:rFonts w:ascii="Palatino Linotype" w:hAnsi="Palatino Linotype"/>
          <w:bCs/>
        </w:rPr>
        <w:t xml:space="preserve"> in the interim</w:t>
      </w:r>
      <w:r w:rsidR="005551D6">
        <w:rPr>
          <w:rFonts w:ascii="Palatino Linotype" w:hAnsi="Palatino Linotype"/>
          <w:bCs/>
        </w:rPr>
        <w:t>,</w:t>
      </w:r>
      <w:r w:rsidR="00FA302B">
        <w:rPr>
          <w:rFonts w:ascii="Palatino Linotype" w:hAnsi="Palatino Linotype"/>
          <w:bCs/>
        </w:rPr>
        <w:t xml:space="preserve"> to </w:t>
      </w:r>
      <w:r w:rsidR="005551D6">
        <w:rPr>
          <w:rFonts w:ascii="Palatino Linotype" w:hAnsi="Palatino Linotype"/>
          <w:bCs/>
        </w:rPr>
        <w:t>monitor</w:t>
      </w:r>
      <w:r w:rsidR="00FA302B">
        <w:rPr>
          <w:rFonts w:ascii="Palatino Linotype" w:hAnsi="Palatino Linotype"/>
          <w:bCs/>
        </w:rPr>
        <w:t xml:space="preserve"> the progress of the application to the Legal Aid Board.</w:t>
      </w:r>
    </w:p>
    <w:p w14:paraId="7768752F" w14:textId="1DF46EDC" w:rsidR="00D12A3F" w:rsidRDefault="0028098E" w:rsidP="0028098E">
      <w:pPr>
        <w:spacing w:line="480" w:lineRule="auto"/>
        <w:jc w:val="both"/>
        <w:rPr>
          <w:rFonts w:ascii="Palatino Linotype" w:hAnsi="Palatino Linotype"/>
          <w:bCs/>
        </w:rPr>
      </w:pPr>
      <w:r>
        <w:rPr>
          <w:rFonts w:ascii="Palatino Linotype" w:hAnsi="Palatino Linotype"/>
          <w:bCs/>
        </w:rPr>
        <w:t>2.</w:t>
      </w:r>
      <w:r w:rsidR="008E0A7D">
        <w:rPr>
          <w:rFonts w:ascii="Palatino Linotype" w:hAnsi="Palatino Linotype"/>
          <w:bCs/>
        </w:rPr>
        <w:t>5</w:t>
      </w:r>
      <w:r>
        <w:rPr>
          <w:rFonts w:ascii="Palatino Linotype" w:hAnsi="Palatino Linotype"/>
          <w:bCs/>
        </w:rPr>
        <w:tab/>
      </w:r>
      <w:r w:rsidR="00D12A3F">
        <w:rPr>
          <w:rFonts w:ascii="Palatino Linotype" w:hAnsi="Palatino Linotype"/>
          <w:bCs/>
        </w:rPr>
        <w:t>On the 22</w:t>
      </w:r>
      <w:r w:rsidR="00464339">
        <w:rPr>
          <w:rFonts w:ascii="Palatino Linotype" w:hAnsi="Palatino Linotype"/>
          <w:bCs/>
        </w:rPr>
        <w:t>nd</w:t>
      </w:r>
      <w:r w:rsidR="00D12A3F">
        <w:rPr>
          <w:rFonts w:ascii="Palatino Linotype" w:hAnsi="Palatino Linotype"/>
          <w:bCs/>
        </w:rPr>
        <w:t xml:space="preserve"> of </w:t>
      </w:r>
      <w:proofErr w:type="gramStart"/>
      <w:r w:rsidR="00D12A3F">
        <w:rPr>
          <w:rFonts w:ascii="Palatino Linotype" w:hAnsi="Palatino Linotype"/>
          <w:bCs/>
        </w:rPr>
        <w:t>March,</w:t>
      </w:r>
      <w:proofErr w:type="gramEnd"/>
      <w:r w:rsidR="00D12A3F">
        <w:rPr>
          <w:rFonts w:ascii="Palatino Linotype" w:hAnsi="Palatino Linotype"/>
          <w:bCs/>
        </w:rPr>
        <w:t xml:space="preserve"> 2022</w:t>
      </w:r>
      <w:r w:rsidR="00FA302B">
        <w:rPr>
          <w:rFonts w:ascii="Palatino Linotype" w:hAnsi="Palatino Linotype"/>
          <w:bCs/>
        </w:rPr>
        <w:t xml:space="preserve"> it became clear to the Court that the application was not </w:t>
      </w:r>
      <w:r w:rsidR="009365EE">
        <w:rPr>
          <w:rFonts w:ascii="Palatino Linotype" w:hAnsi="Palatino Linotype"/>
          <w:bCs/>
        </w:rPr>
        <w:t>making progress</w:t>
      </w:r>
      <w:r w:rsidR="00FA302B">
        <w:rPr>
          <w:rFonts w:ascii="Palatino Linotype" w:hAnsi="Palatino Linotype"/>
          <w:bCs/>
        </w:rPr>
        <w:t>. The Defendant, as of that date, had not filed sufficient information to allow the Board to</w:t>
      </w:r>
      <w:r w:rsidR="005F16E5">
        <w:rPr>
          <w:rFonts w:ascii="Palatino Linotype" w:hAnsi="Palatino Linotype"/>
          <w:bCs/>
        </w:rPr>
        <w:t xml:space="preserve"> </w:t>
      </w:r>
      <w:proofErr w:type="gramStart"/>
      <w:r w:rsidR="00FA302B">
        <w:rPr>
          <w:rFonts w:ascii="Palatino Linotype" w:hAnsi="Palatino Linotype"/>
          <w:bCs/>
        </w:rPr>
        <w:t>make a decision</w:t>
      </w:r>
      <w:proofErr w:type="gramEnd"/>
      <w:r w:rsidR="00FA302B">
        <w:rPr>
          <w:rFonts w:ascii="Palatino Linotype" w:hAnsi="Palatino Linotype"/>
          <w:bCs/>
        </w:rPr>
        <w:t xml:space="preserve">. </w:t>
      </w:r>
      <w:r w:rsidR="009B56B9">
        <w:rPr>
          <w:rFonts w:ascii="Palatino Linotype" w:hAnsi="Palatino Linotype"/>
          <w:bCs/>
        </w:rPr>
        <w:t xml:space="preserve">In other words, his initial application was not yet complete.  </w:t>
      </w:r>
      <w:r w:rsidR="00FA302B">
        <w:rPr>
          <w:rFonts w:ascii="Palatino Linotype" w:hAnsi="Palatino Linotype"/>
          <w:bCs/>
        </w:rPr>
        <w:t xml:space="preserve">The Court was reluctant to vacate the hearing date and set a further date for the matter to be mentioned prior to </w:t>
      </w:r>
      <w:r w:rsidR="009365EE">
        <w:rPr>
          <w:rFonts w:ascii="Palatino Linotype" w:hAnsi="Palatino Linotype"/>
          <w:bCs/>
        </w:rPr>
        <w:t>that</w:t>
      </w:r>
      <w:r w:rsidR="00FA302B">
        <w:rPr>
          <w:rFonts w:ascii="Palatino Linotype" w:hAnsi="Palatino Linotype"/>
          <w:bCs/>
        </w:rPr>
        <w:t xml:space="preserve"> hearing date</w:t>
      </w:r>
      <w:r w:rsidR="009365EE">
        <w:rPr>
          <w:rFonts w:ascii="Palatino Linotype" w:hAnsi="Palatino Linotype"/>
          <w:bCs/>
        </w:rPr>
        <w:t>, again emphasising how important it was that the Defendant press for an early decision</w:t>
      </w:r>
      <w:r w:rsidR="00FA302B">
        <w:rPr>
          <w:rFonts w:ascii="Palatino Linotype" w:hAnsi="Palatino Linotype"/>
          <w:bCs/>
        </w:rPr>
        <w:t>. The Court also took it upon itself to contact the Legal Aid Board in an attempt to ascertain the prospects of a decision being finalised before the hearing date</w:t>
      </w:r>
      <w:r w:rsidR="00702299">
        <w:rPr>
          <w:rFonts w:ascii="Palatino Linotype" w:hAnsi="Palatino Linotype"/>
          <w:bCs/>
        </w:rPr>
        <w:t>,</w:t>
      </w:r>
      <w:r w:rsidR="009365EE">
        <w:rPr>
          <w:rFonts w:ascii="Palatino Linotype" w:hAnsi="Palatino Linotype"/>
          <w:bCs/>
        </w:rPr>
        <w:t xml:space="preserve"> which </w:t>
      </w:r>
      <w:r w:rsidR="005551D6">
        <w:rPr>
          <w:rFonts w:ascii="Palatino Linotype" w:hAnsi="Palatino Linotype"/>
          <w:bCs/>
        </w:rPr>
        <w:t>remained</w:t>
      </w:r>
      <w:r w:rsidR="009365EE">
        <w:rPr>
          <w:rFonts w:ascii="Palatino Linotype" w:hAnsi="Palatino Linotype"/>
          <w:bCs/>
        </w:rPr>
        <w:t xml:space="preserve"> </w:t>
      </w:r>
      <w:r w:rsidR="00FA302B">
        <w:rPr>
          <w:rFonts w:ascii="Palatino Linotype" w:hAnsi="Palatino Linotype"/>
          <w:bCs/>
        </w:rPr>
        <w:t>26</w:t>
      </w:r>
      <w:r w:rsidR="00464339">
        <w:rPr>
          <w:rFonts w:ascii="Palatino Linotype" w:hAnsi="Palatino Linotype"/>
          <w:bCs/>
        </w:rPr>
        <w:t>th</w:t>
      </w:r>
      <w:r w:rsidR="00FA302B">
        <w:rPr>
          <w:rFonts w:ascii="Palatino Linotype" w:hAnsi="Palatino Linotype"/>
          <w:bCs/>
        </w:rPr>
        <w:t xml:space="preserve"> of </w:t>
      </w:r>
      <w:proofErr w:type="gramStart"/>
      <w:r w:rsidR="00FA302B">
        <w:rPr>
          <w:rFonts w:ascii="Palatino Linotype" w:hAnsi="Palatino Linotype"/>
          <w:bCs/>
        </w:rPr>
        <w:t>April,</w:t>
      </w:r>
      <w:proofErr w:type="gramEnd"/>
      <w:r w:rsidR="00FA302B">
        <w:rPr>
          <w:rFonts w:ascii="Palatino Linotype" w:hAnsi="Palatino Linotype"/>
          <w:bCs/>
        </w:rPr>
        <w:t xml:space="preserve"> 2022.</w:t>
      </w:r>
    </w:p>
    <w:p w14:paraId="7D64956A" w14:textId="53209F15" w:rsidR="00D83DE0" w:rsidRDefault="0028098E" w:rsidP="0028098E">
      <w:pPr>
        <w:spacing w:line="480" w:lineRule="auto"/>
        <w:jc w:val="both"/>
        <w:rPr>
          <w:rFonts w:ascii="Palatino Linotype" w:hAnsi="Palatino Linotype"/>
          <w:bCs/>
        </w:rPr>
      </w:pPr>
      <w:r>
        <w:rPr>
          <w:rFonts w:ascii="Palatino Linotype" w:hAnsi="Palatino Linotype"/>
          <w:bCs/>
        </w:rPr>
        <w:t>2.</w:t>
      </w:r>
      <w:r w:rsidR="008E0A7D">
        <w:rPr>
          <w:rFonts w:ascii="Palatino Linotype" w:hAnsi="Palatino Linotype"/>
          <w:bCs/>
        </w:rPr>
        <w:t>6</w:t>
      </w:r>
      <w:r>
        <w:rPr>
          <w:rFonts w:ascii="Palatino Linotype" w:hAnsi="Palatino Linotype"/>
          <w:bCs/>
        </w:rPr>
        <w:tab/>
      </w:r>
      <w:r w:rsidR="00FA302B">
        <w:rPr>
          <w:rFonts w:ascii="Palatino Linotype" w:hAnsi="Palatino Linotype"/>
          <w:bCs/>
        </w:rPr>
        <w:t xml:space="preserve">On the </w:t>
      </w:r>
      <w:proofErr w:type="gramStart"/>
      <w:r w:rsidR="00FA302B">
        <w:rPr>
          <w:rFonts w:ascii="Palatino Linotype" w:hAnsi="Palatino Linotype"/>
          <w:bCs/>
        </w:rPr>
        <w:t>31</w:t>
      </w:r>
      <w:r w:rsidR="00464339">
        <w:rPr>
          <w:rFonts w:ascii="Palatino Linotype" w:hAnsi="Palatino Linotype"/>
          <w:bCs/>
        </w:rPr>
        <w:t>st</w:t>
      </w:r>
      <w:proofErr w:type="gramEnd"/>
      <w:r w:rsidR="00FA302B">
        <w:rPr>
          <w:rFonts w:ascii="Palatino Linotype" w:hAnsi="Palatino Linotype"/>
          <w:bCs/>
        </w:rPr>
        <w:t xml:space="preserve"> March, 2022, the Court informed the parties that in response to its </w:t>
      </w:r>
      <w:r w:rsidR="009365EE">
        <w:rPr>
          <w:rFonts w:ascii="Palatino Linotype" w:hAnsi="Palatino Linotype"/>
          <w:bCs/>
        </w:rPr>
        <w:t>letter</w:t>
      </w:r>
      <w:r w:rsidR="00FA302B">
        <w:rPr>
          <w:rFonts w:ascii="Palatino Linotype" w:hAnsi="Palatino Linotype"/>
          <w:bCs/>
        </w:rPr>
        <w:t xml:space="preserve"> </w:t>
      </w:r>
      <w:r w:rsidR="009365EE">
        <w:rPr>
          <w:rFonts w:ascii="Palatino Linotype" w:hAnsi="Palatino Linotype"/>
          <w:bCs/>
        </w:rPr>
        <w:t>to</w:t>
      </w:r>
      <w:r w:rsidR="00FA302B">
        <w:rPr>
          <w:rFonts w:ascii="Palatino Linotype" w:hAnsi="Palatino Linotype"/>
          <w:bCs/>
        </w:rPr>
        <w:t xml:space="preserve"> the Legal Aid Board, the Board </w:t>
      </w:r>
      <w:r w:rsidR="009365EE">
        <w:rPr>
          <w:rFonts w:ascii="Palatino Linotype" w:hAnsi="Palatino Linotype"/>
          <w:bCs/>
        </w:rPr>
        <w:t>confirmed it was</w:t>
      </w:r>
      <w:r w:rsidR="00FA302B">
        <w:rPr>
          <w:rFonts w:ascii="Palatino Linotype" w:hAnsi="Palatino Linotype"/>
          <w:bCs/>
        </w:rPr>
        <w:t xml:space="preserve"> </w:t>
      </w:r>
      <w:r w:rsidR="00D83DE0">
        <w:rPr>
          <w:rFonts w:ascii="Palatino Linotype" w:hAnsi="Palatino Linotype"/>
          <w:bCs/>
        </w:rPr>
        <w:t>not in a position</w:t>
      </w:r>
      <w:r w:rsidR="00FA302B">
        <w:rPr>
          <w:rFonts w:ascii="Palatino Linotype" w:hAnsi="Palatino Linotype"/>
          <w:bCs/>
        </w:rPr>
        <w:t xml:space="preserve"> to communicate with any party, aside from the relevant applicant, in relation to the </w:t>
      </w:r>
      <w:r w:rsidR="00216164">
        <w:rPr>
          <w:rFonts w:ascii="Palatino Linotype" w:hAnsi="Palatino Linotype"/>
          <w:bCs/>
        </w:rPr>
        <w:t xml:space="preserve">status of an application. The Defendant could provide no further information to the Court in relation to the progress of </w:t>
      </w:r>
      <w:r w:rsidR="009365EE">
        <w:rPr>
          <w:rFonts w:ascii="Palatino Linotype" w:hAnsi="Palatino Linotype"/>
          <w:bCs/>
        </w:rPr>
        <w:t>his</w:t>
      </w:r>
      <w:r w:rsidR="00216164">
        <w:rPr>
          <w:rFonts w:ascii="Palatino Linotype" w:hAnsi="Palatino Linotype"/>
          <w:bCs/>
        </w:rPr>
        <w:t xml:space="preserve"> </w:t>
      </w:r>
      <w:r w:rsidR="00216164">
        <w:rPr>
          <w:rFonts w:ascii="Palatino Linotype" w:hAnsi="Palatino Linotype"/>
          <w:bCs/>
        </w:rPr>
        <w:lastRenderedPageBreak/>
        <w:t>application</w:t>
      </w:r>
      <w:r w:rsidR="009365EE">
        <w:rPr>
          <w:rFonts w:ascii="Palatino Linotype" w:hAnsi="Palatino Linotype"/>
          <w:bCs/>
        </w:rPr>
        <w:t xml:space="preserve"> and could not point to a completed application having been made</w:t>
      </w:r>
      <w:r w:rsidR="00216164">
        <w:rPr>
          <w:rFonts w:ascii="Palatino Linotype" w:hAnsi="Palatino Linotype"/>
          <w:bCs/>
        </w:rPr>
        <w:t xml:space="preserve">. The Court ruled on this date that the hearing was to commence on </w:t>
      </w:r>
      <w:r w:rsidR="00D451BF">
        <w:rPr>
          <w:rFonts w:ascii="Palatino Linotype" w:hAnsi="Palatino Linotype"/>
          <w:bCs/>
        </w:rPr>
        <w:t>the assigned date</w:t>
      </w:r>
      <w:r w:rsidR="00216164">
        <w:rPr>
          <w:rFonts w:ascii="Palatino Linotype" w:hAnsi="Palatino Linotype"/>
          <w:bCs/>
        </w:rPr>
        <w:t xml:space="preserve">. </w:t>
      </w:r>
      <w:r w:rsidR="005F16E5">
        <w:rPr>
          <w:rFonts w:ascii="Palatino Linotype" w:hAnsi="Palatino Linotype"/>
          <w:bCs/>
        </w:rPr>
        <w:t xml:space="preserve"> </w:t>
      </w:r>
      <w:r w:rsidR="00216164">
        <w:rPr>
          <w:rFonts w:ascii="Palatino Linotype" w:hAnsi="Palatino Linotype"/>
          <w:bCs/>
        </w:rPr>
        <w:t>In coming to this decision</w:t>
      </w:r>
      <w:r w:rsidR="005F16E5">
        <w:rPr>
          <w:rFonts w:ascii="Palatino Linotype" w:hAnsi="Palatino Linotype"/>
          <w:bCs/>
        </w:rPr>
        <w:t>,</w:t>
      </w:r>
      <w:r w:rsidR="00216164">
        <w:rPr>
          <w:rFonts w:ascii="Palatino Linotype" w:hAnsi="Palatino Linotype"/>
          <w:bCs/>
        </w:rPr>
        <w:t xml:space="preserve"> the Court </w:t>
      </w:r>
      <w:proofErr w:type="gramStart"/>
      <w:r w:rsidR="00D83DE0">
        <w:rPr>
          <w:rFonts w:ascii="Palatino Linotype" w:hAnsi="Palatino Linotype"/>
          <w:bCs/>
        </w:rPr>
        <w:t>took into account</w:t>
      </w:r>
      <w:proofErr w:type="gramEnd"/>
      <w:r w:rsidR="00D83DE0">
        <w:rPr>
          <w:rFonts w:ascii="Palatino Linotype" w:hAnsi="Palatino Linotype"/>
          <w:bCs/>
        </w:rPr>
        <w:t xml:space="preserve"> the following considerations:</w:t>
      </w:r>
      <w:r w:rsidR="00C17FFA">
        <w:rPr>
          <w:rFonts w:ascii="Palatino Linotype" w:hAnsi="Palatino Linotype"/>
          <w:bCs/>
        </w:rPr>
        <w:t xml:space="preserve"> </w:t>
      </w:r>
      <w:r w:rsidR="00C17FFA" w:rsidRPr="00C17FFA">
        <w:rPr>
          <w:rFonts w:ascii="Palatino Linotype" w:hAnsi="Palatino Linotype"/>
          <w:bCs/>
          <w:highlight w:val="yellow"/>
        </w:rPr>
        <w:t xml:space="preserve"> </w:t>
      </w:r>
    </w:p>
    <w:p w14:paraId="16C501C4" w14:textId="7A08D1C0" w:rsidR="009365EE" w:rsidRDefault="00A10E7A" w:rsidP="0028098E">
      <w:pPr>
        <w:pStyle w:val="ListParagraph"/>
        <w:numPr>
          <w:ilvl w:val="0"/>
          <w:numId w:val="1"/>
        </w:numPr>
        <w:spacing w:line="480" w:lineRule="auto"/>
        <w:jc w:val="both"/>
        <w:rPr>
          <w:rFonts w:ascii="Palatino Linotype" w:hAnsi="Palatino Linotype"/>
          <w:bCs/>
        </w:rPr>
      </w:pPr>
      <w:r w:rsidRPr="00D83DE0">
        <w:rPr>
          <w:rFonts w:ascii="Palatino Linotype" w:hAnsi="Palatino Linotype"/>
          <w:bCs/>
        </w:rPr>
        <w:t xml:space="preserve">the seriousness of the </w:t>
      </w:r>
      <w:r w:rsidR="009365EE">
        <w:rPr>
          <w:rFonts w:ascii="Palatino Linotype" w:hAnsi="Palatino Linotype"/>
          <w:bCs/>
        </w:rPr>
        <w:t>case</w:t>
      </w:r>
      <w:r w:rsidRPr="00D83DE0">
        <w:rPr>
          <w:rFonts w:ascii="Palatino Linotype" w:hAnsi="Palatino Linotype"/>
          <w:bCs/>
        </w:rPr>
        <w:t xml:space="preserve"> and </w:t>
      </w:r>
      <w:r w:rsidR="009365EE">
        <w:rPr>
          <w:rFonts w:ascii="Palatino Linotype" w:hAnsi="Palatino Linotype"/>
          <w:bCs/>
        </w:rPr>
        <w:t xml:space="preserve">of </w:t>
      </w:r>
      <w:r w:rsidRPr="00D83DE0">
        <w:rPr>
          <w:rFonts w:ascii="Palatino Linotype" w:hAnsi="Palatino Linotype"/>
          <w:bCs/>
        </w:rPr>
        <w:t>the injuries alleged</w:t>
      </w:r>
      <w:r w:rsidR="009365EE">
        <w:rPr>
          <w:rFonts w:ascii="Palatino Linotype" w:hAnsi="Palatino Linotype"/>
          <w:bCs/>
        </w:rPr>
        <w:t>ly</w:t>
      </w:r>
      <w:r w:rsidRPr="00D83DE0">
        <w:rPr>
          <w:rFonts w:ascii="Palatino Linotype" w:hAnsi="Palatino Linotype"/>
          <w:bCs/>
        </w:rPr>
        <w:t xml:space="preserve"> suffered by the Plaintiff</w:t>
      </w:r>
      <w:r w:rsidR="00A923C4">
        <w:rPr>
          <w:rFonts w:ascii="Palatino Linotype" w:hAnsi="Palatino Linotype"/>
          <w:bCs/>
        </w:rPr>
        <w:t>.</w:t>
      </w:r>
      <w:r w:rsidRPr="00D83DE0">
        <w:rPr>
          <w:rFonts w:ascii="Palatino Linotype" w:hAnsi="Palatino Linotype"/>
          <w:bCs/>
        </w:rPr>
        <w:t xml:space="preserve"> </w:t>
      </w:r>
    </w:p>
    <w:p w14:paraId="1EE1723B" w14:textId="6B2ED67E" w:rsidR="00D83DE0" w:rsidRDefault="00A10E7A" w:rsidP="0028098E">
      <w:pPr>
        <w:pStyle w:val="ListParagraph"/>
        <w:numPr>
          <w:ilvl w:val="0"/>
          <w:numId w:val="1"/>
        </w:numPr>
        <w:spacing w:line="480" w:lineRule="auto"/>
        <w:jc w:val="both"/>
        <w:rPr>
          <w:rFonts w:ascii="Palatino Linotype" w:hAnsi="Palatino Linotype"/>
          <w:bCs/>
        </w:rPr>
      </w:pPr>
      <w:r w:rsidRPr="00D83DE0">
        <w:rPr>
          <w:rFonts w:ascii="Palatino Linotype" w:hAnsi="Palatino Linotype"/>
          <w:bCs/>
        </w:rPr>
        <w:t>the impact of a further delay on the Plaintiff</w:t>
      </w:r>
      <w:r w:rsidR="00A923C4">
        <w:rPr>
          <w:rFonts w:ascii="Palatino Linotype" w:hAnsi="Palatino Linotype"/>
          <w:bCs/>
        </w:rPr>
        <w:t>.</w:t>
      </w:r>
    </w:p>
    <w:p w14:paraId="49E7F37C" w14:textId="12B55C67" w:rsidR="005551D6" w:rsidRDefault="00A10E7A" w:rsidP="0028098E">
      <w:pPr>
        <w:pStyle w:val="ListParagraph"/>
        <w:numPr>
          <w:ilvl w:val="0"/>
          <w:numId w:val="1"/>
        </w:numPr>
        <w:spacing w:line="480" w:lineRule="auto"/>
        <w:jc w:val="both"/>
        <w:rPr>
          <w:rFonts w:ascii="Palatino Linotype" w:hAnsi="Palatino Linotype"/>
          <w:bCs/>
        </w:rPr>
      </w:pPr>
      <w:r w:rsidRPr="00D83DE0">
        <w:rPr>
          <w:rFonts w:ascii="Palatino Linotype" w:hAnsi="Palatino Linotype"/>
          <w:bCs/>
        </w:rPr>
        <w:t xml:space="preserve">the length of time since the alleged incidents and </w:t>
      </w:r>
      <w:r w:rsidR="005551D6">
        <w:rPr>
          <w:rFonts w:ascii="Palatino Linotype" w:hAnsi="Palatino Linotype"/>
          <w:bCs/>
        </w:rPr>
        <w:t xml:space="preserve">the time </w:t>
      </w:r>
      <w:r w:rsidRPr="00D83DE0">
        <w:rPr>
          <w:rFonts w:ascii="Palatino Linotype" w:hAnsi="Palatino Linotype"/>
          <w:bCs/>
        </w:rPr>
        <w:t>since the case started</w:t>
      </w:r>
      <w:r w:rsidR="00A923C4">
        <w:rPr>
          <w:rFonts w:ascii="Palatino Linotype" w:hAnsi="Palatino Linotype"/>
          <w:bCs/>
        </w:rPr>
        <w:t>.</w:t>
      </w:r>
      <w:r w:rsidRPr="00D83DE0">
        <w:rPr>
          <w:rFonts w:ascii="Palatino Linotype" w:hAnsi="Palatino Linotype"/>
          <w:bCs/>
        </w:rPr>
        <w:t xml:space="preserve"> </w:t>
      </w:r>
    </w:p>
    <w:p w14:paraId="6274C2C6" w14:textId="77777777" w:rsidR="00D83DE0" w:rsidRDefault="00A10E7A" w:rsidP="0028098E">
      <w:pPr>
        <w:pStyle w:val="ListParagraph"/>
        <w:numPr>
          <w:ilvl w:val="0"/>
          <w:numId w:val="1"/>
        </w:numPr>
        <w:spacing w:line="480" w:lineRule="auto"/>
        <w:jc w:val="both"/>
        <w:rPr>
          <w:rFonts w:ascii="Palatino Linotype" w:hAnsi="Palatino Linotype"/>
          <w:bCs/>
        </w:rPr>
      </w:pPr>
      <w:r w:rsidRPr="00D83DE0">
        <w:rPr>
          <w:rFonts w:ascii="Palatino Linotype" w:hAnsi="Palatino Linotype"/>
          <w:bCs/>
        </w:rPr>
        <w:t>the Defendant</w:t>
      </w:r>
      <w:r w:rsidR="005F16E5">
        <w:rPr>
          <w:rFonts w:ascii="Palatino Linotype" w:hAnsi="Palatino Linotype"/>
          <w:bCs/>
        </w:rPr>
        <w:t>’s inactivity</w:t>
      </w:r>
      <w:r w:rsidRPr="00D83DE0">
        <w:rPr>
          <w:rFonts w:ascii="Palatino Linotype" w:hAnsi="Palatino Linotype"/>
          <w:bCs/>
        </w:rPr>
        <w:t xml:space="preserve"> from the time he became aware of </w:t>
      </w:r>
      <w:r w:rsidR="009365EE">
        <w:rPr>
          <w:rFonts w:ascii="Palatino Linotype" w:hAnsi="Palatino Linotype"/>
          <w:bCs/>
        </w:rPr>
        <w:t>the trial date</w:t>
      </w:r>
      <w:r w:rsidRPr="00D83DE0">
        <w:rPr>
          <w:rFonts w:ascii="Palatino Linotype" w:hAnsi="Palatino Linotype"/>
          <w:bCs/>
        </w:rPr>
        <w:t xml:space="preserve"> and</w:t>
      </w:r>
      <w:r w:rsidR="00652847">
        <w:rPr>
          <w:rFonts w:ascii="Palatino Linotype" w:hAnsi="Palatino Linotype"/>
          <w:bCs/>
        </w:rPr>
        <w:t xml:space="preserve"> the date on which his solicitors came off record</w:t>
      </w:r>
      <w:r w:rsidRPr="00D83DE0">
        <w:rPr>
          <w:rFonts w:ascii="Palatino Linotype" w:hAnsi="Palatino Linotype"/>
          <w:bCs/>
        </w:rPr>
        <w:t xml:space="preserve">. Throughout that time, the Defendant ignored messages from his solicitors </w:t>
      </w:r>
      <w:r w:rsidR="00652847">
        <w:rPr>
          <w:rFonts w:ascii="Palatino Linotype" w:hAnsi="Palatino Linotype"/>
          <w:bCs/>
        </w:rPr>
        <w:t>then</w:t>
      </w:r>
      <w:r w:rsidRPr="00D83DE0">
        <w:rPr>
          <w:rFonts w:ascii="Palatino Linotype" w:hAnsi="Palatino Linotype"/>
          <w:bCs/>
        </w:rPr>
        <w:t xml:space="preserve"> came </w:t>
      </w:r>
      <w:r w:rsidR="00D451BF">
        <w:rPr>
          <w:rFonts w:ascii="Palatino Linotype" w:hAnsi="Palatino Linotype"/>
          <w:bCs/>
        </w:rPr>
        <w:t>to court</w:t>
      </w:r>
      <w:r w:rsidR="00652847">
        <w:rPr>
          <w:rFonts w:ascii="Palatino Linotype" w:hAnsi="Palatino Linotype"/>
          <w:bCs/>
        </w:rPr>
        <w:t xml:space="preserve"> on</w:t>
      </w:r>
      <w:r w:rsidRPr="00D83DE0">
        <w:rPr>
          <w:rFonts w:ascii="Palatino Linotype" w:hAnsi="Palatino Linotype"/>
          <w:bCs/>
        </w:rPr>
        <w:t xml:space="preserve"> the trial date seeking additional time to get different legal representation. </w:t>
      </w:r>
    </w:p>
    <w:p w14:paraId="346100E5" w14:textId="77777777" w:rsidR="00D83DE0" w:rsidRDefault="00A10E7A" w:rsidP="0028098E">
      <w:pPr>
        <w:pStyle w:val="ListParagraph"/>
        <w:numPr>
          <w:ilvl w:val="0"/>
          <w:numId w:val="1"/>
        </w:numPr>
        <w:spacing w:line="480" w:lineRule="auto"/>
        <w:jc w:val="both"/>
        <w:rPr>
          <w:rFonts w:ascii="Palatino Linotype" w:hAnsi="Palatino Linotype"/>
          <w:bCs/>
        </w:rPr>
      </w:pPr>
      <w:r w:rsidRPr="00D83DE0">
        <w:rPr>
          <w:rFonts w:ascii="Palatino Linotype" w:hAnsi="Palatino Linotype"/>
          <w:bCs/>
        </w:rPr>
        <w:t>the prospect of the Defendant</w:t>
      </w:r>
      <w:r w:rsidR="00652847">
        <w:rPr>
          <w:rFonts w:ascii="Palatino Linotype" w:hAnsi="Palatino Linotype"/>
          <w:bCs/>
        </w:rPr>
        <w:t xml:space="preserve"> obtaining </w:t>
      </w:r>
      <w:r w:rsidRPr="00D83DE0">
        <w:rPr>
          <w:rFonts w:ascii="Palatino Linotype" w:hAnsi="Palatino Linotype"/>
          <w:bCs/>
        </w:rPr>
        <w:t xml:space="preserve">legal aid </w:t>
      </w:r>
      <w:r w:rsidR="00652847">
        <w:rPr>
          <w:rFonts w:ascii="Palatino Linotype" w:hAnsi="Palatino Linotype"/>
          <w:bCs/>
        </w:rPr>
        <w:t>considering</w:t>
      </w:r>
      <w:r w:rsidRPr="00D83DE0">
        <w:rPr>
          <w:rFonts w:ascii="Palatino Linotype" w:hAnsi="Palatino Linotype"/>
          <w:bCs/>
        </w:rPr>
        <w:t xml:space="preserve"> Section 28 of the Civil Legal Aid Act 1995</w:t>
      </w:r>
      <w:r w:rsidR="00D92310">
        <w:rPr>
          <w:rFonts w:ascii="Palatino Linotype" w:hAnsi="Palatino Linotype"/>
          <w:bCs/>
        </w:rPr>
        <w:t>,</w:t>
      </w:r>
      <w:r w:rsidRPr="00D83DE0">
        <w:rPr>
          <w:rFonts w:ascii="Palatino Linotype" w:hAnsi="Palatino Linotype"/>
          <w:bCs/>
        </w:rPr>
        <w:t xml:space="preserve"> which prescribes the legislative basis on which legal aid may be granted</w:t>
      </w:r>
      <w:r w:rsidR="00652847">
        <w:rPr>
          <w:rFonts w:ascii="Palatino Linotype" w:hAnsi="Palatino Linotype"/>
          <w:bCs/>
        </w:rPr>
        <w:t xml:space="preserve">, </w:t>
      </w:r>
      <w:r w:rsidR="00D451BF">
        <w:rPr>
          <w:rFonts w:ascii="Palatino Linotype" w:hAnsi="Palatino Linotype"/>
          <w:bCs/>
        </w:rPr>
        <w:t xml:space="preserve">and which </w:t>
      </w:r>
      <w:r w:rsidR="00652847">
        <w:rPr>
          <w:rFonts w:ascii="Palatino Linotype" w:hAnsi="Palatino Linotype"/>
          <w:bCs/>
        </w:rPr>
        <w:t>includ</w:t>
      </w:r>
      <w:r w:rsidR="00D451BF">
        <w:rPr>
          <w:rFonts w:ascii="Palatino Linotype" w:hAnsi="Palatino Linotype"/>
          <w:bCs/>
        </w:rPr>
        <w:t>es</w:t>
      </w:r>
      <w:r w:rsidR="00652847">
        <w:rPr>
          <w:rFonts w:ascii="Palatino Linotype" w:hAnsi="Palatino Linotype"/>
          <w:bCs/>
        </w:rPr>
        <w:t xml:space="preserve"> the prospects of success in the action itself</w:t>
      </w:r>
      <w:r w:rsidRPr="00D83DE0">
        <w:rPr>
          <w:rFonts w:ascii="Palatino Linotype" w:hAnsi="Palatino Linotype"/>
          <w:bCs/>
        </w:rPr>
        <w:t xml:space="preserve">. </w:t>
      </w:r>
    </w:p>
    <w:p w14:paraId="086C184D" w14:textId="29DEB107" w:rsidR="00652847" w:rsidRDefault="00652847" w:rsidP="0028098E">
      <w:pPr>
        <w:pStyle w:val="ListParagraph"/>
        <w:numPr>
          <w:ilvl w:val="0"/>
          <w:numId w:val="1"/>
        </w:numPr>
        <w:spacing w:line="480" w:lineRule="auto"/>
        <w:jc w:val="both"/>
        <w:rPr>
          <w:rFonts w:ascii="Palatino Linotype" w:hAnsi="Palatino Linotype"/>
          <w:bCs/>
        </w:rPr>
      </w:pPr>
      <w:r>
        <w:rPr>
          <w:rFonts w:ascii="Palatino Linotype" w:hAnsi="Palatino Linotype"/>
          <w:bCs/>
        </w:rPr>
        <w:t xml:space="preserve">the fact that the Defendant had already been convicted of </w:t>
      </w:r>
      <w:r w:rsidR="005F16E5">
        <w:rPr>
          <w:rFonts w:ascii="Palatino Linotype" w:hAnsi="Palatino Linotype"/>
          <w:bCs/>
        </w:rPr>
        <w:t>offences</w:t>
      </w:r>
      <w:r>
        <w:rPr>
          <w:rFonts w:ascii="Palatino Linotype" w:hAnsi="Palatino Linotype"/>
          <w:bCs/>
        </w:rPr>
        <w:t xml:space="preserve"> </w:t>
      </w:r>
      <w:r w:rsidR="005F16E5">
        <w:rPr>
          <w:rFonts w:ascii="Palatino Linotype" w:hAnsi="Palatino Linotype"/>
          <w:bCs/>
        </w:rPr>
        <w:t xml:space="preserve">identical to </w:t>
      </w:r>
      <w:r w:rsidR="00D451BF">
        <w:rPr>
          <w:rFonts w:ascii="Palatino Linotype" w:hAnsi="Palatino Linotype"/>
          <w:bCs/>
        </w:rPr>
        <w:t xml:space="preserve">some of </w:t>
      </w:r>
      <w:r w:rsidR="005F16E5">
        <w:rPr>
          <w:rFonts w:ascii="Palatino Linotype" w:hAnsi="Palatino Linotype"/>
          <w:bCs/>
        </w:rPr>
        <w:t>the</w:t>
      </w:r>
      <w:r>
        <w:rPr>
          <w:rFonts w:ascii="Palatino Linotype" w:hAnsi="Palatino Linotype"/>
          <w:bCs/>
        </w:rPr>
        <w:t xml:space="preserve"> </w:t>
      </w:r>
      <w:r w:rsidR="005F16E5">
        <w:rPr>
          <w:rFonts w:ascii="Palatino Linotype" w:hAnsi="Palatino Linotype"/>
          <w:bCs/>
        </w:rPr>
        <w:t>civil wrongs</w:t>
      </w:r>
      <w:r>
        <w:rPr>
          <w:rFonts w:ascii="Palatino Linotype" w:hAnsi="Palatino Linotype"/>
          <w:bCs/>
        </w:rPr>
        <w:t xml:space="preserve"> </w:t>
      </w:r>
      <w:r w:rsidR="00D451BF">
        <w:rPr>
          <w:rFonts w:ascii="Palatino Linotype" w:hAnsi="Palatino Linotype"/>
          <w:bCs/>
        </w:rPr>
        <w:t>alleged</w:t>
      </w:r>
      <w:r>
        <w:rPr>
          <w:rFonts w:ascii="Palatino Linotype" w:hAnsi="Palatino Linotype"/>
          <w:bCs/>
        </w:rPr>
        <w:t xml:space="preserve"> in th</w:t>
      </w:r>
      <w:r w:rsidR="005F16E5">
        <w:rPr>
          <w:rFonts w:ascii="Palatino Linotype" w:hAnsi="Palatino Linotype"/>
          <w:bCs/>
        </w:rPr>
        <w:t>e</w:t>
      </w:r>
      <w:r>
        <w:rPr>
          <w:rFonts w:ascii="Palatino Linotype" w:hAnsi="Palatino Linotype"/>
          <w:bCs/>
        </w:rPr>
        <w:t xml:space="preserve"> case, which fact </w:t>
      </w:r>
      <w:r w:rsidR="004F4BBA">
        <w:rPr>
          <w:rFonts w:ascii="Palatino Linotype" w:hAnsi="Palatino Linotype"/>
          <w:bCs/>
        </w:rPr>
        <w:t>is</w:t>
      </w:r>
      <w:r>
        <w:rPr>
          <w:rFonts w:ascii="Palatino Linotype" w:hAnsi="Palatino Linotype"/>
          <w:bCs/>
        </w:rPr>
        <w:t xml:space="preserve"> admissible in evidence.</w:t>
      </w:r>
    </w:p>
    <w:p w14:paraId="35ED03E9" w14:textId="11891D77" w:rsidR="00D83DE0" w:rsidRDefault="00652847" w:rsidP="0028098E">
      <w:pPr>
        <w:pStyle w:val="ListParagraph"/>
        <w:numPr>
          <w:ilvl w:val="0"/>
          <w:numId w:val="1"/>
        </w:numPr>
        <w:spacing w:line="480" w:lineRule="auto"/>
        <w:jc w:val="both"/>
        <w:rPr>
          <w:rFonts w:ascii="Palatino Linotype" w:hAnsi="Palatino Linotype"/>
          <w:bCs/>
        </w:rPr>
      </w:pPr>
      <w:r>
        <w:rPr>
          <w:rFonts w:ascii="Palatino Linotype" w:hAnsi="Palatino Linotype"/>
          <w:bCs/>
        </w:rPr>
        <w:t>t</w:t>
      </w:r>
      <w:r w:rsidR="00D83DE0">
        <w:rPr>
          <w:rFonts w:ascii="Palatino Linotype" w:hAnsi="Palatino Linotype"/>
          <w:bCs/>
        </w:rPr>
        <w:t xml:space="preserve">he </w:t>
      </w:r>
      <w:r w:rsidR="00A10E7A" w:rsidRPr="00D83DE0">
        <w:rPr>
          <w:rFonts w:ascii="Palatino Linotype" w:hAnsi="Palatino Linotype"/>
          <w:bCs/>
        </w:rPr>
        <w:t>Defendant</w:t>
      </w:r>
      <w:r w:rsidR="004F4BBA">
        <w:rPr>
          <w:rFonts w:ascii="Palatino Linotype" w:hAnsi="Palatino Linotype"/>
          <w:bCs/>
        </w:rPr>
        <w:t>’s</w:t>
      </w:r>
      <w:r w:rsidR="00A10E7A" w:rsidRPr="00D83DE0">
        <w:rPr>
          <w:rFonts w:ascii="Palatino Linotype" w:hAnsi="Palatino Linotype"/>
          <w:bCs/>
        </w:rPr>
        <w:t xml:space="preserve"> </w:t>
      </w:r>
      <w:r w:rsidR="004F4BBA">
        <w:rPr>
          <w:rFonts w:ascii="Palatino Linotype" w:hAnsi="Palatino Linotype"/>
          <w:bCs/>
        </w:rPr>
        <w:t>inability</w:t>
      </w:r>
      <w:r w:rsidR="00A10E7A" w:rsidRPr="00D83DE0">
        <w:rPr>
          <w:rFonts w:ascii="Palatino Linotype" w:hAnsi="Palatino Linotype"/>
          <w:bCs/>
        </w:rPr>
        <w:t xml:space="preserve"> to give an indication as to when he </w:t>
      </w:r>
      <w:r>
        <w:rPr>
          <w:rFonts w:ascii="Palatino Linotype" w:hAnsi="Palatino Linotype"/>
          <w:bCs/>
        </w:rPr>
        <w:t>would complete his application form</w:t>
      </w:r>
      <w:r w:rsidR="00D451BF">
        <w:rPr>
          <w:rFonts w:ascii="Palatino Linotype" w:hAnsi="Palatino Linotype"/>
          <w:bCs/>
        </w:rPr>
        <w:t xml:space="preserve">, let alone when he might </w:t>
      </w:r>
      <w:r>
        <w:rPr>
          <w:rFonts w:ascii="Palatino Linotype" w:hAnsi="Palatino Linotype"/>
          <w:bCs/>
        </w:rPr>
        <w:t>be</w:t>
      </w:r>
      <w:r w:rsidR="00A10E7A" w:rsidRPr="00D83DE0">
        <w:rPr>
          <w:rFonts w:ascii="Palatino Linotype" w:hAnsi="Palatino Linotype"/>
          <w:bCs/>
        </w:rPr>
        <w:t xml:space="preserve"> </w:t>
      </w:r>
      <w:proofErr w:type="gramStart"/>
      <w:r w:rsidR="00A10E7A" w:rsidRPr="00D83DE0">
        <w:rPr>
          <w:rFonts w:ascii="Palatino Linotype" w:hAnsi="Palatino Linotype"/>
          <w:bCs/>
        </w:rPr>
        <w:t>in a position</w:t>
      </w:r>
      <w:proofErr w:type="gramEnd"/>
      <w:r w:rsidR="00A10E7A" w:rsidRPr="00D83DE0">
        <w:rPr>
          <w:rFonts w:ascii="Palatino Linotype" w:hAnsi="Palatino Linotype"/>
          <w:bCs/>
        </w:rPr>
        <w:t xml:space="preserve"> to proceed</w:t>
      </w:r>
      <w:r>
        <w:rPr>
          <w:rFonts w:ascii="Palatino Linotype" w:hAnsi="Palatino Linotype"/>
          <w:bCs/>
        </w:rPr>
        <w:t xml:space="preserve"> with the case</w:t>
      </w:r>
      <w:r w:rsidR="00A10E7A" w:rsidRPr="00D83DE0">
        <w:rPr>
          <w:rFonts w:ascii="Palatino Linotype" w:hAnsi="Palatino Linotype"/>
          <w:bCs/>
        </w:rPr>
        <w:t xml:space="preserve">. </w:t>
      </w:r>
    </w:p>
    <w:p w14:paraId="010BC176" w14:textId="3D3C5BE5" w:rsidR="008E0A7D" w:rsidRPr="005F16E5" w:rsidRDefault="0028098E" w:rsidP="0028098E">
      <w:pPr>
        <w:spacing w:line="480" w:lineRule="auto"/>
        <w:jc w:val="both"/>
        <w:rPr>
          <w:rFonts w:ascii="Palatino Linotype" w:hAnsi="Palatino Linotype"/>
          <w:bCs/>
        </w:rPr>
      </w:pPr>
      <w:r>
        <w:rPr>
          <w:rFonts w:ascii="Palatino Linotype" w:hAnsi="Palatino Linotype"/>
          <w:bCs/>
        </w:rPr>
        <w:t>2.</w:t>
      </w:r>
      <w:r w:rsidR="008E0A7D">
        <w:rPr>
          <w:rFonts w:ascii="Palatino Linotype" w:hAnsi="Palatino Linotype"/>
          <w:bCs/>
        </w:rPr>
        <w:t>7</w:t>
      </w:r>
      <w:r>
        <w:rPr>
          <w:rFonts w:ascii="Palatino Linotype" w:hAnsi="Palatino Linotype"/>
          <w:bCs/>
        </w:rPr>
        <w:tab/>
      </w:r>
      <w:r w:rsidR="00A10E7A" w:rsidRPr="00D83DE0">
        <w:rPr>
          <w:rFonts w:ascii="Palatino Linotype" w:hAnsi="Palatino Linotype"/>
          <w:bCs/>
        </w:rPr>
        <w:t xml:space="preserve">Balancing the interests of both parties and </w:t>
      </w:r>
      <w:proofErr w:type="gramStart"/>
      <w:r w:rsidR="00A10E7A" w:rsidRPr="00D83DE0">
        <w:rPr>
          <w:rFonts w:ascii="Palatino Linotype" w:hAnsi="Palatino Linotype"/>
          <w:bCs/>
        </w:rPr>
        <w:t>on the basis of</w:t>
      </w:r>
      <w:proofErr w:type="gramEnd"/>
      <w:r w:rsidR="00A10E7A" w:rsidRPr="00D83DE0">
        <w:rPr>
          <w:rFonts w:ascii="Palatino Linotype" w:hAnsi="Palatino Linotype"/>
          <w:bCs/>
        </w:rPr>
        <w:t xml:space="preserve"> the above considerations, the Court </w:t>
      </w:r>
      <w:r w:rsidR="00652847">
        <w:rPr>
          <w:rFonts w:ascii="Palatino Linotype" w:hAnsi="Palatino Linotype"/>
          <w:bCs/>
        </w:rPr>
        <w:t>held</w:t>
      </w:r>
      <w:r w:rsidR="00A10E7A" w:rsidRPr="00D83DE0">
        <w:rPr>
          <w:rFonts w:ascii="Palatino Linotype" w:hAnsi="Palatino Linotype"/>
          <w:bCs/>
        </w:rPr>
        <w:t xml:space="preserve"> that it would not be appropriate to grant a further adjournment</w:t>
      </w:r>
      <w:r w:rsidR="00B270F1">
        <w:rPr>
          <w:rFonts w:ascii="Palatino Linotype" w:hAnsi="Palatino Linotype"/>
          <w:bCs/>
        </w:rPr>
        <w:t xml:space="preserve">.  The Defendant had made such little progress in an application that was now extremely urgent, and this had to be seen against a background of inactivity stretching back over the previous year. The prospects of success in his application had to be slim indeed, </w:t>
      </w:r>
      <w:proofErr w:type="gramStart"/>
      <w:r w:rsidR="00B270F1">
        <w:rPr>
          <w:rFonts w:ascii="Palatino Linotype" w:hAnsi="Palatino Linotype"/>
          <w:bCs/>
        </w:rPr>
        <w:t>taking into account</w:t>
      </w:r>
      <w:proofErr w:type="gramEnd"/>
      <w:r w:rsidR="00B270F1">
        <w:rPr>
          <w:rFonts w:ascii="Palatino Linotype" w:hAnsi="Palatino Linotype"/>
          <w:bCs/>
        </w:rPr>
        <w:t xml:space="preserve"> his previous </w:t>
      </w:r>
      <w:r w:rsidR="00B270F1">
        <w:rPr>
          <w:rFonts w:ascii="Palatino Linotype" w:hAnsi="Palatino Linotype"/>
          <w:bCs/>
        </w:rPr>
        <w:lastRenderedPageBreak/>
        <w:t>convictions, which was a factor that was likely to weigh against him in the assessment of the Board.  As a result of this ruling, the</w:t>
      </w:r>
      <w:r w:rsidR="00A10E7A" w:rsidRPr="00D83DE0">
        <w:rPr>
          <w:rFonts w:ascii="Palatino Linotype" w:hAnsi="Palatino Linotype"/>
          <w:bCs/>
        </w:rPr>
        <w:t xml:space="preserve"> hearing </w:t>
      </w:r>
      <w:r w:rsidR="00B270F1">
        <w:rPr>
          <w:rFonts w:ascii="Palatino Linotype" w:hAnsi="Palatino Linotype"/>
          <w:bCs/>
        </w:rPr>
        <w:t>began</w:t>
      </w:r>
      <w:r w:rsidR="00A10E7A" w:rsidRPr="00D83DE0">
        <w:rPr>
          <w:rFonts w:ascii="Palatino Linotype" w:hAnsi="Palatino Linotype"/>
          <w:bCs/>
        </w:rPr>
        <w:t xml:space="preserve"> on the </w:t>
      </w:r>
      <w:r w:rsidR="00291084">
        <w:rPr>
          <w:rFonts w:ascii="Palatino Linotype" w:hAnsi="Palatino Linotype"/>
          <w:bCs/>
        </w:rPr>
        <w:t>26</w:t>
      </w:r>
      <w:r w:rsidR="00291084" w:rsidRPr="00291084">
        <w:rPr>
          <w:rFonts w:ascii="Palatino Linotype" w:hAnsi="Palatino Linotype"/>
          <w:bCs/>
        </w:rPr>
        <w:t>th</w:t>
      </w:r>
      <w:r w:rsidR="00291084">
        <w:rPr>
          <w:rFonts w:ascii="Palatino Linotype" w:hAnsi="Palatino Linotype"/>
          <w:bCs/>
        </w:rPr>
        <w:t xml:space="preserve"> </w:t>
      </w:r>
      <w:r w:rsidR="00A10E7A" w:rsidRPr="00D83DE0">
        <w:rPr>
          <w:rFonts w:ascii="Palatino Linotype" w:hAnsi="Palatino Linotype"/>
          <w:bCs/>
        </w:rPr>
        <w:t xml:space="preserve">of </w:t>
      </w:r>
      <w:proofErr w:type="gramStart"/>
      <w:r w:rsidR="00A10E7A" w:rsidRPr="00D83DE0">
        <w:rPr>
          <w:rFonts w:ascii="Palatino Linotype" w:hAnsi="Palatino Linotype"/>
          <w:bCs/>
        </w:rPr>
        <w:t>April</w:t>
      </w:r>
      <w:r w:rsidR="00907AF3">
        <w:rPr>
          <w:rFonts w:ascii="Palatino Linotype" w:hAnsi="Palatino Linotype"/>
          <w:bCs/>
        </w:rPr>
        <w:t>,</w:t>
      </w:r>
      <w:proofErr w:type="gramEnd"/>
      <w:r w:rsidR="00907AF3">
        <w:rPr>
          <w:rFonts w:ascii="Palatino Linotype" w:hAnsi="Palatino Linotype"/>
          <w:bCs/>
        </w:rPr>
        <w:t xml:space="preserve"> 2022.</w:t>
      </w:r>
    </w:p>
    <w:p w14:paraId="20FA0011" w14:textId="6C1B2494" w:rsidR="00BB623E" w:rsidRPr="00C75505" w:rsidRDefault="0028098E" w:rsidP="0028098E">
      <w:pPr>
        <w:spacing w:line="480" w:lineRule="auto"/>
        <w:jc w:val="both"/>
        <w:rPr>
          <w:rFonts w:ascii="Palatino Linotype" w:hAnsi="Palatino Linotype"/>
          <w:b/>
          <w:bCs/>
        </w:rPr>
      </w:pPr>
      <w:r w:rsidRPr="00C75505">
        <w:rPr>
          <w:rFonts w:ascii="Palatino Linotype" w:hAnsi="Palatino Linotype"/>
          <w:b/>
          <w:bCs/>
        </w:rPr>
        <w:t xml:space="preserve">3. </w:t>
      </w:r>
      <w:r w:rsidR="00291084">
        <w:rPr>
          <w:rFonts w:ascii="Palatino Linotype" w:hAnsi="Palatino Linotype"/>
          <w:b/>
          <w:bCs/>
        </w:rPr>
        <w:t xml:space="preserve"> </w:t>
      </w:r>
      <w:r w:rsidR="00BB623E" w:rsidRPr="00C75505">
        <w:rPr>
          <w:rFonts w:ascii="Palatino Linotype" w:hAnsi="Palatino Linotype"/>
          <w:b/>
          <w:bCs/>
        </w:rPr>
        <w:t xml:space="preserve">The Scope of the Claim – </w:t>
      </w:r>
      <w:r w:rsidR="00C75505">
        <w:rPr>
          <w:rFonts w:ascii="Palatino Linotype" w:hAnsi="Palatino Linotype"/>
          <w:b/>
          <w:bCs/>
        </w:rPr>
        <w:t>C</w:t>
      </w:r>
      <w:r w:rsidR="00BB623E" w:rsidRPr="00C75505">
        <w:rPr>
          <w:rFonts w:ascii="Palatino Linotype" w:hAnsi="Palatino Linotype"/>
          <w:b/>
          <w:bCs/>
        </w:rPr>
        <w:t xml:space="preserve">onstitutional </w:t>
      </w:r>
      <w:r w:rsidR="00C75505">
        <w:rPr>
          <w:rFonts w:ascii="Palatino Linotype" w:hAnsi="Palatino Linotype"/>
          <w:b/>
          <w:bCs/>
        </w:rPr>
        <w:t>B</w:t>
      </w:r>
      <w:r w:rsidR="00BB623E" w:rsidRPr="00C75505">
        <w:rPr>
          <w:rFonts w:ascii="Palatino Linotype" w:hAnsi="Palatino Linotype"/>
          <w:b/>
          <w:bCs/>
        </w:rPr>
        <w:t xml:space="preserve">reaches </w:t>
      </w:r>
      <w:r w:rsidR="004F4BBA">
        <w:rPr>
          <w:rFonts w:ascii="Palatino Linotype" w:hAnsi="Palatino Linotype"/>
          <w:b/>
          <w:bCs/>
        </w:rPr>
        <w:t>and Nominate</w:t>
      </w:r>
      <w:r w:rsidR="00BB623E" w:rsidRPr="00C75505">
        <w:rPr>
          <w:rFonts w:ascii="Palatino Linotype" w:hAnsi="Palatino Linotype"/>
          <w:b/>
          <w:bCs/>
        </w:rPr>
        <w:t xml:space="preserve"> </w:t>
      </w:r>
      <w:r w:rsidR="00C75505">
        <w:rPr>
          <w:rFonts w:ascii="Palatino Linotype" w:hAnsi="Palatino Linotype"/>
          <w:b/>
          <w:bCs/>
        </w:rPr>
        <w:t>T</w:t>
      </w:r>
      <w:r w:rsidR="00BB623E" w:rsidRPr="00C75505">
        <w:rPr>
          <w:rFonts w:ascii="Palatino Linotype" w:hAnsi="Palatino Linotype"/>
          <w:b/>
          <w:bCs/>
        </w:rPr>
        <w:t>orts</w:t>
      </w:r>
    </w:p>
    <w:p w14:paraId="31E155FB" w14:textId="636B80B7" w:rsidR="000D4EDD" w:rsidRDefault="0028098E" w:rsidP="0028098E">
      <w:pPr>
        <w:spacing w:line="480" w:lineRule="auto"/>
        <w:jc w:val="both"/>
        <w:rPr>
          <w:rFonts w:ascii="Palatino Linotype" w:hAnsi="Palatino Linotype"/>
        </w:rPr>
      </w:pPr>
      <w:r>
        <w:rPr>
          <w:rFonts w:ascii="Palatino Linotype" w:hAnsi="Palatino Linotype"/>
        </w:rPr>
        <w:t>3.1</w:t>
      </w:r>
      <w:r>
        <w:rPr>
          <w:rFonts w:ascii="Palatino Linotype" w:hAnsi="Palatino Linotype"/>
        </w:rPr>
        <w:tab/>
      </w:r>
      <w:r w:rsidR="000D4EDD">
        <w:rPr>
          <w:rFonts w:ascii="Palatino Linotype" w:hAnsi="Palatino Linotype"/>
        </w:rPr>
        <w:t xml:space="preserve">The reliefs claimed, as outlined in the Personal Injuries Summons, include damages, including aggravated damages, for assault, sexual assault and trespass </w:t>
      </w:r>
      <w:r w:rsidR="00FB558F">
        <w:rPr>
          <w:rFonts w:ascii="Palatino Linotype" w:hAnsi="Palatino Linotype"/>
        </w:rPr>
        <w:t>against</w:t>
      </w:r>
      <w:r w:rsidR="000D4EDD">
        <w:rPr>
          <w:rFonts w:ascii="Palatino Linotype" w:hAnsi="Palatino Linotype"/>
        </w:rPr>
        <w:t xml:space="preserve"> the person</w:t>
      </w:r>
      <w:r w:rsidR="00DF6318">
        <w:rPr>
          <w:rFonts w:ascii="Palatino Linotype" w:hAnsi="Palatino Linotype"/>
        </w:rPr>
        <w:t xml:space="preserve">, and various </w:t>
      </w:r>
      <w:r w:rsidR="00DF6318" w:rsidRPr="00DF6318">
        <w:rPr>
          <w:rFonts w:ascii="Palatino Linotype" w:hAnsi="Palatino Linotype"/>
        </w:rPr>
        <w:t>breach</w:t>
      </w:r>
      <w:r w:rsidR="00DF6318">
        <w:rPr>
          <w:rFonts w:ascii="Palatino Linotype" w:hAnsi="Palatino Linotype"/>
        </w:rPr>
        <w:t>es</w:t>
      </w:r>
      <w:r w:rsidR="00DF6318" w:rsidRPr="00DF6318">
        <w:rPr>
          <w:rFonts w:ascii="Palatino Linotype" w:hAnsi="Palatino Linotype"/>
        </w:rPr>
        <w:t xml:space="preserve"> of the Plaintiff’s constitutional rights</w:t>
      </w:r>
      <w:r w:rsidR="000D4EDD">
        <w:rPr>
          <w:rFonts w:ascii="Palatino Linotype" w:hAnsi="Palatino Linotype"/>
        </w:rPr>
        <w:t>.</w:t>
      </w:r>
    </w:p>
    <w:p w14:paraId="2CAC54CD" w14:textId="5F7CD0E7" w:rsidR="000D4EDD" w:rsidRPr="001647C1" w:rsidRDefault="0028098E" w:rsidP="0028098E">
      <w:pPr>
        <w:spacing w:line="480" w:lineRule="auto"/>
        <w:jc w:val="both"/>
        <w:rPr>
          <w:rFonts w:ascii="Palatino Linotype" w:hAnsi="Palatino Linotype"/>
        </w:rPr>
      </w:pPr>
      <w:r>
        <w:rPr>
          <w:rFonts w:ascii="Palatino Linotype" w:hAnsi="Palatino Linotype"/>
        </w:rPr>
        <w:t>3.2</w:t>
      </w:r>
      <w:r>
        <w:rPr>
          <w:rFonts w:ascii="Palatino Linotype" w:hAnsi="Palatino Linotype"/>
        </w:rPr>
        <w:tab/>
      </w:r>
      <w:r w:rsidR="00DF6318">
        <w:rPr>
          <w:rFonts w:ascii="Palatino Linotype" w:hAnsi="Palatino Linotype"/>
        </w:rPr>
        <w:t>I</w:t>
      </w:r>
      <w:r w:rsidR="000D4EDD">
        <w:rPr>
          <w:rFonts w:ascii="Palatino Linotype" w:hAnsi="Palatino Linotype"/>
        </w:rPr>
        <w:t xml:space="preserve">n </w:t>
      </w:r>
      <w:r w:rsidR="000D4EDD" w:rsidRPr="00F44E2E">
        <w:rPr>
          <w:rFonts w:ascii="Palatino Linotype" w:hAnsi="Palatino Linotype"/>
          <w:i/>
        </w:rPr>
        <w:t>D</w:t>
      </w:r>
      <w:r w:rsidR="000D4EDD" w:rsidRPr="00F44E2E">
        <w:rPr>
          <w:rFonts w:ascii="Palatino Linotype" w:hAnsi="Palatino Linotype"/>
        </w:rPr>
        <w:t>.</w:t>
      </w:r>
      <w:r w:rsidR="000D4EDD" w:rsidRPr="00F44E2E">
        <w:rPr>
          <w:rFonts w:ascii="Palatino Linotype" w:hAnsi="Palatino Linotype"/>
          <w:i/>
        </w:rPr>
        <w:t xml:space="preserve">F. </w:t>
      </w:r>
      <w:r w:rsidR="00291084">
        <w:rPr>
          <w:rFonts w:ascii="Palatino Linotype" w:hAnsi="Palatino Linotype"/>
          <w:i/>
        </w:rPr>
        <w:t>v.</w:t>
      </w:r>
      <w:r w:rsidR="000D4EDD" w:rsidRPr="00F44E2E">
        <w:rPr>
          <w:rFonts w:ascii="Palatino Linotype" w:hAnsi="Palatino Linotype"/>
          <w:i/>
        </w:rPr>
        <w:t xml:space="preserve"> Garda Commissioner, Minister for Justice, Equality and Defence </w:t>
      </w:r>
      <w:r w:rsidR="00DF6318" w:rsidRPr="00F44E2E">
        <w:rPr>
          <w:rFonts w:ascii="Palatino Linotype" w:hAnsi="Palatino Linotype"/>
          <w:i/>
        </w:rPr>
        <w:t>and others</w:t>
      </w:r>
      <w:r w:rsidR="000D4EDD">
        <w:rPr>
          <w:rFonts w:ascii="Palatino Linotype" w:hAnsi="Palatino Linotype"/>
        </w:rPr>
        <w:t xml:space="preserve"> [2014] IEHC 213, </w:t>
      </w:r>
      <w:r w:rsidR="00DF6318">
        <w:rPr>
          <w:rFonts w:ascii="Palatino Linotype" w:hAnsi="Palatino Linotype"/>
        </w:rPr>
        <w:t xml:space="preserve">Mr. Justice Hogan </w:t>
      </w:r>
      <w:r w:rsidR="000D4EDD">
        <w:rPr>
          <w:rFonts w:ascii="Palatino Linotype" w:hAnsi="Palatino Linotype"/>
        </w:rPr>
        <w:t xml:space="preserve">held that where </w:t>
      </w:r>
      <w:r w:rsidR="00DF6318">
        <w:rPr>
          <w:rFonts w:ascii="Palatino Linotype" w:hAnsi="Palatino Linotype"/>
        </w:rPr>
        <w:t xml:space="preserve">constitutional </w:t>
      </w:r>
      <w:r w:rsidR="000D4EDD">
        <w:rPr>
          <w:rFonts w:ascii="Palatino Linotype" w:hAnsi="Palatino Linotype"/>
        </w:rPr>
        <w:t>reliefs sought replicat</w:t>
      </w:r>
      <w:r w:rsidR="00DF6318">
        <w:rPr>
          <w:rFonts w:ascii="Palatino Linotype" w:hAnsi="Palatino Linotype"/>
        </w:rPr>
        <w:t>e</w:t>
      </w:r>
      <w:r w:rsidR="000D4EDD">
        <w:rPr>
          <w:rFonts w:ascii="Palatino Linotype" w:hAnsi="Palatino Linotype"/>
        </w:rPr>
        <w:t xml:space="preserve"> claims in respect of nomina</w:t>
      </w:r>
      <w:r w:rsidR="00DF6318">
        <w:rPr>
          <w:rFonts w:ascii="Palatino Linotype" w:hAnsi="Palatino Linotype"/>
        </w:rPr>
        <w:t>te</w:t>
      </w:r>
      <w:r w:rsidR="000D4EDD">
        <w:rPr>
          <w:rFonts w:ascii="Palatino Linotype" w:hAnsi="Palatino Linotype"/>
        </w:rPr>
        <w:t xml:space="preserve"> torts, the Court </w:t>
      </w:r>
      <w:r w:rsidR="00DF6318">
        <w:rPr>
          <w:rFonts w:ascii="Palatino Linotype" w:hAnsi="Palatino Linotype"/>
        </w:rPr>
        <w:t>should</w:t>
      </w:r>
      <w:r w:rsidR="000D4EDD">
        <w:rPr>
          <w:rFonts w:ascii="Palatino Linotype" w:hAnsi="Palatino Linotype"/>
        </w:rPr>
        <w:t xml:space="preserve"> strike out the claim based on a breach of constitutional rights where the tort </w:t>
      </w:r>
      <w:r w:rsidR="00703D34">
        <w:rPr>
          <w:rFonts w:ascii="Palatino Linotype" w:hAnsi="Palatino Linotype"/>
        </w:rPr>
        <w:t>‘</w:t>
      </w:r>
      <w:r w:rsidR="000D4EDD" w:rsidRPr="00F63AD7">
        <w:rPr>
          <w:rFonts w:ascii="Palatino Linotype" w:hAnsi="Palatino Linotype"/>
          <w:i/>
          <w:iCs/>
        </w:rPr>
        <w:t>provides a full and complete protection for the constitutional right</w:t>
      </w:r>
      <w:r w:rsidR="000D4EDD">
        <w:rPr>
          <w:rFonts w:ascii="Palatino Linotype" w:hAnsi="Palatino Linotype"/>
        </w:rPr>
        <w:t>.</w:t>
      </w:r>
      <w:r w:rsidR="00703D34">
        <w:rPr>
          <w:rFonts w:ascii="Palatino Linotype" w:hAnsi="Palatino Linotype"/>
        </w:rPr>
        <w:t>’</w:t>
      </w:r>
      <w:r w:rsidR="005F16E5">
        <w:rPr>
          <w:rFonts w:ascii="Palatino Linotype" w:hAnsi="Palatino Linotype"/>
        </w:rPr>
        <w:t xml:space="preserve">  In other words, the Plaintiff’s case should not include claims for damages for breaches of constitutional rights where the acts complained of also fall within the recognised categories of civil wrongs for which damages are payable.  </w:t>
      </w:r>
      <w:r w:rsidR="00B270F1">
        <w:rPr>
          <w:rFonts w:ascii="Palatino Linotype" w:hAnsi="Palatino Linotype"/>
        </w:rPr>
        <w:t xml:space="preserve">This approach </w:t>
      </w:r>
      <w:r w:rsidR="001647C1">
        <w:rPr>
          <w:rFonts w:ascii="Palatino Linotype" w:hAnsi="Palatino Linotype"/>
        </w:rPr>
        <w:t>is</w:t>
      </w:r>
      <w:r w:rsidR="00F44E2E">
        <w:rPr>
          <w:rFonts w:ascii="Palatino Linotype" w:hAnsi="Palatino Linotype"/>
        </w:rPr>
        <w:t xml:space="preserve"> consistent with</w:t>
      </w:r>
      <w:r w:rsidR="001647C1">
        <w:rPr>
          <w:rFonts w:ascii="Palatino Linotype" w:hAnsi="Palatino Linotype"/>
        </w:rPr>
        <w:t xml:space="preserve"> that adopted in many cases, as described</w:t>
      </w:r>
      <w:r w:rsidR="00174AF7">
        <w:rPr>
          <w:rFonts w:ascii="Palatino Linotype" w:hAnsi="Palatino Linotype"/>
        </w:rPr>
        <w:t xml:space="preserve"> by Mr. Justice Murray, delivering the Court of Appeal decision in </w:t>
      </w:r>
      <w:r w:rsidR="00174AF7" w:rsidRPr="00060C54">
        <w:rPr>
          <w:rFonts w:ascii="Palatino Linotype" w:hAnsi="Palatino Linotype"/>
          <w:i/>
          <w:iCs/>
        </w:rPr>
        <w:t>G.E. v</w:t>
      </w:r>
      <w:r w:rsidR="00CC1121">
        <w:rPr>
          <w:rFonts w:ascii="Palatino Linotype" w:hAnsi="Palatino Linotype"/>
          <w:i/>
          <w:iCs/>
        </w:rPr>
        <w:t>.</w:t>
      </w:r>
      <w:r w:rsidR="00174AF7" w:rsidRPr="00060C54">
        <w:rPr>
          <w:rFonts w:ascii="Palatino Linotype" w:hAnsi="Palatino Linotype"/>
          <w:i/>
          <w:iCs/>
        </w:rPr>
        <w:t xml:space="preserve"> </w:t>
      </w:r>
      <w:r w:rsidR="009D3483">
        <w:rPr>
          <w:rFonts w:ascii="Palatino Linotype" w:hAnsi="Palatino Linotype"/>
          <w:i/>
          <w:iCs/>
        </w:rPr>
        <w:t xml:space="preserve">The Commissioner of </w:t>
      </w:r>
      <w:proofErr w:type="gramStart"/>
      <w:r w:rsidR="00703D34">
        <w:rPr>
          <w:rFonts w:ascii="Palatino Linotype" w:hAnsi="Palatino Linotype"/>
          <w:i/>
          <w:iCs/>
        </w:rPr>
        <w:t>A</w:t>
      </w:r>
      <w:r w:rsidR="009D3483">
        <w:rPr>
          <w:rFonts w:ascii="Palatino Linotype" w:hAnsi="Palatino Linotype"/>
          <w:i/>
          <w:iCs/>
        </w:rPr>
        <w:t>n</w:t>
      </w:r>
      <w:proofErr w:type="gramEnd"/>
      <w:r w:rsidR="009D3483">
        <w:rPr>
          <w:rFonts w:ascii="Palatino Linotype" w:hAnsi="Palatino Linotype"/>
          <w:i/>
          <w:iCs/>
        </w:rPr>
        <w:t xml:space="preserve"> Garda Síoch</w:t>
      </w:r>
      <w:r w:rsidR="009508EC">
        <w:rPr>
          <w:rFonts w:ascii="Palatino Linotype" w:hAnsi="Palatino Linotype"/>
          <w:i/>
          <w:iCs/>
        </w:rPr>
        <w:t>á</w:t>
      </w:r>
      <w:r w:rsidR="009D3483">
        <w:rPr>
          <w:rFonts w:ascii="Palatino Linotype" w:hAnsi="Palatino Linotype"/>
          <w:i/>
          <w:iCs/>
        </w:rPr>
        <w:t>na</w:t>
      </w:r>
      <w:r w:rsidR="000563CF">
        <w:rPr>
          <w:rFonts w:ascii="Palatino Linotype" w:hAnsi="Palatino Linotype"/>
          <w:i/>
          <w:iCs/>
        </w:rPr>
        <w:t xml:space="preserve"> and Others</w:t>
      </w:r>
      <w:r w:rsidR="00174AF7">
        <w:rPr>
          <w:rFonts w:ascii="Palatino Linotype" w:hAnsi="Palatino Linotype"/>
        </w:rPr>
        <w:t xml:space="preserve"> </w:t>
      </w:r>
      <w:r w:rsidR="001647C1" w:rsidRPr="001647C1">
        <w:rPr>
          <w:rFonts w:ascii="Palatino Linotype" w:hAnsi="Palatino Linotype"/>
        </w:rPr>
        <w:t>[2021] IECA 113</w:t>
      </w:r>
      <w:r w:rsidR="00174AF7">
        <w:rPr>
          <w:rFonts w:ascii="Palatino Linotype" w:hAnsi="Palatino Linotype"/>
        </w:rPr>
        <w:t xml:space="preserve">.  Murray J. traced the history of this </w:t>
      </w:r>
      <w:r w:rsidR="000311F4">
        <w:rPr>
          <w:rFonts w:ascii="Palatino Linotype" w:hAnsi="Palatino Linotype"/>
        </w:rPr>
        <w:t>approach</w:t>
      </w:r>
      <w:r w:rsidR="00174AF7">
        <w:rPr>
          <w:rFonts w:ascii="Palatino Linotype" w:hAnsi="Palatino Linotype"/>
        </w:rPr>
        <w:t xml:space="preserve"> from</w:t>
      </w:r>
      <w:r w:rsidR="00174AF7" w:rsidRPr="00174AF7">
        <w:rPr>
          <w:rFonts w:ascii="Palatino Linotype" w:hAnsi="Palatino Linotype"/>
        </w:rPr>
        <w:t xml:space="preserve"> </w:t>
      </w:r>
      <w:r w:rsidR="00174AF7" w:rsidRPr="00CC1121">
        <w:rPr>
          <w:rFonts w:ascii="Palatino Linotype" w:hAnsi="Palatino Linotype"/>
          <w:i/>
          <w:iCs/>
        </w:rPr>
        <w:t>Hanrahan v. Merck Sharpe and Dohme</w:t>
      </w:r>
      <w:r w:rsidR="00174AF7" w:rsidRPr="00174AF7">
        <w:rPr>
          <w:rFonts w:ascii="Palatino Linotype" w:hAnsi="Palatino Linotype"/>
        </w:rPr>
        <w:t xml:space="preserve"> [1988] ILRM 629, </w:t>
      </w:r>
      <w:r w:rsidR="00174AF7">
        <w:rPr>
          <w:rFonts w:ascii="Palatino Linotype" w:hAnsi="Palatino Linotype"/>
        </w:rPr>
        <w:t>to</w:t>
      </w:r>
      <w:r w:rsidR="00174AF7" w:rsidRPr="00174AF7">
        <w:rPr>
          <w:rFonts w:ascii="Palatino Linotype" w:hAnsi="Palatino Linotype"/>
        </w:rPr>
        <w:t xml:space="preserve"> </w:t>
      </w:r>
      <w:r w:rsidR="00174AF7" w:rsidRPr="00CC1121">
        <w:rPr>
          <w:rFonts w:ascii="Palatino Linotype" w:hAnsi="Palatino Linotype"/>
          <w:i/>
          <w:iCs/>
        </w:rPr>
        <w:t>M.C. v. Clinical Director of the Central Mental Hospital</w:t>
      </w:r>
      <w:r w:rsidR="00174AF7" w:rsidRPr="00174AF7">
        <w:rPr>
          <w:rFonts w:ascii="Palatino Linotype" w:hAnsi="Palatino Linotype"/>
        </w:rPr>
        <w:t xml:space="preserve"> [2020] IESC 28</w:t>
      </w:r>
      <w:r w:rsidR="00174AF7">
        <w:rPr>
          <w:rFonts w:ascii="Palatino Linotype" w:hAnsi="Palatino Linotype"/>
        </w:rPr>
        <w:t>, summarising the position by saying</w:t>
      </w:r>
      <w:r w:rsidR="00174AF7" w:rsidRPr="00174AF7">
        <w:rPr>
          <w:rFonts w:ascii="Palatino Linotype" w:hAnsi="Palatino Linotype"/>
        </w:rPr>
        <w:t xml:space="preserve"> that liability for constitutional damages would arise only if there was no </w:t>
      </w:r>
      <w:r w:rsidR="00174AF7">
        <w:rPr>
          <w:rFonts w:ascii="Palatino Linotype" w:hAnsi="Palatino Linotype"/>
        </w:rPr>
        <w:t xml:space="preserve">(or no adequate) </w:t>
      </w:r>
      <w:r w:rsidR="00174AF7" w:rsidRPr="00174AF7">
        <w:rPr>
          <w:rFonts w:ascii="Palatino Linotype" w:hAnsi="Palatino Linotype"/>
        </w:rPr>
        <w:t>common law or statutory</w:t>
      </w:r>
      <w:r w:rsidR="00174AF7">
        <w:rPr>
          <w:rFonts w:ascii="Palatino Linotype" w:hAnsi="Palatino Linotype"/>
        </w:rPr>
        <w:t xml:space="preserve"> </w:t>
      </w:r>
      <w:r w:rsidR="00174AF7" w:rsidRPr="00174AF7">
        <w:rPr>
          <w:rFonts w:ascii="Palatino Linotype" w:hAnsi="Palatino Linotype"/>
        </w:rPr>
        <w:t>cause of action covering the activity held to comprise a breach of constitutional rights.</w:t>
      </w:r>
      <w:r w:rsidR="00174AF7">
        <w:rPr>
          <w:rFonts w:ascii="Palatino Linotype" w:hAnsi="Palatino Linotype"/>
        </w:rPr>
        <w:t xml:space="preserve">  He noted that it is the function of </w:t>
      </w:r>
      <w:r w:rsidR="00174AF7" w:rsidRPr="00174AF7">
        <w:rPr>
          <w:rFonts w:ascii="Palatino Linotype" w:hAnsi="Palatino Linotype"/>
        </w:rPr>
        <w:t>the Oireachtas</w:t>
      </w:r>
      <w:r w:rsidR="00174AF7">
        <w:rPr>
          <w:rFonts w:ascii="Palatino Linotype" w:hAnsi="Palatino Linotype"/>
        </w:rPr>
        <w:t xml:space="preserve"> to defend and vindicate constitutional rights through its laws by providing remedies in damages</w:t>
      </w:r>
      <w:r w:rsidR="001647C1">
        <w:rPr>
          <w:rFonts w:ascii="Palatino Linotype" w:hAnsi="Palatino Linotype"/>
        </w:rPr>
        <w:t>,</w:t>
      </w:r>
      <w:r w:rsidR="00174AF7">
        <w:rPr>
          <w:rFonts w:ascii="Palatino Linotype" w:hAnsi="Palatino Linotype"/>
        </w:rPr>
        <w:t xml:space="preserve"> before concluding</w:t>
      </w:r>
      <w:r w:rsidR="001647C1">
        <w:rPr>
          <w:rFonts w:ascii="Palatino Linotype" w:hAnsi="Palatino Linotype"/>
        </w:rPr>
        <w:t xml:space="preserve"> that the</w:t>
      </w:r>
      <w:r w:rsidR="00174AF7" w:rsidRPr="00174AF7">
        <w:rPr>
          <w:rFonts w:ascii="Palatino Linotype" w:hAnsi="Palatino Linotype"/>
          <w:i/>
        </w:rPr>
        <w:t xml:space="preserve"> </w:t>
      </w:r>
      <w:r w:rsidR="00174AF7" w:rsidRPr="001647C1">
        <w:rPr>
          <w:rFonts w:ascii="Palatino Linotype" w:hAnsi="Palatino Linotype"/>
        </w:rPr>
        <w:t>courts</w:t>
      </w:r>
      <w:r w:rsidR="001647C1">
        <w:rPr>
          <w:rFonts w:ascii="Palatino Linotype" w:hAnsi="Palatino Linotype"/>
        </w:rPr>
        <w:t xml:space="preserve"> would</w:t>
      </w:r>
      <w:r w:rsidR="00174AF7" w:rsidRPr="001647C1">
        <w:rPr>
          <w:rFonts w:ascii="Palatino Linotype" w:hAnsi="Palatino Linotype"/>
        </w:rPr>
        <w:t xml:space="preserve"> intervene to supply such a remedy only where there </w:t>
      </w:r>
      <w:r w:rsidR="001647C1">
        <w:rPr>
          <w:rFonts w:ascii="Palatino Linotype" w:hAnsi="Palatino Linotype"/>
        </w:rPr>
        <w:t>was</w:t>
      </w:r>
      <w:r w:rsidR="00174AF7" w:rsidRPr="001647C1">
        <w:rPr>
          <w:rFonts w:ascii="Palatino Linotype" w:hAnsi="Palatino Linotype"/>
        </w:rPr>
        <w:t xml:space="preserve"> a failure by the legislature to </w:t>
      </w:r>
      <w:r w:rsidR="001647C1">
        <w:rPr>
          <w:rFonts w:ascii="Palatino Linotype" w:hAnsi="Palatino Linotype"/>
        </w:rPr>
        <w:t>do so, via statute or common law</w:t>
      </w:r>
      <w:r w:rsidR="00174AF7" w:rsidRPr="001647C1">
        <w:rPr>
          <w:rFonts w:ascii="Palatino Linotype" w:hAnsi="Palatino Linotype"/>
        </w:rPr>
        <w:t>.</w:t>
      </w:r>
    </w:p>
    <w:p w14:paraId="6AC84E49" w14:textId="626D6839" w:rsidR="001220B3" w:rsidRDefault="0028098E" w:rsidP="0028098E">
      <w:pPr>
        <w:spacing w:line="480" w:lineRule="auto"/>
        <w:jc w:val="both"/>
        <w:rPr>
          <w:rFonts w:ascii="Palatino Linotype" w:hAnsi="Palatino Linotype"/>
        </w:rPr>
      </w:pPr>
      <w:r>
        <w:rPr>
          <w:rFonts w:ascii="Palatino Linotype" w:hAnsi="Palatino Linotype"/>
        </w:rPr>
        <w:lastRenderedPageBreak/>
        <w:t>3.3</w:t>
      </w:r>
      <w:r>
        <w:rPr>
          <w:rFonts w:ascii="Palatino Linotype" w:hAnsi="Palatino Linotype"/>
        </w:rPr>
        <w:tab/>
      </w:r>
      <w:r w:rsidR="00F85F1B">
        <w:rPr>
          <w:rFonts w:ascii="Palatino Linotype" w:hAnsi="Palatino Linotype"/>
        </w:rPr>
        <w:t>In respect of the facts of this case, the Plaintiff’s claim for damages</w:t>
      </w:r>
      <w:r w:rsidR="005F16E5">
        <w:rPr>
          <w:rFonts w:ascii="Palatino Linotype" w:hAnsi="Palatino Linotype"/>
        </w:rPr>
        <w:t xml:space="preserve"> </w:t>
      </w:r>
      <w:r w:rsidR="00F85F1B">
        <w:rPr>
          <w:rFonts w:ascii="Palatino Linotype" w:hAnsi="Palatino Linotype"/>
        </w:rPr>
        <w:t>for sexual assault,</w:t>
      </w:r>
      <w:r w:rsidR="00030E92">
        <w:rPr>
          <w:rFonts w:ascii="Palatino Linotype" w:hAnsi="Palatino Linotype"/>
        </w:rPr>
        <w:t xml:space="preserve"> as a trespass </w:t>
      </w:r>
      <w:r w:rsidR="005C02CB">
        <w:rPr>
          <w:rFonts w:ascii="Palatino Linotype" w:hAnsi="Palatino Linotype"/>
        </w:rPr>
        <w:t>against</w:t>
      </w:r>
      <w:r w:rsidR="00030E92">
        <w:rPr>
          <w:rFonts w:ascii="Palatino Linotype" w:hAnsi="Palatino Linotype"/>
        </w:rPr>
        <w:t xml:space="preserve"> the person,</w:t>
      </w:r>
      <w:r w:rsidR="00F85F1B">
        <w:rPr>
          <w:rFonts w:ascii="Palatino Linotype" w:hAnsi="Palatino Linotype"/>
        </w:rPr>
        <w:t xml:space="preserve"> </w:t>
      </w:r>
      <w:r w:rsidR="008B378D">
        <w:rPr>
          <w:rFonts w:ascii="Palatino Linotype" w:hAnsi="Palatino Linotype"/>
        </w:rPr>
        <w:t>describes the essence of</w:t>
      </w:r>
      <w:r w:rsidR="00F85F1B">
        <w:rPr>
          <w:rFonts w:ascii="Palatino Linotype" w:hAnsi="Palatino Linotype"/>
        </w:rPr>
        <w:t xml:space="preserve"> the case</w:t>
      </w:r>
      <w:r w:rsidR="00F61F17">
        <w:rPr>
          <w:rFonts w:ascii="Palatino Linotype" w:hAnsi="Palatino Linotype"/>
        </w:rPr>
        <w:t xml:space="preserve"> and</w:t>
      </w:r>
      <w:r w:rsidR="00F85F1B">
        <w:rPr>
          <w:rFonts w:ascii="Palatino Linotype" w:hAnsi="Palatino Linotype"/>
        </w:rPr>
        <w:t xml:space="preserve"> </w:t>
      </w:r>
      <w:r w:rsidR="00F61F17">
        <w:rPr>
          <w:rFonts w:ascii="Palatino Linotype" w:hAnsi="Palatino Linotype"/>
        </w:rPr>
        <w:t>t</w:t>
      </w:r>
      <w:r w:rsidR="008B378D">
        <w:rPr>
          <w:rFonts w:ascii="Palatino Linotype" w:hAnsi="Palatino Linotype"/>
        </w:rPr>
        <w:t>hat claim</w:t>
      </w:r>
      <w:r w:rsidR="00030E92">
        <w:rPr>
          <w:rFonts w:ascii="Palatino Linotype" w:hAnsi="Palatino Linotype"/>
        </w:rPr>
        <w:t xml:space="preserve"> </w:t>
      </w:r>
      <w:r w:rsidR="008B378D">
        <w:rPr>
          <w:rFonts w:ascii="Palatino Linotype" w:hAnsi="Palatino Linotype"/>
        </w:rPr>
        <w:t>is sufficient</w:t>
      </w:r>
      <w:r w:rsidR="00F85F1B">
        <w:rPr>
          <w:rFonts w:ascii="Palatino Linotype" w:hAnsi="Palatino Linotype"/>
        </w:rPr>
        <w:t xml:space="preserve"> </w:t>
      </w:r>
      <w:r w:rsidR="008B378D">
        <w:rPr>
          <w:rFonts w:ascii="Palatino Linotype" w:hAnsi="Palatino Linotype"/>
        </w:rPr>
        <w:t>to vindicate her right to compensation in respect of all the conduct alleged.</w:t>
      </w:r>
      <w:r w:rsidR="005F16E5">
        <w:rPr>
          <w:rFonts w:ascii="Palatino Linotype" w:hAnsi="Palatino Linotype"/>
        </w:rPr>
        <w:t xml:space="preserve">  It is not necessary for the Court to consider the same activities under the heading</w:t>
      </w:r>
      <w:r w:rsidR="004908E7">
        <w:rPr>
          <w:rFonts w:ascii="Palatino Linotype" w:hAnsi="Palatino Linotype"/>
        </w:rPr>
        <w:t xml:space="preserve"> </w:t>
      </w:r>
      <w:r w:rsidR="00030E92">
        <w:rPr>
          <w:rFonts w:ascii="Palatino Linotype" w:hAnsi="Palatino Linotype"/>
        </w:rPr>
        <w:t>of a breach of</w:t>
      </w:r>
      <w:r w:rsidR="004908E7">
        <w:rPr>
          <w:rFonts w:ascii="Palatino Linotype" w:hAnsi="Palatino Linotype"/>
        </w:rPr>
        <w:t xml:space="preserve"> constitutional rights</w:t>
      </w:r>
      <w:r w:rsidR="001647C1">
        <w:rPr>
          <w:rFonts w:ascii="Palatino Linotype" w:hAnsi="Palatino Linotype"/>
        </w:rPr>
        <w:t>, nor should that case be pleaded</w:t>
      </w:r>
      <w:r w:rsidR="00030E92">
        <w:rPr>
          <w:rFonts w:ascii="Palatino Linotype" w:hAnsi="Palatino Linotype"/>
        </w:rPr>
        <w:t xml:space="preserve">:  an award of damages for </w:t>
      </w:r>
      <w:r w:rsidR="001647C1">
        <w:rPr>
          <w:rFonts w:ascii="Palatino Linotype" w:hAnsi="Palatino Linotype"/>
        </w:rPr>
        <w:t xml:space="preserve">the tort of </w:t>
      </w:r>
      <w:r w:rsidR="00030E92">
        <w:rPr>
          <w:rFonts w:ascii="Palatino Linotype" w:hAnsi="Palatino Linotype"/>
        </w:rPr>
        <w:t xml:space="preserve">trespass </w:t>
      </w:r>
      <w:r w:rsidR="005C02CB">
        <w:rPr>
          <w:rFonts w:ascii="Palatino Linotype" w:hAnsi="Palatino Linotype"/>
        </w:rPr>
        <w:t>against</w:t>
      </w:r>
      <w:r w:rsidR="00030E92">
        <w:rPr>
          <w:rFonts w:ascii="Palatino Linotype" w:hAnsi="Palatino Linotype"/>
        </w:rPr>
        <w:t xml:space="preserve"> the person provides the necessary protection for any constitutional rights which have been breached simultaneously</w:t>
      </w:r>
      <w:r w:rsidR="00174AF7">
        <w:rPr>
          <w:rFonts w:ascii="Palatino Linotype" w:hAnsi="Palatino Linotype"/>
        </w:rPr>
        <w:t xml:space="preserve"> and by the same acts</w:t>
      </w:r>
      <w:r w:rsidR="004908E7">
        <w:rPr>
          <w:rFonts w:ascii="Palatino Linotype" w:hAnsi="Palatino Linotype"/>
        </w:rPr>
        <w:t xml:space="preserve">. </w:t>
      </w:r>
    </w:p>
    <w:p w14:paraId="21702B00" w14:textId="3B096EDC" w:rsidR="008B378D" w:rsidRPr="00F50D06" w:rsidRDefault="0028098E" w:rsidP="0028098E">
      <w:pPr>
        <w:spacing w:line="480" w:lineRule="auto"/>
        <w:jc w:val="both"/>
        <w:rPr>
          <w:rFonts w:ascii="Palatino Linotype" w:hAnsi="Palatino Linotype"/>
          <w:b/>
        </w:rPr>
      </w:pPr>
      <w:r w:rsidRPr="00F50D06">
        <w:rPr>
          <w:rFonts w:ascii="Palatino Linotype" w:hAnsi="Palatino Linotype"/>
          <w:b/>
        </w:rPr>
        <w:t xml:space="preserve">4. </w:t>
      </w:r>
      <w:r w:rsidR="008E0A7D">
        <w:rPr>
          <w:rFonts w:ascii="Palatino Linotype" w:hAnsi="Palatino Linotype"/>
          <w:b/>
        </w:rPr>
        <w:t xml:space="preserve"> </w:t>
      </w:r>
      <w:r w:rsidR="002574DC" w:rsidRPr="00F50D06">
        <w:rPr>
          <w:rFonts w:ascii="Palatino Linotype" w:hAnsi="Palatino Linotype"/>
          <w:b/>
        </w:rPr>
        <w:t xml:space="preserve">The </w:t>
      </w:r>
      <w:r w:rsidR="000C0423" w:rsidRPr="00F50D06">
        <w:rPr>
          <w:rFonts w:ascii="Palatino Linotype" w:hAnsi="Palatino Linotype"/>
          <w:b/>
        </w:rPr>
        <w:t>Plaintiff’s</w:t>
      </w:r>
      <w:r w:rsidR="002574DC" w:rsidRPr="00F50D06">
        <w:rPr>
          <w:rFonts w:ascii="Palatino Linotype" w:hAnsi="Palatino Linotype"/>
          <w:b/>
        </w:rPr>
        <w:t xml:space="preserve"> Evidence</w:t>
      </w:r>
    </w:p>
    <w:p w14:paraId="672E68CD" w14:textId="73EEC117" w:rsidR="00A76E9F" w:rsidRDefault="0028098E" w:rsidP="0028098E">
      <w:pPr>
        <w:spacing w:line="480" w:lineRule="auto"/>
        <w:jc w:val="both"/>
        <w:rPr>
          <w:rFonts w:ascii="Palatino Linotype" w:hAnsi="Palatino Linotype"/>
        </w:rPr>
      </w:pPr>
      <w:r>
        <w:rPr>
          <w:rFonts w:ascii="Palatino Linotype" w:hAnsi="Palatino Linotype"/>
        </w:rPr>
        <w:t>4.1</w:t>
      </w:r>
      <w:r>
        <w:rPr>
          <w:rFonts w:ascii="Palatino Linotype" w:hAnsi="Palatino Linotype"/>
        </w:rPr>
        <w:tab/>
      </w:r>
      <w:r w:rsidR="00A76E9F">
        <w:rPr>
          <w:rFonts w:ascii="Palatino Linotype" w:hAnsi="Palatino Linotype"/>
        </w:rPr>
        <w:t xml:space="preserve">The </w:t>
      </w:r>
      <w:r w:rsidR="000C0423">
        <w:rPr>
          <w:rFonts w:ascii="Palatino Linotype" w:hAnsi="Palatino Linotype"/>
        </w:rPr>
        <w:t>Plaintiff’s</w:t>
      </w:r>
      <w:r w:rsidR="00A76E9F">
        <w:rPr>
          <w:rFonts w:ascii="Palatino Linotype" w:hAnsi="Palatino Linotype"/>
        </w:rPr>
        <w:t xml:space="preserve"> evidence was to the effect that</w:t>
      </w:r>
      <w:r w:rsidR="004B660C">
        <w:rPr>
          <w:rFonts w:ascii="Palatino Linotype" w:hAnsi="Palatino Linotype"/>
        </w:rPr>
        <w:t xml:space="preserve"> she did not know anything about sex or sexual matters as a young girl.  </w:t>
      </w:r>
      <w:r w:rsidR="007E07F8">
        <w:rPr>
          <w:rFonts w:ascii="Palatino Linotype" w:hAnsi="Palatino Linotype"/>
        </w:rPr>
        <w:t>Her grandfather raised a large family, his wife having died in her 40’s</w:t>
      </w:r>
      <w:r w:rsidR="000311F4">
        <w:rPr>
          <w:rFonts w:ascii="Palatino Linotype" w:hAnsi="Palatino Linotype"/>
        </w:rPr>
        <w:t xml:space="preserve">. The Defendant was this man’s son, </w:t>
      </w:r>
      <w:r w:rsidR="000311F4" w:rsidRPr="000311F4">
        <w:rPr>
          <w:rFonts w:ascii="Palatino Linotype" w:hAnsi="Palatino Linotype"/>
        </w:rPr>
        <w:t>the Plaintiff’s mother was his daughter</w:t>
      </w:r>
      <w:r w:rsidR="000311F4">
        <w:rPr>
          <w:rFonts w:ascii="Palatino Linotype" w:hAnsi="Palatino Linotype"/>
        </w:rPr>
        <w:t>. Her family</w:t>
      </w:r>
      <w:r w:rsidR="007E07F8">
        <w:rPr>
          <w:rFonts w:ascii="Palatino Linotype" w:hAnsi="Palatino Linotype"/>
        </w:rPr>
        <w:t xml:space="preserve"> had regular contact with </w:t>
      </w:r>
      <w:r w:rsidR="000311F4">
        <w:rPr>
          <w:rFonts w:ascii="Palatino Linotype" w:hAnsi="Palatino Linotype"/>
        </w:rPr>
        <w:t>her</w:t>
      </w:r>
      <w:r w:rsidR="007E07F8">
        <w:rPr>
          <w:rFonts w:ascii="Palatino Linotype" w:hAnsi="Palatino Linotype"/>
        </w:rPr>
        <w:t xml:space="preserve"> grandfather</w:t>
      </w:r>
      <w:r w:rsidR="00EC27AC">
        <w:rPr>
          <w:rFonts w:ascii="Palatino Linotype" w:hAnsi="Palatino Linotype"/>
        </w:rPr>
        <w:t>, who lived near her home</w:t>
      </w:r>
      <w:r w:rsidR="007E07F8">
        <w:rPr>
          <w:rFonts w:ascii="Palatino Linotype" w:hAnsi="Palatino Linotype"/>
        </w:rPr>
        <w:t xml:space="preserve">. </w:t>
      </w:r>
      <w:r w:rsidR="004B660C">
        <w:rPr>
          <w:rFonts w:ascii="Palatino Linotype" w:hAnsi="Palatino Linotype"/>
        </w:rPr>
        <w:t>When she was about 4 years old, she recalled going to a barn</w:t>
      </w:r>
      <w:r w:rsidR="007E07F8">
        <w:rPr>
          <w:rFonts w:ascii="Palatino Linotype" w:hAnsi="Palatino Linotype"/>
        </w:rPr>
        <w:t xml:space="preserve"> at her grandfather’s home</w:t>
      </w:r>
      <w:r w:rsidR="004B660C">
        <w:rPr>
          <w:rFonts w:ascii="Palatino Linotype" w:hAnsi="Palatino Linotype"/>
        </w:rPr>
        <w:t xml:space="preserve"> where the Defendant exposed himself to her and masturbated.  As she put it, </w:t>
      </w:r>
      <w:r w:rsidR="008844CC">
        <w:rPr>
          <w:rFonts w:ascii="Palatino Linotype" w:hAnsi="Palatino Linotype"/>
        </w:rPr>
        <w:t>‘</w:t>
      </w:r>
      <w:r w:rsidR="004B660C" w:rsidRPr="00745DDC">
        <w:rPr>
          <w:rFonts w:ascii="Palatino Linotype" w:hAnsi="Palatino Linotype"/>
          <w:i/>
          <w:iCs/>
        </w:rPr>
        <w:t>white stuff came out</w:t>
      </w:r>
      <w:r w:rsidR="008844CC">
        <w:rPr>
          <w:rFonts w:ascii="Palatino Linotype" w:hAnsi="Palatino Linotype"/>
        </w:rPr>
        <w:t>’</w:t>
      </w:r>
      <w:r w:rsidR="00EC27AC">
        <w:rPr>
          <w:rFonts w:ascii="Palatino Linotype" w:hAnsi="Palatino Linotype"/>
        </w:rPr>
        <w:t>,</w:t>
      </w:r>
      <w:r w:rsidR="004B660C">
        <w:rPr>
          <w:rFonts w:ascii="Palatino Linotype" w:hAnsi="Palatino Linotype"/>
        </w:rPr>
        <w:t xml:space="preserve"> but she did not know what this was at the time.  At his instruction, she stood with her skirt up and pants down.  </w:t>
      </w:r>
      <w:r w:rsidR="002E178F">
        <w:rPr>
          <w:rFonts w:ascii="Palatino Linotype" w:hAnsi="Palatino Linotype"/>
        </w:rPr>
        <w:t>T</w:t>
      </w:r>
      <w:r w:rsidR="002E178F" w:rsidRPr="002E178F">
        <w:rPr>
          <w:rFonts w:ascii="Palatino Linotype" w:hAnsi="Palatino Linotype"/>
        </w:rPr>
        <w:t xml:space="preserve">he Defendant </w:t>
      </w:r>
      <w:r w:rsidR="002E178F">
        <w:rPr>
          <w:rFonts w:ascii="Palatino Linotype" w:hAnsi="Palatino Linotype"/>
        </w:rPr>
        <w:t xml:space="preserve">told her </w:t>
      </w:r>
      <w:r w:rsidR="002E178F" w:rsidRPr="002E178F">
        <w:rPr>
          <w:rFonts w:ascii="Palatino Linotype" w:hAnsi="Palatino Linotype"/>
        </w:rPr>
        <w:t xml:space="preserve">this was their secret and that she was not to tell anybody.  </w:t>
      </w:r>
    </w:p>
    <w:p w14:paraId="7A777D73" w14:textId="20775D53" w:rsidR="007E07F8" w:rsidRDefault="0028098E" w:rsidP="0028098E">
      <w:pPr>
        <w:spacing w:line="480" w:lineRule="auto"/>
        <w:jc w:val="both"/>
        <w:rPr>
          <w:rFonts w:ascii="Palatino Linotype" w:hAnsi="Palatino Linotype"/>
        </w:rPr>
      </w:pPr>
      <w:r>
        <w:rPr>
          <w:rFonts w:ascii="Palatino Linotype" w:hAnsi="Palatino Linotype"/>
        </w:rPr>
        <w:t>4.2</w:t>
      </w:r>
      <w:r>
        <w:rPr>
          <w:rFonts w:ascii="Palatino Linotype" w:hAnsi="Palatino Linotype"/>
        </w:rPr>
        <w:tab/>
      </w:r>
      <w:r w:rsidR="007E07F8">
        <w:rPr>
          <w:rFonts w:ascii="Palatino Linotype" w:hAnsi="Palatino Linotype"/>
        </w:rPr>
        <w:t xml:space="preserve">This </w:t>
      </w:r>
      <w:r w:rsidR="006B6F06">
        <w:rPr>
          <w:rFonts w:ascii="Palatino Linotype" w:hAnsi="Palatino Linotype"/>
        </w:rPr>
        <w:t xml:space="preserve">conduct </w:t>
      </w:r>
      <w:r w:rsidR="007E07F8">
        <w:rPr>
          <w:rFonts w:ascii="Palatino Linotype" w:hAnsi="Palatino Linotype"/>
        </w:rPr>
        <w:t xml:space="preserve">progressed to touching her breasts and private parts, which the Defendant did frequently in her grandfather’s house.  He would make sure nobody else was around, often sending a named brother away. </w:t>
      </w:r>
      <w:r w:rsidR="000C0423">
        <w:rPr>
          <w:rFonts w:ascii="Palatino Linotype" w:hAnsi="Palatino Linotype"/>
        </w:rPr>
        <w:t>The Plaintiff</w:t>
      </w:r>
      <w:r w:rsidR="007E07F8">
        <w:rPr>
          <w:rFonts w:ascii="Palatino Linotype" w:hAnsi="Palatino Linotype"/>
        </w:rPr>
        <w:t xml:space="preserve"> described him putting his hand into her vagina, </w:t>
      </w:r>
      <w:r w:rsidR="00E4691D">
        <w:rPr>
          <w:rFonts w:ascii="Palatino Linotype" w:hAnsi="Palatino Linotype"/>
        </w:rPr>
        <w:t xml:space="preserve">recalling the specific feeling of this </w:t>
      </w:r>
      <w:proofErr w:type="gramStart"/>
      <w:r w:rsidR="00E4691D">
        <w:rPr>
          <w:rFonts w:ascii="Palatino Linotype" w:hAnsi="Palatino Linotype"/>
        </w:rPr>
        <w:t>penetration</w:t>
      </w:r>
      <w:proofErr w:type="gramEnd"/>
      <w:r w:rsidR="00E4691D">
        <w:rPr>
          <w:rFonts w:ascii="Palatino Linotype" w:hAnsi="Palatino Linotype"/>
        </w:rPr>
        <w:t xml:space="preserve"> and </w:t>
      </w:r>
      <w:r w:rsidR="007E07F8">
        <w:rPr>
          <w:rFonts w:ascii="Palatino Linotype" w:hAnsi="Palatino Linotype"/>
        </w:rPr>
        <w:t>saying his nails were rough.  She also told the Court that he licked her private parts.</w:t>
      </w:r>
      <w:r w:rsidR="00D42C7F">
        <w:rPr>
          <w:rFonts w:ascii="Palatino Linotype" w:hAnsi="Palatino Linotype"/>
        </w:rPr>
        <w:t xml:space="preserve"> The witness described some of this conduct as rape, which is understandable. As a legal concept, rape is confined to very specific acts involving the penis</w:t>
      </w:r>
      <w:r w:rsidR="006B6F06">
        <w:rPr>
          <w:rFonts w:ascii="Palatino Linotype" w:hAnsi="Palatino Linotype"/>
        </w:rPr>
        <w:t>,</w:t>
      </w:r>
      <w:r w:rsidR="00D42C7F">
        <w:rPr>
          <w:rFonts w:ascii="Palatino Linotype" w:hAnsi="Palatino Linotype"/>
        </w:rPr>
        <w:t xml:space="preserve"> </w:t>
      </w:r>
      <w:r w:rsidR="006B6F06">
        <w:rPr>
          <w:rFonts w:ascii="Palatino Linotype" w:hAnsi="Palatino Linotype"/>
        </w:rPr>
        <w:t>but</w:t>
      </w:r>
      <w:r w:rsidR="00EC27AC">
        <w:rPr>
          <w:rFonts w:ascii="Palatino Linotype" w:hAnsi="Palatino Linotype"/>
        </w:rPr>
        <w:t>,</w:t>
      </w:r>
      <w:r w:rsidR="006B6F06">
        <w:rPr>
          <w:rFonts w:ascii="Palatino Linotype" w:hAnsi="Palatino Linotype"/>
        </w:rPr>
        <w:t xml:space="preserve"> although</w:t>
      </w:r>
      <w:r w:rsidR="00D42C7F">
        <w:rPr>
          <w:rFonts w:ascii="Palatino Linotype" w:hAnsi="Palatino Linotype"/>
        </w:rPr>
        <w:t xml:space="preserve"> the offence of rape was not committed</w:t>
      </w:r>
      <w:r w:rsidR="006B6F06">
        <w:rPr>
          <w:rFonts w:ascii="Palatino Linotype" w:hAnsi="Palatino Linotype"/>
        </w:rPr>
        <w:t>,</w:t>
      </w:r>
      <w:r w:rsidR="00D42C7F">
        <w:rPr>
          <w:rFonts w:ascii="Palatino Linotype" w:hAnsi="Palatino Linotype"/>
        </w:rPr>
        <w:t xml:space="preserve"> the </w:t>
      </w:r>
      <w:r w:rsidR="00D42C7F">
        <w:rPr>
          <w:rFonts w:ascii="Palatino Linotype" w:hAnsi="Palatino Linotype"/>
        </w:rPr>
        <w:lastRenderedPageBreak/>
        <w:t>penetration of the vagina by the hand or fingers</w:t>
      </w:r>
      <w:r w:rsidR="006B6F06">
        <w:rPr>
          <w:rFonts w:ascii="Palatino Linotype" w:hAnsi="Palatino Linotype"/>
        </w:rPr>
        <w:t xml:space="preserve"> or tongue</w:t>
      </w:r>
      <w:r w:rsidR="00D42C7F">
        <w:rPr>
          <w:rFonts w:ascii="Palatino Linotype" w:hAnsi="Palatino Linotype"/>
        </w:rPr>
        <w:t xml:space="preserve"> is a very serious </w:t>
      </w:r>
      <w:r w:rsidR="00EC27AC">
        <w:rPr>
          <w:rFonts w:ascii="Palatino Linotype" w:hAnsi="Palatino Linotype"/>
        </w:rPr>
        <w:t xml:space="preserve">trespass </w:t>
      </w:r>
      <w:r w:rsidR="005C02CB">
        <w:rPr>
          <w:rFonts w:ascii="Palatino Linotype" w:hAnsi="Palatino Linotype"/>
        </w:rPr>
        <w:t>against</w:t>
      </w:r>
      <w:r w:rsidR="00EC27AC">
        <w:rPr>
          <w:rFonts w:ascii="Palatino Linotype" w:hAnsi="Palatino Linotype"/>
        </w:rPr>
        <w:t xml:space="preserve"> the person and a violation</w:t>
      </w:r>
      <w:r w:rsidR="00D42C7F">
        <w:rPr>
          <w:rFonts w:ascii="Palatino Linotype" w:hAnsi="Palatino Linotype"/>
        </w:rPr>
        <w:t xml:space="preserve"> of bodily integrity, now known as sexual assault</w:t>
      </w:r>
      <w:r w:rsidR="00445290">
        <w:rPr>
          <w:rFonts w:ascii="Palatino Linotype" w:hAnsi="Palatino Linotype"/>
        </w:rPr>
        <w:t>,</w:t>
      </w:r>
      <w:r w:rsidR="00EC27AC">
        <w:rPr>
          <w:rFonts w:ascii="Palatino Linotype" w:hAnsi="Palatino Linotype"/>
        </w:rPr>
        <w:t xml:space="preserve"> though described in legislation as indecent assault at the relevant time</w:t>
      </w:r>
      <w:r w:rsidR="00D42C7F">
        <w:rPr>
          <w:rFonts w:ascii="Palatino Linotype" w:hAnsi="Palatino Linotype"/>
        </w:rPr>
        <w:t>.</w:t>
      </w:r>
      <w:r w:rsidR="001647C1">
        <w:rPr>
          <w:rFonts w:ascii="Palatino Linotype" w:hAnsi="Palatino Linotype"/>
        </w:rPr>
        <w:t xml:space="preserve"> </w:t>
      </w:r>
    </w:p>
    <w:p w14:paraId="5514A414" w14:textId="30E2A3E2" w:rsidR="00A6019F" w:rsidRDefault="0028098E" w:rsidP="0028098E">
      <w:pPr>
        <w:spacing w:line="480" w:lineRule="auto"/>
        <w:jc w:val="both"/>
        <w:rPr>
          <w:rFonts w:ascii="Palatino Linotype" w:hAnsi="Palatino Linotype"/>
        </w:rPr>
      </w:pPr>
      <w:r>
        <w:rPr>
          <w:rFonts w:ascii="Palatino Linotype" w:hAnsi="Palatino Linotype"/>
        </w:rPr>
        <w:t>4.3</w:t>
      </w:r>
      <w:r>
        <w:rPr>
          <w:rFonts w:ascii="Palatino Linotype" w:hAnsi="Palatino Linotype"/>
        </w:rPr>
        <w:tab/>
      </w:r>
      <w:r w:rsidR="00A6019F">
        <w:rPr>
          <w:rFonts w:ascii="Palatino Linotype" w:hAnsi="Palatino Linotype"/>
        </w:rPr>
        <w:t>The evidence was that this</w:t>
      </w:r>
      <w:r w:rsidR="00A6019F" w:rsidRPr="00A6019F">
        <w:rPr>
          <w:rFonts w:ascii="Palatino Linotype" w:hAnsi="Palatino Linotype"/>
        </w:rPr>
        <w:t xml:space="preserve"> probably</w:t>
      </w:r>
      <w:r w:rsidR="00A6019F">
        <w:rPr>
          <w:rFonts w:ascii="Palatino Linotype" w:hAnsi="Palatino Linotype"/>
        </w:rPr>
        <w:t xml:space="preserve"> happened</w:t>
      </w:r>
      <w:r w:rsidR="00A6019F" w:rsidRPr="00A6019F">
        <w:rPr>
          <w:rFonts w:ascii="Palatino Linotype" w:hAnsi="Palatino Linotype"/>
        </w:rPr>
        <w:t xml:space="preserve"> hundreds of time</w:t>
      </w:r>
      <w:r w:rsidR="00A6019F">
        <w:rPr>
          <w:rFonts w:ascii="Palatino Linotype" w:hAnsi="Palatino Linotype"/>
        </w:rPr>
        <w:t>s</w:t>
      </w:r>
      <w:r w:rsidR="00A6019F" w:rsidRPr="00A6019F">
        <w:rPr>
          <w:rFonts w:ascii="Palatino Linotype" w:hAnsi="Palatino Linotype"/>
        </w:rPr>
        <w:t xml:space="preserve">, </w:t>
      </w:r>
      <w:r w:rsidR="00A6019F">
        <w:rPr>
          <w:rFonts w:ascii="Palatino Linotype" w:hAnsi="Palatino Linotype"/>
        </w:rPr>
        <w:t>as the family</w:t>
      </w:r>
      <w:r w:rsidR="00A6019F" w:rsidRPr="00A6019F">
        <w:rPr>
          <w:rFonts w:ascii="Palatino Linotype" w:hAnsi="Palatino Linotype"/>
        </w:rPr>
        <w:t xml:space="preserve"> spent a lot of time in </w:t>
      </w:r>
      <w:r w:rsidR="00A6019F">
        <w:rPr>
          <w:rFonts w:ascii="Palatino Linotype" w:hAnsi="Palatino Linotype"/>
        </w:rPr>
        <w:t>that house</w:t>
      </w:r>
      <w:r w:rsidR="00EC27AC">
        <w:rPr>
          <w:rFonts w:ascii="Palatino Linotype" w:hAnsi="Palatino Linotype"/>
        </w:rPr>
        <w:t xml:space="preserve">.  </w:t>
      </w:r>
      <w:r w:rsidR="00A6019F">
        <w:rPr>
          <w:rFonts w:ascii="Palatino Linotype" w:hAnsi="Palatino Linotype"/>
        </w:rPr>
        <w:t>W</w:t>
      </w:r>
      <w:r w:rsidR="00A6019F" w:rsidRPr="00A6019F">
        <w:rPr>
          <w:rFonts w:ascii="Palatino Linotype" w:hAnsi="Palatino Linotype"/>
        </w:rPr>
        <w:t xml:space="preserve">henever </w:t>
      </w:r>
      <w:r w:rsidR="00A6019F">
        <w:rPr>
          <w:rFonts w:ascii="Palatino Linotype" w:hAnsi="Palatino Linotype"/>
        </w:rPr>
        <w:t xml:space="preserve">they were </w:t>
      </w:r>
      <w:r w:rsidR="00A6019F" w:rsidRPr="00A6019F">
        <w:rPr>
          <w:rFonts w:ascii="Palatino Linotype" w:hAnsi="Palatino Linotype"/>
        </w:rPr>
        <w:t>there</w:t>
      </w:r>
      <w:r w:rsidR="00A6019F">
        <w:rPr>
          <w:rFonts w:ascii="Palatino Linotype" w:hAnsi="Palatino Linotype"/>
        </w:rPr>
        <w:t>, the Plaintiff said</w:t>
      </w:r>
      <w:r w:rsidR="00EC27AC">
        <w:rPr>
          <w:rFonts w:ascii="Palatino Linotype" w:hAnsi="Palatino Linotype"/>
        </w:rPr>
        <w:t>,</w:t>
      </w:r>
      <w:r w:rsidR="00A6019F" w:rsidRPr="00A6019F">
        <w:rPr>
          <w:rFonts w:ascii="Palatino Linotype" w:hAnsi="Palatino Linotype"/>
        </w:rPr>
        <w:t xml:space="preserve"> he abus</w:t>
      </w:r>
      <w:r w:rsidR="00A6019F">
        <w:rPr>
          <w:rFonts w:ascii="Palatino Linotype" w:hAnsi="Palatino Linotype"/>
        </w:rPr>
        <w:t>ed her</w:t>
      </w:r>
      <w:r w:rsidR="00EC27AC">
        <w:rPr>
          <w:rFonts w:ascii="Palatino Linotype" w:hAnsi="Palatino Linotype"/>
        </w:rPr>
        <w:t>, such that</w:t>
      </w:r>
      <w:r w:rsidR="00A6019F" w:rsidRPr="00A6019F">
        <w:rPr>
          <w:rFonts w:ascii="Palatino Linotype" w:hAnsi="Palatino Linotype"/>
        </w:rPr>
        <w:t xml:space="preserve"> </w:t>
      </w:r>
      <w:r w:rsidR="00A6019F">
        <w:rPr>
          <w:rFonts w:ascii="Palatino Linotype" w:hAnsi="Palatino Linotype"/>
        </w:rPr>
        <w:t>it</w:t>
      </w:r>
      <w:r w:rsidR="00A6019F" w:rsidRPr="00A6019F">
        <w:rPr>
          <w:rFonts w:ascii="Palatino Linotype" w:hAnsi="Palatino Linotype"/>
        </w:rPr>
        <w:t xml:space="preserve"> became part of </w:t>
      </w:r>
      <w:r w:rsidR="00A6019F">
        <w:rPr>
          <w:rFonts w:ascii="Palatino Linotype" w:hAnsi="Palatino Linotype"/>
        </w:rPr>
        <w:t>her</w:t>
      </w:r>
      <w:r w:rsidR="00A6019F" w:rsidRPr="00A6019F">
        <w:rPr>
          <w:rFonts w:ascii="Palatino Linotype" w:hAnsi="Palatino Linotype"/>
        </w:rPr>
        <w:t xml:space="preserve"> life</w:t>
      </w:r>
      <w:r w:rsidR="00E80DC7">
        <w:rPr>
          <w:rFonts w:ascii="Palatino Linotype" w:hAnsi="Palatino Linotype"/>
        </w:rPr>
        <w:t>; she thought it was normal</w:t>
      </w:r>
      <w:r w:rsidR="00A6019F" w:rsidRPr="00A6019F">
        <w:rPr>
          <w:rFonts w:ascii="Palatino Linotype" w:hAnsi="Palatino Linotype"/>
        </w:rPr>
        <w:t>.</w:t>
      </w:r>
      <w:r w:rsidR="00A6019F">
        <w:rPr>
          <w:rFonts w:ascii="Palatino Linotype" w:hAnsi="Palatino Linotype"/>
        </w:rPr>
        <w:t xml:space="preserve">  She estimated that </w:t>
      </w:r>
      <w:r w:rsidR="00AF7F9B">
        <w:rPr>
          <w:rFonts w:ascii="Palatino Linotype" w:hAnsi="Palatino Linotype"/>
        </w:rPr>
        <w:t>such an event</w:t>
      </w:r>
      <w:r w:rsidR="00A6019F">
        <w:rPr>
          <w:rFonts w:ascii="Palatino Linotype" w:hAnsi="Palatino Linotype"/>
        </w:rPr>
        <w:t xml:space="preserve"> would happen twice a week.</w:t>
      </w:r>
      <w:r w:rsidR="005619D4">
        <w:rPr>
          <w:rFonts w:ascii="Palatino Linotype" w:hAnsi="Palatino Linotype"/>
        </w:rPr>
        <w:t xml:space="preserve">  </w:t>
      </w:r>
      <w:r w:rsidR="00EC27AC">
        <w:rPr>
          <w:rFonts w:ascii="Palatino Linotype" w:hAnsi="Palatino Linotype"/>
        </w:rPr>
        <w:t>During one such incident</w:t>
      </w:r>
      <w:r w:rsidR="005619D4" w:rsidRPr="005619D4">
        <w:rPr>
          <w:rFonts w:ascii="Palatino Linotype" w:hAnsi="Palatino Linotype"/>
        </w:rPr>
        <w:t>,</w:t>
      </w:r>
      <w:r w:rsidR="005619D4">
        <w:rPr>
          <w:rFonts w:ascii="Palatino Linotype" w:hAnsi="Palatino Linotype"/>
        </w:rPr>
        <w:t xml:space="preserve"> when she was aged</w:t>
      </w:r>
      <w:r w:rsidR="005619D4" w:rsidRPr="005619D4">
        <w:rPr>
          <w:rFonts w:ascii="Palatino Linotype" w:hAnsi="Palatino Linotype"/>
        </w:rPr>
        <w:t xml:space="preserve"> 8 or 9</w:t>
      </w:r>
      <w:r w:rsidR="00E4691D">
        <w:rPr>
          <w:rFonts w:ascii="Palatino Linotype" w:hAnsi="Palatino Linotype"/>
        </w:rPr>
        <w:t xml:space="preserve"> years</w:t>
      </w:r>
      <w:r w:rsidR="005619D4" w:rsidRPr="005619D4">
        <w:rPr>
          <w:rFonts w:ascii="Palatino Linotype" w:hAnsi="Palatino Linotype"/>
        </w:rPr>
        <w:t xml:space="preserve">, </w:t>
      </w:r>
      <w:r w:rsidR="005619D4">
        <w:rPr>
          <w:rFonts w:ascii="Palatino Linotype" w:hAnsi="Palatino Linotype"/>
        </w:rPr>
        <w:t>the Plaintiff recalled him putting his penis on the</w:t>
      </w:r>
      <w:r w:rsidR="005619D4" w:rsidRPr="005619D4">
        <w:rPr>
          <w:rFonts w:ascii="Palatino Linotype" w:hAnsi="Palatino Linotype"/>
        </w:rPr>
        <w:t xml:space="preserve"> left cheek of</w:t>
      </w:r>
      <w:r w:rsidR="005619D4">
        <w:rPr>
          <w:rFonts w:ascii="Palatino Linotype" w:hAnsi="Palatino Linotype"/>
        </w:rPr>
        <w:t xml:space="preserve"> her</w:t>
      </w:r>
      <w:r w:rsidR="005619D4" w:rsidRPr="005619D4">
        <w:rPr>
          <w:rFonts w:ascii="Palatino Linotype" w:hAnsi="Palatino Linotype"/>
        </w:rPr>
        <w:t xml:space="preserve"> backside</w:t>
      </w:r>
      <w:r w:rsidR="00EC27AC">
        <w:rPr>
          <w:rFonts w:ascii="Palatino Linotype" w:hAnsi="Palatino Linotype"/>
        </w:rPr>
        <w:t>.  S</w:t>
      </w:r>
      <w:r w:rsidR="005619D4">
        <w:rPr>
          <w:rFonts w:ascii="Palatino Linotype" w:hAnsi="Palatino Linotype"/>
        </w:rPr>
        <w:t xml:space="preserve">he </w:t>
      </w:r>
      <w:r w:rsidR="005619D4" w:rsidRPr="005619D4">
        <w:rPr>
          <w:rFonts w:ascii="Palatino Linotype" w:hAnsi="Palatino Linotype"/>
        </w:rPr>
        <w:t>pulled</w:t>
      </w:r>
      <w:r w:rsidR="005619D4">
        <w:rPr>
          <w:rFonts w:ascii="Palatino Linotype" w:hAnsi="Palatino Linotype"/>
        </w:rPr>
        <w:t xml:space="preserve"> her</w:t>
      </w:r>
      <w:r w:rsidR="005619D4" w:rsidRPr="005619D4">
        <w:rPr>
          <w:rFonts w:ascii="Palatino Linotype" w:hAnsi="Palatino Linotype"/>
        </w:rPr>
        <w:t xml:space="preserve"> pants up and ran across </w:t>
      </w:r>
      <w:r w:rsidR="005619D4">
        <w:rPr>
          <w:rFonts w:ascii="Palatino Linotype" w:hAnsi="Palatino Linotype"/>
        </w:rPr>
        <w:t>a</w:t>
      </w:r>
      <w:r w:rsidR="005619D4" w:rsidRPr="005619D4">
        <w:rPr>
          <w:rFonts w:ascii="Palatino Linotype" w:hAnsi="Palatino Linotype"/>
        </w:rPr>
        <w:t xml:space="preserve"> field</w:t>
      </w:r>
      <w:r w:rsidR="005619D4">
        <w:rPr>
          <w:rFonts w:ascii="Palatino Linotype" w:hAnsi="Palatino Linotype"/>
        </w:rPr>
        <w:t xml:space="preserve"> to escape him.</w:t>
      </w:r>
    </w:p>
    <w:p w14:paraId="13E7847C" w14:textId="135EA19D" w:rsidR="008706A6" w:rsidRDefault="0028098E" w:rsidP="0028098E">
      <w:pPr>
        <w:spacing w:line="480" w:lineRule="auto"/>
        <w:jc w:val="both"/>
        <w:rPr>
          <w:rFonts w:ascii="Palatino Linotype" w:hAnsi="Palatino Linotype"/>
        </w:rPr>
      </w:pPr>
      <w:r>
        <w:rPr>
          <w:rFonts w:ascii="Palatino Linotype" w:hAnsi="Palatino Linotype"/>
        </w:rPr>
        <w:t>4.4</w:t>
      </w:r>
      <w:r>
        <w:rPr>
          <w:rFonts w:ascii="Palatino Linotype" w:hAnsi="Palatino Linotype"/>
        </w:rPr>
        <w:tab/>
      </w:r>
      <w:r w:rsidR="008706A6">
        <w:rPr>
          <w:rFonts w:ascii="Palatino Linotype" w:hAnsi="Palatino Linotype"/>
        </w:rPr>
        <w:t xml:space="preserve">The family attended a funfair on one occasion and the Defendant sat beside </w:t>
      </w:r>
      <w:r w:rsidR="00FC2038">
        <w:rPr>
          <w:rFonts w:ascii="Palatino Linotype" w:hAnsi="Palatino Linotype"/>
        </w:rPr>
        <w:t>the Plaintiff</w:t>
      </w:r>
      <w:r w:rsidR="008706A6">
        <w:rPr>
          <w:rFonts w:ascii="Palatino Linotype" w:hAnsi="Palatino Linotype"/>
        </w:rPr>
        <w:t xml:space="preserve"> in the car taking the opportunity to put his hand down her pants.  Since then, every time she sees an ad</w:t>
      </w:r>
      <w:r w:rsidR="00EC27AC">
        <w:rPr>
          <w:rFonts w:ascii="Palatino Linotype" w:hAnsi="Palatino Linotype"/>
        </w:rPr>
        <w:t>vertisement</w:t>
      </w:r>
      <w:r w:rsidR="008706A6">
        <w:rPr>
          <w:rFonts w:ascii="Palatino Linotype" w:hAnsi="Palatino Linotype"/>
        </w:rPr>
        <w:t xml:space="preserve"> for that</w:t>
      </w:r>
      <w:r w:rsidR="00EC27AC">
        <w:rPr>
          <w:rFonts w:ascii="Palatino Linotype" w:hAnsi="Palatino Linotype"/>
        </w:rPr>
        <w:t xml:space="preserve"> same annual</w:t>
      </w:r>
      <w:r w:rsidR="008706A6">
        <w:rPr>
          <w:rFonts w:ascii="Palatino Linotype" w:hAnsi="Palatino Linotype"/>
        </w:rPr>
        <w:t xml:space="preserve"> event, she recalls this </w:t>
      </w:r>
      <w:r w:rsidR="00E4691D">
        <w:rPr>
          <w:rFonts w:ascii="Palatino Linotype" w:hAnsi="Palatino Linotype"/>
        </w:rPr>
        <w:t>specific assault</w:t>
      </w:r>
      <w:r w:rsidR="008706A6">
        <w:rPr>
          <w:rFonts w:ascii="Palatino Linotype" w:hAnsi="Palatino Linotype"/>
        </w:rPr>
        <w:t xml:space="preserve">. </w:t>
      </w:r>
    </w:p>
    <w:p w14:paraId="33D24E22" w14:textId="2A845813" w:rsidR="00105D04" w:rsidRPr="00A6019F" w:rsidRDefault="0028098E" w:rsidP="0028098E">
      <w:pPr>
        <w:spacing w:line="480" w:lineRule="auto"/>
        <w:jc w:val="both"/>
        <w:rPr>
          <w:rFonts w:ascii="Palatino Linotype" w:hAnsi="Palatino Linotype"/>
        </w:rPr>
      </w:pPr>
      <w:r>
        <w:rPr>
          <w:rFonts w:ascii="Palatino Linotype" w:hAnsi="Palatino Linotype"/>
        </w:rPr>
        <w:t>4.5</w:t>
      </w:r>
      <w:r>
        <w:rPr>
          <w:rFonts w:ascii="Palatino Linotype" w:hAnsi="Palatino Linotype"/>
        </w:rPr>
        <w:tab/>
      </w:r>
      <w:r w:rsidR="00FC2038">
        <w:rPr>
          <w:rFonts w:ascii="Palatino Linotype" w:hAnsi="Palatino Linotype"/>
        </w:rPr>
        <w:t>The Plaintiff</w:t>
      </w:r>
      <w:r w:rsidR="00105D04">
        <w:rPr>
          <w:rFonts w:ascii="Palatino Linotype" w:hAnsi="Palatino Linotype"/>
        </w:rPr>
        <w:t xml:space="preserve"> described </w:t>
      </w:r>
      <w:r w:rsidR="00FC2038">
        <w:rPr>
          <w:rFonts w:ascii="Palatino Linotype" w:hAnsi="Palatino Linotype"/>
        </w:rPr>
        <w:t>her uncle</w:t>
      </w:r>
      <w:r w:rsidR="00105D04">
        <w:rPr>
          <w:rFonts w:ascii="Palatino Linotype" w:hAnsi="Palatino Linotype"/>
        </w:rPr>
        <w:t xml:space="preserve"> touching her breasts while she was wearing her confirmation suit.  When she attended s</w:t>
      </w:r>
      <w:r w:rsidR="00105D04" w:rsidRPr="00105D04">
        <w:rPr>
          <w:rFonts w:ascii="Palatino Linotype" w:hAnsi="Palatino Linotype"/>
        </w:rPr>
        <w:t>econdary</w:t>
      </w:r>
      <w:r w:rsidR="00105D04">
        <w:rPr>
          <w:rFonts w:ascii="Palatino Linotype" w:hAnsi="Palatino Linotype"/>
        </w:rPr>
        <w:t xml:space="preserve"> school</w:t>
      </w:r>
      <w:r w:rsidR="00105D04" w:rsidRPr="00105D04">
        <w:rPr>
          <w:rFonts w:ascii="Palatino Linotype" w:hAnsi="Palatino Linotype"/>
        </w:rPr>
        <w:t>,</w:t>
      </w:r>
      <w:r w:rsidR="00105D04">
        <w:rPr>
          <w:rFonts w:ascii="Palatino Linotype" w:hAnsi="Palatino Linotype"/>
        </w:rPr>
        <w:t xml:space="preserve"> she had a</w:t>
      </w:r>
      <w:r w:rsidR="00105D04" w:rsidRPr="00105D04">
        <w:rPr>
          <w:rFonts w:ascii="Palatino Linotype" w:hAnsi="Palatino Linotype"/>
        </w:rPr>
        <w:t xml:space="preserve"> bottle green uni</w:t>
      </w:r>
      <w:r w:rsidR="00105D04">
        <w:rPr>
          <w:rFonts w:ascii="Palatino Linotype" w:hAnsi="Palatino Linotype"/>
        </w:rPr>
        <w:t xml:space="preserve">form of which she was proud as she had not had </w:t>
      </w:r>
      <w:r w:rsidR="00FC2038">
        <w:rPr>
          <w:rFonts w:ascii="Palatino Linotype" w:hAnsi="Palatino Linotype"/>
        </w:rPr>
        <w:t>a uniform</w:t>
      </w:r>
      <w:r w:rsidR="00105D04">
        <w:rPr>
          <w:rFonts w:ascii="Palatino Linotype" w:hAnsi="Palatino Linotype"/>
        </w:rPr>
        <w:t xml:space="preserve"> before.  She recalled being at </w:t>
      </w:r>
      <w:r w:rsidR="00FC2038">
        <w:rPr>
          <w:rFonts w:ascii="Palatino Linotype" w:hAnsi="Palatino Linotype"/>
        </w:rPr>
        <w:t>a</w:t>
      </w:r>
      <w:r w:rsidR="00105D04" w:rsidRPr="00105D04">
        <w:rPr>
          <w:rFonts w:ascii="Palatino Linotype" w:hAnsi="Palatino Linotype"/>
        </w:rPr>
        <w:t xml:space="preserve"> wall</w:t>
      </w:r>
      <w:r w:rsidR="00FC2038">
        <w:rPr>
          <w:rFonts w:ascii="Palatino Linotype" w:hAnsi="Palatino Linotype"/>
        </w:rPr>
        <w:t xml:space="preserve"> when </w:t>
      </w:r>
      <w:r w:rsidR="00C21C58">
        <w:rPr>
          <w:rFonts w:ascii="Palatino Linotype" w:hAnsi="Palatino Linotype"/>
        </w:rPr>
        <w:t>t</w:t>
      </w:r>
      <w:r w:rsidR="00105D04" w:rsidRPr="00105D04">
        <w:rPr>
          <w:rFonts w:ascii="Palatino Linotype" w:hAnsi="Palatino Linotype"/>
        </w:rPr>
        <w:t xml:space="preserve">he </w:t>
      </w:r>
      <w:r w:rsidR="00C21C58">
        <w:rPr>
          <w:rFonts w:ascii="Palatino Linotype" w:hAnsi="Palatino Linotype"/>
        </w:rPr>
        <w:t xml:space="preserve">Defendant </w:t>
      </w:r>
      <w:r w:rsidR="00105D04" w:rsidRPr="00105D04">
        <w:rPr>
          <w:rFonts w:ascii="Palatino Linotype" w:hAnsi="Palatino Linotype"/>
        </w:rPr>
        <w:t xml:space="preserve">pulled up </w:t>
      </w:r>
      <w:r w:rsidR="00C21C58">
        <w:rPr>
          <w:rFonts w:ascii="Palatino Linotype" w:hAnsi="Palatino Linotype"/>
        </w:rPr>
        <w:t>her</w:t>
      </w:r>
      <w:r w:rsidR="00105D04" w:rsidRPr="00105D04">
        <w:rPr>
          <w:rFonts w:ascii="Palatino Linotype" w:hAnsi="Palatino Linotype"/>
        </w:rPr>
        <w:t xml:space="preserve"> skirt and </w:t>
      </w:r>
      <w:r w:rsidR="00C21C58">
        <w:rPr>
          <w:rFonts w:ascii="Palatino Linotype" w:hAnsi="Palatino Linotype"/>
        </w:rPr>
        <w:t xml:space="preserve">put </w:t>
      </w:r>
      <w:r w:rsidR="00105D04" w:rsidRPr="00105D04">
        <w:rPr>
          <w:rFonts w:ascii="Palatino Linotype" w:hAnsi="Palatino Linotype"/>
        </w:rPr>
        <w:t xml:space="preserve">his mouth </w:t>
      </w:r>
      <w:r w:rsidR="00C21C58">
        <w:rPr>
          <w:rFonts w:ascii="Palatino Linotype" w:hAnsi="Palatino Linotype"/>
        </w:rPr>
        <w:t xml:space="preserve">to her </w:t>
      </w:r>
      <w:r w:rsidR="00105D04" w:rsidRPr="00105D04">
        <w:rPr>
          <w:rFonts w:ascii="Palatino Linotype" w:hAnsi="Palatino Linotype"/>
        </w:rPr>
        <w:t>crotch</w:t>
      </w:r>
      <w:r w:rsidR="00C21C58">
        <w:rPr>
          <w:rFonts w:ascii="Palatino Linotype" w:hAnsi="Palatino Linotype"/>
        </w:rPr>
        <w:t>.</w:t>
      </w:r>
      <w:r w:rsidR="00105D04" w:rsidRPr="00105D04">
        <w:rPr>
          <w:rFonts w:ascii="Palatino Linotype" w:hAnsi="Palatino Linotype"/>
        </w:rPr>
        <w:t xml:space="preserve"> </w:t>
      </w:r>
      <w:r w:rsidR="008E0A7D">
        <w:rPr>
          <w:rFonts w:ascii="Palatino Linotype" w:hAnsi="Palatino Linotype"/>
        </w:rPr>
        <w:t xml:space="preserve"> </w:t>
      </w:r>
      <w:r w:rsidR="00C21C58">
        <w:rPr>
          <w:rFonts w:ascii="Palatino Linotype" w:hAnsi="Palatino Linotype"/>
        </w:rPr>
        <w:t xml:space="preserve">He </w:t>
      </w:r>
      <w:r w:rsidR="00FC2038">
        <w:rPr>
          <w:rFonts w:ascii="Palatino Linotype" w:hAnsi="Palatino Linotype"/>
        </w:rPr>
        <w:t>repeated</w:t>
      </w:r>
      <w:r w:rsidR="00C21C58">
        <w:rPr>
          <w:rFonts w:ascii="Palatino Linotype" w:hAnsi="Palatino Linotype"/>
        </w:rPr>
        <w:t xml:space="preserve"> this</w:t>
      </w:r>
      <w:r w:rsidR="00FC2038">
        <w:rPr>
          <w:rFonts w:ascii="Palatino Linotype" w:hAnsi="Palatino Linotype"/>
        </w:rPr>
        <w:t xml:space="preserve"> </w:t>
      </w:r>
      <w:proofErr w:type="gramStart"/>
      <w:r w:rsidR="00FC2038">
        <w:rPr>
          <w:rFonts w:ascii="Palatino Linotype" w:hAnsi="Palatino Linotype"/>
        </w:rPr>
        <w:t xml:space="preserve">particular </w:t>
      </w:r>
      <w:r w:rsidR="00E4691D">
        <w:rPr>
          <w:rFonts w:ascii="Palatino Linotype" w:hAnsi="Palatino Linotype"/>
        </w:rPr>
        <w:t xml:space="preserve">type of </w:t>
      </w:r>
      <w:r w:rsidR="00FC2038">
        <w:rPr>
          <w:rFonts w:ascii="Palatino Linotype" w:hAnsi="Palatino Linotype"/>
        </w:rPr>
        <w:t>sexual</w:t>
      </w:r>
      <w:proofErr w:type="gramEnd"/>
      <w:r w:rsidR="00FC2038">
        <w:rPr>
          <w:rFonts w:ascii="Palatino Linotype" w:hAnsi="Palatino Linotype"/>
        </w:rPr>
        <w:t xml:space="preserve"> assault</w:t>
      </w:r>
      <w:r w:rsidR="00105D04" w:rsidRPr="00105D04">
        <w:rPr>
          <w:rFonts w:ascii="Palatino Linotype" w:hAnsi="Palatino Linotype"/>
        </w:rPr>
        <w:t xml:space="preserve"> about 6 time</w:t>
      </w:r>
      <w:r w:rsidR="00C21C58">
        <w:rPr>
          <w:rFonts w:ascii="Palatino Linotype" w:hAnsi="Palatino Linotype"/>
        </w:rPr>
        <w:t>s</w:t>
      </w:r>
      <w:r w:rsidR="00FC2038">
        <w:rPr>
          <w:rFonts w:ascii="Palatino Linotype" w:hAnsi="Palatino Linotype"/>
        </w:rPr>
        <w:t xml:space="preserve"> in total, she thought, over the years</w:t>
      </w:r>
      <w:r w:rsidR="00105D04" w:rsidRPr="00105D04">
        <w:rPr>
          <w:rFonts w:ascii="Palatino Linotype" w:hAnsi="Palatino Linotype"/>
        </w:rPr>
        <w:t>.</w:t>
      </w:r>
      <w:r w:rsidR="006D6B8E">
        <w:rPr>
          <w:rFonts w:ascii="Palatino Linotype" w:hAnsi="Palatino Linotype"/>
        </w:rPr>
        <w:t xml:space="preserve">  </w:t>
      </w:r>
    </w:p>
    <w:p w14:paraId="260C33F6" w14:textId="0FC5CD3A" w:rsidR="00A6019F" w:rsidRDefault="0028098E" w:rsidP="0028098E">
      <w:pPr>
        <w:spacing w:line="480" w:lineRule="auto"/>
        <w:jc w:val="both"/>
        <w:rPr>
          <w:rFonts w:ascii="Palatino Linotype" w:hAnsi="Palatino Linotype"/>
        </w:rPr>
      </w:pPr>
      <w:r>
        <w:rPr>
          <w:rFonts w:ascii="Palatino Linotype" w:hAnsi="Palatino Linotype"/>
        </w:rPr>
        <w:t>4.6</w:t>
      </w:r>
      <w:r>
        <w:rPr>
          <w:rFonts w:ascii="Palatino Linotype" w:hAnsi="Palatino Linotype"/>
        </w:rPr>
        <w:tab/>
      </w:r>
      <w:r w:rsidR="000311FA">
        <w:rPr>
          <w:rFonts w:ascii="Palatino Linotype" w:hAnsi="Palatino Linotype"/>
        </w:rPr>
        <w:t>When she was in 6</w:t>
      </w:r>
      <w:r w:rsidR="008844CC">
        <w:rPr>
          <w:rFonts w:ascii="Palatino Linotype" w:hAnsi="Palatino Linotype"/>
        </w:rPr>
        <w:t>th</w:t>
      </w:r>
      <w:r w:rsidR="008844CC">
        <w:rPr>
          <w:rFonts w:ascii="Palatino Linotype" w:hAnsi="Palatino Linotype"/>
          <w:vertAlign w:val="superscript"/>
        </w:rPr>
        <w:t xml:space="preserve"> </w:t>
      </w:r>
      <w:r w:rsidR="000311FA">
        <w:rPr>
          <w:rFonts w:ascii="Palatino Linotype" w:hAnsi="Palatino Linotype"/>
        </w:rPr>
        <w:t xml:space="preserve">class and about 12 years old, she heard boys in school discussing sex and began to understand what was happening.  </w:t>
      </w:r>
      <w:r w:rsidR="00182EAE">
        <w:rPr>
          <w:rFonts w:ascii="Palatino Linotype" w:hAnsi="Palatino Linotype"/>
        </w:rPr>
        <w:t>At the age of 14, she asked him to stop.</w:t>
      </w:r>
      <w:r w:rsidR="00906DCF">
        <w:rPr>
          <w:rFonts w:ascii="Palatino Linotype" w:hAnsi="Palatino Linotype"/>
        </w:rPr>
        <w:t xml:space="preserve">  </w:t>
      </w:r>
      <w:r w:rsidR="00FC2038">
        <w:rPr>
          <w:rFonts w:ascii="Palatino Linotype" w:hAnsi="Palatino Linotype"/>
        </w:rPr>
        <w:t>The Defendant</w:t>
      </w:r>
      <w:r w:rsidR="00906DCF" w:rsidRPr="00906DCF">
        <w:rPr>
          <w:rFonts w:ascii="Palatino Linotype" w:hAnsi="Palatino Linotype"/>
        </w:rPr>
        <w:t xml:space="preserve"> told </w:t>
      </w:r>
      <w:r w:rsidR="00906DCF">
        <w:rPr>
          <w:rFonts w:ascii="Palatino Linotype" w:hAnsi="Palatino Linotype"/>
        </w:rPr>
        <w:t>her mother</w:t>
      </w:r>
      <w:r w:rsidR="00906DCF" w:rsidRPr="00906DCF">
        <w:rPr>
          <w:rFonts w:ascii="Palatino Linotype" w:hAnsi="Palatino Linotype"/>
        </w:rPr>
        <w:t xml:space="preserve"> </w:t>
      </w:r>
      <w:r w:rsidR="00906DCF">
        <w:rPr>
          <w:rFonts w:ascii="Palatino Linotype" w:hAnsi="Palatino Linotype"/>
        </w:rPr>
        <w:t xml:space="preserve">that </w:t>
      </w:r>
      <w:r w:rsidR="00E4691D">
        <w:rPr>
          <w:rFonts w:ascii="Palatino Linotype" w:hAnsi="Palatino Linotype"/>
        </w:rPr>
        <w:t>the Plaintiff had barred him from the</w:t>
      </w:r>
      <w:r w:rsidR="00906DCF" w:rsidRPr="00906DCF">
        <w:rPr>
          <w:rFonts w:ascii="Palatino Linotype" w:hAnsi="Palatino Linotype"/>
        </w:rPr>
        <w:t xml:space="preserve"> house, and </w:t>
      </w:r>
      <w:r w:rsidR="00BA2150">
        <w:rPr>
          <w:rFonts w:ascii="Palatino Linotype" w:hAnsi="Palatino Linotype"/>
        </w:rPr>
        <w:t>her mother</w:t>
      </w:r>
      <w:r w:rsidR="00906DCF" w:rsidRPr="00906DCF">
        <w:rPr>
          <w:rFonts w:ascii="Palatino Linotype" w:hAnsi="Palatino Linotype"/>
        </w:rPr>
        <w:t xml:space="preserve"> asked </w:t>
      </w:r>
      <w:r w:rsidR="00BA2150">
        <w:rPr>
          <w:rFonts w:ascii="Palatino Linotype" w:hAnsi="Palatino Linotype"/>
        </w:rPr>
        <w:t>the Plaintiff</w:t>
      </w:r>
      <w:r w:rsidR="00906DCF" w:rsidRPr="00906DCF">
        <w:rPr>
          <w:rFonts w:ascii="Palatino Linotype" w:hAnsi="Palatino Linotype"/>
        </w:rPr>
        <w:t xml:space="preserve"> why</w:t>
      </w:r>
      <w:r w:rsidR="00BA2150">
        <w:rPr>
          <w:rFonts w:ascii="Palatino Linotype" w:hAnsi="Palatino Linotype"/>
        </w:rPr>
        <w:t xml:space="preserve"> she had </w:t>
      </w:r>
      <w:r w:rsidR="008F4D7F">
        <w:rPr>
          <w:rFonts w:ascii="Palatino Linotype" w:hAnsi="Palatino Linotype"/>
        </w:rPr>
        <w:t>told him this</w:t>
      </w:r>
      <w:r w:rsidR="00906DCF">
        <w:rPr>
          <w:rFonts w:ascii="Palatino Linotype" w:hAnsi="Palatino Linotype"/>
        </w:rPr>
        <w:t xml:space="preserve">. Because she </w:t>
      </w:r>
      <w:r w:rsidR="00906DCF" w:rsidRPr="00906DCF">
        <w:rPr>
          <w:rFonts w:ascii="Palatino Linotype" w:hAnsi="Palatino Linotype"/>
        </w:rPr>
        <w:t xml:space="preserve">hadn’t the strength to </w:t>
      </w:r>
      <w:r w:rsidR="008F4D7F">
        <w:rPr>
          <w:rFonts w:ascii="Palatino Linotype" w:hAnsi="Palatino Linotype"/>
        </w:rPr>
        <w:lastRenderedPageBreak/>
        <w:t>disclose the abuse to</w:t>
      </w:r>
      <w:r w:rsidR="00906DCF" w:rsidRPr="00906DCF">
        <w:rPr>
          <w:rFonts w:ascii="Palatino Linotype" w:hAnsi="Palatino Linotype"/>
        </w:rPr>
        <w:t xml:space="preserve"> her </w:t>
      </w:r>
      <w:r w:rsidR="00906DCF">
        <w:rPr>
          <w:rFonts w:ascii="Palatino Linotype" w:hAnsi="Palatino Linotype"/>
        </w:rPr>
        <w:t>mother, as she described it,</w:t>
      </w:r>
      <w:r w:rsidR="00906DCF" w:rsidRPr="00906DCF">
        <w:rPr>
          <w:rFonts w:ascii="Palatino Linotype" w:hAnsi="Palatino Linotype"/>
        </w:rPr>
        <w:t xml:space="preserve"> </w:t>
      </w:r>
      <w:r w:rsidR="008F13DC">
        <w:rPr>
          <w:rFonts w:ascii="Palatino Linotype" w:hAnsi="Palatino Linotype"/>
        </w:rPr>
        <w:t>‘</w:t>
      </w:r>
      <w:r w:rsidR="00906DCF" w:rsidRPr="00906DCF">
        <w:rPr>
          <w:rFonts w:ascii="Palatino Linotype" w:hAnsi="Palatino Linotype"/>
          <w:i/>
        </w:rPr>
        <w:t>he had the upper hand again,</w:t>
      </w:r>
      <w:r w:rsidR="00906DCF" w:rsidRPr="00906DCF">
        <w:rPr>
          <w:rFonts w:ascii="Palatino Linotype" w:hAnsi="Palatino Linotype"/>
        </w:rPr>
        <w:t xml:space="preserve"> </w:t>
      </w:r>
      <w:r w:rsidR="00906DCF" w:rsidRPr="00906DCF">
        <w:rPr>
          <w:rFonts w:ascii="Palatino Linotype" w:hAnsi="Palatino Linotype"/>
          <w:i/>
        </w:rPr>
        <w:t>and I had to have another year</w:t>
      </w:r>
      <w:r w:rsidR="008F13DC">
        <w:rPr>
          <w:rFonts w:ascii="Palatino Linotype" w:hAnsi="Palatino Linotype"/>
          <w:i/>
        </w:rPr>
        <w:t>’</w:t>
      </w:r>
      <w:r w:rsidR="00906DCF" w:rsidRPr="00906DCF">
        <w:rPr>
          <w:rFonts w:ascii="Palatino Linotype" w:hAnsi="Palatino Linotype"/>
        </w:rPr>
        <w:t>.</w:t>
      </w:r>
      <w:r w:rsidR="008F4D7F">
        <w:rPr>
          <w:rFonts w:ascii="Palatino Linotype" w:hAnsi="Palatino Linotype"/>
        </w:rPr>
        <w:t xml:space="preserve">  The abuse continued, on a regular basis, until she was 15</w:t>
      </w:r>
      <w:r w:rsidR="00E4691D">
        <w:rPr>
          <w:rFonts w:ascii="Palatino Linotype" w:hAnsi="Palatino Linotype"/>
        </w:rPr>
        <w:t xml:space="preserve"> years old</w:t>
      </w:r>
      <w:r w:rsidR="008F4D7F">
        <w:rPr>
          <w:rFonts w:ascii="Palatino Linotype" w:hAnsi="Palatino Linotype"/>
        </w:rPr>
        <w:t>.</w:t>
      </w:r>
    </w:p>
    <w:p w14:paraId="26D42DB9" w14:textId="49CF8EE7" w:rsidR="008E0A7D" w:rsidRDefault="0028098E" w:rsidP="0028098E">
      <w:pPr>
        <w:spacing w:line="480" w:lineRule="auto"/>
        <w:jc w:val="both"/>
        <w:rPr>
          <w:rFonts w:ascii="Palatino Linotype" w:hAnsi="Palatino Linotype"/>
        </w:rPr>
      </w:pPr>
      <w:r>
        <w:rPr>
          <w:rFonts w:ascii="Palatino Linotype" w:hAnsi="Palatino Linotype"/>
        </w:rPr>
        <w:t>4.7</w:t>
      </w:r>
      <w:r>
        <w:rPr>
          <w:rFonts w:ascii="Palatino Linotype" w:hAnsi="Palatino Linotype"/>
        </w:rPr>
        <w:tab/>
      </w:r>
      <w:r w:rsidR="00A76E9F">
        <w:rPr>
          <w:rFonts w:ascii="Palatino Linotype" w:hAnsi="Palatino Linotype"/>
        </w:rPr>
        <w:t>Th</w:t>
      </w:r>
      <w:r w:rsidR="00E4691D">
        <w:rPr>
          <w:rFonts w:ascii="Palatino Linotype" w:hAnsi="Palatino Linotype"/>
        </w:rPr>
        <w:t>is</w:t>
      </w:r>
      <w:r w:rsidR="00A76E9F">
        <w:rPr>
          <w:rFonts w:ascii="Palatino Linotype" w:hAnsi="Palatino Linotype"/>
        </w:rPr>
        <w:t xml:space="preserve"> evidence was given in a </w:t>
      </w:r>
      <w:r w:rsidR="002574DC">
        <w:rPr>
          <w:rFonts w:ascii="Palatino Linotype" w:hAnsi="Palatino Linotype"/>
        </w:rPr>
        <w:t>clear and straightforward way</w:t>
      </w:r>
      <w:r w:rsidR="008F4D7F">
        <w:rPr>
          <w:rFonts w:ascii="Palatino Linotype" w:hAnsi="Palatino Linotype"/>
        </w:rPr>
        <w:t>. While occasionally visibly upset, the Plaintiff did not appear to be exaggerating</w:t>
      </w:r>
      <w:r w:rsidR="000C0423">
        <w:rPr>
          <w:rFonts w:ascii="Palatino Linotype" w:hAnsi="Palatino Linotype"/>
        </w:rPr>
        <w:t xml:space="preserve"> and occasionally did not recall certain details.  In other words, there was no indication that she was giving a well-rehearsed account</w:t>
      </w:r>
      <w:r w:rsidR="00AE7894">
        <w:rPr>
          <w:rFonts w:ascii="Palatino Linotype" w:hAnsi="Palatino Linotype"/>
        </w:rPr>
        <w:t>,</w:t>
      </w:r>
      <w:r w:rsidR="000C0423">
        <w:rPr>
          <w:rFonts w:ascii="Palatino Linotype" w:hAnsi="Palatino Linotype"/>
        </w:rPr>
        <w:t xml:space="preserve"> but she appeared to recall from memory rather than </w:t>
      </w:r>
      <w:r w:rsidR="00AE7894">
        <w:rPr>
          <w:rFonts w:ascii="Palatino Linotype" w:hAnsi="Palatino Linotype"/>
        </w:rPr>
        <w:t>reciting a story and did not suggest answers if she could not do so, being content to reply as best she could and accept when she could not recall a date or specific event.</w:t>
      </w:r>
      <w:r w:rsidR="008F4D7F">
        <w:rPr>
          <w:rFonts w:ascii="Palatino Linotype" w:hAnsi="Palatino Linotype"/>
        </w:rPr>
        <w:t xml:space="preserve"> </w:t>
      </w:r>
      <w:r w:rsidR="00AE7894">
        <w:rPr>
          <w:rFonts w:ascii="Palatino Linotype" w:hAnsi="Palatino Linotype"/>
        </w:rPr>
        <w:t>The Plaintiff did not</w:t>
      </w:r>
      <w:r w:rsidR="008F4D7F">
        <w:rPr>
          <w:rFonts w:ascii="Palatino Linotype" w:hAnsi="Palatino Linotype"/>
        </w:rPr>
        <w:t xml:space="preserve"> hesitate when asked </w:t>
      </w:r>
      <w:r w:rsidR="00AE7894">
        <w:rPr>
          <w:rFonts w:ascii="Palatino Linotype" w:hAnsi="Palatino Linotype"/>
        </w:rPr>
        <w:t>certain</w:t>
      </w:r>
      <w:r w:rsidR="008F4D7F">
        <w:rPr>
          <w:rFonts w:ascii="Palatino Linotype" w:hAnsi="Palatino Linotype"/>
        </w:rPr>
        <w:t xml:space="preserve"> questions as to place or frequency. In her evidence,</w:t>
      </w:r>
      <w:r w:rsidR="002574DC">
        <w:rPr>
          <w:rFonts w:ascii="Palatino Linotype" w:hAnsi="Palatino Linotype"/>
        </w:rPr>
        <w:t xml:space="preserve"> details were present which would be difficult to fabricate, including </w:t>
      </w:r>
      <w:r w:rsidR="005A2647">
        <w:rPr>
          <w:rFonts w:ascii="Palatino Linotype" w:hAnsi="Palatino Linotype"/>
        </w:rPr>
        <w:t xml:space="preserve">a </w:t>
      </w:r>
      <w:r w:rsidR="002574DC">
        <w:rPr>
          <w:rFonts w:ascii="Palatino Linotype" w:hAnsi="Palatino Linotype"/>
        </w:rPr>
        <w:t xml:space="preserve">specific sense of touch </w:t>
      </w:r>
      <w:r w:rsidR="008F4D7F">
        <w:rPr>
          <w:rFonts w:ascii="Palatino Linotype" w:hAnsi="Palatino Linotype"/>
        </w:rPr>
        <w:t xml:space="preserve">she said that she had experienced </w:t>
      </w:r>
      <w:r w:rsidR="002574DC">
        <w:rPr>
          <w:rFonts w:ascii="Palatino Linotype" w:hAnsi="Palatino Linotype"/>
        </w:rPr>
        <w:t xml:space="preserve">during the events being described.  </w:t>
      </w:r>
      <w:r w:rsidR="007E0193">
        <w:rPr>
          <w:rFonts w:ascii="Palatino Linotype" w:hAnsi="Palatino Linotype"/>
        </w:rPr>
        <w:t xml:space="preserve">I found the </w:t>
      </w:r>
      <w:r w:rsidR="008F4D7F">
        <w:rPr>
          <w:rFonts w:ascii="Palatino Linotype" w:hAnsi="Palatino Linotype"/>
        </w:rPr>
        <w:t>Plaintiff</w:t>
      </w:r>
      <w:r w:rsidR="007E0193">
        <w:rPr>
          <w:rFonts w:ascii="Palatino Linotype" w:hAnsi="Palatino Linotype"/>
        </w:rPr>
        <w:t xml:space="preserve"> to be a credible witness, who did not </w:t>
      </w:r>
      <w:r w:rsidR="008F4D7F">
        <w:rPr>
          <w:rFonts w:ascii="Palatino Linotype" w:hAnsi="Palatino Linotype"/>
        </w:rPr>
        <w:t>overstate her evidence and</w:t>
      </w:r>
      <w:r w:rsidR="007E0193">
        <w:rPr>
          <w:rFonts w:ascii="Palatino Linotype" w:hAnsi="Palatino Linotype"/>
        </w:rPr>
        <w:t xml:space="preserve"> did not purport to remember events which she could not recall.  </w:t>
      </w:r>
    </w:p>
    <w:p w14:paraId="4A10B9DE" w14:textId="2CFDE8C3" w:rsidR="002574DC" w:rsidRPr="00A16E18" w:rsidRDefault="0028098E" w:rsidP="0028098E">
      <w:pPr>
        <w:spacing w:line="480" w:lineRule="auto"/>
        <w:jc w:val="both"/>
        <w:rPr>
          <w:rFonts w:ascii="Palatino Linotype" w:hAnsi="Palatino Linotype"/>
          <w:b/>
        </w:rPr>
      </w:pPr>
      <w:r w:rsidRPr="00A16E18">
        <w:rPr>
          <w:rFonts w:ascii="Palatino Linotype" w:hAnsi="Palatino Linotype"/>
          <w:b/>
        </w:rPr>
        <w:t xml:space="preserve">5. </w:t>
      </w:r>
      <w:r w:rsidR="008F13DC">
        <w:rPr>
          <w:rFonts w:ascii="Palatino Linotype" w:hAnsi="Palatino Linotype"/>
          <w:b/>
        </w:rPr>
        <w:t xml:space="preserve"> </w:t>
      </w:r>
      <w:r w:rsidR="00CB3E11" w:rsidRPr="00A16E18">
        <w:rPr>
          <w:rFonts w:ascii="Palatino Linotype" w:hAnsi="Palatino Linotype"/>
          <w:b/>
        </w:rPr>
        <w:t>Putting the Case</w:t>
      </w:r>
      <w:r w:rsidR="000C0423" w:rsidRPr="00A16E18">
        <w:rPr>
          <w:rFonts w:ascii="Palatino Linotype" w:hAnsi="Palatino Linotype"/>
          <w:b/>
        </w:rPr>
        <w:t xml:space="preserve"> in Cross-examination</w:t>
      </w:r>
      <w:r w:rsidR="000A1068">
        <w:rPr>
          <w:rFonts w:ascii="Palatino Linotype" w:hAnsi="Palatino Linotype"/>
          <w:b/>
        </w:rPr>
        <w:t>, McKenzie Friends and Rigid Rules</w:t>
      </w:r>
    </w:p>
    <w:p w14:paraId="7EB755CF" w14:textId="04BA8FDB" w:rsidR="008D5527" w:rsidRDefault="0028098E" w:rsidP="0028098E">
      <w:pPr>
        <w:spacing w:line="480" w:lineRule="auto"/>
        <w:jc w:val="both"/>
        <w:rPr>
          <w:rFonts w:ascii="Palatino Linotype" w:hAnsi="Palatino Linotype"/>
        </w:rPr>
      </w:pPr>
      <w:r>
        <w:rPr>
          <w:rFonts w:ascii="Palatino Linotype" w:hAnsi="Palatino Linotype"/>
        </w:rPr>
        <w:t>5.1</w:t>
      </w:r>
      <w:r>
        <w:rPr>
          <w:rFonts w:ascii="Palatino Linotype" w:hAnsi="Palatino Linotype"/>
        </w:rPr>
        <w:tab/>
      </w:r>
      <w:r w:rsidR="002574DC">
        <w:rPr>
          <w:rFonts w:ascii="Palatino Linotype" w:hAnsi="Palatino Linotype"/>
        </w:rPr>
        <w:t xml:space="preserve">The Defendant did not put any questions to the </w:t>
      </w:r>
      <w:r w:rsidR="008D5527">
        <w:rPr>
          <w:rFonts w:ascii="Palatino Linotype" w:hAnsi="Palatino Linotype"/>
        </w:rPr>
        <w:t>Plaintiff</w:t>
      </w:r>
      <w:r w:rsidR="003A6C43">
        <w:rPr>
          <w:rFonts w:ascii="Palatino Linotype" w:hAnsi="Palatino Linotype"/>
        </w:rPr>
        <w:t xml:space="preserve">, either putting an alternative case to her (for instance that she was confusing him with another abuser) or </w:t>
      </w:r>
      <w:r w:rsidR="002574DC">
        <w:rPr>
          <w:rFonts w:ascii="Palatino Linotype" w:hAnsi="Palatino Linotype"/>
        </w:rPr>
        <w:t>suggesting that he had not touched her</w:t>
      </w:r>
      <w:r w:rsidR="003A6C43">
        <w:rPr>
          <w:rFonts w:ascii="Palatino Linotype" w:hAnsi="Palatino Linotype"/>
        </w:rPr>
        <w:t xml:space="preserve"> or that she was fabricating this account</w:t>
      </w:r>
      <w:r w:rsidR="002574DC">
        <w:rPr>
          <w:rFonts w:ascii="Palatino Linotype" w:hAnsi="Palatino Linotype"/>
        </w:rPr>
        <w:t xml:space="preserve">.  </w:t>
      </w:r>
      <w:r w:rsidR="00C17FFA">
        <w:rPr>
          <w:rFonts w:ascii="Palatino Linotype" w:hAnsi="Palatino Linotype"/>
        </w:rPr>
        <w:t xml:space="preserve">This is sometimes referred to as the rule in </w:t>
      </w:r>
      <w:r w:rsidR="00C17FFA" w:rsidRPr="008F13DC">
        <w:rPr>
          <w:rFonts w:ascii="Palatino Linotype" w:hAnsi="Palatino Linotype"/>
          <w:i/>
          <w:iCs/>
        </w:rPr>
        <w:t>Brown v</w:t>
      </w:r>
      <w:r w:rsidR="008F13DC">
        <w:rPr>
          <w:rFonts w:ascii="Palatino Linotype" w:hAnsi="Palatino Linotype"/>
          <w:i/>
          <w:iCs/>
        </w:rPr>
        <w:t>.</w:t>
      </w:r>
      <w:r w:rsidR="00C17FFA" w:rsidRPr="008F13DC">
        <w:rPr>
          <w:rFonts w:ascii="Palatino Linotype" w:hAnsi="Palatino Linotype"/>
          <w:i/>
          <w:iCs/>
        </w:rPr>
        <w:t xml:space="preserve"> Dunn</w:t>
      </w:r>
      <w:r w:rsidR="00C17FFA">
        <w:rPr>
          <w:rFonts w:ascii="Palatino Linotype" w:hAnsi="Palatino Linotype"/>
        </w:rPr>
        <w:t xml:space="preserve"> </w:t>
      </w:r>
      <w:r w:rsidR="000A1068">
        <w:rPr>
          <w:rFonts w:ascii="Palatino Linotype" w:hAnsi="Palatino Linotype"/>
        </w:rPr>
        <w:t>and</w:t>
      </w:r>
      <w:r w:rsidR="00C17FFA">
        <w:rPr>
          <w:rFonts w:ascii="Palatino Linotype" w:hAnsi="Palatino Linotype"/>
        </w:rPr>
        <w:t xml:space="preserve"> it has been comprehensively discussed in the case of </w:t>
      </w:r>
      <w:r w:rsidR="000A1068" w:rsidRPr="000A1068">
        <w:rPr>
          <w:rFonts w:ascii="Palatino Linotype" w:hAnsi="Palatino Linotype"/>
          <w:i/>
        </w:rPr>
        <w:t>DPP and Another v. Burke and Another</w:t>
      </w:r>
      <w:r w:rsidR="000A1068">
        <w:rPr>
          <w:rFonts w:ascii="Palatino Linotype" w:hAnsi="Palatino Linotype"/>
        </w:rPr>
        <w:t xml:space="preserve"> [</w:t>
      </w:r>
      <w:r w:rsidR="000A1068" w:rsidRPr="000A1068">
        <w:rPr>
          <w:rFonts w:ascii="Palatino Linotype" w:hAnsi="Palatino Linotype"/>
        </w:rPr>
        <w:t>2014] IEHC 483</w:t>
      </w:r>
      <w:r w:rsidR="00C17FFA">
        <w:rPr>
          <w:rFonts w:ascii="Palatino Linotype" w:hAnsi="Palatino Linotype"/>
        </w:rPr>
        <w:t xml:space="preserve">.  </w:t>
      </w:r>
      <w:r w:rsidR="002574DC">
        <w:rPr>
          <w:rFonts w:ascii="Palatino Linotype" w:hAnsi="Palatino Linotype"/>
        </w:rPr>
        <w:t>Instead</w:t>
      </w:r>
      <w:r w:rsidR="00C17FFA">
        <w:rPr>
          <w:rFonts w:ascii="Palatino Linotype" w:hAnsi="Palatino Linotype"/>
        </w:rPr>
        <w:t xml:space="preserve"> of putting the case</w:t>
      </w:r>
      <w:r w:rsidR="002574DC">
        <w:rPr>
          <w:rFonts w:ascii="Palatino Linotype" w:hAnsi="Palatino Linotype"/>
        </w:rPr>
        <w:t xml:space="preserve">, </w:t>
      </w:r>
      <w:r w:rsidR="00C17FFA">
        <w:rPr>
          <w:rFonts w:ascii="Palatino Linotype" w:hAnsi="Palatino Linotype"/>
        </w:rPr>
        <w:t>t</w:t>
      </w:r>
      <w:r w:rsidR="002574DC">
        <w:rPr>
          <w:rFonts w:ascii="Palatino Linotype" w:hAnsi="Palatino Linotype"/>
        </w:rPr>
        <w:t>he</w:t>
      </w:r>
      <w:r w:rsidR="00C17FFA">
        <w:rPr>
          <w:rFonts w:ascii="Palatino Linotype" w:hAnsi="Palatino Linotype"/>
        </w:rPr>
        <w:t xml:space="preserve"> Defendant</w:t>
      </w:r>
      <w:r w:rsidR="002574DC">
        <w:rPr>
          <w:rFonts w:ascii="Palatino Linotype" w:hAnsi="Palatino Linotype"/>
        </w:rPr>
        <w:t xml:space="preserve"> asked about</w:t>
      </w:r>
      <w:r w:rsidR="001647C1">
        <w:rPr>
          <w:rFonts w:ascii="Palatino Linotype" w:hAnsi="Palatino Linotype"/>
        </w:rPr>
        <w:t xml:space="preserve"> a discrepancy in</w:t>
      </w:r>
      <w:r w:rsidR="002574DC">
        <w:rPr>
          <w:rFonts w:ascii="Palatino Linotype" w:hAnsi="Palatino Linotype"/>
        </w:rPr>
        <w:t xml:space="preserve"> </w:t>
      </w:r>
      <w:r w:rsidR="000A1068">
        <w:rPr>
          <w:rFonts w:ascii="Palatino Linotype" w:hAnsi="Palatino Linotype"/>
        </w:rPr>
        <w:t>the Plaintiff’s evidence of</w:t>
      </w:r>
      <w:r w:rsidR="002574DC">
        <w:rPr>
          <w:rFonts w:ascii="Palatino Linotype" w:hAnsi="Palatino Linotype"/>
        </w:rPr>
        <w:t xml:space="preserve"> age and about an incident involving another member of her family. </w:t>
      </w:r>
      <w:r w:rsidR="00A47659">
        <w:rPr>
          <w:rFonts w:ascii="Palatino Linotype" w:hAnsi="Palatino Linotype"/>
        </w:rPr>
        <w:t>The effect of these questions will be considered below when setting out the Court’s assessment of liability.</w:t>
      </w:r>
    </w:p>
    <w:p w14:paraId="5A63D012" w14:textId="7FD3E99C" w:rsidR="00FF4338" w:rsidRDefault="0028098E" w:rsidP="0028098E">
      <w:pPr>
        <w:spacing w:line="480" w:lineRule="auto"/>
        <w:jc w:val="both"/>
        <w:rPr>
          <w:rFonts w:ascii="Palatino Linotype" w:hAnsi="Palatino Linotype"/>
        </w:rPr>
      </w:pPr>
      <w:r>
        <w:rPr>
          <w:rFonts w:ascii="Palatino Linotype" w:hAnsi="Palatino Linotype"/>
        </w:rPr>
        <w:t>5.2</w:t>
      </w:r>
      <w:r>
        <w:rPr>
          <w:rFonts w:ascii="Palatino Linotype" w:hAnsi="Palatino Linotype"/>
        </w:rPr>
        <w:tab/>
      </w:r>
      <w:r w:rsidR="000A1068">
        <w:rPr>
          <w:rFonts w:ascii="Palatino Linotype" w:hAnsi="Palatino Linotype"/>
        </w:rPr>
        <w:t xml:space="preserve">As to testing a witness’s evidence, Ms. Justice </w:t>
      </w:r>
      <w:r w:rsidR="002574DC">
        <w:rPr>
          <w:rFonts w:ascii="Palatino Linotype" w:hAnsi="Palatino Linotype"/>
        </w:rPr>
        <w:t xml:space="preserve">Baker </w:t>
      </w:r>
      <w:r w:rsidR="000A1068">
        <w:rPr>
          <w:rFonts w:ascii="Palatino Linotype" w:hAnsi="Palatino Linotype"/>
        </w:rPr>
        <w:t xml:space="preserve">summarised the position </w:t>
      </w:r>
      <w:r w:rsidR="002574DC">
        <w:rPr>
          <w:rFonts w:ascii="Palatino Linotype" w:hAnsi="Palatino Linotype"/>
        </w:rPr>
        <w:t>in</w:t>
      </w:r>
      <w:r w:rsidR="00FF4338">
        <w:rPr>
          <w:rFonts w:ascii="Palatino Linotype" w:hAnsi="Palatino Linotype"/>
        </w:rPr>
        <w:t xml:space="preserve"> </w:t>
      </w:r>
      <w:r w:rsidR="000A1068" w:rsidRPr="000A1068">
        <w:rPr>
          <w:rFonts w:ascii="Palatino Linotype" w:hAnsi="Palatino Linotype"/>
          <w:i/>
        </w:rPr>
        <w:t>Burke</w:t>
      </w:r>
      <w:r w:rsidR="00FF4338">
        <w:rPr>
          <w:rFonts w:ascii="Palatino Linotype" w:hAnsi="Palatino Linotype"/>
        </w:rPr>
        <w:t>:</w:t>
      </w:r>
    </w:p>
    <w:p w14:paraId="423235B4" w14:textId="3DF9D451" w:rsidR="00FF4338" w:rsidRDefault="008F13DC" w:rsidP="00B279A7">
      <w:pPr>
        <w:spacing w:line="480" w:lineRule="auto"/>
        <w:ind w:left="720"/>
        <w:jc w:val="both"/>
        <w:rPr>
          <w:rFonts w:ascii="Palatino Linotype" w:hAnsi="Palatino Linotype" w:cs="VerdanaItalic"/>
          <w:i/>
          <w:iCs/>
        </w:rPr>
      </w:pPr>
      <w:r>
        <w:rPr>
          <w:rFonts w:ascii="Palatino Linotype" w:hAnsi="Palatino Linotype" w:cs="VerdanaItalic"/>
          <w:i/>
          <w:iCs/>
        </w:rPr>
        <w:lastRenderedPageBreak/>
        <w:t>‘</w:t>
      </w:r>
      <w:r w:rsidR="007A74C7" w:rsidRPr="007A74C7">
        <w:rPr>
          <w:rFonts w:ascii="Palatino Linotype" w:hAnsi="Palatino Linotype" w:cs="VerdanaItalic"/>
          <w:i/>
          <w:iCs/>
        </w:rPr>
        <w:t>a) In closing submissions or argument a party may not impeach the credibility of a witness if that witness’s evidence has</w:t>
      </w:r>
      <w:r w:rsidR="007A74C7">
        <w:rPr>
          <w:rFonts w:ascii="Palatino Linotype" w:hAnsi="Palatino Linotype" w:cs="VerdanaItalic"/>
          <w:i/>
          <w:iCs/>
        </w:rPr>
        <w:t xml:space="preserve"> </w:t>
      </w:r>
      <w:r w:rsidR="007A74C7" w:rsidRPr="007A74C7">
        <w:rPr>
          <w:rFonts w:ascii="Palatino Linotype" w:hAnsi="Palatino Linotype" w:cs="VerdanaItalic"/>
          <w:i/>
          <w:iCs/>
        </w:rPr>
        <w:t xml:space="preserve">not been tested in </w:t>
      </w:r>
      <w:proofErr w:type="gramStart"/>
      <w:r w:rsidR="007A74C7" w:rsidRPr="007A74C7">
        <w:rPr>
          <w:rFonts w:ascii="Palatino Linotype" w:hAnsi="Palatino Linotype" w:cs="VerdanaItalic"/>
          <w:i/>
          <w:iCs/>
        </w:rPr>
        <w:t>cross-examination;</w:t>
      </w:r>
      <w:proofErr w:type="gramEnd"/>
    </w:p>
    <w:p w14:paraId="1B431B33" w14:textId="77777777" w:rsidR="007A74C7" w:rsidRPr="007A74C7" w:rsidRDefault="007A74C7" w:rsidP="00B279A7">
      <w:pPr>
        <w:spacing w:line="480" w:lineRule="auto"/>
        <w:ind w:left="720"/>
        <w:jc w:val="both"/>
        <w:rPr>
          <w:rFonts w:ascii="Palatino Linotype" w:hAnsi="Palatino Linotype" w:cs="VerdanaItalic"/>
          <w:i/>
          <w:iCs/>
        </w:rPr>
      </w:pPr>
      <w:r w:rsidRPr="007A74C7">
        <w:rPr>
          <w:rFonts w:ascii="Palatino Linotype" w:hAnsi="Palatino Linotype" w:cs="VerdanaItalic"/>
          <w:i/>
          <w:iCs/>
        </w:rPr>
        <w:t>b) Ipso facto a person who does not cross-examine evidence is faced with the prospect that the evidence is heard by</w:t>
      </w:r>
      <w:r>
        <w:rPr>
          <w:rFonts w:ascii="Palatino Linotype" w:hAnsi="Palatino Linotype" w:cs="VerdanaItalic"/>
          <w:i/>
          <w:iCs/>
        </w:rPr>
        <w:t xml:space="preserve"> </w:t>
      </w:r>
      <w:r w:rsidRPr="007A74C7">
        <w:rPr>
          <w:rFonts w:ascii="Palatino Linotype" w:hAnsi="Palatino Linotype" w:cs="VerdanaItalic"/>
          <w:i/>
          <w:iCs/>
        </w:rPr>
        <w:t>the trial judge or jury and is untested.</w:t>
      </w:r>
    </w:p>
    <w:p w14:paraId="12087608" w14:textId="48D2B5AA" w:rsidR="00FF4338" w:rsidRPr="007A74C7" w:rsidRDefault="007A74C7" w:rsidP="00B279A7">
      <w:pPr>
        <w:autoSpaceDE w:val="0"/>
        <w:autoSpaceDN w:val="0"/>
        <w:adjustRightInd w:val="0"/>
        <w:spacing w:after="0" w:line="480" w:lineRule="auto"/>
        <w:ind w:left="720"/>
        <w:jc w:val="both"/>
        <w:rPr>
          <w:rFonts w:ascii="Palatino Linotype" w:hAnsi="Palatino Linotype" w:cs="VerdanaItalic"/>
          <w:i/>
          <w:iCs/>
        </w:rPr>
      </w:pPr>
      <w:r w:rsidRPr="007A74C7">
        <w:rPr>
          <w:rFonts w:ascii="Palatino Linotype" w:hAnsi="Palatino Linotype" w:cs="VerdanaItalic"/>
          <w:i/>
          <w:iCs/>
        </w:rPr>
        <w:t>c) There is no requirement that evidence be cross-examined, but by not cross-examining evidence the evidence goes to</w:t>
      </w:r>
      <w:r>
        <w:rPr>
          <w:rFonts w:ascii="Palatino Linotype" w:hAnsi="Palatino Linotype" w:cs="VerdanaItalic"/>
          <w:i/>
          <w:iCs/>
        </w:rPr>
        <w:t xml:space="preserve"> </w:t>
      </w:r>
      <w:r w:rsidRPr="007A74C7">
        <w:rPr>
          <w:rFonts w:ascii="Palatino Linotype" w:hAnsi="Palatino Linotype" w:cs="VerdanaItalic"/>
          <w:i/>
          <w:iCs/>
        </w:rPr>
        <w:t>the fact finder as untested and uncontradicted evidence.</w:t>
      </w:r>
    </w:p>
    <w:p w14:paraId="748F8CEC" w14:textId="48ADA654" w:rsidR="00FF4338" w:rsidRDefault="007A74C7" w:rsidP="00B279A7">
      <w:pPr>
        <w:autoSpaceDE w:val="0"/>
        <w:autoSpaceDN w:val="0"/>
        <w:adjustRightInd w:val="0"/>
        <w:spacing w:after="0" w:line="480" w:lineRule="auto"/>
        <w:ind w:left="720"/>
        <w:jc w:val="both"/>
        <w:rPr>
          <w:rFonts w:ascii="Palatino Linotype" w:hAnsi="Palatino Linotype" w:cs="VerdanaItalic"/>
          <w:i/>
          <w:iCs/>
        </w:rPr>
      </w:pPr>
      <w:r w:rsidRPr="007A74C7">
        <w:rPr>
          <w:rFonts w:ascii="Palatino Linotype" w:hAnsi="Palatino Linotype" w:cs="VerdanaItalic"/>
          <w:i/>
          <w:iCs/>
        </w:rPr>
        <w:t>d) Untested and uncontradicted evidence carries greater weight than tested contradictory evidence.</w:t>
      </w:r>
    </w:p>
    <w:p w14:paraId="199960DB" w14:textId="46230618" w:rsidR="00FF4338" w:rsidRDefault="007A74C7" w:rsidP="00B279A7">
      <w:pPr>
        <w:autoSpaceDE w:val="0"/>
        <w:autoSpaceDN w:val="0"/>
        <w:adjustRightInd w:val="0"/>
        <w:spacing w:after="0" w:line="480" w:lineRule="auto"/>
        <w:ind w:left="720"/>
        <w:jc w:val="both"/>
        <w:rPr>
          <w:rFonts w:ascii="Palatino Linotype" w:hAnsi="Palatino Linotype" w:cs="VerdanaItalic"/>
          <w:i/>
          <w:iCs/>
        </w:rPr>
      </w:pPr>
      <w:r w:rsidRPr="007A74C7">
        <w:rPr>
          <w:rFonts w:ascii="Palatino Linotype" w:hAnsi="Palatino Linotype" w:cs="VerdanaItalic"/>
          <w:i/>
          <w:iCs/>
        </w:rPr>
        <w:t xml:space="preserve">e) It is not the function of any rule of law to direct the court to accept evidence merely </w:t>
      </w:r>
      <w:proofErr w:type="gramStart"/>
      <w:r w:rsidRPr="007A74C7">
        <w:rPr>
          <w:rFonts w:ascii="Palatino Linotype" w:hAnsi="Palatino Linotype" w:cs="VerdanaItalic"/>
          <w:i/>
          <w:iCs/>
        </w:rPr>
        <w:t>on account of the fact that</w:t>
      </w:r>
      <w:proofErr w:type="gramEnd"/>
      <w:r w:rsidRPr="007A74C7">
        <w:rPr>
          <w:rFonts w:ascii="Palatino Linotype" w:hAnsi="Palatino Linotype" w:cs="VerdanaItalic"/>
          <w:i/>
          <w:iCs/>
        </w:rPr>
        <w:t xml:space="preserve"> it</w:t>
      </w:r>
      <w:r>
        <w:rPr>
          <w:rFonts w:ascii="Palatino Linotype" w:hAnsi="Palatino Linotype" w:cs="VerdanaItalic"/>
          <w:i/>
          <w:iCs/>
        </w:rPr>
        <w:t xml:space="preserve"> </w:t>
      </w:r>
      <w:r w:rsidRPr="007A74C7">
        <w:rPr>
          <w:rFonts w:ascii="Palatino Linotype" w:hAnsi="Palatino Linotype" w:cs="VerdanaItalic"/>
          <w:i/>
          <w:iCs/>
        </w:rPr>
        <w:t xml:space="preserve">has not been tested. The court must hear </w:t>
      </w:r>
      <w:proofErr w:type="gramStart"/>
      <w:r w:rsidRPr="007A74C7">
        <w:rPr>
          <w:rFonts w:ascii="Palatino Linotype" w:hAnsi="Palatino Linotype" w:cs="VerdanaItalic"/>
          <w:i/>
          <w:iCs/>
        </w:rPr>
        <w:t>all of</w:t>
      </w:r>
      <w:proofErr w:type="gramEnd"/>
      <w:r w:rsidRPr="007A74C7">
        <w:rPr>
          <w:rFonts w:ascii="Palatino Linotype" w:hAnsi="Palatino Linotype" w:cs="VerdanaItalic"/>
          <w:i/>
          <w:iCs/>
        </w:rPr>
        <w:t xml:space="preserve"> the evidence before it and is entitled to weigh the evidence, including</w:t>
      </w:r>
      <w:r>
        <w:rPr>
          <w:rFonts w:ascii="Palatino Linotype" w:hAnsi="Palatino Linotype" w:cs="VerdanaItalic"/>
          <w:i/>
          <w:iCs/>
        </w:rPr>
        <w:t xml:space="preserve"> </w:t>
      </w:r>
      <w:r w:rsidRPr="007A74C7">
        <w:rPr>
          <w:rFonts w:ascii="Palatino Linotype" w:hAnsi="Palatino Linotype" w:cs="VerdanaItalic"/>
          <w:i/>
          <w:iCs/>
        </w:rPr>
        <w:t>unchallenged evidence, against the evidence as a whole adduced at the trial.</w:t>
      </w:r>
    </w:p>
    <w:p w14:paraId="32A1B06F" w14:textId="09C2E44F" w:rsidR="007A74C7" w:rsidRPr="0028098E" w:rsidRDefault="007A74C7" w:rsidP="00B279A7">
      <w:pPr>
        <w:autoSpaceDE w:val="0"/>
        <w:autoSpaceDN w:val="0"/>
        <w:adjustRightInd w:val="0"/>
        <w:spacing w:after="0" w:line="480" w:lineRule="auto"/>
        <w:ind w:left="720"/>
        <w:jc w:val="both"/>
        <w:rPr>
          <w:rFonts w:ascii="Palatino Linotype" w:hAnsi="Palatino Linotype" w:cs="VerdanaItalic"/>
          <w:i/>
          <w:iCs/>
        </w:rPr>
      </w:pPr>
      <w:r w:rsidRPr="007A74C7">
        <w:rPr>
          <w:rFonts w:ascii="Palatino Linotype" w:hAnsi="Palatino Linotype" w:cs="VerdanaItalic"/>
          <w:i/>
          <w:iCs/>
        </w:rPr>
        <w:t>f) A trial judge or jury is not compelled as a matter of law to accept evidence because it is not challenged. Unchallenged</w:t>
      </w:r>
      <w:r>
        <w:rPr>
          <w:rFonts w:ascii="Palatino Linotype" w:hAnsi="Palatino Linotype" w:cs="VerdanaItalic"/>
          <w:i/>
          <w:iCs/>
        </w:rPr>
        <w:t xml:space="preserve"> </w:t>
      </w:r>
      <w:r w:rsidRPr="007A74C7">
        <w:rPr>
          <w:rFonts w:ascii="Palatino Linotype" w:hAnsi="Palatino Linotype" w:cs="VerdanaItalic"/>
          <w:i/>
          <w:iCs/>
        </w:rPr>
        <w:t xml:space="preserve">evidence is part of the evidence at trial and the fact that it is unchallenged gives it somewhat greater </w:t>
      </w:r>
      <w:proofErr w:type="gramStart"/>
      <w:r w:rsidRPr="007A74C7">
        <w:rPr>
          <w:rFonts w:ascii="Palatino Linotype" w:hAnsi="Palatino Linotype" w:cs="VerdanaItalic"/>
          <w:i/>
          <w:iCs/>
        </w:rPr>
        <w:t>weight, but</w:t>
      </w:r>
      <w:proofErr w:type="gramEnd"/>
      <w:r w:rsidRPr="007A74C7">
        <w:rPr>
          <w:rFonts w:ascii="Palatino Linotype" w:hAnsi="Palatino Linotype" w:cs="VerdanaItalic"/>
          <w:i/>
          <w:iCs/>
        </w:rPr>
        <w:t xml:space="preserve"> does</w:t>
      </w:r>
      <w:r>
        <w:rPr>
          <w:rFonts w:ascii="Palatino Linotype" w:hAnsi="Palatino Linotype" w:cs="VerdanaItalic"/>
          <w:i/>
          <w:iCs/>
        </w:rPr>
        <w:t xml:space="preserve"> </w:t>
      </w:r>
      <w:r w:rsidRPr="007A74C7">
        <w:rPr>
          <w:rFonts w:ascii="Palatino Linotype" w:hAnsi="Palatino Linotype" w:cs="VerdanaItalic"/>
          <w:i/>
          <w:iCs/>
        </w:rPr>
        <w:t>not direct a particular result.</w:t>
      </w:r>
      <w:r w:rsidR="008F13DC">
        <w:rPr>
          <w:rFonts w:ascii="Palatino Linotype" w:hAnsi="Palatino Linotype" w:cs="VerdanaItalic"/>
        </w:rPr>
        <w:t>’</w:t>
      </w:r>
    </w:p>
    <w:p w14:paraId="7FFA5635" w14:textId="3055BF9D" w:rsidR="001647C1" w:rsidRDefault="0028098E" w:rsidP="0028098E">
      <w:pPr>
        <w:spacing w:line="480" w:lineRule="auto"/>
        <w:jc w:val="both"/>
        <w:rPr>
          <w:rFonts w:ascii="Palatino Linotype" w:hAnsi="Palatino Linotype"/>
        </w:rPr>
      </w:pPr>
      <w:r>
        <w:rPr>
          <w:rFonts w:ascii="Palatino Linotype" w:hAnsi="Palatino Linotype"/>
        </w:rPr>
        <w:t>5.3</w:t>
      </w:r>
      <w:r>
        <w:rPr>
          <w:rFonts w:ascii="Palatino Linotype" w:hAnsi="Palatino Linotype"/>
        </w:rPr>
        <w:tab/>
      </w:r>
      <w:r w:rsidR="0063767F">
        <w:rPr>
          <w:rFonts w:ascii="Palatino Linotype" w:hAnsi="Palatino Linotype"/>
        </w:rPr>
        <w:t xml:space="preserve">While it is unusual for a Defendant </w:t>
      </w:r>
      <w:r w:rsidR="00C17FFA">
        <w:rPr>
          <w:rFonts w:ascii="Palatino Linotype" w:hAnsi="Palatino Linotype"/>
        </w:rPr>
        <w:t>not to</w:t>
      </w:r>
      <w:r w:rsidR="0063767F">
        <w:rPr>
          <w:rFonts w:ascii="Palatino Linotype" w:hAnsi="Palatino Linotype"/>
        </w:rPr>
        <w:t xml:space="preserve"> clearly </w:t>
      </w:r>
      <w:r w:rsidR="00AE7894">
        <w:rPr>
          <w:rFonts w:ascii="Palatino Linotype" w:hAnsi="Palatino Linotype"/>
        </w:rPr>
        <w:t>contradict</w:t>
      </w:r>
      <w:r w:rsidR="0063767F">
        <w:rPr>
          <w:rFonts w:ascii="Palatino Linotype" w:hAnsi="Palatino Linotype"/>
        </w:rPr>
        <w:t xml:space="preserve"> the evidence of the Plaintiff,</w:t>
      </w:r>
      <w:r w:rsidR="000C0423">
        <w:rPr>
          <w:rFonts w:ascii="Palatino Linotype" w:hAnsi="Palatino Linotype"/>
        </w:rPr>
        <w:t xml:space="preserve"> the Court did not insist that the Defendant </w:t>
      </w:r>
      <w:r w:rsidR="00AE7894">
        <w:rPr>
          <w:rFonts w:ascii="Palatino Linotype" w:hAnsi="Palatino Linotype"/>
        </w:rPr>
        <w:t>directly</w:t>
      </w:r>
      <w:r w:rsidR="000C0423">
        <w:rPr>
          <w:rFonts w:ascii="Palatino Linotype" w:hAnsi="Palatino Linotype"/>
        </w:rPr>
        <w:t xml:space="preserve"> challenge </w:t>
      </w:r>
      <w:r w:rsidR="00E4691D">
        <w:rPr>
          <w:rFonts w:ascii="Palatino Linotype" w:hAnsi="Palatino Linotype"/>
        </w:rPr>
        <w:t>the</w:t>
      </w:r>
      <w:r w:rsidR="000C0423">
        <w:rPr>
          <w:rFonts w:ascii="Palatino Linotype" w:hAnsi="Palatino Linotype"/>
        </w:rPr>
        <w:t xml:space="preserve"> evidence, although he was invited to cross-examine her and </w:t>
      </w:r>
      <w:r w:rsidR="00E4691D">
        <w:rPr>
          <w:rFonts w:ascii="Palatino Linotype" w:hAnsi="Palatino Linotype"/>
        </w:rPr>
        <w:t>told</w:t>
      </w:r>
      <w:r w:rsidR="000C0423">
        <w:rPr>
          <w:rFonts w:ascii="Palatino Linotype" w:hAnsi="Palatino Linotype"/>
        </w:rPr>
        <w:t xml:space="preserve"> that it was his opportunity to ask questions to challenge her version of events.  </w:t>
      </w:r>
      <w:r w:rsidR="00E4691D">
        <w:rPr>
          <w:rFonts w:ascii="Palatino Linotype" w:hAnsi="Palatino Linotype"/>
        </w:rPr>
        <w:t>The</w:t>
      </w:r>
      <w:r w:rsidR="00FF4338">
        <w:rPr>
          <w:rFonts w:ascii="Palatino Linotype" w:hAnsi="Palatino Linotype"/>
        </w:rPr>
        <w:t xml:space="preserve"> Defendant </w:t>
      </w:r>
      <w:r w:rsidR="00DA483D">
        <w:rPr>
          <w:rFonts w:ascii="Palatino Linotype" w:hAnsi="Palatino Linotype"/>
        </w:rPr>
        <w:t>did not</w:t>
      </w:r>
      <w:r w:rsidR="00FF4338">
        <w:rPr>
          <w:rFonts w:ascii="Palatino Linotype" w:hAnsi="Palatino Linotype"/>
        </w:rPr>
        <w:t xml:space="preserve"> address the Court in submissions at the close of the case</w:t>
      </w:r>
      <w:r w:rsidR="00C17FFA">
        <w:rPr>
          <w:rFonts w:ascii="Palatino Linotype" w:hAnsi="Palatino Linotype"/>
        </w:rPr>
        <w:t xml:space="preserve"> so the issue of being permitted to challenge her account then did not arise</w:t>
      </w:r>
      <w:r w:rsidR="00FF4338">
        <w:rPr>
          <w:rFonts w:ascii="Palatino Linotype" w:hAnsi="Palatino Linotype"/>
        </w:rPr>
        <w:t xml:space="preserve">.  </w:t>
      </w:r>
    </w:p>
    <w:p w14:paraId="41CA1ED3" w14:textId="1E0744D1" w:rsidR="00CB3E11" w:rsidRDefault="0028098E" w:rsidP="0028098E">
      <w:pPr>
        <w:spacing w:line="480" w:lineRule="auto"/>
        <w:jc w:val="both"/>
        <w:rPr>
          <w:rFonts w:ascii="Palatino Linotype" w:hAnsi="Palatino Linotype"/>
        </w:rPr>
      </w:pPr>
      <w:r>
        <w:rPr>
          <w:rFonts w:ascii="Palatino Linotype" w:hAnsi="Palatino Linotype"/>
        </w:rPr>
        <w:t>5.4</w:t>
      </w:r>
      <w:r>
        <w:rPr>
          <w:rFonts w:ascii="Palatino Linotype" w:hAnsi="Palatino Linotype"/>
        </w:rPr>
        <w:tab/>
      </w:r>
      <w:r w:rsidR="000C0423">
        <w:rPr>
          <w:rFonts w:ascii="Palatino Linotype" w:hAnsi="Palatino Linotype"/>
        </w:rPr>
        <w:t>The Defendant was not advised that he was required to put his denials to the Plaintiff</w:t>
      </w:r>
      <w:r w:rsidR="0063767F">
        <w:rPr>
          <w:rFonts w:ascii="Palatino Linotype" w:hAnsi="Palatino Linotype"/>
        </w:rPr>
        <w:t xml:space="preserve"> for three reasons.  Firstly, the Defendant was not legally represented</w:t>
      </w:r>
      <w:r w:rsidR="00CB3E11">
        <w:rPr>
          <w:rFonts w:ascii="Palatino Linotype" w:hAnsi="Palatino Linotype"/>
        </w:rPr>
        <w:t>, s</w:t>
      </w:r>
      <w:r w:rsidR="00CB3E11" w:rsidRPr="00CB3E11">
        <w:rPr>
          <w:rFonts w:ascii="Palatino Linotype" w:hAnsi="Palatino Linotype"/>
        </w:rPr>
        <w:t xml:space="preserve">econdly, the Defendant </w:t>
      </w:r>
      <w:r w:rsidR="00EF2DCA">
        <w:rPr>
          <w:rFonts w:ascii="Palatino Linotype" w:hAnsi="Palatino Linotype"/>
        </w:rPr>
        <w:t>submitted that he</w:t>
      </w:r>
      <w:r w:rsidR="00CB3E11" w:rsidRPr="00CB3E11">
        <w:rPr>
          <w:rFonts w:ascii="Palatino Linotype" w:hAnsi="Palatino Linotype"/>
        </w:rPr>
        <w:t xml:space="preserve"> had difficulty reading and writing</w:t>
      </w:r>
      <w:r w:rsidR="00EF2DCA">
        <w:rPr>
          <w:rFonts w:ascii="Palatino Linotype" w:hAnsi="Palatino Linotype"/>
        </w:rPr>
        <w:t xml:space="preserve"> and said that he would have difficulty </w:t>
      </w:r>
      <w:r w:rsidR="00EF2DCA">
        <w:rPr>
          <w:rFonts w:ascii="Palatino Linotype" w:hAnsi="Palatino Linotype"/>
        </w:rPr>
        <w:lastRenderedPageBreak/>
        <w:t>formulating questions</w:t>
      </w:r>
      <w:r w:rsidR="00CB3E11">
        <w:rPr>
          <w:rFonts w:ascii="Palatino Linotype" w:hAnsi="Palatino Linotype"/>
        </w:rPr>
        <w:t xml:space="preserve">, and thirdly, the Defendant would otherwise have been required to cross-examine his victim in </w:t>
      </w:r>
      <w:r w:rsidR="000C0423">
        <w:rPr>
          <w:rFonts w:ascii="Palatino Linotype" w:hAnsi="Palatino Linotype"/>
        </w:rPr>
        <w:t>the context of these allegations, all of which were claims of</w:t>
      </w:r>
      <w:r w:rsidR="00CB3E11">
        <w:rPr>
          <w:rFonts w:ascii="Palatino Linotype" w:hAnsi="Palatino Linotype"/>
        </w:rPr>
        <w:t xml:space="preserve"> sexual abuse</w:t>
      </w:r>
      <w:r w:rsidR="003457D5">
        <w:rPr>
          <w:rFonts w:ascii="Palatino Linotype" w:hAnsi="Palatino Linotype"/>
        </w:rPr>
        <w:t>, in circumstances where it was clear that he denied the substance of the allegations</w:t>
      </w:r>
      <w:r w:rsidR="0063767F">
        <w:rPr>
          <w:rFonts w:ascii="Palatino Linotype" w:hAnsi="Palatino Linotype"/>
        </w:rPr>
        <w:t xml:space="preserve">.  </w:t>
      </w:r>
    </w:p>
    <w:p w14:paraId="020D49F7" w14:textId="0AE3D3AC" w:rsidR="00234994" w:rsidRDefault="0028098E" w:rsidP="0028098E">
      <w:pPr>
        <w:spacing w:line="480" w:lineRule="auto"/>
        <w:jc w:val="both"/>
        <w:rPr>
          <w:rFonts w:ascii="Palatino Linotype" w:hAnsi="Palatino Linotype"/>
        </w:rPr>
      </w:pPr>
      <w:r>
        <w:rPr>
          <w:rFonts w:ascii="Palatino Linotype" w:hAnsi="Palatino Linotype"/>
        </w:rPr>
        <w:t>5.5</w:t>
      </w:r>
      <w:r>
        <w:rPr>
          <w:rFonts w:ascii="Palatino Linotype" w:hAnsi="Palatino Linotype"/>
        </w:rPr>
        <w:tab/>
      </w:r>
      <w:r w:rsidR="0063767F">
        <w:rPr>
          <w:rFonts w:ascii="Palatino Linotype" w:hAnsi="Palatino Linotype"/>
        </w:rPr>
        <w:t xml:space="preserve">While </w:t>
      </w:r>
      <w:r w:rsidR="00DA483D">
        <w:rPr>
          <w:rFonts w:ascii="Palatino Linotype" w:hAnsi="Palatino Linotype"/>
        </w:rPr>
        <w:t>every</w:t>
      </w:r>
      <w:r w:rsidR="0063767F">
        <w:rPr>
          <w:rFonts w:ascii="Palatino Linotype" w:hAnsi="Palatino Linotype"/>
        </w:rPr>
        <w:t xml:space="preserve"> person is entitled to represent himself</w:t>
      </w:r>
      <w:r w:rsidR="000C0423">
        <w:rPr>
          <w:rFonts w:ascii="Palatino Linotype" w:hAnsi="Palatino Linotype"/>
        </w:rPr>
        <w:t xml:space="preserve">, </w:t>
      </w:r>
      <w:r w:rsidR="0063767F">
        <w:rPr>
          <w:rFonts w:ascii="Palatino Linotype" w:hAnsi="Palatino Linotype"/>
        </w:rPr>
        <w:t xml:space="preserve">the law, </w:t>
      </w:r>
      <w:proofErr w:type="gramStart"/>
      <w:r w:rsidR="0063767F">
        <w:rPr>
          <w:rFonts w:ascii="Palatino Linotype" w:hAnsi="Palatino Linotype"/>
        </w:rPr>
        <w:t>in order to</w:t>
      </w:r>
      <w:proofErr w:type="gramEnd"/>
      <w:r w:rsidR="0063767F">
        <w:rPr>
          <w:rFonts w:ascii="Palatino Linotype" w:hAnsi="Palatino Linotype"/>
        </w:rPr>
        <w:t xml:space="preserve"> best protect </w:t>
      </w:r>
      <w:r w:rsidR="00DA483D">
        <w:rPr>
          <w:rFonts w:ascii="Palatino Linotype" w:hAnsi="Palatino Linotype"/>
        </w:rPr>
        <w:t xml:space="preserve">the </w:t>
      </w:r>
      <w:r w:rsidR="0063767F">
        <w:rPr>
          <w:rFonts w:ascii="Palatino Linotype" w:hAnsi="Palatino Linotype"/>
        </w:rPr>
        <w:t xml:space="preserve">citizen and to set out our rights, responsibilities and duties as comprehensively as possible, can be complex and </w:t>
      </w:r>
      <w:r w:rsidR="00F53768">
        <w:rPr>
          <w:rFonts w:ascii="Palatino Linotype" w:hAnsi="Palatino Linotype"/>
        </w:rPr>
        <w:t xml:space="preserve">the law of civil litigation alone </w:t>
      </w:r>
      <w:r w:rsidR="0063767F">
        <w:rPr>
          <w:rFonts w:ascii="Palatino Linotype" w:hAnsi="Palatino Linotype"/>
        </w:rPr>
        <w:t xml:space="preserve">is a vast area of study.  There </w:t>
      </w:r>
      <w:r w:rsidR="00F53768">
        <w:rPr>
          <w:rFonts w:ascii="Palatino Linotype" w:hAnsi="Palatino Linotype"/>
        </w:rPr>
        <w:t>are</w:t>
      </w:r>
      <w:r w:rsidR="0063767F">
        <w:rPr>
          <w:rFonts w:ascii="Palatino Linotype" w:hAnsi="Palatino Linotype"/>
        </w:rPr>
        <w:t xml:space="preserve"> </w:t>
      </w:r>
      <w:r w:rsidR="00F53768">
        <w:rPr>
          <w:rFonts w:ascii="Palatino Linotype" w:hAnsi="Palatino Linotype"/>
        </w:rPr>
        <w:t>many</w:t>
      </w:r>
      <w:r w:rsidR="0063767F">
        <w:rPr>
          <w:rFonts w:ascii="Palatino Linotype" w:hAnsi="Palatino Linotype"/>
        </w:rPr>
        <w:t xml:space="preserve"> reason</w:t>
      </w:r>
      <w:r w:rsidR="00F53768">
        <w:rPr>
          <w:rFonts w:ascii="Palatino Linotype" w:hAnsi="Palatino Linotype"/>
        </w:rPr>
        <w:t>s</w:t>
      </w:r>
      <w:r w:rsidR="0063767F">
        <w:rPr>
          <w:rFonts w:ascii="Palatino Linotype" w:hAnsi="Palatino Linotype"/>
        </w:rPr>
        <w:t xml:space="preserve"> </w:t>
      </w:r>
      <w:r w:rsidR="00F53768">
        <w:rPr>
          <w:rFonts w:ascii="Palatino Linotype" w:hAnsi="Palatino Linotype"/>
        </w:rPr>
        <w:t>why</w:t>
      </w:r>
      <w:r w:rsidR="0063767F">
        <w:rPr>
          <w:rFonts w:ascii="Palatino Linotype" w:hAnsi="Palatino Linotype"/>
        </w:rPr>
        <w:t xml:space="preserve"> most litigants are represented by lawyers</w:t>
      </w:r>
      <w:r w:rsidR="00F53768">
        <w:rPr>
          <w:rFonts w:ascii="Palatino Linotype" w:hAnsi="Palatino Linotype"/>
        </w:rPr>
        <w:t>; at her best, a lawyer brings expert knowledge and skill, experience of the courts and impartiality in case analysis to her client</w:t>
      </w:r>
      <w:r w:rsidR="00234994">
        <w:rPr>
          <w:rFonts w:ascii="Palatino Linotype" w:hAnsi="Palatino Linotype"/>
        </w:rPr>
        <w:t>, enabling the client to make the best possible case to the decision-maker, the judge or jury</w:t>
      </w:r>
      <w:r w:rsidR="0063767F">
        <w:rPr>
          <w:rFonts w:ascii="Palatino Linotype" w:hAnsi="Palatino Linotype"/>
        </w:rPr>
        <w:t xml:space="preserve">.  </w:t>
      </w:r>
    </w:p>
    <w:p w14:paraId="52DB3CE1" w14:textId="7853DF91" w:rsidR="00C17FFA" w:rsidRDefault="0028098E" w:rsidP="0028098E">
      <w:pPr>
        <w:spacing w:line="480" w:lineRule="auto"/>
        <w:jc w:val="both"/>
        <w:rPr>
          <w:rFonts w:ascii="Palatino Linotype" w:hAnsi="Palatino Linotype"/>
        </w:rPr>
      </w:pPr>
      <w:r>
        <w:rPr>
          <w:rFonts w:ascii="Palatino Linotype" w:hAnsi="Palatino Linotype"/>
        </w:rPr>
        <w:t>5.6</w:t>
      </w:r>
      <w:r>
        <w:rPr>
          <w:rFonts w:ascii="Palatino Linotype" w:hAnsi="Palatino Linotype"/>
        </w:rPr>
        <w:tab/>
      </w:r>
      <w:r w:rsidR="00F53768">
        <w:rPr>
          <w:rFonts w:ascii="Palatino Linotype" w:hAnsi="Palatino Linotype"/>
        </w:rPr>
        <w:t xml:space="preserve">In every </w:t>
      </w:r>
      <w:r w:rsidR="00234994">
        <w:rPr>
          <w:rFonts w:ascii="Palatino Linotype" w:hAnsi="Palatino Linotype"/>
        </w:rPr>
        <w:t xml:space="preserve">court </w:t>
      </w:r>
      <w:r w:rsidR="00F53768">
        <w:rPr>
          <w:rFonts w:ascii="Palatino Linotype" w:hAnsi="Palatino Linotype"/>
        </w:rPr>
        <w:t xml:space="preserve">case, as in all trades and professions, a lawyer is entitled to be paid for </w:t>
      </w:r>
      <w:r w:rsidR="00234994">
        <w:rPr>
          <w:rFonts w:ascii="Palatino Linotype" w:hAnsi="Palatino Linotype"/>
        </w:rPr>
        <w:t>her</w:t>
      </w:r>
      <w:r w:rsidR="00F53768">
        <w:rPr>
          <w:rFonts w:ascii="Palatino Linotype" w:hAnsi="Palatino Linotype"/>
        </w:rPr>
        <w:t xml:space="preserve"> work.  Even when the citizen does not have the means to pay a lawyer</w:t>
      </w:r>
      <w:r w:rsidR="0063767F">
        <w:rPr>
          <w:rFonts w:ascii="Palatino Linotype" w:hAnsi="Palatino Linotype"/>
        </w:rPr>
        <w:t xml:space="preserve">, the importance of access to a lawyer is recognised by the </w:t>
      </w:r>
      <w:r w:rsidR="00234994">
        <w:rPr>
          <w:rFonts w:ascii="Palatino Linotype" w:hAnsi="Palatino Linotype"/>
        </w:rPr>
        <w:t xml:space="preserve">availability of </w:t>
      </w:r>
      <w:r w:rsidR="0063767F">
        <w:rPr>
          <w:rFonts w:ascii="Palatino Linotype" w:hAnsi="Palatino Linotype"/>
        </w:rPr>
        <w:t xml:space="preserve">legal aid schemes in both criminal and civil law and the constitutional right of access to a lawyer when one is accused of a criminal offence.  </w:t>
      </w:r>
      <w:r w:rsidR="00F53768">
        <w:rPr>
          <w:rFonts w:ascii="Palatino Linotype" w:hAnsi="Palatino Linotype"/>
        </w:rPr>
        <w:t>Many lawyers act without requesting payment in particular cases</w:t>
      </w:r>
      <w:r w:rsidR="00234994">
        <w:rPr>
          <w:rFonts w:ascii="Palatino Linotype" w:hAnsi="Palatino Linotype"/>
        </w:rPr>
        <w:t xml:space="preserve"> - </w:t>
      </w:r>
      <w:r w:rsidR="00F53768">
        <w:rPr>
          <w:rFonts w:ascii="Palatino Linotype" w:hAnsi="Palatino Linotype"/>
        </w:rPr>
        <w:t xml:space="preserve">often cases which involve </w:t>
      </w:r>
      <w:r w:rsidR="00234994">
        <w:rPr>
          <w:rFonts w:ascii="Palatino Linotype" w:hAnsi="Palatino Linotype"/>
        </w:rPr>
        <w:t>important</w:t>
      </w:r>
      <w:r w:rsidR="00F53768">
        <w:rPr>
          <w:rFonts w:ascii="Palatino Linotype" w:hAnsi="Palatino Linotype"/>
        </w:rPr>
        <w:t xml:space="preserve"> points of law or in which a litigant does not have the means to initiate a claim that is likely to succeed.  </w:t>
      </w:r>
      <w:r w:rsidR="0063767F">
        <w:rPr>
          <w:rFonts w:ascii="Palatino Linotype" w:hAnsi="Palatino Linotype"/>
        </w:rPr>
        <w:t xml:space="preserve">Our </w:t>
      </w:r>
      <w:r w:rsidR="00F53768">
        <w:rPr>
          <w:rFonts w:ascii="Palatino Linotype" w:hAnsi="Palatino Linotype"/>
        </w:rPr>
        <w:t xml:space="preserve">society’s </w:t>
      </w:r>
      <w:r w:rsidR="0063767F">
        <w:rPr>
          <w:rFonts w:ascii="Palatino Linotype" w:hAnsi="Palatino Linotype"/>
        </w:rPr>
        <w:t xml:space="preserve">resources do not permit free legal aid in every situation and this judgment has already described attempts made by the Defendant to obtain a lawyer.  Due to </w:t>
      </w:r>
      <w:r w:rsidR="00F53768">
        <w:rPr>
          <w:rFonts w:ascii="Palatino Linotype" w:hAnsi="Palatino Linotype"/>
        </w:rPr>
        <w:t>his</w:t>
      </w:r>
      <w:r w:rsidR="0063767F">
        <w:rPr>
          <w:rFonts w:ascii="Palatino Linotype" w:hAnsi="Palatino Linotype"/>
        </w:rPr>
        <w:t xml:space="preserve"> lack of progress, coupled with</w:t>
      </w:r>
      <w:r w:rsidR="00AE7894">
        <w:rPr>
          <w:rFonts w:ascii="Palatino Linotype" w:hAnsi="Palatino Linotype"/>
        </w:rPr>
        <w:t xml:space="preserve"> his</w:t>
      </w:r>
      <w:r w:rsidR="0063767F">
        <w:rPr>
          <w:rFonts w:ascii="Palatino Linotype" w:hAnsi="Palatino Linotype"/>
        </w:rPr>
        <w:t xml:space="preserve"> inaction, this was not an appropriate case </w:t>
      </w:r>
      <w:r w:rsidR="00F53768">
        <w:rPr>
          <w:rFonts w:ascii="Palatino Linotype" w:hAnsi="Palatino Linotype"/>
        </w:rPr>
        <w:t>in which</w:t>
      </w:r>
      <w:r w:rsidR="0063767F">
        <w:rPr>
          <w:rFonts w:ascii="Palatino Linotype" w:hAnsi="Palatino Linotype"/>
        </w:rPr>
        <w:t xml:space="preserve"> to allow further attempts to obtain free legal </w:t>
      </w:r>
      <w:r w:rsidR="00F53768">
        <w:rPr>
          <w:rFonts w:ascii="Palatino Linotype" w:hAnsi="Palatino Linotype"/>
        </w:rPr>
        <w:t>aid</w:t>
      </w:r>
      <w:r w:rsidR="0063767F">
        <w:rPr>
          <w:rFonts w:ascii="Palatino Linotype" w:hAnsi="Palatino Linotype"/>
        </w:rPr>
        <w:t xml:space="preserve">. </w:t>
      </w:r>
      <w:r w:rsidR="00AE7894">
        <w:rPr>
          <w:rFonts w:ascii="Palatino Linotype" w:hAnsi="Palatino Linotype"/>
        </w:rPr>
        <w:t xml:space="preserve">The Court was, therefore, </w:t>
      </w:r>
      <w:r w:rsidR="00234994">
        <w:rPr>
          <w:rFonts w:ascii="Palatino Linotype" w:hAnsi="Palatino Linotype"/>
        </w:rPr>
        <w:t>obliged to continue with the case but, in so doing, made</w:t>
      </w:r>
      <w:r w:rsidR="00AE7894">
        <w:rPr>
          <w:rFonts w:ascii="Palatino Linotype" w:hAnsi="Palatino Linotype"/>
        </w:rPr>
        <w:t xml:space="preserve"> certain allowances for the Defendant.  </w:t>
      </w:r>
      <w:r w:rsidR="0084049A">
        <w:rPr>
          <w:rFonts w:ascii="Palatino Linotype" w:hAnsi="Palatino Linotype"/>
        </w:rPr>
        <w:t>Terminology was explained and time given when requested</w:t>
      </w:r>
      <w:r w:rsidR="001647C1">
        <w:rPr>
          <w:rFonts w:ascii="Palatino Linotype" w:hAnsi="Palatino Linotype"/>
        </w:rPr>
        <w:t>, for instance</w:t>
      </w:r>
      <w:r w:rsidR="0084049A">
        <w:rPr>
          <w:rFonts w:ascii="Palatino Linotype" w:hAnsi="Palatino Linotype"/>
        </w:rPr>
        <w:t xml:space="preserve">.  </w:t>
      </w:r>
      <w:r w:rsidR="00802001">
        <w:rPr>
          <w:rFonts w:ascii="Palatino Linotype" w:hAnsi="Palatino Linotype"/>
        </w:rPr>
        <w:t xml:space="preserve">At every stage, the Defendant understood what was happening in the courtroom and what </w:t>
      </w:r>
      <w:r w:rsidR="000A1813">
        <w:rPr>
          <w:rFonts w:ascii="Palatino Linotype" w:hAnsi="Palatino Linotype"/>
        </w:rPr>
        <w:t>would happen next</w:t>
      </w:r>
      <w:r w:rsidR="00802001">
        <w:rPr>
          <w:rFonts w:ascii="Palatino Linotype" w:hAnsi="Palatino Linotype"/>
        </w:rPr>
        <w:t>.</w:t>
      </w:r>
    </w:p>
    <w:p w14:paraId="3FBB6DC4" w14:textId="6CBF09B4" w:rsidR="00F53768" w:rsidRDefault="0028098E" w:rsidP="0028098E">
      <w:pPr>
        <w:spacing w:line="480" w:lineRule="auto"/>
        <w:jc w:val="both"/>
        <w:rPr>
          <w:rFonts w:ascii="Palatino Linotype" w:hAnsi="Palatino Linotype"/>
        </w:rPr>
      </w:pPr>
      <w:r>
        <w:rPr>
          <w:rFonts w:ascii="Palatino Linotype" w:hAnsi="Palatino Linotype"/>
        </w:rPr>
        <w:lastRenderedPageBreak/>
        <w:t>5.7</w:t>
      </w:r>
      <w:r>
        <w:rPr>
          <w:rFonts w:ascii="Palatino Linotype" w:hAnsi="Palatino Linotype"/>
        </w:rPr>
        <w:tab/>
      </w:r>
      <w:r w:rsidR="00AE7894">
        <w:rPr>
          <w:rFonts w:ascii="Palatino Linotype" w:hAnsi="Palatino Linotype"/>
        </w:rPr>
        <w:t xml:space="preserve">While another defendant would have been required, through his lawyer, to put the case squarely to the plaintiff, this </w:t>
      </w:r>
      <w:r w:rsidR="000A1813">
        <w:rPr>
          <w:rFonts w:ascii="Palatino Linotype" w:hAnsi="Palatino Linotype"/>
        </w:rPr>
        <w:t>was</w:t>
      </w:r>
      <w:r w:rsidR="00AE7894">
        <w:rPr>
          <w:rFonts w:ascii="Palatino Linotype" w:hAnsi="Palatino Linotype"/>
        </w:rPr>
        <w:t xml:space="preserve"> a case in which it was not necessary to </w:t>
      </w:r>
      <w:r w:rsidR="00C17FFA">
        <w:rPr>
          <w:rFonts w:ascii="Palatino Linotype" w:hAnsi="Palatino Linotype"/>
        </w:rPr>
        <w:t>insist upon this</w:t>
      </w:r>
      <w:r w:rsidR="00AE7894">
        <w:rPr>
          <w:rFonts w:ascii="Palatino Linotype" w:hAnsi="Palatino Linotype"/>
        </w:rPr>
        <w:t>.</w:t>
      </w:r>
      <w:r w:rsidR="00E9280F">
        <w:rPr>
          <w:rFonts w:ascii="Palatino Linotype" w:hAnsi="Palatino Linotype"/>
        </w:rPr>
        <w:t xml:space="preserve"> </w:t>
      </w:r>
      <w:r w:rsidR="00AE7894">
        <w:rPr>
          <w:rFonts w:ascii="Palatino Linotype" w:hAnsi="Palatino Linotype"/>
        </w:rPr>
        <w:t xml:space="preserve">The defence filed made it clear that the allegations were denied, the Defendant confirmed this when asked and the Defendant had no lawyer to conduct cross-examination in a professional manner.  </w:t>
      </w:r>
      <w:r w:rsidR="00E42770">
        <w:rPr>
          <w:rFonts w:ascii="Palatino Linotype" w:hAnsi="Palatino Linotype"/>
        </w:rPr>
        <w:t>The requirement fulfilled little purpose when seen in the light of the facts of the case and would have posed difficulties for both Defendant and Plaintiff for the reasons</w:t>
      </w:r>
      <w:r w:rsidR="00234994">
        <w:rPr>
          <w:rFonts w:ascii="Palatino Linotype" w:hAnsi="Palatino Linotype"/>
        </w:rPr>
        <w:t xml:space="preserve"> </w:t>
      </w:r>
      <w:r w:rsidR="00E42770">
        <w:rPr>
          <w:rFonts w:ascii="Palatino Linotype" w:hAnsi="Palatino Linotype"/>
        </w:rPr>
        <w:t>outlined.</w:t>
      </w:r>
    </w:p>
    <w:p w14:paraId="146EC382" w14:textId="36BC2DF5" w:rsidR="0084049A" w:rsidRDefault="0028098E" w:rsidP="0028098E">
      <w:pPr>
        <w:spacing w:line="480" w:lineRule="auto"/>
        <w:jc w:val="both"/>
        <w:rPr>
          <w:rFonts w:ascii="Palatino Linotype" w:hAnsi="Palatino Linotype"/>
        </w:rPr>
      </w:pPr>
      <w:r>
        <w:rPr>
          <w:rFonts w:ascii="Palatino Linotype" w:hAnsi="Palatino Linotype"/>
        </w:rPr>
        <w:t>5.8</w:t>
      </w:r>
      <w:r>
        <w:rPr>
          <w:rFonts w:ascii="Palatino Linotype" w:hAnsi="Palatino Linotype"/>
        </w:rPr>
        <w:tab/>
      </w:r>
      <w:r w:rsidR="00E42770">
        <w:rPr>
          <w:rFonts w:ascii="Palatino Linotype" w:hAnsi="Palatino Linotype"/>
        </w:rPr>
        <w:t>The</w:t>
      </w:r>
      <w:r w:rsidR="00CB3E11">
        <w:rPr>
          <w:rFonts w:ascii="Palatino Linotype" w:hAnsi="Palatino Linotype"/>
        </w:rPr>
        <w:t xml:space="preserve"> Defendant’s literacy difficulties</w:t>
      </w:r>
      <w:r w:rsidR="00E42770">
        <w:rPr>
          <w:rFonts w:ascii="Palatino Linotype" w:hAnsi="Palatino Linotype"/>
        </w:rPr>
        <w:t xml:space="preserve"> </w:t>
      </w:r>
      <w:r w:rsidR="00CB3E11">
        <w:rPr>
          <w:rFonts w:ascii="Palatino Linotype" w:hAnsi="Palatino Linotype"/>
        </w:rPr>
        <w:t xml:space="preserve">added to the weight of the argument against requiring strict adherence to formal requirements.  </w:t>
      </w:r>
      <w:r w:rsidR="00F53768">
        <w:rPr>
          <w:rFonts w:ascii="Palatino Linotype" w:hAnsi="Palatino Linotype"/>
        </w:rPr>
        <w:t>T</w:t>
      </w:r>
      <w:r w:rsidR="00CB3E11">
        <w:rPr>
          <w:rFonts w:ascii="Palatino Linotype" w:hAnsi="Palatino Linotype"/>
        </w:rPr>
        <w:t xml:space="preserve">o </w:t>
      </w:r>
      <w:r w:rsidR="00C17FFA">
        <w:rPr>
          <w:rFonts w:ascii="Palatino Linotype" w:hAnsi="Palatino Linotype"/>
        </w:rPr>
        <w:t xml:space="preserve">help </w:t>
      </w:r>
      <w:r w:rsidR="00CB3E11">
        <w:rPr>
          <w:rFonts w:ascii="Palatino Linotype" w:hAnsi="Palatino Linotype"/>
        </w:rPr>
        <w:t>counter this difficulty, t</w:t>
      </w:r>
      <w:r w:rsidR="00F53768">
        <w:rPr>
          <w:rFonts w:ascii="Palatino Linotype" w:hAnsi="Palatino Linotype"/>
        </w:rPr>
        <w:t>he Court offered the Defendant the opportunity of</w:t>
      </w:r>
      <w:r w:rsidR="000A1813">
        <w:rPr>
          <w:rFonts w:ascii="Palatino Linotype" w:hAnsi="Palatino Linotype"/>
        </w:rPr>
        <w:t xml:space="preserve"> having the assistance of</w:t>
      </w:r>
      <w:r w:rsidR="00F53768">
        <w:rPr>
          <w:rFonts w:ascii="Palatino Linotype" w:hAnsi="Palatino Linotype"/>
        </w:rPr>
        <w:t xml:space="preserve"> a </w:t>
      </w:r>
      <w:r w:rsidR="00F53768" w:rsidRPr="002902AD">
        <w:rPr>
          <w:rFonts w:ascii="Palatino Linotype" w:hAnsi="Palatino Linotype"/>
          <w:i/>
        </w:rPr>
        <w:t>McKenzie friend</w:t>
      </w:r>
      <w:r w:rsidR="00F53768">
        <w:rPr>
          <w:rFonts w:ascii="Palatino Linotype" w:hAnsi="Palatino Linotype"/>
        </w:rPr>
        <w:t xml:space="preserve">.  This </w:t>
      </w:r>
      <w:r w:rsidR="0084049A">
        <w:rPr>
          <w:rFonts w:ascii="Palatino Linotype" w:hAnsi="Palatino Linotype"/>
        </w:rPr>
        <w:t xml:space="preserve">concept </w:t>
      </w:r>
      <w:r w:rsidR="00F53768">
        <w:rPr>
          <w:rFonts w:ascii="Palatino Linotype" w:hAnsi="Palatino Linotype"/>
        </w:rPr>
        <w:t xml:space="preserve">was described </w:t>
      </w:r>
      <w:r w:rsidR="00CB3E11">
        <w:rPr>
          <w:rFonts w:ascii="Palatino Linotype" w:hAnsi="Palatino Linotype"/>
        </w:rPr>
        <w:t xml:space="preserve">to him </w:t>
      </w:r>
      <w:r w:rsidR="00F53768">
        <w:rPr>
          <w:rFonts w:ascii="Palatino Linotype" w:hAnsi="Palatino Linotype"/>
        </w:rPr>
        <w:t>and</w:t>
      </w:r>
      <w:r w:rsidR="00CB3E11">
        <w:rPr>
          <w:rFonts w:ascii="Palatino Linotype" w:hAnsi="Palatino Linotype"/>
        </w:rPr>
        <w:t xml:space="preserve"> </w:t>
      </w:r>
      <w:r w:rsidR="00F53768">
        <w:rPr>
          <w:rFonts w:ascii="Palatino Linotype" w:hAnsi="Palatino Linotype"/>
        </w:rPr>
        <w:t xml:space="preserve">availed of.  Throughout the hearing, two </w:t>
      </w:r>
      <w:r w:rsidR="00CB3E11">
        <w:rPr>
          <w:rFonts w:ascii="Palatino Linotype" w:hAnsi="Palatino Linotype"/>
        </w:rPr>
        <w:t>friends</w:t>
      </w:r>
      <w:r w:rsidR="00F53768">
        <w:rPr>
          <w:rFonts w:ascii="Palatino Linotype" w:hAnsi="Palatino Linotype"/>
        </w:rPr>
        <w:t xml:space="preserve"> of the Defendant remained behind </w:t>
      </w:r>
      <w:r w:rsidR="00E9280F">
        <w:rPr>
          <w:rFonts w:ascii="Palatino Linotype" w:hAnsi="Palatino Linotype"/>
        </w:rPr>
        <w:t>him,</w:t>
      </w:r>
      <w:r w:rsidR="00F53768">
        <w:rPr>
          <w:rFonts w:ascii="Palatino Linotype" w:hAnsi="Palatino Linotype"/>
        </w:rPr>
        <w:t xml:space="preserve"> and he confer</w:t>
      </w:r>
      <w:r w:rsidR="00C17FFA">
        <w:rPr>
          <w:rFonts w:ascii="Palatino Linotype" w:hAnsi="Palatino Linotype"/>
        </w:rPr>
        <w:t>red</w:t>
      </w:r>
      <w:r w:rsidR="00F53768">
        <w:rPr>
          <w:rFonts w:ascii="Palatino Linotype" w:hAnsi="Palatino Linotype"/>
        </w:rPr>
        <w:t xml:space="preserve"> with them</w:t>
      </w:r>
      <w:r w:rsidR="00C17FFA">
        <w:rPr>
          <w:rFonts w:ascii="Palatino Linotype" w:hAnsi="Palatino Linotype"/>
        </w:rPr>
        <w:t xml:space="preserve"> </w:t>
      </w:r>
      <w:r w:rsidR="00F53768">
        <w:rPr>
          <w:rFonts w:ascii="Palatino Linotype" w:hAnsi="Palatino Linotype"/>
        </w:rPr>
        <w:t xml:space="preserve">on </w:t>
      </w:r>
      <w:proofErr w:type="gramStart"/>
      <w:r w:rsidR="00F53768">
        <w:rPr>
          <w:rFonts w:ascii="Palatino Linotype" w:hAnsi="Palatino Linotype"/>
        </w:rPr>
        <w:t>a number of</w:t>
      </w:r>
      <w:proofErr w:type="gramEnd"/>
      <w:r w:rsidR="00F53768">
        <w:rPr>
          <w:rFonts w:ascii="Palatino Linotype" w:hAnsi="Palatino Linotype"/>
        </w:rPr>
        <w:t xml:space="preserve"> occasions.  Their assistance was appreciated by the Defendant, and by the Court, during the hearing.  </w:t>
      </w:r>
    </w:p>
    <w:p w14:paraId="784F1AC1" w14:textId="722A4169" w:rsidR="00E07EC9" w:rsidRDefault="0028098E" w:rsidP="0028098E">
      <w:pPr>
        <w:spacing w:line="480" w:lineRule="auto"/>
        <w:jc w:val="both"/>
        <w:rPr>
          <w:rFonts w:ascii="Palatino Linotype" w:hAnsi="Palatino Linotype"/>
        </w:rPr>
      </w:pPr>
      <w:r>
        <w:rPr>
          <w:rFonts w:ascii="Palatino Linotype" w:hAnsi="Palatino Linotype"/>
        </w:rPr>
        <w:t>5.9</w:t>
      </w:r>
      <w:r>
        <w:rPr>
          <w:rFonts w:ascii="Palatino Linotype" w:hAnsi="Palatino Linotype"/>
        </w:rPr>
        <w:tab/>
      </w:r>
      <w:r w:rsidR="0084049A">
        <w:rPr>
          <w:rFonts w:ascii="Palatino Linotype" w:hAnsi="Palatino Linotype"/>
        </w:rPr>
        <w:t>To</w:t>
      </w:r>
      <w:r w:rsidR="00F53768">
        <w:rPr>
          <w:rFonts w:ascii="Palatino Linotype" w:hAnsi="Palatino Linotype"/>
        </w:rPr>
        <w:t xml:space="preserve"> ensure that hearings </w:t>
      </w:r>
      <w:r w:rsidR="00A13EBC">
        <w:rPr>
          <w:rFonts w:ascii="Palatino Linotype" w:hAnsi="Palatino Linotype"/>
        </w:rPr>
        <w:t>are</w:t>
      </w:r>
      <w:r w:rsidR="00F53768">
        <w:rPr>
          <w:rFonts w:ascii="Palatino Linotype" w:hAnsi="Palatino Linotype"/>
        </w:rPr>
        <w:t xml:space="preserve"> </w:t>
      </w:r>
      <w:r w:rsidR="00C30E40">
        <w:rPr>
          <w:rFonts w:ascii="Palatino Linotype" w:hAnsi="Palatino Linotype"/>
        </w:rPr>
        <w:t>eff</w:t>
      </w:r>
      <w:r w:rsidR="00A13EBC">
        <w:rPr>
          <w:rFonts w:ascii="Palatino Linotype" w:hAnsi="Palatino Linotype"/>
        </w:rPr>
        <w:t>ective</w:t>
      </w:r>
      <w:r w:rsidR="00C30E40">
        <w:rPr>
          <w:rFonts w:ascii="Palatino Linotype" w:hAnsi="Palatino Linotype"/>
        </w:rPr>
        <w:t xml:space="preserve"> </w:t>
      </w:r>
      <w:r w:rsidR="000A1813">
        <w:rPr>
          <w:rFonts w:ascii="Palatino Linotype" w:hAnsi="Palatino Linotype"/>
        </w:rPr>
        <w:t xml:space="preserve">and because professional lawyers have duties to the courts and can be </w:t>
      </w:r>
      <w:r w:rsidR="00A13EBC">
        <w:rPr>
          <w:rFonts w:ascii="Palatino Linotype" w:hAnsi="Palatino Linotype"/>
        </w:rPr>
        <w:t>disciplined in the event of transgressions</w:t>
      </w:r>
      <w:r w:rsidR="00C30E40">
        <w:rPr>
          <w:rFonts w:ascii="Palatino Linotype" w:hAnsi="Palatino Linotype"/>
        </w:rPr>
        <w:t xml:space="preserve">, it has long been the case that no such </w:t>
      </w:r>
      <w:r w:rsidR="0084049A">
        <w:rPr>
          <w:rFonts w:ascii="Palatino Linotype" w:hAnsi="Palatino Linotype"/>
        </w:rPr>
        <w:t>friend</w:t>
      </w:r>
      <w:r w:rsidR="00C30E40">
        <w:rPr>
          <w:rFonts w:ascii="Palatino Linotype" w:hAnsi="Palatino Linotype"/>
        </w:rPr>
        <w:t xml:space="preserve"> can address the Court directly.</w:t>
      </w:r>
      <w:r w:rsidR="00234994">
        <w:rPr>
          <w:rFonts w:ascii="Palatino Linotype" w:hAnsi="Palatino Linotype"/>
        </w:rPr>
        <w:t xml:space="preserve"> </w:t>
      </w:r>
      <w:r w:rsidR="00A16185">
        <w:rPr>
          <w:rFonts w:ascii="Palatino Linotype" w:hAnsi="Palatino Linotype"/>
        </w:rPr>
        <w:t>This</w:t>
      </w:r>
      <w:r w:rsidR="00A13EBC">
        <w:rPr>
          <w:rFonts w:ascii="Palatino Linotype" w:hAnsi="Palatino Linotype"/>
        </w:rPr>
        <w:t xml:space="preserve"> issue arose in the Supreme Court in </w:t>
      </w:r>
      <w:r w:rsidR="00A13EBC" w:rsidRPr="00A13EBC">
        <w:rPr>
          <w:rFonts w:ascii="Palatino Linotype" w:hAnsi="Palatino Linotype"/>
          <w:i/>
        </w:rPr>
        <w:t xml:space="preserve">Coffey &amp; </w:t>
      </w:r>
      <w:proofErr w:type="spellStart"/>
      <w:r w:rsidR="00A13EBC" w:rsidRPr="00A13EBC">
        <w:rPr>
          <w:rFonts w:ascii="Palatino Linotype" w:hAnsi="Palatino Linotype"/>
          <w:i/>
        </w:rPr>
        <w:t>Ors</w:t>
      </w:r>
      <w:proofErr w:type="spellEnd"/>
      <w:r w:rsidR="00A13EBC" w:rsidRPr="00A13EBC">
        <w:rPr>
          <w:rFonts w:ascii="Palatino Linotype" w:hAnsi="Palatino Linotype"/>
          <w:i/>
        </w:rPr>
        <w:t xml:space="preserve"> v</w:t>
      </w:r>
      <w:r w:rsidR="00A0323C">
        <w:rPr>
          <w:rFonts w:ascii="Palatino Linotype" w:hAnsi="Palatino Linotype"/>
          <w:i/>
        </w:rPr>
        <w:t>.</w:t>
      </w:r>
      <w:r w:rsidR="00A13EBC" w:rsidRPr="00A13EBC">
        <w:rPr>
          <w:rFonts w:ascii="Palatino Linotype" w:hAnsi="Palatino Linotype"/>
          <w:i/>
        </w:rPr>
        <w:t xml:space="preserve"> Birmingham &amp; </w:t>
      </w:r>
      <w:proofErr w:type="spellStart"/>
      <w:r w:rsidR="00A13EBC" w:rsidRPr="00A13EBC">
        <w:rPr>
          <w:rFonts w:ascii="Palatino Linotype" w:hAnsi="Palatino Linotype"/>
          <w:i/>
        </w:rPr>
        <w:t>Ors</w:t>
      </w:r>
      <w:proofErr w:type="spellEnd"/>
      <w:r w:rsidR="00A13EBC" w:rsidRPr="00A13EBC">
        <w:rPr>
          <w:rFonts w:ascii="Palatino Linotype" w:hAnsi="Palatino Linotype"/>
        </w:rPr>
        <w:t xml:space="preserve"> [2013] IESC 11</w:t>
      </w:r>
      <w:r w:rsidR="00A13EBC">
        <w:rPr>
          <w:rFonts w:ascii="Palatino Linotype" w:hAnsi="Palatino Linotype"/>
        </w:rPr>
        <w:t xml:space="preserve"> where the right of audience was confined to the professional. This </w:t>
      </w:r>
      <w:r w:rsidR="00A16185">
        <w:rPr>
          <w:rFonts w:ascii="Palatino Linotype" w:hAnsi="Palatino Linotype"/>
        </w:rPr>
        <w:t>Court</w:t>
      </w:r>
      <w:r w:rsidR="00A13EBC">
        <w:rPr>
          <w:rFonts w:ascii="Palatino Linotype" w:hAnsi="Palatino Linotype"/>
        </w:rPr>
        <w:t xml:space="preserve"> heard from a </w:t>
      </w:r>
      <w:r w:rsidR="00A16185">
        <w:rPr>
          <w:rFonts w:ascii="Palatino Linotype" w:hAnsi="Palatino Linotype"/>
        </w:rPr>
        <w:t xml:space="preserve">McKenzie friend in </w:t>
      </w:r>
      <w:r w:rsidR="0084049A" w:rsidRPr="0084049A">
        <w:rPr>
          <w:rFonts w:ascii="Palatino Linotype" w:hAnsi="Palatino Linotype"/>
          <w:i/>
        </w:rPr>
        <w:t>Fogarty v</w:t>
      </w:r>
      <w:r w:rsidR="002C77BC">
        <w:rPr>
          <w:rFonts w:ascii="Palatino Linotype" w:hAnsi="Palatino Linotype"/>
          <w:i/>
        </w:rPr>
        <w:t>.</w:t>
      </w:r>
      <w:r w:rsidR="0084049A" w:rsidRPr="0084049A">
        <w:rPr>
          <w:rFonts w:ascii="Palatino Linotype" w:hAnsi="Palatino Linotype"/>
          <w:i/>
        </w:rPr>
        <w:t xml:space="preserve"> Governor of Portlaoise Prison</w:t>
      </w:r>
      <w:r w:rsidR="0084049A" w:rsidRPr="0084049A">
        <w:rPr>
          <w:rFonts w:ascii="Palatino Linotype" w:hAnsi="Palatino Linotype"/>
        </w:rPr>
        <w:t xml:space="preserve"> [2020] IEHC 154</w:t>
      </w:r>
      <w:r w:rsidR="001647C1">
        <w:rPr>
          <w:rFonts w:ascii="Palatino Linotype" w:hAnsi="Palatino Linotype"/>
        </w:rPr>
        <w:t xml:space="preserve">, </w:t>
      </w:r>
      <w:r w:rsidR="00A13EBC">
        <w:rPr>
          <w:rFonts w:ascii="Palatino Linotype" w:hAnsi="Palatino Linotype"/>
        </w:rPr>
        <w:t>where</w:t>
      </w:r>
      <w:r w:rsidR="001647C1">
        <w:rPr>
          <w:rFonts w:ascii="Palatino Linotype" w:hAnsi="Palatino Linotype"/>
        </w:rPr>
        <w:t xml:space="preserve"> a son</w:t>
      </w:r>
      <w:r w:rsidR="00A13EBC">
        <w:rPr>
          <w:rFonts w:ascii="Palatino Linotype" w:hAnsi="Palatino Linotype"/>
        </w:rPr>
        <w:t xml:space="preserve"> </w:t>
      </w:r>
      <w:r w:rsidR="001647C1">
        <w:rPr>
          <w:rFonts w:ascii="Palatino Linotype" w:hAnsi="Palatino Linotype"/>
        </w:rPr>
        <w:t>represent</w:t>
      </w:r>
      <w:r w:rsidR="00A13EBC">
        <w:rPr>
          <w:rFonts w:ascii="Palatino Linotype" w:hAnsi="Palatino Linotype"/>
        </w:rPr>
        <w:t>ed</w:t>
      </w:r>
      <w:r w:rsidR="001647C1">
        <w:rPr>
          <w:rFonts w:ascii="Palatino Linotype" w:hAnsi="Palatino Linotype"/>
        </w:rPr>
        <w:t xml:space="preserve"> his father </w:t>
      </w:r>
      <w:r w:rsidR="00A13EBC">
        <w:rPr>
          <w:rFonts w:ascii="Palatino Linotype" w:hAnsi="Palatino Linotype"/>
        </w:rPr>
        <w:t xml:space="preserve">in his bid to be </w:t>
      </w:r>
      <w:r w:rsidR="001647C1">
        <w:rPr>
          <w:rFonts w:ascii="Palatino Linotype" w:hAnsi="Palatino Linotype"/>
        </w:rPr>
        <w:t>release</w:t>
      </w:r>
      <w:r w:rsidR="00A13EBC">
        <w:rPr>
          <w:rFonts w:ascii="Palatino Linotype" w:hAnsi="Palatino Linotype"/>
        </w:rPr>
        <w:t>d</w:t>
      </w:r>
      <w:r w:rsidR="001647C1">
        <w:rPr>
          <w:rFonts w:ascii="Palatino Linotype" w:hAnsi="Palatino Linotype"/>
        </w:rPr>
        <w:t xml:space="preserve"> from prison.  </w:t>
      </w:r>
      <w:r w:rsidR="00E07EC9">
        <w:rPr>
          <w:rFonts w:ascii="Palatino Linotype" w:hAnsi="Palatino Linotype"/>
        </w:rPr>
        <w:t>T</w:t>
      </w:r>
      <w:r w:rsidR="001647C1">
        <w:rPr>
          <w:rFonts w:ascii="Palatino Linotype" w:hAnsi="Palatino Linotype"/>
        </w:rPr>
        <w:t xml:space="preserve">he Court of Appeal noted the unfortunate consequences of </w:t>
      </w:r>
      <w:r w:rsidR="00A13EBC">
        <w:rPr>
          <w:rFonts w:ascii="Palatino Linotype" w:hAnsi="Palatino Linotype"/>
        </w:rPr>
        <w:t>the</w:t>
      </w:r>
      <w:r w:rsidR="001647C1">
        <w:rPr>
          <w:rFonts w:ascii="Palatino Linotype" w:hAnsi="Palatino Linotype"/>
        </w:rPr>
        <w:t xml:space="preserve"> decision to allow </w:t>
      </w:r>
      <w:r w:rsidR="00A13EBC">
        <w:rPr>
          <w:rFonts w:ascii="Palatino Linotype" w:hAnsi="Palatino Linotype"/>
        </w:rPr>
        <w:t>this</w:t>
      </w:r>
      <w:r w:rsidR="00E07EC9">
        <w:rPr>
          <w:rFonts w:ascii="Palatino Linotype" w:hAnsi="Palatino Linotype"/>
        </w:rPr>
        <w:t xml:space="preserve"> exception to the rule</w:t>
      </w:r>
      <w:r w:rsidR="001647C1">
        <w:rPr>
          <w:rFonts w:ascii="Palatino Linotype" w:hAnsi="Palatino Linotype"/>
        </w:rPr>
        <w:t xml:space="preserve"> in </w:t>
      </w:r>
      <w:r w:rsidR="00E07EC9">
        <w:rPr>
          <w:rFonts w:ascii="Palatino Linotype" w:hAnsi="Palatino Linotype"/>
        </w:rPr>
        <w:t xml:space="preserve">Mr. Fogarty’s </w:t>
      </w:r>
      <w:r w:rsidR="001647C1">
        <w:rPr>
          <w:rFonts w:ascii="Palatino Linotype" w:hAnsi="Palatino Linotype"/>
        </w:rPr>
        <w:t>appeal,</w:t>
      </w:r>
      <w:r w:rsidR="00E07EC9">
        <w:rPr>
          <w:rFonts w:ascii="Palatino Linotype" w:hAnsi="Palatino Linotype"/>
        </w:rPr>
        <w:t xml:space="preserve"> </w:t>
      </w:r>
      <w:r w:rsidR="00E07EC9" w:rsidRPr="00E07EC9">
        <w:rPr>
          <w:rFonts w:ascii="Palatino Linotype" w:hAnsi="Palatino Linotype"/>
        </w:rPr>
        <w:t>[2021] IECA 35</w:t>
      </w:r>
      <w:r w:rsidR="00D2589C">
        <w:rPr>
          <w:rFonts w:ascii="Palatino Linotype" w:hAnsi="Palatino Linotype"/>
        </w:rPr>
        <w:t>2</w:t>
      </w:r>
      <w:r w:rsidR="00E07EC9">
        <w:rPr>
          <w:rFonts w:ascii="Palatino Linotype" w:hAnsi="Palatino Linotype"/>
        </w:rPr>
        <w:t>, where his son was relieved of his role in presenting the case</w:t>
      </w:r>
      <w:r w:rsidR="00A13EBC">
        <w:rPr>
          <w:rFonts w:ascii="Palatino Linotype" w:hAnsi="Palatino Linotype"/>
        </w:rPr>
        <w:t xml:space="preserve">, confirming the wisdom of the Supreme Court in </w:t>
      </w:r>
      <w:r w:rsidR="00A13EBC" w:rsidRPr="00A13EBC">
        <w:rPr>
          <w:rFonts w:ascii="Palatino Linotype" w:hAnsi="Palatino Linotype"/>
          <w:i/>
        </w:rPr>
        <w:t>Coffey</w:t>
      </w:r>
      <w:r w:rsidR="00A13EBC">
        <w:rPr>
          <w:rFonts w:ascii="Palatino Linotype" w:hAnsi="Palatino Linotype"/>
        </w:rPr>
        <w:t>.</w:t>
      </w:r>
    </w:p>
    <w:p w14:paraId="0DC257BA" w14:textId="5A1C3FDF" w:rsidR="00C30E40" w:rsidRDefault="0028098E" w:rsidP="0028098E">
      <w:pPr>
        <w:spacing w:line="480" w:lineRule="auto"/>
        <w:jc w:val="both"/>
        <w:rPr>
          <w:rFonts w:ascii="Palatino Linotype" w:hAnsi="Palatino Linotype"/>
        </w:rPr>
      </w:pPr>
      <w:r>
        <w:rPr>
          <w:rFonts w:ascii="Palatino Linotype" w:hAnsi="Palatino Linotype"/>
        </w:rPr>
        <w:t>5.10</w:t>
      </w:r>
      <w:r>
        <w:rPr>
          <w:rFonts w:ascii="Palatino Linotype" w:hAnsi="Palatino Linotype"/>
        </w:rPr>
        <w:tab/>
      </w:r>
      <w:r w:rsidR="00C30E40">
        <w:rPr>
          <w:rFonts w:ascii="Palatino Linotype" w:hAnsi="Palatino Linotype"/>
        </w:rPr>
        <w:t>While there were occasional problems in communicating</w:t>
      </w:r>
      <w:r w:rsidR="00E07EC9">
        <w:rPr>
          <w:rFonts w:ascii="Palatino Linotype" w:hAnsi="Palatino Linotype"/>
        </w:rPr>
        <w:t xml:space="preserve"> with this Defendant</w:t>
      </w:r>
      <w:r w:rsidR="00C30E40">
        <w:rPr>
          <w:rFonts w:ascii="Palatino Linotype" w:hAnsi="Palatino Linotype"/>
        </w:rPr>
        <w:t>, these were resolved with patience by the Defendant</w:t>
      </w:r>
      <w:r w:rsidR="00CB3E11">
        <w:rPr>
          <w:rFonts w:ascii="Palatino Linotype" w:hAnsi="Palatino Linotype"/>
        </w:rPr>
        <w:t xml:space="preserve"> and his friends</w:t>
      </w:r>
      <w:r w:rsidR="00C30E40">
        <w:rPr>
          <w:rFonts w:ascii="Palatino Linotype" w:hAnsi="Palatino Linotype"/>
        </w:rPr>
        <w:t>,</w:t>
      </w:r>
      <w:r w:rsidR="00CB3E11">
        <w:rPr>
          <w:rFonts w:ascii="Palatino Linotype" w:hAnsi="Palatino Linotype"/>
        </w:rPr>
        <w:t xml:space="preserve"> by</w:t>
      </w:r>
      <w:r w:rsidR="00C30E40">
        <w:rPr>
          <w:rFonts w:ascii="Palatino Linotype" w:hAnsi="Palatino Linotype"/>
        </w:rPr>
        <w:t xml:space="preserve"> Counsel for the Plaintiff and </w:t>
      </w:r>
      <w:r w:rsidR="00CB3E11">
        <w:rPr>
          <w:rFonts w:ascii="Palatino Linotype" w:hAnsi="Palatino Linotype"/>
        </w:rPr>
        <w:lastRenderedPageBreak/>
        <w:t xml:space="preserve">by </w:t>
      </w:r>
      <w:r w:rsidR="00C30E40">
        <w:rPr>
          <w:rFonts w:ascii="Palatino Linotype" w:hAnsi="Palatino Linotype"/>
        </w:rPr>
        <w:t xml:space="preserve">the Court in turn. </w:t>
      </w:r>
      <w:r w:rsidR="00EF500B">
        <w:rPr>
          <w:rFonts w:ascii="Palatino Linotype" w:hAnsi="Palatino Linotype"/>
        </w:rPr>
        <w:t xml:space="preserve">Neither the Defendant, </w:t>
      </w:r>
      <w:r w:rsidR="001C0C03">
        <w:rPr>
          <w:rFonts w:ascii="Palatino Linotype" w:hAnsi="Palatino Linotype"/>
        </w:rPr>
        <w:t>n</w:t>
      </w:r>
      <w:r w:rsidR="00EF500B">
        <w:rPr>
          <w:rFonts w:ascii="Palatino Linotype" w:hAnsi="Palatino Linotype"/>
        </w:rPr>
        <w:t xml:space="preserve">or his </w:t>
      </w:r>
      <w:r w:rsidR="0084049A">
        <w:rPr>
          <w:rFonts w:ascii="Palatino Linotype" w:hAnsi="Palatino Linotype"/>
        </w:rPr>
        <w:t>friends</w:t>
      </w:r>
      <w:r w:rsidR="00EF500B">
        <w:rPr>
          <w:rFonts w:ascii="Palatino Linotype" w:hAnsi="Palatino Linotype"/>
        </w:rPr>
        <w:t xml:space="preserve">, </w:t>
      </w:r>
      <w:r w:rsidR="00C17FFA">
        <w:rPr>
          <w:rFonts w:ascii="Palatino Linotype" w:hAnsi="Palatino Linotype"/>
        </w:rPr>
        <w:t xml:space="preserve">had </w:t>
      </w:r>
      <w:r w:rsidR="00EF500B">
        <w:rPr>
          <w:rFonts w:ascii="Palatino Linotype" w:hAnsi="Palatino Linotype"/>
        </w:rPr>
        <w:t>any questions</w:t>
      </w:r>
      <w:r w:rsidR="00C17FFA">
        <w:rPr>
          <w:rFonts w:ascii="Palatino Linotype" w:hAnsi="Palatino Linotype"/>
        </w:rPr>
        <w:t xml:space="preserve"> or suggested questions for</w:t>
      </w:r>
      <w:r w:rsidR="00EF500B">
        <w:rPr>
          <w:rFonts w:ascii="Palatino Linotype" w:hAnsi="Palatino Linotype"/>
        </w:rPr>
        <w:t xml:space="preserve"> the Plaintiff save the two already described</w:t>
      </w:r>
      <w:r w:rsidR="00EF2DCA">
        <w:rPr>
          <w:rFonts w:ascii="Palatino Linotype" w:hAnsi="Palatino Linotype"/>
        </w:rPr>
        <w:t>.  Neither question, it should be noted, was very different to the standard fare of cross-examination in such hearings although it has become rare indeed that counsel raise irrelevant assertions about third parties to damage a complainant. Nonetheless, the questions were sufficient to allay my concerns that the Defendant was without ability to challenge the account given.</w:t>
      </w:r>
    </w:p>
    <w:p w14:paraId="73AC268D" w14:textId="2CA5C430" w:rsidR="00817137" w:rsidRDefault="0028098E" w:rsidP="0028098E">
      <w:pPr>
        <w:spacing w:line="480" w:lineRule="auto"/>
        <w:jc w:val="both"/>
        <w:rPr>
          <w:rFonts w:ascii="Palatino Linotype" w:hAnsi="Palatino Linotype"/>
        </w:rPr>
      </w:pPr>
      <w:r>
        <w:rPr>
          <w:rFonts w:ascii="Palatino Linotype" w:hAnsi="Palatino Linotype"/>
        </w:rPr>
        <w:t>5.11</w:t>
      </w:r>
      <w:r>
        <w:rPr>
          <w:rFonts w:ascii="Palatino Linotype" w:hAnsi="Palatino Linotype"/>
        </w:rPr>
        <w:tab/>
      </w:r>
      <w:r w:rsidR="00EF500B">
        <w:rPr>
          <w:rFonts w:ascii="Palatino Linotype" w:hAnsi="Palatino Linotype"/>
        </w:rPr>
        <w:t>While it was ultimately</w:t>
      </w:r>
      <w:r w:rsidR="00F53768" w:rsidRPr="00F53768">
        <w:rPr>
          <w:rFonts w:ascii="Palatino Linotype" w:hAnsi="Palatino Linotype"/>
        </w:rPr>
        <w:t xml:space="preserve"> the responsibility of the Defendant </w:t>
      </w:r>
      <w:r w:rsidR="00EF500B">
        <w:rPr>
          <w:rFonts w:ascii="Palatino Linotype" w:hAnsi="Palatino Linotype"/>
        </w:rPr>
        <w:t>to ensure that he was represented if he so wished</w:t>
      </w:r>
      <w:r w:rsidR="00F53768" w:rsidRPr="00F53768">
        <w:rPr>
          <w:rFonts w:ascii="Palatino Linotype" w:hAnsi="Palatino Linotype"/>
        </w:rPr>
        <w:t xml:space="preserve">, the Court was vigilant to vindicate the Defendant’s right to a fair hearing. </w:t>
      </w:r>
      <w:r w:rsidR="00E42770">
        <w:rPr>
          <w:rFonts w:ascii="Palatino Linotype" w:hAnsi="Palatino Linotype"/>
        </w:rPr>
        <w:t>T</w:t>
      </w:r>
      <w:r w:rsidR="00C30E40">
        <w:rPr>
          <w:rFonts w:ascii="Palatino Linotype" w:hAnsi="Palatino Linotype"/>
        </w:rPr>
        <w:t xml:space="preserve">he Court did not consider that this accommodation of the Defendant required a rigorous cross-examination of the Plaintiff in this case, by </w:t>
      </w:r>
      <w:r w:rsidR="00E42770">
        <w:rPr>
          <w:rFonts w:ascii="Palatino Linotype" w:hAnsi="Palatino Linotype"/>
        </w:rPr>
        <w:t>the man who had been</w:t>
      </w:r>
      <w:r w:rsidR="00C30E40">
        <w:rPr>
          <w:rFonts w:ascii="Palatino Linotype" w:hAnsi="Palatino Linotype"/>
        </w:rPr>
        <w:t xml:space="preserve"> </w:t>
      </w:r>
      <w:r w:rsidR="00E42770">
        <w:rPr>
          <w:rFonts w:ascii="Palatino Linotype" w:hAnsi="Palatino Linotype"/>
        </w:rPr>
        <w:t xml:space="preserve">convicted already as her </w:t>
      </w:r>
      <w:r w:rsidR="00C30E40">
        <w:rPr>
          <w:rFonts w:ascii="Palatino Linotype" w:hAnsi="Palatino Linotype"/>
        </w:rPr>
        <w:t>abuse</w:t>
      </w:r>
      <w:r w:rsidR="00E42770">
        <w:rPr>
          <w:rFonts w:ascii="Palatino Linotype" w:hAnsi="Palatino Linotype"/>
        </w:rPr>
        <w:t>r</w:t>
      </w:r>
      <w:r w:rsidR="00C30E40">
        <w:rPr>
          <w:rFonts w:ascii="Palatino Linotype" w:hAnsi="Palatino Linotype"/>
        </w:rPr>
        <w:t>.  It is common in such circumstances to use the phrase alleged abuser</w:t>
      </w:r>
      <w:r w:rsidR="00E42770">
        <w:rPr>
          <w:rFonts w:ascii="Palatino Linotype" w:hAnsi="Palatino Linotype"/>
        </w:rPr>
        <w:t xml:space="preserve"> and that alone may cause a court to hesitate before allowing any but a most careful cross-examination</w:t>
      </w:r>
      <w:r w:rsidR="00C30E40">
        <w:rPr>
          <w:rFonts w:ascii="Palatino Linotype" w:hAnsi="Palatino Linotype"/>
        </w:rPr>
        <w:t xml:space="preserve"> but, in this case</w:t>
      </w:r>
      <w:r w:rsidR="00817137">
        <w:rPr>
          <w:rFonts w:ascii="Palatino Linotype" w:hAnsi="Palatino Linotype"/>
        </w:rPr>
        <w:t>,</w:t>
      </w:r>
      <w:r w:rsidR="00C30E40">
        <w:rPr>
          <w:rFonts w:ascii="Palatino Linotype" w:hAnsi="Palatino Linotype"/>
        </w:rPr>
        <w:t xml:space="preserve"> it must be recalled that the Defendant had already been convicted of indecent</w:t>
      </w:r>
      <w:r w:rsidR="00E42770">
        <w:rPr>
          <w:rFonts w:ascii="Palatino Linotype" w:hAnsi="Palatino Linotype"/>
        </w:rPr>
        <w:t>ly</w:t>
      </w:r>
      <w:r w:rsidR="00C30E40">
        <w:rPr>
          <w:rFonts w:ascii="Palatino Linotype" w:hAnsi="Palatino Linotype"/>
        </w:rPr>
        <w:t xml:space="preserve"> assault</w:t>
      </w:r>
      <w:r w:rsidR="00E42770">
        <w:rPr>
          <w:rFonts w:ascii="Palatino Linotype" w:hAnsi="Palatino Linotype"/>
        </w:rPr>
        <w:t>ing</w:t>
      </w:r>
      <w:r w:rsidR="00C30E40">
        <w:rPr>
          <w:rFonts w:ascii="Palatino Linotype" w:hAnsi="Palatino Linotype"/>
        </w:rPr>
        <w:t xml:space="preserve"> this Plaintiff.  </w:t>
      </w:r>
    </w:p>
    <w:p w14:paraId="2E4FE0F7" w14:textId="51B5B574" w:rsidR="00E42770" w:rsidRDefault="0028098E" w:rsidP="0028098E">
      <w:pPr>
        <w:spacing w:line="480" w:lineRule="auto"/>
        <w:jc w:val="both"/>
        <w:rPr>
          <w:rFonts w:ascii="Palatino Linotype" w:hAnsi="Palatino Linotype"/>
        </w:rPr>
      </w:pPr>
      <w:r>
        <w:rPr>
          <w:rFonts w:ascii="Palatino Linotype" w:hAnsi="Palatino Linotype"/>
        </w:rPr>
        <w:t>5.12</w:t>
      </w:r>
      <w:r>
        <w:rPr>
          <w:rFonts w:ascii="Palatino Linotype" w:hAnsi="Palatino Linotype"/>
        </w:rPr>
        <w:tab/>
      </w:r>
      <w:r w:rsidR="00E42770">
        <w:rPr>
          <w:rFonts w:ascii="Palatino Linotype" w:hAnsi="Palatino Linotype"/>
        </w:rPr>
        <w:t>As described, w</w:t>
      </w:r>
      <w:r w:rsidR="00C30E40">
        <w:rPr>
          <w:rFonts w:ascii="Palatino Linotype" w:hAnsi="Palatino Linotype"/>
        </w:rPr>
        <w:t xml:space="preserve">hen offered the opportunity to cross-examine the Plaintiff, the Defendant, </w:t>
      </w:r>
      <w:r w:rsidR="00C30E40" w:rsidRPr="0049364B">
        <w:rPr>
          <w:rFonts w:ascii="Palatino Linotype" w:hAnsi="Palatino Linotype"/>
        </w:rPr>
        <w:t>apart from the two questions referred to</w:t>
      </w:r>
      <w:r w:rsidR="000C5BB4">
        <w:rPr>
          <w:rFonts w:ascii="Palatino Linotype" w:hAnsi="Palatino Linotype"/>
        </w:rPr>
        <w:t xml:space="preserve"> later in this judgment</w:t>
      </w:r>
      <w:r w:rsidR="00C30E40">
        <w:rPr>
          <w:rFonts w:ascii="Palatino Linotype" w:hAnsi="Palatino Linotype"/>
        </w:rPr>
        <w:t>, declined</w:t>
      </w:r>
      <w:r w:rsidR="00E42770">
        <w:rPr>
          <w:rFonts w:ascii="Palatino Linotype" w:hAnsi="Palatino Linotype"/>
        </w:rPr>
        <w:t xml:space="preserve"> to ask further questions</w:t>
      </w:r>
      <w:r w:rsidR="00C30E40">
        <w:rPr>
          <w:rFonts w:ascii="Palatino Linotype" w:hAnsi="Palatino Linotype"/>
        </w:rPr>
        <w:t xml:space="preserve">.  This resolved an issue for the Court as to how far such an exercise might proceed.  The criminal law has evolved to the point where a victim of crime has well-defined rights and protections in such a situation. </w:t>
      </w:r>
      <w:r w:rsidR="00444656">
        <w:rPr>
          <w:rFonts w:ascii="Palatino Linotype" w:hAnsi="Palatino Linotype"/>
        </w:rPr>
        <w:t>There is no commensurate</w:t>
      </w:r>
      <w:r w:rsidR="00E42770">
        <w:rPr>
          <w:rFonts w:ascii="Palatino Linotype" w:hAnsi="Palatino Linotype"/>
        </w:rPr>
        <w:t xml:space="preserve"> </w:t>
      </w:r>
      <w:r w:rsidR="00444656">
        <w:rPr>
          <w:rFonts w:ascii="Palatino Linotype" w:hAnsi="Palatino Linotype"/>
        </w:rPr>
        <w:t>express protection in civil law and there is an argument that the Plaintiff, having brought the claim, must be robust enough to withstand a defence which is strongly pressed in evidence against her.</w:t>
      </w:r>
      <w:r w:rsidR="00AA30DF">
        <w:rPr>
          <w:rFonts w:ascii="Palatino Linotype" w:hAnsi="Palatino Linotype"/>
        </w:rPr>
        <w:t xml:space="preserve"> </w:t>
      </w:r>
      <w:r w:rsidR="00EF500B">
        <w:rPr>
          <w:rFonts w:ascii="Palatino Linotype" w:hAnsi="Palatino Linotype"/>
        </w:rPr>
        <w:t>Given the limits of cross-examination to relevan</w:t>
      </w:r>
      <w:r w:rsidR="00BA270E">
        <w:rPr>
          <w:rFonts w:ascii="Palatino Linotype" w:hAnsi="Palatino Linotype"/>
        </w:rPr>
        <w:t>t and admissible matters</w:t>
      </w:r>
      <w:r w:rsidR="00EF500B">
        <w:rPr>
          <w:rFonts w:ascii="Palatino Linotype" w:hAnsi="Palatino Linotype"/>
        </w:rPr>
        <w:t xml:space="preserve"> and the restraint</w:t>
      </w:r>
      <w:r w:rsidR="00BA270E">
        <w:rPr>
          <w:rFonts w:ascii="Palatino Linotype" w:hAnsi="Palatino Linotype"/>
        </w:rPr>
        <w:t>s</w:t>
      </w:r>
      <w:r w:rsidR="00EF500B">
        <w:rPr>
          <w:rFonts w:ascii="Palatino Linotype" w:hAnsi="Palatino Linotype"/>
        </w:rPr>
        <w:t xml:space="preserve"> imposed by professional practice requirements, it is doubtful that questioning beyond that which would </w:t>
      </w:r>
      <w:r w:rsidR="00EF500B">
        <w:rPr>
          <w:rFonts w:ascii="Palatino Linotype" w:hAnsi="Palatino Linotype"/>
        </w:rPr>
        <w:lastRenderedPageBreak/>
        <w:t>be appropriate</w:t>
      </w:r>
      <w:r w:rsidR="00EF2DCA">
        <w:rPr>
          <w:rFonts w:ascii="Palatino Linotype" w:hAnsi="Palatino Linotype"/>
        </w:rPr>
        <w:t xml:space="preserve"> by a lawyer</w:t>
      </w:r>
      <w:r w:rsidR="00EF500B">
        <w:rPr>
          <w:rFonts w:ascii="Palatino Linotype" w:hAnsi="Palatino Linotype"/>
        </w:rPr>
        <w:t xml:space="preserve"> in a criminal trial would be permitted by a court in a civil matter. </w:t>
      </w:r>
      <w:r w:rsidR="00817137">
        <w:rPr>
          <w:rFonts w:ascii="Palatino Linotype" w:hAnsi="Palatino Linotype"/>
        </w:rPr>
        <w:t>As our understanding of psychology evolves, it becomes more and more clear that any form of repetition or bullying, including what is sometimes referred to</w:t>
      </w:r>
      <w:r w:rsidR="00EF2DCA">
        <w:rPr>
          <w:rFonts w:ascii="Palatino Linotype" w:hAnsi="Palatino Linotype"/>
        </w:rPr>
        <w:t xml:space="preserve"> </w:t>
      </w:r>
      <w:r w:rsidR="00817137">
        <w:rPr>
          <w:rFonts w:ascii="Palatino Linotype" w:hAnsi="Palatino Linotype"/>
        </w:rPr>
        <w:t xml:space="preserve">as </w:t>
      </w:r>
      <w:r w:rsidR="002902AD">
        <w:rPr>
          <w:rFonts w:ascii="Palatino Linotype" w:hAnsi="Palatino Linotype"/>
        </w:rPr>
        <w:t>‘</w:t>
      </w:r>
      <w:r w:rsidR="00817137">
        <w:rPr>
          <w:rFonts w:ascii="Palatino Linotype" w:hAnsi="Palatino Linotype"/>
        </w:rPr>
        <w:t>rigorous</w:t>
      </w:r>
      <w:r w:rsidR="002902AD">
        <w:rPr>
          <w:rFonts w:ascii="Palatino Linotype" w:hAnsi="Palatino Linotype"/>
        </w:rPr>
        <w:t>’</w:t>
      </w:r>
      <w:r w:rsidR="00817137">
        <w:rPr>
          <w:rFonts w:ascii="Palatino Linotype" w:hAnsi="Palatino Linotype"/>
        </w:rPr>
        <w:t xml:space="preserve"> cross-examination, is not as forensically effective as had once been assumed, particularly with vulnerable witnesses.  </w:t>
      </w:r>
      <w:r w:rsidR="00444656">
        <w:rPr>
          <w:rFonts w:ascii="Palatino Linotype" w:hAnsi="Palatino Linotype"/>
        </w:rPr>
        <w:t>But, as it did not arise</w:t>
      </w:r>
      <w:r w:rsidR="00EF500B">
        <w:rPr>
          <w:rFonts w:ascii="Palatino Linotype" w:hAnsi="Palatino Linotype"/>
        </w:rPr>
        <w:t xml:space="preserve"> in this case</w:t>
      </w:r>
      <w:r w:rsidR="00444656">
        <w:rPr>
          <w:rFonts w:ascii="Palatino Linotype" w:hAnsi="Palatino Linotype"/>
        </w:rPr>
        <w:t xml:space="preserve">, the Court was not required to rule on the limits of such an exercise.  </w:t>
      </w:r>
    </w:p>
    <w:p w14:paraId="49763361" w14:textId="7D8D685D" w:rsidR="00AE03CB" w:rsidRDefault="0028098E" w:rsidP="0028098E">
      <w:pPr>
        <w:spacing w:line="480" w:lineRule="auto"/>
        <w:jc w:val="both"/>
        <w:rPr>
          <w:rFonts w:ascii="Palatino Linotype" w:hAnsi="Palatino Linotype"/>
        </w:rPr>
      </w:pPr>
      <w:r>
        <w:rPr>
          <w:rFonts w:ascii="Palatino Linotype" w:hAnsi="Palatino Linotype"/>
        </w:rPr>
        <w:t>5.13</w:t>
      </w:r>
      <w:r>
        <w:rPr>
          <w:rFonts w:ascii="Palatino Linotype" w:hAnsi="Palatino Linotype"/>
        </w:rPr>
        <w:tab/>
      </w:r>
      <w:r w:rsidR="00CB0204">
        <w:rPr>
          <w:rFonts w:ascii="Palatino Linotype" w:hAnsi="Palatino Linotype"/>
        </w:rPr>
        <w:t>It</w:t>
      </w:r>
      <w:r w:rsidR="00EF500B">
        <w:rPr>
          <w:rFonts w:ascii="Palatino Linotype" w:hAnsi="Palatino Linotype"/>
        </w:rPr>
        <w:t xml:space="preserve"> should be noted that</w:t>
      </w:r>
      <w:r w:rsidR="00444656">
        <w:rPr>
          <w:rFonts w:ascii="Palatino Linotype" w:hAnsi="Palatino Linotype"/>
        </w:rPr>
        <w:t xml:space="preserve"> the Defendant was advised that the Court could not, of itself, begin to cross-question the Plaintiff.  In </w:t>
      </w:r>
      <w:r w:rsidR="00817137">
        <w:rPr>
          <w:rFonts w:ascii="Palatino Linotype" w:hAnsi="Palatino Linotype"/>
        </w:rPr>
        <w:t>our</w:t>
      </w:r>
      <w:r w:rsidR="00444656">
        <w:rPr>
          <w:rFonts w:ascii="Palatino Linotype" w:hAnsi="Palatino Linotype"/>
        </w:rPr>
        <w:t xml:space="preserve"> adversarial system, a judge must remain impartial </w:t>
      </w:r>
      <w:r w:rsidR="00E42770">
        <w:rPr>
          <w:rFonts w:ascii="Palatino Linotype" w:hAnsi="Palatino Linotype"/>
        </w:rPr>
        <w:t>insofar as this is possible</w:t>
      </w:r>
      <w:r w:rsidR="00444656">
        <w:rPr>
          <w:rFonts w:ascii="Palatino Linotype" w:hAnsi="Palatino Linotype"/>
        </w:rPr>
        <w:t xml:space="preserve">.  The analogy is often made </w:t>
      </w:r>
      <w:r w:rsidR="00E42770">
        <w:rPr>
          <w:rFonts w:ascii="Palatino Linotype" w:hAnsi="Palatino Linotype"/>
        </w:rPr>
        <w:t>between a judge in court and</w:t>
      </w:r>
      <w:r w:rsidR="00444656">
        <w:rPr>
          <w:rFonts w:ascii="Palatino Linotype" w:hAnsi="Palatino Linotype"/>
        </w:rPr>
        <w:t xml:space="preserve"> a referee in a sporting context.  For a judge to begin to te</w:t>
      </w:r>
      <w:r w:rsidR="00E42770">
        <w:rPr>
          <w:rFonts w:ascii="Palatino Linotype" w:hAnsi="Palatino Linotype"/>
        </w:rPr>
        <w:t>s</w:t>
      </w:r>
      <w:r w:rsidR="00444656">
        <w:rPr>
          <w:rFonts w:ascii="Palatino Linotype" w:hAnsi="Palatino Linotype"/>
        </w:rPr>
        <w:t xml:space="preserve">t a party to a case in that way, particularly when it is effectively </w:t>
      </w:r>
      <w:r w:rsidR="00E42770">
        <w:rPr>
          <w:rFonts w:ascii="Palatino Linotype" w:hAnsi="Palatino Linotype"/>
        </w:rPr>
        <w:t xml:space="preserve">being done </w:t>
      </w:r>
      <w:r w:rsidR="00444656">
        <w:rPr>
          <w:rFonts w:ascii="Palatino Linotype" w:hAnsi="Palatino Linotype"/>
        </w:rPr>
        <w:t>in place of</w:t>
      </w:r>
      <w:r w:rsidR="00E42770">
        <w:rPr>
          <w:rFonts w:ascii="Palatino Linotype" w:hAnsi="Palatino Linotype"/>
        </w:rPr>
        <w:t>, and to assist,</w:t>
      </w:r>
      <w:r w:rsidR="00444656">
        <w:rPr>
          <w:rFonts w:ascii="Palatino Linotype" w:hAnsi="Palatino Linotype"/>
        </w:rPr>
        <w:t xml:space="preserve"> the opposing party, </w:t>
      </w:r>
      <w:r w:rsidR="00E42770">
        <w:rPr>
          <w:rFonts w:ascii="Palatino Linotype" w:hAnsi="Palatino Linotype"/>
        </w:rPr>
        <w:t>would</w:t>
      </w:r>
      <w:r w:rsidR="00444656">
        <w:rPr>
          <w:rFonts w:ascii="Palatino Linotype" w:hAnsi="Palatino Linotype"/>
        </w:rPr>
        <w:t xml:space="preserve"> be a </w:t>
      </w:r>
      <w:r w:rsidR="00E42770">
        <w:rPr>
          <w:rFonts w:ascii="Palatino Linotype" w:hAnsi="Palatino Linotype"/>
        </w:rPr>
        <w:t>clear</w:t>
      </w:r>
      <w:r w:rsidR="00444656">
        <w:rPr>
          <w:rFonts w:ascii="Palatino Linotype" w:hAnsi="Palatino Linotype"/>
        </w:rPr>
        <w:t xml:space="preserve"> example of</w:t>
      </w:r>
      <w:r w:rsidR="00E42770">
        <w:rPr>
          <w:rFonts w:ascii="Palatino Linotype" w:hAnsi="Palatino Linotype"/>
        </w:rPr>
        <w:t xml:space="preserve"> a referee</w:t>
      </w:r>
      <w:r w:rsidR="00444656">
        <w:rPr>
          <w:rFonts w:ascii="Palatino Linotype" w:hAnsi="Palatino Linotype"/>
        </w:rPr>
        <w:t xml:space="preserve"> entering the </w:t>
      </w:r>
      <w:r w:rsidR="00E42770">
        <w:rPr>
          <w:rFonts w:ascii="Palatino Linotype" w:hAnsi="Palatino Linotype"/>
        </w:rPr>
        <w:t>field of play</w:t>
      </w:r>
      <w:r w:rsidR="00444656">
        <w:rPr>
          <w:rFonts w:ascii="Palatino Linotype" w:hAnsi="Palatino Linotype"/>
        </w:rPr>
        <w:t xml:space="preserve">. </w:t>
      </w:r>
      <w:r w:rsidR="009A2A35">
        <w:rPr>
          <w:rFonts w:ascii="Palatino Linotype" w:hAnsi="Palatino Linotype"/>
        </w:rPr>
        <w:t>If a</w:t>
      </w:r>
      <w:r w:rsidR="00E42770">
        <w:rPr>
          <w:rFonts w:ascii="Palatino Linotype" w:hAnsi="Palatino Linotype"/>
        </w:rPr>
        <w:t xml:space="preserve"> judge</w:t>
      </w:r>
      <w:r w:rsidR="009A2A35">
        <w:rPr>
          <w:rFonts w:ascii="Palatino Linotype" w:hAnsi="Palatino Linotype"/>
        </w:rPr>
        <w:t xml:space="preserve"> </w:t>
      </w:r>
      <w:r w:rsidR="009A2A35" w:rsidRPr="009A2A35">
        <w:rPr>
          <w:rFonts w:ascii="Palatino Linotype" w:hAnsi="Palatino Linotype"/>
        </w:rPr>
        <w:t>becomes involved in the process of argument</w:t>
      </w:r>
      <w:r w:rsidR="009A2A35">
        <w:rPr>
          <w:rFonts w:ascii="Palatino Linotype" w:hAnsi="Palatino Linotype"/>
        </w:rPr>
        <w:t xml:space="preserve"> by questioning a witness,</w:t>
      </w:r>
      <w:r w:rsidR="00817137">
        <w:rPr>
          <w:rFonts w:ascii="Palatino Linotype" w:hAnsi="Palatino Linotype"/>
        </w:rPr>
        <w:t xml:space="preserve"> the appearance of</w:t>
      </w:r>
      <w:r w:rsidR="00E42770">
        <w:rPr>
          <w:rFonts w:ascii="Palatino Linotype" w:hAnsi="Palatino Linotype"/>
        </w:rPr>
        <w:t xml:space="preserve"> impartiality </w:t>
      </w:r>
      <w:r w:rsidR="00817137">
        <w:rPr>
          <w:rFonts w:ascii="Palatino Linotype" w:hAnsi="Palatino Linotype"/>
        </w:rPr>
        <w:t>is eroded</w:t>
      </w:r>
      <w:r w:rsidR="009A2A35">
        <w:rPr>
          <w:rFonts w:ascii="Palatino Linotype" w:hAnsi="Palatino Linotype"/>
        </w:rPr>
        <w:t xml:space="preserve">, </w:t>
      </w:r>
      <w:r w:rsidR="009A2A35" w:rsidRPr="009A2A35">
        <w:rPr>
          <w:rFonts w:ascii="Palatino Linotype" w:hAnsi="Palatino Linotype"/>
        </w:rPr>
        <w:t>her authority is lessened</w:t>
      </w:r>
      <w:r w:rsidR="009A2A35">
        <w:rPr>
          <w:rFonts w:ascii="Palatino Linotype" w:hAnsi="Palatino Linotype"/>
        </w:rPr>
        <w:t xml:space="preserve"> accordingly,</w:t>
      </w:r>
      <w:r w:rsidR="00817137">
        <w:rPr>
          <w:rFonts w:ascii="Palatino Linotype" w:hAnsi="Palatino Linotype"/>
        </w:rPr>
        <w:t xml:space="preserve"> and the objective of the </w:t>
      </w:r>
      <w:r w:rsidR="009A2A35">
        <w:rPr>
          <w:rFonts w:ascii="Palatino Linotype" w:hAnsi="Palatino Linotype"/>
        </w:rPr>
        <w:t xml:space="preserve">demonstrably </w:t>
      </w:r>
      <w:r w:rsidR="00817137">
        <w:rPr>
          <w:rFonts w:ascii="Palatino Linotype" w:hAnsi="Palatino Linotype"/>
        </w:rPr>
        <w:t>fair trial is more difficult to achieve</w:t>
      </w:r>
      <w:r w:rsidR="00CE0672">
        <w:rPr>
          <w:rFonts w:ascii="Palatino Linotype" w:hAnsi="Palatino Linotype"/>
        </w:rPr>
        <w:t xml:space="preserve">.  Open questions to any witness may be appropriate but a cross-examination </w:t>
      </w:r>
      <w:proofErr w:type="gramStart"/>
      <w:r w:rsidR="00CE0672">
        <w:rPr>
          <w:rFonts w:ascii="Palatino Linotype" w:hAnsi="Palatino Linotype"/>
        </w:rPr>
        <w:t>in order to</w:t>
      </w:r>
      <w:proofErr w:type="gramEnd"/>
      <w:r w:rsidR="00CE0672">
        <w:rPr>
          <w:rFonts w:ascii="Palatino Linotype" w:hAnsi="Palatino Linotype"/>
        </w:rPr>
        <w:t xml:space="preserve"> assist a litigant in person goes beyond the kind of question</w:t>
      </w:r>
      <w:r w:rsidR="00817137">
        <w:rPr>
          <w:rFonts w:ascii="Palatino Linotype" w:hAnsi="Palatino Linotype"/>
        </w:rPr>
        <w:t>s</w:t>
      </w:r>
      <w:r w:rsidR="00CE0672">
        <w:rPr>
          <w:rFonts w:ascii="Palatino Linotype" w:hAnsi="Palatino Linotype"/>
        </w:rPr>
        <w:t xml:space="preserve"> a judge may properly ask</w:t>
      </w:r>
      <w:r w:rsidR="00EF500B">
        <w:rPr>
          <w:rFonts w:ascii="Palatino Linotype" w:hAnsi="Palatino Linotype"/>
        </w:rPr>
        <w:t xml:space="preserve">; </w:t>
      </w:r>
      <w:r w:rsidR="0084049A">
        <w:rPr>
          <w:rFonts w:ascii="Palatino Linotype" w:hAnsi="Palatino Linotype"/>
        </w:rPr>
        <w:t>such a</w:t>
      </w:r>
      <w:r w:rsidR="00CE0672">
        <w:rPr>
          <w:rFonts w:ascii="Palatino Linotype" w:hAnsi="Palatino Linotype"/>
        </w:rPr>
        <w:t xml:space="preserve"> judge takes on the character of a representative </w:t>
      </w:r>
      <w:r w:rsidR="00EF500B">
        <w:rPr>
          <w:rFonts w:ascii="Palatino Linotype" w:hAnsi="Palatino Linotype"/>
        </w:rPr>
        <w:t>for</w:t>
      </w:r>
      <w:r w:rsidR="00CE0672">
        <w:rPr>
          <w:rFonts w:ascii="Palatino Linotype" w:hAnsi="Palatino Linotype"/>
        </w:rPr>
        <w:t xml:space="preserve"> one </w:t>
      </w:r>
      <w:r w:rsidR="009A2A35">
        <w:rPr>
          <w:rFonts w:ascii="Palatino Linotype" w:hAnsi="Palatino Linotype"/>
        </w:rPr>
        <w:t>of the parties</w:t>
      </w:r>
      <w:r w:rsidR="00CE0672">
        <w:rPr>
          <w:rFonts w:ascii="Palatino Linotype" w:hAnsi="Palatino Linotype"/>
        </w:rPr>
        <w:t xml:space="preserve">.  </w:t>
      </w:r>
    </w:p>
    <w:p w14:paraId="569DED4C" w14:textId="64159201" w:rsidR="00CE0672" w:rsidRDefault="0028098E" w:rsidP="0028098E">
      <w:pPr>
        <w:spacing w:line="480" w:lineRule="auto"/>
        <w:jc w:val="both"/>
        <w:rPr>
          <w:rFonts w:ascii="Palatino Linotype" w:hAnsi="Palatino Linotype"/>
        </w:rPr>
      </w:pPr>
      <w:r>
        <w:rPr>
          <w:rFonts w:ascii="Palatino Linotype" w:hAnsi="Palatino Linotype"/>
        </w:rPr>
        <w:t>5.14</w:t>
      </w:r>
      <w:r>
        <w:rPr>
          <w:rFonts w:ascii="Palatino Linotype" w:hAnsi="Palatino Linotype"/>
        </w:rPr>
        <w:tab/>
      </w:r>
      <w:r w:rsidR="00CB0204">
        <w:rPr>
          <w:rFonts w:ascii="Palatino Linotype" w:hAnsi="Palatino Linotype"/>
        </w:rPr>
        <w:t>The Court</w:t>
      </w:r>
      <w:r w:rsidR="0063767F">
        <w:rPr>
          <w:rFonts w:ascii="Palatino Linotype" w:hAnsi="Palatino Linotype"/>
        </w:rPr>
        <w:t xml:space="preserve"> did not </w:t>
      </w:r>
      <w:r w:rsidR="00AE03CB">
        <w:rPr>
          <w:rFonts w:ascii="Palatino Linotype" w:hAnsi="Palatino Linotype"/>
        </w:rPr>
        <w:t xml:space="preserve">require </w:t>
      </w:r>
      <w:r w:rsidR="00647F42">
        <w:rPr>
          <w:rFonts w:ascii="Palatino Linotype" w:hAnsi="Palatino Linotype"/>
        </w:rPr>
        <w:t xml:space="preserve">any form of </w:t>
      </w:r>
      <w:r w:rsidR="00AE03CB">
        <w:rPr>
          <w:rFonts w:ascii="Palatino Linotype" w:hAnsi="Palatino Linotype"/>
        </w:rPr>
        <w:t xml:space="preserve">the </w:t>
      </w:r>
      <w:r w:rsidR="00647F42">
        <w:rPr>
          <w:rFonts w:ascii="Palatino Linotype" w:hAnsi="Palatino Linotype"/>
        </w:rPr>
        <w:t xml:space="preserve">following </w:t>
      </w:r>
      <w:r w:rsidR="00AE03CB">
        <w:rPr>
          <w:rFonts w:ascii="Palatino Linotype" w:hAnsi="Palatino Linotype"/>
        </w:rPr>
        <w:t>question being asked:  these allegations are not true, what do you say to that</w:t>
      </w:r>
      <w:r w:rsidR="00647F42">
        <w:rPr>
          <w:rFonts w:ascii="Palatino Linotype" w:hAnsi="Palatino Linotype"/>
        </w:rPr>
        <w:t>?</w:t>
      </w:r>
      <w:r w:rsidR="00CE0672">
        <w:rPr>
          <w:rFonts w:ascii="Palatino Linotype" w:hAnsi="Palatino Linotype"/>
        </w:rPr>
        <w:t xml:space="preserve">  Accordingly, this Court did not attach weight to the fact that such direct challenges were not made and proceeded on the basis that the Defendant had, in his defence </w:t>
      </w:r>
      <w:r w:rsidR="00E07EC9">
        <w:rPr>
          <w:rFonts w:ascii="Palatino Linotype" w:hAnsi="Palatino Linotype"/>
        </w:rPr>
        <w:t>as filed</w:t>
      </w:r>
      <w:r w:rsidR="00CB0204">
        <w:rPr>
          <w:rFonts w:ascii="Palatino Linotype" w:hAnsi="Palatino Linotype"/>
        </w:rPr>
        <w:t xml:space="preserve"> and in representations to the Court</w:t>
      </w:r>
      <w:r w:rsidR="00CE0672">
        <w:rPr>
          <w:rFonts w:ascii="Palatino Linotype" w:hAnsi="Palatino Linotype"/>
        </w:rPr>
        <w:t>, challenged every aspect of the Plaintiff’s evidence</w:t>
      </w:r>
      <w:r w:rsidR="00421BD7">
        <w:rPr>
          <w:rFonts w:ascii="Palatino Linotype" w:hAnsi="Palatino Linotype"/>
        </w:rPr>
        <w:t xml:space="preserve"> and required her to prove each matter asserted in full.</w:t>
      </w:r>
    </w:p>
    <w:p w14:paraId="03A56D61" w14:textId="6530B5A3" w:rsidR="00614600" w:rsidRPr="00614600" w:rsidRDefault="0028098E" w:rsidP="0028098E">
      <w:pPr>
        <w:spacing w:line="480" w:lineRule="auto"/>
        <w:jc w:val="both"/>
        <w:rPr>
          <w:rFonts w:ascii="Palatino Linotype" w:hAnsi="Palatino Linotype"/>
        </w:rPr>
      </w:pPr>
      <w:r>
        <w:rPr>
          <w:rFonts w:ascii="Palatino Linotype" w:hAnsi="Palatino Linotype"/>
        </w:rPr>
        <w:lastRenderedPageBreak/>
        <w:t>5.15</w:t>
      </w:r>
      <w:r>
        <w:rPr>
          <w:rFonts w:ascii="Palatino Linotype" w:hAnsi="Palatino Linotype"/>
        </w:rPr>
        <w:tab/>
      </w:r>
      <w:r w:rsidR="0080238A">
        <w:rPr>
          <w:rFonts w:ascii="Palatino Linotype" w:hAnsi="Palatino Linotype"/>
        </w:rPr>
        <w:t xml:space="preserve">In </w:t>
      </w:r>
      <w:r w:rsidR="00614600">
        <w:rPr>
          <w:rFonts w:ascii="Palatino Linotype" w:hAnsi="Palatino Linotype"/>
        </w:rPr>
        <w:t xml:space="preserve">considering the issues of cross-examination by a litigant in person of his victim and the role of the </w:t>
      </w:r>
      <w:r w:rsidR="00CB0204">
        <w:rPr>
          <w:rFonts w:ascii="Palatino Linotype" w:hAnsi="Palatino Linotype"/>
        </w:rPr>
        <w:t>McKenzie friend</w:t>
      </w:r>
      <w:r w:rsidR="00614600">
        <w:rPr>
          <w:rFonts w:ascii="Palatino Linotype" w:hAnsi="Palatino Linotype"/>
        </w:rPr>
        <w:t xml:space="preserve">, the Court </w:t>
      </w:r>
      <w:r w:rsidR="00E07EC9">
        <w:rPr>
          <w:rFonts w:ascii="Palatino Linotype" w:hAnsi="Palatino Linotype"/>
        </w:rPr>
        <w:t xml:space="preserve">notes </w:t>
      </w:r>
      <w:r w:rsidR="00614600">
        <w:rPr>
          <w:rFonts w:ascii="Palatino Linotype" w:hAnsi="Palatino Linotype"/>
        </w:rPr>
        <w:t xml:space="preserve">comments in the </w:t>
      </w:r>
      <w:r w:rsidR="00614600" w:rsidRPr="00614600">
        <w:rPr>
          <w:rFonts w:ascii="Palatino Linotype" w:hAnsi="Palatino Linotype"/>
        </w:rPr>
        <w:t>judgment of</w:t>
      </w:r>
      <w:r w:rsidR="00614600">
        <w:rPr>
          <w:rFonts w:ascii="Palatino Linotype" w:hAnsi="Palatino Linotype"/>
        </w:rPr>
        <w:t xml:space="preserve"> Somers J. in</w:t>
      </w:r>
      <w:r w:rsidR="00614600" w:rsidRPr="00614600">
        <w:rPr>
          <w:rFonts w:ascii="Palatino Linotype" w:hAnsi="Palatino Linotype"/>
        </w:rPr>
        <w:t xml:space="preserve"> the Court of Appeal of New Zealand in </w:t>
      </w:r>
      <w:r w:rsidR="00614600" w:rsidRPr="00803075">
        <w:rPr>
          <w:rFonts w:ascii="Palatino Linotype" w:hAnsi="Palatino Linotype"/>
          <w:i/>
          <w:iCs/>
        </w:rPr>
        <w:t>Re G.J. Mannix Limited</w:t>
      </w:r>
      <w:r w:rsidR="00614600" w:rsidRPr="00614600">
        <w:rPr>
          <w:rFonts w:ascii="Palatino Linotype" w:hAnsi="Palatino Linotype"/>
        </w:rPr>
        <w:t xml:space="preserve"> [1984] 1 N.Z.L.R 309</w:t>
      </w:r>
      <w:r w:rsidR="00614600">
        <w:rPr>
          <w:rFonts w:ascii="Palatino Linotype" w:hAnsi="Palatino Linotype"/>
        </w:rPr>
        <w:t>:</w:t>
      </w:r>
    </w:p>
    <w:p w14:paraId="7C61E3DF" w14:textId="77777777" w:rsidR="0080238A" w:rsidRDefault="00614600" w:rsidP="008B3C9F">
      <w:pPr>
        <w:spacing w:line="480" w:lineRule="auto"/>
        <w:ind w:left="720"/>
        <w:jc w:val="both"/>
        <w:rPr>
          <w:rFonts w:ascii="Palatino Linotype" w:hAnsi="Palatino Linotype"/>
        </w:rPr>
      </w:pPr>
      <w:r w:rsidRPr="00614600">
        <w:rPr>
          <w:rFonts w:ascii="Palatino Linotype" w:hAnsi="Palatino Linotype"/>
          <w:i/>
        </w:rPr>
        <w:t>'But I consider the superior courts to have a residual discretion in this matter arising from the inherent power to regulate their own proceedings. Cases will arise where the due administration of justice may require some relaxation of the general rule. The occurrence is likely to be rare, their circumstances exceptional or at least unusual and their content modest. Such cases can confidently be left to the good sense of the judges</w:t>
      </w:r>
      <w:r w:rsidRPr="00614600">
        <w:rPr>
          <w:rFonts w:ascii="Palatino Linotype" w:hAnsi="Palatino Linotype"/>
        </w:rPr>
        <w:t>.'</w:t>
      </w:r>
    </w:p>
    <w:p w14:paraId="1D5A72F2" w14:textId="67CBD918" w:rsidR="00CB0204" w:rsidRPr="00647F42" w:rsidRDefault="0028098E" w:rsidP="0028098E">
      <w:pPr>
        <w:spacing w:line="480" w:lineRule="auto"/>
        <w:jc w:val="both"/>
        <w:rPr>
          <w:rFonts w:ascii="Palatino Linotype" w:hAnsi="Palatino Linotype"/>
        </w:rPr>
      </w:pPr>
      <w:r>
        <w:rPr>
          <w:rFonts w:ascii="Palatino Linotype" w:hAnsi="Palatino Linotype"/>
        </w:rPr>
        <w:t>5.16</w:t>
      </w:r>
      <w:r>
        <w:rPr>
          <w:rFonts w:ascii="Palatino Linotype" w:hAnsi="Palatino Linotype"/>
        </w:rPr>
        <w:tab/>
      </w:r>
      <w:r w:rsidR="00614600">
        <w:rPr>
          <w:rFonts w:ascii="Palatino Linotype" w:hAnsi="Palatino Linotype"/>
        </w:rPr>
        <w:t xml:space="preserve">This passage was </w:t>
      </w:r>
      <w:r w:rsidR="00614600" w:rsidRPr="00614600">
        <w:rPr>
          <w:rFonts w:ascii="Palatino Linotype" w:hAnsi="Palatino Linotype"/>
        </w:rPr>
        <w:t>cited</w:t>
      </w:r>
      <w:r w:rsidR="00614600">
        <w:rPr>
          <w:rFonts w:ascii="Palatino Linotype" w:hAnsi="Palatino Linotype"/>
        </w:rPr>
        <w:t xml:space="preserve"> with approval</w:t>
      </w:r>
      <w:r w:rsidR="00614600" w:rsidRPr="00614600">
        <w:rPr>
          <w:rFonts w:ascii="Palatino Linotype" w:hAnsi="Palatino Linotype"/>
        </w:rPr>
        <w:t xml:space="preserve"> by O’Neill J., permitting </w:t>
      </w:r>
      <w:r w:rsidR="00614600">
        <w:rPr>
          <w:rFonts w:ascii="Palatino Linotype" w:hAnsi="Palatino Linotype"/>
        </w:rPr>
        <w:t>Sandra Coffey to replace her husband</w:t>
      </w:r>
      <w:r w:rsidR="006D1D16">
        <w:rPr>
          <w:rFonts w:ascii="Palatino Linotype" w:hAnsi="Palatino Linotype"/>
        </w:rPr>
        <w:t xml:space="preserve"> and allowing her a right of audience</w:t>
      </w:r>
      <w:r w:rsidR="00614600" w:rsidRPr="00614600">
        <w:rPr>
          <w:rFonts w:ascii="Palatino Linotype" w:hAnsi="Palatino Linotype"/>
        </w:rPr>
        <w:t xml:space="preserve"> in </w:t>
      </w:r>
      <w:r w:rsidR="00614600">
        <w:rPr>
          <w:rFonts w:ascii="Palatino Linotype" w:hAnsi="Palatino Linotype"/>
        </w:rPr>
        <w:t xml:space="preserve">the case of </w:t>
      </w:r>
      <w:r w:rsidR="00614600" w:rsidRPr="00DA23FB">
        <w:rPr>
          <w:rFonts w:ascii="Palatino Linotype" w:hAnsi="Palatino Linotype"/>
          <w:i/>
          <w:iCs/>
        </w:rPr>
        <w:t>Gabriel Coffey v. Tara Mines Limited</w:t>
      </w:r>
      <w:r w:rsidR="00614600" w:rsidRPr="00614600">
        <w:rPr>
          <w:rFonts w:ascii="Palatino Linotype" w:hAnsi="Palatino Linotype"/>
        </w:rPr>
        <w:t xml:space="preserve"> [2008] 1 I.R. 436 and by the Supreme Court, per Finlay Geoghegan J., in paragraph 16 of the judgment in </w:t>
      </w:r>
      <w:r w:rsidR="00614600" w:rsidRPr="004260F0">
        <w:rPr>
          <w:rFonts w:ascii="Palatino Linotype" w:hAnsi="Palatino Linotype"/>
          <w:i/>
          <w:iCs/>
        </w:rPr>
        <w:t>AIB v</w:t>
      </w:r>
      <w:r w:rsidR="004260F0">
        <w:rPr>
          <w:rFonts w:ascii="Palatino Linotype" w:hAnsi="Palatino Linotype"/>
          <w:i/>
          <w:iCs/>
        </w:rPr>
        <w:t>.</w:t>
      </w:r>
      <w:r w:rsidR="00614600" w:rsidRPr="004260F0">
        <w:rPr>
          <w:rFonts w:ascii="Palatino Linotype" w:hAnsi="Palatino Linotype"/>
          <w:i/>
          <w:iCs/>
        </w:rPr>
        <w:t xml:space="preserve"> Aqua Fresh Fish Limited</w:t>
      </w:r>
      <w:r w:rsidR="00614600" w:rsidRPr="00614600">
        <w:rPr>
          <w:rFonts w:ascii="Palatino Linotype" w:hAnsi="Palatino Linotype"/>
        </w:rPr>
        <w:t xml:space="preserve"> [2018] IESC 49</w:t>
      </w:r>
      <w:r w:rsidR="00614600">
        <w:rPr>
          <w:rFonts w:ascii="Palatino Linotype" w:hAnsi="Palatino Linotype"/>
        </w:rPr>
        <w:t xml:space="preserve">.  There, the learned </w:t>
      </w:r>
      <w:r w:rsidR="00E07EC9">
        <w:rPr>
          <w:rFonts w:ascii="Palatino Linotype" w:hAnsi="Palatino Linotype"/>
        </w:rPr>
        <w:t>Supreme Court J</w:t>
      </w:r>
      <w:r w:rsidR="00614600">
        <w:rPr>
          <w:rFonts w:ascii="Palatino Linotype" w:hAnsi="Palatino Linotype"/>
        </w:rPr>
        <w:t xml:space="preserve">udge also commented on the </w:t>
      </w:r>
      <w:r w:rsidR="006D1D16">
        <w:rPr>
          <w:rFonts w:ascii="Palatino Linotype" w:hAnsi="Palatino Linotype"/>
        </w:rPr>
        <w:t xml:space="preserve">long-established rule whereby litigants in person could be assisted by a friend but </w:t>
      </w:r>
      <w:r w:rsidR="00A16185">
        <w:rPr>
          <w:rFonts w:ascii="Palatino Linotype" w:hAnsi="Palatino Linotype"/>
        </w:rPr>
        <w:t xml:space="preserve">confirmed </w:t>
      </w:r>
      <w:r w:rsidR="006D1D16">
        <w:rPr>
          <w:rFonts w:ascii="Palatino Linotype" w:hAnsi="Palatino Linotype"/>
        </w:rPr>
        <w:t xml:space="preserve">that this did not extend, other than in very specific circumstances (such as those pertaining in </w:t>
      </w:r>
      <w:r w:rsidR="000A1068">
        <w:rPr>
          <w:rFonts w:ascii="Palatino Linotype" w:hAnsi="Palatino Linotype"/>
        </w:rPr>
        <w:t xml:space="preserve">Gabriel </w:t>
      </w:r>
      <w:r w:rsidR="006D1D16">
        <w:rPr>
          <w:rFonts w:ascii="Palatino Linotype" w:hAnsi="Palatino Linotype"/>
        </w:rPr>
        <w:t>Coffe</w:t>
      </w:r>
      <w:r w:rsidR="00A16185">
        <w:rPr>
          <w:rFonts w:ascii="Palatino Linotype" w:hAnsi="Palatino Linotype"/>
        </w:rPr>
        <w:t>y</w:t>
      </w:r>
      <w:r w:rsidR="00CB0204">
        <w:rPr>
          <w:rFonts w:ascii="Palatino Linotype" w:hAnsi="Palatino Linotype"/>
        </w:rPr>
        <w:t>’s</w:t>
      </w:r>
      <w:r w:rsidR="000A1068">
        <w:rPr>
          <w:rFonts w:ascii="Palatino Linotype" w:hAnsi="Palatino Linotype"/>
        </w:rPr>
        <w:t xml:space="preserve"> </w:t>
      </w:r>
      <w:r w:rsidR="00CB0204">
        <w:rPr>
          <w:rFonts w:ascii="Palatino Linotype" w:hAnsi="Palatino Linotype"/>
        </w:rPr>
        <w:t>case</w:t>
      </w:r>
      <w:r w:rsidR="006D1D16">
        <w:rPr>
          <w:rFonts w:ascii="Palatino Linotype" w:hAnsi="Palatino Linotype"/>
        </w:rPr>
        <w:t>) to offering that friend a right of audience in court.</w:t>
      </w:r>
      <w:r w:rsidR="0084049A">
        <w:rPr>
          <w:rFonts w:ascii="Palatino Linotype" w:hAnsi="Palatino Linotype"/>
        </w:rPr>
        <w:t xml:space="preserve">  The same comments </w:t>
      </w:r>
      <w:r w:rsidR="00C344DF">
        <w:rPr>
          <w:rFonts w:ascii="Palatino Linotype" w:hAnsi="Palatino Linotype"/>
        </w:rPr>
        <w:t>may be applied to th</w:t>
      </w:r>
      <w:r w:rsidR="00817137">
        <w:rPr>
          <w:rFonts w:ascii="Palatino Linotype" w:hAnsi="Palatino Linotype"/>
        </w:rPr>
        <w:t>is case in that those attending the Defendant had no entitlement to address the Court</w:t>
      </w:r>
      <w:r w:rsidR="00CB0204">
        <w:rPr>
          <w:rFonts w:ascii="Palatino Linotype" w:hAnsi="Palatino Linotype"/>
        </w:rPr>
        <w:t xml:space="preserve"> and the administration of justice did not require this.  Nor did it require a formal putting of the case to the Plaintiff</w:t>
      </w:r>
      <w:r w:rsidR="00C344DF">
        <w:rPr>
          <w:rFonts w:ascii="Palatino Linotype" w:hAnsi="Palatino Linotype"/>
        </w:rPr>
        <w:t>.</w:t>
      </w:r>
      <w:r w:rsidR="00CB0204">
        <w:rPr>
          <w:rFonts w:ascii="Palatino Linotype" w:hAnsi="Palatino Linotype"/>
        </w:rPr>
        <w:t xml:space="preserve">  What was required was that the Defendant had the opportunity to challenge any aspect of her evidence with which he disagreed.  His two questions showed that he understood this process and was able to, and did, formulate such questions when necessary.</w:t>
      </w:r>
    </w:p>
    <w:p w14:paraId="3DE014AE" w14:textId="77777777" w:rsidR="00517BB4" w:rsidRDefault="00517BB4" w:rsidP="0028098E">
      <w:pPr>
        <w:spacing w:line="480" w:lineRule="auto"/>
        <w:jc w:val="both"/>
        <w:rPr>
          <w:rFonts w:ascii="Palatino Linotype" w:hAnsi="Palatino Linotype"/>
          <w:b/>
        </w:rPr>
      </w:pPr>
    </w:p>
    <w:p w14:paraId="29F2A1F8" w14:textId="251F53D7" w:rsidR="005C3969" w:rsidRPr="00A339E1" w:rsidRDefault="0028098E" w:rsidP="0028098E">
      <w:pPr>
        <w:spacing w:line="480" w:lineRule="auto"/>
        <w:jc w:val="both"/>
        <w:rPr>
          <w:rFonts w:ascii="Palatino Linotype" w:hAnsi="Palatino Linotype"/>
          <w:b/>
        </w:rPr>
      </w:pPr>
      <w:r w:rsidRPr="00A339E1">
        <w:rPr>
          <w:rFonts w:ascii="Palatino Linotype" w:hAnsi="Palatino Linotype"/>
          <w:b/>
        </w:rPr>
        <w:lastRenderedPageBreak/>
        <w:t xml:space="preserve">6. </w:t>
      </w:r>
      <w:r w:rsidR="00140E17">
        <w:rPr>
          <w:rFonts w:ascii="Palatino Linotype" w:hAnsi="Palatino Linotype"/>
          <w:b/>
        </w:rPr>
        <w:t xml:space="preserve"> </w:t>
      </w:r>
      <w:r w:rsidR="000C0423" w:rsidRPr="00A339E1">
        <w:rPr>
          <w:rFonts w:ascii="Palatino Linotype" w:hAnsi="Palatino Linotype"/>
          <w:b/>
        </w:rPr>
        <w:t>Evidence of Previous Relevant Convictions</w:t>
      </w:r>
    </w:p>
    <w:p w14:paraId="5C3C765E" w14:textId="145E3E42" w:rsidR="00E67914" w:rsidRDefault="0028098E" w:rsidP="0028098E">
      <w:pPr>
        <w:spacing w:line="480" w:lineRule="auto"/>
        <w:jc w:val="both"/>
        <w:rPr>
          <w:rFonts w:ascii="Palatino Linotype" w:hAnsi="Palatino Linotype"/>
        </w:rPr>
      </w:pPr>
      <w:r>
        <w:rPr>
          <w:rFonts w:ascii="Palatino Linotype" w:hAnsi="Palatino Linotype"/>
        </w:rPr>
        <w:t>6.1</w:t>
      </w:r>
      <w:r>
        <w:rPr>
          <w:rFonts w:ascii="Palatino Linotype" w:hAnsi="Palatino Linotype"/>
        </w:rPr>
        <w:tab/>
      </w:r>
      <w:r w:rsidR="004005E8">
        <w:rPr>
          <w:rFonts w:ascii="Palatino Linotype" w:hAnsi="Palatino Linotype"/>
        </w:rPr>
        <w:t>In</w:t>
      </w:r>
      <w:r w:rsidR="005C3969">
        <w:rPr>
          <w:rFonts w:ascii="Palatino Linotype" w:hAnsi="Palatino Linotype"/>
        </w:rPr>
        <w:t xml:space="preserve"> </w:t>
      </w:r>
      <w:r w:rsidR="00DC6F1E">
        <w:rPr>
          <w:rFonts w:ascii="Palatino Linotype" w:hAnsi="Palatino Linotype"/>
        </w:rPr>
        <w:t xml:space="preserve">the case of </w:t>
      </w:r>
      <w:r w:rsidR="005C3969" w:rsidRPr="006D1D16">
        <w:rPr>
          <w:rFonts w:ascii="Palatino Linotype" w:hAnsi="Palatino Linotype"/>
          <w:i/>
        </w:rPr>
        <w:t xml:space="preserve">Nevin </w:t>
      </w:r>
      <w:r w:rsidR="00DC6F1E" w:rsidRPr="006D1D16">
        <w:rPr>
          <w:rFonts w:ascii="Palatino Linotype" w:hAnsi="Palatino Linotype"/>
          <w:i/>
        </w:rPr>
        <w:t>v. Nevin</w:t>
      </w:r>
      <w:r w:rsidR="004005E8">
        <w:rPr>
          <w:rFonts w:ascii="Palatino Linotype" w:hAnsi="Palatino Linotype"/>
        </w:rPr>
        <w:t xml:space="preserve"> </w:t>
      </w:r>
      <w:r w:rsidR="00981B13">
        <w:rPr>
          <w:rFonts w:ascii="Palatino Linotype" w:hAnsi="Palatino Linotype"/>
        </w:rPr>
        <w:t>[2019] IESC</w:t>
      </w:r>
      <w:r w:rsidR="004F3A14">
        <w:rPr>
          <w:rFonts w:ascii="Palatino Linotype" w:hAnsi="Palatino Linotype"/>
        </w:rPr>
        <w:t xml:space="preserve"> 6</w:t>
      </w:r>
      <w:r w:rsidR="00981B13">
        <w:rPr>
          <w:rFonts w:ascii="Palatino Linotype" w:hAnsi="Palatino Linotype"/>
        </w:rPr>
        <w:t xml:space="preserve">, </w:t>
      </w:r>
      <w:r w:rsidR="004005E8">
        <w:rPr>
          <w:rFonts w:ascii="Palatino Linotype" w:hAnsi="Palatino Linotype"/>
        </w:rPr>
        <w:t xml:space="preserve">the family of a murder victim </w:t>
      </w:r>
      <w:r w:rsidR="002E4BCB">
        <w:rPr>
          <w:rFonts w:ascii="Palatino Linotype" w:hAnsi="Palatino Linotype"/>
        </w:rPr>
        <w:t xml:space="preserve">argued, successfully, that the fact and subject matter of the conviction was admissible evidence in a subsequent civil case </w:t>
      </w:r>
      <w:proofErr w:type="gramStart"/>
      <w:r w:rsidR="002E4BCB">
        <w:rPr>
          <w:rFonts w:ascii="Palatino Linotype" w:hAnsi="Palatino Linotype"/>
        </w:rPr>
        <w:t>in order to</w:t>
      </w:r>
      <w:proofErr w:type="gramEnd"/>
      <w:r w:rsidR="002E4BCB">
        <w:rPr>
          <w:rFonts w:ascii="Palatino Linotype" w:hAnsi="Palatino Linotype"/>
        </w:rPr>
        <w:t xml:space="preserve"> ensure that the </w:t>
      </w:r>
      <w:r w:rsidR="00D446CB">
        <w:rPr>
          <w:rFonts w:ascii="Palatino Linotype" w:hAnsi="Palatino Linotype"/>
        </w:rPr>
        <w:t xml:space="preserve">convicted </w:t>
      </w:r>
      <w:r w:rsidR="002E4BCB">
        <w:rPr>
          <w:rFonts w:ascii="Palatino Linotype" w:hAnsi="Palatino Linotype"/>
        </w:rPr>
        <w:t xml:space="preserve">murderer did not </w:t>
      </w:r>
      <w:r w:rsidR="00981B13">
        <w:rPr>
          <w:rFonts w:ascii="Palatino Linotype" w:hAnsi="Palatino Linotype"/>
        </w:rPr>
        <w:t>inherit</w:t>
      </w:r>
      <w:r w:rsidR="002E4BCB">
        <w:rPr>
          <w:rFonts w:ascii="Palatino Linotype" w:hAnsi="Palatino Linotype"/>
        </w:rPr>
        <w:t xml:space="preserve"> her victim’s </w:t>
      </w:r>
      <w:r w:rsidR="00981B13">
        <w:rPr>
          <w:rFonts w:ascii="Palatino Linotype" w:hAnsi="Palatino Linotype"/>
        </w:rPr>
        <w:t>estate</w:t>
      </w:r>
      <w:r w:rsidR="005C3969">
        <w:rPr>
          <w:rFonts w:ascii="Palatino Linotype" w:hAnsi="Palatino Linotype"/>
        </w:rPr>
        <w:t>.</w:t>
      </w:r>
      <w:r w:rsidR="002E4BCB">
        <w:rPr>
          <w:rFonts w:ascii="Palatino Linotype" w:hAnsi="Palatino Linotype"/>
        </w:rPr>
        <w:t xml:space="preserve"> Delivering the judgment of the Supreme Court on the issue, O’Malley J. described the history of the rule in </w:t>
      </w:r>
      <w:proofErr w:type="spellStart"/>
      <w:r w:rsidR="002E4BCB" w:rsidRPr="009D5CCB">
        <w:rPr>
          <w:rFonts w:ascii="Palatino Linotype" w:hAnsi="Palatino Linotype"/>
          <w:i/>
        </w:rPr>
        <w:t>Holling</w:t>
      </w:r>
      <w:r w:rsidR="00AB4203" w:rsidRPr="009D5CCB">
        <w:rPr>
          <w:rFonts w:ascii="Palatino Linotype" w:hAnsi="Palatino Linotype"/>
          <w:i/>
        </w:rPr>
        <w:t>ton</w:t>
      </w:r>
      <w:proofErr w:type="spellEnd"/>
      <w:r w:rsidR="002E4BCB" w:rsidRPr="009D5CCB">
        <w:rPr>
          <w:rFonts w:ascii="Palatino Linotype" w:hAnsi="Palatino Linotype"/>
          <w:i/>
        </w:rPr>
        <w:t xml:space="preserve"> v. </w:t>
      </w:r>
      <w:r w:rsidR="00706925">
        <w:rPr>
          <w:rFonts w:ascii="Palatino Linotype" w:hAnsi="Palatino Linotype"/>
          <w:i/>
        </w:rPr>
        <w:t xml:space="preserve">F. </w:t>
      </w:r>
      <w:proofErr w:type="spellStart"/>
      <w:r w:rsidR="002E4BCB" w:rsidRPr="009D5CCB">
        <w:rPr>
          <w:rFonts w:ascii="Palatino Linotype" w:hAnsi="Palatino Linotype"/>
          <w:i/>
        </w:rPr>
        <w:t>Hew</w:t>
      </w:r>
      <w:r w:rsidR="00AB4203" w:rsidRPr="009D5CCB">
        <w:rPr>
          <w:rFonts w:ascii="Palatino Linotype" w:hAnsi="Palatino Linotype"/>
          <w:i/>
        </w:rPr>
        <w:t>thor</w:t>
      </w:r>
      <w:r w:rsidR="002E4BCB" w:rsidRPr="009D5CCB">
        <w:rPr>
          <w:rFonts w:ascii="Palatino Linotype" w:hAnsi="Palatino Linotype"/>
          <w:i/>
        </w:rPr>
        <w:t>n</w:t>
      </w:r>
      <w:proofErr w:type="spellEnd"/>
      <w:r w:rsidR="00706925">
        <w:rPr>
          <w:rFonts w:ascii="Palatino Linotype" w:hAnsi="Palatino Linotype"/>
          <w:i/>
        </w:rPr>
        <w:t xml:space="preserve"> &amp; Co.</w:t>
      </w:r>
      <w:r w:rsidR="009D5CCB" w:rsidRPr="009D5CCB">
        <w:rPr>
          <w:rFonts w:ascii="Palatino Linotype" w:hAnsi="Palatino Linotype"/>
          <w:i/>
        </w:rPr>
        <w:t xml:space="preserve"> </w:t>
      </w:r>
      <w:r w:rsidR="009D5CCB" w:rsidRPr="004F3A14">
        <w:rPr>
          <w:rFonts w:ascii="Palatino Linotype" w:hAnsi="Palatino Linotype"/>
          <w:iCs/>
        </w:rPr>
        <w:t>[1943] 1 K.B. 593</w:t>
      </w:r>
      <w:r w:rsidR="009D5CCB">
        <w:rPr>
          <w:rFonts w:ascii="Palatino Linotype" w:hAnsi="Palatino Linotype"/>
        </w:rPr>
        <w:t>,</w:t>
      </w:r>
      <w:r w:rsidR="002E4BCB">
        <w:rPr>
          <w:rFonts w:ascii="Palatino Linotype" w:hAnsi="Palatino Linotype"/>
        </w:rPr>
        <w:t xml:space="preserve"> a road traffic accident case, which appeared to prevent evidence of criminal convictions being adduced in civil cases other than to prove the fact of </w:t>
      </w:r>
      <w:r w:rsidR="00981B13">
        <w:rPr>
          <w:rFonts w:ascii="Palatino Linotype" w:hAnsi="Palatino Linotype"/>
        </w:rPr>
        <w:t xml:space="preserve">a </w:t>
      </w:r>
      <w:r w:rsidR="002E4BCB">
        <w:rPr>
          <w:rFonts w:ascii="Palatino Linotype" w:hAnsi="Palatino Linotype"/>
        </w:rPr>
        <w:t>conviction.</w:t>
      </w:r>
      <w:r w:rsidR="005C3969">
        <w:rPr>
          <w:rFonts w:ascii="Palatino Linotype" w:hAnsi="Palatino Linotype"/>
        </w:rPr>
        <w:t xml:space="preserve">  </w:t>
      </w:r>
      <w:r w:rsidR="002E4BCB">
        <w:rPr>
          <w:rFonts w:ascii="Palatino Linotype" w:hAnsi="Palatino Linotype"/>
        </w:rPr>
        <w:t xml:space="preserve">Rejecting that case in favour of more persuasive authorities which recognised the force and reliability of evidence of a criminal conviction as evidence of the facts on which the conviction was based, the Supreme Court </w:t>
      </w:r>
      <w:r w:rsidR="00981B13">
        <w:rPr>
          <w:rFonts w:ascii="Palatino Linotype" w:hAnsi="Palatino Linotype"/>
        </w:rPr>
        <w:t>held that the record of a conviction was a public document,</w:t>
      </w:r>
      <w:r w:rsidR="000802E5">
        <w:rPr>
          <w:rFonts w:ascii="Palatino Linotype" w:hAnsi="Palatino Linotype"/>
        </w:rPr>
        <w:t xml:space="preserve"> admissible as evidence not just of the fact of conviction but</w:t>
      </w:r>
      <w:r w:rsidR="00981B13">
        <w:rPr>
          <w:rFonts w:ascii="Palatino Linotype" w:hAnsi="Palatino Linotype"/>
        </w:rPr>
        <w:t xml:space="preserve"> </w:t>
      </w:r>
      <w:r w:rsidR="000E161C">
        <w:rPr>
          <w:rFonts w:ascii="Palatino Linotype" w:hAnsi="Palatino Linotype"/>
        </w:rPr>
        <w:t xml:space="preserve">capable of constituting </w:t>
      </w:r>
      <w:r w:rsidR="000E161C" w:rsidRPr="000E161C">
        <w:rPr>
          <w:rFonts w:ascii="Palatino Linotype" w:hAnsi="Palatino Linotype"/>
          <w:i/>
        </w:rPr>
        <w:t>prima facie</w:t>
      </w:r>
      <w:r w:rsidR="00981B13">
        <w:rPr>
          <w:rFonts w:ascii="Palatino Linotype" w:hAnsi="Palatino Linotype"/>
        </w:rPr>
        <w:t xml:space="preserve"> </w:t>
      </w:r>
      <w:r w:rsidR="000E161C">
        <w:rPr>
          <w:rFonts w:ascii="Palatino Linotype" w:hAnsi="Palatino Linotype"/>
        </w:rPr>
        <w:t xml:space="preserve">evidence of the facts of the case </w:t>
      </w:r>
      <w:r w:rsidR="00981B13">
        <w:rPr>
          <w:rFonts w:ascii="Palatino Linotype" w:hAnsi="Palatino Linotype"/>
        </w:rPr>
        <w:t>as an exception to the hearsay rule. Due to the process which le</w:t>
      </w:r>
      <w:r w:rsidR="00E67914">
        <w:rPr>
          <w:rFonts w:ascii="Palatino Linotype" w:hAnsi="Palatino Linotype"/>
        </w:rPr>
        <w:t>ads</w:t>
      </w:r>
      <w:r w:rsidR="00981B13">
        <w:rPr>
          <w:rFonts w:ascii="Palatino Linotype" w:hAnsi="Palatino Linotype"/>
        </w:rPr>
        <w:t xml:space="preserve"> to a conviction, </w:t>
      </w:r>
      <w:r w:rsidR="00E67914">
        <w:rPr>
          <w:rFonts w:ascii="Palatino Linotype" w:hAnsi="Palatino Linotype"/>
        </w:rPr>
        <w:t xml:space="preserve">while it can be described as </w:t>
      </w:r>
      <w:r w:rsidR="000802E5">
        <w:rPr>
          <w:rFonts w:ascii="Palatino Linotype" w:hAnsi="Palatino Linotype"/>
        </w:rPr>
        <w:t>the</w:t>
      </w:r>
      <w:r w:rsidR="00E67914">
        <w:rPr>
          <w:rFonts w:ascii="Palatino Linotype" w:hAnsi="Palatino Linotype"/>
        </w:rPr>
        <w:t xml:space="preserve"> opinion of </w:t>
      </w:r>
      <w:r w:rsidR="000802E5">
        <w:rPr>
          <w:rFonts w:ascii="Palatino Linotype" w:hAnsi="Palatino Linotype"/>
        </w:rPr>
        <w:t>a</w:t>
      </w:r>
      <w:r w:rsidR="00E67914">
        <w:rPr>
          <w:rFonts w:ascii="Palatino Linotype" w:hAnsi="Palatino Linotype"/>
        </w:rPr>
        <w:t xml:space="preserve"> jury, it</w:t>
      </w:r>
      <w:r w:rsidR="00981B13">
        <w:rPr>
          <w:rFonts w:ascii="Palatino Linotype" w:hAnsi="Palatino Linotype"/>
        </w:rPr>
        <w:t xml:space="preserve"> carries great</w:t>
      </w:r>
      <w:r w:rsidR="00E67914">
        <w:rPr>
          <w:rFonts w:ascii="Palatino Linotype" w:hAnsi="Palatino Linotype"/>
        </w:rPr>
        <w:t>er</w:t>
      </w:r>
      <w:r w:rsidR="00981B13">
        <w:rPr>
          <w:rFonts w:ascii="Palatino Linotype" w:hAnsi="Palatino Linotype"/>
        </w:rPr>
        <w:t xml:space="preserve"> weight </w:t>
      </w:r>
      <w:r w:rsidR="00E67914">
        <w:rPr>
          <w:rFonts w:ascii="Palatino Linotype" w:hAnsi="Palatino Linotype"/>
        </w:rPr>
        <w:t>than that of</w:t>
      </w:r>
      <w:r w:rsidR="00981B13">
        <w:rPr>
          <w:rFonts w:ascii="Palatino Linotype" w:hAnsi="Palatino Linotype"/>
        </w:rPr>
        <w:t xml:space="preserve"> the opinion of a witness</w:t>
      </w:r>
      <w:r w:rsidR="00E67914">
        <w:rPr>
          <w:rFonts w:ascii="Palatino Linotype" w:hAnsi="Palatino Linotype"/>
        </w:rPr>
        <w:t xml:space="preserve"> and is sufficiently reliable to constitute evidence</w:t>
      </w:r>
      <w:r w:rsidR="00D446CB">
        <w:rPr>
          <w:rFonts w:ascii="Palatino Linotype" w:hAnsi="Palatino Linotype"/>
        </w:rPr>
        <w:t xml:space="preserve"> of </w:t>
      </w:r>
      <w:r w:rsidR="0052201D">
        <w:rPr>
          <w:rFonts w:ascii="Palatino Linotype" w:hAnsi="Palatino Linotype"/>
        </w:rPr>
        <w:t xml:space="preserve">relevant </w:t>
      </w:r>
      <w:r w:rsidR="00D446CB">
        <w:rPr>
          <w:rFonts w:ascii="Palatino Linotype" w:hAnsi="Palatino Linotype"/>
        </w:rPr>
        <w:t>fact</w:t>
      </w:r>
      <w:r w:rsidR="0052201D">
        <w:rPr>
          <w:rFonts w:ascii="Palatino Linotype" w:hAnsi="Palatino Linotype"/>
        </w:rPr>
        <w:t>s</w:t>
      </w:r>
      <w:r w:rsidR="00E67914">
        <w:rPr>
          <w:rFonts w:ascii="Palatino Linotype" w:hAnsi="Palatino Linotype"/>
        </w:rPr>
        <w:t xml:space="preserve"> in later cases.</w:t>
      </w:r>
    </w:p>
    <w:p w14:paraId="1695D4BC" w14:textId="6251B01A" w:rsidR="00647F42" w:rsidRDefault="0028098E" w:rsidP="0028098E">
      <w:pPr>
        <w:spacing w:line="480" w:lineRule="auto"/>
        <w:jc w:val="both"/>
        <w:rPr>
          <w:rFonts w:ascii="Palatino Linotype" w:hAnsi="Palatino Linotype"/>
        </w:rPr>
      </w:pPr>
      <w:r>
        <w:rPr>
          <w:rFonts w:ascii="Palatino Linotype" w:hAnsi="Palatino Linotype"/>
        </w:rPr>
        <w:t>6.2</w:t>
      </w:r>
      <w:r>
        <w:rPr>
          <w:rFonts w:ascii="Palatino Linotype" w:hAnsi="Palatino Linotype"/>
        </w:rPr>
        <w:tab/>
      </w:r>
      <w:r w:rsidR="00E67914">
        <w:rPr>
          <w:rFonts w:ascii="Palatino Linotype" w:hAnsi="Palatino Linotype"/>
        </w:rPr>
        <w:t xml:space="preserve">Here, the evidence was offered by the Plaintiff and by the prosecuting guard in the criminal case but there was no formal public </w:t>
      </w:r>
      <w:r w:rsidR="00A92B0A">
        <w:rPr>
          <w:rFonts w:ascii="Palatino Linotype" w:hAnsi="Palatino Linotype"/>
        </w:rPr>
        <w:t>record of conviction</w:t>
      </w:r>
      <w:r w:rsidR="00E67914">
        <w:rPr>
          <w:rFonts w:ascii="Palatino Linotype" w:hAnsi="Palatino Linotype"/>
        </w:rPr>
        <w:t xml:space="preserve"> before the Court. </w:t>
      </w:r>
      <w:r w:rsidR="00A92B0A">
        <w:rPr>
          <w:rFonts w:ascii="Palatino Linotype" w:hAnsi="Palatino Linotype"/>
        </w:rPr>
        <w:t>T</w:t>
      </w:r>
      <w:r w:rsidR="00E67914">
        <w:rPr>
          <w:rFonts w:ascii="Palatino Linotype" w:hAnsi="Palatino Linotype"/>
        </w:rPr>
        <w:t xml:space="preserve">he Defendant did not contest the fact that there was a criminal trial at which he was convicted in respect of several counts, nor did he put the matter in issue in his defence.  </w:t>
      </w:r>
      <w:r w:rsidR="00A92B0A">
        <w:rPr>
          <w:rFonts w:ascii="Palatino Linotype" w:hAnsi="Palatino Linotype"/>
        </w:rPr>
        <w:t xml:space="preserve">He did, however, maintain his innocence in respect of the alleged offences. </w:t>
      </w:r>
      <w:r w:rsidR="00A92B0A" w:rsidRPr="00A92B0A">
        <w:rPr>
          <w:rFonts w:ascii="Palatino Linotype" w:hAnsi="Palatino Linotype"/>
        </w:rPr>
        <w:t>There is</w:t>
      </w:r>
      <w:r w:rsidR="00A92B0A">
        <w:rPr>
          <w:rFonts w:ascii="Palatino Linotype" w:hAnsi="Palatino Linotype"/>
        </w:rPr>
        <w:t xml:space="preserve"> </w:t>
      </w:r>
      <w:r w:rsidR="00A92B0A" w:rsidRPr="00A92B0A">
        <w:rPr>
          <w:rFonts w:ascii="Palatino Linotype" w:hAnsi="Palatino Linotype"/>
        </w:rPr>
        <w:t>a public</w:t>
      </w:r>
      <w:r w:rsidR="00A92B0A">
        <w:rPr>
          <w:rFonts w:ascii="Palatino Linotype" w:hAnsi="Palatino Linotype"/>
        </w:rPr>
        <w:t>ly available</w:t>
      </w:r>
      <w:r w:rsidR="00A92B0A" w:rsidRPr="00A92B0A">
        <w:rPr>
          <w:rFonts w:ascii="Palatino Linotype" w:hAnsi="Palatino Linotype"/>
        </w:rPr>
        <w:t xml:space="preserve"> </w:t>
      </w:r>
      <w:r w:rsidR="0052201D">
        <w:rPr>
          <w:rFonts w:ascii="Palatino Linotype" w:hAnsi="Palatino Linotype"/>
        </w:rPr>
        <w:t>judgment</w:t>
      </w:r>
      <w:r w:rsidR="00A92B0A" w:rsidRPr="00A92B0A">
        <w:rPr>
          <w:rFonts w:ascii="Palatino Linotype" w:hAnsi="Palatino Linotype"/>
        </w:rPr>
        <w:t xml:space="preserve"> of the Court of Appeal </w:t>
      </w:r>
      <w:r w:rsidR="0052201D">
        <w:rPr>
          <w:rFonts w:ascii="Palatino Linotype" w:hAnsi="Palatino Linotype"/>
        </w:rPr>
        <w:t>(</w:t>
      </w:r>
      <w:r w:rsidR="0052201D" w:rsidRPr="0052201D">
        <w:rPr>
          <w:rFonts w:ascii="Palatino Linotype" w:hAnsi="Palatino Linotype"/>
          <w:i/>
        </w:rPr>
        <w:t>DPP v</w:t>
      </w:r>
      <w:r w:rsidR="00085E01">
        <w:rPr>
          <w:rFonts w:ascii="Palatino Linotype" w:hAnsi="Palatino Linotype"/>
          <w:i/>
        </w:rPr>
        <w:t>.</w:t>
      </w:r>
      <w:r w:rsidR="0052201D" w:rsidRPr="0052201D">
        <w:rPr>
          <w:rFonts w:ascii="Palatino Linotype" w:hAnsi="Palatino Linotype"/>
          <w:i/>
        </w:rPr>
        <w:t xml:space="preserve"> G.C.</w:t>
      </w:r>
      <w:r w:rsidR="0052201D">
        <w:rPr>
          <w:rFonts w:ascii="Palatino Linotype" w:hAnsi="Palatino Linotype"/>
        </w:rPr>
        <w:t xml:space="preserve"> </w:t>
      </w:r>
      <w:r w:rsidR="0052201D" w:rsidRPr="0052201D">
        <w:rPr>
          <w:rFonts w:ascii="Palatino Linotype" w:hAnsi="Palatino Linotype"/>
        </w:rPr>
        <w:t>[2017] IECA 43</w:t>
      </w:r>
      <w:r w:rsidR="0052201D">
        <w:rPr>
          <w:rFonts w:ascii="Palatino Linotype" w:hAnsi="Palatino Linotype"/>
        </w:rPr>
        <w:t xml:space="preserve">, Edwards J.) </w:t>
      </w:r>
      <w:r w:rsidR="00A92B0A" w:rsidRPr="00A92B0A">
        <w:rPr>
          <w:rFonts w:ascii="Palatino Linotype" w:hAnsi="Palatino Linotype"/>
        </w:rPr>
        <w:t xml:space="preserve">rejecting the Defendant’s appeal.  </w:t>
      </w:r>
      <w:r w:rsidR="0052201D">
        <w:rPr>
          <w:rFonts w:ascii="Palatino Linotype" w:hAnsi="Palatino Linotype"/>
        </w:rPr>
        <w:t>The</w:t>
      </w:r>
      <w:r w:rsidR="00E67914">
        <w:rPr>
          <w:rFonts w:ascii="Palatino Linotype" w:hAnsi="Palatino Linotype"/>
        </w:rPr>
        <w:t xml:space="preserve"> evidence of the prosecuting guard was not contested</w:t>
      </w:r>
      <w:r w:rsidR="00CB0204">
        <w:rPr>
          <w:rFonts w:ascii="Palatino Linotype" w:hAnsi="Palatino Linotype"/>
        </w:rPr>
        <w:t xml:space="preserve"> in this respect</w:t>
      </w:r>
      <w:r w:rsidR="00E67914">
        <w:rPr>
          <w:rFonts w:ascii="Palatino Linotype" w:hAnsi="Palatino Linotype"/>
        </w:rPr>
        <w:t xml:space="preserve">.  This witness was </w:t>
      </w:r>
      <w:proofErr w:type="gramStart"/>
      <w:r w:rsidR="00E67914">
        <w:rPr>
          <w:rFonts w:ascii="Palatino Linotype" w:hAnsi="Palatino Linotype"/>
        </w:rPr>
        <w:t>in a position</w:t>
      </w:r>
      <w:proofErr w:type="gramEnd"/>
      <w:r w:rsidR="00E67914">
        <w:rPr>
          <w:rFonts w:ascii="Palatino Linotype" w:hAnsi="Palatino Linotype"/>
        </w:rPr>
        <w:t xml:space="preserve"> to describe which counts on the indictment had been the subject </w:t>
      </w:r>
      <w:r w:rsidR="00E67914">
        <w:rPr>
          <w:rFonts w:ascii="Palatino Linotype" w:hAnsi="Palatino Linotype"/>
        </w:rPr>
        <w:lastRenderedPageBreak/>
        <w:t xml:space="preserve">of guilty verdicts and she confirmed that the majority of the </w:t>
      </w:r>
      <w:r w:rsidR="00D9437B">
        <w:rPr>
          <w:rFonts w:ascii="Palatino Linotype" w:hAnsi="Palatino Linotype"/>
        </w:rPr>
        <w:t xml:space="preserve">79 </w:t>
      </w:r>
      <w:r w:rsidR="00E67914">
        <w:rPr>
          <w:rFonts w:ascii="Palatino Linotype" w:hAnsi="Palatino Linotype"/>
        </w:rPr>
        <w:t>allegations had not been left to the jury but had been the subject of directed verdicts to acquit.</w:t>
      </w:r>
      <w:r w:rsidR="00B57C74">
        <w:rPr>
          <w:rFonts w:ascii="Palatino Linotype" w:hAnsi="Palatino Linotype"/>
        </w:rPr>
        <w:t xml:space="preserve"> The jury disagreed on ten counts.</w:t>
      </w:r>
      <w:r w:rsidR="00E67914">
        <w:rPr>
          <w:rFonts w:ascii="Palatino Linotype" w:hAnsi="Palatino Linotype"/>
        </w:rPr>
        <w:t xml:space="preserve">  </w:t>
      </w:r>
      <w:r w:rsidR="00981B13">
        <w:rPr>
          <w:rFonts w:ascii="Palatino Linotype" w:hAnsi="Palatino Linotype"/>
        </w:rPr>
        <w:t xml:space="preserve">  </w:t>
      </w:r>
    </w:p>
    <w:p w14:paraId="0D0EE8F2" w14:textId="1A56804F" w:rsidR="00B82E77" w:rsidRDefault="0028098E" w:rsidP="0028098E">
      <w:pPr>
        <w:spacing w:line="480" w:lineRule="auto"/>
        <w:jc w:val="both"/>
        <w:rPr>
          <w:rFonts w:ascii="Palatino Linotype" w:hAnsi="Palatino Linotype"/>
        </w:rPr>
      </w:pPr>
      <w:r>
        <w:rPr>
          <w:rFonts w:ascii="Palatino Linotype" w:hAnsi="Palatino Linotype"/>
        </w:rPr>
        <w:t>6.3</w:t>
      </w:r>
      <w:r>
        <w:rPr>
          <w:rFonts w:ascii="Palatino Linotype" w:hAnsi="Palatino Linotype"/>
        </w:rPr>
        <w:tab/>
      </w:r>
      <w:r w:rsidR="00B82E77">
        <w:rPr>
          <w:rFonts w:ascii="Palatino Linotype" w:hAnsi="Palatino Linotype"/>
        </w:rPr>
        <w:t>The convictions relate only to the first</w:t>
      </w:r>
      <w:r w:rsidR="00B57C74">
        <w:rPr>
          <w:rFonts w:ascii="Palatino Linotype" w:hAnsi="Palatino Linotype"/>
        </w:rPr>
        <w:t xml:space="preserve"> </w:t>
      </w:r>
      <w:r w:rsidR="00D57689">
        <w:rPr>
          <w:rFonts w:ascii="Palatino Linotype" w:hAnsi="Palatino Linotype"/>
        </w:rPr>
        <w:t>five</w:t>
      </w:r>
      <w:r w:rsidR="00B82E77">
        <w:rPr>
          <w:rFonts w:ascii="Palatino Linotype" w:hAnsi="Palatino Linotype"/>
        </w:rPr>
        <w:t xml:space="preserve"> counts on the indictment</w:t>
      </w:r>
      <w:r w:rsidR="002706BC">
        <w:rPr>
          <w:rFonts w:ascii="Palatino Linotype" w:hAnsi="Palatino Linotype"/>
        </w:rPr>
        <w:t xml:space="preserve"> which were allegations of indecent assault in the first year of the alleged abuse</w:t>
      </w:r>
      <w:r w:rsidR="00B82E77">
        <w:rPr>
          <w:rFonts w:ascii="Palatino Linotype" w:hAnsi="Palatino Linotype"/>
        </w:rPr>
        <w:t xml:space="preserve">. The </w:t>
      </w:r>
      <w:r w:rsidR="00945402">
        <w:rPr>
          <w:rFonts w:ascii="Palatino Linotype" w:hAnsi="Palatino Linotype"/>
        </w:rPr>
        <w:t>Defendant’s position</w:t>
      </w:r>
      <w:r w:rsidR="00B82E77">
        <w:rPr>
          <w:rFonts w:ascii="Palatino Linotype" w:hAnsi="Palatino Linotype"/>
        </w:rPr>
        <w:t xml:space="preserve"> </w:t>
      </w:r>
      <w:r w:rsidR="00945402">
        <w:rPr>
          <w:rFonts w:ascii="Palatino Linotype" w:hAnsi="Palatino Linotype"/>
        </w:rPr>
        <w:t xml:space="preserve">is that he never assaulted her on any </w:t>
      </w:r>
      <w:proofErr w:type="gramStart"/>
      <w:r w:rsidR="00945402">
        <w:rPr>
          <w:rFonts w:ascii="Palatino Linotype" w:hAnsi="Palatino Linotype"/>
        </w:rPr>
        <w:t>occasion</w:t>
      </w:r>
      <w:proofErr w:type="gramEnd"/>
      <w:r w:rsidR="00B82E77">
        <w:rPr>
          <w:rFonts w:ascii="Palatino Linotype" w:hAnsi="Palatino Linotype"/>
        </w:rPr>
        <w:t xml:space="preserve"> and it could be argued that the presumption against him in respect of the convictions could also, as a matter of common sense, be used to cast doubt on his denials in respect of the later offences</w:t>
      </w:r>
      <w:r w:rsidR="00945402">
        <w:rPr>
          <w:rFonts w:ascii="Palatino Linotype" w:hAnsi="Palatino Linotype"/>
        </w:rPr>
        <w:t>.</w:t>
      </w:r>
      <w:r w:rsidR="00B82E77">
        <w:rPr>
          <w:rFonts w:ascii="Palatino Linotype" w:hAnsi="Palatino Linotype"/>
        </w:rPr>
        <w:t xml:space="preserve">  </w:t>
      </w:r>
    </w:p>
    <w:p w14:paraId="2905CA17" w14:textId="2A6D8A12" w:rsidR="00CB0204" w:rsidRDefault="0028098E" w:rsidP="0028098E">
      <w:pPr>
        <w:spacing w:line="480" w:lineRule="auto"/>
        <w:jc w:val="both"/>
        <w:rPr>
          <w:rFonts w:ascii="Palatino Linotype" w:hAnsi="Palatino Linotype"/>
        </w:rPr>
      </w:pPr>
      <w:r w:rsidRPr="00A219E5">
        <w:rPr>
          <w:rFonts w:ascii="Palatino Linotype" w:hAnsi="Palatino Linotype"/>
        </w:rPr>
        <w:t>6.4</w:t>
      </w:r>
      <w:r>
        <w:rPr>
          <w:rFonts w:ascii="Palatino Linotype" w:hAnsi="Palatino Linotype"/>
        </w:rPr>
        <w:tab/>
      </w:r>
      <w:r w:rsidR="00B82E77">
        <w:rPr>
          <w:rFonts w:ascii="Palatino Linotype" w:hAnsi="Palatino Linotype"/>
        </w:rPr>
        <w:t xml:space="preserve">The criminal court directed that the Defendant be acquitted of the other offences alleged by this Plaintiff. Insofar as the reported account of the case reveals </w:t>
      </w:r>
      <w:r w:rsidR="001F69C9">
        <w:rPr>
          <w:rFonts w:ascii="Palatino Linotype" w:hAnsi="Palatino Linotype"/>
        </w:rPr>
        <w:t>the facts, these appear to be similar (if not identical</w:t>
      </w:r>
      <w:r w:rsidR="00CB0204">
        <w:rPr>
          <w:rFonts w:ascii="Palatino Linotype" w:hAnsi="Palatino Linotype"/>
        </w:rPr>
        <w:t xml:space="preserve">, </w:t>
      </w:r>
      <w:r w:rsidR="001F69C9">
        <w:rPr>
          <w:rFonts w:ascii="Palatino Linotype" w:hAnsi="Palatino Linotype"/>
        </w:rPr>
        <w:t xml:space="preserve">it is difficult to tell without a transcript) to the allegations made in this case.  </w:t>
      </w:r>
      <w:r w:rsidR="00CB0204">
        <w:rPr>
          <w:rFonts w:ascii="Palatino Linotype" w:hAnsi="Palatino Linotype"/>
        </w:rPr>
        <w:t xml:space="preserve">The Plaintiff confirmed that her evidence in both Courts was similar.  </w:t>
      </w:r>
    </w:p>
    <w:p w14:paraId="100B4BAE" w14:textId="0419562B" w:rsidR="00B82E77" w:rsidRDefault="00CB0204" w:rsidP="0028098E">
      <w:pPr>
        <w:spacing w:line="480" w:lineRule="auto"/>
        <w:jc w:val="both"/>
        <w:rPr>
          <w:rFonts w:ascii="Palatino Linotype" w:hAnsi="Palatino Linotype"/>
        </w:rPr>
      </w:pPr>
      <w:r>
        <w:rPr>
          <w:rFonts w:ascii="Palatino Linotype" w:hAnsi="Palatino Linotype"/>
        </w:rPr>
        <w:t>6.5</w:t>
      </w:r>
      <w:r>
        <w:rPr>
          <w:rFonts w:ascii="Palatino Linotype" w:hAnsi="Palatino Linotype"/>
        </w:rPr>
        <w:tab/>
      </w:r>
      <w:r w:rsidR="001F69C9">
        <w:rPr>
          <w:rFonts w:ascii="Palatino Linotype" w:hAnsi="Palatino Linotype"/>
        </w:rPr>
        <w:t xml:space="preserve">In her analysis of the authorities in </w:t>
      </w:r>
      <w:r w:rsidR="001F69C9" w:rsidRPr="00BF55F7">
        <w:rPr>
          <w:rFonts w:ascii="Palatino Linotype" w:hAnsi="Palatino Linotype"/>
          <w:i/>
          <w:iCs/>
        </w:rPr>
        <w:t>Nevin</w:t>
      </w:r>
      <w:r w:rsidR="001F69C9">
        <w:rPr>
          <w:rFonts w:ascii="Palatino Linotype" w:hAnsi="Palatino Linotype"/>
        </w:rPr>
        <w:t xml:space="preserve">, O’Malley J. </w:t>
      </w:r>
      <w:r w:rsidR="002706BC">
        <w:rPr>
          <w:rFonts w:ascii="Palatino Linotype" w:hAnsi="Palatino Linotype"/>
        </w:rPr>
        <w:t>referred to</w:t>
      </w:r>
      <w:r w:rsidR="001F69C9">
        <w:rPr>
          <w:rFonts w:ascii="Palatino Linotype" w:hAnsi="Palatino Linotype"/>
        </w:rPr>
        <w:t xml:space="preserve"> </w:t>
      </w:r>
      <w:r w:rsidR="002706BC">
        <w:rPr>
          <w:rFonts w:ascii="Palatino Linotype" w:hAnsi="Palatino Linotype"/>
        </w:rPr>
        <w:t>an</w:t>
      </w:r>
      <w:r w:rsidR="001F69C9">
        <w:rPr>
          <w:rFonts w:ascii="Palatino Linotype" w:hAnsi="Palatino Linotype"/>
        </w:rPr>
        <w:t xml:space="preserve"> argument </w:t>
      </w:r>
      <w:r w:rsidR="002706BC">
        <w:rPr>
          <w:rFonts w:ascii="Palatino Linotype" w:hAnsi="Palatino Linotype"/>
        </w:rPr>
        <w:t xml:space="preserve">made by Lord Goddard in </w:t>
      </w:r>
      <w:proofErr w:type="spellStart"/>
      <w:r w:rsidR="002706BC" w:rsidRPr="002706BC">
        <w:rPr>
          <w:rFonts w:ascii="Palatino Linotype" w:hAnsi="Palatino Linotype"/>
          <w:i/>
        </w:rPr>
        <w:t>Hollington</w:t>
      </w:r>
      <w:proofErr w:type="spellEnd"/>
      <w:r w:rsidR="002706BC">
        <w:rPr>
          <w:rFonts w:ascii="Palatino Linotype" w:hAnsi="Palatino Linotype"/>
        </w:rPr>
        <w:t xml:space="preserve"> </w:t>
      </w:r>
      <w:r w:rsidR="001F69C9">
        <w:rPr>
          <w:rFonts w:ascii="Palatino Linotype" w:hAnsi="Palatino Linotype"/>
        </w:rPr>
        <w:t>that</w:t>
      </w:r>
      <w:r w:rsidR="002706BC">
        <w:rPr>
          <w:rFonts w:ascii="Palatino Linotype" w:hAnsi="Palatino Linotype"/>
        </w:rPr>
        <w:t xml:space="preserve"> if a conviction was admissible, </w:t>
      </w:r>
      <w:r w:rsidR="00DB1417">
        <w:rPr>
          <w:rFonts w:ascii="Palatino Linotype" w:hAnsi="Palatino Linotype"/>
        </w:rPr>
        <w:t>it “must follow” that</w:t>
      </w:r>
      <w:r w:rsidR="001F69C9">
        <w:rPr>
          <w:rFonts w:ascii="Palatino Linotype" w:hAnsi="Palatino Linotype"/>
        </w:rPr>
        <w:t xml:space="preserve"> an </w:t>
      </w:r>
      <w:r w:rsidR="00DB1417">
        <w:rPr>
          <w:rFonts w:ascii="Palatino Linotype" w:hAnsi="Palatino Linotype"/>
        </w:rPr>
        <w:t xml:space="preserve">acquittal could </w:t>
      </w:r>
      <w:r w:rsidR="001F69C9">
        <w:rPr>
          <w:rFonts w:ascii="Palatino Linotype" w:hAnsi="Palatino Linotype"/>
        </w:rPr>
        <w:t xml:space="preserve">be evidence in favour of the defence.  </w:t>
      </w:r>
      <w:r w:rsidR="00DB1417">
        <w:rPr>
          <w:rFonts w:ascii="Palatino Linotype" w:hAnsi="Palatino Linotype"/>
        </w:rPr>
        <w:t xml:space="preserve">The facts of that case did not require any further discussion of his Lordship’s conclusion.  </w:t>
      </w:r>
      <w:r w:rsidR="00817137">
        <w:rPr>
          <w:rFonts w:ascii="Palatino Linotype" w:hAnsi="Palatino Linotype"/>
        </w:rPr>
        <w:t>It seems to me that</w:t>
      </w:r>
      <w:r w:rsidR="00DB1417">
        <w:rPr>
          <w:rFonts w:ascii="Palatino Linotype" w:hAnsi="Palatino Linotype"/>
        </w:rPr>
        <w:t xml:space="preserve"> the two cannot</w:t>
      </w:r>
      <w:r>
        <w:rPr>
          <w:rFonts w:ascii="Palatino Linotype" w:hAnsi="Palatino Linotype"/>
        </w:rPr>
        <w:t>, and should not,</w:t>
      </w:r>
      <w:r w:rsidR="00DB1417">
        <w:rPr>
          <w:rFonts w:ascii="Palatino Linotype" w:hAnsi="Palatino Linotype"/>
        </w:rPr>
        <w:t xml:space="preserve"> be equated. As Ms. Justice O’Malley’s analysis makes clear, </w:t>
      </w:r>
      <w:r w:rsidR="00DE5299">
        <w:rPr>
          <w:rFonts w:ascii="Palatino Linotype" w:hAnsi="Palatino Linotype"/>
        </w:rPr>
        <w:t xml:space="preserve">if there is a guilty verdict, </w:t>
      </w:r>
      <w:r w:rsidR="00DB1417">
        <w:rPr>
          <w:rFonts w:ascii="Palatino Linotype" w:hAnsi="Palatino Linotype"/>
        </w:rPr>
        <w:t xml:space="preserve">the process of a trial leads to a publicly declared verdict that a jury of her peers with access to all </w:t>
      </w:r>
      <w:r w:rsidR="00DE5299">
        <w:rPr>
          <w:rFonts w:ascii="Palatino Linotype" w:hAnsi="Palatino Linotype"/>
        </w:rPr>
        <w:t>relevant</w:t>
      </w:r>
      <w:r w:rsidR="00DB1417">
        <w:rPr>
          <w:rFonts w:ascii="Palatino Linotype" w:hAnsi="Palatino Linotype"/>
        </w:rPr>
        <w:t xml:space="preserve"> facts that prosecution and defence can adduce, has determined beyond a reasonable doubt that the accused has committed a</w:t>
      </w:r>
      <w:r w:rsidR="00817137">
        <w:rPr>
          <w:rFonts w:ascii="Palatino Linotype" w:hAnsi="Palatino Linotype"/>
        </w:rPr>
        <w:t>n</w:t>
      </w:r>
      <w:r w:rsidR="00DB1417">
        <w:rPr>
          <w:rFonts w:ascii="Palatino Linotype" w:hAnsi="Palatino Linotype"/>
        </w:rPr>
        <w:t xml:space="preserve"> offence. </w:t>
      </w:r>
      <w:r w:rsidR="002706BC">
        <w:rPr>
          <w:rFonts w:ascii="Palatino Linotype" w:hAnsi="Palatino Linotype"/>
        </w:rPr>
        <w:t xml:space="preserve"> </w:t>
      </w:r>
      <w:r w:rsidR="00DB1417">
        <w:rPr>
          <w:rFonts w:ascii="Palatino Linotype" w:hAnsi="Palatino Linotype"/>
        </w:rPr>
        <w:t>An acquittal could mean any number of things and it will rarely be easy to determine which of them might be true.  Here</w:t>
      </w:r>
      <w:r w:rsidR="001F69C9">
        <w:rPr>
          <w:rFonts w:ascii="Palatino Linotype" w:hAnsi="Palatino Linotype"/>
        </w:rPr>
        <w:t xml:space="preserve">, the directed acquittals </w:t>
      </w:r>
      <w:r w:rsidR="00DB1417">
        <w:rPr>
          <w:rFonts w:ascii="Palatino Linotype" w:hAnsi="Palatino Linotype"/>
        </w:rPr>
        <w:t>cannot be seen as</w:t>
      </w:r>
      <w:r w:rsidR="001F69C9">
        <w:rPr>
          <w:rFonts w:ascii="Palatino Linotype" w:hAnsi="Palatino Linotype"/>
        </w:rPr>
        <w:t xml:space="preserve"> more than a failure by the prosecution to meet the standard of proof required in such a case </w:t>
      </w:r>
      <w:proofErr w:type="gramStart"/>
      <w:r w:rsidR="001F69C9">
        <w:rPr>
          <w:rFonts w:ascii="Palatino Linotype" w:hAnsi="Palatino Linotype"/>
        </w:rPr>
        <w:t>i.e.</w:t>
      </w:r>
      <w:proofErr w:type="gramEnd"/>
      <w:r w:rsidR="001F69C9">
        <w:rPr>
          <w:rFonts w:ascii="Palatino Linotype" w:hAnsi="Palatino Linotype"/>
        </w:rPr>
        <w:t xml:space="preserve"> proof beyond reasonable doubt.  Given that </w:t>
      </w:r>
      <w:r w:rsidR="001F69C9">
        <w:rPr>
          <w:rFonts w:ascii="Palatino Linotype" w:hAnsi="Palatino Linotype"/>
        </w:rPr>
        <w:lastRenderedPageBreak/>
        <w:t>acquittal</w:t>
      </w:r>
      <w:r w:rsidR="00817137">
        <w:rPr>
          <w:rFonts w:ascii="Palatino Linotype" w:hAnsi="Palatino Linotype"/>
        </w:rPr>
        <w:t>s</w:t>
      </w:r>
      <w:r w:rsidR="001F69C9">
        <w:rPr>
          <w:rFonts w:ascii="Palatino Linotype" w:hAnsi="Palatino Linotype"/>
        </w:rPr>
        <w:t xml:space="preserve"> can represent anything from clear innocence to probable guilt</w:t>
      </w:r>
      <w:r w:rsidR="00817137">
        <w:rPr>
          <w:rFonts w:ascii="Palatino Linotype" w:hAnsi="Palatino Linotype"/>
        </w:rPr>
        <w:t>,</w:t>
      </w:r>
      <w:r w:rsidR="001F69C9">
        <w:rPr>
          <w:rFonts w:ascii="Palatino Linotype" w:hAnsi="Palatino Linotype"/>
        </w:rPr>
        <w:t xml:space="preserve"> falling short of </w:t>
      </w:r>
      <w:r w:rsidR="00DB1417">
        <w:rPr>
          <w:rFonts w:ascii="Palatino Linotype" w:hAnsi="Palatino Linotype"/>
        </w:rPr>
        <w:t xml:space="preserve">reasonable </w:t>
      </w:r>
      <w:r w:rsidR="001F69C9">
        <w:rPr>
          <w:rFonts w:ascii="Palatino Linotype" w:hAnsi="Palatino Linotype"/>
        </w:rPr>
        <w:t xml:space="preserve">certainty, it must be </w:t>
      </w:r>
      <w:r w:rsidR="00DE5299">
        <w:rPr>
          <w:rFonts w:ascii="Palatino Linotype" w:hAnsi="Palatino Linotype"/>
        </w:rPr>
        <w:t>correct</w:t>
      </w:r>
      <w:r w:rsidR="001F69C9">
        <w:rPr>
          <w:rFonts w:ascii="Palatino Linotype" w:hAnsi="Palatino Linotype"/>
        </w:rPr>
        <w:t xml:space="preserve"> to disregard </w:t>
      </w:r>
      <w:r w:rsidR="00DE5299">
        <w:rPr>
          <w:rFonts w:ascii="Palatino Linotype" w:hAnsi="Palatino Linotype"/>
        </w:rPr>
        <w:t>the</w:t>
      </w:r>
      <w:r w:rsidR="001F69C9">
        <w:rPr>
          <w:rFonts w:ascii="Palatino Linotype" w:hAnsi="Palatino Linotype"/>
        </w:rPr>
        <w:t xml:space="preserve"> remaining counts for the purposes of this case</w:t>
      </w:r>
      <w:r w:rsidR="00DE5299">
        <w:rPr>
          <w:rFonts w:ascii="Palatino Linotype" w:hAnsi="Palatino Linotype"/>
        </w:rPr>
        <w:t xml:space="preserve"> as the evidence of directed acquittals adds nothing to either case</w:t>
      </w:r>
      <w:r w:rsidR="001F69C9">
        <w:rPr>
          <w:rFonts w:ascii="Palatino Linotype" w:hAnsi="Palatino Linotype"/>
        </w:rPr>
        <w:t>.</w:t>
      </w:r>
      <w:r w:rsidR="005B0DB8">
        <w:rPr>
          <w:rFonts w:ascii="Palatino Linotype" w:hAnsi="Palatino Linotype"/>
        </w:rPr>
        <w:t xml:space="preserve"> The same comment can be made in respect of </w:t>
      </w:r>
      <w:r w:rsidR="00934848">
        <w:rPr>
          <w:rFonts w:ascii="Palatino Linotype" w:hAnsi="Palatino Linotype"/>
        </w:rPr>
        <w:t xml:space="preserve">verdicts where the jury disagrees. </w:t>
      </w:r>
    </w:p>
    <w:p w14:paraId="1C631BCB" w14:textId="6DAF046A" w:rsidR="005C3969" w:rsidRDefault="0028098E" w:rsidP="0028098E">
      <w:pPr>
        <w:spacing w:line="480" w:lineRule="auto"/>
        <w:jc w:val="both"/>
        <w:rPr>
          <w:rFonts w:ascii="Palatino Linotype" w:hAnsi="Palatino Linotype"/>
        </w:rPr>
      </w:pPr>
      <w:r>
        <w:rPr>
          <w:rFonts w:ascii="Palatino Linotype" w:hAnsi="Palatino Linotype"/>
        </w:rPr>
        <w:t>6.</w:t>
      </w:r>
      <w:r w:rsidR="00DE5299">
        <w:rPr>
          <w:rFonts w:ascii="Palatino Linotype" w:hAnsi="Palatino Linotype"/>
        </w:rPr>
        <w:t>6</w:t>
      </w:r>
      <w:r>
        <w:rPr>
          <w:rFonts w:ascii="Palatino Linotype" w:hAnsi="Palatino Linotype"/>
        </w:rPr>
        <w:tab/>
      </w:r>
      <w:r w:rsidR="001F69C9">
        <w:rPr>
          <w:rFonts w:ascii="Palatino Linotype" w:hAnsi="Palatino Linotype"/>
        </w:rPr>
        <w:t>On this analysis, there</w:t>
      </w:r>
      <w:r w:rsidR="00B82E77">
        <w:rPr>
          <w:rFonts w:ascii="Palatino Linotype" w:hAnsi="Palatino Linotype"/>
        </w:rPr>
        <w:t xml:space="preserve"> is no support for </w:t>
      </w:r>
      <w:r w:rsidR="00765706">
        <w:rPr>
          <w:rFonts w:ascii="Palatino Linotype" w:hAnsi="Palatino Linotype"/>
        </w:rPr>
        <w:t xml:space="preserve">either the Defendant or for </w:t>
      </w:r>
      <w:r w:rsidR="00B82E77">
        <w:rPr>
          <w:rFonts w:ascii="Palatino Linotype" w:hAnsi="Palatino Linotype"/>
        </w:rPr>
        <w:t>the Plaintiff</w:t>
      </w:r>
      <w:r w:rsidR="00765706">
        <w:rPr>
          <w:rFonts w:ascii="Palatino Linotype" w:hAnsi="Palatino Linotype"/>
        </w:rPr>
        <w:t xml:space="preserve"> </w:t>
      </w:r>
      <w:r w:rsidR="00B82E77">
        <w:rPr>
          <w:rFonts w:ascii="Palatino Linotype" w:hAnsi="Palatino Linotype"/>
        </w:rPr>
        <w:t>in the</w:t>
      </w:r>
      <w:r w:rsidR="00765706">
        <w:rPr>
          <w:rFonts w:ascii="Palatino Linotype" w:hAnsi="Palatino Linotype"/>
        </w:rPr>
        <w:t xml:space="preserve"> fact that</w:t>
      </w:r>
      <w:r w:rsidR="00B82E77">
        <w:rPr>
          <w:rFonts w:ascii="Palatino Linotype" w:hAnsi="Palatino Linotype"/>
        </w:rPr>
        <w:t xml:space="preserve"> allegations were withdrawn from the jury</w:t>
      </w:r>
      <w:r w:rsidR="001F69C9">
        <w:rPr>
          <w:rFonts w:ascii="Palatino Linotype" w:hAnsi="Palatino Linotype"/>
        </w:rPr>
        <w:t xml:space="preserve">, </w:t>
      </w:r>
      <w:r w:rsidR="00934848">
        <w:rPr>
          <w:rFonts w:ascii="Palatino Linotype" w:hAnsi="Palatino Linotype"/>
        </w:rPr>
        <w:t xml:space="preserve">or that they disagreed, </w:t>
      </w:r>
      <w:r w:rsidR="001F69C9">
        <w:rPr>
          <w:rFonts w:ascii="Palatino Linotype" w:hAnsi="Palatino Linotype"/>
        </w:rPr>
        <w:t xml:space="preserve">nor can the </w:t>
      </w:r>
      <w:r w:rsidR="00765706">
        <w:rPr>
          <w:rFonts w:ascii="Palatino Linotype" w:hAnsi="Palatino Linotype"/>
        </w:rPr>
        <w:t>evidence of</w:t>
      </w:r>
      <w:r w:rsidR="001F69C9">
        <w:rPr>
          <w:rFonts w:ascii="Palatino Linotype" w:hAnsi="Palatino Linotype"/>
        </w:rPr>
        <w:t xml:space="preserve"> the </w:t>
      </w:r>
      <w:r w:rsidR="00765706">
        <w:rPr>
          <w:rFonts w:ascii="Palatino Linotype" w:hAnsi="Palatino Linotype"/>
        </w:rPr>
        <w:t>convictions</w:t>
      </w:r>
      <w:r w:rsidR="001F69C9">
        <w:rPr>
          <w:rFonts w:ascii="Palatino Linotype" w:hAnsi="Palatino Linotype"/>
        </w:rPr>
        <w:t xml:space="preserve"> be considered in assessing the evidence as to the later events</w:t>
      </w:r>
      <w:r w:rsidR="00765706">
        <w:rPr>
          <w:rFonts w:ascii="Palatino Linotype" w:hAnsi="Palatino Linotype"/>
        </w:rPr>
        <w:t xml:space="preserve">, </w:t>
      </w:r>
      <w:r w:rsidR="00DE5299">
        <w:rPr>
          <w:rFonts w:ascii="Palatino Linotype" w:hAnsi="Palatino Linotype"/>
        </w:rPr>
        <w:t xml:space="preserve">which events were </w:t>
      </w:r>
      <w:r w:rsidR="00765706">
        <w:rPr>
          <w:rFonts w:ascii="Palatino Linotype" w:hAnsi="Palatino Linotype"/>
        </w:rPr>
        <w:t xml:space="preserve">not the subject </w:t>
      </w:r>
      <w:r w:rsidR="00DE5299">
        <w:rPr>
          <w:rFonts w:ascii="Palatino Linotype" w:hAnsi="Palatino Linotype"/>
        </w:rPr>
        <w:t xml:space="preserve">matter </w:t>
      </w:r>
      <w:r w:rsidR="00765706">
        <w:rPr>
          <w:rFonts w:ascii="Palatino Linotype" w:hAnsi="Palatino Linotype"/>
        </w:rPr>
        <w:t>of convictions</w:t>
      </w:r>
      <w:r w:rsidR="00B82E77">
        <w:rPr>
          <w:rFonts w:ascii="Palatino Linotype" w:hAnsi="Palatino Linotype"/>
        </w:rPr>
        <w:t xml:space="preserve">.  </w:t>
      </w:r>
      <w:r w:rsidR="004279BD">
        <w:rPr>
          <w:rFonts w:ascii="Palatino Linotype" w:hAnsi="Palatino Linotype"/>
        </w:rPr>
        <w:t xml:space="preserve">This Court has no access to the evidence in the earlier trial beyond the general descriptions given by the Plaintiff and the prosecuting guard.  </w:t>
      </w:r>
      <w:r w:rsidR="00765706">
        <w:rPr>
          <w:rFonts w:ascii="Palatino Linotype" w:hAnsi="Palatino Linotype"/>
        </w:rPr>
        <w:t>A</w:t>
      </w:r>
      <w:r w:rsidR="004279BD">
        <w:rPr>
          <w:rFonts w:ascii="Palatino Linotype" w:hAnsi="Palatino Linotype"/>
        </w:rPr>
        <w:t xml:space="preserve"> civil case should not require a detailed analysis of a previous criminal trial and, while it is clearly sensible</w:t>
      </w:r>
      <w:r w:rsidR="00DB1417">
        <w:rPr>
          <w:rFonts w:ascii="Palatino Linotype" w:hAnsi="Palatino Linotype"/>
        </w:rPr>
        <w:t xml:space="preserve"> and in accordance with the decision in </w:t>
      </w:r>
      <w:r w:rsidR="00DB1417" w:rsidRPr="00BF55F7">
        <w:rPr>
          <w:rFonts w:ascii="Palatino Linotype" w:hAnsi="Palatino Linotype"/>
          <w:i/>
          <w:iCs/>
        </w:rPr>
        <w:t>Nevin</w:t>
      </w:r>
      <w:r w:rsidR="00DB1417">
        <w:rPr>
          <w:rFonts w:ascii="Palatino Linotype" w:hAnsi="Palatino Linotype"/>
        </w:rPr>
        <w:t>, which binds this Court,</w:t>
      </w:r>
      <w:r w:rsidR="004279BD">
        <w:rPr>
          <w:rFonts w:ascii="Palatino Linotype" w:hAnsi="Palatino Linotype"/>
        </w:rPr>
        <w:t xml:space="preserve"> to consider the evidence of </w:t>
      </w:r>
      <w:r w:rsidR="00DB1417">
        <w:rPr>
          <w:rFonts w:ascii="Palatino Linotype" w:hAnsi="Palatino Linotype"/>
        </w:rPr>
        <w:t xml:space="preserve">relevant </w:t>
      </w:r>
      <w:r w:rsidR="004279BD">
        <w:rPr>
          <w:rFonts w:ascii="Palatino Linotype" w:hAnsi="Palatino Linotype"/>
        </w:rPr>
        <w:t xml:space="preserve">guilty verdicts, the same cannot be said of any </w:t>
      </w:r>
      <w:r w:rsidR="00365EBC">
        <w:rPr>
          <w:rFonts w:ascii="Palatino Linotype" w:hAnsi="Palatino Linotype"/>
        </w:rPr>
        <w:t>disagreement or</w:t>
      </w:r>
      <w:r w:rsidR="000C50F0">
        <w:rPr>
          <w:rFonts w:ascii="Palatino Linotype" w:hAnsi="Palatino Linotype"/>
        </w:rPr>
        <w:t xml:space="preserve"> </w:t>
      </w:r>
      <w:r w:rsidR="004279BD">
        <w:rPr>
          <w:rFonts w:ascii="Palatino Linotype" w:hAnsi="Palatino Linotype"/>
        </w:rPr>
        <w:t>verdict of not guilty (whether directed or not) as such verdict</w:t>
      </w:r>
      <w:r w:rsidR="000C50F0">
        <w:rPr>
          <w:rFonts w:ascii="Palatino Linotype" w:hAnsi="Palatino Linotype"/>
        </w:rPr>
        <w:t>s</w:t>
      </w:r>
      <w:r w:rsidR="004279BD">
        <w:rPr>
          <w:rFonts w:ascii="Palatino Linotype" w:hAnsi="Palatino Linotype"/>
        </w:rPr>
        <w:t xml:space="preserve"> span too many potential factual scenarios and states of mind and the basis for such verdicts cannot be as clearly ascertained as the basis for a conviction.</w:t>
      </w:r>
    </w:p>
    <w:p w14:paraId="616A7C94" w14:textId="4D3A17BA" w:rsidR="00DF7079" w:rsidRPr="00DF7079" w:rsidRDefault="0028098E" w:rsidP="00034B58">
      <w:pPr>
        <w:spacing w:line="480" w:lineRule="auto"/>
        <w:jc w:val="both"/>
        <w:rPr>
          <w:rFonts w:ascii="Palatino Linotype" w:hAnsi="Palatino Linotype"/>
        </w:rPr>
      </w:pPr>
      <w:r>
        <w:rPr>
          <w:rFonts w:ascii="Palatino Linotype" w:hAnsi="Palatino Linotype"/>
        </w:rPr>
        <w:t>6.</w:t>
      </w:r>
      <w:r w:rsidR="00DE5299">
        <w:rPr>
          <w:rFonts w:ascii="Palatino Linotype" w:hAnsi="Palatino Linotype"/>
        </w:rPr>
        <w:t>7</w:t>
      </w:r>
      <w:r>
        <w:rPr>
          <w:rFonts w:ascii="Palatino Linotype" w:hAnsi="Palatino Linotype"/>
        </w:rPr>
        <w:tab/>
      </w:r>
      <w:r w:rsidR="00DB1417">
        <w:rPr>
          <w:rFonts w:ascii="Palatino Linotype" w:hAnsi="Palatino Linotype"/>
        </w:rPr>
        <w:t xml:space="preserve">Finally, the convictions </w:t>
      </w:r>
      <w:r w:rsidR="00DE5299">
        <w:rPr>
          <w:rFonts w:ascii="Palatino Linotype" w:hAnsi="Palatino Linotype"/>
        </w:rPr>
        <w:t>being considered as relevant</w:t>
      </w:r>
      <w:r w:rsidR="00DB1417">
        <w:rPr>
          <w:rFonts w:ascii="Palatino Linotype" w:hAnsi="Palatino Linotype"/>
        </w:rPr>
        <w:t xml:space="preserve"> </w:t>
      </w:r>
      <w:r w:rsidR="00DE5299">
        <w:rPr>
          <w:rFonts w:ascii="Palatino Linotype" w:hAnsi="Palatino Linotype"/>
        </w:rPr>
        <w:t>are those relating to 1976</w:t>
      </w:r>
      <w:r w:rsidR="00DB1417">
        <w:rPr>
          <w:rFonts w:ascii="Palatino Linotype" w:hAnsi="Palatino Linotype"/>
        </w:rPr>
        <w:t>.  Given the identit</w:t>
      </w:r>
      <w:r w:rsidR="00D20C1E">
        <w:rPr>
          <w:rFonts w:ascii="Palatino Linotype" w:hAnsi="Palatino Linotype"/>
        </w:rPr>
        <w:t>ies</w:t>
      </w:r>
      <w:r w:rsidR="00DB1417">
        <w:rPr>
          <w:rFonts w:ascii="Palatino Linotype" w:hAnsi="Palatino Linotype"/>
        </w:rPr>
        <w:t xml:space="preserve"> of accused and victim, the description of events in the </w:t>
      </w:r>
      <w:r w:rsidR="00DE5299">
        <w:rPr>
          <w:rFonts w:ascii="Palatino Linotype" w:hAnsi="Palatino Linotype"/>
        </w:rPr>
        <w:t>indictment</w:t>
      </w:r>
      <w:r w:rsidR="00DB1417">
        <w:rPr>
          <w:rFonts w:ascii="Palatino Linotype" w:hAnsi="Palatino Linotype"/>
        </w:rPr>
        <w:t xml:space="preserve"> as indecent assaults and the confirmation from the Plaintiff that her evidence in the criminal trial and in the civil trial was very similar, the evidence of convictions in respect </w:t>
      </w:r>
      <w:r w:rsidR="00DE5299">
        <w:rPr>
          <w:rFonts w:ascii="Palatino Linotype" w:hAnsi="Palatino Linotype"/>
        </w:rPr>
        <w:t>of the specific touching</w:t>
      </w:r>
      <w:r w:rsidR="00DB1417">
        <w:rPr>
          <w:rFonts w:ascii="Palatino Linotype" w:hAnsi="Palatino Linotype"/>
        </w:rPr>
        <w:t xml:space="preserve"> </w:t>
      </w:r>
      <w:r w:rsidR="00DE5299">
        <w:rPr>
          <w:rFonts w:ascii="Palatino Linotype" w:hAnsi="Palatino Linotype"/>
        </w:rPr>
        <w:t xml:space="preserve">when the Plaintiff was 5 years old, the evidence of convictions in respect of that year lends </w:t>
      </w:r>
      <w:r w:rsidR="00DB1417">
        <w:rPr>
          <w:rFonts w:ascii="Palatino Linotype" w:hAnsi="Palatino Linotype"/>
        </w:rPr>
        <w:t xml:space="preserve">strong support to the evidence of the Plaintiff in respect of </w:t>
      </w:r>
      <w:r w:rsidR="00422358">
        <w:rPr>
          <w:rFonts w:ascii="Palatino Linotype" w:hAnsi="Palatino Linotype"/>
        </w:rPr>
        <w:t>acts of indecent touching</w:t>
      </w:r>
      <w:r w:rsidR="00765706">
        <w:rPr>
          <w:rFonts w:ascii="Palatino Linotype" w:hAnsi="Palatino Linotype"/>
        </w:rPr>
        <w:t xml:space="preserve"> of her by this Defendant</w:t>
      </w:r>
      <w:r w:rsidR="00DB1417">
        <w:rPr>
          <w:rFonts w:ascii="Palatino Linotype" w:hAnsi="Palatino Linotype"/>
        </w:rPr>
        <w:t xml:space="preserve"> </w:t>
      </w:r>
      <w:r w:rsidR="00DE5299">
        <w:rPr>
          <w:rFonts w:ascii="Palatino Linotype" w:hAnsi="Palatino Linotype"/>
        </w:rPr>
        <w:t>during 1976, but go no further than this year</w:t>
      </w:r>
      <w:r w:rsidR="00214393">
        <w:rPr>
          <w:rFonts w:ascii="Palatino Linotype" w:hAnsi="Palatino Linotype"/>
        </w:rPr>
        <w:t xml:space="preserve"> and do not lend support to the other allegations made by the Plaintiff in this case</w:t>
      </w:r>
      <w:r w:rsidR="00DB1417">
        <w:rPr>
          <w:rFonts w:ascii="Palatino Linotype" w:hAnsi="Palatino Linotype"/>
        </w:rPr>
        <w:t>.</w:t>
      </w:r>
    </w:p>
    <w:p w14:paraId="4CDD7634" w14:textId="031540FB" w:rsidR="00034B58" w:rsidRPr="00034B58" w:rsidRDefault="00034B58" w:rsidP="00034B58">
      <w:pPr>
        <w:spacing w:line="480" w:lineRule="auto"/>
        <w:jc w:val="both"/>
        <w:rPr>
          <w:rFonts w:ascii="Palatino Linotype" w:hAnsi="Palatino Linotype"/>
          <w:b/>
        </w:rPr>
      </w:pPr>
      <w:r>
        <w:rPr>
          <w:rFonts w:ascii="Palatino Linotype" w:hAnsi="Palatino Linotype"/>
          <w:b/>
        </w:rPr>
        <w:lastRenderedPageBreak/>
        <w:t>7</w:t>
      </w:r>
      <w:r w:rsidRPr="00034B58">
        <w:rPr>
          <w:rFonts w:ascii="Palatino Linotype" w:hAnsi="Palatino Linotype"/>
          <w:b/>
        </w:rPr>
        <w:t>.  The Statu</w:t>
      </w:r>
      <w:r w:rsidR="00A1627A">
        <w:rPr>
          <w:rFonts w:ascii="Palatino Linotype" w:hAnsi="Palatino Linotype"/>
          <w:b/>
        </w:rPr>
        <w:t>t</w:t>
      </w:r>
      <w:r w:rsidRPr="00034B58">
        <w:rPr>
          <w:rFonts w:ascii="Palatino Linotype" w:hAnsi="Palatino Linotype"/>
          <w:b/>
        </w:rPr>
        <w:t>e of Limitations</w:t>
      </w:r>
    </w:p>
    <w:p w14:paraId="670C740B" w14:textId="47F938AD" w:rsidR="00034B58" w:rsidRPr="00034B58" w:rsidRDefault="0000605C" w:rsidP="00034B58">
      <w:pPr>
        <w:spacing w:line="480" w:lineRule="auto"/>
        <w:jc w:val="both"/>
        <w:rPr>
          <w:rFonts w:ascii="Palatino Linotype" w:hAnsi="Palatino Linotype"/>
        </w:rPr>
      </w:pPr>
      <w:r>
        <w:rPr>
          <w:rFonts w:ascii="Palatino Linotype" w:hAnsi="Palatino Linotype"/>
        </w:rPr>
        <w:t>7</w:t>
      </w:r>
      <w:r w:rsidR="00034B58" w:rsidRPr="00034B58">
        <w:rPr>
          <w:rFonts w:ascii="Palatino Linotype" w:hAnsi="Palatino Linotype"/>
        </w:rPr>
        <w:t>.1</w:t>
      </w:r>
      <w:r w:rsidR="00034B58" w:rsidRPr="00034B58">
        <w:rPr>
          <w:rFonts w:ascii="Palatino Linotype" w:hAnsi="Palatino Linotype"/>
        </w:rPr>
        <w:tab/>
        <w:t xml:space="preserve">The effect of the Statute of Limitations on cases such as this one has been set out by Collins J. in the case of </w:t>
      </w:r>
      <w:r w:rsidR="00034B58" w:rsidRPr="00034B58">
        <w:rPr>
          <w:rFonts w:ascii="Palatino Linotype" w:hAnsi="Palatino Linotype"/>
          <w:i/>
        </w:rPr>
        <w:t>McDonald v</w:t>
      </w:r>
      <w:r>
        <w:rPr>
          <w:rFonts w:ascii="Palatino Linotype" w:hAnsi="Palatino Linotype"/>
          <w:i/>
        </w:rPr>
        <w:t>.</w:t>
      </w:r>
      <w:r w:rsidR="00034B58" w:rsidRPr="00034B58">
        <w:rPr>
          <w:rFonts w:ascii="Palatino Linotype" w:hAnsi="Palatino Linotype"/>
          <w:i/>
        </w:rPr>
        <w:t xml:space="preserve"> Conroy</w:t>
      </w:r>
      <w:r w:rsidR="00034B58" w:rsidRPr="00034B58">
        <w:rPr>
          <w:rFonts w:ascii="Palatino Linotype" w:hAnsi="Palatino Linotype"/>
        </w:rPr>
        <w:t xml:space="preserve"> [2020] IECA 239.  This Court’s function is to determine the impact of </w:t>
      </w:r>
      <w:r w:rsidR="00F8277C">
        <w:rPr>
          <w:rFonts w:ascii="Palatino Linotype" w:hAnsi="Palatino Linotype"/>
        </w:rPr>
        <w:t>any</w:t>
      </w:r>
      <w:r w:rsidR="00034B58" w:rsidRPr="00034B58">
        <w:rPr>
          <w:rFonts w:ascii="Palatino Linotype" w:hAnsi="Palatino Linotype"/>
        </w:rPr>
        <w:t xml:space="preserve"> psychological injury </w:t>
      </w:r>
      <w:r w:rsidR="00F8277C">
        <w:rPr>
          <w:rFonts w:ascii="Palatino Linotype" w:hAnsi="Palatino Linotype"/>
        </w:rPr>
        <w:t xml:space="preserve">on </w:t>
      </w:r>
      <w:r w:rsidR="00A04792">
        <w:rPr>
          <w:rFonts w:ascii="Palatino Linotype" w:hAnsi="Palatino Linotype"/>
        </w:rPr>
        <w:t>the Plaintiff</w:t>
      </w:r>
      <w:r w:rsidR="00F8277C">
        <w:rPr>
          <w:rFonts w:ascii="Palatino Linotype" w:hAnsi="Palatino Linotype"/>
        </w:rPr>
        <w:t xml:space="preserve"> insofar as it may have</w:t>
      </w:r>
      <w:r w:rsidR="00034B58" w:rsidRPr="00034B58">
        <w:rPr>
          <w:rFonts w:ascii="Palatino Linotype" w:hAnsi="Palatino Linotype"/>
        </w:rPr>
        <w:t xml:space="preserve"> impair</w:t>
      </w:r>
      <w:r w:rsidR="00F8277C">
        <w:rPr>
          <w:rFonts w:ascii="Palatino Linotype" w:hAnsi="Palatino Linotype"/>
        </w:rPr>
        <w:t>ed</w:t>
      </w:r>
      <w:r w:rsidR="00034B58" w:rsidRPr="00034B58">
        <w:rPr>
          <w:rFonts w:ascii="Palatino Linotype" w:hAnsi="Palatino Linotype"/>
        </w:rPr>
        <w:t xml:space="preserve"> her capacity to bring civil proceedings. This can only be decided having regard to the medical evidence and her own evidence in respect of </w:t>
      </w:r>
      <w:r w:rsidR="00F8277C">
        <w:rPr>
          <w:rFonts w:ascii="Palatino Linotype" w:hAnsi="Palatino Linotype"/>
        </w:rPr>
        <w:t xml:space="preserve">her </w:t>
      </w:r>
      <w:r w:rsidR="00034B58" w:rsidRPr="00034B58">
        <w:rPr>
          <w:rFonts w:ascii="Palatino Linotype" w:hAnsi="Palatino Linotype"/>
        </w:rPr>
        <w:t xml:space="preserve">capacity over the relevant </w:t>
      </w:r>
      <w:proofErr w:type="gramStart"/>
      <w:r w:rsidR="00034B58" w:rsidRPr="00034B58">
        <w:rPr>
          <w:rFonts w:ascii="Palatino Linotype" w:hAnsi="Palatino Linotype"/>
        </w:rPr>
        <w:t>period of time</w:t>
      </w:r>
      <w:proofErr w:type="gramEnd"/>
      <w:r w:rsidR="00034B58" w:rsidRPr="00034B58">
        <w:rPr>
          <w:rFonts w:ascii="Palatino Linotype" w:hAnsi="Palatino Linotype"/>
        </w:rPr>
        <w:t>.</w:t>
      </w:r>
    </w:p>
    <w:p w14:paraId="63CCAAF4" w14:textId="29A040F4" w:rsidR="00034B58" w:rsidRPr="00034B58" w:rsidRDefault="0000605C" w:rsidP="00034B58">
      <w:pPr>
        <w:spacing w:line="480" w:lineRule="auto"/>
        <w:jc w:val="both"/>
        <w:rPr>
          <w:rFonts w:ascii="Palatino Linotype" w:hAnsi="Palatino Linotype"/>
        </w:rPr>
      </w:pPr>
      <w:r>
        <w:rPr>
          <w:rFonts w:ascii="Palatino Linotype" w:hAnsi="Palatino Linotype"/>
        </w:rPr>
        <w:t>7</w:t>
      </w:r>
      <w:r w:rsidR="00034B58" w:rsidRPr="00034B58">
        <w:rPr>
          <w:rFonts w:ascii="Palatino Linotype" w:hAnsi="Palatino Linotype"/>
        </w:rPr>
        <w:t>.2</w:t>
      </w:r>
      <w:r w:rsidR="00034B58" w:rsidRPr="00034B58">
        <w:rPr>
          <w:rFonts w:ascii="Palatino Linotype" w:hAnsi="Palatino Linotype"/>
        </w:rPr>
        <w:tab/>
        <w:t xml:space="preserve">A claimant has 6 years from the date of an assault within which to bring an action against her assailant, according to section 11(2) of the Statute of Limitations, 1957.  </w:t>
      </w:r>
      <w:r w:rsidR="00F8277C">
        <w:rPr>
          <w:rFonts w:ascii="Palatino Linotype" w:hAnsi="Palatino Linotype"/>
        </w:rPr>
        <w:t xml:space="preserve">She is considered to be a person under a disability while she is still a child, </w:t>
      </w:r>
      <w:proofErr w:type="gramStart"/>
      <w:r w:rsidR="00F8277C">
        <w:rPr>
          <w:rFonts w:ascii="Palatino Linotype" w:hAnsi="Palatino Linotype"/>
        </w:rPr>
        <w:t>i.e.</w:t>
      </w:r>
      <w:proofErr w:type="gramEnd"/>
      <w:r w:rsidR="00F8277C">
        <w:rPr>
          <w:rFonts w:ascii="Palatino Linotype" w:hAnsi="Palatino Linotype"/>
        </w:rPr>
        <w:t xml:space="preserve"> until she turns 18.  </w:t>
      </w:r>
      <w:r w:rsidR="00034B58" w:rsidRPr="00034B58">
        <w:rPr>
          <w:rFonts w:ascii="Palatino Linotype" w:hAnsi="Palatino Linotype"/>
        </w:rPr>
        <w:t>A plaintiff is entitled to benefit from the provisions of s.48A of that Act, as inserted by s.2 of the Statute of Limitations (Amendment) Act, 2000, if she is a person whose ability to bring proceedings was substantially impaired by reason of the wrongdoing.</w:t>
      </w:r>
    </w:p>
    <w:p w14:paraId="1D417983" w14:textId="03E8973A" w:rsidR="00034B58" w:rsidRPr="00034B58" w:rsidRDefault="0000605C" w:rsidP="00034B58">
      <w:pPr>
        <w:spacing w:line="480" w:lineRule="auto"/>
        <w:jc w:val="both"/>
        <w:rPr>
          <w:rFonts w:ascii="Palatino Linotype" w:hAnsi="Palatino Linotype"/>
        </w:rPr>
      </w:pPr>
      <w:r>
        <w:rPr>
          <w:rFonts w:ascii="Palatino Linotype" w:hAnsi="Palatino Linotype"/>
        </w:rPr>
        <w:t>7</w:t>
      </w:r>
      <w:r w:rsidR="00034B58" w:rsidRPr="00034B58">
        <w:rPr>
          <w:rFonts w:ascii="Palatino Linotype" w:hAnsi="Palatino Linotype"/>
        </w:rPr>
        <w:t>.3</w:t>
      </w:r>
      <w:r w:rsidR="00034B58" w:rsidRPr="00034B58">
        <w:rPr>
          <w:rFonts w:ascii="Palatino Linotype" w:hAnsi="Palatino Linotype"/>
        </w:rPr>
        <w:tab/>
        <w:t>Here, the Plaintiff submitted that the sexual abuse committed on her by the Defendant substantially impaired her ability to pursue her claim until 201</w:t>
      </w:r>
      <w:r w:rsidR="00034B58">
        <w:rPr>
          <w:rFonts w:ascii="Palatino Linotype" w:hAnsi="Palatino Linotype"/>
        </w:rPr>
        <w:t>5</w:t>
      </w:r>
      <w:r w:rsidR="00034B58" w:rsidRPr="00034B58">
        <w:rPr>
          <w:rFonts w:ascii="Palatino Linotype" w:hAnsi="Palatino Linotype"/>
        </w:rPr>
        <w:t xml:space="preserve">, when the criminal proceedings concluded.  </w:t>
      </w:r>
      <w:r w:rsidR="00034B58">
        <w:rPr>
          <w:rFonts w:ascii="Palatino Linotype" w:hAnsi="Palatino Linotype"/>
        </w:rPr>
        <w:t xml:space="preserve"> If this substantial impairment cannot be established, the</w:t>
      </w:r>
      <w:r w:rsidR="00F8277C">
        <w:rPr>
          <w:rFonts w:ascii="Palatino Linotype" w:hAnsi="Palatino Linotype"/>
        </w:rPr>
        <w:t xml:space="preserve"> last date on which she could maintain this action was six years after her 18</w:t>
      </w:r>
      <w:r>
        <w:rPr>
          <w:rFonts w:ascii="Palatino Linotype" w:hAnsi="Palatino Linotype"/>
        </w:rPr>
        <w:t>th</w:t>
      </w:r>
      <w:r w:rsidR="00F8277C">
        <w:rPr>
          <w:rFonts w:ascii="Palatino Linotype" w:hAnsi="Palatino Linotype"/>
        </w:rPr>
        <w:t xml:space="preserve"> birthday.  </w:t>
      </w:r>
    </w:p>
    <w:p w14:paraId="73DF620A" w14:textId="0CFE4398" w:rsidR="00034B58" w:rsidRPr="00034B58" w:rsidRDefault="0000605C" w:rsidP="00034B58">
      <w:pPr>
        <w:spacing w:line="480" w:lineRule="auto"/>
        <w:jc w:val="both"/>
        <w:rPr>
          <w:rFonts w:ascii="Palatino Linotype" w:hAnsi="Palatino Linotype"/>
          <w:b/>
          <w:bCs/>
        </w:rPr>
      </w:pPr>
      <w:r>
        <w:rPr>
          <w:rFonts w:ascii="Palatino Linotype" w:hAnsi="Palatino Linotype"/>
          <w:b/>
          <w:bCs/>
        </w:rPr>
        <w:t>8</w:t>
      </w:r>
      <w:r w:rsidR="00034B58" w:rsidRPr="00034B58">
        <w:rPr>
          <w:rFonts w:ascii="Palatino Linotype" w:hAnsi="Palatino Linotype"/>
          <w:b/>
          <w:bCs/>
        </w:rPr>
        <w:t>.  Evidence as to Capacity</w:t>
      </w:r>
    </w:p>
    <w:p w14:paraId="5BC11676" w14:textId="1173E88D" w:rsidR="00034B58" w:rsidRPr="00034B58" w:rsidRDefault="0000605C" w:rsidP="00034B58">
      <w:pPr>
        <w:spacing w:line="480" w:lineRule="auto"/>
        <w:jc w:val="both"/>
        <w:rPr>
          <w:rFonts w:ascii="Palatino Linotype" w:hAnsi="Palatino Linotype"/>
          <w:bCs/>
        </w:rPr>
      </w:pPr>
      <w:r>
        <w:rPr>
          <w:rFonts w:ascii="Palatino Linotype" w:hAnsi="Palatino Linotype"/>
          <w:bCs/>
        </w:rPr>
        <w:t>8</w:t>
      </w:r>
      <w:r w:rsidR="00034B58" w:rsidRPr="00034B58">
        <w:rPr>
          <w:rFonts w:ascii="Palatino Linotype" w:hAnsi="Palatino Linotype"/>
          <w:bCs/>
        </w:rPr>
        <w:t>.1</w:t>
      </w:r>
      <w:r w:rsidR="00034B58" w:rsidRPr="00034B58">
        <w:rPr>
          <w:rFonts w:ascii="Palatino Linotype" w:hAnsi="Palatino Linotype"/>
          <w:bCs/>
        </w:rPr>
        <w:tab/>
        <w:t xml:space="preserve">The relevant events are alleged to have taken place when the Plaintiff was between the ages of 5 and 15, ranging approximately from 1976 to 1987.  </w:t>
      </w:r>
    </w:p>
    <w:p w14:paraId="19879E63" w14:textId="26AD23E5" w:rsidR="00034B58" w:rsidRPr="00034B58" w:rsidRDefault="0000605C" w:rsidP="00034B58">
      <w:pPr>
        <w:spacing w:line="480" w:lineRule="auto"/>
        <w:jc w:val="both"/>
        <w:rPr>
          <w:rFonts w:ascii="Palatino Linotype" w:hAnsi="Palatino Linotype"/>
          <w:bCs/>
        </w:rPr>
      </w:pPr>
      <w:r>
        <w:rPr>
          <w:rFonts w:ascii="Palatino Linotype" w:hAnsi="Palatino Linotype"/>
          <w:bCs/>
        </w:rPr>
        <w:t>8</w:t>
      </w:r>
      <w:r w:rsidR="00034B58" w:rsidRPr="00034B58">
        <w:rPr>
          <w:rFonts w:ascii="Palatino Linotype" w:hAnsi="Palatino Linotype"/>
          <w:bCs/>
        </w:rPr>
        <w:t>.2</w:t>
      </w:r>
      <w:r w:rsidR="00034B58" w:rsidRPr="00034B58">
        <w:rPr>
          <w:rFonts w:ascii="Palatino Linotype" w:hAnsi="Palatino Linotype"/>
          <w:bCs/>
        </w:rPr>
        <w:tab/>
        <w:t xml:space="preserve">In May of 1994, when the Plaintiff was in her 20’s, she attended her doctor, Dr. McGoldrick, with symptoms of depression. Over the course of the succeeding years, the </w:t>
      </w:r>
      <w:r w:rsidR="00034B58" w:rsidRPr="00034B58">
        <w:rPr>
          <w:rFonts w:ascii="Palatino Linotype" w:hAnsi="Palatino Linotype"/>
          <w:bCs/>
        </w:rPr>
        <w:lastRenderedPageBreak/>
        <w:t xml:space="preserve">Plaintiff presented to Dr. McGoldrick on numerous occasions with abdominal pain and bowel issues. </w:t>
      </w:r>
      <w:r w:rsidR="00F8277C">
        <w:rPr>
          <w:rFonts w:ascii="Palatino Linotype" w:hAnsi="Palatino Linotype"/>
          <w:bCs/>
        </w:rPr>
        <w:t xml:space="preserve"> It was not until </w:t>
      </w:r>
      <w:r w:rsidR="00034B58" w:rsidRPr="00034B58">
        <w:rPr>
          <w:rFonts w:ascii="Palatino Linotype" w:hAnsi="Palatino Linotype"/>
          <w:bCs/>
        </w:rPr>
        <w:t xml:space="preserve">March 1999, during a detailed consultation with Dr. McGoldrick, </w:t>
      </w:r>
      <w:r w:rsidR="00F8277C">
        <w:rPr>
          <w:rFonts w:ascii="Palatino Linotype" w:hAnsi="Palatino Linotype"/>
          <w:bCs/>
        </w:rPr>
        <w:t xml:space="preserve">when </w:t>
      </w:r>
      <w:r w:rsidR="00034B58" w:rsidRPr="00034B58">
        <w:rPr>
          <w:rFonts w:ascii="Palatino Linotype" w:hAnsi="Palatino Linotype"/>
          <w:bCs/>
        </w:rPr>
        <w:t xml:space="preserve">the Plaintiff finally confided in </w:t>
      </w:r>
      <w:r w:rsidR="00F8277C">
        <w:rPr>
          <w:rFonts w:ascii="Palatino Linotype" w:hAnsi="Palatino Linotype"/>
          <w:bCs/>
        </w:rPr>
        <w:t>him</w:t>
      </w:r>
      <w:r w:rsidR="00034B58" w:rsidRPr="00034B58">
        <w:rPr>
          <w:rFonts w:ascii="Palatino Linotype" w:hAnsi="Palatino Linotype"/>
          <w:bCs/>
        </w:rPr>
        <w:t xml:space="preserve"> that she had been sexually abused as a child, by her uncle. Dr. McGoldrick advised the Plaintiff to attend the Rape Crisis </w:t>
      </w:r>
      <w:proofErr w:type="gramStart"/>
      <w:r w:rsidR="00034B58" w:rsidRPr="00034B58">
        <w:rPr>
          <w:rFonts w:ascii="Palatino Linotype" w:hAnsi="Palatino Linotype"/>
          <w:bCs/>
        </w:rPr>
        <w:t>Centre</w:t>
      </w:r>
      <w:proofErr w:type="gramEnd"/>
      <w:r w:rsidR="00034B58" w:rsidRPr="00034B58">
        <w:rPr>
          <w:rFonts w:ascii="Palatino Linotype" w:hAnsi="Palatino Linotype"/>
          <w:bCs/>
        </w:rPr>
        <w:t xml:space="preserve"> but the Plaintiff was not, psychologically, in the right frame of mind at that stage to do so. </w:t>
      </w:r>
    </w:p>
    <w:p w14:paraId="02D3F690" w14:textId="5B46C448" w:rsidR="00034B58" w:rsidRPr="00034B58" w:rsidRDefault="00C87A10" w:rsidP="00034B58">
      <w:pPr>
        <w:spacing w:line="480" w:lineRule="auto"/>
        <w:jc w:val="both"/>
        <w:rPr>
          <w:rFonts w:ascii="Palatino Linotype" w:hAnsi="Palatino Linotype"/>
          <w:bCs/>
        </w:rPr>
      </w:pPr>
      <w:r>
        <w:rPr>
          <w:rFonts w:ascii="Palatino Linotype" w:hAnsi="Palatino Linotype"/>
          <w:bCs/>
        </w:rPr>
        <w:t>8</w:t>
      </w:r>
      <w:r w:rsidR="00034B58" w:rsidRPr="00034B58">
        <w:rPr>
          <w:rFonts w:ascii="Palatino Linotype" w:hAnsi="Palatino Linotype"/>
          <w:bCs/>
        </w:rPr>
        <w:t>.3</w:t>
      </w:r>
      <w:r w:rsidR="00034B58" w:rsidRPr="00034B58">
        <w:rPr>
          <w:rFonts w:ascii="Palatino Linotype" w:hAnsi="Palatino Linotype"/>
          <w:bCs/>
        </w:rPr>
        <w:tab/>
        <w:t>In September 2006, the Plaintiff returned to Dr. McGoldrick feeling very down. She had been seen by a colleague of Dr. McGoldrick’s some months before with depression and prescribed medication to alleviate her symptoms. Again, she discussed her experience of sexual abuse with her medical advisor. In evidence, Dr. McGoldrick stated that at this stage, the Plaintiff was ‘</w:t>
      </w:r>
      <w:r w:rsidR="00034B58" w:rsidRPr="00034B58">
        <w:rPr>
          <w:rFonts w:ascii="Palatino Linotype" w:hAnsi="Palatino Linotype"/>
          <w:bCs/>
          <w:i/>
          <w:iCs/>
        </w:rPr>
        <w:t>still not in a frame of mind to go to the Gardaí</w:t>
      </w:r>
      <w:r w:rsidR="00034B58" w:rsidRPr="00034B58">
        <w:rPr>
          <w:rFonts w:ascii="Palatino Linotype" w:hAnsi="Palatino Linotype"/>
          <w:bCs/>
        </w:rPr>
        <w:t>’.  This is significant:  even by 2006, now in her 30’s, the Plaintiff was unable to speak to strangers about these events.</w:t>
      </w:r>
    </w:p>
    <w:p w14:paraId="18A6A770" w14:textId="44E4F1EC" w:rsidR="00034B58" w:rsidRPr="00034B58" w:rsidRDefault="00C87A10" w:rsidP="00034B58">
      <w:pPr>
        <w:spacing w:line="480" w:lineRule="auto"/>
        <w:jc w:val="both"/>
        <w:rPr>
          <w:rFonts w:ascii="Palatino Linotype" w:hAnsi="Palatino Linotype"/>
          <w:bCs/>
        </w:rPr>
      </w:pPr>
      <w:r>
        <w:rPr>
          <w:rFonts w:ascii="Palatino Linotype" w:hAnsi="Palatino Linotype"/>
          <w:bCs/>
        </w:rPr>
        <w:t>8</w:t>
      </w:r>
      <w:r w:rsidR="00034B58" w:rsidRPr="00034B58">
        <w:rPr>
          <w:rFonts w:ascii="Palatino Linotype" w:hAnsi="Palatino Linotype"/>
          <w:bCs/>
        </w:rPr>
        <w:t>.4</w:t>
      </w:r>
      <w:r w:rsidR="00034B58" w:rsidRPr="00034B58">
        <w:rPr>
          <w:rFonts w:ascii="Palatino Linotype" w:hAnsi="Palatino Linotype"/>
          <w:bCs/>
        </w:rPr>
        <w:tab/>
        <w:t>In January of 2011, the Plaintiff reported the incidents to the Gardaí who opened an investigation. Dr. McGoldrick gave evidence that the Plaintiff was prescribed an increased dose of anti-depressants in 2011 as she was feeling very depressed.  The criminal proceedings took place in December 2014, with a sentence handed down in March 2015. Dr. McGoldrick confirmed that the Plaintiff was severely exhausted in May 2014 and early 2015 and was referred to two different consultants as a result. The Court heard that the Plaintiff attempted to poison herself in July 2015, after the criminal process concluded. She stated ‘</w:t>
      </w:r>
      <w:r w:rsidR="00034B58" w:rsidRPr="00034B58">
        <w:rPr>
          <w:rFonts w:ascii="Palatino Linotype" w:hAnsi="Palatino Linotype"/>
          <w:bCs/>
          <w:i/>
        </w:rPr>
        <w:t>I had enough … I didn’t want to die, but I didn’t want to live</w:t>
      </w:r>
      <w:r w:rsidR="00034B58" w:rsidRPr="00034B58">
        <w:rPr>
          <w:rFonts w:ascii="Palatino Linotype" w:hAnsi="Palatino Linotype"/>
          <w:bCs/>
        </w:rPr>
        <w:t xml:space="preserve">’.  Dr. McGoldrick’s view was that the Plaintiff was substantially impaired in her ability to initiate civil proceedings up until that time. </w:t>
      </w:r>
    </w:p>
    <w:p w14:paraId="4C724536" w14:textId="1E21B690" w:rsidR="00034B58" w:rsidRPr="00034B58" w:rsidRDefault="00C87A10" w:rsidP="00034B58">
      <w:pPr>
        <w:spacing w:line="480" w:lineRule="auto"/>
        <w:jc w:val="both"/>
        <w:rPr>
          <w:rFonts w:ascii="Palatino Linotype" w:hAnsi="Palatino Linotype"/>
          <w:bCs/>
        </w:rPr>
      </w:pPr>
      <w:r>
        <w:rPr>
          <w:rFonts w:ascii="Palatino Linotype" w:hAnsi="Palatino Linotype"/>
          <w:bCs/>
        </w:rPr>
        <w:t>8</w:t>
      </w:r>
      <w:r w:rsidR="00034B58" w:rsidRPr="00034B58">
        <w:rPr>
          <w:rFonts w:ascii="Palatino Linotype" w:hAnsi="Palatino Linotype"/>
          <w:bCs/>
        </w:rPr>
        <w:t>.5</w:t>
      </w:r>
      <w:r w:rsidR="00034B58" w:rsidRPr="00034B58">
        <w:rPr>
          <w:rFonts w:ascii="Palatino Linotype" w:hAnsi="Palatino Linotype"/>
          <w:bCs/>
        </w:rPr>
        <w:tab/>
        <w:t>In preparation for the civil trial, the Plaintiff met with a psychiatrist, Dr. McQuaid, for the purpose of preparing a report. The report is dated 30</w:t>
      </w:r>
      <w:r w:rsidRPr="00C87A10">
        <w:rPr>
          <w:rFonts w:ascii="Palatino Linotype" w:hAnsi="Palatino Linotype"/>
          <w:bCs/>
          <w:vertAlign w:val="superscript"/>
        </w:rPr>
        <w:t>th</w:t>
      </w:r>
      <w:r>
        <w:rPr>
          <w:rFonts w:ascii="Palatino Linotype" w:hAnsi="Palatino Linotype"/>
          <w:bCs/>
        </w:rPr>
        <w:t xml:space="preserve"> of</w:t>
      </w:r>
      <w:r w:rsidR="00034B58" w:rsidRPr="00034B58">
        <w:rPr>
          <w:rFonts w:ascii="Palatino Linotype" w:hAnsi="Palatino Linotype"/>
          <w:bCs/>
        </w:rPr>
        <w:t xml:space="preserve"> </w:t>
      </w:r>
      <w:proofErr w:type="gramStart"/>
      <w:r w:rsidR="00034B58" w:rsidRPr="00034B58">
        <w:rPr>
          <w:rFonts w:ascii="Palatino Linotype" w:hAnsi="Palatino Linotype"/>
          <w:bCs/>
        </w:rPr>
        <w:t>May</w:t>
      </w:r>
      <w:r>
        <w:rPr>
          <w:rFonts w:ascii="Palatino Linotype" w:hAnsi="Palatino Linotype"/>
          <w:bCs/>
        </w:rPr>
        <w:t>,</w:t>
      </w:r>
      <w:proofErr w:type="gramEnd"/>
      <w:r w:rsidR="00034B58" w:rsidRPr="00034B58">
        <w:rPr>
          <w:rFonts w:ascii="Palatino Linotype" w:hAnsi="Palatino Linotype"/>
          <w:bCs/>
        </w:rPr>
        <w:t xml:space="preserve"> 2017. Dr. McQuaid interviewed the Plaintiff on two separate occasions, once in the presence of her husband. Dr. </w:t>
      </w:r>
      <w:r w:rsidR="00034B58" w:rsidRPr="00034B58">
        <w:rPr>
          <w:rFonts w:ascii="Palatino Linotype" w:hAnsi="Palatino Linotype"/>
          <w:bCs/>
        </w:rPr>
        <w:lastRenderedPageBreak/>
        <w:t xml:space="preserve">McQuaid diagnosed the Plaintiff as suffering from chronic adjustment disorder and psychosomatic gastrointestinal disorder, as part of a long-standing Post Abuse Syndrome. Furthermore, he concluded that her personality development was derailed and damaged to a significant degree. When questioned on whether, in his opinion, Ms. Donoghue was substantially impaired to bring proceedings, he stated that at the time of the alleged abuse, in his opinion, Ms. Donoghue was substantially impaired to initiate proceedings, however he stated </w:t>
      </w:r>
      <w:r w:rsidR="00034B58" w:rsidRPr="00034B58">
        <w:rPr>
          <w:rFonts w:ascii="Palatino Linotype" w:hAnsi="Palatino Linotype"/>
          <w:bCs/>
          <w:i/>
          <w:iCs/>
        </w:rPr>
        <w:t>‘in the intervening years she has been mentally able to manage her own circumstances and take legal proceedings’</w:t>
      </w:r>
      <w:r w:rsidR="00034B58" w:rsidRPr="00034B58">
        <w:rPr>
          <w:rFonts w:ascii="Palatino Linotype" w:hAnsi="Palatino Linotype"/>
          <w:bCs/>
        </w:rPr>
        <w:t>. When he met with her in 2017 ‘</w:t>
      </w:r>
      <w:r w:rsidR="00034B58" w:rsidRPr="00034B58">
        <w:rPr>
          <w:rFonts w:ascii="Palatino Linotype" w:hAnsi="Palatino Linotype"/>
          <w:bCs/>
          <w:i/>
          <w:iCs/>
        </w:rPr>
        <w:t>her personality was not derailed, she was not out of touch with reality, she could describe events in a rational way. She was not irrational, despite suffering from an ongoing emotional disorder</w:t>
      </w:r>
      <w:r w:rsidR="00034B58" w:rsidRPr="00034B58">
        <w:rPr>
          <w:rFonts w:ascii="Palatino Linotype" w:hAnsi="Palatino Linotype"/>
          <w:bCs/>
        </w:rPr>
        <w:t xml:space="preserve">’. </w:t>
      </w:r>
    </w:p>
    <w:p w14:paraId="56D60B12" w14:textId="14C7A2F6" w:rsidR="00034B58" w:rsidRPr="00034B58" w:rsidRDefault="00C87A10" w:rsidP="00034B58">
      <w:pPr>
        <w:spacing w:line="480" w:lineRule="auto"/>
        <w:jc w:val="both"/>
        <w:rPr>
          <w:rFonts w:ascii="Palatino Linotype" w:hAnsi="Palatino Linotype"/>
          <w:bCs/>
        </w:rPr>
      </w:pPr>
      <w:r>
        <w:rPr>
          <w:rFonts w:ascii="Palatino Linotype" w:hAnsi="Palatino Linotype"/>
          <w:bCs/>
        </w:rPr>
        <w:t>8</w:t>
      </w:r>
      <w:r w:rsidR="00034B58" w:rsidRPr="00034B58">
        <w:rPr>
          <w:rFonts w:ascii="Palatino Linotype" w:hAnsi="Palatino Linotype"/>
          <w:bCs/>
        </w:rPr>
        <w:t>.6</w:t>
      </w:r>
      <w:r w:rsidR="00034B58" w:rsidRPr="00034B58">
        <w:rPr>
          <w:rFonts w:ascii="Palatino Linotype" w:hAnsi="Palatino Linotype"/>
          <w:bCs/>
        </w:rPr>
        <w:tab/>
        <w:t xml:space="preserve">Dr. McQuaid assessed the Plaintiff over two distinct interviews in 2017 and extracted from those meetings that the Plaintiff was </w:t>
      </w:r>
      <w:proofErr w:type="gramStart"/>
      <w:r w:rsidR="00034B58" w:rsidRPr="00034B58">
        <w:rPr>
          <w:rFonts w:ascii="Palatino Linotype" w:hAnsi="Palatino Linotype"/>
          <w:bCs/>
        </w:rPr>
        <w:t>in a position</w:t>
      </w:r>
      <w:proofErr w:type="gramEnd"/>
      <w:r w:rsidR="00034B58" w:rsidRPr="00034B58">
        <w:rPr>
          <w:rFonts w:ascii="Palatino Linotype" w:hAnsi="Palatino Linotype"/>
          <w:bCs/>
        </w:rPr>
        <w:t xml:space="preserve"> to bring legal proceedings, however at this time in 2017 she had already commenced proceedings and had attended counselling for some years. Dr. McGoldrick was the witness who gave evidence as to the Plaintiff’s capacity over a longer </w:t>
      </w:r>
      <w:proofErr w:type="gramStart"/>
      <w:r w:rsidR="00034B58" w:rsidRPr="00034B58">
        <w:rPr>
          <w:rFonts w:ascii="Palatino Linotype" w:hAnsi="Palatino Linotype"/>
          <w:bCs/>
        </w:rPr>
        <w:t>period of time</w:t>
      </w:r>
      <w:proofErr w:type="gramEnd"/>
      <w:r w:rsidR="00034B58" w:rsidRPr="00034B58">
        <w:rPr>
          <w:rFonts w:ascii="Palatino Linotype" w:hAnsi="Palatino Linotype"/>
          <w:bCs/>
        </w:rPr>
        <w:t xml:space="preserve"> and, significantly, as to how she coped in the intervening years. It was very clear from his evidence that he did not consider that the Plaintiff had capacity to bring these proceedings until </w:t>
      </w:r>
      <w:r w:rsidR="00084770">
        <w:rPr>
          <w:rFonts w:ascii="Palatino Linotype" w:hAnsi="Palatino Linotype"/>
          <w:bCs/>
        </w:rPr>
        <w:t>2015 when the</w:t>
      </w:r>
      <w:r w:rsidR="001A5279">
        <w:rPr>
          <w:rFonts w:ascii="Palatino Linotype" w:hAnsi="Palatino Linotype"/>
          <w:bCs/>
        </w:rPr>
        <w:t xml:space="preserve"> criminal</w:t>
      </w:r>
      <w:r w:rsidR="00084770">
        <w:rPr>
          <w:rFonts w:ascii="Palatino Linotype" w:hAnsi="Palatino Linotype"/>
          <w:bCs/>
        </w:rPr>
        <w:t xml:space="preserve"> trial process concluded</w:t>
      </w:r>
      <w:r w:rsidR="00034B58" w:rsidRPr="00034B58">
        <w:rPr>
          <w:rFonts w:ascii="Palatino Linotype" w:hAnsi="Palatino Linotype"/>
          <w:bCs/>
        </w:rPr>
        <w:t>.</w:t>
      </w:r>
    </w:p>
    <w:p w14:paraId="6C73A54D" w14:textId="67B611BC" w:rsidR="00034B58" w:rsidRPr="00034B58" w:rsidRDefault="00C87A10" w:rsidP="00034B58">
      <w:pPr>
        <w:spacing w:line="480" w:lineRule="auto"/>
        <w:jc w:val="both"/>
        <w:rPr>
          <w:rFonts w:ascii="Palatino Linotype" w:hAnsi="Palatino Linotype"/>
          <w:bCs/>
        </w:rPr>
      </w:pPr>
      <w:r>
        <w:rPr>
          <w:rFonts w:ascii="Palatino Linotype" w:hAnsi="Palatino Linotype"/>
          <w:bCs/>
        </w:rPr>
        <w:t>8</w:t>
      </w:r>
      <w:r w:rsidR="00034B58" w:rsidRPr="00034B58">
        <w:rPr>
          <w:rFonts w:ascii="Palatino Linotype" w:hAnsi="Palatino Linotype"/>
          <w:bCs/>
        </w:rPr>
        <w:t>.7</w:t>
      </w:r>
      <w:r w:rsidR="00034B58" w:rsidRPr="00034B58">
        <w:rPr>
          <w:rFonts w:ascii="Palatino Linotype" w:hAnsi="Palatino Linotype"/>
          <w:bCs/>
        </w:rPr>
        <w:tab/>
        <w:t xml:space="preserve">The Defendant was afforded the opportunity to cross-examine both medical experts. On both occasions he informed the Court that he did not have any medical knowledge and was not </w:t>
      </w:r>
      <w:proofErr w:type="gramStart"/>
      <w:r w:rsidR="00034B58" w:rsidRPr="00034B58">
        <w:rPr>
          <w:rFonts w:ascii="Palatino Linotype" w:hAnsi="Palatino Linotype"/>
          <w:bCs/>
        </w:rPr>
        <w:t>in a position</w:t>
      </w:r>
      <w:proofErr w:type="gramEnd"/>
      <w:r w:rsidR="00034B58" w:rsidRPr="00034B58">
        <w:rPr>
          <w:rFonts w:ascii="Palatino Linotype" w:hAnsi="Palatino Linotype"/>
          <w:bCs/>
        </w:rPr>
        <w:t xml:space="preserve"> to put any questions to the experts.  The history of his attempts to obtain representation are set out elsewhere in the judgment.  The Court was advised that the defence had not asked the Plaintiff to attend with any medical expert </w:t>
      </w:r>
      <w:proofErr w:type="gramStart"/>
      <w:r w:rsidR="00034B58" w:rsidRPr="00034B58">
        <w:rPr>
          <w:rFonts w:ascii="Palatino Linotype" w:hAnsi="Palatino Linotype"/>
          <w:bCs/>
        </w:rPr>
        <w:t>in order to</w:t>
      </w:r>
      <w:proofErr w:type="gramEnd"/>
      <w:r w:rsidR="00034B58" w:rsidRPr="00034B58">
        <w:rPr>
          <w:rFonts w:ascii="Palatino Linotype" w:hAnsi="Palatino Linotype"/>
          <w:bCs/>
        </w:rPr>
        <w:t xml:space="preserve"> prepare a report when the Defendant had been represented by solicitor and counsel.</w:t>
      </w:r>
    </w:p>
    <w:p w14:paraId="2B996D2A" w14:textId="4ED3548E" w:rsidR="00034B58" w:rsidRPr="00034B58" w:rsidRDefault="00C87A10" w:rsidP="00034B58">
      <w:pPr>
        <w:spacing w:line="480" w:lineRule="auto"/>
        <w:jc w:val="both"/>
        <w:rPr>
          <w:rFonts w:ascii="Palatino Linotype" w:hAnsi="Palatino Linotype"/>
          <w:bCs/>
        </w:rPr>
      </w:pPr>
      <w:r>
        <w:rPr>
          <w:rFonts w:ascii="Palatino Linotype" w:hAnsi="Palatino Linotype"/>
          <w:bCs/>
        </w:rPr>
        <w:lastRenderedPageBreak/>
        <w:t>8</w:t>
      </w:r>
      <w:r w:rsidR="00034B58" w:rsidRPr="00034B58">
        <w:rPr>
          <w:rFonts w:ascii="Palatino Linotype" w:hAnsi="Palatino Linotype"/>
          <w:bCs/>
        </w:rPr>
        <w:t>.8</w:t>
      </w:r>
      <w:r w:rsidR="00034B58" w:rsidRPr="00034B58">
        <w:rPr>
          <w:rFonts w:ascii="Palatino Linotype" w:hAnsi="Palatino Linotype"/>
          <w:bCs/>
        </w:rPr>
        <w:tab/>
        <w:t xml:space="preserve">The Plaintiff herself did not consider that she was able to initiate proceedings until after the criminal process was complete.  She found that process very difficult.  As Mr. Justice Ryan made clear in </w:t>
      </w:r>
      <w:r w:rsidR="00034B58" w:rsidRPr="00034B58">
        <w:rPr>
          <w:rFonts w:ascii="Palatino Linotype" w:hAnsi="Palatino Linotype"/>
          <w:bCs/>
          <w:i/>
        </w:rPr>
        <w:t>Doherty v</w:t>
      </w:r>
      <w:r>
        <w:rPr>
          <w:rFonts w:ascii="Palatino Linotype" w:hAnsi="Palatino Linotype"/>
          <w:bCs/>
          <w:i/>
        </w:rPr>
        <w:t>.</w:t>
      </w:r>
      <w:r w:rsidR="00034B58" w:rsidRPr="00034B58">
        <w:rPr>
          <w:rFonts w:ascii="Palatino Linotype" w:hAnsi="Palatino Linotype"/>
          <w:bCs/>
          <w:i/>
        </w:rPr>
        <w:t xml:space="preserve"> Quigley</w:t>
      </w:r>
      <w:r w:rsidR="00034B58" w:rsidRPr="00034B58">
        <w:rPr>
          <w:rFonts w:ascii="Palatino Linotype" w:hAnsi="Palatino Linotype"/>
          <w:bCs/>
        </w:rPr>
        <w:t xml:space="preserve"> [2011] IEHC 361, one cannot simply conclude that, as the Plaintiff was able to make a criminal complaint, she ought to have been able to start civil proceedings. To paraphrase his conclusion, criminal proceedings are different in many respects; such is the nature of criminal investigations and prosecutions that events take on a life of their own.  The complainant is not required to take the lead in pursuing the Defendant.  It is not necessary for the Plaintiff to show that she was completely incapacitated.  The Statute requires evidence of substantial impairment relating to her capacity to instigate and maintain legal proceedings against her assailant.</w:t>
      </w:r>
    </w:p>
    <w:p w14:paraId="37FDB734" w14:textId="1C5F9DB6" w:rsidR="00034B58" w:rsidRPr="00034B58" w:rsidRDefault="00C87A10" w:rsidP="00034B58">
      <w:pPr>
        <w:spacing w:line="480" w:lineRule="auto"/>
        <w:jc w:val="both"/>
        <w:rPr>
          <w:rFonts w:ascii="Palatino Linotype" w:hAnsi="Palatino Linotype"/>
          <w:bCs/>
        </w:rPr>
      </w:pPr>
      <w:r>
        <w:rPr>
          <w:rFonts w:ascii="Palatino Linotype" w:hAnsi="Palatino Linotype"/>
          <w:bCs/>
        </w:rPr>
        <w:t>8</w:t>
      </w:r>
      <w:r w:rsidR="00034B58" w:rsidRPr="00034B58">
        <w:rPr>
          <w:rFonts w:ascii="Palatino Linotype" w:hAnsi="Palatino Linotype"/>
          <w:bCs/>
        </w:rPr>
        <w:t>.</w:t>
      </w:r>
      <w:r>
        <w:rPr>
          <w:rFonts w:ascii="Palatino Linotype" w:hAnsi="Palatino Linotype"/>
          <w:bCs/>
        </w:rPr>
        <w:t>9</w:t>
      </w:r>
      <w:r w:rsidR="00034B58" w:rsidRPr="00034B58">
        <w:rPr>
          <w:rFonts w:ascii="Palatino Linotype" w:hAnsi="Palatino Linotype"/>
          <w:bCs/>
        </w:rPr>
        <w:tab/>
        <w:t xml:space="preserve">The evidence of Dr. McGoldrick was compelling as to the debilitating depression and adjustment disorder which prevented the Plaintiff from acting sooner in this case.  While in a position to disclose the abuse to trusted people at first, the response of her family members served to ensure that she was unable to take formal steps to initiate proceedings until she had obtained counselling, medical assistance in the form of anti-depressants and until sufficient time had passed </w:t>
      </w:r>
      <w:proofErr w:type="gramStart"/>
      <w:r w:rsidR="00034B58" w:rsidRPr="00034B58">
        <w:rPr>
          <w:rFonts w:ascii="Palatino Linotype" w:hAnsi="Palatino Linotype"/>
          <w:bCs/>
        </w:rPr>
        <w:t>in order for</w:t>
      </w:r>
      <w:proofErr w:type="gramEnd"/>
      <w:r w:rsidR="00034B58" w:rsidRPr="00034B58">
        <w:rPr>
          <w:rFonts w:ascii="Palatino Linotype" w:hAnsi="Palatino Linotype"/>
          <w:bCs/>
        </w:rPr>
        <w:t xml:space="preserve"> her to manage her response to disclosing these events.  It is significant that, having made a report to the guards who, thereafter, prosecuted her claim, those proceedings had the serious effect on her already outlined.  While the Plaintiff continued to successfully negotiate other milestones in her life, it is notable that when it came to managing the disclosure of these assaults, the Plaintiff suffered serious setbacks in her mental health at every stage of disclosure, all of which was well documented by a diligent and attentive General Practitioner, Dr. McGoldrick.  </w:t>
      </w:r>
    </w:p>
    <w:p w14:paraId="0BAA142A" w14:textId="1B320598" w:rsidR="000E161C" w:rsidRPr="00034B58" w:rsidRDefault="00C87A10" w:rsidP="00034B58">
      <w:pPr>
        <w:spacing w:line="480" w:lineRule="auto"/>
        <w:jc w:val="both"/>
        <w:rPr>
          <w:rFonts w:ascii="Palatino Linotype" w:hAnsi="Palatino Linotype"/>
          <w:bCs/>
        </w:rPr>
      </w:pPr>
      <w:r>
        <w:rPr>
          <w:rFonts w:ascii="Palatino Linotype" w:hAnsi="Palatino Linotype"/>
          <w:bCs/>
        </w:rPr>
        <w:lastRenderedPageBreak/>
        <w:t>8</w:t>
      </w:r>
      <w:r w:rsidR="00034B58" w:rsidRPr="00034B58">
        <w:rPr>
          <w:rFonts w:ascii="Palatino Linotype" w:hAnsi="Palatino Linotype"/>
          <w:bCs/>
        </w:rPr>
        <w:t>.</w:t>
      </w:r>
      <w:r>
        <w:rPr>
          <w:rFonts w:ascii="Palatino Linotype" w:hAnsi="Palatino Linotype"/>
          <w:bCs/>
        </w:rPr>
        <w:t>10</w:t>
      </w:r>
      <w:r w:rsidR="00034B58" w:rsidRPr="00034B58">
        <w:rPr>
          <w:rFonts w:ascii="Palatino Linotype" w:hAnsi="Palatino Linotype"/>
          <w:bCs/>
        </w:rPr>
        <w:tab/>
        <w:t>This Court finds that the Plaintiff’s capacity to initiate proceedings was substantially impaired until after the criminal process concluded</w:t>
      </w:r>
      <w:r w:rsidR="000E161C">
        <w:rPr>
          <w:rFonts w:ascii="Palatino Linotype" w:hAnsi="Palatino Linotype"/>
          <w:bCs/>
        </w:rPr>
        <w:t>, in 2015,</w:t>
      </w:r>
      <w:r w:rsidR="00034B58" w:rsidRPr="00034B58">
        <w:rPr>
          <w:rFonts w:ascii="Palatino Linotype" w:hAnsi="Palatino Linotype"/>
          <w:bCs/>
        </w:rPr>
        <w:t xml:space="preserve"> such that she could not initiate</w:t>
      </w:r>
      <w:r w:rsidR="000E161C">
        <w:rPr>
          <w:rFonts w:ascii="Palatino Linotype" w:hAnsi="Palatino Linotype"/>
          <w:bCs/>
        </w:rPr>
        <w:t xml:space="preserve"> and maintain</w:t>
      </w:r>
      <w:r w:rsidR="00034B58" w:rsidRPr="00034B58">
        <w:rPr>
          <w:rFonts w:ascii="Palatino Linotype" w:hAnsi="Palatino Linotype"/>
          <w:bCs/>
        </w:rPr>
        <w:t xml:space="preserve"> civil proceedings in this regard.  Given that these proceedings issued in 2016, </w:t>
      </w:r>
      <w:r w:rsidR="000E161C">
        <w:rPr>
          <w:rFonts w:ascii="Palatino Linotype" w:hAnsi="Palatino Linotype"/>
          <w:bCs/>
        </w:rPr>
        <w:t>the action</w:t>
      </w:r>
      <w:r w:rsidR="00034B58" w:rsidRPr="00034B58">
        <w:rPr>
          <w:rFonts w:ascii="Palatino Linotype" w:hAnsi="Palatino Linotype"/>
          <w:bCs/>
        </w:rPr>
        <w:t xml:space="preserve"> </w:t>
      </w:r>
      <w:r w:rsidR="000E161C">
        <w:rPr>
          <w:rFonts w:ascii="Palatino Linotype" w:hAnsi="Palatino Linotype"/>
          <w:bCs/>
        </w:rPr>
        <w:t>was brought</w:t>
      </w:r>
      <w:r w:rsidR="00034B58" w:rsidRPr="00034B58">
        <w:rPr>
          <w:rFonts w:ascii="Palatino Linotype" w:hAnsi="Palatino Linotype"/>
          <w:bCs/>
        </w:rPr>
        <w:t xml:space="preserve"> well within the 6 years permitted by the Statute.</w:t>
      </w:r>
    </w:p>
    <w:p w14:paraId="51C03590" w14:textId="690D4DB7" w:rsidR="00034B58" w:rsidRPr="00034B58" w:rsidRDefault="00C87A10" w:rsidP="00034B58">
      <w:pPr>
        <w:spacing w:line="480" w:lineRule="auto"/>
        <w:jc w:val="both"/>
        <w:rPr>
          <w:rFonts w:ascii="Palatino Linotype" w:hAnsi="Palatino Linotype"/>
          <w:b/>
          <w:bCs/>
        </w:rPr>
      </w:pPr>
      <w:r>
        <w:rPr>
          <w:rFonts w:ascii="Palatino Linotype" w:hAnsi="Palatino Linotype"/>
          <w:b/>
          <w:bCs/>
        </w:rPr>
        <w:t>9</w:t>
      </w:r>
      <w:r w:rsidR="00034B58" w:rsidRPr="00034B58">
        <w:rPr>
          <w:rFonts w:ascii="Palatino Linotype" w:hAnsi="Palatino Linotype"/>
          <w:b/>
          <w:bCs/>
        </w:rPr>
        <w:t>.  Delay</w:t>
      </w:r>
    </w:p>
    <w:p w14:paraId="23FD8BB8" w14:textId="3E6B59D8" w:rsidR="00DE5299" w:rsidRDefault="00C87A10" w:rsidP="0028098E">
      <w:pPr>
        <w:spacing w:line="480" w:lineRule="auto"/>
        <w:jc w:val="both"/>
        <w:rPr>
          <w:rFonts w:ascii="Palatino Linotype" w:hAnsi="Palatino Linotype"/>
        </w:rPr>
      </w:pPr>
      <w:r>
        <w:rPr>
          <w:rFonts w:ascii="Palatino Linotype" w:hAnsi="Palatino Linotype"/>
        </w:rPr>
        <w:t>9</w:t>
      </w:r>
      <w:r w:rsidR="00034B58" w:rsidRPr="00034B58">
        <w:rPr>
          <w:rFonts w:ascii="Palatino Linotype" w:hAnsi="Palatino Linotype"/>
        </w:rPr>
        <w:t>.1</w:t>
      </w:r>
      <w:r w:rsidR="00034B58" w:rsidRPr="00034B58">
        <w:rPr>
          <w:rFonts w:ascii="Palatino Linotype" w:hAnsi="Palatino Linotype"/>
        </w:rPr>
        <w:tab/>
        <w:t xml:space="preserve">The court also has jurisdiction to dismiss a case on the grounds of delay generally.  There was no submission addressing this argument, though it was pleaded.  While the Defendant was not represented, he understood the importance of delay and confirmed that he considered it unfair that the trial would proceed after this length of time.  There was no suggestion on his part of a failure of memory or of the death of any witness such that it would be unfair to permit the case to proceed. When considering delay, the length of any delay is relevant. It may be unjust and disproportionate to prohibit a litigant from pursuing proceedings due to </w:t>
      </w:r>
      <w:proofErr w:type="gramStart"/>
      <w:r w:rsidR="00034B58" w:rsidRPr="00034B58">
        <w:rPr>
          <w:rFonts w:ascii="Palatino Linotype" w:hAnsi="Palatino Linotype"/>
        </w:rPr>
        <w:t>delay, unless</w:t>
      </w:r>
      <w:proofErr w:type="gramEnd"/>
      <w:r w:rsidR="00034B58" w:rsidRPr="00034B58">
        <w:rPr>
          <w:rFonts w:ascii="Palatino Linotype" w:hAnsi="Palatino Linotype"/>
        </w:rPr>
        <w:t xml:space="preserve"> the delay was egregious.  Given that the reason for this delay is specifically the subject matter of a section of the Statute of Limitations, in the absence of actual prejudice, it is not an appropriate case in which to dismiss the case on the grounds of delay generally, despite the long period between the wrongdoing and the plenary summons.</w:t>
      </w:r>
    </w:p>
    <w:p w14:paraId="7C3AF9CE" w14:textId="5B553B8D" w:rsidR="008903CA" w:rsidRPr="009C05B5" w:rsidRDefault="00BA7D17" w:rsidP="0028098E">
      <w:pPr>
        <w:spacing w:line="480" w:lineRule="auto"/>
        <w:jc w:val="both"/>
        <w:rPr>
          <w:rFonts w:ascii="Palatino Linotype" w:hAnsi="Palatino Linotype"/>
          <w:b/>
          <w:bCs/>
        </w:rPr>
      </w:pPr>
      <w:r>
        <w:rPr>
          <w:rFonts w:ascii="Palatino Linotype" w:hAnsi="Palatino Linotype"/>
          <w:b/>
          <w:bCs/>
        </w:rPr>
        <w:t>1</w:t>
      </w:r>
      <w:r w:rsidR="00034B58">
        <w:rPr>
          <w:rFonts w:ascii="Palatino Linotype" w:hAnsi="Palatino Linotype"/>
          <w:b/>
          <w:bCs/>
        </w:rPr>
        <w:t>0</w:t>
      </w:r>
      <w:r w:rsidR="0028098E" w:rsidRPr="009C05B5">
        <w:rPr>
          <w:rFonts w:ascii="Palatino Linotype" w:hAnsi="Palatino Linotype"/>
          <w:b/>
          <w:bCs/>
        </w:rPr>
        <w:t xml:space="preserve">. </w:t>
      </w:r>
      <w:r w:rsidR="00140E17">
        <w:rPr>
          <w:rFonts w:ascii="Palatino Linotype" w:hAnsi="Palatino Linotype"/>
          <w:b/>
          <w:bCs/>
        </w:rPr>
        <w:t xml:space="preserve"> </w:t>
      </w:r>
      <w:r w:rsidR="008903CA" w:rsidRPr="009C05B5">
        <w:rPr>
          <w:rFonts w:ascii="Palatino Linotype" w:hAnsi="Palatino Linotype"/>
          <w:b/>
          <w:bCs/>
        </w:rPr>
        <w:t>Conclusion on Liability</w:t>
      </w:r>
    </w:p>
    <w:p w14:paraId="7D8E43DA" w14:textId="2A06CF45" w:rsidR="007974FB" w:rsidRDefault="00BA7D17" w:rsidP="0028098E">
      <w:pPr>
        <w:spacing w:line="480" w:lineRule="auto"/>
        <w:jc w:val="both"/>
        <w:rPr>
          <w:rFonts w:ascii="Palatino Linotype" w:hAnsi="Palatino Linotype"/>
        </w:rPr>
      </w:pPr>
      <w:r>
        <w:rPr>
          <w:rFonts w:ascii="Palatino Linotype" w:hAnsi="Palatino Linotype"/>
        </w:rPr>
        <w:t>1</w:t>
      </w:r>
      <w:r w:rsidR="000E161C">
        <w:rPr>
          <w:rFonts w:ascii="Palatino Linotype" w:hAnsi="Palatino Linotype"/>
        </w:rPr>
        <w:t>0</w:t>
      </w:r>
      <w:r w:rsidR="0028098E">
        <w:rPr>
          <w:rFonts w:ascii="Palatino Linotype" w:hAnsi="Palatino Linotype"/>
        </w:rPr>
        <w:t>.1</w:t>
      </w:r>
      <w:r w:rsidR="0028098E">
        <w:rPr>
          <w:rFonts w:ascii="Palatino Linotype" w:hAnsi="Palatino Linotype"/>
        </w:rPr>
        <w:tab/>
      </w:r>
      <w:r w:rsidR="00E554F3">
        <w:rPr>
          <w:rFonts w:ascii="Palatino Linotype" w:hAnsi="Palatino Linotype"/>
        </w:rPr>
        <w:t>The</w:t>
      </w:r>
      <w:r w:rsidR="00181985">
        <w:rPr>
          <w:rFonts w:ascii="Palatino Linotype" w:hAnsi="Palatino Linotype"/>
        </w:rPr>
        <w:t xml:space="preserve"> Court’s decision on</w:t>
      </w:r>
      <w:r w:rsidR="00E554F3">
        <w:rPr>
          <w:rFonts w:ascii="Palatino Linotype" w:hAnsi="Palatino Linotype"/>
        </w:rPr>
        <w:t xml:space="preserve"> liability in this case </w:t>
      </w:r>
      <w:r w:rsidR="00181985">
        <w:rPr>
          <w:rFonts w:ascii="Palatino Linotype" w:hAnsi="Palatino Linotype"/>
        </w:rPr>
        <w:t>was</w:t>
      </w:r>
      <w:r w:rsidR="00E554F3">
        <w:rPr>
          <w:rFonts w:ascii="Palatino Linotype" w:hAnsi="Palatino Linotype"/>
        </w:rPr>
        <w:t xml:space="preserve"> decided taking three distinct matters into account.  First and foremost, the Plaintiff was a clear, </w:t>
      </w:r>
      <w:proofErr w:type="gramStart"/>
      <w:r w:rsidR="00E554F3">
        <w:rPr>
          <w:rFonts w:ascii="Palatino Linotype" w:hAnsi="Palatino Linotype"/>
        </w:rPr>
        <w:t>compelling</w:t>
      </w:r>
      <w:proofErr w:type="gramEnd"/>
      <w:r w:rsidR="00E554F3">
        <w:rPr>
          <w:rFonts w:ascii="Palatino Linotype" w:hAnsi="Palatino Linotype"/>
        </w:rPr>
        <w:t xml:space="preserve"> and credible witness.  Her account of events was persuasive and, without hearing more, I would have been entitled to accept it.  </w:t>
      </w:r>
      <w:r w:rsidR="007974FB">
        <w:rPr>
          <w:rFonts w:ascii="Palatino Linotype" w:hAnsi="Palatino Linotype"/>
        </w:rPr>
        <w:t xml:space="preserve">I do accept </w:t>
      </w:r>
      <w:proofErr w:type="gramStart"/>
      <w:r w:rsidR="007974FB">
        <w:rPr>
          <w:rFonts w:ascii="Palatino Linotype" w:hAnsi="Palatino Linotype"/>
        </w:rPr>
        <w:t>it</w:t>
      </w:r>
      <w:proofErr w:type="gramEnd"/>
      <w:r w:rsidR="007974FB">
        <w:rPr>
          <w:rFonts w:ascii="Palatino Linotype" w:hAnsi="Palatino Linotype"/>
        </w:rPr>
        <w:t xml:space="preserve"> and this alone </w:t>
      </w:r>
      <w:r w:rsidR="000E161C">
        <w:rPr>
          <w:rFonts w:ascii="Palatino Linotype" w:hAnsi="Palatino Linotype"/>
        </w:rPr>
        <w:t>wa</w:t>
      </w:r>
      <w:r w:rsidR="007974FB">
        <w:rPr>
          <w:rFonts w:ascii="Palatino Linotype" w:hAnsi="Palatino Linotype"/>
        </w:rPr>
        <w:t>s sufficient basis to find for the Plaintiff.</w:t>
      </w:r>
    </w:p>
    <w:p w14:paraId="1FFB2BDA" w14:textId="580D6DCD" w:rsidR="00214393" w:rsidRDefault="00BA7D17" w:rsidP="0028098E">
      <w:pPr>
        <w:spacing w:line="480" w:lineRule="auto"/>
        <w:jc w:val="both"/>
        <w:rPr>
          <w:rFonts w:ascii="Palatino Linotype" w:hAnsi="Palatino Linotype"/>
        </w:rPr>
      </w:pPr>
      <w:r>
        <w:rPr>
          <w:rFonts w:ascii="Palatino Linotype" w:hAnsi="Palatino Linotype"/>
        </w:rPr>
        <w:lastRenderedPageBreak/>
        <w:t>1</w:t>
      </w:r>
      <w:r w:rsidR="00C87A10">
        <w:rPr>
          <w:rFonts w:ascii="Palatino Linotype" w:hAnsi="Palatino Linotype"/>
        </w:rPr>
        <w:t>0</w:t>
      </w:r>
      <w:r w:rsidR="0028098E">
        <w:rPr>
          <w:rFonts w:ascii="Palatino Linotype" w:hAnsi="Palatino Linotype"/>
        </w:rPr>
        <w:t>.2</w:t>
      </w:r>
      <w:r w:rsidR="0028098E">
        <w:rPr>
          <w:rFonts w:ascii="Palatino Linotype" w:hAnsi="Palatino Linotype"/>
        </w:rPr>
        <w:tab/>
      </w:r>
      <w:r w:rsidR="00E554F3">
        <w:rPr>
          <w:rFonts w:ascii="Palatino Linotype" w:hAnsi="Palatino Linotype"/>
        </w:rPr>
        <w:t xml:space="preserve">Secondly, the very limited cross-examination did not affect the weight of the Plaintiff’s evidence and there was no defence evidence called to counter her version of events.  </w:t>
      </w:r>
      <w:r w:rsidR="00214393">
        <w:rPr>
          <w:rFonts w:ascii="Palatino Linotype" w:hAnsi="Palatino Linotype"/>
        </w:rPr>
        <w:t xml:space="preserve">Her account, therefore, was not only unchallenged it was uncontradicted by other evidence.  </w:t>
      </w:r>
    </w:p>
    <w:p w14:paraId="66093467" w14:textId="522EDBA1" w:rsidR="00214393" w:rsidRDefault="00BA7D17" w:rsidP="0028098E">
      <w:pPr>
        <w:spacing w:line="480" w:lineRule="auto"/>
        <w:jc w:val="both"/>
        <w:rPr>
          <w:rFonts w:ascii="Palatino Linotype" w:hAnsi="Palatino Linotype"/>
        </w:rPr>
      </w:pPr>
      <w:r>
        <w:rPr>
          <w:rFonts w:ascii="Palatino Linotype" w:hAnsi="Palatino Linotype"/>
        </w:rPr>
        <w:t>1</w:t>
      </w:r>
      <w:r w:rsidR="00C87A10">
        <w:rPr>
          <w:rFonts w:ascii="Palatino Linotype" w:hAnsi="Palatino Linotype"/>
        </w:rPr>
        <w:t>0</w:t>
      </w:r>
      <w:r w:rsidR="00214393">
        <w:rPr>
          <w:rFonts w:ascii="Palatino Linotype" w:hAnsi="Palatino Linotype"/>
        </w:rPr>
        <w:t>.3</w:t>
      </w:r>
      <w:r w:rsidR="00214393">
        <w:rPr>
          <w:rFonts w:ascii="Palatino Linotype" w:hAnsi="Palatino Linotype"/>
        </w:rPr>
        <w:tab/>
        <w:t xml:space="preserve">The Defendant, as described, asked two questions of the Plaintiff.  </w:t>
      </w:r>
      <w:r w:rsidR="00A47659" w:rsidRPr="00A47659">
        <w:rPr>
          <w:rFonts w:ascii="Palatino Linotype" w:hAnsi="Palatino Linotype"/>
        </w:rPr>
        <w:t xml:space="preserve">In the first question, the Defendant drew attention to the fact that the Plaintiff had said in one version of events that the abuse began when she was 4 years old and, in another, when she was 5. This highlighted the fact that the Plaintiff did not seem sure </w:t>
      </w:r>
      <w:r w:rsidR="00214393">
        <w:rPr>
          <w:rFonts w:ascii="Palatino Linotype" w:hAnsi="Palatino Linotype"/>
        </w:rPr>
        <w:t xml:space="preserve">about </w:t>
      </w:r>
      <w:r w:rsidR="00A47659" w:rsidRPr="00A47659">
        <w:rPr>
          <w:rFonts w:ascii="Palatino Linotype" w:hAnsi="Palatino Linotype"/>
        </w:rPr>
        <w:t xml:space="preserve">when the abuse began.  This is an issue that arises in many cases of child sexual abuse, particularly when a witness tries to describe a continuum of abuse.  For many years, the courts did not understand the complex psychology of the victim who did not immediately report a sexual assault.  Modern courts are more familiar with the psychology of victims and of children.  It is well documented that children do not remember dates, or even specific matters of fact that one might expect them to recall.  Even as adults, different victims respond differently to trauma.  Just because a child (or an adult recalling abuse </w:t>
      </w:r>
      <w:r w:rsidR="00214393">
        <w:rPr>
          <w:rFonts w:ascii="Palatino Linotype" w:hAnsi="Palatino Linotype"/>
        </w:rPr>
        <w:t>that occurred</w:t>
      </w:r>
      <w:r w:rsidR="00A47659" w:rsidRPr="00A47659">
        <w:rPr>
          <w:rFonts w:ascii="Palatino Linotype" w:hAnsi="Palatino Linotype"/>
        </w:rPr>
        <w:t xml:space="preserve"> when she was a child) cannot recall what age she was when an event occurred makes little difference to her credibility or reliability as to whether or not the </w:t>
      </w:r>
      <w:proofErr w:type="gramStart"/>
      <w:r w:rsidR="00A47659" w:rsidRPr="00A47659">
        <w:rPr>
          <w:rFonts w:ascii="Palatino Linotype" w:hAnsi="Palatino Linotype"/>
        </w:rPr>
        <w:t>event</w:t>
      </w:r>
      <w:proofErr w:type="gramEnd"/>
      <w:r w:rsidR="00A47659" w:rsidRPr="00A47659">
        <w:rPr>
          <w:rFonts w:ascii="Palatino Linotype" w:hAnsi="Palatino Linotype"/>
        </w:rPr>
        <w:t xml:space="preserve"> she describes occurred at all.  This one feature of her evidence does not lead me to reject her account.  </w:t>
      </w:r>
    </w:p>
    <w:p w14:paraId="55CDF150" w14:textId="77D2708C" w:rsidR="00A47659" w:rsidRPr="00A47659" w:rsidRDefault="00BA7D17" w:rsidP="0028098E">
      <w:pPr>
        <w:spacing w:line="480" w:lineRule="auto"/>
        <w:jc w:val="both"/>
        <w:rPr>
          <w:rFonts w:ascii="Palatino Linotype" w:hAnsi="Palatino Linotype"/>
        </w:rPr>
      </w:pPr>
      <w:r>
        <w:rPr>
          <w:rFonts w:ascii="Palatino Linotype" w:hAnsi="Palatino Linotype"/>
        </w:rPr>
        <w:t>1</w:t>
      </w:r>
      <w:r w:rsidR="008E0D19">
        <w:rPr>
          <w:rFonts w:ascii="Palatino Linotype" w:hAnsi="Palatino Linotype"/>
        </w:rPr>
        <w:t>0</w:t>
      </w:r>
      <w:r w:rsidR="00214393">
        <w:rPr>
          <w:rFonts w:ascii="Palatino Linotype" w:hAnsi="Palatino Linotype"/>
        </w:rPr>
        <w:t>.4</w:t>
      </w:r>
      <w:r w:rsidR="00214393">
        <w:rPr>
          <w:rFonts w:ascii="Palatino Linotype" w:hAnsi="Palatino Linotype"/>
        </w:rPr>
        <w:tab/>
      </w:r>
      <w:r w:rsidR="00A47659" w:rsidRPr="00A47659">
        <w:rPr>
          <w:rFonts w:ascii="Palatino Linotype" w:hAnsi="Palatino Linotype"/>
        </w:rPr>
        <w:t>One of the effects of trauma is to produce a kind of tunnel vision in a victim</w:t>
      </w:r>
      <w:r w:rsidR="00214393">
        <w:rPr>
          <w:rFonts w:ascii="Palatino Linotype" w:hAnsi="Palatino Linotype"/>
        </w:rPr>
        <w:t xml:space="preserve"> as they dissociate from an event</w:t>
      </w:r>
      <w:r w:rsidR="00A47659" w:rsidRPr="00A47659">
        <w:rPr>
          <w:rFonts w:ascii="Palatino Linotype" w:hAnsi="Palatino Linotype"/>
        </w:rPr>
        <w:t xml:space="preserve">. They may recall only a strong smell or, as in this case, a physical feeling.  Here this was described as the roughness of the Defendant’s fingers </w:t>
      </w:r>
      <w:r w:rsidR="00214393">
        <w:rPr>
          <w:rFonts w:ascii="Palatino Linotype" w:hAnsi="Palatino Linotype"/>
        </w:rPr>
        <w:t>in</w:t>
      </w:r>
      <w:r w:rsidR="00A47659" w:rsidRPr="00A47659">
        <w:rPr>
          <w:rFonts w:ascii="Palatino Linotype" w:hAnsi="Palatino Linotype"/>
        </w:rPr>
        <w:t xml:space="preserve"> her vagina.  </w:t>
      </w:r>
      <w:r w:rsidR="00214393">
        <w:rPr>
          <w:rFonts w:ascii="Palatino Linotype" w:hAnsi="Palatino Linotype"/>
        </w:rPr>
        <w:t>F</w:t>
      </w:r>
      <w:r w:rsidR="00A47659" w:rsidRPr="00A47659">
        <w:rPr>
          <w:rFonts w:ascii="Palatino Linotype" w:hAnsi="Palatino Linotype"/>
        </w:rPr>
        <w:t xml:space="preserve">ew children can describe the timing of events and are more likely to recall a social, </w:t>
      </w:r>
      <w:proofErr w:type="gramStart"/>
      <w:r w:rsidR="00A47659" w:rsidRPr="00A47659">
        <w:rPr>
          <w:rFonts w:ascii="Palatino Linotype" w:hAnsi="Palatino Linotype"/>
        </w:rPr>
        <w:t>family</w:t>
      </w:r>
      <w:proofErr w:type="gramEnd"/>
      <w:r w:rsidR="00A47659" w:rsidRPr="00A47659">
        <w:rPr>
          <w:rFonts w:ascii="Palatino Linotype" w:hAnsi="Palatino Linotype"/>
        </w:rPr>
        <w:t xml:space="preserve"> or personal milestone. Again, this was seen here with the Plaintiff vividly recalling an assault around the time of her confirmation as she was wearing clothes purchased for that event.</w:t>
      </w:r>
      <w:r w:rsidR="00214393">
        <w:rPr>
          <w:rFonts w:ascii="Palatino Linotype" w:hAnsi="Palatino Linotype"/>
        </w:rPr>
        <w:t xml:space="preserve">  The </w:t>
      </w:r>
      <w:r w:rsidR="00214393">
        <w:rPr>
          <w:rFonts w:ascii="Palatino Linotype" w:hAnsi="Palatino Linotype"/>
        </w:rPr>
        <w:lastRenderedPageBreak/>
        <w:t>question as to the age she was when this began, while specific and highlighting that she was indeed not sure as to her age, did not lead me to doubt the fact that she was abused.</w:t>
      </w:r>
    </w:p>
    <w:p w14:paraId="58AF7249" w14:textId="0151650C" w:rsidR="00A47659" w:rsidRDefault="00BA7D17" w:rsidP="0028098E">
      <w:pPr>
        <w:spacing w:line="480" w:lineRule="auto"/>
        <w:jc w:val="both"/>
        <w:rPr>
          <w:rFonts w:ascii="Palatino Linotype" w:hAnsi="Palatino Linotype"/>
        </w:rPr>
      </w:pPr>
      <w:r>
        <w:rPr>
          <w:rFonts w:ascii="Palatino Linotype" w:hAnsi="Palatino Linotype"/>
        </w:rPr>
        <w:t>1</w:t>
      </w:r>
      <w:r w:rsidR="008E0D19">
        <w:rPr>
          <w:rFonts w:ascii="Palatino Linotype" w:hAnsi="Palatino Linotype"/>
        </w:rPr>
        <w:t>0</w:t>
      </w:r>
      <w:r w:rsidR="0028098E">
        <w:rPr>
          <w:rFonts w:ascii="Palatino Linotype" w:hAnsi="Palatino Linotype"/>
        </w:rPr>
        <w:t>.</w:t>
      </w:r>
      <w:r w:rsidR="008E0D19">
        <w:rPr>
          <w:rFonts w:ascii="Palatino Linotype" w:hAnsi="Palatino Linotype"/>
        </w:rPr>
        <w:t>5</w:t>
      </w:r>
      <w:r w:rsidR="0028098E">
        <w:rPr>
          <w:rFonts w:ascii="Palatino Linotype" w:hAnsi="Palatino Linotype"/>
        </w:rPr>
        <w:tab/>
      </w:r>
      <w:r w:rsidR="00A47659" w:rsidRPr="00A47659">
        <w:rPr>
          <w:rFonts w:ascii="Palatino Linotype" w:hAnsi="Palatino Linotype"/>
        </w:rPr>
        <w:t xml:space="preserve">The second question required the Plaintiff to agree with a description of an incident involving another family member.  This line of questioning was irrelevant to these allegations and the Plaintiff was advised that she need not answer. The reference in the question appeared designed to cast a favourable light on the Defendant and his family and, by contrast, to put the Plaintiff’s immediate family in a bad light. While the conclusion may be that (if the Defendant’s question was based on accurate facts) the Plaintiff’s family had behaved in an unkind or even wrongful way in a separate dilemma, it was not relevant to the issue of </w:t>
      </w:r>
      <w:proofErr w:type="gramStart"/>
      <w:r w:rsidR="00A47659" w:rsidRPr="00A47659">
        <w:rPr>
          <w:rFonts w:ascii="Palatino Linotype" w:hAnsi="Palatino Linotype"/>
        </w:rPr>
        <w:t>whether or not</w:t>
      </w:r>
      <w:proofErr w:type="gramEnd"/>
      <w:r w:rsidR="00A47659" w:rsidRPr="00A47659">
        <w:rPr>
          <w:rFonts w:ascii="Palatino Linotype" w:hAnsi="Palatino Linotype"/>
        </w:rPr>
        <w:t xml:space="preserve"> the Defendant touched the Plaintiff in the manner alleged. It is no part of a trial of fact to allow one party to put general allegations of wrongdoing to another with a view to blackening her name or, by association, that of her family generally.  A civil trial involves a focused testing of the claims of one party and should be confined to that which tends to prove or disprove that claim or the specific defences raised.  Here, the defence being that the acts had not occurred, there was little evidential value in an account of an unrelated act of the Plaintiff’s, still less in an unrelated act (no matter how immoral) of a member of her family.  </w:t>
      </w:r>
    </w:p>
    <w:p w14:paraId="5DC04DC2" w14:textId="12EC6619" w:rsidR="007974FB" w:rsidRDefault="00BA7D17" w:rsidP="0028098E">
      <w:pPr>
        <w:spacing w:line="480" w:lineRule="auto"/>
        <w:jc w:val="both"/>
        <w:rPr>
          <w:rFonts w:ascii="Palatino Linotype" w:hAnsi="Palatino Linotype"/>
        </w:rPr>
      </w:pPr>
      <w:r>
        <w:rPr>
          <w:rFonts w:ascii="Palatino Linotype" w:hAnsi="Palatino Linotype"/>
        </w:rPr>
        <w:t>1</w:t>
      </w:r>
      <w:r w:rsidR="008E0D19">
        <w:rPr>
          <w:rFonts w:ascii="Palatino Linotype" w:hAnsi="Palatino Linotype"/>
        </w:rPr>
        <w:t>0</w:t>
      </w:r>
      <w:r w:rsidR="0028098E">
        <w:rPr>
          <w:rFonts w:ascii="Palatino Linotype" w:hAnsi="Palatino Linotype"/>
        </w:rPr>
        <w:t>.</w:t>
      </w:r>
      <w:r w:rsidR="008E0D19">
        <w:rPr>
          <w:rFonts w:ascii="Palatino Linotype" w:hAnsi="Palatino Linotype"/>
        </w:rPr>
        <w:t>6</w:t>
      </w:r>
      <w:r w:rsidR="0028098E">
        <w:rPr>
          <w:rFonts w:ascii="Palatino Linotype" w:hAnsi="Palatino Linotype"/>
        </w:rPr>
        <w:tab/>
      </w:r>
      <w:r w:rsidR="00181985">
        <w:rPr>
          <w:rFonts w:ascii="Palatino Linotype" w:hAnsi="Palatino Linotype"/>
        </w:rPr>
        <w:t>As noted, the failure to put the defence case clearly was not a factor in this assessment of the evidence but the fact that the defendant declined the opportunity to give evidence meant that there was no alternative account of events to consider</w:t>
      </w:r>
      <w:r w:rsidR="00E07EC9">
        <w:rPr>
          <w:rFonts w:ascii="Palatino Linotype" w:hAnsi="Palatino Linotype"/>
        </w:rPr>
        <w:t xml:space="preserve"> and nothing to reduce the weight one must attach to the account of a credible witness</w:t>
      </w:r>
      <w:r w:rsidR="00181985">
        <w:rPr>
          <w:rFonts w:ascii="Palatino Linotype" w:hAnsi="Palatino Linotype"/>
        </w:rPr>
        <w:t xml:space="preserve">.  </w:t>
      </w:r>
      <w:r w:rsidR="00A47659">
        <w:rPr>
          <w:rFonts w:ascii="Palatino Linotype" w:hAnsi="Palatino Linotype"/>
        </w:rPr>
        <w:t xml:space="preserve">These were the factors considered in weighing the Plaintiff’s evidence and there was almost nothing, beyond his bare denial, to be put on the defence side of the scales. This denial was not supported by sworn evidence and must carry very little weight indeed as a result.  </w:t>
      </w:r>
    </w:p>
    <w:p w14:paraId="3573F341" w14:textId="5F3AE0D0" w:rsidR="007D0233" w:rsidRDefault="00BA7D17" w:rsidP="0028098E">
      <w:pPr>
        <w:spacing w:line="480" w:lineRule="auto"/>
        <w:jc w:val="both"/>
        <w:rPr>
          <w:rFonts w:ascii="Palatino Linotype" w:hAnsi="Palatino Linotype"/>
        </w:rPr>
      </w:pPr>
      <w:r>
        <w:rPr>
          <w:rFonts w:ascii="Palatino Linotype" w:hAnsi="Palatino Linotype"/>
        </w:rPr>
        <w:lastRenderedPageBreak/>
        <w:t>1</w:t>
      </w:r>
      <w:r w:rsidR="008E0D19">
        <w:rPr>
          <w:rFonts w:ascii="Palatino Linotype" w:hAnsi="Palatino Linotype"/>
        </w:rPr>
        <w:t>0</w:t>
      </w:r>
      <w:r w:rsidR="0028098E">
        <w:rPr>
          <w:rFonts w:ascii="Palatino Linotype" w:hAnsi="Palatino Linotype"/>
        </w:rPr>
        <w:t>.</w:t>
      </w:r>
      <w:r w:rsidR="008E0D19">
        <w:rPr>
          <w:rFonts w:ascii="Palatino Linotype" w:hAnsi="Palatino Linotype"/>
        </w:rPr>
        <w:t>7</w:t>
      </w:r>
      <w:r w:rsidR="0028098E">
        <w:rPr>
          <w:rFonts w:ascii="Palatino Linotype" w:hAnsi="Palatino Linotype"/>
        </w:rPr>
        <w:tab/>
      </w:r>
      <w:r w:rsidR="00E554F3">
        <w:rPr>
          <w:rFonts w:ascii="Palatino Linotype" w:hAnsi="Palatino Linotype"/>
        </w:rPr>
        <w:t xml:space="preserve">Thirdly, the effect of the </w:t>
      </w:r>
      <w:r w:rsidR="00E554F3" w:rsidRPr="00D5527A">
        <w:rPr>
          <w:rFonts w:ascii="Palatino Linotype" w:hAnsi="Palatino Linotype"/>
          <w:i/>
        </w:rPr>
        <w:t>Nevin</w:t>
      </w:r>
      <w:r w:rsidR="00E554F3">
        <w:rPr>
          <w:rFonts w:ascii="Palatino Linotype" w:hAnsi="Palatino Linotype"/>
        </w:rPr>
        <w:t xml:space="preserve"> case is that the</w:t>
      </w:r>
      <w:r w:rsidR="00D5527A">
        <w:rPr>
          <w:rFonts w:ascii="Palatino Linotype" w:hAnsi="Palatino Linotype"/>
        </w:rPr>
        <w:t xml:space="preserve"> Court may take the criminal convictions of the Defendant into account</w:t>
      </w:r>
      <w:r w:rsidR="00181985">
        <w:rPr>
          <w:rFonts w:ascii="Palatino Linotype" w:hAnsi="Palatino Linotype"/>
        </w:rPr>
        <w:t>,</w:t>
      </w:r>
      <w:r w:rsidR="00E554F3">
        <w:rPr>
          <w:rFonts w:ascii="Palatino Linotype" w:hAnsi="Palatino Linotype"/>
        </w:rPr>
        <w:t xml:space="preserve"> albeit only to the effect that the abuse</w:t>
      </w:r>
      <w:r w:rsidR="00D5527A">
        <w:rPr>
          <w:rFonts w:ascii="Palatino Linotype" w:hAnsi="Palatino Linotype"/>
        </w:rPr>
        <w:t xml:space="preserve"> against the Plaintiff</w:t>
      </w:r>
      <w:r w:rsidR="00E554F3">
        <w:rPr>
          <w:rFonts w:ascii="Palatino Linotype" w:hAnsi="Palatino Linotype"/>
        </w:rPr>
        <w:t xml:space="preserve"> </w:t>
      </w:r>
      <w:r w:rsidR="000E161C">
        <w:rPr>
          <w:rFonts w:ascii="Palatino Linotype" w:hAnsi="Palatino Linotype"/>
        </w:rPr>
        <w:t xml:space="preserve">during 1976 </w:t>
      </w:r>
      <w:r w:rsidR="00E554F3">
        <w:rPr>
          <w:rFonts w:ascii="Palatino Linotype" w:hAnsi="Palatino Linotype"/>
        </w:rPr>
        <w:t>was proven to a higher standard of proof</w:t>
      </w:r>
      <w:r w:rsidR="000E161C">
        <w:rPr>
          <w:rFonts w:ascii="Palatino Linotype" w:hAnsi="Palatino Linotype"/>
        </w:rPr>
        <w:t xml:space="preserve"> than all other allegations</w:t>
      </w:r>
      <w:r w:rsidR="00E554F3">
        <w:rPr>
          <w:rFonts w:ascii="Palatino Linotype" w:hAnsi="Palatino Linotype"/>
        </w:rPr>
        <w:t xml:space="preserve">. Those events happened, </w:t>
      </w:r>
      <w:r w:rsidR="007D0233">
        <w:rPr>
          <w:rFonts w:ascii="Palatino Linotype" w:hAnsi="Palatino Linotype"/>
        </w:rPr>
        <w:t xml:space="preserve">and this has been proven </w:t>
      </w:r>
      <w:r w:rsidR="00E554F3">
        <w:rPr>
          <w:rFonts w:ascii="Palatino Linotype" w:hAnsi="Palatino Linotype"/>
        </w:rPr>
        <w:t>beyond a reasonable doubt as to the Plaintiff’s accuracy</w:t>
      </w:r>
      <w:r w:rsidR="007D0233">
        <w:rPr>
          <w:rFonts w:ascii="Palatino Linotype" w:hAnsi="Palatino Linotype"/>
        </w:rPr>
        <w:t xml:space="preserve"> or reliability</w:t>
      </w:r>
      <w:r w:rsidR="00E554F3">
        <w:rPr>
          <w:rFonts w:ascii="Palatino Linotype" w:hAnsi="Palatino Linotype"/>
        </w:rPr>
        <w:t>.  This presumption lend</w:t>
      </w:r>
      <w:r w:rsidR="007D0233">
        <w:rPr>
          <w:rFonts w:ascii="Palatino Linotype" w:hAnsi="Palatino Linotype"/>
        </w:rPr>
        <w:t>s</w:t>
      </w:r>
      <w:r w:rsidR="00E554F3">
        <w:rPr>
          <w:rFonts w:ascii="Palatino Linotype" w:hAnsi="Palatino Linotype"/>
        </w:rPr>
        <w:t xml:space="preserve"> much weight to the early allegations.  </w:t>
      </w:r>
    </w:p>
    <w:p w14:paraId="3C47CE0B" w14:textId="60875592" w:rsidR="007D0233" w:rsidRDefault="00BA7D17" w:rsidP="0028098E">
      <w:pPr>
        <w:spacing w:line="480" w:lineRule="auto"/>
        <w:jc w:val="both"/>
        <w:rPr>
          <w:rFonts w:ascii="Palatino Linotype" w:hAnsi="Palatino Linotype"/>
        </w:rPr>
      </w:pPr>
      <w:r>
        <w:rPr>
          <w:rFonts w:ascii="Palatino Linotype" w:hAnsi="Palatino Linotype"/>
        </w:rPr>
        <w:t>1</w:t>
      </w:r>
      <w:r w:rsidR="008E0D19">
        <w:rPr>
          <w:rFonts w:ascii="Palatino Linotype" w:hAnsi="Palatino Linotype"/>
        </w:rPr>
        <w:t>0.8</w:t>
      </w:r>
      <w:r w:rsidR="0028098E">
        <w:rPr>
          <w:rFonts w:ascii="Palatino Linotype" w:hAnsi="Palatino Linotype"/>
        </w:rPr>
        <w:tab/>
      </w:r>
      <w:r w:rsidR="007D0233">
        <w:rPr>
          <w:rFonts w:ascii="Palatino Linotype" w:hAnsi="Palatino Linotype"/>
        </w:rPr>
        <w:t>Logic may appear to require that the presumption apply equally or in some measure to the later offences;</w:t>
      </w:r>
      <w:r w:rsidR="00EC3831">
        <w:rPr>
          <w:rFonts w:ascii="Palatino Linotype" w:hAnsi="Palatino Linotype"/>
        </w:rPr>
        <w:t xml:space="preserve"> </w:t>
      </w:r>
      <w:r w:rsidR="007D0233">
        <w:rPr>
          <w:rFonts w:ascii="Palatino Linotype" w:hAnsi="Palatino Linotype"/>
        </w:rPr>
        <w:t xml:space="preserve">was not </w:t>
      </w:r>
      <w:r w:rsidR="00EC3831">
        <w:rPr>
          <w:rFonts w:ascii="Palatino Linotype" w:hAnsi="Palatino Linotype"/>
        </w:rPr>
        <w:t xml:space="preserve">the misconduct in question committed by the same man against the same </w:t>
      </w:r>
      <w:r w:rsidR="007D0233">
        <w:rPr>
          <w:rFonts w:ascii="Palatino Linotype" w:hAnsi="Palatino Linotype"/>
        </w:rPr>
        <w:t>young</w:t>
      </w:r>
      <w:r w:rsidR="00EC3831">
        <w:rPr>
          <w:rFonts w:ascii="Palatino Linotype" w:hAnsi="Palatino Linotype"/>
        </w:rPr>
        <w:t xml:space="preserve"> girl</w:t>
      </w:r>
      <w:r w:rsidR="007D0233">
        <w:rPr>
          <w:rFonts w:ascii="Palatino Linotype" w:hAnsi="Palatino Linotype"/>
        </w:rPr>
        <w:t>?</w:t>
      </w:r>
      <w:r w:rsidR="00EC3831">
        <w:rPr>
          <w:rFonts w:ascii="Palatino Linotype" w:hAnsi="Palatino Linotype"/>
        </w:rPr>
        <w:t xml:space="preserve"> The usual arguments, that the child may be mistaken or may have a grudge, </w:t>
      </w:r>
      <w:r w:rsidR="007D0233">
        <w:rPr>
          <w:rFonts w:ascii="Palatino Linotype" w:hAnsi="Palatino Linotype"/>
        </w:rPr>
        <w:t xml:space="preserve">appear to </w:t>
      </w:r>
      <w:r w:rsidR="00EC3831">
        <w:rPr>
          <w:rFonts w:ascii="Palatino Linotype" w:hAnsi="Palatino Linotype"/>
        </w:rPr>
        <w:t xml:space="preserve">have been overcome in the earlier criminal proceedings. </w:t>
      </w:r>
      <w:r w:rsidR="007D0233">
        <w:rPr>
          <w:rFonts w:ascii="Palatino Linotype" w:hAnsi="Palatino Linotype"/>
        </w:rPr>
        <w:t xml:space="preserve">This reasoning is flawed, however. </w:t>
      </w:r>
      <w:r w:rsidR="006F22F3">
        <w:rPr>
          <w:rFonts w:ascii="Palatino Linotype" w:hAnsi="Palatino Linotype"/>
        </w:rPr>
        <w:t>There is no unfairness in considering the conviction</w:t>
      </w:r>
      <w:r w:rsidR="007D0233">
        <w:rPr>
          <w:rFonts w:ascii="Palatino Linotype" w:hAnsi="Palatino Linotype"/>
        </w:rPr>
        <w:t>s</w:t>
      </w:r>
      <w:r w:rsidR="006F22F3">
        <w:rPr>
          <w:rFonts w:ascii="Palatino Linotype" w:hAnsi="Palatino Linotype"/>
        </w:rPr>
        <w:t xml:space="preserve"> as </w:t>
      </w:r>
      <w:r w:rsidR="007D0233">
        <w:rPr>
          <w:rFonts w:ascii="Palatino Linotype" w:hAnsi="Palatino Linotype"/>
        </w:rPr>
        <w:t>being</w:t>
      </w:r>
      <w:r w:rsidR="006F22F3">
        <w:rPr>
          <w:rFonts w:ascii="Palatino Linotype" w:hAnsi="Palatino Linotype"/>
        </w:rPr>
        <w:t xml:space="preserve"> directly relevant to the question of </w:t>
      </w:r>
      <w:proofErr w:type="gramStart"/>
      <w:r w:rsidR="006F22F3">
        <w:rPr>
          <w:rFonts w:ascii="Palatino Linotype" w:hAnsi="Palatino Linotype"/>
        </w:rPr>
        <w:t>whether or not</w:t>
      </w:r>
      <w:proofErr w:type="gramEnd"/>
      <w:r w:rsidR="006F22F3">
        <w:rPr>
          <w:rFonts w:ascii="Palatino Linotype" w:hAnsi="Palatino Linotype"/>
        </w:rPr>
        <w:t xml:space="preserve"> he committed the </w:t>
      </w:r>
      <w:r w:rsidR="007D0233">
        <w:rPr>
          <w:rFonts w:ascii="Palatino Linotype" w:hAnsi="Palatino Linotype"/>
        </w:rPr>
        <w:t>earlier</w:t>
      </w:r>
      <w:r w:rsidR="006F22F3">
        <w:rPr>
          <w:rFonts w:ascii="Palatino Linotype" w:hAnsi="Palatino Linotype"/>
        </w:rPr>
        <w:t xml:space="preserve"> offences.  </w:t>
      </w:r>
      <w:r w:rsidR="007D0233">
        <w:rPr>
          <w:rFonts w:ascii="Palatino Linotype" w:hAnsi="Palatino Linotype"/>
        </w:rPr>
        <w:t xml:space="preserve">If this was to be extended to later offences on which no convictions were recorded, what would be the effect </w:t>
      </w:r>
      <w:r w:rsidR="00BA5D19">
        <w:rPr>
          <w:rFonts w:ascii="Palatino Linotype" w:hAnsi="Palatino Linotype"/>
        </w:rPr>
        <w:t xml:space="preserve">and weight </w:t>
      </w:r>
      <w:r w:rsidR="007D0233">
        <w:rPr>
          <w:rFonts w:ascii="Palatino Linotype" w:hAnsi="Palatino Linotype"/>
        </w:rPr>
        <w:t xml:space="preserve">of that evidence?  </w:t>
      </w:r>
      <w:r w:rsidR="003F04C1">
        <w:rPr>
          <w:rFonts w:ascii="Palatino Linotype" w:hAnsi="Palatino Linotype"/>
        </w:rPr>
        <w:t xml:space="preserve">If </w:t>
      </w:r>
      <w:r w:rsidR="00D5527A">
        <w:rPr>
          <w:rFonts w:ascii="Palatino Linotype" w:hAnsi="Palatino Linotype"/>
        </w:rPr>
        <w:t>a recorded conviction</w:t>
      </w:r>
      <w:r w:rsidR="003F04C1">
        <w:rPr>
          <w:rFonts w:ascii="Palatino Linotype" w:hAnsi="Palatino Linotype"/>
        </w:rPr>
        <w:t xml:space="preserve"> is only </w:t>
      </w:r>
      <w:r w:rsidR="003F04C1" w:rsidRPr="003F04C1">
        <w:rPr>
          <w:rFonts w:ascii="Palatino Linotype" w:hAnsi="Palatino Linotype"/>
          <w:i/>
        </w:rPr>
        <w:t>prima facie</w:t>
      </w:r>
      <w:r w:rsidR="003F04C1">
        <w:rPr>
          <w:rFonts w:ascii="Palatino Linotype" w:hAnsi="Palatino Linotype"/>
        </w:rPr>
        <w:t xml:space="preserve"> evidence of guilt in respect of </w:t>
      </w:r>
      <w:r w:rsidR="00D5527A">
        <w:rPr>
          <w:rFonts w:ascii="Palatino Linotype" w:hAnsi="Palatino Linotype"/>
        </w:rPr>
        <w:t>those</w:t>
      </w:r>
      <w:r w:rsidR="003F04C1">
        <w:rPr>
          <w:rFonts w:ascii="Palatino Linotype" w:hAnsi="Palatino Linotype"/>
        </w:rPr>
        <w:t xml:space="preserve"> offences, what does it say about </w:t>
      </w:r>
      <w:r w:rsidR="00D5527A">
        <w:rPr>
          <w:rFonts w:ascii="Palatino Linotype" w:hAnsi="Palatino Linotype"/>
        </w:rPr>
        <w:t xml:space="preserve">related but unproven </w:t>
      </w:r>
      <w:r w:rsidR="003F04C1">
        <w:rPr>
          <w:rFonts w:ascii="Palatino Linotype" w:hAnsi="Palatino Linotype"/>
        </w:rPr>
        <w:t xml:space="preserve">offences? Little or nothing, it appears to me.  Certainly nothing that can </w:t>
      </w:r>
      <w:r w:rsidR="00BA5D19">
        <w:rPr>
          <w:rFonts w:ascii="Palatino Linotype" w:hAnsi="Palatino Linotype"/>
        </w:rPr>
        <w:t xml:space="preserve">confirm </w:t>
      </w:r>
      <w:r w:rsidR="003F04C1">
        <w:rPr>
          <w:rFonts w:ascii="Palatino Linotype" w:hAnsi="Palatino Linotype"/>
        </w:rPr>
        <w:t xml:space="preserve">the facts of </w:t>
      </w:r>
      <w:r w:rsidR="004158AB">
        <w:rPr>
          <w:rFonts w:ascii="Palatino Linotype" w:hAnsi="Palatino Linotype"/>
        </w:rPr>
        <w:t>later</w:t>
      </w:r>
      <w:r w:rsidR="003F04C1">
        <w:rPr>
          <w:rFonts w:ascii="Palatino Linotype" w:hAnsi="Palatino Linotype"/>
        </w:rPr>
        <w:t xml:space="preserve"> </w:t>
      </w:r>
      <w:r w:rsidR="004158AB">
        <w:rPr>
          <w:rFonts w:ascii="Palatino Linotype" w:hAnsi="Palatino Linotype"/>
        </w:rPr>
        <w:t>events here</w:t>
      </w:r>
      <w:r w:rsidR="003F04C1">
        <w:rPr>
          <w:rFonts w:ascii="Palatino Linotype" w:hAnsi="Palatino Linotype"/>
        </w:rPr>
        <w:t>.</w:t>
      </w:r>
    </w:p>
    <w:p w14:paraId="29B85623" w14:textId="4078B53C" w:rsidR="00DA365F" w:rsidRDefault="00BA7D17" w:rsidP="0028098E">
      <w:pPr>
        <w:spacing w:line="480" w:lineRule="auto"/>
        <w:jc w:val="both"/>
        <w:rPr>
          <w:rFonts w:ascii="Palatino Linotype" w:hAnsi="Palatino Linotype"/>
        </w:rPr>
      </w:pPr>
      <w:r>
        <w:rPr>
          <w:rFonts w:ascii="Palatino Linotype" w:hAnsi="Palatino Linotype"/>
        </w:rPr>
        <w:t>1</w:t>
      </w:r>
      <w:r w:rsidR="008E0D19">
        <w:rPr>
          <w:rFonts w:ascii="Palatino Linotype" w:hAnsi="Palatino Linotype"/>
        </w:rPr>
        <w:t>0</w:t>
      </w:r>
      <w:r w:rsidR="0028098E">
        <w:rPr>
          <w:rFonts w:ascii="Palatino Linotype" w:hAnsi="Palatino Linotype"/>
        </w:rPr>
        <w:t>.</w:t>
      </w:r>
      <w:r w:rsidR="008E0D19">
        <w:rPr>
          <w:rFonts w:ascii="Palatino Linotype" w:hAnsi="Palatino Linotype"/>
        </w:rPr>
        <w:t>9</w:t>
      </w:r>
      <w:r w:rsidR="0028098E">
        <w:rPr>
          <w:rFonts w:ascii="Palatino Linotype" w:hAnsi="Palatino Linotype"/>
        </w:rPr>
        <w:tab/>
      </w:r>
      <w:r w:rsidR="003F04C1">
        <w:rPr>
          <w:rFonts w:ascii="Palatino Linotype" w:hAnsi="Palatino Linotype"/>
        </w:rPr>
        <w:t xml:space="preserve">Considering </w:t>
      </w:r>
      <w:proofErr w:type="gramStart"/>
      <w:r w:rsidR="003F04C1">
        <w:rPr>
          <w:rFonts w:ascii="Palatino Linotype" w:hAnsi="Palatino Linotype"/>
        </w:rPr>
        <w:t>all of</w:t>
      </w:r>
      <w:proofErr w:type="gramEnd"/>
      <w:r w:rsidR="003F04C1">
        <w:rPr>
          <w:rFonts w:ascii="Palatino Linotype" w:hAnsi="Palatino Linotype"/>
        </w:rPr>
        <w:t xml:space="preserve"> these factors, t</w:t>
      </w:r>
      <w:r w:rsidR="007D0233">
        <w:rPr>
          <w:rFonts w:ascii="Palatino Linotype" w:hAnsi="Palatino Linotype"/>
        </w:rPr>
        <w:t>his</w:t>
      </w:r>
      <w:r w:rsidR="006F22F3">
        <w:rPr>
          <w:rFonts w:ascii="Palatino Linotype" w:hAnsi="Palatino Linotype"/>
        </w:rPr>
        <w:t xml:space="preserve"> Court </w:t>
      </w:r>
      <w:r w:rsidR="003F04C1">
        <w:rPr>
          <w:rFonts w:ascii="Palatino Linotype" w:hAnsi="Palatino Linotype"/>
        </w:rPr>
        <w:t>is satisfied</w:t>
      </w:r>
      <w:r w:rsidR="007D0233">
        <w:rPr>
          <w:rFonts w:ascii="Palatino Linotype" w:hAnsi="Palatino Linotype"/>
        </w:rPr>
        <w:t xml:space="preserve"> that</w:t>
      </w:r>
      <w:r w:rsidR="006F22F3">
        <w:rPr>
          <w:rFonts w:ascii="Palatino Linotype" w:hAnsi="Palatino Linotype"/>
        </w:rPr>
        <w:t xml:space="preserve"> </w:t>
      </w:r>
      <w:r w:rsidR="003F04C1">
        <w:rPr>
          <w:rFonts w:ascii="Palatino Linotype" w:hAnsi="Palatino Linotype"/>
        </w:rPr>
        <w:t xml:space="preserve">all of </w:t>
      </w:r>
      <w:r w:rsidR="006F22F3">
        <w:rPr>
          <w:rFonts w:ascii="Palatino Linotype" w:hAnsi="Palatino Linotype"/>
        </w:rPr>
        <w:t xml:space="preserve">the </w:t>
      </w:r>
      <w:r w:rsidR="007D0233">
        <w:rPr>
          <w:rFonts w:ascii="Palatino Linotype" w:hAnsi="Palatino Linotype"/>
        </w:rPr>
        <w:t>events outlined by the Plaintiff</w:t>
      </w:r>
      <w:r w:rsidR="006F22F3">
        <w:rPr>
          <w:rFonts w:ascii="Palatino Linotype" w:hAnsi="Palatino Linotype"/>
        </w:rPr>
        <w:t xml:space="preserve"> probably occurred.  A different standard of proof is applicable here </w:t>
      </w:r>
      <w:r w:rsidR="003F04C1">
        <w:rPr>
          <w:rFonts w:ascii="Palatino Linotype" w:hAnsi="Palatino Linotype"/>
        </w:rPr>
        <w:t xml:space="preserve">to that in the criminal trial </w:t>
      </w:r>
      <w:r w:rsidR="006F22F3">
        <w:rPr>
          <w:rFonts w:ascii="Palatino Linotype" w:hAnsi="Palatino Linotype"/>
        </w:rPr>
        <w:t xml:space="preserve">and, abiding by that lower standard, the Plaintiff’s </w:t>
      </w:r>
      <w:r w:rsidR="007D0233">
        <w:rPr>
          <w:rFonts w:ascii="Palatino Linotype" w:hAnsi="Palatino Linotype"/>
        </w:rPr>
        <w:t xml:space="preserve">credible and convincing </w:t>
      </w:r>
      <w:r w:rsidR="006F22F3">
        <w:rPr>
          <w:rFonts w:ascii="Palatino Linotype" w:hAnsi="Palatino Linotype"/>
        </w:rPr>
        <w:t>account</w:t>
      </w:r>
      <w:r w:rsidR="005A0999">
        <w:rPr>
          <w:rFonts w:ascii="Palatino Linotype" w:hAnsi="Palatino Linotype"/>
        </w:rPr>
        <w:t xml:space="preserve"> and </w:t>
      </w:r>
      <w:r w:rsidR="006F22F3">
        <w:rPr>
          <w:rFonts w:ascii="Palatino Linotype" w:hAnsi="Palatino Linotype"/>
        </w:rPr>
        <w:t>the lack of countering evidence persuade me to accept the Plaintiff’s evidence in full.</w:t>
      </w:r>
      <w:r w:rsidR="00EC3831">
        <w:rPr>
          <w:rFonts w:ascii="Palatino Linotype" w:hAnsi="Palatino Linotype"/>
        </w:rPr>
        <w:t xml:space="preserve"> </w:t>
      </w:r>
      <w:r w:rsidR="005A0999">
        <w:rPr>
          <w:rFonts w:ascii="Palatino Linotype" w:hAnsi="Palatino Linotype"/>
        </w:rPr>
        <w:t xml:space="preserve">The earliest allegations, concerning </w:t>
      </w:r>
      <w:r w:rsidR="002A643A">
        <w:rPr>
          <w:rFonts w:ascii="Palatino Linotype" w:hAnsi="Palatino Linotype"/>
        </w:rPr>
        <w:t>1976</w:t>
      </w:r>
      <w:r w:rsidR="005A0999">
        <w:rPr>
          <w:rFonts w:ascii="Palatino Linotype" w:hAnsi="Palatino Linotype"/>
        </w:rPr>
        <w:t xml:space="preserve">, have been the subject of criminal </w:t>
      </w:r>
      <w:r w:rsidR="005A0999" w:rsidRPr="00C92035">
        <w:rPr>
          <w:rFonts w:ascii="Palatino Linotype" w:hAnsi="Palatino Linotype"/>
        </w:rPr>
        <w:t xml:space="preserve">convictions and there is very strong evidence </w:t>
      </w:r>
      <w:r w:rsidR="002A643A">
        <w:rPr>
          <w:rFonts w:ascii="Palatino Linotype" w:hAnsi="Palatino Linotype"/>
        </w:rPr>
        <w:t xml:space="preserve">indeed </w:t>
      </w:r>
      <w:r w:rsidR="005A0999" w:rsidRPr="00C92035">
        <w:rPr>
          <w:rFonts w:ascii="Palatino Linotype" w:hAnsi="Palatino Linotype"/>
        </w:rPr>
        <w:t>that these events occurred.</w:t>
      </w:r>
    </w:p>
    <w:p w14:paraId="1A802040" w14:textId="77777777" w:rsidR="002A643A" w:rsidRPr="00C92035" w:rsidRDefault="002A643A" w:rsidP="0028098E">
      <w:pPr>
        <w:spacing w:line="480" w:lineRule="auto"/>
        <w:jc w:val="both"/>
        <w:rPr>
          <w:rFonts w:ascii="Palatino Linotype" w:hAnsi="Palatino Linotype"/>
        </w:rPr>
      </w:pPr>
    </w:p>
    <w:p w14:paraId="1DBF8628" w14:textId="76124625" w:rsidR="00C667C5" w:rsidRPr="00E4577C" w:rsidRDefault="00BA7D17" w:rsidP="0028098E">
      <w:pPr>
        <w:spacing w:line="480" w:lineRule="auto"/>
        <w:jc w:val="both"/>
        <w:rPr>
          <w:rFonts w:ascii="Palatino Linotype" w:hAnsi="Palatino Linotype"/>
          <w:b/>
        </w:rPr>
      </w:pPr>
      <w:r>
        <w:rPr>
          <w:rFonts w:ascii="Palatino Linotype" w:hAnsi="Palatino Linotype"/>
          <w:b/>
        </w:rPr>
        <w:lastRenderedPageBreak/>
        <w:t>1</w:t>
      </w:r>
      <w:r w:rsidR="0028098E" w:rsidRPr="00E4577C">
        <w:rPr>
          <w:rFonts w:ascii="Palatino Linotype" w:hAnsi="Palatino Linotype"/>
          <w:b/>
        </w:rPr>
        <w:t xml:space="preserve">1. </w:t>
      </w:r>
      <w:r w:rsidR="008E0D19">
        <w:rPr>
          <w:rFonts w:ascii="Palatino Linotype" w:hAnsi="Palatino Linotype"/>
          <w:b/>
        </w:rPr>
        <w:t xml:space="preserve"> </w:t>
      </w:r>
      <w:r w:rsidR="00C667C5" w:rsidRPr="00E4577C">
        <w:rPr>
          <w:rFonts w:ascii="Palatino Linotype" w:hAnsi="Palatino Linotype"/>
          <w:b/>
        </w:rPr>
        <w:t>The Effects of the Abuse</w:t>
      </w:r>
      <w:r w:rsidR="00736E62">
        <w:rPr>
          <w:rFonts w:ascii="Palatino Linotype" w:hAnsi="Palatino Linotype"/>
          <w:b/>
        </w:rPr>
        <w:t xml:space="preserve">:  </w:t>
      </w:r>
      <w:r w:rsidR="00736E62" w:rsidRPr="00736E62">
        <w:rPr>
          <w:rFonts w:ascii="Palatino Linotype" w:hAnsi="Palatino Linotype"/>
          <w:b/>
        </w:rPr>
        <w:t>Physical and Psychological Injuries</w:t>
      </w:r>
    </w:p>
    <w:p w14:paraId="76801122" w14:textId="1B9C96EF" w:rsidR="00C667C5" w:rsidRPr="00C667C5" w:rsidRDefault="00BA7D17" w:rsidP="0028098E">
      <w:pPr>
        <w:spacing w:line="480" w:lineRule="auto"/>
        <w:jc w:val="both"/>
        <w:rPr>
          <w:rFonts w:ascii="Palatino Linotype" w:hAnsi="Palatino Linotype"/>
        </w:rPr>
      </w:pPr>
      <w:r>
        <w:rPr>
          <w:rFonts w:ascii="Palatino Linotype" w:hAnsi="Palatino Linotype"/>
        </w:rPr>
        <w:t>1</w:t>
      </w:r>
      <w:r w:rsidR="0028098E">
        <w:rPr>
          <w:rFonts w:ascii="Palatino Linotype" w:hAnsi="Palatino Linotype"/>
        </w:rPr>
        <w:t>1.1</w:t>
      </w:r>
      <w:r w:rsidR="0028098E">
        <w:rPr>
          <w:rFonts w:ascii="Palatino Linotype" w:hAnsi="Palatino Linotype"/>
        </w:rPr>
        <w:tab/>
      </w:r>
      <w:r w:rsidR="006C69C1">
        <w:rPr>
          <w:rFonts w:ascii="Palatino Linotype" w:hAnsi="Palatino Linotype"/>
        </w:rPr>
        <w:t xml:space="preserve">The effects of this abuse on the Plaintiff have been very serious.  </w:t>
      </w:r>
      <w:r w:rsidR="00C667C5" w:rsidRPr="00C667C5">
        <w:rPr>
          <w:rFonts w:ascii="Palatino Linotype" w:hAnsi="Palatino Linotype"/>
        </w:rPr>
        <w:t xml:space="preserve">When the Plaintiff was 19 years old, she told the man who </w:t>
      </w:r>
      <w:r w:rsidR="00695B95">
        <w:rPr>
          <w:rFonts w:ascii="Palatino Linotype" w:hAnsi="Palatino Linotype"/>
        </w:rPr>
        <w:t>would become</w:t>
      </w:r>
      <w:r w:rsidR="00C667C5" w:rsidRPr="00C667C5">
        <w:rPr>
          <w:rFonts w:ascii="Palatino Linotype" w:hAnsi="Palatino Linotype"/>
        </w:rPr>
        <w:t xml:space="preserve"> her husband what had happened</w:t>
      </w:r>
      <w:r w:rsidR="006C69C1">
        <w:rPr>
          <w:rFonts w:ascii="Palatino Linotype" w:hAnsi="Palatino Linotype"/>
        </w:rPr>
        <w:t xml:space="preserve"> to her</w:t>
      </w:r>
      <w:r w:rsidR="00C667C5" w:rsidRPr="00C667C5">
        <w:rPr>
          <w:rFonts w:ascii="Palatino Linotype" w:hAnsi="Palatino Linotype"/>
        </w:rPr>
        <w:t xml:space="preserve">. When their daughter was born in 1997, the Defendant attended the child’s Christening. When the Plaintiff eventually told her family, </w:t>
      </w:r>
      <w:r w:rsidR="00695B95">
        <w:rPr>
          <w:rFonts w:ascii="Palatino Linotype" w:hAnsi="Palatino Linotype"/>
        </w:rPr>
        <w:t>they put</w:t>
      </w:r>
      <w:r w:rsidR="00C667C5" w:rsidRPr="00C667C5">
        <w:rPr>
          <w:rFonts w:ascii="Palatino Linotype" w:hAnsi="Palatino Linotype"/>
        </w:rPr>
        <w:t xml:space="preserve"> pressure</w:t>
      </w:r>
      <w:r w:rsidR="00695B95">
        <w:rPr>
          <w:rFonts w:ascii="Palatino Linotype" w:hAnsi="Palatino Linotype"/>
        </w:rPr>
        <w:t xml:space="preserve"> on her in various ways</w:t>
      </w:r>
      <w:r w:rsidR="00C667C5" w:rsidRPr="00C667C5">
        <w:rPr>
          <w:rFonts w:ascii="Palatino Linotype" w:hAnsi="Palatino Linotype"/>
        </w:rPr>
        <w:t xml:space="preserve">.  One sister told her to go to counselling saying that the family would pay. A brother asked how she would feel if he, the Defendant, had a heart attack over what she said. These responses added to the Plaintiff’s </w:t>
      </w:r>
      <w:r w:rsidR="00695B95">
        <w:rPr>
          <w:rFonts w:ascii="Palatino Linotype" w:hAnsi="Palatino Linotype"/>
        </w:rPr>
        <w:t xml:space="preserve">feelings of trauma and </w:t>
      </w:r>
      <w:r w:rsidR="00C667C5" w:rsidRPr="00C667C5">
        <w:rPr>
          <w:rFonts w:ascii="Palatino Linotype" w:hAnsi="Palatino Linotype"/>
        </w:rPr>
        <w:t>stress.  In her words</w:t>
      </w:r>
      <w:r w:rsidR="00C667C5" w:rsidRPr="00C667C5">
        <w:rPr>
          <w:rFonts w:ascii="Palatino Linotype" w:hAnsi="Palatino Linotype"/>
          <w:i/>
        </w:rPr>
        <w:t xml:space="preserve">, </w:t>
      </w:r>
      <w:r w:rsidR="00FE0A0C">
        <w:rPr>
          <w:rFonts w:ascii="Palatino Linotype" w:hAnsi="Palatino Linotype"/>
          <w:i/>
        </w:rPr>
        <w:t>‘</w:t>
      </w:r>
      <w:r w:rsidR="00C667C5" w:rsidRPr="00C667C5">
        <w:rPr>
          <w:rFonts w:ascii="Palatino Linotype" w:hAnsi="Palatino Linotype"/>
          <w:i/>
        </w:rPr>
        <w:t>I had to carry that too</w:t>
      </w:r>
      <w:r w:rsidR="00FE0A0C">
        <w:rPr>
          <w:rFonts w:ascii="Palatino Linotype" w:hAnsi="Palatino Linotype"/>
          <w:i/>
        </w:rPr>
        <w:t>’</w:t>
      </w:r>
      <w:r w:rsidR="00C667C5" w:rsidRPr="00C667C5">
        <w:rPr>
          <w:rFonts w:ascii="Palatino Linotype" w:hAnsi="Palatino Linotype"/>
          <w:i/>
        </w:rPr>
        <w:t xml:space="preserve">. </w:t>
      </w:r>
      <w:r w:rsidR="00C667C5" w:rsidRPr="00C667C5">
        <w:rPr>
          <w:rFonts w:ascii="Palatino Linotype" w:hAnsi="Palatino Linotype"/>
        </w:rPr>
        <w:t xml:space="preserve"> </w:t>
      </w:r>
    </w:p>
    <w:p w14:paraId="2A1E2E2E" w14:textId="65B78AD6" w:rsidR="00C667C5" w:rsidRPr="00C667C5" w:rsidRDefault="00BA7D17" w:rsidP="0028098E">
      <w:pPr>
        <w:spacing w:line="480" w:lineRule="auto"/>
        <w:jc w:val="both"/>
        <w:rPr>
          <w:rFonts w:ascii="Palatino Linotype" w:hAnsi="Palatino Linotype"/>
        </w:rPr>
      </w:pPr>
      <w:r>
        <w:rPr>
          <w:rFonts w:ascii="Palatino Linotype" w:hAnsi="Palatino Linotype"/>
        </w:rPr>
        <w:t>1</w:t>
      </w:r>
      <w:r w:rsidR="0028098E">
        <w:rPr>
          <w:rFonts w:ascii="Palatino Linotype" w:hAnsi="Palatino Linotype"/>
        </w:rPr>
        <w:t>1.</w:t>
      </w:r>
      <w:r w:rsidR="00695B95">
        <w:rPr>
          <w:rFonts w:ascii="Palatino Linotype" w:hAnsi="Palatino Linotype"/>
        </w:rPr>
        <w:t>2</w:t>
      </w:r>
      <w:r w:rsidR="0028098E">
        <w:rPr>
          <w:rFonts w:ascii="Palatino Linotype" w:hAnsi="Palatino Linotype"/>
        </w:rPr>
        <w:tab/>
      </w:r>
      <w:r w:rsidR="00C667C5" w:rsidRPr="00C667C5">
        <w:rPr>
          <w:rFonts w:ascii="Palatino Linotype" w:hAnsi="Palatino Linotype"/>
        </w:rPr>
        <w:t xml:space="preserve">The Plaintiff’s evidence was that she is disconnected from herself as a child. She described herself as two people.  In her view, she has lost her childhood as she only remembers abuse, it is difficult to retrieve any good memories.  She described herself as being a sad child, holding her head down and feeling that she had done something wrong, but not knowing why.  As already described, she understood these events as </w:t>
      </w:r>
      <w:r w:rsidR="0055162B" w:rsidRPr="00C667C5">
        <w:rPr>
          <w:rFonts w:ascii="Palatino Linotype" w:hAnsi="Palatino Linotype"/>
        </w:rPr>
        <w:t>normal; it</w:t>
      </w:r>
      <w:r w:rsidR="00C667C5" w:rsidRPr="00C667C5">
        <w:rPr>
          <w:rFonts w:ascii="Palatino Linotype" w:hAnsi="Palatino Linotype"/>
        </w:rPr>
        <w:t xml:space="preserve"> was normality for her.  </w:t>
      </w:r>
    </w:p>
    <w:p w14:paraId="62DE52AE" w14:textId="7BCF2237" w:rsidR="00C667C5" w:rsidRPr="00C667C5" w:rsidRDefault="00BA7D17" w:rsidP="0028098E">
      <w:pPr>
        <w:spacing w:line="480" w:lineRule="auto"/>
        <w:jc w:val="both"/>
        <w:rPr>
          <w:rFonts w:ascii="Palatino Linotype" w:hAnsi="Palatino Linotype"/>
        </w:rPr>
      </w:pPr>
      <w:r>
        <w:rPr>
          <w:rFonts w:ascii="Palatino Linotype" w:hAnsi="Palatino Linotype"/>
        </w:rPr>
        <w:t>1</w:t>
      </w:r>
      <w:r w:rsidR="0028098E">
        <w:rPr>
          <w:rFonts w:ascii="Palatino Linotype" w:hAnsi="Palatino Linotype"/>
        </w:rPr>
        <w:t>1.</w:t>
      </w:r>
      <w:r w:rsidR="001660CB">
        <w:rPr>
          <w:rFonts w:ascii="Palatino Linotype" w:hAnsi="Palatino Linotype"/>
        </w:rPr>
        <w:t>3</w:t>
      </w:r>
      <w:r w:rsidR="0028098E">
        <w:rPr>
          <w:rFonts w:ascii="Palatino Linotype" w:hAnsi="Palatino Linotype"/>
        </w:rPr>
        <w:tab/>
      </w:r>
      <w:r w:rsidR="00C667C5" w:rsidRPr="00C667C5">
        <w:rPr>
          <w:rFonts w:ascii="Palatino Linotype" w:hAnsi="Palatino Linotype"/>
        </w:rPr>
        <w:t>From her early years she described suffering from</w:t>
      </w:r>
      <w:r w:rsidR="00695B95">
        <w:rPr>
          <w:rFonts w:ascii="Palatino Linotype" w:hAnsi="Palatino Linotype"/>
        </w:rPr>
        <w:t xml:space="preserve"> stress and</w:t>
      </w:r>
      <w:r w:rsidR="00C667C5" w:rsidRPr="00C667C5">
        <w:rPr>
          <w:rFonts w:ascii="Palatino Linotype" w:hAnsi="Palatino Linotype"/>
        </w:rPr>
        <w:t xml:space="preserve"> </w:t>
      </w:r>
      <w:proofErr w:type="gramStart"/>
      <w:r w:rsidR="00695B95">
        <w:rPr>
          <w:rFonts w:ascii="Palatino Linotype" w:hAnsi="Palatino Linotype"/>
        </w:rPr>
        <w:t>anxiety</w:t>
      </w:r>
      <w:proofErr w:type="gramEnd"/>
      <w:r w:rsidR="00695B95">
        <w:rPr>
          <w:rFonts w:ascii="Palatino Linotype" w:hAnsi="Palatino Linotype"/>
        </w:rPr>
        <w:t xml:space="preserve"> </w:t>
      </w:r>
      <w:r w:rsidR="00C667C5" w:rsidRPr="00C667C5">
        <w:rPr>
          <w:rFonts w:ascii="Palatino Linotype" w:hAnsi="Palatino Linotype"/>
        </w:rPr>
        <w:t xml:space="preserve">and she continues to take prescribed medication </w:t>
      </w:r>
      <w:r w:rsidR="00695B95">
        <w:rPr>
          <w:rFonts w:ascii="Palatino Linotype" w:hAnsi="Palatino Linotype"/>
        </w:rPr>
        <w:t>on most</w:t>
      </w:r>
      <w:r w:rsidR="00C667C5" w:rsidRPr="00C667C5">
        <w:rPr>
          <w:rFonts w:ascii="Palatino Linotype" w:hAnsi="Palatino Linotype"/>
        </w:rPr>
        <w:t xml:space="preserve"> day</w:t>
      </w:r>
      <w:r w:rsidR="00695B95">
        <w:rPr>
          <w:rFonts w:ascii="Palatino Linotype" w:hAnsi="Palatino Linotype"/>
        </w:rPr>
        <w:t>s</w:t>
      </w:r>
      <w:r w:rsidR="00C667C5" w:rsidRPr="00C667C5">
        <w:rPr>
          <w:rFonts w:ascii="Palatino Linotype" w:hAnsi="Palatino Linotype"/>
        </w:rPr>
        <w:t xml:space="preserve">. She feels anger and struggles to manage it so that it is expressed appropriately. After the Defendant was sentenced in July of 2015, the Plaintiff took an overdose of paracetamol and spent 3 nights in hospital.  She described how she kept going over the details of the abuse and said of this period: </w:t>
      </w:r>
      <w:r w:rsidR="007B6E3C">
        <w:rPr>
          <w:rFonts w:ascii="Palatino Linotype" w:hAnsi="Palatino Linotype"/>
        </w:rPr>
        <w:t>‘</w:t>
      </w:r>
      <w:r w:rsidR="00C667C5" w:rsidRPr="00C667C5">
        <w:rPr>
          <w:rFonts w:ascii="Palatino Linotype" w:hAnsi="Palatino Linotype"/>
          <w:i/>
        </w:rPr>
        <w:t>I didn’t want to die but didn’t want to live</w:t>
      </w:r>
      <w:r w:rsidR="007B6E3C">
        <w:rPr>
          <w:rFonts w:ascii="Palatino Linotype" w:hAnsi="Palatino Linotype"/>
          <w:i/>
        </w:rPr>
        <w:t>’</w:t>
      </w:r>
      <w:r w:rsidR="00C667C5" w:rsidRPr="00C667C5">
        <w:rPr>
          <w:rFonts w:ascii="Palatino Linotype" w:hAnsi="Palatino Linotype"/>
        </w:rPr>
        <w:t xml:space="preserve">.  It is likely that the conclusion of the criminal proceedings did not bring closure to the Plaintiff and that it was very difficult for her to move on, </w:t>
      </w:r>
      <w:proofErr w:type="gramStart"/>
      <w:r w:rsidR="00C667C5" w:rsidRPr="00C667C5">
        <w:rPr>
          <w:rFonts w:ascii="Palatino Linotype" w:hAnsi="Palatino Linotype"/>
        </w:rPr>
        <w:t>despite the fact that</w:t>
      </w:r>
      <w:proofErr w:type="gramEnd"/>
      <w:r w:rsidR="00C667C5" w:rsidRPr="00C667C5">
        <w:rPr>
          <w:rFonts w:ascii="Palatino Linotype" w:hAnsi="Palatino Linotype"/>
        </w:rPr>
        <w:t xml:space="preserve"> the Defendant had been found guilty and sentenced.  </w:t>
      </w:r>
    </w:p>
    <w:p w14:paraId="2ADCB434" w14:textId="1A282479" w:rsidR="000221A0" w:rsidRPr="00736E62" w:rsidRDefault="00BA7D17" w:rsidP="0028098E">
      <w:pPr>
        <w:spacing w:line="480" w:lineRule="auto"/>
        <w:jc w:val="both"/>
        <w:rPr>
          <w:rFonts w:ascii="Palatino Linotype" w:hAnsi="Palatino Linotype"/>
        </w:rPr>
      </w:pPr>
      <w:r>
        <w:rPr>
          <w:rFonts w:ascii="Palatino Linotype" w:hAnsi="Palatino Linotype"/>
        </w:rPr>
        <w:lastRenderedPageBreak/>
        <w:t>1</w:t>
      </w:r>
      <w:r w:rsidR="0028098E">
        <w:rPr>
          <w:rFonts w:ascii="Palatino Linotype" w:hAnsi="Palatino Linotype"/>
        </w:rPr>
        <w:t>1.</w:t>
      </w:r>
      <w:r w:rsidR="001660CB">
        <w:rPr>
          <w:rFonts w:ascii="Palatino Linotype" w:hAnsi="Palatino Linotype"/>
        </w:rPr>
        <w:t>4</w:t>
      </w:r>
      <w:r w:rsidR="0028098E">
        <w:rPr>
          <w:rFonts w:ascii="Palatino Linotype" w:hAnsi="Palatino Linotype"/>
        </w:rPr>
        <w:tab/>
      </w:r>
      <w:r w:rsidR="00C667C5" w:rsidRPr="00C667C5">
        <w:rPr>
          <w:rFonts w:ascii="Palatino Linotype" w:hAnsi="Palatino Linotype"/>
        </w:rPr>
        <w:t xml:space="preserve">The Plaintiff felt that she did not have a childhood. In her words, the Defendant tarnished her memory of her grandfather’s </w:t>
      </w:r>
      <w:proofErr w:type="gramStart"/>
      <w:r w:rsidR="00C667C5" w:rsidRPr="00C667C5">
        <w:rPr>
          <w:rFonts w:ascii="Palatino Linotype" w:hAnsi="Palatino Linotype"/>
        </w:rPr>
        <w:t>home, in particular</w:t>
      </w:r>
      <w:proofErr w:type="gramEnd"/>
      <w:r w:rsidR="00C667C5" w:rsidRPr="00C667C5">
        <w:rPr>
          <w:rFonts w:ascii="Palatino Linotype" w:hAnsi="Palatino Linotype"/>
        </w:rPr>
        <w:t>.  Even now, she is not free of the abuse and says she never will be.</w:t>
      </w:r>
      <w:r w:rsidR="00695B95">
        <w:rPr>
          <w:rFonts w:ascii="Palatino Linotype" w:hAnsi="Palatino Linotype"/>
        </w:rPr>
        <w:t xml:space="preserve">  I have described the visit to a funfair that continues to remind her of the assaults committed against her while she was a child.</w:t>
      </w:r>
    </w:p>
    <w:p w14:paraId="6FF9EECD" w14:textId="151A8A0E" w:rsidR="003302CA" w:rsidRPr="000221A0" w:rsidRDefault="00BA7D17" w:rsidP="0028098E">
      <w:pPr>
        <w:spacing w:line="480" w:lineRule="auto"/>
        <w:jc w:val="both"/>
        <w:rPr>
          <w:rFonts w:ascii="Palatino Linotype" w:hAnsi="Palatino Linotype"/>
        </w:rPr>
      </w:pPr>
      <w:r>
        <w:rPr>
          <w:rFonts w:ascii="Palatino Linotype" w:hAnsi="Palatino Linotype"/>
        </w:rPr>
        <w:t>1</w:t>
      </w:r>
      <w:r w:rsidR="008E0D19">
        <w:rPr>
          <w:rFonts w:ascii="Palatino Linotype" w:hAnsi="Palatino Linotype"/>
        </w:rPr>
        <w:t>1</w:t>
      </w:r>
      <w:r w:rsidR="0028098E">
        <w:rPr>
          <w:rFonts w:ascii="Palatino Linotype" w:hAnsi="Palatino Linotype"/>
        </w:rPr>
        <w:t>.</w:t>
      </w:r>
      <w:r w:rsidR="008E0D19">
        <w:rPr>
          <w:rFonts w:ascii="Palatino Linotype" w:hAnsi="Palatino Linotype"/>
        </w:rPr>
        <w:t>5</w:t>
      </w:r>
      <w:r w:rsidR="0028098E">
        <w:rPr>
          <w:rFonts w:ascii="Palatino Linotype" w:hAnsi="Palatino Linotype"/>
        </w:rPr>
        <w:tab/>
      </w:r>
      <w:r w:rsidR="003302CA" w:rsidRPr="000221A0">
        <w:rPr>
          <w:rFonts w:ascii="Palatino Linotype" w:hAnsi="Palatino Linotype"/>
        </w:rPr>
        <w:t>The Plaintiff suffered from depression and</w:t>
      </w:r>
      <w:proofErr w:type="gramStart"/>
      <w:r w:rsidR="003302CA" w:rsidRPr="000221A0">
        <w:rPr>
          <w:rFonts w:ascii="Palatino Linotype" w:hAnsi="Palatino Linotype"/>
        </w:rPr>
        <w:t>, in particular, from</w:t>
      </w:r>
      <w:proofErr w:type="gramEnd"/>
      <w:r w:rsidR="003302CA" w:rsidRPr="000221A0">
        <w:rPr>
          <w:rFonts w:ascii="Palatino Linotype" w:hAnsi="Palatino Linotype"/>
        </w:rPr>
        <w:t xml:space="preserve"> May 2011 increased her anti-depression medication. She has remained on anti-depressants, apart from a small window of 6 months.  She has not been able to cope without medication to </w:t>
      </w:r>
      <w:r w:rsidR="000221A0">
        <w:rPr>
          <w:rFonts w:ascii="Palatino Linotype" w:hAnsi="Palatino Linotype"/>
        </w:rPr>
        <w:t>enhance</w:t>
      </w:r>
      <w:r w:rsidR="003302CA" w:rsidRPr="000221A0">
        <w:rPr>
          <w:rFonts w:ascii="Palatino Linotype" w:hAnsi="Palatino Linotype"/>
        </w:rPr>
        <w:t xml:space="preserve"> her mood. </w:t>
      </w:r>
      <w:r w:rsidR="000B14AE">
        <w:rPr>
          <w:rFonts w:ascii="Palatino Linotype" w:hAnsi="Palatino Linotype"/>
        </w:rPr>
        <w:t xml:space="preserve">  </w:t>
      </w:r>
      <w:r w:rsidR="003302CA" w:rsidRPr="000221A0">
        <w:rPr>
          <w:rFonts w:ascii="Palatino Linotype" w:hAnsi="Palatino Linotype"/>
        </w:rPr>
        <w:t>It was described as uncommon</w:t>
      </w:r>
      <w:r w:rsidR="00736E62">
        <w:rPr>
          <w:rFonts w:ascii="Palatino Linotype" w:hAnsi="Palatino Linotype"/>
        </w:rPr>
        <w:t xml:space="preserve"> for a patient</w:t>
      </w:r>
      <w:r w:rsidR="003302CA" w:rsidRPr="000221A0">
        <w:rPr>
          <w:rFonts w:ascii="Palatino Linotype" w:hAnsi="Palatino Linotype"/>
        </w:rPr>
        <w:t xml:space="preserve"> to remain for a prolonged period on anti-depressants, and she was having long term significant psychological problems as a result. The medical evidence was that it was highly likely that she would continue to need such medication into the future.</w:t>
      </w:r>
    </w:p>
    <w:p w14:paraId="58F74B16" w14:textId="417A3C5F" w:rsidR="00736E62" w:rsidRDefault="00BA7D17" w:rsidP="0028098E">
      <w:pPr>
        <w:spacing w:line="480" w:lineRule="auto"/>
        <w:jc w:val="both"/>
        <w:rPr>
          <w:rFonts w:ascii="Palatino Linotype" w:hAnsi="Palatino Linotype"/>
        </w:rPr>
      </w:pPr>
      <w:r>
        <w:rPr>
          <w:rFonts w:ascii="Palatino Linotype" w:hAnsi="Palatino Linotype"/>
        </w:rPr>
        <w:t>1</w:t>
      </w:r>
      <w:r w:rsidR="008E0D19">
        <w:rPr>
          <w:rFonts w:ascii="Palatino Linotype" w:hAnsi="Palatino Linotype"/>
        </w:rPr>
        <w:t>1</w:t>
      </w:r>
      <w:r w:rsidR="0028098E">
        <w:rPr>
          <w:rFonts w:ascii="Palatino Linotype" w:hAnsi="Palatino Linotype"/>
        </w:rPr>
        <w:t>.</w:t>
      </w:r>
      <w:r w:rsidR="008E0D19">
        <w:rPr>
          <w:rFonts w:ascii="Palatino Linotype" w:hAnsi="Palatino Linotype"/>
        </w:rPr>
        <w:t>6</w:t>
      </w:r>
      <w:r w:rsidR="0028098E">
        <w:rPr>
          <w:rFonts w:ascii="Palatino Linotype" w:hAnsi="Palatino Linotype"/>
        </w:rPr>
        <w:tab/>
      </w:r>
      <w:r w:rsidR="003302CA" w:rsidRPr="000221A0">
        <w:rPr>
          <w:rFonts w:ascii="Palatino Linotype" w:hAnsi="Palatino Linotype"/>
        </w:rPr>
        <w:t>She was diagnosed with Crohn’s disease in 1999. In 20</w:t>
      </w:r>
      <w:r w:rsidR="008E0D19">
        <w:rPr>
          <w:rFonts w:ascii="Palatino Linotype" w:hAnsi="Palatino Linotype"/>
        </w:rPr>
        <w:t>0</w:t>
      </w:r>
      <w:r w:rsidR="003302CA" w:rsidRPr="000221A0">
        <w:rPr>
          <w:rFonts w:ascii="Palatino Linotype" w:hAnsi="Palatino Linotype"/>
        </w:rPr>
        <w:t xml:space="preserve">9, the Plaintiff had a bowel </w:t>
      </w:r>
      <w:r w:rsidR="000B14AE" w:rsidRPr="000221A0">
        <w:rPr>
          <w:rFonts w:ascii="Palatino Linotype" w:hAnsi="Palatino Linotype"/>
        </w:rPr>
        <w:t>abscess</w:t>
      </w:r>
      <w:r w:rsidR="003302CA" w:rsidRPr="000221A0">
        <w:rPr>
          <w:rFonts w:ascii="Palatino Linotype" w:hAnsi="Palatino Linotype"/>
        </w:rPr>
        <w:t xml:space="preserve"> and had sections of the bowel removed in 2013 and 2015</w:t>
      </w:r>
      <w:r w:rsidR="001660CB">
        <w:rPr>
          <w:rFonts w:ascii="Palatino Linotype" w:hAnsi="Palatino Linotype"/>
        </w:rPr>
        <w:t xml:space="preserve">.  </w:t>
      </w:r>
      <w:r w:rsidR="003302CA" w:rsidRPr="000221A0">
        <w:rPr>
          <w:rFonts w:ascii="Palatino Linotype" w:hAnsi="Palatino Linotype"/>
        </w:rPr>
        <w:t>She remains on anti-inflammatory med</w:t>
      </w:r>
      <w:r w:rsidR="001D2523">
        <w:rPr>
          <w:rFonts w:ascii="Palatino Linotype" w:hAnsi="Palatino Linotype"/>
        </w:rPr>
        <w:t>ication</w:t>
      </w:r>
      <w:r w:rsidR="003302CA" w:rsidRPr="000221A0">
        <w:rPr>
          <w:rFonts w:ascii="Palatino Linotype" w:hAnsi="Palatino Linotype"/>
        </w:rPr>
        <w:t xml:space="preserve"> to suppress the effects of this condition. The medical evidence was that the cause of the condition was unknown, but that the circumstances of the Plaintiff’s abuse were likely to have been a stressor</w:t>
      </w:r>
      <w:r w:rsidR="003302CA" w:rsidRPr="003302CA">
        <w:rPr>
          <w:rFonts w:ascii="Palatino Linotype" w:hAnsi="Palatino Linotype"/>
        </w:rPr>
        <w:t xml:space="preserve">, contributing to repeated recurrences of the symptoms and to its severity. </w:t>
      </w:r>
    </w:p>
    <w:p w14:paraId="26497CEC" w14:textId="664373CD" w:rsidR="001660CB" w:rsidRPr="001660CB" w:rsidRDefault="00BA7D17" w:rsidP="001660CB">
      <w:pPr>
        <w:spacing w:line="480" w:lineRule="auto"/>
        <w:jc w:val="both"/>
        <w:rPr>
          <w:rFonts w:ascii="Palatino Linotype" w:hAnsi="Palatino Linotype"/>
          <w:b/>
        </w:rPr>
      </w:pPr>
      <w:r>
        <w:rPr>
          <w:rFonts w:ascii="Palatino Linotype" w:hAnsi="Palatino Linotype"/>
          <w:b/>
        </w:rPr>
        <w:t>1</w:t>
      </w:r>
      <w:r w:rsidR="001660CB" w:rsidRPr="001660CB">
        <w:rPr>
          <w:rFonts w:ascii="Palatino Linotype" w:hAnsi="Palatino Linotype"/>
          <w:b/>
        </w:rPr>
        <w:t xml:space="preserve">2. </w:t>
      </w:r>
      <w:r w:rsidR="008E0D19">
        <w:rPr>
          <w:rFonts w:ascii="Palatino Linotype" w:hAnsi="Palatino Linotype"/>
          <w:b/>
        </w:rPr>
        <w:t xml:space="preserve"> </w:t>
      </w:r>
      <w:r w:rsidR="001660CB" w:rsidRPr="001660CB">
        <w:rPr>
          <w:rFonts w:ascii="Palatino Linotype" w:hAnsi="Palatino Linotype"/>
          <w:b/>
        </w:rPr>
        <w:t>Assessment</w:t>
      </w:r>
      <w:r w:rsidR="002A1768">
        <w:rPr>
          <w:rFonts w:ascii="Palatino Linotype" w:hAnsi="Palatino Linotype"/>
          <w:b/>
        </w:rPr>
        <w:t xml:space="preserve">:  </w:t>
      </w:r>
      <w:r w:rsidR="00414084">
        <w:rPr>
          <w:rFonts w:ascii="Palatino Linotype" w:hAnsi="Palatino Linotype"/>
          <w:b/>
        </w:rPr>
        <w:t xml:space="preserve">Proportionate </w:t>
      </w:r>
      <w:r w:rsidR="002A1768">
        <w:rPr>
          <w:rFonts w:ascii="Palatino Linotype" w:hAnsi="Palatino Linotype"/>
          <w:b/>
        </w:rPr>
        <w:t xml:space="preserve">Awards </w:t>
      </w:r>
      <w:r w:rsidR="00414084">
        <w:rPr>
          <w:rFonts w:ascii="Palatino Linotype" w:hAnsi="Palatino Linotype"/>
          <w:b/>
        </w:rPr>
        <w:t>and Aggravated Damages</w:t>
      </w:r>
    </w:p>
    <w:p w14:paraId="6C4A2E97" w14:textId="5CF54E0B" w:rsidR="001660CB" w:rsidRPr="001660CB" w:rsidRDefault="00BA7D17" w:rsidP="001660CB">
      <w:pPr>
        <w:spacing w:line="480" w:lineRule="auto"/>
        <w:jc w:val="both"/>
        <w:rPr>
          <w:rFonts w:ascii="Palatino Linotype" w:hAnsi="Palatino Linotype"/>
        </w:rPr>
      </w:pPr>
      <w:r>
        <w:rPr>
          <w:rFonts w:ascii="Palatino Linotype" w:hAnsi="Palatino Linotype"/>
        </w:rPr>
        <w:t>1</w:t>
      </w:r>
      <w:r w:rsidR="001660CB" w:rsidRPr="001660CB">
        <w:rPr>
          <w:rFonts w:ascii="Palatino Linotype" w:hAnsi="Palatino Linotype"/>
        </w:rPr>
        <w:t>2.1</w:t>
      </w:r>
      <w:r w:rsidR="001660CB" w:rsidRPr="001660CB">
        <w:rPr>
          <w:rFonts w:ascii="Palatino Linotype" w:hAnsi="Palatino Linotype"/>
        </w:rPr>
        <w:tab/>
        <w:t xml:space="preserve">The Court must assess the </w:t>
      </w:r>
      <w:proofErr w:type="gramStart"/>
      <w:r w:rsidR="001660CB" w:rsidRPr="001660CB">
        <w:rPr>
          <w:rFonts w:ascii="Palatino Linotype" w:hAnsi="Palatino Linotype"/>
        </w:rPr>
        <w:t>amount</w:t>
      </w:r>
      <w:proofErr w:type="gramEnd"/>
      <w:r w:rsidR="001660CB" w:rsidRPr="001660CB">
        <w:rPr>
          <w:rFonts w:ascii="Palatino Linotype" w:hAnsi="Palatino Linotype"/>
        </w:rPr>
        <w:t xml:space="preserve"> of damages which the Defendant should pay to the Plaintiff.  </w:t>
      </w:r>
      <w:r w:rsidR="00722564">
        <w:rPr>
          <w:rFonts w:ascii="Palatino Linotype" w:hAnsi="Palatino Linotype"/>
        </w:rPr>
        <w:t xml:space="preserve">A proven </w:t>
      </w:r>
      <w:r w:rsidR="00722564" w:rsidRPr="001660CB">
        <w:rPr>
          <w:rFonts w:ascii="Palatino Linotype" w:hAnsi="Palatino Linotype"/>
        </w:rPr>
        <w:t>indecent assault</w:t>
      </w:r>
      <w:r w:rsidR="00722564">
        <w:rPr>
          <w:rFonts w:ascii="Palatino Linotype" w:hAnsi="Palatino Linotype"/>
        </w:rPr>
        <w:t xml:space="preserve"> </w:t>
      </w:r>
      <w:r w:rsidR="00722564" w:rsidRPr="001660CB">
        <w:rPr>
          <w:rFonts w:ascii="Palatino Linotype" w:hAnsi="Palatino Linotype"/>
        </w:rPr>
        <w:t xml:space="preserve">is actionable </w:t>
      </w:r>
      <w:r w:rsidR="00722564" w:rsidRPr="001660CB">
        <w:rPr>
          <w:rFonts w:ascii="Palatino Linotype" w:hAnsi="Palatino Linotype"/>
          <w:i/>
        </w:rPr>
        <w:t>per se</w:t>
      </w:r>
      <w:r w:rsidR="00722564" w:rsidRPr="001660CB">
        <w:rPr>
          <w:rFonts w:ascii="Palatino Linotype" w:hAnsi="Palatino Linotype"/>
        </w:rPr>
        <w:t xml:space="preserve">, in other words, it is not necessary to prove that there has been an injury </w:t>
      </w:r>
      <w:r w:rsidR="00722564">
        <w:rPr>
          <w:rFonts w:ascii="Palatino Linotype" w:hAnsi="Palatino Linotype"/>
        </w:rPr>
        <w:t>caused by the battery, to give the tort its formal name,</w:t>
      </w:r>
      <w:r w:rsidR="00722564" w:rsidRPr="001660CB">
        <w:rPr>
          <w:rFonts w:ascii="Palatino Linotype" w:hAnsi="Palatino Linotype"/>
        </w:rPr>
        <w:t xml:space="preserve"> as it is acknowledged that such a trespass </w:t>
      </w:r>
      <w:r w:rsidR="00722564">
        <w:rPr>
          <w:rFonts w:ascii="Palatino Linotype" w:hAnsi="Palatino Linotype"/>
        </w:rPr>
        <w:t>against</w:t>
      </w:r>
      <w:r w:rsidR="00722564" w:rsidRPr="001660CB">
        <w:rPr>
          <w:rFonts w:ascii="Palatino Linotype" w:hAnsi="Palatino Linotype"/>
        </w:rPr>
        <w:t xml:space="preserve"> the person is a significant </w:t>
      </w:r>
      <w:r w:rsidR="00722564">
        <w:rPr>
          <w:rFonts w:ascii="Palatino Linotype" w:hAnsi="Palatino Linotype"/>
        </w:rPr>
        <w:t>wrong</w:t>
      </w:r>
      <w:r w:rsidR="00722564" w:rsidRPr="001660CB">
        <w:rPr>
          <w:rFonts w:ascii="Palatino Linotype" w:hAnsi="Palatino Linotype"/>
        </w:rPr>
        <w:t xml:space="preserve"> and the victim </w:t>
      </w:r>
      <w:r w:rsidR="00722564" w:rsidRPr="001660CB">
        <w:rPr>
          <w:rFonts w:ascii="Palatino Linotype" w:hAnsi="Palatino Linotype"/>
        </w:rPr>
        <w:lastRenderedPageBreak/>
        <w:t xml:space="preserve">must be compensated for the fact of the </w:t>
      </w:r>
      <w:r w:rsidR="00722564">
        <w:rPr>
          <w:rFonts w:ascii="Palatino Linotype" w:hAnsi="Palatino Linotype"/>
        </w:rPr>
        <w:t>unwanted direct contact</w:t>
      </w:r>
      <w:r w:rsidR="00722564" w:rsidRPr="001660CB">
        <w:rPr>
          <w:rFonts w:ascii="Palatino Linotype" w:hAnsi="Palatino Linotype"/>
        </w:rPr>
        <w:t>.</w:t>
      </w:r>
      <w:r w:rsidR="00722564">
        <w:rPr>
          <w:rFonts w:ascii="Palatino Linotype" w:hAnsi="Palatino Linotype"/>
        </w:rPr>
        <w:t xml:space="preserve">  It is hard to express this more clearly than was done in </w:t>
      </w:r>
      <w:proofErr w:type="spellStart"/>
      <w:r w:rsidR="00722564">
        <w:rPr>
          <w:rFonts w:ascii="Palatino Linotype" w:hAnsi="Palatino Linotype"/>
        </w:rPr>
        <w:t>Dullaghan</w:t>
      </w:r>
      <w:proofErr w:type="spellEnd"/>
      <w:r w:rsidR="00722564">
        <w:rPr>
          <w:rFonts w:ascii="Palatino Linotype" w:hAnsi="Palatino Linotype"/>
        </w:rPr>
        <w:t xml:space="preserve"> v </w:t>
      </w:r>
      <w:proofErr w:type="spellStart"/>
      <w:r w:rsidR="00722564">
        <w:rPr>
          <w:rFonts w:ascii="Palatino Linotype" w:hAnsi="Palatino Linotype"/>
        </w:rPr>
        <w:t>Hillen</w:t>
      </w:r>
      <w:proofErr w:type="spellEnd"/>
      <w:r w:rsidR="00722564">
        <w:rPr>
          <w:rFonts w:ascii="Palatino Linotype" w:hAnsi="Palatino Linotype"/>
        </w:rPr>
        <w:t xml:space="preserve"> [1957] </w:t>
      </w:r>
      <w:proofErr w:type="spellStart"/>
      <w:r w:rsidR="00722564">
        <w:rPr>
          <w:rFonts w:ascii="Palatino Linotype" w:hAnsi="Palatino Linotype"/>
        </w:rPr>
        <w:t>Ir</w:t>
      </w:r>
      <w:proofErr w:type="spellEnd"/>
      <w:r w:rsidR="00722564">
        <w:rPr>
          <w:rFonts w:ascii="Palatino Linotype" w:hAnsi="Palatino Linotype"/>
        </w:rPr>
        <w:t xml:space="preserve"> </w:t>
      </w:r>
      <w:proofErr w:type="spellStart"/>
      <w:r w:rsidR="00722564">
        <w:rPr>
          <w:rFonts w:ascii="Palatino Linotype" w:hAnsi="Palatino Linotype"/>
        </w:rPr>
        <w:t>Jur</w:t>
      </w:r>
      <w:proofErr w:type="spellEnd"/>
      <w:r w:rsidR="00722564">
        <w:rPr>
          <w:rFonts w:ascii="Palatino Linotype" w:hAnsi="Palatino Linotype"/>
        </w:rPr>
        <w:t xml:space="preserve"> Rep 10:  </w:t>
      </w:r>
      <w:r w:rsidR="00722564" w:rsidRPr="00E6523D">
        <w:rPr>
          <w:rFonts w:ascii="Palatino Linotype" w:hAnsi="Palatino Linotype"/>
          <w:i/>
        </w:rPr>
        <w:t xml:space="preserve">Security for the person is one of the first conditions of civilized life.  The </w:t>
      </w:r>
      <w:r w:rsidR="00722564">
        <w:rPr>
          <w:rFonts w:ascii="Palatino Linotype" w:hAnsi="Palatino Linotype"/>
          <w:i/>
        </w:rPr>
        <w:t>l</w:t>
      </w:r>
      <w:r w:rsidR="00722564" w:rsidRPr="00E6523D">
        <w:rPr>
          <w:rFonts w:ascii="Palatino Linotype" w:hAnsi="Palatino Linotype"/>
          <w:i/>
        </w:rPr>
        <w:t>aw, therefore, protects us, not only against actual hurt and violence, but against every kind of bodily interference and restraint not justified or excused by allowed cause, and against the present (immediate) apprehension of these things</w:t>
      </w:r>
      <w:r w:rsidR="00722564">
        <w:rPr>
          <w:rFonts w:ascii="Palatino Linotype" w:hAnsi="Palatino Linotype"/>
        </w:rPr>
        <w:t>.</w:t>
      </w:r>
    </w:p>
    <w:p w14:paraId="270D793F" w14:textId="3E392873" w:rsidR="001660CB" w:rsidRPr="003302CA" w:rsidRDefault="00BA7D17" w:rsidP="0028098E">
      <w:pPr>
        <w:spacing w:line="480" w:lineRule="auto"/>
        <w:jc w:val="both"/>
        <w:rPr>
          <w:rFonts w:ascii="Palatino Linotype" w:hAnsi="Palatino Linotype"/>
        </w:rPr>
      </w:pPr>
      <w:r>
        <w:rPr>
          <w:rFonts w:ascii="Palatino Linotype" w:hAnsi="Palatino Linotype"/>
        </w:rPr>
        <w:t>1</w:t>
      </w:r>
      <w:r w:rsidR="001660CB" w:rsidRPr="001660CB">
        <w:rPr>
          <w:rFonts w:ascii="Palatino Linotype" w:hAnsi="Palatino Linotype"/>
        </w:rPr>
        <w:t>2.2</w:t>
      </w:r>
      <w:r w:rsidR="001660CB" w:rsidRPr="001660CB">
        <w:rPr>
          <w:rFonts w:ascii="Palatino Linotype" w:hAnsi="Palatino Linotype"/>
        </w:rPr>
        <w:tab/>
        <w:t xml:space="preserve">In this case, the facts revealed repeated sexual assaults over a period of years. While they stopped short of rape, they included penetration of the vagina by the Defendant’s fingers or hand and by his tongue, both of which are very serious forms of indecent </w:t>
      </w:r>
      <w:proofErr w:type="gramStart"/>
      <w:r w:rsidR="001660CB" w:rsidRPr="001660CB">
        <w:rPr>
          <w:rFonts w:ascii="Palatino Linotype" w:hAnsi="Palatino Linotype"/>
        </w:rPr>
        <w:t>or</w:t>
      </w:r>
      <w:proofErr w:type="gramEnd"/>
      <w:r w:rsidR="001660CB" w:rsidRPr="001660CB">
        <w:rPr>
          <w:rFonts w:ascii="Palatino Linotype" w:hAnsi="Palatino Linotype"/>
        </w:rPr>
        <w:t xml:space="preserve"> sexual assault.</w:t>
      </w:r>
    </w:p>
    <w:p w14:paraId="78F15887" w14:textId="514AEB90" w:rsidR="00701A19" w:rsidRPr="00A76E9F" w:rsidRDefault="00BA7D17" w:rsidP="0028098E">
      <w:pPr>
        <w:spacing w:line="480" w:lineRule="auto"/>
        <w:jc w:val="both"/>
        <w:rPr>
          <w:rFonts w:ascii="Palatino Linotype" w:hAnsi="Palatino Linotype"/>
        </w:rPr>
      </w:pPr>
      <w:r>
        <w:rPr>
          <w:rFonts w:ascii="Palatino Linotype" w:hAnsi="Palatino Linotype"/>
        </w:rPr>
        <w:t>1</w:t>
      </w:r>
      <w:r w:rsidR="00736E62">
        <w:rPr>
          <w:rFonts w:ascii="Palatino Linotype" w:hAnsi="Palatino Linotype"/>
        </w:rPr>
        <w:t>2</w:t>
      </w:r>
      <w:r w:rsidR="0028098E">
        <w:rPr>
          <w:rFonts w:ascii="Palatino Linotype" w:hAnsi="Palatino Linotype"/>
        </w:rPr>
        <w:t>.3</w:t>
      </w:r>
      <w:r w:rsidR="0028098E">
        <w:rPr>
          <w:rFonts w:ascii="Palatino Linotype" w:hAnsi="Palatino Linotype"/>
        </w:rPr>
        <w:tab/>
      </w:r>
      <w:r w:rsidR="000B14AE">
        <w:rPr>
          <w:rFonts w:ascii="Palatino Linotype" w:hAnsi="Palatino Linotype"/>
        </w:rPr>
        <w:t>The</w:t>
      </w:r>
      <w:r w:rsidR="00701A19">
        <w:rPr>
          <w:rFonts w:ascii="Palatino Linotype" w:hAnsi="Palatino Linotype"/>
        </w:rPr>
        <w:t xml:space="preserve"> personal injuries guidelines </w:t>
      </w:r>
      <w:r w:rsidR="000B14AE">
        <w:rPr>
          <w:rFonts w:ascii="Palatino Linotype" w:hAnsi="Palatino Linotype"/>
        </w:rPr>
        <w:t xml:space="preserve">set out guidelines for the courts in cases of personal injury. There is no guideline for injuries caused </w:t>
      </w:r>
      <w:proofErr w:type="gramStart"/>
      <w:r w:rsidR="000B14AE">
        <w:rPr>
          <w:rFonts w:ascii="Palatino Linotype" w:hAnsi="Palatino Linotype"/>
        </w:rPr>
        <w:t>as a result of</w:t>
      </w:r>
      <w:proofErr w:type="gramEnd"/>
      <w:r w:rsidR="000B14AE">
        <w:rPr>
          <w:rFonts w:ascii="Palatino Linotype" w:hAnsi="Palatino Linotype"/>
        </w:rPr>
        <w:t xml:space="preserve"> sexual assault, it being recognised that the fact of the assault carries the injury into a different and more serious category.  </w:t>
      </w:r>
    </w:p>
    <w:p w14:paraId="5DDE1918" w14:textId="0A964A37" w:rsidR="000221A0" w:rsidRPr="000221A0" w:rsidRDefault="00BA7D17" w:rsidP="0028098E">
      <w:pPr>
        <w:spacing w:line="480" w:lineRule="auto"/>
        <w:jc w:val="both"/>
        <w:rPr>
          <w:rFonts w:ascii="Palatino Linotype" w:hAnsi="Palatino Linotype" w:cs="Arial"/>
          <w:bCs/>
          <w:color w:val="333333"/>
        </w:rPr>
      </w:pPr>
      <w:r>
        <w:rPr>
          <w:rStyle w:val="Hyperlink"/>
          <w:rFonts w:ascii="Palatino Linotype" w:hAnsi="Palatino Linotype"/>
          <w:color w:val="auto"/>
          <w:u w:val="none"/>
        </w:rPr>
        <w:t>1</w:t>
      </w:r>
      <w:r w:rsidR="008E0D19">
        <w:rPr>
          <w:rStyle w:val="Hyperlink"/>
          <w:rFonts w:ascii="Palatino Linotype" w:hAnsi="Palatino Linotype"/>
          <w:color w:val="auto"/>
          <w:u w:val="none"/>
        </w:rPr>
        <w:t>2</w:t>
      </w:r>
      <w:r w:rsidR="0028098E">
        <w:rPr>
          <w:rStyle w:val="Hyperlink"/>
          <w:rFonts w:ascii="Palatino Linotype" w:hAnsi="Palatino Linotype"/>
          <w:color w:val="auto"/>
          <w:u w:val="none"/>
        </w:rPr>
        <w:t>.4</w:t>
      </w:r>
      <w:r w:rsidR="0028098E">
        <w:rPr>
          <w:rStyle w:val="Hyperlink"/>
          <w:rFonts w:ascii="Palatino Linotype" w:hAnsi="Palatino Linotype"/>
          <w:color w:val="auto"/>
          <w:u w:val="none"/>
        </w:rPr>
        <w:tab/>
      </w:r>
      <w:r w:rsidR="000221A0" w:rsidRPr="000221A0">
        <w:rPr>
          <w:rStyle w:val="Hyperlink"/>
          <w:rFonts w:ascii="Palatino Linotype" w:hAnsi="Palatino Linotype"/>
          <w:color w:val="auto"/>
          <w:u w:val="none"/>
        </w:rPr>
        <w:t xml:space="preserve">In the case of </w:t>
      </w:r>
      <w:hyperlink r:id="rId8" w:history="1">
        <w:r w:rsidR="000221A0" w:rsidRPr="00834FB2">
          <w:rPr>
            <w:rStyle w:val="Hyperlink"/>
            <w:rFonts w:ascii="Palatino Linotype" w:hAnsi="Palatino Linotype"/>
            <w:i/>
            <w:iCs/>
            <w:color w:val="auto"/>
            <w:u w:val="none"/>
          </w:rPr>
          <w:t xml:space="preserve">M.N. </w:t>
        </w:r>
        <w:r w:rsidR="00911736">
          <w:rPr>
            <w:rStyle w:val="Hyperlink"/>
            <w:rFonts w:ascii="Palatino Linotype" w:hAnsi="Palatino Linotype"/>
            <w:i/>
            <w:iCs/>
            <w:color w:val="auto"/>
            <w:u w:val="none"/>
          </w:rPr>
          <w:t>v.</w:t>
        </w:r>
        <w:r w:rsidR="000221A0" w:rsidRPr="00834FB2">
          <w:rPr>
            <w:rStyle w:val="Hyperlink"/>
            <w:rFonts w:ascii="Palatino Linotype" w:hAnsi="Palatino Linotype"/>
            <w:i/>
            <w:iCs/>
            <w:color w:val="auto"/>
            <w:u w:val="none"/>
          </w:rPr>
          <w:t xml:space="preserve"> S.M.</w:t>
        </w:r>
        <w:r w:rsidR="000221A0" w:rsidRPr="000221A0">
          <w:rPr>
            <w:rStyle w:val="Hyperlink"/>
            <w:rFonts w:ascii="Palatino Linotype" w:hAnsi="Palatino Linotype"/>
            <w:color w:val="auto"/>
            <w:u w:val="none"/>
          </w:rPr>
          <w:t xml:space="preserve"> [2005] 4 IR 461</w:t>
        </w:r>
      </w:hyperlink>
      <w:r w:rsidR="000221A0" w:rsidRPr="000221A0">
        <w:rPr>
          <w:rFonts w:ascii="Palatino Linotype" w:hAnsi="Palatino Linotype"/>
        </w:rPr>
        <w:t>, there was a c</w:t>
      </w:r>
      <w:r w:rsidR="000221A0" w:rsidRPr="000221A0">
        <w:rPr>
          <w:rFonts w:ascii="Palatino Linotype" w:hAnsi="Palatino Linotype"/>
          <w:bCs/>
        </w:rPr>
        <w:t>ontinuum of sexual abuse over a period of 5 years, whilst the Plaintiff was a teenager, which culminated in rape.</w:t>
      </w:r>
      <w:r w:rsidR="000221A0" w:rsidRPr="000221A0">
        <w:rPr>
          <w:rFonts w:ascii="Palatino Linotype" w:hAnsi="Palatino Linotype"/>
        </w:rPr>
        <w:t xml:space="preserve"> A </w:t>
      </w:r>
      <w:r w:rsidR="000221A0" w:rsidRPr="000221A0">
        <w:rPr>
          <w:rFonts w:ascii="Palatino Linotype" w:hAnsi="Palatino Linotype"/>
          <w:bCs/>
        </w:rPr>
        <w:t xml:space="preserve">jury awarded €600,000 and the Supreme Court reduced this to €350,000. The Court outlined </w:t>
      </w:r>
      <w:proofErr w:type="gramStart"/>
      <w:r w:rsidR="000221A0" w:rsidRPr="000221A0">
        <w:rPr>
          <w:rFonts w:ascii="Palatino Linotype" w:hAnsi="Palatino Linotype"/>
          <w:bCs/>
        </w:rPr>
        <w:t>a number of</w:t>
      </w:r>
      <w:proofErr w:type="gramEnd"/>
      <w:r w:rsidR="000221A0" w:rsidRPr="000221A0">
        <w:rPr>
          <w:rFonts w:ascii="Palatino Linotype" w:hAnsi="Palatino Linotype"/>
          <w:bCs/>
        </w:rPr>
        <w:t xml:space="preserve"> </w:t>
      </w:r>
      <w:r w:rsidR="000221A0" w:rsidRPr="000221A0">
        <w:rPr>
          <w:rFonts w:ascii="Palatino Linotype" w:hAnsi="Palatino Linotype" w:cs="Arial"/>
          <w:bCs/>
          <w:color w:val="333333"/>
        </w:rPr>
        <w:t>relevant factors when considering assessments of the level of general damages</w:t>
      </w:r>
      <w:r w:rsidR="000221A0">
        <w:rPr>
          <w:rFonts w:ascii="Palatino Linotype" w:hAnsi="Palatino Linotype" w:cs="Arial"/>
          <w:bCs/>
          <w:color w:val="333333"/>
        </w:rPr>
        <w:t xml:space="preserve">.  The nature of the injury, whether it was </w:t>
      </w:r>
      <w:r w:rsidR="000221A0" w:rsidRPr="000221A0">
        <w:rPr>
          <w:rFonts w:ascii="Palatino Linotype" w:hAnsi="Palatino Linotype" w:cs="Arial"/>
          <w:bCs/>
          <w:color w:val="333333"/>
        </w:rPr>
        <w:t>a continuum of abuse over years</w:t>
      </w:r>
      <w:r w:rsidR="000221A0">
        <w:rPr>
          <w:rFonts w:ascii="Palatino Linotype" w:hAnsi="Palatino Linotype" w:cs="Arial"/>
          <w:bCs/>
          <w:color w:val="333333"/>
        </w:rPr>
        <w:t xml:space="preserve"> or a single incident</w:t>
      </w:r>
      <w:r w:rsidR="00736E62">
        <w:rPr>
          <w:rFonts w:ascii="Palatino Linotype" w:hAnsi="Palatino Linotype" w:cs="Arial"/>
          <w:bCs/>
          <w:color w:val="333333"/>
        </w:rPr>
        <w:t>,</w:t>
      </w:r>
      <w:r w:rsidR="000221A0">
        <w:rPr>
          <w:rFonts w:ascii="Palatino Linotype" w:hAnsi="Palatino Linotype" w:cs="Arial"/>
          <w:bCs/>
          <w:color w:val="333333"/>
        </w:rPr>
        <w:t xml:space="preserve"> was significant, </w:t>
      </w:r>
      <w:r w:rsidR="00736E62">
        <w:rPr>
          <w:rFonts w:ascii="Palatino Linotype" w:hAnsi="Palatino Linotype" w:cs="Arial"/>
          <w:bCs/>
          <w:color w:val="333333"/>
        </w:rPr>
        <w:t>as</w:t>
      </w:r>
      <w:r w:rsidR="000221A0" w:rsidRPr="000221A0">
        <w:rPr>
          <w:rFonts w:ascii="Palatino Linotype" w:hAnsi="Palatino Linotype" w:cs="Arial"/>
          <w:bCs/>
          <w:color w:val="333333"/>
        </w:rPr>
        <w:t xml:space="preserve"> the consequence to the plaintiff was greater than the sum of the individual assaults.</w:t>
      </w:r>
      <w:r w:rsidR="000221A0">
        <w:rPr>
          <w:rFonts w:ascii="Palatino Linotype" w:hAnsi="Palatino Linotype" w:cs="Arial"/>
          <w:bCs/>
          <w:color w:val="333333"/>
        </w:rPr>
        <w:t xml:space="preserve"> As in </w:t>
      </w:r>
      <w:r w:rsidR="000221A0" w:rsidRPr="00217CFB">
        <w:rPr>
          <w:rFonts w:ascii="Palatino Linotype" w:hAnsi="Palatino Linotype" w:cs="Arial"/>
          <w:bCs/>
          <w:i/>
          <w:iCs/>
          <w:color w:val="333333"/>
        </w:rPr>
        <w:t>M.N.</w:t>
      </w:r>
      <w:r w:rsidR="000221A0">
        <w:rPr>
          <w:rFonts w:ascii="Palatino Linotype" w:hAnsi="Palatino Linotype" w:cs="Arial"/>
          <w:bCs/>
          <w:color w:val="333333"/>
        </w:rPr>
        <w:t>, the tim</w:t>
      </w:r>
      <w:r w:rsidR="00736E62">
        <w:rPr>
          <w:rFonts w:ascii="Palatino Linotype" w:hAnsi="Palatino Linotype" w:cs="Arial"/>
          <w:bCs/>
          <w:color w:val="333333"/>
        </w:rPr>
        <w:t>ing</w:t>
      </w:r>
      <w:r w:rsidR="000221A0">
        <w:rPr>
          <w:rFonts w:ascii="Palatino Linotype" w:hAnsi="Palatino Linotype" w:cs="Arial"/>
          <w:bCs/>
          <w:color w:val="333333"/>
        </w:rPr>
        <w:t xml:space="preserve"> of the assaults </w:t>
      </w:r>
      <w:r w:rsidR="000221A0" w:rsidRPr="000221A0">
        <w:rPr>
          <w:rFonts w:ascii="Palatino Linotype" w:hAnsi="Palatino Linotype" w:cs="Arial"/>
          <w:bCs/>
          <w:color w:val="333333"/>
        </w:rPr>
        <w:t xml:space="preserve">in the </w:t>
      </w:r>
      <w:r w:rsidR="000221A0">
        <w:rPr>
          <w:rFonts w:ascii="Palatino Linotype" w:hAnsi="Palatino Linotype" w:cs="Arial"/>
          <w:bCs/>
          <w:color w:val="333333"/>
        </w:rPr>
        <w:t xml:space="preserve">stage of </w:t>
      </w:r>
      <w:r w:rsidR="000221A0" w:rsidRPr="000221A0">
        <w:rPr>
          <w:rFonts w:ascii="Palatino Linotype" w:hAnsi="Palatino Linotype" w:cs="Arial"/>
          <w:bCs/>
          <w:color w:val="333333"/>
        </w:rPr>
        <w:t>life of the plaintiff</w:t>
      </w:r>
      <w:r w:rsidR="000221A0">
        <w:rPr>
          <w:rFonts w:ascii="Palatino Linotype" w:hAnsi="Palatino Linotype" w:cs="Arial"/>
          <w:bCs/>
          <w:color w:val="333333"/>
        </w:rPr>
        <w:t xml:space="preserve"> was significant:</w:t>
      </w:r>
      <w:r w:rsidR="000221A0" w:rsidRPr="000221A0">
        <w:rPr>
          <w:rFonts w:ascii="Palatino Linotype" w:hAnsi="Palatino Linotype" w:cs="Arial"/>
          <w:bCs/>
          <w:color w:val="333333"/>
        </w:rPr>
        <w:t xml:space="preserve"> she was </w:t>
      </w:r>
      <w:r w:rsidR="000221A0">
        <w:rPr>
          <w:rFonts w:ascii="Palatino Linotype" w:hAnsi="Palatino Linotype" w:cs="Arial"/>
          <w:bCs/>
          <w:color w:val="333333"/>
        </w:rPr>
        <w:t>a very young child</w:t>
      </w:r>
      <w:r w:rsidR="000221A0" w:rsidRPr="000221A0">
        <w:rPr>
          <w:rFonts w:ascii="Palatino Linotype" w:hAnsi="Palatino Linotype" w:cs="Arial"/>
          <w:bCs/>
          <w:color w:val="333333"/>
        </w:rPr>
        <w:t xml:space="preserve">. </w:t>
      </w:r>
      <w:r w:rsidR="000221A0">
        <w:rPr>
          <w:rFonts w:ascii="Palatino Linotype" w:hAnsi="Palatino Linotype" w:cs="Arial"/>
          <w:bCs/>
          <w:color w:val="333333"/>
        </w:rPr>
        <w:t>Her d</w:t>
      </w:r>
      <w:r w:rsidR="000221A0" w:rsidRPr="000221A0">
        <w:rPr>
          <w:rFonts w:ascii="Palatino Linotype" w:hAnsi="Palatino Linotype" w:cs="Arial"/>
          <w:bCs/>
          <w:color w:val="333333"/>
        </w:rPr>
        <w:t>evelopment was altered and subverted</w:t>
      </w:r>
      <w:r w:rsidR="000221A0">
        <w:rPr>
          <w:rFonts w:ascii="Palatino Linotype" w:hAnsi="Palatino Linotype" w:cs="Arial"/>
          <w:bCs/>
          <w:color w:val="333333"/>
        </w:rPr>
        <w:t xml:space="preserve"> by this abuse and her whole life affected by it, including her emotional development.  The Court concluded that:</w:t>
      </w:r>
    </w:p>
    <w:p w14:paraId="7966C94D" w14:textId="3ACAA404" w:rsidR="000221A0" w:rsidRPr="00217CFB" w:rsidRDefault="00217CFB" w:rsidP="00B36586">
      <w:pPr>
        <w:pStyle w:val="NormalWeb"/>
        <w:shd w:val="clear" w:color="auto" w:fill="FFFFFF"/>
        <w:spacing w:before="0" w:beforeAutospacing="0" w:after="180" w:afterAutospacing="0" w:line="480" w:lineRule="auto"/>
        <w:ind w:left="720"/>
        <w:jc w:val="both"/>
        <w:rPr>
          <w:rFonts w:ascii="Palatino Linotype" w:hAnsi="Palatino Linotype" w:cs="Arial"/>
          <w:bCs/>
          <w:i/>
          <w:iCs/>
          <w:color w:val="333333"/>
          <w:sz w:val="22"/>
          <w:szCs w:val="22"/>
        </w:rPr>
      </w:pPr>
      <w:r>
        <w:rPr>
          <w:rFonts w:ascii="Palatino Linotype" w:hAnsi="Palatino Linotype" w:cs="Arial"/>
          <w:bCs/>
          <w:i/>
          <w:iCs/>
          <w:color w:val="333333"/>
          <w:sz w:val="22"/>
          <w:szCs w:val="22"/>
        </w:rPr>
        <w:t>‘</w:t>
      </w:r>
      <w:r w:rsidR="000221A0" w:rsidRPr="00217CFB">
        <w:rPr>
          <w:rFonts w:ascii="Palatino Linotype" w:hAnsi="Palatino Linotype" w:cs="Arial"/>
          <w:bCs/>
          <w:i/>
          <w:iCs/>
          <w:color w:val="333333"/>
          <w:sz w:val="22"/>
          <w:szCs w:val="22"/>
        </w:rPr>
        <w:t>An award of damages must be proportionate</w:t>
      </w:r>
      <w:r w:rsidR="001269B9">
        <w:rPr>
          <w:rFonts w:ascii="Palatino Linotype" w:hAnsi="Palatino Linotype" w:cs="Arial"/>
          <w:bCs/>
          <w:i/>
          <w:iCs/>
          <w:color w:val="333333"/>
          <w:sz w:val="22"/>
          <w:szCs w:val="22"/>
        </w:rPr>
        <w:t>.</w:t>
      </w:r>
      <w:r w:rsidR="00B36586">
        <w:rPr>
          <w:rFonts w:ascii="Palatino Linotype" w:hAnsi="Palatino Linotype" w:cs="Arial"/>
          <w:bCs/>
          <w:i/>
          <w:iCs/>
          <w:color w:val="333333"/>
          <w:sz w:val="22"/>
          <w:szCs w:val="22"/>
        </w:rPr>
        <w:t xml:space="preserve"> </w:t>
      </w:r>
      <w:r w:rsidR="00A76FB8">
        <w:rPr>
          <w:rFonts w:ascii="Palatino Linotype" w:hAnsi="Palatino Linotype" w:cs="Arial"/>
          <w:bCs/>
          <w:i/>
          <w:iCs/>
          <w:color w:val="333333"/>
          <w:sz w:val="22"/>
          <w:szCs w:val="22"/>
        </w:rPr>
        <w:t>An award of damages</w:t>
      </w:r>
      <w:r w:rsidR="000221A0" w:rsidRPr="00217CFB">
        <w:rPr>
          <w:rFonts w:ascii="Palatino Linotype" w:hAnsi="Palatino Linotype" w:cs="Arial"/>
          <w:bCs/>
          <w:i/>
          <w:iCs/>
          <w:color w:val="333333"/>
          <w:sz w:val="22"/>
          <w:szCs w:val="22"/>
        </w:rPr>
        <w:t xml:space="preserve"> must be fair to the plaintiff and </w:t>
      </w:r>
      <w:r w:rsidR="00A76FB8">
        <w:rPr>
          <w:rFonts w:ascii="Palatino Linotype" w:hAnsi="Palatino Linotype" w:cs="Arial"/>
          <w:bCs/>
          <w:i/>
          <w:iCs/>
          <w:color w:val="333333"/>
          <w:sz w:val="22"/>
          <w:szCs w:val="22"/>
        </w:rPr>
        <w:t xml:space="preserve">must also be fair </w:t>
      </w:r>
      <w:r w:rsidR="000221A0" w:rsidRPr="00217CFB">
        <w:rPr>
          <w:rFonts w:ascii="Palatino Linotype" w:hAnsi="Palatino Linotype" w:cs="Arial"/>
          <w:bCs/>
          <w:i/>
          <w:iCs/>
          <w:color w:val="333333"/>
          <w:sz w:val="22"/>
          <w:szCs w:val="22"/>
        </w:rPr>
        <w:t>to the defendant</w:t>
      </w:r>
      <w:r w:rsidR="00A76FB8">
        <w:rPr>
          <w:rFonts w:ascii="Palatino Linotype" w:hAnsi="Palatino Linotype" w:cs="Arial"/>
          <w:bCs/>
          <w:i/>
          <w:iCs/>
          <w:color w:val="333333"/>
          <w:sz w:val="22"/>
          <w:szCs w:val="22"/>
        </w:rPr>
        <w:t>.</w:t>
      </w:r>
      <w:r w:rsidR="00B36586">
        <w:rPr>
          <w:rFonts w:ascii="Palatino Linotype" w:hAnsi="Palatino Linotype" w:cs="Arial"/>
          <w:bCs/>
          <w:i/>
          <w:iCs/>
          <w:color w:val="333333"/>
          <w:sz w:val="22"/>
          <w:szCs w:val="22"/>
        </w:rPr>
        <w:t xml:space="preserve"> </w:t>
      </w:r>
      <w:r w:rsidR="00A76FB8">
        <w:rPr>
          <w:rFonts w:ascii="Palatino Linotype" w:hAnsi="Palatino Linotype" w:cs="Arial"/>
          <w:bCs/>
          <w:i/>
          <w:iCs/>
          <w:color w:val="333333"/>
          <w:sz w:val="22"/>
          <w:szCs w:val="22"/>
        </w:rPr>
        <w:t xml:space="preserve">An award </w:t>
      </w:r>
      <w:r w:rsidR="000221A0" w:rsidRPr="00217CFB">
        <w:rPr>
          <w:rFonts w:ascii="Palatino Linotype" w:hAnsi="Palatino Linotype" w:cs="Arial"/>
          <w:bCs/>
          <w:i/>
          <w:iCs/>
          <w:color w:val="333333"/>
          <w:sz w:val="22"/>
          <w:szCs w:val="22"/>
        </w:rPr>
        <w:t xml:space="preserve">should be proportionate to social conditions, </w:t>
      </w:r>
      <w:r w:rsidR="000221A0" w:rsidRPr="00217CFB">
        <w:rPr>
          <w:rFonts w:ascii="Palatino Linotype" w:hAnsi="Palatino Linotype" w:cs="Arial"/>
          <w:bCs/>
          <w:i/>
          <w:iCs/>
          <w:color w:val="333333"/>
          <w:sz w:val="22"/>
          <w:szCs w:val="22"/>
        </w:rPr>
        <w:lastRenderedPageBreak/>
        <w:t>bearing in mind the common good</w:t>
      </w:r>
      <w:r w:rsidR="00A76FB8">
        <w:rPr>
          <w:rFonts w:ascii="Palatino Linotype" w:hAnsi="Palatino Linotype" w:cs="Arial"/>
          <w:bCs/>
          <w:i/>
          <w:iCs/>
          <w:color w:val="333333"/>
          <w:sz w:val="22"/>
          <w:szCs w:val="22"/>
        </w:rPr>
        <w:t>.</w:t>
      </w:r>
      <w:r w:rsidR="00B36586">
        <w:rPr>
          <w:rFonts w:ascii="Palatino Linotype" w:hAnsi="Palatino Linotype" w:cs="Arial"/>
          <w:bCs/>
          <w:i/>
          <w:iCs/>
          <w:color w:val="333333"/>
          <w:sz w:val="22"/>
          <w:szCs w:val="22"/>
        </w:rPr>
        <w:t xml:space="preserve"> I</w:t>
      </w:r>
      <w:r w:rsidR="000221A0" w:rsidRPr="00217CFB">
        <w:rPr>
          <w:rFonts w:ascii="Palatino Linotype" w:hAnsi="Palatino Linotype" w:cs="Arial"/>
          <w:bCs/>
          <w:i/>
          <w:iCs/>
          <w:color w:val="333333"/>
          <w:sz w:val="22"/>
          <w:szCs w:val="22"/>
        </w:rPr>
        <w:t>t should also be proportionate with</w:t>
      </w:r>
      <w:r w:rsidR="00A76FB8">
        <w:rPr>
          <w:rFonts w:ascii="Palatino Linotype" w:hAnsi="Palatino Linotype" w:cs="Arial"/>
          <w:bCs/>
          <w:i/>
          <w:iCs/>
          <w:color w:val="333333"/>
          <w:sz w:val="22"/>
          <w:szCs w:val="22"/>
        </w:rPr>
        <w:t>in</w:t>
      </w:r>
      <w:r w:rsidR="000221A0" w:rsidRPr="00217CFB">
        <w:rPr>
          <w:rFonts w:ascii="Palatino Linotype" w:hAnsi="Palatino Linotype" w:cs="Arial"/>
          <w:bCs/>
          <w:i/>
          <w:iCs/>
          <w:color w:val="333333"/>
          <w:sz w:val="22"/>
          <w:szCs w:val="22"/>
        </w:rPr>
        <w:t xml:space="preserve"> the legal scheme of awards made for other personal injuries</w:t>
      </w:r>
      <w:r>
        <w:rPr>
          <w:rFonts w:ascii="Palatino Linotype" w:hAnsi="Palatino Linotype" w:cs="Arial"/>
          <w:bCs/>
          <w:i/>
          <w:iCs/>
          <w:color w:val="333333"/>
          <w:sz w:val="22"/>
          <w:szCs w:val="22"/>
        </w:rPr>
        <w:t>.’</w:t>
      </w:r>
    </w:p>
    <w:p w14:paraId="43673986" w14:textId="08C5D9CF" w:rsidR="000221A0" w:rsidRPr="001C2FE0" w:rsidRDefault="00BA7D17" w:rsidP="0028098E">
      <w:pPr>
        <w:spacing w:line="480" w:lineRule="auto"/>
        <w:jc w:val="both"/>
        <w:rPr>
          <w:rFonts w:ascii="Palatino Linotype" w:hAnsi="Palatino Linotype"/>
        </w:rPr>
      </w:pPr>
      <w:r>
        <w:rPr>
          <w:rStyle w:val="Hyperlink"/>
          <w:rFonts w:ascii="Palatino Linotype" w:hAnsi="Palatino Linotype"/>
          <w:color w:val="auto"/>
          <w:u w:val="none"/>
        </w:rPr>
        <w:t>12</w:t>
      </w:r>
      <w:r w:rsidR="0028098E">
        <w:rPr>
          <w:rStyle w:val="Hyperlink"/>
          <w:rFonts w:ascii="Palatino Linotype" w:hAnsi="Palatino Linotype"/>
          <w:color w:val="auto"/>
          <w:u w:val="none"/>
        </w:rPr>
        <w:t>.5</w:t>
      </w:r>
      <w:r w:rsidR="0028098E">
        <w:rPr>
          <w:rStyle w:val="Hyperlink"/>
          <w:rFonts w:ascii="Palatino Linotype" w:hAnsi="Palatino Linotype"/>
          <w:color w:val="auto"/>
          <w:u w:val="none"/>
        </w:rPr>
        <w:tab/>
      </w:r>
      <w:r w:rsidR="000221A0" w:rsidRPr="008945AC">
        <w:rPr>
          <w:rStyle w:val="Hyperlink"/>
          <w:rFonts w:ascii="Palatino Linotype" w:hAnsi="Palatino Linotype"/>
          <w:color w:val="auto"/>
          <w:u w:val="none"/>
        </w:rPr>
        <w:t xml:space="preserve">Bearing this </w:t>
      </w:r>
      <w:r w:rsidR="001C2FE0">
        <w:rPr>
          <w:rStyle w:val="Hyperlink"/>
          <w:rFonts w:ascii="Palatino Linotype" w:hAnsi="Palatino Linotype"/>
          <w:color w:val="auto"/>
          <w:u w:val="none"/>
        </w:rPr>
        <w:t>last comment</w:t>
      </w:r>
      <w:r w:rsidR="00CF1951">
        <w:rPr>
          <w:rStyle w:val="Hyperlink"/>
          <w:rFonts w:ascii="Palatino Linotype" w:hAnsi="Palatino Linotype"/>
          <w:color w:val="auto"/>
          <w:u w:val="none"/>
        </w:rPr>
        <w:t xml:space="preserve"> </w:t>
      </w:r>
      <w:r w:rsidR="000221A0" w:rsidRPr="008945AC">
        <w:rPr>
          <w:rStyle w:val="Hyperlink"/>
          <w:rFonts w:ascii="Palatino Linotype" w:hAnsi="Palatino Linotype"/>
          <w:color w:val="auto"/>
          <w:u w:val="none"/>
        </w:rPr>
        <w:t xml:space="preserve">in mind, </w:t>
      </w:r>
      <w:r w:rsidR="001C2FE0">
        <w:rPr>
          <w:rStyle w:val="Hyperlink"/>
          <w:rFonts w:ascii="Palatino Linotype" w:hAnsi="Palatino Linotype"/>
          <w:color w:val="auto"/>
          <w:u w:val="none"/>
        </w:rPr>
        <w:t xml:space="preserve">I have </w:t>
      </w:r>
      <w:r w:rsidR="000221A0" w:rsidRPr="008945AC">
        <w:rPr>
          <w:rStyle w:val="Hyperlink"/>
          <w:rFonts w:ascii="Palatino Linotype" w:hAnsi="Palatino Linotype"/>
          <w:color w:val="auto"/>
          <w:u w:val="none"/>
        </w:rPr>
        <w:t>consider</w:t>
      </w:r>
      <w:r w:rsidR="001C2FE0">
        <w:rPr>
          <w:rStyle w:val="Hyperlink"/>
          <w:rFonts w:ascii="Palatino Linotype" w:hAnsi="Palatino Linotype"/>
          <w:color w:val="auto"/>
          <w:u w:val="none"/>
        </w:rPr>
        <w:t xml:space="preserve">ed </w:t>
      </w:r>
      <w:proofErr w:type="gramStart"/>
      <w:r w:rsidR="001C2FE0">
        <w:rPr>
          <w:rStyle w:val="Hyperlink"/>
          <w:rFonts w:ascii="Palatino Linotype" w:hAnsi="Palatino Linotype"/>
          <w:color w:val="auto"/>
          <w:u w:val="none"/>
        </w:rPr>
        <w:t>a number of</w:t>
      </w:r>
      <w:proofErr w:type="gramEnd"/>
      <w:r w:rsidR="000221A0" w:rsidRPr="008945AC">
        <w:rPr>
          <w:rStyle w:val="Hyperlink"/>
          <w:rFonts w:ascii="Palatino Linotype" w:hAnsi="Palatino Linotype"/>
          <w:color w:val="auto"/>
          <w:u w:val="none"/>
        </w:rPr>
        <w:t xml:space="preserve"> cases </w:t>
      </w:r>
      <w:r w:rsidR="001C2FE0">
        <w:rPr>
          <w:rStyle w:val="Hyperlink"/>
          <w:rFonts w:ascii="Palatino Linotype" w:hAnsi="Palatino Linotype"/>
          <w:color w:val="auto"/>
          <w:u w:val="none"/>
        </w:rPr>
        <w:t xml:space="preserve">in this regard.  </w:t>
      </w:r>
      <w:r w:rsidR="000221A0" w:rsidRPr="008945AC">
        <w:rPr>
          <w:rStyle w:val="Hyperlink"/>
          <w:rFonts w:ascii="Palatino Linotype" w:hAnsi="Palatino Linotype"/>
          <w:color w:val="auto"/>
          <w:u w:val="none"/>
        </w:rPr>
        <w:t xml:space="preserve">In </w:t>
      </w:r>
      <w:hyperlink r:id="rId9" w:history="1">
        <w:r w:rsidR="000221A0" w:rsidRPr="00CF1951">
          <w:rPr>
            <w:rStyle w:val="Hyperlink"/>
            <w:rFonts w:ascii="Palatino Linotype" w:hAnsi="Palatino Linotype"/>
            <w:i/>
            <w:iCs/>
            <w:color w:val="auto"/>
            <w:u w:val="none"/>
          </w:rPr>
          <w:t>Hickey v</w:t>
        </w:r>
        <w:r w:rsidR="00B807A4">
          <w:rPr>
            <w:rStyle w:val="Hyperlink"/>
            <w:rFonts w:ascii="Palatino Linotype" w:hAnsi="Palatino Linotype"/>
            <w:i/>
            <w:iCs/>
            <w:color w:val="auto"/>
            <w:u w:val="none"/>
          </w:rPr>
          <w:t>.</w:t>
        </w:r>
        <w:r w:rsidR="000221A0" w:rsidRPr="00CF1951">
          <w:rPr>
            <w:rStyle w:val="Hyperlink"/>
            <w:rFonts w:ascii="Palatino Linotype" w:hAnsi="Palatino Linotype"/>
            <w:i/>
            <w:iCs/>
            <w:color w:val="auto"/>
            <w:u w:val="none"/>
          </w:rPr>
          <w:t xml:space="preserve"> McGowan</w:t>
        </w:r>
        <w:r w:rsidR="000221A0" w:rsidRPr="008945AC">
          <w:rPr>
            <w:rStyle w:val="Hyperlink"/>
            <w:rFonts w:ascii="Palatino Linotype" w:hAnsi="Palatino Linotype"/>
            <w:color w:val="auto"/>
            <w:u w:val="none"/>
          </w:rPr>
          <w:t xml:space="preserve"> [2017] IESC 6</w:t>
        </w:r>
      </w:hyperlink>
      <w:r w:rsidR="000221A0" w:rsidRPr="008945AC">
        <w:rPr>
          <w:rFonts w:ascii="Palatino Linotype" w:hAnsi="Palatino Linotype"/>
        </w:rPr>
        <w:t xml:space="preserve"> t</w:t>
      </w:r>
      <w:r w:rsidR="000221A0" w:rsidRPr="008945AC">
        <w:rPr>
          <w:rFonts w:ascii="Palatino Linotype" w:hAnsi="Palatino Linotype"/>
          <w:bCs/>
        </w:rPr>
        <w:t>he</w:t>
      </w:r>
      <w:r w:rsidR="00746BD5">
        <w:rPr>
          <w:rFonts w:ascii="Palatino Linotype" w:hAnsi="Palatino Linotype"/>
          <w:bCs/>
        </w:rPr>
        <w:t xml:space="preserve"> general</w:t>
      </w:r>
      <w:r w:rsidR="000221A0" w:rsidRPr="008945AC">
        <w:rPr>
          <w:rFonts w:ascii="Palatino Linotype" w:hAnsi="Palatino Linotype"/>
          <w:bCs/>
        </w:rPr>
        <w:t xml:space="preserve"> damages awarded by a trial judge was reduced by the Supreme Court from €350,000 to €150,000.  </w:t>
      </w:r>
      <w:proofErr w:type="gramStart"/>
      <w:r w:rsidR="000221A0" w:rsidRPr="008945AC">
        <w:rPr>
          <w:rFonts w:ascii="Palatino Linotype" w:hAnsi="Palatino Linotype"/>
          <w:bCs/>
        </w:rPr>
        <w:t>In order to</w:t>
      </w:r>
      <w:proofErr w:type="gramEnd"/>
      <w:r w:rsidR="000221A0" w:rsidRPr="008945AC">
        <w:rPr>
          <w:rFonts w:ascii="Palatino Linotype" w:hAnsi="Palatino Linotype"/>
          <w:bCs/>
        </w:rPr>
        <w:t xml:space="preserve"> better correlate with cases of catastrophic injury.  In that case, the Plaintiff had suffered </w:t>
      </w:r>
      <w:r w:rsidR="00EE2864" w:rsidRPr="00736E62">
        <w:rPr>
          <w:rFonts w:ascii="Palatino Linotype" w:hAnsi="Palatino Linotype"/>
          <w:bCs/>
          <w:color w:val="000000" w:themeColor="text1"/>
        </w:rPr>
        <w:t>psychological injury</w:t>
      </w:r>
      <w:r w:rsidR="00734968" w:rsidRPr="00736E62">
        <w:rPr>
          <w:rFonts w:ascii="Palatino Linotype" w:hAnsi="Palatino Linotype"/>
          <w:bCs/>
          <w:color w:val="000000" w:themeColor="text1"/>
        </w:rPr>
        <w:t xml:space="preserve"> </w:t>
      </w:r>
      <w:proofErr w:type="gramStart"/>
      <w:r w:rsidR="00734968" w:rsidRPr="00736E62">
        <w:rPr>
          <w:rFonts w:ascii="Palatino Linotype" w:hAnsi="Palatino Linotype"/>
          <w:bCs/>
          <w:color w:val="000000" w:themeColor="text1"/>
        </w:rPr>
        <w:t>as a result</w:t>
      </w:r>
      <w:r w:rsidR="00565F27" w:rsidRPr="00736E62">
        <w:rPr>
          <w:rFonts w:ascii="Palatino Linotype" w:hAnsi="Palatino Linotype"/>
          <w:bCs/>
          <w:color w:val="000000" w:themeColor="text1"/>
        </w:rPr>
        <w:t xml:space="preserve"> of</w:t>
      </w:r>
      <w:proofErr w:type="gramEnd"/>
      <w:r w:rsidR="00565F27" w:rsidRPr="00736E62">
        <w:rPr>
          <w:rFonts w:ascii="Palatino Linotype" w:hAnsi="Palatino Linotype"/>
          <w:bCs/>
          <w:color w:val="000000" w:themeColor="text1"/>
        </w:rPr>
        <w:t xml:space="preserve"> a </w:t>
      </w:r>
      <w:r w:rsidR="003875E1" w:rsidRPr="00736E62">
        <w:rPr>
          <w:rFonts w:ascii="Palatino Linotype" w:hAnsi="Palatino Linotype"/>
          <w:bCs/>
          <w:color w:val="000000" w:themeColor="text1"/>
        </w:rPr>
        <w:t>continuum of sexual assault</w:t>
      </w:r>
      <w:r w:rsidR="00736E62">
        <w:rPr>
          <w:rFonts w:ascii="Palatino Linotype" w:hAnsi="Palatino Linotype"/>
          <w:bCs/>
          <w:color w:val="000000" w:themeColor="text1"/>
        </w:rPr>
        <w:t>s</w:t>
      </w:r>
      <w:r w:rsidR="003875E1" w:rsidRPr="00736E62">
        <w:rPr>
          <w:rFonts w:ascii="Palatino Linotype" w:hAnsi="Palatino Linotype"/>
          <w:bCs/>
          <w:color w:val="000000" w:themeColor="text1"/>
        </w:rPr>
        <w:t>, including</w:t>
      </w:r>
      <w:r w:rsidR="00446AB1" w:rsidRPr="00736E62">
        <w:rPr>
          <w:rFonts w:ascii="Palatino Linotype" w:hAnsi="Palatino Linotype"/>
          <w:bCs/>
          <w:color w:val="000000" w:themeColor="text1"/>
        </w:rPr>
        <w:t xml:space="preserve"> the penetration of </w:t>
      </w:r>
      <w:r w:rsidR="00736E62">
        <w:rPr>
          <w:rFonts w:ascii="Palatino Linotype" w:hAnsi="Palatino Linotype"/>
          <w:bCs/>
          <w:color w:val="000000" w:themeColor="text1"/>
        </w:rPr>
        <w:t>his</w:t>
      </w:r>
      <w:r w:rsidR="00446AB1" w:rsidRPr="00736E62">
        <w:rPr>
          <w:rFonts w:ascii="Palatino Linotype" w:hAnsi="Palatino Linotype"/>
          <w:bCs/>
          <w:color w:val="000000" w:themeColor="text1"/>
        </w:rPr>
        <w:t xml:space="preserve"> anus and fondling of </w:t>
      </w:r>
      <w:r w:rsidR="00736E62">
        <w:rPr>
          <w:rFonts w:ascii="Palatino Linotype" w:hAnsi="Palatino Linotype"/>
          <w:bCs/>
          <w:color w:val="000000" w:themeColor="text1"/>
        </w:rPr>
        <w:t xml:space="preserve">his </w:t>
      </w:r>
      <w:r w:rsidR="00446AB1" w:rsidRPr="00736E62">
        <w:rPr>
          <w:rFonts w:ascii="Palatino Linotype" w:hAnsi="Palatino Linotype"/>
          <w:bCs/>
          <w:color w:val="000000" w:themeColor="text1"/>
        </w:rPr>
        <w:t>gen</w:t>
      </w:r>
      <w:r w:rsidR="00AB56AA" w:rsidRPr="00736E62">
        <w:rPr>
          <w:rFonts w:ascii="Palatino Linotype" w:hAnsi="Palatino Linotype"/>
          <w:bCs/>
          <w:color w:val="000000" w:themeColor="text1"/>
        </w:rPr>
        <w:t>i</w:t>
      </w:r>
      <w:r w:rsidR="00446AB1" w:rsidRPr="00736E62">
        <w:rPr>
          <w:rFonts w:ascii="Palatino Linotype" w:hAnsi="Palatino Linotype"/>
          <w:bCs/>
          <w:color w:val="000000" w:themeColor="text1"/>
        </w:rPr>
        <w:t>talia, perpetrated by</w:t>
      </w:r>
      <w:r w:rsidR="006917B9" w:rsidRPr="00736E62">
        <w:rPr>
          <w:rFonts w:ascii="Palatino Linotype" w:hAnsi="Palatino Linotype"/>
          <w:bCs/>
          <w:color w:val="000000" w:themeColor="text1"/>
        </w:rPr>
        <w:t xml:space="preserve"> a member of a religious order acting as the Plaintiff’s teacher.</w:t>
      </w:r>
    </w:p>
    <w:p w14:paraId="6A16AC0F" w14:textId="156E0C64" w:rsidR="000B4DC8" w:rsidRPr="008A71DA" w:rsidRDefault="00BA7D17" w:rsidP="0028098E">
      <w:pPr>
        <w:spacing w:line="480" w:lineRule="auto"/>
        <w:jc w:val="both"/>
        <w:rPr>
          <w:rFonts w:ascii="Palatino Linotype" w:hAnsi="Palatino Linotype"/>
          <w:b/>
        </w:rPr>
      </w:pPr>
      <w:r>
        <w:rPr>
          <w:rStyle w:val="Hyperlink"/>
          <w:rFonts w:ascii="Palatino Linotype" w:hAnsi="Palatino Linotype"/>
          <w:color w:val="auto"/>
          <w:u w:val="none"/>
        </w:rPr>
        <w:t>12</w:t>
      </w:r>
      <w:r w:rsidR="0028098E">
        <w:rPr>
          <w:rStyle w:val="Hyperlink"/>
          <w:rFonts w:ascii="Palatino Linotype" w:hAnsi="Palatino Linotype"/>
          <w:color w:val="auto"/>
          <w:u w:val="none"/>
        </w:rPr>
        <w:t>.</w:t>
      </w:r>
      <w:r w:rsidR="00414084">
        <w:rPr>
          <w:rStyle w:val="Hyperlink"/>
          <w:rFonts w:ascii="Palatino Linotype" w:hAnsi="Palatino Linotype"/>
          <w:color w:val="auto"/>
          <w:u w:val="none"/>
        </w:rPr>
        <w:t>6</w:t>
      </w:r>
      <w:r w:rsidR="0028098E">
        <w:rPr>
          <w:rStyle w:val="Hyperlink"/>
          <w:rFonts w:ascii="Palatino Linotype" w:hAnsi="Palatino Linotype"/>
          <w:color w:val="auto"/>
          <w:u w:val="none"/>
        </w:rPr>
        <w:tab/>
      </w:r>
      <w:r w:rsidR="000B4DC8" w:rsidRPr="008A71DA">
        <w:rPr>
          <w:rStyle w:val="Hyperlink"/>
          <w:rFonts w:ascii="Palatino Linotype" w:hAnsi="Palatino Linotype"/>
          <w:color w:val="auto"/>
          <w:u w:val="none"/>
        </w:rPr>
        <w:t xml:space="preserve">Perhaps the most useful comparator is that of </w:t>
      </w:r>
      <w:hyperlink r:id="rId10" w:history="1">
        <w:r w:rsidR="000B4DC8" w:rsidRPr="00AB56AA">
          <w:rPr>
            <w:rStyle w:val="Hyperlink"/>
            <w:rFonts w:ascii="Palatino Linotype" w:hAnsi="Palatino Linotype"/>
            <w:i/>
            <w:iCs/>
            <w:color w:val="auto"/>
            <w:u w:val="none"/>
          </w:rPr>
          <w:t xml:space="preserve">G.F.B. </w:t>
        </w:r>
        <w:r w:rsidR="007F7DE9">
          <w:rPr>
            <w:rStyle w:val="Hyperlink"/>
            <w:rFonts w:ascii="Palatino Linotype" w:hAnsi="Palatino Linotype"/>
            <w:i/>
            <w:iCs/>
            <w:color w:val="auto"/>
            <w:u w:val="none"/>
          </w:rPr>
          <w:t xml:space="preserve">v. </w:t>
        </w:r>
        <w:r w:rsidR="000B4DC8" w:rsidRPr="00AB56AA">
          <w:rPr>
            <w:rStyle w:val="Hyperlink"/>
            <w:rFonts w:ascii="Palatino Linotype" w:hAnsi="Palatino Linotype"/>
            <w:i/>
            <w:iCs/>
            <w:color w:val="auto"/>
            <w:u w:val="none"/>
          </w:rPr>
          <w:t>T.B.</w:t>
        </w:r>
        <w:r w:rsidR="000B4DC8" w:rsidRPr="008A71DA">
          <w:rPr>
            <w:rStyle w:val="Hyperlink"/>
            <w:rFonts w:ascii="Palatino Linotype" w:hAnsi="Palatino Linotype"/>
            <w:color w:val="auto"/>
            <w:u w:val="none"/>
          </w:rPr>
          <w:t xml:space="preserve"> [2016] IEHC 97</w:t>
        </w:r>
      </w:hyperlink>
      <w:r w:rsidR="000B4DC8" w:rsidRPr="008A71DA">
        <w:rPr>
          <w:rFonts w:ascii="Palatino Linotype" w:hAnsi="Palatino Linotype"/>
        </w:rPr>
        <w:t>, where Barr J.</w:t>
      </w:r>
      <w:r w:rsidR="000B4DC8" w:rsidRPr="008A71DA">
        <w:rPr>
          <w:rFonts w:ascii="Palatino Linotype" w:hAnsi="Palatino Linotype"/>
          <w:b/>
        </w:rPr>
        <w:t xml:space="preserve"> </w:t>
      </w:r>
      <w:r w:rsidR="000B4DC8" w:rsidRPr="008A71DA">
        <w:rPr>
          <w:rFonts w:ascii="Palatino Linotype" w:hAnsi="Palatino Linotype"/>
        </w:rPr>
        <w:t xml:space="preserve">awarded </w:t>
      </w:r>
      <w:r w:rsidR="00315876">
        <w:rPr>
          <w:rFonts w:ascii="Palatino Linotype" w:hAnsi="Palatino Linotype"/>
        </w:rPr>
        <w:t>€</w:t>
      </w:r>
      <w:r w:rsidR="000B4DC8" w:rsidRPr="008A71DA">
        <w:rPr>
          <w:rFonts w:ascii="Palatino Linotype" w:hAnsi="Palatino Linotype"/>
        </w:rPr>
        <w:t>10</w:t>
      </w:r>
      <w:r w:rsidR="008A71DA" w:rsidRPr="008A71DA">
        <w:rPr>
          <w:rFonts w:ascii="Palatino Linotype" w:hAnsi="Palatino Linotype"/>
        </w:rPr>
        <w:t>5</w:t>
      </w:r>
      <w:r w:rsidR="000B4DC8" w:rsidRPr="008A71DA">
        <w:rPr>
          <w:rFonts w:ascii="Palatino Linotype" w:hAnsi="Palatino Linotype"/>
        </w:rPr>
        <w:t>,000 in general damages.</w:t>
      </w:r>
      <w:r w:rsidR="000B4DC8" w:rsidRPr="008A71DA">
        <w:rPr>
          <w:rFonts w:ascii="Palatino Linotype" w:hAnsi="Palatino Linotype"/>
          <w:bCs/>
        </w:rPr>
        <w:t xml:space="preserve"> There, the Court had regard to the fact the abuse was carried out over </w:t>
      </w:r>
      <w:proofErr w:type="gramStart"/>
      <w:r w:rsidR="000B4DC8" w:rsidRPr="008A71DA">
        <w:rPr>
          <w:rFonts w:ascii="Palatino Linotype" w:hAnsi="Palatino Linotype"/>
          <w:bCs/>
        </w:rPr>
        <w:t>a number of</w:t>
      </w:r>
      <w:proofErr w:type="gramEnd"/>
      <w:r w:rsidR="000B4DC8" w:rsidRPr="008A71DA">
        <w:rPr>
          <w:rFonts w:ascii="Palatino Linotype" w:hAnsi="Palatino Linotype"/>
          <w:bCs/>
        </w:rPr>
        <w:t xml:space="preserve"> years and at a time when the plaintiff was particularly vulnerable – being a young boy aged 7 to 10 years.</w:t>
      </w:r>
      <w:r w:rsidR="000B4DC8" w:rsidRPr="008A71DA">
        <w:rPr>
          <w:rFonts w:ascii="Palatino Linotype" w:hAnsi="Palatino Linotype"/>
          <w:b/>
        </w:rPr>
        <w:t xml:space="preserve">  </w:t>
      </w:r>
      <w:r w:rsidR="000B4DC8" w:rsidRPr="008A71DA">
        <w:rPr>
          <w:rFonts w:ascii="Palatino Linotype" w:hAnsi="Palatino Linotype"/>
          <w:bCs/>
        </w:rPr>
        <w:t xml:space="preserve">In that case also, the defendant was in a position of trust in relation to the plaintiff as he </w:t>
      </w:r>
      <w:r w:rsidR="0052595A">
        <w:rPr>
          <w:rFonts w:ascii="Palatino Linotype" w:hAnsi="Palatino Linotype"/>
          <w:bCs/>
        </w:rPr>
        <w:t xml:space="preserve">was </w:t>
      </w:r>
      <w:r w:rsidR="000B4DC8" w:rsidRPr="008A71DA">
        <w:rPr>
          <w:rFonts w:ascii="Palatino Linotype" w:hAnsi="Palatino Linotype"/>
          <w:bCs/>
        </w:rPr>
        <w:t>living in the family home</w:t>
      </w:r>
      <w:r w:rsidR="00BF0DC3">
        <w:rPr>
          <w:rFonts w:ascii="Palatino Linotype" w:hAnsi="Palatino Linotype"/>
          <w:bCs/>
        </w:rPr>
        <w:t>,</w:t>
      </w:r>
      <w:r w:rsidR="000B4DC8" w:rsidRPr="008A71DA">
        <w:rPr>
          <w:rFonts w:ascii="Palatino Linotype" w:hAnsi="Palatino Linotype"/>
          <w:bCs/>
        </w:rPr>
        <w:t xml:space="preserve"> as the partner of the boy’s mother.</w:t>
      </w:r>
      <w:r w:rsidR="000B4DC8" w:rsidRPr="008A71DA">
        <w:rPr>
          <w:rFonts w:ascii="Palatino Linotype" w:hAnsi="Palatino Linotype"/>
          <w:b/>
        </w:rPr>
        <w:t xml:space="preserve">  </w:t>
      </w:r>
      <w:r w:rsidR="000B4DC8" w:rsidRPr="008A71DA">
        <w:rPr>
          <w:rFonts w:ascii="Palatino Linotype" w:hAnsi="Palatino Linotype"/>
        </w:rPr>
        <w:t>As here,</w:t>
      </w:r>
      <w:r w:rsidR="000B4DC8" w:rsidRPr="008A71DA">
        <w:rPr>
          <w:rFonts w:ascii="Palatino Linotype" w:hAnsi="Palatino Linotype"/>
          <w:bCs/>
        </w:rPr>
        <w:t xml:space="preserve"> the abuse did not include acts of rape although here there is a more serious allegation of penetration</w:t>
      </w:r>
      <w:r w:rsidR="00C861B5">
        <w:rPr>
          <w:rFonts w:ascii="Palatino Linotype" w:hAnsi="Palatino Linotype"/>
          <w:bCs/>
        </w:rPr>
        <w:t xml:space="preserve"> by the fingers and tongue,</w:t>
      </w:r>
      <w:r w:rsidR="00736E62">
        <w:rPr>
          <w:rFonts w:ascii="Palatino Linotype" w:hAnsi="Palatino Linotype"/>
          <w:bCs/>
        </w:rPr>
        <w:t xml:space="preserve"> and there is a history of serious psychological sequelae</w:t>
      </w:r>
      <w:r w:rsidR="000B4DC8" w:rsidRPr="008A71DA">
        <w:rPr>
          <w:rFonts w:ascii="Palatino Linotype" w:hAnsi="Palatino Linotype"/>
          <w:bCs/>
        </w:rPr>
        <w:t>.</w:t>
      </w:r>
    </w:p>
    <w:p w14:paraId="02D3A840" w14:textId="4F5B68D1" w:rsidR="000B4DC8" w:rsidRPr="008A71DA" w:rsidRDefault="00BA7D17" w:rsidP="0028098E">
      <w:pPr>
        <w:spacing w:line="480" w:lineRule="auto"/>
        <w:jc w:val="both"/>
        <w:rPr>
          <w:rFonts w:ascii="Palatino Linotype" w:hAnsi="Palatino Linotype"/>
          <w:bCs/>
        </w:rPr>
      </w:pPr>
      <w:r>
        <w:rPr>
          <w:rFonts w:ascii="Palatino Linotype" w:hAnsi="Palatino Linotype"/>
          <w:bCs/>
        </w:rPr>
        <w:t>12</w:t>
      </w:r>
      <w:r w:rsidR="0028098E">
        <w:rPr>
          <w:rFonts w:ascii="Palatino Linotype" w:hAnsi="Palatino Linotype"/>
          <w:bCs/>
        </w:rPr>
        <w:t>.</w:t>
      </w:r>
      <w:r w:rsidR="00414084">
        <w:rPr>
          <w:rFonts w:ascii="Palatino Linotype" w:hAnsi="Palatino Linotype"/>
          <w:bCs/>
        </w:rPr>
        <w:t>7</w:t>
      </w:r>
      <w:r w:rsidR="0028098E">
        <w:rPr>
          <w:rFonts w:ascii="Palatino Linotype" w:hAnsi="Palatino Linotype"/>
          <w:bCs/>
        </w:rPr>
        <w:tab/>
      </w:r>
      <w:r w:rsidR="00722564">
        <w:rPr>
          <w:rFonts w:ascii="Palatino Linotype" w:hAnsi="Palatino Linotype"/>
          <w:bCs/>
        </w:rPr>
        <w:t>I</w:t>
      </w:r>
      <w:r w:rsidR="005933AC" w:rsidRPr="008A71DA">
        <w:rPr>
          <w:rFonts w:ascii="Palatino Linotype" w:hAnsi="Palatino Linotype"/>
          <w:bCs/>
        </w:rPr>
        <w:t xml:space="preserve">n </w:t>
      </w:r>
      <w:r w:rsidR="005933AC" w:rsidRPr="00BF0DC3">
        <w:rPr>
          <w:rFonts w:ascii="Palatino Linotype" w:hAnsi="Palatino Linotype"/>
          <w:bCs/>
          <w:i/>
          <w:iCs/>
        </w:rPr>
        <w:t>G</w:t>
      </w:r>
      <w:r w:rsidR="008A71DA" w:rsidRPr="00BF0DC3">
        <w:rPr>
          <w:rFonts w:ascii="Palatino Linotype" w:hAnsi="Palatino Linotype"/>
          <w:bCs/>
          <w:i/>
          <w:iCs/>
        </w:rPr>
        <w:t>.F.B.</w:t>
      </w:r>
      <w:r w:rsidR="008A71DA" w:rsidRPr="008A71DA">
        <w:rPr>
          <w:rFonts w:ascii="Palatino Linotype" w:hAnsi="Palatino Linotype"/>
          <w:bCs/>
        </w:rPr>
        <w:t>, i</w:t>
      </w:r>
      <w:r w:rsidR="000B4DC8" w:rsidRPr="008A71DA">
        <w:rPr>
          <w:rFonts w:ascii="Palatino Linotype" w:hAnsi="Palatino Linotype"/>
          <w:bCs/>
        </w:rPr>
        <w:t xml:space="preserve">t was not alleged that the abuse caused any definable physical or psychiatric injury to the plaintiff, nevertheless he did require counselling over a prolonged </w:t>
      </w:r>
      <w:proofErr w:type="gramStart"/>
      <w:r w:rsidR="000B4DC8" w:rsidRPr="008A71DA">
        <w:rPr>
          <w:rFonts w:ascii="Palatino Linotype" w:hAnsi="Palatino Linotype"/>
          <w:bCs/>
        </w:rPr>
        <w:t>period of time</w:t>
      </w:r>
      <w:proofErr w:type="gramEnd"/>
      <w:r w:rsidR="000B4DC8" w:rsidRPr="008A71DA">
        <w:rPr>
          <w:rFonts w:ascii="Palatino Linotype" w:hAnsi="Palatino Linotype"/>
          <w:bCs/>
        </w:rPr>
        <w:t xml:space="preserve">, which was continuing at the time of the hearing. </w:t>
      </w:r>
      <w:r w:rsidR="008A71DA" w:rsidRPr="008A71DA">
        <w:rPr>
          <w:rFonts w:ascii="Palatino Linotype" w:hAnsi="Palatino Linotype"/>
          <w:bCs/>
        </w:rPr>
        <w:t xml:space="preserve"> This case can be distinguished on that basis, as there is a link between the ongoing depression</w:t>
      </w:r>
      <w:r w:rsidR="00736E62">
        <w:rPr>
          <w:rFonts w:ascii="Palatino Linotype" w:hAnsi="Palatino Linotype"/>
          <w:bCs/>
        </w:rPr>
        <w:t xml:space="preserve"> and stress</w:t>
      </w:r>
      <w:r w:rsidR="008A71DA" w:rsidRPr="008A71DA">
        <w:rPr>
          <w:rFonts w:ascii="Palatino Linotype" w:hAnsi="Palatino Linotype"/>
          <w:bCs/>
        </w:rPr>
        <w:t xml:space="preserve"> of this Plaintiff </w:t>
      </w:r>
      <w:r w:rsidR="00736E62">
        <w:rPr>
          <w:rFonts w:ascii="Palatino Linotype" w:hAnsi="Palatino Linotype"/>
          <w:bCs/>
        </w:rPr>
        <w:t xml:space="preserve">with the abuse she suffered as a child, </w:t>
      </w:r>
      <w:r w:rsidR="008A71DA" w:rsidRPr="008A71DA">
        <w:rPr>
          <w:rFonts w:ascii="Palatino Linotype" w:hAnsi="Palatino Linotype"/>
          <w:bCs/>
        </w:rPr>
        <w:t>and</w:t>
      </w:r>
      <w:r w:rsidR="00736E62">
        <w:rPr>
          <w:rFonts w:ascii="Palatino Linotype" w:hAnsi="Palatino Linotype"/>
          <w:bCs/>
        </w:rPr>
        <w:t xml:space="preserve"> there is a further causal link between the abuse and</w:t>
      </w:r>
      <w:r w:rsidR="008A71DA" w:rsidRPr="008A71DA">
        <w:rPr>
          <w:rFonts w:ascii="Palatino Linotype" w:hAnsi="Palatino Linotype"/>
          <w:bCs/>
        </w:rPr>
        <w:t xml:space="preserve"> the</w:t>
      </w:r>
      <w:r w:rsidR="00736E62">
        <w:rPr>
          <w:rFonts w:ascii="Palatino Linotype" w:hAnsi="Palatino Linotype"/>
          <w:bCs/>
        </w:rPr>
        <w:t xml:space="preserve"> </w:t>
      </w:r>
      <w:r w:rsidR="008A71DA" w:rsidRPr="008A71DA">
        <w:rPr>
          <w:rFonts w:ascii="Palatino Linotype" w:hAnsi="Palatino Linotype"/>
          <w:bCs/>
        </w:rPr>
        <w:t>aggravation of her irritable bowel condition and Crohn’s disease</w:t>
      </w:r>
      <w:r w:rsidR="00736E62">
        <w:rPr>
          <w:rFonts w:ascii="Palatino Linotype" w:hAnsi="Palatino Linotype"/>
          <w:bCs/>
        </w:rPr>
        <w:t xml:space="preserve"> due to high levels of stress</w:t>
      </w:r>
      <w:r w:rsidR="008A71DA" w:rsidRPr="008A71DA">
        <w:rPr>
          <w:rFonts w:ascii="Palatino Linotype" w:hAnsi="Palatino Linotype"/>
          <w:bCs/>
        </w:rPr>
        <w:t xml:space="preserve">.  </w:t>
      </w:r>
    </w:p>
    <w:p w14:paraId="0CEA48D7" w14:textId="6820017D" w:rsidR="008A71DA" w:rsidRPr="008A71DA" w:rsidRDefault="00BA7D17" w:rsidP="0028098E">
      <w:pPr>
        <w:spacing w:line="480" w:lineRule="auto"/>
        <w:jc w:val="both"/>
        <w:rPr>
          <w:rFonts w:ascii="Palatino Linotype" w:hAnsi="Palatino Linotype"/>
          <w:bCs/>
        </w:rPr>
      </w:pPr>
      <w:r>
        <w:rPr>
          <w:rFonts w:ascii="Palatino Linotype" w:hAnsi="Palatino Linotype"/>
          <w:bCs/>
        </w:rPr>
        <w:lastRenderedPageBreak/>
        <w:t>12</w:t>
      </w:r>
      <w:r w:rsidR="0028098E">
        <w:rPr>
          <w:rFonts w:ascii="Palatino Linotype" w:hAnsi="Palatino Linotype"/>
          <w:bCs/>
        </w:rPr>
        <w:t>.</w:t>
      </w:r>
      <w:r w:rsidR="00414084">
        <w:rPr>
          <w:rFonts w:ascii="Palatino Linotype" w:hAnsi="Palatino Linotype"/>
          <w:bCs/>
        </w:rPr>
        <w:t>8</w:t>
      </w:r>
      <w:r w:rsidR="0028098E">
        <w:rPr>
          <w:rFonts w:ascii="Palatino Linotype" w:hAnsi="Palatino Linotype"/>
          <w:bCs/>
        </w:rPr>
        <w:tab/>
      </w:r>
      <w:r w:rsidR="008A71DA" w:rsidRPr="008A71DA">
        <w:rPr>
          <w:rFonts w:ascii="Palatino Linotype" w:hAnsi="Palatino Linotype"/>
          <w:bCs/>
        </w:rPr>
        <w:t xml:space="preserve">Barr J. awarded aggravated damages to the value of €25,000 in circumstances where the defendant alleged that the plaintiff had been coached by his father to make false allegations against him. The defendant thereby went beyond merely putting the plaintiff on proof of his claim; he went further and alleged the plaintiff had deliberately told lies over </w:t>
      </w:r>
      <w:proofErr w:type="gramStart"/>
      <w:r w:rsidR="008A71DA" w:rsidRPr="008A71DA">
        <w:rPr>
          <w:rFonts w:ascii="Palatino Linotype" w:hAnsi="Palatino Linotype"/>
          <w:bCs/>
        </w:rPr>
        <w:t>a number of</w:t>
      </w:r>
      <w:proofErr w:type="gramEnd"/>
      <w:r w:rsidR="008A71DA" w:rsidRPr="008A71DA">
        <w:rPr>
          <w:rFonts w:ascii="Palatino Linotype" w:hAnsi="Palatino Linotype"/>
          <w:bCs/>
        </w:rPr>
        <w:t xml:space="preserve"> years, culminating in these proceedings, in an effort to wrongly extract money from him.  There was no comparable conduct here.</w:t>
      </w:r>
    </w:p>
    <w:p w14:paraId="4E970A26" w14:textId="4A9BE41B" w:rsidR="008759D7" w:rsidRDefault="00BA7D17" w:rsidP="0028098E">
      <w:pPr>
        <w:spacing w:line="480" w:lineRule="auto"/>
        <w:jc w:val="both"/>
        <w:rPr>
          <w:rFonts w:ascii="Palatino Linotype" w:hAnsi="Palatino Linotype"/>
          <w:bCs/>
        </w:rPr>
      </w:pPr>
      <w:r>
        <w:rPr>
          <w:rFonts w:ascii="Palatino Linotype" w:hAnsi="Palatino Linotype"/>
          <w:bCs/>
        </w:rPr>
        <w:t>12</w:t>
      </w:r>
      <w:r w:rsidR="0028098E">
        <w:rPr>
          <w:rFonts w:ascii="Palatino Linotype" w:hAnsi="Palatino Linotype"/>
          <w:bCs/>
        </w:rPr>
        <w:t>.</w:t>
      </w:r>
      <w:r w:rsidR="00414084">
        <w:rPr>
          <w:rFonts w:ascii="Palatino Linotype" w:hAnsi="Palatino Linotype"/>
          <w:bCs/>
        </w:rPr>
        <w:t>9</w:t>
      </w:r>
      <w:r w:rsidR="0028098E">
        <w:rPr>
          <w:rFonts w:ascii="Palatino Linotype" w:hAnsi="Palatino Linotype"/>
          <w:bCs/>
        </w:rPr>
        <w:tab/>
      </w:r>
      <w:r w:rsidR="008A71DA" w:rsidRPr="008A71DA">
        <w:rPr>
          <w:rFonts w:ascii="Palatino Linotype" w:hAnsi="Palatino Linotype"/>
          <w:bCs/>
        </w:rPr>
        <w:t xml:space="preserve">Finally, as the defendant had already been dealt with in the criminal courts, </w:t>
      </w:r>
      <w:r w:rsidR="008759D7">
        <w:rPr>
          <w:rFonts w:ascii="Palatino Linotype" w:hAnsi="Palatino Linotype"/>
          <w:bCs/>
        </w:rPr>
        <w:t xml:space="preserve">as is the case here, </w:t>
      </w:r>
      <w:r w:rsidR="008A71DA" w:rsidRPr="008A71DA">
        <w:rPr>
          <w:rFonts w:ascii="Palatino Linotype" w:hAnsi="Palatino Linotype"/>
          <w:bCs/>
        </w:rPr>
        <w:t>Barr J. held that it was not necessary to award punitive damages. As here, there were no items of special damages.</w:t>
      </w:r>
      <w:r w:rsidR="006D70F0">
        <w:rPr>
          <w:rFonts w:ascii="Palatino Linotype" w:hAnsi="Palatino Linotype"/>
          <w:bCs/>
        </w:rPr>
        <w:t xml:space="preserve"> Unlike </w:t>
      </w:r>
      <w:r w:rsidR="008759D7">
        <w:rPr>
          <w:rFonts w:ascii="Palatino Linotype" w:hAnsi="Palatino Linotype"/>
          <w:bCs/>
        </w:rPr>
        <w:t xml:space="preserve">in </w:t>
      </w:r>
      <w:r w:rsidR="006D70F0">
        <w:rPr>
          <w:rFonts w:ascii="Palatino Linotype" w:hAnsi="Palatino Linotype"/>
          <w:bCs/>
        </w:rPr>
        <w:t xml:space="preserve">the case of </w:t>
      </w:r>
      <w:r w:rsidR="006D70F0" w:rsidRPr="006D1BF8">
        <w:rPr>
          <w:rFonts w:ascii="Palatino Linotype" w:hAnsi="Palatino Linotype"/>
          <w:bCs/>
          <w:i/>
          <w:iCs/>
        </w:rPr>
        <w:t>G.F.B</w:t>
      </w:r>
      <w:r w:rsidR="006D70F0">
        <w:rPr>
          <w:rFonts w:ascii="Palatino Linotype" w:hAnsi="Palatino Linotype"/>
          <w:bCs/>
        </w:rPr>
        <w:t xml:space="preserve">., </w:t>
      </w:r>
      <w:r w:rsidR="008759D7">
        <w:rPr>
          <w:rFonts w:ascii="Palatino Linotype" w:hAnsi="Palatino Linotype"/>
          <w:bCs/>
        </w:rPr>
        <w:t>I cannot conclude that this Defendant</w:t>
      </w:r>
      <w:r w:rsidR="006D70F0">
        <w:rPr>
          <w:rFonts w:ascii="Palatino Linotype" w:hAnsi="Palatino Linotype"/>
          <w:bCs/>
        </w:rPr>
        <w:t xml:space="preserve"> </w:t>
      </w:r>
      <w:r w:rsidR="008759D7">
        <w:rPr>
          <w:rFonts w:ascii="Palatino Linotype" w:hAnsi="Palatino Linotype"/>
          <w:bCs/>
        </w:rPr>
        <w:t>made</w:t>
      </w:r>
      <w:r w:rsidR="006D70F0">
        <w:rPr>
          <w:rFonts w:ascii="Palatino Linotype" w:hAnsi="Palatino Linotype"/>
          <w:bCs/>
        </w:rPr>
        <w:t xml:space="preserve"> any allegations against another alleged perpetrator</w:t>
      </w:r>
      <w:r w:rsidR="008759D7">
        <w:rPr>
          <w:rFonts w:ascii="Palatino Linotype" w:hAnsi="Palatino Linotype"/>
          <w:bCs/>
        </w:rPr>
        <w:t xml:space="preserve">.  He </w:t>
      </w:r>
      <w:r w:rsidR="006D70F0">
        <w:rPr>
          <w:rFonts w:ascii="Palatino Linotype" w:hAnsi="Palatino Linotype"/>
          <w:bCs/>
        </w:rPr>
        <w:t xml:space="preserve">confined himself to the two sole questions referred to above. The fact of the assaults being egregious torts does not, of itself, require that there be an award of aggravated damages.  As submitted by Counsel, this is reserved for cases in which the Court wishes to mark its disapproval of specific conduct in how a case was presented.  There is no reason for such damages in this case.  </w:t>
      </w:r>
    </w:p>
    <w:p w14:paraId="575F5627" w14:textId="3A966041" w:rsidR="008759D7" w:rsidRPr="008759D7" w:rsidRDefault="00BA7D17" w:rsidP="008759D7">
      <w:pPr>
        <w:spacing w:line="480" w:lineRule="auto"/>
        <w:jc w:val="both"/>
        <w:rPr>
          <w:rFonts w:ascii="Palatino Linotype" w:hAnsi="Palatino Linotype"/>
          <w:bCs/>
        </w:rPr>
      </w:pPr>
      <w:r>
        <w:rPr>
          <w:rFonts w:ascii="Palatino Linotype" w:hAnsi="Palatino Linotype"/>
          <w:bCs/>
        </w:rPr>
        <w:t>12</w:t>
      </w:r>
      <w:r w:rsidR="008759D7">
        <w:rPr>
          <w:rFonts w:ascii="Palatino Linotype" w:hAnsi="Palatino Linotype"/>
          <w:bCs/>
        </w:rPr>
        <w:t>.1</w:t>
      </w:r>
      <w:r w:rsidR="00414084">
        <w:rPr>
          <w:rFonts w:ascii="Palatino Linotype" w:hAnsi="Palatino Linotype"/>
          <w:bCs/>
        </w:rPr>
        <w:t>0</w:t>
      </w:r>
      <w:r w:rsidR="008759D7">
        <w:rPr>
          <w:rFonts w:ascii="Palatino Linotype" w:hAnsi="Palatino Linotype"/>
          <w:bCs/>
        </w:rPr>
        <w:tab/>
      </w:r>
      <w:r w:rsidR="008759D7" w:rsidRPr="008759D7">
        <w:rPr>
          <w:rFonts w:ascii="Palatino Linotype" w:hAnsi="Palatino Linotype"/>
          <w:bCs/>
        </w:rPr>
        <w:t xml:space="preserve">In </w:t>
      </w:r>
      <w:r w:rsidR="008759D7" w:rsidRPr="00BA7D17">
        <w:rPr>
          <w:rFonts w:ascii="Palatino Linotype" w:hAnsi="Palatino Linotype"/>
          <w:bCs/>
          <w:i/>
          <w:iCs/>
        </w:rPr>
        <w:t>O'Donnell v. O'Donnell</w:t>
      </w:r>
      <w:r w:rsidR="008759D7" w:rsidRPr="008759D7">
        <w:rPr>
          <w:rFonts w:ascii="Palatino Linotype" w:hAnsi="Palatino Linotype"/>
          <w:bCs/>
        </w:rPr>
        <w:t xml:space="preserve"> [2005] IEHC 216, Kelly J. (as he then was) </w:t>
      </w:r>
      <w:r w:rsidR="008759D7">
        <w:rPr>
          <w:rFonts w:ascii="Palatino Linotype" w:hAnsi="Palatino Linotype"/>
          <w:bCs/>
        </w:rPr>
        <w:t xml:space="preserve">described </w:t>
      </w:r>
      <w:r w:rsidR="008759D7" w:rsidRPr="008759D7">
        <w:rPr>
          <w:rFonts w:ascii="Palatino Linotype" w:hAnsi="Palatino Linotype"/>
          <w:bCs/>
        </w:rPr>
        <w:t>aggravated damages</w:t>
      </w:r>
      <w:r w:rsidR="008759D7">
        <w:rPr>
          <w:rFonts w:ascii="Palatino Linotype" w:hAnsi="Palatino Linotype"/>
          <w:bCs/>
        </w:rPr>
        <w:t>,</w:t>
      </w:r>
      <w:r w:rsidR="008759D7" w:rsidRPr="008759D7">
        <w:rPr>
          <w:rFonts w:ascii="Palatino Linotype" w:hAnsi="Palatino Linotype"/>
          <w:bCs/>
        </w:rPr>
        <w:t xml:space="preserve"> in</w:t>
      </w:r>
      <w:r w:rsidR="008759D7">
        <w:rPr>
          <w:rFonts w:ascii="Palatino Linotype" w:hAnsi="Palatino Linotype"/>
          <w:bCs/>
        </w:rPr>
        <w:t xml:space="preserve"> the context of a comparable</w:t>
      </w:r>
      <w:r w:rsidR="008759D7" w:rsidRPr="008759D7">
        <w:rPr>
          <w:rFonts w:ascii="Palatino Linotype" w:hAnsi="Palatino Linotype"/>
          <w:bCs/>
        </w:rPr>
        <w:t xml:space="preserve"> civil sexual abuse claim</w:t>
      </w:r>
      <w:r w:rsidR="008759D7">
        <w:rPr>
          <w:rFonts w:ascii="Palatino Linotype" w:hAnsi="Palatino Linotype"/>
          <w:bCs/>
        </w:rPr>
        <w:t>, as follows</w:t>
      </w:r>
      <w:r w:rsidR="008759D7" w:rsidRPr="008759D7">
        <w:rPr>
          <w:rFonts w:ascii="Palatino Linotype" w:hAnsi="Palatino Linotype"/>
          <w:bCs/>
        </w:rPr>
        <w:t>:</w:t>
      </w:r>
    </w:p>
    <w:p w14:paraId="0FA7D0E6" w14:textId="77777777" w:rsidR="00BA7D17" w:rsidRDefault="008759D7" w:rsidP="00BA7D17">
      <w:pPr>
        <w:spacing w:line="480" w:lineRule="auto"/>
        <w:ind w:left="720"/>
        <w:jc w:val="both"/>
        <w:rPr>
          <w:rFonts w:ascii="Palatino Linotype" w:hAnsi="Palatino Linotype"/>
          <w:bCs/>
        </w:rPr>
      </w:pPr>
      <w:r w:rsidRPr="008759D7">
        <w:rPr>
          <w:rFonts w:ascii="Palatino Linotype" w:hAnsi="Palatino Linotype"/>
          <w:bCs/>
          <w:i/>
        </w:rPr>
        <w:t xml:space="preserve">'Aggravated damages are compensatory in nature and can be awarded in cases in which the injury to the plaintiff has been aggravated by malice or insolence or arrogance accompanying it. The plaintiff complains that the defendant maintained a denial of liability in these proceedings and that he should be awarded damages in that regard. I am at one with the view of Finnegan P. in </w:t>
      </w:r>
      <w:proofErr w:type="spellStart"/>
      <w:r w:rsidRPr="008759D7">
        <w:rPr>
          <w:rFonts w:ascii="Palatino Linotype" w:hAnsi="Palatino Linotype"/>
          <w:bCs/>
          <w:i/>
        </w:rPr>
        <w:t>Noctor's</w:t>
      </w:r>
      <w:proofErr w:type="spellEnd"/>
      <w:r w:rsidRPr="008759D7">
        <w:rPr>
          <w:rFonts w:ascii="Palatino Linotype" w:hAnsi="Palatino Linotype"/>
          <w:bCs/>
          <w:i/>
        </w:rPr>
        <w:t xml:space="preserve"> case that the maintenance of a denial of liability is not an abuse of the process of the court. A defendant is entitled to require a plaintiff to prove his case</w:t>
      </w:r>
      <w:r w:rsidRPr="008759D7">
        <w:rPr>
          <w:rFonts w:ascii="Palatino Linotype" w:hAnsi="Palatino Linotype"/>
          <w:bCs/>
        </w:rPr>
        <w:t xml:space="preserve">. </w:t>
      </w:r>
    </w:p>
    <w:p w14:paraId="7F78EF68" w14:textId="6E3ED662" w:rsidR="008759D7" w:rsidRPr="008759D7" w:rsidRDefault="00BA7D17" w:rsidP="00BA7D17">
      <w:pPr>
        <w:spacing w:line="480" w:lineRule="auto"/>
        <w:jc w:val="both"/>
        <w:rPr>
          <w:rFonts w:ascii="Palatino Linotype" w:hAnsi="Palatino Linotype"/>
          <w:bCs/>
        </w:rPr>
      </w:pPr>
      <w:r>
        <w:rPr>
          <w:rFonts w:ascii="Palatino Linotype" w:hAnsi="Palatino Linotype"/>
          <w:bCs/>
        </w:rPr>
        <w:lastRenderedPageBreak/>
        <w:t>12.11</w:t>
      </w:r>
      <w:r>
        <w:rPr>
          <w:rFonts w:ascii="Palatino Linotype" w:hAnsi="Palatino Linotype"/>
          <w:bCs/>
        </w:rPr>
        <w:tab/>
      </w:r>
      <w:r w:rsidR="008759D7">
        <w:rPr>
          <w:rFonts w:ascii="Palatino Linotype" w:hAnsi="Palatino Linotype"/>
          <w:bCs/>
        </w:rPr>
        <w:t>Kelly J. concluded by quoting from</w:t>
      </w:r>
      <w:r w:rsidR="008759D7" w:rsidRPr="008759D7">
        <w:rPr>
          <w:rFonts w:ascii="Palatino Linotype" w:hAnsi="Palatino Linotype"/>
          <w:bCs/>
        </w:rPr>
        <w:t xml:space="preserve"> </w:t>
      </w:r>
      <w:proofErr w:type="spellStart"/>
      <w:r w:rsidR="008759D7" w:rsidRPr="008759D7">
        <w:rPr>
          <w:rFonts w:ascii="Palatino Linotype" w:hAnsi="Palatino Linotype"/>
          <w:bCs/>
        </w:rPr>
        <w:t>Nourse</w:t>
      </w:r>
      <w:proofErr w:type="spellEnd"/>
      <w:r w:rsidR="008759D7" w:rsidRPr="008759D7">
        <w:rPr>
          <w:rFonts w:ascii="Palatino Linotype" w:hAnsi="Palatino Linotype"/>
          <w:bCs/>
        </w:rPr>
        <w:t xml:space="preserve"> L.J. in </w:t>
      </w:r>
      <w:r w:rsidR="008759D7" w:rsidRPr="008759D7">
        <w:rPr>
          <w:rFonts w:ascii="Palatino Linotype" w:hAnsi="Palatino Linotype"/>
          <w:bCs/>
          <w:i/>
        </w:rPr>
        <w:t xml:space="preserve">Sutcliffe v. </w:t>
      </w:r>
      <w:proofErr w:type="spellStart"/>
      <w:r w:rsidR="008759D7" w:rsidRPr="008759D7">
        <w:rPr>
          <w:rFonts w:ascii="Palatino Linotype" w:hAnsi="Palatino Linotype"/>
          <w:bCs/>
          <w:i/>
        </w:rPr>
        <w:t>Pressdram</w:t>
      </w:r>
      <w:proofErr w:type="spellEnd"/>
      <w:r w:rsidR="008759D7" w:rsidRPr="008759D7">
        <w:rPr>
          <w:rFonts w:ascii="Palatino Linotype" w:hAnsi="Palatino Linotype"/>
          <w:bCs/>
          <w:i/>
        </w:rPr>
        <w:t xml:space="preserve"> Limited</w:t>
      </w:r>
      <w:r w:rsidR="008759D7" w:rsidRPr="008759D7">
        <w:rPr>
          <w:rFonts w:ascii="Palatino Linotype" w:hAnsi="Palatino Linotype"/>
          <w:bCs/>
        </w:rPr>
        <w:t xml:space="preserve"> [1990] 1 All E.R. 269, </w:t>
      </w:r>
      <w:r w:rsidR="008759D7">
        <w:rPr>
          <w:rFonts w:ascii="Palatino Linotype" w:hAnsi="Palatino Linotype"/>
          <w:bCs/>
        </w:rPr>
        <w:t>who</w:t>
      </w:r>
      <w:r w:rsidR="008759D7" w:rsidRPr="008759D7">
        <w:rPr>
          <w:rFonts w:ascii="Palatino Linotype" w:hAnsi="Palatino Linotype"/>
          <w:bCs/>
        </w:rPr>
        <w:t xml:space="preserve"> identified the factors which might lead to an award of aggravated damages</w:t>
      </w:r>
      <w:r w:rsidR="008759D7">
        <w:rPr>
          <w:rFonts w:ascii="Palatino Linotype" w:hAnsi="Palatino Linotype"/>
          <w:bCs/>
        </w:rPr>
        <w:t xml:space="preserve"> as</w:t>
      </w:r>
      <w:r w:rsidR="008759D7" w:rsidRPr="008759D7">
        <w:rPr>
          <w:rFonts w:ascii="Palatino Linotype" w:hAnsi="Palatino Linotype"/>
          <w:bCs/>
        </w:rPr>
        <w:t>:</w:t>
      </w:r>
    </w:p>
    <w:p w14:paraId="1599F9D3" w14:textId="77777777" w:rsidR="008759D7" w:rsidRDefault="008759D7" w:rsidP="00BA7D17">
      <w:pPr>
        <w:spacing w:line="480" w:lineRule="auto"/>
        <w:ind w:left="720"/>
        <w:jc w:val="both"/>
        <w:rPr>
          <w:rFonts w:ascii="Palatino Linotype" w:hAnsi="Palatino Linotype"/>
          <w:bCs/>
        </w:rPr>
      </w:pPr>
      <w:r w:rsidRPr="008759D7">
        <w:rPr>
          <w:rFonts w:ascii="Palatino Linotype" w:hAnsi="Palatino Linotype"/>
          <w:bCs/>
        </w:rPr>
        <w:t>"</w:t>
      </w:r>
      <w:r w:rsidRPr="008759D7">
        <w:rPr>
          <w:rFonts w:ascii="Palatino Linotype" w:hAnsi="Palatino Linotype"/>
          <w:bCs/>
          <w:i/>
        </w:rPr>
        <w:t>Conduct calculated to deter the Plaintiff from proceeding; persistence, by way of a prolonged or hostile cross examination of the Plaintiff or in turgid speeches to the jury; a plea of justification which is bound to fail; the general conduct either of the preliminaries or of the trial itself in a manner calculated to attract further wide publicity, and persecution of the plaintiff by other means."</w:t>
      </w:r>
      <w:r>
        <w:rPr>
          <w:rFonts w:ascii="Palatino Linotype" w:hAnsi="Palatino Linotype"/>
          <w:bCs/>
        </w:rPr>
        <w:t xml:space="preserve">  </w:t>
      </w:r>
    </w:p>
    <w:p w14:paraId="5D85666F" w14:textId="34819C66" w:rsidR="008759D7" w:rsidRPr="008759D7" w:rsidRDefault="008759D7" w:rsidP="008759D7">
      <w:pPr>
        <w:spacing w:line="480" w:lineRule="auto"/>
        <w:jc w:val="both"/>
        <w:rPr>
          <w:rFonts w:ascii="Palatino Linotype" w:hAnsi="Palatino Linotype"/>
          <w:bCs/>
        </w:rPr>
      </w:pPr>
      <w:r>
        <w:rPr>
          <w:rFonts w:ascii="Palatino Linotype" w:hAnsi="Palatino Linotype"/>
          <w:bCs/>
        </w:rPr>
        <w:t>None of these factors are present in this case and, accordingly, I do not consider this an appropriate case for an award of aggravated damages.</w:t>
      </w:r>
    </w:p>
    <w:p w14:paraId="775A5056" w14:textId="0BDBD390" w:rsidR="000221A0" w:rsidRDefault="00BA7D17" w:rsidP="0028098E">
      <w:pPr>
        <w:spacing w:line="480" w:lineRule="auto"/>
        <w:jc w:val="both"/>
        <w:rPr>
          <w:rFonts w:ascii="Palatino Linotype" w:hAnsi="Palatino Linotype"/>
          <w:bCs/>
        </w:rPr>
      </w:pPr>
      <w:r>
        <w:rPr>
          <w:rFonts w:ascii="Palatino Linotype" w:hAnsi="Palatino Linotype"/>
          <w:bCs/>
        </w:rPr>
        <w:t>12</w:t>
      </w:r>
      <w:r w:rsidR="0028098E">
        <w:rPr>
          <w:rFonts w:ascii="Palatino Linotype" w:hAnsi="Palatino Linotype"/>
          <w:bCs/>
        </w:rPr>
        <w:t>.1</w:t>
      </w:r>
      <w:r>
        <w:rPr>
          <w:rFonts w:ascii="Palatino Linotype" w:hAnsi="Palatino Linotype"/>
          <w:bCs/>
        </w:rPr>
        <w:t>2</w:t>
      </w:r>
      <w:r w:rsidR="0028098E">
        <w:rPr>
          <w:rFonts w:ascii="Palatino Linotype" w:hAnsi="Palatino Linotype"/>
          <w:bCs/>
        </w:rPr>
        <w:tab/>
      </w:r>
      <w:proofErr w:type="gramStart"/>
      <w:r w:rsidR="008A71DA" w:rsidRPr="008A71DA">
        <w:rPr>
          <w:rFonts w:ascii="Palatino Linotype" w:hAnsi="Palatino Linotype"/>
          <w:bCs/>
        </w:rPr>
        <w:t>Taking into account</w:t>
      </w:r>
      <w:proofErr w:type="gramEnd"/>
      <w:r w:rsidR="008A71DA" w:rsidRPr="008A71DA">
        <w:rPr>
          <w:rFonts w:ascii="Palatino Linotype" w:hAnsi="Palatino Linotype"/>
          <w:bCs/>
        </w:rPr>
        <w:t xml:space="preserve"> </w:t>
      </w:r>
      <w:r w:rsidR="000B4DC8" w:rsidRPr="008A71DA">
        <w:rPr>
          <w:rFonts w:ascii="Palatino Linotype" w:hAnsi="Palatino Linotype"/>
          <w:bCs/>
        </w:rPr>
        <w:t xml:space="preserve">the principles handed down by Denham J. in </w:t>
      </w:r>
      <w:r w:rsidR="000B4DC8" w:rsidRPr="00E32B18">
        <w:rPr>
          <w:rFonts w:ascii="Palatino Linotype" w:hAnsi="Palatino Linotype"/>
          <w:bCs/>
          <w:i/>
          <w:iCs/>
        </w:rPr>
        <w:t>M.N. v S.M.</w:t>
      </w:r>
      <w:r w:rsidR="008A71DA" w:rsidRPr="008A71DA">
        <w:rPr>
          <w:rFonts w:ascii="Palatino Linotype" w:hAnsi="Palatino Linotype"/>
          <w:bCs/>
        </w:rPr>
        <w:t xml:space="preserve"> and the award</w:t>
      </w:r>
      <w:r w:rsidR="00736E62">
        <w:rPr>
          <w:rFonts w:ascii="Palatino Linotype" w:hAnsi="Palatino Linotype"/>
          <w:bCs/>
        </w:rPr>
        <w:t>s</w:t>
      </w:r>
      <w:r w:rsidR="008A71DA" w:rsidRPr="008A71DA">
        <w:rPr>
          <w:rFonts w:ascii="Palatino Linotype" w:hAnsi="Palatino Linotype"/>
          <w:bCs/>
        </w:rPr>
        <w:t xml:space="preserve"> of Barr J. </w:t>
      </w:r>
      <w:r w:rsidR="00736E62">
        <w:rPr>
          <w:rFonts w:ascii="Palatino Linotype" w:hAnsi="Palatino Linotype"/>
          <w:bCs/>
        </w:rPr>
        <w:t xml:space="preserve">and of the Supreme Court </w:t>
      </w:r>
      <w:r w:rsidR="008A71DA" w:rsidRPr="008A71DA">
        <w:rPr>
          <w:rFonts w:ascii="Palatino Linotype" w:hAnsi="Palatino Linotype"/>
          <w:bCs/>
        </w:rPr>
        <w:t>in recent, comparable case</w:t>
      </w:r>
      <w:r w:rsidR="00736E62">
        <w:rPr>
          <w:rFonts w:ascii="Palatino Linotype" w:hAnsi="Palatino Linotype"/>
          <w:bCs/>
        </w:rPr>
        <w:t>s</w:t>
      </w:r>
      <w:r w:rsidR="008A71DA" w:rsidRPr="008A71DA">
        <w:rPr>
          <w:rFonts w:ascii="Palatino Linotype" w:hAnsi="Palatino Linotype"/>
          <w:bCs/>
        </w:rPr>
        <w:t xml:space="preserve">, it seems to </w:t>
      </w:r>
      <w:r w:rsidR="00736E62">
        <w:rPr>
          <w:rFonts w:ascii="Palatino Linotype" w:hAnsi="Palatino Linotype"/>
          <w:bCs/>
        </w:rPr>
        <w:t>m</w:t>
      </w:r>
      <w:r w:rsidR="008A71DA" w:rsidRPr="008A71DA">
        <w:rPr>
          <w:rFonts w:ascii="Palatino Linotype" w:hAnsi="Palatino Linotype"/>
          <w:bCs/>
        </w:rPr>
        <w:t>e that an award of €1</w:t>
      </w:r>
      <w:r w:rsidR="00722564">
        <w:rPr>
          <w:rFonts w:ascii="Palatino Linotype" w:hAnsi="Palatino Linotype"/>
          <w:bCs/>
        </w:rPr>
        <w:t>45</w:t>
      </w:r>
      <w:r w:rsidR="008A71DA" w:rsidRPr="008A71DA">
        <w:rPr>
          <w:rFonts w:ascii="Palatino Linotype" w:hAnsi="Palatino Linotype"/>
          <w:bCs/>
        </w:rPr>
        <w:t xml:space="preserve">,000 is a fair and proportionate one for general damages to date. </w:t>
      </w:r>
      <w:r w:rsidR="00722564">
        <w:rPr>
          <w:rFonts w:ascii="Palatino Linotype" w:hAnsi="Palatino Linotype"/>
          <w:bCs/>
        </w:rPr>
        <w:t xml:space="preserve"> This is made up of two parts.  €125,000 relates to the assaults themselves and the psychological sequelae.  The sum reflects serious trespasses against the person of a child, with life-long effects causing depression and with lasting anxiety.  The sum is chosen also to acknowledge that the indecent assaults stopped short of penetration of any body part of the child by the penis, by its nature a more serious wrong.  </w:t>
      </w:r>
      <w:r w:rsidR="008A71DA" w:rsidRPr="008A71DA">
        <w:rPr>
          <w:rFonts w:ascii="Palatino Linotype" w:hAnsi="Palatino Linotype"/>
          <w:bCs/>
        </w:rPr>
        <w:t xml:space="preserve"> </w:t>
      </w:r>
      <w:r w:rsidR="00722564">
        <w:rPr>
          <w:rFonts w:ascii="Palatino Linotype" w:hAnsi="Palatino Linotype"/>
          <w:bCs/>
        </w:rPr>
        <w:t xml:space="preserve">The sum of €145,000 also includes a portion of damages, in the amount of €20,000 to reflect the physical consequences of the Plaintiff’s stress which manifested in a worsening of her bowel condition.  </w:t>
      </w:r>
      <w:r w:rsidR="008A71DA" w:rsidRPr="008A71DA">
        <w:rPr>
          <w:rFonts w:ascii="Palatino Linotype" w:hAnsi="Palatino Linotype"/>
          <w:bCs/>
        </w:rPr>
        <w:t xml:space="preserve">I will also award </w:t>
      </w:r>
      <w:r w:rsidR="00751CD6">
        <w:rPr>
          <w:rFonts w:ascii="Palatino Linotype" w:hAnsi="Palatino Linotype"/>
          <w:bCs/>
        </w:rPr>
        <w:t>€</w:t>
      </w:r>
      <w:r w:rsidR="008A71DA" w:rsidRPr="008A71DA">
        <w:rPr>
          <w:rFonts w:ascii="Palatino Linotype" w:hAnsi="Palatino Linotype"/>
          <w:bCs/>
        </w:rPr>
        <w:t xml:space="preserve">25,000 for damages into the future, making a total </w:t>
      </w:r>
      <w:r w:rsidR="006D70F0">
        <w:rPr>
          <w:rFonts w:ascii="Palatino Linotype" w:hAnsi="Palatino Linotype"/>
          <w:bCs/>
        </w:rPr>
        <w:t xml:space="preserve">award </w:t>
      </w:r>
      <w:r w:rsidR="008A71DA" w:rsidRPr="008A71DA">
        <w:rPr>
          <w:rFonts w:ascii="Palatino Linotype" w:hAnsi="Palatino Linotype"/>
          <w:bCs/>
        </w:rPr>
        <w:t xml:space="preserve">of </w:t>
      </w:r>
      <w:r w:rsidR="00751CD6">
        <w:rPr>
          <w:rFonts w:ascii="Palatino Linotype" w:hAnsi="Palatino Linotype"/>
          <w:bCs/>
        </w:rPr>
        <w:t>€</w:t>
      </w:r>
      <w:r w:rsidR="008A71DA" w:rsidRPr="008A71DA">
        <w:rPr>
          <w:rFonts w:ascii="Palatino Linotype" w:hAnsi="Palatino Linotype"/>
          <w:bCs/>
        </w:rPr>
        <w:t>1</w:t>
      </w:r>
      <w:r w:rsidR="00722564">
        <w:rPr>
          <w:rFonts w:ascii="Palatino Linotype" w:hAnsi="Palatino Linotype"/>
          <w:bCs/>
        </w:rPr>
        <w:t>7</w:t>
      </w:r>
      <w:r w:rsidR="008A71DA" w:rsidRPr="008A71DA">
        <w:rPr>
          <w:rFonts w:ascii="Palatino Linotype" w:hAnsi="Palatino Linotype"/>
          <w:bCs/>
        </w:rPr>
        <w:t>0,000.</w:t>
      </w:r>
    </w:p>
    <w:p w14:paraId="0B4FF8C2" w14:textId="77777777" w:rsidR="00722564" w:rsidRPr="008A71DA" w:rsidRDefault="00722564" w:rsidP="0028098E">
      <w:pPr>
        <w:spacing w:line="480" w:lineRule="auto"/>
        <w:jc w:val="both"/>
        <w:rPr>
          <w:rFonts w:ascii="Palatino Linotype" w:hAnsi="Palatino Linotype"/>
          <w:bCs/>
        </w:rPr>
      </w:pPr>
    </w:p>
    <w:p w14:paraId="5EC8EACA" w14:textId="18140BCA" w:rsidR="00701A19" w:rsidRPr="00701A19" w:rsidRDefault="00BA7D17" w:rsidP="0028098E">
      <w:pPr>
        <w:spacing w:line="480" w:lineRule="auto"/>
        <w:jc w:val="both"/>
        <w:rPr>
          <w:rFonts w:ascii="Palatino Linotype" w:hAnsi="Palatino Linotype"/>
          <w:b/>
        </w:rPr>
      </w:pPr>
      <w:r>
        <w:rPr>
          <w:rFonts w:ascii="Palatino Linotype" w:hAnsi="Palatino Linotype"/>
          <w:b/>
        </w:rPr>
        <w:lastRenderedPageBreak/>
        <w:t>13</w:t>
      </w:r>
      <w:r w:rsidR="0028098E">
        <w:rPr>
          <w:rFonts w:ascii="Palatino Linotype" w:hAnsi="Palatino Linotype"/>
          <w:b/>
        </w:rPr>
        <w:t xml:space="preserve">. </w:t>
      </w:r>
      <w:r w:rsidR="00701A19" w:rsidRPr="00701A19">
        <w:rPr>
          <w:rFonts w:ascii="Palatino Linotype" w:hAnsi="Palatino Linotype"/>
          <w:b/>
        </w:rPr>
        <w:t>Conclusion</w:t>
      </w:r>
    </w:p>
    <w:p w14:paraId="258250B6" w14:textId="77777777" w:rsidR="00722564" w:rsidRDefault="00BA7D17" w:rsidP="004C3593">
      <w:pPr>
        <w:spacing w:line="480" w:lineRule="auto"/>
        <w:jc w:val="both"/>
        <w:rPr>
          <w:rFonts w:ascii="Palatino Linotype" w:hAnsi="Palatino Linotype"/>
        </w:rPr>
      </w:pPr>
      <w:r>
        <w:rPr>
          <w:rFonts w:ascii="Palatino Linotype" w:hAnsi="Palatino Linotype"/>
        </w:rPr>
        <w:t>13</w:t>
      </w:r>
      <w:r w:rsidR="0028098E">
        <w:rPr>
          <w:rFonts w:ascii="Palatino Linotype" w:hAnsi="Palatino Linotype"/>
        </w:rPr>
        <w:t>.1</w:t>
      </w:r>
      <w:r w:rsidR="0028098E">
        <w:rPr>
          <w:rFonts w:ascii="Palatino Linotype" w:hAnsi="Palatino Linotype"/>
        </w:rPr>
        <w:tab/>
      </w:r>
      <w:r w:rsidR="00701A19">
        <w:rPr>
          <w:rFonts w:ascii="Palatino Linotype" w:hAnsi="Palatino Linotype"/>
        </w:rPr>
        <w:t xml:space="preserve">As I made clear on the final day of the hearing, I </w:t>
      </w:r>
      <w:r w:rsidR="00736E62">
        <w:rPr>
          <w:rFonts w:ascii="Palatino Linotype" w:hAnsi="Palatino Linotype"/>
        </w:rPr>
        <w:t>took</w:t>
      </w:r>
      <w:r w:rsidR="00701A19">
        <w:rPr>
          <w:rFonts w:ascii="Palatino Linotype" w:hAnsi="Palatino Linotype"/>
        </w:rPr>
        <w:t xml:space="preserve"> the view that the </w:t>
      </w:r>
      <w:r>
        <w:rPr>
          <w:rFonts w:ascii="Palatino Linotype" w:hAnsi="Palatino Linotype"/>
        </w:rPr>
        <w:t>P</w:t>
      </w:r>
      <w:r w:rsidR="00701A19">
        <w:rPr>
          <w:rFonts w:ascii="Palatino Linotype" w:hAnsi="Palatino Linotype"/>
        </w:rPr>
        <w:t>laintiff’s case had to succeed due to her</w:t>
      </w:r>
      <w:r w:rsidR="00736E62">
        <w:rPr>
          <w:rFonts w:ascii="Palatino Linotype" w:hAnsi="Palatino Linotype"/>
        </w:rPr>
        <w:t xml:space="preserve"> </w:t>
      </w:r>
      <w:r w:rsidR="008759D7">
        <w:rPr>
          <w:rFonts w:ascii="Palatino Linotype" w:hAnsi="Palatino Linotype"/>
        </w:rPr>
        <w:t xml:space="preserve">credible and </w:t>
      </w:r>
      <w:r w:rsidR="00736E62">
        <w:rPr>
          <w:rFonts w:ascii="Palatino Linotype" w:hAnsi="Palatino Linotype"/>
        </w:rPr>
        <w:t>uncontradicted</w:t>
      </w:r>
      <w:r w:rsidR="00701A19">
        <w:rPr>
          <w:rFonts w:ascii="Palatino Linotype" w:hAnsi="Palatino Linotype"/>
        </w:rPr>
        <w:t xml:space="preserve"> evidence, the presumption against the </w:t>
      </w:r>
      <w:r>
        <w:rPr>
          <w:rFonts w:ascii="Palatino Linotype" w:hAnsi="Palatino Linotype"/>
        </w:rPr>
        <w:t>D</w:t>
      </w:r>
      <w:r w:rsidR="00701A19">
        <w:rPr>
          <w:rFonts w:ascii="Palatino Linotype" w:hAnsi="Palatino Linotype"/>
        </w:rPr>
        <w:t>efendant, and the</w:t>
      </w:r>
      <w:r w:rsidR="00736E62">
        <w:rPr>
          <w:rFonts w:ascii="Palatino Linotype" w:hAnsi="Palatino Linotype"/>
        </w:rPr>
        <w:t xml:space="preserve"> medical</w:t>
      </w:r>
      <w:r w:rsidR="00701A19">
        <w:rPr>
          <w:rFonts w:ascii="Palatino Linotype" w:hAnsi="Palatino Linotype"/>
        </w:rPr>
        <w:t xml:space="preserve"> evidence </w:t>
      </w:r>
      <w:r w:rsidR="00722564">
        <w:rPr>
          <w:rFonts w:ascii="Palatino Linotype" w:hAnsi="Palatino Linotype"/>
        </w:rPr>
        <w:t xml:space="preserve">establishing that </w:t>
      </w:r>
      <w:r w:rsidR="00701A19">
        <w:rPr>
          <w:rFonts w:ascii="Palatino Linotype" w:hAnsi="Palatino Linotype"/>
        </w:rPr>
        <w:t>the Plaintiff’s capacity to bring the action</w:t>
      </w:r>
      <w:r w:rsidR="00722564">
        <w:rPr>
          <w:rFonts w:ascii="Palatino Linotype" w:hAnsi="Palatino Linotype"/>
        </w:rPr>
        <w:t xml:space="preserve"> was substantially impaired</w:t>
      </w:r>
      <w:r w:rsidR="00701A19">
        <w:rPr>
          <w:rFonts w:ascii="Palatino Linotype" w:hAnsi="Palatino Linotype"/>
        </w:rPr>
        <w:t xml:space="preserve">.  </w:t>
      </w:r>
      <w:r w:rsidR="00736E62">
        <w:rPr>
          <w:rFonts w:ascii="Palatino Linotype" w:hAnsi="Palatino Linotype"/>
        </w:rPr>
        <w:t xml:space="preserve"> The detailed reasons for these conclusions have been set out above.  </w:t>
      </w:r>
    </w:p>
    <w:p w14:paraId="276611C0" w14:textId="77777777" w:rsidR="00CE0F6A" w:rsidRDefault="00CE0F6A" w:rsidP="004C3593">
      <w:pPr>
        <w:spacing w:line="480" w:lineRule="auto"/>
        <w:jc w:val="both"/>
        <w:rPr>
          <w:rFonts w:ascii="Palatino Linotype" w:hAnsi="Palatino Linotype"/>
        </w:rPr>
      </w:pPr>
    </w:p>
    <w:p w14:paraId="38A184F2" w14:textId="04896EA3" w:rsidR="00AC7DBE" w:rsidRPr="003E6DB1" w:rsidRDefault="00736E62" w:rsidP="004C3593">
      <w:pPr>
        <w:spacing w:line="480" w:lineRule="auto"/>
        <w:jc w:val="both"/>
        <w:rPr>
          <w:rFonts w:ascii="Palatino Linotype" w:hAnsi="Palatino Linotype"/>
        </w:rPr>
      </w:pPr>
      <w:r>
        <w:rPr>
          <w:rFonts w:ascii="Palatino Linotype" w:hAnsi="Palatino Linotype"/>
        </w:rPr>
        <w:t>Costs follow the event.</w:t>
      </w:r>
    </w:p>
    <w:sectPr w:rsidR="00AC7DBE" w:rsidRPr="003E6DB1">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5D5365" w14:textId="77777777" w:rsidR="00AD00AF" w:rsidRDefault="00AD00AF" w:rsidP="008A0317">
      <w:pPr>
        <w:spacing w:after="0" w:line="240" w:lineRule="auto"/>
      </w:pPr>
      <w:r>
        <w:separator/>
      </w:r>
    </w:p>
  </w:endnote>
  <w:endnote w:type="continuationSeparator" w:id="0">
    <w:p w14:paraId="1D1E9724" w14:textId="77777777" w:rsidR="00AD00AF" w:rsidRDefault="00AD00AF" w:rsidP="008A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Italic">
    <w:altName w:val="Verdana"/>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0237429"/>
      <w:docPartObj>
        <w:docPartGallery w:val="Page Numbers (Bottom of Page)"/>
        <w:docPartUnique/>
      </w:docPartObj>
    </w:sdtPr>
    <w:sdtEndPr>
      <w:rPr>
        <w:noProof/>
      </w:rPr>
    </w:sdtEndPr>
    <w:sdtContent>
      <w:p w14:paraId="3566CBE2" w14:textId="2F721E09" w:rsidR="0069503F" w:rsidRDefault="0069503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8206E1" w14:textId="77777777" w:rsidR="0069503F" w:rsidRDefault="006950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65C490" w14:textId="77777777" w:rsidR="00AD00AF" w:rsidRDefault="00AD00AF" w:rsidP="008A0317">
      <w:pPr>
        <w:spacing w:after="0" w:line="240" w:lineRule="auto"/>
      </w:pPr>
      <w:r>
        <w:separator/>
      </w:r>
    </w:p>
  </w:footnote>
  <w:footnote w:type="continuationSeparator" w:id="0">
    <w:p w14:paraId="692A47CD" w14:textId="77777777" w:rsidR="00AD00AF" w:rsidRDefault="00AD00AF" w:rsidP="008A03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F73F4"/>
    <w:multiLevelType w:val="hybridMultilevel"/>
    <w:tmpl w:val="DB7C9CBE"/>
    <w:lvl w:ilvl="0" w:tplc="D7E2B136">
      <w:start w:val="1"/>
      <w:numFmt w:val="decimal"/>
      <w:lvlText w:val="%1."/>
      <w:lvlJc w:val="left"/>
      <w:pPr>
        <w:ind w:left="720" w:hanging="360"/>
      </w:pPr>
      <w:rPr>
        <w:rFonts w:eastAsiaTheme="minorHAnsi" w:cstheme="minorBidi" w:hint="default"/>
        <w:sz w:val="22"/>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A174463"/>
    <w:multiLevelType w:val="hybridMultilevel"/>
    <w:tmpl w:val="13DC22CC"/>
    <w:lvl w:ilvl="0" w:tplc="4C68A9C4">
      <w:start w:val="1"/>
      <w:numFmt w:val="lowerLetter"/>
      <w:lvlText w:val="(%1)"/>
      <w:lvlJc w:val="left"/>
      <w:pPr>
        <w:ind w:left="720" w:hanging="360"/>
      </w:pPr>
      <w:rPr>
        <w:rFonts w:ascii="Palatino Linotype" w:eastAsiaTheme="minorHAnsi" w:hAnsi="Palatino Linotype" w:cstheme="minorBidi"/>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5881865"/>
    <w:multiLevelType w:val="hybridMultilevel"/>
    <w:tmpl w:val="EC680ADC"/>
    <w:lvl w:ilvl="0" w:tplc="2C2AA0D0">
      <w:numFmt w:val="bullet"/>
      <w:lvlText w:val="-"/>
      <w:lvlJc w:val="left"/>
      <w:pPr>
        <w:ind w:left="720" w:hanging="360"/>
      </w:pPr>
      <w:rPr>
        <w:rFonts w:ascii="Palatino Linotype" w:eastAsiaTheme="minorHAnsi" w:hAnsi="Palatino Linotype"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8C67E2B"/>
    <w:multiLevelType w:val="hybridMultilevel"/>
    <w:tmpl w:val="16C26FDC"/>
    <w:lvl w:ilvl="0" w:tplc="2C2AA0D0">
      <w:numFmt w:val="bullet"/>
      <w:lvlText w:val="-"/>
      <w:lvlJc w:val="left"/>
      <w:pPr>
        <w:ind w:left="720" w:hanging="360"/>
      </w:pPr>
      <w:rPr>
        <w:rFonts w:ascii="Palatino Linotype" w:eastAsiaTheme="minorHAnsi" w:hAnsi="Palatino Linotype" w:cstheme="minorBid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0CC"/>
    <w:rsid w:val="0000605C"/>
    <w:rsid w:val="00010BFB"/>
    <w:rsid w:val="00014729"/>
    <w:rsid w:val="000221A0"/>
    <w:rsid w:val="00024F41"/>
    <w:rsid w:val="00030E92"/>
    <w:rsid w:val="000311F4"/>
    <w:rsid w:val="000311FA"/>
    <w:rsid w:val="00034B58"/>
    <w:rsid w:val="00036F5D"/>
    <w:rsid w:val="000563CF"/>
    <w:rsid w:val="00060C54"/>
    <w:rsid w:val="00064D2F"/>
    <w:rsid w:val="00076849"/>
    <w:rsid w:val="000802E5"/>
    <w:rsid w:val="00084770"/>
    <w:rsid w:val="00085E01"/>
    <w:rsid w:val="000A1068"/>
    <w:rsid w:val="000A1813"/>
    <w:rsid w:val="000A5E4F"/>
    <w:rsid w:val="000B14AE"/>
    <w:rsid w:val="000B321D"/>
    <w:rsid w:val="000B4DC8"/>
    <w:rsid w:val="000C0423"/>
    <w:rsid w:val="000C50F0"/>
    <w:rsid w:val="000C5BB4"/>
    <w:rsid w:val="000D1B27"/>
    <w:rsid w:val="000D4EDD"/>
    <w:rsid w:val="000E161C"/>
    <w:rsid w:val="000F3C3F"/>
    <w:rsid w:val="000F592A"/>
    <w:rsid w:val="00105D04"/>
    <w:rsid w:val="00116E41"/>
    <w:rsid w:val="001220B3"/>
    <w:rsid w:val="001269B9"/>
    <w:rsid w:val="00126AB1"/>
    <w:rsid w:val="001312BB"/>
    <w:rsid w:val="00137123"/>
    <w:rsid w:val="00140E17"/>
    <w:rsid w:val="001447F2"/>
    <w:rsid w:val="001647C1"/>
    <w:rsid w:val="001660CB"/>
    <w:rsid w:val="001671FA"/>
    <w:rsid w:val="00174AF7"/>
    <w:rsid w:val="00181985"/>
    <w:rsid w:val="00182EAE"/>
    <w:rsid w:val="001A5279"/>
    <w:rsid w:val="001B44FC"/>
    <w:rsid w:val="001C0C03"/>
    <w:rsid w:val="001C1298"/>
    <w:rsid w:val="001C2FE0"/>
    <w:rsid w:val="001D2523"/>
    <w:rsid w:val="001E0A6E"/>
    <w:rsid w:val="001E3CA2"/>
    <w:rsid w:val="001E6DC1"/>
    <w:rsid w:val="001F2EBF"/>
    <w:rsid w:val="001F4E93"/>
    <w:rsid w:val="001F69C9"/>
    <w:rsid w:val="00214393"/>
    <w:rsid w:val="00216164"/>
    <w:rsid w:val="00217CFB"/>
    <w:rsid w:val="002316AC"/>
    <w:rsid w:val="00234994"/>
    <w:rsid w:val="00235CA4"/>
    <w:rsid w:val="00242F26"/>
    <w:rsid w:val="00250197"/>
    <w:rsid w:val="002574DC"/>
    <w:rsid w:val="00270686"/>
    <w:rsid w:val="002706BC"/>
    <w:rsid w:val="00277968"/>
    <w:rsid w:val="0028098E"/>
    <w:rsid w:val="002871F4"/>
    <w:rsid w:val="002902AD"/>
    <w:rsid w:val="00291084"/>
    <w:rsid w:val="00293B5E"/>
    <w:rsid w:val="002947C1"/>
    <w:rsid w:val="00296C69"/>
    <w:rsid w:val="002A1768"/>
    <w:rsid w:val="002A643A"/>
    <w:rsid w:val="002C46CE"/>
    <w:rsid w:val="002C4A22"/>
    <w:rsid w:val="002C6964"/>
    <w:rsid w:val="002C77BC"/>
    <w:rsid w:val="002D6648"/>
    <w:rsid w:val="002E178F"/>
    <w:rsid w:val="002E4BCB"/>
    <w:rsid w:val="00315876"/>
    <w:rsid w:val="003175C2"/>
    <w:rsid w:val="0032482E"/>
    <w:rsid w:val="003302CA"/>
    <w:rsid w:val="00331B11"/>
    <w:rsid w:val="003457D5"/>
    <w:rsid w:val="00350065"/>
    <w:rsid w:val="003648DC"/>
    <w:rsid w:val="00365EBC"/>
    <w:rsid w:val="00373233"/>
    <w:rsid w:val="003875E1"/>
    <w:rsid w:val="0039418E"/>
    <w:rsid w:val="003A6C43"/>
    <w:rsid w:val="003B6D5E"/>
    <w:rsid w:val="003C1DAF"/>
    <w:rsid w:val="003C43C5"/>
    <w:rsid w:val="003D083D"/>
    <w:rsid w:val="003D2420"/>
    <w:rsid w:val="003E6DB1"/>
    <w:rsid w:val="003F04C1"/>
    <w:rsid w:val="003F1E05"/>
    <w:rsid w:val="003F22C9"/>
    <w:rsid w:val="003F4F02"/>
    <w:rsid w:val="004005E8"/>
    <w:rsid w:val="00401632"/>
    <w:rsid w:val="00401670"/>
    <w:rsid w:val="00414084"/>
    <w:rsid w:val="004158AB"/>
    <w:rsid w:val="00421555"/>
    <w:rsid w:val="00421BD7"/>
    <w:rsid w:val="00422358"/>
    <w:rsid w:val="004260F0"/>
    <w:rsid w:val="004279BD"/>
    <w:rsid w:val="004371DC"/>
    <w:rsid w:val="0044237B"/>
    <w:rsid w:val="00444656"/>
    <w:rsid w:val="00445290"/>
    <w:rsid w:val="00446AB1"/>
    <w:rsid w:val="00464339"/>
    <w:rsid w:val="00480E11"/>
    <w:rsid w:val="004908E7"/>
    <w:rsid w:val="0049364B"/>
    <w:rsid w:val="004936EE"/>
    <w:rsid w:val="00494269"/>
    <w:rsid w:val="004A11D4"/>
    <w:rsid w:val="004A31AC"/>
    <w:rsid w:val="004A3B28"/>
    <w:rsid w:val="004A3CBF"/>
    <w:rsid w:val="004B660C"/>
    <w:rsid w:val="004C1654"/>
    <w:rsid w:val="004C3593"/>
    <w:rsid w:val="004C4E5A"/>
    <w:rsid w:val="004C752F"/>
    <w:rsid w:val="004D52EA"/>
    <w:rsid w:val="004F3A14"/>
    <w:rsid w:val="004F4BBA"/>
    <w:rsid w:val="005028C1"/>
    <w:rsid w:val="00504C73"/>
    <w:rsid w:val="00517BB4"/>
    <w:rsid w:val="0052201D"/>
    <w:rsid w:val="0052595A"/>
    <w:rsid w:val="00527284"/>
    <w:rsid w:val="00531CFD"/>
    <w:rsid w:val="00532AF9"/>
    <w:rsid w:val="005364D3"/>
    <w:rsid w:val="0055162B"/>
    <w:rsid w:val="005551D6"/>
    <w:rsid w:val="005619D4"/>
    <w:rsid w:val="00565F27"/>
    <w:rsid w:val="00572946"/>
    <w:rsid w:val="005845A1"/>
    <w:rsid w:val="005933AC"/>
    <w:rsid w:val="005A0999"/>
    <w:rsid w:val="005A2647"/>
    <w:rsid w:val="005B0DB8"/>
    <w:rsid w:val="005B3675"/>
    <w:rsid w:val="005C02CB"/>
    <w:rsid w:val="005C3969"/>
    <w:rsid w:val="005C3CAD"/>
    <w:rsid w:val="005D6DB6"/>
    <w:rsid w:val="005F16E5"/>
    <w:rsid w:val="00614600"/>
    <w:rsid w:val="00627377"/>
    <w:rsid w:val="006324BA"/>
    <w:rsid w:val="0063767F"/>
    <w:rsid w:val="00637800"/>
    <w:rsid w:val="006440CA"/>
    <w:rsid w:val="00647F42"/>
    <w:rsid w:val="00652847"/>
    <w:rsid w:val="006618C7"/>
    <w:rsid w:val="006917B9"/>
    <w:rsid w:val="0069503F"/>
    <w:rsid w:val="00695B95"/>
    <w:rsid w:val="006B646B"/>
    <w:rsid w:val="006B6F06"/>
    <w:rsid w:val="006C69C1"/>
    <w:rsid w:val="006D1BF8"/>
    <w:rsid w:val="006D1D16"/>
    <w:rsid w:val="006D4030"/>
    <w:rsid w:val="006D6B8E"/>
    <w:rsid w:val="006D70F0"/>
    <w:rsid w:val="006E2185"/>
    <w:rsid w:val="006F22F3"/>
    <w:rsid w:val="00701A19"/>
    <w:rsid w:val="00702299"/>
    <w:rsid w:val="00703D34"/>
    <w:rsid w:val="00706925"/>
    <w:rsid w:val="00706AEC"/>
    <w:rsid w:val="00707807"/>
    <w:rsid w:val="00714140"/>
    <w:rsid w:val="00714DFF"/>
    <w:rsid w:val="00722564"/>
    <w:rsid w:val="00734968"/>
    <w:rsid w:val="00736E62"/>
    <w:rsid w:val="00740AD5"/>
    <w:rsid w:val="007451F6"/>
    <w:rsid w:val="00745DDC"/>
    <w:rsid w:val="00746A8F"/>
    <w:rsid w:val="00746BD5"/>
    <w:rsid w:val="00751CD6"/>
    <w:rsid w:val="007521F2"/>
    <w:rsid w:val="00757A03"/>
    <w:rsid w:val="00763CF0"/>
    <w:rsid w:val="00765706"/>
    <w:rsid w:val="00765E48"/>
    <w:rsid w:val="00774CFA"/>
    <w:rsid w:val="007974FB"/>
    <w:rsid w:val="007A2F94"/>
    <w:rsid w:val="007A6C71"/>
    <w:rsid w:val="007A74C7"/>
    <w:rsid w:val="007B6E3C"/>
    <w:rsid w:val="007D0233"/>
    <w:rsid w:val="007D118F"/>
    <w:rsid w:val="007E0193"/>
    <w:rsid w:val="007E07F8"/>
    <w:rsid w:val="007E1B3C"/>
    <w:rsid w:val="007E6DAB"/>
    <w:rsid w:val="007F01C3"/>
    <w:rsid w:val="007F0B19"/>
    <w:rsid w:val="007F2EA0"/>
    <w:rsid w:val="007F7DE9"/>
    <w:rsid w:val="00802001"/>
    <w:rsid w:val="0080238A"/>
    <w:rsid w:val="00803075"/>
    <w:rsid w:val="00817137"/>
    <w:rsid w:val="00820D52"/>
    <w:rsid w:val="00834FB2"/>
    <w:rsid w:val="0084049A"/>
    <w:rsid w:val="00843623"/>
    <w:rsid w:val="00851498"/>
    <w:rsid w:val="00852C9E"/>
    <w:rsid w:val="00854964"/>
    <w:rsid w:val="008566E3"/>
    <w:rsid w:val="008706A6"/>
    <w:rsid w:val="0087383D"/>
    <w:rsid w:val="00874004"/>
    <w:rsid w:val="008759D7"/>
    <w:rsid w:val="008844CC"/>
    <w:rsid w:val="008903CA"/>
    <w:rsid w:val="008945AC"/>
    <w:rsid w:val="00895860"/>
    <w:rsid w:val="008A0317"/>
    <w:rsid w:val="008A71DA"/>
    <w:rsid w:val="008B378D"/>
    <w:rsid w:val="008B3C9F"/>
    <w:rsid w:val="008B4703"/>
    <w:rsid w:val="008C3094"/>
    <w:rsid w:val="008C7C54"/>
    <w:rsid w:val="008D5527"/>
    <w:rsid w:val="008E0A7D"/>
    <w:rsid w:val="008E0D19"/>
    <w:rsid w:val="008E7AB0"/>
    <w:rsid w:val="008F13DC"/>
    <w:rsid w:val="008F29F3"/>
    <w:rsid w:val="008F4D7F"/>
    <w:rsid w:val="008F5129"/>
    <w:rsid w:val="009021EF"/>
    <w:rsid w:val="00906DCF"/>
    <w:rsid w:val="00907AF3"/>
    <w:rsid w:val="00911736"/>
    <w:rsid w:val="009167D3"/>
    <w:rsid w:val="00917CDC"/>
    <w:rsid w:val="009341D6"/>
    <w:rsid w:val="00934848"/>
    <w:rsid w:val="00935372"/>
    <w:rsid w:val="009365EE"/>
    <w:rsid w:val="00945402"/>
    <w:rsid w:val="00946014"/>
    <w:rsid w:val="009508EC"/>
    <w:rsid w:val="00981B13"/>
    <w:rsid w:val="00996874"/>
    <w:rsid w:val="009A2A35"/>
    <w:rsid w:val="009A44C0"/>
    <w:rsid w:val="009B56B9"/>
    <w:rsid w:val="009C05B5"/>
    <w:rsid w:val="009C06EA"/>
    <w:rsid w:val="009D3483"/>
    <w:rsid w:val="009D38EC"/>
    <w:rsid w:val="009D5CCB"/>
    <w:rsid w:val="009D6DF1"/>
    <w:rsid w:val="009F0DA7"/>
    <w:rsid w:val="009F4421"/>
    <w:rsid w:val="009F511C"/>
    <w:rsid w:val="00A0323C"/>
    <w:rsid w:val="00A04792"/>
    <w:rsid w:val="00A04E6B"/>
    <w:rsid w:val="00A05EED"/>
    <w:rsid w:val="00A077B4"/>
    <w:rsid w:val="00A10E7A"/>
    <w:rsid w:val="00A13EBC"/>
    <w:rsid w:val="00A16185"/>
    <w:rsid w:val="00A1627A"/>
    <w:rsid w:val="00A169DA"/>
    <w:rsid w:val="00A16E18"/>
    <w:rsid w:val="00A219E5"/>
    <w:rsid w:val="00A22AC6"/>
    <w:rsid w:val="00A23983"/>
    <w:rsid w:val="00A26A38"/>
    <w:rsid w:val="00A27559"/>
    <w:rsid w:val="00A339E1"/>
    <w:rsid w:val="00A37EA7"/>
    <w:rsid w:val="00A40090"/>
    <w:rsid w:val="00A47659"/>
    <w:rsid w:val="00A6019F"/>
    <w:rsid w:val="00A66778"/>
    <w:rsid w:val="00A76E9F"/>
    <w:rsid w:val="00A76FB8"/>
    <w:rsid w:val="00A84A25"/>
    <w:rsid w:val="00A90319"/>
    <w:rsid w:val="00A923C4"/>
    <w:rsid w:val="00A92B0A"/>
    <w:rsid w:val="00AA30DF"/>
    <w:rsid w:val="00AB2310"/>
    <w:rsid w:val="00AB4203"/>
    <w:rsid w:val="00AB56AA"/>
    <w:rsid w:val="00AC076F"/>
    <w:rsid w:val="00AC48BF"/>
    <w:rsid w:val="00AC7DBE"/>
    <w:rsid w:val="00AD00AF"/>
    <w:rsid w:val="00AD0C18"/>
    <w:rsid w:val="00AD12ED"/>
    <w:rsid w:val="00AE03CB"/>
    <w:rsid w:val="00AE46DF"/>
    <w:rsid w:val="00AE7894"/>
    <w:rsid w:val="00AF08D0"/>
    <w:rsid w:val="00AF7F9B"/>
    <w:rsid w:val="00B15F0C"/>
    <w:rsid w:val="00B26092"/>
    <w:rsid w:val="00B270F1"/>
    <w:rsid w:val="00B279A7"/>
    <w:rsid w:val="00B36586"/>
    <w:rsid w:val="00B46790"/>
    <w:rsid w:val="00B50FE5"/>
    <w:rsid w:val="00B56EE5"/>
    <w:rsid w:val="00B57C74"/>
    <w:rsid w:val="00B66A90"/>
    <w:rsid w:val="00B807A4"/>
    <w:rsid w:val="00B82E77"/>
    <w:rsid w:val="00B955F0"/>
    <w:rsid w:val="00B966A2"/>
    <w:rsid w:val="00BA2150"/>
    <w:rsid w:val="00BA270E"/>
    <w:rsid w:val="00BA5D19"/>
    <w:rsid w:val="00BA7D17"/>
    <w:rsid w:val="00BB623E"/>
    <w:rsid w:val="00BB6C8B"/>
    <w:rsid w:val="00BF0DC3"/>
    <w:rsid w:val="00BF55F7"/>
    <w:rsid w:val="00C00CFE"/>
    <w:rsid w:val="00C0709E"/>
    <w:rsid w:val="00C17FFA"/>
    <w:rsid w:val="00C21C58"/>
    <w:rsid w:val="00C26AE2"/>
    <w:rsid w:val="00C30E40"/>
    <w:rsid w:val="00C344DF"/>
    <w:rsid w:val="00C369D0"/>
    <w:rsid w:val="00C667C5"/>
    <w:rsid w:val="00C75505"/>
    <w:rsid w:val="00C84E7E"/>
    <w:rsid w:val="00C861B5"/>
    <w:rsid w:val="00C86F58"/>
    <w:rsid w:val="00C874E6"/>
    <w:rsid w:val="00C87A10"/>
    <w:rsid w:val="00C92035"/>
    <w:rsid w:val="00CA10EF"/>
    <w:rsid w:val="00CB0204"/>
    <w:rsid w:val="00CB1E22"/>
    <w:rsid w:val="00CB2362"/>
    <w:rsid w:val="00CB3A94"/>
    <w:rsid w:val="00CB3E11"/>
    <w:rsid w:val="00CB4B7A"/>
    <w:rsid w:val="00CB75E8"/>
    <w:rsid w:val="00CC1121"/>
    <w:rsid w:val="00CD1BB6"/>
    <w:rsid w:val="00CD47D8"/>
    <w:rsid w:val="00CE0672"/>
    <w:rsid w:val="00CE0F6A"/>
    <w:rsid w:val="00CE17E8"/>
    <w:rsid w:val="00CE5B6E"/>
    <w:rsid w:val="00CF04CB"/>
    <w:rsid w:val="00CF1951"/>
    <w:rsid w:val="00D12A3F"/>
    <w:rsid w:val="00D20C1E"/>
    <w:rsid w:val="00D2589C"/>
    <w:rsid w:val="00D42C7F"/>
    <w:rsid w:val="00D446CB"/>
    <w:rsid w:val="00D451BF"/>
    <w:rsid w:val="00D5527A"/>
    <w:rsid w:val="00D57689"/>
    <w:rsid w:val="00D619D1"/>
    <w:rsid w:val="00D64F22"/>
    <w:rsid w:val="00D83DE0"/>
    <w:rsid w:val="00D90031"/>
    <w:rsid w:val="00D92310"/>
    <w:rsid w:val="00D9437B"/>
    <w:rsid w:val="00DA23FB"/>
    <w:rsid w:val="00DA365F"/>
    <w:rsid w:val="00DA483D"/>
    <w:rsid w:val="00DB1417"/>
    <w:rsid w:val="00DB429E"/>
    <w:rsid w:val="00DC6F1E"/>
    <w:rsid w:val="00DE2A07"/>
    <w:rsid w:val="00DE5299"/>
    <w:rsid w:val="00DF6318"/>
    <w:rsid w:val="00DF7079"/>
    <w:rsid w:val="00E05FC4"/>
    <w:rsid w:val="00E07EC9"/>
    <w:rsid w:val="00E12FFD"/>
    <w:rsid w:val="00E21C30"/>
    <w:rsid w:val="00E254E7"/>
    <w:rsid w:val="00E32B18"/>
    <w:rsid w:val="00E40B66"/>
    <w:rsid w:val="00E42770"/>
    <w:rsid w:val="00E4577C"/>
    <w:rsid w:val="00E4691D"/>
    <w:rsid w:val="00E46F51"/>
    <w:rsid w:val="00E475E2"/>
    <w:rsid w:val="00E50079"/>
    <w:rsid w:val="00E550CC"/>
    <w:rsid w:val="00E554F3"/>
    <w:rsid w:val="00E63F3C"/>
    <w:rsid w:val="00E64E9D"/>
    <w:rsid w:val="00E67914"/>
    <w:rsid w:val="00E70DAD"/>
    <w:rsid w:val="00E71780"/>
    <w:rsid w:val="00E80DC7"/>
    <w:rsid w:val="00E82D13"/>
    <w:rsid w:val="00E90156"/>
    <w:rsid w:val="00E9280F"/>
    <w:rsid w:val="00E95683"/>
    <w:rsid w:val="00E95E46"/>
    <w:rsid w:val="00EC0837"/>
    <w:rsid w:val="00EC2068"/>
    <w:rsid w:val="00EC27AC"/>
    <w:rsid w:val="00EC3831"/>
    <w:rsid w:val="00EC7553"/>
    <w:rsid w:val="00ED41CF"/>
    <w:rsid w:val="00EE2864"/>
    <w:rsid w:val="00EE7D91"/>
    <w:rsid w:val="00EF2DCA"/>
    <w:rsid w:val="00EF500B"/>
    <w:rsid w:val="00F164B2"/>
    <w:rsid w:val="00F168C6"/>
    <w:rsid w:val="00F34064"/>
    <w:rsid w:val="00F44E2E"/>
    <w:rsid w:val="00F50D06"/>
    <w:rsid w:val="00F53768"/>
    <w:rsid w:val="00F61F17"/>
    <w:rsid w:val="00F63AD7"/>
    <w:rsid w:val="00F66E6B"/>
    <w:rsid w:val="00F8277C"/>
    <w:rsid w:val="00F85F1B"/>
    <w:rsid w:val="00FA302B"/>
    <w:rsid w:val="00FB558F"/>
    <w:rsid w:val="00FC2038"/>
    <w:rsid w:val="00FD205E"/>
    <w:rsid w:val="00FD5CC4"/>
    <w:rsid w:val="00FD6E61"/>
    <w:rsid w:val="00FE0A0C"/>
    <w:rsid w:val="00FF433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AAE9B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316AC"/>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3DE0"/>
    <w:pPr>
      <w:ind w:left="720"/>
      <w:contextualSpacing/>
    </w:pPr>
  </w:style>
  <w:style w:type="paragraph" w:styleId="NormalWeb">
    <w:name w:val="Normal (Web)"/>
    <w:basedOn w:val="Normal"/>
    <w:uiPriority w:val="99"/>
    <w:unhideWhenUsed/>
    <w:rsid w:val="00CA10EF"/>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2316AC"/>
    <w:rPr>
      <w:rFonts w:ascii="Times New Roman" w:eastAsia="Times New Roman" w:hAnsi="Times New Roman" w:cs="Times New Roman"/>
      <w:b/>
      <w:bCs/>
      <w:sz w:val="27"/>
      <w:szCs w:val="27"/>
      <w:lang w:eastAsia="en-IE"/>
    </w:rPr>
  </w:style>
  <w:style w:type="character" w:customStyle="1" w:styleId="cite-as">
    <w:name w:val="cite-as"/>
    <w:basedOn w:val="DefaultParagraphFont"/>
    <w:rsid w:val="002316AC"/>
  </w:style>
  <w:style w:type="character" w:styleId="Emphasis">
    <w:name w:val="Emphasis"/>
    <w:basedOn w:val="DefaultParagraphFont"/>
    <w:uiPriority w:val="20"/>
    <w:qFormat/>
    <w:rsid w:val="002316AC"/>
    <w:rPr>
      <w:i/>
      <w:iCs/>
    </w:rPr>
  </w:style>
  <w:style w:type="character" w:styleId="Hyperlink">
    <w:name w:val="Hyperlink"/>
    <w:basedOn w:val="DefaultParagraphFont"/>
    <w:uiPriority w:val="99"/>
    <w:unhideWhenUsed/>
    <w:rsid w:val="000221A0"/>
    <w:rPr>
      <w:color w:val="0563C1" w:themeColor="hyperlink"/>
      <w:u w:val="single"/>
    </w:rPr>
  </w:style>
  <w:style w:type="character" w:styleId="CommentReference">
    <w:name w:val="annotation reference"/>
    <w:basedOn w:val="DefaultParagraphFont"/>
    <w:uiPriority w:val="99"/>
    <w:semiHidden/>
    <w:unhideWhenUsed/>
    <w:rsid w:val="00F66E6B"/>
    <w:rPr>
      <w:sz w:val="16"/>
      <w:szCs w:val="16"/>
    </w:rPr>
  </w:style>
  <w:style w:type="paragraph" w:styleId="CommentText">
    <w:name w:val="annotation text"/>
    <w:basedOn w:val="Normal"/>
    <w:link w:val="CommentTextChar"/>
    <w:uiPriority w:val="99"/>
    <w:semiHidden/>
    <w:unhideWhenUsed/>
    <w:rsid w:val="00F66E6B"/>
    <w:pPr>
      <w:spacing w:line="240" w:lineRule="auto"/>
    </w:pPr>
    <w:rPr>
      <w:sz w:val="20"/>
      <w:szCs w:val="20"/>
    </w:rPr>
  </w:style>
  <w:style w:type="character" w:customStyle="1" w:styleId="CommentTextChar">
    <w:name w:val="Comment Text Char"/>
    <w:basedOn w:val="DefaultParagraphFont"/>
    <w:link w:val="CommentText"/>
    <w:uiPriority w:val="99"/>
    <w:semiHidden/>
    <w:rsid w:val="00F66E6B"/>
    <w:rPr>
      <w:sz w:val="20"/>
      <w:szCs w:val="20"/>
    </w:rPr>
  </w:style>
  <w:style w:type="paragraph" w:styleId="CommentSubject">
    <w:name w:val="annotation subject"/>
    <w:basedOn w:val="CommentText"/>
    <w:next w:val="CommentText"/>
    <w:link w:val="CommentSubjectChar"/>
    <w:uiPriority w:val="99"/>
    <w:semiHidden/>
    <w:unhideWhenUsed/>
    <w:rsid w:val="00F66E6B"/>
    <w:rPr>
      <w:b/>
      <w:bCs/>
    </w:rPr>
  </w:style>
  <w:style w:type="character" w:customStyle="1" w:styleId="CommentSubjectChar">
    <w:name w:val="Comment Subject Char"/>
    <w:basedOn w:val="CommentTextChar"/>
    <w:link w:val="CommentSubject"/>
    <w:uiPriority w:val="99"/>
    <w:semiHidden/>
    <w:rsid w:val="00F66E6B"/>
    <w:rPr>
      <w:b/>
      <w:bCs/>
      <w:sz w:val="20"/>
      <w:szCs w:val="20"/>
    </w:rPr>
  </w:style>
  <w:style w:type="paragraph" w:styleId="Header">
    <w:name w:val="header"/>
    <w:basedOn w:val="Normal"/>
    <w:link w:val="HeaderChar"/>
    <w:uiPriority w:val="99"/>
    <w:unhideWhenUsed/>
    <w:rsid w:val="008A03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317"/>
  </w:style>
  <w:style w:type="paragraph" w:styleId="Footer">
    <w:name w:val="footer"/>
    <w:basedOn w:val="Normal"/>
    <w:link w:val="FooterChar"/>
    <w:uiPriority w:val="99"/>
    <w:unhideWhenUsed/>
    <w:rsid w:val="008A03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317"/>
  </w:style>
  <w:style w:type="character" w:customStyle="1" w:styleId="link-name">
    <w:name w:val="link-name"/>
    <w:basedOn w:val="DefaultParagraphFont"/>
    <w:rsid w:val="004A11D4"/>
  </w:style>
  <w:style w:type="character" w:customStyle="1" w:styleId="para-num">
    <w:name w:val="para-num"/>
    <w:basedOn w:val="DefaultParagraphFont"/>
    <w:rsid w:val="004A11D4"/>
  </w:style>
  <w:style w:type="paragraph" w:styleId="Revision">
    <w:name w:val="Revision"/>
    <w:hidden/>
    <w:uiPriority w:val="99"/>
    <w:semiHidden/>
    <w:rsid w:val="008759D7"/>
    <w:pPr>
      <w:spacing w:after="0" w:line="240" w:lineRule="auto"/>
    </w:pPr>
  </w:style>
  <w:style w:type="paragraph" w:styleId="BalloonText">
    <w:name w:val="Balloon Text"/>
    <w:basedOn w:val="Normal"/>
    <w:link w:val="BalloonTextChar"/>
    <w:uiPriority w:val="99"/>
    <w:semiHidden/>
    <w:unhideWhenUsed/>
    <w:rsid w:val="008759D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9D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303046">
      <w:bodyDiv w:val="1"/>
      <w:marLeft w:val="0"/>
      <w:marRight w:val="0"/>
      <w:marTop w:val="0"/>
      <w:marBottom w:val="0"/>
      <w:divBdr>
        <w:top w:val="none" w:sz="0" w:space="0" w:color="auto"/>
        <w:left w:val="none" w:sz="0" w:space="0" w:color="auto"/>
        <w:bottom w:val="none" w:sz="0" w:space="0" w:color="auto"/>
        <w:right w:val="none" w:sz="0" w:space="0" w:color="auto"/>
      </w:divBdr>
    </w:div>
    <w:div w:id="995110462">
      <w:bodyDiv w:val="1"/>
      <w:marLeft w:val="0"/>
      <w:marRight w:val="0"/>
      <w:marTop w:val="0"/>
      <w:marBottom w:val="0"/>
      <w:divBdr>
        <w:top w:val="none" w:sz="0" w:space="0" w:color="auto"/>
        <w:left w:val="none" w:sz="0" w:space="0" w:color="auto"/>
        <w:bottom w:val="none" w:sz="0" w:space="0" w:color="auto"/>
        <w:right w:val="none" w:sz="0" w:space="0" w:color="auto"/>
      </w:divBdr>
      <w:divsChild>
        <w:div w:id="1547836252">
          <w:blockQuote w:val="1"/>
          <w:marLeft w:val="0"/>
          <w:marRight w:val="0"/>
          <w:marTop w:val="0"/>
          <w:marBottom w:val="300"/>
          <w:divBdr>
            <w:top w:val="none" w:sz="0" w:space="0" w:color="auto"/>
            <w:left w:val="single" w:sz="36" w:space="11" w:color="EEEEEE"/>
            <w:bottom w:val="none" w:sz="0" w:space="0" w:color="auto"/>
            <w:right w:val="none" w:sz="0" w:space="0" w:color="auto"/>
          </w:divBdr>
        </w:div>
      </w:divsChild>
    </w:div>
    <w:div w:id="1617179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justis.com/case/m-n-v-s-m-damagescosts/fulltext-judgment/c4GZn1ado4Wc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app.justis.com/case/gfb-v-tb/fulltext-judgment/aXadoXmZm0edl" TargetMode="External"/><Relationship Id="rId4" Type="http://schemas.openxmlformats.org/officeDocument/2006/relationships/settings" Target="settings.xml"/><Relationship Id="rId9" Type="http://schemas.openxmlformats.org/officeDocument/2006/relationships/hyperlink" Target="https://app.justis.com/case/hickey-v-mcgowan/overview/aXedn2CJnYyd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46781-126B-46A2-947F-800463527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9103</Words>
  <Characters>51890</Characters>
  <Application>Microsoft Office Word</Application>
  <DocSecurity>4</DocSecurity>
  <Lines>432</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2022-06-28T08:52:00Z</dcterms:created>
  <dcterms:modified xsi:type="dcterms:W3CDTF">2022-06-28T08:52:00Z</dcterms:modified>
</cp:coreProperties>
</file>