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4EC7" w14:textId="77777777" w:rsidR="00292C34" w:rsidRPr="00411456" w:rsidRDefault="00292C34" w:rsidP="00576B19">
      <w:pPr>
        <w:pStyle w:val="NormalWeb"/>
        <w:spacing w:before="0" w:beforeAutospacing="0" w:after="0" w:afterAutospacing="0" w:line="480" w:lineRule="auto"/>
        <w:jc w:val="center"/>
        <w:rPr>
          <w:b/>
          <w:color w:val="000000"/>
          <w:sz w:val="32"/>
          <w:szCs w:val="32"/>
          <w:lang w:val="en-IE"/>
        </w:rPr>
      </w:pPr>
      <w:r w:rsidRPr="00411456">
        <w:rPr>
          <w:b/>
          <w:color w:val="000000"/>
          <w:sz w:val="32"/>
          <w:szCs w:val="32"/>
          <w:lang w:val="en-IE"/>
        </w:rPr>
        <w:t>THE HIGH COURT</w:t>
      </w:r>
    </w:p>
    <w:p w14:paraId="3F8FF1D5" w14:textId="59DD9BE3" w:rsidR="009A681E" w:rsidRPr="009A681E" w:rsidRDefault="009A681E" w:rsidP="00576B19">
      <w:pPr>
        <w:pStyle w:val="NormalWeb"/>
        <w:spacing w:before="0" w:beforeAutospacing="0" w:after="0" w:afterAutospacing="0" w:line="480" w:lineRule="auto"/>
        <w:jc w:val="right"/>
        <w:rPr>
          <w:rFonts w:ascii="Verdana" w:hAnsi="Verdana"/>
          <w:bCs/>
          <w:color w:val="000000"/>
          <w:sz w:val="18"/>
          <w:szCs w:val="18"/>
          <w:lang w:val="en-IE"/>
        </w:rPr>
      </w:pPr>
      <w:r w:rsidRPr="009A681E">
        <w:rPr>
          <w:rFonts w:ascii="Verdana" w:hAnsi="Verdana"/>
          <w:bCs/>
          <w:color w:val="000000"/>
          <w:sz w:val="18"/>
          <w:szCs w:val="18"/>
          <w:lang w:val="en-IE"/>
        </w:rPr>
        <w:t>[2022] IEHC 416</w:t>
      </w:r>
    </w:p>
    <w:p w14:paraId="0D43E2E4" w14:textId="1744A58E" w:rsidR="00292C34" w:rsidRPr="00411456" w:rsidRDefault="00D32292" w:rsidP="00576B19">
      <w:pPr>
        <w:pStyle w:val="NormalWeb"/>
        <w:spacing w:before="0" w:beforeAutospacing="0" w:after="0" w:afterAutospacing="0" w:line="480" w:lineRule="auto"/>
        <w:jc w:val="right"/>
        <w:rPr>
          <w:b/>
          <w:color w:val="000000"/>
          <w:lang w:val="en-IE"/>
        </w:rPr>
      </w:pPr>
      <w:r w:rsidRPr="00411456">
        <w:rPr>
          <w:b/>
          <w:color w:val="000000"/>
          <w:lang w:val="en-IE"/>
        </w:rPr>
        <w:t>[2021/29 COS</w:t>
      </w:r>
      <w:r w:rsidR="00292C34" w:rsidRPr="00411456">
        <w:rPr>
          <w:b/>
          <w:color w:val="000000"/>
          <w:lang w:val="en-IE"/>
        </w:rPr>
        <w:t>]</w:t>
      </w:r>
    </w:p>
    <w:p w14:paraId="0063F9F5" w14:textId="77777777" w:rsidR="00D32292" w:rsidRPr="00411456" w:rsidRDefault="00D32292" w:rsidP="00576B19">
      <w:pPr>
        <w:pStyle w:val="NormalWeb"/>
        <w:spacing w:before="0" w:beforeAutospacing="0" w:after="0" w:afterAutospacing="0" w:line="480" w:lineRule="auto"/>
        <w:jc w:val="center"/>
        <w:rPr>
          <w:b/>
          <w:color w:val="000000"/>
          <w:lang w:val="en-IE"/>
        </w:rPr>
      </w:pPr>
      <w:r w:rsidRPr="00411456">
        <w:rPr>
          <w:b/>
          <w:color w:val="000000"/>
          <w:lang w:val="en-IE"/>
        </w:rPr>
        <w:t>IN THE MATTER OF BELLVUE PORT SERVICES (WATERFORD) LIMITED</w:t>
      </w:r>
    </w:p>
    <w:p w14:paraId="1678D72A" w14:textId="77777777" w:rsidR="00D32292" w:rsidRPr="00411456" w:rsidRDefault="00D32292" w:rsidP="00576B19">
      <w:pPr>
        <w:pStyle w:val="NormalWeb"/>
        <w:spacing w:before="0" w:beforeAutospacing="0" w:after="0" w:afterAutospacing="0" w:line="480" w:lineRule="auto"/>
        <w:jc w:val="center"/>
        <w:rPr>
          <w:b/>
          <w:color w:val="000000"/>
          <w:lang w:val="en-IE"/>
        </w:rPr>
      </w:pPr>
      <w:r w:rsidRPr="00411456">
        <w:rPr>
          <w:b/>
          <w:color w:val="000000"/>
          <w:lang w:val="en-IE"/>
        </w:rPr>
        <w:t>AND</w:t>
      </w:r>
    </w:p>
    <w:p w14:paraId="34E331B7" w14:textId="77777777" w:rsidR="00D32292" w:rsidRPr="00411456" w:rsidRDefault="00D32292" w:rsidP="00576B19">
      <w:pPr>
        <w:pStyle w:val="NormalWeb"/>
        <w:spacing w:before="0" w:beforeAutospacing="0" w:after="0" w:afterAutospacing="0" w:line="480" w:lineRule="auto"/>
        <w:jc w:val="center"/>
        <w:rPr>
          <w:b/>
          <w:color w:val="000000"/>
          <w:lang w:val="en-IE"/>
        </w:rPr>
      </w:pPr>
      <w:r w:rsidRPr="00411456">
        <w:rPr>
          <w:b/>
          <w:color w:val="000000"/>
          <w:lang w:val="en-IE"/>
        </w:rPr>
        <w:t>IN THE MATTER OF SECTION 173 OF THE COMPANIES ACT 2014</w:t>
      </w:r>
    </w:p>
    <w:p w14:paraId="0AF6F7F5" w14:textId="77777777" w:rsidR="00D32292" w:rsidRPr="00411456" w:rsidRDefault="00D32292" w:rsidP="00576B19">
      <w:pPr>
        <w:pStyle w:val="NormalWeb"/>
        <w:spacing w:before="0" w:beforeAutospacing="0" w:after="0" w:afterAutospacing="0" w:line="480" w:lineRule="auto"/>
        <w:rPr>
          <w:b/>
          <w:color w:val="000000"/>
          <w:lang w:val="en-IE"/>
        </w:rPr>
      </w:pPr>
      <w:r w:rsidRPr="00411456">
        <w:rPr>
          <w:b/>
          <w:color w:val="000000"/>
          <w:lang w:val="en-IE"/>
        </w:rPr>
        <w:t>BETWEEN</w:t>
      </w:r>
    </w:p>
    <w:p w14:paraId="3F9319B7" w14:textId="77777777" w:rsidR="00D32292" w:rsidRPr="00411456" w:rsidRDefault="00D32292" w:rsidP="00576B19">
      <w:pPr>
        <w:pStyle w:val="NormalWeb"/>
        <w:spacing w:before="0" w:beforeAutospacing="0" w:after="0" w:afterAutospacing="0" w:line="480" w:lineRule="auto"/>
        <w:jc w:val="center"/>
        <w:rPr>
          <w:b/>
          <w:color w:val="000000"/>
          <w:lang w:val="en-IE"/>
        </w:rPr>
      </w:pPr>
      <w:r w:rsidRPr="00411456">
        <w:rPr>
          <w:b/>
          <w:color w:val="000000"/>
          <w:lang w:val="en-IE"/>
        </w:rPr>
        <w:t xml:space="preserve">TOUGHER OIL DISTRIBUTORS </w:t>
      </w:r>
    </w:p>
    <w:p w14:paraId="094E65AA" w14:textId="77777777" w:rsidR="00D32292" w:rsidRPr="00411456" w:rsidRDefault="00D32292" w:rsidP="00576B19">
      <w:pPr>
        <w:pStyle w:val="NormalWeb"/>
        <w:spacing w:before="0" w:beforeAutospacing="0" w:after="0" w:afterAutospacing="0" w:line="480" w:lineRule="auto"/>
        <w:jc w:val="right"/>
        <w:rPr>
          <w:b/>
          <w:color w:val="000000"/>
          <w:lang w:val="en-IE"/>
        </w:rPr>
      </w:pPr>
      <w:r w:rsidRPr="00411456">
        <w:rPr>
          <w:b/>
          <w:color w:val="000000"/>
          <w:lang w:val="en-IE"/>
        </w:rPr>
        <w:t>APPLICANT</w:t>
      </w:r>
    </w:p>
    <w:p w14:paraId="1F9ED89E" w14:textId="77777777" w:rsidR="00D32292" w:rsidRPr="00411456" w:rsidRDefault="00D32292" w:rsidP="00576B19">
      <w:pPr>
        <w:pStyle w:val="NormalWeb"/>
        <w:spacing w:before="0" w:beforeAutospacing="0" w:after="0" w:afterAutospacing="0" w:line="480" w:lineRule="auto"/>
        <w:jc w:val="center"/>
        <w:rPr>
          <w:b/>
          <w:color w:val="000000"/>
          <w:lang w:val="en-IE"/>
        </w:rPr>
      </w:pPr>
      <w:r w:rsidRPr="00411456">
        <w:rPr>
          <w:b/>
          <w:color w:val="000000"/>
          <w:lang w:val="en-IE"/>
        </w:rPr>
        <w:t xml:space="preserve">AND </w:t>
      </w:r>
    </w:p>
    <w:p w14:paraId="2BE8DF2B" w14:textId="77777777" w:rsidR="00D32292" w:rsidRPr="00411456" w:rsidRDefault="00D32292" w:rsidP="00576B19">
      <w:pPr>
        <w:pStyle w:val="NormalWeb"/>
        <w:spacing w:before="0" w:beforeAutospacing="0" w:after="0" w:afterAutospacing="0" w:line="480" w:lineRule="auto"/>
        <w:jc w:val="center"/>
        <w:rPr>
          <w:b/>
          <w:color w:val="000000"/>
          <w:lang w:val="en-IE"/>
        </w:rPr>
      </w:pPr>
    </w:p>
    <w:p w14:paraId="1FC65030" w14:textId="77777777" w:rsidR="00D32292" w:rsidRPr="00411456" w:rsidRDefault="00D32292" w:rsidP="00576B19">
      <w:pPr>
        <w:pStyle w:val="NormalWeb"/>
        <w:spacing w:before="0" w:beforeAutospacing="0" w:after="0" w:afterAutospacing="0" w:line="480" w:lineRule="auto"/>
        <w:jc w:val="center"/>
        <w:rPr>
          <w:b/>
          <w:color w:val="000000"/>
          <w:lang w:val="en-IE"/>
        </w:rPr>
      </w:pPr>
      <w:r w:rsidRPr="00411456">
        <w:rPr>
          <w:b/>
          <w:color w:val="000000"/>
          <w:lang w:val="en-IE"/>
        </w:rPr>
        <w:t>AMBER PETROLEUM UNLIMITED COMPANY AND FITZGERALD OTTO 2019 UNLIMITED COMPANY</w:t>
      </w:r>
    </w:p>
    <w:p w14:paraId="15FEF391" w14:textId="77777777" w:rsidR="00D32292" w:rsidRPr="00411456" w:rsidRDefault="00D32292" w:rsidP="00576B19">
      <w:pPr>
        <w:pStyle w:val="NormalWeb"/>
        <w:spacing w:before="0" w:beforeAutospacing="0" w:after="0" w:afterAutospacing="0" w:line="480" w:lineRule="auto"/>
        <w:jc w:val="right"/>
        <w:rPr>
          <w:b/>
          <w:color w:val="000000"/>
          <w:lang w:val="en-IE"/>
        </w:rPr>
      </w:pPr>
      <w:r w:rsidRPr="00411456">
        <w:rPr>
          <w:b/>
          <w:color w:val="000000"/>
          <w:lang w:val="en-IE"/>
        </w:rPr>
        <w:t>RESPONDENTS</w:t>
      </w:r>
    </w:p>
    <w:p w14:paraId="70D2C901" w14:textId="7C13437B" w:rsidR="00292C34" w:rsidRPr="00411456" w:rsidRDefault="00D32292" w:rsidP="00576B19">
      <w:pPr>
        <w:pStyle w:val="NormalWeb"/>
        <w:spacing w:before="0" w:beforeAutospacing="0" w:after="0" w:afterAutospacing="0" w:line="480" w:lineRule="auto"/>
        <w:rPr>
          <w:b/>
          <w:color w:val="000000"/>
          <w:u w:val="single"/>
          <w:lang w:val="en-IE"/>
        </w:rPr>
      </w:pPr>
      <w:r w:rsidRPr="00411456">
        <w:rPr>
          <w:b/>
          <w:color w:val="000000"/>
          <w:u w:val="single"/>
          <w:lang w:val="en-IE"/>
        </w:rPr>
        <w:t>JUDGMENT of Ms. Justice</w:t>
      </w:r>
      <w:r w:rsidR="00292C34" w:rsidRPr="00411456">
        <w:rPr>
          <w:b/>
          <w:color w:val="000000"/>
          <w:u w:val="single"/>
          <w:lang w:val="en-IE"/>
        </w:rPr>
        <w:t xml:space="preserve"> Butler del</w:t>
      </w:r>
      <w:r w:rsidRPr="00411456">
        <w:rPr>
          <w:b/>
          <w:color w:val="000000"/>
          <w:u w:val="single"/>
          <w:lang w:val="en-IE"/>
        </w:rPr>
        <w:t xml:space="preserve">ivered on the </w:t>
      </w:r>
      <w:r w:rsidR="00427402">
        <w:rPr>
          <w:b/>
          <w:color w:val="000000"/>
          <w:u w:val="single"/>
          <w:lang w:val="en-IE"/>
        </w:rPr>
        <w:t>1</w:t>
      </w:r>
      <w:r w:rsidR="00427402" w:rsidRPr="00427402">
        <w:rPr>
          <w:b/>
          <w:color w:val="000000"/>
          <w:u w:val="single"/>
          <w:vertAlign w:val="superscript"/>
          <w:lang w:val="en-IE"/>
        </w:rPr>
        <w:t>st</w:t>
      </w:r>
      <w:r w:rsidR="00427402">
        <w:rPr>
          <w:b/>
          <w:color w:val="000000"/>
          <w:u w:val="single"/>
          <w:lang w:val="en-IE"/>
        </w:rPr>
        <w:t xml:space="preserve"> </w:t>
      </w:r>
      <w:r w:rsidRPr="00411456">
        <w:rPr>
          <w:b/>
          <w:color w:val="000000"/>
          <w:u w:val="single"/>
          <w:lang w:val="en-IE"/>
        </w:rPr>
        <w:t xml:space="preserve">day of </w:t>
      </w:r>
      <w:proofErr w:type="gramStart"/>
      <w:r w:rsidRPr="00411456">
        <w:rPr>
          <w:b/>
          <w:color w:val="000000"/>
          <w:u w:val="single"/>
          <w:lang w:val="en-IE"/>
        </w:rPr>
        <w:t>Ju</w:t>
      </w:r>
      <w:r w:rsidR="00427402">
        <w:rPr>
          <w:b/>
          <w:color w:val="000000"/>
          <w:u w:val="single"/>
          <w:lang w:val="en-IE"/>
        </w:rPr>
        <w:t>ly</w:t>
      </w:r>
      <w:r w:rsidR="00292C34" w:rsidRPr="00411456">
        <w:rPr>
          <w:b/>
          <w:color w:val="000000"/>
          <w:u w:val="single"/>
          <w:lang w:val="en-IE"/>
        </w:rPr>
        <w:t>,</w:t>
      </w:r>
      <w:proofErr w:type="gramEnd"/>
      <w:r w:rsidR="00292C34" w:rsidRPr="00411456">
        <w:rPr>
          <w:b/>
          <w:color w:val="000000"/>
          <w:u w:val="single"/>
          <w:lang w:val="en-IE"/>
        </w:rPr>
        <w:t xml:space="preserve"> 2022</w:t>
      </w:r>
    </w:p>
    <w:p w14:paraId="39703B67" w14:textId="77777777" w:rsidR="008B24D9" w:rsidRDefault="008B24D9" w:rsidP="00576B19">
      <w:pPr>
        <w:pStyle w:val="NormalWeb"/>
        <w:spacing w:before="0" w:beforeAutospacing="0" w:after="0" w:afterAutospacing="0" w:line="480" w:lineRule="auto"/>
        <w:rPr>
          <w:b/>
          <w:color w:val="000000"/>
          <w:u w:val="single"/>
          <w:lang w:val="en-IE"/>
        </w:rPr>
      </w:pPr>
    </w:p>
    <w:p w14:paraId="61762891" w14:textId="4E5BF91A" w:rsidR="00292C34" w:rsidRPr="00411456" w:rsidRDefault="00292C34" w:rsidP="004A0604">
      <w:pPr>
        <w:pStyle w:val="NormalWeb"/>
        <w:spacing w:before="0" w:beforeAutospacing="0" w:after="0" w:afterAutospacing="0" w:line="480" w:lineRule="auto"/>
        <w:jc w:val="both"/>
        <w:rPr>
          <w:b/>
          <w:color w:val="000000"/>
          <w:u w:val="single"/>
          <w:lang w:val="en-IE"/>
        </w:rPr>
      </w:pPr>
      <w:r w:rsidRPr="00411456">
        <w:rPr>
          <w:b/>
          <w:color w:val="000000"/>
          <w:u w:val="single"/>
          <w:lang w:val="en-IE"/>
        </w:rPr>
        <w:t>Introduction</w:t>
      </w:r>
    </w:p>
    <w:p w14:paraId="0CFF3099" w14:textId="261701C2" w:rsidR="00894AEE" w:rsidRPr="00411456" w:rsidRDefault="00D32292"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This judgment deals with the applicant’s application under s. 173 of the Companies Act 2014 for rectification of the register of members of Bellevue Port Services (Waterford) Ltd (“the company”) by entering the name of th</w:t>
      </w:r>
      <w:r w:rsidR="00894AEE" w:rsidRPr="00411456">
        <w:rPr>
          <w:color w:val="000000"/>
          <w:lang w:val="en-IE"/>
        </w:rPr>
        <w:t>e applicant as the owner of 50 o</w:t>
      </w:r>
      <w:r w:rsidRPr="00411456">
        <w:rPr>
          <w:color w:val="000000"/>
          <w:lang w:val="en-IE"/>
        </w:rPr>
        <w:t>rdi</w:t>
      </w:r>
      <w:r w:rsidR="00894AEE" w:rsidRPr="00411456">
        <w:rPr>
          <w:color w:val="000000"/>
          <w:lang w:val="en-IE"/>
        </w:rPr>
        <w:t>nary shares in the company (“the disputed shares”). Additional relief is sought directed at</w:t>
      </w:r>
      <w:r w:rsidRPr="00411456">
        <w:rPr>
          <w:color w:val="000000"/>
          <w:lang w:val="en-IE"/>
        </w:rPr>
        <w:t xml:space="preserve"> setting aside decisions made by the directors of the company reflected in correspondence issued by the solicitors f</w:t>
      </w:r>
      <w:r w:rsidR="00894AEE" w:rsidRPr="00411456">
        <w:rPr>
          <w:color w:val="000000"/>
          <w:lang w:val="en-IE"/>
        </w:rPr>
        <w:t>or the respondents on 8</w:t>
      </w:r>
      <w:r w:rsidR="00894AEE" w:rsidRPr="00411456">
        <w:rPr>
          <w:color w:val="000000"/>
          <w:vertAlign w:val="superscript"/>
          <w:lang w:val="en-IE"/>
        </w:rPr>
        <w:t>th</w:t>
      </w:r>
      <w:r w:rsidR="00894AEE" w:rsidRPr="00411456">
        <w:rPr>
          <w:color w:val="000000"/>
          <w:lang w:val="en-IE"/>
        </w:rPr>
        <w:t xml:space="preserve"> </w:t>
      </w:r>
      <w:r w:rsidRPr="00411456">
        <w:rPr>
          <w:color w:val="000000"/>
          <w:lang w:val="en-IE"/>
        </w:rPr>
        <w:t>and 12</w:t>
      </w:r>
      <w:r w:rsidRPr="00411456">
        <w:rPr>
          <w:color w:val="000000"/>
          <w:vertAlign w:val="superscript"/>
          <w:lang w:val="en-IE"/>
        </w:rPr>
        <w:t>th</w:t>
      </w:r>
      <w:r w:rsidR="00894AEE" w:rsidRPr="00411456">
        <w:rPr>
          <w:color w:val="000000"/>
          <w:lang w:val="en-IE"/>
        </w:rPr>
        <w:t xml:space="preserve"> February 2021.</w:t>
      </w:r>
      <w:r w:rsidRPr="00411456">
        <w:rPr>
          <w:color w:val="000000"/>
          <w:lang w:val="en-IE"/>
        </w:rPr>
        <w:t xml:space="preserve"> Although I will re</w:t>
      </w:r>
      <w:r w:rsidR="00C73FAB">
        <w:rPr>
          <w:color w:val="000000"/>
          <w:lang w:val="en-IE"/>
        </w:rPr>
        <w:t>f</w:t>
      </w:r>
      <w:r w:rsidRPr="00411456">
        <w:rPr>
          <w:color w:val="000000"/>
          <w:lang w:val="en-IE"/>
        </w:rPr>
        <w:t>er to this co</w:t>
      </w:r>
      <w:r w:rsidR="00894AEE" w:rsidRPr="00411456">
        <w:rPr>
          <w:color w:val="000000"/>
          <w:lang w:val="en-IE"/>
        </w:rPr>
        <w:t xml:space="preserve">rrespondence in due course, </w:t>
      </w:r>
      <w:r w:rsidRPr="00411456">
        <w:rPr>
          <w:color w:val="000000"/>
          <w:lang w:val="en-IE"/>
        </w:rPr>
        <w:t xml:space="preserve">it does not seem to me that the additional </w:t>
      </w:r>
      <w:r w:rsidRPr="00411456">
        <w:rPr>
          <w:color w:val="000000"/>
          <w:lang w:val="en-IE"/>
        </w:rPr>
        <w:lastRenderedPageBreak/>
        <w:t xml:space="preserve">relief adds anything </w:t>
      </w:r>
      <w:r w:rsidR="00894AEE" w:rsidRPr="00411456">
        <w:rPr>
          <w:color w:val="000000"/>
          <w:lang w:val="en-IE"/>
        </w:rPr>
        <w:t>to the claim overall. I</w:t>
      </w:r>
      <w:r w:rsidRPr="00411456">
        <w:rPr>
          <w:color w:val="000000"/>
          <w:lang w:val="en-IE"/>
        </w:rPr>
        <w:t xml:space="preserve">f the applicant succeeds in establishing </w:t>
      </w:r>
      <w:r w:rsidR="00894AEE" w:rsidRPr="00411456">
        <w:rPr>
          <w:color w:val="000000"/>
          <w:lang w:val="en-IE"/>
        </w:rPr>
        <w:t>an entitlement to the rec</w:t>
      </w:r>
      <w:r w:rsidRPr="00411456">
        <w:rPr>
          <w:color w:val="000000"/>
          <w:lang w:val="en-IE"/>
        </w:rPr>
        <w:t>tification of the register in the manner so</w:t>
      </w:r>
      <w:r w:rsidR="00894AEE" w:rsidRPr="00411456">
        <w:rPr>
          <w:color w:val="000000"/>
          <w:lang w:val="en-IE"/>
        </w:rPr>
        <w:t>ught,</w:t>
      </w:r>
      <w:r w:rsidRPr="00411456">
        <w:rPr>
          <w:color w:val="000000"/>
          <w:lang w:val="en-IE"/>
        </w:rPr>
        <w:t xml:space="preserve"> the contents of the correspondence will become largely irrelevant</w:t>
      </w:r>
      <w:r w:rsidR="00894AEE" w:rsidRPr="00411456">
        <w:rPr>
          <w:color w:val="000000"/>
          <w:lang w:val="en-IE"/>
        </w:rPr>
        <w:t>.</w:t>
      </w:r>
    </w:p>
    <w:p w14:paraId="34F822F7" w14:textId="691D1F24" w:rsidR="00894AEE" w:rsidRPr="00411456" w:rsidRDefault="00894AEE"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D32292" w:rsidRPr="00411456">
        <w:rPr>
          <w:color w:val="000000"/>
          <w:lang w:val="en-IE"/>
        </w:rPr>
        <w:t xml:space="preserve">he </w:t>
      </w:r>
      <w:r w:rsidRPr="00411456">
        <w:rPr>
          <w:color w:val="000000"/>
          <w:lang w:val="en-IE"/>
        </w:rPr>
        <w:t>applicant is opposed by the respondents bo</w:t>
      </w:r>
      <w:r w:rsidR="00D32292" w:rsidRPr="00411456">
        <w:rPr>
          <w:color w:val="000000"/>
          <w:lang w:val="en-IE"/>
        </w:rPr>
        <w:t>t</w:t>
      </w:r>
      <w:r w:rsidRPr="00411456">
        <w:rPr>
          <w:color w:val="000000"/>
          <w:lang w:val="en-IE"/>
        </w:rPr>
        <w:t>h</w:t>
      </w:r>
      <w:r w:rsidR="00D32292" w:rsidRPr="00411456">
        <w:rPr>
          <w:color w:val="000000"/>
          <w:lang w:val="en-IE"/>
        </w:rPr>
        <w:t xml:space="preserve"> substantively </w:t>
      </w:r>
      <w:proofErr w:type="gramStart"/>
      <w:r w:rsidR="00D32292" w:rsidRPr="00411456">
        <w:rPr>
          <w:color w:val="000000"/>
          <w:lang w:val="en-IE"/>
        </w:rPr>
        <w:t>and also</w:t>
      </w:r>
      <w:proofErr w:type="gramEnd"/>
      <w:r w:rsidR="00D32292" w:rsidRPr="00411456">
        <w:rPr>
          <w:color w:val="000000"/>
          <w:lang w:val="en-IE"/>
        </w:rPr>
        <w:t xml:space="preserve"> on a number of procedural grounds</w:t>
      </w:r>
      <w:r w:rsidRPr="00411456">
        <w:rPr>
          <w:color w:val="000000"/>
          <w:lang w:val="en-IE"/>
        </w:rPr>
        <w:t>. T</w:t>
      </w:r>
      <w:r w:rsidR="00D32292" w:rsidRPr="00411456">
        <w:rPr>
          <w:color w:val="000000"/>
          <w:lang w:val="en-IE"/>
        </w:rPr>
        <w:t>he respondents contend that the application is improperly constituted because the company is not na</w:t>
      </w:r>
      <w:r w:rsidRPr="00411456">
        <w:rPr>
          <w:color w:val="000000"/>
          <w:lang w:val="en-IE"/>
        </w:rPr>
        <w:t>med as a respondent. T</w:t>
      </w:r>
      <w:r w:rsidR="00D32292" w:rsidRPr="00411456">
        <w:rPr>
          <w:color w:val="000000"/>
          <w:lang w:val="en-IE"/>
        </w:rPr>
        <w:t>he respondents also assert that</w:t>
      </w:r>
      <w:r w:rsidRPr="00411456">
        <w:rPr>
          <w:color w:val="000000"/>
          <w:lang w:val="en-IE"/>
        </w:rPr>
        <w:t xml:space="preserve"> the first respondent (Amber)</w:t>
      </w:r>
      <w:r w:rsidR="00D32292" w:rsidRPr="00411456">
        <w:rPr>
          <w:color w:val="000000"/>
          <w:lang w:val="en-IE"/>
        </w:rPr>
        <w:t xml:space="preserve"> should not have been included as a respondent because it is no longer the holder </w:t>
      </w:r>
      <w:r w:rsidRPr="00411456">
        <w:rPr>
          <w:color w:val="000000"/>
          <w:lang w:val="en-IE"/>
        </w:rPr>
        <w:t>of the disputed shares</w:t>
      </w:r>
      <w:r w:rsidR="00D32292" w:rsidRPr="00411456">
        <w:rPr>
          <w:color w:val="000000"/>
          <w:lang w:val="en-IE"/>
        </w:rPr>
        <w:t xml:space="preserve">. It is contended that the relief sought is not suitable for summary disposition </w:t>
      </w:r>
      <w:r w:rsidRPr="00411456">
        <w:rPr>
          <w:color w:val="000000"/>
          <w:lang w:val="en-IE"/>
        </w:rPr>
        <w:t xml:space="preserve">on affidavit. </w:t>
      </w:r>
      <w:proofErr w:type="gramStart"/>
      <w:r w:rsidRPr="00411456">
        <w:rPr>
          <w:color w:val="000000"/>
          <w:lang w:val="en-IE"/>
        </w:rPr>
        <w:t>In order to</w:t>
      </w:r>
      <w:proofErr w:type="gramEnd"/>
      <w:r w:rsidR="008B24D9">
        <w:rPr>
          <w:color w:val="000000"/>
          <w:lang w:val="en-IE"/>
        </w:rPr>
        <w:t xml:space="preserve"> understand the </w:t>
      </w:r>
      <w:r w:rsidR="00D07177">
        <w:rPr>
          <w:color w:val="000000"/>
          <w:lang w:val="en-IE"/>
        </w:rPr>
        <w:t xml:space="preserve">substantive </w:t>
      </w:r>
      <w:r w:rsidR="00D32292" w:rsidRPr="00411456">
        <w:rPr>
          <w:color w:val="000000"/>
          <w:lang w:val="en-IE"/>
        </w:rPr>
        <w:t>dispute between the parties</w:t>
      </w:r>
      <w:r w:rsidRPr="00411456">
        <w:rPr>
          <w:color w:val="000000"/>
          <w:lang w:val="en-IE"/>
        </w:rPr>
        <w:t>,</w:t>
      </w:r>
      <w:r w:rsidR="00D32292" w:rsidRPr="00411456">
        <w:rPr>
          <w:color w:val="000000"/>
          <w:lang w:val="en-IE"/>
        </w:rPr>
        <w:t xml:space="preserve"> it will be necessary to look at the history of interactions betwee</w:t>
      </w:r>
      <w:r w:rsidRPr="00411456">
        <w:rPr>
          <w:color w:val="000000"/>
          <w:lang w:val="en-IE"/>
        </w:rPr>
        <w:t>n them in some detail.</w:t>
      </w:r>
    </w:p>
    <w:p w14:paraId="2E623F37" w14:textId="5BAB4126" w:rsidR="00393CEA" w:rsidRPr="00411456" w:rsidRDefault="00393CE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In brief, t</w:t>
      </w:r>
      <w:r w:rsidR="00D32292" w:rsidRPr="00411456">
        <w:rPr>
          <w:color w:val="000000"/>
          <w:lang w:val="en-IE"/>
        </w:rPr>
        <w:t>he respondents claim that Amber accepted an offer to purchase the applicant</w:t>
      </w:r>
      <w:r w:rsidRPr="00411456">
        <w:rPr>
          <w:color w:val="000000"/>
          <w:lang w:val="en-IE"/>
        </w:rPr>
        <w:t>’s shares which,</w:t>
      </w:r>
      <w:r w:rsidR="00D32292" w:rsidRPr="00411456">
        <w:rPr>
          <w:color w:val="000000"/>
          <w:lang w:val="en-IE"/>
        </w:rPr>
        <w:t xml:space="preserve"> under the terms of a shareholders</w:t>
      </w:r>
      <w:r w:rsidRPr="00411456">
        <w:rPr>
          <w:color w:val="000000"/>
          <w:lang w:val="en-IE"/>
        </w:rPr>
        <w:t>’ agreement</w:t>
      </w:r>
      <w:r w:rsidR="00322286">
        <w:rPr>
          <w:color w:val="000000"/>
          <w:lang w:val="en-IE"/>
        </w:rPr>
        <w:t xml:space="preserve"> </w:t>
      </w:r>
      <w:proofErr w:type="gramStart"/>
      <w:r w:rsidR="00322286">
        <w:rPr>
          <w:color w:val="000000"/>
          <w:lang w:val="en-IE"/>
        </w:rPr>
        <w:t>entered into</w:t>
      </w:r>
      <w:proofErr w:type="gramEnd"/>
      <w:r w:rsidR="00322286">
        <w:rPr>
          <w:color w:val="000000"/>
          <w:lang w:val="en-IE"/>
        </w:rPr>
        <w:t xml:space="preserve"> between those two parties</w:t>
      </w:r>
      <w:r w:rsidRPr="00411456">
        <w:rPr>
          <w:color w:val="000000"/>
          <w:lang w:val="en-IE"/>
        </w:rPr>
        <w:t>, wa</w:t>
      </w:r>
      <w:r w:rsidR="00D32292" w:rsidRPr="00411456">
        <w:rPr>
          <w:color w:val="000000"/>
          <w:lang w:val="en-IE"/>
        </w:rPr>
        <w:t>s deemed to have been made on the a</w:t>
      </w:r>
      <w:r w:rsidRPr="00411456">
        <w:rPr>
          <w:color w:val="000000"/>
          <w:lang w:val="en-IE"/>
        </w:rPr>
        <w:t>pplicant entering into examiner</w:t>
      </w:r>
      <w:r w:rsidR="00D32292" w:rsidRPr="00411456">
        <w:rPr>
          <w:color w:val="000000"/>
          <w:lang w:val="en-IE"/>
        </w:rPr>
        <w:t>s</w:t>
      </w:r>
      <w:r w:rsidRPr="00411456">
        <w:rPr>
          <w:color w:val="000000"/>
          <w:lang w:val="en-IE"/>
        </w:rPr>
        <w:t>hip in November 2012. T</w:t>
      </w:r>
      <w:r w:rsidR="00D32292" w:rsidRPr="00411456">
        <w:rPr>
          <w:color w:val="000000"/>
          <w:lang w:val="en-IE"/>
        </w:rPr>
        <w:t xml:space="preserve">he respondents claim that a sum of </w:t>
      </w:r>
      <w:r w:rsidRPr="00411456">
        <w:rPr>
          <w:color w:val="000000"/>
          <w:lang w:val="en-IE"/>
        </w:rPr>
        <w:t>€50</w:t>
      </w:r>
      <w:r w:rsidR="00D32292" w:rsidRPr="00411456">
        <w:rPr>
          <w:color w:val="000000"/>
          <w:lang w:val="en-IE"/>
        </w:rPr>
        <w:t xml:space="preserve"> was paid for the shares and</w:t>
      </w:r>
      <w:r w:rsidRPr="00411456">
        <w:rPr>
          <w:color w:val="000000"/>
          <w:lang w:val="en-IE"/>
        </w:rPr>
        <w:t xml:space="preserve"> that the cheque and a</w:t>
      </w:r>
      <w:r w:rsidR="00D32292" w:rsidRPr="00411456">
        <w:rPr>
          <w:color w:val="000000"/>
          <w:lang w:val="en-IE"/>
        </w:rPr>
        <w:t xml:space="preserve"> completed stock transfer form </w:t>
      </w:r>
      <w:r w:rsidR="008B24D9">
        <w:rPr>
          <w:color w:val="000000"/>
          <w:lang w:val="en-IE"/>
        </w:rPr>
        <w:t xml:space="preserve">were sent </w:t>
      </w:r>
      <w:r w:rsidR="00D32292" w:rsidRPr="00411456">
        <w:rPr>
          <w:color w:val="000000"/>
          <w:lang w:val="en-IE"/>
        </w:rPr>
        <w:t>to the exami</w:t>
      </w:r>
      <w:r w:rsidRPr="00411456">
        <w:rPr>
          <w:color w:val="000000"/>
          <w:lang w:val="en-IE"/>
        </w:rPr>
        <w:t>ner in January 2013. Through inadvertence and because at that time the shares had no value, the stock transfer form was not registered until 2021</w:t>
      </w:r>
      <w:r w:rsidR="00D32292" w:rsidRPr="00411456">
        <w:rPr>
          <w:color w:val="000000"/>
          <w:lang w:val="en-IE"/>
        </w:rPr>
        <w:t>. Nonetheless, the respondents contend tha</w:t>
      </w:r>
      <w:r w:rsidRPr="00411456">
        <w:rPr>
          <w:color w:val="000000"/>
          <w:lang w:val="en-IE"/>
        </w:rPr>
        <w:t>t Amber has been the beneficial owner</w:t>
      </w:r>
      <w:r w:rsidR="00D32292" w:rsidRPr="00411456">
        <w:rPr>
          <w:color w:val="000000"/>
          <w:lang w:val="en-IE"/>
        </w:rPr>
        <w:t xml:space="preserve"> of t</w:t>
      </w:r>
      <w:r w:rsidRPr="00411456">
        <w:rPr>
          <w:color w:val="000000"/>
          <w:lang w:val="en-IE"/>
        </w:rPr>
        <w:t>he shares since 2013. Amber has since</w:t>
      </w:r>
      <w:r w:rsidR="00D32292" w:rsidRPr="00411456">
        <w:rPr>
          <w:color w:val="000000"/>
          <w:lang w:val="en-IE"/>
        </w:rPr>
        <w:t xml:space="preserve"> transferred its entire sh</w:t>
      </w:r>
      <w:r w:rsidRPr="00411456">
        <w:rPr>
          <w:color w:val="000000"/>
          <w:lang w:val="en-IE"/>
        </w:rPr>
        <w:t>areholding in the company to Otto,</w:t>
      </w:r>
      <w:r w:rsidR="00D32292" w:rsidRPr="00411456">
        <w:rPr>
          <w:color w:val="000000"/>
          <w:lang w:val="en-IE"/>
        </w:rPr>
        <w:t xml:space="preserve"> the second respondent</w:t>
      </w:r>
      <w:r w:rsidRPr="00411456">
        <w:rPr>
          <w:color w:val="000000"/>
          <w:lang w:val="en-IE"/>
        </w:rPr>
        <w:t>.</w:t>
      </w:r>
    </w:p>
    <w:p w14:paraId="0A1FE086" w14:textId="5CEBD644" w:rsidR="00393CEA" w:rsidRPr="00411456" w:rsidRDefault="00393CE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D32292" w:rsidRPr="00411456">
        <w:rPr>
          <w:color w:val="000000"/>
          <w:lang w:val="en-IE"/>
        </w:rPr>
        <w:t>he applicant disputes the respondents</w:t>
      </w:r>
      <w:r w:rsidRPr="00411456">
        <w:rPr>
          <w:color w:val="000000"/>
          <w:lang w:val="en-IE"/>
        </w:rPr>
        <w:t>’</w:t>
      </w:r>
      <w:r w:rsidR="00D32292" w:rsidRPr="00411456">
        <w:rPr>
          <w:color w:val="000000"/>
          <w:lang w:val="en-IE"/>
        </w:rPr>
        <w:t xml:space="preserve"> claim </w:t>
      </w:r>
      <w:r w:rsidRPr="00411456">
        <w:rPr>
          <w:color w:val="000000"/>
          <w:lang w:val="en-IE"/>
        </w:rPr>
        <w:t xml:space="preserve">on </w:t>
      </w:r>
      <w:r w:rsidR="00D32292" w:rsidRPr="00411456">
        <w:rPr>
          <w:color w:val="000000"/>
          <w:lang w:val="en-IE"/>
        </w:rPr>
        <w:t>t</w:t>
      </w:r>
      <w:r w:rsidRPr="00411456">
        <w:rPr>
          <w:color w:val="000000"/>
          <w:lang w:val="en-IE"/>
        </w:rPr>
        <w:t>w</w:t>
      </w:r>
      <w:r w:rsidR="00D32292" w:rsidRPr="00411456">
        <w:rPr>
          <w:color w:val="000000"/>
          <w:lang w:val="en-IE"/>
        </w:rPr>
        <w:t>o main grounds. Firstly, the applica</w:t>
      </w:r>
      <w:r w:rsidRPr="00411456">
        <w:rPr>
          <w:color w:val="000000"/>
          <w:lang w:val="en-IE"/>
        </w:rPr>
        <w:t>nt contends that the conduct of A</w:t>
      </w:r>
      <w:r w:rsidR="00D32292" w:rsidRPr="00411456">
        <w:rPr>
          <w:color w:val="000000"/>
          <w:lang w:val="en-IE"/>
        </w:rPr>
        <w:t>mber since 2013 is not consistent with the claim it now makes to have purchased the shares</w:t>
      </w:r>
      <w:r w:rsidRPr="00411456">
        <w:rPr>
          <w:color w:val="000000"/>
          <w:lang w:val="en-IE"/>
        </w:rPr>
        <w:t>. I</w:t>
      </w:r>
      <w:r w:rsidR="00D32292" w:rsidRPr="00411456">
        <w:rPr>
          <w:color w:val="000000"/>
          <w:lang w:val="en-IE"/>
        </w:rPr>
        <w:t>nstead</w:t>
      </w:r>
      <w:r w:rsidRPr="00411456">
        <w:rPr>
          <w:color w:val="000000"/>
          <w:lang w:val="en-IE"/>
        </w:rPr>
        <w:t xml:space="preserve">, for </w:t>
      </w:r>
      <w:proofErr w:type="gramStart"/>
      <w:r w:rsidRPr="00411456">
        <w:rPr>
          <w:color w:val="000000"/>
          <w:lang w:val="en-IE"/>
        </w:rPr>
        <w:t>a number of</w:t>
      </w:r>
      <w:proofErr w:type="gramEnd"/>
      <w:r w:rsidRPr="00411456">
        <w:rPr>
          <w:color w:val="000000"/>
          <w:lang w:val="en-IE"/>
        </w:rPr>
        <w:t xml:space="preserve"> reasons, i</w:t>
      </w:r>
      <w:r w:rsidR="00D32292" w:rsidRPr="00411456">
        <w:rPr>
          <w:color w:val="000000"/>
          <w:lang w:val="en-IE"/>
        </w:rPr>
        <w:t xml:space="preserve">ts conduct is more consistent with </w:t>
      </w:r>
      <w:r w:rsidR="008B24D9">
        <w:rPr>
          <w:color w:val="000000"/>
          <w:lang w:val="en-IE"/>
        </w:rPr>
        <w:t>a</w:t>
      </w:r>
      <w:r w:rsidR="00D32292" w:rsidRPr="00411456">
        <w:rPr>
          <w:color w:val="000000"/>
          <w:lang w:val="en-IE"/>
        </w:rPr>
        <w:t xml:space="preserve"> belief that the applicant remain</w:t>
      </w:r>
      <w:r w:rsidRPr="00411456">
        <w:rPr>
          <w:color w:val="000000"/>
          <w:lang w:val="en-IE"/>
        </w:rPr>
        <w:t>ed the owner of the shares. Secondly,</w:t>
      </w:r>
      <w:r w:rsidR="00D32292" w:rsidRPr="00411456">
        <w:rPr>
          <w:color w:val="000000"/>
          <w:lang w:val="en-IE"/>
        </w:rPr>
        <w:t xml:space="preserve"> the applicant argues that </w:t>
      </w:r>
      <w:r w:rsidR="008B24D9">
        <w:rPr>
          <w:color w:val="000000"/>
          <w:lang w:val="en-IE"/>
        </w:rPr>
        <w:t>the</w:t>
      </w:r>
      <w:r w:rsidR="00D32292" w:rsidRPr="00411456">
        <w:rPr>
          <w:color w:val="000000"/>
          <w:lang w:val="en-IE"/>
        </w:rPr>
        <w:t xml:space="preserve"> purported purchase of its shares in the company in 2013 did not comply with the terms of the shareholders</w:t>
      </w:r>
      <w:r w:rsidRPr="00411456">
        <w:rPr>
          <w:color w:val="000000"/>
          <w:lang w:val="en-IE"/>
        </w:rPr>
        <w:t>’</w:t>
      </w:r>
      <w:r w:rsidR="00D32292" w:rsidRPr="00411456">
        <w:rPr>
          <w:color w:val="000000"/>
          <w:lang w:val="en-IE"/>
        </w:rPr>
        <w:t xml:space="preserve"> agreement on foot of which </w:t>
      </w:r>
      <w:r w:rsidR="00D32292" w:rsidRPr="00411456">
        <w:rPr>
          <w:color w:val="000000"/>
          <w:lang w:val="en-IE"/>
        </w:rPr>
        <w:lastRenderedPageBreak/>
        <w:t>the purch</w:t>
      </w:r>
      <w:r w:rsidRPr="00411456">
        <w:rPr>
          <w:color w:val="000000"/>
          <w:lang w:val="en-IE"/>
        </w:rPr>
        <w:t>ase allegedly took place. Consequently, t</w:t>
      </w:r>
      <w:r w:rsidR="00D32292" w:rsidRPr="00411456">
        <w:rPr>
          <w:color w:val="000000"/>
          <w:lang w:val="en-IE"/>
        </w:rPr>
        <w:t>he applicant asserts that the purchase relied on by the respondents was of no legal effect</w:t>
      </w:r>
      <w:r w:rsidRPr="00411456">
        <w:rPr>
          <w:color w:val="000000"/>
          <w:lang w:val="en-IE"/>
        </w:rPr>
        <w:t>.</w:t>
      </w:r>
    </w:p>
    <w:p w14:paraId="03F5295C" w14:textId="53EF2831" w:rsidR="00393CEA" w:rsidRPr="00411456" w:rsidRDefault="00393CE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I</w:t>
      </w:r>
      <w:r w:rsidR="00D32292" w:rsidRPr="00411456">
        <w:rPr>
          <w:color w:val="000000"/>
          <w:lang w:val="en-IE"/>
        </w:rPr>
        <w:t>n looking at the</w:t>
      </w:r>
      <w:r w:rsidR="00841753">
        <w:rPr>
          <w:color w:val="000000"/>
          <w:lang w:val="en-IE"/>
        </w:rPr>
        <w:t>se</w:t>
      </w:r>
      <w:r w:rsidR="00D32292" w:rsidRPr="00411456">
        <w:rPr>
          <w:color w:val="000000"/>
          <w:lang w:val="en-IE"/>
        </w:rPr>
        <w:t xml:space="preserve"> issues</w:t>
      </w:r>
      <w:r w:rsidRPr="00411456">
        <w:rPr>
          <w:color w:val="000000"/>
          <w:lang w:val="en-IE"/>
        </w:rPr>
        <w:t>,</w:t>
      </w:r>
      <w:r w:rsidR="00D32292" w:rsidRPr="00411456">
        <w:rPr>
          <w:color w:val="000000"/>
          <w:lang w:val="en-IE"/>
        </w:rPr>
        <w:t xml:space="preserve"> </w:t>
      </w:r>
      <w:r w:rsidRPr="00411456">
        <w:rPr>
          <w:color w:val="000000"/>
          <w:lang w:val="en-IE"/>
        </w:rPr>
        <w:t>I propose</w:t>
      </w:r>
      <w:r w:rsidR="00D32292" w:rsidRPr="00411456">
        <w:rPr>
          <w:color w:val="000000"/>
          <w:lang w:val="en-IE"/>
        </w:rPr>
        <w:t xml:space="preserve"> to set out a chronological history of the company and of the interactions between the parties as regards the company. In the context of this chronology</w:t>
      </w:r>
      <w:r w:rsidRPr="00411456">
        <w:rPr>
          <w:color w:val="000000"/>
          <w:lang w:val="en-IE"/>
        </w:rPr>
        <w:t>,</w:t>
      </w:r>
      <w:r w:rsidR="00D32292" w:rsidRPr="00411456">
        <w:rPr>
          <w:color w:val="000000"/>
          <w:lang w:val="en-IE"/>
        </w:rPr>
        <w:t xml:space="preserve"> it will be necessary to examine the relevant provisions of the shareholders</w:t>
      </w:r>
      <w:r w:rsidRPr="00411456">
        <w:rPr>
          <w:color w:val="000000"/>
          <w:lang w:val="en-IE"/>
        </w:rPr>
        <w:t>’</w:t>
      </w:r>
      <w:r w:rsidR="00D32292" w:rsidRPr="00411456">
        <w:rPr>
          <w:color w:val="000000"/>
          <w:lang w:val="en-IE"/>
        </w:rPr>
        <w:t xml:space="preserve"> agreement under which the </w:t>
      </w:r>
      <w:r w:rsidRPr="00411456">
        <w:rPr>
          <w:color w:val="000000"/>
          <w:lang w:val="en-IE"/>
        </w:rPr>
        <w:t>purported transaction took place. I will c</w:t>
      </w:r>
      <w:r w:rsidR="00D32292" w:rsidRPr="00411456">
        <w:rPr>
          <w:color w:val="000000"/>
          <w:lang w:val="en-IE"/>
        </w:rPr>
        <w:t xml:space="preserve">onsider the procedural issues raised </w:t>
      </w:r>
      <w:r w:rsidRPr="00411456">
        <w:rPr>
          <w:color w:val="000000"/>
          <w:lang w:val="en-IE"/>
        </w:rPr>
        <w:t>by the respondents and then, if appropriate, I will</w:t>
      </w:r>
      <w:r w:rsidR="00D32292" w:rsidRPr="00411456">
        <w:rPr>
          <w:color w:val="000000"/>
          <w:lang w:val="en-IE"/>
        </w:rPr>
        <w:t xml:space="preserve"> determine the substantive issue as regards the ownership of the disputed </w:t>
      </w:r>
      <w:r w:rsidR="008B24D9">
        <w:rPr>
          <w:color w:val="000000"/>
          <w:lang w:val="en-IE"/>
        </w:rPr>
        <w:t>shares</w:t>
      </w:r>
      <w:r w:rsidRPr="00411456">
        <w:rPr>
          <w:color w:val="000000"/>
          <w:lang w:val="en-IE"/>
        </w:rPr>
        <w:t>.</w:t>
      </w:r>
    </w:p>
    <w:p w14:paraId="5BAE5923" w14:textId="77777777" w:rsidR="008B24D9" w:rsidRDefault="008B24D9" w:rsidP="004A0604">
      <w:pPr>
        <w:pStyle w:val="NormalWeb"/>
        <w:spacing w:before="0" w:beforeAutospacing="0" w:after="0" w:afterAutospacing="0" w:line="480" w:lineRule="auto"/>
        <w:jc w:val="both"/>
        <w:rPr>
          <w:b/>
          <w:color w:val="000000"/>
          <w:u w:val="single"/>
          <w:lang w:val="en-IE"/>
        </w:rPr>
      </w:pPr>
    </w:p>
    <w:p w14:paraId="6F405622" w14:textId="79CF0D9A" w:rsidR="00393CEA" w:rsidRPr="00411456" w:rsidRDefault="00393CEA" w:rsidP="004A0604">
      <w:pPr>
        <w:pStyle w:val="NormalWeb"/>
        <w:spacing w:before="0" w:beforeAutospacing="0" w:after="0" w:afterAutospacing="0" w:line="480" w:lineRule="auto"/>
        <w:jc w:val="both"/>
        <w:rPr>
          <w:b/>
          <w:color w:val="000000"/>
          <w:u w:val="single"/>
          <w:lang w:val="en-IE"/>
        </w:rPr>
      </w:pPr>
      <w:r w:rsidRPr="00411456">
        <w:rPr>
          <w:b/>
          <w:color w:val="000000"/>
          <w:u w:val="single"/>
          <w:lang w:val="en-IE"/>
        </w:rPr>
        <w:t>H</w:t>
      </w:r>
      <w:r w:rsidR="00D32292" w:rsidRPr="00411456">
        <w:rPr>
          <w:b/>
          <w:color w:val="000000"/>
          <w:u w:val="single"/>
          <w:lang w:val="en-IE"/>
        </w:rPr>
        <w:t xml:space="preserve">istory of </w:t>
      </w:r>
      <w:r w:rsidR="00421214">
        <w:rPr>
          <w:b/>
          <w:color w:val="000000"/>
          <w:u w:val="single"/>
          <w:lang w:val="en-IE"/>
        </w:rPr>
        <w:t>I</w:t>
      </w:r>
      <w:r w:rsidR="00D32292" w:rsidRPr="00411456">
        <w:rPr>
          <w:b/>
          <w:color w:val="000000"/>
          <w:u w:val="single"/>
          <w:lang w:val="en-IE"/>
        </w:rPr>
        <w:t xml:space="preserve">nteractions </w:t>
      </w:r>
      <w:r w:rsidR="00CC7F5F">
        <w:rPr>
          <w:b/>
          <w:color w:val="000000"/>
          <w:u w:val="single"/>
          <w:lang w:val="en-IE"/>
        </w:rPr>
        <w:t>B</w:t>
      </w:r>
      <w:r w:rsidR="00D32292" w:rsidRPr="00411456">
        <w:rPr>
          <w:b/>
          <w:color w:val="000000"/>
          <w:u w:val="single"/>
          <w:lang w:val="en-IE"/>
        </w:rPr>
        <w:t>et</w:t>
      </w:r>
      <w:r w:rsidRPr="00411456">
        <w:rPr>
          <w:b/>
          <w:color w:val="000000"/>
          <w:u w:val="single"/>
          <w:lang w:val="en-IE"/>
        </w:rPr>
        <w:t xml:space="preserve">ween the </w:t>
      </w:r>
      <w:r w:rsidR="00421214">
        <w:rPr>
          <w:b/>
          <w:color w:val="000000"/>
          <w:u w:val="single"/>
          <w:lang w:val="en-IE"/>
        </w:rPr>
        <w:t>P</w:t>
      </w:r>
      <w:r w:rsidRPr="00411456">
        <w:rPr>
          <w:b/>
          <w:color w:val="000000"/>
          <w:u w:val="single"/>
          <w:lang w:val="en-IE"/>
        </w:rPr>
        <w:t>arties</w:t>
      </w:r>
    </w:p>
    <w:p w14:paraId="12353A89" w14:textId="5788F5C8" w:rsidR="00393CEA" w:rsidRPr="00411456" w:rsidRDefault="00393CE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D32292" w:rsidRPr="00411456">
        <w:rPr>
          <w:color w:val="000000"/>
          <w:lang w:val="en-IE"/>
        </w:rPr>
        <w:t>he company was incorporated on 11</w:t>
      </w:r>
      <w:r w:rsidRPr="00411456">
        <w:rPr>
          <w:color w:val="000000"/>
          <w:vertAlign w:val="superscript"/>
          <w:lang w:val="en-IE"/>
        </w:rPr>
        <w:t>th</w:t>
      </w:r>
      <w:r w:rsidRPr="00411456">
        <w:rPr>
          <w:color w:val="000000"/>
          <w:lang w:val="en-IE"/>
        </w:rPr>
        <w:t xml:space="preserve"> </w:t>
      </w:r>
      <w:r w:rsidR="00D32292" w:rsidRPr="00411456">
        <w:rPr>
          <w:color w:val="000000"/>
          <w:lang w:val="en-IE"/>
        </w:rPr>
        <w:t>December 2006. As its name suggests, it was intended to be the vehicle for a joint venture between the applicant and Amber for the develo</w:t>
      </w:r>
      <w:r w:rsidRPr="00411456">
        <w:rPr>
          <w:color w:val="000000"/>
          <w:lang w:val="en-IE"/>
        </w:rPr>
        <w:t>pment of an oil terminal/</w:t>
      </w:r>
      <w:r w:rsidR="00CC7F5F">
        <w:rPr>
          <w:color w:val="000000"/>
          <w:lang w:val="en-IE"/>
        </w:rPr>
        <w:t xml:space="preserve"> </w:t>
      </w:r>
      <w:r w:rsidR="00D32292" w:rsidRPr="00411456">
        <w:rPr>
          <w:color w:val="000000"/>
          <w:lang w:val="en-IE"/>
        </w:rPr>
        <w:t>storage depo</w:t>
      </w:r>
      <w:r w:rsidRPr="00411456">
        <w:rPr>
          <w:color w:val="000000"/>
          <w:lang w:val="en-IE"/>
        </w:rPr>
        <w:t>t</w:t>
      </w:r>
      <w:r w:rsidR="00D32292" w:rsidRPr="00411456">
        <w:rPr>
          <w:color w:val="000000"/>
          <w:lang w:val="en-IE"/>
        </w:rPr>
        <w:t xml:space="preserve"> for the transport of oil through the port of Waterford. The incorporation of the company was accompanied by</w:t>
      </w:r>
      <w:r w:rsidRPr="00411456">
        <w:rPr>
          <w:color w:val="000000"/>
          <w:lang w:val="en-IE"/>
        </w:rPr>
        <w:t xml:space="preserve"> the applicant and Amber entering</w:t>
      </w:r>
      <w:r w:rsidR="00D32292" w:rsidRPr="00411456">
        <w:rPr>
          <w:color w:val="000000"/>
          <w:lang w:val="en-IE"/>
        </w:rPr>
        <w:t xml:space="preserve"> into a shareholders</w:t>
      </w:r>
      <w:r w:rsidRPr="00411456">
        <w:rPr>
          <w:color w:val="000000"/>
          <w:lang w:val="en-IE"/>
        </w:rPr>
        <w:t>’</w:t>
      </w:r>
      <w:r w:rsidR="00D32292" w:rsidRPr="00411456">
        <w:rPr>
          <w:color w:val="000000"/>
          <w:lang w:val="en-IE"/>
        </w:rPr>
        <w:t xml:space="preserve"> agreement on 22</w:t>
      </w:r>
      <w:r w:rsidR="00D32292" w:rsidRPr="00411456">
        <w:rPr>
          <w:color w:val="000000"/>
          <w:vertAlign w:val="superscript"/>
          <w:lang w:val="en-IE"/>
        </w:rPr>
        <w:t>nd</w:t>
      </w:r>
      <w:r w:rsidRPr="00411456">
        <w:rPr>
          <w:color w:val="000000"/>
          <w:lang w:val="en-IE"/>
        </w:rPr>
        <w:t xml:space="preserve"> </w:t>
      </w:r>
      <w:r w:rsidR="00D32292" w:rsidRPr="00411456">
        <w:rPr>
          <w:color w:val="000000"/>
          <w:lang w:val="en-IE"/>
        </w:rPr>
        <w:t>December 2006. Under the shareholders</w:t>
      </w:r>
      <w:r w:rsidRPr="00411456">
        <w:rPr>
          <w:color w:val="000000"/>
          <w:lang w:val="en-IE"/>
        </w:rPr>
        <w:t>’</w:t>
      </w:r>
      <w:r w:rsidR="00D32292" w:rsidRPr="00411456">
        <w:rPr>
          <w:color w:val="000000"/>
          <w:lang w:val="en-IE"/>
        </w:rPr>
        <w:t xml:space="preserve"> agreement, the total issued share capital of the company was 100 shares and each</w:t>
      </w:r>
      <w:r w:rsidRPr="00411456">
        <w:rPr>
          <w:color w:val="000000"/>
          <w:lang w:val="en-IE"/>
        </w:rPr>
        <w:t xml:space="preserve"> of the applicant and Amber held 50 shares.</w:t>
      </w:r>
      <w:r w:rsidR="008B24D9">
        <w:rPr>
          <w:color w:val="000000"/>
          <w:lang w:val="en-IE"/>
        </w:rPr>
        <w:t xml:space="preserve"> Under a subsequent amendment to the shareholders’ agreement provision was made for the conversion of a shareholder’s shares from ordinary to preference shares </w:t>
      </w:r>
      <w:proofErr w:type="gramStart"/>
      <w:r w:rsidR="008B24D9">
        <w:rPr>
          <w:color w:val="000000"/>
          <w:lang w:val="en-IE"/>
        </w:rPr>
        <w:t>in the event that</w:t>
      </w:r>
      <w:proofErr w:type="gramEnd"/>
      <w:r w:rsidR="008B24D9">
        <w:rPr>
          <w:color w:val="000000"/>
          <w:lang w:val="en-IE"/>
        </w:rPr>
        <w:t xml:space="preserve"> the shareholder was unable to discharge their financial obligations under the agreement.</w:t>
      </w:r>
    </w:p>
    <w:p w14:paraId="1F1347B4" w14:textId="7581CA4A" w:rsidR="00242AD3" w:rsidRPr="00411456" w:rsidRDefault="00D32292"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The joint venture </w:t>
      </w:r>
      <w:proofErr w:type="gramStart"/>
      <w:r w:rsidRPr="00411456">
        <w:rPr>
          <w:color w:val="000000"/>
          <w:lang w:val="en-IE"/>
        </w:rPr>
        <w:t>progressed</w:t>
      </w:r>
      <w:proofErr w:type="gramEnd"/>
      <w:r w:rsidRPr="00411456">
        <w:rPr>
          <w:color w:val="000000"/>
          <w:lang w:val="en-IE"/>
        </w:rPr>
        <w:t xml:space="preserve"> and</w:t>
      </w:r>
      <w:r w:rsidR="00393CEA" w:rsidRPr="00411456">
        <w:rPr>
          <w:color w:val="000000"/>
          <w:lang w:val="en-IE"/>
        </w:rPr>
        <w:t>,</w:t>
      </w:r>
      <w:r w:rsidRPr="00411456">
        <w:rPr>
          <w:color w:val="000000"/>
          <w:lang w:val="en-IE"/>
        </w:rPr>
        <w:t xml:space="preserve"> in April 2007, the company acquired </w:t>
      </w:r>
      <w:r w:rsidR="004618E0" w:rsidRPr="00411456">
        <w:rPr>
          <w:color w:val="000000"/>
          <w:lang w:val="en-IE"/>
        </w:rPr>
        <w:t>for the sum of €6,500,000</w:t>
      </w:r>
      <w:r w:rsidR="004618E0">
        <w:rPr>
          <w:color w:val="000000"/>
          <w:lang w:val="en-IE"/>
        </w:rPr>
        <w:t xml:space="preserve"> </w:t>
      </w:r>
      <w:r w:rsidRPr="00411456">
        <w:rPr>
          <w:color w:val="000000"/>
          <w:lang w:val="en-IE"/>
        </w:rPr>
        <w:t xml:space="preserve">approximately </w:t>
      </w:r>
      <w:r w:rsidR="00393CEA" w:rsidRPr="00411456">
        <w:rPr>
          <w:color w:val="000000"/>
          <w:lang w:val="en-IE"/>
        </w:rPr>
        <w:t xml:space="preserve">36 acres of land at Waterfront Port </w:t>
      </w:r>
      <w:r w:rsidR="008B24D9">
        <w:rPr>
          <w:color w:val="000000"/>
          <w:lang w:val="en-IE"/>
        </w:rPr>
        <w:t>for the intended development</w:t>
      </w:r>
      <w:r w:rsidR="00393CEA" w:rsidRPr="00411456">
        <w:rPr>
          <w:color w:val="000000"/>
          <w:lang w:val="en-IE"/>
        </w:rPr>
        <w:t>. T</w:t>
      </w:r>
      <w:r w:rsidRPr="00411456">
        <w:rPr>
          <w:color w:val="000000"/>
          <w:lang w:val="en-IE"/>
        </w:rPr>
        <w:t>he purchase price and associated c</w:t>
      </w:r>
      <w:r w:rsidR="00E4221B" w:rsidRPr="00411456">
        <w:rPr>
          <w:color w:val="000000"/>
          <w:lang w:val="en-IE"/>
        </w:rPr>
        <w:t>osts were funded primarily by a bank loan. A</w:t>
      </w:r>
      <w:r w:rsidRPr="00411456">
        <w:rPr>
          <w:color w:val="000000"/>
          <w:lang w:val="en-IE"/>
        </w:rPr>
        <w:t>s the company wa</w:t>
      </w:r>
      <w:r w:rsidR="00E4221B" w:rsidRPr="00411456">
        <w:rPr>
          <w:color w:val="000000"/>
          <w:lang w:val="en-IE"/>
        </w:rPr>
        <w:t>s not trading and had no income, e</w:t>
      </w:r>
      <w:r w:rsidRPr="00411456">
        <w:rPr>
          <w:color w:val="000000"/>
          <w:lang w:val="en-IE"/>
        </w:rPr>
        <w:t>ach of the shareholders advanced funds to the company to enable it to discharge its o</w:t>
      </w:r>
      <w:r w:rsidR="00E4221B" w:rsidRPr="00411456">
        <w:rPr>
          <w:color w:val="000000"/>
          <w:lang w:val="en-IE"/>
        </w:rPr>
        <w:t>bligations under the loan. Clearly, the timing was not auspicious a</w:t>
      </w:r>
      <w:r w:rsidRPr="00411456">
        <w:rPr>
          <w:color w:val="000000"/>
          <w:lang w:val="en-IE"/>
        </w:rPr>
        <w:t>nd</w:t>
      </w:r>
      <w:r w:rsidR="00E4221B" w:rsidRPr="00411456">
        <w:rPr>
          <w:color w:val="000000"/>
          <w:lang w:val="en-IE"/>
        </w:rPr>
        <w:t>,</w:t>
      </w:r>
      <w:r w:rsidRPr="00411456">
        <w:rPr>
          <w:color w:val="000000"/>
          <w:lang w:val="en-IE"/>
        </w:rPr>
        <w:t xml:space="preserve"> shortly after the purchase of the site, the country suffered an economic crash and went into recession. Although the agreement was that funding was to be </w:t>
      </w:r>
      <w:r w:rsidRPr="00411456">
        <w:rPr>
          <w:color w:val="000000"/>
          <w:lang w:val="en-IE"/>
        </w:rPr>
        <w:lastRenderedPageBreak/>
        <w:t>advanced by</w:t>
      </w:r>
      <w:r w:rsidR="00E4221B" w:rsidRPr="00411456">
        <w:rPr>
          <w:color w:val="000000"/>
          <w:lang w:val="en-IE"/>
        </w:rPr>
        <w:t xml:space="preserve"> both shareholders, </w:t>
      </w:r>
      <w:r w:rsidRPr="00411456">
        <w:rPr>
          <w:color w:val="000000"/>
          <w:lang w:val="en-IE"/>
        </w:rPr>
        <w:t>by 2011</w:t>
      </w:r>
      <w:r w:rsidR="00E4221B" w:rsidRPr="00411456">
        <w:rPr>
          <w:color w:val="000000"/>
          <w:lang w:val="en-IE"/>
        </w:rPr>
        <w:t>,</w:t>
      </w:r>
      <w:r w:rsidRPr="00411456">
        <w:rPr>
          <w:color w:val="000000"/>
          <w:lang w:val="en-IE"/>
        </w:rPr>
        <w:t xml:space="preserve"> the applicant was unable to meet its obligations and stopped making monthly repayments. Amber continued making payments until the loan was repaid in full in 2</w:t>
      </w:r>
      <w:r w:rsidR="00242AD3" w:rsidRPr="00411456">
        <w:rPr>
          <w:color w:val="000000"/>
          <w:lang w:val="en-IE"/>
        </w:rPr>
        <w:t>021.</w:t>
      </w:r>
    </w:p>
    <w:p w14:paraId="18BE1F87" w14:textId="589561D7" w:rsidR="008A391E" w:rsidRDefault="00242AD3" w:rsidP="008A391E">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D32292" w:rsidRPr="00411456">
        <w:rPr>
          <w:color w:val="000000"/>
          <w:lang w:val="en-IE"/>
        </w:rPr>
        <w:t>he difficultie</w:t>
      </w:r>
      <w:r w:rsidRPr="00411456">
        <w:rPr>
          <w:color w:val="000000"/>
          <w:lang w:val="en-IE"/>
        </w:rPr>
        <w:t>s experienced by the applicant we</w:t>
      </w:r>
      <w:r w:rsidR="00D32292" w:rsidRPr="00411456">
        <w:rPr>
          <w:color w:val="000000"/>
          <w:lang w:val="en-IE"/>
        </w:rPr>
        <w:t>re not limited to making repayments on this loan. In his affidavit</w:t>
      </w:r>
      <w:r w:rsidRPr="00411456">
        <w:rPr>
          <w:color w:val="000000"/>
          <w:lang w:val="en-IE"/>
        </w:rPr>
        <w:t xml:space="preserve">, Mr. Fitzgerald, formerly a director of Amber </w:t>
      </w:r>
      <w:r w:rsidR="00D32292" w:rsidRPr="00411456">
        <w:rPr>
          <w:color w:val="000000"/>
          <w:lang w:val="en-IE"/>
        </w:rPr>
        <w:t xml:space="preserve">and currently </w:t>
      </w:r>
      <w:r w:rsidRPr="00411456">
        <w:rPr>
          <w:color w:val="000000"/>
          <w:lang w:val="en-IE"/>
        </w:rPr>
        <w:t xml:space="preserve">a director of Otto, </w:t>
      </w:r>
      <w:r w:rsidR="00D32292" w:rsidRPr="00411456">
        <w:rPr>
          <w:color w:val="000000"/>
          <w:lang w:val="en-IE"/>
        </w:rPr>
        <w:t>states that</w:t>
      </w:r>
      <w:r w:rsidRPr="00411456">
        <w:rPr>
          <w:color w:val="000000"/>
          <w:lang w:val="en-IE"/>
        </w:rPr>
        <w:t>,</w:t>
      </w:r>
      <w:r w:rsidR="00D32292" w:rsidRPr="00411456">
        <w:rPr>
          <w:color w:val="000000"/>
          <w:lang w:val="en-IE"/>
        </w:rPr>
        <w:t xml:space="preserve"> in June 2011</w:t>
      </w:r>
      <w:r w:rsidRPr="00411456">
        <w:rPr>
          <w:color w:val="000000"/>
          <w:lang w:val="en-IE"/>
        </w:rPr>
        <w:t>,</w:t>
      </w:r>
      <w:r w:rsidR="00D32292" w:rsidRPr="00411456">
        <w:rPr>
          <w:color w:val="000000"/>
          <w:lang w:val="en-IE"/>
        </w:rPr>
        <w:t xml:space="preserve"> he was advised by a former director of the applicant </w:t>
      </w:r>
      <w:r w:rsidR="008B24D9">
        <w:rPr>
          <w:color w:val="000000"/>
          <w:lang w:val="en-IE"/>
        </w:rPr>
        <w:t xml:space="preserve">(Mr. Tougher) </w:t>
      </w:r>
      <w:r w:rsidR="00D32292" w:rsidRPr="00411456">
        <w:rPr>
          <w:color w:val="000000"/>
          <w:lang w:val="en-IE"/>
        </w:rPr>
        <w:t>that the applicant</w:t>
      </w:r>
      <w:r w:rsidRPr="00411456">
        <w:rPr>
          <w:color w:val="000000"/>
          <w:lang w:val="en-IE"/>
        </w:rPr>
        <w:t>’</w:t>
      </w:r>
      <w:r w:rsidR="00D32292" w:rsidRPr="00411456">
        <w:rPr>
          <w:color w:val="000000"/>
          <w:lang w:val="en-IE"/>
        </w:rPr>
        <w:t>s assets had come</w:t>
      </w:r>
      <w:r w:rsidRPr="00411456">
        <w:rPr>
          <w:color w:val="000000"/>
          <w:lang w:val="en-IE"/>
        </w:rPr>
        <w:t xml:space="preserve"> under the control of NAMA and other banks. Ultimately, </w:t>
      </w:r>
      <w:r w:rsidR="00D32292" w:rsidRPr="00411456">
        <w:rPr>
          <w:color w:val="000000"/>
          <w:lang w:val="en-IE"/>
        </w:rPr>
        <w:t>an examiner was appointed to the applic</w:t>
      </w:r>
      <w:r w:rsidRPr="00411456">
        <w:rPr>
          <w:color w:val="000000"/>
          <w:lang w:val="en-IE"/>
        </w:rPr>
        <w:t>ant in October 2012, which</w:t>
      </w:r>
      <w:r w:rsidR="00D32292" w:rsidRPr="00411456">
        <w:rPr>
          <w:color w:val="000000"/>
          <w:lang w:val="en-IE"/>
        </w:rPr>
        <w:t xml:space="preserve"> appointment was confirmed by court order in Novemb</w:t>
      </w:r>
      <w:r w:rsidRPr="00411456">
        <w:rPr>
          <w:color w:val="000000"/>
          <w:lang w:val="en-IE"/>
        </w:rPr>
        <w:t>er 2012. The respondents claim</w:t>
      </w:r>
      <w:r w:rsidR="00D32292" w:rsidRPr="00411456">
        <w:rPr>
          <w:color w:val="000000"/>
          <w:lang w:val="en-IE"/>
        </w:rPr>
        <w:t xml:space="preserve"> that the appointment of the examiner triggered a provision in the shareholders</w:t>
      </w:r>
      <w:r w:rsidRPr="00411456">
        <w:rPr>
          <w:color w:val="000000"/>
          <w:lang w:val="en-IE"/>
        </w:rPr>
        <w:t>’</w:t>
      </w:r>
      <w:r w:rsidR="00D32292" w:rsidRPr="00411456">
        <w:rPr>
          <w:color w:val="000000"/>
          <w:lang w:val="en-IE"/>
        </w:rPr>
        <w:t xml:space="preserve"> agreement under which the applicant was deemed to have offered shares in the company for purchase by Amber and that Amber accepted that offer</w:t>
      </w:r>
      <w:r w:rsidRPr="00411456">
        <w:rPr>
          <w:color w:val="000000"/>
          <w:lang w:val="en-IE"/>
        </w:rPr>
        <w:t>. I will</w:t>
      </w:r>
      <w:r w:rsidR="00D32292" w:rsidRPr="00411456">
        <w:rPr>
          <w:color w:val="000000"/>
          <w:lang w:val="en-IE"/>
        </w:rPr>
        <w:t xml:space="preserve"> return in a moment to the relevant terms of the shareholders</w:t>
      </w:r>
      <w:r w:rsidR="00A309E9" w:rsidRPr="00411456">
        <w:rPr>
          <w:color w:val="000000"/>
          <w:lang w:val="en-IE"/>
        </w:rPr>
        <w:t>’</w:t>
      </w:r>
      <w:r w:rsidR="00D32292" w:rsidRPr="00411456">
        <w:rPr>
          <w:color w:val="000000"/>
          <w:lang w:val="en-IE"/>
        </w:rPr>
        <w:t xml:space="preserve"> agreement and the ste</w:t>
      </w:r>
      <w:r w:rsidR="00A309E9" w:rsidRPr="00411456">
        <w:rPr>
          <w:color w:val="000000"/>
          <w:lang w:val="en-IE"/>
        </w:rPr>
        <w:t xml:space="preserve">ps taken by the parties. At this point, it is relevant to note that Mr. John </w:t>
      </w:r>
      <w:proofErr w:type="spellStart"/>
      <w:r w:rsidR="00A309E9" w:rsidRPr="00411456">
        <w:rPr>
          <w:color w:val="000000"/>
          <w:lang w:val="en-IE"/>
        </w:rPr>
        <w:t>O’Regan</w:t>
      </w:r>
      <w:proofErr w:type="spellEnd"/>
      <w:r w:rsidR="00A309E9" w:rsidRPr="00411456">
        <w:rPr>
          <w:color w:val="000000"/>
          <w:lang w:val="en-IE"/>
        </w:rPr>
        <w:t>, a</w:t>
      </w:r>
      <w:r w:rsidR="00D32292" w:rsidRPr="00411456">
        <w:rPr>
          <w:color w:val="000000"/>
          <w:lang w:val="en-IE"/>
        </w:rPr>
        <w:t xml:space="preserve"> director of </w:t>
      </w:r>
      <w:r w:rsidR="00A309E9" w:rsidRPr="00411456">
        <w:rPr>
          <w:color w:val="000000"/>
          <w:lang w:val="en-IE"/>
        </w:rPr>
        <w:t>the applicant and the deponent</w:t>
      </w:r>
      <w:r w:rsidR="00D32292" w:rsidRPr="00411456">
        <w:rPr>
          <w:color w:val="000000"/>
          <w:lang w:val="en-IE"/>
        </w:rPr>
        <w:t xml:space="preserve"> of its</w:t>
      </w:r>
      <w:r w:rsidR="00A309E9" w:rsidRPr="00411456">
        <w:rPr>
          <w:color w:val="000000"/>
          <w:lang w:val="en-IE"/>
        </w:rPr>
        <w:t xml:space="preserve"> affidavits in this application, acquired an</w:t>
      </w:r>
      <w:r w:rsidR="00D32292" w:rsidRPr="00411456">
        <w:rPr>
          <w:color w:val="000000"/>
          <w:lang w:val="en-IE"/>
        </w:rPr>
        <w:t xml:space="preserve"> interest in the applicant </w:t>
      </w:r>
      <w:r w:rsidR="002C3B81">
        <w:rPr>
          <w:color w:val="000000"/>
          <w:lang w:val="en-IE"/>
        </w:rPr>
        <w:t>following</w:t>
      </w:r>
      <w:r w:rsidR="00D32292" w:rsidRPr="00411456">
        <w:rPr>
          <w:color w:val="000000"/>
          <w:lang w:val="en-IE"/>
        </w:rPr>
        <w:t xml:space="preserve"> the conclusion </w:t>
      </w:r>
      <w:r w:rsidR="00A309E9" w:rsidRPr="00411456">
        <w:rPr>
          <w:color w:val="000000"/>
          <w:lang w:val="en-IE"/>
        </w:rPr>
        <w:t>of the examinership (</w:t>
      </w:r>
      <w:r w:rsidR="00D66C10" w:rsidRPr="00411456">
        <w:rPr>
          <w:color w:val="000000"/>
          <w:lang w:val="en-IE"/>
        </w:rPr>
        <w:t>which ended</w:t>
      </w:r>
      <w:r w:rsidR="00D32292" w:rsidRPr="00411456">
        <w:rPr>
          <w:color w:val="000000"/>
          <w:lang w:val="en-IE"/>
        </w:rPr>
        <w:t xml:space="preserve"> on 19</w:t>
      </w:r>
      <w:r w:rsidR="00D66C10" w:rsidRPr="00411456">
        <w:rPr>
          <w:color w:val="000000"/>
          <w:vertAlign w:val="superscript"/>
          <w:lang w:val="en-IE"/>
        </w:rPr>
        <w:t>th</w:t>
      </w:r>
      <w:r w:rsidR="00D66C10" w:rsidRPr="00411456">
        <w:rPr>
          <w:color w:val="000000"/>
          <w:lang w:val="en-IE"/>
        </w:rPr>
        <w:t xml:space="preserve"> </w:t>
      </w:r>
      <w:r w:rsidR="00D32292" w:rsidRPr="00411456">
        <w:rPr>
          <w:color w:val="000000"/>
          <w:lang w:val="en-IE"/>
        </w:rPr>
        <w:t>February 2013</w:t>
      </w:r>
      <w:r w:rsidR="00D66C10" w:rsidRPr="00411456">
        <w:rPr>
          <w:color w:val="000000"/>
          <w:lang w:val="en-IE"/>
        </w:rPr>
        <w:t xml:space="preserve">). Mr. </w:t>
      </w:r>
      <w:proofErr w:type="spellStart"/>
      <w:r w:rsidR="00D66C10" w:rsidRPr="00411456">
        <w:rPr>
          <w:color w:val="000000"/>
          <w:lang w:val="en-IE"/>
        </w:rPr>
        <w:t>O’Regan</w:t>
      </w:r>
      <w:proofErr w:type="spellEnd"/>
      <w:r w:rsidR="00D66C10" w:rsidRPr="00411456">
        <w:rPr>
          <w:color w:val="000000"/>
          <w:lang w:val="en-IE"/>
        </w:rPr>
        <w:t xml:space="preserve"> avers that </w:t>
      </w:r>
      <w:r w:rsidR="00D66C10" w:rsidRPr="00411456">
        <w:rPr>
          <w:i/>
          <w:color w:val="000000"/>
          <w:lang w:val="en-IE"/>
        </w:rPr>
        <w:t>“that as</w:t>
      </w:r>
      <w:r w:rsidR="00D32292" w:rsidRPr="00411456">
        <w:rPr>
          <w:i/>
          <w:color w:val="000000"/>
          <w:lang w:val="en-IE"/>
        </w:rPr>
        <w:t>set</w:t>
      </w:r>
      <w:r w:rsidR="00D66C10" w:rsidRPr="00411456">
        <w:rPr>
          <w:i/>
          <w:color w:val="000000"/>
          <w:lang w:val="en-IE"/>
        </w:rPr>
        <w:t>”</w:t>
      </w:r>
      <w:r w:rsidR="00D66C10" w:rsidRPr="00411456">
        <w:rPr>
          <w:color w:val="000000"/>
          <w:lang w:val="en-IE"/>
        </w:rPr>
        <w:t xml:space="preserve"> – which I ha</w:t>
      </w:r>
      <w:r w:rsidR="00D32292" w:rsidRPr="00411456">
        <w:rPr>
          <w:color w:val="000000"/>
          <w:lang w:val="en-IE"/>
        </w:rPr>
        <w:t xml:space="preserve">ve taken to mean the </w:t>
      </w:r>
      <w:r w:rsidR="007A753C" w:rsidRPr="00411456">
        <w:rPr>
          <w:color w:val="000000"/>
          <w:lang w:val="en-IE"/>
        </w:rPr>
        <w:t>applicant</w:t>
      </w:r>
      <w:r w:rsidR="008B24D9">
        <w:rPr>
          <w:color w:val="000000"/>
          <w:lang w:val="en-IE"/>
        </w:rPr>
        <w:t>’s</w:t>
      </w:r>
      <w:r w:rsidR="007A753C" w:rsidRPr="00411456">
        <w:rPr>
          <w:color w:val="000000"/>
          <w:lang w:val="en-IE"/>
        </w:rPr>
        <w:t xml:space="preserve"> shares in the company</w:t>
      </w:r>
      <w:r w:rsidR="00D32292" w:rsidRPr="00411456">
        <w:rPr>
          <w:color w:val="000000"/>
          <w:lang w:val="en-IE"/>
        </w:rPr>
        <w:t xml:space="preserve"> which</w:t>
      </w:r>
      <w:r w:rsidR="007A753C" w:rsidRPr="00411456">
        <w:rPr>
          <w:color w:val="000000"/>
          <w:lang w:val="en-IE"/>
        </w:rPr>
        <w:t>,</w:t>
      </w:r>
      <w:r w:rsidR="00D32292" w:rsidRPr="00411456">
        <w:rPr>
          <w:color w:val="000000"/>
          <w:lang w:val="en-IE"/>
        </w:rPr>
        <w:t xml:space="preserve"> in turn</w:t>
      </w:r>
      <w:r w:rsidR="007A753C" w:rsidRPr="00411456">
        <w:rPr>
          <w:color w:val="000000"/>
          <w:lang w:val="en-IE"/>
        </w:rPr>
        <w:t xml:space="preserve">, owned the property </w:t>
      </w:r>
      <w:r w:rsidR="004618E0">
        <w:rPr>
          <w:color w:val="000000"/>
          <w:lang w:val="en-IE"/>
        </w:rPr>
        <w:t>at</w:t>
      </w:r>
      <w:r w:rsidR="007A753C" w:rsidRPr="00411456">
        <w:rPr>
          <w:color w:val="000000"/>
          <w:lang w:val="en-IE"/>
        </w:rPr>
        <w:t xml:space="preserve"> Waterford Port – </w:t>
      </w:r>
      <w:r w:rsidR="00D32292" w:rsidRPr="00411456">
        <w:rPr>
          <w:color w:val="000000"/>
          <w:lang w:val="en-IE"/>
        </w:rPr>
        <w:t>formed part of the reason for his investment in the appli</w:t>
      </w:r>
      <w:r w:rsidR="007A753C" w:rsidRPr="00411456">
        <w:rPr>
          <w:color w:val="000000"/>
          <w:lang w:val="en-IE"/>
        </w:rPr>
        <w:t xml:space="preserve">cant. </w:t>
      </w:r>
      <w:r w:rsidR="002C3B81" w:rsidRPr="00411456">
        <w:rPr>
          <w:color w:val="000000"/>
          <w:lang w:val="en-IE"/>
        </w:rPr>
        <w:t xml:space="preserve">The court has no information as to when the former principal of the applicant divested himself of his shareholding in the applicant or ceased to be a director of the applicant. </w:t>
      </w:r>
      <w:r w:rsidR="007A753C" w:rsidRPr="00411456">
        <w:rPr>
          <w:color w:val="000000"/>
          <w:lang w:val="en-IE"/>
        </w:rPr>
        <w:t>The respondents complain</w:t>
      </w:r>
      <w:r w:rsidR="00D32292" w:rsidRPr="00411456">
        <w:rPr>
          <w:color w:val="000000"/>
          <w:lang w:val="en-IE"/>
        </w:rPr>
        <w:t xml:space="preserve"> that the applicant has not put</w:t>
      </w:r>
      <w:r w:rsidR="007A753C" w:rsidRPr="00411456">
        <w:rPr>
          <w:color w:val="000000"/>
          <w:lang w:val="en-IE"/>
        </w:rPr>
        <w:t xml:space="preserve"> any material from the examiner</w:t>
      </w:r>
      <w:r w:rsidR="00D32292" w:rsidRPr="00411456">
        <w:rPr>
          <w:color w:val="000000"/>
          <w:lang w:val="en-IE"/>
        </w:rPr>
        <w:t>ship before the court and</w:t>
      </w:r>
      <w:r w:rsidR="007A753C" w:rsidRPr="00411456">
        <w:rPr>
          <w:color w:val="000000"/>
          <w:lang w:val="en-IE"/>
        </w:rPr>
        <w:t>,</w:t>
      </w:r>
      <w:r w:rsidR="00D32292" w:rsidRPr="00411456">
        <w:rPr>
          <w:color w:val="000000"/>
          <w:lang w:val="en-IE"/>
        </w:rPr>
        <w:t xml:space="preserve"> consequently</w:t>
      </w:r>
      <w:r w:rsidR="007A753C" w:rsidRPr="00411456">
        <w:rPr>
          <w:color w:val="000000"/>
          <w:lang w:val="en-IE"/>
        </w:rPr>
        <w:t>,</w:t>
      </w:r>
      <w:r w:rsidR="00D32292" w:rsidRPr="00411456">
        <w:rPr>
          <w:color w:val="000000"/>
          <w:lang w:val="en-IE"/>
        </w:rPr>
        <w:t xml:space="preserve"> that the court cannot draw any conclusions as </w:t>
      </w:r>
      <w:r w:rsidR="007A753C" w:rsidRPr="00411456">
        <w:rPr>
          <w:color w:val="000000"/>
          <w:lang w:val="en-IE"/>
        </w:rPr>
        <w:t xml:space="preserve">to the outcome of the examinership including </w:t>
      </w:r>
      <w:r w:rsidR="004618E0">
        <w:rPr>
          <w:color w:val="000000"/>
          <w:lang w:val="en-IE"/>
        </w:rPr>
        <w:t xml:space="preserve">as to </w:t>
      </w:r>
      <w:r w:rsidR="007A753C" w:rsidRPr="00411456">
        <w:rPr>
          <w:color w:val="000000"/>
          <w:lang w:val="en-IE"/>
        </w:rPr>
        <w:t xml:space="preserve">Mr. </w:t>
      </w:r>
      <w:proofErr w:type="spellStart"/>
      <w:r w:rsidR="007A753C" w:rsidRPr="00411456">
        <w:rPr>
          <w:color w:val="000000"/>
          <w:lang w:val="en-IE"/>
        </w:rPr>
        <w:t>O’Regan’s</w:t>
      </w:r>
      <w:proofErr w:type="spellEnd"/>
      <w:r w:rsidR="007A753C" w:rsidRPr="00411456">
        <w:rPr>
          <w:color w:val="000000"/>
          <w:lang w:val="en-IE"/>
        </w:rPr>
        <w:t xml:space="preserve"> i</w:t>
      </w:r>
      <w:r w:rsidR="00D32292" w:rsidRPr="00411456">
        <w:rPr>
          <w:color w:val="000000"/>
          <w:lang w:val="en-IE"/>
        </w:rPr>
        <w:t>nvestment i</w:t>
      </w:r>
      <w:r w:rsidR="007A753C" w:rsidRPr="00411456">
        <w:rPr>
          <w:color w:val="000000"/>
          <w:lang w:val="en-IE"/>
        </w:rPr>
        <w:t>n the applicant</w:t>
      </w:r>
      <w:r w:rsidR="008A391E">
        <w:rPr>
          <w:color w:val="000000"/>
          <w:lang w:val="en-IE"/>
        </w:rPr>
        <w:t>.</w:t>
      </w:r>
    </w:p>
    <w:p w14:paraId="75D75888" w14:textId="616C5B08" w:rsidR="008A391E" w:rsidRDefault="008A391E" w:rsidP="008A391E">
      <w:pPr>
        <w:pStyle w:val="NormalWeb"/>
        <w:spacing w:before="0" w:beforeAutospacing="0" w:after="0" w:afterAutospacing="0" w:line="480" w:lineRule="auto"/>
        <w:jc w:val="both"/>
        <w:rPr>
          <w:color w:val="000000"/>
          <w:lang w:val="en-IE"/>
        </w:rPr>
      </w:pPr>
    </w:p>
    <w:p w14:paraId="14ED250A" w14:textId="68B2B005" w:rsidR="008A391E" w:rsidRDefault="008A391E" w:rsidP="008A391E">
      <w:pPr>
        <w:pStyle w:val="NormalWeb"/>
        <w:spacing w:before="0" w:beforeAutospacing="0" w:after="0" w:afterAutospacing="0" w:line="480" w:lineRule="auto"/>
        <w:jc w:val="both"/>
        <w:rPr>
          <w:color w:val="000000"/>
          <w:lang w:val="en-IE"/>
        </w:rPr>
      </w:pPr>
    </w:p>
    <w:p w14:paraId="2A17A348" w14:textId="77777777" w:rsidR="008A391E" w:rsidRPr="008A391E" w:rsidRDefault="008A391E" w:rsidP="008A391E">
      <w:pPr>
        <w:pStyle w:val="NormalWeb"/>
        <w:spacing w:before="0" w:beforeAutospacing="0" w:after="0" w:afterAutospacing="0" w:line="480" w:lineRule="auto"/>
        <w:jc w:val="both"/>
        <w:rPr>
          <w:color w:val="000000"/>
          <w:lang w:val="en-IE"/>
        </w:rPr>
      </w:pPr>
    </w:p>
    <w:p w14:paraId="78AA1A6D" w14:textId="3F7F8220" w:rsidR="007A753C" w:rsidRPr="00411456" w:rsidRDefault="007A753C" w:rsidP="004A0604">
      <w:pPr>
        <w:pStyle w:val="NormalWeb"/>
        <w:spacing w:before="0" w:beforeAutospacing="0" w:after="0" w:afterAutospacing="0" w:line="480" w:lineRule="auto"/>
        <w:jc w:val="both"/>
        <w:rPr>
          <w:b/>
          <w:color w:val="000000"/>
          <w:u w:val="single"/>
          <w:lang w:val="en-IE"/>
        </w:rPr>
      </w:pPr>
      <w:r w:rsidRPr="00411456">
        <w:rPr>
          <w:b/>
          <w:color w:val="000000"/>
          <w:u w:val="single"/>
          <w:lang w:val="en-IE"/>
        </w:rPr>
        <w:lastRenderedPageBreak/>
        <w:t>T</w:t>
      </w:r>
      <w:r w:rsidR="00D32292" w:rsidRPr="00411456">
        <w:rPr>
          <w:b/>
          <w:color w:val="000000"/>
          <w:u w:val="single"/>
          <w:lang w:val="en-IE"/>
        </w:rPr>
        <w:t xml:space="preserve">he </w:t>
      </w:r>
      <w:r w:rsidR="00ED30EB">
        <w:rPr>
          <w:b/>
          <w:color w:val="000000"/>
          <w:u w:val="single"/>
          <w:lang w:val="en-IE"/>
        </w:rPr>
        <w:t>S</w:t>
      </w:r>
      <w:r w:rsidR="00D32292" w:rsidRPr="00411456">
        <w:rPr>
          <w:b/>
          <w:color w:val="000000"/>
          <w:u w:val="single"/>
          <w:lang w:val="en-IE"/>
        </w:rPr>
        <w:t>hareholders</w:t>
      </w:r>
      <w:r w:rsidRPr="00411456">
        <w:rPr>
          <w:b/>
          <w:color w:val="000000"/>
          <w:u w:val="single"/>
          <w:lang w:val="en-IE"/>
        </w:rPr>
        <w:t>’</w:t>
      </w:r>
      <w:r w:rsidR="00D32292" w:rsidRPr="00411456">
        <w:rPr>
          <w:b/>
          <w:color w:val="000000"/>
          <w:u w:val="single"/>
          <w:lang w:val="en-IE"/>
        </w:rPr>
        <w:t xml:space="preserve"> </w:t>
      </w:r>
      <w:r w:rsidR="00ED30EB">
        <w:rPr>
          <w:b/>
          <w:color w:val="000000"/>
          <w:u w:val="single"/>
          <w:lang w:val="en-IE"/>
        </w:rPr>
        <w:t>A</w:t>
      </w:r>
      <w:r w:rsidR="00D32292" w:rsidRPr="00411456">
        <w:rPr>
          <w:b/>
          <w:color w:val="000000"/>
          <w:u w:val="single"/>
          <w:lang w:val="en-IE"/>
        </w:rPr>
        <w:t>gre</w:t>
      </w:r>
      <w:r w:rsidRPr="00411456">
        <w:rPr>
          <w:b/>
          <w:color w:val="000000"/>
          <w:u w:val="single"/>
          <w:lang w:val="en-IE"/>
        </w:rPr>
        <w:t>ement</w:t>
      </w:r>
    </w:p>
    <w:p w14:paraId="30C4C6D4" w14:textId="6D62FE92" w:rsidR="001E1839" w:rsidRPr="00411456" w:rsidRDefault="007A753C"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D32292" w:rsidRPr="00411456">
        <w:rPr>
          <w:color w:val="000000"/>
          <w:lang w:val="en-IE"/>
        </w:rPr>
        <w:t>he terms of the shareholders</w:t>
      </w:r>
      <w:r w:rsidRPr="00411456">
        <w:rPr>
          <w:color w:val="000000"/>
          <w:lang w:val="en-IE"/>
        </w:rPr>
        <w:t>’</w:t>
      </w:r>
      <w:r w:rsidR="00D32292" w:rsidRPr="00411456">
        <w:rPr>
          <w:color w:val="000000"/>
          <w:lang w:val="en-IE"/>
        </w:rPr>
        <w:t xml:space="preserve"> agreement </w:t>
      </w:r>
      <w:proofErr w:type="gramStart"/>
      <w:r w:rsidR="00D32292" w:rsidRPr="00411456">
        <w:rPr>
          <w:color w:val="000000"/>
          <w:lang w:val="en-IE"/>
        </w:rPr>
        <w:t>entered into</w:t>
      </w:r>
      <w:proofErr w:type="gramEnd"/>
      <w:r w:rsidR="00D32292" w:rsidRPr="00411456">
        <w:rPr>
          <w:color w:val="000000"/>
          <w:lang w:val="en-IE"/>
        </w:rPr>
        <w:t xml:space="preserve"> between the applican</w:t>
      </w:r>
      <w:r w:rsidRPr="00411456">
        <w:rPr>
          <w:color w:val="000000"/>
          <w:lang w:val="en-IE"/>
        </w:rPr>
        <w:t xml:space="preserve">t and Amber are significant. This </w:t>
      </w:r>
      <w:r w:rsidR="00D32292" w:rsidRPr="00411456">
        <w:rPr>
          <w:color w:val="000000"/>
          <w:lang w:val="en-IE"/>
        </w:rPr>
        <w:t xml:space="preserve">agreement was intended to govern the relationship between the shareholders </w:t>
      </w:r>
      <w:r w:rsidRPr="00411456">
        <w:rPr>
          <w:color w:val="000000"/>
          <w:lang w:val="en-IE"/>
        </w:rPr>
        <w:t>in circumstances where b</w:t>
      </w:r>
      <w:r w:rsidR="00D32292" w:rsidRPr="00411456">
        <w:rPr>
          <w:color w:val="000000"/>
          <w:lang w:val="en-IE"/>
        </w:rPr>
        <w:t>oth would be required to make significant and continuing investment in the company before the purpose of the joint venture could be achieved</w:t>
      </w:r>
      <w:r w:rsidRPr="00411456">
        <w:rPr>
          <w:color w:val="000000"/>
          <w:lang w:val="en-IE"/>
        </w:rPr>
        <w:t>. The object of the company is described at clause 3</w:t>
      </w:r>
      <w:r w:rsidR="001E1839" w:rsidRPr="00411456">
        <w:rPr>
          <w:color w:val="000000"/>
          <w:lang w:val="en-IE"/>
        </w:rPr>
        <w:t xml:space="preserve"> of the agreement </w:t>
      </w:r>
      <w:r w:rsidRPr="00411456">
        <w:rPr>
          <w:color w:val="000000"/>
          <w:lang w:val="en-IE"/>
        </w:rPr>
        <w:t>as being</w:t>
      </w:r>
      <w:r w:rsidR="00D32292" w:rsidRPr="00411456">
        <w:rPr>
          <w:color w:val="000000"/>
          <w:lang w:val="en-IE"/>
        </w:rPr>
        <w:t xml:space="preserve"> the develo</w:t>
      </w:r>
      <w:r w:rsidR="001E1839" w:rsidRPr="00411456">
        <w:rPr>
          <w:color w:val="000000"/>
          <w:lang w:val="en-IE"/>
        </w:rPr>
        <w:t>pment of an oil terminal/</w:t>
      </w:r>
      <w:r w:rsidR="00332B52">
        <w:rPr>
          <w:color w:val="000000"/>
          <w:lang w:val="en-IE"/>
        </w:rPr>
        <w:t xml:space="preserve"> </w:t>
      </w:r>
      <w:r w:rsidR="00D32292" w:rsidRPr="00411456">
        <w:rPr>
          <w:color w:val="000000"/>
          <w:lang w:val="en-IE"/>
        </w:rPr>
        <w:t>depo</w:t>
      </w:r>
      <w:r w:rsidR="001E1839" w:rsidRPr="00411456">
        <w:rPr>
          <w:color w:val="000000"/>
          <w:lang w:val="en-IE"/>
        </w:rPr>
        <w:t>t</w:t>
      </w:r>
      <w:r w:rsidR="00D32292" w:rsidRPr="00411456">
        <w:rPr>
          <w:color w:val="000000"/>
          <w:lang w:val="en-IE"/>
        </w:rPr>
        <w:t xml:space="preserve"> for the transport of oil through the port of Waterford. Under c</w:t>
      </w:r>
      <w:r w:rsidR="001E1839" w:rsidRPr="00411456">
        <w:rPr>
          <w:color w:val="000000"/>
          <w:lang w:val="en-IE"/>
        </w:rPr>
        <w:t>lause 8,</w:t>
      </w:r>
      <w:r w:rsidR="00D32292" w:rsidRPr="00411456">
        <w:rPr>
          <w:color w:val="000000"/>
          <w:lang w:val="en-IE"/>
        </w:rPr>
        <w:t xml:space="preserve"> the applicant agreed to provide security for the purchase of the site equivalent in value to th</w:t>
      </w:r>
      <w:r w:rsidR="001E1839" w:rsidRPr="00411456">
        <w:rPr>
          <w:color w:val="000000"/>
          <w:lang w:val="en-IE"/>
        </w:rPr>
        <w:t>e security already provided by A</w:t>
      </w:r>
      <w:r w:rsidR="00D32292" w:rsidRPr="00411456">
        <w:rPr>
          <w:color w:val="000000"/>
          <w:lang w:val="en-IE"/>
        </w:rPr>
        <w:t>mber in default of which the applicant</w:t>
      </w:r>
      <w:r w:rsidR="001E1839" w:rsidRPr="00411456">
        <w:rPr>
          <w:color w:val="000000"/>
          <w:lang w:val="en-IE"/>
        </w:rPr>
        <w:t>’s shares would</w:t>
      </w:r>
      <w:r w:rsidR="00D32292" w:rsidRPr="00411456">
        <w:rPr>
          <w:color w:val="000000"/>
          <w:lang w:val="en-IE"/>
        </w:rPr>
        <w:t xml:space="preserve"> be converted from ordinary shares to redeemable pr</w:t>
      </w:r>
      <w:r w:rsidR="001E1839" w:rsidRPr="00411456">
        <w:rPr>
          <w:color w:val="000000"/>
          <w:lang w:val="en-IE"/>
        </w:rPr>
        <w:t>eference shares without</w:t>
      </w:r>
      <w:r w:rsidR="00E861BC">
        <w:rPr>
          <w:color w:val="000000"/>
          <w:lang w:val="en-IE"/>
        </w:rPr>
        <w:t xml:space="preserve"> attendant</w:t>
      </w:r>
      <w:r w:rsidR="001E1839" w:rsidRPr="00411456">
        <w:rPr>
          <w:color w:val="000000"/>
          <w:lang w:val="en-IE"/>
        </w:rPr>
        <w:t xml:space="preserve"> </w:t>
      </w:r>
      <w:r w:rsidR="00D32292" w:rsidRPr="00411456">
        <w:rPr>
          <w:color w:val="000000"/>
          <w:lang w:val="en-IE"/>
        </w:rPr>
        <w:t>v</w:t>
      </w:r>
      <w:r w:rsidR="001E1839" w:rsidRPr="00411456">
        <w:rPr>
          <w:color w:val="000000"/>
          <w:lang w:val="en-IE"/>
        </w:rPr>
        <w:t>oting rights. The shareholders we</w:t>
      </w:r>
      <w:r w:rsidR="00D32292" w:rsidRPr="00411456">
        <w:rPr>
          <w:color w:val="000000"/>
          <w:lang w:val="en-IE"/>
        </w:rPr>
        <w:t xml:space="preserve">re </w:t>
      </w:r>
      <w:r w:rsidR="004618E0">
        <w:rPr>
          <w:color w:val="000000"/>
          <w:lang w:val="en-IE"/>
        </w:rPr>
        <w:t xml:space="preserve">thereafter </w:t>
      </w:r>
      <w:r w:rsidR="00D32292" w:rsidRPr="00411456">
        <w:rPr>
          <w:color w:val="000000"/>
          <w:lang w:val="en-IE"/>
        </w:rPr>
        <w:t>entitled but not obliged to provide funding to the company. At the time of</w:t>
      </w:r>
      <w:r w:rsidR="001E1839" w:rsidRPr="00411456">
        <w:rPr>
          <w:color w:val="000000"/>
          <w:lang w:val="en-IE"/>
        </w:rPr>
        <w:t xml:space="preserve"> the agreement</w:t>
      </w:r>
      <w:r w:rsidR="00E861BC">
        <w:rPr>
          <w:color w:val="000000"/>
          <w:lang w:val="en-IE"/>
        </w:rPr>
        <w:t>,</w:t>
      </w:r>
      <w:r w:rsidR="001E1839" w:rsidRPr="00411456">
        <w:rPr>
          <w:color w:val="000000"/>
          <w:lang w:val="en-IE"/>
        </w:rPr>
        <w:t xml:space="preserve"> under clause 5</w:t>
      </w:r>
      <w:r w:rsidR="00D32292" w:rsidRPr="00411456">
        <w:rPr>
          <w:color w:val="000000"/>
          <w:lang w:val="en-IE"/>
        </w:rPr>
        <w:t xml:space="preserve"> the directors were identif</w:t>
      </w:r>
      <w:r w:rsidR="001E1839" w:rsidRPr="00411456">
        <w:rPr>
          <w:color w:val="000000"/>
          <w:lang w:val="en-IE"/>
        </w:rPr>
        <w:t>ied as being Mr. Fitzgerald of A</w:t>
      </w:r>
      <w:r w:rsidR="00D32292" w:rsidRPr="00411456">
        <w:rPr>
          <w:color w:val="000000"/>
          <w:lang w:val="en-IE"/>
        </w:rPr>
        <w:t>mber and the</w:t>
      </w:r>
      <w:r w:rsidR="001E1839" w:rsidRPr="00411456">
        <w:rPr>
          <w:color w:val="000000"/>
          <w:lang w:val="en-IE"/>
        </w:rPr>
        <w:t xml:space="preserve"> the</w:t>
      </w:r>
      <w:r w:rsidR="00D32292" w:rsidRPr="00411456">
        <w:rPr>
          <w:color w:val="000000"/>
          <w:lang w:val="en-IE"/>
        </w:rPr>
        <w:t>n</w:t>
      </w:r>
      <w:r w:rsidR="00E861BC">
        <w:rPr>
          <w:color w:val="000000"/>
          <w:lang w:val="en-IE"/>
        </w:rPr>
        <w:t>-</w:t>
      </w:r>
      <w:r w:rsidR="001E1839" w:rsidRPr="00411456">
        <w:rPr>
          <w:color w:val="000000"/>
          <w:lang w:val="en-IE"/>
        </w:rPr>
        <w:t>principal of the applicant</w:t>
      </w:r>
      <w:r w:rsidR="00D32292" w:rsidRPr="00411456">
        <w:rPr>
          <w:color w:val="000000"/>
          <w:lang w:val="en-IE"/>
        </w:rPr>
        <w:t>, Mr. Th</w:t>
      </w:r>
      <w:r w:rsidR="001E1839" w:rsidRPr="00411456">
        <w:rPr>
          <w:color w:val="000000"/>
          <w:lang w:val="en-IE"/>
        </w:rPr>
        <w:t>omas Tougher.</w:t>
      </w:r>
      <w:r w:rsidR="00D32292" w:rsidRPr="00411456">
        <w:rPr>
          <w:color w:val="000000"/>
          <w:lang w:val="en-IE"/>
        </w:rPr>
        <w:t xml:space="preserve"> </w:t>
      </w:r>
    </w:p>
    <w:p w14:paraId="080C76FB" w14:textId="19AFCE3C" w:rsidR="00627196" w:rsidRPr="00411456" w:rsidRDefault="00D32292"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One of the difficulties with the shareholders</w:t>
      </w:r>
      <w:r w:rsidR="001E1839" w:rsidRPr="00411456">
        <w:rPr>
          <w:color w:val="000000"/>
          <w:lang w:val="en-IE"/>
        </w:rPr>
        <w:t>’</w:t>
      </w:r>
      <w:r w:rsidRPr="00411456">
        <w:rPr>
          <w:color w:val="000000"/>
          <w:lang w:val="en-IE"/>
        </w:rPr>
        <w:t xml:space="preserve"> agreement is that it is very badly drafted such that the intended meaning of some of its clauses</w:t>
      </w:r>
      <w:r w:rsidR="001E1839" w:rsidRPr="00411456">
        <w:rPr>
          <w:color w:val="000000"/>
          <w:lang w:val="en-IE"/>
        </w:rPr>
        <w:t xml:space="preserve"> is </w:t>
      </w:r>
      <w:r w:rsidR="004618E0">
        <w:rPr>
          <w:color w:val="000000"/>
          <w:lang w:val="en-IE"/>
        </w:rPr>
        <w:t>not just ambiguous but impossible to discern</w:t>
      </w:r>
      <w:r w:rsidR="001E1839" w:rsidRPr="00411456">
        <w:rPr>
          <w:color w:val="000000"/>
          <w:lang w:val="en-IE"/>
        </w:rPr>
        <w:t>. Apart from clause 11</w:t>
      </w:r>
      <w:r w:rsidRPr="00411456">
        <w:rPr>
          <w:color w:val="000000"/>
          <w:lang w:val="en-IE"/>
        </w:rPr>
        <w:t xml:space="preserve"> which is </w:t>
      </w:r>
      <w:r w:rsidR="001E1839" w:rsidRPr="00411456">
        <w:rPr>
          <w:color w:val="000000"/>
          <w:lang w:val="en-IE"/>
        </w:rPr>
        <w:t>central to this application, t</w:t>
      </w:r>
      <w:r w:rsidRPr="00411456">
        <w:rPr>
          <w:color w:val="000000"/>
          <w:lang w:val="en-IE"/>
        </w:rPr>
        <w:t>his</w:t>
      </w:r>
      <w:r w:rsidR="001E1839" w:rsidRPr="00411456">
        <w:rPr>
          <w:color w:val="000000"/>
          <w:lang w:val="en-IE"/>
        </w:rPr>
        <w:t xml:space="preserve"> is unfortunately also the case as</w:t>
      </w:r>
      <w:r w:rsidRPr="00411456">
        <w:rPr>
          <w:color w:val="000000"/>
          <w:lang w:val="en-IE"/>
        </w:rPr>
        <w:t xml:space="preserve"> </w:t>
      </w:r>
      <w:r w:rsidR="001E1839" w:rsidRPr="00411456">
        <w:rPr>
          <w:color w:val="000000"/>
          <w:lang w:val="en-IE"/>
        </w:rPr>
        <w:t xml:space="preserve">regards clause 7 </w:t>
      </w:r>
      <w:r w:rsidRPr="00411456">
        <w:rPr>
          <w:color w:val="000000"/>
          <w:lang w:val="en-IE"/>
        </w:rPr>
        <w:t xml:space="preserve">on which the applicant relies to complain about the more recent transfer </w:t>
      </w:r>
      <w:r w:rsidR="001E1839" w:rsidRPr="00411456">
        <w:rPr>
          <w:color w:val="000000"/>
          <w:lang w:val="en-IE"/>
        </w:rPr>
        <w:t>of shares from Amber to Otto. It appears that clause 7</w:t>
      </w:r>
      <w:r w:rsidRPr="00411456">
        <w:rPr>
          <w:color w:val="000000"/>
          <w:lang w:val="en-IE"/>
        </w:rPr>
        <w:t xml:space="preserve"> is intended to designate certain trans</w:t>
      </w:r>
      <w:r w:rsidR="001E1839" w:rsidRPr="00411456">
        <w:rPr>
          <w:color w:val="000000"/>
          <w:lang w:val="en-IE"/>
        </w:rPr>
        <w:t xml:space="preserve">actions as </w:t>
      </w:r>
      <w:r w:rsidR="001E1839" w:rsidRPr="00411456">
        <w:rPr>
          <w:i/>
          <w:color w:val="000000"/>
          <w:lang w:val="en-IE"/>
        </w:rPr>
        <w:t>“</w:t>
      </w:r>
      <w:r w:rsidRPr="00411456">
        <w:rPr>
          <w:i/>
          <w:color w:val="000000"/>
          <w:lang w:val="en-IE"/>
        </w:rPr>
        <w:t>restricted transactions</w:t>
      </w:r>
      <w:r w:rsidR="001E1839" w:rsidRPr="00411456">
        <w:rPr>
          <w:i/>
          <w:color w:val="000000"/>
          <w:lang w:val="en-IE"/>
        </w:rPr>
        <w:t>”</w:t>
      </w:r>
      <w:r w:rsidRPr="00411456">
        <w:rPr>
          <w:color w:val="000000"/>
          <w:lang w:val="en-IE"/>
        </w:rPr>
        <w:t xml:space="preserve"> and</w:t>
      </w:r>
      <w:r w:rsidR="001E1839" w:rsidRPr="00411456">
        <w:rPr>
          <w:color w:val="000000"/>
          <w:lang w:val="en-IE"/>
        </w:rPr>
        <w:t xml:space="preserve"> to</w:t>
      </w:r>
      <w:r w:rsidRPr="00411456">
        <w:rPr>
          <w:color w:val="000000"/>
          <w:lang w:val="en-IE"/>
        </w:rPr>
        <w:t xml:space="preserve"> make those transactions subject to certain limitations or additional procedural requirements. </w:t>
      </w:r>
      <w:r w:rsidR="001E1839" w:rsidRPr="00411456">
        <w:rPr>
          <w:color w:val="000000"/>
          <w:lang w:val="en-IE"/>
        </w:rPr>
        <w:t>However,</w:t>
      </w:r>
      <w:r w:rsidRPr="00411456">
        <w:rPr>
          <w:color w:val="000000"/>
          <w:lang w:val="en-IE"/>
        </w:rPr>
        <w:t xml:space="preserve"> the introductory part of the clause makes little linguistic sens</w:t>
      </w:r>
      <w:r w:rsidR="00627196" w:rsidRPr="00411456">
        <w:rPr>
          <w:color w:val="000000"/>
          <w:lang w:val="en-IE"/>
        </w:rPr>
        <w:t>e</w:t>
      </w:r>
      <w:r w:rsidRPr="00411456">
        <w:rPr>
          <w:color w:val="000000"/>
          <w:lang w:val="en-IE"/>
        </w:rPr>
        <w:t>.</w:t>
      </w:r>
      <w:r w:rsidR="00627196" w:rsidRPr="00411456">
        <w:rPr>
          <w:color w:val="000000"/>
          <w:lang w:val="en-IE"/>
        </w:rPr>
        <w:t xml:space="preserve"> It reads as if a number of sub</w:t>
      </w:r>
      <w:r w:rsidRPr="00411456">
        <w:rPr>
          <w:color w:val="000000"/>
          <w:lang w:val="en-IE"/>
        </w:rPr>
        <w:t>clauses were inadvertent</w:t>
      </w:r>
      <w:r w:rsidR="00627196" w:rsidRPr="00411456">
        <w:rPr>
          <w:color w:val="000000"/>
          <w:lang w:val="en-IE"/>
        </w:rPr>
        <w:t xml:space="preserve">ly </w:t>
      </w:r>
      <w:proofErr w:type="gramStart"/>
      <w:r w:rsidR="00627196" w:rsidRPr="00411456">
        <w:rPr>
          <w:color w:val="000000"/>
          <w:lang w:val="en-IE"/>
        </w:rPr>
        <w:t>omitted</w:t>
      </w:r>
      <w:proofErr w:type="gramEnd"/>
      <w:r w:rsidR="00627196" w:rsidRPr="00411456">
        <w:rPr>
          <w:color w:val="000000"/>
          <w:lang w:val="en-IE"/>
        </w:rPr>
        <w:t xml:space="preserve"> and nobody proof</w:t>
      </w:r>
      <w:r w:rsidR="00E861BC">
        <w:rPr>
          <w:color w:val="000000"/>
          <w:lang w:val="en-IE"/>
        </w:rPr>
        <w:t>-</w:t>
      </w:r>
      <w:r w:rsidR="00627196" w:rsidRPr="00411456">
        <w:rPr>
          <w:color w:val="000000"/>
          <w:lang w:val="en-IE"/>
        </w:rPr>
        <w:t xml:space="preserve">read </w:t>
      </w:r>
      <w:r w:rsidRPr="00411456">
        <w:rPr>
          <w:color w:val="000000"/>
          <w:lang w:val="en-IE"/>
        </w:rPr>
        <w:t xml:space="preserve">the document </w:t>
      </w:r>
      <w:r w:rsidR="00E861BC">
        <w:rPr>
          <w:color w:val="000000"/>
          <w:lang w:val="en-IE"/>
        </w:rPr>
        <w:t xml:space="preserve">- </w:t>
      </w:r>
      <w:r w:rsidRPr="00411456">
        <w:rPr>
          <w:color w:val="000000"/>
          <w:lang w:val="en-IE"/>
        </w:rPr>
        <w:t>or even rea</w:t>
      </w:r>
      <w:r w:rsidR="00627196" w:rsidRPr="00411456">
        <w:rPr>
          <w:color w:val="000000"/>
          <w:lang w:val="en-IE"/>
        </w:rPr>
        <w:t>d the document</w:t>
      </w:r>
      <w:r w:rsidR="00E861BC">
        <w:rPr>
          <w:color w:val="000000"/>
          <w:lang w:val="en-IE"/>
        </w:rPr>
        <w:t xml:space="preserve"> -</w:t>
      </w:r>
      <w:r w:rsidR="00627196" w:rsidRPr="00411456">
        <w:rPr>
          <w:color w:val="000000"/>
          <w:lang w:val="en-IE"/>
        </w:rPr>
        <w:t xml:space="preserve"> before signing it</w:t>
      </w:r>
      <w:r w:rsidRPr="00411456">
        <w:rPr>
          <w:color w:val="000000"/>
          <w:lang w:val="en-IE"/>
        </w:rPr>
        <w:t>. The applicant says that clause 7.5 precluded Amber from parting with the material part of its unde</w:t>
      </w:r>
      <w:r w:rsidR="00627196" w:rsidRPr="00411456">
        <w:rPr>
          <w:color w:val="000000"/>
          <w:lang w:val="en-IE"/>
        </w:rPr>
        <w:t>rtaking,</w:t>
      </w:r>
      <w:r w:rsidRPr="00411456">
        <w:rPr>
          <w:color w:val="000000"/>
          <w:lang w:val="en-IE"/>
        </w:rPr>
        <w:t xml:space="preserve"> </w:t>
      </w:r>
      <w:proofErr w:type="gramStart"/>
      <w:r w:rsidRPr="00411456">
        <w:rPr>
          <w:color w:val="000000"/>
          <w:lang w:val="en-IE"/>
        </w:rPr>
        <w:t>property</w:t>
      </w:r>
      <w:proofErr w:type="gramEnd"/>
      <w:r w:rsidRPr="00411456">
        <w:rPr>
          <w:color w:val="000000"/>
          <w:lang w:val="en-IE"/>
        </w:rPr>
        <w:t xml:space="preserve"> or assets other than in the ordinary course of business without the prior consent of both </w:t>
      </w:r>
      <w:r w:rsidR="00627196" w:rsidRPr="00411456">
        <w:rPr>
          <w:color w:val="000000"/>
          <w:lang w:val="en-IE"/>
        </w:rPr>
        <w:t>shareholders</w:t>
      </w:r>
      <w:r w:rsidRPr="00411456">
        <w:rPr>
          <w:color w:val="000000"/>
          <w:lang w:val="en-IE"/>
        </w:rPr>
        <w:t>. It may</w:t>
      </w:r>
      <w:r w:rsidR="00627196" w:rsidRPr="00411456">
        <w:rPr>
          <w:color w:val="000000"/>
          <w:lang w:val="en-IE"/>
        </w:rPr>
        <w:t xml:space="preserve"> well be that this is what clause 7 was intended to achieve but I a</w:t>
      </w:r>
      <w:r w:rsidRPr="00411456">
        <w:rPr>
          <w:color w:val="000000"/>
          <w:lang w:val="en-IE"/>
        </w:rPr>
        <w:t xml:space="preserve">m far from </w:t>
      </w:r>
      <w:r w:rsidRPr="00411456">
        <w:rPr>
          <w:color w:val="000000"/>
          <w:lang w:val="en-IE"/>
        </w:rPr>
        <w:lastRenderedPageBreak/>
        <w:t xml:space="preserve">convinced that it </w:t>
      </w:r>
      <w:proofErr w:type="gramStart"/>
      <w:r w:rsidRPr="00411456">
        <w:rPr>
          <w:color w:val="000000"/>
          <w:lang w:val="en-IE"/>
        </w:rPr>
        <w:t>actually does</w:t>
      </w:r>
      <w:proofErr w:type="gramEnd"/>
      <w:r w:rsidRPr="00411456">
        <w:rPr>
          <w:color w:val="000000"/>
          <w:lang w:val="en-IE"/>
        </w:rPr>
        <w:t xml:space="preserve"> so to a sufficient extent to allow the court to interpr</w:t>
      </w:r>
      <w:r w:rsidR="00627196" w:rsidRPr="00411456">
        <w:rPr>
          <w:color w:val="000000"/>
          <w:lang w:val="en-IE"/>
        </w:rPr>
        <w:t>et it in that manner. Apart</w:t>
      </w:r>
      <w:r w:rsidRPr="00411456">
        <w:rPr>
          <w:color w:val="000000"/>
          <w:lang w:val="en-IE"/>
        </w:rPr>
        <w:t xml:space="preserve"> from anything else</w:t>
      </w:r>
      <w:r w:rsidR="00627196" w:rsidRPr="00411456">
        <w:rPr>
          <w:color w:val="000000"/>
          <w:lang w:val="en-IE"/>
        </w:rPr>
        <w:t>,</w:t>
      </w:r>
      <w:r w:rsidRPr="00411456">
        <w:rPr>
          <w:color w:val="000000"/>
          <w:lang w:val="en-IE"/>
        </w:rPr>
        <w:t xml:space="preserve"> </w:t>
      </w:r>
      <w:r w:rsidR="00627196" w:rsidRPr="00411456">
        <w:rPr>
          <w:color w:val="000000"/>
          <w:lang w:val="en-IE"/>
        </w:rPr>
        <w:t>t</w:t>
      </w:r>
      <w:r w:rsidRPr="00411456">
        <w:rPr>
          <w:color w:val="000000"/>
          <w:lang w:val="en-IE"/>
        </w:rPr>
        <w:t>he i</w:t>
      </w:r>
      <w:r w:rsidR="00627196" w:rsidRPr="00411456">
        <w:rPr>
          <w:color w:val="000000"/>
          <w:lang w:val="en-IE"/>
        </w:rPr>
        <w:t>ntroductory part of clause 7</w:t>
      </w:r>
      <w:r w:rsidRPr="00411456">
        <w:rPr>
          <w:color w:val="000000"/>
          <w:lang w:val="en-IE"/>
        </w:rPr>
        <w:t xml:space="preserve"> appears to be intended to impo</w:t>
      </w:r>
      <w:r w:rsidR="00627196" w:rsidRPr="00411456">
        <w:rPr>
          <w:color w:val="000000"/>
          <w:lang w:val="en-IE"/>
        </w:rPr>
        <w:t xml:space="preserve">se restrictions on </w:t>
      </w:r>
      <w:r w:rsidR="00627196" w:rsidRPr="00411456">
        <w:rPr>
          <w:i/>
          <w:color w:val="000000"/>
          <w:lang w:val="en-IE"/>
        </w:rPr>
        <w:t>“the company”</w:t>
      </w:r>
      <w:r w:rsidRPr="00411456">
        <w:rPr>
          <w:color w:val="000000"/>
          <w:lang w:val="en-IE"/>
        </w:rPr>
        <w:t xml:space="preserve"> </w:t>
      </w:r>
      <w:r w:rsidR="00627196" w:rsidRPr="00411456">
        <w:rPr>
          <w:color w:val="000000"/>
          <w:lang w:val="en-IE"/>
        </w:rPr>
        <w:t xml:space="preserve">and </w:t>
      </w:r>
      <w:r w:rsidR="00627196" w:rsidRPr="00411456">
        <w:rPr>
          <w:i/>
          <w:color w:val="000000"/>
          <w:lang w:val="en-IE"/>
        </w:rPr>
        <w:t>“its subsidiaries”</w:t>
      </w:r>
      <w:r w:rsidR="00627196" w:rsidRPr="00411456">
        <w:rPr>
          <w:color w:val="000000"/>
          <w:lang w:val="en-IE"/>
        </w:rPr>
        <w:t>. Amber, as the dispo</w:t>
      </w:r>
      <w:r w:rsidRPr="00411456">
        <w:rPr>
          <w:color w:val="000000"/>
          <w:lang w:val="en-IE"/>
        </w:rPr>
        <w:t>sing party of its shares in the company</w:t>
      </w:r>
      <w:r w:rsidR="00627196" w:rsidRPr="00411456">
        <w:rPr>
          <w:color w:val="000000"/>
          <w:lang w:val="en-IE"/>
        </w:rPr>
        <w:t>,</w:t>
      </w:r>
      <w:r w:rsidRPr="00411456">
        <w:rPr>
          <w:color w:val="000000"/>
          <w:lang w:val="en-IE"/>
        </w:rPr>
        <w:t xml:space="preserve"> is neither the company n</w:t>
      </w:r>
      <w:r w:rsidR="00627196" w:rsidRPr="00411456">
        <w:rPr>
          <w:color w:val="000000"/>
          <w:lang w:val="en-IE"/>
        </w:rPr>
        <w:t>or a subsidiary of the company a</w:t>
      </w:r>
      <w:r w:rsidRPr="00411456">
        <w:rPr>
          <w:color w:val="000000"/>
          <w:lang w:val="en-IE"/>
        </w:rPr>
        <w:t>nd</w:t>
      </w:r>
      <w:r w:rsidR="00627196" w:rsidRPr="00411456">
        <w:rPr>
          <w:color w:val="000000"/>
          <w:lang w:val="en-IE"/>
        </w:rPr>
        <w:t>, thus, is not clearly caught</w:t>
      </w:r>
      <w:r w:rsidRPr="00411456">
        <w:rPr>
          <w:color w:val="000000"/>
          <w:lang w:val="en-IE"/>
        </w:rPr>
        <w:t xml:space="preserve"> by whatever restrict</w:t>
      </w:r>
      <w:r w:rsidR="00627196" w:rsidRPr="00411456">
        <w:rPr>
          <w:color w:val="000000"/>
          <w:lang w:val="en-IE"/>
        </w:rPr>
        <w:t xml:space="preserve">ions clause 7 was intended </w:t>
      </w:r>
      <w:r w:rsidRPr="00411456">
        <w:rPr>
          <w:color w:val="000000"/>
          <w:lang w:val="en-IE"/>
        </w:rPr>
        <w:t>to impose.</w:t>
      </w:r>
    </w:p>
    <w:p w14:paraId="613D24FE" w14:textId="526BB974" w:rsidR="006130B4" w:rsidRPr="00411456" w:rsidRDefault="00627196"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Clause 11,</w:t>
      </w:r>
      <w:r w:rsidR="00D32292" w:rsidRPr="00411456">
        <w:rPr>
          <w:color w:val="000000"/>
          <w:lang w:val="en-IE"/>
        </w:rPr>
        <w:t xml:space="preserve"> dealing with the transfer of shares</w:t>
      </w:r>
      <w:r w:rsidRPr="00411456">
        <w:rPr>
          <w:color w:val="000000"/>
          <w:lang w:val="en-IE"/>
        </w:rPr>
        <w:t>,</w:t>
      </w:r>
      <w:r w:rsidR="00D32292" w:rsidRPr="00411456">
        <w:rPr>
          <w:color w:val="000000"/>
          <w:lang w:val="en-IE"/>
        </w:rPr>
        <w:t xml:space="preserve"> is central to the dispute between </w:t>
      </w:r>
      <w:r w:rsidRPr="00411456">
        <w:rPr>
          <w:color w:val="000000"/>
          <w:lang w:val="en-IE"/>
        </w:rPr>
        <w:t>the parties. The first four subclauses, which I do not propose to set out in full,</w:t>
      </w:r>
      <w:r w:rsidR="00D32292" w:rsidRPr="00411456">
        <w:rPr>
          <w:color w:val="000000"/>
          <w:lang w:val="en-IE"/>
        </w:rPr>
        <w:t xml:space="preserve"> establish a detail</w:t>
      </w:r>
      <w:r w:rsidRPr="00411456">
        <w:rPr>
          <w:color w:val="000000"/>
          <w:lang w:val="en-IE"/>
        </w:rPr>
        <w:t>ed</w:t>
      </w:r>
      <w:r w:rsidR="00D32292" w:rsidRPr="00411456">
        <w:rPr>
          <w:color w:val="000000"/>
          <w:lang w:val="en-IE"/>
        </w:rPr>
        <w:t xml:space="preserve"> mecha</w:t>
      </w:r>
      <w:r w:rsidRPr="00411456">
        <w:rPr>
          <w:color w:val="000000"/>
          <w:lang w:val="en-IE"/>
        </w:rPr>
        <w:t>nism for the transfer of shares</w:t>
      </w:r>
      <w:r w:rsidR="00D32292" w:rsidRPr="00411456">
        <w:rPr>
          <w:color w:val="000000"/>
          <w:lang w:val="en-IE"/>
        </w:rPr>
        <w:t xml:space="preserve"> under which a shareholder intending to sell all or part of its shareholding is obliged to offer those shares to the company and the other shareholders </w:t>
      </w:r>
      <w:r w:rsidRPr="00411456">
        <w:rPr>
          <w:color w:val="000000"/>
          <w:lang w:val="en-IE"/>
        </w:rPr>
        <w:t>at a discounted price.</w:t>
      </w:r>
      <w:r w:rsidR="00D32292" w:rsidRPr="00411456">
        <w:rPr>
          <w:color w:val="000000"/>
          <w:lang w:val="en-IE"/>
        </w:rPr>
        <w:t xml:space="preserve"> This process is initiat</w:t>
      </w:r>
      <w:r w:rsidRPr="00411456">
        <w:rPr>
          <w:color w:val="000000"/>
          <w:lang w:val="en-IE"/>
        </w:rPr>
        <w:t>ed by the proposed transfer</w:t>
      </w:r>
      <w:r w:rsidR="00D32292" w:rsidRPr="00411456">
        <w:rPr>
          <w:color w:val="000000"/>
          <w:lang w:val="en-IE"/>
        </w:rPr>
        <w:t>or serving a transfer notice on the company and the other party under clause 11.1. If the parties cannot agree a price within 30 days, refere</w:t>
      </w:r>
      <w:r w:rsidRPr="00411456">
        <w:rPr>
          <w:color w:val="000000"/>
          <w:lang w:val="en-IE"/>
        </w:rPr>
        <w:t>nce can be made to the company’s</w:t>
      </w:r>
      <w:r w:rsidR="00D32292" w:rsidRPr="00411456">
        <w:rPr>
          <w:color w:val="000000"/>
          <w:lang w:val="en-IE"/>
        </w:rPr>
        <w:t xml:space="preserve"> auditors to determine </w:t>
      </w:r>
      <w:r w:rsidRPr="00411456">
        <w:rPr>
          <w:color w:val="000000"/>
          <w:lang w:val="en-IE"/>
        </w:rPr>
        <w:t>the value of the shares (clause</w:t>
      </w:r>
      <w:r w:rsidR="00D32292" w:rsidRPr="00411456">
        <w:rPr>
          <w:color w:val="000000"/>
          <w:lang w:val="en-IE"/>
        </w:rPr>
        <w:t xml:space="preserve"> 11</w:t>
      </w:r>
      <w:r w:rsidRPr="00411456">
        <w:rPr>
          <w:color w:val="000000"/>
          <w:lang w:val="en-IE"/>
        </w:rPr>
        <w:t xml:space="preserve">.1.1). Clause </w:t>
      </w:r>
      <w:r w:rsidR="00D32292" w:rsidRPr="00411456">
        <w:rPr>
          <w:color w:val="000000"/>
          <w:lang w:val="en-IE"/>
        </w:rPr>
        <w:t>11</w:t>
      </w:r>
      <w:r w:rsidRPr="00411456">
        <w:rPr>
          <w:color w:val="000000"/>
          <w:lang w:val="en-IE"/>
        </w:rPr>
        <w:t>.1.2</w:t>
      </w:r>
      <w:r w:rsidR="00D32292" w:rsidRPr="00411456">
        <w:rPr>
          <w:color w:val="000000"/>
          <w:lang w:val="en-IE"/>
        </w:rPr>
        <w:t xml:space="preserve"> sets out the basis on which the valuation is to be prepared and then provides for </w:t>
      </w:r>
      <w:r w:rsidRPr="00411456">
        <w:rPr>
          <w:color w:val="000000"/>
          <w:lang w:val="en-IE"/>
        </w:rPr>
        <w:t xml:space="preserve">a </w:t>
      </w:r>
      <w:r w:rsidR="00D32292" w:rsidRPr="00411456">
        <w:rPr>
          <w:color w:val="000000"/>
          <w:lang w:val="en-IE"/>
        </w:rPr>
        <w:t>30% discount on that value</w:t>
      </w:r>
      <w:r w:rsidRPr="00411456">
        <w:rPr>
          <w:color w:val="000000"/>
          <w:lang w:val="en-IE"/>
        </w:rPr>
        <w:t>. S</w:t>
      </w:r>
      <w:r w:rsidR="00D32292" w:rsidRPr="00411456">
        <w:rPr>
          <w:color w:val="000000"/>
          <w:lang w:val="en-IE"/>
        </w:rPr>
        <w:t>ubsequent</w:t>
      </w:r>
      <w:r w:rsidRPr="00411456">
        <w:rPr>
          <w:color w:val="000000"/>
          <w:lang w:val="en-IE"/>
        </w:rPr>
        <w:t xml:space="preserve"> to the auditors advising all concerned of the</w:t>
      </w:r>
      <w:r w:rsidR="00BB458B" w:rsidRPr="00411456">
        <w:rPr>
          <w:color w:val="000000"/>
          <w:lang w:val="en-IE"/>
        </w:rPr>
        <w:t xml:space="preserve"> valuation, there is a fourteen-</w:t>
      </w:r>
      <w:r w:rsidR="00D32292" w:rsidRPr="00411456">
        <w:rPr>
          <w:color w:val="000000"/>
          <w:lang w:val="en-IE"/>
        </w:rPr>
        <w:t xml:space="preserve">day cooling off period within </w:t>
      </w:r>
      <w:r w:rsidRPr="00411456">
        <w:rPr>
          <w:color w:val="000000"/>
          <w:lang w:val="en-IE"/>
        </w:rPr>
        <w:t>which th</w:t>
      </w:r>
      <w:r w:rsidR="004618E0">
        <w:rPr>
          <w:color w:val="000000"/>
          <w:lang w:val="en-IE"/>
        </w:rPr>
        <w:t xml:space="preserve">e </w:t>
      </w:r>
      <w:proofErr w:type="gramStart"/>
      <w:r w:rsidR="004618E0">
        <w:rPr>
          <w:color w:val="000000"/>
          <w:lang w:val="en-IE"/>
        </w:rPr>
        <w:t xml:space="preserve">intending </w:t>
      </w:r>
      <w:r w:rsidRPr="00411456">
        <w:rPr>
          <w:color w:val="000000"/>
          <w:lang w:val="en-IE"/>
        </w:rPr>
        <w:t xml:space="preserve"> transfer</w:t>
      </w:r>
      <w:r w:rsidR="00D32292" w:rsidRPr="00411456">
        <w:rPr>
          <w:color w:val="000000"/>
          <w:lang w:val="en-IE"/>
        </w:rPr>
        <w:t>or</w:t>
      </w:r>
      <w:proofErr w:type="gramEnd"/>
      <w:r w:rsidR="00D32292" w:rsidRPr="00411456">
        <w:rPr>
          <w:color w:val="000000"/>
          <w:lang w:val="en-IE"/>
        </w:rPr>
        <w:t xml:space="preserve"> can withd</w:t>
      </w:r>
      <w:r w:rsidRPr="00411456">
        <w:rPr>
          <w:color w:val="000000"/>
          <w:lang w:val="en-IE"/>
        </w:rPr>
        <w:t>raw the transfer notice</w:t>
      </w:r>
      <w:r w:rsidR="00E861BC">
        <w:rPr>
          <w:color w:val="000000"/>
          <w:lang w:val="en-IE"/>
        </w:rPr>
        <w:t xml:space="preserve"> and the transferee also has </w:t>
      </w:r>
      <w:r w:rsidRPr="00411456">
        <w:rPr>
          <w:color w:val="000000"/>
          <w:lang w:val="en-IE"/>
        </w:rPr>
        <w:t>fourteen</w:t>
      </w:r>
      <w:r w:rsidR="00D32292" w:rsidRPr="00411456">
        <w:rPr>
          <w:color w:val="000000"/>
          <w:lang w:val="en-IE"/>
        </w:rPr>
        <w:t xml:space="preserve"> days within which to accept the valuation and to confirm that they will pu</w:t>
      </w:r>
      <w:r w:rsidR="00BB458B" w:rsidRPr="00411456">
        <w:rPr>
          <w:color w:val="000000"/>
          <w:lang w:val="en-IE"/>
        </w:rPr>
        <w:t>rchase the shares (clause 11.</w:t>
      </w:r>
      <w:r w:rsidR="00D32292" w:rsidRPr="00411456">
        <w:rPr>
          <w:color w:val="000000"/>
          <w:lang w:val="en-IE"/>
        </w:rPr>
        <w:t>2.1</w:t>
      </w:r>
      <w:r w:rsidR="00BB458B" w:rsidRPr="00411456">
        <w:rPr>
          <w:color w:val="000000"/>
          <w:lang w:val="en-IE"/>
        </w:rPr>
        <w:t>).</w:t>
      </w:r>
      <w:r w:rsidR="00D32292" w:rsidRPr="00411456">
        <w:rPr>
          <w:color w:val="000000"/>
          <w:lang w:val="en-IE"/>
        </w:rPr>
        <w:t xml:space="preserve"> </w:t>
      </w:r>
      <w:r w:rsidR="00BB458B" w:rsidRPr="00411456">
        <w:rPr>
          <w:color w:val="000000"/>
          <w:lang w:val="en-IE"/>
        </w:rPr>
        <w:t>I</w:t>
      </w:r>
      <w:r w:rsidR="00D32292" w:rsidRPr="00411456">
        <w:rPr>
          <w:color w:val="000000"/>
          <w:lang w:val="en-IE"/>
        </w:rPr>
        <w:t xml:space="preserve">f neither the company nor the other </w:t>
      </w:r>
      <w:r w:rsidR="00BB458B" w:rsidRPr="00411456">
        <w:rPr>
          <w:color w:val="000000"/>
          <w:lang w:val="en-IE"/>
        </w:rPr>
        <w:t>shareholders agree</w:t>
      </w:r>
      <w:r w:rsidR="00D32292" w:rsidRPr="00411456">
        <w:rPr>
          <w:color w:val="000000"/>
          <w:lang w:val="en-IE"/>
        </w:rPr>
        <w:t xml:space="preserve"> to pu</w:t>
      </w:r>
      <w:r w:rsidR="00BB458B" w:rsidRPr="00411456">
        <w:rPr>
          <w:color w:val="000000"/>
          <w:lang w:val="en-IE"/>
        </w:rPr>
        <w:t>rchase the shares within this fourteen-day</w:t>
      </w:r>
      <w:r w:rsidR="00D32292" w:rsidRPr="00411456">
        <w:rPr>
          <w:color w:val="000000"/>
          <w:lang w:val="en-IE"/>
        </w:rPr>
        <w:t xml:space="preserve"> period</w:t>
      </w:r>
      <w:r w:rsidR="00BB458B" w:rsidRPr="00411456">
        <w:rPr>
          <w:color w:val="000000"/>
          <w:lang w:val="en-IE"/>
        </w:rPr>
        <w:t>, the transfer</w:t>
      </w:r>
      <w:r w:rsidR="00D32292" w:rsidRPr="00411456">
        <w:rPr>
          <w:color w:val="000000"/>
          <w:lang w:val="en-IE"/>
        </w:rPr>
        <w:t>or may then sel</w:t>
      </w:r>
      <w:r w:rsidR="00BB458B" w:rsidRPr="00411456">
        <w:rPr>
          <w:color w:val="000000"/>
          <w:lang w:val="en-IE"/>
        </w:rPr>
        <w:t>l the shares on the open market (clause 11.2.2 and 11.2.3). Under clause 11.</w:t>
      </w:r>
      <w:r w:rsidR="00D32292" w:rsidRPr="00411456">
        <w:rPr>
          <w:color w:val="000000"/>
          <w:lang w:val="en-IE"/>
        </w:rPr>
        <w:t>3.1</w:t>
      </w:r>
      <w:r w:rsidR="00BB458B" w:rsidRPr="00411456">
        <w:rPr>
          <w:color w:val="000000"/>
          <w:lang w:val="en-IE"/>
        </w:rPr>
        <w:t>,</w:t>
      </w:r>
      <w:r w:rsidR="00D32292" w:rsidRPr="00411456">
        <w:rPr>
          <w:color w:val="000000"/>
          <w:lang w:val="en-IE"/>
        </w:rPr>
        <w:t xml:space="preserve"> payment for the shares must be</w:t>
      </w:r>
      <w:r w:rsidR="00BB458B" w:rsidRPr="00411456">
        <w:rPr>
          <w:color w:val="000000"/>
          <w:lang w:val="en-IE"/>
        </w:rPr>
        <w:t xml:space="preserve"> made</w:t>
      </w:r>
      <w:r w:rsidR="00D32292" w:rsidRPr="00411456">
        <w:rPr>
          <w:color w:val="000000"/>
          <w:lang w:val="en-IE"/>
        </w:rPr>
        <w:t xml:space="preserve"> 28 days after the price bein</w:t>
      </w:r>
      <w:r w:rsidR="00BB458B" w:rsidRPr="00411456">
        <w:rPr>
          <w:color w:val="000000"/>
          <w:lang w:val="en-IE"/>
        </w:rPr>
        <w:t>g agreed and, on the same date, t</w:t>
      </w:r>
      <w:r w:rsidR="00D32292" w:rsidRPr="00411456">
        <w:rPr>
          <w:color w:val="000000"/>
          <w:lang w:val="en-IE"/>
        </w:rPr>
        <w:t>he transfer</w:t>
      </w:r>
      <w:r w:rsidR="00BB458B" w:rsidRPr="00411456">
        <w:rPr>
          <w:color w:val="000000"/>
          <w:lang w:val="en-IE"/>
        </w:rPr>
        <w:t>or</w:t>
      </w:r>
      <w:r w:rsidR="006130B4" w:rsidRPr="00411456">
        <w:rPr>
          <w:color w:val="000000"/>
          <w:lang w:val="en-IE"/>
        </w:rPr>
        <w:t xml:space="preserve"> must execute a</w:t>
      </w:r>
      <w:r w:rsidR="00D32292" w:rsidRPr="00411456">
        <w:rPr>
          <w:color w:val="000000"/>
          <w:lang w:val="en-IE"/>
        </w:rPr>
        <w:t xml:space="preserve"> stock transfer form in favo</w:t>
      </w:r>
      <w:r w:rsidR="006130B4" w:rsidRPr="00411456">
        <w:rPr>
          <w:color w:val="000000"/>
          <w:lang w:val="en-IE"/>
        </w:rPr>
        <w:t>u</w:t>
      </w:r>
      <w:r w:rsidR="00D32292" w:rsidRPr="00411456">
        <w:rPr>
          <w:color w:val="000000"/>
          <w:lang w:val="en-IE"/>
        </w:rPr>
        <w:t>r of the purchaser and hand</w:t>
      </w:r>
      <w:r w:rsidR="006130B4" w:rsidRPr="00411456">
        <w:rPr>
          <w:color w:val="000000"/>
          <w:lang w:val="en-IE"/>
        </w:rPr>
        <w:t xml:space="preserve"> over t</w:t>
      </w:r>
      <w:r w:rsidR="00D32292" w:rsidRPr="00411456">
        <w:rPr>
          <w:color w:val="000000"/>
          <w:lang w:val="en-IE"/>
        </w:rPr>
        <w:t>he share certificates and othe</w:t>
      </w:r>
      <w:r w:rsidR="006130B4" w:rsidRPr="00411456">
        <w:rPr>
          <w:color w:val="000000"/>
          <w:lang w:val="en-IE"/>
        </w:rPr>
        <w:t>r relevant documents. R</w:t>
      </w:r>
      <w:r w:rsidR="00D32292" w:rsidRPr="00411456">
        <w:rPr>
          <w:color w:val="000000"/>
          <w:lang w:val="en-IE"/>
        </w:rPr>
        <w:t>egi</w:t>
      </w:r>
      <w:r w:rsidR="006130B4" w:rsidRPr="00411456">
        <w:rPr>
          <w:color w:val="000000"/>
          <w:lang w:val="en-IE"/>
        </w:rPr>
        <w:t>stration of any purchaser who i</w:t>
      </w:r>
      <w:r w:rsidR="00D32292" w:rsidRPr="00411456">
        <w:rPr>
          <w:color w:val="000000"/>
          <w:lang w:val="en-IE"/>
        </w:rPr>
        <w:t>s not already a shareholder</w:t>
      </w:r>
      <w:r w:rsidR="006130B4" w:rsidRPr="00411456">
        <w:rPr>
          <w:color w:val="000000"/>
          <w:lang w:val="en-IE"/>
        </w:rPr>
        <w:t xml:space="preserve"> i</w:t>
      </w:r>
      <w:r w:rsidR="00D32292" w:rsidRPr="00411456">
        <w:rPr>
          <w:color w:val="000000"/>
          <w:lang w:val="en-IE"/>
        </w:rPr>
        <w:t>s made subject to t</w:t>
      </w:r>
      <w:r w:rsidR="006130B4" w:rsidRPr="00411456">
        <w:rPr>
          <w:color w:val="000000"/>
          <w:lang w:val="en-IE"/>
        </w:rPr>
        <w:t>he execution by that person of</w:t>
      </w:r>
      <w:r w:rsidR="00D32292" w:rsidRPr="00411456">
        <w:rPr>
          <w:color w:val="000000"/>
          <w:lang w:val="en-IE"/>
        </w:rPr>
        <w:t xml:space="preserve"> a deed o</w:t>
      </w:r>
      <w:r w:rsidR="006130B4" w:rsidRPr="00411456">
        <w:rPr>
          <w:color w:val="000000"/>
          <w:lang w:val="en-IE"/>
        </w:rPr>
        <w:t>f adherence to the shareholders’ agreement (clause 11.</w:t>
      </w:r>
      <w:r w:rsidR="00D32292" w:rsidRPr="00411456">
        <w:rPr>
          <w:color w:val="000000"/>
          <w:lang w:val="en-IE"/>
        </w:rPr>
        <w:t>3.2</w:t>
      </w:r>
      <w:r w:rsidR="006130B4" w:rsidRPr="00411456">
        <w:rPr>
          <w:color w:val="000000"/>
          <w:lang w:val="en-IE"/>
        </w:rPr>
        <w:t>)</w:t>
      </w:r>
    </w:p>
    <w:p w14:paraId="01C10BC1" w14:textId="1821D5B5" w:rsidR="006130B4" w:rsidRPr="00411456" w:rsidRDefault="006130B4"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lastRenderedPageBreak/>
        <w:t>N</w:t>
      </w:r>
      <w:r w:rsidR="00D32292" w:rsidRPr="00411456">
        <w:rPr>
          <w:color w:val="000000"/>
          <w:lang w:val="en-IE"/>
        </w:rPr>
        <w:t>otwi</w:t>
      </w:r>
      <w:r w:rsidRPr="00411456">
        <w:rPr>
          <w:color w:val="000000"/>
          <w:lang w:val="en-IE"/>
        </w:rPr>
        <w:t>thstanding this process,</w:t>
      </w:r>
      <w:r w:rsidR="00D32292" w:rsidRPr="00411456">
        <w:rPr>
          <w:color w:val="000000"/>
          <w:lang w:val="en-IE"/>
        </w:rPr>
        <w:t xml:space="preserve"> under clause 11.4 </w:t>
      </w:r>
      <w:r w:rsidRPr="00411456">
        <w:rPr>
          <w:i/>
          <w:color w:val="000000"/>
          <w:lang w:val="en-IE"/>
        </w:rPr>
        <w:t>“the directors may,</w:t>
      </w:r>
      <w:r w:rsidR="00D32292" w:rsidRPr="00411456">
        <w:rPr>
          <w:i/>
          <w:color w:val="000000"/>
          <w:lang w:val="en-IE"/>
        </w:rPr>
        <w:t xml:space="preserve"> in </w:t>
      </w:r>
      <w:r w:rsidRPr="00411456">
        <w:rPr>
          <w:i/>
          <w:color w:val="000000"/>
          <w:lang w:val="en-IE"/>
        </w:rPr>
        <w:t>their absolute discretion,</w:t>
      </w:r>
      <w:r w:rsidR="00D32292" w:rsidRPr="00411456">
        <w:rPr>
          <w:i/>
          <w:color w:val="000000"/>
          <w:lang w:val="en-IE"/>
        </w:rPr>
        <w:t xml:space="preserve"> and without assig</w:t>
      </w:r>
      <w:r w:rsidRPr="00411456">
        <w:rPr>
          <w:i/>
          <w:color w:val="000000"/>
          <w:lang w:val="en-IE"/>
        </w:rPr>
        <w:t xml:space="preserve">ning any </w:t>
      </w:r>
      <w:proofErr w:type="gramStart"/>
      <w:r w:rsidRPr="00411456">
        <w:rPr>
          <w:i/>
          <w:color w:val="000000"/>
          <w:lang w:val="en-IE"/>
        </w:rPr>
        <w:t>reason</w:t>
      </w:r>
      <w:proofErr w:type="gramEnd"/>
      <w:r w:rsidRPr="00411456">
        <w:rPr>
          <w:i/>
          <w:color w:val="000000"/>
          <w:lang w:val="en-IE"/>
        </w:rPr>
        <w:t xml:space="preserve"> therefore, decline</w:t>
      </w:r>
      <w:r w:rsidR="00D32292" w:rsidRPr="00411456">
        <w:rPr>
          <w:i/>
          <w:color w:val="000000"/>
          <w:lang w:val="en-IE"/>
        </w:rPr>
        <w:t xml:space="preserve"> to register a</w:t>
      </w:r>
      <w:r w:rsidRPr="00411456">
        <w:rPr>
          <w:i/>
          <w:color w:val="000000"/>
          <w:lang w:val="en-IE"/>
        </w:rPr>
        <w:t>ny transfer of any share, whether or not it</w:t>
      </w:r>
      <w:r w:rsidR="00D32292" w:rsidRPr="00411456">
        <w:rPr>
          <w:i/>
          <w:color w:val="000000"/>
          <w:lang w:val="en-IE"/>
        </w:rPr>
        <w:t xml:space="preserve"> is a fully paid share</w:t>
      </w:r>
      <w:r w:rsidRPr="00411456">
        <w:rPr>
          <w:i/>
          <w:color w:val="000000"/>
          <w:lang w:val="en-IE"/>
        </w:rPr>
        <w:t>”</w:t>
      </w:r>
      <w:r w:rsidRPr="00411456">
        <w:rPr>
          <w:color w:val="000000"/>
          <w:lang w:val="en-IE"/>
        </w:rPr>
        <w:t>.</w:t>
      </w:r>
      <w:r w:rsidR="004618E0">
        <w:rPr>
          <w:color w:val="000000"/>
          <w:lang w:val="en-IE"/>
        </w:rPr>
        <w:t xml:space="preserve">  Thus, separate to any agreement as to the transfer of shares that might be reached by the shareholders or as between a shareholder and a third party as to the transfer of shares in the company, the directors of the company may refuse to register the resulting transfer.  This effectively gives the directors of the company a final </w:t>
      </w:r>
      <w:proofErr w:type="gramStart"/>
      <w:r w:rsidR="004618E0">
        <w:rPr>
          <w:color w:val="000000"/>
          <w:lang w:val="en-IE"/>
        </w:rPr>
        <w:t>say</w:t>
      </w:r>
      <w:proofErr w:type="gramEnd"/>
      <w:r w:rsidR="004618E0">
        <w:rPr>
          <w:color w:val="000000"/>
          <w:lang w:val="en-IE"/>
        </w:rPr>
        <w:t xml:space="preserve"> over the ownership of shares in the company.</w:t>
      </w:r>
    </w:p>
    <w:p w14:paraId="65EC98AB" w14:textId="0C4A842E" w:rsidR="006130B4" w:rsidRPr="00411456" w:rsidRDefault="006130B4"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Under clause 11.5, i</w:t>
      </w:r>
      <w:r w:rsidR="00D32292" w:rsidRPr="00411456">
        <w:rPr>
          <w:color w:val="000000"/>
          <w:lang w:val="en-IE"/>
        </w:rPr>
        <w:t>n certain circumstances</w:t>
      </w:r>
      <w:r w:rsidRPr="00411456">
        <w:rPr>
          <w:color w:val="000000"/>
          <w:lang w:val="en-IE"/>
        </w:rPr>
        <w:t xml:space="preserve">, a corporate shareholder will be deemed to have offered its shares </w:t>
      </w:r>
      <w:r w:rsidR="00D32292" w:rsidRPr="00411456">
        <w:rPr>
          <w:color w:val="000000"/>
          <w:lang w:val="en-IE"/>
        </w:rPr>
        <w:t>for sale</w:t>
      </w:r>
      <w:r w:rsidRPr="00411456">
        <w:rPr>
          <w:color w:val="000000"/>
          <w:lang w:val="en-IE"/>
        </w:rPr>
        <w:t>. T</w:t>
      </w:r>
      <w:r w:rsidR="00D32292" w:rsidRPr="00411456">
        <w:rPr>
          <w:color w:val="000000"/>
          <w:lang w:val="en-IE"/>
        </w:rPr>
        <w:t>he</w:t>
      </w:r>
      <w:r w:rsidRPr="00411456">
        <w:rPr>
          <w:color w:val="000000"/>
          <w:lang w:val="en-IE"/>
        </w:rPr>
        <w:t xml:space="preserve"> clause reads </w:t>
      </w:r>
      <w:r w:rsidR="00D32292" w:rsidRPr="00411456">
        <w:rPr>
          <w:color w:val="000000"/>
          <w:lang w:val="en-IE"/>
        </w:rPr>
        <w:t>as follows</w:t>
      </w:r>
      <w:r w:rsidRPr="00411456">
        <w:rPr>
          <w:color w:val="000000"/>
          <w:lang w:val="en-IE"/>
        </w:rPr>
        <w:t>:</w:t>
      </w:r>
      <w:r w:rsidR="0062648C">
        <w:rPr>
          <w:color w:val="000000"/>
          <w:lang w:val="en-IE"/>
        </w:rPr>
        <w:t xml:space="preserve"> </w:t>
      </w:r>
      <w:r w:rsidRPr="00411456">
        <w:rPr>
          <w:color w:val="000000"/>
          <w:lang w:val="en-IE"/>
        </w:rPr>
        <w:t>-</w:t>
      </w:r>
    </w:p>
    <w:p w14:paraId="40A9C2BF" w14:textId="09B6824B" w:rsidR="006130B4" w:rsidRPr="00411456" w:rsidRDefault="006130B4" w:rsidP="004A0604">
      <w:pPr>
        <w:pStyle w:val="NormalWeb"/>
        <w:spacing w:before="0" w:beforeAutospacing="0" w:after="0" w:afterAutospacing="0" w:line="480" w:lineRule="auto"/>
        <w:ind w:left="720"/>
        <w:jc w:val="both"/>
        <w:rPr>
          <w:i/>
          <w:color w:val="000000"/>
          <w:lang w:val="en-IE"/>
        </w:rPr>
      </w:pPr>
      <w:r w:rsidRPr="00411456">
        <w:rPr>
          <w:i/>
          <w:color w:val="000000"/>
          <w:lang w:val="en-IE"/>
        </w:rPr>
        <w:t>“U</w:t>
      </w:r>
      <w:r w:rsidR="00D32292" w:rsidRPr="00411456">
        <w:rPr>
          <w:i/>
          <w:color w:val="000000"/>
          <w:lang w:val="en-IE"/>
        </w:rPr>
        <w:t>pon the insolv</w:t>
      </w:r>
      <w:r w:rsidRPr="00411456">
        <w:rPr>
          <w:i/>
          <w:color w:val="000000"/>
          <w:lang w:val="en-IE"/>
        </w:rPr>
        <w:t xml:space="preserve">ency or upon a liquidator, </w:t>
      </w:r>
      <w:r w:rsidR="00D32292" w:rsidRPr="00411456">
        <w:rPr>
          <w:i/>
          <w:color w:val="000000"/>
          <w:lang w:val="en-IE"/>
        </w:rPr>
        <w:t>receiver or examiner being appointed over the asse</w:t>
      </w:r>
      <w:r w:rsidRPr="00411456">
        <w:rPr>
          <w:i/>
          <w:color w:val="000000"/>
          <w:lang w:val="en-IE"/>
        </w:rPr>
        <w:t>ts of any corporate shareholder, such shareholder</w:t>
      </w:r>
      <w:r w:rsidR="00D32292" w:rsidRPr="00411456">
        <w:rPr>
          <w:i/>
          <w:color w:val="000000"/>
          <w:lang w:val="en-IE"/>
        </w:rPr>
        <w:t xml:space="preserve"> s</w:t>
      </w:r>
      <w:r w:rsidRPr="00411456">
        <w:rPr>
          <w:i/>
          <w:color w:val="000000"/>
          <w:lang w:val="en-IE"/>
        </w:rPr>
        <w:t>hall be deemed to have served a</w:t>
      </w:r>
      <w:r w:rsidR="00D32292" w:rsidRPr="00411456">
        <w:rPr>
          <w:i/>
          <w:color w:val="000000"/>
          <w:lang w:val="en-IE"/>
        </w:rPr>
        <w:t xml:space="preserve"> transfer notice immediately before the appointment of such liquidator and the provisions of this section shall apply to such shareholder</w:t>
      </w:r>
      <w:r w:rsidRPr="00411456">
        <w:rPr>
          <w:i/>
          <w:color w:val="000000"/>
          <w:lang w:val="en-IE"/>
        </w:rPr>
        <w:t>’</w:t>
      </w:r>
      <w:r w:rsidR="00D32292" w:rsidRPr="00411456">
        <w:rPr>
          <w:i/>
          <w:color w:val="000000"/>
          <w:lang w:val="en-IE"/>
        </w:rPr>
        <w:t>s shares save only that the period of 14 da</w:t>
      </w:r>
      <w:r w:rsidRPr="00411456">
        <w:rPr>
          <w:i/>
          <w:color w:val="000000"/>
          <w:lang w:val="en-IE"/>
        </w:rPr>
        <w:t>ys specified at clause 12.</w:t>
      </w:r>
      <w:r w:rsidR="00D32292" w:rsidRPr="00411456">
        <w:rPr>
          <w:i/>
          <w:color w:val="000000"/>
          <w:lang w:val="en-IE"/>
        </w:rPr>
        <w:t>3.1 shall be extende</w:t>
      </w:r>
      <w:r w:rsidRPr="00411456">
        <w:rPr>
          <w:i/>
          <w:color w:val="000000"/>
          <w:lang w:val="en-IE"/>
        </w:rPr>
        <w:t xml:space="preserve">d to a period of </w:t>
      </w:r>
      <w:r w:rsidR="00DF35AF">
        <w:rPr>
          <w:i/>
          <w:color w:val="000000"/>
          <w:lang w:val="en-IE"/>
        </w:rPr>
        <w:t>three</w:t>
      </w:r>
      <w:r w:rsidRPr="00411456">
        <w:rPr>
          <w:i/>
          <w:color w:val="000000"/>
          <w:lang w:val="en-IE"/>
        </w:rPr>
        <w:t xml:space="preserve"> months and the proceeds or amounts</w:t>
      </w:r>
      <w:r w:rsidR="00D32292" w:rsidRPr="00411456">
        <w:rPr>
          <w:i/>
          <w:color w:val="000000"/>
          <w:lang w:val="en-IE"/>
        </w:rPr>
        <w:t xml:space="preserve"> payable in respect of such shares shall be </w:t>
      </w:r>
      <w:r w:rsidRPr="00411456">
        <w:rPr>
          <w:i/>
          <w:color w:val="000000"/>
          <w:lang w:val="en-IE"/>
        </w:rPr>
        <w:t>paid to the liquidator</w:t>
      </w:r>
      <w:r w:rsidR="00D32292" w:rsidRPr="00411456">
        <w:rPr>
          <w:i/>
          <w:color w:val="000000"/>
          <w:lang w:val="en-IE"/>
        </w:rPr>
        <w:t>.</w:t>
      </w:r>
      <w:r w:rsidRPr="00411456">
        <w:rPr>
          <w:i/>
          <w:color w:val="000000"/>
          <w:lang w:val="en-IE"/>
        </w:rPr>
        <w:t>”</w:t>
      </w:r>
      <w:r w:rsidR="00D32292" w:rsidRPr="00411456">
        <w:rPr>
          <w:i/>
          <w:color w:val="000000"/>
          <w:lang w:val="en-IE"/>
        </w:rPr>
        <w:t xml:space="preserve"> </w:t>
      </w:r>
    </w:p>
    <w:p w14:paraId="4BA0F613" w14:textId="21BD9CAC" w:rsidR="006130B4" w:rsidRPr="00411456" w:rsidRDefault="006130B4" w:rsidP="004A0604">
      <w:pPr>
        <w:pStyle w:val="NormalWeb"/>
        <w:spacing w:before="0" w:beforeAutospacing="0" w:after="0" w:afterAutospacing="0" w:line="480" w:lineRule="auto"/>
        <w:jc w:val="both"/>
        <w:rPr>
          <w:color w:val="000000"/>
          <w:lang w:val="en-IE"/>
        </w:rPr>
      </w:pPr>
      <w:r w:rsidRPr="00411456">
        <w:rPr>
          <w:color w:val="000000"/>
          <w:lang w:val="en-IE"/>
        </w:rPr>
        <w:t>Clause</w:t>
      </w:r>
      <w:r w:rsidR="00D32292" w:rsidRPr="00411456">
        <w:rPr>
          <w:color w:val="000000"/>
          <w:lang w:val="en-IE"/>
        </w:rPr>
        <w:t xml:space="preserve"> 11.6 deals with equivalent circumstances in which a personal shareholder will be deemed to have offered their shares for sale and is not relevant to the fact</w:t>
      </w:r>
      <w:r w:rsidRPr="00411456">
        <w:rPr>
          <w:color w:val="000000"/>
          <w:lang w:val="en-IE"/>
        </w:rPr>
        <w:t>ual</w:t>
      </w:r>
      <w:r w:rsidR="00D32292" w:rsidRPr="00411456">
        <w:rPr>
          <w:color w:val="000000"/>
          <w:lang w:val="en-IE"/>
        </w:rPr>
        <w:t xml:space="preserve"> position in this case</w:t>
      </w:r>
      <w:r w:rsidRPr="00411456">
        <w:rPr>
          <w:color w:val="000000"/>
          <w:lang w:val="en-IE"/>
        </w:rPr>
        <w:t>. C</w:t>
      </w:r>
      <w:r w:rsidR="00D32292" w:rsidRPr="00411456">
        <w:rPr>
          <w:color w:val="000000"/>
          <w:lang w:val="en-IE"/>
        </w:rPr>
        <w:t>laus</w:t>
      </w:r>
      <w:r w:rsidRPr="00411456">
        <w:rPr>
          <w:color w:val="000000"/>
          <w:lang w:val="en-IE"/>
        </w:rPr>
        <w:t>e 11.7 then provides:</w:t>
      </w:r>
      <w:r w:rsidR="0062648C">
        <w:rPr>
          <w:color w:val="000000"/>
          <w:lang w:val="en-IE"/>
        </w:rPr>
        <w:t xml:space="preserve"> </w:t>
      </w:r>
      <w:r w:rsidRPr="00411456">
        <w:rPr>
          <w:color w:val="000000"/>
          <w:lang w:val="en-IE"/>
        </w:rPr>
        <w:t>-</w:t>
      </w:r>
    </w:p>
    <w:p w14:paraId="790D04D3" w14:textId="77777777" w:rsidR="006130B4" w:rsidRPr="00411456" w:rsidRDefault="006130B4" w:rsidP="004A0604">
      <w:pPr>
        <w:pStyle w:val="NormalWeb"/>
        <w:spacing w:before="0" w:beforeAutospacing="0" w:after="0" w:afterAutospacing="0" w:line="480" w:lineRule="auto"/>
        <w:ind w:left="720"/>
        <w:jc w:val="both"/>
        <w:rPr>
          <w:i/>
          <w:color w:val="000000"/>
          <w:lang w:val="en-IE"/>
        </w:rPr>
      </w:pPr>
      <w:r w:rsidRPr="00411456">
        <w:rPr>
          <w:i/>
          <w:color w:val="000000"/>
          <w:lang w:val="en-IE"/>
        </w:rPr>
        <w:t>“</w:t>
      </w:r>
      <w:r w:rsidR="00D32292" w:rsidRPr="00411456">
        <w:rPr>
          <w:i/>
          <w:color w:val="000000"/>
          <w:lang w:val="en-IE"/>
        </w:rPr>
        <w:t>The company shall not register any transfer made in breach of this agreement and the shares comprised in a</w:t>
      </w:r>
      <w:r w:rsidRPr="00411456">
        <w:rPr>
          <w:i/>
          <w:color w:val="000000"/>
          <w:lang w:val="en-IE"/>
        </w:rPr>
        <w:t>ny</w:t>
      </w:r>
      <w:r w:rsidR="00D32292" w:rsidRPr="00411456">
        <w:rPr>
          <w:i/>
          <w:color w:val="000000"/>
          <w:lang w:val="en-IE"/>
        </w:rPr>
        <w:t xml:space="preserve"> </w:t>
      </w:r>
      <w:r w:rsidRPr="00411456">
        <w:rPr>
          <w:i/>
          <w:color w:val="000000"/>
          <w:lang w:val="en-IE"/>
        </w:rPr>
        <w:t>transfer so made shall carry no</w:t>
      </w:r>
      <w:r w:rsidR="00D32292" w:rsidRPr="00411456">
        <w:rPr>
          <w:i/>
          <w:color w:val="000000"/>
          <w:lang w:val="en-IE"/>
        </w:rPr>
        <w:t xml:space="preserve"> </w:t>
      </w:r>
      <w:r w:rsidRPr="00411456">
        <w:rPr>
          <w:i/>
          <w:color w:val="000000"/>
          <w:lang w:val="en-IE"/>
        </w:rPr>
        <w:t>rights whatsoever unless and until, in each case, the breach i</w:t>
      </w:r>
      <w:r w:rsidR="00D32292" w:rsidRPr="00411456">
        <w:rPr>
          <w:i/>
          <w:color w:val="000000"/>
          <w:lang w:val="en-IE"/>
        </w:rPr>
        <w:t>s rectified</w:t>
      </w:r>
      <w:r w:rsidRPr="00411456">
        <w:rPr>
          <w:i/>
          <w:color w:val="000000"/>
          <w:lang w:val="en-IE"/>
        </w:rPr>
        <w:t>.”</w:t>
      </w:r>
    </w:p>
    <w:p w14:paraId="037F0F43" w14:textId="34F78079" w:rsidR="006130B4" w:rsidRPr="00411456" w:rsidRDefault="006130B4" w:rsidP="004A0604">
      <w:pPr>
        <w:pStyle w:val="NormalWeb"/>
        <w:spacing w:before="0" w:beforeAutospacing="0" w:after="0" w:afterAutospacing="0" w:line="480" w:lineRule="auto"/>
        <w:jc w:val="both"/>
        <w:rPr>
          <w:color w:val="000000"/>
          <w:lang w:val="en-IE"/>
        </w:rPr>
      </w:pPr>
      <w:r w:rsidRPr="00411456">
        <w:rPr>
          <w:color w:val="000000"/>
          <w:lang w:val="en-IE"/>
        </w:rPr>
        <w:t>Finally, clause 11.8 obliges</w:t>
      </w:r>
      <w:r w:rsidR="00D32292" w:rsidRPr="00411456">
        <w:rPr>
          <w:color w:val="000000"/>
          <w:lang w:val="en-IE"/>
        </w:rPr>
        <w:t xml:space="preserve"> the parties to the agreement to co</w:t>
      </w:r>
      <w:r w:rsidR="00E861BC">
        <w:rPr>
          <w:color w:val="000000"/>
          <w:lang w:val="en-IE"/>
        </w:rPr>
        <w:t>-</w:t>
      </w:r>
      <w:r w:rsidR="00D32292" w:rsidRPr="00411456">
        <w:rPr>
          <w:color w:val="000000"/>
          <w:lang w:val="en-IE"/>
        </w:rPr>
        <w:t>operate and to do all things necessary to give effect to the shareholders</w:t>
      </w:r>
      <w:r w:rsidRPr="00411456">
        <w:rPr>
          <w:color w:val="000000"/>
          <w:lang w:val="en-IE"/>
        </w:rPr>
        <w:t>’</w:t>
      </w:r>
      <w:r w:rsidR="00D32292" w:rsidRPr="00411456">
        <w:rPr>
          <w:color w:val="000000"/>
          <w:lang w:val="en-IE"/>
        </w:rPr>
        <w:t xml:space="preserve"> agreement con</w:t>
      </w:r>
      <w:r w:rsidRPr="00411456">
        <w:rPr>
          <w:color w:val="000000"/>
          <w:lang w:val="en-IE"/>
        </w:rPr>
        <w:t xml:space="preserve">cerning the transfer of shares </w:t>
      </w:r>
      <w:r w:rsidR="00D32292" w:rsidRPr="00411456">
        <w:rPr>
          <w:color w:val="000000"/>
          <w:lang w:val="en-IE"/>
        </w:rPr>
        <w:t xml:space="preserve">including the registration of </w:t>
      </w:r>
      <w:r w:rsidR="00D32292" w:rsidRPr="00411456">
        <w:rPr>
          <w:color w:val="000000"/>
          <w:lang w:val="en-IE"/>
        </w:rPr>
        <w:lastRenderedPageBreak/>
        <w:t>such transfer by convening a meeting of the board of directors of the company to approve and register each such transfer of shares.</w:t>
      </w:r>
    </w:p>
    <w:p w14:paraId="6BBC9886" w14:textId="5B4B1DB1" w:rsidR="00E861BC" w:rsidRDefault="00D32292"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It is readily apparent from </w:t>
      </w:r>
      <w:r w:rsidR="00E861BC">
        <w:rPr>
          <w:color w:val="000000"/>
          <w:lang w:val="en-IE"/>
        </w:rPr>
        <w:t>a</w:t>
      </w:r>
      <w:r w:rsidR="006130B4" w:rsidRPr="00411456">
        <w:rPr>
          <w:color w:val="000000"/>
          <w:lang w:val="en-IE"/>
        </w:rPr>
        <w:t xml:space="preserve"> close reading of clause 11.5</w:t>
      </w:r>
      <w:r w:rsidRPr="00411456">
        <w:rPr>
          <w:color w:val="000000"/>
          <w:lang w:val="en-IE"/>
        </w:rPr>
        <w:t xml:space="preserve"> under which the disputed transaction </w:t>
      </w:r>
      <w:r w:rsidR="006130B4" w:rsidRPr="00411456">
        <w:rPr>
          <w:color w:val="000000"/>
          <w:lang w:val="en-IE"/>
        </w:rPr>
        <w:t>is alleged to have taken place, t</w:t>
      </w:r>
      <w:r w:rsidRPr="00411456">
        <w:rPr>
          <w:color w:val="000000"/>
          <w:lang w:val="en-IE"/>
        </w:rPr>
        <w:t xml:space="preserve">hat </w:t>
      </w:r>
      <w:r w:rsidR="006130B4" w:rsidRPr="00411456">
        <w:rPr>
          <w:color w:val="000000"/>
          <w:lang w:val="en-IE"/>
        </w:rPr>
        <w:t xml:space="preserve">it </w:t>
      </w:r>
      <w:r w:rsidRPr="00411456">
        <w:rPr>
          <w:color w:val="000000"/>
          <w:lang w:val="en-IE"/>
        </w:rPr>
        <w:t>is fraught with difficulty</w:t>
      </w:r>
      <w:r w:rsidR="00731F5A" w:rsidRPr="00411456">
        <w:rPr>
          <w:color w:val="000000"/>
          <w:lang w:val="en-IE"/>
        </w:rPr>
        <w:t>. Firstly, t</w:t>
      </w:r>
      <w:r w:rsidRPr="00411456">
        <w:rPr>
          <w:color w:val="000000"/>
          <w:lang w:val="en-IE"/>
        </w:rPr>
        <w:t>he first line indicates that the trigger for the operation of the c</w:t>
      </w:r>
      <w:r w:rsidR="00731F5A" w:rsidRPr="00411456">
        <w:rPr>
          <w:color w:val="000000"/>
          <w:lang w:val="en-IE"/>
        </w:rPr>
        <w:t xml:space="preserve">lause will be the insolvency </w:t>
      </w:r>
      <w:r w:rsidRPr="00411456">
        <w:rPr>
          <w:color w:val="000000"/>
          <w:lang w:val="en-IE"/>
        </w:rPr>
        <w:t>or the ap</w:t>
      </w:r>
      <w:r w:rsidR="00731F5A" w:rsidRPr="00411456">
        <w:rPr>
          <w:color w:val="000000"/>
          <w:lang w:val="en-IE"/>
        </w:rPr>
        <w:t>pointment of a liquidator,</w:t>
      </w:r>
      <w:r w:rsidRPr="00411456">
        <w:rPr>
          <w:color w:val="000000"/>
          <w:lang w:val="en-IE"/>
        </w:rPr>
        <w:t xml:space="preserve"> </w:t>
      </w:r>
      <w:proofErr w:type="gramStart"/>
      <w:r w:rsidRPr="00411456">
        <w:rPr>
          <w:color w:val="000000"/>
          <w:lang w:val="en-IE"/>
        </w:rPr>
        <w:t>receiver</w:t>
      </w:r>
      <w:proofErr w:type="gramEnd"/>
      <w:r w:rsidRPr="00411456">
        <w:rPr>
          <w:color w:val="000000"/>
          <w:lang w:val="en-IE"/>
        </w:rPr>
        <w:t xml:space="preserve"> or examiner over the asse</w:t>
      </w:r>
      <w:r w:rsidR="00B152D0" w:rsidRPr="00411456">
        <w:rPr>
          <w:color w:val="000000"/>
          <w:lang w:val="en-IE"/>
        </w:rPr>
        <w:t>ts of any corporate shareholder. However, the balance of the clau</w:t>
      </w:r>
      <w:r w:rsidRPr="00411456">
        <w:rPr>
          <w:color w:val="000000"/>
          <w:lang w:val="en-IE"/>
        </w:rPr>
        <w:t>se deals only with th</w:t>
      </w:r>
      <w:r w:rsidR="00B152D0" w:rsidRPr="00411456">
        <w:rPr>
          <w:color w:val="000000"/>
          <w:lang w:val="en-IE"/>
        </w:rPr>
        <w:t>e appointment of a liquidator p</w:t>
      </w:r>
      <w:r w:rsidRPr="00411456">
        <w:rPr>
          <w:color w:val="000000"/>
          <w:lang w:val="en-IE"/>
        </w:rPr>
        <w:t xml:space="preserve">roviding </w:t>
      </w:r>
      <w:r w:rsidR="00B152D0" w:rsidRPr="00411456">
        <w:rPr>
          <w:color w:val="000000"/>
          <w:lang w:val="en-IE"/>
        </w:rPr>
        <w:t xml:space="preserve">that </w:t>
      </w:r>
      <w:r w:rsidRPr="00411456">
        <w:rPr>
          <w:color w:val="000000"/>
          <w:lang w:val="en-IE"/>
        </w:rPr>
        <w:t>the shareholder in question will be deemed to have served a transfer notice immediately before the appointment of the liquidator and the amounts payable for the shares will be pa</w:t>
      </w:r>
      <w:r w:rsidR="00B152D0" w:rsidRPr="00411456">
        <w:rPr>
          <w:color w:val="000000"/>
          <w:lang w:val="en-IE"/>
        </w:rPr>
        <w:t xml:space="preserve">id to the liquidator. </w:t>
      </w:r>
      <w:r w:rsidR="003A7346">
        <w:rPr>
          <w:color w:val="000000"/>
          <w:lang w:val="en-IE"/>
        </w:rPr>
        <w:t xml:space="preserve">Thus, there is no express provision for how the clause is to work in the event of it being triggered by the appointment of a receiver or an examiner.  </w:t>
      </w:r>
      <w:r w:rsidR="00B152D0" w:rsidRPr="00411456">
        <w:rPr>
          <w:color w:val="000000"/>
          <w:lang w:val="en-IE"/>
        </w:rPr>
        <w:t xml:space="preserve">Further, </w:t>
      </w:r>
      <w:r w:rsidRPr="00411456">
        <w:rPr>
          <w:color w:val="000000"/>
          <w:lang w:val="en-IE"/>
        </w:rPr>
        <w:t>despite t</w:t>
      </w:r>
      <w:r w:rsidR="00B152D0" w:rsidRPr="00411456">
        <w:rPr>
          <w:color w:val="000000"/>
          <w:lang w:val="en-IE"/>
        </w:rPr>
        <w:t>he reference to the period of fourteen</w:t>
      </w:r>
      <w:r w:rsidRPr="00411456">
        <w:rPr>
          <w:color w:val="000000"/>
          <w:lang w:val="en-IE"/>
        </w:rPr>
        <w:t xml:space="preserve"> days specified in clause 12</w:t>
      </w:r>
      <w:r w:rsidR="00B152D0" w:rsidRPr="00411456">
        <w:rPr>
          <w:color w:val="000000"/>
          <w:lang w:val="en-IE"/>
        </w:rPr>
        <w:t>.3.1, there is in fact no clause 12.3.1 i</w:t>
      </w:r>
      <w:r w:rsidRPr="00411456">
        <w:rPr>
          <w:color w:val="000000"/>
          <w:lang w:val="en-IE"/>
        </w:rPr>
        <w:t>n the shareholders</w:t>
      </w:r>
      <w:r w:rsidR="00B152D0" w:rsidRPr="00411456">
        <w:rPr>
          <w:color w:val="000000"/>
          <w:lang w:val="en-IE"/>
        </w:rPr>
        <w:t>’</w:t>
      </w:r>
      <w:r w:rsidRPr="00411456">
        <w:rPr>
          <w:color w:val="000000"/>
          <w:lang w:val="en-IE"/>
        </w:rPr>
        <w:t xml:space="preserve"> a</w:t>
      </w:r>
      <w:r w:rsidR="00B152D0" w:rsidRPr="00411456">
        <w:rPr>
          <w:color w:val="000000"/>
          <w:lang w:val="en-IE"/>
        </w:rPr>
        <w:t>greement. The respondents argue</w:t>
      </w:r>
      <w:r w:rsidRPr="00411456">
        <w:rPr>
          <w:color w:val="000000"/>
          <w:lang w:val="en-IE"/>
        </w:rPr>
        <w:t xml:space="preserve"> that this is clearly</w:t>
      </w:r>
      <w:r w:rsidR="00B152D0" w:rsidRPr="00411456">
        <w:rPr>
          <w:color w:val="000000"/>
          <w:lang w:val="en-IE"/>
        </w:rPr>
        <w:t xml:space="preserve"> an error and should be read as a</w:t>
      </w:r>
      <w:r w:rsidRPr="00411456">
        <w:rPr>
          <w:color w:val="000000"/>
          <w:lang w:val="en-IE"/>
        </w:rPr>
        <w:t xml:space="preserve"> reference to the coolin</w:t>
      </w:r>
      <w:r w:rsidR="00B152D0" w:rsidRPr="00411456">
        <w:rPr>
          <w:color w:val="000000"/>
          <w:lang w:val="en-IE"/>
        </w:rPr>
        <w:t>g off period in clause 11.</w:t>
      </w:r>
      <w:r w:rsidRPr="00411456">
        <w:rPr>
          <w:color w:val="000000"/>
          <w:lang w:val="en-IE"/>
        </w:rPr>
        <w:t>2.1 which</w:t>
      </w:r>
      <w:r w:rsidR="00B152D0" w:rsidRPr="00411456">
        <w:rPr>
          <w:color w:val="000000"/>
          <w:lang w:val="en-IE"/>
        </w:rPr>
        <w:t>,</w:t>
      </w:r>
      <w:r w:rsidRPr="00411456">
        <w:rPr>
          <w:color w:val="000000"/>
          <w:lang w:val="en-IE"/>
        </w:rPr>
        <w:t xml:space="preserve"> it is contended</w:t>
      </w:r>
      <w:r w:rsidR="00B152D0" w:rsidRPr="00411456">
        <w:rPr>
          <w:color w:val="000000"/>
          <w:lang w:val="en-IE"/>
        </w:rPr>
        <w:t>, is to be extended from fourteen</w:t>
      </w:r>
      <w:r w:rsidRPr="00411456">
        <w:rPr>
          <w:color w:val="000000"/>
          <w:lang w:val="en-IE"/>
        </w:rPr>
        <w:t xml:space="preserve"> days to three months.</w:t>
      </w:r>
      <w:r w:rsidR="003A7346">
        <w:rPr>
          <w:color w:val="000000"/>
          <w:lang w:val="en-IE"/>
        </w:rPr>
        <w:t xml:space="preserve"> </w:t>
      </w:r>
    </w:p>
    <w:p w14:paraId="5B156AEE" w14:textId="77777777" w:rsidR="00886FFD" w:rsidRPr="00886FFD" w:rsidRDefault="00886FFD" w:rsidP="004A0604">
      <w:pPr>
        <w:pStyle w:val="NormalWeb"/>
        <w:spacing w:before="0" w:beforeAutospacing="0" w:after="0" w:afterAutospacing="0" w:line="480" w:lineRule="auto"/>
        <w:jc w:val="both"/>
        <w:rPr>
          <w:color w:val="000000"/>
          <w:lang w:val="en-IE"/>
        </w:rPr>
      </w:pPr>
    </w:p>
    <w:p w14:paraId="10BA0EF2" w14:textId="15BDDEDB" w:rsidR="00B152D0" w:rsidRPr="00411456" w:rsidRDefault="00B152D0" w:rsidP="004A0604">
      <w:pPr>
        <w:pStyle w:val="NormalWeb"/>
        <w:spacing w:before="0" w:beforeAutospacing="0" w:after="0" w:afterAutospacing="0" w:line="480" w:lineRule="auto"/>
        <w:jc w:val="both"/>
        <w:rPr>
          <w:b/>
          <w:color w:val="000000"/>
          <w:u w:val="single"/>
          <w:lang w:val="en-IE"/>
        </w:rPr>
      </w:pPr>
      <w:r w:rsidRPr="00411456">
        <w:rPr>
          <w:b/>
          <w:color w:val="000000"/>
          <w:u w:val="single"/>
          <w:lang w:val="en-IE"/>
        </w:rPr>
        <w:t xml:space="preserve">The </w:t>
      </w:r>
      <w:r w:rsidR="00456DFE">
        <w:rPr>
          <w:b/>
          <w:color w:val="000000"/>
          <w:u w:val="single"/>
          <w:lang w:val="en-IE"/>
        </w:rPr>
        <w:t>D</w:t>
      </w:r>
      <w:r w:rsidRPr="00411456">
        <w:rPr>
          <w:b/>
          <w:color w:val="000000"/>
          <w:u w:val="single"/>
          <w:lang w:val="en-IE"/>
        </w:rPr>
        <w:t>isputed</w:t>
      </w:r>
      <w:r w:rsidR="00D32292" w:rsidRPr="00411456">
        <w:rPr>
          <w:b/>
          <w:color w:val="000000"/>
          <w:u w:val="single"/>
          <w:lang w:val="en-IE"/>
        </w:rPr>
        <w:t xml:space="preserve"> </w:t>
      </w:r>
      <w:r w:rsidR="00456DFE">
        <w:rPr>
          <w:b/>
          <w:color w:val="000000"/>
          <w:u w:val="single"/>
          <w:lang w:val="en-IE"/>
        </w:rPr>
        <w:t>T</w:t>
      </w:r>
      <w:r w:rsidR="00D32292" w:rsidRPr="00411456">
        <w:rPr>
          <w:b/>
          <w:color w:val="000000"/>
          <w:u w:val="single"/>
          <w:lang w:val="en-IE"/>
        </w:rPr>
        <w:t>ransa</w:t>
      </w:r>
      <w:r w:rsidRPr="00411456">
        <w:rPr>
          <w:b/>
          <w:color w:val="000000"/>
          <w:u w:val="single"/>
          <w:lang w:val="en-IE"/>
        </w:rPr>
        <w:t>ction</w:t>
      </w:r>
    </w:p>
    <w:p w14:paraId="4CDC1209" w14:textId="3AF6C404" w:rsidR="00D32292" w:rsidRPr="00411456" w:rsidRDefault="00B152D0"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R</w:t>
      </w:r>
      <w:r w:rsidR="00D32292" w:rsidRPr="00411456">
        <w:rPr>
          <w:color w:val="000000"/>
          <w:lang w:val="en-IE"/>
        </w:rPr>
        <w:t>everting to the history of intera</w:t>
      </w:r>
      <w:r w:rsidRPr="00411456">
        <w:rPr>
          <w:color w:val="000000"/>
          <w:lang w:val="en-IE"/>
        </w:rPr>
        <w:t xml:space="preserve">ctions between the parties, </w:t>
      </w:r>
      <w:r w:rsidR="00D32292" w:rsidRPr="00411456">
        <w:rPr>
          <w:color w:val="000000"/>
          <w:lang w:val="en-IE"/>
        </w:rPr>
        <w:t>on 14</w:t>
      </w:r>
      <w:r w:rsidR="00D32292" w:rsidRPr="00411456">
        <w:rPr>
          <w:color w:val="000000"/>
          <w:vertAlign w:val="superscript"/>
          <w:lang w:val="en-IE"/>
        </w:rPr>
        <w:t>th</w:t>
      </w:r>
      <w:r w:rsidRPr="00411456">
        <w:rPr>
          <w:color w:val="000000"/>
          <w:lang w:val="en-IE"/>
        </w:rPr>
        <w:t xml:space="preserve"> November 2012, </w:t>
      </w:r>
      <w:proofErr w:type="gramStart"/>
      <w:r w:rsidRPr="00411456">
        <w:rPr>
          <w:color w:val="000000"/>
          <w:lang w:val="en-IE"/>
        </w:rPr>
        <w:t>subsequent to</w:t>
      </w:r>
      <w:proofErr w:type="gramEnd"/>
      <w:r w:rsidRPr="00411456">
        <w:rPr>
          <w:color w:val="000000"/>
          <w:lang w:val="en-IE"/>
        </w:rPr>
        <w:t xml:space="preserve"> the</w:t>
      </w:r>
      <w:r w:rsidR="00D32292" w:rsidRPr="00411456">
        <w:rPr>
          <w:color w:val="000000"/>
          <w:lang w:val="en-IE"/>
        </w:rPr>
        <w:t xml:space="preserve"> appointment of an examiner to the applicant on </w:t>
      </w:r>
      <w:r w:rsidR="00056F02">
        <w:rPr>
          <w:color w:val="000000"/>
          <w:lang w:val="en-IE"/>
        </w:rPr>
        <w:t>31</w:t>
      </w:r>
      <w:r w:rsidR="00056F02" w:rsidRPr="008A391E">
        <w:rPr>
          <w:color w:val="000000"/>
          <w:vertAlign w:val="superscript"/>
          <w:lang w:val="en-IE"/>
        </w:rPr>
        <w:t>st</w:t>
      </w:r>
      <w:r w:rsidR="00056F02">
        <w:rPr>
          <w:color w:val="000000"/>
          <w:lang w:val="en-IE"/>
        </w:rPr>
        <w:t xml:space="preserve"> </w:t>
      </w:r>
      <w:r w:rsidRPr="00411456">
        <w:rPr>
          <w:color w:val="000000"/>
          <w:lang w:val="en-IE"/>
        </w:rPr>
        <w:t>October 2012,</w:t>
      </w:r>
      <w:r w:rsidR="00D32292" w:rsidRPr="00411456">
        <w:rPr>
          <w:color w:val="000000"/>
          <w:lang w:val="en-IE"/>
        </w:rPr>
        <w:t xml:space="preserve"> </w:t>
      </w:r>
      <w:r w:rsidRPr="00411456">
        <w:rPr>
          <w:color w:val="000000"/>
          <w:lang w:val="en-IE"/>
        </w:rPr>
        <w:t>Amber’s then-solicitor wrote to</w:t>
      </w:r>
      <w:r w:rsidR="00D32292" w:rsidRPr="00411456">
        <w:rPr>
          <w:color w:val="000000"/>
          <w:lang w:val="en-IE"/>
        </w:rPr>
        <w:t xml:space="preserve"> the examiner invoking the provisions of clause 11.5 of the shareholders</w:t>
      </w:r>
      <w:r w:rsidRPr="00411456">
        <w:rPr>
          <w:color w:val="000000"/>
          <w:lang w:val="en-IE"/>
        </w:rPr>
        <w:t>’</w:t>
      </w:r>
      <w:r w:rsidR="00D32292" w:rsidRPr="00411456">
        <w:rPr>
          <w:color w:val="000000"/>
          <w:lang w:val="en-IE"/>
        </w:rPr>
        <w:t xml:space="preserve"> agreement and accepting the applicants d</w:t>
      </w:r>
      <w:r w:rsidRPr="00411456">
        <w:rPr>
          <w:color w:val="000000"/>
          <w:lang w:val="en-IE"/>
        </w:rPr>
        <w:t>eemed offer for sale of its shares</w:t>
      </w:r>
      <w:r w:rsidR="00D32292" w:rsidRPr="00411456">
        <w:rPr>
          <w:color w:val="000000"/>
          <w:lang w:val="en-IE"/>
        </w:rPr>
        <w:t>.</w:t>
      </w:r>
    </w:p>
    <w:p w14:paraId="31ACBEFC" w14:textId="27CA95FC" w:rsidR="00EB20DB" w:rsidRPr="00411456" w:rsidRDefault="00D32292"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The solicitor suggested that the parties shou</w:t>
      </w:r>
      <w:r w:rsidR="00B152D0" w:rsidRPr="00411456">
        <w:rPr>
          <w:color w:val="000000"/>
          <w:lang w:val="en-IE"/>
        </w:rPr>
        <w:t>ld agree that the shares had a nil or</w:t>
      </w:r>
      <w:r w:rsidRPr="00411456">
        <w:rPr>
          <w:color w:val="000000"/>
          <w:lang w:val="en-IE"/>
        </w:rPr>
        <w:t xml:space="preserve"> par value and advise</w:t>
      </w:r>
      <w:r w:rsidR="00E861BC">
        <w:rPr>
          <w:color w:val="000000"/>
          <w:lang w:val="en-IE"/>
        </w:rPr>
        <w:t>d</w:t>
      </w:r>
      <w:r w:rsidRPr="00411456">
        <w:rPr>
          <w:color w:val="000000"/>
          <w:lang w:val="en-IE"/>
        </w:rPr>
        <w:t xml:space="preserve"> that</w:t>
      </w:r>
      <w:r w:rsidR="00B152D0" w:rsidRPr="00411456">
        <w:rPr>
          <w:color w:val="000000"/>
          <w:lang w:val="en-IE"/>
        </w:rPr>
        <w:t xml:space="preserve">, in default </w:t>
      </w:r>
      <w:r w:rsidRPr="00411456">
        <w:rPr>
          <w:color w:val="000000"/>
          <w:lang w:val="en-IE"/>
        </w:rPr>
        <w:t>of agreement</w:t>
      </w:r>
      <w:r w:rsidR="00B152D0" w:rsidRPr="00411456">
        <w:rPr>
          <w:color w:val="000000"/>
          <w:lang w:val="en-IE"/>
        </w:rPr>
        <w:t>,</w:t>
      </w:r>
      <w:r w:rsidRPr="00411456">
        <w:rPr>
          <w:color w:val="000000"/>
          <w:lang w:val="en-IE"/>
        </w:rPr>
        <w:t xml:space="preserve"> </w:t>
      </w:r>
      <w:r w:rsidR="00B152D0" w:rsidRPr="00411456">
        <w:rPr>
          <w:color w:val="000000"/>
          <w:lang w:val="en-IE"/>
        </w:rPr>
        <w:t xml:space="preserve">Amber would request the company’s auditors to complete a </w:t>
      </w:r>
      <w:r w:rsidRPr="00411456">
        <w:rPr>
          <w:color w:val="000000"/>
          <w:lang w:val="en-IE"/>
        </w:rPr>
        <w:t>valuation and report back to the parties</w:t>
      </w:r>
      <w:r w:rsidR="00B152D0" w:rsidRPr="00411456">
        <w:rPr>
          <w:color w:val="000000"/>
          <w:lang w:val="en-IE"/>
        </w:rPr>
        <w:t xml:space="preserve">. The exhibited </w:t>
      </w:r>
      <w:r w:rsidRPr="00411456">
        <w:rPr>
          <w:color w:val="000000"/>
          <w:lang w:val="en-IE"/>
        </w:rPr>
        <w:t>material does not indicate</w:t>
      </w:r>
      <w:r w:rsidR="00B152D0" w:rsidRPr="00411456">
        <w:rPr>
          <w:color w:val="000000"/>
          <w:lang w:val="en-IE"/>
        </w:rPr>
        <w:t xml:space="preserve"> what, if</w:t>
      </w:r>
      <w:r w:rsidRPr="00411456">
        <w:rPr>
          <w:color w:val="000000"/>
          <w:lang w:val="en-IE"/>
        </w:rPr>
        <w:t xml:space="preserve"> any</w:t>
      </w:r>
      <w:r w:rsidR="00B152D0" w:rsidRPr="00411456">
        <w:rPr>
          <w:color w:val="000000"/>
          <w:lang w:val="en-IE"/>
        </w:rPr>
        <w:t xml:space="preserve">, </w:t>
      </w:r>
      <w:r w:rsidRPr="00411456">
        <w:rPr>
          <w:color w:val="000000"/>
          <w:lang w:val="en-IE"/>
        </w:rPr>
        <w:t xml:space="preserve">response </w:t>
      </w:r>
      <w:r w:rsidRPr="00411456">
        <w:rPr>
          <w:color w:val="000000"/>
          <w:lang w:val="en-IE"/>
        </w:rPr>
        <w:lastRenderedPageBreak/>
        <w:t>was rece</w:t>
      </w:r>
      <w:r w:rsidR="00B152D0" w:rsidRPr="00411456">
        <w:rPr>
          <w:color w:val="000000"/>
          <w:lang w:val="en-IE"/>
        </w:rPr>
        <w:t>ived from the examiner. However, the matter</w:t>
      </w:r>
      <w:r w:rsidRPr="00411456">
        <w:rPr>
          <w:color w:val="000000"/>
          <w:lang w:val="en-IE"/>
        </w:rPr>
        <w:t xml:space="preserve"> was referred to the auditors </w:t>
      </w:r>
      <w:r w:rsidR="00B152D0" w:rsidRPr="00411456">
        <w:rPr>
          <w:color w:val="000000"/>
          <w:lang w:val="en-IE"/>
        </w:rPr>
        <w:t>who reported by letter dated 8</w:t>
      </w:r>
      <w:r w:rsidR="00B152D0" w:rsidRPr="00411456">
        <w:rPr>
          <w:color w:val="000000"/>
          <w:vertAlign w:val="superscript"/>
          <w:lang w:val="en-IE"/>
        </w:rPr>
        <w:t>th</w:t>
      </w:r>
      <w:r w:rsidR="00B152D0" w:rsidRPr="00411456">
        <w:rPr>
          <w:color w:val="000000"/>
          <w:lang w:val="en-IE"/>
        </w:rPr>
        <w:t xml:space="preserve"> January 2013 that as the property at Waterford Port, </w:t>
      </w:r>
      <w:r w:rsidRPr="00411456">
        <w:rPr>
          <w:color w:val="000000"/>
          <w:lang w:val="en-IE"/>
        </w:rPr>
        <w:t>be</w:t>
      </w:r>
      <w:r w:rsidR="00B152D0" w:rsidRPr="00411456">
        <w:rPr>
          <w:color w:val="000000"/>
          <w:lang w:val="en-IE"/>
        </w:rPr>
        <w:t>ing</w:t>
      </w:r>
      <w:r w:rsidRPr="00411456">
        <w:rPr>
          <w:color w:val="000000"/>
          <w:lang w:val="en-IE"/>
        </w:rPr>
        <w:t xml:space="preserve"> the only asset of the compan</w:t>
      </w:r>
      <w:r w:rsidR="00B152D0" w:rsidRPr="00411456">
        <w:rPr>
          <w:color w:val="000000"/>
          <w:lang w:val="en-IE"/>
        </w:rPr>
        <w:t xml:space="preserve">y, </w:t>
      </w:r>
      <w:r w:rsidRPr="00411456">
        <w:rPr>
          <w:color w:val="000000"/>
          <w:lang w:val="en-IE"/>
        </w:rPr>
        <w:t>w</w:t>
      </w:r>
      <w:r w:rsidR="00B152D0" w:rsidRPr="00411456">
        <w:rPr>
          <w:color w:val="000000"/>
          <w:lang w:val="en-IE"/>
        </w:rPr>
        <w:t>as valued at 50% of its cost</w:t>
      </w:r>
      <w:r w:rsidR="00E861BC">
        <w:rPr>
          <w:color w:val="000000"/>
          <w:lang w:val="en-IE"/>
        </w:rPr>
        <w:t xml:space="preserve"> it was in negative equity and </w:t>
      </w:r>
      <w:r w:rsidR="00B152D0" w:rsidRPr="00411456">
        <w:rPr>
          <w:color w:val="000000"/>
          <w:lang w:val="en-IE"/>
        </w:rPr>
        <w:t>t</w:t>
      </w:r>
      <w:r w:rsidRPr="00411456">
        <w:rPr>
          <w:color w:val="000000"/>
          <w:lang w:val="en-IE"/>
        </w:rPr>
        <w:t xml:space="preserve">he company had a deficiency of assets. Consequently, the view of the auditors was that the </w:t>
      </w:r>
      <w:r w:rsidR="00B152D0" w:rsidRPr="00411456">
        <w:rPr>
          <w:color w:val="000000"/>
          <w:lang w:val="en-IE"/>
        </w:rPr>
        <w:t>shares had a nil value</w:t>
      </w:r>
      <w:r w:rsidRPr="00411456">
        <w:rPr>
          <w:color w:val="000000"/>
          <w:lang w:val="en-IE"/>
        </w:rPr>
        <w:t>. On 29</w:t>
      </w:r>
      <w:r w:rsidRPr="00411456">
        <w:rPr>
          <w:color w:val="000000"/>
          <w:vertAlign w:val="superscript"/>
          <w:lang w:val="en-IE"/>
        </w:rPr>
        <w:t>th</w:t>
      </w:r>
      <w:r w:rsidR="00B152D0" w:rsidRPr="00411456">
        <w:rPr>
          <w:color w:val="000000"/>
          <w:lang w:val="en-IE"/>
        </w:rPr>
        <w:t xml:space="preserve"> January 2013, Amber’s solicito</w:t>
      </w:r>
      <w:r w:rsidRPr="00411456">
        <w:rPr>
          <w:color w:val="000000"/>
          <w:lang w:val="en-IE"/>
        </w:rPr>
        <w:t>r wrote to the examiner agai</w:t>
      </w:r>
      <w:r w:rsidR="00B152D0" w:rsidRPr="00411456">
        <w:rPr>
          <w:color w:val="000000"/>
          <w:lang w:val="en-IE"/>
        </w:rPr>
        <w:t xml:space="preserve">n enclosing the auditor’s report and a cheque </w:t>
      </w:r>
      <w:r w:rsidR="00E861BC">
        <w:rPr>
          <w:color w:val="000000"/>
          <w:lang w:val="en-IE"/>
        </w:rPr>
        <w:t xml:space="preserve">for €50 </w:t>
      </w:r>
      <w:r w:rsidR="00B152D0" w:rsidRPr="00411456">
        <w:rPr>
          <w:color w:val="000000"/>
          <w:lang w:val="en-IE"/>
        </w:rPr>
        <w:t>dated 7</w:t>
      </w:r>
      <w:r w:rsidR="00B152D0" w:rsidRPr="00411456">
        <w:rPr>
          <w:color w:val="000000"/>
          <w:vertAlign w:val="superscript"/>
          <w:lang w:val="en-IE"/>
        </w:rPr>
        <w:t>th</w:t>
      </w:r>
      <w:r w:rsidR="00B152D0" w:rsidRPr="00411456">
        <w:rPr>
          <w:color w:val="000000"/>
          <w:lang w:val="en-IE"/>
        </w:rPr>
        <w:t xml:space="preserve"> January 2013</w:t>
      </w:r>
      <w:r w:rsidRPr="00411456">
        <w:rPr>
          <w:color w:val="000000"/>
          <w:lang w:val="en-IE"/>
        </w:rPr>
        <w:t xml:space="preserve"> payable to the applicant and</w:t>
      </w:r>
      <w:r w:rsidR="00B152D0" w:rsidRPr="00411456">
        <w:rPr>
          <w:color w:val="000000"/>
          <w:lang w:val="en-IE"/>
        </w:rPr>
        <w:t xml:space="preserve"> a </w:t>
      </w:r>
      <w:r w:rsidRPr="00411456">
        <w:rPr>
          <w:color w:val="000000"/>
          <w:lang w:val="en-IE"/>
        </w:rPr>
        <w:t>share transfer form to be completed on b</w:t>
      </w:r>
      <w:r w:rsidR="00B152D0" w:rsidRPr="00411456">
        <w:rPr>
          <w:color w:val="000000"/>
          <w:lang w:val="en-IE"/>
        </w:rPr>
        <w:t xml:space="preserve">ehalf of the applicant. </w:t>
      </w:r>
      <w:r w:rsidR="00E861BC">
        <w:rPr>
          <w:color w:val="000000"/>
          <w:lang w:val="en-IE"/>
        </w:rPr>
        <w:t xml:space="preserve"> The amount of the cheque </w:t>
      </w:r>
      <w:r w:rsidR="003A7346">
        <w:rPr>
          <w:color w:val="000000"/>
          <w:lang w:val="en-IE"/>
        </w:rPr>
        <w:t xml:space="preserve">is not related to the valuation as it </w:t>
      </w:r>
      <w:r w:rsidR="00E861BC">
        <w:rPr>
          <w:color w:val="000000"/>
          <w:lang w:val="en-IE"/>
        </w:rPr>
        <w:t xml:space="preserve">reflects the par value of the shares without a 30% deduction. </w:t>
      </w:r>
      <w:r w:rsidR="00B152D0" w:rsidRPr="00411456">
        <w:rPr>
          <w:color w:val="000000"/>
          <w:lang w:val="en-IE"/>
        </w:rPr>
        <w:t>Mr. Fitzgerald, a director of both respondent companies</w:t>
      </w:r>
      <w:r w:rsidR="00E861BC">
        <w:rPr>
          <w:color w:val="000000"/>
          <w:lang w:val="en-IE"/>
        </w:rPr>
        <w:t>,</w:t>
      </w:r>
      <w:r w:rsidR="00B152D0" w:rsidRPr="00411456">
        <w:rPr>
          <w:color w:val="000000"/>
          <w:lang w:val="en-IE"/>
        </w:rPr>
        <w:t xml:space="preserve"> has deposed</w:t>
      </w:r>
      <w:r w:rsidRPr="00411456">
        <w:rPr>
          <w:color w:val="000000"/>
          <w:lang w:val="en-IE"/>
        </w:rPr>
        <w:t xml:space="preserve"> on </w:t>
      </w:r>
      <w:r w:rsidR="00B152D0" w:rsidRPr="00411456">
        <w:rPr>
          <w:color w:val="000000"/>
          <w:lang w:val="en-IE"/>
        </w:rPr>
        <w:t xml:space="preserve">affidavit that Amber’s then-solicitor (who is not the same solicitor currently </w:t>
      </w:r>
      <w:r w:rsidRPr="00411456">
        <w:rPr>
          <w:color w:val="000000"/>
          <w:lang w:val="en-IE"/>
        </w:rPr>
        <w:t>acting on behalf of the respondents</w:t>
      </w:r>
      <w:r w:rsidR="00B152D0" w:rsidRPr="00411456">
        <w:rPr>
          <w:color w:val="000000"/>
          <w:lang w:val="en-IE"/>
        </w:rPr>
        <w:t>)</w:t>
      </w:r>
      <w:r w:rsidRPr="00411456">
        <w:rPr>
          <w:color w:val="000000"/>
          <w:lang w:val="en-IE"/>
        </w:rPr>
        <w:t xml:space="preserve"> received the completed stock transfer form on 19</w:t>
      </w:r>
      <w:r w:rsidR="00B152D0" w:rsidRPr="00411456">
        <w:rPr>
          <w:color w:val="000000"/>
          <w:vertAlign w:val="superscript"/>
          <w:lang w:val="en-IE"/>
        </w:rPr>
        <w:t>th</w:t>
      </w:r>
      <w:r w:rsidR="00B152D0" w:rsidRPr="00411456">
        <w:rPr>
          <w:color w:val="000000"/>
          <w:lang w:val="en-IE"/>
        </w:rPr>
        <w:t xml:space="preserve"> February 2013. The exhibited</w:t>
      </w:r>
      <w:r w:rsidRPr="00411456">
        <w:rPr>
          <w:color w:val="000000"/>
          <w:lang w:val="en-IE"/>
        </w:rPr>
        <w:t xml:space="preserve"> form which is completed and sig</w:t>
      </w:r>
      <w:r w:rsidR="00B152D0" w:rsidRPr="00411456">
        <w:rPr>
          <w:color w:val="000000"/>
          <w:lang w:val="en-IE"/>
        </w:rPr>
        <w:t>ned by Mr. Thomas Tougher</w:t>
      </w:r>
      <w:r w:rsidRPr="00411456">
        <w:rPr>
          <w:color w:val="000000"/>
          <w:lang w:val="en-IE"/>
        </w:rPr>
        <w:t>,</w:t>
      </w:r>
      <w:r w:rsidR="00B152D0" w:rsidRPr="00411456">
        <w:rPr>
          <w:color w:val="000000"/>
          <w:lang w:val="en-IE"/>
        </w:rPr>
        <w:t xml:space="preserve"> then a</w:t>
      </w:r>
      <w:r w:rsidRPr="00411456">
        <w:rPr>
          <w:color w:val="000000"/>
          <w:lang w:val="en-IE"/>
        </w:rPr>
        <w:t xml:space="preserve"> d</w:t>
      </w:r>
      <w:r w:rsidR="00B152D0" w:rsidRPr="00411456">
        <w:rPr>
          <w:color w:val="000000"/>
          <w:lang w:val="en-IE"/>
        </w:rPr>
        <w:t>irector of the applicant,</w:t>
      </w:r>
      <w:r w:rsidRPr="00411456">
        <w:rPr>
          <w:color w:val="000000"/>
          <w:lang w:val="en-IE"/>
        </w:rPr>
        <w:t xml:space="preserve"> is</w:t>
      </w:r>
      <w:r w:rsidR="00B152D0" w:rsidRPr="00411456">
        <w:rPr>
          <w:color w:val="000000"/>
          <w:lang w:val="en-IE"/>
        </w:rPr>
        <w:t xml:space="preserve"> undated. Extracts from Amber’s bank statements are exhibited which show that a cheque</w:t>
      </w:r>
      <w:r w:rsidRPr="00411456">
        <w:rPr>
          <w:color w:val="000000"/>
          <w:lang w:val="en-IE"/>
        </w:rPr>
        <w:t xml:space="preserve"> for </w:t>
      </w:r>
      <w:r w:rsidR="00B152D0" w:rsidRPr="00411456">
        <w:rPr>
          <w:color w:val="000000"/>
          <w:lang w:val="en-IE"/>
        </w:rPr>
        <w:t>€50</w:t>
      </w:r>
      <w:r w:rsidRPr="00411456">
        <w:rPr>
          <w:color w:val="000000"/>
          <w:lang w:val="en-IE"/>
        </w:rPr>
        <w:t xml:space="preserve"> </w:t>
      </w:r>
      <w:r w:rsidR="00E861BC">
        <w:rPr>
          <w:color w:val="000000"/>
          <w:lang w:val="en-IE"/>
        </w:rPr>
        <w:t xml:space="preserve">bearing the same reference as the cheque made out to the applicant </w:t>
      </w:r>
      <w:r w:rsidRPr="00411456">
        <w:rPr>
          <w:color w:val="000000"/>
          <w:lang w:val="en-IE"/>
        </w:rPr>
        <w:t>was lodged on 20</w:t>
      </w:r>
      <w:r w:rsidRPr="00411456">
        <w:rPr>
          <w:color w:val="000000"/>
          <w:vertAlign w:val="superscript"/>
          <w:lang w:val="en-IE"/>
        </w:rPr>
        <w:t>th</w:t>
      </w:r>
      <w:r w:rsidR="00B152D0" w:rsidRPr="00411456">
        <w:rPr>
          <w:color w:val="000000"/>
          <w:lang w:val="en-IE"/>
        </w:rPr>
        <w:t xml:space="preserve"> February 2013 and that amount was debited from </w:t>
      </w:r>
      <w:proofErr w:type="gramStart"/>
      <w:r w:rsidR="00B152D0" w:rsidRPr="00411456">
        <w:rPr>
          <w:color w:val="000000"/>
          <w:lang w:val="en-IE"/>
        </w:rPr>
        <w:t>Amber’</w:t>
      </w:r>
      <w:r w:rsidRPr="00411456">
        <w:rPr>
          <w:color w:val="000000"/>
          <w:lang w:val="en-IE"/>
        </w:rPr>
        <w:t>s</w:t>
      </w:r>
      <w:proofErr w:type="gramEnd"/>
      <w:r w:rsidR="00B152D0" w:rsidRPr="00411456">
        <w:rPr>
          <w:color w:val="000000"/>
          <w:lang w:val="en-IE"/>
        </w:rPr>
        <w:t xml:space="preserve"> account</w:t>
      </w:r>
      <w:r w:rsidRPr="00411456">
        <w:rPr>
          <w:color w:val="000000"/>
          <w:lang w:val="en-IE"/>
        </w:rPr>
        <w:t xml:space="preserve">. Mr. </w:t>
      </w:r>
      <w:proofErr w:type="spellStart"/>
      <w:r w:rsidR="00B152D0" w:rsidRPr="00411456">
        <w:rPr>
          <w:color w:val="000000"/>
          <w:lang w:val="en-IE"/>
        </w:rPr>
        <w:t>O’</w:t>
      </w:r>
      <w:r w:rsidRPr="00411456">
        <w:rPr>
          <w:color w:val="000000"/>
          <w:lang w:val="en-IE"/>
        </w:rPr>
        <w:t>Regan</w:t>
      </w:r>
      <w:proofErr w:type="spellEnd"/>
      <w:r w:rsidRPr="00411456">
        <w:rPr>
          <w:color w:val="000000"/>
          <w:lang w:val="en-IE"/>
        </w:rPr>
        <w:t xml:space="preserve"> on behalf of the applicant contends that the stock transfe</w:t>
      </w:r>
      <w:r w:rsidR="00B152D0" w:rsidRPr="00411456">
        <w:rPr>
          <w:color w:val="000000"/>
          <w:lang w:val="en-IE"/>
        </w:rPr>
        <w:t>r form was not legally executed on behalf of the applicant</w:t>
      </w:r>
      <w:r w:rsidRPr="00411456">
        <w:rPr>
          <w:color w:val="000000"/>
          <w:lang w:val="en-IE"/>
        </w:rPr>
        <w:t xml:space="preserve"> and that the </w:t>
      </w:r>
      <w:r w:rsidR="00B152D0" w:rsidRPr="00411456">
        <w:rPr>
          <w:color w:val="000000"/>
          <w:lang w:val="en-IE"/>
        </w:rPr>
        <w:t>€50</w:t>
      </w:r>
      <w:r w:rsidRPr="00411456">
        <w:rPr>
          <w:color w:val="000000"/>
          <w:lang w:val="en-IE"/>
        </w:rPr>
        <w:t xml:space="preserve"> was never received by the applicant</w:t>
      </w:r>
      <w:r w:rsidR="00B152D0" w:rsidRPr="00411456">
        <w:rPr>
          <w:color w:val="000000"/>
          <w:lang w:val="en-IE"/>
        </w:rPr>
        <w:t>.</w:t>
      </w:r>
      <w:r w:rsidR="006D5B39">
        <w:rPr>
          <w:color w:val="000000"/>
          <w:lang w:val="en-IE"/>
        </w:rPr>
        <w:t xml:space="preserve">  Mr Tougher resigned as a director of the company in September 2011. </w:t>
      </w:r>
    </w:p>
    <w:p w14:paraId="4B27899C" w14:textId="04D04C85" w:rsidR="005E6E57"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In normal course, </w:t>
      </w:r>
      <w:proofErr w:type="gramStart"/>
      <w:r w:rsidRPr="00411456">
        <w:rPr>
          <w:color w:val="000000"/>
          <w:lang w:val="en-IE"/>
        </w:rPr>
        <w:t>subsequent to</w:t>
      </w:r>
      <w:proofErr w:type="gramEnd"/>
      <w:r w:rsidRPr="00411456">
        <w:rPr>
          <w:color w:val="000000"/>
          <w:lang w:val="en-IE"/>
        </w:rPr>
        <w:t xml:space="preserve"> the steps outlined above, it w</w:t>
      </w:r>
      <w:r w:rsidR="006D5B39">
        <w:rPr>
          <w:color w:val="000000"/>
          <w:lang w:val="en-IE"/>
        </w:rPr>
        <w:t>ould</w:t>
      </w:r>
      <w:r w:rsidRPr="00411456">
        <w:rPr>
          <w:color w:val="000000"/>
          <w:lang w:val="en-IE"/>
        </w:rPr>
        <w:t xml:space="preserve"> be expected that Amber would no longer treat the applicant as having any interest in the company. However, this is not what happened. Instead, in July 2013 annual returns were filed on behalf of the company up to 11</w:t>
      </w:r>
      <w:r w:rsidRPr="00411456">
        <w:rPr>
          <w:color w:val="000000"/>
          <w:vertAlign w:val="superscript"/>
          <w:lang w:val="en-IE"/>
        </w:rPr>
        <w:t>th</w:t>
      </w:r>
      <w:r w:rsidRPr="00411456">
        <w:rPr>
          <w:color w:val="000000"/>
          <w:lang w:val="en-IE"/>
        </w:rPr>
        <w:t xml:space="preserve"> June 2013 listing the applicant as the owner of 50 shares in the company. This return was signed by the directors of the company including Mr. Fitzgerald. Similar returns were filed for each y</w:t>
      </w:r>
      <w:r w:rsidR="005E6E57" w:rsidRPr="00411456">
        <w:rPr>
          <w:color w:val="000000"/>
          <w:lang w:val="en-IE"/>
        </w:rPr>
        <w:t>ear between 2014 and 2020. Further,</w:t>
      </w:r>
      <w:r w:rsidRPr="00411456">
        <w:rPr>
          <w:color w:val="000000"/>
          <w:lang w:val="en-IE"/>
        </w:rPr>
        <w:t xml:space="preserve"> in February 2015, a special resolution was passed by the company converting the 50 shares nominally held by the applicant from ordinary shares </w:t>
      </w:r>
      <w:r w:rsidR="005E6E57" w:rsidRPr="00411456">
        <w:rPr>
          <w:color w:val="000000"/>
          <w:lang w:val="en-IE"/>
        </w:rPr>
        <w:t>to redeemable preference shares</w:t>
      </w:r>
      <w:r w:rsidRPr="00411456">
        <w:rPr>
          <w:color w:val="000000"/>
          <w:lang w:val="en-IE"/>
        </w:rPr>
        <w:t xml:space="preserve"> which did not carry the same voting </w:t>
      </w:r>
      <w:r w:rsidRPr="00411456">
        <w:rPr>
          <w:color w:val="000000"/>
          <w:lang w:val="en-IE"/>
        </w:rPr>
        <w:lastRenderedPageBreak/>
        <w:t>rights attached to ordinary shares or any entitle</w:t>
      </w:r>
      <w:r w:rsidR="005E6E57" w:rsidRPr="00411456">
        <w:rPr>
          <w:color w:val="000000"/>
          <w:lang w:val="en-IE"/>
        </w:rPr>
        <w:t>ment to dividends</w:t>
      </w:r>
      <w:r w:rsidRPr="00411456">
        <w:rPr>
          <w:color w:val="000000"/>
          <w:lang w:val="en-IE"/>
        </w:rPr>
        <w:t>. Despite this change bein</w:t>
      </w:r>
      <w:r w:rsidR="005E6E57" w:rsidRPr="00411456">
        <w:rPr>
          <w:color w:val="000000"/>
          <w:lang w:val="en-IE"/>
        </w:rPr>
        <w:t xml:space="preserve">g submitted to the CRO, </w:t>
      </w:r>
      <w:r w:rsidRPr="00411456">
        <w:rPr>
          <w:color w:val="000000"/>
          <w:lang w:val="en-IE"/>
        </w:rPr>
        <w:t xml:space="preserve">the annual returns </w:t>
      </w:r>
      <w:r w:rsidR="005E6E57" w:rsidRPr="00411456">
        <w:rPr>
          <w:color w:val="000000"/>
          <w:lang w:val="en-IE"/>
        </w:rPr>
        <w:t xml:space="preserve">filed </w:t>
      </w:r>
      <w:proofErr w:type="gramStart"/>
      <w:r w:rsidR="005E6E57" w:rsidRPr="00411456">
        <w:rPr>
          <w:color w:val="000000"/>
          <w:lang w:val="en-IE"/>
        </w:rPr>
        <w:t>subsequent to</w:t>
      </w:r>
      <w:proofErr w:type="gramEnd"/>
      <w:r w:rsidR="005E6E57" w:rsidRPr="00411456">
        <w:rPr>
          <w:color w:val="000000"/>
          <w:lang w:val="en-IE"/>
        </w:rPr>
        <w:t xml:space="preserve"> that date</w:t>
      </w:r>
      <w:r w:rsidRPr="00411456">
        <w:rPr>
          <w:color w:val="000000"/>
          <w:lang w:val="en-IE"/>
        </w:rPr>
        <w:t xml:space="preserve"> still show th</w:t>
      </w:r>
      <w:r w:rsidR="005E6E57" w:rsidRPr="00411456">
        <w:rPr>
          <w:color w:val="000000"/>
          <w:lang w:val="en-IE"/>
        </w:rPr>
        <w:t>e applicant as the owner of 50 o</w:t>
      </w:r>
      <w:r w:rsidRPr="00411456">
        <w:rPr>
          <w:color w:val="000000"/>
          <w:lang w:val="en-IE"/>
        </w:rPr>
        <w:t xml:space="preserve">rdinary </w:t>
      </w:r>
      <w:r w:rsidR="005E6E57" w:rsidRPr="00411456">
        <w:rPr>
          <w:color w:val="000000"/>
          <w:lang w:val="en-IE"/>
        </w:rPr>
        <w:t>shares, rather than redeemable preference shares.</w:t>
      </w:r>
      <w:r w:rsidR="006D5B39">
        <w:rPr>
          <w:color w:val="000000"/>
          <w:lang w:val="en-IE"/>
        </w:rPr>
        <w:t xml:space="preserve"> However, the applicant was not informed of the sale of the company’s property which took place in 2019.  The sale realised a sum of €3,400,000 – a considerable shortfall on the amount borrowed. The proceeds of sale were paid to the bank</w:t>
      </w:r>
      <w:r w:rsidR="00CF672C">
        <w:rPr>
          <w:color w:val="000000"/>
          <w:lang w:val="en-IE"/>
        </w:rPr>
        <w:t xml:space="preserve"> and Amber paid the outstanding balance </w:t>
      </w:r>
      <w:proofErr w:type="gramStart"/>
      <w:r w:rsidR="00CF672C">
        <w:rPr>
          <w:color w:val="000000"/>
          <w:lang w:val="en-IE"/>
        </w:rPr>
        <w:t>so as to</w:t>
      </w:r>
      <w:proofErr w:type="gramEnd"/>
      <w:r w:rsidR="00CF672C">
        <w:rPr>
          <w:color w:val="000000"/>
          <w:lang w:val="en-IE"/>
        </w:rPr>
        <w:t xml:space="preserve"> fully discharge the loan. </w:t>
      </w:r>
    </w:p>
    <w:p w14:paraId="46D70B20" w14:textId="696CAF97" w:rsidR="00F73268"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The most recent interaction between </w:t>
      </w:r>
      <w:r w:rsidR="005E6E57" w:rsidRPr="00411456">
        <w:rPr>
          <w:color w:val="000000"/>
          <w:lang w:val="en-IE"/>
        </w:rPr>
        <w:t xml:space="preserve">the parties, </w:t>
      </w:r>
      <w:r w:rsidRPr="00411456">
        <w:rPr>
          <w:color w:val="000000"/>
          <w:lang w:val="en-IE"/>
        </w:rPr>
        <w:t>which ultimately triggered this application</w:t>
      </w:r>
      <w:r w:rsidR="005E6E57" w:rsidRPr="00411456">
        <w:rPr>
          <w:color w:val="000000"/>
          <w:lang w:val="en-IE"/>
        </w:rPr>
        <w:t>,</w:t>
      </w:r>
      <w:r w:rsidRPr="00411456">
        <w:rPr>
          <w:color w:val="000000"/>
          <w:lang w:val="en-IE"/>
        </w:rPr>
        <w:t xml:space="preserve"> was a letter from Amber to the applicant dated 16</w:t>
      </w:r>
      <w:r w:rsidR="005E6E57" w:rsidRPr="00411456">
        <w:rPr>
          <w:color w:val="000000"/>
          <w:vertAlign w:val="superscript"/>
          <w:lang w:val="en-IE"/>
        </w:rPr>
        <w:t>th</w:t>
      </w:r>
      <w:r w:rsidR="005E6E57" w:rsidRPr="00411456">
        <w:rPr>
          <w:color w:val="000000"/>
          <w:lang w:val="en-IE"/>
        </w:rPr>
        <w:t xml:space="preserve"> November 2020</w:t>
      </w:r>
      <w:r w:rsidRPr="00411456">
        <w:rPr>
          <w:color w:val="000000"/>
          <w:lang w:val="en-IE"/>
        </w:rPr>
        <w:t xml:space="preserve"> n</w:t>
      </w:r>
      <w:r w:rsidR="005E6E57" w:rsidRPr="00411456">
        <w:rPr>
          <w:color w:val="000000"/>
          <w:lang w:val="en-IE"/>
        </w:rPr>
        <w:t xml:space="preserve">otifying the applicant of </w:t>
      </w:r>
      <w:proofErr w:type="gramStart"/>
      <w:r w:rsidR="005E6E57" w:rsidRPr="00411456">
        <w:rPr>
          <w:color w:val="000000"/>
          <w:lang w:val="en-IE"/>
        </w:rPr>
        <w:t>Amber’s</w:t>
      </w:r>
      <w:proofErr w:type="gramEnd"/>
      <w:r w:rsidR="005E6E57" w:rsidRPr="00411456">
        <w:rPr>
          <w:color w:val="000000"/>
          <w:lang w:val="en-IE"/>
        </w:rPr>
        <w:t xml:space="preserve"> intention to transfer its</w:t>
      </w:r>
      <w:r w:rsidRPr="00411456">
        <w:rPr>
          <w:color w:val="000000"/>
          <w:lang w:val="en-IE"/>
        </w:rPr>
        <w:t xml:space="preserve"> shareholding </w:t>
      </w:r>
      <w:r w:rsidR="005E6E57" w:rsidRPr="00411456">
        <w:rPr>
          <w:color w:val="000000"/>
          <w:lang w:val="en-IE"/>
        </w:rPr>
        <w:t>in the company to Otto</w:t>
      </w:r>
      <w:r w:rsidRPr="00411456">
        <w:rPr>
          <w:color w:val="000000"/>
          <w:lang w:val="en-IE"/>
        </w:rPr>
        <w:t>. The reason for this</w:t>
      </w:r>
      <w:r w:rsidR="00F73268" w:rsidRPr="00411456">
        <w:rPr>
          <w:color w:val="000000"/>
          <w:lang w:val="en-IE"/>
        </w:rPr>
        <w:t xml:space="preserve"> was </w:t>
      </w:r>
      <w:r w:rsidR="006D5B39">
        <w:rPr>
          <w:color w:val="000000"/>
          <w:lang w:val="en-IE"/>
        </w:rPr>
        <w:t xml:space="preserve">a </w:t>
      </w:r>
      <w:r w:rsidR="00F73268" w:rsidRPr="00411456">
        <w:rPr>
          <w:color w:val="000000"/>
          <w:lang w:val="en-IE"/>
        </w:rPr>
        <w:t>proposed sale of shares in Amber to a</w:t>
      </w:r>
      <w:r w:rsidRPr="00411456">
        <w:rPr>
          <w:color w:val="000000"/>
          <w:lang w:val="en-IE"/>
        </w:rPr>
        <w:t xml:space="preserve"> UK </w:t>
      </w:r>
      <w:r w:rsidR="00F73268" w:rsidRPr="00411456">
        <w:rPr>
          <w:color w:val="000000"/>
          <w:lang w:val="en-IE"/>
        </w:rPr>
        <w:t>based oil distributor</w:t>
      </w:r>
      <w:r w:rsidRPr="00411456">
        <w:rPr>
          <w:color w:val="000000"/>
          <w:lang w:val="en-IE"/>
        </w:rPr>
        <w:t>. It was a condition</w:t>
      </w:r>
      <w:r w:rsidR="00F73268" w:rsidRPr="00411456">
        <w:rPr>
          <w:color w:val="000000"/>
          <w:lang w:val="en-IE"/>
        </w:rPr>
        <w:t xml:space="preserve"> of this sale that any companies</w:t>
      </w:r>
      <w:r w:rsidRPr="00411456">
        <w:rPr>
          <w:color w:val="000000"/>
          <w:lang w:val="en-IE"/>
        </w:rPr>
        <w:t xml:space="preserve"> not carrying out</w:t>
      </w:r>
      <w:r w:rsidR="00F73268" w:rsidRPr="00411456">
        <w:rPr>
          <w:color w:val="000000"/>
          <w:lang w:val="en-IE"/>
        </w:rPr>
        <w:t xml:space="preserve"> the core business of fuel sales had to be transferred out of the </w:t>
      </w:r>
      <w:proofErr w:type="gramStart"/>
      <w:r w:rsidR="00F73268" w:rsidRPr="00411456">
        <w:rPr>
          <w:color w:val="000000"/>
          <w:lang w:val="en-IE"/>
        </w:rPr>
        <w:t>Amber</w:t>
      </w:r>
      <w:proofErr w:type="gramEnd"/>
      <w:r w:rsidRPr="00411456">
        <w:rPr>
          <w:color w:val="000000"/>
          <w:lang w:val="en-IE"/>
        </w:rPr>
        <w:t xml:space="preserve"> group before the completion of the transaction. The letter clearly stated that the company had</w:t>
      </w:r>
      <w:r w:rsidR="00F73268" w:rsidRPr="00411456">
        <w:rPr>
          <w:color w:val="000000"/>
          <w:lang w:val="en-IE"/>
        </w:rPr>
        <w:t xml:space="preserve"> sold the land at Waterford</w:t>
      </w:r>
      <w:r w:rsidRPr="00411456">
        <w:rPr>
          <w:color w:val="000000"/>
          <w:lang w:val="en-IE"/>
        </w:rPr>
        <w:t xml:space="preserve"> </w:t>
      </w:r>
      <w:r w:rsidR="00F73268" w:rsidRPr="00411456">
        <w:rPr>
          <w:color w:val="000000"/>
          <w:lang w:val="en-IE"/>
        </w:rPr>
        <w:t>Port at a loss and was carrying a</w:t>
      </w:r>
      <w:r w:rsidRPr="00411456">
        <w:rPr>
          <w:color w:val="000000"/>
          <w:lang w:val="en-IE"/>
        </w:rPr>
        <w:t xml:space="preserve"> large deficit</w:t>
      </w:r>
      <w:r w:rsidR="00F73268" w:rsidRPr="00411456">
        <w:rPr>
          <w:color w:val="000000"/>
          <w:lang w:val="en-IE"/>
        </w:rPr>
        <w:t xml:space="preserve"> on its balance sheet. The lette</w:t>
      </w:r>
      <w:r w:rsidRPr="00411456">
        <w:rPr>
          <w:color w:val="000000"/>
          <w:lang w:val="en-IE"/>
        </w:rPr>
        <w:t>r then proceeded to invoke clause 11.5 of the shareholders</w:t>
      </w:r>
      <w:r w:rsidR="00F73268" w:rsidRPr="00411456">
        <w:rPr>
          <w:color w:val="000000"/>
          <w:lang w:val="en-IE"/>
        </w:rPr>
        <w:t>’</w:t>
      </w:r>
      <w:r w:rsidRPr="00411456">
        <w:rPr>
          <w:color w:val="000000"/>
          <w:lang w:val="en-IE"/>
        </w:rPr>
        <w:t xml:space="preserve"> agreement as follows</w:t>
      </w:r>
      <w:r w:rsidR="00F73268" w:rsidRPr="00411456">
        <w:rPr>
          <w:color w:val="000000"/>
          <w:lang w:val="en-IE"/>
        </w:rPr>
        <w:t>:</w:t>
      </w:r>
      <w:r w:rsidR="00A622C4">
        <w:rPr>
          <w:color w:val="000000"/>
          <w:lang w:val="en-IE"/>
        </w:rPr>
        <w:t xml:space="preserve"> </w:t>
      </w:r>
      <w:r w:rsidR="00F73268" w:rsidRPr="00411456">
        <w:rPr>
          <w:color w:val="000000"/>
          <w:lang w:val="en-IE"/>
        </w:rPr>
        <w:t>-</w:t>
      </w:r>
    </w:p>
    <w:p w14:paraId="42D2A237" w14:textId="21E8B7CB" w:rsidR="00F73268" w:rsidRPr="00411456" w:rsidRDefault="00F73268" w:rsidP="004A0604">
      <w:pPr>
        <w:pStyle w:val="NormalWeb"/>
        <w:spacing w:before="0" w:beforeAutospacing="0" w:after="0" w:afterAutospacing="0" w:line="480" w:lineRule="auto"/>
        <w:ind w:left="720"/>
        <w:jc w:val="both"/>
        <w:rPr>
          <w:i/>
          <w:color w:val="000000"/>
          <w:lang w:val="en-IE"/>
        </w:rPr>
      </w:pPr>
      <w:r w:rsidRPr="00411456">
        <w:rPr>
          <w:i/>
          <w:color w:val="000000"/>
          <w:lang w:val="en-IE"/>
        </w:rPr>
        <w:t>“A</w:t>
      </w:r>
      <w:r w:rsidR="00EB20DB" w:rsidRPr="00411456">
        <w:rPr>
          <w:i/>
          <w:color w:val="000000"/>
          <w:lang w:val="en-IE"/>
        </w:rPr>
        <w:t>ccording to clause 11 of the shareholders</w:t>
      </w:r>
      <w:r w:rsidRPr="00411456">
        <w:rPr>
          <w:i/>
          <w:color w:val="000000"/>
          <w:lang w:val="en-IE"/>
        </w:rPr>
        <w:t xml:space="preserve">’ agreement, should a shareholder </w:t>
      </w:r>
      <w:r w:rsidR="00A11B1F">
        <w:rPr>
          <w:i/>
          <w:color w:val="000000"/>
          <w:lang w:val="en-IE"/>
        </w:rPr>
        <w:t>of</w:t>
      </w:r>
      <w:r w:rsidRPr="00411456">
        <w:rPr>
          <w:i/>
          <w:color w:val="000000"/>
          <w:lang w:val="en-IE"/>
        </w:rPr>
        <w:t xml:space="preserve"> </w:t>
      </w:r>
      <w:proofErr w:type="spellStart"/>
      <w:r w:rsidRPr="00411456">
        <w:rPr>
          <w:i/>
          <w:color w:val="000000"/>
          <w:lang w:val="en-IE"/>
        </w:rPr>
        <w:t>Bell</w:t>
      </w:r>
      <w:r w:rsidR="00EB20DB" w:rsidRPr="00411456">
        <w:rPr>
          <w:i/>
          <w:color w:val="000000"/>
          <w:lang w:val="en-IE"/>
        </w:rPr>
        <w:t>vue</w:t>
      </w:r>
      <w:proofErr w:type="spellEnd"/>
      <w:r w:rsidR="00EB20DB" w:rsidRPr="00411456">
        <w:rPr>
          <w:i/>
          <w:color w:val="000000"/>
          <w:lang w:val="en-IE"/>
        </w:rPr>
        <w:t xml:space="preserve"> </w:t>
      </w:r>
      <w:r w:rsidRPr="00411456">
        <w:rPr>
          <w:i/>
          <w:color w:val="000000"/>
          <w:lang w:val="en-IE"/>
        </w:rPr>
        <w:t>wish to sell/</w:t>
      </w:r>
      <w:r w:rsidR="00EB20DB" w:rsidRPr="00411456">
        <w:rPr>
          <w:i/>
          <w:color w:val="000000"/>
          <w:lang w:val="en-IE"/>
        </w:rPr>
        <w:t xml:space="preserve">transfer or otherwise </w:t>
      </w:r>
      <w:r w:rsidRPr="00411456">
        <w:rPr>
          <w:i/>
          <w:color w:val="000000"/>
          <w:lang w:val="en-IE"/>
        </w:rPr>
        <w:t>dispose of their shareholding the transfer</w:t>
      </w:r>
      <w:r w:rsidR="00EB20DB" w:rsidRPr="00411456">
        <w:rPr>
          <w:i/>
          <w:color w:val="000000"/>
          <w:lang w:val="en-IE"/>
        </w:rPr>
        <w:t>or is obliged to first offer its shareholding to the other share</w:t>
      </w:r>
      <w:r w:rsidRPr="00411456">
        <w:rPr>
          <w:i/>
          <w:color w:val="000000"/>
          <w:lang w:val="en-IE"/>
        </w:rPr>
        <w:t>holders of the company</w:t>
      </w:r>
      <w:r w:rsidR="00EB20DB" w:rsidRPr="00411456">
        <w:rPr>
          <w:i/>
          <w:color w:val="000000"/>
          <w:lang w:val="en-IE"/>
        </w:rPr>
        <w:t xml:space="preserve">. This letter shall constitute the </w:t>
      </w:r>
      <w:r w:rsidRPr="00411456">
        <w:rPr>
          <w:i/>
          <w:color w:val="000000"/>
          <w:lang w:val="en-IE"/>
        </w:rPr>
        <w:t>‘transfer notice’</w:t>
      </w:r>
      <w:r w:rsidR="00EB20DB" w:rsidRPr="00411456">
        <w:rPr>
          <w:i/>
          <w:color w:val="000000"/>
          <w:lang w:val="en-IE"/>
        </w:rPr>
        <w:t xml:space="preserve"> informing </w:t>
      </w:r>
      <w:r w:rsidRPr="00411456">
        <w:rPr>
          <w:i/>
          <w:color w:val="000000"/>
          <w:lang w:val="en-IE"/>
        </w:rPr>
        <w:t>you of the intention of Amber to transfer its 950 ordinary shares of €1</w:t>
      </w:r>
      <w:r w:rsidR="00EB20DB" w:rsidRPr="00411456">
        <w:rPr>
          <w:i/>
          <w:color w:val="000000"/>
          <w:lang w:val="en-IE"/>
        </w:rPr>
        <w:t xml:space="preserve"> each in </w:t>
      </w:r>
      <w:proofErr w:type="spellStart"/>
      <w:r w:rsidR="00EB20DB" w:rsidRPr="00411456">
        <w:rPr>
          <w:i/>
          <w:color w:val="000000"/>
          <w:lang w:val="en-IE"/>
        </w:rPr>
        <w:t>Be</w:t>
      </w:r>
      <w:r w:rsidRPr="00411456">
        <w:rPr>
          <w:i/>
          <w:color w:val="000000"/>
          <w:lang w:val="en-IE"/>
        </w:rPr>
        <w:t>llvue</w:t>
      </w:r>
      <w:proofErr w:type="spellEnd"/>
      <w:r w:rsidRPr="00411456">
        <w:rPr>
          <w:i/>
          <w:color w:val="000000"/>
          <w:lang w:val="en-IE"/>
        </w:rPr>
        <w:t xml:space="preserve"> (the Amber shares) to Fitzg</w:t>
      </w:r>
      <w:r w:rsidR="00EB20DB" w:rsidRPr="00411456">
        <w:rPr>
          <w:i/>
          <w:color w:val="000000"/>
          <w:lang w:val="en-IE"/>
        </w:rPr>
        <w:t>erald Otto at par value</w:t>
      </w:r>
      <w:r w:rsidRPr="00411456">
        <w:rPr>
          <w:i/>
          <w:color w:val="000000"/>
          <w:lang w:val="en-IE"/>
        </w:rPr>
        <w:t>.”</w:t>
      </w:r>
    </w:p>
    <w:p w14:paraId="25A5FEC9" w14:textId="09991DE2" w:rsidR="0015221A" w:rsidRPr="00411456" w:rsidRDefault="0015221A" w:rsidP="004A0604">
      <w:pPr>
        <w:pStyle w:val="NormalWeb"/>
        <w:spacing w:before="0" w:beforeAutospacing="0" w:after="0" w:afterAutospacing="0" w:line="480" w:lineRule="auto"/>
        <w:jc w:val="both"/>
        <w:rPr>
          <w:color w:val="000000"/>
          <w:lang w:val="en-IE"/>
        </w:rPr>
      </w:pPr>
      <w:r w:rsidRPr="00411456">
        <w:rPr>
          <w:color w:val="000000"/>
          <w:lang w:val="en-IE"/>
        </w:rPr>
        <w:t>It is clear from this letter that</w:t>
      </w:r>
      <w:r w:rsidR="00EB20DB" w:rsidRPr="00411456">
        <w:rPr>
          <w:color w:val="000000"/>
          <w:lang w:val="en-IE"/>
        </w:rPr>
        <w:t xml:space="preserve"> Amber regarded the applicant as a shareholder in the company as of November 2020. It is unclear whether the refe</w:t>
      </w:r>
      <w:r w:rsidRPr="00411456">
        <w:rPr>
          <w:color w:val="000000"/>
          <w:lang w:val="en-IE"/>
        </w:rPr>
        <w:t>rence to 950 shares is an error or if A</w:t>
      </w:r>
      <w:r w:rsidR="00EB20DB" w:rsidRPr="00411456">
        <w:rPr>
          <w:color w:val="000000"/>
          <w:lang w:val="en-IE"/>
        </w:rPr>
        <w:t>mber</w:t>
      </w:r>
      <w:r w:rsidRPr="00411456">
        <w:rPr>
          <w:color w:val="000000"/>
          <w:lang w:val="en-IE"/>
        </w:rPr>
        <w:t xml:space="preserve">, in the intervening period, </w:t>
      </w:r>
      <w:r w:rsidR="00EB20DB" w:rsidRPr="00411456">
        <w:rPr>
          <w:color w:val="000000"/>
          <w:lang w:val="en-IE"/>
        </w:rPr>
        <w:t xml:space="preserve">had issued </w:t>
      </w:r>
      <w:r w:rsidR="00CF672C" w:rsidRPr="00411456">
        <w:rPr>
          <w:color w:val="000000"/>
          <w:lang w:val="en-IE"/>
        </w:rPr>
        <w:t xml:space="preserve">additional shares </w:t>
      </w:r>
      <w:r w:rsidR="00EB20DB" w:rsidRPr="00411456">
        <w:rPr>
          <w:color w:val="000000"/>
          <w:lang w:val="en-IE"/>
        </w:rPr>
        <w:t xml:space="preserve">to </w:t>
      </w:r>
      <w:r w:rsidRPr="00411456">
        <w:rPr>
          <w:color w:val="000000"/>
          <w:lang w:val="en-IE"/>
        </w:rPr>
        <w:t>it</w:t>
      </w:r>
      <w:r w:rsidR="00CF672C">
        <w:rPr>
          <w:color w:val="000000"/>
          <w:lang w:val="en-IE"/>
        </w:rPr>
        <w:t>self</w:t>
      </w:r>
      <w:r w:rsidRPr="00411456">
        <w:rPr>
          <w:color w:val="000000"/>
          <w:lang w:val="en-IE"/>
        </w:rPr>
        <w:t xml:space="preserve">. The letter </w:t>
      </w:r>
      <w:r w:rsidR="00EB20DB" w:rsidRPr="00411456">
        <w:rPr>
          <w:color w:val="000000"/>
          <w:lang w:val="en-IE"/>
        </w:rPr>
        <w:t>concluded by stating</w:t>
      </w:r>
      <w:r w:rsidRPr="00411456">
        <w:rPr>
          <w:color w:val="000000"/>
          <w:lang w:val="en-IE"/>
        </w:rPr>
        <w:t>:</w:t>
      </w:r>
      <w:r w:rsidR="00A622C4">
        <w:rPr>
          <w:color w:val="000000"/>
          <w:lang w:val="en-IE"/>
        </w:rPr>
        <w:t xml:space="preserve"> </w:t>
      </w:r>
      <w:r w:rsidRPr="00411456">
        <w:rPr>
          <w:color w:val="000000"/>
          <w:lang w:val="en-IE"/>
        </w:rPr>
        <w:t>-</w:t>
      </w:r>
    </w:p>
    <w:p w14:paraId="6C2C2096" w14:textId="77777777" w:rsidR="0015221A" w:rsidRPr="00411456" w:rsidRDefault="0015221A" w:rsidP="004A0604">
      <w:pPr>
        <w:pStyle w:val="NormalWeb"/>
        <w:spacing w:before="0" w:beforeAutospacing="0" w:after="0" w:afterAutospacing="0" w:line="480" w:lineRule="auto"/>
        <w:ind w:left="720"/>
        <w:jc w:val="both"/>
        <w:rPr>
          <w:i/>
          <w:color w:val="000000"/>
          <w:lang w:val="en-IE"/>
        </w:rPr>
      </w:pPr>
      <w:r w:rsidRPr="00411456">
        <w:rPr>
          <w:i/>
          <w:color w:val="000000"/>
          <w:lang w:val="en-IE"/>
        </w:rPr>
        <w:lastRenderedPageBreak/>
        <w:t>“</w:t>
      </w:r>
      <w:r w:rsidR="00EB20DB" w:rsidRPr="00411456">
        <w:rPr>
          <w:i/>
          <w:color w:val="000000"/>
          <w:lang w:val="en-IE"/>
        </w:rPr>
        <w:t>Al</w:t>
      </w:r>
      <w:r w:rsidRPr="00411456">
        <w:rPr>
          <w:i/>
          <w:color w:val="000000"/>
          <w:lang w:val="en-IE"/>
        </w:rPr>
        <w:t xml:space="preserve">ternatively, </w:t>
      </w:r>
      <w:r w:rsidR="00EB20DB" w:rsidRPr="00411456">
        <w:rPr>
          <w:i/>
          <w:color w:val="000000"/>
          <w:lang w:val="en-IE"/>
        </w:rPr>
        <w:t>should y</w:t>
      </w:r>
      <w:r w:rsidRPr="00411456">
        <w:rPr>
          <w:i/>
          <w:color w:val="000000"/>
          <w:lang w:val="en-IE"/>
        </w:rPr>
        <w:t>ou wish to sell the Tougher shares, Amber would</w:t>
      </w:r>
      <w:r w:rsidR="00EB20DB" w:rsidRPr="00411456">
        <w:rPr>
          <w:i/>
          <w:color w:val="000000"/>
          <w:lang w:val="en-IE"/>
        </w:rPr>
        <w:t xml:space="preserve"> be willing to </w:t>
      </w:r>
      <w:r w:rsidRPr="00411456">
        <w:rPr>
          <w:i/>
          <w:color w:val="000000"/>
          <w:lang w:val="en-IE"/>
        </w:rPr>
        <w:t>acquire such shares at their par value</w:t>
      </w:r>
      <w:r w:rsidR="00EB20DB" w:rsidRPr="00411456">
        <w:rPr>
          <w:i/>
          <w:color w:val="000000"/>
          <w:lang w:val="en-IE"/>
        </w:rPr>
        <w:t>.</w:t>
      </w:r>
      <w:r w:rsidRPr="00411456">
        <w:rPr>
          <w:i/>
          <w:color w:val="000000"/>
          <w:lang w:val="en-IE"/>
        </w:rPr>
        <w:t>”</w:t>
      </w:r>
      <w:r w:rsidR="00EB20DB" w:rsidRPr="00411456">
        <w:rPr>
          <w:i/>
          <w:color w:val="000000"/>
          <w:lang w:val="en-IE"/>
        </w:rPr>
        <w:t xml:space="preserve"> </w:t>
      </w:r>
    </w:p>
    <w:p w14:paraId="73EB03D7" w14:textId="77DFB904" w:rsidR="001C5C57"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This correspondence appears to have led to discussions between the applicant and Amber on the basis that both were share</w:t>
      </w:r>
      <w:r w:rsidR="005D18AB" w:rsidRPr="00411456">
        <w:rPr>
          <w:color w:val="000000"/>
          <w:lang w:val="en-IE"/>
        </w:rPr>
        <w:t>holders in the company</w:t>
      </w:r>
      <w:r w:rsidRPr="00411456">
        <w:rPr>
          <w:color w:val="000000"/>
          <w:lang w:val="en-IE"/>
        </w:rPr>
        <w:t>. Those discussions did not lead to an agreement on the price at which the</w:t>
      </w:r>
      <w:r w:rsidR="005D18AB" w:rsidRPr="00411456">
        <w:rPr>
          <w:color w:val="000000"/>
          <w:lang w:val="en-IE"/>
        </w:rPr>
        <w:t xml:space="preserve"> applicant would purchase </w:t>
      </w:r>
      <w:proofErr w:type="gramStart"/>
      <w:r w:rsidR="005D18AB" w:rsidRPr="00411456">
        <w:rPr>
          <w:color w:val="000000"/>
          <w:lang w:val="en-IE"/>
        </w:rPr>
        <w:t>Amber’s</w:t>
      </w:r>
      <w:proofErr w:type="gramEnd"/>
      <w:r w:rsidR="005D18AB" w:rsidRPr="00411456">
        <w:rPr>
          <w:color w:val="000000"/>
          <w:lang w:val="en-IE"/>
        </w:rPr>
        <w:t xml:space="preserve"> shares</w:t>
      </w:r>
      <w:r w:rsidRPr="00411456">
        <w:rPr>
          <w:color w:val="000000"/>
          <w:lang w:val="en-IE"/>
        </w:rPr>
        <w:t>. Consequently, on 29</w:t>
      </w:r>
      <w:r w:rsidR="005D18AB" w:rsidRPr="00411456">
        <w:rPr>
          <w:color w:val="000000"/>
          <w:vertAlign w:val="superscript"/>
          <w:lang w:val="en-IE"/>
        </w:rPr>
        <w:t>th</w:t>
      </w:r>
      <w:r w:rsidR="005D18AB" w:rsidRPr="00411456">
        <w:rPr>
          <w:color w:val="000000"/>
          <w:lang w:val="en-IE"/>
        </w:rPr>
        <w:t xml:space="preserve"> </w:t>
      </w:r>
      <w:r w:rsidRPr="00411456">
        <w:rPr>
          <w:color w:val="000000"/>
          <w:lang w:val="en-IE"/>
        </w:rPr>
        <w:t>Januar</w:t>
      </w:r>
      <w:r w:rsidR="005D18AB" w:rsidRPr="00411456">
        <w:rPr>
          <w:color w:val="000000"/>
          <w:lang w:val="en-IE"/>
        </w:rPr>
        <w:t>y 2021,</w:t>
      </w:r>
      <w:r w:rsidRPr="00411456">
        <w:rPr>
          <w:color w:val="000000"/>
          <w:lang w:val="en-IE"/>
        </w:rPr>
        <w:t xml:space="preserve"> Amber wrote t</w:t>
      </w:r>
      <w:r w:rsidR="005D18AB" w:rsidRPr="00411456">
        <w:rPr>
          <w:color w:val="000000"/>
          <w:lang w:val="en-IE"/>
        </w:rPr>
        <w:t>o the applicant advising that it was</w:t>
      </w:r>
      <w:r w:rsidRPr="00411456">
        <w:rPr>
          <w:color w:val="000000"/>
          <w:lang w:val="en-IE"/>
        </w:rPr>
        <w:t xml:space="preserve"> proceeding to get a val</w:t>
      </w:r>
      <w:r w:rsidR="005D18AB" w:rsidRPr="00411456">
        <w:rPr>
          <w:color w:val="000000"/>
          <w:lang w:val="en-IE"/>
        </w:rPr>
        <w:t>uation of the shares under clause 11.</w:t>
      </w:r>
      <w:r w:rsidRPr="00411456">
        <w:rPr>
          <w:color w:val="000000"/>
          <w:lang w:val="en-IE"/>
        </w:rPr>
        <w:t>1.2 of the shareholders</w:t>
      </w:r>
      <w:r w:rsidR="005D18AB" w:rsidRPr="00411456">
        <w:rPr>
          <w:color w:val="000000"/>
          <w:lang w:val="en-IE"/>
        </w:rPr>
        <w:t>’</w:t>
      </w:r>
      <w:r w:rsidRPr="00411456">
        <w:rPr>
          <w:color w:val="000000"/>
          <w:lang w:val="en-IE"/>
        </w:rPr>
        <w:t xml:space="preserve"> agreement or</w:t>
      </w:r>
      <w:r w:rsidR="005D18AB" w:rsidRPr="00411456">
        <w:rPr>
          <w:color w:val="000000"/>
          <w:lang w:val="en-IE"/>
        </w:rPr>
        <w:t>,</w:t>
      </w:r>
      <w:r w:rsidRPr="00411456">
        <w:rPr>
          <w:color w:val="000000"/>
          <w:lang w:val="en-IE"/>
        </w:rPr>
        <w:t xml:space="preserve"> alternatively</w:t>
      </w:r>
      <w:r w:rsidR="005D18AB" w:rsidRPr="00411456">
        <w:rPr>
          <w:color w:val="000000"/>
          <w:lang w:val="en-IE"/>
        </w:rPr>
        <w:t>,</w:t>
      </w:r>
      <w:r w:rsidRPr="00411456">
        <w:rPr>
          <w:color w:val="000000"/>
          <w:lang w:val="en-IE"/>
        </w:rPr>
        <w:t xml:space="preserve"> offering to sell the shares at par value less for 30% discount</w:t>
      </w:r>
      <w:r w:rsidR="003A7346">
        <w:rPr>
          <w:color w:val="000000"/>
          <w:lang w:val="en-IE"/>
        </w:rPr>
        <w:t xml:space="preserve"> (which was ultimately the price paid)</w:t>
      </w:r>
      <w:r w:rsidR="005D18AB" w:rsidRPr="00411456">
        <w:rPr>
          <w:color w:val="000000"/>
          <w:lang w:val="en-IE"/>
        </w:rPr>
        <w:t>. T</w:t>
      </w:r>
      <w:r w:rsidRPr="00411456">
        <w:rPr>
          <w:color w:val="000000"/>
          <w:lang w:val="en-IE"/>
        </w:rPr>
        <w:t xml:space="preserve">he figure quoted was </w:t>
      </w:r>
      <w:r w:rsidR="005D18AB" w:rsidRPr="00411456">
        <w:rPr>
          <w:color w:val="000000"/>
          <w:lang w:val="en-IE"/>
        </w:rPr>
        <w:t xml:space="preserve">€665 indicating </w:t>
      </w:r>
      <w:proofErr w:type="gramStart"/>
      <w:r w:rsidR="005D18AB" w:rsidRPr="00411456">
        <w:rPr>
          <w:color w:val="000000"/>
          <w:lang w:val="en-IE"/>
        </w:rPr>
        <w:t>Amber’s</w:t>
      </w:r>
      <w:proofErr w:type="gramEnd"/>
      <w:r w:rsidR="005D18AB" w:rsidRPr="00411456">
        <w:rPr>
          <w:color w:val="000000"/>
          <w:lang w:val="en-IE"/>
        </w:rPr>
        <w:t xml:space="preserve"> belief that it held 950 shares. This prompted</w:t>
      </w:r>
      <w:r w:rsidRPr="00411456">
        <w:rPr>
          <w:color w:val="000000"/>
          <w:lang w:val="en-IE"/>
        </w:rPr>
        <w:t xml:space="preserve"> a resp</w:t>
      </w:r>
      <w:r w:rsidR="005D18AB" w:rsidRPr="00411456">
        <w:rPr>
          <w:color w:val="000000"/>
          <w:lang w:val="en-IE"/>
        </w:rPr>
        <w:t>onse from the applicant on 1</w:t>
      </w:r>
      <w:r w:rsidR="005D18AB" w:rsidRPr="00411456">
        <w:rPr>
          <w:color w:val="000000"/>
          <w:vertAlign w:val="superscript"/>
          <w:lang w:val="en-IE"/>
        </w:rPr>
        <w:t>st</w:t>
      </w:r>
      <w:r w:rsidR="005D18AB" w:rsidRPr="00411456">
        <w:rPr>
          <w:color w:val="000000"/>
          <w:lang w:val="en-IE"/>
        </w:rPr>
        <w:t xml:space="preserve"> February 2021</w:t>
      </w:r>
      <w:r w:rsidRPr="00411456">
        <w:rPr>
          <w:color w:val="000000"/>
          <w:lang w:val="en-IE"/>
        </w:rPr>
        <w:t xml:space="preserve"> in which issue was taken with the number of shares Amber wish</w:t>
      </w:r>
      <w:r w:rsidR="005D18AB" w:rsidRPr="00411456">
        <w:rPr>
          <w:color w:val="000000"/>
          <w:lang w:val="en-IE"/>
        </w:rPr>
        <w:t>ed</w:t>
      </w:r>
      <w:r w:rsidRPr="00411456">
        <w:rPr>
          <w:color w:val="000000"/>
          <w:lang w:val="en-IE"/>
        </w:rPr>
        <w:t xml:space="preserve"> to dispose of </w:t>
      </w:r>
      <w:r w:rsidR="005D18AB" w:rsidRPr="00411456">
        <w:rPr>
          <w:color w:val="000000"/>
          <w:lang w:val="en-IE"/>
        </w:rPr>
        <w:t xml:space="preserve">and </w:t>
      </w:r>
      <w:r w:rsidR="00CF672C">
        <w:rPr>
          <w:color w:val="000000"/>
          <w:lang w:val="en-IE"/>
        </w:rPr>
        <w:t xml:space="preserve">with </w:t>
      </w:r>
      <w:r w:rsidR="005D18AB" w:rsidRPr="00411456">
        <w:rPr>
          <w:color w:val="000000"/>
          <w:lang w:val="en-IE"/>
        </w:rPr>
        <w:t>the disposal of the company’</w:t>
      </w:r>
      <w:r w:rsidRPr="00411456">
        <w:rPr>
          <w:color w:val="000000"/>
          <w:lang w:val="en-IE"/>
        </w:rPr>
        <w:t>s property without the applicant</w:t>
      </w:r>
      <w:r w:rsidR="005D18AB" w:rsidRPr="00411456">
        <w:rPr>
          <w:color w:val="000000"/>
          <w:lang w:val="en-IE"/>
        </w:rPr>
        <w:t>’</w:t>
      </w:r>
      <w:r w:rsidRPr="00411456">
        <w:rPr>
          <w:color w:val="000000"/>
          <w:lang w:val="en-IE"/>
        </w:rPr>
        <w:t>s k</w:t>
      </w:r>
      <w:r w:rsidR="005D18AB" w:rsidRPr="00411456">
        <w:rPr>
          <w:color w:val="000000"/>
          <w:lang w:val="en-IE"/>
        </w:rPr>
        <w:t>nowledge or consent</w:t>
      </w:r>
      <w:r w:rsidRPr="00411456">
        <w:rPr>
          <w:color w:val="000000"/>
          <w:lang w:val="en-IE"/>
        </w:rPr>
        <w:t>. The applicant requested that it be provided</w:t>
      </w:r>
      <w:r w:rsidR="005D18AB" w:rsidRPr="00411456">
        <w:rPr>
          <w:color w:val="000000"/>
          <w:lang w:val="en-IE"/>
        </w:rPr>
        <w:t xml:space="preserve"> </w:t>
      </w:r>
      <w:r w:rsidRPr="00411456">
        <w:rPr>
          <w:color w:val="000000"/>
          <w:lang w:val="en-IE"/>
        </w:rPr>
        <w:t>immediately with information including copies of the</w:t>
      </w:r>
      <w:r w:rsidR="001C5C57" w:rsidRPr="00411456">
        <w:rPr>
          <w:color w:val="000000"/>
          <w:lang w:val="en-IE"/>
        </w:rPr>
        <w:t xml:space="preserve"> minutes of board meetings</w:t>
      </w:r>
      <w:r w:rsidRPr="00411456">
        <w:rPr>
          <w:color w:val="000000"/>
          <w:lang w:val="en-IE"/>
        </w:rPr>
        <w:t>, mo</w:t>
      </w:r>
      <w:r w:rsidR="001C5C57" w:rsidRPr="00411456">
        <w:rPr>
          <w:color w:val="000000"/>
          <w:lang w:val="en-IE"/>
        </w:rPr>
        <w:t>nthly management accounts,</w:t>
      </w:r>
      <w:r w:rsidRPr="00411456">
        <w:rPr>
          <w:color w:val="000000"/>
          <w:lang w:val="en-IE"/>
        </w:rPr>
        <w:t xml:space="preserve"> res</w:t>
      </w:r>
      <w:r w:rsidR="001C5C57" w:rsidRPr="00411456">
        <w:rPr>
          <w:color w:val="000000"/>
          <w:lang w:val="en-IE"/>
        </w:rPr>
        <w:t>olutions passed by the company,</w:t>
      </w:r>
      <w:r w:rsidRPr="00411456">
        <w:rPr>
          <w:color w:val="000000"/>
          <w:lang w:val="en-IE"/>
        </w:rPr>
        <w:t xml:space="preserve"> details of the loan repayments and current balances and all documentation in relation to th</w:t>
      </w:r>
      <w:r w:rsidR="001C5C57" w:rsidRPr="00411456">
        <w:rPr>
          <w:color w:val="000000"/>
          <w:lang w:val="en-IE"/>
        </w:rPr>
        <w:t>e sale of the property. This was followed up on 3</w:t>
      </w:r>
      <w:r w:rsidR="001C5C57" w:rsidRPr="00411456">
        <w:rPr>
          <w:color w:val="000000"/>
          <w:vertAlign w:val="superscript"/>
          <w:lang w:val="en-IE"/>
        </w:rPr>
        <w:t>rd</w:t>
      </w:r>
      <w:r w:rsidR="001C5C57" w:rsidRPr="00411456">
        <w:rPr>
          <w:color w:val="000000"/>
          <w:lang w:val="en-IE"/>
        </w:rPr>
        <w:t xml:space="preserve"> </w:t>
      </w:r>
      <w:r w:rsidRPr="00411456">
        <w:rPr>
          <w:color w:val="000000"/>
          <w:lang w:val="en-IE"/>
        </w:rPr>
        <w:t xml:space="preserve">February 2021 by </w:t>
      </w:r>
      <w:r w:rsidR="00CF672C">
        <w:rPr>
          <w:color w:val="000000"/>
          <w:lang w:val="en-IE"/>
        </w:rPr>
        <w:t xml:space="preserve">a </w:t>
      </w:r>
      <w:r w:rsidRPr="00411456">
        <w:rPr>
          <w:color w:val="000000"/>
          <w:lang w:val="en-IE"/>
        </w:rPr>
        <w:t>solicitor</w:t>
      </w:r>
      <w:r w:rsidR="001C5C57" w:rsidRPr="00411456">
        <w:rPr>
          <w:color w:val="000000"/>
          <w:lang w:val="en-IE"/>
        </w:rPr>
        <w:t>’s letter noting</w:t>
      </w:r>
      <w:r w:rsidRPr="00411456">
        <w:rPr>
          <w:color w:val="000000"/>
          <w:lang w:val="en-IE"/>
        </w:rPr>
        <w:t xml:space="preserve"> with co</w:t>
      </w:r>
      <w:r w:rsidR="001C5C57" w:rsidRPr="00411456">
        <w:rPr>
          <w:color w:val="000000"/>
          <w:lang w:val="en-IE"/>
        </w:rPr>
        <w:t>ncern the disposal of a company’</w:t>
      </w:r>
      <w:r w:rsidRPr="00411456">
        <w:rPr>
          <w:color w:val="000000"/>
          <w:lang w:val="en-IE"/>
        </w:rPr>
        <w:t>s asset withou</w:t>
      </w:r>
      <w:r w:rsidR="001C5C57" w:rsidRPr="00411456">
        <w:rPr>
          <w:color w:val="000000"/>
          <w:lang w:val="en-IE"/>
        </w:rPr>
        <w:t>t notice to the applicant,</w:t>
      </w:r>
      <w:r w:rsidRPr="00411456">
        <w:rPr>
          <w:color w:val="000000"/>
          <w:lang w:val="en-IE"/>
        </w:rPr>
        <w:t xml:space="preserve"> extending the period </w:t>
      </w:r>
      <w:r w:rsidR="001C5C57" w:rsidRPr="00411456">
        <w:rPr>
          <w:color w:val="000000"/>
          <w:lang w:val="en-IE"/>
        </w:rPr>
        <w:t>with</w:t>
      </w:r>
      <w:r w:rsidRPr="00411456">
        <w:rPr>
          <w:color w:val="000000"/>
          <w:lang w:val="en-IE"/>
        </w:rPr>
        <w:t xml:space="preserve">in which the information was to be provided and threatening litigation. </w:t>
      </w:r>
    </w:p>
    <w:p w14:paraId="19FF37EF" w14:textId="5F390AEA" w:rsidR="001C5C57" w:rsidRPr="00411456" w:rsidRDefault="001C5C57"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Some days later, on 8</w:t>
      </w:r>
      <w:r w:rsidRPr="00411456">
        <w:rPr>
          <w:color w:val="000000"/>
          <w:vertAlign w:val="superscript"/>
          <w:lang w:val="en-IE"/>
        </w:rPr>
        <w:t>th</w:t>
      </w:r>
      <w:r w:rsidRPr="00411456">
        <w:rPr>
          <w:color w:val="000000"/>
          <w:lang w:val="en-IE"/>
        </w:rPr>
        <w:t xml:space="preserve"> February 2021, Amber’</w:t>
      </w:r>
      <w:r w:rsidR="00EB20DB" w:rsidRPr="00411456">
        <w:rPr>
          <w:color w:val="000000"/>
          <w:lang w:val="en-IE"/>
        </w:rPr>
        <w:t xml:space="preserve">s solicitor sent a letter in which an entirely different approach was adopted. </w:t>
      </w:r>
      <w:proofErr w:type="gramStart"/>
      <w:r w:rsidR="00EB20DB" w:rsidRPr="00411456">
        <w:rPr>
          <w:color w:val="000000"/>
          <w:lang w:val="en-IE"/>
        </w:rPr>
        <w:t>Fo</w:t>
      </w:r>
      <w:r w:rsidRPr="00411456">
        <w:rPr>
          <w:color w:val="000000"/>
          <w:lang w:val="en-IE"/>
        </w:rPr>
        <w:t>llowing consultation with Amber’s former solicitor, i</w:t>
      </w:r>
      <w:r w:rsidR="00EB20DB" w:rsidRPr="00411456">
        <w:rPr>
          <w:color w:val="000000"/>
          <w:lang w:val="en-IE"/>
        </w:rPr>
        <w:t>t</w:t>
      </w:r>
      <w:proofErr w:type="gramEnd"/>
      <w:r w:rsidR="00EB20DB" w:rsidRPr="00411456">
        <w:rPr>
          <w:color w:val="000000"/>
          <w:lang w:val="en-IE"/>
        </w:rPr>
        <w:t xml:space="preserve"> was now contended that Amber had purchased the applicant</w:t>
      </w:r>
      <w:r w:rsidRPr="00411456">
        <w:rPr>
          <w:color w:val="000000"/>
          <w:lang w:val="en-IE"/>
        </w:rPr>
        <w:t>’s shares in 2013 on foo</w:t>
      </w:r>
      <w:r w:rsidR="00EB20DB" w:rsidRPr="00411456">
        <w:rPr>
          <w:color w:val="000000"/>
          <w:lang w:val="en-IE"/>
        </w:rPr>
        <w:t>t of a transfer notice deemed to have been sent under clause 11.5 of the shareholders</w:t>
      </w:r>
      <w:r w:rsidRPr="00411456">
        <w:rPr>
          <w:color w:val="000000"/>
          <w:lang w:val="en-IE"/>
        </w:rPr>
        <w:t>’</w:t>
      </w:r>
      <w:r w:rsidR="00EB20DB" w:rsidRPr="00411456">
        <w:rPr>
          <w:color w:val="000000"/>
          <w:lang w:val="en-IE"/>
        </w:rPr>
        <w:t xml:space="preserve"> agreement when an examiner was appointed to the</w:t>
      </w:r>
      <w:r w:rsidRPr="00411456">
        <w:rPr>
          <w:color w:val="000000"/>
          <w:lang w:val="en-IE"/>
        </w:rPr>
        <w:t xml:space="preserve"> applicant in October 2012. T</w:t>
      </w:r>
      <w:r w:rsidR="00EB20DB" w:rsidRPr="00411456">
        <w:rPr>
          <w:color w:val="000000"/>
          <w:lang w:val="en-IE"/>
        </w:rPr>
        <w:t>he letter enclosed copies of some of t</w:t>
      </w:r>
      <w:r w:rsidRPr="00411456">
        <w:rPr>
          <w:color w:val="000000"/>
          <w:lang w:val="en-IE"/>
        </w:rPr>
        <w:t>he relevant correspondence dating from 2012/</w:t>
      </w:r>
      <w:r w:rsidR="00242EFD">
        <w:rPr>
          <w:color w:val="000000"/>
          <w:lang w:val="en-IE"/>
        </w:rPr>
        <w:t xml:space="preserve"> </w:t>
      </w:r>
      <w:r w:rsidRPr="00411456">
        <w:rPr>
          <w:color w:val="000000"/>
          <w:lang w:val="en-IE"/>
        </w:rPr>
        <w:t xml:space="preserve">2013 and of the cheque, </w:t>
      </w:r>
      <w:r w:rsidR="00CF672C">
        <w:rPr>
          <w:color w:val="000000"/>
          <w:lang w:val="en-IE"/>
        </w:rPr>
        <w:t xml:space="preserve">the </w:t>
      </w:r>
      <w:r w:rsidR="00EB20DB" w:rsidRPr="00411456">
        <w:rPr>
          <w:color w:val="000000"/>
          <w:lang w:val="en-IE"/>
        </w:rPr>
        <w:t>stock transfer form and extract</w:t>
      </w:r>
      <w:r w:rsidRPr="00411456">
        <w:rPr>
          <w:color w:val="000000"/>
          <w:lang w:val="en-IE"/>
        </w:rPr>
        <w:t>s</w:t>
      </w:r>
      <w:r w:rsidR="00EB20DB" w:rsidRPr="00411456">
        <w:rPr>
          <w:color w:val="000000"/>
          <w:lang w:val="en-IE"/>
        </w:rPr>
        <w:t xml:space="preserve"> </w:t>
      </w:r>
      <w:r w:rsidRPr="00411456">
        <w:rPr>
          <w:color w:val="000000"/>
          <w:lang w:val="en-IE"/>
        </w:rPr>
        <w:t xml:space="preserve">from </w:t>
      </w:r>
      <w:proofErr w:type="gramStart"/>
      <w:r w:rsidRPr="00411456">
        <w:rPr>
          <w:color w:val="000000"/>
          <w:lang w:val="en-IE"/>
        </w:rPr>
        <w:t>Amber’</w:t>
      </w:r>
      <w:r w:rsidR="00EB20DB" w:rsidRPr="00411456">
        <w:rPr>
          <w:color w:val="000000"/>
          <w:lang w:val="en-IE"/>
        </w:rPr>
        <w:t>s</w:t>
      </w:r>
      <w:proofErr w:type="gramEnd"/>
      <w:r w:rsidR="00EB20DB" w:rsidRPr="00411456">
        <w:rPr>
          <w:color w:val="000000"/>
          <w:lang w:val="en-IE"/>
        </w:rPr>
        <w:t xml:space="preserve"> bank statement. The letter explained</w:t>
      </w:r>
      <w:r w:rsidRPr="00411456">
        <w:rPr>
          <w:color w:val="000000"/>
          <w:lang w:val="en-IE"/>
        </w:rPr>
        <w:t xml:space="preserve"> that due to the fact the</w:t>
      </w:r>
      <w:r w:rsidR="00EB20DB" w:rsidRPr="00411456">
        <w:rPr>
          <w:color w:val="000000"/>
          <w:lang w:val="en-IE"/>
        </w:rPr>
        <w:t xml:space="preserve"> company was a loss</w:t>
      </w:r>
      <w:r w:rsidR="00CF672C">
        <w:rPr>
          <w:color w:val="000000"/>
          <w:lang w:val="en-IE"/>
        </w:rPr>
        <w:t>-</w:t>
      </w:r>
      <w:r w:rsidR="00EB20DB" w:rsidRPr="00411456">
        <w:rPr>
          <w:color w:val="000000"/>
          <w:lang w:val="en-IE"/>
        </w:rPr>
        <w:t xml:space="preserve">making entity at </w:t>
      </w:r>
      <w:r w:rsidRPr="00411456">
        <w:rPr>
          <w:color w:val="000000"/>
          <w:lang w:val="en-IE"/>
        </w:rPr>
        <w:t xml:space="preserve">the </w:t>
      </w:r>
      <w:r w:rsidR="00CF672C">
        <w:rPr>
          <w:color w:val="000000"/>
          <w:lang w:val="en-IE"/>
        </w:rPr>
        <w:t xml:space="preserve">material </w:t>
      </w:r>
      <w:r w:rsidRPr="00411456">
        <w:rPr>
          <w:color w:val="000000"/>
          <w:lang w:val="en-IE"/>
        </w:rPr>
        <w:t>time</w:t>
      </w:r>
      <w:r w:rsidR="00CF672C">
        <w:rPr>
          <w:color w:val="000000"/>
          <w:lang w:val="en-IE"/>
        </w:rPr>
        <w:t>,</w:t>
      </w:r>
      <w:r w:rsidRPr="00411456">
        <w:rPr>
          <w:color w:val="000000"/>
          <w:lang w:val="en-IE"/>
        </w:rPr>
        <w:t xml:space="preserve"> </w:t>
      </w:r>
      <w:r w:rsidRPr="00411456">
        <w:rPr>
          <w:i/>
          <w:color w:val="000000"/>
          <w:lang w:val="en-IE"/>
        </w:rPr>
        <w:t>“administrative matters”</w:t>
      </w:r>
      <w:r w:rsidRPr="00411456">
        <w:rPr>
          <w:color w:val="000000"/>
          <w:lang w:val="en-IE"/>
        </w:rPr>
        <w:t xml:space="preserve"> </w:t>
      </w:r>
      <w:r w:rsidRPr="00411456">
        <w:rPr>
          <w:color w:val="000000"/>
          <w:lang w:val="en-IE"/>
        </w:rPr>
        <w:lastRenderedPageBreak/>
        <w:t xml:space="preserve">were not attended </w:t>
      </w:r>
      <w:proofErr w:type="gramStart"/>
      <w:r w:rsidRPr="00411456">
        <w:rPr>
          <w:color w:val="000000"/>
          <w:lang w:val="en-IE"/>
        </w:rPr>
        <w:t>to</w:t>
      </w:r>
      <w:proofErr w:type="gramEnd"/>
      <w:r w:rsidRPr="00411456">
        <w:rPr>
          <w:color w:val="000000"/>
          <w:lang w:val="en-IE"/>
        </w:rPr>
        <w:t xml:space="preserve"> and no formal steps were taken</w:t>
      </w:r>
      <w:r w:rsidR="00EB20DB" w:rsidRPr="00411456">
        <w:rPr>
          <w:color w:val="000000"/>
          <w:lang w:val="en-IE"/>
        </w:rPr>
        <w:t xml:space="preserve"> to formally update the ownership of the company either in its own record</w:t>
      </w:r>
      <w:r w:rsidR="00CF672C">
        <w:rPr>
          <w:color w:val="000000"/>
          <w:lang w:val="en-IE"/>
        </w:rPr>
        <w:t>s</w:t>
      </w:r>
      <w:r w:rsidR="00EB20DB" w:rsidRPr="00411456">
        <w:rPr>
          <w:color w:val="000000"/>
          <w:lang w:val="en-IE"/>
        </w:rPr>
        <w:t xml:space="preserve"> or in the public record. The letter acknowledged that the</w:t>
      </w:r>
      <w:r w:rsidRPr="00411456">
        <w:rPr>
          <w:color w:val="000000"/>
          <w:lang w:val="en-IE"/>
        </w:rPr>
        <w:t xml:space="preserve"> steps taken in February 2015 t</w:t>
      </w:r>
      <w:r w:rsidR="00EB20DB" w:rsidRPr="00411456">
        <w:rPr>
          <w:color w:val="000000"/>
          <w:lang w:val="en-IE"/>
        </w:rPr>
        <w:t>o convert the applicant</w:t>
      </w:r>
      <w:r w:rsidRPr="00411456">
        <w:rPr>
          <w:color w:val="000000"/>
          <w:lang w:val="en-IE"/>
        </w:rPr>
        <w:t>’</w:t>
      </w:r>
      <w:r w:rsidR="00EB20DB" w:rsidRPr="00411456">
        <w:rPr>
          <w:color w:val="000000"/>
          <w:lang w:val="en-IE"/>
        </w:rPr>
        <w:t xml:space="preserve">s shareholding in the company into redeemable preference shares were unnecessary </w:t>
      </w:r>
      <w:r w:rsidRPr="00411456">
        <w:rPr>
          <w:color w:val="000000"/>
          <w:lang w:val="en-IE"/>
        </w:rPr>
        <w:t xml:space="preserve">and had been taken on </w:t>
      </w:r>
      <w:proofErr w:type="gramStart"/>
      <w:r w:rsidRPr="00411456">
        <w:rPr>
          <w:color w:val="000000"/>
          <w:lang w:val="en-IE"/>
        </w:rPr>
        <w:t>Amber’</w:t>
      </w:r>
      <w:r w:rsidR="00EB20DB" w:rsidRPr="00411456">
        <w:rPr>
          <w:color w:val="000000"/>
          <w:lang w:val="en-IE"/>
        </w:rPr>
        <w:t>s</w:t>
      </w:r>
      <w:proofErr w:type="gramEnd"/>
      <w:r w:rsidR="00EB20DB" w:rsidRPr="00411456">
        <w:rPr>
          <w:color w:val="000000"/>
          <w:lang w:val="en-IE"/>
        </w:rPr>
        <w:t xml:space="preserve"> behalf by differen</w:t>
      </w:r>
      <w:r w:rsidRPr="00411456">
        <w:rPr>
          <w:color w:val="000000"/>
          <w:lang w:val="en-IE"/>
        </w:rPr>
        <w:t>t advisors. Finally, the</w:t>
      </w:r>
      <w:r w:rsidR="00EB20DB" w:rsidRPr="00411456">
        <w:rPr>
          <w:color w:val="000000"/>
          <w:lang w:val="en-IE"/>
        </w:rPr>
        <w:t xml:space="preserve"> letter </w:t>
      </w:r>
      <w:r w:rsidRPr="00411456">
        <w:rPr>
          <w:color w:val="000000"/>
          <w:lang w:val="en-IE"/>
        </w:rPr>
        <w:t xml:space="preserve">noted </w:t>
      </w:r>
      <w:r w:rsidR="00EB20DB" w:rsidRPr="00411456">
        <w:rPr>
          <w:color w:val="000000"/>
          <w:lang w:val="en-IE"/>
        </w:rPr>
        <w:t xml:space="preserve">that Amber had </w:t>
      </w:r>
      <w:r w:rsidRPr="00411456">
        <w:rPr>
          <w:color w:val="000000"/>
          <w:lang w:val="en-IE"/>
        </w:rPr>
        <w:t xml:space="preserve">now </w:t>
      </w:r>
      <w:r w:rsidR="00EB20DB" w:rsidRPr="00411456">
        <w:rPr>
          <w:color w:val="000000"/>
          <w:lang w:val="en-IE"/>
        </w:rPr>
        <w:t>presented the stock transfer form to the company for appr</w:t>
      </w:r>
      <w:r w:rsidRPr="00411456">
        <w:rPr>
          <w:color w:val="000000"/>
          <w:lang w:val="en-IE"/>
        </w:rPr>
        <w:t xml:space="preserve">oval, had updated the register of members and that </w:t>
      </w:r>
      <w:r w:rsidR="00EB20DB" w:rsidRPr="00411456">
        <w:rPr>
          <w:color w:val="000000"/>
          <w:lang w:val="en-IE"/>
        </w:rPr>
        <w:t>the entire issued share capital in the company had been tra</w:t>
      </w:r>
      <w:r w:rsidRPr="00411456">
        <w:rPr>
          <w:color w:val="000000"/>
          <w:lang w:val="en-IE"/>
        </w:rPr>
        <w:t>nsferred by Amber to Otto.</w:t>
      </w:r>
    </w:p>
    <w:p w14:paraId="6F1183CB" w14:textId="5CC495A5" w:rsidR="00147554" w:rsidRPr="00411456" w:rsidRDefault="00147554"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Un</w:t>
      </w:r>
      <w:r w:rsidR="00EB20DB" w:rsidRPr="00411456">
        <w:rPr>
          <w:color w:val="000000"/>
          <w:lang w:val="en-IE"/>
        </w:rPr>
        <w:t>surprisingly, the applicant</w:t>
      </w:r>
      <w:r w:rsidR="001C5C57" w:rsidRPr="00411456">
        <w:rPr>
          <w:color w:val="000000"/>
          <w:lang w:val="en-IE"/>
        </w:rPr>
        <w:t>’s solicitor rep</w:t>
      </w:r>
      <w:r w:rsidR="00EB20DB" w:rsidRPr="00411456">
        <w:rPr>
          <w:color w:val="000000"/>
          <w:lang w:val="en-IE"/>
        </w:rPr>
        <w:t>lied imme</w:t>
      </w:r>
      <w:r w:rsidRPr="00411456">
        <w:rPr>
          <w:color w:val="000000"/>
          <w:lang w:val="en-IE"/>
        </w:rPr>
        <w:t xml:space="preserve">diately taking issue with </w:t>
      </w:r>
      <w:proofErr w:type="gramStart"/>
      <w:r w:rsidRPr="00411456">
        <w:rPr>
          <w:color w:val="000000"/>
          <w:lang w:val="en-IE"/>
        </w:rPr>
        <w:t>Amber’</w:t>
      </w:r>
      <w:r w:rsidR="00EB20DB" w:rsidRPr="00411456">
        <w:rPr>
          <w:color w:val="000000"/>
          <w:lang w:val="en-IE"/>
        </w:rPr>
        <w:t>s</w:t>
      </w:r>
      <w:proofErr w:type="gramEnd"/>
      <w:r w:rsidR="00EB20DB" w:rsidRPr="00411456">
        <w:rPr>
          <w:color w:val="000000"/>
          <w:lang w:val="en-IE"/>
        </w:rPr>
        <w:t xml:space="preserve"> change of position. He argued that the purported transfer was invalid for </w:t>
      </w:r>
      <w:proofErr w:type="gramStart"/>
      <w:r w:rsidR="00EB20DB" w:rsidRPr="00411456">
        <w:rPr>
          <w:color w:val="000000"/>
          <w:lang w:val="en-IE"/>
        </w:rPr>
        <w:t>a number of</w:t>
      </w:r>
      <w:proofErr w:type="gramEnd"/>
      <w:r w:rsidR="00EB20DB" w:rsidRPr="00411456">
        <w:rPr>
          <w:color w:val="000000"/>
          <w:lang w:val="en-IE"/>
        </w:rPr>
        <w:t xml:space="preserve"> reasons including the fact that there was only one signature on the</w:t>
      </w:r>
      <w:r w:rsidRPr="00411456">
        <w:rPr>
          <w:color w:val="000000"/>
          <w:lang w:val="en-IE"/>
        </w:rPr>
        <w:t xml:space="preserve"> stock transfer form,</w:t>
      </w:r>
      <w:r w:rsidR="00EB20DB" w:rsidRPr="00411456">
        <w:rPr>
          <w:color w:val="000000"/>
          <w:lang w:val="en-IE"/>
        </w:rPr>
        <w:t xml:space="preserve"> that the directors ha</w:t>
      </w:r>
      <w:r w:rsidRPr="00411456">
        <w:rPr>
          <w:color w:val="000000"/>
          <w:lang w:val="en-IE"/>
        </w:rPr>
        <w:t>d not accepted the transfer and,</w:t>
      </w:r>
      <w:r w:rsidR="00EB20DB" w:rsidRPr="00411456">
        <w:rPr>
          <w:color w:val="000000"/>
          <w:lang w:val="en-IE"/>
        </w:rPr>
        <w:t xml:space="preserve"> more generally</w:t>
      </w:r>
      <w:r w:rsidRPr="00411456">
        <w:rPr>
          <w:color w:val="000000"/>
          <w:lang w:val="en-IE"/>
        </w:rPr>
        <w:t>,</w:t>
      </w:r>
      <w:r w:rsidR="00EB20DB" w:rsidRPr="00411456">
        <w:rPr>
          <w:color w:val="000000"/>
          <w:lang w:val="en-IE"/>
        </w:rPr>
        <w:t xml:space="preserve"> </w:t>
      </w:r>
      <w:r w:rsidRPr="00411456">
        <w:rPr>
          <w:color w:val="000000"/>
          <w:lang w:val="en-IE"/>
        </w:rPr>
        <w:t xml:space="preserve">due to the </w:t>
      </w:r>
      <w:r w:rsidR="00CF672C">
        <w:rPr>
          <w:color w:val="000000"/>
          <w:lang w:val="en-IE"/>
        </w:rPr>
        <w:t>ef</w:t>
      </w:r>
      <w:r w:rsidRPr="00411456">
        <w:rPr>
          <w:color w:val="000000"/>
          <w:lang w:val="en-IE"/>
        </w:rPr>
        <w:t>flux of time</w:t>
      </w:r>
      <w:r w:rsidR="00EB20DB" w:rsidRPr="00411456">
        <w:rPr>
          <w:color w:val="000000"/>
          <w:lang w:val="en-IE"/>
        </w:rPr>
        <w:t>. He pointed to the accounts and returns which had been submitted by the company in the interven</w:t>
      </w:r>
      <w:r w:rsidRPr="00411456">
        <w:rPr>
          <w:color w:val="000000"/>
          <w:lang w:val="en-IE"/>
        </w:rPr>
        <w:t>ing period</w:t>
      </w:r>
      <w:r w:rsidR="00CF672C">
        <w:rPr>
          <w:color w:val="000000"/>
          <w:lang w:val="en-IE"/>
        </w:rPr>
        <w:t xml:space="preserve"> showing the applicant as a shareholder</w:t>
      </w:r>
      <w:r w:rsidRPr="00411456">
        <w:rPr>
          <w:color w:val="000000"/>
          <w:lang w:val="en-IE"/>
        </w:rPr>
        <w:t xml:space="preserve">. </w:t>
      </w:r>
    </w:p>
    <w:p w14:paraId="7F220529" w14:textId="7532BFA3" w:rsidR="00CF672C" w:rsidRDefault="00147554"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EB20DB" w:rsidRPr="00411456">
        <w:rPr>
          <w:color w:val="000000"/>
          <w:lang w:val="en-IE"/>
        </w:rPr>
        <w:t>he</w:t>
      </w:r>
      <w:r w:rsidR="00CF672C">
        <w:rPr>
          <w:color w:val="000000"/>
          <w:lang w:val="en-IE"/>
        </w:rPr>
        <w:t>se</w:t>
      </w:r>
      <w:r w:rsidR="00EB20DB" w:rsidRPr="00411456">
        <w:rPr>
          <w:color w:val="000000"/>
          <w:lang w:val="en-IE"/>
        </w:rPr>
        <w:t xml:space="preserve"> arguments proceeded to be played out in a further exchange of correspondence concluding on 18</w:t>
      </w:r>
      <w:r w:rsidRPr="00411456">
        <w:rPr>
          <w:color w:val="000000"/>
          <w:vertAlign w:val="superscript"/>
          <w:lang w:val="en-IE"/>
        </w:rPr>
        <w:t>th</w:t>
      </w:r>
      <w:r w:rsidRPr="00411456">
        <w:rPr>
          <w:color w:val="000000"/>
          <w:lang w:val="en-IE"/>
        </w:rPr>
        <w:t xml:space="preserve"> February 2021</w:t>
      </w:r>
      <w:r w:rsidR="00EB20DB" w:rsidRPr="00411456">
        <w:rPr>
          <w:color w:val="000000"/>
          <w:lang w:val="en-IE"/>
        </w:rPr>
        <w:t>. I do</w:t>
      </w:r>
      <w:r w:rsidRPr="00411456">
        <w:rPr>
          <w:color w:val="000000"/>
          <w:lang w:val="en-IE"/>
        </w:rPr>
        <w:t xml:space="preserve"> not propose to set out the detail</w:t>
      </w:r>
      <w:r w:rsidR="00EB20DB" w:rsidRPr="00411456">
        <w:rPr>
          <w:color w:val="000000"/>
          <w:lang w:val="en-IE"/>
        </w:rPr>
        <w:t xml:space="preserve"> of </w:t>
      </w:r>
      <w:proofErr w:type="gramStart"/>
      <w:r w:rsidR="00EB20DB" w:rsidRPr="00411456">
        <w:rPr>
          <w:color w:val="000000"/>
          <w:lang w:val="en-IE"/>
        </w:rPr>
        <w:t xml:space="preserve">all </w:t>
      </w:r>
      <w:r w:rsidRPr="00411456">
        <w:rPr>
          <w:color w:val="000000"/>
          <w:lang w:val="en-IE"/>
        </w:rPr>
        <w:t>of</w:t>
      </w:r>
      <w:proofErr w:type="gramEnd"/>
      <w:r w:rsidRPr="00411456">
        <w:rPr>
          <w:color w:val="000000"/>
          <w:lang w:val="en-IE"/>
        </w:rPr>
        <w:t xml:space="preserve"> this correspondence. T</w:t>
      </w:r>
      <w:r w:rsidR="00EB20DB" w:rsidRPr="00411456">
        <w:rPr>
          <w:color w:val="000000"/>
          <w:lang w:val="en-IE"/>
        </w:rPr>
        <w:t>he key points made by Amber were that</w:t>
      </w:r>
      <w:r w:rsidRPr="00411456">
        <w:rPr>
          <w:color w:val="000000"/>
          <w:lang w:val="en-IE"/>
        </w:rPr>
        <w:t>,</w:t>
      </w:r>
      <w:r w:rsidR="00EB20DB" w:rsidRPr="00411456">
        <w:rPr>
          <w:color w:val="000000"/>
          <w:lang w:val="en-IE"/>
        </w:rPr>
        <w:t xml:space="preserve"> notw</w:t>
      </w:r>
      <w:r w:rsidRPr="00411456">
        <w:rPr>
          <w:color w:val="000000"/>
          <w:lang w:val="en-IE"/>
        </w:rPr>
        <w:t>ithstanding the failure to re-register</w:t>
      </w:r>
      <w:r w:rsidR="00EB20DB" w:rsidRPr="00411456">
        <w:rPr>
          <w:color w:val="000000"/>
          <w:lang w:val="en-IE"/>
        </w:rPr>
        <w:t xml:space="preserve"> the disput</w:t>
      </w:r>
      <w:r w:rsidRPr="00411456">
        <w:rPr>
          <w:color w:val="000000"/>
          <w:lang w:val="en-IE"/>
        </w:rPr>
        <w:t>ed shares until 2021, from the point at which the cheque was cashed they</w:t>
      </w:r>
      <w:r w:rsidR="00EB20DB" w:rsidRPr="00411456">
        <w:rPr>
          <w:color w:val="000000"/>
          <w:lang w:val="en-IE"/>
        </w:rPr>
        <w:t xml:space="preserve"> </w:t>
      </w:r>
      <w:r w:rsidRPr="00411456">
        <w:rPr>
          <w:color w:val="000000"/>
          <w:lang w:val="en-IE"/>
        </w:rPr>
        <w:t>were held by the applicant on trust for A</w:t>
      </w:r>
      <w:r w:rsidR="00EB20DB" w:rsidRPr="00411456">
        <w:rPr>
          <w:color w:val="000000"/>
          <w:lang w:val="en-IE"/>
        </w:rPr>
        <w:t>mber and the applicant no longer had any beneficial interest in them</w:t>
      </w:r>
      <w:r w:rsidRPr="00411456">
        <w:rPr>
          <w:color w:val="000000"/>
          <w:lang w:val="en-IE"/>
        </w:rPr>
        <w:t>. It was suggested</w:t>
      </w:r>
      <w:r w:rsidR="00EB20DB" w:rsidRPr="00411456">
        <w:rPr>
          <w:color w:val="000000"/>
          <w:lang w:val="en-IE"/>
        </w:rPr>
        <w:t xml:space="preserve"> that the applicant should take the matter up with e</w:t>
      </w:r>
      <w:r w:rsidRPr="00411456">
        <w:rPr>
          <w:color w:val="000000"/>
          <w:lang w:val="en-IE"/>
        </w:rPr>
        <w:t>ither the examiner or with Mr. Tougher, t</w:t>
      </w:r>
      <w:r w:rsidR="00EB20DB" w:rsidRPr="00411456">
        <w:rPr>
          <w:color w:val="000000"/>
          <w:lang w:val="en-IE"/>
        </w:rPr>
        <w:t>he director who signed the s</w:t>
      </w:r>
      <w:r w:rsidRPr="00411456">
        <w:rPr>
          <w:color w:val="000000"/>
          <w:lang w:val="en-IE"/>
        </w:rPr>
        <w:t>tock transfer form. I</w:t>
      </w:r>
      <w:r w:rsidR="00EB20DB" w:rsidRPr="00411456">
        <w:rPr>
          <w:color w:val="000000"/>
          <w:lang w:val="en-IE"/>
        </w:rPr>
        <w:t>t was argued that the fact the directors of the company took no steps to register the transfer cannot be deeme</w:t>
      </w:r>
      <w:r w:rsidRPr="00411456">
        <w:rPr>
          <w:color w:val="000000"/>
          <w:lang w:val="en-IE"/>
        </w:rPr>
        <w:t>d to be a refusal to register a transfer</w:t>
      </w:r>
      <w:r w:rsidR="00CF672C">
        <w:rPr>
          <w:color w:val="000000"/>
          <w:lang w:val="en-IE"/>
        </w:rPr>
        <w:t xml:space="preserve"> when the transfer had not been formally presented to the company</w:t>
      </w:r>
      <w:r w:rsidRPr="00411456">
        <w:rPr>
          <w:color w:val="000000"/>
          <w:lang w:val="en-IE"/>
        </w:rPr>
        <w:t>. T</w:t>
      </w:r>
      <w:r w:rsidR="00EB20DB" w:rsidRPr="00411456">
        <w:rPr>
          <w:color w:val="000000"/>
          <w:lang w:val="en-IE"/>
        </w:rPr>
        <w:t>he app</w:t>
      </w:r>
      <w:r w:rsidRPr="00411456">
        <w:rPr>
          <w:color w:val="000000"/>
          <w:lang w:val="en-IE"/>
        </w:rPr>
        <w:t>licant pointed out that Mr. Tougher</w:t>
      </w:r>
      <w:r w:rsidR="00EB20DB" w:rsidRPr="00411456">
        <w:rPr>
          <w:color w:val="000000"/>
          <w:lang w:val="en-IE"/>
        </w:rPr>
        <w:t xml:space="preserve"> was no longer the controlling shareholder of the applicant at the time he signed the st</w:t>
      </w:r>
      <w:r w:rsidRPr="00411456">
        <w:rPr>
          <w:color w:val="000000"/>
          <w:lang w:val="en-IE"/>
        </w:rPr>
        <w:t>ock transfer form</w:t>
      </w:r>
      <w:r w:rsidR="00EB20DB" w:rsidRPr="00411456">
        <w:rPr>
          <w:color w:val="000000"/>
          <w:lang w:val="en-IE"/>
        </w:rPr>
        <w:t xml:space="preserve"> </w:t>
      </w:r>
      <w:r w:rsidRPr="00411456">
        <w:rPr>
          <w:color w:val="000000"/>
          <w:lang w:val="en-IE"/>
        </w:rPr>
        <w:t>and that he</w:t>
      </w:r>
      <w:r w:rsidR="00EB20DB" w:rsidRPr="00411456">
        <w:rPr>
          <w:color w:val="000000"/>
          <w:lang w:val="en-IE"/>
        </w:rPr>
        <w:t xml:space="preserve"> </w:t>
      </w:r>
      <w:proofErr w:type="gramStart"/>
      <w:r w:rsidR="00EB20DB" w:rsidRPr="00411456">
        <w:rPr>
          <w:color w:val="000000"/>
          <w:lang w:val="en-IE"/>
        </w:rPr>
        <w:t>had no involvement</w:t>
      </w:r>
      <w:proofErr w:type="gramEnd"/>
      <w:r w:rsidR="00EB20DB" w:rsidRPr="00411456">
        <w:rPr>
          <w:color w:val="000000"/>
          <w:lang w:val="en-IE"/>
        </w:rPr>
        <w:t xml:space="preserve"> at all with the applicant at the time the stock transfer form was registered. The app</w:t>
      </w:r>
      <w:r w:rsidR="00041E0F" w:rsidRPr="00411456">
        <w:rPr>
          <w:color w:val="000000"/>
          <w:lang w:val="en-IE"/>
        </w:rPr>
        <w:t>licant contends that the €50 paid by Amber</w:t>
      </w:r>
      <w:r w:rsidR="00EB20DB" w:rsidRPr="00411456">
        <w:rPr>
          <w:color w:val="000000"/>
          <w:lang w:val="en-IE"/>
        </w:rPr>
        <w:t xml:space="preserve"> for</w:t>
      </w:r>
      <w:r w:rsidR="00041E0F" w:rsidRPr="00411456">
        <w:rPr>
          <w:color w:val="000000"/>
          <w:lang w:val="en-IE"/>
        </w:rPr>
        <w:t xml:space="preserve"> the disputed </w:t>
      </w:r>
      <w:r w:rsidR="00EB20DB" w:rsidRPr="00411456">
        <w:rPr>
          <w:color w:val="000000"/>
          <w:lang w:val="en-IE"/>
        </w:rPr>
        <w:t>s</w:t>
      </w:r>
      <w:r w:rsidR="00041E0F" w:rsidRPr="00411456">
        <w:rPr>
          <w:color w:val="000000"/>
          <w:lang w:val="en-IE"/>
        </w:rPr>
        <w:t>hares was never lodged to the company’</w:t>
      </w:r>
      <w:r w:rsidR="00EB20DB" w:rsidRPr="00411456">
        <w:rPr>
          <w:color w:val="000000"/>
          <w:lang w:val="en-IE"/>
        </w:rPr>
        <w:t>s</w:t>
      </w:r>
      <w:r w:rsidR="00CB5BEB" w:rsidRPr="00411456">
        <w:rPr>
          <w:color w:val="000000"/>
          <w:lang w:val="en-IE"/>
        </w:rPr>
        <w:t xml:space="preserve"> account. T</w:t>
      </w:r>
      <w:r w:rsidR="00EB20DB" w:rsidRPr="00411456">
        <w:rPr>
          <w:color w:val="000000"/>
          <w:lang w:val="en-IE"/>
        </w:rPr>
        <w:t xml:space="preserve">he applicant also continued </w:t>
      </w:r>
      <w:r w:rsidR="00EB20DB" w:rsidRPr="00411456">
        <w:rPr>
          <w:color w:val="000000"/>
          <w:lang w:val="en-IE"/>
        </w:rPr>
        <w:lastRenderedPageBreak/>
        <w:t xml:space="preserve">to raise issues regarding the writing </w:t>
      </w:r>
      <w:proofErr w:type="gramStart"/>
      <w:r w:rsidR="00EB20DB" w:rsidRPr="00411456">
        <w:rPr>
          <w:color w:val="000000"/>
          <w:lang w:val="en-IE"/>
        </w:rPr>
        <w:t>off of</w:t>
      </w:r>
      <w:proofErr w:type="gramEnd"/>
      <w:r w:rsidR="00EB20DB" w:rsidRPr="00411456">
        <w:rPr>
          <w:color w:val="000000"/>
          <w:lang w:val="en-IE"/>
        </w:rPr>
        <w:t xml:space="preserve"> the loan made by the applicant to the company and the sale of the lands by the c</w:t>
      </w:r>
      <w:r w:rsidR="00CB5BEB" w:rsidRPr="00411456">
        <w:rPr>
          <w:color w:val="000000"/>
          <w:lang w:val="en-IE"/>
        </w:rPr>
        <w:t>ompany.</w:t>
      </w:r>
    </w:p>
    <w:p w14:paraId="36CC1B69" w14:textId="77777777" w:rsidR="00886FFD" w:rsidRPr="00886FFD" w:rsidRDefault="00886FFD" w:rsidP="004A0604">
      <w:pPr>
        <w:pStyle w:val="NormalWeb"/>
        <w:spacing w:before="0" w:beforeAutospacing="0" w:after="0" w:afterAutospacing="0" w:line="480" w:lineRule="auto"/>
        <w:jc w:val="both"/>
        <w:rPr>
          <w:color w:val="000000"/>
          <w:lang w:val="en-IE"/>
        </w:rPr>
      </w:pPr>
    </w:p>
    <w:p w14:paraId="49812AEC" w14:textId="5CC9B939" w:rsidR="00CB5BEB" w:rsidRPr="00411456" w:rsidRDefault="00CF672C" w:rsidP="004A0604">
      <w:pPr>
        <w:pStyle w:val="NormalWeb"/>
        <w:spacing w:before="0" w:beforeAutospacing="0" w:after="0" w:afterAutospacing="0" w:line="480" w:lineRule="auto"/>
        <w:jc w:val="both"/>
        <w:rPr>
          <w:b/>
          <w:color w:val="000000"/>
          <w:u w:val="single"/>
          <w:lang w:val="en-IE"/>
        </w:rPr>
      </w:pPr>
      <w:r>
        <w:rPr>
          <w:b/>
          <w:color w:val="000000"/>
          <w:u w:val="single"/>
          <w:lang w:val="en-IE"/>
        </w:rPr>
        <w:t>The F</w:t>
      </w:r>
      <w:r w:rsidR="00EB20DB" w:rsidRPr="00411456">
        <w:rPr>
          <w:b/>
          <w:color w:val="000000"/>
          <w:u w:val="single"/>
          <w:lang w:val="en-IE"/>
        </w:rPr>
        <w:t xml:space="preserve">orm of the </w:t>
      </w:r>
      <w:r w:rsidR="00292EB0">
        <w:rPr>
          <w:b/>
          <w:color w:val="000000"/>
          <w:u w:val="single"/>
          <w:lang w:val="en-IE"/>
        </w:rPr>
        <w:t>P</w:t>
      </w:r>
      <w:r w:rsidR="00EB20DB" w:rsidRPr="00411456">
        <w:rPr>
          <w:b/>
          <w:color w:val="000000"/>
          <w:u w:val="single"/>
          <w:lang w:val="en-IE"/>
        </w:rPr>
        <w:t>rocee</w:t>
      </w:r>
      <w:r w:rsidR="00CB5BEB" w:rsidRPr="00411456">
        <w:rPr>
          <w:b/>
          <w:color w:val="000000"/>
          <w:u w:val="single"/>
          <w:lang w:val="en-IE"/>
        </w:rPr>
        <w:t>dings</w:t>
      </w:r>
    </w:p>
    <w:p w14:paraId="7B586C02" w14:textId="41D3B9C4" w:rsidR="0026607A" w:rsidRPr="00411456" w:rsidRDefault="00CB5BE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O</w:t>
      </w:r>
      <w:r w:rsidR="00EB20DB" w:rsidRPr="00411456">
        <w:rPr>
          <w:color w:val="000000"/>
          <w:lang w:val="en-IE"/>
        </w:rPr>
        <w:t>n 24</w:t>
      </w:r>
      <w:r w:rsidR="00EB20DB" w:rsidRPr="00411456">
        <w:rPr>
          <w:color w:val="000000"/>
          <w:vertAlign w:val="superscript"/>
          <w:lang w:val="en-IE"/>
        </w:rPr>
        <w:t>th</w:t>
      </w:r>
      <w:r w:rsidRPr="00411456">
        <w:rPr>
          <w:color w:val="000000"/>
          <w:lang w:val="en-IE"/>
        </w:rPr>
        <w:t xml:space="preserve"> </w:t>
      </w:r>
      <w:r w:rsidR="00EB20DB" w:rsidRPr="00411456">
        <w:rPr>
          <w:color w:val="000000"/>
          <w:lang w:val="en-IE"/>
        </w:rPr>
        <w:t>Febru</w:t>
      </w:r>
      <w:r w:rsidRPr="00411456">
        <w:rPr>
          <w:color w:val="000000"/>
          <w:lang w:val="en-IE"/>
        </w:rPr>
        <w:t>ary 2021, t</w:t>
      </w:r>
      <w:r w:rsidR="00EB20DB" w:rsidRPr="00411456">
        <w:rPr>
          <w:color w:val="000000"/>
          <w:lang w:val="en-IE"/>
        </w:rPr>
        <w:t>hese proceedings wer</w:t>
      </w:r>
      <w:r w:rsidRPr="00411456">
        <w:rPr>
          <w:color w:val="000000"/>
          <w:lang w:val="en-IE"/>
        </w:rPr>
        <w:t>e issued by way of originating notice of motion grounded o</w:t>
      </w:r>
      <w:r w:rsidR="00EB20DB" w:rsidRPr="00411456">
        <w:rPr>
          <w:color w:val="000000"/>
          <w:lang w:val="en-IE"/>
        </w:rPr>
        <w:t>n</w:t>
      </w:r>
      <w:r w:rsidRPr="00411456">
        <w:rPr>
          <w:color w:val="000000"/>
          <w:lang w:val="en-IE"/>
        </w:rPr>
        <w:t xml:space="preserve"> an affidavit of Mr. </w:t>
      </w:r>
      <w:proofErr w:type="spellStart"/>
      <w:r w:rsidRPr="00411456">
        <w:rPr>
          <w:color w:val="000000"/>
          <w:lang w:val="en-IE"/>
        </w:rPr>
        <w:t>O’Regan</w:t>
      </w:r>
      <w:proofErr w:type="spellEnd"/>
      <w:r w:rsidRPr="00411456">
        <w:rPr>
          <w:color w:val="000000"/>
          <w:lang w:val="en-IE"/>
        </w:rPr>
        <w:t xml:space="preserve"> seeking an order under s. 173 of the Companies Act 2014</w:t>
      </w:r>
      <w:r w:rsidR="0026607A" w:rsidRPr="00411456">
        <w:rPr>
          <w:color w:val="000000"/>
          <w:lang w:val="en-IE"/>
        </w:rPr>
        <w:t xml:space="preserve"> rectif</w:t>
      </w:r>
      <w:r w:rsidR="00EB20DB" w:rsidRPr="00411456">
        <w:rPr>
          <w:color w:val="000000"/>
          <w:lang w:val="en-IE"/>
        </w:rPr>
        <w:t>ying the register of members of the company by the entry of the ap</w:t>
      </w:r>
      <w:r w:rsidR="0026607A" w:rsidRPr="00411456">
        <w:rPr>
          <w:color w:val="000000"/>
          <w:lang w:val="en-IE"/>
        </w:rPr>
        <w:t xml:space="preserve">plicant’s name as the owner of 50 ordinary shares </w:t>
      </w:r>
      <w:r w:rsidR="00EB20DB" w:rsidRPr="00411456">
        <w:rPr>
          <w:color w:val="000000"/>
          <w:lang w:val="en-IE"/>
        </w:rPr>
        <w:t>together with various</w:t>
      </w:r>
      <w:r w:rsidR="0026607A" w:rsidRPr="00411456">
        <w:rPr>
          <w:color w:val="000000"/>
          <w:lang w:val="en-IE"/>
        </w:rPr>
        <w:t xml:space="preserve"> ancillary relief. I will consider the scope of the court’s jurisdiction under s. 173 f</w:t>
      </w:r>
      <w:r w:rsidR="00EB20DB" w:rsidRPr="00411456">
        <w:rPr>
          <w:color w:val="000000"/>
          <w:lang w:val="en-IE"/>
        </w:rPr>
        <w:t>urther below. The form of the proceedings has been challenged by the respondents o</w:t>
      </w:r>
      <w:r w:rsidR="0026607A" w:rsidRPr="00411456">
        <w:rPr>
          <w:color w:val="000000"/>
          <w:lang w:val="en-IE"/>
        </w:rPr>
        <w:t xml:space="preserve">n two different </w:t>
      </w:r>
      <w:r w:rsidR="00CF672C">
        <w:rPr>
          <w:color w:val="000000"/>
          <w:lang w:val="en-IE"/>
        </w:rPr>
        <w:t>grounds</w:t>
      </w:r>
      <w:r w:rsidR="0026607A" w:rsidRPr="00411456">
        <w:rPr>
          <w:color w:val="000000"/>
          <w:lang w:val="en-IE"/>
        </w:rPr>
        <w:t xml:space="preserve">. The first has to do with </w:t>
      </w:r>
      <w:r w:rsidR="00CF672C" w:rsidRPr="00411456">
        <w:rPr>
          <w:color w:val="000000"/>
          <w:lang w:val="en-IE"/>
        </w:rPr>
        <w:t>the suitability of the application for summary disposal on affidavit</w:t>
      </w:r>
      <w:r w:rsidR="0026607A" w:rsidRPr="00411456">
        <w:rPr>
          <w:color w:val="000000"/>
          <w:lang w:val="en-IE"/>
        </w:rPr>
        <w:t>; t</w:t>
      </w:r>
      <w:r w:rsidR="00EB20DB" w:rsidRPr="00411456">
        <w:rPr>
          <w:color w:val="000000"/>
          <w:lang w:val="en-IE"/>
        </w:rPr>
        <w:t xml:space="preserve">he second </w:t>
      </w:r>
      <w:r w:rsidR="00CF672C">
        <w:rPr>
          <w:color w:val="000000"/>
          <w:lang w:val="en-IE"/>
        </w:rPr>
        <w:t xml:space="preserve">with </w:t>
      </w:r>
      <w:r w:rsidR="00CF672C" w:rsidRPr="00411456">
        <w:rPr>
          <w:color w:val="000000"/>
          <w:lang w:val="en-IE"/>
        </w:rPr>
        <w:t>the joinder and non-joinder of parties</w:t>
      </w:r>
      <w:r w:rsidR="0026607A" w:rsidRPr="00411456">
        <w:rPr>
          <w:color w:val="000000"/>
          <w:lang w:val="en-IE"/>
        </w:rPr>
        <w:t>.</w:t>
      </w:r>
    </w:p>
    <w:p w14:paraId="0A34857C" w14:textId="3EB66EE4" w:rsidR="00054D2A" w:rsidRPr="00411456" w:rsidRDefault="0026607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EB20DB" w:rsidRPr="00411456">
        <w:rPr>
          <w:color w:val="000000"/>
          <w:lang w:val="en-IE"/>
        </w:rPr>
        <w:t xml:space="preserve">he application was made by way of originating notice of motion on the basis that </w:t>
      </w:r>
      <w:r w:rsidR="00EB20DB" w:rsidRPr="00411456">
        <w:rPr>
          <w:i/>
          <w:color w:val="000000"/>
          <w:lang w:val="en-IE"/>
        </w:rPr>
        <w:t>prima facie</w:t>
      </w:r>
      <w:r w:rsidR="00EB20DB" w:rsidRPr="00411456">
        <w:rPr>
          <w:color w:val="000000"/>
          <w:lang w:val="en-IE"/>
        </w:rPr>
        <w:t xml:space="preserve"> it</w:t>
      </w:r>
      <w:r w:rsidR="00B15DEE" w:rsidRPr="00411456">
        <w:rPr>
          <w:color w:val="000000"/>
          <w:lang w:val="en-IE"/>
        </w:rPr>
        <w:t xml:space="preserve"> is one which falls within O. 75, r. 3</w:t>
      </w:r>
      <w:r w:rsidR="00EB20DB" w:rsidRPr="00411456">
        <w:rPr>
          <w:color w:val="000000"/>
          <w:lang w:val="en-IE"/>
        </w:rPr>
        <w:t xml:space="preserve"> of the </w:t>
      </w:r>
      <w:r w:rsidR="00B15DEE" w:rsidRPr="00411456">
        <w:rPr>
          <w:color w:val="000000"/>
          <w:lang w:val="en-IE"/>
        </w:rPr>
        <w:t>Rules of the Superior Courts. O</w:t>
      </w:r>
      <w:r w:rsidR="00EB20DB" w:rsidRPr="00411456">
        <w:rPr>
          <w:color w:val="000000"/>
          <w:lang w:val="en-IE"/>
        </w:rPr>
        <w:t>rder 75 deals wit</w:t>
      </w:r>
      <w:r w:rsidR="00B15DEE" w:rsidRPr="00411456">
        <w:rPr>
          <w:color w:val="000000"/>
          <w:lang w:val="en-IE"/>
        </w:rPr>
        <w:t xml:space="preserve">h proceedings under the </w:t>
      </w:r>
      <w:proofErr w:type="gramStart"/>
      <w:r w:rsidR="00B15DEE" w:rsidRPr="00411456">
        <w:rPr>
          <w:color w:val="000000"/>
          <w:lang w:val="en-IE"/>
        </w:rPr>
        <w:t>compan</w:t>
      </w:r>
      <w:r w:rsidR="00CF672C">
        <w:rPr>
          <w:color w:val="000000"/>
          <w:lang w:val="en-IE"/>
        </w:rPr>
        <w:t>ies</w:t>
      </w:r>
      <w:proofErr w:type="gramEnd"/>
      <w:r w:rsidR="00EB20DB" w:rsidRPr="00411456">
        <w:rPr>
          <w:color w:val="000000"/>
          <w:lang w:val="en-IE"/>
        </w:rPr>
        <w:t xml:space="preserve"> legislation not</w:t>
      </w:r>
      <w:r w:rsidR="00B15DEE" w:rsidRPr="00411456">
        <w:rPr>
          <w:color w:val="000000"/>
          <w:lang w:val="en-IE"/>
        </w:rPr>
        <w:t xml:space="preserve"> relating to winding up and r. 3</w:t>
      </w:r>
      <w:r w:rsidR="00EB20DB" w:rsidRPr="00411456">
        <w:rPr>
          <w:color w:val="000000"/>
          <w:lang w:val="en-IE"/>
        </w:rPr>
        <w:t xml:space="preserve"> captures all applications under the Companies </w:t>
      </w:r>
      <w:r w:rsidR="00B15DEE" w:rsidRPr="00411456">
        <w:rPr>
          <w:color w:val="000000"/>
          <w:lang w:val="en-IE"/>
        </w:rPr>
        <w:t>Act 2014 save</w:t>
      </w:r>
      <w:r w:rsidR="00EB20DB" w:rsidRPr="00411456">
        <w:rPr>
          <w:color w:val="000000"/>
          <w:lang w:val="en-IE"/>
        </w:rPr>
        <w:t xml:space="preserve"> for </w:t>
      </w:r>
      <w:r w:rsidR="00EB20DB" w:rsidRPr="00411456">
        <w:rPr>
          <w:i/>
          <w:color w:val="000000"/>
          <w:lang w:val="en-IE"/>
        </w:rPr>
        <w:t xml:space="preserve">ex </w:t>
      </w:r>
      <w:proofErr w:type="spellStart"/>
      <w:r w:rsidR="00EB20DB" w:rsidRPr="00411456">
        <w:rPr>
          <w:i/>
          <w:color w:val="000000"/>
          <w:lang w:val="en-IE"/>
        </w:rPr>
        <w:t>parte</w:t>
      </w:r>
      <w:proofErr w:type="spellEnd"/>
      <w:r w:rsidR="00B15DEE" w:rsidRPr="00411456">
        <w:rPr>
          <w:color w:val="000000"/>
          <w:lang w:val="en-IE"/>
        </w:rPr>
        <w:t xml:space="preserve"> applications</w:t>
      </w:r>
      <w:r w:rsidR="00CF672C">
        <w:rPr>
          <w:color w:val="000000"/>
          <w:lang w:val="en-IE"/>
        </w:rPr>
        <w:t xml:space="preserve"> and</w:t>
      </w:r>
      <w:r w:rsidR="00B15DEE" w:rsidRPr="00411456">
        <w:rPr>
          <w:color w:val="000000"/>
          <w:lang w:val="en-IE"/>
        </w:rPr>
        <w:t xml:space="preserve"> </w:t>
      </w:r>
      <w:r w:rsidR="00EB20DB" w:rsidRPr="00411456">
        <w:rPr>
          <w:color w:val="000000"/>
          <w:lang w:val="en-IE"/>
        </w:rPr>
        <w:t>applications in respect of which sepa</w:t>
      </w:r>
      <w:r w:rsidR="00B15DEE" w:rsidRPr="00411456">
        <w:rPr>
          <w:color w:val="000000"/>
          <w:lang w:val="en-IE"/>
        </w:rPr>
        <w:t>rate provision is made in O. 74, O.</w:t>
      </w:r>
      <w:r w:rsidR="00EB20DB" w:rsidRPr="00411456">
        <w:rPr>
          <w:color w:val="000000"/>
          <w:lang w:val="en-IE"/>
        </w:rPr>
        <w:t xml:space="preserve"> 74</w:t>
      </w:r>
      <w:r w:rsidR="00B15DEE" w:rsidRPr="00411456">
        <w:rPr>
          <w:color w:val="000000"/>
          <w:lang w:val="en-IE"/>
        </w:rPr>
        <w:t xml:space="preserve">A or O. 74B. It seems </w:t>
      </w:r>
      <w:proofErr w:type="gramStart"/>
      <w:r w:rsidR="00B15DEE" w:rsidRPr="00411456">
        <w:rPr>
          <w:color w:val="000000"/>
          <w:lang w:val="en-IE"/>
        </w:rPr>
        <w:t>fairly clear</w:t>
      </w:r>
      <w:proofErr w:type="gramEnd"/>
      <w:r w:rsidR="00B15DEE" w:rsidRPr="00411456">
        <w:rPr>
          <w:color w:val="000000"/>
          <w:lang w:val="en-IE"/>
        </w:rPr>
        <w:t xml:space="preserve"> that an application under s. </w:t>
      </w:r>
      <w:r w:rsidR="00EB20DB" w:rsidRPr="00411456">
        <w:rPr>
          <w:color w:val="000000"/>
          <w:lang w:val="en-IE"/>
        </w:rPr>
        <w:t>173 of the 2014 Act comes withi</w:t>
      </w:r>
      <w:r w:rsidR="00B15DEE" w:rsidRPr="00411456">
        <w:rPr>
          <w:color w:val="000000"/>
          <w:lang w:val="en-IE"/>
        </w:rPr>
        <w:t>n the scope of this rule. T</w:t>
      </w:r>
      <w:r w:rsidR="00EB20DB" w:rsidRPr="00411456">
        <w:rPr>
          <w:color w:val="000000"/>
          <w:lang w:val="en-IE"/>
        </w:rPr>
        <w:t xml:space="preserve">he language of the rule </w:t>
      </w:r>
      <w:r w:rsidR="00B15DEE" w:rsidRPr="00411456">
        <w:rPr>
          <w:color w:val="000000"/>
          <w:lang w:val="en-IE"/>
        </w:rPr>
        <w:t>(</w:t>
      </w:r>
      <w:r w:rsidR="00B15DEE" w:rsidRPr="00411456">
        <w:rPr>
          <w:i/>
          <w:color w:val="000000"/>
          <w:lang w:val="en-IE"/>
        </w:rPr>
        <w:t>“shall be made by originating notice of motion”</w:t>
      </w:r>
      <w:r w:rsidR="00B15DEE" w:rsidRPr="00411456">
        <w:rPr>
          <w:color w:val="000000"/>
          <w:lang w:val="en-IE"/>
        </w:rPr>
        <w:t xml:space="preserve">) </w:t>
      </w:r>
      <w:r w:rsidR="00EB20DB" w:rsidRPr="00411456">
        <w:rPr>
          <w:color w:val="000000"/>
          <w:lang w:val="en-IE"/>
        </w:rPr>
        <w:t>suggest</w:t>
      </w:r>
      <w:r w:rsidR="00B15DEE" w:rsidRPr="00411456">
        <w:rPr>
          <w:color w:val="000000"/>
          <w:lang w:val="en-IE"/>
        </w:rPr>
        <w:t>s</w:t>
      </w:r>
      <w:r w:rsidR="00EB20DB" w:rsidRPr="00411456">
        <w:rPr>
          <w:color w:val="000000"/>
          <w:lang w:val="en-IE"/>
        </w:rPr>
        <w:t xml:space="preserve"> proceeding in this manner i</w:t>
      </w:r>
      <w:r w:rsidR="00054D2A" w:rsidRPr="00411456">
        <w:rPr>
          <w:color w:val="000000"/>
          <w:lang w:val="en-IE"/>
        </w:rPr>
        <w:t>s mandatory. Thus,</w:t>
      </w:r>
      <w:r w:rsidR="00EB20DB" w:rsidRPr="00411456">
        <w:rPr>
          <w:color w:val="000000"/>
          <w:lang w:val="en-IE"/>
        </w:rPr>
        <w:t xml:space="preserve"> I do not think th</w:t>
      </w:r>
      <w:r w:rsidR="00054D2A" w:rsidRPr="00411456">
        <w:rPr>
          <w:color w:val="000000"/>
          <w:lang w:val="en-IE"/>
        </w:rPr>
        <w:t>at the applicant can be criticis</w:t>
      </w:r>
      <w:r w:rsidR="00EB20DB" w:rsidRPr="00411456">
        <w:rPr>
          <w:color w:val="000000"/>
          <w:lang w:val="en-IE"/>
        </w:rPr>
        <w:t>ed for having initiated this application by way</w:t>
      </w:r>
      <w:r w:rsidR="00054D2A" w:rsidRPr="00411456">
        <w:rPr>
          <w:color w:val="000000"/>
          <w:lang w:val="en-IE"/>
        </w:rPr>
        <w:t xml:space="preserve"> of originat</w:t>
      </w:r>
      <w:r w:rsidR="00CF672C">
        <w:rPr>
          <w:color w:val="000000"/>
          <w:lang w:val="en-IE"/>
        </w:rPr>
        <w:t>ing</w:t>
      </w:r>
      <w:r w:rsidR="00054D2A" w:rsidRPr="00411456">
        <w:rPr>
          <w:color w:val="000000"/>
          <w:lang w:val="en-IE"/>
        </w:rPr>
        <w:t xml:space="preserve"> notice of motion</w:t>
      </w:r>
      <w:r w:rsidR="00EB20DB" w:rsidRPr="00411456">
        <w:rPr>
          <w:color w:val="000000"/>
          <w:lang w:val="en-IE"/>
        </w:rPr>
        <w:t xml:space="preserve"> which necessarily carries with it an assumption that the application is suitabl</w:t>
      </w:r>
      <w:r w:rsidR="00054D2A" w:rsidRPr="00411456">
        <w:rPr>
          <w:color w:val="000000"/>
          <w:lang w:val="en-IE"/>
        </w:rPr>
        <w:t>e for summary disposal.</w:t>
      </w:r>
    </w:p>
    <w:p w14:paraId="1BF1AA29" w14:textId="63DC9D6A" w:rsidR="00054D2A"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This is not</w:t>
      </w:r>
      <w:r w:rsidR="00054D2A" w:rsidRPr="00411456">
        <w:rPr>
          <w:color w:val="000000"/>
          <w:lang w:val="en-IE"/>
        </w:rPr>
        <w:t>,</w:t>
      </w:r>
      <w:r w:rsidRPr="00411456">
        <w:rPr>
          <w:color w:val="000000"/>
          <w:lang w:val="en-IE"/>
        </w:rPr>
        <w:t xml:space="preserve"> however</w:t>
      </w:r>
      <w:r w:rsidR="00054D2A" w:rsidRPr="00411456">
        <w:rPr>
          <w:color w:val="000000"/>
          <w:lang w:val="en-IE"/>
        </w:rPr>
        <w:t>, the end of the matter. Order 75, rule 4 provides for the possibility of</w:t>
      </w:r>
      <w:r w:rsidRPr="00411456">
        <w:rPr>
          <w:color w:val="000000"/>
          <w:lang w:val="en-IE"/>
        </w:rPr>
        <w:t xml:space="preserve"> an applicatio</w:t>
      </w:r>
      <w:r w:rsidR="00054D2A" w:rsidRPr="00411456">
        <w:rPr>
          <w:color w:val="000000"/>
          <w:lang w:val="en-IE"/>
        </w:rPr>
        <w:t>n for directions in any case where an originati</w:t>
      </w:r>
      <w:r w:rsidRPr="00411456">
        <w:rPr>
          <w:color w:val="000000"/>
          <w:lang w:val="en-IE"/>
        </w:rPr>
        <w:t>n</w:t>
      </w:r>
      <w:r w:rsidR="00054D2A" w:rsidRPr="00411456">
        <w:rPr>
          <w:color w:val="000000"/>
          <w:lang w:val="en-IE"/>
        </w:rPr>
        <w:t>g notice of motion is issued under r. 3. Under r. 4(3), the</w:t>
      </w:r>
      <w:r w:rsidRPr="00411456">
        <w:rPr>
          <w:color w:val="000000"/>
          <w:lang w:val="en-IE"/>
        </w:rPr>
        <w:t xml:space="preserve"> court has express jurisdiction to direct a plenary hearing in the matter where the court considers </w:t>
      </w:r>
      <w:r w:rsidRPr="00411456">
        <w:rPr>
          <w:color w:val="000000"/>
          <w:lang w:val="en-IE"/>
        </w:rPr>
        <w:lastRenderedPageBreak/>
        <w:t xml:space="preserve">it necessary or desirable </w:t>
      </w:r>
      <w:r w:rsidR="00054D2A" w:rsidRPr="00411456">
        <w:rPr>
          <w:color w:val="000000"/>
          <w:lang w:val="en-IE"/>
        </w:rPr>
        <w:t xml:space="preserve">in the public interest to do so and it </w:t>
      </w:r>
      <w:r w:rsidRPr="00411456">
        <w:rPr>
          <w:color w:val="000000"/>
          <w:lang w:val="en-IE"/>
        </w:rPr>
        <w:t xml:space="preserve">has an ancillary power to direct the exchange of pleadings and the setting of the issues between the parties. </w:t>
      </w:r>
      <w:r w:rsidR="00567FF7">
        <w:rPr>
          <w:color w:val="000000"/>
          <w:lang w:val="en-IE"/>
        </w:rPr>
        <w:t>Thus, a matter under the Companies Act 2014 may be properly commenced by way of originating notice of motion und</w:t>
      </w:r>
      <w:r w:rsidR="004948AD">
        <w:rPr>
          <w:color w:val="000000"/>
          <w:lang w:val="en-IE"/>
        </w:rPr>
        <w:t>e</w:t>
      </w:r>
      <w:r w:rsidR="00567FF7">
        <w:rPr>
          <w:color w:val="000000"/>
          <w:lang w:val="en-IE"/>
        </w:rPr>
        <w:t xml:space="preserve">r O.75, r.3 and thereafter converted to a plenary hearing if it is unsuitable for summary disposal. </w:t>
      </w:r>
      <w:r w:rsidRPr="00411456">
        <w:rPr>
          <w:color w:val="000000"/>
          <w:lang w:val="en-IE"/>
        </w:rPr>
        <w:t>Neither side sought such d</w:t>
      </w:r>
      <w:r w:rsidR="00054D2A" w:rsidRPr="00411456">
        <w:rPr>
          <w:color w:val="000000"/>
          <w:lang w:val="en-IE"/>
        </w:rPr>
        <w:t>irections in this case. Equally, no notice to cross-</w:t>
      </w:r>
      <w:r w:rsidRPr="00411456">
        <w:rPr>
          <w:color w:val="000000"/>
          <w:lang w:val="en-IE"/>
        </w:rPr>
        <w:t>examine was served b</w:t>
      </w:r>
      <w:r w:rsidR="00054D2A" w:rsidRPr="00411456">
        <w:rPr>
          <w:color w:val="000000"/>
          <w:lang w:val="en-IE"/>
        </w:rPr>
        <w:t>y either side on the other side’s depone</w:t>
      </w:r>
      <w:r w:rsidRPr="00411456">
        <w:rPr>
          <w:color w:val="000000"/>
          <w:lang w:val="en-IE"/>
        </w:rPr>
        <w:t>nt</w:t>
      </w:r>
      <w:r w:rsidR="00054D2A" w:rsidRPr="00411456">
        <w:rPr>
          <w:color w:val="000000"/>
          <w:lang w:val="en-IE"/>
        </w:rPr>
        <w:t>.</w:t>
      </w:r>
    </w:p>
    <w:p w14:paraId="21199EA5" w14:textId="728A69EB" w:rsidR="00054D2A" w:rsidRPr="00411456" w:rsidRDefault="00054D2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Instead, </w:t>
      </w:r>
      <w:r w:rsidR="00EB20DB" w:rsidRPr="00411456">
        <w:rPr>
          <w:color w:val="000000"/>
          <w:lang w:val="en-IE"/>
        </w:rPr>
        <w:t xml:space="preserve">the respondent contended from the </w:t>
      </w:r>
      <w:r w:rsidRPr="00411456">
        <w:rPr>
          <w:color w:val="000000"/>
          <w:lang w:val="en-IE"/>
        </w:rPr>
        <w:t>outset (</w:t>
      </w:r>
      <w:proofErr w:type="gramStart"/>
      <w:r w:rsidRPr="00411456">
        <w:rPr>
          <w:color w:val="000000"/>
          <w:lang w:val="en-IE"/>
        </w:rPr>
        <w:t>i.e.</w:t>
      </w:r>
      <w:proofErr w:type="gramEnd"/>
      <w:r w:rsidR="00EB20DB" w:rsidRPr="00411456">
        <w:rPr>
          <w:color w:val="000000"/>
          <w:lang w:val="en-IE"/>
        </w:rPr>
        <w:t xml:space="preserve"> </w:t>
      </w:r>
      <w:r w:rsidRPr="00411456">
        <w:rPr>
          <w:color w:val="000000"/>
          <w:lang w:val="en-IE"/>
        </w:rPr>
        <w:t>in the first affidavit</w:t>
      </w:r>
      <w:r w:rsidR="00EB20DB" w:rsidRPr="00411456">
        <w:rPr>
          <w:color w:val="000000"/>
          <w:lang w:val="en-IE"/>
        </w:rPr>
        <w:t xml:space="preserve"> </w:t>
      </w:r>
      <w:r w:rsidRPr="00411456">
        <w:rPr>
          <w:color w:val="000000"/>
          <w:lang w:val="en-IE"/>
        </w:rPr>
        <w:t>s</w:t>
      </w:r>
      <w:r w:rsidR="00EB20DB" w:rsidRPr="00411456">
        <w:rPr>
          <w:color w:val="000000"/>
          <w:lang w:val="en-IE"/>
        </w:rPr>
        <w:t>worn on their behalf by Mr. Fitzgerald</w:t>
      </w:r>
      <w:r w:rsidRPr="00411456">
        <w:rPr>
          <w:color w:val="000000"/>
          <w:lang w:val="en-IE"/>
        </w:rPr>
        <w:t>) that the reliefs sought were</w:t>
      </w:r>
      <w:r w:rsidR="00EB20DB" w:rsidRPr="00411456">
        <w:rPr>
          <w:color w:val="000000"/>
          <w:lang w:val="en-IE"/>
        </w:rPr>
        <w:t xml:space="preserve"> </w:t>
      </w:r>
      <w:r w:rsidRPr="00411456">
        <w:rPr>
          <w:color w:val="000000"/>
          <w:lang w:val="en-IE"/>
        </w:rPr>
        <w:t xml:space="preserve">not </w:t>
      </w:r>
      <w:r w:rsidR="00EB20DB" w:rsidRPr="00411456">
        <w:rPr>
          <w:color w:val="000000"/>
          <w:lang w:val="en-IE"/>
        </w:rPr>
        <w:t>suitable for summary disposition</w:t>
      </w:r>
      <w:r w:rsidRPr="00411456">
        <w:rPr>
          <w:color w:val="000000"/>
          <w:lang w:val="en-IE"/>
        </w:rPr>
        <w:t>. T</w:t>
      </w:r>
      <w:r w:rsidR="00EB20DB" w:rsidRPr="00411456">
        <w:rPr>
          <w:color w:val="000000"/>
          <w:lang w:val="en-IE"/>
        </w:rPr>
        <w:t>he argument made on affidavit distinguish</w:t>
      </w:r>
      <w:r w:rsidRPr="00411456">
        <w:rPr>
          <w:color w:val="000000"/>
          <w:lang w:val="en-IE"/>
        </w:rPr>
        <w:t>ed</w:t>
      </w:r>
      <w:r w:rsidR="00EB20DB" w:rsidRPr="00411456">
        <w:rPr>
          <w:color w:val="000000"/>
          <w:lang w:val="en-IE"/>
        </w:rPr>
        <w:t xml:space="preserve"> between the first two relief</w:t>
      </w:r>
      <w:r w:rsidRPr="00411456">
        <w:rPr>
          <w:color w:val="000000"/>
          <w:lang w:val="en-IE"/>
        </w:rPr>
        <w:t>s sought in the</w:t>
      </w:r>
      <w:r w:rsidR="00EB20DB" w:rsidRPr="00411456">
        <w:rPr>
          <w:color w:val="000000"/>
          <w:lang w:val="en-IE"/>
        </w:rPr>
        <w:t xml:space="preserve"> </w:t>
      </w:r>
      <w:r w:rsidR="00292EB0">
        <w:rPr>
          <w:color w:val="000000"/>
          <w:lang w:val="en-IE"/>
        </w:rPr>
        <w:t>n</w:t>
      </w:r>
      <w:r w:rsidR="00EB20DB" w:rsidRPr="00411456">
        <w:rPr>
          <w:color w:val="000000"/>
          <w:lang w:val="en-IE"/>
        </w:rPr>
        <w:t>otion of m</w:t>
      </w:r>
      <w:r w:rsidRPr="00411456">
        <w:rPr>
          <w:color w:val="000000"/>
          <w:lang w:val="en-IE"/>
        </w:rPr>
        <w:t>otion (being orders dealing expressly with the company’</w:t>
      </w:r>
      <w:r w:rsidR="00EB20DB" w:rsidRPr="00411456">
        <w:rPr>
          <w:color w:val="000000"/>
          <w:lang w:val="en-IE"/>
        </w:rPr>
        <w:t>s re</w:t>
      </w:r>
      <w:r w:rsidRPr="00411456">
        <w:rPr>
          <w:color w:val="000000"/>
          <w:lang w:val="en-IE"/>
        </w:rPr>
        <w:t>gister of members)</w:t>
      </w:r>
      <w:r w:rsidR="00EB20DB" w:rsidRPr="00411456">
        <w:rPr>
          <w:color w:val="000000"/>
          <w:lang w:val="en-IE"/>
        </w:rPr>
        <w:t xml:space="preserve"> and the third and fourth relief which are directed more generally at the rights of the pa</w:t>
      </w:r>
      <w:r w:rsidRPr="00411456">
        <w:rPr>
          <w:color w:val="000000"/>
          <w:lang w:val="en-IE"/>
        </w:rPr>
        <w:t xml:space="preserve">rties in the company </w:t>
      </w:r>
      <w:r w:rsidRPr="00411456">
        <w:rPr>
          <w:i/>
          <w:color w:val="000000"/>
          <w:lang w:val="en-IE"/>
        </w:rPr>
        <w:t>inter se</w:t>
      </w:r>
      <w:r w:rsidR="00EB20DB" w:rsidRPr="00411456">
        <w:rPr>
          <w:color w:val="000000"/>
          <w:lang w:val="en-IE"/>
        </w:rPr>
        <w:t xml:space="preserve"> and the propriety of the actions taken by the company to complete the registration of the transfer in February 2021. The argument made at the hearing and in the written submi</w:t>
      </w:r>
      <w:r w:rsidRPr="00411456">
        <w:rPr>
          <w:color w:val="000000"/>
          <w:lang w:val="en-IE"/>
        </w:rPr>
        <w:t>ssions filed prior to hearing is more general,</w:t>
      </w:r>
      <w:r w:rsidR="00EB20DB" w:rsidRPr="00411456">
        <w:rPr>
          <w:color w:val="000000"/>
          <w:lang w:val="en-IE"/>
        </w:rPr>
        <w:t xml:space="preserve"> conceding only that the first reli</w:t>
      </w:r>
      <w:r w:rsidRPr="00411456">
        <w:rPr>
          <w:color w:val="000000"/>
          <w:lang w:val="en-IE"/>
        </w:rPr>
        <w:t xml:space="preserve">ef fell within the scope of O. 75, r. 3, </w:t>
      </w:r>
      <w:r w:rsidR="00EB20DB" w:rsidRPr="00411456">
        <w:rPr>
          <w:color w:val="000000"/>
          <w:lang w:val="en-IE"/>
        </w:rPr>
        <w:t xml:space="preserve">and contending that the affidavit evidence </w:t>
      </w:r>
      <w:r w:rsidRPr="00411456">
        <w:rPr>
          <w:color w:val="000000"/>
          <w:lang w:val="en-IE"/>
        </w:rPr>
        <w:t xml:space="preserve">demonstrated </w:t>
      </w:r>
      <w:r w:rsidRPr="00411456">
        <w:rPr>
          <w:i/>
          <w:color w:val="000000"/>
          <w:lang w:val="en-IE"/>
        </w:rPr>
        <w:t>“</w:t>
      </w:r>
      <w:r w:rsidR="00EB20DB" w:rsidRPr="00411456">
        <w:rPr>
          <w:i/>
          <w:color w:val="000000"/>
          <w:lang w:val="en-IE"/>
        </w:rPr>
        <w:t xml:space="preserve">considerable factual disputes </w:t>
      </w:r>
      <w:r w:rsidRPr="00411456">
        <w:rPr>
          <w:i/>
          <w:color w:val="000000"/>
          <w:lang w:val="en-IE"/>
        </w:rPr>
        <w:t>(and</w:t>
      </w:r>
      <w:r w:rsidR="00EB20DB" w:rsidRPr="00411456">
        <w:rPr>
          <w:i/>
          <w:color w:val="000000"/>
          <w:lang w:val="en-IE"/>
        </w:rPr>
        <w:t xml:space="preserve"> shortcomings in the evidence</w:t>
      </w:r>
      <w:r w:rsidRPr="00411456">
        <w:rPr>
          <w:i/>
          <w:color w:val="000000"/>
          <w:lang w:val="en-IE"/>
        </w:rPr>
        <w:t xml:space="preserve">)” </w:t>
      </w:r>
      <w:r w:rsidR="00EB20DB" w:rsidRPr="00411456">
        <w:rPr>
          <w:color w:val="000000"/>
          <w:lang w:val="en-IE"/>
        </w:rPr>
        <w:t>such that it could not properly be determined by th</w:t>
      </w:r>
      <w:r w:rsidRPr="00411456">
        <w:rPr>
          <w:color w:val="000000"/>
          <w:lang w:val="en-IE"/>
        </w:rPr>
        <w:t>e court on a summary basis.</w:t>
      </w:r>
    </w:p>
    <w:p w14:paraId="6EE7D8CF" w14:textId="430E54C8" w:rsidR="00054D2A"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To my mind, there are two discrete issues raised here. The first conce</w:t>
      </w:r>
      <w:r w:rsidR="00054D2A" w:rsidRPr="00411456">
        <w:rPr>
          <w:color w:val="000000"/>
          <w:lang w:val="en-IE"/>
        </w:rPr>
        <w:t xml:space="preserve">rns </w:t>
      </w:r>
      <w:r w:rsidR="00567FF7">
        <w:rPr>
          <w:color w:val="000000"/>
          <w:lang w:val="en-IE"/>
        </w:rPr>
        <w:t xml:space="preserve">the alleged existence of </w:t>
      </w:r>
      <w:r w:rsidR="00054D2A" w:rsidRPr="00411456">
        <w:rPr>
          <w:color w:val="000000"/>
          <w:lang w:val="en-IE"/>
        </w:rPr>
        <w:t>factual disputes arising on foot of each side’s affidavits a</w:t>
      </w:r>
      <w:r w:rsidRPr="00411456">
        <w:rPr>
          <w:color w:val="000000"/>
          <w:lang w:val="en-IE"/>
        </w:rPr>
        <w:t>nd the second c</w:t>
      </w:r>
      <w:r w:rsidR="00054D2A" w:rsidRPr="00411456">
        <w:rPr>
          <w:color w:val="000000"/>
          <w:lang w:val="en-IE"/>
        </w:rPr>
        <w:t>oncerns an evidential deficit due to the non-exhibiting</w:t>
      </w:r>
      <w:r w:rsidRPr="00411456">
        <w:rPr>
          <w:color w:val="000000"/>
          <w:lang w:val="en-IE"/>
        </w:rPr>
        <w:t xml:space="preserve"> of mat</w:t>
      </w:r>
      <w:r w:rsidR="00054D2A" w:rsidRPr="00411456">
        <w:rPr>
          <w:color w:val="000000"/>
          <w:lang w:val="en-IE"/>
        </w:rPr>
        <w:t>erial the respondents regard as essenti</w:t>
      </w:r>
      <w:r w:rsidRPr="00411456">
        <w:rPr>
          <w:color w:val="000000"/>
          <w:lang w:val="en-IE"/>
        </w:rPr>
        <w:t>al to the fair dete</w:t>
      </w:r>
      <w:r w:rsidR="00054D2A" w:rsidRPr="00411456">
        <w:rPr>
          <w:color w:val="000000"/>
          <w:lang w:val="en-IE"/>
        </w:rPr>
        <w:t xml:space="preserve">rmination of the case. </w:t>
      </w:r>
      <w:r w:rsidRPr="00411456">
        <w:rPr>
          <w:color w:val="000000"/>
          <w:lang w:val="en-IE"/>
        </w:rPr>
        <w:t>I accept that</w:t>
      </w:r>
      <w:r w:rsidR="00054D2A" w:rsidRPr="00411456">
        <w:rPr>
          <w:color w:val="000000"/>
          <w:lang w:val="en-IE"/>
        </w:rPr>
        <w:t>,</w:t>
      </w:r>
      <w:r w:rsidRPr="00411456">
        <w:rPr>
          <w:color w:val="000000"/>
          <w:lang w:val="en-IE"/>
        </w:rPr>
        <w:t xml:space="preserve"> as a matter of general principle, a summary jurisdiction </w:t>
      </w:r>
      <w:r w:rsidR="00567FF7">
        <w:rPr>
          <w:color w:val="000000"/>
          <w:lang w:val="en-IE"/>
        </w:rPr>
        <w:t xml:space="preserve">should </w:t>
      </w:r>
      <w:r w:rsidR="00054D2A" w:rsidRPr="00411456">
        <w:rPr>
          <w:color w:val="000000"/>
          <w:lang w:val="en-IE"/>
        </w:rPr>
        <w:t>not be invoked where there is</w:t>
      </w:r>
      <w:r w:rsidRPr="00411456">
        <w:rPr>
          <w:color w:val="000000"/>
          <w:lang w:val="en-IE"/>
        </w:rPr>
        <w:t xml:space="preserve"> a substan</w:t>
      </w:r>
      <w:r w:rsidR="00054D2A" w:rsidRPr="00411456">
        <w:rPr>
          <w:color w:val="000000"/>
          <w:lang w:val="en-IE"/>
        </w:rPr>
        <w:t xml:space="preserve">tial dispute as to fact (per </w:t>
      </w:r>
      <w:r w:rsidR="00054D2A" w:rsidRPr="00411456">
        <w:rPr>
          <w:i/>
          <w:color w:val="000000"/>
          <w:lang w:val="en-IE"/>
        </w:rPr>
        <w:t>Halsbury’s Laws of England Volume 14</w:t>
      </w:r>
      <w:r w:rsidR="00054D2A" w:rsidRPr="00411456">
        <w:rPr>
          <w:color w:val="000000"/>
          <w:lang w:val="en-IE"/>
        </w:rPr>
        <w:t xml:space="preserve"> at para. 354).</w:t>
      </w:r>
      <w:r w:rsidR="00567FF7">
        <w:rPr>
          <w:color w:val="000000"/>
          <w:lang w:val="en-IE"/>
        </w:rPr>
        <w:t xml:space="preserve"> Of course, the extent to which there is a factual dispute will not always be apparent to the party initiating proceedings and it may only be possible to assess this when </w:t>
      </w:r>
      <w:proofErr w:type="gramStart"/>
      <w:r w:rsidR="00567FF7">
        <w:rPr>
          <w:color w:val="000000"/>
          <w:lang w:val="en-IE"/>
        </w:rPr>
        <w:t>replying</w:t>
      </w:r>
      <w:proofErr w:type="gramEnd"/>
      <w:r w:rsidR="00567FF7">
        <w:rPr>
          <w:color w:val="000000"/>
          <w:lang w:val="en-IE"/>
        </w:rPr>
        <w:t xml:space="preserve"> affidavits have been received from the other side.  </w:t>
      </w:r>
    </w:p>
    <w:p w14:paraId="4F75783B" w14:textId="05304A8E" w:rsidR="00054D2A" w:rsidRPr="00411456" w:rsidRDefault="00054D2A" w:rsidP="004A0604">
      <w:pPr>
        <w:pStyle w:val="NormalWeb"/>
        <w:numPr>
          <w:ilvl w:val="0"/>
          <w:numId w:val="1"/>
        </w:numPr>
        <w:spacing w:before="0" w:beforeAutospacing="0" w:after="0" w:afterAutospacing="0" w:line="480" w:lineRule="auto"/>
        <w:ind w:left="0" w:firstLine="0"/>
        <w:jc w:val="both"/>
        <w:rPr>
          <w:i/>
          <w:color w:val="000000"/>
          <w:lang w:val="en-IE"/>
        </w:rPr>
      </w:pPr>
      <w:r w:rsidRPr="00411456">
        <w:rPr>
          <w:color w:val="000000"/>
          <w:lang w:val="en-IE"/>
        </w:rPr>
        <w:lastRenderedPageBreak/>
        <w:t>The matter</w:t>
      </w:r>
      <w:r w:rsidR="00EB20DB" w:rsidRPr="00411456">
        <w:rPr>
          <w:color w:val="000000"/>
          <w:lang w:val="en-IE"/>
        </w:rPr>
        <w:t xml:space="preserve"> was addressed in an application with some simil</w:t>
      </w:r>
      <w:r w:rsidRPr="00411456">
        <w:rPr>
          <w:color w:val="000000"/>
          <w:lang w:val="en-IE"/>
        </w:rPr>
        <w:t xml:space="preserve">arities to this by Baker J. In </w:t>
      </w:r>
      <w:r w:rsidRPr="00411456">
        <w:rPr>
          <w:i/>
          <w:color w:val="000000"/>
          <w:lang w:val="en-IE"/>
        </w:rPr>
        <w:t xml:space="preserve">Re Park Magic Mobile Solutions Ltd </w:t>
      </w:r>
      <w:r w:rsidRPr="00411456">
        <w:rPr>
          <w:color w:val="000000"/>
          <w:lang w:val="en-IE"/>
        </w:rPr>
        <w:t xml:space="preserve">[2017] IEHC 287 as </w:t>
      </w:r>
      <w:r w:rsidR="00EB20DB" w:rsidRPr="00411456">
        <w:rPr>
          <w:color w:val="000000"/>
          <w:lang w:val="en-IE"/>
        </w:rPr>
        <w:t>follows</w:t>
      </w:r>
      <w:r w:rsidRPr="00411456">
        <w:rPr>
          <w:color w:val="000000"/>
          <w:lang w:val="en-IE"/>
        </w:rPr>
        <w:t>:</w:t>
      </w:r>
      <w:r w:rsidR="006D1BBB">
        <w:rPr>
          <w:color w:val="000000"/>
          <w:lang w:val="en-IE"/>
        </w:rPr>
        <w:t xml:space="preserve"> </w:t>
      </w:r>
      <w:r w:rsidRPr="00411456">
        <w:rPr>
          <w:color w:val="000000"/>
          <w:lang w:val="en-IE"/>
        </w:rPr>
        <w:t>-</w:t>
      </w:r>
    </w:p>
    <w:p w14:paraId="508D4308" w14:textId="4F446164" w:rsidR="004C46A8" w:rsidRPr="00411456" w:rsidRDefault="00054D2A" w:rsidP="004A0604">
      <w:pPr>
        <w:pStyle w:val="NormalWeb"/>
        <w:spacing w:before="0" w:beforeAutospacing="0" w:after="0" w:afterAutospacing="0" w:line="480" w:lineRule="auto"/>
        <w:ind w:left="1440" w:hanging="720"/>
        <w:jc w:val="both"/>
        <w:rPr>
          <w:i/>
          <w:color w:val="000000"/>
          <w:lang w:val="en-IE"/>
        </w:rPr>
      </w:pPr>
      <w:r w:rsidRPr="00411456">
        <w:rPr>
          <w:i/>
          <w:color w:val="000000"/>
          <w:lang w:val="en-IE"/>
        </w:rPr>
        <w:t>“</w:t>
      </w:r>
      <w:r w:rsidR="004C46A8" w:rsidRPr="00411456">
        <w:rPr>
          <w:i/>
          <w:color w:val="000000"/>
          <w:lang w:val="en-IE"/>
        </w:rPr>
        <w:t>60.</w:t>
      </w:r>
      <w:r w:rsidR="004C46A8" w:rsidRPr="00411456">
        <w:rPr>
          <w:i/>
          <w:color w:val="000000"/>
          <w:lang w:val="en-IE"/>
        </w:rPr>
        <w:tab/>
      </w:r>
      <w:r w:rsidRPr="00411456">
        <w:rPr>
          <w:i/>
          <w:color w:val="000000"/>
          <w:lang w:val="en-IE"/>
        </w:rPr>
        <w:t xml:space="preserve">Under s. 173 a court can determine questions of the legal and beneficial ownership of the shares. It is within the competence of a court hearing an application under s. 173 to direct the rectification of the share register to reflect as legal owners the persons who have a beneficial interest in the shareholding. The application by its nature is by originating motion and grounded on affidavit or affidavits. As with any application on affidavit a court cannot resolve disputed issues of fact in the absence of cross-examination, but it is easy to envisage difficulties that might arise even were cross-examination to take place as the application by its nature is summary in </w:t>
      </w:r>
      <w:proofErr w:type="gramStart"/>
      <w:r w:rsidRPr="00411456">
        <w:rPr>
          <w:i/>
          <w:color w:val="000000"/>
          <w:lang w:val="en-IE"/>
        </w:rPr>
        <w:t>form, and</w:t>
      </w:r>
      <w:proofErr w:type="gramEnd"/>
      <w:r w:rsidRPr="00411456">
        <w:rPr>
          <w:i/>
          <w:color w:val="000000"/>
          <w:lang w:val="en-IE"/>
        </w:rPr>
        <w:t xml:space="preserve"> would admit of the type of application where a court might have to construe documents or resolve legal argument</w:t>
      </w:r>
      <w:r w:rsidR="00567FF7">
        <w:rPr>
          <w:i/>
          <w:color w:val="000000"/>
          <w:lang w:val="en-IE"/>
        </w:rPr>
        <w:t>….</w:t>
      </w:r>
    </w:p>
    <w:p w14:paraId="56515C67" w14:textId="77777777" w:rsidR="00054D2A" w:rsidRPr="00411456" w:rsidRDefault="004C46A8" w:rsidP="004A0604">
      <w:pPr>
        <w:pStyle w:val="NormalWeb"/>
        <w:spacing w:before="0" w:beforeAutospacing="0" w:after="0" w:afterAutospacing="0" w:line="480" w:lineRule="auto"/>
        <w:ind w:left="1440" w:hanging="720"/>
        <w:jc w:val="both"/>
        <w:rPr>
          <w:i/>
          <w:color w:val="000000"/>
          <w:lang w:val="en-IE"/>
        </w:rPr>
      </w:pPr>
      <w:r w:rsidRPr="00411456">
        <w:rPr>
          <w:i/>
          <w:color w:val="000000"/>
          <w:lang w:val="en-IE"/>
        </w:rPr>
        <w:t>65.</w:t>
      </w:r>
      <w:r w:rsidRPr="00411456">
        <w:rPr>
          <w:i/>
          <w:color w:val="000000"/>
          <w:lang w:val="en-IE"/>
        </w:rPr>
        <w:tab/>
        <w:t xml:space="preserve">An application under s. 173 is an attractive and </w:t>
      </w:r>
      <w:proofErr w:type="gramStart"/>
      <w:r w:rsidRPr="00411456">
        <w:rPr>
          <w:i/>
          <w:color w:val="000000"/>
          <w:lang w:val="en-IE"/>
        </w:rPr>
        <w:t>cost effective</w:t>
      </w:r>
      <w:proofErr w:type="gramEnd"/>
      <w:r w:rsidRPr="00411456">
        <w:rPr>
          <w:i/>
          <w:color w:val="000000"/>
          <w:lang w:val="en-IE"/>
        </w:rPr>
        <w:t xml:space="preserve"> way of determining questions of title, and in general it would seem that the legislation does not envisage a court refusing to exercise its jurisdiction save in circumstances where it found itself unable to resolve the matter by summary application. This application is one such. The complexity of the evidence highlights what I believe to be the true dispute between the parties. Leaving aside the role that E-Code might take as a member or a putative member, there is a significant and ongoing dispute between the current members of the Company, and those claiming to be members. That dispute cannot be resolved in this application. The question of the beneficial ownership of the shares is one between these applicants and E-Code.</w:t>
      </w:r>
      <w:r w:rsidR="002D2F3F" w:rsidRPr="00411456">
        <w:rPr>
          <w:i/>
          <w:color w:val="000000"/>
          <w:lang w:val="en-IE"/>
        </w:rPr>
        <w:t>”</w:t>
      </w:r>
    </w:p>
    <w:p w14:paraId="0A52B4BC" w14:textId="14000903" w:rsidR="002D2F3F" w:rsidRPr="00411456" w:rsidRDefault="002D2F3F" w:rsidP="004A0604">
      <w:pPr>
        <w:pStyle w:val="NormalWeb"/>
        <w:spacing w:before="0" w:beforeAutospacing="0" w:after="0" w:afterAutospacing="0" w:line="480" w:lineRule="auto"/>
        <w:jc w:val="both"/>
        <w:rPr>
          <w:i/>
          <w:color w:val="000000"/>
          <w:lang w:val="en-IE"/>
        </w:rPr>
      </w:pPr>
      <w:r w:rsidRPr="00411456">
        <w:rPr>
          <w:color w:val="000000"/>
          <w:lang w:val="en-IE"/>
        </w:rPr>
        <w:t>Whilst B</w:t>
      </w:r>
      <w:r w:rsidR="00EB20DB" w:rsidRPr="00411456">
        <w:rPr>
          <w:color w:val="000000"/>
          <w:lang w:val="en-IE"/>
        </w:rPr>
        <w:t>aker J</w:t>
      </w:r>
      <w:r w:rsidRPr="00411456">
        <w:rPr>
          <w:color w:val="000000"/>
          <w:lang w:val="en-IE"/>
        </w:rPr>
        <w:t>.</w:t>
      </w:r>
      <w:r w:rsidR="00EB20DB" w:rsidRPr="00411456">
        <w:rPr>
          <w:color w:val="000000"/>
          <w:lang w:val="en-IE"/>
        </w:rPr>
        <w:t xml:space="preserve"> was critical of the evidence before her and the absence of more complete d</w:t>
      </w:r>
      <w:r w:rsidRPr="00411456">
        <w:rPr>
          <w:color w:val="000000"/>
          <w:lang w:val="en-IE"/>
        </w:rPr>
        <w:t>etails of certain key matters, i</w:t>
      </w:r>
      <w:r w:rsidR="00EB20DB" w:rsidRPr="00411456">
        <w:rPr>
          <w:color w:val="000000"/>
          <w:lang w:val="en-IE"/>
        </w:rPr>
        <w:t>t is intere</w:t>
      </w:r>
      <w:r w:rsidRPr="00411456">
        <w:rPr>
          <w:color w:val="000000"/>
          <w:lang w:val="en-IE"/>
        </w:rPr>
        <w:t>sting to note that (at para.</w:t>
      </w:r>
      <w:r w:rsidR="00EB20DB" w:rsidRPr="00411456">
        <w:rPr>
          <w:color w:val="000000"/>
          <w:lang w:val="en-IE"/>
        </w:rPr>
        <w:t xml:space="preserve"> 70</w:t>
      </w:r>
      <w:r w:rsidR="00567FF7">
        <w:rPr>
          <w:color w:val="000000"/>
          <w:lang w:val="en-IE"/>
        </w:rPr>
        <w:t xml:space="preserve"> of the judgment</w:t>
      </w:r>
      <w:r w:rsidRPr="00411456">
        <w:rPr>
          <w:color w:val="000000"/>
          <w:lang w:val="en-IE"/>
        </w:rPr>
        <w:t>)</w:t>
      </w:r>
      <w:r w:rsidR="00EB20DB" w:rsidRPr="00411456">
        <w:rPr>
          <w:color w:val="000000"/>
          <w:lang w:val="en-IE"/>
        </w:rPr>
        <w:t xml:space="preserve"> she ultimately reached the conclusion </w:t>
      </w:r>
      <w:r w:rsidR="00EB20DB" w:rsidRPr="00411456">
        <w:rPr>
          <w:color w:val="000000"/>
          <w:lang w:val="en-IE"/>
        </w:rPr>
        <w:lastRenderedPageBreak/>
        <w:t xml:space="preserve">that she was not satisfied on the facts before her that the company </w:t>
      </w:r>
      <w:r w:rsidRPr="00411456">
        <w:rPr>
          <w:color w:val="000000"/>
          <w:lang w:val="en-IE"/>
        </w:rPr>
        <w:t>had wrongly registered the putative</w:t>
      </w:r>
      <w:r w:rsidR="00EB20DB" w:rsidRPr="00411456">
        <w:rPr>
          <w:color w:val="000000"/>
          <w:lang w:val="en-IE"/>
        </w:rPr>
        <w:t xml:space="preserve"> purchaser as the owner of the shares and consequently refused to make t</w:t>
      </w:r>
      <w:r w:rsidRPr="00411456">
        <w:rPr>
          <w:color w:val="000000"/>
          <w:lang w:val="en-IE"/>
        </w:rPr>
        <w:t>he order requested under s.</w:t>
      </w:r>
      <w:r w:rsidR="00EB20DB" w:rsidRPr="00411456">
        <w:rPr>
          <w:color w:val="000000"/>
          <w:lang w:val="en-IE"/>
        </w:rPr>
        <w:t xml:space="preserve"> 173</w:t>
      </w:r>
      <w:r w:rsidRPr="00411456">
        <w:rPr>
          <w:color w:val="000000"/>
          <w:lang w:val="en-IE"/>
        </w:rPr>
        <w:t>.</w:t>
      </w:r>
      <w:r w:rsidR="00D1315E">
        <w:rPr>
          <w:color w:val="000000"/>
          <w:lang w:val="en-IE"/>
        </w:rPr>
        <w:t xml:space="preserve"> </w:t>
      </w:r>
    </w:p>
    <w:p w14:paraId="21EC578E" w14:textId="7A233C38" w:rsidR="002D2F3F" w:rsidRPr="00411456" w:rsidRDefault="00EB20DB" w:rsidP="004A0604">
      <w:pPr>
        <w:pStyle w:val="NormalWeb"/>
        <w:numPr>
          <w:ilvl w:val="0"/>
          <w:numId w:val="1"/>
        </w:numPr>
        <w:spacing w:before="0" w:beforeAutospacing="0" w:after="0" w:afterAutospacing="0" w:line="480" w:lineRule="auto"/>
        <w:ind w:left="0" w:firstLine="0"/>
        <w:jc w:val="both"/>
        <w:rPr>
          <w:i/>
          <w:color w:val="000000"/>
          <w:lang w:val="en-IE"/>
        </w:rPr>
      </w:pPr>
      <w:r w:rsidRPr="00411456">
        <w:rPr>
          <w:color w:val="000000"/>
          <w:lang w:val="en-IE"/>
        </w:rPr>
        <w:t>I agree with the sta</w:t>
      </w:r>
      <w:r w:rsidR="002D2F3F" w:rsidRPr="00411456">
        <w:rPr>
          <w:color w:val="000000"/>
          <w:lang w:val="en-IE"/>
        </w:rPr>
        <w:t>tement of principle in para. 60 of Baker J.’s judgment as quoted above. However, it is clear from para.</w:t>
      </w:r>
      <w:r w:rsidRPr="00411456">
        <w:rPr>
          <w:color w:val="000000"/>
          <w:lang w:val="en-IE"/>
        </w:rPr>
        <w:t xml:space="preserve"> 65 that the question o</w:t>
      </w:r>
      <w:r w:rsidR="002D2F3F" w:rsidRPr="00411456">
        <w:rPr>
          <w:color w:val="000000"/>
          <w:lang w:val="en-IE"/>
        </w:rPr>
        <w:t>f whether affidavits disclose a dispute</w:t>
      </w:r>
      <w:r w:rsidRPr="00411456">
        <w:rPr>
          <w:color w:val="000000"/>
          <w:lang w:val="en-IE"/>
        </w:rPr>
        <w:t xml:space="preserve"> </w:t>
      </w:r>
      <w:r w:rsidR="002D2F3F" w:rsidRPr="00411456">
        <w:rPr>
          <w:color w:val="000000"/>
          <w:lang w:val="en-IE"/>
        </w:rPr>
        <w:t>in</w:t>
      </w:r>
      <w:r w:rsidRPr="00411456">
        <w:rPr>
          <w:color w:val="000000"/>
          <w:lang w:val="en-IE"/>
        </w:rPr>
        <w:t>capable of summary</w:t>
      </w:r>
      <w:r w:rsidR="002D2F3F" w:rsidRPr="00411456">
        <w:rPr>
          <w:color w:val="000000"/>
          <w:lang w:val="en-IE"/>
        </w:rPr>
        <w:t xml:space="preserve"> resolution (even with the benefit of cross-</w:t>
      </w:r>
      <w:r w:rsidRPr="00411456">
        <w:rPr>
          <w:color w:val="000000"/>
          <w:lang w:val="en-IE"/>
        </w:rPr>
        <w:t xml:space="preserve">examination on </w:t>
      </w:r>
      <w:r w:rsidR="002D2F3F" w:rsidRPr="00411456">
        <w:rPr>
          <w:color w:val="000000"/>
          <w:lang w:val="en-IE"/>
        </w:rPr>
        <w:t>those affidavits)</w:t>
      </w:r>
      <w:r w:rsidRPr="00411456">
        <w:rPr>
          <w:color w:val="000000"/>
          <w:lang w:val="en-IE"/>
        </w:rPr>
        <w:t xml:space="preserve"> is very much dependent on the asserted facts o</w:t>
      </w:r>
      <w:r w:rsidR="002D2F3F" w:rsidRPr="00411456">
        <w:rPr>
          <w:color w:val="000000"/>
          <w:lang w:val="en-IE"/>
        </w:rPr>
        <w:t>f each case and the evidence adduced to support or</w:t>
      </w:r>
      <w:r w:rsidRPr="00411456">
        <w:rPr>
          <w:color w:val="000000"/>
          <w:lang w:val="en-IE"/>
        </w:rPr>
        <w:t xml:space="preserve"> </w:t>
      </w:r>
      <w:r w:rsidR="002D2F3F" w:rsidRPr="00411456">
        <w:rPr>
          <w:color w:val="000000"/>
          <w:lang w:val="en-IE"/>
        </w:rPr>
        <w:t xml:space="preserve">contest those facts. </w:t>
      </w:r>
      <w:r w:rsidR="00D1315E">
        <w:rPr>
          <w:color w:val="000000"/>
          <w:lang w:val="en-IE"/>
        </w:rPr>
        <w:t xml:space="preserve">I note also that she also refers to a court declining to exercise its jurisdiction under s.173 in a summary application only where it is unable to do so.  There is quite a difference between it being </w:t>
      </w:r>
      <w:r w:rsidR="007B1AEE">
        <w:rPr>
          <w:color w:val="000000"/>
          <w:lang w:val="en-IE"/>
        </w:rPr>
        <w:t xml:space="preserve">preferable that an application be heard on oral evidence and the court being unable to resolve it because it is not. </w:t>
      </w:r>
      <w:r w:rsidR="002D2F3F" w:rsidRPr="00411456">
        <w:rPr>
          <w:color w:val="000000"/>
          <w:lang w:val="en-IE"/>
        </w:rPr>
        <w:t xml:space="preserve">I described </w:t>
      </w:r>
      <w:r w:rsidR="002D2F3F" w:rsidRPr="00411456">
        <w:rPr>
          <w:i/>
          <w:color w:val="000000"/>
          <w:lang w:val="en-IE"/>
        </w:rPr>
        <w:t>Re Park Magic M</w:t>
      </w:r>
      <w:r w:rsidRPr="00411456">
        <w:rPr>
          <w:i/>
          <w:color w:val="000000"/>
          <w:lang w:val="en-IE"/>
        </w:rPr>
        <w:t>obil</w:t>
      </w:r>
      <w:r w:rsidR="002D2F3F" w:rsidRPr="00411456">
        <w:rPr>
          <w:i/>
          <w:color w:val="000000"/>
          <w:lang w:val="en-IE"/>
        </w:rPr>
        <w:t>e Solutions Ltd</w:t>
      </w:r>
      <w:r w:rsidRPr="00411456">
        <w:rPr>
          <w:color w:val="000000"/>
          <w:lang w:val="en-IE"/>
        </w:rPr>
        <w:t xml:space="preserve"> as a case with some simi</w:t>
      </w:r>
      <w:r w:rsidR="002D2F3F" w:rsidRPr="00411456">
        <w:rPr>
          <w:color w:val="000000"/>
          <w:lang w:val="en-IE"/>
        </w:rPr>
        <w:t>larities to this. Although it also involved a</w:t>
      </w:r>
      <w:r w:rsidRPr="00411456">
        <w:rPr>
          <w:color w:val="000000"/>
          <w:lang w:val="en-IE"/>
        </w:rPr>
        <w:t>n application to rectify the register of m</w:t>
      </w:r>
      <w:r w:rsidR="002D2F3F" w:rsidRPr="00411456">
        <w:rPr>
          <w:color w:val="000000"/>
          <w:lang w:val="en-IE"/>
        </w:rPr>
        <w:t>embers of a company under s. 173, a</w:t>
      </w:r>
      <w:r w:rsidRPr="00411456">
        <w:rPr>
          <w:color w:val="000000"/>
          <w:lang w:val="en-IE"/>
        </w:rPr>
        <w:t xml:space="preserve"> key difference is that </w:t>
      </w:r>
      <w:r w:rsidR="00567FF7">
        <w:rPr>
          <w:color w:val="000000"/>
          <w:lang w:val="en-IE"/>
        </w:rPr>
        <w:t xml:space="preserve">it </w:t>
      </w:r>
      <w:r w:rsidRPr="00411456">
        <w:rPr>
          <w:color w:val="000000"/>
          <w:lang w:val="en-IE"/>
        </w:rPr>
        <w:t xml:space="preserve">concerned an executory contract </w:t>
      </w:r>
      <w:r w:rsidR="00567FF7">
        <w:rPr>
          <w:color w:val="000000"/>
          <w:lang w:val="en-IE"/>
        </w:rPr>
        <w:t xml:space="preserve">on foot </w:t>
      </w:r>
      <w:r w:rsidRPr="00411456">
        <w:rPr>
          <w:color w:val="000000"/>
          <w:lang w:val="en-IE"/>
        </w:rPr>
        <w:t>of which payment for the sh</w:t>
      </w:r>
      <w:r w:rsidR="002D2F3F" w:rsidRPr="00411456">
        <w:rPr>
          <w:color w:val="000000"/>
          <w:lang w:val="en-IE"/>
        </w:rPr>
        <w:t>ares had not been made</w:t>
      </w:r>
      <w:r w:rsidRPr="00411456">
        <w:rPr>
          <w:color w:val="000000"/>
          <w:lang w:val="en-IE"/>
        </w:rPr>
        <w:t>. There were significant disputes between the parties as to the term</w:t>
      </w:r>
      <w:r w:rsidR="002D2F3F" w:rsidRPr="00411456">
        <w:rPr>
          <w:color w:val="000000"/>
          <w:lang w:val="en-IE"/>
        </w:rPr>
        <w:t>s of the contract, whether</w:t>
      </w:r>
      <w:r w:rsidRPr="00411456">
        <w:rPr>
          <w:color w:val="000000"/>
          <w:lang w:val="en-IE"/>
        </w:rPr>
        <w:t xml:space="preserve"> the purported purchasers </w:t>
      </w:r>
      <w:proofErr w:type="gramStart"/>
      <w:r w:rsidRPr="00411456">
        <w:rPr>
          <w:color w:val="000000"/>
          <w:lang w:val="en-IE"/>
        </w:rPr>
        <w:t>actua</w:t>
      </w:r>
      <w:r w:rsidR="002D2F3F" w:rsidRPr="00411456">
        <w:rPr>
          <w:color w:val="000000"/>
          <w:lang w:val="en-IE"/>
        </w:rPr>
        <w:t>lly intended</w:t>
      </w:r>
      <w:proofErr w:type="gramEnd"/>
      <w:r w:rsidR="002D2F3F" w:rsidRPr="00411456">
        <w:rPr>
          <w:color w:val="000000"/>
          <w:lang w:val="en-IE"/>
        </w:rPr>
        <w:t xml:space="preserve"> closing the sale a</w:t>
      </w:r>
      <w:r w:rsidRPr="00411456">
        <w:rPr>
          <w:color w:val="000000"/>
          <w:lang w:val="en-IE"/>
        </w:rPr>
        <w:t>nd the reasons why the purchasers had not pa</w:t>
      </w:r>
      <w:r w:rsidR="002D2F3F" w:rsidRPr="00411456">
        <w:rPr>
          <w:color w:val="000000"/>
          <w:lang w:val="en-IE"/>
        </w:rPr>
        <w:t>id the agreed consideration.</w:t>
      </w:r>
    </w:p>
    <w:p w14:paraId="02E7B277" w14:textId="17D7529A" w:rsidR="009B3F2E" w:rsidRPr="00411456" w:rsidRDefault="002D2F3F" w:rsidP="004A0604">
      <w:pPr>
        <w:pStyle w:val="NormalWeb"/>
        <w:numPr>
          <w:ilvl w:val="0"/>
          <w:numId w:val="1"/>
        </w:numPr>
        <w:spacing w:before="0" w:beforeAutospacing="0" w:after="0" w:afterAutospacing="0" w:line="480" w:lineRule="auto"/>
        <w:ind w:left="0" w:firstLine="0"/>
        <w:jc w:val="both"/>
        <w:rPr>
          <w:i/>
          <w:color w:val="000000"/>
          <w:lang w:val="en-IE"/>
        </w:rPr>
      </w:pPr>
      <w:r w:rsidRPr="00411456">
        <w:rPr>
          <w:color w:val="000000"/>
          <w:lang w:val="en-IE"/>
        </w:rPr>
        <w:t>Here, t</w:t>
      </w:r>
      <w:r w:rsidR="00EB20DB" w:rsidRPr="00411456">
        <w:rPr>
          <w:color w:val="000000"/>
          <w:lang w:val="en-IE"/>
        </w:rPr>
        <w:t>he level of factual dispute is significantly less. The documentary evidence provided by the respondent</w:t>
      </w:r>
      <w:r w:rsidRPr="00411456">
        <w:rPr>
          <w:color w:val="000000"/>
          <w:lang w:val="en-IE"/>
        </w:rPr>
        <w:t>s’</w:t>
      </w:r>
      <w:r w:rsidR="00EB20DB" w:rsidRPr="00411456">
        <w:rPr>
          <w:color w:val="000000"/>
          <w:lang w:val="en-IE"/>
        </w:rPr>
        <w:t xml:space="preserve"> solicitor under cover of his letter dated </w:t>
      </w:r>
      <w:r w:rsidRPr="00411456">
        <w:rPr>
          <w:color w:val="000000"/>
          <w:lang w:val="en-IE"/>
        </w:rPr>
        <w:t>8</w:t>
      </w:r>
      <w:r w:rsidRPr="00411456">
        <w:rPr>
          <w:color w:val="000000"/>
          <w:vertAlign w:val="superscript"/>
          <w:lang w:val="en-IE"/>
        </w:rPr>
        <w:t>th</w:t>
      </w:r>
      <w:r w:rsidRPr="00411456">
        <w:rPr>
          <w:color w:val="000000"/>
          <w:lang w:val="en-IE"/>
        </w:rPr>
        <w:t xml:space="preserve"> February 2021</w:t>
      </w:r>
      <w:r w:rsidR="00EB20DB" w:rsidRPr="00411456">
        <w:rPr>
          <w:color w:val="000000"/>
          <w:lang w:val="en-IE"/>
        </w:rPr>
        <w:t xml:space="preserve"> is not seriously disp</w:t>
      </w:r>
      <w:r w:rsidRPr="00411456">
        <w:rPr>
          <w:color w:val="000000"/>
          <w:lang w:val="en-IE"/>
        </w:rPr>
        <w:t>uted. In</w:t>
      </w:r>
      <w:r w:rsidR="00EB20DB" w:rsidRPr="00411456">
        <w:rPr>
          <w:color w:val="000000"/>
          <w:lang w:val="en-IE"/>
        </w:rPr>
        <w:t>deed, it could not be seriously disputed by the applicant, especially in circumstances where the applicant</w:t>
      </w:r>
      <w:r w:rsidRPr="00411456">
        <w:rPr>
          <w:color w:val="000000"/>
          <w:lang w:val="en-IE"/>
        </w:rPr>
        <w:t>’s de</w:t>
      </w:r>
      <w:r w:rsidR="00EB20DB" w:rsidRPr="00411456">
        <w:rPr>
          <w:color w:val="000000"/>
          <w:lang w:val="en-IE"/>
        </w:rPr>
        <w:t>ponent has no person</w:t>
      </w:r>
      <w:r w:rsidRPr="00411456">
        <w:rPr>
          <w:color w:val="000000"/>
          <w:lang w:val="en-IE"/>
        </w:rPr>
        <w:t>al knowledge of these matters n</w:t>
      </w:r>
      <w:r w:rsidR="00EB20DB" w:rsidRPr="00411456">
        <w:rPr>
          <w:color w:val="000000"/>
          <w:lang w:val="en-IE"/>
        </w:rPr>
        <w:t>ot having had an interest in the applican</w:t>
      </w:r>
      <w:r w:rsidRPr="00411456">
        <w:rPr>
          <w:color w:val="000000"/>
          <w:lang w:val="en-IE"/>
        </w:rPr>
        <w:t>t at the material time. Instead,</w:t>
      </w:r>
      <w:r w:rsidR="00EB20DB" w:rsidRPr="00411456">
        <w:rPr>
          <w:color w:val="000000"/>
          <w:lang w:val="en-IE"/>
        </w:rPr>
        <w:t xml:space="preserve"> the applicant makes legal arguments as to the validity of the transaction evidenced by those </w:t>
      </w:r>
      <w:r w:rsidRPr="00411456">
        <w:rPr>
          <w:color w:val="000000"/>
          <w:lang w:val="en-IE"/>
        </w:rPr>
        <w:t>documents and the effect, if any, o</w:t>
      </w:r>
      <w:r w:rsidR="00EB20DB" w:rsidRPr="00411456">
        <w:rPr>
          <w:color w:val="000000"/>
          <w:lang w:val="en-IE"/>
        </w:rPr>
        <w:t>f the efflux of time between the actions evidence</w:t>
      </w:r>
      <w:r w:rsidRPr="00411456">
        <w:rPr>
          <w:color w:val="000000"/>
          <w:lang w:val="en-IE"/>
        </w:rPr>
        <w:t>d</w:t>
      </w:r>
      <w:r w:rsidR="00EB20DB" w:rsidRPr="00411456">
        <w:rPr>
          <w:color w:val="000000"/>
          <w:lang w:val="en-IE"/>
        </w:rPr>
        <w:t xml:space="preserve"> by the documents and the registration of the transfer in 2021. The only factual issue which could arguably</w:t>
      </w:r>
      <w:r w:rsidRPr="00411456">
        <w:rPr>
          <w:color w:val="000000"/>
          <w:lang w:val="en-IE"/>
        </w:rPr>
        <w:t xml:space="preserve"> be said to arise is whether the cheque – </w:t>
      </w:r>
      <w:r w:rsidR="00EB20DB" w:rsidRPr="00411456">
        <w:rPr>
          <w:color w:val="000000"/>
          <w:lang w:val="en-IE"/>
        </w:rPr>
        <w:t>made out i</w:t>
      </w:r>
      <w:r w:rsidRPr="00411456">
        <w:rPr>
          <w:color w:val="000000"/>
          <w:lang w:val="en-IE"/>
        </w:rPr>
        <w:t xml:space="preserve">n the name of the applicant – </w:t>
      </w:r>
      <w:r w:rsidR="00EB20DB" w:rsidRPr="00411456">
        <w:rPr>
          <w:color w:val="000000"/>
          <w:lang w:val="en-IE"/>
        </w:rPr>
        <w:t xml:space="preserve">was cashed by a third party </w:t>
      </w:r>
      <w:r w:rsidR="00EB20DB" w:rsidRPr="00411456">
        <w:rPr>
          <w:color w:val="000000"/>
          <w:lang w:val="en-IE"/>
        </w:rPr>
        <w:lastRenderedPageBreak/>
        <w:t>on the basis that</w:t>
      </w:r>
      <w:r w:rsidRPr="00411456">
        <w:rPr>
          <w:color w:val="000000"/>
          <w:lang w:val="en-IE"/>
        </w:rPr>
        <w:t xml:space="preserve"> there is no corresponding lodg</w:t>
      </w:r>
      <w:r w:rsidR="004948AD">
        <w:rPr>
          <w:color w:val="000000"/>
          <w:lang w:val="en-IE"/>
        </w:rPr>
        <w:t>e</w:t>
      </w:r>
      <w:r w:rsidR="00EB20DB" w:rsidRPr="00411456">
        <w:rPr>
          <w:color w:val="000000"/>
          <w:lang w:val="en-IE"/>
        </w:rPr>
        <w:t>ment to the applicant</w:t>
      </w:r>
      <w:r w:rsidRPr="00411456">
        <w:rPr>
          <w:color w:val="000000"/>
          <w:lang w:val="en-IE"/>
        </w:rPr>
        <w:t>’s account. However,</w:t>
      </w:r>
      <w:r w:rsidR="00EB20DB" w:rsidRPr="00411456">
        <w:rPr>
          <w:color w:val="000000"/>
          <w:lang w:val="en-IE"/>
        </w:rPr>
        <w:t xml:space="preserve"> in my view, this is not really a dispute </w:t>
      </w:r>
      <w:r w:rsidRPr="00411456">
        <w:rPr>
          <w:color w:val="000000"/>
          <w:lang w:val="en-IE"/>
        </w:rPr>
        <w:t xml:space="preserve">as </w:t>
      </w:r>
      <w:r w:rsidR="00EB20DB" w:rsidRPr="00411456">
        <w:rPr>
          <w:color w:val="000000"/>
          <w:lang w:val="en-IE"/>
        </w:rPr>
        <w:t>between the parties before the court. The applicant cannot dispute the respondents</w:t>
      </w:r>
      <w:r w:rsidRPr="00411456">
        <w:rPr>
          <w:color w:val="000000"/>
          <w:lang w:val="en-IE"/>
        </w:rPr>
        <w:t xml:space="preserve">’ evidence </w:t>
      </w:r>
      <w:r w:rsidR="00567FF7">
        <w:rPr>
          <w:color w:val="000000"/>
          <w:lang w:val="en-IE"/>
        </w:rPr>
        <w:t xml:space="preserve">as </w:t>
      </w:r>
      <w:r w:rsidRPr="00411456">
        <w:rPr>
          <w:color w:val="000000"/>
          <w:lang w:val="en-IE"/>
        </w:rPr>
        <w:t>set out on affidavit by Mr. Fitzgerald who was a director of A</w:t>
      </w:r>
      <w:r w:rsidR="00EB20DB" w:rsidRPr="00411456">
        <w:rPr>
          <w:color w:val="000000"/>
          <w:lang w:val="en-IE"/>
        </w:rPr>
        <w:t xml:space="preserve">mber at the material time and supported by </w:t>
      </w:r>
      <w:r w:rsidRPr="00411456">
        <w:rPr>
          <w:color w:val="000000"/>
          <w:lang w:val="en-IE"/>
        </w:rPr>
        <w:t>documentary evidence</w:t>
      </w:r>
      <w:r w:rsidR="00567FF7">
        <w:rPr>
          <w:color w:val="000000"/>
          <w:lang w:val="en-IE"/>
        </w:rPr>
        <w:t>.</w:t>
      </w:r>
      <w:r w:rsidRPr="00411456">
        <w:rPr>
          <w:color w:val="000000"/>
          <w:lang w:val="en-IE"/>
        </w:rPr>
        <w:t xml:space="preserve"> </w:t>
      </w:r>
      <w:r w:rsidR="00567FF7">
        <w:rPr>
          <w:color w:val="000000"/>
          <w:lang w:val="en-IE"/>
        </w:rPr>
        <w:t>This evidence establishe</w:t>
      </w:r>
      <w:r w:rsidR="002C3B81">
        <w:rPr>
          <w:color w:val="000000"/>
          <w:lang w:val="en-IE"/>
        </w:rPr>
        <w:t>s</w:t>
      </w:r>
      <w:r w:rsidR="00567FF7">
        <w:rPr>
          <w:color w:val="000000"/>
          <w:lang w:val="en-IE"/>
        </w:rPr>
        <w:t xml:space="preserve"> that</w:t>
      </w:r>
      <w:r w:rsidRPr="00411456">
        <w:rPr>
          <w:color w:val="000000"/>
          <w:lang w:val="en-IE"/>
        </w:rPr>
        <w:t xml:space="preserve"> </w:t>
      </w:r>
      <w:r w:rsidR="00EB20DB" w:rsidRPr="00411456">
        <w:rPr>
          <w:color w:val="000000"/>
          <w:lang w:val="en-IE"/>
        </w:rPr>
        <w:t>having invoked clause 11.5 of the shareholders</w:t>
      </w:r>
      <w:r w:rsidR="000D234D" w:rsidRPr="00411456">
        <w:rPr>
          <w:color w:val="000000"/>
          <w:lang w:val="en-IE"/>
        </w:rPr>
        <w:t>’</w:t>
      </w:r>
      <w:r w:rsidR="009B3F2E" w:rsidRPr="00411456">
        <w:rPr>
          <w:color w:val="000000"/>
          <w:lang w:val="en-IE"/>
        </w:rPr>
        <w:t xml:space="preserve"> agreement and obtained a </w:t>
      </w:r>
      <w:r w:rsidR="00EB20DB" w:rsidRPr="00411456">
        <w:rPr>
          <w:color w:val="000000"/>
          <w:lang w:val="en-IE"/>
        </w:rPr>
        <w:t>v</w:t>
      </w:r>
      <w:r w:rsidR="009B3F2E" w:rsidRPr="00411456">
        <w:rPr>
          <w:color w:val="000000"/>
          <w:lang w:val="en-IE"/>
        </w:rPr>
        <w:t>aluation from the auditors,</w:t>
      </w:r>
      <w:r w:rsidR="00EB20DB" w:rsidRPr="00411456">
        <w:rPr>
          <w:color w:val="000000"/>
          <w:lang w:val="en-IE"/>
        </w:rPr>
        <w:t xml:space="preserve"> </w:t>
      </w:r>
      <w:r w:rsidR="002C3B81">
        <w:rPr>
          <w:color w:val="000000"/>
          <w:lang w:val="en-IE"/>
        </w:rPr>
        <w:t xml:space="preserve">Amber </w:t>
      </w:r>
      <w:r w:rsidR="00EB20DB" w:rsidRPr="00411456">
        <w:rPr>
          <w:color w:val="000000"/>
          <w:lang w:val="en-IE"/>
        </w:rPr>
        <w:t>paid for the shares</w:t>
      </w:r>
      <w:r w:rsidR="009B3F2E" w:rsidRPr="00411456">
        <w:rPr>
          <w:color w:val="000000"/>
          <w:lang w:val="en-IE"/>
        </w:rPr>
        <w:t xml:space="preserve"> it</w:t>
      </w:r>
      <w:r w:rsidR="00EB20DB" w:rsidRPr="00411456">
        <w:rPr>
          <w:color w:val="000000"/>
          <w:lang w:val="en-IE"/>
        </w:rPr>
        <w:t xml:space="preserve"> intended to purchase by </w:t>
      </w:r>
      <w:r w:rsidR="009B3F2E" w:rsidRPr="00411456">
        <w:rPr>
          <w:color w:val="000000"/>
          <w:lang w:val="en-IE"/>
        </w:rPr>
        <w:t>a chequ</w:t>
      </w:r>
      <w:r w:rsidR="00EB20DB" w:rsidRPr="00411456">
        <w:rPr>
          <w:color w:val="000000"/>
          <w:lang w:val="en-IE"/>
        </w:rPr>
        <w:t xml:space="preserve">e </w:t>
      </w:r>
      <w:r w:rsidR="009B3F2E" w:rsidRPr="00411456">
        <w:rPr>
          <w:color w:val="000000"/>
          <w:lang w:val="en-IE"/>
        </w:rPr>
        <w:t xml:space="preserve">made </w:t>
      </w:r>
      <w:r w:rsidR="00EB20DB" w:rsidRPr="00411456">
        <w:rPr>
          <w:color w:val="000000"/>
          <w:lang w:val="en-IE"/>
        </w:rPr>
        <w:t xml:space="preserve">out to the company and sent to the examiner which </w:t>
      </w:r>
      <w:r w:rsidR="00886FFD">
        <w:rPr>
          <w:color w:val="000000"/>
          <w:lang w:val="en-IE"/>
        </w:rPr>
        <w:t xml:space="preserve">cheque </w:t>
      </w:r>
      <w:r w:rsidR="00EB20DB" w:rsidRPr="00411456">
        <w:rPr>
          <w:color w:val="000000"/>
          <w:lang w:val="en-IE"/>
        </w:rPr>
        <w:t>was subsequently cashe</w:t>
      </w:r>
      <w:r w:rsidR="009B3F2E" w:rsidRPr="00411456">
        <w:rPr>
          <w:color w:val="000000"/>
          <w:lang w:val="en-IE"/>
        </w:rPr>
        <w:t xml:space="preserve">d and the amount debited from </w:t>
      </w:r>
      <w:proofErr w:type="gramStart"/>
      <w:r w:rsidR="009B3F2E" w:rsidRPr="00411456">
        <w:rPr>
          <w:color w:val="000000"/>
          <w:lang w:val="en-IE"/>
        </w:rPr>
        <w:t>A</w:t>
      </w:r>
      <w:r w:rsidR="00EB20DB" w:rsidRPr="00411456">
        <w:rPr>
          <w:color w:val="000000"/>
          <w:lang w:val="en-IE"/>
        </w:rPr>
        <w:t>mber</w:t>
      </w:r>
      <w:r w:rsidR="009B3F2E" w:rsidRPr="00411456">
        <w:rPr>
          <w:color w:val="000000"/>
          <w:lang w:val="en-IE"/>
        </w:rPr>
        <w:t>’s</w:t>
      </w:r>
      <w:proofErr w:type="gramEnd"/>
      <w:r w:rsidR="009B3F2E" w:rsidRPr="00411456">
        <w:rPr>
          <w:color w:val="000000"/>
          <w:lang w:val="en-IE"/>
        </w:rPr>
        <w:t xml:space="preserve"> account</w:t>
      </w:r>
      <w:r w:rsidR="00EB20DB" w:rsidRPr="00411456">
        <w:rPr>
          <w:color w:val="000000"/>
          <w:lang w:val="en-IE"/>
        </w:rPr>
        <w:t xml:space="preserve">. If there is an issue as to </w:t>
      </w:r>
      <w:r w:rsidR="009B3F2E" w:rsidRPr="00411456">
        <w:rPr>
          <w:color w:val="000000"/>
          <w:lang w:val="en-IE"/>
        </w:rPr>
        <w:t xml:space="preserve">what transpired with that cheque </w:t>
      </w:r>
      <w:proofErr w:type="gramStart"/>
      <w:r w:rsidR="009B3F2E" w:rsidRPr="00411456">
        <w:rPr>
          <w:color w:val="000000"/>
          <w:lang w:val="en-IE"/>
        </w:rPr>
        <w:t>subsequent to</w:t>
      </w:r>
      <w:proofErr w:type="gramEnd"/>
      <w:r w:rsidR="009B3F2E" w:rsidRPr="00411456">
        <w:rPr>
          <w:color w:val="000000"/>
          <w:lang w:val="en-IE"/>
        </w:rPr>
        <w:t xml:space="preserve"> its</w:t>
      </w:r>
      <w:r w:rsidR="00EB20DB" w:rsidRPr="00411456">
        <w:rPr>
          <w:color w:val="000000"/>
          <w:lang w:val="en-IE"/>
        </w:rPr>
        <w:t xml:space="preserve"> receipt</w:t>
      </w:r>
      <w:r w:rsidR="007B1AEE">
        <w:rPr>
          <w:color w:val="000000"/>
          <w:lang w:val="en-IE"/>
        </w:rPr>
        <w:t xml:space="preserve"> by the examiner</w:t>
      </w:r>
      <w:r w:rsidR="009B3F2E" w:rsidRPr="00411456">
        <w:rPr>
          <w:color w:val="000000"/>
          <w:lang w:val="en-IE"/>
        </w:rPr>
        <w:t>, that i</w:t>
      </w:r>
      <w:r w:rsidR="00EB20DB" w:rsidRPr="00411456">
        <w:rPr>
          <w:color w:val="000000"/>
          <w:lang w:val="en-IE"/>
        </w:rPr>
        <w:t>s a matter between the applicant</w:t>
      </w:r>
      <w:r w:rsidR="009B3F2E" w:rsidRPr="00411456">
        <w:rPr>
          <w:color w:val="000000"/>
          <w:lang w:val="en-IE"/>
        </w:rPr>
        <w:t xml:space="preserve"> and either </w:t>
      </w:r>
      <w:r w:rsidR="002C3B81">
        <w:rPr>
          <w:color w:val="000000"/>
          <w:lang w:val="en-IE"/>
        </w:rPr>
        <w:t>its</w:t>
      </w:r>
      <w:r w:rsidR="009B3F2E" w:rsidRPr="00411456">
        <w:rPr>
          <w:color w:val="000000"/>
          <w:lang w:val="en-IE"/>
        </w:rPr>
        <w:t xml:space="preserve"> former director</w:t>
      </w:r>
      <w:r w:rsidR="00EB20DB" w:rsidRPr="00411456">
        <w:rPr>
          <w:color w:val="000000"/>
          <w:lang w:val="en-IE"/>
        </w:rPr>
        <w:t xml:space="preserve"> or the ex</w:t>
      </w:r>
      <w:r w:rsidR="009B3F2E" w:rsidRPr="00411456">
        <w:rPr>
          <w:color w:val="000000"/>
          <w:lang w:val="en-IE"/>
        </w:rPr>
        <w:t>aminer.</w:t>
      </w:r>
      <w:r w:rsidR="002C3B81">
        <w:rPr>
          <w:color w:val="000000"/>
          <w:lang w:val="en-IE"/>
        </w:rPr>
        <w:t xml:space="preserve"> Consequently, I do not think that this is a factual dispute which renders this application incapable of summary disposal.</w:t>
      </w:r>
    </w:p>
    <w:p w14:paraId="1FA1F401" w14:textId="2636B747" w:rsidR="008F6D9E" w:rsidRPr="00886FFD" w:rsidRDefault="009B3F2E" w:rsidP="004A0604">
      <w:pPr>
        <w:pStyle w:val="NormalWeb"/>
        <w:numPr>
          <w:ilvl w:val="0"/>
          <w:numId w:val="1"/>
        </w:numPr>
        <w:spacing w:before="0" w:beforeAutospacing="0" w:after="0" w:afterAutospacing="0" w:line="480" w:lineRule="auto"/>
        <w:ind w:left="0" w:firstLine="0"/>
        <w:jc w:val="both"/>
        <w:rPr>
          <w:i/>
          <w:color w:val="000000"/>
          <w:lang w:val="en-IE"/>
        </w:rPr>
      </w:pPr>
      <w:r w:rsidRPr="00411456">
        <w:rPr>
          <w:color w:val="000000"/>
          <w:lang w:val="en-IE"/>
        </w:rPr>
        <w:t>T</w:t>
      </w:r>
      <w:r w:rsidR="00EB20DB" w:rsidRPr="00411456">
        <w:rPr>
          <w:color w:val="000000"/>
          <w:lang w:val="en-IE"/>
        </w:rPr>
        <w:t>his leads to the second issue which is the alleged deficit of evidence on key matters</w:t>
      </w:r>
      <w:r w:rsidRPr="00411456">
        <w:rPr>
          <w:color w:val="000000"/>
          <w:lang w:val="en-IE"/>
        </w:rPr>
        <w:t xml:space="preserve">. </w:t>
      </w:r>
      <w:proofErr w:type="gramStart"/>
      <w:r w:rsidRPr="00411456">
        <w:rPr>
          <w:color w:val="000000"/>
          <w:lang w:val="en-IE"/>
        </w:rPr>
        <w:t>D</w:t>
      </w:r>
      <w:r w:rsidR="00EB20DB" w:rsidRPr="00411456">
        <w:rPr>
          <w:color w:val="000000"/>
          <w:lang w:val="en-IE"/>
        </w:rPr>
        <w:t>uring the course of</w:t>
      </w:r>
      <w:proofErr w:type="gramEnd"/>
      <w:r w:rsidR="00EB20DB" w:rsidRPr="00411456">
        <w:rPr>
          <w:color w:val="000000"/>
          <w:lang w:val="en-IE"/>
        </w:rPr>
        <w:t xml:space="preserve"> the hearing, the prin</w:t>
      </w:r>
      <w:r w:rsidRPr="00411456">
        <w:rPr>
          <w:color w:val="000000"/>
          <w:lang w:val="en-IE"/>
        </w:rPr>
        <w:t>cipal absence identified was</w:t>
      </w:r>
      <w:r w:rsidR="00EB20DB" w:rsidRPr="00411456">
        <w:rPr>
          <w:color w:val="000000"/>
          <w:lang w:val="en-IE"/>
        </w:rPr>
        <w:t xml:space="preserve"> of ev</w:t>
      </w:r>
      <w:r w:rsidRPr="00411456">
        <w:rPr>
          <w:color w:val="000000"/>
          <w:lang w:val="en-IE"/>
        </w:rPr>
        <w:t>idence relating to the examinership</w:t>
      </w:r>
      <w:r w:rsidR="00EB20DB" w:rsidRPr="00411456">
        <w:rPr>
          <w:color w:val="000000"/>
          <w:lang w:val="en-IE"/>
        </w:rPr>
        <w:t xml:space="preserve"> which was both the trigger f</w:t>
      </w:r>
      <w:r w:rsidRPr="00411456">
        <w:rPr>
          <w:color w:val="000000"/>
          <w:lang w:val="en-IE"/>
        </w:rPr>
        <w:t>or the invocation of clause 11.5 a</w:t>
      </w:r>
      <w:r w:rsidR="00EB20DB" w:rsidRPr="00411456">
        <w:rPr>
          <w:color w:val="000000"/>
          <w:lang w:val="en-IE"/>
        </w:rPr>
        <w:t>nd which was ongoing when the steps described above w</w:t>
      </w:r>
      <w:r w:rsidRPr="00411456">
        <w:rPr>
          <w:color w:val="000000"/>
          <w:lang w:val="en-IE"/>
        </w:rPr>
        <w:t xml:space="preserve">ere taken. </w:t>
      </w:r>
      <w:r w:rsidR="002C3B81">
        <w:rPr>
          <w:color w:val="000000"/>
          <w:lang w:val="en-IE"/>
        </w:rPr>
        <w:t>T</w:t>
      </w:r>
      <w:r w:rsidR="00EB20DB" w:rsidRPr="00411456">
        <w:rPr>
          <w:color w:val="000000"/>
          <w:lang w:val="en-IE"/>
        </w:rPr>
        <w:t>he court has no knowledge of</w:t>
      </w:r>
      <w:r w:rsidR="00B1039F" w:rsidRPr="00411456">
        <w:rPr>
          <w:color w:val="000000"/>
          <w:lang w:val="en-IE"/>
        </w:rPr>
        <w:t xml:space="preserve"> the assets of the applicant in examinership</w:t>
      </w:r>
      <w:r w:rsidR="00EB20DB" w:rsidRPr="00411456">
        <w:rPr>
          <w:color w:val="000000"/>
          <w:lang w:val="en-IE"/>
        </w:rPr>
        <w:t xml:space="preserve"> nor of the scheme of arrangement whi</w:t>
      </w:r>
      <w:r w:rsidR="00B1039F" w:rsidRPr="00411456">
        <w:rPr>
          <w:color w:val="000000"/>
          <w:lang w:val="en-IE"/>
        </w:rPr>
        <w:t xml:space="preserve">ch may have resulted nor of the role of Mr. </w:t>
      </w:r>
      <w:proofErr w:type="spellStart"/>
      <w:r w:rsidR="00B1039F" w:rsidRPr="00411456">
        <w:rPr>
          <w:color w:val="000000"/>
          <w:lang w:val="en-IE"/>
        </w:rPr>
        <w:t>O’Regan</w:t>
      </w:r>
      <w:proofErr w:type="spellEnd"/>
      <w:r w:rsidR="002C3B81">
        <w:rPr>
          <w:color w:val="000000"/>
          <w:lang w:val="en-IE"/>
        </w:rPr>
        <w:t xml:space="preserve"> in that scheme or</w:t>
      </w:r>
      <w:r w:rsidR="00EB20DB" w:rsidRPr="00411456">
        <w:rPr>
          <w:color w:val="000000"/>
          <w:lang w:val="en-IE"/>
        </w:rPr>
        <w:t xml:space="preserve"> in acquiring an interest in the applicant at</w:t>
      </w:r>
      <w:r w:rsidR="00B1039F" w:rsidRPr="00411456">
        <w:rPr>
          <w:color w:val="000000"/>
          <w:lang w:val="en-IE"/>
        </w:rPr>
        <w:t xml:space="preserve"> the conclusion of the examinership. Whilst Mr. </w:t>
      </w:r>
      <w:proofErr w:type="spellStart"/>
      <w:r w:rsidR="00B1039F" w:rsidRPr="00411456">
        <w:rPr>
          <w:color w:val="000000"/>
          <w:lang w:val="en-IE"/>
        </w:rPr>
        <w:t>O’Regan</w:t>
      </w:r>
      <w:proofErr w:type="spellEnd"/>
      <w:r w:rsidR="00B1039F" w:rsidRPr="00411456">
        <w:rPr>
          <w:color w:val="000000"/>
          <w:lang w:val="en-IE"/>
        </w:rPr>
        <w:t xml:space="preserve"> </w:t>
      </w:r>
      <w:r w:rsidR="00EB20DB" w:rsidRPr="00411456">
        <w:rPr>
          <w:color w:val="000000"/>
          <w:lang w:val="en-IE"/>
        </w:rPr>
        <w:t>has stated on a</w:t>
      </w:r>
      <w:r w:rsidR="00B1039F" w:rsidRPr="00411456">
        <w:rPr>
          <w:color w:val="000000"/>
          <w:lang w:val="en-IE"/>
        </w:rPr>
        <w:t xml:space="preserve">ffidavit that </w:t>
      </w:r>
      <w:r w:rsidR="00B1039F" w:rsidRPr="00411456">
        <w:rPr>
          <w:i/>
          <w:color w:val="000000"/>
          <w:lang w:val="en-IE"/>
        </w:rPr>
        <w:t>“th</w:t>
      </w:r>
      <w:r w:rsidR="00EB20DB" w:rsidRPr="00411456">
        <w:rPr>
          <w:i/>
          <w:color w:val="000000"/>
          <w:lang w:val="en-IE"/>
        </w:rPr>
        <w:t>at asset</w:t>
      </w:r>
      <w:r w:rsidR="00B1039F" w:rsidRPr="00411456">
        <w:rPr>
          <w:i/>
          <w:color w:val="000000"/>
          <w:lang w:val="en-IE"/>
        </w:rPr>
        <w:t>”</w:t>
      </w:r>
      <w:r w:rsidR="00B1039F" w:rsidRPr="00411456">
        <w:rPr>
          <w:color w:val="000000"/>
          <w:lang w:val="en-IE"/>
        </w:rPr>
        <w:t xml:space="preserve"> (meaning, presumably, </w:t>
      </w:r>
      <w:r w:rsidR="002C3B81">
        <w:rPr>
          <w:color w:val="000000"/>
          <w:lang w:val="en-IE"/>
        </w:rPr>
        <w:t xml:space="preserve">the applicant’s shares in the company and the company’s ownership of </w:t>
      </w:r>
      <w:r w:rsidR="00EB20DB" w:rsidRPr="00411456">
        <w:rPr>
          <w:color w:val="000000"/>
          <w:lang w:val="en-IE"/>
        </w:rPr>
        <w:t>t</w:t>
      </w:r>
      <w:r w:rsidR="00B1039F" w:rsidRPr="00411456">
        <w:rPr>
          <w:color w:val="000000"/>
          <w:lang w:val="en-IE"/>
        </w:rPr>
        <w:t xml:space="preserve">he lands at Waterford Port) </w:t>
      </w:r>
      <w:r w:rsidR="00EB20DB" w:rsidRPr="00411456">
        <w:rPr>
          <w:color w:val="000000"/>
          <w:lang w:val="en-IE"/>
        </w:rPr>
        <w:t xml:space="preserve">formed </w:t>
      </w:r>
      <w:r w:rsidR="00B1039F" w:rsidRPr="00411456">
        <w:rPr>
          <w:i/>
          <w:color w:val="000000"/>
          <w:lang w:val="en-IE"/>
        </w:rPr>
        <w:t>“</w:t>
      </w:r>
      <w:r w:rsidR="00EB20DB" w:rsidRPr="00411456">
        <w:rPr>
          <w:i/>
          <w:color w:val="000000"/>
          <w:lang w:val="en-IE"/>
        </w:rPr>
        <w:t xml:space="preserve">part of </w:t>
      </w:r>
      <w:r w:rsidR="00A70020">
        <w:rPr>
          <w:i/>
          <w:color w:val="000000"/>
          <w:lang w:val="en-IE"/>
        </w:rPr>
        <w:t>the</w:t>
      </w:r>
      <w:r w:rsidR="00A70020" w:rsidRPr="00411456">
        <w:rPr>
          <w:i/>
          <w:color w:val="000000"/>
          <w:lang w:val="en-IE"/>
        </w:rPr>
        <w:t xml:space="preserve"> </w:t>
      </w:r>
      <w:r w:rsidR="00B1039F" w:rsidRPr="00411456">
        <w:rPr>
          <w:i/>
          <w:color w:val="000000"/>
          <w:lang w:val="en-IE"/>
        </w:rPr>
        <w:t>reasons”</w:t>
      </w:r>
      <w:r w:rsidR="00B1039F" w:rsidRPr="00411456">
        <w:rPr>
          <w:color w:val="000000"/>
          <w:lang w:val="en-IE"/>
        </w:rPr>
        <w:t xml:space="preserve"> </w:t>
      </w:r>
      <w:r w:rsidR="00EB20DB" w:rsidRPr="00411456">
        <w:rPr>
          <w:color w:val="000000"/>
          <w:lang w:val="en-IE"/>
        </w:rPr>
        <w:t>for</w:t>
      </w:r>
      <w:r w:rsidR="00AE69AC" w:rsidRPr="00411456">
        <w:rPr>
          <w:color w:val="000000"/>
          <w:lang w:val="en-IE"/>
        </w:rPr>
        <w:t xml:space="preserve"> investing in the applicant,</w:t>
      </w:r>
      <w:r w:rsidR="00EB20DB" w:rsidRPr="00411456">
        <w:rPr>
          <w:color w:val="000000"/>
          <w:lang w:val="en-IE"/>
        </w:rPr>
        <w:t xml:space="preserve"> the court has no information as to</w:t>
      </w:r>
      <w:r w:rsidR="00AE69AC" w:rsidRPr="00411456">
        <w:rPr>
          <w:color w:val="000000"/>
          <w:lang w:val="en-IE"/>
        </w:rPr>
        <w:t xml:space="preserve"> the extent of that investment and </w:t>
      </w:r>
      <w:r w:rsidR="00EB20DB" w:rsidRPr="00411456">
        <w:rPr>
          <w:color w:val="000000"/>
          <w:lang w:val="en-IE"/>
        </w:rPr>
        <w:t>the value of the lands nor the value placed on the applicant</w:t>
      </w:r>
      <w:r w:rsidR="007C4F65" w:rsidRPr="00411456">
        <w:rPr>
          <w:color w:val="000000"/>
          <w:lang w:val="en-IE"/>
        </w:rPr>
        <w:t>’s share in</w:t>
      </w:r>
      <w:r w:rsidR="00EB20DB" w:rsidRPr="00411456">
        <w:rPr>
          <w:color w:val="000000"/>
          <w:lang w:val="en-IE"/>
        </w:rPr>
        <w:t xml:space="preserve"> the company at the material time nor</w:t>
      </w:r>
      <w:r w:rsidR="007C4F65" w:rsidRPr="00411456">
        <w:rPr>
          <w:color w:val="000000"/>
          <w:lang w:val="en-IE"/>
        </w:rPr>
        <w:t>,</w:t>
      </w:r>
      <w:r w:rsidR="00EB20DB" w:rsidRPr="00411456">
        <w:rPr>
          <w:color w:val="000000"/>
          <w:lang w:val="en-IE"/>
        </w:rPr>
        <w:t xml:space="preserve"> </w:t>
      </w:r>
      <w:r w:rsidR="007C4F65" w:rsidRPr="00411456">
        <w:rPr>
          <w:color w:val="000000"/>
          <w:lang w:val="en-IE"/>
        </w:rPr>
        <w:t xml:space="preserve">crucially, </w:t>
      </w:r>
      <w:r w:rsidR="00EB20DB" w:rsidRPr="00411456">
        <w:rPr>
          <w:color w:val="000000"/>
          <w:lang w:val="en-IE"/>
        </w:rPr>
        <w:t>the extent of the applicant</w:t>
      </w:r>
      <w:r w:rsidR="007C4F65" w:rsidRPr="00411456">
        <w:rPr>
          <w:color w:val="000000"/>
          <w:lang w:val="en-IE"/>
        </w:rPr>
        <w:t>’</w:t>
      </w:r>
      <w:r w:rsidR="00EB20DB" w:rsidRPr="00411456">
        <w:rPr>
          <w:color w:val="000000"/>
          <w:lang w:val="en-IE"/>
        </w:rPr>
        <w:t>s other assets which</w:t>
      </w:r>
      <w:r w:rsidR="007C4F65" w:rsidRPr="00411456">
        <w:rPr>
          <w:color w:val="000000"/>
          <w:lang w:val="en-IE"/>
        </w:rPr>
        <w:t xml:space="preserve">, presumably, </w:t>
      </w:r>
      <w:r w:rsidR="00EB20DB" w:rsidRPr="00411456">
        <w:rPr>
          <w:color w:val="000000"/>
          <w:lang w:val="en-IE"/>
        </w:rPr>
        <w:t>also formed part of Mr</w:t>
      </w:r>
      <w:r w:rsidR="007C4F65" w:rsidRPr="00411456">
        <w:rPr>
          <w:color w:val="000000"/>
          <w:lang w:val="en-IE"/>
        </w:rPr>
        <w:t xml:space="preserve">. </w:t>
      </w:r>
      <w:proofErr w:type="spellStart"/>
      <w:r w:rsidR="007C4F65" w:rsidRPr="00411456">
        <w:rPr>
          <w:color w:val="000000"/>
          <w:lang w:val="en-IE"/>
        </w:rPr>
        <w:t>O’Regan’s</w:t>
      </w:r>
      <w:proofErr w:type="spellEnd"/>
      <w:r w:rsidR="00EB20DB" w:rsidRPr="00411456">
        <w:rPr>
          <w:color w:val="000000"/>
          <w:lang w:val="en-IE"/>
        </w:rPr>
        <w:t xml:space="preserve"> reasons for his investment. </w:t>
      </w:r>
      <w:r w:rsidR="002C3B81">
        <w:rPr>
          <w:color w:val="000000"/>
          <w:lang w:val="en-IE"/>
        </w:rPr>
        <w:t>I</w:t>
      </w:r>
      <w:r w:rsidR="002C3B81" w:rsidRPr="00411456">
        <w:rPr>
          <w:color w:val="000000"/>
          <w:lang w:val="en-IE"/>
        </w:rPr>
        <w:t xml:space="preserve">t </w:t>
      </w:r>
      <w:proofErr w:type="gramStart"/>
      <w:r w:rsidR="002C3B81" w:rsidRPr="00411456">
        <w:rPr>
          <w:color w:val="000000"/>
          <w:lang w:val="en-IE"/>
        </w:rPr>
        <w:t>has to</w:t>
      </w:r>
      <w:proofErr w:type="gramEnd"/>
      <w:r w:rsidR="002C3B81" w:rsidRPr="00411456">
        <w:rPr>
          <w:color w:val="000000"/>
          <w:lang w:val="en-IE"/>
        </w:rPr>
        <w:t xml:space="preserve"> be borne in mind that this is</w:t>
      </w:r>
      <w:r w:rsidR="002C3B81">
        <w:rPr>
          <w:color w:val="000000"/>
          <w:lang w:val="en-IE"/>
        </w:rPr>
        <w:t>,</w:t>
      </w:r>
      <w:r w:rsidR="002C3B81" w:rsidRPr="00411456">
        <w:rPr>
          <w:color w:val="000000"/>
          <w:lang w:val="en-IE"/>
        </w:rPr>
        <w:t xml:space="preserve"> of course</w:t>
      </w:r>
      <w:r w:rsidR="002C3B81">
        <w:rPr>
          <w:color w:val="000000"/>
          <w:lang w:val="en-IE"/>
        </w:rPr>
        <w:t>,</w:t>
      </w:r>
      <w:r w:rsidR="002C3B81" w:rsidRPr="00411456">
        <w:rPr>
          <w:color w:val="000000"/>
          <w:lang w:val="en-IE"/>
        </w:rPr>
        <w:t xml:space="preserve"> an application brought by the applicant and not one brought by or on behalf of Mr. </w:t>
      </w:r>
      <w:proofErr w:type="spellStart"/>
      <w:r w:rsidR="002C3B81" w:rsidRPr="00411456">
        <w:rPr>
          <w:color w:val="000000"/>
          <w:lang w:val="en-IE"/>
        </w:rPr>
        <w:t>O’Regan</w:t>
      </w:r>
      <w:proofErr w:type="spellEnd"/>
      <w:r w:rsidR="002C3B81" w:rsidRPr="00411456">
        <w:rPr>
          <w:color w:val="000000"/>
          <w:lang w:val="en-IE"/>
        </w:rPr>
        <w:t>.</w:t>
      </w:r>
      <w:r w:rsidR="002C3B81">
        <w:rPr>
          <w:color w:val="000000"/>
          <w:lang w:val="en-IE"/>
        </w:rPr>
        <w:t xml:space="preserve"> </w:t>
      </w:r>
      <w:r w:rsidR="00EB20DB" w:rsidRPr="00411456">
        <w:rPr>
          <w:color w:val="000000"/>
          <w:lang w:val="en-IE"/>
        </w:rPr>
        <w:t xml:space="preserve">The court has no knowledge of what </w:t>
      </w:r>
      <w:r w:rsidR="007C4F65" w:rsidRPr="00411456">
        <w:rPr>
          <w:color w:val="000000"/>
          <w:lang w:val="en-IE"/>
        </w:rPr>
        <w:t>vi</w:t>
      </w:r>
      <w:r w:rsidR="00EB20DB" w:rsidRPr="00411456">
        <w:rPr>
          <w:color w:val="000000"/>
          <w:lang w:val="en-IE"/>
        </w:rPr>
        <w:t>ew</w:t>
      </w:r>
      <w:r w:rsidR="007C4F65" w:rsidRPr="00411456">
        <w:rPr>
          <w:color w:val="000000"/>
          <w:lang w:val="en-IE"/>
        </w:rPr>
        <w:t>, if any,</w:t>
      </w:r>
      <w:r w:rsidR="00EB20DB" w:rsidRPr="00411456">
        <w:rPr>
          <w:color w:val="000000"/>
          <w:lang w:val="en-IE"/>
        </w:rPr>
        <w:t xml:space="preserve"> was </w:t>
      </w:r>
      <w:r w:rsidR="00EB20DB" w:rsidRPr="00411456">
        <w:rPr>
          <w:color w:val="000000"/>
          <w:lang w:val="en-IE"/>
        </w:rPr>
        <w:lastRenderedPageBreak/>
        <w:t>taken by the examiner of t</w:t>
      </w:r>
      <w:r w:rsidR="007C4F65" w:rsidRPr="00411456">
        <w:rPr>
          <w:color w:val="000000"/>
          <w:lang w:val="en-IE"/>
        </w:rPr>
        <w:t>he consideration offered by Amber</w:t>
      </w:r>
      <w:r w:rsidR="00EB20DB" w:rsidRPr="00411456">
        <w:rPr>
          <w:color w:val="000000"/>
          <w:lang w:val="en-IE"/>
        </w:rPr>
        <w:t xml:space="preserve"> for the purchase of the applicant</w:t>
      </w:r>
      <w:r w:rsidR="007C4F65" w:rsidRPr="00411456">
        <w:rPr>
          <w:color w:val="000000"/>
          <w:lang w:val="en-IE"/>
        </w:rPr>
        <w:t>’s</w:t>
      </w:r>
      <w:r w:rsidR="00EB20DB" w:rsidRPr="00411456">
        <w:rPr>
          <w:color w:val="000000"/>
          <w:lang w:val="en-IE"/>
        </w:rPr>
        <w:t xml:space="preserve"> shares in response to the de</w:t>
      </w:r>
      <w:r w:rsidR="007C4F65" w:rsidRPr="00411456">
        <w:rPr>
          <w:color w:val="000000"/>
          <w:lang w:val="en-IE"/>
        </w:rPr>
        <w:t>emed transfer notice. I</w:t>
      </w:r>
      <w:r w:rsidR="00EB20DB" w:rsidRPr="00411456">
        <w:rPr>
          <w:color w:val="000000"/>
          <w:lang w:val="en-IE"/>
        </w:rPr>
        <w:t>n circumstances where the company was heavily indebted at the time and the proper</w:t>
      </w:r>
      <w:r w:rsidR="007C4F65" w:rsidRPr="00411456">
        <w:rPr>
          <w:color w:val="000000"/>
          <w:lang w:val="en-IE"/>
        </w:rPr>
        <w:t>ty was in negative equity, t</w:t>
      </w:r>
      <w:r w:rsidR="00EB20DB" w:rsidRPr="00411456">
        <w:rPr>
          <w:color w:val="000000"/>
          <w:lang w:val="en-IE"/>
        </w:rPr>
        <w:t>he court cannot make any assumption that the applicant</w:t>
      </w:r>
      <w:r w:rsidR="007C4F65" w:rsidRPr="00411456">
        <w:rPr>
          <w:color w:val="000000"/>
          <w:lang w:val="en-IE"/>
        </w:rPr>
        <w:t>’</w:t>
      </w:r>
      <w:r w:rsidR="00EB20DB" w:rsidRPr="00411456">
        <w:rPr>
          <w:color w:val="000000"/>
          <w:lang w:val="en-IE"/>
        </w:rPr>
        <w:t xml:space="preserve">s shares in the company were regarded as </w:t>
      </w:r>
      <w:proofErr w:type="gramStart"/>
      <w:r w:rsidR="00EB20DB" w:rsidRPr="00411456">
        <w:rPr>
          <w:color w:val="000000"/>
          <w:lang w:val="en-IE"/>
        </w:rPr>
        <w:t>a valuable asset</w:t>
      </w:r>
      <w:proofErr w:type="gramEnd"/>
      <w:r w:rsidR="00EB20DB" w:rsidRPr="00411456">
        <w:rPr>
          <w:color w:val="000000"/>
          <w:lang w:val="en-IE"/>
        </w:rPr>
        <w:t xml:space="preserve">. </w:t>
      </w:r>
    </w:p>
    <w:p w14:paraId="231A7DC4" w14:textId="6D5E89BD" w:rsidR="008F6D9E" w:rsidRPr="00411456" w:rsidRDefault="008F6D9E"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F</w:t>
      </w:r>
      <w:r w:rsidR="00EB20DB" w:rsidRPr="00411456">
        <w:rPr>
          <w:color w:val="000000"/>
          <w:lang w:val="en-IE"/>
        </w:rPr>
        <w:t>or the sake of completeness, I should note th</w:t>
      </w:r>
      <w:r w:rsidRPr="00411456">
        <w:rPr>
          <w:color w:val="000000"/>
          <w:lang w:val="en-IE"/>
        </w:rPr>
        <w:t>at the respondents also criticis</w:t>
      </w:r>
      <w:r w:rsidR="00EB20DB" w:rsidRPr="00411456">
        <w:rPr>
          <w:color w:val="000000"/>
          <w:lang w:val="en-IE"/>
        </w:rPr>
        <w:t>e the absence of evidence relating to the books and records of the applicant, both generally and more specifically, the absence of evidence from those records to show that the applicant considered itself the owner of the disp</w:t>
      </w:r>
      <w:r w:rsidRPr="00411456">
        <w:rPr>
          <w:color w:val="000000"/>
          <w:lang w:val="en-IE"/>
        </w:rPr>
        <w:t>uted shares at any time post-</w:t>
      </w:r>
      <w:r w:rsidR="00EB20DB" w:rsidRPr="00411456">
        <w:rPr>
          <w:color w:val="000000"/>
          <w:lang w:val="en-IE"/>
        </w:rPr>
        <w:t>2013. Equally, it was pointed out that there was an absence of evidence to show that eithe</w:t>
      </w:r>
      <w:r w:rsidRPr="00411456">
        <w:rPr>
          <w:color w:val="000000"/>
          <w:lang w:val="en-IE"/>
        </w:rPr>
        <w:t xml:space="preserve">r the applicant or Mr. </w:t>
      </w:r>
      <w:proofErr w:type="spellStart"/>
      <w:r w:rsidRPr="00411456">
        <w:rPr>
          <w:color w:val="000000"/>
          <w:lang w:val="en-IE"/>
        </w:rPr>
        <w:t>O’Regan</w:t>
      </w:r>
      <w:proofErr w:type="spellEnd"/>
      <w:r w:rsidR="00EB20DB" w:rsidRPr="00411456">
        <w:rPr>
          <w:color w:val="000000"/>
          <w:lang w:val="en-IE"/>
        </w:rPr>
        <w:t xml:space="preserve"> had taken any par</w:t>
      </w:r>
      <w:r w:rsidRPr="00411456">
        <w:rPr>
          <w:color w:val="000000"/>
          <w:lang w:val="en-IE"/>
        </w:rPr>
        <w:t>t in the affairs of the company post-</w:t>
      </w:r>
      <w:r w:rsidR="00EB20DB" w:rsidRPr="00411456">
        <w:rPr>
          <w:color w:val="000000"/>
          <w:lang w:val="en-IE"/>
        </w:rPr>
        <w:t xml:space="preserve">2013. </w:t>
      </w:r>
      <w:r w:rsidRPr="00411456">
        <w:rPr>
          <w:color w:val="000000"/>
          <w:lang w:val="en-IE"/>
        </w:rPr>
        <w:t>The respondents characteris</w:t>
      </w:r>
      <w:r w:rsidR="00EB20DB" w:rsidRPr="00411456">
        <w:rPr>
          <w:color w:val="000000"/>
          <w:lang w:val="en-IE"/>
        </w:rPr>
        <w:t>ed these absences as</w:t>
      </w:r>
      <w:r w:rsidRPr="00411456">
        <w:rPr>
          <w:color w:val="000000"/>
          <w:lang w:val="en-IE"/>
        </w:rPr>
        <w:t xml:space="preserve"> being relevant to the estoppel argument rais</w:t>
      </w:r>
      <w:r w:rsidR="00EB20DB" w:rsidRPr="00411456">
        <w:rPr>
          <w:color w:val="000000"/>
          <w:lang w:val="en-IE"/>
        </w:rPr>
        <w:t>ed against them by the applicant based on the continued filing of return</w:t>
      </w:r>
      <w:r w:rsidRPr="00411456">
        <w:rPr>
          <w:color w:val="000000"/>
          <w:lang w:val="en-IE"/>
        </w:rPr>
        <w:t>s in the CRO s</w:t>
      </w:r>
      <w:r w:rsidR="00EB20DB" w:rsidRPr="00411456">
        <w:rPr>
          <w:color w:val="000000"/>
          <w:lang w:val="en-IE"/>
        </w:rPr>
        <w:t>howing the applicant to be a shar</w:t>
      </w:r>
      <w:r w:rsidRPr="00411456">
        <w:rPr>
          <w:color w:val="000000"/>
          <w:lang w:val="en-IE"/>
        </w:rPr>
        <w:t xml:space="preserve">eholder in the company. </w:t>
      </w:r>
      <w:r w:rsidR="002C3B81">
        <w:rPr>
          <w:color w:val="000000"/>
          <w:lang w:val="en-IE"/>
        </w:rPr>
        <w:t xml:space="preserve">I will return to this in due course. </w:t>
      </w:r>
    </w:p>
    <w:p w14:paraId="4A5792E8" w14:textId="199C56D3" w:rsidR="000C6BCC" w:rsidRPr="00411456" w:rsidRDefault="008F6D9E"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EB20DB" w:rsidRPr="00411456">
        <w:rPr>
          <w:color w:val="000000"/>
          <w:lang w:val="en-IE"/>
        </w:rPr>
        <w:t>o a certain extent, both parties rely on the absence of</w:t>
      </w:r>
      <w:r w:rsidRPr="00411456">
        <w:rPr>
          <w:color w:val="000000"/>
          <w:lang w:val="en-IE"/>
        </w:rPr>
        <w:t xml:space="preserve"> potentially relevant evidence. The r</w:t>
      </w:r>
      <w:r w:rsidR="00EB20DB" w:rsidRPr="00411456">
        <w:rPr>
          <w:color w:val="000000"/>
          <w:lang w:val="en-IE"/>
        </w:rPr>
        <w:t>espondents rely on it fundamentally to say that the applicant has</w:t>
      </w:r>
      <w:r w:rsidRPr="00411456">
        <w:rPr>
          <w:color w:val="000000"/>
          <w:lang w:val="en-IE"/>
        </w:rPr>
        <w:t xml:space="preserve"> not made out its case</w:t>
      </w:r>
      <w:r w:rsidR="00EB20DB" w:rsidRPr="00411456">
        <w:rPr>
          <w:color w:val="000000"/>
          <w:lang w:val="en-IE"/>
        </w:rPr>
        <w:t xml:space="preserve">. The </w:t>
      </w:r>
      <w:r w:rsidRPr="00411456">
        <w:rPr>
          <w:color w:val="000000"/>
          <w:lang w:val="en-IE"/>
        </w:rPr>
        <w:t>applicant in</w:t>
      </w:r>
      <w:r w:rsidR="00EB20DB" w:rsidRPr="00411456">
        <w:rPr>
          <w:color w:val="000000"/>
          <w:lang w:val="en-IE"/>
        </w:rPr>
        <w:t xml:space="preserve"> </w:t>
      </w:r>
      <w:proofErr w:type="gramStart"/>
      <w:r w:rsidR="00EB20DB" w:rsidRPr="00411456">
        <w:rPr>
          <w:color w:val="000000"/>
          <w:lang w:val="en-IE"/>
        </w:rPr>
        <w:t>reply</w:t>
      </w:r>
      <w:proofErr w:type="gramEnd"/>
      <w:r w:rsidR="00EB20DB" w:rsidRPr="00411456">
        <w:rPr>
          <w:color w:val="000000"/>
          <w:lang w:val="en-IE"/>
        </w:rPr>
        <w:t xml:space="preserve"> asserts that the respondents must prove the facts on </w:t>
      </w:r>
      <w:r w:rsidRPr="00411456">
        <w:rPr>
          <w:color w:val="000000"/>
          <w:lang w:val="en-IE"/>
        </w:rPr>
        <w:t>which they rely for their defenc</w:t>
      </w:r>
      <w:r w:rsidR="00EB20DB" w:rsidRPr="00411456">
        <w:rPr>
          <w:color w:val="000000"/>
          <w:lang w:val="en-IE"/>
        </w:rPr>
        <w:t>e and argue</w:t>
      </w:r>
      <w:r w:rsidR="002C3B81">
        <w:rPr>
          <w:color w:val="000000"/>
          <w:lang w:val="en-IE"/>
        </w:rPr>
        <w:t>s</w:t>
      </w:r>
      <w:r w:rsidR="00EB20DB" w:rsidRPr="00411456">
        <w:rPr>
          <w:color w:val="000000"/>
          <w:lang w:val="en-IE"/>
        </w:rPr>
        <w:t xml:space="preserve"> that there is insufficient evide</w:t>
      </w:r>
      <w:r w:rsidRPr="00411456">
        <w:rPr>
          <w:color w:val="000000"/>
          <w:lang w:val="en-IE"/>
        </w:rPr>
        <w:t>nce before the court to show that</w:t>
      </w:r>
      <w:r w:rsidR="00EB20DB" w:rsidRPr="00411456">
        <w:rPr>
          <w:color w:val="000000"/>
          <w:lang w:val="en-IE"/>
        </w:rPr>
        <w:t xml:space="preserve"> clause 11</w:t>
      </w:r>
      <w:r w:rsidRPr="00411456">
        <w:rPr>
          <w:color w:val="000000"/>
          <w:lang w:val="en-IE"/>
        </w:rPr>
        <w:t>.</w:t>
      </w:r>
      <w:r w:rsidR="00EB20DB" w:rsidRPr="00411456">
        <w:rPr>
          <w:color w:val="000000"/>
          <w:lang w:val="en-IE"/>
        </w:rPr>
        <w:t xml:space="preserve">5 was </w:t>
      </w:r>
      <w:r w:rsidRPr="00411456">
        <w:rPr>
          <w:color w:val="000000"/>
          <w:lang w:val="en-IE"/>
        </w:rPr>
        <w:t>properly complied with</w:t>
      </w:r>
      <w:r w:rsidR="00EB20DB" w:rsidRPr="00411456">
        <w:rPr>
          <w:color w:val="000000"/>
          <w:lang w:val="en-IE"/>
        </w:rPr>
        <w:t xml:space="preserve">. I do not think that a shortfall of evidence on any issue prevents the application being disposed of on </w:t>
      </w:r>
      <w:r w:rsidR="002C3B81">
        <w:rPr>
          <w:color w:val="000000"/>
          <w:lang w:val="en-IE"/>
        </w:rPr>
        <w:t xml:space="preserve">a </w:t>
      </w:r>
      <w:r w:rsidRPr="00411456">
        <w:rPr>
          <w:color w:val="000000"/>
          <w:lang w:val="en-IE"/>
        </w:rPr>
        <w:t>summary basis. Whilst it</w:t>
      </w:r>
      <w:r w:rsidR="000C6BCC" w:rsidRPr="00411456">
        <w:rPr>
          <w:color w:val="000000"/>
          <w:lang w:val="en-IE"/>
        </w:rPr>
        <w:t xml:space="preserve"> is certainly possible that furthe</w:t>
      </w:r>
      <w:r w:rsidR="00EB20DB" w:rsidRPr="00411456">
        <w:rPr>
          <w:color w:val="000000"/>
          <w:lang w:val="en-IE"/>
        </w:rPr>
        <w:t>r evidence might</w:t>
      </w:r>
      <w:r w:rsidR="000C6BCC" w:rsidRPr="00411456">
        <w:rPr>
          <w:color w:val="000000"/>
          <w:lang w:val="en-IE"/>
        </w:rPr>
        <w:t xml:space="preserve"> be led </w:t>
      </w:r>
      <w:r w:rsidR="002C3B81">
        <w:rPr>
          <w:color w:val="000000"/>
          <w:lang w:val="en-IE"/>
        </w:rPr>
        <w:t xml:space="preserve">at a </w:t>
      </w:r>
      <w:r w:rsidR="000C6BCC" w:rsidRPr="00411456">
        <w:rPr>
          <w:color w:val="000000"/>
          <w:lang w:val="en-IE"/>
        </w:rPr>
        <w:t xml:space="preserve">plenary hearing, </w:t>
      </w:r>
      <w:r w:rsidR="00EB20DB" w:rsidRPr="00411456">
        <w:rPr>
          <w:color w:val="000000"/>
          <w:lang w:val="en-IE"/>
        </w:rPr>
        <w:t xml:space="preserve">as neither side sought </w:t>
      </w:r>
      <w:r w:rsidR="000C6BCC" w:rsidRPr="00411456">
        <w:rPr>
          <w:color w:val="000000"/>
          <w:lang w:val="en-IE"/>
        </w:rPr>
        <w:t>a plenary hearing, t</w:t>
      </w:r>
      <w:r w:rsidR="00EB20DB" w:rsidRPr="00411456">
        <w:rPr>
          <w:color w:val="000000"/>
          <w:lang w:val="en-IE"/>
        </w:rPr>
        <w:t xml:space="preserve">he application must stand or fall </w:t>
      </w:r>
      <w:proofErr w:type="gramStart"/>
      <w:r w:rsidR="00EB20DB" w:rsidRPr="00411456">
        <w:rPr>
          <w:color w:val="000000"/>
          <w:lang w:val="en-IE"/>
        </w:rPr>
        <w:t>on the basis of</w:t>
      </w:r>
      <w:proofErr w:type="gramEnd"/>
      <w:r w:rsidR="00EB20DB" w:rsidRPr="00411456">
        <w:rPr>
          <w:color w:val="000000"/>
          <w:lang w:val="en-IE"/>
        </w:rPr>
        <w:t xml:space="preserve"> the evidence that</w:t>
      </w:r>
      <w:r w:rsidR="000C6BCC" w:rsidRPr="00411456">
        <w:rPr>
          <w:color w:val="000000"/>
          <w:lang w:val="en-IE"/>
        </w:rPr>
        <w:t xml:space="preserve"> is before the court.</w:t>
      </w:r>
      <w:r w:rsidR="00EB20DB" w:rsidRPr="00411456">
        <w:rPr>
          <w:color w:val="000000"/>
          <w:lang w:val="en-IE"/>
        </w:rPr>
        <w:t xml:space="preserve"> I anticipate that this will </w:t>
      </w:r>
      <w:r w:rsidR="007B1AEE">
        <w:rPr>
          <w:color w:val="000000"/>
          <w:lang w:val="en-IE"/>
        </w:rPr>
        <w:t xml:space="preserve">impact </w:t>
      </w:r>
      <w:r w:rsidR="000C6BCC" w:rsidRPr="00411456">
        <w:rPr>
          <w:color w:val="000000"/>
          <w:lang w:val="en-IE"/>
        </w:rPr>
        <w:t>more heavily on the applicant</w:t>
      </w:r>
      <w:r w:rsidR="00EB20DB" w:rsidRPr="00411456">
        <w:rPr>
          <w:color w:val="000000"/>
          <w:lang w:val="en-IE"/>
        </w:rPr>
        <w:t xml:space="preserve"> wh</w:t>
      </w:r>
      <w:r w:rsidR="002C3B81">
        <w:rPr>
          <w:color w:val="000000"/>
          <w:lang w:val="en-IE"/>
        </w:rPr>
        <w:t>ich</w:t>
      </w:r>
      <w:r w:rsidR="00EB20DB" w:rsidRPr="00411456">
        <w:rPr>
          <w:color w:val="000000"/>
          <w:lang w:val="en-IE"/>
        </w:rPr>
        <w:t xml:space="preserve"> is the moving party in the </w:t>
      </w:r>
      <w:proofErr w:type="gramStart"/>
      <w:r w:rsidR="000C6BCC" w:rsidRPr="00411456">
        <w:rPr>
          <w:color w:val="000000"/>
          <w:lang w:val="en-IE"/>
        </w:rPr>
        <w:t>application</w:t>
      </w:r>
      <w:proofErr w:type="gramEnd"/>
      <w:r w:rsidR="000C6BCC" w:rsidRPr="00411456">
        <w:rPr>
          <w:color w:val="000000"/>
          <w:lang w:val="en-IE"/>
        </w:rPr>
        <w:t xml:space="preserve"> and </w:t>
      </w:r>
      <w:r w:rsidR="002C3B81">
        <w:rPr>
          <w:color w:val="000000"/>
          <w:lang w:val="en-IE"/>
        </w:rPr>
        <w:t xml:space="preserve">which </w:t>
      </w:r>
      <w:r w:rsidR="000C6BCC" w:rsidRPr="00411456">
        <w:rPr>
          <w:color w:val="000000"/>
          <w:lang w:val="en-IE"/>
        </w:rPr>
        <w:t>bears the onus of proof. Whilst it is undoubtedly</w:t>
      </w:r>
      <w:r w:rsidR="00EB20DB" w:rsidRPr="00411456">
        <w:rPr>
          <w:color w:val="000000"/>
          <w:lang w:val="en-IE"/>
        </w:rPr>
        <w:t xml:space="preserve"> correct to observe that the r</w:t>
      </w:r>
      <w:r w:rsidR="000C6BCC" w:rsidRPr="00411456">
        <w:rPr>
          <w:color w:val="000000"/>
          <w:lang w:val="en-IE"/>
        </w:rPr>
        <w:t>espondents must prove any defence on which they will rely, this will only arise if I a</w:t>
      </w:r>
      <w:r w:rsidR="00EB20DB" w:rsidRPr="00411456">
        <w:rPr>
          <w:color w:val="000000"/>
          <w:lang w:val="en-IE"/>
        </w:rPr>
        <w:t xml:space="preserve">m satisfied on a </w:t>
      </w:r>
      <w:r w:rsidR="00EB20DB" w:rsidRPr="00411456">
        <w:rPr>
          <w:i/>
          <w:color w:val="000000"/>
          <w:lang w:val="en-IE"/>
        </w:rPr>
        <w:t>prima facie</w:t>
      </w:r>
      <w:r w:rsidR="00EB20DB" w:rsidRPr="00411456">
        <w:rPr>
          <w:color w:val="000000"/>
          <w:lang w:val="en-IE"/>
        </w:rPr>
        <w:t xml:space="preserve"> basis that I can make th</w:t>
      </w:r>
      <w:r w:rsidR="000C6BCC" w:rsidRPr="00411456">
        <w:rPr>
          <w:color w:val="000000"/>
          <w:lang w:val="en-IE"/>
        </w:rPr>
        <w:t>e order sought</w:t>
      </w:r>
      <w:r w:rsidR="00EB20DB" w:rsidRPr="00411456">
        <w:rPr>
          <w:color w:val="000000"/>
          <w:lang w:val="en-IE"/>
        </w:rPr>
        <w:t xml:space="preserve"> </w:t>
      </w:r>
      <w:proofErr w:type="gramStart"/>
      <w:r w:rsidR="00EB20DB" w:rsidRPr="00411456">
        <w:rPr>
          <w:color w:val="000000"/>
          <w:lang w:val="en-IE"/>
        </w:rPr>
        <w:t>on the basis of</w:t>
      </w:r>
      <w:proofErr w:type="gramEnd"/>
      <w:r w:rsidR="00EB20DB" w:rsidRPr="00411456">
        <w:rPr>
          <w:color w:val="000000"/>
          <w:lang w:val="en-IE"/>
        </w:rPr>
        <w:t xml:space="preserve"> the evidence befor</w:t>
      </w:r>
      <w:r w:rsidR="000C6BCC" w:rsidRPr="00411456">
        <w:rPr>
          <w:color w:val="000000"/>
          <w:lang w:val="en-IE"/>
        </w:rPr>
        <w:t>e the court.</w:t>
      </w:r>
    </w:p>
    <w:p w14:paraId="1CABABCB" w14:textId="54701720" w:rsidR="00155527" w:rsidRPr="00411456" w:rsidRDefault="000C6BCC"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lastRenderedPageBreak/>
        <w:t>I</w:t>
      </w:r>
      <w:r w:rsidR="00EB20DB" w:rsidRPr="00411456">
        <w:rPr>
          <w:color w:val="000000"/>
          <w:lang w:val="en-IE"/>
        </w:rPr>
        <w:t>n conclusion as regards this aspect of the respondents</w:t>
      </w:r>
      <w:r w:rsidRPr="00411456">
        <w:rPr>
          <w:color w:val="000000"/>
          <w:lang w:val="en-IE"/>
        </w:rPr>
        <w:t>’</w:t>
      </w:r>
      <w:r w:rsidR="00EB20DB" w:rsidRPr="00411456">
        <w:rPr>
          <w:color w:val="000000"/>
          <w:lang w:val="en-IE"/>
        </w:rPr>
        <w:t xml:space="preserve"> preliminary objection, I am of the view that the application can be properly and fairly disposed of on a summary basis. The circumstances of the case are such that the documentation exhibited</w:t>
      </w:r>
      <w:r w:rsidRPr="00411456">
        <w:rPr>
          <w:color w:val="000000"/>
          <w:lang w:val="en-IE"/>
        </w:rPr>
        <w:t xml:space="preserve"> by the respondents is not, and in</w:t>
      </w:r>
      <w:r w:rsidR="00EB20DB" w:rsidRPr="00411456">
        <w:rPr>
          <w:color w:val="000000"/>
          <w:lang w:val="en-IE"/>
        </w:rPr>
        <w:t xml:space="preserve"> </w:t>
      </w:r>
      <w:proofErr w:type="gramStart"/>
      <w:r w:rsidR="00EB20DB" w:rsidRPr="00411456">
        <w:rPr>
          <w:color w:val="000000"/>
          <w:lang w:val="en-IE"/>
        </w:rPr>
        <w:t>reality</w:t>
      </w:r>
      <w:proofErr w:type="gramEnd"/>
      <w:r w:rsidR="00EB20DB" w:rsidRPr="00411456">
        <w:rPr>
          <w:color w:val="000000"/>
          <w:lang w:val="en-IE"/>
        </w:rPr>
        <w:t xml:space="preserve"> could not be</w:t>
      </w:r>
      <w:r w:rsidRPr="00411456">
        <w:rPr>
          <w:color w:val="000000"/>
          <w:lang w:val="en-IE"/>
        </w:rPr>
        <w:t>,</w:t>
      </w:r>
      <w:r w:rsidR="00EB20DB" w:rsidRPr="00411456">
        <w:rPr>
          <w:color w:val="000000"/>
          <w:lang w:val="en-IE"/>
        </w:rPr>
        <w:t xml:space="preserve"> disputed by the applicant. There are certainly significant legal disputes betw</w:t>
      </w:r>
      <w:r w:rsidRPr="00411456">
        <w:rPr>
          <w:color w:val="000000"/>
          <w:lang w:val="en-IE"/>
        </w:rPr>
        <w:t>een the parties but, for the</w:t>
      </w:r>
      <w:r w:rsidR="00EB20DB" w:rsidRPr="00411456">
        <w:rPr>
          <w:color w:val="000000"/>
          <w:lang w:val="en-IE"/>
        </w:rPr>
        <w:t xml:space="preserve"> reasons explained a</w:t>
      </w:r>
      <w:r w:rsidRPr="00411456">
        <w:rPr>
          <w:color w:val="000000"/>
          <w:lang w:val="en-IE"/>
        </w:rPr>
        <w:t>bove, t</w:t>
      </w:r>
      <w:r w:rsidR="00EB20DB" w:rsidRPr="00411456">
        <w:rPr>
          <w:color w:val="000000"/>
          <w:lang w:val="en-IE"/>
        </w:rPr>
        <w:t>here are not</w:t>
      </w:r>
      <w:r w:rsidRPr="00411456">
        <w:rPr>
          <w:color w:val="000000"/>
          <w:lang w:val="en-IE"/>
        </w:rPr>
        <w:t xml:space="preserve"> factual disputes of any moment. </w:t>
      </w:r>
      <w:r w:rsidR="00EB20DB" w:rsidRPr="00411456">
        <w:rPr>
          <w:color w:val="000000"/>
          <w:lang w:val="en-IE"/>
        </w:rPr>
        <w:t>I agree with the respondents</w:t>
      </w:r>
      <w:r w:rsidRPr="00411456">
        <w:rPr>
          <w:color w:val="000000"/>
          <w:lang w:val="en-IE"/>
        </w:rPr>
        <w:t>’</w:t>
      </w:r>
      <w:r w:rsidR="00EB20DB" w:rsidRPr="00411456">
        <w:rPr>
          <w:color w:val="000000"/>
          <w:lang w:val="en-IE"/>
        </w:rPr>
        <w:t xml:space="preserve"> view that the applicant has not put all potentiall</w:t>
      </w:r>
      <w:r w:rsidRPr="00411456">
        <w:rPr>
          <w:color w:val="000000"/>
          <w:lang w:val="en-IE"/>
        </w:rPr>
        <w:t xml:space="preserve">y relevant evidence </w:t>
      </w:r>
      <w:r w:rsidR="00EB20DB" w:rsidRPr="00411456">
        <w:rPr>
          <w:color w:val="000000"/>
          <w:lang w:val="en-IE"/>
        </w:rPr>
        <w:t>withi</w:t>
      </w:r>
      <w:r w:rsidRPr="00411456">
        <w:rPr>
          <w:color w:val="000000"/>
          <w:lang w:val="en-IE"/>
        </w:rPr>
        <w:t xml:space="preserve">n its procurement </w:t>
      </w:r>
      <w:r w:rsidR="00EB20DB" w:rsidRPr="00411456">
        <w:rPr>
          <w:color w:val="000000"/>
          <w:lang w:val="en-IE"/>
        </w:rPr>
        <w:t>before the court. This may have a bearing on the applicant</w:t>
      </w:r>
      <w:r w:rsidRPr="00411456">
        <w:rPr>
          <w:color w:val="000000"/>
          <w:lang w:val="en-IE"/>
        </w:rPr>
        <w:t>’</w:t>
      </w:r>
      <w:r w:rsidR="00EB20DB" w:rsidRPr="00411456">
        <w:rPr>
          <w:color w:val="000000"/>
          <w:lang w:val="en-IE"/>
        </w:rPr>
        <w:t>s ability to discharge the onus upon it to satisfy the court of t</w:t>
      </w:r>
      <w:r w:rsidRPr="00411456">
        <w:rPr>
          <w:color w:val="000000"/>
          <w:lang w:val="en-IE"/>
        </w:rPr>
        <w:t>he matters required under s.</w:t>
      </w:r>
      <w:r w:rsidR="00EB20DB" w:rsidRPr="00411456">
        <w:rPr>
          <w:color w:val="000000"/>
          <w:lang w:val="en-IE"/>
        </w:rPr>
        <w:t xml:space="preserve"> 173</w:t>
      </w:r>
      <w:r w:rsidRPr="00411456">
        <w:rPr>
          <w:color w:val="000000"/>
          <w:lang w:val="en-IE"/>
        </w:rPr>
        <w:t xml:space="preserve"> (as indeed it did in </w:t>
      </w:r>
      <w:r w:rsidRPr="00411456">
        <w:rPr>
          <w:i/>
          <w:color w:val="000000"/>
          <w:lang w:val="en-IE"/>
        </w:rPr>
        <w:t>Re Park Magic Mobile Solutions Ltd</w:t>
      </w:r>
      <w:r w:rsidR="004A2355">
        <w:rPr>
          <w:i/>
          <w:color w:val="000000"/>
          <w:lang w:val="en-IE"/>
        </w:rPr>
        <w:t>.</w:t>
      </w:r>
      <w:proofErr w:type="gramStart"/>
      <w:r w:rsidRPr="00411456">
        <w:rPr>
          <w:color w:val="000000"/>
          <w:lang w:val="en-IE"/>
        </w:rPr>
        <w:t>)</w:t>
      </w:r>
      <w:proofErr w:type="gramEnd"/>
      <w:r w:rsidRPr="00411456">
        <w:rPr>
          <w:color w:val="000000"/>
          <w:lang w:val="en-IE"/>
        </w:rPr>
        <w:t xml:space="preserve"> b</w:t>
      </w:r>
      <w:r w:rsidR="00EB20DB" w:rsidRPr="00411456">
        <w:rPr>
          <w:color w:val="000000"/>
          <w:lang w:val="en-IE"/>
        </w:rPr>
        <w:t>ut this is not a reason for dism</w:t>
      </w:r>
      <w:r w:rsidR="0043457C" w:rsidRPr="00411456">
        <w:rPr>
          <w:color w:val="000000"/>
          <w:lang w:val="en-IE"/>
        </w:rPr>
        <w:t xml:space="preserve">issing the application </w:t>
      </w:r>
      <w:r w:rsidR="0043457C" w:rsidRPr="00411456">
        <w:rPr>
          <w:i/>
          <w:color w:val="000000"/>
          <w:lang w:val="en-IE"/>
        </w:rPr>
        <w:t xml:space="preserve">in </w:t>
      </w:r>
      <w:proofErr w:type="spellStart"/>
      <w:r w:rsidR="0043457C" w:rsidRPr="00411456">
        <w:rPr>
          <w:i/>
          <w:color w:val="000000"/>
          <w:lang w:val="en-IE"/>
        </w:rPr>
        <w:t>limine</w:t>
      </w:r>
      <w:proofErr w:type="spellEnd"/>
      <w:r w:rsidR="00155527" w:rsidRPr="00411456">
        <w:rPr>
          <w:color w:val="000000"/>
          <w:lang w:val="en-IE"/>
        </w:rPr>
        <w:t>.</w:t>
      </w:r>
      <w:r w:rsidR="007B1AEE">
        <w:rPr>
          <w:color w:val="000000"/>
          <w:lang w:val="en-IE"/>
        </w:rPr>
        <w:t xml:space="preserve"> Equally, although I have not reached a concluded view as to whether the respondents have failed to put the necessary evidence before the court to establish their defence, any failure to do so on their part will go to the proof of that defence rather than the court’s jurisdiction.</w:t>
      </w:r>
    </w:p>
    <w:p w14:paraId="288B4310" w14:textId="77777777" w:rsidR="002C3B81" w:rsidRDefault="002C3B81" w:rsidP="004A0604">
      <w:pPr>
        <w:pStyle w:val="NormalWeb"/>
        <w:spacing w:before="0" w:beforeAutospacing="0" w:after="0" w:afterAutospacing="0" w:line="480" w:lineRule="auto"/>
        <w:jc w:val="both"/>
        <w:rPr>
          <w:b/>
          <w:color w:val="000000"/>
          <w:u w:val="single"/>
          <w:lang w:val="en-IE"/>
        </w:rPr>
      </w:pPr>
    </w:p>
    <w:p w14:paraId="00EA589A" w14:textId="1DBBA4D0" w:rsidR="00155527" w:rsidRPr="00411456" w:rsidRDefault="00155527" w:rsidP="004A0604">
      <w:pPr>
        <w:pStyle w:val="NormalWeb"/>
        <w:spacing w:before="0" w:beforeAutospacing="0" w:after="0" w:afterAutospacing="0" w:line="480" w:lineRule="auto"/>
        <w:jc w:val="both"/>
        <w:rPr>
          <w:b/>
          <w:color w:val="000000"/>
          <w:u w:val="single"/>
          <w:lang w:val="en-IE"/>
        </w:rPr>
      </w:pPr>
      <w:r w:rsidRPr="00411456">
        <w:rPr>
          <w:b/>
          <w:color w:val="000000"/>
          <w:u w:val="single"/>
          <w:lang w:val="en-IE"/>
        </w:rPr>
        <w:t>P</w:t>
      </w:r>
      <w:r w:rsidR="00EB20DB" w:rsidRPr="00411456">
        <w:rPr>
          <w:b/>
          <w:color w:val="000000"/>
          <w:u w:val="single"/>
          <w:lang w:val="en-IE"/>
        </w:rPr>
        <w:t xml:space="preserve">roper </w:t>
      </w:r>
      <w:r w:rsidR="00A45201">
        <w:rPr>
          <w:b/>
          <w:color w:val="000000"/>
          <w:u w:val="single"/>
          <w:lang w:val="en-IE"/>
        </w:rPr>
        <w:t>P</w:t>
      </w:r>
      <w:r w:rsidR="00EB20DB" w:rsidRPr="00411456">
        <w:rPr>
          <w:b/>
          <w:color w:val="000000"/>
          <w:u w:val="single"/>
          <w:lang w:val="en-IE"/>
        </w:rPr>
        <w:t>ar</w:t>
      </w:r>
      <w:r w:rsidRPr="00411456">
        <w:rPr>
          <w:b/>
          <w:color w:val="000000"/>
          <w:u w:val="single"/>
          <w:lang w:val="en-IE"/>
        </w:rPr>
        <w:t>ties</w:t>
      </w:r>
      <w:r w:rsidR="002C3B81">
        <w:rPr>
          <w:b/>
          <w:color w:val="000000"/>
          <w:u w:val="single"/>
          <w:lang w:val="en-IE"/>
        </w:rPr>
        <w:t xml:space="preserve"> to the Application</w:t>
      </w:r>
    </w:p>
    <w:p w14:paraId="3955B4DB" w14:textId="58EA4C35" w:rsidR="00155527" w:rsidRPr="00411456" w:rsidRDefault="00155527"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The second e</w:t>
      </w:r>
      <w:r w:rsidR="00EB20DB" w:rsidRPr="00411456">
        <w:rPr>
          <w:color w:val="000000"/>
          <w:lang w:val="en-IE"/>
        </w:rPr>
        <w:t>lement of the respondents</w:t>
      </w:r>
      <w:r w:rsidRPr="00411456">
        <w:rPr>
          <w:color w:val="000000"/>
          <w:lang w:val="en-IE"/>
        </w:rPr>
        <w:t>’</w:t>
      </w:r>
      <w:r w:rsidR="00EB20DB" w:rsidRPr="00411456">
        <w:rPr>
          <w:color w:val="000000"/>
          <w:lang w:val="en-IE"/>
        </w:rPr>
        <w:t xml:space="preserve"> pr</w:t>
      </w:r>
      <w:r w:rsidRPr="00411456">
        <w:rPr>
          <w:color w:val="000000"/>
          <w:lang w:val="en-IE"/>
        </w:rPr>
        <w:t>eliminary objection concerns whether</w:t>
      </w:r>
      <w:r w:rsidR="00EB20DB" w:rsidRPr="00411456">
        <w:rPr>
          <w:color w:val="000000"/>
          <w:lang w:val="en-IE"/>
        </w:rPr>
        <w:t xml:space="preserve"> the parties before the court are proper parties to the application</w:t>
      </w:r>
      <w:r w:rsidRPr="00411456">
        <w:rPr>
          <w:color w:val="000000"/>
          <w:lang w:val="en-IE"/>
        </w:rPr>
        <w:t>. The respondents contend that</w:t>
      </w:r>
      <w:r w:rsidR="00EB20DB" w:rsidRPr="00411456">
        <w:rPr>
          <w:color w:val="000000"/>
          <w:lang w:val="en-IE"/>
        </w:rPr>
        <w:t xml:space="preserve"> Amber is not a proper party as</w:t>
      </w:r>
      <w:r w:rsidRPr="00411456">
        <w:rPr>
          <w:color w:val="000000"/>
          <w:lang w:val="en-IE"/>
        </w:rPr>
        <w:t>,</w:t>
      </w:r>
      <w:r w:rsidR="00EB20DB" w:rsidRPr="00411456">
        <w:rPr>
          <w:color w:val="000000"/>
          <w:lang w:val="en-IE"/>
        </w:rPr>
        <w:t xml:space="preserve"> at the t</w:t>
      </w:r>
      <w:r w:rsidRPr="00411456">
        <w:rPr>
          <w:color w:val="000000"/>
          <w:lang w:val="en-IE"/>
        </w:rPr>
        <w:t>ime the proceedings were issued, i</w:t>
      </w:r>
      <w:r w:rsidR="00EB20DB" w:rsidRPr="00411456">
        <w:rPr>
          <w:color w:val="000000"/>
          <w:lang w:val="en-IE"/>
        </w:rPr>
        <w:t>t no longer held any</w:t>
      </w:r>
      <w:r w:rsidRPr="00411456">
        <w:rPr>
          <w:color w:val="000000"/>
          <w:lang w:val="en-IE"/>
        </w:rPr>
        <w:t xml:space="preserve"> shares in the company. It seems to be accepted that Otto is a proper party, having acquired </w:t>
      </w:r>
      <w:proofErr w:type="gramStart"/>
      <w:r w:rsidRPr="00411456">
        <w:rPr>
          <w:color w:val="000000"/>
          <w:lang w:val="en-IE"/>
        </w:rPr>
        <w:t>Amber’</w:t>
      </w:r>
      <w:r w:rsidR="00EB20DB" w:rsidRPr="00411456">
        <w:rPr>
          <w:color w:val="000000"/>
          <w:lang w:val="en-IE"/>
        </w:rPr>
        <w:t>s</w:t>
      </w:r>
      <w:proofErr w:type="gramEnd"/>
      <w:r w:rsidR="00EB20DB" w:rsidRPr="00411456">
        <w:rPr>
          <w:color w:val="000000"/>
          <w:lang w:val="en-IE"/>
        </w:rPr>
        <w:t xml:space="preserve"> shareh</w:t>
      </w:r>
      <w:r w:rsidRPr="00411456">
        <w:rPr>
          <w:color w:val="000000"/>
          <w:lang w:val="en-IE"/>
        </w:rPr>
        <w:t xml:space="preserve">olding before the proceedings were issued. I </w:t>
      </w:r>
      <w:r w:rsidR="00EB20DB" w:rsidRPr="00411456">
        <w:rPr>
          <w:color w:val="000000"/>
          <w:lang w:val="en-IE"/>
        </w:rPr>
        <w:t>no</w:t>
      </w:r>
      <w:r w:rsidRPr="00411456">
        <w:rPr>
          <w:color w:val="000000"/>
          <w:lang w:val="en-IE"/>
        </w:rPr>
        <w:t>te</w:t>
      </w:r>
      <w:r w:rsidR="00EB20DB" w:rsidRPr="00411456">
        <w:rPr>
          <w:color w:val="000000"/>
          <w:lang w:val="en-IE"/>
        </w:rPr>
        <w:t xml:space="preserve"> that Amber and Otto are rela</w:t>
      </w:r>
      <w:r w:rsidRPr="00411456">
        <w:rPr>
          <w:color w:val="000000"/>
          <w:lang w:val="en-IE"/>
        </w:rPr>
        <w:t>ted companies and the deponent</w:t>
      </w:r>
      <w:r w:rsidR="00EB20DB" w:rsidRPr="00411456">
        <w:rPr>
          <w:color w:val="000000"/>
          <w:lang w:val="en-IE"/>
        </w:rPr>
        <w:t xml:space="preserve"> on b</w:t>
      </w:r>
      <w:r w:rsidRPr="00411456">
        <w:rPr>
          <w:color w:val="000000"/>
          <w:lang w:val="en-IE"/>
        </w:rPr>
        <w:t>ehalf of the respondents,</w:t>
      </w:r>
      <w:r w:rsidR="00EB20DB" w:rsidRPr="00411456">
        <w:rPr>
          <w:color w:val="000000"/>
          <w:lang w:val="en-IE"/>
        </w:rPr>
        <w:t xml:space="preserve"> Mr. Fitzgerald</w:t>
      </w:r>
      <w:r w:rsidR="004A2355">
        <w:rPr>
          <w:color w:val="000000"/>
          <w:lang w:val="en-IE"/>
        </w:rPr>
        <w:t>,</w:t>
      </w:r>
      <w:r w:rsidR="00EB20DB" w:rsidRPr="00411456">
        <w:rPr>
          <w:color w:val="000000"/>
          <w:lang w:val="en-IE"/>
        </w:rPr>
        <w:t xml:space="preserve"> is </w:t>
      </w:r>
      <w:r w:rsidRPr="00411456">
        <w:rPr>
          <w:color w:val="000000"/>
          <w:lang w:val="en-IE"/>
        </w:rPr>
        <w:t>a director of both. Further,</w:t>
      </w:r>
      <w:r w:rsidR="00EB20DB" w:rsidRPr="00411456">
        <w:rPr>
          <w:color w:val="000000"/>
          <w:lang w:val="en-IE"/>
        </w:rPr>
        <w:t xml:space="preserve"> Otto is a company which appears to have been incorporated </w:t>
      </w:r>
      <w:r w:rsidRPr="00411456">
        <w:rPr>
          <w:color w:val="000000"/>
          <w:lang w:val="en-IE"/>
        </w:rPr>
        <w:t>(</w:t>
      </w:r>
      <w:r w:rsidR="00EB20DB" w:rsidRPr="00411456">
        <w:rPr>
          <w:color w:val="000000"/>
          <w:lang w:val="en-IE"/>
        </w:rPr>
        <w:t>or perhaps acquired</w:t>
      </w:r>
      <w:r w:rsidRPr="00411456">
        <w:rPr>
          <w:color w:val="000000"/>
          <w:lang w:val="en-IE"/>
        </w:rPr>
        <w:t>)</w:t>
      </w:r>
      <w:r w:rsidR="00EB20DB" w:rsidRPr="00411456">
        <w:rPr>
          <w:color w:val="000000"/>
          <w:lang w:val="en-IE"/>
        </w:rPr>
        <w:t xml:space="preserve"> for </w:t>
      </w:r>
      <w:r w:rsidRPr="00411456">
        <w:rPr>
          <w:color w:val="000000"/>
          <w:lang w:val="en-IE"/>
        </w:rPr>
        <w:t xml:space="preserve">the </w:t>
      </w:r>
      <w:r w:rsidR="007B1AEE">
        <w:rPr>
          <w:color w:val="000000"/>
          <w:lang w:val="en-IE"/>
        </w:rPr>
        <w:t xml:space="preserve">sole </w:t>
      </w:r>
      <w:r w:rsidRPr="00411456">
        <w:rPr>
          <w:color w:val="000000"/>
          <w:lang w:val="en-IE"/>
        </w:rPr>
        <w:t xml:space="preserve">purpose of acquiring </w:t>
      </w:r>
      <w:proofErr w:type="gramStart"/>
      <w:r w:rsidRPr="00411456">
        <w:rPr>
          <w:color w:val="000000"/>
          <w:lang w:val="en-IE"/>
        </w:rPr>
        <w:t>Amber’</w:t>
      </w:r>
      <w:r w:rsidR="00EB20DB" w:rsidRPr="00411456">
        <w:rPr>
          <w:color w:val="000000"/>
          <w:lang w:val="en-IE"/>
        </w:rPr>
        <w:t>s</w:t>
      </w:r>
      <w:proofErr w:type="gramEnd"/>
      <w:r w:rsidR="00EB20DB" w:rsidRPr="00411456">
        <w:rPr>
          <w:color w:val="000000"/>
          <w:lang w:val="en-IE"/>
        </w:rPr>
        <w:t xml:space="preserve"> shareho</w:t>
      </w:r>
      <w:r w:rsidRPr="00411456">
        <w:rPr>
          <w:color w:val="000000"/>
          <w:lang w:val="en-IE"/>
        </w:rPr>
        <w:t>lding in the company. In any event, in c</w:t>
      </w:r>
      <w:r w:rsidR="00EB20DB" w:rsidRPr="00411456">
        <w:rPr>
          <w:color w:val="000000"/>
          <w:lang w:val="en-IE"/>
        </w:rPr>
        <w:t>ircumstances where there appears to be a strong community of interest between Amb</w:t>
      </w:r>
      <w:r w:rsidRPr="00411456">
        <w:rPr>
          <w:color w:val="000000"/>
          <w:lang w:val="en-IE"/>
        </w:rPr>
        <w:t>er and Otto and both companies we</w:t>
      </w:r>
      <w:r w:rsidR="00EB20DB" w:rsidRPr="00411456">
        <w:rPr>
          <w:color w:val="000000"/>
          <w:lang w:val="en-IE"/>
        </w:rPr>
        <w:t>re rep</w:t>
      </w:r>
      <w:r w:rsidRPr="00411456">
        <w:rPr>
          <w:color w:val="000000"/>
          <w:lang w:val="en-IE"/>
        </w:rPr>
        <w:t>resented by the same legal team,</w:t>
      </w:r>
      <w:r w:rsidR="00EB20DB" w:rsidRPr="00411456">
        <w:rPr>
          <w:color w:val="000000"/>
          <w:lang w:val="en-IE"/>
        </w:rPr>
        <w:t xml:space="preserve"> I do not</w:t>
      </w:r>
      <w:r w:rsidRPr="00411456">
        <w:rPr>
          <w:color w:val="000000"/>
          <w:lang w:val="en-IE"/>
        </w:rPr>
        <w:t xml:space="preserve"> consider that the j</w:t>
      </w:r>
      <w:r w:rsidR="00EB20DB" w:rsidRPr="00411456">
        <w:rPr>
          <w:color w:val="000000"/>
          <w:lang w:val="en-IE"/>
        </w:rPr>
        <w:t>oin</w:t>
      </w:r>
      <w:r w:rsidRPr="00411456">
        <w:rPr>
          <w:color w:val="000000"/>
          <w:lang w:val="en-IE"/>
        </w:rPr>
        <w:t xml:space="preserve">der of Amber </w:t>
      </w:r>
      <w:r w:rsidRPr="00411456">
        <w:rPr>
          <w:color w:val="000000"/>
          <w:lang w:val="en-IE"/>
        </w:rPr>
        <w:lastRenderedPageBreak/>
        <w:t xml:space="preserve">in addition to Otto is </w:t>
      </w:r>
      <w:r w:rsidR="004A2355">
        <w:rPr>
          <w:color w:val="000000"/>
          <w:lang w:val="en-IE"/>
        </w:rPr>
        <w:t xml:space="preserve">a </w:t>
      </w:r>
      <w:r w:rsidRPr="00411456">
        <w:rPr>
          <w:color w:val="000000"/>
          <w:lang w:val="en-IE"/>
        </w:rPr>
        <w:t>legal error</w:t>
      </w:r>
      <w:r w:rsidR="00EB20DB" w:rsidRPr="00411456">
        <w:rPr>
          <w:color w:val="000000"/>
          <w:lang w:val="en-IE"/>
        </w:rPr>
        <w:t xml:space="preserve"> </w:t>
      </w:r>
      <w:r w:rsidRPr="00411456">
        <w:rPr>
          <w:color w:val="000000"/>
          <w:lang w:val="en-IE"/>
        </w:rPr>
        <w:t>or a matter which should have</w:t>
      </w:r>
      <w:r w:rsidR="00EB20DB" w:rsidRPr="00411456">
        <w:rPr>
          <w:color w:val="000000"/>
          <w:lang w:val="en-IE"/>
        </w:rPr>
        <w:t xml:space="preserve"> any bearing on the outcome of thi</w:t>
      </w:r>
      <w:r w:rsidRPr="00411456">
        <w:rPr>
          <w:color w:val="000000"/>
          <w:lang w:val="en-IE"/>
        </w:rPr>
        <w:t xml:space="preserve">s application. </w:t>
      </w:r>
      <w:r w:rsidR="007B1AEE">
        <w:rPr>
          <w:color w:val="000000"/>
          <w:lang w:val="en-IE"/>
        </w:rPr>
        <w:t>I</w:t>
      </w:r>
      <w:r w:rsidRPr="00411456">
        <w:rPr>
          <w:color w:val="000000"/>
          <w:lang w:val="en-IE"/>
        </w:rPr>
        <w:t>n circumstances where the same lawyers act for</w:t>
      </w:r>
      <w:r w:rsidR="00EB20DB" w:rsidRPr="00411456">
        <w:rPr>
          <w:color w:val="000000"/>
          <w:lang w:val="en-IE"/>
        </w:rPr>
        <w:t xml:space="preserve"> both respondents</w:t>
      </w:r>
      <w:r w:rsidRPr="00411456">
        <w:rPr>
          <w:color w:val="000000"/>
          <w:lang w:val="en-IE"/>
        </w:rPr>
        <w:t>,</w:t>
      </w:r>
      <w:r w:rsidR="00EB20DB" w:rsidRPr="00411456">
        <w:rPr>
          <w:color w:val="000000"/>
          <w:lang w:val="en-IE"/>
        </w:rPr>
        <w:t xml:space="preserve"> no additional costs have been i</w:t>
      </w:r>
      <w:r w:rsidRPr="00411456">
        <w:rPr>
          <w:color w:val="000000"/>
          <w:lang w:val="en-IE"/>
        </w:rPr>
        <w:t>ncurred by reason of the joinder of Amber as well as Otto. In any event, the applicants are impugning the purported transfer by Amber to Otto of the disputed shares a</w:t>
      </w:r>
      <w:r w:rsidR="00EB20DB" w:rsidRPr="00411456">
        <w:rPr>
          <w:color w:val="000000"/>
          <w:lang w:val="en-IE"/>
        </w:rPr>
        <w:t>longside the shareholding that Amber indisputably held in the company</w:t>
      </w:r>
      <w:r w:rsidRPr="00411456">
        <w:rPr>
          <w:color w:val="000000"/>
          <w:lang w:val="en-IE"/>
        </w:rPr>
        <w:t>.</w:t>
      </w:r>
      <w:r w:rsidR="004A2355">
        <w:rPr>
          <w:color w:val="000000"/>
          <w:lang w:val="en-IE"/>
        </w:rPr>
        <w:t xml:space="preserve">  In my view</w:t>
      </w:r>
      <w:r w:rsidR="007B1AEE">
        <w:rPr>
          <w:color w:val="000000"/>
          <w:lang w:val="en-IE"/>
        </w:rPr>
        <w:t>,</w:t>
      </w:r>
      <w:r w:rsidR="004A2355">
        <w:rPr>
          <w:color w:val="000000"/>
          <w:lang w:val="en-IE"/>
        </w:rPr>
        <w:t xml:space="preserve"> at very least Amber is a proper respondent to that element of the case. </w:t>
      </w:r>
    </w:p>
    <w:p w14:paraId="28081625" w14:textId="2F7A727C" w:rsidR="00F933F0"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The second aspect of this complaint is perhaps more fundamental</w:t>
      </w:r>
      <w:r w:rsidR="00155527" w:rsidRPr="00411456">
        <w:rPr>
          <w:color w:val="000000"/>
          <w:lang w:val="en-IE"/>
        </w:rPr>
        <w:t xml:space="preserve"> and relates to the non-j</w:t>
      </w:r>
      <w:r w:rsidRPr="00411456">
        <w:rPr>
          <w:color w:val="000000"/>
          <w:lang w:val="en-IE"/>
        </w:rPr>
        <w:t xml:space="preserve">oinder of the company itself. The respondents rely on the views of </w:t>
      </w:r>
      <w:proofErr w:type="spellStart"/>
      <w:r w:rsidRPr="00411456">
        <w:rPr>
          <w:color w:val="000000"/>
          <w:lang w:val="en-IE"/>
        </w:rPr>
        <w:t>Dr.</w:t>
      </w:r>
      <w:proofErr w:type="spellEnd"/>
      <w:r w:rsidRPr="00411456">
        <w:rPr>
          <w:color w:val="000000"/>
          <w:lang w:val="en-IE"/>
        </w:rPr>
        <w:t xml:space="preserve"> C</w:t>
      </w:r>
      <w:r w:rsidR="001F196D" w:rsidRPr="00411456">
        <w:rPr>
          <w:color w:val="000000"/>
          <w:lang w:val="en-IE"/>
        </w:rPr>
        <w:t xml:space="preserve">ourtney in his text, </w:t>
      </w:r>
      <w:r w:rsidR="001F196D" w:rsidRPr="00411456">
        <w:rPr>
          <w:i/>
          <w:color w:val="000000"/>
          <w:lang w:val="en-IE"/>
        </w:rPr>
        <w:t xml:space="preserve">The Law of Companies </w:t>
      </w:r>
      <w:r w:rsidR="001F196D" w:rsidRPr="00411456">
        <w:rPr>
          <w:color w:val="000000"/>
          <w:lang w:val="en-IE"/>
        </w:rPr>
        <w:t>(4</w:t>
      </w:r>
      <w:r w:rsidR="001F196D" w:rsidRPr="00411456">
        <w:rPr>
          <w:color w:val="000000"/>
          <w:vertAlign w:val="superscript"/>
          <w:lang w:val="en-IE"/>
        </w:rPr>
        <w:t>th</w:t>
      </w:r>
      <w:r w:rsidR="001F196D" w:rsidRPr="00411456">
        <w:rPr>
          <w:color w:val="000000"/>
          <w:lang w:val="en-IE"/>
        </w:rPr>
        <w:t xml:space="preserve"> Ed.)</w:t>
      </w:r>
      <w:r w:rsidR="00585155" w:rsidRPr="00411456">
        <w:rPr>
          <w:color w:val="000000"/>
          <w:lang w:val="en-IE"/>
        </w:rPr>
        <w:t xml:space="preserve"> at para.</w:t>
      </w:r>
      <w:r w:rsidR="00F933F0" w:rsidRPr="00411456">
        <w:rPr>
          <w:color w:val="000000"/>
          <w:lang w:val="en-IE"/>
        </w:rPr>
        <w:t xml:space="preserve"> 9.07</w:t>
      </w:r>
      <w:r w:rsidR="00A45201">
        <w:rPr>
          <w:color w:val="000000"/>
          <w:lang w:val="en-IE"/>
        </w:rPr>
        <w:t>2</w:t>
      </w:r>
      <w:r w:rsidR="00F933F0" w:rsidRPr="00411456">
        <w:rPr>
          <w:color w:val="000000"/>
          <w:lang w:val="en-IE"/>
        </w:rPr>
        <w:t xml:space="preserve">, that it is </w:t>
      </w:r>
      <w:r w:rsidR="00F933F0" w:rsidRPr="00411456">
        <w:rPr>
          <w:i/>
          <w:color w:val="000000"/>
          <w:lang w:val="en-IE"/>
        </w:rPr>
        <w:t>“</w:t>
      </w:r>
      <w:r w:rsidRPr="00411456">
        <w:rPr>
          <w:i/>
          <w:color w:val="000000"/>
          <w:lang w:val="en-IE"/>
        </w:rPr>
        <w:t>i</w:t>
      </w:r>
      <w:r w:rsidR="00F933F0" w:rsidRPr="00411456">
        <w:rPr>
          <w:i/>
          <w:color w:val="000000"/>
          <w:lang w:val="en-IE"/>
        </w:rPr>
        <w:t>mperative that the company, whose register</w:t>
      </w:r>
      <w:r w:rsidRPr="00411456">
        <w:rPr>
          <w:i/>
          <w:color w:val="000000"/>
          <w:lang w:val="en-IE"/>
        </w:rPr>
        <w:t xml:space="preserve"> </w:t>
      </w:r>
      <w:r w:rsidR="00F933F0" w:rsidRPr="00411456">
        <w:rPr>
          <w:i/>
          <w:color w:val="000000"/>
          <w:lang w:val="en-IE"/>
        </w:rPr>
        <w:t>it is sought to have rectified, be joined as a party”</w:t>
      </w:r>
      <w:r w:rsidR="00F933F0" w:rsidRPr="00411456">
        <w:rPr>
          <w:color w:val="000000"/>
          <w:lang w:val="en-IE"/>
        </w:rPr>
        <w:t>. The text cites a</w:t>
      </w:r>
      <w:r w:rsidRPr="00411456">
        <w:rPr>
          <w:color w:val="000000"/>
          <w:lang w:val="en-IE"/>
        </w:rPr>
        <w:t xml:space="preserve"> decision of the c</w:t>
      </w:r>
      <w:r w:rsidR="00F933F0" w:rsidRPr="00411456">
        <w:rPr>
          <w:color w:val="000000"/>
          <w:lang w:val="en-IE"/>
        </w:rPr>
        <w:t xml:space="preserve">ourts in New South Wales in </w:t>
      </w:r>
      <w:r w:rsidR="00F933F0" w:rsidRPr="00411456">
        <w:rPr>
          <w:i/>
          <w:color w:val="000000"/>
          <w:lang w:val="en-IE"/>
        </w:rPr>
        <w:t>Auto D</w:t>
      </w:r>
      <w:r w:rsidRPr="00411456">
        <w:rPr>
          <w:i/>
          <w:color w:val="000000"/>
          <w:lang w:val="en-IE"/>
        </w:rPr>
        <w:t xml:space="preserve">ata </w:t>
      </w:r>
      <w:r w:rsidR="00F933F0" w:rsidRPr="00411456">
        <w:rPr>
          <w:i/>
          <w:color w:val="000000"/>
          <w:lang w:val="en-IE"/>
        </w:rPr>
        <w:t xml:space="preserve">v. </w:t>
      </w:r>
      <w:r w:rsidRPr="00411456">
        <w:rPr>
          <w:i/>
          <w:color w:val="000000"/>
          <w:lang w:val="en-IE"/>
        </w:rPr>
        <w:t>Gibbons</w:t>
      </w:r>
      <w:r w:rsidRPr="00411456">
        <w:rPr>
          <w:color w:val="000000"/>
          <w:lang w:val="en-IE"/>
        </w:rPr>
        <w:t xml:space="preserve"> </w:t>
      </w:r>
      <w:r w:rsidR="00F933F0" w:rsidRPr="00411456">
        <w:rPr>
          <w:color w:val="000000"/>
          <w:lang w:val="en-IE"/>
        </w:rPr>
        <w:t>(</w:t>
      </w:r>
      <w:r w:rsidRPr="00411456">
        <w:rPr>
          <w:color w:val="000000"/>
          <w:lang w:val="en-IE"/>
        </w:rPr>
        <w:t>13</w:t>
      </w:r>
      <w:r w:rsidR="00F933F0" w:rsidRPr="00411456">
        <w:rPr>
          <w:color w:val="000000"/>
          <w:vertAlign w:val="superscript"/>
          <w:lang w:val="en-IE"/>
        </w:rPr>
        <w:t>th</w:t>
      </w:r>
      <w:r w:rsidR="00F933F0" w:rsidRPr="00411456">
        <w:rPr>
          <w:color w:val="000000"/>
          <w:lang w:val="en-IE"/>
        </w:rPr>
        <w:t xml:space="preserve"> July 2000) SC </w:t>
      </w:r>
      <w:r w:rsidRPr="00411456">
        <w:rPr>
          <w:color w:val="000000"/>
          <w:lang w:val="en-IE"/>
        </w:rPr>
        <w:t>which was not</w:t>
      </w:r>
      <w:r w:rsidR="00F933F0" w:rsidRPr="00411456">
        <w:rPr>
          <w:color w:val="000000"/>
          <w:lang w:val="en-IE"/>
        </w:rPr>
        <w:t xml:space="preserve"> open</w:t>
      </w:r>
      <w:r w:rsidR="004A2355">
        <w:rPr>
          <w:color w:val="000000"/>
          <w:lang w:val="en-IE"/>
        </w:rPr>
        <w:t>ed</w:t>
      </w:r>
      <w:r w:rsidR="00F933F0" w:rsidRPr="00411456">
        <w:rPr>
          <w:color w:val="000000"/>
          <w:lang w:val="en-IE"/>
        </w:rPr>
        <w:t xml:space="preserve"> to the court. The respondents</w:t>
      </w:r>
      <w:r w:rsidRPr="00411456">
        <w:rPr>
          <w:color w:val="000000"/>
          <w:lang w:val="en-IE"/>
        </w:rPr>
        <w:t xml:space="preserve"> al</w:t>
      </w:r>
      <w:r w:rsidR="00F933F0" w:rsidRPr="00411456">
        <w:rPr>
          <w:color w:val="000000"/>
          <w:lang w:val="en-IE"/>
        </w:rPr>
        <w:t xml:space="preserve">so relied on the statement in </w:t>
      </w:r>
      <w:r w:rsidR="00F933F0" w:rsidRPr="00411456">
        <w:rPr>
          <w:i/>
          <w:color w:val="000000"/>
          <w:lang w:val="en-IE"/>
        </w:rPr>
        <w:t>Halsbury</w:t>
      </w:r>
      <w:r w:rsidR="00F933F0" w:rsidRPr="00411456">
        <w:rPr>
          <w:color w:val="000000"/>
          <w:lang w:val="en-IE"/>
        </w:rPr>
        <w:t xml:space="preserve"> (V</w:t>
      </w:r>
      <w:r w:rsidRPr="00411456">
        <w:rPr>
          <w:color w:val="000000"/>
          <w:lang w:val="en-IE"/>
        </w:rPr>
        <w:t>olume 14</w:t>
      </w:r>
      <w:r w:rsidR="00F933F0" w:rsidRPr="00411456">
        <w:rPr>
          <w:color w:val="000000"/>
          <w:lang w:val="en-IE"/>
        </w:rPr>
        <w:t>, para. 354)</w:t>
      </w:r>
      <w:r w:rsidRPr="00411456">
        <w:rPr>
          <w:color w:val="000000"/>
          <w:lang w:val="en-IE"/>
        </w:rPr>
        <w:t xml:space="preserve"> t</w:t>
      </w:r>
      <w:r w:rsidR="00F933F0" w:rsidRPr="00411456">
        <w:rPr>
          <w:color w:val="000000"/>
          <w:lang w:val="en-IE"/>
        </w:rPr>
        <w:t>hat</w:t>
      </w:r>
      <w:r w:rsidRPr="00411456">
        <w:rPr>
          <w:color w:val="000000"/>
          <w:lang w:val="en-IE"/>
        </w:rPr>
        <w:t xml:space="preserve"> </w:t>
      </w:r>
      <w:r w:rsidR="00F933F0" w:rsidRPr="00411456">
        <w:rPr>
          <w:i/>
          <w:color w:val="000000"/>
          <w:lang w:val="en-IE"/>
        </w:rPr>
        <w:t>“</w:t>
      </w:r>
      <w:r w:rsidRPr="00411456">
        <w:rPr>
          <w:i/>
          <w:color w:val="000000"/>
          <w:lang w:val="en-IE"/>
        </w:rPr>
        <w:t>the proper respondents to an applic</w:t>
      </w:r>
      <w:r w:rsidR="00F933F0" w:rsidRPr="00411456">
        <w:rPr>
          <w:i/>
          <w:color w:val="000000"/>
          <w:lang w:val="en-IE"/>
        </w:rPr>
        <w:t>ation to rectify the register are</w:t>
      </w:r>
      <w:r w:rsidRPr="00411456">
        <w:rPr>
          <w:i/>
          <w:color w:val="000000"/>
          <w:lang w:val="en-IE"/>
        </w:rPr>
        <w:t xml:space="preserve"> the company and the</w:t>
      </w:r>
      <w:r w:rsidR="00A45201">
        <w:rPr>
          <w:i/>
          <w:color w:val="000000"/>
          <w:lang w:val="en-IE"/>
        </w:rPr>
        <w:t xml:space="preserve"> registered</w:t>
      </w:r>
      <w:r w:rsidRPr="00411456">
        <w:rPr>
          <w:i/>
          <w:color w:val="000000"/>
          <w:lang w:val="en-IE"/>
        </w:rPr>
        <w:t xml:space="preserve"> holder or holders of the shares whose registration is in question</w:t>
      </w:r>
      <w:r w:rsidR="00F933F0" w:rsidRPr="00411456">
        <w:rPr>
          <w:i/>
          <w:color w:val="000000"/>
          <w:lang w:val="en-IE"/>
        </w:rPr>
        <w:t>…”</w:t>
      </w:r>
      <w:r w:rsidR="00F933F0" w:rsidRPr="00411456">
        <w:rPr>
          <w:color w:val="000000"/>
          <w:lang w:val="en-IE"/>
        </w:rPr>
        <w:t>. The authorit</w:t>
      </w:r>
      <w:r w:rsidR="004A2355">
        <w:rPr>
          <w:color w:val="000000"/>
          <w:lang w:val="en-IE"/>
        </w:rPr>
        <w:t>y</w:t>
      </w:r>
      <w:r w:rsidRPr="00411456">
        <w:rPr>
          <w:color w:val="000000"/>
          <w:lang w:val="en-IE"/>
        </w:rPr>
        <w:t xml:space="preserve"> cited for this proposition is the decision of Mi</w:t>
      </w:r>
      <w:r w:rsidR="00F933F0" w:rsidRPr="00411456">
        <w:rPr>
          <w:color w:val="000000"/>
          <w:lang w:val="en-IE"/>
        </w:rPr>
        <w:t>llet</w:t>
      </w:r>
      <w:r w:rsidRPr="00411456">
        <w:rPr>
          <w:color w:val="000000"/>
          <w:lang w:val="en-IE"/>
        </w:rPr>
        <w:t xml:space="preserve"> J</w:t>
      </w:r>
      <w:r w:rsidR="00F933F0" w:rsidRPr="00411456">
        <w:rPr>
          <w:color w:val="000000"/>
          <w:lang w:val="en-IE"/>
        </w:rPr>
        <w:t>.</w:t>
      </w:r>
      <w:r w:rsidRPr="00411456">
        <w:rPr>
          <w:color w:val="000000"/>
          <w:lang w:val="en-IE"/>
        </w:rPr>
        <w:t xml:space="preserve"> in </w:t>
      </w:r>
      <w:r w:rsidRPr="00411456">
        <w:rPr>
          <w:i/>
          <w:color w:val="000000"/>
          <w:lang w:val="en-IE"/>
        </w:rPr>
        <w:t xml:space="preserve">Morgan </w:t>
      </w:r>
      <w:r w:rsidR="00F933F0" w:rsidRPr="00411456">
        <w:rPr>
          <w:i/>
          <w:color w:val="000000"/>
          <w:lang w:val="en-IE"/>
        </w:rPr>
        <w:t xml:space="preserve">v. </w:t>
      </w:r>
      <w:r w:rsidRPr="00411456">
        <w:rPr>
          <w:i/>
          <w:color w:val="000000"/>
          <w:lang w:val="en-IE"/>
        </w:rPr>
        <w:t>Morgan</w:t>
      </w:r>
      <w:r w:rsidRPr="00411456">
        <w:rPr>
          <w:color w:val="000000"/>
          <w:lang w:val="en-IE"/>
        </w:rPr>
        <w:t xml:space="preserve"> </w:t>
      </w:r>
      <w:r w:rsidR="00F933F0" w:rsidRPr="00411456">
        <w:rPr>
          <w:color w:val="000000"/>
          <w:lang w:val="en-IE"/>
        </w:rPr>
        <w:t>[</w:t>
      </w:r>
      <w:r w:rsidRPr="00411456">
        <w:rPr>
          <w:color w:val="000000"/>
          <w:lang w:val="en-IE"/>
        </w:rPr>
        <w:t>1</w:t>
      </w:r>
      <w:r w:rsidR="00F933F0" w:rsidRPr="00411456">
        <w:rPr>
          <w:color w:val="000000"/>
          <w:lang w:val="en-IE"/>
        </w:rPr>
        <w:t>993] BCLC 676.</w:t>
      </w:r>
    </w:p>
    <w:p w14:paraId="59464D8D" w14:textId="6E9098A3" w:rsidR="00387200" w:rsidRPr="00411456" w:rsidRDefault="00F933F0"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w:t>
      </w:r>
      <w:r w:rsidR="00EB20DB" w:rsidRPr="00411456">
        <w:rPr>
          <w:color w:val="000000"/>
          <w:lang w:val="en-IE"/>
        </w:rPr>
        <w:t xml:space="preserve">he judgment </w:t>
      </w:r>
      <w:r w:rsidRPr="00411456">
        <w:rPr>
          <w:color w:val="000000"/>
          <w:lang w:val="en-IE"/>
        </w:rPr>
        <w:t xml:space="preserve">in </w:t>
      </w:r>
      <w:r w:rsidR="00EB20DB" w:rsidRPr="00411456">
        <w:rPr>
          <w:i/>
          <w:color w:val="000000"/>
          <w:lang w:val="en-IE"/>
        </w:rPr>
        <w:t>Morgan</w:t>
      </w:r>
      <w:r w:rsidR="00EB20DB" w:rsidRPr="00411456">
        <w:rPr>
          <w:color w:val="000000"/>
          <w:lang w:val="en-IE"/>
        </w:rPr>
        <w:t xml:space="preserve"> does no</w:t>
      </w:r>
      <w:r w:rsidR="00481C10" w:rsidRPr="00411456">
        <w:rPr>
          <w:color w:val="000000"/>
          <w:lang w:val="en-IE"/>
        </w:rPr>
        <w:t>t deal specifically with the</w:t>
      </w:r>
      <w:r w:rsidRPr="00411456">
        <w:rPr>
          <w:color w:val="000000"/>
          <w:lang w:val="en-IE"/>
        </w:rPr>
        <w:t xml:space="preserve"> joind</w:t>
      </w:r>
      <w:r w:rsidR="00EB20DB" w:rsidRPr="00411456">
        <w:rPr>
          <w:color w:val="000000"/>
          <w:lang w:val="en-IE"/>
        </w:rPr>
        <w:t>er of the company to an applica</w:t>
      </w:r>
      <w:r w:rsidR="00481C10" w:rsidRPr="00411456">
        <w:rPr>
          <w:color w:val="000000"/>
          <w:lang w:val="en-IE"/>
        </w:rPr>
        <w:t>tion of this nature. I</w:t>
      </w:r>
      <w:r w:rsidR="00EB20DB" w:rsidRPr="00411456">
        <w:rPr>
          <w:color w:val="000000"/>
          <w:lang w:val="en-IE"/>
        </w:rPr>
        <w:t>nstead</w:t>
      </w:r>
      <w:r w:rsidR="00481C10" w:rsidRPr="00411456">
        <w:rPr>
          <w:color w:val="000000"/>
          <w:lang w:val="en-IE"/>
        </w:rPr>
        <w:t>, it</w:t>
      </w:r>
      <w:r w:rsidR="00EB20DB" w:rsidRPr="00411456">
        <w:rPr>
          <w:color w:val="000000"/>
          <w:lang w:val="en-IE"/>
        </w:rPr>
        <w:t xml:space="preserve"> concerned the costs of an ap</w:t>
      </w:r>
      <w:r w:rsidR="00481C10" w:rsidRPr="00411456">
        <w:rPr>
          <w:color w:val="000000"/>
          <w:lang w:val="en-IE"/>
        </w:rPr>
        <w:t>plication to rectify a register</w:t>
      </w:r>
      <w:r w:rsidR="00EB20DB" w:rsidRPr="00411456">
        <w:rPr>
          <w:color w:val="000000"/>
          <w:lang w:val="en-IE"/>
        </w:rPr>
        <w:t xml:space="preserve"> following the refusal of the board of directors of a company to register the transfer of a share to the majority shareholder</w:t>
      </w:r>
      <w:r w:rsidR="00481C10" w:rsidRPr="00411456">
        <w:rPr>
          <w:color w:val="000000"/>
          <w:lang w:val="en-IE"/>
        </w:rPr>
        <w:t>’s</w:t>
      </w:r>
      <w:r w:rsidR="00EB20DB" w:rsidRPr="00411456">
        <w:rPr>
          <w:color w:val="000000"/>
          <w:lang w:val="en-IE"/>
        </w:rPr>
        <w:t xml:space="preserve"> </w:t>
      </w:r>
      <w:r w:rsidR="00481C10" w:rsidRPr="00411456">
        <w:rPr>
          <w:color w:val="000000"/>
          <w:lang w:val="en-IE"/>
        </w:rPr>
        <w:t>daughter. The majority shareholder brought an</w:t>
      </w:r>
      <w:r w:rsidR="00EB20DB" w:rsidRPr="00411456">
        <w:rPr>
          <w:color w:val="000000"/>
          <w:lang w:val="en-IE"/>
        </w:rPr>
        <w:t xml:space="preserve"> application in which the company and the other shareholders were named as respondent</w:t>
      </w:r>
      <w:r w:rsidR="00481C10" w:rsidRPr="00411456">
        <w:rPr>
          <w:color w:val="000000"/>
          <w:lang w:val="en-IE"/>
        </w:rPr>
        <w:t>s</w:t>
      </w:r>
      <w:r w:rsidR="00EB20DB" w:rsidRPr="00411456">
        <w:rPr>
          <w:color w:val="000000"/>
          <w:lang w:val="en-IE"/>
        </w:rPr>
        <w:t>. The applica</w:t>
      </w:r>
      <w:r w:rsidR="00387200" w:rsidRPr="00411456">
        <w:rPr>
          <w:color w:val="000000"/>
          <w:lang w:val="en-IE"/>
        </w:rPr>
        <w:t>tion itself was disposed of on</w:t>
      </w:r>
      <w:r w:rsidR="00EB20DB" w:rsidRPr="00411456">
        <w:rPr>
          <w:color w:val="000000"/>
          <w:lang w:val="en-IE"/>
        </w:rPr>
        <w:t xml:space="preserve"> consent in circumstances where the directors received legal advice that they could not refuse to register the transfer</w:t>
      </w:r>
      <w:r w:rsidR="00387200" w:rsidRPr="00411456">
        <w:rPr>
          <w:color w:val="000000"/>
          <w:lang w:val="en-IE"/>
        </w:rPr>
        <w:t>. T</w:t>
      </w:r>
      <w:r w:rsidR="00EB20DB" w:rsidRPr="00411456">
        <w:rPr>
          <w:color w:val="000000"/>
          <w:lang w:val="en-IE"/>
        </w:rPr>
        <w:t>he appli</w:t>
      </w:r>
      <w:r w:rsidR="00387200" w:rsidRPr="00411456">
        <w:rPr>
          <w:color w:val="000000"/>
          <w:lang w:val="en-IE"/>
        </w:rPr>
        <w:t xml:space="preserve">cant then sought </w:t>
      </w:r>
      <w:r w:rsidR="00EB20DB" w:rsidRPr="00411456">
        <w:rPr>
          <w:color w:val="000000"/>
          <w:lang w:val="en-IE"/>
        </w:rPr>
        <w:t>the costs of the application against the</w:t>
      </w:r>
      <w:r w:rsidR="00387200" w:rsidRPr="00411456">
        <w:rPr>
          <w:color w:val="000000"/>
          <w:lang w:val="en-IE"/>
        </w:rPr>
        <w:t xml:space="preserve"> other shareholders whereas the shareholders wanted</w:t>
      </w:r>
      <w:r w:rsidR="00EB20DB" w:rsidRPr="00411456">
        <w:rPr>
          <w:color w:val="000000"/>
          <w:lang w:val="en-IE"/>
        </w:rPr>
        <w:t xml:space="preserve"> the costs of all parties to be born</w:t>
      </w:r>
      <w:r w:rsidR="00387200" w:rsidRPr="00411456">
        <w:rPr>
          <w:color w:val="000000"/>
          <w:lang w:val="en-IE"/>
        </w:rPr>
        <w:t>e by the company (</w:t>
      </w:r>
      <w:r w:rsidR="00EB20DB" w:rsidRPr="00411456">
        <w:rPr>
          <w:color w:val="000000"/>
          <w:lang w:val="en-IE"/>
        </w:rPr>
        <w:t>of which the applicant was the majority shareholder</w:t>
      </w:r>
      <w:r w:rsidR="00387200" w:rsidRPr="00411456">
        <w:rPr>
          <w:color w:val="000000"/>
          <w:lang w:val="en-IE"/>
        </w:rPr>
        <w:t>). T</w:t>
      </w:r>
      <w:r w:rsidR="00EB20DB" w:rsidRPr="00411456">
        <w:rPr>
          <w:color w:val="000000"/>
          <w:lang w:val="en-IE"/>
        </w:rPr>
        <w:t>he pr</w:t>
      </w:r>
      <w:r w:rsidR="00387200" w:rsidRPr="00411456">
        <w:rPr>
          <w:color w:val="000000"/>
          <w:lang w:val="en-IE"/>
        </w:rPr>
        <w:t>opriety of the j</w:t>
      </w:r>
      <w:r w:rsidR="00EB20DB" w:rsidRPr="00411456">
        <w:rPr>
          <w:color w:val="000000"/>
          <w:lang w:val="en-IE"/>
        </w:rPr>
        <w:t>oinder of the comp</w:t>
      </w:r>
      <w:r w:rsidR="00387200" w:rsidRPr="00411456">
        <w:rPr>
          <w:color w:val="000000"/>
          <w:lang w:val="en-IE"/>
        </w:rPr>
        <w:t>any to the application was not in issue. T</w:t>
      </w:r>
      <w:r w:rsidR="00EB20DB" w:rsidRPr="00411456">
        <w:rPr>
          <w:color w:val="000000"/>
          <w:lang w:val="en-IE"/>
        </w:rPr>
        <w:t xml:space="preserve">he </w:t>
      </w:r>
      <w:r w:rsidR="00EB20DB" w:rsidRPr="00411456">
        <w:rPr>
          <w:color w:val="000000"/>
          <w:lang w:val="en-IE"/>
        </w:rPr>
        <w:lastRenderedPageBreak/>
        <w:t>cost</w:t>
      </w:r>
      <w:r w:rsidR="00387200" w:rsidRPr="00411456">
        <w:rPr>
          <w:color w:val="000000"/>
          <w:lang w:val="en-IE"/>
        </w:rPr>
        <w:t>s</w:t>
      </w:r>
      <w:r w:rsidR="00EB20DB" w:rsidRPr="00411456">
        <w:rPr>
          <w:color w:val="000000"/>
          <w:lang w:val="en-IE"/>
        </w:rPr>
        <w:t xml:space="preserve"> judgment </w:t>
      </w:r>
      <w:r w:rsidR="007B1AEE">
        <w:rPr>
          <w:color w:val="000000"/>
          <w:lang w:val="en-IE"/>
        </w:rPr>
        <w:t xml:space="preserve">in the case </w:t>
      </w:r>
      <w:r w:rsidR="00EB20DB" w:rsidRPr="00411456">
        <w:rPr>
          <w:color w:val="000000"/>
          <w:lang w:val="en-IE"/>
        </w:rPr>
        <w:t xml:space="preserve">from which the quotation </w:t>
      </w:r>
      <w:r w:rsidR="00387200" w:rsidRPr="00411456">
        <w:rPr>
          <w:color w:val="000000"/>
          <w:lang w:val="en-IE"/>
        </w:rPr>
        <w:t xml:space="preserve">in </w:t>
      </w:r>
      <w:r w:rsidR="00387200" w:rsidRPr="00411456">
        <w:rPr>
          <w:i/>
          <w:color w:val="000000"/>
          <w:lang w:val="en-IE"/>
        </w:rPr>
        <w:t xml:space="preserve">Halsbury </w:t>
      </w:r>
      <w:r w:rsidR="00387200" w:rsidRPr="00411456">
        <w:rPr>
          <w:color w:val="000000"/>
          <w:lang w:val="en-IE"/>
        </w:rPr>
        <w:t xml:space="preserve">as to the </w:t>
      </w:r>
      <w:r w:rsidR="00387200" w:rsidRPr="00411456">
        <w:rPr>
          <w:i/>
          <w:color w:val="000000"/>
          <w:lang w:val="en-IE"/>
        </w:rPr>
        <w:t>“p</w:t>
      </w:r>
      <w:r w:rsidR="00EB20DB" w:rsidRPr="00411456">
        <w:rPr>
          <w:i/>
          <w:color w:val="000000"/>
          <w:lang w:val="en-IE"/>
        </w:rPr>
        <w:t>roper respondents</w:t>
      </w:r>
      <w:r w:rsidR="00387200" w:rsidRPr="00411456">
        <w:rPr>
          <w:i/>
          <w:color w:val="000000"/>
          <w:lang w:val="en-IE"/>
        </w:rPr>
        <w:t>”</w:t>
      </w:r>
      <w:r w:rsidR="00387200" w:rsidRPr="00411456">
        <w:rPr>
          <w:color w:val="000000"/>
          <w:lang w:val="en-IE"/>
        </w:rPr>
        <w:t xml:space="preserve"> t</w:t>
      </w:r>
      <w:r w:rsidR="00EB20DB" w:rsidRPr="00411456">
        <w:rPr>
          <w:color w:val="000000"/>
          <w:lang w:val="en-IE"/>
        </w:rPr>
        <w:t>o suc</w:t>
      </w:r>
      <w:r w:rsidR="00387200" w:rsidRPr="00411456">
        <w:rPr>
          <w:color w:val="000000"/>
          <w:lang w:val="en-IE"/>
        </w:rPr>
        <w:t xml:space="preserve">h an application is taken, </w:t>
      </w:r>
      <w:r w:rsidR="00EB20DB" w:rsidRPr="00411456">
        <w:rPr>
          <w:color w:val="000000"/>
          <w:lang w:val="en-IE"/>
        </w:rPr>
        <w:t xml:space="preserve">proceeds from the </w:t>
      </w:r>
      <w:r w:rsidR="00387200" w:rsidRPr="00411456">
        <w:rPr>
          <w:color w:val="000000"/>
          <w:lang w:val="en-IE"/>
        </w:rPr>
        <w:t xml:space="preserve">starting point that the UK Rules of Court required, at a minimum, </w:t>
      </w:r>
      <w:r w:rsidR="00EB20DB" w:rsidRPr="00411456">
        <w:rPr>
          <w:color w:val="000000"/>
          <w:lang w:val="en-IE"/>
        </w:rPr>
        <w:t>t</w:t>
      </w:r>
      <w:r w:rsidR="00387200" w:rsidRPr="00411456">
        <w:rPr>
          <w:color w:val="000000"/>
          <w:lang w:val="en-IE"/>
        </w:rPr>
        <w:t>hat a notice of m</w:t>
      </w:r>
      <w:r w:rsidR="00EB20DB" w:rsidRPr="00411456">
        <w:rPr>
          <w:color w:val="000000"/>
          <w:lang w:val="en-IE"/>
        </w:rPr>
        <w:t>otion seeking rectification be served on the company</w:t>
      </w:r>
      <w:r w:rsidR="00387200" w:rsidRPr="00411456">
        <w:rPr>
          <w:color w:val="000000"/>
          <w:lang w:val="en-IE"/>
        </w:rPr>
        <w:t xml:space="preserve">. The text of the relevant UK rule is not quoted in the </w:t>
      </w:r>
      <w:proofErr w:type="gramStart"/>
      <w:r w:rsidR="00387200" w:rsidRPr="00411456">
        <w:rPr>
          <w:color w:val="000000"/>
          <w:lang w:val="en-IE"/>
        </w:rPr>
        <w:t>judg</w:t>
      </w:r>
      <w:r w:rsidR="00EB20DB" w:rsidRPr="00411456">
        <w:rPr>
          <w:color w:val="000000"/>
          <w:lang w:val="en-IE"/>
        </w:rPr>
        <w:t>ment</w:t>
      </w:r>
      <w:proofErr w:type="gramEnd"/>
      <w:r w:rsidR="00EB20DB" w:rsidRPr="00411456">
        <w:rPr>
          <w:color w:val="000000"/>
          <w:lang w:val="en-IE"/>
        </w:rPr>
        <w:t xml:space="preserve"> and it was not open</w:t>
      </w:r>
      <w:r w:rsidR="00387200" w:rsidRPr="00411456">
        <w:rPr>
          <w:color w:val="000000"/>
          <w:lang w:val="en-IE"/>
        </w:rPr>
        <w:t>ed</w:t>
      </w:r>
      <w:r w:rsidR="00EB20DB" w:rsidRPr="00411456">
        <w:rPr>
          <w:color w:val="000000"/>
          <w:lang w:val="en-IE"/>
        </w:rPr>
        <w:t xml:space="preserve"> to me. Consequently, I am unable </w:t>
      </w:r>
      <w:r w:rsidR="00387200" w:rsidRPr="00411456">
        <w:rPr>
          <w:color w:val="000000"/>
          <w:lang w:val="en-IE"/>
        </w:rPr>
        <w:t xml:space="preserve">to treat the statement of Millet J. in </w:t>
      </w:r>
      <w:r w:rsidR="00387200" w:rsidRPr="00411456">
        <w:rPr>
          <w:i/>
          <w:color w:val="000000"/>
          <w:lang w:val="en-IE"/>
        </w:rPr>
        <w:t>Morgan v.</w:t>
      </w:r>
      <w:r w:rsidR="00EB20DB" w:rsidRPr="00411456">
        <w:rPr>
          <w:i/>
          <w:color w:val="000000"/>
          <w:lang w:val="en-IE"/>
        </w:rPr>
        <w:t xml:space="preserve"> Morgan</w:t>
      </w:r>
      <w:r w:rsidR="00EB20DB" w:rsidRPr="00411456">
        <w:rPr>
          <w:color w:val="000000"/>
          <w:lang w:val="en-IE"/>
        </w:rPr>
        <w:t xml:space="preserve"> as a statement of general principle as distinct from a statement based on the correct interpretation and application of rules of procedure which do not apply in this </w:t>
      </w:r>
      <w:proofErr w:type="gramStart"/>
      <w:r w:rsidR="00EB20DB" w:rsidRPr="00411456">
        <w:rPr>
          <w:color w:val="000000"/>
          <w:lang w:val="en-IE"/>
        </w:rPr>
        <w:t>jurisdiction</w:t>
      </w:r>
      <w:proofErr w:type="gramEnd"/>
      <w:r w:rsidR="00EB20DB" w:rsidRPr="00411456">
        <w:rPr>
          <w:color w:val="000000"/>
          <w:lang w:val="en-IE"/>
        </w:rPr>
        <w:t xml:space="preserve"> and which may differ from those which do apply here. </w:t>
      </w:r>
    </w:p>
    <w:p w14:paraId="7919F854" w14:textId="0786C1BD" w:rsidR="00026C8D" w:rsidRPr="00411456" w:rsidRDefault="00387200"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A</w:t>
      </w:r>
      <w:r w:rsidR="00EB20DB" w:rsidRPr="00411456">
        <w:rPr>
          <w:color w:val="000000"/>
          <w:lang w:val="en-IE"/>
        </w:rPr>
        <w:t>s previously n</w:t>
      </w:r>
      <w:r w:rsidRPr="00411456">
        <w:rPr>
          <w:color w:val="000000"/>
          <w:lang w:val="en-IE"/>
        </w:rPr>
        <w:t>oted, there is no specific rule</w:t>
      </w:r>
      <w:r w:rsidR="00EB20DB" w:rsidRPr="00411456">
        <w:rPr>
          <w:color w:val="000000"/>
          <w:lang w:val="en-IE"/>
        </w:rPr>
        <w:t xml:space="preserve"> setting out</w:t>
      </w:r>
      <w:r w:rsidRPr="00411456">
        <w:rPr>
          <w:color w:val="000000"/>
          <w:lang w:val="en-IE"/>
        </w:rPr>
        <w:t xml:space="preserve"> the procedure to be followed in an application under s. 173. Instead, such</w:t>
      </w:r>
      <w:r w:rsidR="00EB20DB" w:rsidRPr="00411456">
        <w:rPr>
          <w:color w:val="000000"/>
          <w:lang w:val="en-IE"/>
        </w:rPr>
        <w:t xml:space="preserve"> a</w:t>
      </w:r>
      <w:r w:rsidRPr="00411456">
        <w:rPr>
          <w:color w:val="000000"/>
          <w:lang w:val="en-IE"/>
        </w:rPr>
        <w:t>pplications fall to be dealt with i</w:t>
      </w:r>
      <w:r w:rsidR="00EB20DB" w:rsidRPr="00411456">
        <w:rPr>
          <w:color w:val="000000"/>
          <w:lang w:val="en-IE"/>
        </w:rPr>
        <w:t>n the manner prescribed generally for applications under th</w:t>
      </w:r>
      <w:r w:rsidRPr="00411456">
        <w:rPr>
          <w:color w:val="000000"/>
          <w:lang w:val="en-IE"/>
        </w:rPr>
        <w:t>e Companies Act 2014 under O. 75 of the RS</w:t>
      </w:r>
      <w:r w:rsidR="00EB20DB" w:rsidRPr="00411456">
        <w:rPr>
          <w:color w:val="000000"/>
          <w:lang w:val="en-IE"/>
        </w:rPr>
        <w:t>C</w:t>
      </w:r>
      <w:r w:rsidRPr="00411456">
        <w:rPr>
          <w:color w:val="000000"/>
          <w:lang w:val="en-IE"/>
        </w:rPr>
        <w:t>. Order 75, rule 3</w:t>
      </w:r>
      <w:r w:rsidR="00026C8D" w:rsidRPr="00411456">
        <w:rPr>
          <w:color w:val="000000"/>
          <w:lang w:val="en-IE"/>
        </w:rPr>
        <w:t xml:space="preserve"> does not require that all motions issued under that rule n</w:t>
      </w:r>
      <w:r w:rsidR="00EB20DB" w:rsidRPr="00411456">
        <w:rPr>
          <w:color w:val="000000"/>
          <w:lang w:val="en-IE"/>
        </w:rPr>
        <w:t>ame the company concerned as a part</w:t>
      </w:r>
      <w:r w:rsidR="00026C8D" w:rsidRPr="00411456">
        <w:rPr>
          <w:color w:val="000000"/>
          <w:lang w:val="en-IE"/>
        </w:rPr>
        <w:t>y to the application. Instead, O.</w:t>
      </w:r>
      <w:r w:rsidR="00EB20DB" w:rsidRPr="00411456">
        <w:rPr>
          <w:color w:val="000000"/>
          <w:lang w:val="en-IE"/>
        </w:rPr>
        <w:t xml:space="preserve"> 75</w:t>
      </w:r>
      <w:r w:rsidR="00026C8D" w:rsidRPr="00411456">
        <w:rPr>
          <w:color w:val="000000"/>
          <w:lang w:val="en-IE"/>
        </w:rPr>
        <w:t xml:space="preserve">, r. 3(2) requires that </w:t>
      </w:r>
      <w:r w:rsidR="00026C8D" w:rsidRPr="00411456">
        <w:rPr>
          <w:i/>
          <w:color w:val="000000"/>
          <w:lang w:val="en-IE"/>
        </w:rPr>
        <w:t>“</w:t>
      </w:r>
      <w:r w:rsidR="00EB20DB" w:rsidRPr="00411456">
        <w:rPr>
          <w:i/>
          <w:color w:val="000000"/>
          <w:lang w:val="en-IE"/>
        </w:rPr>
        <w:t xml:space="preserve">copies of the originating </w:t>
      </w:r>
      <w:r w:rsidR="00026C8D" w:rsidRPr="00411456">
        <w:rPr>
          <w:i/>
          <w:color w:val="000000"/>
          <w:lang w:val="en-IE"/>
        </w:rPr>
        <w:t>notice of motion and any affidavit grounding the application (</w:t>
      </w:r>
      <w:r w:rsidR="00EB20DB" w:rsidRPr="00411456">
        <w:rPr>
          <w:i/>
          <w:color w:val="000000"/>
          <w:lang w:val="en-IE"/>
        </w:rPr>
        <w:t>and any exhibits th</w:t>
      </w:r>
      <w:r w:rsidR="00026C8D" w:rsidRPr="00411456">
        <w:rPr>
          <w:i/>
          <w:color w:val="000000"/>
          <w:lang w:val="en-IE"/>
        </w:rPr>
        <w:t xml:space="preserve">ereto) </w:t>
      </w:r>
      <w:r w:rsidR="00C13851">
        <w:rPr>
          <w:i/>
          <w:color w:val="000000"/>
          <w:lang w:val="en-IE"/>
        </w:rPr>
        <w:t xml:space="preserve">shall </w:t>
      </w:r>
      <w:r w:rsidR="00EB20DB" w:rsidRPr="00411456">
        <w:rPr>
          <w:i/>
          <w:color w:val="000000"/>
          <w:lang w:val="en-IE"/>
        </w:rPr>
        <w:t>be se</w:t>
      </w:r>
      <w:r w:rsidR="00026C8D" w:rsidRPr="00411456">
        <w:rPr>
          <w:i/>
          <w:color w:val="000000"/>
          <w:lang w:val="en-IE"/>
        </w:rPr>
        <w:t>rved on the company…”</w:t>
      </w:r>
      <w:r w:rsidR="00026C8D" w:rsidRPr="00411456">
        <w:rPr>
          <w:color w:val="000000"/>
          <w:lang w:val="en-IE"/>
        </w:rPr>
        <w:t>. T</w:t>
      </w:r>
      <w:r w:rsidR="00EB20DB" w:rsidRPr="00411456">
        <w:rPr>
          <w:color w:val="000000"/>
          <w:lang w:val="en-IE"/>
        </w:rPr>
        <w:t>he re</w:t>
      </w:r>
      <w:r w:rsidR="00026C8D" w:rsidRPr="00411456">
        <w:rPr>
          <w:color w:val="000000"/>
          <w:lang w:val="en-IE"/>
        </w:rPr>
        <w:t xml:space="preserve">ference to </w:t>
      </w:r>
      <w:r w:rsidR="00026C8D" w:rsidRPr="00411456">
        <w:rPr>
          <w:i/>
          <w:color w:val="000000"/>
          <w:lang w:val="en-IE"/>
        </w:rPr>
        <w:t>“copies”</w:t>
      </w:r>
      <w:r w:rsidR="00026C8D" w:rsidRPr="00411456">
        <w:rPr>
          <w:color w:val="000000"/>
          <w:lang w:val="en-IE"/>
        </w:rPr>
        <w:t xml:space="preserve"> is significant as the </w:t>
      </w:r>
      <w:r w:rsidR="00513C13">
        <w:rPr>
          <w:color w:val="000000"/>
          <w:lang w:val="en-IE"/>
        </w:rPr>
        <w:t>R</w:t>
      </w:r>
      <w:r w:rsidR="00026C8D" w:rsidRPr="00411456">
        <w:rPr>
          <w:color w:val="000000"/>
          <w:lang w:val="en-IE"/>
        </w:rPr>
        <w:t>ules normally require</w:t>
      </w:r>
      <w:r w:rsidR="00EB20DB" w:rsidRPr="00411456">
        <w:rPr>
          <w:color w:val="000000"/>
          <w:lang w:val="en-IE"/>
        </w:rPr>
        <w:t xml:space="preserve"> the service of originals rather than copies of pleadings on the parties to the proceedings</w:t>
      </w:r>
      <w:r w:rsidR="004A2355">
        <w:rPr>
          <w:color w:val="000000"/>
          <w:lang w:val="en-IE"/>
        </w:rPr>
        <w:t xml:space="preserve"> unless the parties are outside the jurisdiction</w:t>
      </w:r>
      <w:r w:rsidR="00EB20DB" w:rsidRPr="00411456">
        <w:rPr>
          <w:color w:val="000000"/>
          <w:lang w:val="en-IE"/>
        </w:rPr>
        <w:t xml:space="preserve">. </w:t>
      </w:r>
      <w:r w:rsidR="004A2355">
        <w:rPr>
          <w:color w:val="000000"/>
          <w:lang w:val="en-IE"/>
        </w:rPr>
        <w:t xml:space="preserve"> A rule requiring the service of copies of the pleadings inferentially suggests the party on whom the copies are being served is not a mandatory party to the application.</w:t>
      </w:r>
    </w:p>
    <w:p w14:paraId="7458B41C" w14:textId="45940398" w:rsidR="00026C8D"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When this issue was raised in the respondents</w:t>
      </w:r>
      <w:r w:rsidR="00026C8D" w:rsidRPr="00411456">
        <w:rPr>
          <w:color w:val="000000"/>
          <w:lang w:val="en-IE"/>
        </w:rPr>
        <w:t>’</w:t>
      </w:r>
      <w:r w:rsidRPr="00411456">
        <w:rPr>
          <w:color w:val="000000"/>
          <w:lang w:val="en-IE"/>
        </w:rPr>
        <w:t xml:space="preserve"> </w:t>
      </w:r>
      <w:r w:rsidR="00026C8D" w:rsidRPr="00411456">
        <w:rPr>
          <w:color w:val="000000"/>
          <w:lang w:val="en-IE"/>
        </w:rPr>
        <w:t xml:space="preserve">initial replying affidavit, Mr. </w:t>
      </w:r>
      <w:proofErr w:type="spellStart"/>
      <w:r w:rsidR="00026C8D" w:rsidRPr="00411456">
        <w:rPr>
          <w:color w:val="000000"/>
          <w:lang w:val="en-IE"/>
        </w:rPr>
        <w:t>O’Regan</w:t>
      </w:r>
      <w:proofErr w:type="spellEnd"/>
      <w:r w:rsidRPr="00411456">
        <w:rPr>
          <w:color w:val="000000"/>
          <w:lang w:val="en-IE"/>
        </w:rPr>
        <w:t xml:space="preserve"> </w:t>
      </w:r>
      <w:r w:rsidR="00026C8D" w:rsidRPr="00411456">
        <w:rPr>
          <w:color w:val="000000"/>
          <w:lang w:val="en-IE"/>
        </w:rPr>
        <w:t>swo</w:t>
      </w:r>
      <w:r w:rsidRPr="00411456">
        <w:rPr>
          <w:color w:val="000000"/>
          <w:lang w:val="en-IE"/>
        </w:rPr>
        <w:t>re</w:t>
      </w:r>
      <w:r w:rsidR="00026C8D" w:rsidRPr="00411456">
        <w:rPr>
          <w:color w:val="000000"/>
          <w:lang w:val="en-IE"/>
        </w:rPr>
        <w:t xml:space="preserve"> a supplemental</w:t>
      </w:r>
      <w:r w:rsidRPr="00411456">
        <w:rPr>
          <w:color w:val="000000"/>
          <w:lang w:val="en-IE"/>
        </w:rPr>
        <w:t xml:space="preserve"> affidavit on </w:t>
      </w:r>
      <w:r w:rsidR="00026C8D" w:rsidRPr="00411456">
        <w:rPr>
          <w:color w:val="000000"/>
          <w:lang w:val="en-IE"/>
        </w:rPr>
        <w:t>12</w:t>
      </w:r>
      <w:r w:rsidR="00026C8D" w:rsidRPr="00411456">
        <w:rPr>
          <w:color w:val="000000"/>
          <w:vertAlign w:val="superscript"/>
          <w:lang w:val="en-IE"/>
        </w:rPr>
        <w:t>th</w:t>
      </w:r>
      <w:r w:rsidR="00026C8D" w:rsidRPr="00411456">
        <w:rPr>
          <w:color w:val="000000"/>
          <w:lang w:val="en-IE"/>
        </w:rPr>
        <w:t xml:space="preserve"> May 2021 in which he stated (at para. </w:t>
      </w:r>
      <w:r w:rsidRPr="00411456">
        <w:rPr>
          <w:color w:val="000000"/>
          <w:lang w:val="en-IE"/>
        </w:rPr>
        <w:t>19</w:t>
      </w:r>
      <w:r w:rsidR="00026C8D" w:rsidRPr="00411456">
        <w:rPr>
          <w:color w:val="000000"/>
          <w:lang w:val="en-IE"/>
        </w:rPr>
        <w:t>)</w:t>
      </w:r>
      <w:r w:rsidRPr="00411456">
        <w:rPr>
          <w:color w:val="000000"/>
          <w:lang w:val="en-IE"/>
        </w:rPr>
        <w:t xml:space="preserve"> that the company had been served with the papers. He e</w:t>
      </w:r>
      <w:r w:rsidR="00026C8D" w:rsidRPr="00411456">
        <w:rPr>
          <w:color w:val="000000"/>
          <w:lang w:val="en-IE"/>
        </w:rPr>
        <w:t>xhibited certain correspondence</w:t>
      </w:r>
      <w:r w:rsidRPr="00411456">
        <w:rPr>
          <w:color w:val="000000"/>
          <w:lang w:val="en-IE"/>
        </w:rPr>
        <w:t xml:space="preserve"> which was subsequently rec</w:t>
      </w:r>
      <w:r w:rsidR="00026C8D" w:rsidRPr="00411456">
        <w:rPr>
          <w:color w:val="000000"/>
          <w:lang w:val="en-IE"/>
        </w:rPr>
        <w:t>eived from the company dat</w:t>
      </w:r>
      <w:r w:rsidRPr="00411456">
        <w:rPr>
          <w:color w:val="000000"/>
          <w:lang w:val="en-IE"/>
        </w:rPr>
        <w:t>ed</w:t>
      </w:r>
      <w:r w:rsidR="00026C8D" w:rsidRPr="00411456">
        <w:rPr>
          <w:color w:val="000000"/>
          <w:lang w:val="en-IE"/>
        </w:rPr>
        <w:t xml:space="preserve"> 3</w:t>
      </w:r>
      <w:r w:rsidR="00026C8D" w:rsidRPr="00411456">
        <w:rPr>
          <w:color w:val="000000"/>
          <w:vertAlign w:val="superscript"/>
          <w:lang w:val="en-IE"/>
        </w:rPr>
        <w:t>rd</w:t>
      </w:r>
      <w:r w:rsidR="00026C8D" w:rsidRPr="00411456">
        <w:rPr>
          <w:color w:val="000000"/>
          <w:lang w:val="en-IE"/>
        </w:rPr>
        <w:t xml:space="preserve"> March 2021 and signed by Mr. Fitzgerald</w:t>
      </w:r>
      <w:r w:rsidRPr="00411456">
        <w:rPr>
          <w:color w:val="000000"/>
          <w:lang w:val="en-IE"/>
        </w:rPr>
        <w:t xml:space="preserve"> in which no issue</w:t>
      </w:r>
      <w:r w:rsidR="00026C8D" w:rsidRPr="00411456">
        <w:rPr>
          <w:color w:val="000000"/>
          <w:lang w:val="en-IE"/>
        </w:rPr>
        <w:t xml:space="preserve"> was taken with the non-j</w:t>
      </w:r>
      <w:r w:rsidRPr="00411456">
        <w:rPr>
          <w:color w:val="000000"/>
          <w:lang w:val="en-IE"/>
        </w:rPr>
        <w:t>oinder of the company to this application. I note that the exhibited correspondence does not its</w:t>
      </w:r>
      <w:r w:rsidR="00026C8D" w:rsidRPr="00411456">
        <w:rPr>
          <w:color w:val="000000"/>
          <w:lang w:val="en-IE"/>
        </w:rPr>
        <w:t>elf deal with the application but, rather,</w:t>
      </w:r>
      <w:r w:rsidRPr="00411456">
        <w:rPr>
          <w:color w:val="000000"/>
          <w:lang w:val="en-IE"/>
        </w:rPr>
        <w:t xml:space="preserve"> </w:t>
      </w:r>
      <w:r w:rsidR="00026C8D" w:rsidRPr="00411456">
        <w:rPr>
          <w:color w:val="000000"/>
          <w:lang w:val="en-IE"/>
        </w:rPr>
        <w:t xml:space="preserve">with </w:t>
      </w:r>
      <w:r w:rsidRPr="00411456">
        <w:rPr>
          <w:color w:val="000000"/>
          <w:lang w:val="en-IE"/>
        </w:rPr>
        <w:t>the loans which had been made by both the shareholders to the comp</w:t>
      </w:r>
      <w:r w:rsidR="00026C8D" w:rsidRPr="00411456">
        <w:rPr>
          <w:color w:val="000000"/>
          <w:lang w:val="en-IE"/>
        </w:rPr>
        <w:t xml:space="preserve">any and </w:t>
      </w:r>
      <w:r w:rsidR="00026C8D" w:rsidRPr="00411456">
        <w:rPr>
          <w:color w:val="000000"/>
          <w:lang w:val="en-IE"/>
        </w:rPr>
        <w:lastRenderedPageBreak/>
        <w:t>the sale of the company’</w:t>
      </w:r>
      <w:r w:rsidRPr="00411456">
        <w:rPr>
          <w:color w:val="000000"/>
          <w:lang w:val="en-IE"/>
        </w:rPr>
        <w:t>s lands. In the same paragraph</w:t>
      </w:r>
      <w:r w:rsidR="00026C8D" w:rsidRPr="00411456">
        <w:rPr>
          <w:color w:val="000000"/>
          <w:lang w:val="en-IE"/>
        </w:rPr>
        <w:t xml:space="preserve">, Mr. </w:t>
      </w:r>
      <w:proofErr w:type="spellStart"/>
      <w:r w:rsidR="00026C8D" w:rsidRPr="00411456">
        <w:rPr>
          <w:color w:val="000000"/>
          <w:lang w:val="en-IE"/>
        </w:rPr>
        <w:t>O’Regan</w:t>
      </w:r>
      <w:proofErr w:type="spellEnd"/>
      <w:r w:rsidRPr="00411456">
        <w:rPr>
          <w:color w:val="000000"/>
          <w:lang w:val="en-IE"/>
        </w:rPr>
        <w:t xml:space="preserve"> offers to make the company a party to the application </w:t>
      </w:r>
      <w:proofErr w:type="gramStart"/>
      <w:r w:rsidRPr="00411456">
        <w:rPr>
          <w:color w:val="000000"/>
          <w:lang w:val="en-IE"/>
        </w:rPr>
        <w:t>provided that</w:t>
      </w:r>
      <w:proofErr w:type="gramEnd"/>
      <w:r w:rsidRPr="00411456">
        <w:rPr>
          <w:color w:val="000000"/>
          <w:lang w:val="en-IE"/>
        </w:rPr>
        <w:t xml:space="preserve"> this does not lead to any delay in having the matter d</w:t>
      </w:r>
      <w:r w:rsidR="00026C8D" w:rsidRPr="00411456">
        <w:rPr>
          <w:color w:val="000000"/>
          <w:lang w:val="en-IE"/>
        </w:rPr>
        <w:t>etermined. In a final affidavit on behalf of the respondents,</w:t>
      </w:r>
      <w:r w:rsidRPr="00411456">
        <w:rPr>
          <w:color w:val="000000"/>
          <w:lang w:val="en-IE"/>
        </w:rPr>
        <w:t xml:space="preserve"> Mr. Fitzgerald did not re</w:t>
      </w:r>
      <w:r w:rsidR="00026C8D" w:rsidRPr="00411456">
        <w:rPr>
          <w:color w:val="000000"/>
          <w:lang w:val="en-IE"/>
        </w:rPr>
        <w:t xml:space="preserve">ply </w:t>
      </w:r>
      <w:r w:rsidR="004A2355">
        <w:rPr>
          <w:color w:val="000000"/>
          <w:lang w:val="en-IE"/>
        </w:rPr>
        <w:t xml:space="preserve">specifically </w:t>
      </w:r>
      <w:r w:rsidR="00026C8D" w:rsidRPr="00411456">
        <w:rPr>
          <w:color w:val="000000"/>
          <w:lang w:val="en-IE"/>
        </w:rPr>
        <w:t>to the contents of para.</w:t>
      </w:r>
      <w:r w:rsidRPr="00411456">
        <w:rPr>
          <w:color w:val="000000"/>
          <w:lang w:val="en-IE"/>
        </w:rPr>
        <w:t xml:space="preserve"> 19 of Mr</w:t>
      </w:r>
      <w:r w:rsidR="00026C8D" w:rsidRPr="00411456">
        <w:rPr>
          <w:color w:val="000000"/>
          <w:lang w:val="en-IE"/>
        </w:rPr>
        <w:t xml:space="preserve">. </w:t>
      </w:r>
      <w:proofErr w:type="spellStart"/>
      <w:r w:rsidR="00026C8D" w:rsidRPr="00411456">
        <w:rPr>
          <w:color w:val="000000"/>
          <w:lang w:val="en-IE"/>
        </w:rPr>
        <w:t>O’Regan’</w:t>
      </w:r>
      <w:r w:rsidRPr="00411456">
        <w:rPr>
          <w:color w:val="000000"/>
          <w:lang w:val="en-IE"/>
        </w:rPr>
        <w:t>s</w:t>
      </w:r>
      <w:proofErr w:type="spellEnd"/>
      <w:r w:rsidRPr="00411456">
        <w:rPr>
          <w:color w:val="000000"/>
          <w:lang w:val="en-IE"/>
        </w:rPr>
        <w:t xml:space="preserve"> affidavit saying </w:t>
      </w:r>
      <w:r w:rsidR="004A2355">
        <w:rPr>
          <w:color w:val="000000"/>
          <w:lang w:val="en-IE"/>
        </w:rPr>
        <w:t xml:space="preserve">instead </w:t>
      </w:r>
      <w:r w:rsidRPr="00411456">
        <w:rPr>
          <w:color w:val="000000"/>
          <w:lang w:val="en-IE"/>
        </w:rPr>
        <w:t>th</w:t>
      </w:r>
      <w:r w:rsidR="00026C8D" w:rsidRPr="00411456">
        <w:rPr>
          <w:color w:val="000000"/>
          <w:lang w:val="en-IE"/>
        </w:rPr>
        <w:t>at it would be addressed by way of</w:t>
      </w:r>
      <w:r w:rsidRPr="00411456">
        <w:rPr>
          <w:color w:val="000000"/>
          <w:lang w:val="en-IE"/>
        </w:rPr>
        <w:t xml:space="preserve"> legal submission. </w:t>
      </w:r>
    </w:p>
    <w:p w14:paraId="7213D283" w14:textId="47675B32" w:rsidR="004A2355" w:rsidRDefault="00026C8D"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Therefore,</w:t>
      </w:r>
      <w:r w:rsidR="00EB20DB" w:rsidRPr="00411456">
        <w:rPr>
          <w:color w:val="000000"/>
          <w:lang w:val="en-IE"/>
        </w:rPr>
        <w:t xml:space="preserve"> the </w:t>
      </w:r>
      <w:r w:rsidR="004A2355">
        <w:rPr>
          <w:color w:val="000000"/>
          <w:lang w:val="en-IE"/>
        </w:rPr>
        <w:t xml:space="preserve">factual </w:t>
      </w:r>
      <w:r w:rsidR="00EB20DB" w:rsidRPr="00411456">
        <w:rPr>
          <w:color w:val="000000"/>
          <w:lang w:val="en-IE"/>
        </w:rPr>
        <w:t>position is that the company has been served with the a</w:t>
      </w:r>
      <w:r w:rsidRPr="00411456">
        <w:rPr>
          <w:color w:val="000000"/>
          <w:lang w:val="en-IE"/>
        </w:rPr>
        <w:t>pplication in accordance with O. 75, r.</w:t>
      </w:r>
      <w:r w:rsidR="00EB20DB" w:rsidRPr="00411456">
        <w:rPr>
          <w:color w:val="000000"/>
          <w:lang w:val="en-IE"/>
        </w:rPr>
        <w:t xml:space="preserve"> </w:t>
      </w:r>
      <w:r w:rsidRPr="00411456">
        <w:rPr>
          <w:color w:val="000000"/>
          <w:lang w:val="en-IE"/>
        </w:rPr>
        <w:t>3</w:t>
      </w:r>
      <w:r w:rsidR="00B778BB" w:rsidRPr="00411456">
        <w:rPr>
          <w:color w:val="000000"/>
          <w:lang w:val="en-IE"/>
        </w:rPr>
        <w:t>(2)</w:t>
      </w:r>
      <w:r w:rsidR="00A85762" w:rsidRPr="00411456">
        <w:rPr>
          <w:color w:val="000000"/>
          <w:lang w:val="en-IE"/>
        </w:rPr>
        <w:t xml:space="preserve"> a</w:t>
      </w:r>
      <w:r w:rsidR="00EB20DB" w:rsidRPr="00411456">
        <w:rPr>
          <w:color w:val="000000"/>
          <w:lang w:val="en-IE"/>
        </w:rPr>
        <w:t>lthough it has not been form</w:t>
      </w:r>
      <w:r w:rsidR="00A85762" w:rsidRPr="00411456">
        <w:rPr>
          <w:color w:val="000000"/>
          <w:lang w:val="en-IE"/>
        </w:rPr>
        <w:t>ally joined as a party</w:t>
      </w:r>
      <w:r w:rsidR="00EB20DB" w:rsidRPr="00411456">
        <w:rPr>
          <w:color w:val="000000"/>
          <w:lang w:val="en-IE"/>
        </w:rPr>
        <w:t>. No issue has been raised by t</w:t>
      </w:r>
      <w:r w:rsidR="00A85762" w:rsidRPr="00411456">
        <w:rPr>
          <w:color w:val="000000"/>
          <w:lang w:val="en-IE"/>
        </w:rPr>
        <w:t xml:space="preserve">he company as to its non-joinder. </w:t>
      </w:r>
      <w:r w:rsidR="00EB20DB" w:rsidRPr="00411456">
        <w:rPr>
          <w:color w:val="000000"/>
          <w:lang w:val="en-IE"/>
        </w:rPr>
        <w:t>On the issue</w:t>
      </w:r>
      <w:r w:rsidR="00A85762" w:rsidRPr="00411456">
        <w:rPr>
          <w:color w:val="000000"/>
          <w:lang w:val="en-IE"/>
        </w:rPr>
        <w:t xml:space="preserve"> being raised by the respondents, </w:t>
      </w:r>
      <w:r w:rsidR="00EB20DB" w:rsidRPr="00411456">
        <w:rPr>
          <w:color w:val="000000"/>
          <w:lang w:val="en-IE"/>
        </w:rPr>
        <w:t>the applica</w:t>
      </w:r>
      <w:r w:rsidR="00A85762" w:rsidRPr="00411456">
        <w:rPr>
          <w:color w:val="000000"/>
          <w:lang w:val="en-IE"/>
        </w:rPr>
        <w:t xml:space="preserve">nt offered to join the </w:t>
      </w:r>
      <w:proofErr w:type="gramStart"/>
      <w:r w:rsidR="00A85762" w:rsidRPr="00411456">
        <w:rPr>
          <w:color w:val="000000"/>
          <w:lang w:val="en-IE"/>
        </w:rPr>
        <w:t>company</w:t>
      </w:r>
      <w:proofErr w:type="gramEnd"/>
      <w:r w:rsidR="00A85762" w:rsidRPr="00411456">
        <w:rPr>
          <w:color w:val="000000"/>
          <w:lang w:val="en-IE"/>
        </w:rPr>
        <w:t xml:space="preserve"> </w:t>
      </w:r>
      <w:r w:rsidR="00EB20DB" w:rsidRPr="00411456">
        <w:rPr>
          <w:color w:val="000000"/>
          <w:lang w:val="en-IE"/>
        </w:rPr>
        <w:t>but the respondents did not accept</w:t>
      </w:r>
      <w:r w:rsidR="004A2355">
        <w:rPr>
          <w:color w:val="000000"/>
          <w:lang w:val="en-IE"/>
        </w:rPr>
        <w:t>,</w:t>
      </w:r>
      <w:r w:rsidR="00EB20DB" w:rsidRPr="00411456">
        <w:rPr>
          <w:color w:val="000000"/>
          <w:lang w:val="en-IE"/>
        </w:rPr>
        <w:t xml:space="preserve"> or indeed reject</w:t>
      </w:r>
      <w:r w:rsidR="004A2355">
        <w:rPr>
          <w:color w:val="000000"/>
          <w:lang w:val="en-IE"/>
        </w:rPr>
        <w:t>,</w:t>
      </w:r>
      <w:r w:rsidR="00EB20DB" w:rsidRPr="00411456">
        <w:rPr>
          <w:color w:val="000000"/>
          <w:lang w:val="en-IE"/>
        </w:rPr>
        <w:t xml:space="preserve"> that offer. </w:t>
      </w:r>
      <w:r w:rsidR="004A2355">
        <w:rPr>
          <w:color w:val="000000"/>
          <w:lang w:val="en-IE"/>
        </w:rPr>
        <w:t>Further, i</w:t>
      </w:r>
      <w:r w:rsidR="004A2355" w:rsidRPr="00411456">
        <w:rPr>
          <w:color w:val="000000"/>
          <w:lang w:val="en-IE"/>
        </w:rPr>
        <w:t>n this case, the entire issued shareholding in the company is currently held by Otto which is a respondent to the application.</w:t>
      </w:r>
      <w:r w:rsidR="004A2355">
        <w:rPr>
          <w:color w:val="000000"/>
          <w:lang w:val="en-IE"/>
        </w:rPr>
        <w:t xml:space="preserve">  </w:t>
      </w:r>
    </w:p>
    <w:p w14:paraId="0A029148" w14:textId="5C6AC013" w:rsidR="00F05EC2"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I c</w:t>
      </w:r>
      <w:r w:rsidR="00A85762" w:rsidRPr="00411456">
        <w:rPr>
          <w:color w:val="000000"/>
          <w:lang w:val="en-IE"/>
        </w:rPr>
        <w:t>an certainly see the logic in re</w:t>
      </w:r>
      <w:r w:rsidRPr="00411456">
        <w:rPr>
          <w:color w:val="000000"/>
          <w:lang w:val="en-IE"/>
        </w:rPr>
        <w:t>quiring a company be joined as a party to any application concerning the rectification of its r</w:t>
      </w:r>
      <w:r w:rsidR="00A85762" w:rsidRPr="00411456">
        <w:rPr>
          <w:color w:val="000000"/>
          <w:lang w:val="en-IE"/>
        </w:rPr>
        <w:t>egister of members. An</w:t>
      </w:r>
      <w:r w:rsidRPr="00411456">
        <w:rPr>
          <w:color w:val="000000"/>
          <w:lang w:val="en-IE"/>
        </w:rPr>
        <w:t>y order for rectification will have to be given effe</w:t>
      </w:r>
      <w:r w:rsidR="00A85762" w:rsidRPr="00411456">
        <w:rPr>
          <w:color w:val="000000"/>
          <w:lang w:val="en-IE"/>
        </w:rPr>
        <w:t>ct to by the company and, a</w:t>
      </w:r>
      <w:r w:rsidRPr="00411456">
        <w:rPr>
          <w:color w:val="000000"/>
          <w:lang w:val="en-IE"/>
        </w:rPr>
        <w:t>s a mat</w:t>
      </w:r>
      <w:r w:rsidR="00A85762" w:rsidRPr="00411456">
        <w:rPr>
          <w:color w:val="000000"/>
          <w:lang w:val="en-IE"/>
        </w:rPr>
        <w:t>ter of general principle, i</w:t>
      </w:r>
      <w:r w:rsidRPr="00411456">
        <w:rPr>
          <w:color w:val="000000"/>
          <w:lang w:val="en-IE"/>
        </w:rPr>
        <w:t>f the company is required to comply with an</w:t>
      </w:r>
      <w:r w:rsidR="00A85762" w:rsidRPr="00411456">
        <w:rPr>
          <w:color w:val="000000"/>
          <w:lang w:val="en-IE"/>
        </w:rPr>
        <w:t xml:space="preserve"> order, i</w:t>
      </w:r>
      <w:r w:rsidRPr="00411456">
        <w:rPr>
          <w:color w:val="000000"/>
          <w:lang w:val="en-IE"/>
        </w:rPr>
        <w:t>t should be on notice of the application and afforded the opportunit</w:t>
      </w:r>
      <w:r w:rsidR="00A85762" w:rsidRPr="00411456">
        <w:rPr>
          <w:color w:val="000000"/>
          <w:lang w:val="en-IE"/>
        </w:rPr>
        <w:t>y to defend the application if it wishes</w:t>
      </w:r>
      <w:r w:rsidRPr="00411456">
        <w:rPr>
          <w:color w:val="000000"/>
          <w:lang w:val="en-IE"/>
        </w:rPr>
        <w:t xml:space="preserve"> to do so. The rules of court as currently framed are sufficient to ensure that a company will be placed on notice of any application </w:t>
      </w:r>
      <w:r w:rsidR="00513C13" w:rsidRPr="00411456">
        <w:rPr>
          <w:color w:val="000000"/>
          <w:lang w:val="en-IE"/>
        </w:rPr>
        <w:t>brought under s. 173 of the 2014 Act</w:t>
      </w:r>
      <w:r w:rsidR="00513C13">
        <w:rPr>
          <w:color w:val="000000"/>
          <w:lang w:val="en-IE"/>
        </w:rPr>
        <w:t xml:space="preserve"> </w:t>
      </w:r>
      <w:r w:rsidRPr="00411456">
        <w:rPr>
          <w:color w:val="000000"/>
          <w:lang w:val="en-IE"/>
        </w:rPr>
        <w:t>potentially affecting it</w:t>
      </w:r>
      <w:r w:rsidR="00A85762" w:rsidRPr="00411456">
        <w:rPr>
          <w:color w:val="000000"/>
          <w:lang w:val="en-IE"/>
        </w:rPr>
        <w:t>s</w:t>
      </w:r>
      <w:r w:rsidRPr="00411456">
        <w:rPr>
          <w:color w:val="000000"/>
          <w:lang w:val="en-IE"/>
        </w:rPr>
        <w:t xml:space="preserve"> register </w:t>
      </w:r>
      <w:r w:rsidR="00A85762" w:rsidRPr="00411456">
        <w:rPr>
          <w:color w:val="000000"/>
          <w:lang w:val="en-IE"/>
        </w:rPr>
        <w:t>of members. T</w:t>
      </w:r>
      <w:r w:rsidRPr="00411456">
        <w:rPr>
          <w:color w:val="000000"/>
          <w:lang w:val="en-IE"/>
        </w:rPr>
        <w:t>he provis</w:t>
      </w:r>
      <w:r w:rsidR="00A85762" w:rsidRPr="00411456">
        <w:rPr>
          <w:color w:val="000000"/>
          <w:lang w:val="en-IE"/>
        </w:rPr>
        <w:t>ions of O. 75, r. 4</w:t>
      </w:r>
      <w:r w:rsidRPr="00411456">
        <w:rPr>
          <w:color w:val="000000"/>
          <w:lang w:val="en-IE"/>
        </w:rPr>
        <w:t xml:space="preserve"> under which the court may give such directio</w:t>
      </w:r>
      <w:r w:rsidR="00A85762" w:rsidRPr="00411456">
        <w:rPr>
          <w:color w:val="000000"/>
          <w:lang w:val="en-IE"/>
        </w:rPr>
        <w:t xml:space="preserve">ns as it thinks fit specifically </w:t>
      </w:r>
      <w:r w:rsidR="004A2355">
        <w:rPr>
          <w:color w:val="000000"/>
          <w:lang w:val="en-IE"/>
        </w:rPr>
        <w:t xml:space="preserve">provide </w:t>
      </w:r>
      <w:r w:rsidR="00A85762" w:rsidRPr="00411456">
        <w:rPr>
          <w:color w:val="000000"/>
          <w:lang w:val="en-IE"/>
        </w:rPr>
        <w:t>under O.</w:t>
      </w:r>
      <w:r w:rsidRPr="00411456">
        <w:rPr>
          <w:color w:val="000000"/>
          <w:lang w:val="en-IE"/>
        </w:rPr>
        <w:t xml:space="preserve"> 75</w:t>
      </w:r>
      <w:r w:rsidR="00A85762" w:rsidRPr="00411456">
        <w:rPr>
          <w:color w:val="000000"/>
          <w:lang w:val="en-IE"/>
        </w:rPr>
        <w:t>, r. 4 (4)</w:t>
      </w:r>
      <w:r w:rsidRPr="00411456">
        <w:rPr>
          <w:color w:val="000000"/>
          <w:lang w:val="en-IE"/>
        </w:rPr>
        <w:t xml:space="preserve"> </w:t>
      </w:r>
      <w:r w:rsidR="004A2355">
        <w:rPr>
          <w:color w:val="000000"/>
          <w:lang w:val="en-IE"/>
        </w:rPr>
        <w:t xml:space="preserve">that the court </w:t>
      </w:r>
      <w:r w:rsidRPr="00411456">
        <w:rPr>
          <w:color w:val="000000"/>
          <w:lang w:val="en-IE"/>
        </w:rPr>
        <w:t>can adjourn the hearing of any motion to allow parties to b</w:t>
      </w:r>
      <w:r w:rsidR="00A85762" w:rsidRPr="00411456">
        <w:rPr>
          <w:color w:val="000000"/>
          <w:lang w:val="en-IE"/>
        </w:rPr>
        <w:t>e notified. Presumably,</w:t>
      </w:r>
      <w:r w:rsidRPr="00411456">
        <w:rPr>
          <w:color w:val="000000"/>
          <w:lang w:val="en-IE"/>
        </w:rPr>
        <w:t xml:space="preserve"> any company which wished to be heard on an appli</w:t>
      </w:r>
      <w:r w:rsidR="00A85762" w:rsidRPr="00411456">
        <w:rPr>
          <w:color w:val="000000"/>
          <w:lang w:val="en-IE"/>
        </w:rPr>
        <w:t xml:space="preserve">cation of this nature and </w:t>
      </w:r>
      <w:r w:rsidRPr="00411456">
        <w:rPr>
          <w:color w:val="000000"/>
          <w:lang w:val="en-IE"/>
        </w:rPr>
        <w:t>bei</w:t>
      </w:r>
      <w:r w:rsidR="00A85762" w:rsidRPr="00411456">
        <w:rPr>
          <w:color w:val="000000"/>
          <w:lang w:val="en-IE"/>
        </w:rPr>
        <w:t>ng on notice of the application</w:t>
      </w:r>
      <w:r w:rsidRPr="00411456">
        <w:rPr>
          <w:color w:val="000000"/>
          <w:lang w:val="en-IE"/>
        </w:rPr>
        <w:t xml:space="preserve"> by</w:t>
      </w:r>
      <w:r w:rsidR="00A85762" w:rsidRPr="00411456">
        <w:rPr>
          <w:color w:val="000000"/>
          <w:lang w:val="en-IE"/>
        </w:rPr>
        <w:t xml:space="preserve"> reason of the service effected under O. 75, r. 3(2)</w:t>
      </w:r>
      <w:r w:rsidR="004A2355">
        <w:rPr>
          <w:color w:val="000000"/>
          <w:lang w:val="en-IE"/>
        </w:rPr>
        <w:t>,</w:t>
      </w:r>
      <w:r w:rsidRPr="00411456">
        <w:rPr>
          <w:color w:val="000000"/>
          <w:lang w:val="en-IE"/>
        </w:rPr>
        <w:t xml:space="preserve"> would be afforded that opportunity by the court before </w:t>
      </w:r>
      <w:r w:rsidR="00A85762" w:rsidRPr="00411456">
        <w:rPr>
          <w:color w:val="000000"/>
          <w:lang w:val="en-IE"/>
        </w:rPr>
        <w:t>any order was made under s.</w:t>
      </w:r>
      <w:r w:rsidRPr="00411456">
        <w:rPr>
          <w:color w:val="000000"/>
          <w:lang w:val="en-IE"/>
        </w:rPr>
        <w:t xml:space="preserve"> 173. </w:t>
      </w:r>
    </w:p>
    <w:p w14:paraId="1F8C3B6B" w14:textId="4D93BA0C" w:rsidR="007639A6" w:rsidRPr="00411456" w:rsidRDefault="00EB20D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Although there may well be circumstances in which it is appropriate that the company be formally named as a respondent</w:t>
      </w:r>
      <w:r w:rsidR="00F05EC2" w:rsidRPr="00411456">
        <w:rPr>
          <w:color w:val="000000"/>
          <w:lang w:val="en-IE"/>
        </w:rPr>
        <w:t xml:space="preserve"> to an application under s.</w:t>
      </w:r>
      <w:r w:rsidRPr="00411456">
        <w:rPr>
          <w:color w:val="000000"/>
          <w:lang w:val="en-IE"/>
        </w:rPr>
        <w:t xml:space="preserve"> </w:t>
      </w:r>
      <w:r w:rsidR="00F05EC2" w:rsidRPr="00411456">
        <w:rPr>
          <w:color w:val="000000"/>
          <w:lang w:val="en-IE"/>
        </w:rPr>
        <w:t>173 in addition to the shareholders</w:t>
      </w:r>
      <w:r w:rsidRPr="00411456">
        <w:rPr>
          <w:color w:val="000000"/>
          <w:lang w:val="en-IE"/>
        </w:rPr>
        <w:t xml:space="preserve"> who</w:t>
      </w:r>
      <w:r w:rsidR="00F05EC2" w:rsidRPr="00411456">
        <w:rPr>
          <w:color w:val="000000"/>
          <w:lang w:val="en-IE"/>
        </w:rPr>
        <w:t>se</w:t>
      </w:r>
      <w:r w:rsidRPr="00411456">
        <w:rPr>
          <w:color w:val="000000"/>
          <w:lang w:val="en-IE"/>
        </w:rPr>
        <w:t xml:space="preserve"> shareholding </w:t>
      </w:r>
      <w:r w:rsidRPr="00411456">
        <w:rPr>
          <w:color w:val="000000"/>
          <w:lang w:val="en-IE"/>
        </w:rPr>
        <w:lastRenderedPageBreak/>
        <w:t>is in</w:t>
      </w:r>
      <w:r w:rsidR="00F05EC2" w:rsidRPr="00411456">
        <w:rPr>
          <w:color w:val="000000"/>
          <w:lang w:val="en-IE"/>
        </w:rPr>
        <w:t xml:space="preserve"> disput</w:t>
      </w:r>
      <w:r w:rsidRPr="00411456">
        <w:rPr>
          <w:color w:val="000000"/>
          <w:lang w:val="en-IE"/>
        </w:rPr>
        <w:t>e</w:t>
      </w:r>
      <w:r w:rsidR="00F05EC2" w:rsidRPr="00411456">
        <w:rPr>
          <w:color w:val="000000"/>
          <w:lang w:val="en-IE"/>
        </w:rPr>
        <w:t>,</w:t>
      </w:r>
      <w:r w:rsidRPr="00411456">
        <w:rPr>
          <w:color w:val="000000"/>
          <w:lang w:val="en-IE"/>
        </w:rPr>
        <w:t xml:space="preserve"> I do not think that</w:t>
      </w:r>
      <w:r w:rsidR="00D81006" w:rsidRPr="00411456">
        <w:rPr>
          <w:color w:val="000000"/>
          <w:lang w:val="en-IE"/>
        </w:rPr>
        <w:t xml:space="preserve"> this is such a case. I</w:t>
      </w:r>
      <w:r w:rsidRPr="00411456">
        <w:rPr>
          <w:color w:val="000000"/>
          <w:lang w:val="en-IE"/>
        </w:rPr>
        <w:t>n circumstances where the applicant expressly offered to join the company as a formal party to the application and the respond</w:t>
      </w:r>
      <w:r w:rsidR="007639A6" w:rsidRPr="00411456">
        <w:rPr>
          <w:color w:val="000000"/>
          <w:lang w:val="en-IE"/>
        </w:rPr>
        <w:t xml:space="preserve">ents declined </w:t>
      </w:r>
      <w:r w:rsidRPr="00411456">
        <w:rPr>
          <w:color w:val="000000"/>
          <w:lang w:val="en-IE"/>
        </w:rPr>
        <w:t>t</w:t>
      </w:r>
      <w:r w:rsidR="007639A6" w:rsidRPr="00411456">
        <w:rPr>
          <w:color w:val="000000"/>
          <w:lang w:val="en-IE"/>
        </w:rPr>
        <w:t>o engage with that offer,</w:t>
      </w:r>
      <w:r w:rsidRPr="00411456">
        <w:rPr>
          <w:color w:val="000000"/>
          <w:lang w:val="en-IE"/>
        </w:rPr>
        <w:t xml:space="preserve"> I am of the view that the continued reliance on this point by the respondents is a purely technical strategy </w:t>
      </w:r>
      <w:r w:rsidR="007639A6" w:rsidRPr="00411456">
        <w:rPr>
          <w:color w:val="000000"/>
          <w:lang w:val="en-IE"/>
        </w:rPr>
        <w:t>devoid of substantive merit</w:t>
      </w:r>
      <w:r w:rsidRPr="00411456">
        <w:rPr>
          <w:color w:val="000000"/>
          <w:lang w:val="en-IE"/>
        </w:rPr>
        <w:t>.</w:t>
      </w:r>
    </w:p>
    <w:p w14:paraId="3BE46B5E" w14:textId="77777777" w:rsidR="004A2355" w:rsidRDefault="004A2355" w:rsidP="004A0604">
      <w:pPr>
        <w:pStyle w:val="NormalWeb"/>
        <w:spacing w:before="0" w:beforeAutospacing="0" w:after="0" w:afterAutospacing="0" w:line="480" w:lineRule="auto"/>
        <w:jc w:val="both"/>
        <w:rPr>
          <w:b/>
          <w:color w:val="000000"/>
          <w:u w:val="single"/>
          <w:lang w:val="en-IE"/>
        </w:rPr>
      </w:pPr>
    </w:p>
    <w:p w14:paraId="61D03D8D" w14:textId="632274B7" w:rsidR="007639A6" w:rsidRPr="00411456" w:rsidRDefault="007639A6" w:rsidP="004A0604">
      <w:pPr>
        <w:pStyle w:val="NormalWeb"/>
        <w:spacing w:before="0" w:beforeAutospacing="0" w:after="0" w:afterAutospacing="0" w:line="480" w:lineRule="auto"/>
        <w:jc w:val="both"/>
        <w:rPr>
          <w:b/>
          <w:color w:val="000000"/>
          <w:u w:val="single"/>
          <w:lang w:val="en-IE"/>
        </w:rPr>
      </w:pPr>
      <w:r w:rsidRPr="00411456">
        <w:rPr>
          <w:b/>
          <w:color w:val="000000"/>
          <w:u w:val="single"/>
          <w:lang w:val="en-IE"/>
        </w:rPr>
        <w:t>S</w:t>
      </w:r>
      <w:r w:rsidR="00EB20DB" w:rsidRPr="00411456">
        <w:rPr>
          <w:b/>
          <w:color w:val="000000"/>
          <w:u w:val="single"/>
          <w:lang w:val="en-IE"/>
        </w:rPr>
        <w:t>ection 173</w:t>
      </w:r>
      <w:r w:rsidRPr="00411456">
        <w:rPr>
          <w:b/>
          <w:color w:val="000000"/>
          <w:u w:val="single"/>
          <w:lang w:val="en-IE"/>
        </w:rPr>
        <w:t xml:space="preserve"> of the</w:t>
      </w:r>
      <w:r w:rsidR="00EB20DB" w:rsidRPr="00411456">
        <w:rPr>
          <w:b/>
          <w:color w:val="000000"/>
          <w:u w:val="single"/>
          <w:lang w:val="en-IE"/>
        </w:rPr>
        <w:t xml:space="preserve"> Companies Act 2014 </w:t>
      </w:r>
    </w:p>
    <w:p w14:paraId="0CD64795" w14:textId="6C254EC0" w:rsidR="007639A6" w:rsidRPr="00411456" w:rsidRDefault="007639A6"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Turning to </w:t>
      </w:r>
      <w:r w:rsidR="00EB20DB" w:rsidRPr="00411456">
        <w:rPr>
          <w:color w:val="000000"/>
          <w:lang w:val="en-IE"/>
        </w:rPr>
        <w:t>the</w:t>
      </w:r>
      <w:r w:rsidRPr="00411456">
        <w:rPr>
          <w:color w:val="000000"/>
          <w:lang w:val="en-IE"/>
        </w:rPr>
        <w:t xml:space="preserve"> substantive application, s.</w:t>
      </w:r>
      <w:r w:rsidR="00EB20DB" w:rsidRPr="00411456">
        <w:rPr>
          <w:color w:val="000000"/>
          <w:lang w:val="en-IE"/>
        </w:rPr>
        <w:t xml:space="preserve"> 173 of the 2014 Act insofar as relevant provides as follows</w:t>
      </w:r>
      <w:r w:rsidRPr="00411456">
        <w:rPr>
          <w:color w:val="000000"/>
          <w:lang w:val="en-IE"/>
        </w:rPr>
        <w:t>:</w:t>
      </w:r>
      <w:r w:rsidR="00CF73D8">
        <w:rPr>
          <w:color w:val="000000"/>
          <w:lang w:val="en-IE"/>
        </w:rPr>
        <w:t xml:space="preserve"> </w:t>
      </w:r>
      <w:r w:rsidRPr="00411456">
        <w:rPr>
          <w:color w:val="000000"/>
          <w:lang w:val="en-IE"/>
        </w:rPr>
        <w:t>-</w:t>
      </w:r>
    </w:p>
    <w:p w14:paraId="1384CE30" w14:textId="77777777" w:rsidR="007639A6" w:rsidRPr="00411456" w:rsidRDefault="00FF2B6B" w:rsidP="004A0604">
      <w:pPr>
        <w:pStyle w:val="NormalWeb"/>
        <w:spacing w:before="0" w:beforeAutospacing="0" w:after="0" w:afterAutospacing="0" w:line="480" w:lineRule="auto"/>
        <w:ind w:firstLine="720"/>
        <w:jc w:val="both"/>
        <w:rPr>
          <w:i/>
          <w:color w:val="000000"/>
          <w:lang w:val="en-IE"/>
        </w:rPr>
      </w:pPr>
      <w:r w:rsidRPr="00411456">
        <w:rPr>
          <w:i/>
          <w:color w:val="000000"/>
          <w:lang w:val="en-IE"/>
        </w:rPr>
        <w:t>“</w:t>
      </w:r>
      <w:r w:rsidR="007639A6" w:rsidRPr="00411456">
        <w:rPr>
          <w:i/>
          <w:color w:val="000000"/>
          <w:lang w:val="en-IE"/>
        </w:rPr>
        <w:t>(1)</w:t>
      </w:r>
      <w:r w:rsidR="007639A6" w:rsidRPr="00411456">
        <w:rPr>
          <w:i/>
          <w:color w:val="000000"/>
          <w:lang w:val="en-IE"/>
        </w:rPr>
        <w:tab/>
        <w:t>If—</w:t>
      </w:r>
    </w:p>
    <w:p w14:paraId="68E6BD9C" w14:textId="77777777" w:rsidR="007639A6" w:rsidRPr="00411456" w:rsidRDefault="007639A6" w:rsidP="004A0604">
      <w:pPr>
        <w:pStyle w:val="NormalWeb"/>
        <w:spacing w:before="0" w:beforeAutospacing="0" w:after="0" w:afterAutospacing="0" w:line="480" w:lineRule="auto"/>
        <w:ind w:left="2160" w:hanging="720"/>
        <w:jc w:val="both"/>
        <w:rPr>
          <w:i/>
          <w:color w:val="000000"/>
          <w:lang w:val="en-IE"/>
        </w:rPr>
      </w:pPr>
      <w:r w:rsidRPr="00411456">
        <w:rPr>
          <w:i/>
          <w:color w:val="000000"/>
          <w:lang w:val="en-IE"/>
        </w:rPr>
        <w:t xml:space="preserve">(a) </w:t>
      </w:r>
      <w:r w:rsidRPr="00411456">
        <w:rPr>
          <w:i/>
          <w:color w:val="000000"/>
          <w:lang w:val="en-IE"/>
        </w:rPr>
        <w:tab/>
        <w:t>the name of any person is, without sufficient cause, entered in the register of members or omitted from it, in contravention of subsections (1) and (3) of section 169, or</w:t>
      </w:r>
    </w:p>
    <w:p w14:paraId="7704F005" w14:textId="77777777" w:rsidR="007639A6" w:rsidRPr="00411456" w:rsidRDefault="007639A6" w:rsidP="004A0604">
      <w:pPr>
        <w:pStyle w:val="NormalWeb"/>
        <w:spacing w:before="0" w:beforeAutospacing="0" w:after="0" w:afterAutospacing="0" w:line="480" w:lineRule="auto"/>
        <w:ind w:left="2160" w:hanging="720"/>
        <w:jc w:val="both"/>
        <w:rPr>
          <w:i/>
          <w:color w:val="000000"/>
          <w:lang w:val="en-IE"/>
        </w:rPr>
      </w:pPr>
      <w:r w:rsidRPr="00411456">
        <w:rPr>
          <w:i/>
          <w:color w:val="000000"/>
          <w:lang w:val="en-IE"/>
        </w:rPr>
        <w:t xml:space="preserve">(b) </w:t>
      </w:r>
      <w:r w:rsidRPr="00411456">
        <w:rPr>
          <w:i/>
          <w:color w:val="000000"/>
          <w:lang w:val="en-IE"/>
        </w:rPr>
        <w:tab/>
        <w:t>default is made in entering on the register, within the period fixed by subsection (4) of section 169, the fact of any person’s having ceased to be a member,</w:t>
      </w:r>
    </w:p>
    <w:p w14:paraId="1378F4AB" w14:textId="77777777" w:rsidR="007639A6" w:rsidRPr="00411456" w:rsidRDefault="007639A6" w:rsidP="004A0604">
      <w:pPr>
        <w:pStyle w:val="NormalWeb"/>
        <w:spacing w:before="0" w:beforeAutospacing="0" w:after="0" w:afterAutospacing="0" w:line="480" w:lineRule="auto"/>
        <w:ind w:left="1440"/>
        <w:jc w:val="both"/>
        <w:rPr>
          <w:i/>
          <w:color w:val="000000"/>
          <w:lang w:val="en-IE"/>
        </w:rPr>
      </w:pPr>
      <w:r w:rsidRPr="00411456">
        <w:rPr>
          <w:i/>
          <w:color w:val="000000"/>
          <w:lang w:val="en-IE"/>
        </w:rPr>
        <w:t>the person aggrieved, or any member of the company, or the company, may apply to the court for rectification of the register.</w:t>
      </w:r>
    </w:p>
    <w:p w14:paraId="224EF98C" w14:textId="77777777" w:rsidR="007639A6" w:rsidRPr="00411456" w:rsidRDefault="007639A6" w:rsidP="004A0604">
      <w:pPr>
        <w:pStyle w:val="NormalWeb"/>
        <w:spacing w:before="0" w:beforeAutospacing="0" w:after="0" w:afterAutospacing="0" w:line="480" w:lineRule="auto"/>
        <w:ind w:firstLine="720"/>
        <w:jc w:val="both"/>
        <w:rPr>
          <w:i/>
          <w:color w:val="000000"/>
          <w:lang w:val="en-IE"/>
        </w:rPr>
      </w:pPr>
    </w:p>
    <w:p w14:paraId="4AC836E4" w14:textId="77777777" w:rsidR="007639A6" w:rsidRPr="00411456" w:rsidRDefault="007639A6" w:rsidP="004A0604">
      <w:pPr>
        <w:pStyle w:val="NormalWeb"/>
        <w:spacing w:before="0" w:beforeAutospacing="0" w:after="0" w:afterAutospacing="0" w:line="480" w:lineRule="auto"/>
        <w:ind w:left="1440" w:hanging="720"/>
        <w:jc w:val="both"/>
        <w:rPr>
          <w:i/>
          <w:color w:val="000000"/>
          <w:lang w:val="en-IE"/>
        </w:rPr>
      </w:pPr>
      <w:r w:rsidRPr="00411456">
        <w:rPr>
          <w:i/>
          <w:color w:val="000000"/>
          <w:lang w:val="en-IE"/>
        </w:rPr>
        <w:t xml:space="preserve">(2) </w:t>
      </w:r>
      <w:r w:rsidRPr="00411456">
        <w:rPr>
          <w:i/>
          <w:color w:val="000000"/>
          <w:lang w:val="en-IE"/>
        </w:rPr>
        <w:tab/>
        <w:t>Where an application is made under this section, the court may either refuse the application or may order rectification of the register and payment by the company of compensation for any loss sustained by any party aggrieved.</w:t>
      </w:r>
    </w:p>
    <w:p w14:paraId="7DEEAA28" w14:textId="77777777" w:rsidR="007639A6" w:rsidRPr="00411456" w:rsidRDefault="007639A6" w:rsidP="004A0604">
      <w:pPr>
        <w:pStyle w:val="NormalWeb"/>
        <w:spacing w:before="0" w:beforeAutospacing="0" w:after="0" w:afterAutospacing="0" w:line="480" w:lineRule="auto"/>
        <w:ind w:firstLine="720"/>
        <w:jc w:val="both"/>
        <w:rPr>
          <w:i/>
          <w:color w:val="000000"/>
          <w:lang w:val="en-IE"/>
        </w:rPr>
      </w:pPr>
    </w:p>
    <w:p w14:paraId="4802BEDC" w14:textId="77777777" w:rsidR="00EB20DB" w:rsidRPr="00411456" w:rsidRDefault="007639A6" w:rsidP="004A0604">
      <w:pPr>
        <w:pStyle w:val="NormalWeb"/>
        <w:spacing w:before="0" w:beforeAutospacing="0" w:after="0" w:afterAutospacing="0" w:line="480" w:lineRule="auto"/>
        <w:ind w:left="1440" w:hanging="720"/>
        <w:jc w:val="both"/>
        <w:rPr>
          <w:i/>
          <w:color w:val="000000"/>
          <w:lang w:val="en-IE"/>
        </w:rPr>
      </w:pPr>
      <w:r w:rsidRPr="00411456">
        <w:rPr>
          <w:i/>
          <w:color w:val="000000"/>
          <w:lang w:val="en-IE"/>
        </w:rPr>
        <w:t xml:space="preserve">(3) </w:t>
      </w:r>
      <w:r w:rsidRPr="00411456">
        <w:rPr>
          <w:i/>
          <w:color w:val="000000"/>
          <w:lang w:val="en-IE"/>
        </w:rPr>
        <w:tab/>
        <w:t xml:space="preserve">On an application under this section the court may decide any question relating to the title of any person who is a party to the application to have his or her name entered in or omitted </w:t>
      </w:r>
      <w:r w:rsidRPr="00411456">
        <w:rPr>
          <w:i/>
          <w:color w:val="000000"/>
          <w:lang w:val="en-IE"/>
        </w:rPr>
        <w:lastRenderedPageBreak/>
        <w:t>from the register (whether the question arises between members or alleged members, or between members or alleged members on the one hand and the company on the other hand) and generally may decide any question necessary or expedient to be decided for rectification of the register.</w:t>
      </w:r>
      <w:r w:rsidR="00FF2B6B" w:rsidRPr="00411456">
        <w:rPr>
          <w:i/>
          <w:color w:val="000000"/>
          <w:lang w:val="en-IE"/>
        </w:rPr>
        <w:t>”</w:t>
      </w:r>
    </w:p>
    <w:p w14:paraId="2C60E15A" w14:textId="6E4B0A91" w:rsidR="00BC3D7A" w:rsidRPr="00411456" w:rsidRDefault="00FF2B6B"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The respondents contend that the applicant, being the person aggrieved under s. 173(1), bears the burden of demonstrating that the order for rectification should be made. I accept that this is so largely because, in normal course, as the moving party, the applicant bears the onus of proof in the application which it has brought before the court. The respondents also point to s. 171 of the 2014 Act under which the register is </w:t>
      </w:r>
      <w:r w:rsidRPr="00411456">
        <w:rPr>
          <w:i/>
          <w:color w:val="000000"/>
          <w:lang w:val="en-IE"/>
        </w:rPr>
        <w:t>prima facie</w:t>
      </w:r>
      <w:r w:rsidRPr="00411456">
        <w:rPr>
          <w:color w:val="000000"/>
          <w:lang w:val="en-IE"/>
        </w:rPr>
        <w:t xml:space="preserve"> evidence of the matters directed or authorised by the Act to be recorded in it</w:t>
      </w:r>
      <w:r w:rsidR="004A2355">
        <w:rPr>
          <w:color w:val="000000"/>
          <w:lang w:val="en-IE"/>
        </w:rPr>
        <w:t>.</w:t>
      </w:r>
      <w:r w:rsidR="00CF73D8">
        <w:rPr>
          <w:color w:val="000000"/>
          <w:lang w:val="en-IE"/>
        </w:rPr>
        <w:t xml:space="preserve"> </w:t>
      </w:r>
      <w:r w:rsidR="001803AE">
        <w:rPr>
          <w:color w:val="000000"/>
          <w:lang w:val="en-IE"/>
        </w:rPr>
        <w:t xml:space="preserve">Relying on the presumption of the correctness of the register, the respondents argue </w:t>
      </w:r>
      <w:r w:rsidRPr="00411456">
        <w:rPr>
          <w:color w:val="000000"/>
          <w:lang w:val="en-IE"/>
        </w:rPr>
        <w:t>that the applicant bears the onus of dislodging this evidential presumption. The latter argument would carry more weight were the actions of the direct</w:t>
      </w:r>
      <w:r w:rsidR="00BC3D7A" w:rsidRPr="00411456">
        <w:rPr>
          <w:color w:val="000000"/>
          <w:lang w:val="en-IE"/>
        </w:rPr>
        <w:t xml:space="preserve">ors of the company in completing </w:t>
      </w:r>
      <w:r w:rsidR="00EB20DB" w:rsidRPr="00411456">
        <w:rPr>
          <w:color w:val="000000"/>
          <w:lang w:val="en-IE"/>
        </w:rPr>
        <w:t>the registration of the transfer in 2021 not themselves impugned in the proceedings</w:t>
      </w:r>
      <w:r w:rsidR="00BC3D7A" w:rsidRPr="00411456">
        <w:rPr>
          <w:color w:val="000000"/>
          <w:lang w:val="en-IE"/>
        </w:rPr>
        <w:t xml:space="preserve">. However, I </w:t>
      </w:r>
      <w:r w:rsidR="00EB20DB" w:rsidRPr="00411456">
        <w:rPr>
          <w:color w:val="000000"/>
          <w:lang w:val="en-IE"/>
        </w:rPr>
        <w:t>regar</w:t>
      </w:r>
      <w:r w:rsidR="00BC3D7A" w:rsidRPr="00411456">
        <w:rPr>
          <w:color w:val="000000"/>
          <w:lang w:val="en-IE"/>
        </w:rPr>
        <w:t xml:space="preserve">d this consideration as largely </w:t>
      </w:r>
      <w:r w:rsidR="004A2355">
        <w:rPr>
          <w:color w:val="000000"/>
          <w:lang w:val="en-IE"/>
        </w:rPr>
        <w:t xml:space="preserve">redundant </w:t>
      </w:r>
      <w:r w:rsidR="00EB20DB" w:rsidRPr="00411456">
        <w:rPr>
          <w:color w:val="000000"/>
          <w:lang w:val="en-IE"/>
        </w:rPr>
        <w:t>because, in my view, the applicant bears the onus of proof in any event.</w:t>
      </w:r>
      <w:r w:rsidR="001803AE">
        <w:rPr>
          <w:color w:val="000000"/>
          <w:lang w:val="en-IE"/>
        </w:rPr>
        <w:t xml:space="preserve">  The correctness of the register in this case depends on the validity of the steps taken to </w:t>
      </w:r>
      <w:proofErr w:type="gramStart"/>
      <w:r w:rsidR="001803AE">
        <w:rPr>
          <w:color w:val="000000"/>
          <w:lang w:val="en-IE"/>
        </w:rPr>
        <w:t>effect</w:t>
      </w:r>
      <w:proofErr w:type="gramEnd"/>
      <w:r w:rsidR="001803AE">
        <w:rPr>
          <w:color w:val="000000"/>
          <w:lang w:val="en-IE"/>
        </w:rPr>
        <w:t xml:space="preserve"> the 2013 transaction and not the registration of the transfer in 2021. </w:t>
      </w:r>
    </w:p>
    <w:p w14:paraId="2610AC14" w14:textId="3F60AC31" w:rsidR="00796133" w:rsidRDefault="00BC3D7A" w:rsidP="004A0604">
      <w:pPr>
        <w:pStyle w:val="NormalWeb"/>
        <w:numPr>
          <w:ilvl w:val="0"/>
          <w:numId w:val="1"/>
        </w:numPr>
        <w:spacing w:before="0" w:beforeAutospacing="0" w:after="0" w:afterAutospacing="0" w:line="480" w:lineRule="auto"/>
        <w:ind w:left="0" w:firstLine="0"/>
        <w:jc w:val="both"/>
        <w:rPr>
          <w:color w:val="000000"/>
          <w:lang w:val="en-IE"/>
        </w:rPr>
      </w:pPr>
      <w:r w:rsidRPr="00411456">
        <w:rPr>
          <w:color w:val="000000"/>
          <w:lang w:val="en-IE"/>
        </w:rPr>
        <w:t xml:space="preserve">Secondly, </w:t>
      </w:r>
      <w:r w:rsidR="00EB20DB" w:rsidRPr="00411456">
        <w:rPr>
          <w:color w:val="000000"/>
          <w:lang w:val="en-IE"/>
        </w:rPr>
        <w:t>it is accepted by both parties that the key matter of which th</w:t>
      </w:r>
      <w:r w:rsidRPr="00411456">
        <w:rPr>
          <w:color w:val="000000"/>
          <w:lang w:val="en-IE"/>
        </w:rPr>
        <w:t>e court must be satisfied is whe</w:t>
      </w:r>
      <w:r w:rsidR="00EB20DB" w:rsidRPr="00411456">
        <w:rPr>
          <w:color w:val="000000"/>
          <w:lang w:val="en-IE"/>
        </w:rPr>
        <w:t>ther the removal of the applicant</w:t>
      </w:r>
      <w:r w:rsidRPr="00411456">
        <w:rPr>
          <w:color w:val="000000"/>
          <w:lang w:val="en-IE"/>
        </w:rPr>
        <w:t>’</w:t>
      </w:r>
      <w:r w:rsidR="00EB20DB" w:rsidRPr="00411456">
        <w:rPr>
          <w:color w:val="000000"/>
          <w:lang w:val="en-IE"/>
        </w:rPr>
        <w:t>s name from the register of members</w:t>
      </w:r>
      <w:r w:rsidRPr="00411456">
        <w:rPr>
          <w:color w:val="000000"/>
          <w:lang w:val="en-IE"/>
        </w:rPr>
        <w:t>,</w:t>
      </w:r>
      <w:r w:rsidR="00EB20DB" w:rsidRPr="00411456">
        <w:rPr>
          <w:color w:val="000000"/>
          <w:lang w:val="en-IE"/>
        </w:rPr>
        <w:t xml:space="preserve"> or conversely</w:t>
      </w:r>
      <w:r w:rsidRPr="00411456">
        <w:rPr>
          <w:color w:val="000000"/>
          <w:lang w:val="en-IE"/>
        </w:rPr>
        <w:t xml:space="preserve">, the entry of </w:t>
      </w:r>
      <w:proofErr w:type="gramStart"/>
      <w:r w:rsidRPr="00411456">
        <w:rPr>
          <w:color w:val="000000"/>
          <w:lang w:val="en-IE"/>
        </w:rPr>
        <w:t>Amber’s</w:t>
      </w:r>
      <w:proofErr w:type="gramEnd"/>
      <w:r w:rsidRPr="00411456">
        <w:rPr>
          <w:color w:val="000000"/>
          <w:lang w:val="en-IE"/>
        </w:rPr>
        <w:t xml:space="preserve"> name</w:t>
      </w:r>
      <w:r w:rsidR="00EB20DB" w:rsidRPr="00411456">
        <w:rPr>
          <w:color w:val="000000"/>
          <w:lang w:val="en-IE"/>
        </w:rPr>
        <w:t xml:space="preserve"> as the owner of shares transf</w:t>
      </w:r>
      <w:r w:rsidR="002F5223" w:rsidRPr="00411456">
        <w:rPr>
          <w:color w:val="000000"/>
          <w:lang w:val="en-IE"/>
        </w:rPr>
        <w:t xml:space="preserve">erred by the applicant, was done </w:t>
      </w:r>
      <w:r w:rsidR="002F5223" w:rsidRPr="00411456">
        <w:rPr>
          <w:i/>
          <w:color w:val="000000"/>
          <w:lang w:val="en-IE"/>
        </w:rPr>
        <w:t>“</w:t>
      </w:r>
      <w:r w:rsidR="00EB20DB" w:rsidRPr="00411456">
        <w:rPr>
          <w:i/>
          <w:color w:val="000000"/>
          <w:lang w:val="en-IE"/>
        </w:rPr>
        <w:t>without sufficient cause</w:t>
      </w:r>
      <w:r w:rsidR="002F5223" w:rsidRPr="00411456">
        <w:rPr>
          <w:i/>
          <w:color w:val="000000"/>
          <w:lang w:val="en-IE"/>
        </w:rPr>
        <w:t>”</w:t>
      </w:r>
      <w:r w:rsidR="00EB20DB" w:rsidRPr="00411456">
        <w:rPr>
          <w:color w:val="000000"/>
          <w:lang w:val="en-IE"/>
        </w:rPr>
        <w:t>. In this context, the applica</w:t>
      </w:r>
      <w:r w:rsidR="002F5223" w:rsidRPr="00411456">
        <w:rPr>
          <w:color w:val="000000"/>
          <w:lang w:val="en-IE"/>
        </w:rPr>
        <w:t>nt relies on what it characteris</w:t>
      </w:r>
      <w:r w:rsidR="00EB20DB" w:rsidRPr="00411456">
        <w:rPr>
          <w:color w:val="000000"/>
          <w:lang w:val="en-IE"/>
        </w:rPr>
        <w:t xml:space="preserve">es as being the </w:t>
      </w:r>
      <w:r w:rsidR="00EB20DB" w:rsidRPr="00411456">
        <w:rPr>
          <w:i/>
          <w:color w:val="000000"/>
          <w:lang w:val="en-IE"/>
        </w:rPr>
        <w:t>status quo</w:t>
      </w:r>
      <w:r w:rsidR="002F5223" w:rsidRPr="00411456">
        <w:rPr>
          <w:color w:val="000000"/>
          <w:lang w:val="en-IE"/>
        </w:rPr>
        <w:t xml:space="preserve"> which pertained until February 2021 w</w:t>
      </w:r>
      <w:r w:rsidR="00EB20DB" w:rsidRPr="00411456">
        <w:rPr>
          <w:color w:val="000000"/>
          <w:lang w:val="en-IE"/>
        </w:rPr>
        <w:t xml:space="preserve">hen </w:t>
      </w:r>
      <w:proofErr w:type="gramStart"/>
      <w:r w:rsidR="00EB20DB" w:rsidRPr="00411456">
        <w:rPr>
          <w:color w:val="000000"/>
          <w:lang w:val="en-IE"/>
        </w:rPr>
        <w:t>all of</w:t>
      </w:r>
      <w:proofErr w:type="gramEnd"/>
      <w:r w:rsidR="00EB20DB" w:rsidRPr="00411456">
        <w:rPr>
          <w:color w:val="000000"/>
          <w:lang w:val="en-IE"/>
        </w:rPr>
        <w:t xml:space="preserve"> the formal company documentation and the r</w:t>
      </w:r>
      <w:r w:rsidR="002F5223" w:rsidRPr="00411456">
        <w:rPr>
          <w:color w:val="000000"/>
          <w:lang w:val="en-IE"/>
        </w:rPr>
        <w:t>eturns made to the CRO</w:t>
      </w:r>
      <w:r w:rsidR="00EB20DB" w:rsidRPr="00411456">
        <w:rPr>
          <w:color w:val="000000"/>
          <w:lang w:val="en-IE"/>
        </w:rPr>
        <w:t xml:space="preserve"> s</w:t>
      </w:r>
      <w:r w:rsidR="002F5223" w:rsidRPr="00411456">
        <w:rPr>
          <w:color w:val="000000"/>
          <w:lang w:val="en-IE"/>
        </w:rPr>
        <w:t>howed both the applicant and Amber as being the owner of 50 o</w:t>
      </w:r>
      <w:r w:rsidR="00EB20DB" w:rsidRPr="00411456">
        <w:rPr>
          <w:color w:val="000000"/>
          <w:lang w:val="en-IE"/>
        </w:rPr>
        <w:t>rdinary shares in the company. The applicant disputes the respondents</w:t>
      </w:r>
      <w:r w:rsidR="002F5223" w:rsidRPr="00411456">
        <w:rPr>
          <w:color w:val="000000"/>
          <w:lang w:val="en-IE"/>
        </w:rPr>
        <w:t>’</w:t>
      </w:r>
      <w:r w:rsidR="00EB20DB" w:rsidRPr="00411456">
        <w:rPr>
          <w:color w:val="000000"/>
          <w:lang w:val="en-IE"/>
        </w:rPr>
        <w:t xml:space="preserve"> contention that the r</w:t>
      </w:r>
      <w:r w:rsidR="002F5223" w:rsidRPr="00411456">
        <w:rPr>
          <w:color w:val="000000"/>
          <w:lang w:val="en-IE"/>
        </w:rPr>
        <w:t>ights purportedly exercised by A</w:t>
      </w:r>
      <w:r w:rsidR="00EB20DB" w:rsidRPr="00411456">
        <w:rPr>
          <w:color w:val="000000"/>
          <w:lang w:val="en-IE"/>
        </w:rPr>
        <w:t xml:space="preserve">mber in 2013 constitute a </w:t>
      </w:r>
      <w:r w:rsidR="002F5223" w:rsidRPr="00411456">
        <w:rPr>
          <w:i/>
          <w:color w:val="000000"/>
          <w:lang w:val="en-IE"/>
        </w:rPr>
        <w:lastRenderedPageBreak/>
        <w:t>“</w:t>
      </w:r>
      <w:r w:rsidR="00EB20DB" w:rsidRPr="00411456">
        <w:rPr>
          <w:i/>
          <w:color w:val="000000"/>
          <w:lang w:val="en-IE"/>
        </w:rPr>
        <w:t>sufficient cause</w:t>
      </w:r>
      <w:r w:rsidR="002F5223" w:rsidRPr="00411456">
        <w:rPr>
          <w:i/>
          <w:color w:val="000000"/>
          <w:lang w:val="en-IE"/>
        </w:rPr>
        <w:t>”</w:t>
      </w:r>
      <w:r w:rsidR="00EB20DB" w:rsidRPr="00411456">
        <w:rPr>
          <w:color w:val="000000"/>
          <w:lang w:val="en-IE"/>
        </w:rPr>
        <w:t>. Alternatively, the applicant argues that the respondent has not put evidence before the court to e</w:t>
      </w:r>
      <w:r w:rsidR="002F5223" w:rsidRPr="00411456">
        <w:rPr>
          <w:color w:val="000000"/>
          <w:lang w:val="en-IE"/>
        </w:rPr>
        <w:t>stablish the steps taken to vest</w:t>
      </w:r>
      <w:r w:rsidR="00EB20DB" w:rsidRPr="00411456">
        <w:rPr>
          <w:color w:val="000000"/>
          <w:lang w:val="en-IE"/>
        </w:rPr>
        <w:t xml:space="preserve"> the shares in </w:t>
      </w:r>
      <w:r w:rsidR="002F5223" w:rsidRPr="00411456">
        <w:rPr>
          <w:color w:val="000000"/>
          <w:lang w:val="en-IE"/>
        </w:rPr>
        <w:t xml:space="preserve">Amber. The </w:t>
      </w:r>
      <w:r w:rsidR="00EB20DB" w:rsidRPr="00411456">
        <w:rPr>
          <w:color w:val="000000"/>
          <w:lang w:val="en-IE"/>
        </w:rPr>
        <w:t>respondents</w:t>
      </w:r>
      <w:r w:rsidR="002F5223" w:rsidRPr="00411456">
        <w:rPr>
          <w:color w:val="000000"/>
          <w:lang w:val="en-IE"/>
        </w:rPr>
        <w:t>,</w:t>
      </w:r>
      <w:r w:rsidR="00EB20DB" w:rsidRPr="00411456">
        <w:rPr>
          <w:color w:val="000000"/>
          <w:lang w:val="en-IE"/>
        </w:rPr>
        <w:t xml:space="preserve"> in contrast, </w:t>
      </w:r>
      <w:r w:rsidR="002F5223" w:rsidRPr="00411456">
        <w:rPr>
          <w:color w:val="000000"/>
          <w:lang w:val="en-IE"/>
        </w:rPr>
        <w:t xml:space="preserve">rely on their purchase of </w:t>
      </w:r>
      <w:proofErr w:type="gramStart"/>
      <w:r w:rsidR="002F5223" w:rsidRPr="00411456">
        <w:rPr>
          <w:color w:val="000000"/>
          <w:lang w:val="en-IE"/>
        </w:rPr>
        <w:t>Amber’s</w:t>
      </w:r>
      <w:proofErr w:type="gramEnd"/>
      <w:r w:rsidR="002F5223" w:rsidRPr="00411456">
        <w:rPr>
          <w:color w:val="000000"/>
          <w:lang w:val="en-IE"/>
        </w:rPr>
        <w:t xml:space="preserve"> shares in 2013</w:t>
      </w:r>
      <w:r w:rsidR="00EB20DB" w:rsidRPr="00411456">
        <w:rPr>
          <w:color w:val="000000"/>
          <w:lang w:val="en-IE"/>
        </w:rPr>
        <w:t xml:space="preserve"> pursuant to a deemed transfer notice as having transferred the beneficial interest in those shar</w:t>
      </w:r>
      <w:r w:rsidR="002F5223" w:rsidRPr="00411456">
        <w:rPr>
          <w:color w:val="000000"/>
          <w:lang w:val="en-IE"/>
        </w:rPr>
        <w:t>es t</w:t>
      </w:r>
      <w:r w:rsidR="00EB20DB" w:rsidRPr="00411456">
        <w:rPr>
          <w:color w:val="000000"/>
          <w:lang w:val="en-IE"/>
        </w:rPr>
        <w:t>o Amber regardless of the fact that the share</w:t>
      </w:r>
      <w:r w:rsidR="002F5223" w:rsidRPr="00411456">
        <w:rPr>
          <w:color w:val="000000"/>
          <w:lang w:val="en-IE"/>
        </w:rPr>
        <w:t>s were only registered in Amber’s name some eight years later</w:t>
      </w:r>
      <w:r w:rsidR="00EB20DB" w:rsidRPr="00411456">
        <w:rPr>
          <w:color w:val="000000"/>
          <w:lang w:val="en-IE"/>
        </w:rPr>
        <w:t xml:space="preserve"> in February 2021.</w:t>
      </w:r>
    </w:p>
    <w:p w14:paraId="3CF01620" w14:textId="20442AA8" w:rsidR="00053F5E" w:rsidRDefault="00936CE0" w:rsidP="004A0604">
      <w:pPr>
        <w:pStyle w:val="NormalWeb"/>
        <w:numPr>
          <w:ilvl w:val="0"/>
          <w:numId w:val="1"/>
        </w:numPr>
        <w:spacing w:before="0" w:beforeAutospacing="0" w:after="0" w:afterAutospacing="0" w:line="480" w:lineRule="auto"/>
        <w:ind w:left="0" w:firstLine="0"/>
        <w:jc w:val="both"/>
        <w:rPr>
          <w:color w:val="000000"/>
          <w:lang w:val="en-IE"/>
        </w:rPr>
      </w:pPr>
      <w:r w:rsidRPr="00796133">
        <w:rPr>
          <w:color w:val="000000"/>
          <w:lang w:val="en-IE"/>
        </w:rPr>
        <w:t>Essentially, the issue in this case n</w:t>
      </w:r>
      <w:r w:rsidR="00411456" w:rsidRPr="00796133">
        <w:rPr>
          <w:color w:val="000000"/>
          <w:lang w:val="en-IE"/>
        </w:rPr>
        <w:t>et</w:t>
      </w:r>
      <w:r w:rsidRPr="00796133">
        <w:rPr>
          <w:color w:val="000000"/>
          <w:lang w:val="en-IE"/>
        </w:rPr>
        <w:t xml:space="preserve">s down to the question </w:t>
      </w:r>
      <w:r w:rsidR="00411456" w:rsidRPr="00796133">
        <w:rPr>
          <w:color w:val="000000"/>
          <w:lang w:val="en-IE"/>
        </w:rPr>
        <w:t>of whe</w:t>
      </w:r>
      <w:r w:rsidRPr="00796133">
        <w:rPr>
          <w:color w:val="000000"/>
          <w:lang w:val="en-IE"/>
        </w:rPr>
        <w:t>ther the steps taken pursuant to clause 11.5 of the shareholders</w:t>
      </w:r>
      <w:r w:rsidR="00411456" w:rsidRPr="00796133">
        <w:rPr>
          <w:color w:val="000000"/>
          <w:lang w:val="en-IE"/>
        </w:rPr>
        <w:t>’</w:t>
      </w:r>
      <w:r w:rsidRPr="00796133">
        <w:rPr>
          <w:color w:val="000000"/>
          <w:lang w:val="en-IE"/>
        </w:rPr>
        <w:t xml:space="preserve"> agreement in 2012</w:t>
      </w:r>
      <w:r w:rsidR="00411456" w:rsidRPr="00796133">
        <w:rPr>
          <w:color w:val="000000"/>
          <w:lang w:val="en-IE"/>
        </w:rPr>
        <w:t>/</w:t>
      </w:r>
      <w:r w:rsidRPr="00796133">
        <w:rPr>
          <w:color w:val="000000"/>
          <w:lang w:val="en-IE"/>
        </w:rPr>
        <w:t>2013 constitute</w:t>
      </w:r>
      <w:r w:rsidR="00411456" w:rsidRPr="00796133">
        <w:rPr>
          <w:color w:val="000000"/>
          <w:lang w:val="en-IE"/>
        </w:rPr>
        <w:t xml:space="preserve"> </w:t>
      </w:r>
      <w:r w:rsidR="00411456" w:rsidRPr="00796133">
        <w:rPr>
          <w:i/>
          <w:iCs/>
          <w:color w:val="000000"/>
          <w:lang w:val="en-IE"/>
        </w:rPr>
        <w:t>“</w:t>
      </w:r>
      <w:r w:rsidRPr="00796133">
        <w:rPr>
          <w:i/>
          <w:iCs/>
          <w:color w:val="000000"/>
          <w:lang w:val="en-IE"/>
        </w:rPr>
        <w:t>sufficient cause</w:t>
      </w:r>
      <w:r w:rsidR="00411456" w:rsidRPr="00796133">
        <w:rPr>
          <w:i/>
          <w:iCs/>
          <w:color w:val="000000"/>
          <w:lang w:val="en-IE"/>
        </w:rPr>
        <w:t>”</w:t>
      </w:r>
      <w:r w:rsidRPr="00796133">
        <w:rPr>
          <w:color w:val="000000"/>
          <w:lang w:val="en-IE"/>
        </w:rPr>
        <w:t xml:space="preserve"> to justify the removal of the applicant</w:t>
      </w:r>
      <w:r w:rsidR="00411456" w:rsidRPr="00796133">
        <w:rPr>
          <w:color w:val="000000"/>
          <w:lang w:val="en-IE"/>
        </w:rPr>
        <w:t>’</w:t>
      </w:r>
      <w:r w:rsidRPr="00796133">
        <w:rPr>
          <w:color w:val="000000"/>
          <w:lang w:val="en-IE"/>
        </w:rPr>
        <w:t>s name from the register of members of the company, especially when considered in light of all of the circumstances, including the delay in registering the transfer and the continued returns to the CR</w:t>
      </w:r>
      <w:r w:rsidR="00411456" w:rsidRPr="00796133">
        <w:rPr>
          <w:color w:val="000000"/>
          <w:lang w:val="en-IE"/>
        </w:rPr>
        <w:t>O</w:t>
      </w:r>
      <w:r w:rsidRPr="00796133">
        <w:rPr>
          <w:color w:val="000000"/>
          <w:lang w:val="en-IE"/>
        </w:rPr>
        <w:t xml:space="preserve"> showing the applicant as a member of the company. </w:t>
      </w:r>
      <w:proofErr w:type="gramStart"/>
      <w:r w:rsidRPr="00796133">
        <w:rPr>
          <w:color w:val="000000"/>
          <w:lang w:val="en-IE"/>
        </w:rPr>
        <w:t>In order to</w:t>
      </w:r>
      <w:proofErr w:type="gramEnd"/>
      <w:r w:rsidRPr="00796133">
        <w:rPr>
          <w:color w:val="000000"/>
          <w:lang w:val="en-IE"/>
        </w:rPr>
        <w:t xml:space="preserve"> consider the adequacy and indeed the legal validity of the steps taken under clause 11.5</w:t>
      </w:r>
      <w:r w:rsidR="00411456" w:rsidRPr="00796133">
        <w:rPr>
          <w:color w:val="000000"/>
          <w:lang w:val="en-IE"/>
        </w:rPr>
        <w:t>, i</w:t>
      </w:r>
      <w:r w:rsidRPr="00796133">
        <w:rPr>
          <w:color w:val="000000"/>
          <w:lang w:val="en-IE"/>
        </w:rPr>
        <w:t>t will be necessary to construe the terms of that clause</w:t>
      </w:r>
      <w:r w:rsidR="001803AE">
        <w:rPr>
          <w:color w:val="000000"/>
          <w:lang w:val="en-IE"/>
        </w:rPr>
        <w:t>.</w:t>
      </w:r>
      <w:r w:rsidRPr="00796133">
        <w:rPr>
          <w:color w:val="000000"/>
          <w:lang w:val="en-IE"/>
        </w:rPr>
        <w:t xml:space="preserve"> </w:t>
      </w:r>
      <w:r w:rsidR="001803AE">
        <w:rPr>
          <w:color w:val="000000"/>
          <w:lang w:val="en-IE"/>
        </w:rPr>
        <w:t>A</w:t>
      </w:r>
      <w:r w:rsidRPr="00796133">
        <w:rPr>
          <w:color w:val="000000"/>
          <w:lang w:val="en-IE"/>
        </w:rPr>
        <w:t>s previously not</w:t>
      </w:r>
      <w:r w:rsidR="00411456" w:rsidRPr="00796133">
        <w:rPr>
          <w:color w:val="000000"/>
          <w:lang w:val="en-IE"/>
        </w:rPr>
        <w:t>ed,</w:t>
      </w:r>
      <w:r w:rsidRPr="00796133">
        <w:rPr>
          <w:color w:val="000000"/>
          <w:lang w:val="en-IE"/>
        </w:rPr>
        <w:t xml:space="preserve"> </w:t>
      </w:r>
      <w:r w:rsidR="001803AE">
        <w:rPr>
          <w:color w:val="000000"/>
          <w:lang w:val="en-IE"/>
        </w:rPr>
        <w:t>th</w:t>
      </w:r>
      <w:r w:rsidRPr="00796133">
        <w:rPr>
          <w:color w:val="000000"/>
          <w:lang w:val="en-IE"/>
        </w:rPr>
        <w:t>is likely to present some difficulties</w:t>
      </w:r>
      <w:r w:rsidR="00411456" w:rsidRPr="00796133">
        <w:rPr>
          <w:color w:val="000000"/>
          <w:lang w:val="en-IE"/>
        </w:rPr>
        <w:t xml:space="preserve">. </w:t>
      </w:r>
    </w:p>
    <w:p w14:paraId="2F5C21F4" w14:textId="68602093" w:rsidR="00576B19" w:rsidRPr="00796133" w:rsidRDefault="00936CE0" w:rsidP="004A0604">
      <w:pPr>
        <w:pStyle w:val="NormalWeb"/>
        <w:numPr>
          <w:ilvl w:val="0"/>
          <w:numId w:val="1"/>
        </w:numPr>
        <w:spacing w:before="0" w:beforeAutospacing="0" w:after="0" w:afterAutospacing="0" w:line="480" w:lineRule="auto"/>
        <w:ind w:left="0" w:firstLine="0"/>
        <w:jc w:val="both"/>
        <w:rPr>
          <w:color w:val="000000"/>
          <w:lang w:val="en-IE"/>
        </w:rPr>
      </w:pPr>
      <w:r w:rsidRPr="00796133">
        <w:rPr>
          <w:color w:val="000000"/>
          <w:lang w:val="en-IE"/>
        </w:rPr>
        <w:t>T</w:t>
      </w:r>
      <w:r w:rsidR="00411456" w:rsidRPr="00796133">
        <w:rPr>
          <w:color w:val="000000"/>
          <w:lang w:val="en-IE"/>
        </w:rPr>
        <w:t>he</w:t>
      </w:r>
      <w:r w:rsidRPr="00796133">
        <w:rPr>
          <w:color w:val="000000"/>
          <w:lang w:val="en-IE"/>
        </w:rPr>
        <w:t xml:space="preserve"> fin</w:t>
      </w:r>
      <w:r w:rsidR="00411456" w:rsidRPr="00796133">
        <w:rPr>
          <w:color w:val="000000"/>
          <w:lang w:val="en-IE"/>
        </w:rPr>
        <w:t>al</w:t>
      </w:r>
      <w:r w:rsidRPr="00796133">
        <w:rPr>
          <w:color w:val="000000"/>
          <w:lang w:val="en-IE"/>
        </w:rPr>
        <w:t xml:space="preserve"> matter to note in looking at s</w:t>
      </w:r>
      <w:r w:rsidR="00411456" w:rsidRPr="00796133">
        <w:rPr>
          <w:color w:val="000000"/>
          <w:lang w:val="en-IE"/>
        </w:rPr>
        <w:t>.</w:t>
      </w:r>
      <w:r w:rsidRPr="00796133">
        <w:rPr>
          <w:color w:val="000000"/>
          <w:lang w:val="en-IE"/>
        </w:rPr>
        <w:t xml:space="preserve"> 173 is the breadth of the jurisdiction conferred on the court under </w:t>
      </w:r>
      <w:r w:rsidR="00411456" w:rsidRPr="00796133">
        <w:rPr>
          <w:color w:val="000000"/>
          <w:lang w:val="en-IE"/>
        </w:rPr>
        <w:t>s.</w:t>
      </w:r>
      <w:r w:rsidRPr="00796133">
        <w:rPr>
          <w:color w:val="000000"/>
          <w:lang w:val="en-IE"/>
        </w:rPr>
        <w:t xml:space="preserve"> 173</w:t>
      </w:r>
      <w:r w:rsidR="00411456" w:rsidRPr="00796133">
        <w:rPr>
          <w:color w:val="000000"/>
          <w:lang w:val="en-IE"/>
        </w:rPr>
        <w:t>(3)</w:t>
      </w:r>
      <w:r w:rsidRPr="00796133">
        <w:rPr>
          <w:color w:val="000000"/>
          <w:lang w:val="en-IE"/>
        </w:rPr>
        <w:t xml:space="preserve">. The jurisdiction is not limited to the formalities of registration but allows the court to decide any question in relation to the title of any person to the shares, and any question necessary or expedient to be decided for the rectification of the register. The applicant describes </w:t>
      </w:r>
      <w:r w:rsidR="00411456" w:rsidRPr="00796133">
        <w:rPr>
          <w:color w:val="000000"/>
          <w:lang w:val="en-IE"/>
        </w:rPr>
        <w:t>s.</w:t>
      </w:r>
      <w:r w:rsidRPr="00796133">
        <w:rPr>
          <w:color w:val="000000"/>
          <w:lang w:val="en-IE"/>
        </w:rPr>
        <w:t xml:space="preserve"> 173</w:t>
      </w:r>
      <w:r w:rsidR="00411456" w:rsidRPr="00796133">
        <w:rPr>
          <w:color w:val="000000"/>
          <w:lang w:val="en-IE"/>
        </w:rPr>
        <w:t>(3)</w:t>
      </w:r>
      <w:r w:rsidRPr="00796133">
        <w:rPr>
          <w:color w:val="000000"/>
          <w:lang w:val="en-IE"/>
        </w:rPr>
        <w:t xml:space="preserve"> as conferring on the court </w:t>
      </w:r>
      <w:r w:rsidR="00411456" w:rsidRPr="00796133">
        <w:rPr>
          <w:i/>
          <w:iCs/>
          <w:color w:val="000000"/>
          <w:lang w:val="en-IE"/>
        </w:rPr>
        <w:t>“</w:t>
      </w:r>
      <w:r w:rsidRPr="00796133">
        <w:rPr>
          <w:i/>
          <w:iCs/>
          <w:color w:val="000000"/>
          <w:lang w:val="en-IE"/>
        </w:rPr>
        <w:t xml:space="preserve">a strikingly broad </w:t>
      </w:r>
      <w:r w:rsidR="00411456" w:rsidRPr="00796133">
        <w:rPr>
          <w:i/>
          <w:iCs/>
          <w:color w:val="000000"/>
          <w:lang w:val="en-IE"/>
        </w:rPr>
        <w:t>discretion”</w:t>
      </w:r>
      <w:r w:rsidR="00411456" w:rsidRPr="00796133">
        <w:rPr>
          <w:color w:val="000000"/>
          <w:lang w:val="en-IE"/>
        </w:rPr>
        <w:t>.</w:t>
      </w:r>
      <w:r w:rsidRPr="00796133">
        <w:rPr>
          <w:color w:val="000000"/>
          <w:lang w:val="en-IE"/>
        </w:rPr>
        <w:t xml:space="preserve"> I</w:t>
      </w:r>
      <w:r w:rsidR="00411456" w:rsidRPr="00796133">
        <w:rPr>
          <w:color w:val="000000"/>
          <w:lang w:val="en-IE"/>
        </w:rPr>
        <w:t xml:space="preserve"> a</w:t>
      </w:r>
      <w:r w:rsidRPr="00796133">
        <w:rPr>
          <w:color w:val="000000"/>
          <w:lang w:val="en-IE"/>
        </w:rPr>
        <w:t>m not certain that the subsection con</w:t>
      </w:r>
      <w:r w:rsidR="00053F5E">
        <w:rPr>
          <w:color w:val="000000"/>
          <w:lang w:val="en-IE"/>
        </w:rPr>
        <w:t>fers</w:t>
      </w:r>
      <w:r w:rsidRPr="00796133">
        <w:rPr>
          <w:color w:val="000000"/>
          <w:lang w:val="en-IE"/>
        </w:rPr>
        <w:t xml:space="preserve"> a discretion as such. The jurisdiction </w:t>
      </w:r>
      <w:r w:rsidR="00411456" w:rsidRPr="00796133">
        <w:rPr>
          <w:color w:val="000000"/>
          <w:lang w:val="en-IE"/>
        </w:rPr>
        <w:t>is undoubtedly</w:t>
      </w:r>
      <w:r w:rsidRPr="00796133">
        <w:rPr>
          <w:color w:val="000000"/>
          <w:lang w:val="en-IE"/>
        </w:rPr>
        <w:t xml:space="preserve"> </w:t>
      </w:r>
      <w:proofErr w:type="gramStart"/>
      <w:r w:rsidRPr="00796133">
        <w:rPr>
          <w:color w:val="000000"/>
          <w:lang w:val="en-IE"/>
        </w:rPr>
        <w:t>broad</w:t>
      </w:r>
      <w:proofErr w:type="gramEnd"/>
      <w:r w:rsidRPr="00796133">
        <w:rPr>
          <w:color w:val="000000"/>
          <w:lang w:val="en-IE"/>
        </w:rPr>
        <w:t xml:space="preserve"> </w:t>
      </w:r>
      <w:r w:rsidR="00411456" w:rsidRPr="00796133">
        <w:rPr>
          <w:color w:val="000000"/>
          <w:lang w:val="en-IE"/>
        </w:rPr>
        <w:t xml:space="preserve">but it </w:t>
      </w:r>
      <w:r w:rsidRPr="00796133">
        <w:rPr>
          <w:color w:val="000000"/>
          <w:lang w:val="en-IE"/>
        </w:rPr>
        <w:t>is not necessarily a discretionary one</w:t>
      </w:r>
      <w:r w:rsidR="00411456" w:rsidRPr="00796133">
        <w:rPr>
          <w:color w:val="000000"/>
          <w:lang w:val="en-IE"/>
        </w:rPr>
        <w:t>.</w:t>
      </w:r>
      <w:r w:rsidRPr="00796133">
        <w:rPr>
          <w:color w:val="000000"/>
          <w:lang w:val="en-IE"/>
        </w:rPr>
        <w:t xml:space="preserve"> </w:t>
      </w:r>
      <w:r w:rsidR="00411456" w:rsidRPr="00796133">
        <w:rPr>
          <w:color w:val="000000"/>
          <w:lang w:val="en-IE"/>
        </w:rPr>
        <w:t>I</w:t>
      </w:r>
      <w:r w:rsidRPr="00796133">
        <w:rPr>
          <w:color w:val="000000"/>
          <w:lang w:val="en-IE"/>
        </w:rPr>
        <w:t>n my view</w:t>
      </w:r>
      <w:r w:rsidR="00411456" w:rsidRPr="00796133">
        <w:rPr>
          <w:color w:val="000000"/>
          <w:lang w:val="en-IE"/>
        </w:rPr>
        <w:t>,</w:t>
      </w:r>
      <w:r w:rsidRPr="00796133">
        <w:rPr>
          <w:color w:val="000000"/>
          <w:lang w:val="en-IE"/>
        </w:rPr>
        <w:t xml:space="preserve"> questions as to the title to shares must be determined in accordance with the applicable legal principles with the view of the court being relevant only to the sufficiency of the cause shown</w:t>
      </w:r>
      <w:r w:rsidR="00411456" w:rsidRPr="00796133">
        <w:rPr>
          <w:color w:val="000000"/>
          <w:lang w:val="en-IE"/>
        </w:rPr>
        <w:t>.</w:t>
      </w:r>
      <w:r w:rsidRPr="00796133">
        <w:rPr>
          <w:color w:val="000000"/>
          <w:lang w:val="en-IE"/>
        </w:rPr>
        <w:t xml:space="preserve"> </w:t>
      </w:r>
      <w:r w:rsidR="00411456" w:rsidRPr="00796133">
        <w:rPr>
          <w:color w:val="000000"/>
          <w:lang w:val="en-IE"/>
        </w:rPr>
        <w:t>B</w:t>
      </w:r>
      <w:r w:rsidRPr="00796133">
        <w:rPr>
          <w:color w:val="000000"/>
          <w:lang w:val="en-IE"/>
        </w:rPr>
        <w:t>y way of an aside on this issu</w:t>
      </w:r>
      <w:r w:rsidR="00576B19" w:rsidRPr="00796133">
        <w:rPr>
          <w:color w:val="000000"/>
          <w:lang w:val="en-IE"/>
        </w:rPr>
        <w:t>e</w:t>
      </w:r>
      <w:r w:rsidRPr="00796133">
        <w:rPr>
          <w:color w:val="000000"/>
          <w:lang w:val="en-IE"/>
        </w:rPr>
        <w:t>, although I have dealt with the respondents</w:t>
      </w:r>
      <w:r w:rsidR="00576B19" w:rsidRPr="00796133">
        <w:rPr>
          <w:color w:val="000000"/>
          <w:lang w:val="en-IE"/>
        </w:rPr>
        <w:t>’</w:t>
      </w:r>
      <w:r w:rsidRPr="00796133">
        <w:rPr>
          <w:color w:val="000000"/>
          <w:lang w:val="en-IE"/>
        </w:rPr>
        <w:t xml:space="preserve"> preliminary objection as to the form of the proceedings on a different basis, it seems to me that the relief sought by the applicant regarding the decision of the directors to remove the applicant from the register of members as reflected in the s</w:t>
      </w:r>
      <w:r w:rsidR="00576B19" w:rsidRPr="00796133">
        <w:rPr>
          <w:color w:val="000000"/>
          <w:lang w:val="en-IE"/>
        </w:rPr>
        <w:t>olicitor’</w:t>
      </w:r>
      <w:r w:rsidRPr="00796133">
        <w:rPr>
          <w:color w:val="000000"/>
          <w:lang w:val="en-IE"/>
        </w:rPr>
        <w:t xml:space="preserve">s </w:t>
      </w:r>
      <w:r w:rsidRPr="00796133">
        <w:rPr>
          <w:color w:val="000000"/>
          <w:lang w:val="en-IE"/>
        </w:rPr>
        <w:lastRenderedPageBreak/>
        <w:t xml:space="preserve">correspondence of </w:t>
      </w:r>
      <w:r w:rsidR="00576B19" w:rsidRPr="00796133">
        <w:rPr>
          <w:color w:val="000000"/>
          <w:lang w:val="en-IE"/>
        </w:rPr>
        <w:t>8</w:t>
      </w:r>
      <w:r w:rsidRPr="00796133">
        <w:rPr>
          <w:color w:val="000000"/>
          <w:vertAlign w:val="superscript"/>
          <w:lang w:val="en-IE"/>
        </w:rPr>
        <w:t>th</w:t>
      </w:r>
      <w:r w:rsidR="00576B19" w:rsidRPr="00796133">
        <w:rPr>
          <w:color w:val="000000"/>
          <w:lang w:val="en-IE"/>
        </w:rPr>
        <w:t xml:space="preserve"> </w:t>
      </w:r>
      <w:r w:rsidRPr="00796133">
        <w:rPr>
          <w:color w:val="000000"/>
          <w:lang w:val="en-IE"/>
        </w:rPr>
        <w:t>and 12</w:t>
      </w:r>
      <w:r w:rsidRPr="00796133">
        <w:rPr>
          <w:color w:val="000000"/>
          <w:vertAlign w:val="superscript"/>
          <w:lang w:val="en-IE"/>
        </w:rPr>
        <w:t>th</w:t>
      </w:r>
      <w:r w:rsidR="00576B19" w:rsidRPr="00796133">
        <w:rPr>
          <w:color w:val="000000"/>
          <w:lang w:val="en-IE"/>
        </w:rPr>
        <w:t xml:space="preserve"> </w:t>
      </w:r>
      <w:r w:rsidRPr="00796133">
        <w:rPr>
          <w:color w:val="000000"/>
          <w:lang w:val="en-IE"/>
        </w:rPr>
        <w:t>February 2021</w:t>
      </w:r>
      <w:r w:rsidR="00576B19" w:rsidRPr="00796133">
        <w:rPr>
          <w:color w:val="000000"/>
          <w:lang w:val="en-IE"/>
        </w:rPr>
        <w:t>, i</w:t>
      </w:r>
      <w:r w:rsidRPr="00796133">
        <w:rPr>
          <w:color w:val="000000"/>
          <w:lang w:val="en-IE"/>
        </w:rPr>
        <w:t>s a ma</w:t>
      </w:r>
      <w:r w:rsidR="00576B19" w:rsidRPr="00796133">
        <w:rPr>
          <w:color w:val="000000"/>
          <w:lang w:val="en-IE"/>
        </w:rPr>
        <w:t>tter</w:t>
      </w:r>
      <w:r w:rsidRPr="00796133">
        <w:rPr>
          <w:color w:val="000000"/>
          <w:lang w:val="en-IE"/>
        </w:rPr>
        <w:t xml:space="preserve"> within the scope of s</w:t>
      </w:r>
      <w:r w:rsidR="00576B19" w:rsidRPr="00796133">
        <w:rPr>
          <w:color w:val="000000"/>
          <w:lang w:val="en-IE"/>
        </w:rPr>
        <w:t>.</w:t>
      </w:r>
      <w:r w:rsidRPr="00796133">
        <w:rPr>
          <w:color w:val="000000"/>
          <w:lang w:val="en-IE"/>
        </w:rPr>
        <w:t xml:space="preserve"> 173</w:t>
      </w:r>
      <w:r w:rsidR="00576B19" w:rsidRPr="00796133">
        <w:rPr>
          <w:color w:val="000000"/>
          <w:lang w:val="en-IE"/>
        </w:rPr>
        <w:t xml:space="preserve">(3) </w:t>
      </w:r>
      <w:r w:rsidR="008006C4">
        <w:rPr>
          <w:color w:val="000000"/>
          <w:lang w:val="en-IE"/>
        </w:rPr>
        <w:t>as a matter or question necessary to be decided for the rectification of the register.</w:t>
      </w:r>
      <w:r w:rsidRPr="00796133">
        <w:rPr>
          <w:color w:val="000000"/>
          <w:lang w:val="en-IE"/>
        </w:rPr>
        <w:t xml:space="preserve"> </w:t>
      </w:r>
      <w:r w:rsidR="008006C4">
        <w:rPr>
          <w:color w:val="000000"/>
          <w:lang w:val="en-IE"/>
        </w:rPr>
        <w:t>B</w:t>
      </w:r>
      <w:r w:rsidRPr="00796133">
        <w:rPr>
          <w:color w:val="000000"/>
          <w:lang w:val="en-IE"/>
        </w:rPr>
        <w:t xml:space="preserve">y extension </w:t>
      </w:r>
      <w:r w:rsidR="008006C4">
        <w:rPr>
          <w:color w:val="000000"/>
          <w:lang w:val="en-IE"/>
        </w:rPr>
        <w:t xml:space="preserve">it is </w:t>
      </w:r>
      <w:r w:rsidRPr="00796133">
        <w:rPr>
          <w:color w:val="000000"/>
          <w:lang w:val="en-IE"/>
        </w:rPr>
        <w:t>proper</w:t>
      </w:r>
      <w:r w:rsidR="00576B19" w:rsidRPr="00796133">
        <w:rPr>
          <w:color w:val="000000"/>
          <w:lang w:val="en-IE"/>
        </w:rPr>
        <w:t>l</w:t>
      </w:r>
      <w:r w:rsidRPr="00796133">
        <w:rPr>
          <w:color w:val="000000"/>
          <w:lang w:val="en-IE"/>
        </w:rPr>
        <w:t xml:space="preserve">y the subject of an application bought on foot </w:t>
      </w:r>
      <w:r w:rsidR="00576B19" w:rsidRPr="00796133">
        <w:rPr>
          <w:color w:val="000000"/>
          <w:lang w:val="en-IE"/>
        </w:rPr>
        <w:t>of</w:t>
      </w:r>
      <w:r w:rsidRPr="00796133">
        <w:rPr>
          <w:color w:val="000000"/>
          <w:lang w:val="en-IE"/>
        </w:rPr>
        <w:t xml:space="preserve"> an originating </w:t>
      </w:r>
      <w:r w:rsidR="00576B19" w:rsidRPr="00796133">
        <w:rPr>
          <w:color w:val="000000"/>
          <w:lang w:val="en-IE"/>
        </w:rPr>
        <w:t>n</w:t>
      </w:r>
      <w:r w:rsidRPr="00796133">
        <w:rPr>
          <w:color w:val="000000"/>
          <w:lang w:val="en-IE"/>
        </w:rPr>
        <w:t xml:space="preserve">otice of </w:t>
      </w:r>
      <w:r w:rsidR="00576B19" w:rsidRPr="00796133">
        <w:rPr>
          <w:color w:val="000000"/>
          <w:lang w:val="en-IE"/>
        </w:rPr>
        <w:t>m</w:t>
      </w:r>
      <w:r w:rsidRPr="00796133">
        <w:rPr>
          <w:color w:val="000000"/>
          <w:lang w:val="en-IE"/>
        </w:rPr>
        <w:t>otion under</w:t>
      </w:r>
      <w:r w:rsidR="00576B19" w:rsidRPr="00796133">
        <w:rPr>
          <w:color w:val="000000"/>
          <w:lang w:val="en-IE"/>
        </w:rPr>
        <w:t xml:space="preserve"> O.</w:t>
      </w:r>
      <w:r w:rsidRPr="00796133">
        <w:rPr>
          <w:color w:val="000000"/>
          <w:lang w:val="en-IE"/>
        </w:rPr>
        <w:t xml:space="preserve"> 75 of the </w:t>
      </w:r>
      <w:r w:rsidR="00576B19" w:rsidRPr="00796133">
        <w:rPr>
          <w:color w:val="000000"/>
          <w:lang w:val="en-IE"/>
        </w:rPr>
        <w:t>RSC.</w:t>
      </w:r>
    </w:p>
    <w:p w14:paraId="19EE7FDE" w14:textId="77777777" w:rsidR="008006C4" w:rsidRDefault="008006C4" w:rsidP="004A0604">
      <w:pPr>
        <w:pStyle w:val="NormalWeb"/>
        <w:spacing w:before="0" w:beforeAutospacing="0" w:after="0" w:afterAutospacing="0" w:line="480" w:lineRule="auto"/>
        <w:jc w:val="both"/>
        <w:rPr>
          <w:b/>
          <w:bCs/>
          <w:color w:val="000000"/>
          <w:u w:val="single"/>
          <w:lang w:val="en-IE"/>
        </w:rPr>
      </w:pPr>
    </w:p>
    <w:p w14:paraId="342F7F55" w14:textId="73432B06" w:rsidR="00576B19" w:rsidRPr="00576B19" w:rsidRDefault="00576B19" w:rsidP="004A0604">
      <w:pPr>
        <w:pStyle w:val="NormalWeb"/>
        <w:spacing w:before="0" w:beforeAutospacing="0" w:after="0" w:afterAutospacing="0" w:line="480" w:lineRule="auto"/>
        <w:jc w:val="both"/>
        <w:rPr>
          <w:b/>
          <w:bCs/>
          <w:color w:val="000000"/>
          <w:u w:val="single"/>
          <w:lang w:val="en-IE"/>
        </w:rPr>
      </w:pPr>
      <w:r w:rsidRPr="00576B19">
        <w:rPr>
          <w:b/>
          <w:bCs/>
          <w:color w:val="000000"/>
          <w:u w:val="single"/>
          <w:lang w:val="en-IE"/>
        </w:rPr>
        <w:t>Clause</w:t>
      </w:r>
      <w:r w:rsidR="00936CE0" w:rsidRPr="00576B19">
        <w:rPr>
          <w:b/>
          <w:bCs/>
          <w:color w:val="000000"/>
          <w:u w:val="single"/>
          <w:lang w:val="en-IE"/>
        </w:rPr>
        <w:t xml:space="preserve"> 11.5 of the </w:t>
      </w:r>
      <w:r w:rsidR="00280779">
        <w:rPr>
          <w:b/>
          <w:bCs/>
          <w:color w:val="000000"/>
          <w:u w:val="single"/>
          <w:lang w:val="en-IE"/>
        </w:rPr>
        <w:t>S</w:t>
      </w:r>
      <w:r w:rsidR="00936CE0" w:rsidRPr="00576B19">
        <w:rPr>
          <w:b/>
          <w:bCs/>
          <w:color w:val="000000"/>
          <w:u w:val="single"/>
          <w:lang w:val="en-IE"/>
        </w:rPr>
        <w:t>hareholders</w:t>
      </w:r>
      <w:r w:rsidRPr="00576B19">
        <w:rPr>
          <w:b/>
          <w:bCs/>
          <w:color w:val="000000"/>
          <w:u w:val="single"/>
          <w:lang w:val="en-IE"/>
        </w:rPr>
        <w:t>’</w:t>
      </w:r>
      <w:r w:rsidR="00936CE0" w:rsidRPr="00576B19">
        <w:rPr>
          <w:b/>
          <w:bCs/>
          <w:color w:val="000000"/>
          <w:u w:val="single"/>
          <w:lang w:val="en-IE"/>
        </w:rPr>
        <w:t xml:space="preserve"> </w:t>
      </w:r>
      <w:r w:rsidR="00280779">
        <w:rPr>
          <w:b/>
          <w:bCs/>
          <w:color w:val="000000"/>
          <w:u w:val="single"/>
          <w:lang w:val="en-IE"/>
        </w:rPr>
        <w:t>A</w:t>
      </w:r>
      <w:r w:rsidR="00936CE0" w:rsidRPr="00576B19">
        <w:rPr>
          <w:b/>
          <w:bCs/>
          <w:color w:val="000000"/>
          <w:u w:val="single"/>
          <w:lang w:val="en-IE"/>
        </w:rPr>
        <w:t>greement</w:t>
      </w:r>
    </w:p>
    <w:p w14:paraId="21F024B6" w14:textId="67DFD779" w:rsidR="00936CE0" w:rsidRPr="00CD5614" w:rsidRDefault="00513C13" w:rsidP="008A391E">
      <w:pPr>
        <w:pStyle w:val="NormalWeb"/>
        <w:spacing w:before="0" w:beforeAutospacing="0" w:after="0" w:afterAutospacing="0" w:line="480" w:lineRule="auto"/>
        <w:jc w:val="both"/>
        <w:rPr>
          <w:color w:val="000000"/>
          <w:lang w:val="en-IE"/>
        </w:rPr>
      </w:pPr>
      <w:r w:rsidRPr="008A391E">
        <w:rPr>
          <w:b/>
          <w:color w:val="000000"/>
          <w:lang w:val="en-IE"/>
        </w:rPr>
        <w:t>48.</w:t>
      </w:r>
      <w:r>
        <w:rPr>
          <w:color w:val="000000"/>
          <w:lang w:val="en-IE"/>
        </w:rPr>
        <w:tab/>
      </w:r>
      <w:proofErr w:type="gramStart"/>
      <w:r w:rsidR="00936CE0" w:rsidRPr="00411456">
        <w:rPr>
          <w:color w:val="000000"/>
          <w:lang w:val="en-IE"/>
        </w:rPr>
        <w:t>In order to</w:t>
      </w:r>
      <w:proofErr w:type="gramEnd"/>
      <w:r w:rsidR="00936CE0" w:rsidRPr="00411456">
        <w:rPr>
          <w:color w:val="000000"/>
          <w:lang w:val="en-IE"/>
        </w:rPr>
        <w:t xml:space="preserve"> determine whether the steps taken by the respondent under clause 11.5 are adequate and</w:t>
      </w:r>
      <w:r w:rsidR="000776B2">
        <w:rPr>
          <w:color w:val="000000"/>
          <w:lang w:val="en-IE"/>
        </w:rPr>
        <w:t>/</w:t>
      </w:r>
      <w:r w:rsidR="00936CE0" w:rsidRPr="00411456">
        <w:rPr>
          <w:color w:val="000000"/>
          <w:lang w:val="en-IE"/>
        </w:rPr>
        <w:t>or legally valid, it is necessary to consider what clause 11.5 requires. The full text of the clause is set out earlier in this judgment</w:t>
      </w:r>
      <w:r w:rsidR="000776B2">
        <w:rPr>
          <w:color w:val="000000"/>
          <w:lang w:val="en-IE"/>
        </w:rPr>
        <w:t>. U</w:t>
      </w:r>
      <w:r w:rsidR="00936CE0" w:rsidRPr="00411456">
        <w:rPr>
          <w:color w:val="000000"/>
          <w:lang w:val="en-IE"/>
        </w:rPr>
        <w:t xml:space="preserve">nfortunately, it </w:t>
      </w:r>
      <w:r w:rsidR="000776B2">
        <w:rPr>
          <w:color w:val="000000"/>
          <w:lang w:val="en-IE"/>
        </w:rPr>
        <w:t>i</w:t>
      </w:r>
      <w:r w:rsidR="00936CE0" w:rsidRPr="00411456">
        <w:rPr>
          <w:color w:val="000000"/>
          <w:lang w:val="en-IE"/>
        </w:rPr>
        <w:t xml:space="preserve">s obvious that the clause has been very poorly drafted. </w:t>
      </w:r>
      <w:r w:rsidR="000776B2">
        <w:rPr>
          <w:color w:val="000000"/>
          <w:lang w:val="en-IE"/>
        </w:rPr>
        <w:t>Whilst</w:t>
      </w:r>
      <w:r w:rsidR="00936CE0" w:rsidRPr="00411456">
        <w:rPr>
          <w:color w:val="000000"/>
          <w:lang w:val="en-IE"/>
        </w:rPr>
        <w:t xml:space="preserve"> the general intent and scheme of the provision is relatively clear</w:t>
      </w:r>
      <w:r w:rsidR="000776B2">
        <w:rPr>
          <w:color w:val="000000"/>
          <w:lang w:val="en-IE"/>
        </w:rPr>
        <w:t>,</w:t>
      </w:r>
      <w:r w:rsidR="00936CE0" w:rsidRPr="00411456">
        <w:rPr>
          <w:color w:val="000000"/>
          <w:lang w:val="en-IE"/>
        </w:rPr>
        <w:t xml:space="preserve"> the precise </w:t>
      </w:r>
      <w:proofErr w:type="gramStart"/>
      <w:r w:rsidR="00936CE0" w:rsidRPr="00411456">
        <w:rPr>
          <w:color w:val="000000"/>
          <w:lang w:val="en-IE"/>
        </w:rPr>
        <w:t>manner in which</w:t>
      </w:r>
      <w:proofErr w:type="gramEnd"/>
      <w:r w:rsidR="00936CE0" w:rsidRPr="00411456">
        <w:rPr>
          <w:color w:val="000000"/>
          <w:lang w:val="en-IE"/>
        </w:rPr>
        <w:t xml:space="preserve"> </w:t>
      </w:r>
      <w:r w:rsidR="000776B2">
        <w:rPr>
          <w:color w:val="000000"/>
          <w:lang w:val="en-IE"/>
        </w:rPr>
        <w:t xml:space="preserve">it </w:t>
      </w:r>
      <w:r w:rsidR="00936CE0" w:rsidRPr="00411456">
        <w:rPr>
          <w:color w:val="000000"/>
          <w:lang w:val="en-IE"/>
        </w:rPr>
        <w:t xml:space="preserve">was intended to operate </w:t>
      </w:r>
      <w:r w:rsidR="000776B2">
        <w:rPr>
          <w:color w:val="000000"/>
          <w:lang w:val="en-IE"/>
        </w:rPr>
        <w:t xml:space="preserve">– </w:t>
      </w:r>
      <w:r w:rsidR="00936CE0" w:rsidRPr="00411456">
        <w:rPr>
          <w:color w:val="000000"/>
          <w:lang w:val="en-IE"/>
        </w:rPr>
        <w:t>especially w</w:t>
      </w:r>
      <w:r w:rsidR="000776B2">
        <w:rPr>
          <w:color w:val="000000"/>
          <w:lang w:val="en-IE"/>
        </w:rPr>
        <w:t>h</w:t>
      </w:r>
      <w:r w:rsidR="00936CE0" w:rsidRPr="00411456">
        <w:rPr>
          <w:color w:val="000000"/>
          <w:lang w:val="en-IE"/>
        </w:rPr>
        <w:t>ere</w:t>
      </w:r>
      <w:r w:rsidR="000776B2">
        <w:rPr>
          <w:color w:val="000000"/>
          <w:lang w:val="en-IE"/>
        </w:rPr>
        <w:t>,</w:t>
      </w:r>
      <w:r w:rsidR="00936CE0" w:rsidRPr="00411456">
        <w:rPr>
          <w:color w:val="000000"/>
          <w:lang w:val="en-IE"/>
        </w:rPr>
        <w:t xml:space="preserve"> as her</w:t>
      </w:r>
      <w:r w:rsidR="000776B2">
        <w:rPr>
          <w:color w:val="000000"/>
          <w:lang w:val="en-IE"/>
        </w:rPr>
        <w:t>e</w:t>
      </w:r>
      <w:r w:rsidR="00936CE0" w:rsidRPr="00411456">
        <w:rPr>
          <w:color w:val="000000"/>
          <w:lang w:val="en-IE"/>
        </w:rPr>
        <w:t xml:space="preserve">, its operation is triggered by the appointment of an examiner </w:t>
      </w:r>
      <w:r w:rsidR="000776B2">
        <w:rPr>
          <w:color w:val="000000"/>
          <w:lang w:val="en-IE"/>
        </w:rPr>
        <w:t>–</w:t>
      </w:r>
      <w:r w:rsidR="00936CE0" w:rsidRPr="000776B2">
        <w:rPr>
          <w:color w:val="000000"/>
          <w:lang w:val="en-IE"/>
        </w:rPr>
        <w:t xml:space="preserve"> is difficult to discern</w:t>
      </w:r>
      <w:r w:rsidR="000776B2">
        <w:rPr>
          <w:color w:val="000000"/>
          <w:lang w:val="en-IE"/>
        </w:rPr>
        <w:t>.</w:t>
      </w:r>
      <w:r w:rsidR="00936CE0" w:rsidRPr="000776B2">
        <w:rPr>
          <w:color w:val="000000"/>
          <w:lang w:val="en-IE"/>
        </w:rPr>
        <w:t xml:space="preserve"> </w:t>
      </w:r>
      <w:r w:rsidR="008006C4">
        <w:rPr>
          <w:color w:val="000000"/>
          <w:lang w:val="en-IE"/>
        </w:rPr>
        <w:t xml:space="preserve">The intent of the clause is that in the event of the insolvency of a shareholder, that shareholder will be required to offer its shares to the company or the other shareholder on the terms applicable generally under clause 11.  </w:t>
      </w:r>
      <w:r w:rsidR="000776B2">
        <w:rPr>
          <w:color w:val="000000"/>
          <w:lang w:val="en-IE"/>
        </w:rPr>
        <w:t>As noted, a</w:t>
      </w:r>
      <w:r w:rsidR="00936CE0" w:rsidRPr="000776B2">
        <w:rPr>
          <w:color w:val="000000"/>
          <w:lang w:val="en-IE"/>
        </w:rPr>
        <w:t>lthough the appointment of an examiner is listed as a trigger for the operation of clause 11.5</w:t>
      </w:r>
      <w:r w:rsidR="000776B2">
        <w:rPr>
          <w:color w:val="000000"/>
          <w:lang w:val="en-IE"/>
        </w:rPr>
        <w:t>,</w:t>
      </w:r>
      <w:r w:rsidR="00936CE0" w:rsidRPr="000776B2">
        <w:rPr>
          <w:color w:val="000000"/>
          <w:lang w:val="en-IE"/>
        </w:rPr>
        <w:t xml:space="preserve"> the clause does not mention examiner or examinership thereafter</w:t>
      </w:r>
      <w:r w:rsidR="000776B2">
        <w:rPr>
          <w:color w:val="000000"/>
          <w:lang w:val="en-IE"/>
        </w:rPr>
        <w:t>.</w:t>
      </w:r>
      <w:r w:rsidR="00936CE0" w:rsidRPr="000776B2">
        <w:rPr>
          <w:color w:val="000000"/>
          <w:lang w:val="en-IE"/>
        </w:rPr>
        <w:t xml:space="preserve"> </w:t>
      </w:r>
      <w:r w:rsidR="008006C4">
        <w:rPr>
          <w:color w:val="000000"/>
          <w:lang w:val="en-IE"/>
        </w:rPr>
        <w:t xml:space="preserve">The same difficulty arises in relation to the appointment of a </w:t>
      </w:r>
      <w:r w:rsidR="00E45335">
        <w:rPr>
          <w:color w:val="000000"/>
          <w:lang w:val="en-IE"/>
        </w:rPr>
        <w:t>receiver</w:t>
      </w:r>
      <w:r w:rsidR="008006C4">
        <w:rPr>
          <w:color w:val="000000"/>
          <w:lang w:val="en-IE"/>
        </w:rPr>
        <w:t xml:space="preserve">. </w:t>
      </w:r>
      <w:r w:rsidR="008006C4" w:rsidRPr="00411456">
        <w:rPr>
          <w:color w:val="000000"/>
          <w:lang w:val="en-IE"/>
        </w:rPr>
        <w:t>The cla</w:t>
      </w:r>
      <w:r w:rsidR="008006C4">
        <w:rPr>
          <w:color w:val="000000"/>
          <w:lang w:val="en-IE"/>
        </w:rPr>
        <w:t>use</w:t>
      </w:r>
      <w:r w:rsidR="008006C4" w:rsidRPr="00411456">
        <w:rPr>
          <w:color w:val="000000"/>
          <w:lang w:val="en-IE"/>
        </w:rPr>
        <w:t xml:space="preserve"> does not expressly provide for the point in time </w:t>
      </w:r>
      <w:r w:rsidR="008006C4">
        <w:rPr>
          <w:color w:val="000000"/>
          <w:lang w:val="en-IE"/>
        </w:rPr>
        <w:t>at</w:t>
      </w:r>
      <w:r w:rsidR="008006C4" w:rsidRPr="00411456">
        <w:rPr>
          <w:color w:val="000000"/>
          <w:lang w:val="en-IE"/>
        </w:rPr>
        <w:t xml:space="preserve"> which the transfer notice is deemed served </w:t>
      </w:r>
      <w:proofErr w:type="gramStart"/>
      <w:r w:rsidR="008006C4" w:rsidRPr="00411456">
        <w:rPr>
          <w:color w:val="000000"/>
          <w:lang w:val="en-IE"/>
        </w:rPr>
        <w:t>in the event that</w:t>
      </w:r>
      <w:proofErr w:type="gramEnd"/>
      <w:r w:rsidR="008006C4" w:rsidRPr="00411456">
        <w:rPr>
          <w:color w:val="000000"/>
          <w:lang w:val="en-IE"/>
        </w:rPr>
        <w:t xml:space="preserve"> its operation is triggered by the appointment of an examiner or indeed </w:t>
      </w:r>
      <w:r w:rsidR="008006C4">
        <w:rPr>
          <w:color w:val="000000"/>
          <w:lang w:val="en-IE"/>
        </w:rPr>
        <w:t>of</w:t>
      </w:r>
      <w:r w:rsidR="008006C4" w:rsidRPr="00411456">
        <w:rPr>
          <w:color w:val="000000"/>
          <w:lang w:val="en-IE"/>
        </w:rPr>
        <w:t xml:space="preserve"> a receiver.</w:t>
      </w:r>
      <w:r w:rsidR="008A391E">
        <w:rPr>
          <w:color w:val="000000"/>
          <w:lang w:val="en-IE"/>
        </w:rPr>
        <w:t xml:space="preserve"> </w:t>
      </w:r>
      <w:r w:rsidR="00936CE0" w:rsidRPr="00CD5614">
        <w:rPr>
          <w:color w:val="000000"/>
          <w:lang w:val="en-IE"/>
        </w:rPr>
        <w:t>Thus</w:t>
      </w:r>
      <w:r w:rsidR="000776B2" w:rsidRPr="00ED2F9B">
        <w:rPr>
          <w:color w:val="000000"/>
          <w:lang w:val="en-IE"/>
        </w:rPr>
        <w:t>,</w:t>
      </w:r>
      <w:r w:rsidR="00936CE0" w:rsidRPr="00ED2F9B">
        <w:rPr>
          <w:color w:val="000000"/>
          <w:lang w:val="en-IE"/>
        </w:rPr>
        <w:t xml:space="preserve"> if </w:t>
      </w:r>
      <w:r>
        <w:rPr>
          <w:color w:val="000000"/>
          <w:lang w:val="en-IE"/>
        </w:rPr>
        <w:t xml:space="preserve">clause 11.5 is </w:t>
      </w:r>
      <w:r w:rsidR="00936CE0" w:rsidRPr="00ED2F9B">
        <w:rPr>
          <w:color w:val="000000"/>
          <w:lang w:val="en-IE"/>
        </w:rPr>
        <w:t>read strictly</w:t>
      </w:r>
      <w:r w:rsidR="000776B2" w:rsidRPr="00ED2F9B">
        <w:rPr>
          <w:color w:val="000000"/>
          <w:lang w:val="en-IE"/>
        </w:rPr>
        <w:t>,</w:t>
      </w:r>
      <w:r w:rsidR="00936CE0" w:rsidRPr="00ED2F9B">
        <w:rPr>
          <w:color w:val="000000"/>
          <w:lang w:val="en-IE"/>
        </w:rPr>
        <w:t xml:space="preserve"> </w:t>
      </w:r>
      <w:r w:rsidR="000776B2" w:rsidRPr="00ED2F9B">
        <w:rPr>
          <w:color w:val="000000"/>
          <w:lang w:val="en-IE"/>
        </w:rPr>
        <w:t>a</w:t>
      </w:r>
      <w:r w:rsidR="00936CE0" w:rsidRPr="00862A90">
        <w:rPr>
          <w:color w:val="000000"/>
          <w:lang w:val="en-IE"/>
        </w:rPr>
        <w:t xml:space="preserve"> transfer notice is deemed to have been served immediately prior to the appointment</w:t>
      </w:r>
      <w:r w:rsidR="00936CE0" w:rsidRPr="00247132">
        <w:rPr>
          <w:color w:val="000000"/>
          <w:lang w:val="en-IE"/>
        </w:rPr>
        <w:t xml:space="preserve"> of a liquidator only and not prior to the appointment of an examiner</w:t>
      </w:r>
      <w:r w:rsidR="000776B2" w:rsidRPr="00CD5614">
        <w:rPr>
          <w:color w:val="000000"/>
          <w:lang w:val="en-IE"/>
        </w:rPr>
        <w:t>. T</w:t>
      </w:r>
      <w:r w:rsidR="00936CE0" w:rsidRPr="00CD5614">
        <w:rPr>
          <w:color w:val="000000"/>
          <w:lang w:val="en-IE"/>
        </w:rPr>
        <w:t xml:space="preserve">he deemed service of a transfer notice at </w:t>
      </w:r>
      <w:r w:rsidR="000776B2" w:rsidRPr="00CD5614">
        <w:rPr>
          <w:color w:val="000000"/>
          <w:lang w:val="en-IE"/>
        </w:rPr>
        <w:t>a</w:t>
      </w:r>
      <w:r w:rsidR="00936CE0" w:rsidRPr="00CD5614">
        <w:rPr>
          <w:color w:val="000000"/>
          <w:lang w:val="en-IE"/>
        </w:rPr>
        <w:t xml:space="preserve"> point prior to the commencement of a liquidation is legally significant as the commencement of the litigation itself may operate to restrict the ability of the company and</w:t>
      </w:r>
      <w:r w:rsidR="000776B2" w:rsidRPr="00CD5614">
        <w:rPr>
          <w:color w:val="000000"/>
          <w:lang w:val="en-IE"/>
        </w:rPr>
        <w:t>/</w:t>
      </w:r>
      <w:r w:rsidR="00936CE0" w:rsidRPr="00CD5614">
        <w:rPr>
          <w:color w:val="000000"/>
          <w:lang w:val="en-IE"/>
        </w:rPr>
        <w:t>or its shareholders to deal with the company</w:t>
      </w:r>
      <w:r w:rsidR="000776B2" w:rsidRPr="00CD5614">
        <w:rPr>
          <w:color w:val="000000"/>
          <w:lang w:val="en-IE"/>
        </w:rPr>
        <w:t>’</w:t>
      </w:r>
      <w:r w:rsidR="00936CE0" w:rsidRPr="00CD5614">
        <w:rPr>
          <w:color w:val="000000"/>
          <w:lang w:val="en-IE"/>
        </w:rPr>
        <w:t>s shares.</w:t>
      </w:r>
      <w:r w:rsidR="008006C4" w:rsidRPr="00CD5614">
        <w:rPr>
          <w:color w:val="000000"/>
          <w:lang w:val="en-IE"/>
        </w:rPr>
        <w:t xml:space="preserve"> </w:t>
      </w:r>
    </w:p>
    <w:p w14:paraId="370EA047" w14:textId="77777777" w:rsidR="000776B2" w:rsidRDefault="000776B2"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lastRenderedPageBreak/>
        <w:t>T</w:t>
      </w:r>
      <w:r w:rsidR="00936CE0" w:rsidRPr="000776B2">
        <w:rPr>
          <w:color w:val="000000"/>
          <w:lang w:val="en-IE"/>
        </w:rPr>
        <w:t xml:space="preserve">he applicant argues for a construction of the clause which would render it inoperable due to the absence of any timeframe for the </w:t>
      </w:r>
      <w:r>
        <w:rPr>
          <w:color w:val="000000"/>
          <w:lang w:val="en-IE"/>
        </w:rPr>
        <w:t xml:space="preserve">deemed </w:t>
      </w:r>
      <w:r w:rsidR="00936CE0" w:rsidRPr="000776B2">
        <w:rPr>
          <w:color w:val="000000"/>
          <w:lang w:val="en-IE"/>
        </w:rPr>
        <w:t>service of the notice of transfer in the circumstances which have arisen</w:t>
      </w:r>
      <w:r>
        <w:rPr>
          <w:color w:val="000000"/>
          <w:lang w:val="en-IE"/>
        </w:rPr>
        <w:t>.</w:t>
      </w:r>
      <w:r w:rsidR="00936CE0" w:rsidRPr="000776B2">
        <w:rPr>
          <w:color w:val="000000"/>
          <w:lang w:val="en-IE"/>
        </w:rPr>
        <w:t xml:space="preserve"> </w:t>
      </w:r>
      <w:r>
        <w:rPr>
          <w:color w:val="000000"/>
          <w:lang w:val="en-IE"/>
        </w:rPr>
        <w:t>E</w:t>
      </w:r>
      <w:r w:rsidR="00936CE0" w:rsidRPr="000776B2">
        <w:rPr>
          <w:color w:val="000000"/>
          <w:lang w:val="en-IE"/>
        </w:rPr>
        <w:t>ssentially</w:t>
      </w:r>
      <w:r>
        <w:rPr>
          <w:color w:val="000000"/>
          <w:lang w:val="en-IE"/>
        </w:rPr>
        <w:t>,</w:t>
      </w:r>
      <w:r w:rsidR="00936CE0" w:rsidRPr="000776B2">
        <w:rPr>
          <w:color w:val="000000"/>
          <w:lang w:val="en-IE"/>
        </w:rPr>
        <w:t xml:space="preserve"> the applicant</w:t>
      </w:r>
      <w:r>
        <w:rPr>
          <w:color w:val="000000"/>
          <w:lang w:val="en-IE"/>
        </w:rPr>
        <w:t>’</w:t>
      </w:r>
      <w:r w:rsidR="00936CE0" w:rsidRPr="000776B2">
        <w:rPr>
          <w:color w:val="000000"/>
          <w:lang w:val="en-IE"/>
        </w:rPr>
        <w:t>s case</w:t>
      </w:r>
      <w:r>
        <w:rPr>
          <w:color w:val="000000"/>
          <w:lang w:val="en-IE"/>
        </w:rPr>
        <w:t xml:space="preserve"> i</w:t>
      </w:r>
      <w:r w:rsidR="00936CE0" w:rsidRPr="000776B2">
        <w:rPr>
          <w:color w:val="000000"/>
          <w:lang w:val="en-IE"/>
        </w:rPr>
        <w:t>s that notwithstanding the appointment of an examine</w:t>
      </w:r>
      <w:r>
        <w:rPr>
          <w:color w:val="000000"/>
          <w:lang w:val="en-IE"/>
        </w:rPr>
        <w:t>r, i</w:t>
      </w:r>
      <w:r w:rsidR="00936CE0" w:rsidRPr="000776B2">
        <w:rPr>
          <w:color w:val="000000"/>
          <w:lang w:val="en-IE"/>
        </w:rPr>
        <w:t>n the absence of the appointment of a liquidator</w:t>
      </w:r>
      <w:r>
        <w:rPr>
          <w:color w:val="000000"/>
          <w:lang w:val="en-IE"/>
        </w:rPr>
        <w:t>, n</w:t>
      </w:r>
      <w:r w:rsidR="00936CE0" w:rsidRPr="000776B2">
        <w:rPr>
          <w:color w:val="000000"/>
          <w:lang w:val="en-IE"/>
        </w:rPr>
        <w:t>o transfer notice was deemed to have been served. The respondents contend that the absence of any subsequent reference to receiver or examiner is clearly an error in a poorly drafted provision. Consequently</w:t>
      </w:r>
      <w:r>
        <w:rPr>
          <w:color w:val="000000"/>
          <w:lang w:val="en-IE"/>
        </w:rPr>
        <w:t>,</w:t>
      </w:r>
      <w:r w:rsidR="00936CE0" w:rsidRPr="000776B2">
        <w:rPr>
          <w:color w:val="000000"/>
          <w:lang w:val="en-IE"/>
        </w:rPr>
        <w:t xml:space="preserve"> the subsequent reference to </w:t>
      </w:r>
      <w:r w:rsidRPr="000776B2">
        <w:rPr>
          <w:i/>
          <w:iCs/>
          <w:color w:val="000000"/>
          <w:lang w:val="en-IE"/>
        </w:rPr>
        <w:t>“</w:t>
      </w:r>
      <w:r w:rsidR="00936CE0" w:rsidRPr="000776B2">
        <w:rPr>
          <w:i/>
          <w:iCs/>
          <w:color w:val="000000"/>
          <w:lang w:val="en-IE"/>
        </w:rPr>
        <w:t>liquidator</w:t>
      </w:r>
      <w:r w:rsidRPr="000776B2">
        <w:rPr>
          <w:i/>
          <w:iCs/>
          <w:color w:val="000000"/>
          <w:lang w:val="en-IE"/>
        </w:rPr>
        <w:t>”</w:t>
      </w:r>
      <w:r w:rsidR="00936CE0" w:rsidRPr="000776B2">
        <w:rPr>
          <w:color w:val="000000"/>
          <w:lang w:val="en-IE"/>
        </w:rPr>
        <w:t xml:space="preserve"> should be read as if it also referred to a receiver or examiner or, t</w:t>
      </w:r>
      <w:r>
        <w:rPr>
          <w:color w:val="000000"/>
          <w:lang w:val="en-IE"/>
        </w:rPr>
        <w:t>hat</w:t>
      </w:r>
      <w:r w:rsidR="00936CE0" w:rsidRPr="000776B2">
        <w:rPr>
          <w:color w:val="000000"/>
          <w:lang w:val="en-IE"/>
        </w:rPr>
        <w:t xml:space="preserve"> subsequent references to a liquidator should be read more generally as references to an </w:t>
      </w:r>
      <w:r w:rsidRPr="000776B2">
        <w:rPr>
          <w:i/>
          <w:iCs/>
          <w:color w:val="000000"/>
          <w:lang w:val="en-IE"/>
        </w:rPr>
        <w:t>“</w:t>
      </w:r>
      <w:r w:rsidR="00936CE0" w:rsidRPr="000776B2">
        <w:rPr>
          <w:i/>
          <w:iCs/>
          <w:color w:val="000000"/>
          <w:lang w:val="en-IE"/>
        </w:rPr>
        <w:t>insolvency practitioner</w:t>
      </w:r>
      <w:r w:rsidRPr="000776B2">
        <w:rPr>
          <w:i/>
          <w:iCs/>
          <w:color w:val="000000"/>
          <w:lang w:val="en-IE"/>
        </w:rPr>
        <w:t>”</w:t>
      </w:r>
      <w:r>
        <w:rPr>
          <w:color w:val="000000"/>
          <w:lang w:val="en-IE"/>
        </w:rPr>
        <w:t>. A</w:t>
      </w:r>
      <w:r w:rsidR="00936CE0" w:rsidRPr="000776B2">
        <w:rPr>
          <w:color w:val="000000"/>
          <w:lang w:val="en-IE"/>
        </w:rPr>
        <w:t xml:space="preserve">n immediate difficulty arises with this interpretation as that would mean the final portion of clause 11.5 would require payment for the shares to be made to the examiner. </w:t>
      </w:r>
    </w:p>
    <w:p w14:paraId="7D518B16" w14:textId="1DFDDADD" w:rsidR="00796133" w:rsidRDefault="000776B2"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w:t>
      </w:r>
      <w:r w:rsidR="00936CE0" w:rsidRPr="000776B2">
        <w:rPr>
          <w:color w:val="000000"/>
          <w:lang w:val="en-IE"/>
        </w:rPr>
        <w:t>here are major differences between the role of a liquidator</w:t>
      </w:r>
      <w:r>
        <w:rPr>
          <w:color w:val="000000"/>
          <w:lang w:val="en-IE"/>
        </w:rPr>
        <w:t>,</w:t>
      </w:r>
      <w:r w:rsidR="00936CE0" w:rsidRPr="000776B2">
        <w:rPr>
          <w:color w:val="000000"/>
          <w:lang w:val="en-IE"/>
        </w:rPr>
        <w:t xml:space="preserve"> a </w:t>
      </w:r>
      <w:proofErr w:type="gramStart"/>
      <w:r w:rsidR="00936CE0" w:rsidRPr="000776B2">
        <w:rPr>
          <w:color w:val="000000"/>
          <w:lang w:val="en-IE"/>
        </w:rPr>
        <w:t>receiver</w:t>
      </w:r>
      <w:proofErr w:type="gramEnd"/>
      <w:r w:rsidR="00936CE0" w:rsidRPr="000776B2">
        <w:rPr>
          <w:color w:val="000000"/>
          <w:lang w:val="en-IE"/>
        </w:rPr>
        <w:t xml:space="preserve"> and an examiner. The role of a liquidator arises on the winding up of an insolvent company</w:t>
      </w:r>
      <w:r>
        <w:rPr>
          <w:color w:val="000000"/>
          <w:lang w:val="en-IE"/>
        </w:rPr>
        <w:t>. T</w:t>
      </w:r>
      <w:r w:rsidR="00936CE0" w:rsidRPr="000776B2">
        <w:rPr>
          <w:color w:val="000000"/>
          <w:lang w:val="en-IE"/>
        </w:rPr>
        <w:t xml:space="preserve">he principal duty of the liquidator is to collect </w:t>
      </w:r>
      <w:r w:rsidR="00513C13">
        <w:rPr>
          <w:color w:val="000000"/>
          <w:lang w:val="en-IE"/>
        </w:rPr>
        <w:t>the</w:t>
      </w:r>
      <w:r w:rsidR="00936CE0" w:rsidRPr="000776B2">
        <w:rPr>
          <w:color w:val="000000"/>
          <w:lang w:val="en-IE"/>
        </w:rPr>
        <w:t xml:space="preserve"> assets of the company and to distribute those assets to the company</w:t>
      </w:r>
      <w:r>
        <w:rPr>
          <w:color w:val="000000"/>
          <w:lang w:val="en-IE"/>
        </w:rPr>
        <w:t>’</w:t>
      </w:r>
      <w:r w:rsidR="00936CE0" w:rsidRPr="000776B2">
        <w:rPr>
          <w:color w:val="000000"/>
          <w:lang w:val="en-IE"/>
        </w:rPr>
        <w:t>s creditors</w:t>
      </w:r>
      <w:r>
        <w:rPr>
          <w:color w:val="000000"/>
          <w:lang w:val="en-IE"/>
        </w:rPr>
        <w:t xml:space="preserve"> i</w:t>
      </w:r>
      <w:r w:rsidR="00936CE0" w:rsidRPr="000776B2">
        <w:rPr>
          <w:color w:val="000000"/>
          <w:lang w:val="en-IE"/>
        </w:rPr>
        <w:t xml:space="preserve">n accordance with the relevant statutory priorities. </w:t>
      </w:r>
      <w:r>
        <w:rPr>
          <w:color w:val="000000"/>
          <w:lang w:val="en-IE"/>
        </w:rPr>
        <w:t>A</w:t>
      </w:r>
      <w:r w:rsidR="00936CE0" w:rsidRPr="000776B2">
        <w:rPr>
          <w:color w:val="000000"/>
          <w:lang w:val="en-IE"/>
        </w:rPr>
        <w:t>n examiner, on the other hand, overse</w:t>
      </w:r>
      <w:r>
        <w:rPr>
          <w:color w:val="000000"/>
          <w:lang w:val="en-IE"/>
        </w:rPr>
        <w:t>e</w:t>
      </w:r>
      <w:r w:rsidR="00936CE0" w:rsidRPr="000776B2">
        <w:rPr>
          <w:color w:val="000000"/>
          <w:lang w:val="en-IE"/>
        </w:rPr>
        <w:t xml:space="preserve">s a process where a company is placed under court protection </w:t>
      </w:r>
      <w:r w:rsidR="00796133">
        <w:rPr>
          <w:color w:val="000000"/>
          <w:lang w:val="en-IE"/>
        </w:rPr>
        <w:t>whilst</w:t>
      </w:r>
      <w:r w:rsidR="00936CE0" w:rsidRPr="000776B2">
        <w:rPr>
          <w:color w:val="000000"/>
          <w:lang w:val="en-IE"/>
        </w:rPr>
        <w:t xml:space="preserve"> its affairs </w:t>
      </w:r>
      <w:r w:rsidR="00796133">
        <w:rPr>
          <w:color w:val="000000"/>
          <w:lang w:val="en-IE"/>
        </w:rPr>
        <w:t>are</w:t>
      </w:r>
      <w:r w:rsidR="00936CE0" w:rsidRPr="000776B2">
        <w:rPr>
          <w:color w:val="000000"/>
          <w:lang w:val="en-IE"/>
        </w:rPr>
        <w:t xml:space="preserve"> scrutini</w:t>
      </w:r>
      <w:r w:rsidR="00796133">
        <w:rPr>
          <w:color w:val="000000"/>
          <w:lang w:val="en-IE"/>
        </w:rPr>
        <w:t>s</w:t>
      </w:r>
      <w:r w:rsidR="00936CE0" w:rsidRPr="000776B2">
        <w:rPr>
          <w:color w:val="000000"/>
          <w:lang w:val="en-IE"/>
        </w:rPr>
        <w:t>ed with a view to a scheme of arrangement being put in place to facilitate the survival of the company</w:t>
      </w:r>
      <w:r w:rsidR="00796133">
        <w:rPr>
          <w:color w:val="000000"/>
          <w:lang w:val="en-IE"/>
        </w:rPr>
        <w:t xml:space="preserve"> i</w:t>
      </w:r>
      <w:r w:rsidR="00936CE0" w:rsidRPr="000776B2">
        <w:rPr>
          <w:color w:val="000000"/>
          <w:lang w:val="en-IE"/>
        </w:rPr>
        <w:t>f it is potentially viable</w:t>
      </w:r>
      <w:r w:rsidR="00796133">
        <w:rPr>
          <w:color w:val="000000"/>
          <w:lang w:val="en-IE"/>
        </w:rPr>
        <w:t>. I</w:t>
      </w:r>
      <w:r w:rsidR="00936CE0" w:rsidRPr="000776B2">
        <w:rPr>
          <w:color w:val="000000"/>
          <w:lang w:val="en-IE"/>
        </w:rPr>
        <w:t xml:space="preserve">f a payment is to be made to a company </w:t>
      </w:r>
      <w:r w:rsidR="00796133">
        <w:rPr>
          <w:color w:val="000000"/>
          <w:lang w:val="en-IE"/>
        </w:rPr>
        <w:t>in</w:t>
      </w:r>
      <w:r w:rsidR="00936CE0" w:rsidRPr="000776B2">
        <w:rPr>
          <w:color w:val="000000"/>
          <w:lang w:val="en-IE"/>
        </w:rPr>
        <w:t xml:space="preserve"> liquidation</w:t>
      </w:r>
      <w:r w:rsidR="00796133">
        <w:rPr>
          <w:color w:val="000000"/>
          <w:lang w:val="en-IE"/>
        </w:rPr>
        <w:t>, it</w:t>
      </w:r>
      <w:r w:rsidR="00936CE0" w:rsidRPr="000776B2">
        <w:rPr>
          <w:color w:val="000000"/>
          <w:lang w:val="en-IE"/>
        </w:rPr>
        <w:t xml:space="preserve"> is properly made to the liquidator and added to the pool of assets available for distribution</w:t>
      </w:r>
      <w:r w:rsidR="00513C13">
        <w:rPr>
          <w:color w:val="000000"/>
          <w:lang w:val="en-IE"/>
        </w:rPr>
        <w:t xml:space="preserve"> to the creditors</w:t>
      </w:r>
      <w:r w:rsidR="00936CE0" w:rsidRPr="000776B2">
        <w:rPr>
          <w:color w:val="000000"/>
          <w:lang w:val="en-IE"/>
        </w:rPr>
        <w:t xml:space="preserve">. However, the examiner of a company </w:t>
      </w:r>
      <w:r w:rsidR="00796133">
        <w:rPr>
          <w:color w:val="000000"/>
          <w:lang w:val="en-IE"/>
        </w:rPr>
        <w:t>in</w:t>
      </w:r>
      <w:r w:rsidR="00936CE0" w:rsidRPr="000776B2">
        <w:rPr>
          <w:color w:val="000000"/>
          <w:lang w:val="en-IE"/>
        </w:rPr>
        <w:t xml:space="preserve"> examinership does not normally collect in the assets of the company</w:t>
      </w:r>
      <w:r w:rsidR="00796133">
        <w:rPr>
          <w:color w:val="000000"/>
          <w:lang w:val="en-IE"/>
        </w:rPr>
        <w:t xml:space="preserve"> nor</w:t>
      </w:r>
      <w:r w:rsidR="00936CE0" w:rsidRPr="000776B2">
        <w:rPr>
          <w:color w:val="000000"/>
          <w:lang w:val="en-IE"/>
        </w:rPr>
        <w:t xml:space="preserve"> take over the management of the company</w:t>
      </w:r>
      <w:r w:rsidR="00796133">
        <w:rPr>
          <w:color w:val="000000"/>
          <w:lang w:val="en-IE"/>
        </w:rPr>
        <w:t xml:space="preserve"> e</w:t>
      </w:r>
      <w:r w:rsidR="00936CE0" w:rsidRPr="000776B2">
        <w:rPr>
          <w:color w:val="000000"/>
          <w:lang w:val="en-IE"/>
        </w:rPr>
        <w:t>ven during the period of the examinership</w:t>
      </w:r>
      <w:r w:rsidR="00796133">
        <w:rPr>
          <w:color w:val="000000"/>
          <w:lang w:val="en-IE"/>
        </w:rPr>
        <w:t>.</w:t>
      </w:r>
      <w:r w:rsidR="00936CE0" w:rsidRPr="000776B2">
        <w:rPr>
          <w:color w:val="000000"/>
          <w:lang w:val="en-IE"/>
        </w:rPr>
        <w:t xml:space="preserve"> </w:t>
      </w:r>
      <w:r w:rsidR="00796133">
        <w:rPr>
          <w:color w:val="000000"/>
          <w:lang w:val="en-IE"/>
        </w:rPr>
        <w:t>C</w:t>
      </w:r>
      <w:r w:rsidR="00936CE0" w:rsidRPr="000776B2">
        <w:rPr>
          <w:color w:val="000000"/>
          <w:lang w:val="en-IE"/>
        </w:rPr>
        <w:t>onsequently</w:t>
      </w:r>
      <w:r w:rsidR="00796133">
        <w:rPr>
          <w:color w:val="000000"/>
          <w:lang w:val="en-IE"/>
        </w:rPr>
        <w:t>,</w:t>
      </w:r>
      <w:r w:rsidR="00936CE0" w:rsidRPr="000776B2">
        <w:rPr>
          <w:color w:val="000000"/>
          <w:lang w:val="en-IE"/>
        </w:rPr>
        <w:t xml:space="preserve"> </w:t>
      </w:r>
      <w:r w:rsidR="00796133">
        <w:rPr>
          <w:color w:val="000000"/>
          <w:lang w:val="en-IE"/>
        </w:rPr>
        <w:t>a</w:t>
      </w:r>
      <w:r w:rsidR="00936CE0" w:rsidRPr="000776B2">
        <w:rPr>
          <w:color w:val="000000"/>
          <w:lang w:val="en-IE"/>
        </w:rPr>
        <w:t>n examiner would not normally receive any payment on behalf of the company. Thus</w:t>
      </w:r>
      <w:r w:rsidR="00796133">
        <w:rPr>
          <w:color w:val="000000"/>
          <w:lang w:val="en-IE"/>
        </w:rPr>
        <w:t>,</w:t>
      </w:r>
      <w:r w:rsidR="00936CE0" w:rsidRPr="000776B2">
        <w:rPr>
          <w:color w:val="000000"/>
          <w:lang w:val="en-IE"/>
        </w:rPr>
        <w:t xml:space="preserve"> </w:t>
      </w:r>
      <w:r w:rsidR="00796133">
        <w:rPr>
          <w:color w:val="000000"/>
          <w:lang w:val="en-IE"/>
        </w:rPr>
        <w:t>whilst it i</w:t>
      </w:r>
      <w:r w:rsidR="00936CE0" w:rsidRPr="000776B2">
        <w:rPr>
          <w:color w:val="000000"/>
          <w:lang w:val="en-IE"/>
        </w:rPr>
        <w:t xml:space="preserve">s logical </w:t>
      </w:r>
      <w:r w:rsidR="00796133">
        <w:rPr>
          <w:color w:val="000000"/>
          <w:lang w:val="en-IE"/>
        </w:rPr>
        <w:t xml:space="preserve">to </w:t>
      </w:r>
      <w:r w:rsidR="00936CE0" w:rsidRPr="000776B2">
        <w:rPr>
          <w:color w:val="000000"/>
          <w:lang w:val="en-IE"/>
        </w:rPr>
        <w:t>treat the word liquidator as meaning liquidator</w:t>
      </w:r>
      <w:r w:rsidR="00796133">
        <w:rPr>
          <w:color w:val="000000"/>
          <w:lang w:val="en-IE"/>
        </w:rPr>
        <w:t>,</w:t>
      </w:r>
      <w:r w:rsidR="00936CE0" w:rsidRPr="000776B2">
        <w:rPr>
          <w:color w:val="000000"/>
          <w:lang w:val="en-IE"/>
        </w:rPr>
        <w:t xml:space="preserve"> </w:t>
      </w:r>
      <w:proofErr w:type="gramStart"/>
      <w:r w:rsidR="00936CE0" w:rsidRPr="000776B2">
        <w:rPr>
          <w:color w:val="000000"/>
          <w:lang w:val="en-IE"/>
        </w:rPr>
        <w:t>receiver</w:t>
      </w:r>
      <w:proofErr w:type="gramEnd"/>
      <w:r w:rsidR="00936CE0" w:rsidRPr="000776B2">
        <w:rPr>
          <w:color w:val="000000"/>
          <w:lang w:val="en-IE"/>
        </w:rPr>
        <w:t xml:space="preserve"> or examiner </w:t>
      </w:r>
      <w:r w:rsidR="00796133">
        <w:rPr>
          <w:color w:val="000000"/>
          <w:lang w:val="en-IE"/>
        </w:rPr>
        <w:t>where it</w:t>
      </w:r>
      <w:r w:rsidR="00936CE0" w:rsidRPr="000776B2">
        <w:rPr>
          <w:color w:val="000000"/>
          <w:lang w:val="en-IE"/>
        </w:rPr>
        <w:t xml:space="preserve"> appears on the third line of clause 11.5, it is less logical to do so</w:t>
      </w:r>
      <w:r w:rsidR="00796133">
        <w:rPr>
          <w:color w:val="000000"/>
          <w:lang w:val="en-IE"/>
        </w:rPr>
        <w:t xml:space="preserve"> o</w:t>
      </w:r>
      <w:r w:rsidR="00936CE0" w:rsidRPr="000776B2">
        <w:rPr>
          <w:color w:val="000000"/>
          <w:lang w:val="en-IE"/>
        </w:rPr>
        <w:t xml:space="preserve">n the last line of that </w:t>
      </w:r>
      <w:r w:rsidR="00796133">
        <w:rPr>
          <w:color w:val="000000"/>
          <w:lang w:val="en-IE"/>
        </w:rPr>
        <w:t>clause.</w:t>
      </w:r>
    </w:p>
    <w:p w14:paraId="2B58D4E8" w14:textId="0E783FDE" w:rsidR="00D70015" w:rsidRDefault="00796133"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lastRenderedPageBreak/>
        <w:t>B</w:t>
      </w:r>
      <w:r w:rsidR="00936CE0" w:rsidRPr="000776B2">
        <w:rPr>
          <w:color w:val="000000"/>
          <w:lang w:val="en-IE"/>
        </w:rPr>
        <w:t>oth parties pointed the court towards similar material in relation to the proper construction of commercial contract</w:t>
      </w:r>
      <w:r>
        <w:rPr>
          <w:color w:val="000000"/>
          <w:lang w:val="en-IE"/>
        </w:rPr>
        <w:t>s,</w:t>
      </w:r>
      <w:r w:rsidR="00936CE0" w:rsidRPr="000776B2">
        <w:rPr>
          <w:color w:val="000000"/>
          <w:lang w:val="en-IE"/>
        </w:rPr>
        <w:t xml:space="preserve"> the difference between them lying in how relatively settled principles should be applied in the </w:t>
      </w:r>
      <w:proofErr w:type="gramStart"/>
      <w:r w:rsidR="00936CE0" w:rsidRPr="000776B2">
        <w:rPr>
          <w:color w:val="000000"/>
          <w:lang w:val="en-IE"/>
        </w:rPr>
        <w:t>particular circumstances</w:t>
      </w:r>
      <w:proofErr w:type="gramEnd"/>
      <w:r w:rsidR="00936CE0" w:rsidRPr="000776B2">
        <w:rPr>
          <w:color w:val="000000"/>
          <w:lang w:val="en-IE"/>
        </w:rPr>
        <w:t>. The leading Irish authority is the decision of the Supreme Court</w:t>
      </w:r>
      <w:r>
        <w:rPr>
          <w:color w:val="000000"/>
          <w:lang w:val="en-IE"/>
        </w:rPr>
        <w:t xml:space="preserve"> (Geoghegan J.)</w:t>
      </w:r>
      <w:r w:rsidR="00936CE0" w:rsidRPr="000776B2">
        <w:rPr>
          <w:color w:val="000000"/>
          <w:lang w:val="en-IE"/>
        </w:rPr>
        <w:t xml:space="preserve"> </w:t>
      </w:r>
      <w:r>
        <w:rPr>
          <w:color w:val="000000"/>
          <w:lang w:val="en-IE"/>
        </w:rPr>
        <w:t xml:space="preserve">in </w:t>
      </w:r>
      <w:r w:rsidRPr="00796133">
        <w:rPr>
          <w:i/>
          <w:iCs/>
          <w:color w:val="000000"/>
          <w:lang w:val="en-IE"/>
        </w:rPr>
        <w:t>A</w:t>
      </w:r>
      <w:r w:rsidR="00936CE0" w:rsidRPr="00796133">
        <w:rPr>
          <w:i/>
          <w:iCs/>
          <w:color w:val="000000"/>
          <w:lang w:val="en-IE"/>
        </w:rPr>
        <w:t xml:space="preserve">nalog </w:t>
      </w:r>
      <w:r w:rsidRPr="00796133">
        <w:rPr>
          <w:i/>
          <w:iCs/>
          <w:color w:val="000000"/>
          <w:lang w:val="en-IE"/>
        </w:rPr>
        <w:t xml:space="preserve">Devices BV v. </w:t>
      </w:r>
      <w:r w:rsidR="00936CE0" w:rsidRPr="00796133">
        <w:rPr>
          <w:i/>
          <w:iCs/>
          <w:color w:val="000000"/>
          <w:lang w:val="en-IE"/>
        </w:rPr>
        <w:t>Zurich Insurance Company</w:t>
      </w:r>
      <w:r w:rsidR="00936CE0" w:rsidRPr="000776B2">
        <w:rPr>
          <w:color w:val="000000"/>
          <w:lang w:val="en-IE"/>
        </w:rPr>
        <w:t xml:space="preserve"> </w:t>
      </w:r>
      <w:r>
        <w:rPr>
          <w:color w:val="000000"/>
          <w:lang w:val="en-IE"/>
        </w:rPr>
        <w:t>[2005] 1 IR 274 ap</w:t>
      </w:r>
      <w:r w:rsidR="00936CE0" w:rsidRPr="000776B2">
        <w:rPr>
          <w:color w:val="000000"/>
          <w:lang w:val="en-IE"/>
        </w:rPr>
        <w:t xml:space="preserve">proving the decision of Lord Hoffman in </w:t>
      </w:r>
      <w:r w:rsidR="00936CE0" w:rsidRPr="00796133">
        <w:rPr>
          <w:i/>
          <w:iCs/>
          <w:color w:val="000000"/>
          <w:lang w:val="en-IE"/>
        </w:rPr>
        <w:t xml:space="preserve">ICS </w:t>
      </w:r>
      <w:r w:rsidRPr="00796133">
        <w:rPr>
          <w:i/>
          <w:iCs/>
          <w:color w:val="000000"/>
          <w:lang w:val="en-IE"/>
        </w:rPr>
        <w:t>v.</w:t>
      </w:r>
      <w:r w:rsidR="00936CE0" w:rsidRPr="00796133">
        <w:rPr>
          <w:i/>
          <w:iCs/>
          <w:color w:val="000000"/>
          <w:lang w:val="en-IE"/>
        </w:rPr>
        <w:t xml:space="preserve"> West Bromwich </w:t>
      </w:r>
      <w:r w:rsidRPr="00796133">
        <w:rPr>
          <w:i/>
          <w:iCs/>
          <w:color w:val="000000"/>
          <w:lang w:val="en-IE"/>
        </w:rPr>
        <w:t>B</w:t>
      </w:r>
      <w:r w:rsidR="00936CE0" w:rsidRPr="00796133">
        <w:rPr>
          <w:i/>
          <w:iCs/>
          <w:color w:val="000000"/>
          <w:lang w:val="en-IE"/>
        </w:rPr>
        <w:t>S</w:t>
      </w:r>
      <w:r>
        <w:rPr>
          <w:color w:val="000000"/>
          <w:lang w:val="en-IE"/>
        </w:rPr>
        <w:t xml:space="preserve"> [</w:t>
      </w:r>
      <w:r w:rsidR="00936CE0" w:rsidRPr="000776B2">
        <w:rPr>
          <w:color w:val="000000"/>
          <w:lang w:val="en-IE"/>
        </w:rPr>
        <w:t>1998</w:t>
      </w:r>
      <w:r>
        <w:rPr>
          <w:color w:val="000000"/>
          <w:lang w:val="en-IE"/>
        </w:rPr>
        <w:t>]</w:t>
      </w:r>
      <w:r w:rsidR="00936CE0" w:rsidRPr="000776B2">
        <w:rPr>
          <w:color w:val="000000"/>
          <w:lang w:val="en-IE"/>
        </w:rPr>
        <w:t xml:space="preserve"> </w:t>
      </w:r>
      <w:r>
        <w:rPr>
          <w:color w:val="000000"/>
          <w:lang w:val="en-IE"/>
        </w:rPr>
        <w:t>1 WLR</w:t>
      </w:r>
      <w:r w:rsidR="00936CE0" w:rsidRPr="000776B2">
        <w:rPr>
          <w:color w:val="000000"/>
          <w:lang w:val="en-IE"/>
        </w:rPr>
        <w:t xml:space="preserve"> 896. </w:t>
      </w:r>
      <w:r>
        <w:rPr>
          <w:color w:val="000000"/>
          <w:lang w:val="en-IE"/>
        </w:rPr>
        <w:t xml:space="preserve">That </w:t>
      </w:r>
      <w:r w:rsidR="00936CE0" w:rsidRPr="000776B2">
        <w:rPr>
          <w:color w:val="000000"/>
          <w:lang w:val="en-IE"/>
        </w:rPr>
        <w:t xml:space="preserve">judgment is seen as a key step in a movement from a purely textual approach to a broader contextual approach </w:t>
      </w:r>
      <w:r>
        <w:rPr>
          <w:color w:val="000000"/>
          <w:lang w:val="en-IE"/>
        </w:rPr>
        <w:t>to</w:t>
      </w:r>
      <w:r w:rsidR="00936CE0" w:rsidRPr="000776B2">
        <w:rPr>
          <w:color w:val="000000"/>
          <w:lang w:val="en-IE"/>
        </w:rPr>
        <w:t xml:space="preserve"> the interpretation of commercial contracts</w:t>
      </w:r>
      <w:r>
        <w:rPr>
          <w:color w:val="000000"/>
          <w:lang w:val="en-IE"/>
        </w:rPr>
        <w:t>.</w:t>
      </w:r>
      <w:r w:rsidR="00936CE0" w:rsidRPr="000776B2">
        <w:rPr>
          <w:color w:val="000000"/>
          <w:lang w:val="en-IE"/>
        </w:rPr>
        <w:t xml:space="preserve"> </w:t>
      </w:r>
      <w:r w:rsidRPr="00505253">
        <w:rPr>
          <w:color w:val="000000"/>
          <w:lang w:val="en-IE"/>
        </w:rPr>
        <w:t>F</w:t>
      </w:r>
      <w:r w:rsidR="00936CE0" w:rsidRPr="00505253">
        <w:rPr>
          <w:color w:val="000000"/>
          <w:lang w:val="en-IE"/>
        </w:rPr>
        <w:t>or present purposes</w:t>
      </w:r>
      <w:r w:rsidR="00505253">
        <w:rPr>
          <w:color w:val="000000"/>
          <w:lang w:val="en-IE"/>
        </w:rPr>
        <w:t>,</w:t>
      </w:r>
      <w:r w:rsidR="00936CE0" w:rsidRPr="00505253">
        <w:rPr>
          <w:color w:val="000000"/>
          <w:lang w:val="en-IE"/>
        </w:rPr>
        <w:t xml:space="preserve"> </w:t>
      </w:r>
      <w:r w:rsidR="00505253">
        <w:rPr>
          <w:color w:val="000000"/>
          <w:lang w:val="en-IE"/>
        </w:rPr>
        <w:t>t</w:t>
      </w:r>
      <w:r w:rsidR="00936CE0" w:rsidRPr="00505253">
        <w:rPr>
          <w:color w:val="000000"/>
          <w:lang w:val="en-IE"/>
        </w:rPr>
        <w:t>he principles recorded at paras</w:t>
      </w:r>
      <w:r w:rsidR="00505253">
        <w:rPr>
          <w:color w:val="000000"/>
          <w:lang w:val="en-IE"/>
        </w:rPr>
        <w:t xml:space="preserve">. 1, 4 and 5 </w:t>
      </w:r>
      <w:r w:rsidR="00936CE0" w:rsidRPr="00505253">
        <w:rPr>
          <w:color w:val="000000"/>
          <w:lang w:val="en-IE"/>
        </w:rPr>
        <w:t>of the judgment of Lord Hofmann</w:t>
      </w:r>
      <w:r w:rsidR="00505253">
        <w:rPr>
          <w:color w:val="000000"/>
          <w:lang w:val="en-IE"/>
        </w:rPr>
        <w:t>, approved by Geoghegan</w:t>
      </w:r>
      <w:r w:rsidR="00936CE0" w:rsidRPr="00505253">
        <w:rPr>
          <w:color w:val="000000"/>
          <w:lang w:val="en-IE"/>
        </w:rPr>
        <w:t xml:space="preserve"> J. </w:t>
      </w:r>
      <w:r w:rsidR="00505253">
        <w:rPr>
          <w:color w:val="000000"/>
          <w:lang w:val="en-IE"/>
        </w:rPr>
        <w:t>at p.</w:t>
      </w:r>
      <w:r w:rsidR="00936CE0" w:rsidRPr="00505253">
        <w:rPr>
          <w:color w:val="000000"/>
          <w:lang w:val="en-IE"/>
        </w:rPr>
        <w:t xml:space="preserve"> 280 of the report of </w:t>
      </w:r>
      <w:r w:rsidR="00505253" w:rsidRPr="00505253">
        <w:rPr>
          <w:i/>
          <w:iCs/>
          <w:color w:val="000000"/>
          <w:lang w:val="en-IE"/>
        </w:rPr>
        <w:t>A</w:t>
      </w:r>
      <w:r w:rsidR="00936CE0" w:rsidRPr="00505253">
        <w:rPr>
          <w:i/>
          <w:iCs/>
          <w:color w:val="000000"/>
          <w:lang w:val="en-IE"/>
        </w:rPr>
        <w:t xml:space="preserve">nalog </w:t>
      </w:r>
      <w:r w:rsidR="00505253" w:rsidRPr="00505253">
        <w:rPr>
          <w:i/>
          <w:iCs/>
          <w:color w:val="000000"/>
          <w:lang w:val="en-IE"/>
        </w:rPr>
        <w:t>D</w:t>
      </w:r>
      <w:r w:rsidR="00936CE0" w:rsidRPr="00505253">
        <w:rPr>
          <w:i/>
          <w:iCs/>
          <w:color w:val="000000"/>
          <w:lang w:val="en-IE"/>
        </w:rPr>
        <w:t>evices</w:t>
      </w:r>
      <w:r w:rsidR="008006C4">
        <w:rPr>
          <w:i/>
          <w:iCs/>
          <w:color w:val="000000"/>
          <w:lang w:val="en-IE"/>
        </w:rPr>
        <w:t>,</w:t>
      </w:r>
      <w:r w:rsidR="00936CE0" w:rsidRPr="00505253">
        <w:rPr>
          <w:color w:val="000000"/>
          <w:lang w:val="en-IE"/>
        </w:rPr>
        <w:t xml:space="preserve"> </w:t>
      </w:r>
      <w:r w:rsidR="00505253">
        <w:rPr>
          <w:color w:val="000000"/>
          <w:lang w:val="en-IE"/>
        </w:rPr>
        <w:t>are</w:t>
      </w:r>
      <w:r w:rsidR="00936CE0" w:rsidRPr="00505253">
        <w:rPr>
          <w:color w:val="000000"/>
          <w:lang w:val="en-IE"/>
        </w:rPr>
        <w:t xml:space="preserve"> relevant</w:t>
      </w:r>
      <w:r w:rsidR="00505253">
        <w:rPr>
          <w:color w:val="000000"/>
          <w:lang w:val="en-IE"/>
        </w:rPr>
        <w:t>:</w:t>
      </w:r>
      <w:r w:rsidR="00BD0ED4">
        <w:rPr>
          <w:color w:val="000000"/>
          <w:lang w:val="en-IE"/>
        </w:rPr>
        <w:t xml:space="preserve"> </w:t>
      </w:r>
      <w:r w:rsidR="00505253">
        <w:rPr>
          <w:color w:val="000000"/>
          <w:lang w:val="en-IE"/>
        </w:rPr>
        <w:t>-</w:t>
      </w:r>
    </w:p>
    <w:p w14:paraId="600DFF18" w14:textId="4DE04DFE" w:rsidR="00D70015" w:rsidRPr="00D70015" w:rsidRDefault="00D70015" w:rsidP="004A0604">
      <w:pPr>
        <w:pStyle w:val="NormalWeb"/>
        <w:spacing w:before="0" w:beforeAutospacing="0" w:after="0" w:afterAutospacing="0" w:line="480" w:lineRule="auto"/>
        <w:ind w:left="1440" w:hanging="1080"/>
        <w:jc w:val="both"/>
        <w:rPr>
          <w:i/>
          <w:iCs/>
          <w:color w:val="000000"/>
          <w:lang w:val="en-IE"/>
        </w:rPr>
      </w:pPr>
      <w:r w:rsidRPr="00D70015">
        <w:rPr>
          <w:i/>
          <w:iCs/>
          <w:color w:val="000000"/>
          <w:lang w:val="en-IE"/>
        </w:rPr>
        <w:t>“(1)</w:t>
      </w:r>
      <w:r w:rsidRPr="00D70015">
        <w:rPr>
          <w:i/>
          <w:iCs/>
          <w:color w:val="000000"/>
          <w:lang w:val="en-IE"/>
        </w:rPr>
        <w:tab/>
        <w:t xml:space="preserve">Interpretation is the ascertainment of the meaning which the document would convey to a reasonable person having all the background knowledge which would reasonably have been available to the parties </w:t>
      </w:r>
      <w:proofErr w:type="gramStart"/>
      <w:r w:rsidRPr="00D70015">
        <w:rPr>
          <w:i/>
          <w:iCs/>
          <w:color w:val="000000"/>
          <w:lang w:val="en-IE"/>
        </w:rPr>
        <w:t>in the situation in which</w:t>
      </w:r>
      <w:proofErr w:type="gramEnd"/>
      <w:r w:rsidRPr="00D70015">
        <w:rPr>
          <w:i/>
          <w:iCs/>
          <w:color w:val="000000"/>
          <w:lang w:val="en-IE"/>
        </w:rPr>
        <w:t xml:space="preserve"> they were at the time of the contract.</w:t>
      </w:r>
    </w:p>
    <w:p w14:paraId="65159278" w14:textId="02AB6DCD" w:rsidR="00D70015" w:rsidRPr="00D70015" w:rsidRDefault="00D70015" w:rsidP="004A0604">
      <w:pPr>
        <w:pStyle w:val="NormalWeb"/>
        <w:spacing w:before="0" w:beforeAutospacing="0" w:after="0" w:afterAutospacing="0" w:line="480" w:lineRule="auto"/>
        <w:ind w:left="1440" w:hanging="1080"/>
        <w:jc w:val="both"/>
        <w:rPr>
          <w:i/>
          <w:iCs/>
          <w:color w:val="000000"/>
          <w:lang w:val="en-IE"/>
        </w:rPr>
      </w:pPr>
      <w:r w:rsidRPr="00D70015">
        <w:rPr>
          <w:i/>
          <w:iCs/>
          <w:color w:val="000000"/>
          <w:lang w:val="en-IE"/>
        </w:rPr>
        <w:t>(4)</w:t>
      </w:r>
      <w:r w:rsidRPr="00D70015">
        <w:rPr>
          <w:i/>
          <w:iCs/>
          <w:color w:val="000000"/>
          <w:lang w:val="en-IE"/>
        </w:rPr>
        <w:tab/>
        <w:t>The meaning which a document (or any other utterance) would convey to a reasonable man is not the same thing as the meaning of its words. The meaning of words is a matter of dictionaries and grammar; the meaning of the document is what the parties using those words against the relevant background would reasonably have been understood to mean. The background may not merely enable the reasonable man to choose between the possible meaning of words which are ambiguous but even (as occasionally happens in ordinary life) to conclude that the parties must for whatever reason, have used the wrong words or syntax…</w:t>
      </w:r>
    </w:p>
    <w:p w14:paraId="3E236BAF" w14:textId="690508BC" w:rsidR="00D70015" w:rsidRPr="00D70015" w:rsidRDefault="00D70015" w:rsidP="004A0604">
      <w:pPr>
        <w:pStyle w:val="NormalWeb"/>
        <w:spacing w:before="0" w:beforeAutospacing="0" w:after="0" w:afterAutospacing="0" w:line="480" w:lineRule="auto"/>
        <w:ind w:left="1440" w:hanging="1080"/>
        <w:jc w:val="both"/>
        <w:rPr>
          <w:i/>
          <w:iCs/>
          <w:color w:val="000000"/>
          <w:lang w:val="en-IE"/>
        </w:rPr>
      </w:pPr>
      <w:r w:rsidRPr="00D70015">
        <w:rPr>
          <w:i/>
          <w:iCs/>
          <w:color w:val="000000"/>
          <w:lang w:val="en-IE"/>
        </w:rPr>
        <w:t>(5)</w:t>
      </w:r>
      <w:r w:rsidRPr="00D70015">
        <w:rPr>
          <w:i/>
          <w:iCs/>
          <w:color w:val="000000"/>
          <w:lang w:val="en-IE"/>
        </w:rPr>
        <w:tab/>
        <w:t xml:space="preserve">The “rule” that words should be given their “natural and ordinary meaning” reflects the </w:t>
      </w:r>
      <w:proofErr w:type="spellStart"/>
      <w:r w:rsidRPr="00D70015">
        <w:rPr>
          <w:i/>
          <w:iCs/>
          <w:color w:val="000000"/>
          <w:lang w:val="en-IE"/>
        </w:rPr>
        <w:t>commonsense</w:t>
      </w:r>
      <w:proofErr w:type="spellEnd"/>
      <w:r w:rsidRPr="00D70015">
        <w:rPr>
          <w:i/>
          <w:iCs/>
          <w:color w:val="000000"/>
          <w:lang w:val="en-IE"/>
        </w:rPr>
        <w:t xml:space="preserve"> proposition that we do not easily accept that people have made linguistic mistakes, particularly in formal documents. On the other hand, if one would nevertheless </w:t>
      </w:r>
      <w:r w:rsidRPr="00D70015">
        <w:rPr>
          <w:i/>
          <w:iCs/>
          <w:color w:val="000000"/>
          <w:lang w:val="en-IE"/>
        </w:rPr>
        <w:lastRenderedPageBreak/>
        <w:t xml:space="preserve">conclude from the background that something must have gone wrong with the language, the law does not require judges to attribute to the parties an intention which they plainly could not have had. Lord Diplock made this point more vigorously when he said in </w:t>
      </w:r>
      <w:proofErr w:type="spellStart"/>
      <w:r w:rsidRPr="00D70015">
        <w:rPr>
          <w:i/>
          <w:iCs/>
          <w:color w:val="000000"/>
          <w:lang w:val="en-IE"/>
        </w:rPr>
        <w:t>Antaios</w:t>
      </w:r>
      <w:proofErr w:type="spellEnd"/>
      <w:r w:rsidRPr="00D70015">
        <w:rPr>
          <w:i/>
          <w:iCs/>
          <w:color w:val="000000"/>
          <w:lang w:val="en-IE"/>
        </w:rPr>
        <w:t xml:space="preserve"> </w:t>
      </w:r>
      <w:proofErr w:type="spellStart"/>
      <w:r w:rsidRPr="00D70015">
        <w:rPr>
          <w:i/>
          <w:iCs/>
          <w:color w:val="000000"/>
          <w:lang w:val="en-IE"/>
        </w:rPr>
        <w:t>Compania</w:t>
      </w:r>
      <w:proofErr w:type="spellEnd"/>
      <w:r w:rsidRPr="00D70015">
        <w:rPr>
          <w:i/>
          <w:iCs/>
          <w:color w:val="000000"/>
          <w:lang w:val="en-IE"/>
        </w:rPr>
        <w:t xml:space="preserve"> Naviera S.A. v. </w:t>
      </w:r>
      <w:proofErr w:type="spellStart"/>
      <w:r w:rsidRPr="00D70015">
        <w:rPr>
          <w:i/>
          <w:iCs/>
          <w:color w:val="000000"/>
          <w:lang w:val="en-IE"/>
        </w:rPr>
        <w:t>Salen</w:t>
      </w:r>
      <w:proofErr w:type="spellEnd"/>
      <w:r w:rsidRPr="00D70015">
        <w:rPr>
          <w:i/>
          <w:iCs/>
          <w:color w:val="000000"/>
          <w:lang w:val="en-IE"/>
        </w:rPr>
        <w:t xml:space="preserve"> A.</w:t>
      </w:r>
      <w:r w:rsidR="00B5730F">
        <w:rPr>
          <w:i/>
          <w:iCs/>
          <w:color w:val="000000"/>
          <w:lang w:val="en-IE"/>
        </w:rPr>
        <w:t>B</w:t>
      </w:r>
      <w:r w:rsidRPr="00D70015">
        <w:rPr>
          <w:i/>
          <w:iCs/>
          <w:color w:val="000000"/>
          <w:lang w:val="en-IE"/>
        </w:rPr>
        <w:t>. [1985] A.C. 191, 201</w:t>
      </w:r>
      <w:r w:rsidR="00677D28">
        <w:rPr>
          <w:i/>
          <w:iCs/>
          <w:color w:val="000000"/>
          <w:lang w:val="en-IE"/>
        </w:rPr>
        <w:t>:</w:t>
      </w:r>
    </w:p>
    <w:p w14:paraId="7B4CAE1F" w14:textId="1FFD5B6B" w:rsidR="00D70015" w:rsidRPr="00D70015" w:rsidRDefault="00D70015" w:rsidP="004A0604">
      <w:pPr>
        <w:pStyle w:val="NormalWeb"/>
        <w:spacing w:before="0" w:beforeAutospacing="0" w:after="0" w:afterAutospacing="0" w:line="480" w:lineRule="auto"/>
        <w:ind w:left="2160"/>
        <w:jc w:val="both"/>
        <w:rPr>
          <w:i/>
          <w:iCs/>
          <w:color w:val="000000"/>
          <w:lang w:val="en-IE"/>
        </w:rPr>
      </w:pPr>
      <w:r w:rsidRPr="00D70015">
        <w:rPr>
          <w:i/>
          <w:iCs/>
          <w:color w:val="000000"/>
          <w:lang w:val="en-IE"/>
        </w:rPr>
        <w:t xml:space="preserve">‘If details semantic and syntactical analysis of words in a commercial contract is going to lead to a conclusion that flouts business </w:t>
      </w:r>
      <w:proofErr w:type="spellStart"/>
      <w:r w:rsidRPr="00D70015">
        <w:rPr>
          <w:i/>
          <w:iCs/>
          <w:color w:val="000000"/>
          <w:lang w:val="en-IE"/>
        </w:rPr>
        <w:t>commonsense</w:t>
      </w:r>
      <w:proofErr w:type="spellEnd"/>
      <w:r w:rsidRPr="00D70015">
        <w:rPr>
          <w:i/>
          <w:iCs/>
          <w:color w:val="000000"/>
          <w:lang w:val="en-IE"/>
        </w:rPr>
        <w:t xml:space="preserve">, it must be made to yield to business </w:t>
      </w:r>
      <w:proofErr w:type="spellStart"/>
      <w:r w:rsidRPr="00D70015">
        <w:rPr>
          <w:i/>
          <w:iCs/>
          <w:color w:val="000000"/>
          <w:lang w:val="en-IE"/>
        </w:rPr>
        <w:t>commonsense</w:t>
      </w:r>
      <w:proofErr w:type="spellEnd"/>
      <w:r w:rsidRPr="00D70015">
        <w:rPr>
          <w:i/>
          <w:iCs/>
          <w:color w:val="000000"/>
          <w:lang w:val="en-IE"/>
        </w:rPr>
        <w:t>’.”</w:t>
      </w:r>
    </w:p>
    <w:p w14:paraId="5003457A" w14:textId="012D0DFC" w:rsidR="00601146" w:rsidRDefault="00601146" w:rsidP="008A391E">
      <w:pPr>
        <w:pStyle w:val="NormalWeb"/>
        <w:numPr>
          <w:ilvl w:val="0"/>
          <w:numId w:val="2"/>
        </w:numPr>
        <w:spacing w:before="0" w:beforeAutospacing="0" w:after="0" w:afterAutospacing="0" w:line="480" w:lineRule="auto"/>
        <w:ind w:left="0" w:firstLine="0"/>
        <w:jc w:val="both"/>
        <w:rPr>
          <w:color w:val="000000"/>
          <w:lang w:val="en-IE"/>
        </w:rPr>
      </w:pPr>
      <w:r w:rsidRPr="008700C2">
        <w:rPr>
          <w:color w:val="000000"/>
          <w:lang w:val="en-IE"/>
        </w:rPr>
        <w:t xml:space="preserve">The more recent judgment of </w:t>
      </w:r>
      <w:r>
        <w:rPr>
          <w:color w:val="000000"/>
          <w:lang w:val="en-IE"/>
        </w:rPr>
        <w:t>O’</w:t>
      </w:r>
      <w:r w:rsidRPr="008700C2">
        <w:rPr>
          <w:color w:val="000000"/>
          <w:lang w:val="en-IE"/>
        </w:rPr>
        <w:t>Don</w:t>
      </w:r>
      <w:r>
        <w:rPr>
          <w:color w:val="000000"/>
          <w:lang w:val="en-IE"/>
        </w:rPr>
        <w:t>nell</w:t>
      </w:r>
      <w:r w:rsidRPr="008700C2">
        <w:rPr>
          <w:color w:val="000000"/>
          <w:lang w:val="en-IE"/>
        </w:rPr>
        <w:t xml:space="preserve"> J</w:t>
      </w:r>
      <w:r>
        <w:rPr>
          <w:color w:val="000000"/>
          <w:lang w:val="en-IE"/>
        </w:rPr>
        <w:t>.</w:t>
      </w:r>
      <w:r w:rsidRPr="008700C2">
        <w:rPr>
          <w:color w:val="000000"/>
          <w:lang w:val="en-IE"/>
        </w:rPr>
        <w:t xml:space="preserve"> in </w:t>
      </w:r>
      <w:r w:rsidRPr="008700C2">
        <w:rPr>
          <w:i/>
          <w:iCs/>
          <w:color w:val="000000"/>
          <w:lang w:val="en-IE"/>
        </w:rPr>
        <w:t>Law Society of Ireland v. MIBI</w:t>
      </w:r>
      <w:r w:rsidRPr="008700C2">
        <w:rPr>
          <w:color w:val="000000"/>
          <w:lang w:val="en-IE"/>
        </w:rPr>
        <w:t xml:space="preserve"> </w:t>
      </w:r>
      <w:r>
        <w:rPr>
          <w:color w:val="000000"/>
          <w:lang w:val="en-IE"/>
        </w:rPr>
        <w:t>[</w:t>
      </w:r>
      <w:r w:rsidRPr="008700C2">
        <w:rPr>
          <w:color w:val="000000"/>
          <w:lang w:val="en-IE"/>
        </w:rPr>
        <w:t>2017</w:t>
      </w:r>
      <w:r>
        <w:rPr>
          <w:color w:val="000000"/>
          <w:lang w:val="en-IE"/>
        </w:rPr>
        <w:t>]</w:t>
      </w:r>
      <w:r w:rsidRPr="008700C2">
        <w:rPr>
          <w:color w:val="000000"/>
          <w:lang w:val="en-IE"/>
        </w:rPr>
        <w:t xml:space="preserve"> IESC</w:t>
      </w:r>
      <w:r>
        <w:rPr>
          <w:color w:val="000000"/>
          <w:lang w:val="en-IE"/>
        </w:rPr>
        <w:t xml:space="preserve"> </w:t>
      </w:r>
      <w:r w:rsidRPr="008700C2">
        <w:rPr>
          <w:color w:val="000000"/>
          <w:lang w:val="en-IE"/>
        </w:rPr>
        <w:t xml:space="preserve">31 is to similar effect </w:t>
      </w:r>
      <w:r>
        <w:rPr>
          <w:color w:val="000000"/>
          <w:lang w:val="en-IE"/>
        </w:rPr>
        <w:t>and</w:t>
      </w:r>
      <w:r w:rsidRPr="008700C2">
        <w:rPr>
          <w:color w:val="000000"/>
          <w:lang w:val="en-IE"/>
        </w:rPr>
        <w:t xml:space="preserve"> the comments made by him at para</w:t>
      </w:r>
      <w:r>
        <w:rPr>
          <w:color w:val="000000"/>
          <w:lang w:val="en-IE"/>
        </w:rPr>
        <w:t>.</w:t>
      </w:r>
      <w:r w:rsidRPr="008700C2">
        <w:rPr>
          <w:color w:val="000000"/>
          <w:lang w:val="en-IE"/>
        </w:rPr>
        <w:t xml:space="preserve"> 12</w:t>
      </w:r>
      <w:r>
        <w:rPr>
          <w:color w:val="000000"/>
          <w:lang w:val="en-IE"/>
        </w:rPr>
        <w:t xml:space="preserve"> of that </w:t>
      </w:r>
      <w:r w:rsidRPr="008700C2">
        <w:rPr>
          <w:color w:val="000000"/>
          <w:lang w:val="en-IE"/>
        </w:rPr>
        <w:t>judgment describing the role of the court in interpreting a commercial contract are relevant</w:t>
      </w:r>
      <w:r>
        <w:rPr>
          <w:color w:val="000000"/>
          <w:lang w:val="en-IE"/>
        </w:rPr>
        <w:t xml:space="preserve"> to this case:</w:t>
      </w:r>
      <w:r w:rsidR="00BD0ED4">
        <w:rPr>
          <w:color w:val="000000"/>
          <w:lang w:val="en-IE"/>
        </w:rPr>
        <w:t xml:space="preserve"> </w:t>
      </w:r>
      <w:r>
        <w:rPr>
          <w:color w:val="000000"/>
          <w:lang w:val="en-IE"/>
        </w:rPr>
        <w:t>-</w:t>
      </w:r>
    </w:p>
    <w:p w14:paraId="288D4BE3" w14:textId="5E5C1DF5" w:rsidR="00601146" w:rsidRDefault="00601146" w:rsidP="004A0604">
      <w:pPr>
        <w:pStyle w:val="NormalWeb"/>
        <w:spacing w:before="0" w:beforeAutospacing="0" w:after="0" w:afterAutospacing="0" w:line="480" w:lineRule="auto"/>
        <w:ind w:left="720"/>
        <w:jc w:val="both"/>
        <w:rPr>
          <w:i/>
          <w:iCs/>
          <w:color w:val="000000"/>
          <w:lang w:val="en-IE"/>
        </w:rPr>
      </w:pPr>
      <w:r w:rsidRPr="008700C2">
        <w:rPr>
          <w:i/>
          <w:iCs/>
          <w:color w:val="000000"/>
          <w:lang w:val="en-IE"/>
        </w:rPr>
        <w:t>“Agreements are intended to express in a clear and functional manner what the parties have agreed upon in respect of their relationship, and the agreements often do so in a manner which gives rise to no dispute. But language, and the business of communication is complex, particularly when addressed to the future, which may throw up issues not anticipated or precisely considered at the time when an agreement was made. It is not merely therefore a question of analysing the words used, but rather it is the function of the court to try and understand from all the available information, including the words used, what it is that the parties agreed, or what it is a reasonable person would consider they had agreed. In that regard, the Court must consider</w:t>
      </w:r>
      <w:r w:rsidRPr="008700C2">
        <w:rPr>
          <w:color w:val="000000"/>
          <w:lang w:val="en-IE"/>
        </w:rPr>
        <w:t xml:space="preserve"> </w:t>
      </w:r>
      <w:r w:rsidRPr="008700C2">
        <w:rPr>
          <w:i/>
          <w:iCs/>
          <w:color w:val="000000"/>
          <w:lang w:val="en-IE"/>
        </w:rPr>
        <w:t xml:space="preserve">not just the words used, but also the specific context, the broader context, the background law, any prior agreements, the other terms of this Agreement, other provisions drafted at the same time and forming part of the same transaction, and what might be described as the logic, commercial or otherwise, of the agreement. All of these are features which point towards the interpretation of the agreement, and in complex cases, a court must consider </w:t>
      </w:r>
      <w:proofErr w:type="gramStart"/>
      <w:r w:rsidRPr="008700C2">
        <w:rPr>
          <w:i/>
          <w:iCs/>
          <w:color w:val="000000"/>
          <w:lang w:val="en-IE"/>
        </w:rPr>
        <w:t>all of</w:t>
      </w:r>
      <w:proofErr w:type="gramEnd"/>
      <w:r w:rsidRPr="008700C2">
        <w:rPr>
          <w:i/>
          <w:iCs/>
          <w:color w:val="000000"/>
          <w:lang w:val="en-IE"/>
        </w:rPr>
        <w:t xml:space="preserve"> the factors, and the weight to be attributed to each. </w:t>
      </w:r>
      <w:r w:rsidRPr="008700C2">
        <w:rPr>
          <w:i/>
          <w:iCs/>
          <w:color w:val="000000"/>
          <w:lang w:val="en-IE"/>
        </w:rPr>
        <w:lastRenderedPageBreak/>
        <w:t>The reasonable person who is the guide to the interpretation of the agreement is expected not merely to possess linguistic skills but must also have, or acquire, a sympathetic understanding of the commercial or practical context in which the agreement was meant to operate</w:t>
      </w:r>
      <w:r>
        <w:rPr>
          <w:i/>
          <w:iCs/>
          <w:color w:val="000000"/>
          <w:lang w:val="en-IE"/>
        </w:rPr>
        <w:t>…</w:t>
      </w:r>
      <w:r w:rsidRPr="008700C2">
        <w:rPr>
          <w:i/>
          <w:iCs/>
          <w:color w:val="000000"/>
          <w:lang w:val="en-IE"/>
        </w:rPr>
        <w:t>”</w:t>
      </w:r>
    </w:p>
    <w:p w14:paraId="2AEFE3CF" w14:textId="40879023" w:rsidR="00601146" w:rsidRDefault="00601146" w:rsidP="004A0604">
      <w:pPr>
        <w:pStyle w:val="NormalWeb"/>
        <w:spacing w:before="0" w:beforeAutospacing="0" w:after="0" w:afterAutospacing="0" w:line="480" w:lineRule="auto"/>
        <w:jc w:val="both"/>
        <w:rPr>
          <w:color w:val="000000"/>
          <w:lang w:val="en-IE"/>
        </w:rPr>
      </w:pPr>
      <w:r>
        <w:rPr>
          <w:color w:val="000000"/>
          <w:lang w:val="en-IE"/>
        </w:rPr>
        <w:t xml:space="preserve">The applicant places </w:t>
      </w:r>
      <w:proofErr w:type="gramStart"/>
      <w:r>
        <w:rPr>
          <w:color w:val="000000"/>
          <w:lang w:val="en-IE"/>
        </w:rPr>
        <w:t>particular reliance</w:t>
      </w:r>
      <w:proofErr w:type="gramEnd"/>
      <w:r>
        <w:rPr>
          <w:color w:val="000000"/>
          <w:lang w:val="en-IE"/>
        </w:rPr>
        <w:t xml:space="preserve"> on the reference to the </w:t>
      </w:r>
      <w:r w:rsidRPr="008A391E">
        <w:rPr>
          <w:i/>
          <w:iCs/>
          <w:color w:val="000000"/>
          <w:lang w:val="en-IE"/>
        </w:rPr>
        <w:t>“background law”</w:t>
      </w:r>
      <w:r w:rsidR="00886FFD">
        <w:rPr>
          <w:color w:val="000000"/>
          <w:lang w:val="en-IE"/>
        </w:rPr>
        <w:t xml:space="preserve"> and to the statutory protection afforded to a company in examinershi</w:t>
      </w:r>
      <w:r w:rsidR="00CF58FA">
        <w:rPr>
          <w:color w:val="000000"/>
          <w:lang w:val="en-IE"/>
        </w:rPr>
        <w:t>p</w:t>
      </w:r>
      <w:r>
        <w:rPr>
          <w:color w:val="000000"/>
          <w:lang w:val="en-IE"/>
        </w:rPr>
        <w:t>, a point to which I shall return.</w:t>
      </w:r>
    </w:p>
    <w:p w14:paraId="1AE7B0B0" w14:textId="387E2F6D" w:rsidR="007940EE" w:rsidRDefault="00D70015"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w:t>
      </w:r>
      <w:r w:rsidR="00936CE0" w:rsidRPr="00411456">
        <w:rPr>
          <w:color w:val="000000"/>
          <w:lang w:val="en-IE"/>
        </w:rPr>
        <w:t xml:space="preserve">he starting point remains the words </w:t>
      </w:r>
      <w:proofErr w:type="gramStart"/>
      <w:r w:rsidR="00936CE0" w:rsidRPr="00411456">
        <w:rPr>
          <w:color w:val="000000"/>
          <w:lang w:val="en-IE"/>
        </w:rPr>
        <w:t>actually used</w:t>
      </w:r>
      <w:proofErr w:type="gramEnd"/>
      <w:r w:rsidR="00936CE0" w:rsidRPr="00411456">
        <w:rPr>
          <w:color w:val="000000"/>
          <w:lang w:val="en-IE"/>
        </w:rPr>
        <w:t xml:space="preserve"> by the parties in dr</w:t>
      </w:r>
      <w:r w:rsidR="00677D28">
        <w:rPr>
          <w:color w:val="000000"/>
          <w:lang w:val="en-IE"/>
        </w:rPr>
        <w:t>aw</w:t>
      </w:r>
      <w:r w:rsidR="00936CE0" w:rsidRPr="00411456">
        <w:rPr>
          <w:color w:val="000000"/>
          <w:lang w:val="en-IE"/>
        </w:rPr>
        <w:t xml:space="preserve">ing up the contract by which they have chosen to be bound. In this case, the applicant essentially </w:t>
      </w:r>
      <w:r w:rsidR="008006C4">
        <w:rPr>
          <w:color w:val="000000"/>
          <w:lang w:val="en-IE"/>
        </w:rPr>
        <w:t>argues</w:t>
      </w:r>
      <w:r w:rsidR="00936CE0" w:rsidRPr="00411456">
        <w:rPr>
          <w:color w:val="000000"/>
          <w:lang w:val="en-IE"/>
        </w:rPr>
        <w:t xml:space="preserve"> th</w:t>
      </w:r>
      <w:r w:rsidR="00677D28">
        <w:rPr>
          <w:color w:val="000000"/>
          <w:lang w:val="en-IE"/>
        </w:rPr>
        <w:t>at the</w:t>
      </w:r>
      <w:r w:rsidR="00936CE0" w:rsidRPr="00411456">
        <w:rPr>
          <w:color w:val="000000"/>
          <w:lang w:val="en-IE"/>
        </w:rPr>
        <w:t xml:space="preserve"> exercise should stop at this point. Apart from </w:t>
      </w:r>
      <w:r w:rsidR="008006C4">
        <w:rPr>
          <w:color w:val="000000"/>
          <w:lang w:val="en-IE"/>
        </w:rPr>
        <w:t xml:space="preserve">contending </w:t>
      </w:r>
      <w:r w:rsidR="00936CE0" w:rsidRPr="00411456">
        <w:rPr>
          <w:color w:val="000000"/>
          <w:lang w:val="en-IE"/>
        </w:rPr>
        <w:t>that on the plain meaning of the language used, there was no deemed service o</w:t>
      </w:r>
      <w:r w:rsidR="006564CA">
        <w:rPr>
          <w:color w:val="000000"/>
          <w:lang w:val="en-IE"/>
        </w:rPr>
        <w:t>f a</w:t>
      </w:r>
      <w:r w:rsidR="00936CE0" w:rsidRPr="00411456">
        <w:rPr>
          <w:color w:val="000000"/>
          <w:lang w:val="en-IE"/>
        </w:rPr>
        <w:t xml:space="preserve"> transfer notice, </w:t>
      </w:r>
      <w:r w:rsidR="006564CA">
        <w:rPr>
          <w:color w:val="000000"/>
          <w:lang w:val="en-IE"/>
        </w:rPr>
        <w:t>t</w:t>
      </w:r>
      <w:r w:rsidR="00936CE0" w:rsidRPr="00411456">
        <w:rPr>
          <w:color w:val="000000"/>
          <w:lang w:val="en-IE"/>
        </w:rPr>
        <w:t xml:space="preserve">he applicant </w:t>
      </w:r>
      <w:r w:rsidR="008006C4" w:rsidRPr="00411456">
        <w:rPr>
          <w:color w:val="000000"/>
          <w:lang w:val="en-IE"/>
        </w:rPr>
        <w:t xml:space="preserve">also </w:t>
      </w:r>
      <w:r w:rsidR="00936CE0" w:rsidRPr="00411456">
        <w:rPr>
          <w:color w:val="000000"/>
          <w:lang w:val="en-IE"/>
        </w:rPr>
        <w:t>argues that this is what the parties intended</w:t>
      </w:r>
      <w:r w:rsidR="006564CA">
        <w:rPr>
          <w:color w:val="000000"/>
          <w:lang w:val="en-IE"/>
        </w:rPr>
        <w:t xml:space="preserve"> – </w:t>
      </w:r>
      <w:proofErr w:type="gramStart"/>
      <w:r w:rsidR="006564CA">
        <w:rPr>
          <w:color w:val="000000"/>
          <w:lang w:val="en-IE"/>
        </w:rPr>
        <w:t>i.e.</w:t>
      </w:r>
      <w:proofErr w:type="gramEnd"/>
      <w:r w:rsidR="00936CE0" w:rsidRPr="00411456">
        <w:rPr>
          <w:color w:val="000000"/>
          <w:lang w:val="en-IE"/>
        </w:rPr>
        <w:t xml:space="preserve"> </w:t>
      </w:r>
      <w:r w:rsidR="007940EE">
        <w:rPr>
          <w:color w:val="000000"/>
          <w:lang w:val="en-IE"/>
        </w:rPr>
        <w:t xml:space="preserve">a </w:t>
      </w:r>
      <w:r w:rsidR="00936CE0" w:rsidRPr="00411456">
        <w:rPr>
          <w:color w:val="000000"/>
          <w:lang w:val="en-IE"/>
        </w:rPr>
        <w:t>fo</w:t>
      </w:r>
      <w:r w:rsidR="006564CA">
        <w:rPr>
          <w:color w:val="000000"/>
          <w:lang w:val="en-IE"/>
        </w:rPr>
        <w:t>r</w:t>
      </w:r>
      <w:r w:rsidR="007940EE">
        <w:rPr>
          <w:color w:val="000000"/>
          <w:lang w:val="en-IE"/>
        </w:rPr>
        <w:t>ced</w:t>
      </w:r>
      <w:r w:rsidR="00936CE0" w:rsidRPr="00411456">
        <w:rPr>
          <w:color w:val="000000"/>
          <w:lang w:val="en-IE"/>
        </w:rPr>
        <w:t xml:space="preserve"> sale of the shares would not arise if the corporate shareholder successfully exited from an examinership and no liquidator was appointed</w:t>
      </w:r>
      <w:r w:rsidR="007940EE">
        <w:rPr>
          <w:color w:val="000000"/>
          <w:lang w:val="en-IE"/>
        </w:rPr>
        <w:t>. F</w:t>
      </w:r>
      <w:r w:rsidR="00936CE0" w:rsidRPr="00411456">
        <w:rPr>
          <w:color w:val="000000"/>
          <w:lang w:val="en-IE"/>
        </w:rPr>
        <w:t>urther</w:t>
      </w:r>
      <w:r w:rsidR="007940EE">
        <w:rPr>
          <w:color w:val="000000"/>
          <w:lang w:val="en-IE"/>
        </w:rPr>
        <w:t>, t</w:t>
      </w:r>
      <w:r w:rsidR="00936CE0" w:rsidRPr="00411456">
        <w:rPr>
          <w:color w:val="000000"/>
          <w:lang w:val="en-IE"/>
        </w:rPr>
        <w:t>he applicant argues that</w:t>
      </w:r>
      <w:r w:rsidR="007940EE">
        <w:rPr>
          <w:color w:val="000000"/>
          <w:lang w:val="en-IE"/>
        </w:rPr>
        <w:t>,</w:t>
      </w:r>
      <w:r w:rsidR="00936CE0" w:rsidRPr="00411456">
        <w:rPr>
          <w:color w:val="000000"/>
          <w:lang w:val="en-IE"/>
        </w:rPr>
        <w:t xml:space="preserve"> as under clause 11</w:t>
      </w:r>
      <w:r w:rsidR="007940EE">
        <w:rPr>
          <w:color w:val="000000"/>
          <w:lang w:val="en-IE"/>
        </w:rPr>
        <w:t>.</w:t>
      </w:r>
      <w:r w:rsidR="00936CE0" w:rsidRPr="00411456">
        <w:rPr>
          <w:color w:val="000000"/>
          <w:lang w:val="en-IE"/>
        </w:rPr>
        <w:t>3.1</w:t>
      </w:r>
      <w:r w:rsidR="007940EE">
        <w:rPr>
          <w:color w:val="000000"/>
          <w:lang w:val="en-IE"/>
        </w:rPr>
        <w:t>,</w:t>
      </w:r>
      <w:r w:rsidR="00936CE0" w:rsidRPr="00411456">
        <w:rPr>
          <w:color w:val="000000"/>
          <w:lang w:val="en-IE"/>
        </w:rPr>
        <w:t xml:space="preserve"> payment for the shares was to take place at the earliest 28 days after the price was agreed</w:t>
      </w:r>
      <w:r w:rsidR="00601146">
        <w:rPr>
          <w:color w:val="000000"/>
          <w:lang w:val="en-IE"/>
        </w:rPr>
        <w:t xml:space="preserve"> and</w:t>
      </w:r>
      <w:r w:rsidR="007940EE">
        <w:rPr>
          <w:color w:val="000000"/>
          <w:lang w:val="en-IE"/>
        </w:rPr>
        <w:t xml:space="preserve"> </w:t>
      </w:r>
      <w:r w:rsidR="00936CE0" w:rsidRPr="00411456">
        <w:rPr>
          <w:color w:val="000000"/>
          <w:lang w:val="en-IE"/>
        </w:rPr>
        <w:t>s</w:t>
      </w:r>
      <w:r w:rsidR="007940EE">
        <w:rPr>
          <w:color w:val="000000"/>
          <w:lang w:val="en-IE"/>
        </w:rPr>
        <w:t>ince</w:t>
      </w:r>
      <w:r w:rsidR="00936CE0" w:rsidRPr="00411456">
        <w:rPr>
          <w:color w:val="000000"/>
          <w:lang w:val="en-IE"/>
        </w:rPr>
        <w:t xml:space="preserve"> the </w:t>
      </w:r>
      <w:r w:rsidR="007940EE">
        <w:rPr>
          <w:color w:val="000000"/>
          <w:lang w:val="en-IE"/>
        </w:rPr>
        <w:t>auditor’</w:t>
      </w:r>
      <w:r w:rsidR="00936CE0" w:rsidRPr="00411456">
        <w:rPr>
          <w:color w:val="000000"/>
          <w:lang w:val="en-IE"/>
        </w:rPr>
        <w:t xml:space="preserve">s valuation is </w:t>
      </w:r>
      <w:r w:rsidR="007940EE">
        <w:rPr>
          <w:color w:val="000000"/>
          <w:lang w:val="en-IE"/>
        </w:rPr>
        <w:t>d</w:t>
      </w:r>
      <w:r w:rsidR="00936CE0" w:rsidRPr="00411456">
        <w:rPr>
          <w:color w:val="000000"/>
          <w:lang w:val="en-IE"/>
        </w:rPr>
        <w:t xml:space="preserve">ated </w:t>
      </w:r>
      <w:r w:rsidR="007940EE">
        <w:rPr>
          <w:color w:val="000000"/>
          <w:lang w:val="en-IE"/>
        </w:rPr>
        <w:t>8</w:t>
      </w:r>
      <w:r w:rsidR="007940EE" w:rsidRPr="007940EE">
        <w:rPr>
          <w:color w:val="000000"/>
          <w:vertAlign w:val="superscript"/>
          <w:lang w:val="en-IE"/>
        </w:rPr>
        <w:t>th</w:t>
      </w:r>
      <w:r w:rsidR="007940EE">
        <w:rPr>
          <w:color w:val="000000"/>
          <w:lang w:val="en-IE"/>
        </w:rPr>
        <w:t xml:space="preserve"> </w:t>
      </w:r>
      <w:r w:rsidR="00936CE0" w:rsidRPr="00411456">
        <w:rPr>
          <w:color w:val="000000"/>
          <w:lang w:val="en-IE"/>
        </w:rPr>
        <w:t>January 2013</w:t>
      </w:r>
      <w:r w:rsidR="007940EE">
        <w:rPr>
          <w:color w:val="000000"/>
          <w:lang w:val="en-IE"/>
        </w:rPr>
        <w:t xml:space="preserve">, </w:t>
      </w:r>
      <w:r w:rsidR="00936CE0" w:rsidRPr="00411456">
        <w:rPr>
          <w:color w:val="000000"/>
          <w:lang w:val="en-IE"/>
        </w:rPr>
        <w:t xml:space="preserve">payment by </w:t>
      </w:r>
      <w:r w:rsidR="007940EE">
        <w:rPr>
          <w:color w:val="000000"/>
          <w:lang w:val="en-IE"/>
        </w:rPr>
        <w:t xml:space="preserve">a </w:t>
      </w:r>
      <w:r w:rsidR="00936CE0" w:rsidRPr="00411456">
        <w:rPr>
          <w:color w:val="000000"/>
          <w:lang w:val="en-IE"/>
        </w:rPr>
        <w:t>cheque delivered on</w:t>
      </w:r>
      <w:r w:rsidR="007940EE">
        <w:rPr>
          <w:color w:val="000000"/>
          <w:lang w:val="en-IE"/>
        </w:rPr>
        <w:t xml:space="preserve"> 9</w:t>
      </w:r>
      <w:r w:rsidR="007940EE" w:rsidRPr="007940EE">
        <w:rPr>
          <w:color w:val="000000"/>
          <w:vertAlign w:val="superscript"/>
          <w:lang w:val="en-IE"/>
        </w:rPr>
        <w:t>th</w:t>
      </w:r>
      <w:r w:rsidR="007940EE">
        <w:rPr>
          <w:color w:val="000000"/>
          <w:vertAlign w:val="superscript"/>
          <w:lang w:val="en-IE"/>
        </w:rPr>
        <w:t xml:space="preserve"> </w:t>
      </w:r>
      <w:r w:rsidR="00936CE0" w:rsidRPr="00411456">
        <w:rPr>
          <w:color w:val="000000"/>
          <w:lang w:val="en-IE"/>
        </w:rPr>
        <w:t>January 2013 did not comply with this provision</w:t>
      </w:r>
      <w:r w:rsidR="007940EE">
        <w:rPr>
          <w:color w:val="000000"/>
          <w:lang w:val="en-IE"/>
        </w:rPr>
        <w:t>.</w:t>
      </w:r>
      <w:r w:rsidR="00601146">
        <w:rPr>
          <w:color w:val="000000"/>
          <w:lang w:val="en-IE"/>
        </w:rPr>
        <w:t xml:space="preserve"> In fact</w:t>
      </w:r>
      <w:r w:rsidR="00513C13">
        <w:rPr>
          <w:color w:val="000000"/>
          <w:lang w:val="en-IE"/>
        </w:rPr>
        <w:t>,</w:t>
      </w:r>
      <w:r w:rsidR="00601146">
        <w:rPr>
          <w:color w:val="000000"/>
          <w:lang w:val="en-IE"/>
        </w:rPr>
        <w:t xml:space="preserve"> it seems that the valuation and the cheque were sent to the examiner on the same date. </w:t>
      </w:r>
      <w:r w:rsidR="00513C13">
        <w:rPr>
          <w:color w:val="000000"/>
          <w:lang w:val="en-IE"/>
        </w:rPr>
        <w:t xml:space="preserve"> Although the amounts are small, the cheque is made out in the amount offered by Amber for the shares </w:t>
      </w:r>
      <w:r w:rsidR="006D06E4">
        <w:rPr>
          <w:color w:val="000000"/>
          <w:lang w:val="en-IE"/>
        </w:rPr>
        <w:t>which was higher than the amount which would have applied by discounting the auditor’s valuation by 30%.</w:t>
      </w:r>
    </w:p>
    <w:p w14:paraId="43E1DD46" w14:textId="2CC2CB5D" w:rsidR="008210D4"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411456">
        <w:rPr>
          <w:color w:val="000000"/>
          <w:lang w:val="en-IE"/>
        </w:rPr>
        <w:t>The respondents characteri</w:t>
      </w:r>
      <w:r w:rsidR="007940EE">
        <w:rPr>
          <w:color w:val="000000"/>
          <w:lang w:val="en-IE"/>
        </w:rPr>
        <w:t>s</w:t>
      </w:r>
      <w:r w:rsidRPr="00411456">
        <w:rPr>
          <w:color w:val="000000"/>
          <w:lang w:val="en-IE"/>
        </w:rPr>
        <w:t>e the applicant as urg</w:t>
      </w:r>
      <w:r w:rsidR="007940EE">
        <w:rPr>
          <w:color w:val="000000"/>
          <w:lang w:val="en-IE"/>
        </w:rPr>
        <w:t>ing</w:t>
      </w:r>
      <w:r w:rsidRPr="00411456">
        <w:rPr>
          <w:color w:val="000000"/>
          <w:lang w:val="en-IE"/>
        </w:rPr>
        <w:t xml:space="preserve"> on the </w:t>
      </w:r>
      <w:r w:rsidR="007940EE">
        <w:rPr>
          <w:color w:val="000000"/>
          <w:lang w:val="en-IE"/>
        </w:rPr>
        <w:t>court a</w:t>
      </w:r>
      <w:r w:rsidRPr="00411456">
        <w:rPr>
          <w:color w:val="000000"/>
          <w:lang w:val="en-IE"/>
        </w:rPr>
        <w:t xml:space="preserve"> very technical interpretation of a very poorly drafted provision</w:t>
      </w:r>
      <w:r w:rsidR="007940EE">
        <w:rPr>
          <w:color w:val="000000"/>
          <w:lang w:val="en-IE"/>
        </w:rPr>
        <w:t>. Whilst</w:t>
      </w:r>
      <w:r w:rsidRPr="00411456">
        <w:rPr>
          <w:color w:val="000000"/>
          <w:lang w:val="en-IE"/>
        </w:rPr>
        <w:t xml:space="preserve"> accepting that the starting point is to look at the language use</w:t>
      </w:r>
      <w:r w:rsidR="007940EE">
        <w:rPr>
          <w:color w:val="000000"/>
          <w:lang w:val="en-IE"/>
        </w:rPr>
        <w:t>d,</w:t>
      </w:r>
      <w:r w:rsidRPr="00411456">
        <w:rPr>
          <w:color w:val="000000"/>
          <w:lang w:val="en-IE"/>
        </w:rPr>
        <w:t xml:space="preserve"> the respondents argue </w:t>
      </w:r>
      <w:r w:rsidR="007940EE">
        <w:rPr>
          <w:color w:val="000000"/>
          <w:lang w:val="en-IE"/>
        </w:rPr>
        <w:t>that</w:t>
      </w:r>
      <w:r w:rsidRPr="00411456">
        <w:rPr>
          <w:color w:val="000000"/>
          <w:lang w:val="en-IE"/>
        </w:rPr>
        <w:t xml:space="preserve"> where the language use</w:t>
      </w:r>
      <w:r w:rsidR="00601146">
        <w:rPr>
          <w:color w:val="000000"/>
          <w:lang w:val="en-IE"/>
        </w:rPr>
        <w:t>d is</w:t>
      </w:r>
      <w:r w:rsidRPr="00411456">
        <w:rPr>
          <w:color w:val="000000"/>
          <w:lang w:val="en-IE"/>
        </w:rPr>
        <w:t xml:space="preserve"> ambiguous or results in the provision being rendered largely inoperative, three further canons of interpretation can be</w:t>
      </w:r>
      <w:r w:rsidR="007940EE">
        <w:rPr>
          <w:color w:val="000000"/>
          <w:lang w:val="en-IE"/>
        </w:rPr>
        <w:t>,</w:t>
      </w:r>
      <w:r w:rsidRPr="00411456">
        <w:rPr>
          <w:color w:val="000000"/>
          <w:lang w:val="en-IE"/>
        </w:rPr>
        <w:t xml:space="preserve"> and in this case should be</w:t>
      </w:r>
      <w:r w:rsidR="007940EE">
        <w:rPr>
          <w:color w:val="000000"/>
          <w:lang w:val="en-IE"/>
        </w:rPr>
        <w:t>,</w:t>
      </w:r>
      <w:r w:rsidRPr="00411456">
        <w:rPr>
          <w:color w:val="000000"/>
          <w:lang w:val="en-IE"/>
        </w:rPr>
        <w:t xml:space="preserve"> called </w:t>
      </w:r>
      <w:r w:rsidR="00601146">
        <w:rPr>
          <w:color w:val="000000"/>
          <w:lang w:val="en-IE"/>
        </w:rPr>
        <w:t>i</w:t>
      </w:r>
      <w:r w:rsidRPr="00411456">
        <w:rPr>
          <w:color w:val="000000"/>
          <w:lang w:val="en-IE"/>
        </w:rPr>
        <w:t>n aid. These are</w:t>
      </w:r>
      <w:r w:rsidR="007940EE">
        <w:rPr>
          <w:color w:val="000000"/>
          <w:lang w:val="en-IE"/>
        </w:rPr>
        <w:t>,</w:t>
      </w:r>
      <w:r w:rsidRPr="00411456">
        <w:rPr>
          <w:color w:val="000000"/>
          <w:lang w:val="en-IE"/>
        </w:rPr>
        <w:t xml:space="preserve"> firstly</w:t>
      </w:r>
      <w:r w:rsidR="007940EE">
        <w:rPr>
          <w:color w:val="000000"/>
          <w:lang w:val="en-IE"/>
        </w:rPr>
        <w:t>,</w:t>
      </w:r>
      <w:r w:rsidRPr="00411456">
        <w:rPr>
          <w:color w:val="000000"/>
          <w:lang w:val="en-IE"/>
        </w:rPr>
        <w:t xml:space="preserve"> a presumption in the case of commercial contracts that they should be interpreted </w:t>
      </w:r>
      <w:proofErr w:type="gramStart"/>
      <w:r w:rsidRPr="00411456">
        <w:rPr>
          <w:color w:val="000000"/>
          <w:lang w:val="en-IE"/>
        </w:rPr>
        <w:t>so as to</w:t>
      </w:r>
      <w:proofErr w:type="gramEnd"/>
      <w:r w:rsidRPr="00411456">
        <w:rPr>
          <w:color w:val="000000"/>
          <w:lang w:val="en-IE"/>
        </w:rPr>
        <w:t xml:space="preserve"> give the provision business efficacy. Secondly, the poor</w:t>
      </w:r>
      <w:r w:rsidR="002D2B97">
        <w:rPr>
          <w:color w:val="000000"/>
          <w:lang w:val="en-IE"/>
        </w:rPr>
        <w:t>er</w:t>
      </w:r>
      <w:r w:rsidRPr="00411456">
        <w:rPr>
          <w:color w:val="000000"/>
          <w:lang w:val="en-IE"/>
        </w:rPr>
        <w:t xml:space="preserve"> the drafting of the contract</w:t>
      </w:r>
      <w:r w:rsidR="002D2B97">
        <w:rPr>
          <w:color w:val="000000"/>
          <w:lang w:val="en-IE"/>
        </w:rPr>
        <w:t>, t</w:t>
      </w:r>
      <w:r w:rsidRPr="00411456">
        <w:rPr>
          <w:color w:val="000000"/>
          <w:lang w:val="en-IE"/>
        </w:rPr>
        <w:t xml:space="preserve">he </w:t>
      </w:r>
      <w:r w:rsidR="002D2B97" w:rsidRPr="002D2B97">
        <w:rPr>
          <w:i/>
          <w:iCs/>
          <w:color w:val="000000"/>
          <w:lang w:val="en-IE"/>
        </w:rPr>
        <w:t>“</w:t>
      </w:r>
      <w:r w:rsidRPr="002D2B97">
        <w:rPr>
          <w:i/>
          <w:iCs/>
          <w:color w:val="000000"/>
          <w:lang w:val="en-IE"/>
        </w:rPr>
        <w:t xml:space="preserve">more ready </w:t>
      </w:r>
      <w:r w:rsidRPr="002D2B97">
        <w:rPr>
          <w:i/>
          <w:iCs/>
          <w:color w:val="000000"/>
          <w:lang w:val="en-IE"/>
        </w:rPr>
        <w:lastRenderedPageBreak/>
        <w:t xml:space="preserve">the court can properly be </w:t>
      </w:r>
      <w:r w:rsidR="002D2B97" w:rsidRPr="002D2B97">
        <w:rPr>
          <w:i/>
          <w:iCs/>
          <w:color w:val="000000"/>
          <w:lang w:val="en-IE"/>
        </w:rPr>
        <w:t>to depart</w:t>
      </w:r>
      <w:r w:rsidRPr="002D2B97">
        <w:rPr>
          <w:i/>
          <w:iCs/>
          <w:color w:val="000000"/>
          <w:lang w:val="en-IE"/>
        </w:rPr>
        <w:t xml:space="preserve"> from the</w:t>
      </w:r>
      <w:r w:rsidR="00A22130">
        <w:rPr>
          <w:i/>
          <w:iCs/>
          <w:color w:val="000000"/>
          <w:lang w:val="en-IE"/>
        </w:rPr>
        <w:t>ir</w:t>
      </w:r>
      <w:r w:rsidRPr="002D2B97">
        <w:rPr>
          <w:i/>
          <w:iCs/>
          <w:color w:val="000000"/>
          <w:lang w:val="en-IE"/>
        </w:rPr>
        <w:t xml:space="preserve"> natural meaning</w:t>
      </w:r>
      <w:r w:rsidR="002D2B97" w:rsidRPr="002D2B97">
        <w:rPr>
          <w:i/>
          <w:iCs/>
          <w:color w:val="000000"/>
          <w:lang w:val="en-IE"/>
        </w:rPr>
        <w:t>”</w:t>
      </w:r>
      <w:r w:rsidR="002D2B97">
        <w:rPr>
          <w:color w:val="000000"/>
          <w:lang w:val="en-IE"/>
        </w:rPr>
        <w:t xml:space="preserve"> (</w:t>
      </w:r>
      <w:r w:rsidRPr="00411456">
        <w:rPr>
          <w:color w:val="000000"/>
          <w:lang w:val="en-IE"/>
        </w:rPr>
        <w:t xml:space="preserve">per Lord </w:t>
      </w:r>
      <w:r w:rsidR="002D2B97">
        <w:rPr>
          <w:color w:val="000000"/>
          <w:lang w:val="en-IE"/>
        </w:rPr>
        <w:t>Neuberger</w:t>
      </w:r>
      <w:r w:rsidRPr="00411456">
        <w:rPr>
          <w:color w:val="000000"/>
          <w:lang w:val="en-IE"/>
        </w:rPr>
        <w:t xml:space="preserve"> in </w:t>
      </w:r>
      <w:r w:rsidRPr="002D2B97">
        <w:rPr>
          <w:i/>
          <w:iCs/>
          <w:color w:val="000000"/>
          <w:lang w:val="en-IE"/>
        </w:rPr>
        <w:t xml:space="preserve">Arnold </w:t>
      </w:r>
      <w:r w:rsidR="002D2B97" w:rsidRPr="002D2B97">
        <w:rPr>
          <w:i/>
          <w:iCs/>
          <w:color w:val="000000"/>
          <w:lang w:val="en-IE"/>
        </w:rPr>
        <w:t>v.</w:t>
      </w:r>
      <w:r w:rsidRPr="002D2B97">
        <w:rPr>
          <w:i/>
          <w:iCs/>
          <w:color w:val="000000"/>
          <w:lang w:val="en-IE"/>
        </w:rPr>
        <w:t xml:space="preserve"> Brit</w:t>
      </w:r>
      <w:r w:rsidR="002D2B97" w:rsidRPr="002D2B97">
        <w:rPr>
          <w:i/>
          <w:iCs/>
          <w:color w:val="000000"/>
          <w:lang w:val="en-IE"/>
        </w:rPr>
        <w:t>to</w:t>
      </w:r>
      <w:r w:rsidRPr="002D2B97">
        <w:rPr>
          <w:i/>
          <w:iCs/>
          <w:color w:val="000000"/>
          <w:lang w:val="en-IE"/>
        </w:rPr>
        <w:t>n</w:t>
      </w:r>
      <w:r w:rsidRPr="00411456">
        <w:rPr>
          <w:color w:val="000000"/>
          <w:lang w:val="en-IE"/>
        </w:rPr>
        <w:t xml:space="preserve"> </w:t>
      </w:r>
      <w:r w:rsidR="002D2B97">
        <w:rPr>
          <w:color w:val="000000"/>
          <w:lang w:val="en-IE"/>
        </w:rPr>
        <w:t>[</w:t>
      </w:r>
      <w:r w:rsidRPr="00411456">
        <w:rPr>
          <w:color w:val="000000"/>
          <w:lang w:val="en-IE"/>
        </w:rPr>
        <w:t>2015</w:t>
      </w:r>
      <w:r w:rsidR="002D2B97">
        <w:rPr>
          <w:color w:val="000000"/>
          <w:lang w:val="en-IE"/>
        </w:rPr>
        <w:t>] UKSC 36</w:t>
      </w:r>
      <w:r w:rsidR="008210D4">
        <w:rPr>
          <w:color w:val="000000"/>
          <w:lang w:val="en-IE"/>
        </w:rPr>
        <w:t>)</w:t>
      </w:r>
      <w:r w:rsidRPr="00411456">
        <w:rPr>
          <w:color w:val="000000"/>
          <w:lang w:val="en-IE"/>
        </w:rPr>
        <w:t>. Thirdly</w:t>
      </w:r>
      <w:r w:rsidR="002D2B97">
        <w:rPr>
          <w:color w:val="000000"/>
          <w:lang w:val="en-IE"/>
        </w:rPr>
        <w:t>,</w:t>
      </w:r>
      <w:r w:rsidRPr="00411456">
        <w:rPr>
          <w:color w:val="000000"/>
          <w:lang w:val="en-IE"/>
        </w:rPr>
        <w:t xml:space="preserve"> the word</w:t>
      </w:r>
      <w:r w:rsidR="008210D4">
        <w:rPr>
          <w:color w:val="000000"/>
          <w:lang w:val="en-IE"/>
        </w:rPr>
        <w:t>s</w:t>
      </w:r>
      <w:r w:rsidRPr="00411456">
        <w:rPr>
          <w:color w:val="000000"/>
          <w:lang w:val="en-IE"/>
        </w:rPr>
        <w:t xml:space="preserve"> use</w:t>
      </w:r>
      <w:r w:rsidR="008210D4">
        <w:rPr>
          <w:color w:val="000000"/>
          <w:lang w:val="en-IE"/>
        </w:rPr>
        <w:t>d</w:t>
      </w:r>
      <w:r w:rsidRPr="00411456">
        <w:rPr>
          <w:color w:val="000000"/>
          <w:lang w:val="en-IE"/>
        </w:rPr>
        <w:t xml:space="preserve"> should</w:t>
      </w:r>
      <w:r w:rsidR="002D2B97">
        <w:rPr>
          <w:color w:val="000000"/>
          <w:lang w:val="en-IE"/>
        </w:rPr>
        <w:t xml:space="preserve">, </w:t>
      </w:r>
      <w:r w:rsidRPr="00411456">
        <w:rPr>
          <w:color w:val="000000"/>
          <w:lang w:val="en-IE"/>
        </w:rPr>
        <w:t>if possible</w:t>
      </w:r>
      <w:r w:rsidR="002D2B97">
        <w:rPr>
          <w:color w:val="000000"/>
          <w:lang w:val="en-IE"/>
        </w:rPr>
        <w:t>,</w:t>
      </w:r>
      <w:r w:rsidRPr="00411456">
        <w:rPr>
          <w:color w:val="000000"/>
          <w:lang w:val="en-IE"/>
        </w:rPr>
        <w:t xml:space="preserve"> be given some meaning as the parties should not be taken</w:t>
      </w:r>
      <w:r w:rsidR="008210D4">
        <w:rPr>
          <w:color w:val="000000"/>
          <w:lang w:val="en-IE"/>
        </w:rPr>
        <w:t xml:space="preserve"> to have</w:t>
      </w:r>
      <w:r w:rsidRPr="00411456">
        <w:rPr>
          <w:color w:val="000000"/>
          <w:lang w:val="en-IE"/>
        </w:rPr>
        <w:t xml:space="preserve"> included </w:t>
      </w:r>
      <w:r w:rsidR="008210D4">
        <w:rPr>
          <w:color w:val="000000"/>
          <w:lang w:val="en-IE"/>
        </w:rPr>
        <w:t>a</w:t>
      </w:r>
      <w:r w:rsidRPr="00411456">
        <w:rPr>
          <w:color w:val="000000"/>
          <w:lang w:val="en-IE"/>
        </w:rPr>
        <w:t xml:space="preserve"> text for no purpose at all.</w:t>
      </w:r>
    </w:p>
    <w:p w14:paraId="1C9F19A7" w14:textId="09A415E8" w:rsidR="00F66D54" w:rsidRDefault="008210D4"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It is apparent</w:t>
      </w:r>
      <w:r w:rsidR="00936CE0" w:rsidRPr="00411456">
        <w:rPr>
          <w:color w:val="000000"/>
          <w:lang w:val="en-IE"/>
        </w:rPr>
        <w:t xml:space="preserve"> that the intended purpose of clause 11 generally was to ensure that</w:t>
      </w:r>
      <w:r>
        <w:rPr>
          <w:color w:val="000000"/>
          <w:lang w:val="en-IE"/>
        </w:rPr>
        <w:t>,</w:t>
      </w:r>
      <w:r w:rsidR="00936CE0" w:rsidRPr="00411456">
        <w:rPr>
          <w:color w:val="000000"/>
          <w:lang w:val="en-IE"/>
        </w:rPr>
        <w:t xml:space="preserve"> if one of the shareholders wish</w:t>
      </w:r>
      <w:r>
        <w:rPr>
          <w:color w:val="000000"/>
          <w:lang w:val="en-IE"/>
        </w:rPr>
        <w:t>ed</w:t>
      </w:r>
      <w:r w:rsidR="00936CE0" w:rsidRPr="00411456">
        <w:rPr>
          <w:color w:val="000000"/>
          <w:lang w:val="en-IE"/>
        </w:rPr>
        <w:t xml:space="preserve"> to leave the compan</w:t>
      </w:r>
      <w:r>
        <w:rPr>
          <w:color w:val="000000"/>
          <w:lang w:val="en-IE"/>
        </w:rPr>
        <w:t xml:space="preserve">y, </w:t>
      </w:r>
      <w:r w:rsidR="00936CE0" w:rsidRPr="00411456">
        <w:rPr>
          <w:color w:val="000000"/>
          <w:lang w:val="en-IE"/>
        </w:rPr>
        <w:t>that shareholder would be obliged to offer their shareholding at a 30% discount to the other party before offering it for sale</w:t>
      </w:r>
      <w:r>
        <w:rPr>
          <w:color w:val="000000"/>
          <w:lang w:val="en-IE"/>
        </w:rPr>
        <w:t xml:space="preserve"> to any third</w:t>
      </w:r>
      <w:r w:rsidR="00936CE0" w:rsidRPr="00411456">
        <w:rPr>
          <w:color w:val="000000"/>
          <w:lang w:val="en-IE"/>
        </w:rPr>
        <w:t xml:space="preserve"> party. In this context</w:t>
      </w:r>
      <w:r>
        <w:rPr>
          <w:color w:val="000000"/>
          <w:lang w:val="en-IE"/>
        </w:rPr>
        <w:t>,</w:t>
      </w:r>
      <w:r w:rsidR="00936CE0" w:rsidRPr="00411456">
        <w:rPr>
          <w:color w:val="000000"/>
          <w:lang w:val="en-IE"/>
        </w:rPr>
        <w:t xml:space="preserve"> clause 11.5 provides for the specific</w:t>
      </w:r>
      <w:r>
        <w:rPr>
          <w:color w:val="000000"/>
          <w:lang w:val="en-IE"/>
        </w:rPr>
        <w:t xml:space="preserve"> circum</w:t>
      </w:r>
      <w:r w:rsidR="00936CE0" w:rsidRPr="00411456">
        <w:rPr>
          <w:color w:val="000000"/>
          <w:lang w:val="en-IE"/>
        </w:rPr>
        <w:t>sta</w:t>
      </w:r>
      <w:r>
        <w:rPr>
          <w:color w:val="000000"/>
          <w:lang w:val="en-IE"/>
        </w:rPr>
        <w:t>nce</w:t>
      </w:r>
      <w:r w:rsidR="00936CE0" w:rsidRPr="00411456">
        <w:rPr>
          <w:color w:val="000000"/>
          <w:lang w:val="en-IE"/>
        </w:rPr>
        <w:t>s of the insolvency or likely insolvency of a corporate shareholder in which case</w:t>
      </w:r>
      <w:r w:rsidR="006D06E4">
        <w:rPr>
          <w:color w:val="000000"/>
          <w:lang w:val="en-IE"/>
        </w:rPr>
        <w:t>,</w:t>
      </w:r>
      <w:r w:rsidR="00936CE0" w:rsidRPr="00411456">
        <w:rPr>
          <w:color w:val="000000"/>
          <w:lang w:val="en-IE"/>
        </w:rPr>
        <w:t xml:space="preserve"> on the happening of certain events</w:t>
      </w:r>
      <w:r w:rsidR="006D06E4">
        <w:rPr>
          <w:color w:val="000000"/>
          <w:lang w:val="en-IE"/>
        </w:rPr>
        <w:t>,</w:t>
      </w:r>
      <w:r w:rsidR="00936CE0" w:rsidRPr="00411456">
        <w:rPr>
          <w:color w:val="000000"/>
          <w:lang w:val="en-IE"/>
        </w:rPr>
        <w:t xml:space="preserve"> that shareholder</w:t>
      </w:r>
      <w:r>
        <w:rPr>
          <w:color w:val="000000"/>
          <w:lang w:val="en-IE"/>
        </w:rPr>
        <w:t xml:space="preserve"> i</w:t>
      </w:r>
      <w:r w:rsidR="00936CE0" w:rsidRPr="00411456">
        <w:rPr>
          <w:color w:val="000000"/>
          <w:lang w:val="en-IE"/>
        </w:rPr>
        <w:t>s deemed to have offered its shareholding to the other shareholder on terms which m</w:t>
      </w:r>
      <w:r>
        <w:rPr>
          <w:color w:val="000000"/>
          <w:lang w:val="en-IE"/>
        </w:rPr>
        <w:t xml:space="preserve">irror </w:t>
      </w:r>
      <w:r w:rsidR="00936CE0" w:rsidRPr="00411456">
        <w:rPr>
          <w:color w:val="000000"/>
          <w:lang w:val="en-IE"/>
        </w:rPr>
        <w:t>those applying generally under clause 11. As the respondents point out, c</w:t>
      </w:r>
      <w:r>
        <w:rPr>
          <w:color w:val="000000"/>
          <w:lang w:val="en-IE"/>
        </w:rPr>
        <w:t>lause</w:t>
      </w:r>
      <w:r w:rsidR="00936CE0" w:rsidRPr="00411456">
        <w:rPr>
          <w:color w:val="000000"/>
          <w:lang w:val="en-IE"/>
        </w:rPr>
        <w:t xml:space="preserve"> 11.5 operates for the benefit of the shareholder who is not insolvent</w:t>
      </w:r>
      <w:r w:rsidR="00F66D54">
        <w:rPr>
          <w:color w:val="000000"/>
          <w:lang w:val="en-IE"/>
        </w:rPr>
        <w:t>. T</w:t>
      </w:r>
      <w:r w:rsidR="00936CE0" w:rsidRPr="00411456">
        <w:rPr>
          <w:color w:val="000000"/>
          <w:lang w:val="en-IE"/>
        </w:rPr>
        <w:t>his</w:t>
      </w:r>
      <w:r w:rsidR="00F66D54">
        <w:rPr>
          <w:color w:val="000000"/>
          <w:lang w:val="en-IE"/>
        </w:rPr>
        <w:t>, it</w:t>
      </w:r>
      <w:r w:rsidR="00936CE0" w:rsidRPr="00411456">
        <w:rPr>
          <w:color w:val="000000"/>
          <w:lang w:val="en-IE"/>
        </w:rPr>
        <w:t xml:space="preserve"> is argued</w:t>
      </w:r>
      <w:r w:rsidR="00F66D54">
        <w:rPr>
          <w:color w:val="000000"/>
          <w:lang w:val="en-IE"/>
        </w:rPr>
        <w:t xml:space="preserve">, </w:t>
      </w:r>
      <w:r w:rsidR="00936CE0" w:rsidRPr="00411456">
        <w:rPr>
          <w:color w:val="000000"/>
          <w:lang w:val="en-IE"/>
        </w:rPr>
        <w:t>is consistent with the fact that the shareholders</w:t>
      </w:r>
      <w:r w:rsidR="00F66D54">
        <w:rPr>
          <w:color w:val="000000"/>
          <w:lang w:val="en-IE"/>
        </w:rPr>
        <w:t>’</w:t>
      </w:r>
      <w:r w:rsidR="00936CE0" w:rsidRPr="00411456">
        <w:rPr>
          <w:color w:val="000000"/>
          <w:lang w:val="en-IE"/>
        </w:rPr>
        <w:t xml:space="preserve"> agreement arose in the context of a company set</w:t>
      </w:r>
      <w:r w:rsidR="00601146">
        <w:rPr>
          <w:color w:val="000000"/>
          <w:lang w:val="en-IE"/>
        </w:rPr>
        <w:t xml:space="preserve"> </w:t>
      </w:r>
      <w:r w:rsidR="00936CE0" w:rsidRPr="00411456">
        <w:rPr>
          <w:color w:val="000000"/>
          <w:lang w:val="en-IE"/>
        </w:rPr>
        <w:t>up to pursue a joint venture. The agreed mechanism forces an insolvent shareholder to sell its shares in the company and provides</w:t>
      </w:r>
      <w:r w:rsidR="00F66D54">
        <w:rPr>
          <w:color w:val="000000"/>
          <w:lang w:val="en-IE"/>
        </w:rPr>
        <w:t xml:space="preserve"> a</w:t>
      </w:r>
      <w:r w:rsidR="00936CE0" w:rsidRPr="00411456">
        <w:rPr>
          <w:color w:val="000000"/>
          <w:lang w:val="en-IE"/>
        </w:rPr>
        <w:t xml:space="preserve"> first option on the purchase of those shares</w:t>
      </w:r>
      <w:r w:rsidR="00F66D54">
        <w:rPr>
          <w:color w:val="000000"/>
          <w:lang w:val="en-IE"/>
        </w:rPr>
        <w:t xml:space="preserve"> t</w:t>
      </w:r>
      <w:r w:rsidR="00936CE0" w:rsidRPr="00411456">
        <w:rPr>
          <w:color w:val="000000"/>
          <w:lang w:val="en-IE"/>
        </w:rPr>
        <w:t>o the other shareholder.</w:t>
      </w:r>
      <w:r w:rsidR="00601146">
        <w:rPr>
          <w:color w:val="000000"/>
          <w:lang w:val="en-IE"/>
        </w:rPr>
        <w:t xml:space="preserve"> The insolvent shareholder cannot, through the sale of its shares, force the other shareholder into a joint venture with a partner not of its choosing.</w:t>
      </w:r>
    </w:p>
    <w:p w14:paraId="7473B535" w14:textId="53D20FFD" w:rsidR="008700C2" w:rsidRDefault="00F66D54"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W</w:t>
      </w:r>
      <w:r w:rsidR="00936CE0" w:rsidRPr="00411456">
        <w:rPr>
          <w:color w:val="000000"/>
          <w:lang w:val="en-IE"/>
        </w:rPr>
        <w:t>ithin the context of this intended arrangement</w:t>
      </w:r>
      <w:r w:rsidR="008700C2">
        <w:rPr>
          <w:color w:val="000000"/>
          <w:lang w:val="en-IE"/>
        </w:rPr>
        <w:t>,</w:t>
      </w:r>
      <w:r w:rsidR="00936CE0" w:rsidRPr="00411456">
        <w:rPr>
          <w:color w:val="000000"/>
          <w:lang w:val="en-IE"/>
        </w:rPr>
        <w:t xml:space="preserve"> the applicant argues that notwithstanding the reference in the first line of clause 11.5 to the deemed service of </w:t>
      </w:r>
      <w:r w:rsidR="008700C2">
        <w:rPr>
          <w:color w:val="000000"/>
          <w:lang w:val="en-IE"/>
        </w:rPr>
        <w:t>the</w:t>
      </w:r>
      <w:r w:rsidR="00936CE0" w:rsidRPr="00411456">
        <w:rPr>
          <w:color w:val="000000"/>
          <w:lang w:val="en-IE"/>
        </w:rPr>
        <w:t xml:space="preserve"> transfer notice upon the appointment of a </w:t>
      </w:r>
      <w:r w:rsidR="008700C2" w:rsidRPr="008700C2">
        <w:rPr>
          <w:i/>
          <w:iCs/>
          <w:color w:val="000000"/>
          <w:lang w:val="en-IE"/>
        </w:rPr>
        <w:t>“</w:t>
      </w:r>
      <w:r w:rsidR="00936CE0" w:rsidRPr="008700C2">
        <w:rPr>
          <w:i/>
          <w:iCs/>
          <w:color w:val="000000"/>
          <w:lang w:val="en-IE"/>
        </w:rPr>
        <w:t>liquidator, receiver or examiner</w:t>
      </w:r>
      <w:r w:rsidR="008700C2" w:rsidRPr="008700C2">
        <w:rPr>
          <w:i/>
          <w:iCs/>
          <w:color w:val="000000"/>
          <w:lang w:val="en-IE"/>
        </w:rPr>
        <w:t>”</w:t>
      </w:r>
      <w:r w:rsidR="008700C2">
        <w:rPr>
          <w:color w:val="000000"/>
          <w:lang w:val="en-IE"/>
        </w:rPr>
        <w:t xml:space="preserve">, </w:t>
      </w:r>
      <w:r w:rsidR="00936CE0" w:rsidRPr="00411456">
        <w:rPr>
          <w:color w:val="000000"/>
          <w:lang w:val="en-IE"/>
        </w:rPr>
        <w:t xml:space="preserve">the appointment of an examiner does not trigger the operation of clause 11.5. More specifically, it is argued that a liquidator must be in place for payment to be made for the shares. Consequently, </w:t>
      </w:r>
      <w:r w:rsidR="008700C2">
        <w:rPr>
          <w:color w:val="000000"/>
          <w:lang w:val="en-IE"/>
        </w:rPr>
        <w:t xml:space="preserve">the </w:t>
      </w:r>
      <w:r w:rsidR="00936CE0" w:rsidRPr="00411456">
        <w:rPr>
          <w:color w:val="000000"/>
          <w:lang w:val="en-IE"/>
        </w:rPr>
        <w:t xml:space="preserve">examinership must have failed and a liquidator appointed </w:t>
      </w:r>
      <w:proofErr w:type="gramStart"/>
      <w:r w:rsidR="00936CE0" w:rsidRPr="00411456">
        <w:rPr>
          <w:color w:val="000000"/>
          <w:lang w:val="en-IE"/>
        </w:rPr>
        <w:t>subsequent to</w:t>
      </w:r>
      <w:proofErr w:type="gramEnd"/>
      <w:r w:rsidR="00936CE0" w:rsidRPr="00411456">
        <w:rPr>
          <w:color w:val="000000"/>
          <w:lang w:val="en-IE"/>
        </w:rPr>
        <w:t xml:space="preserve"> the conclusion of the examinership and separately to the appointment of the examiner</w:t>
      </w:r>
      <w:r w:rsidR="008700C2">
        <w:rPr>
          <w:color w:val="000000"/>
          <w:lang w:val="en-IE"/>
        </w:rPr>
        <w:t>.</w:t>
      </w:r>
      <w:r w:rsidR="00936CE0" w:rsidRPr="00411456">
        <w:rPr>
          <w:color w:val="000000"/>
          <w:lang w:val="en-IE"/>
        </w:rPr>
        <w:t xml:space="preserve"> I have some difficulty with this interpretation as it would render meaningless the reference to </w:t>
      </w:r>
      <w:r w:rsidR="008700C2" w:rsidRPr="008700C2">
        <w:rPr>
          <w:i/>
          <w:iCs/>
          <w:color w:val="000000"/>
          <w:lang w:val="en-IE"/>
        </w:rPr>
        <w:t>“</w:t>
      </w:r>
      <w:r w:rsidR="00936CE0" w:rsidRPr="008700C2">
        <w:rPr>
          <w:i/>
          <w:iCs/>
          <w:color w:val="000000"/>
          <w:lang w:val="en-IE"/>
        </w:rPr>
        <w:t>receiv</w:t>
      </w:r>
      <w:r w:rsidR="008700C2" w:rsidRPr="008700C2">
        <w:rPr>
          <w:i/>
          <w:iCs/>
          <w:color w:val="000000"/>
          <w:lang w:val="en-IE"/>
        </w:rPr>
        <w:t>er or</w:t>
      </w:r>
      <w:r w:rsidR="00936CE0" w:rsidRPr="008700C2">
        <w:rPr>
          <w:i/>
          <w:iCs/>
          <w:color w:val="000000"/>
          <w:lang w:val="en-IE"/>
        </w:rPr>
        <w:t xml:space="preserve"> examiner</w:t>
      </w:r>
      <w:r w:rsidR="008700C2" w:rsidRPr="008700C2">
        <w:rPr>
          <w:i/>
          <w:iCs/>
          <w:color w:val="000000"/>
          <w:lang w:val="en-IE"/>
        </w:rPr>
        <w:t>”</w:t>
      </w:r>
      <w:r w:rsidR="00936CE0" w:rsidRPr="00411456">
        <w:rPr>
          <w:color w:val="000000"/>
          <w:lang w:val="en-IE"/>
        </w:rPr>
        <w:t xml:space="preserve"> in the first line of clause 11.5</w:t>
      </w:r>
      <w:r w:rsidR="008700C2">
        <w:rPr>
          <w:color w:val="000000"/>
          <w:lang w:val="en-IE"/>
        </w:rPr>
        <w:t xml:space="preserve">. </w:t>
      </w:r>
      <w:r w:rsidR="00936CE0" w:rsidRPr="008700C2">
        <w:rPr>
          <w:color w:val="000000"/>
          <w:lang w:val="en-IE"/>
        </w:rPr>
        <w:t>If the appointment of a liquidator is a prerequisite to the operation of the c</w:t>
      </w:r>
      <w:r w:rsidR="00F83022">
        <w:rPr>
          <w:color w:val="000000"/>
          <w:lang w:val="en-IE"/>
        </w:rPr>
        <w:t>l</w:t>
      </w:r>
      <w:r w:rsidR="00936CE0" w:rsidRPr="008700C2">
        <w:rPr>
          <w:color w:val="000000"/>
          <w:lang w:val="en-IE"/>
        </w:rPr>
        <w:t>ause, th</w:t>
      </w:r>
      <w:r w:rsidR="008700C2">
        <w:rPr>
          <w:color w:val="000000"/>
          <w:lang w:val="en-IE"/>
        </w:rPr>
        <w:t xml:space="preserve">en </w:t>
      </w:r>
      <w:r w:rsidR="008700C2">
        <w:rPr>
          <w:color w:val="000000"/>
          <w:lang w:val="en-IE"/>
        </w:rPr>
        <w:lastRenderedPageBreak/>
        <w:t>why d</w:t>
      </w:r>
      <w:r w:rsidR="00601146">
        <w:rPr>
          <w:color w:val="000000"/>
          <w:lang w:val="en-IE"/>
        </w:rPr>
        <w:t>id</w:t>
      </w:r>
      <w:r w:rsidR="00936CE0" w:rsidRPr="008700C2">
        <w:rPr>
          <w:color w:val="000000"/>
          <w:lang w:val="en-IE"/>
        </w:rPr>
        <w:t xml:space="preserve"> the parties refer to </w:t>
      </w:r>
      <w:r w:rsidR="008700C2">
        <w:rPr>
          <w:color w:val="000000"/>
          <w:lang w:val="en-IE"/>
        </w:rPr>
        <w:t xml:space="preserve">the two </w:t>
      </w:r>
      <w:r w:rsidR="00936CE0" w:rsidRPr="008700C2">
        <w:rPr>
          <w:color w:val="000000"/>
          <w:lang w:val="en-IE"/>
        </w:rPr>
        <w:t>other forms of insolvency practitioner</w:t>
      </w:r>
      <w:r w:rsidR="008700C2">
        <w:rPr>
          <w:color w:val="000000"/>
          <w:lang w:val="en-IE"/>
        </w:rPr>
        <w:t xml:space="preserve"> at</w:t>
      </w:r>
      <w:r w:rsidR="00936CE0" w:rsidRPr="008700C2">
        <w:rPr>
          <w:color w:val="000000"/>
          <w:lang w:val="en-IE"/>
        </w:rPr>
        <w:t xml:space="preserve"> all</w:t>
      </w:r>
      <w:r w:rsidR="008700C2">
        <w:rPr>
          <w:color w:val="000000"/>
          <w:lang w:val="en-IE"/>
        </w:rPr>
        <w:t>?</w:t>
      </w:r>
      <w:r w:rsidR="00936CE0" w:rsidRPr="008700C2">
        <w:rPr>
          <w:color w:val="000000"/>
          <w:lang w:val="en-IE"/>
        </w:rPr>
        <w:t xml:space="preserve"> Under this interpretation, the only relevance of the examinership is that</w:t>
      </w:r>
      <w:r w:rsidR="008700C2">
        <w:rPr>
          <w:color w:val="000000"/>
          <w:lang w:val="en-IE"/>
        </w:rPr>
        <w:t>,</w:t>
      </w:r>
      <w:r w:rsidR="00936CE0" w:rsidRPr="008700C2">
        <w:rPr>
          <w:color w:val="000000"/>
          <w:lang w:val="en-IE"/>
        </w:rPr>
        <w:t xml:space="preserve"> if </w:t>
      </w:r>
      <w:r w:rsidR="008700C2">
        <w:rPr>
          <w:color w:val="000000"/>
          <w:lang w:val="en-IE"/>
        </w:rPr>
        <w:t>u</w:t>
      </w:r>
      <w:r w:rsidR="00936CE0" w:rsidRPr="008700C2">
        <w:rPr>
          <w:color w:val="000000"/>
          <w:lang w:val="en-IE"/>
        </w:rPr>
        <w:t>nsuccessful</w:t>
      </w:r>
      <w:r w:rsidR="008700C2">
        <w:rPr>
          <w:color w:val="000000"/>
          <w:lang w:val="en-IE"/>
        </w:rPr>
        <w:t xml:space="preserve">, </w:t>
      </w:r>
      <w:r w:rsidR="00936CE0" w:rsidRPr="008700C2">
        <w:rPr>
          <w:color w:val="000000"/>
          <w:lang w:val="en-IE"/>
        </w:rPr>
        <w:t>it may proceed a liquidation but</w:t>
      </w:r>
      <w:r w:rsidR="008700C2">
        <w:rPr>
          <w:color w:val="000000"/>
          <w:lang w:val="en-IE"/>
        </w:rPr>
        <w:t>,</w:t>
      </w:r>
      <w:r w:rsidR="00936CE0" w:rsidRPr="008700C2">
        <w:rPr>
          <w:color w:val="000000"/>
          <w:lang w:val="en-IE"/>
        </w:rPr>
        <w:t xml:space="preserve"> as </w:t>
      </w:r>
      <w:r w:rsidR="008700C2">
        <w:rPr>
          <w:color w:val="000000"/>
          <w:lang w:val="en-IE"/>
        </w:rPr>
        <w:t xml:space="preserve">a </w:t>
      </w:r>
      <w:r w:rsidR="00936CE0" w:rsidRPr="008700C2">
        <w:rPr>
          <w:color w:val="000000"/>
          <w:lang w:val="en-IE"/>
        </w:rPr>
        <w:t>liquidat</w:t>
      </w:r>
      <w:r w:rsidR="008700C2">
        <w:rPr>
          <w:color w:val="000000"/>
          <w:lang w:val="en-IE"/>
        </w:rPr>
        <w:t>or</w:t>
      </w:r>
      <w:r w:rsidR="00936CE0" w:rsidRPr="008700C2">
        <w:rPr>
          <w:color w:val="000000"/>
          <w:lang w:val="en-IE"/>
        </w:rPr>
        <w:t xml:space="preserve"> would have to be appointed in any event</w:t>
      </w:r>
      <w:r w:rsidR="008700C2">
        <w:rPr>
          <w:color w:val="000000"/>
          <w:lang w:val="en-IE"/>
        </w:rPr>
        <w:t xml:space="preserve">, </w:t>
      </w:r>
      <w:r w:rsidR="00936CE0" w:rsidRPr="008700C2">
        <w:rPr>
          <w:color w:val="000000"/>
          <w:lang w:val="en-IE"/>
        </w:rPr>
        <w:t xml:space="preserve">the fact that </w:t>
      </w:r>
      <w:r w:rsidR="008700C2">
        <w:rPr>
          <w:color w:val="000000"/>
          <w:lang w:val="en-IE"/>
        </w:rPr>
        <w:t xml:space="preserve">the </w:t>
      </w:r>
      <w:r w:rsidR="00936CE0" w:rsidRPr="008700C2">
        <w:rPr>
          <w:color w:val="000000"/>
          <w:lang w:val="en-IE"/>
        </w:rPr>
        <w:t>liquidation was preceded by an examinership would be entirely irrelevant</w:t>
      </w:r>
      <w:r w:rsidR="008700C2">
        <w:rPr>
          <w:color w:val="000000"/>
          <w:lang w:val="en-IE"/>
        </w:rPr>
        <w:t>.</w:t>
      </w:r>
      <w:r w:rsidR="00936CE0" w:rsidRPr="008700C2">
        <w:rPr>
          <w:color w:val="000000"/>
          <w:lang w:val="en-IE"/>
        </w:rPr>
        <w:t xml:space="preserve"> </w:t>
      </w:r>
      <w:r w:rsidR="008700C2">
        <w:rPr>
          <w:color w:val="000000"/>
          <w:lang w:val="en-IE"/>
        </w:rPr>
        <w:t>T</w:t>
      </w:r>
      <w:r w:rsidR="00936CE0" w:rsidRPr="008700C2">
        <w:rPr>
          <w:color w:val="000000"/>
          <w:lang w:val="en-IE"/>
        </w:rPr>
        <w:t>he applicant did not identify how the appointment of a receiver might fit into this argument</w:t>
      </w:r>
      <w:r w:rsidR="008700C2">
        <w:rPr>
          <w:color w:val="000000"/>
          <w:lang w:val="en-IE"/>
        </w:rPr>
        <w:t>.</w:t>
      </w:r>
    </w:p>
    <w:p w14:paraId="04DC6FF0" w14:textId="5C646FB1" w:rsidR="002F1017"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8700C2">
        <w:rPr>
          <w:color w:val="000000"/>
          <w:lang w:val="en-IE"/>
        </w:rPr>
        <w:t xml:space="preserve">The applicant relies in part on the reference to the </w:t>
      </w:r>
      <w:r w:rsidR="006D06E4">
        <w:rPr>
          <w:color w:val="000000"/>
          <w:lang w:val="en-IE"/>
        </w:rPr>
        <w:t xml:space="preserve">interpretation of an agreement </w:t>
      </w:r>
      <w:proofErr w:type="gramStart"/>
      <w:r w:rsidR="006D06E4">
        <w:rPr>
          <w:color w:val="000000"/>
          <w:lang w:val="en-IE"/>
        </w:rPr>
        <w:t>in light of</w:t>
      </w:r>
      <w:proofErr w:type="gramEnd"/>
      <w:r w:rsidR="006D06E4">
        <w:rPr>
          <w:color w:val="000000"/>
          <w:lang w:val="en-IE"/>
        </w:rPr>
        <w:t xml:space="preserve"> the </w:t>
      </w:r>
      <w:r w:rsidRPr="008700C2">
        <w:rPr>
          <w:color w:val="000000"/>
          <w:lang w:val="en-IE"/>
        </w:rPr>
        <w:t xml:space="preserve">background law </w:t>
      </w:r>
      <w:r w:rsidR="00601146">
        <w:rPr>
          <w:color w:val="000000"/>
          <w:lang w:val="en-IE"/>
        </w:rPr>
        <w:t xml:space="preserve">in </w:t>
      </w:r>
      <w:r w:rsidR="00601146" w:rsidRPr="00886FFD">
        <w:rPr>
          <w:i/>
          <w:color w:val="000000"/>
          <w:lang w:val="en-IE"/>
        </w:rPr>
        <w:t>Law Society of Ireland v MIBI</w:t>
      </w:r>
      <w:r w:rsidR="00601146">
        <w:rPr>
          <w:color w:val="000000"/>
          <w:lang w:val="en-IE"/>
        </w:rPr>
        <w:t xml:space="preserve"> (above) </w:t>
      </w:r>
      <w:r w:rsidRPr="008700C2">
        <w:rPr>
          <w:color w:val="000000"/>
          <w:lang w:val="en-IE"/>
        </w:rPr>
        <w:t xml:space="preserve">and points to the protection afforded to a company under statute whilst </w:t>
      </w:r>
      <w:r w:rsidR="008700C2">
        <w:rPr>
          <w:color w:val="000000"/>
          <w:lang w:val="en-IE"/>
        </w:rPr>
        <w:t>an exa</w:t>
      </w:r>
      <w:r w:rsidRPr="008700C2">
        <w:rPr>
          <w:color w:val="000000"/>
          <w:lang w:val="en-IE"/>
        </w:rPr>
        <w:t>min</w:t>
      </w:r>
      <w:r w:rsidR="008700C2">
        <w:rPr>
          <w:color w:val="000000"/>
          <w:lang w:val="en-IE"/>
        </w:rPr>
        <w:t>er</w:t>
      </w:r>
      <w:r w:rsidRPr="008700C2">
        <w:rPr>
          <w:color w:val="000000"/>
          <w:lang w:val="en-IE"/>
        </w:rPr>
        <w:t>ship is in being. Although the relevant law is now found in the Companies Act</w:t>
      </w:r>
      <w:r w:rsidR="008700C2">
        <w:rPr>
          <w:color w:val="000000"/>
          <w:lang w:val="en-IE"/>
        </w:rPr>
        <w:t>,</w:t>
      </w:r>
      <w:r w:rsidRPr="008700C2">
        <w:rPr>
          <w:color w:val="000000"/>
          <w:lang w:val="en-IE"/>
        </w:rPr>
        <w:t xml:space="preserve"> 2014</w:t>
      </w:r>
      <w:r w:rsidR="008700C2">
        <w:rPr>
          <w:color w:val="000000"/>
          <w:lang w:val="en-IE"/>
        </w:rPr>
        <w:t>,</w:t>
      </w:r>
      <w:r w:rsidRPr="008700C2">
        <w:rPr>
          <w:color w:val="000000"/>
          <w:lang w:val="en-IE"/>
        </w:rPr>
        <w:t xml:space="preserve"> </w:t>
      </w:r>
      <w:r w:rsidR="008700C2">
        <w:rPr>
          <w:color w:val="000000"/>
          <w:lang w:val="en-IE"/>
        </w:rPr>
        <w:t>t</w:t>
      </w:r>
      <w:r w:rsidRPr="008700C2">
        <w:rPr>
          <w:color w:val="000000"/>
          <w:lang w:val="en-IE"/>
        </w:rPr>
        <w:t>he applicant relied on the provision</w:t>
      </w:r>
      <w:r w:rsidR="008700C2">
        <w:rPr>
          <w:color w:val="000000"/>
          <w:lang w:val="en-IE"/>
        </w:rPr>
        <w:t xml:space="preserve"> of s. 5(2)(a) to (d) of the Companies (</w:t>
      </w:r>
      <w:r w:rsidRPr="008700C2">
        <w:rPr>
          <w:color w:val="000000"/>
          <w:lang w:val="en-IE"/>
        </w:rPr>
        <w:t>Amendmen</w:t>
      </w:r>
      <w:r w:rsidR="008700C2">
        <w:rPr>
          <w:color w:val="000000"/>
          <w:lang w:val="en-IE"/>
        </w:rPr>
        <w:t>t)</w:t>
      </w:r>
      <w:r w:rsidRPr="008700C2">
        <w:rPr>
          <w:color w:val="000000"/>
          <w:lang w:val="en-IE"/>
        </w:rPr>
        <w:t xml:space="preserve"> Act</w:t>
      </w:r>
      <w:r w:rsidR="008700C2">
        <w:rPr>
          <w:color w:val="000000"/>
          <w:lang w:val="en-IE"/>
        </w:rPr>
        <w:t>,</w:t>
      </w:r>
      <w:r w:rsidRPr="008700C2">
        <w:rPr>
          <w:color w:val="000000"/>
          <w:lang w:val="en-IE"/>
        </w:rPr>
        <w:t xml:space="preserve"> 1990, which was the </w:t>
      </w:r>
      <w:r w:rsidR="00601146">
        <w:rPr>
          <w:color w:val="000000"/>
          <w:lang w:val="en-IE"/>
        </w:rPr>
        <w:t xml:space="preserve">relevant </w:t>
      </w:r>
      <w:r w:rsidRPr="008700C2">
        <w:rPr>
          <w:color w:val="000000"/>
          <w:lang w:val="en-IE"/>
        </w:rPr>
        <w:t>provision at the time the shareholders</w:t>
      </w:r>
      <w:r w:rsidR="008700C2">
        <w:rPr>
          <w:color w:val="000000"/>
          <w:lang w:val="en-IE"/>
        </w:rPr>
        <w:t>’</w:t>
      </w:r>
      <w:r w:rsidRPr="008700C2">
        <w:rPr>
          <w:color w:val="000000"/>
          <w:lang w:val="en-IE"/>
        </w:rPr>
        <w:t xml:space="preserve"> agreement was </w:t>
      </w:r>
      <w:proofErr w:type="gramStart"/>
      <w:r w:rsidRPr="008700C2">
        <w:rPr>
          <w:color w:val="000000"/>
          <w:lang w:val="en-IE"/>
        </w:rPr>
        <w:t>entered into</w:t>
      </w:r>
      <w:proofErr w:type="gramEnd"/>
      <w:r w:rsidR="00601146">
        <w:rPr>
          <w:color w:val="000000"/>
          <w:lang w:val="en-IE"/>
        </w:rPr>
        <w:t>.</w:t>
      </w:r>
      <w:r w:rsidRPr="008700C2">
        <w:rPr>
          <w:color w:val="000000"/>
          <w:lang w:val="en-IE"/>
        </w:rPr>
        <w:t xml:space="preserve"> </w:t>
      </w:r>
      <w:r w:rsidR="00601146">
        <w:rPr>
          <w:color w:val="000000"/>
          <w:lang w:val="en-IE"/>
        </w:rPr>
        <w:t>I</w:t>
      </w:r>
      <w:r w:rsidRPr="008700C2">
        <w:rPr>
          <w:color w:val="000000"/>
          <w:lang w:val="en-IE"/>
        </w:rPr>
        <w:t>t is not contended that this makes a material difference. During the period of an examinership</w:t>
      </w:r>
      <w:r w:rsidR="008700C2">
        <w:rPr>
          <w:color w:val="000000"/>
          <w:lang w:val="en-IE"/>
        </w:rPr>
        <w:t>, a</w:t>
      </w:r>
      <w:r w:rsidRPr="008700C2">
        <w:rPr>
          <w:color w:val="000000"/>
          <w:lang w:val="en-IE"/>
        </w:rPr>
        <w:t xml:space="preserve"> winding up may not be commenced</w:t>
      </w:r>
      <w:r w:rsidR="008700C2">
        <w:rPr>
          <w:color w:val="000000"/>
          <w:lang w:val="en-IE"/>
        </w:rPr>
        <w:t>, a</w:t>
      </w:r>
      <w:r w:rsidRPr="008700C2">
        <w:rPr>
          <w:color w:val="000000"/>
          <w:lang w:val="en-IE"/>
        </w:rPr>
        <w:t xml:space="preserve"> receiver may not be appointed and</w:t>
      </w:r>
      <w:r w:rsidR="008700C2">
        <w:rPr>
          <w:color w:val="000000"/>
          <w:lang w:val="en-IE"/>
        </w:rPr>
        <w:t xml:space="preserve">, </w:t>
      </w:r>
      <w:r w:rsidRPr="008700C2">
        <w:rPr>
          <w:color w:val="000000"/>
          <w:lang w:val="en-IE"/>
        </w:rPr>
        <w:t>if previously appointe</w:t>
      </w:r>
      <w:r w:rsidR="008700C2">
        <w:rPr>
          <w:color w:val="000000"/>
          <w:lang w:val="en-IE"/>
        </w:rPr>
        <w:t>d,</w:t>
      </w:r>
      <w:r w:rsidRPr="008700C2">
        <w:rPr>
          <w:color w:val="000000"/>
          <w:lang w:val="en-IE"/>
        </w:rPr>
        <w:t xml:space="preserve"> cannot act</w:t>
      </w:r>
      <w:r w:rsidR="008700C2">
        <w:rPr>
          <w:color w:val="000000"/>
          <w:lang w:val="en-IE"/>
        </w:rPr>
        <w:t>. T</w:t>
      </w:r>
      <w:r w:rsidRPr="008700C2">
        <w:rPr>
          <w:color w:val="000000"/>
          <w:lang w:val="en-IE"/>
        </w:rPr>
        <w:t>he assets of a company cannot be attached or executed against</w:t>
      </w:r>
      <w:r w:rsidR="002F1017">
        <w:rPr>
          <w:color w:val="000000"/>
          <w:lang w:val="en-IE"/>
        </w:rPr>
        <w:t>,</w:t>
      </w:r>
      <w:r w:rsidRPr="008700C2">
        <w:rPr>
          <w:color w:val="000000"/>
          <w:lang w:val="en-IE"/>
        </w:rPr>
        <w:t xml:space="preserve"> and no action can be taken to reali</w:t>
      </w:r>
      <w:r w:rsidR="002F1017">
        <w:rPr>
          <w:color w:val="000000"/>
          <w:lang w:val="en-IE"/>
        </w:rPr>
        <w:t>s</w:t>
      </w:r>
      <w:r w:rsidRPr="008700C2">
        <w:rPr>
          <w:color w:val="000000"/>
          <w:lang w:val="en-IE"/>
        </w:rPr>
        <w:t>e any security over the company</w:t>
      </w:r>
      <w:r w:rsidR="002F1017">
        <w:rPr>
          <w:color w:val="000000"/>
          <w:lang w:val="en-IE"/>
        </w:rPr>
        <w:t>’</w:t>
      </w:r>
      <w:r w:rsidRPr="008700C2">
        <w:rPr>
          <w:color w:val="000000"/>
          <w:lang w:val="en-IE"/>
        </w:rPr>
        <w:t>s assets sa</w:t>
      </w:r>
      <w:r w:rsidR="002F1017">
        <w:rPr>
          <w:color w:val="000000"/>
          <w:lang w:val="en-IE"/>
        </w:rPr>
        <w:t>v</w:t>
      </w:r>
      <w:r w:rsidRPr="008700C2">
        <w:rPr>
          <w:color w:val="000000"/>
          <w:lang w:val="en-IE"/>
        </w:rPr>
        <w:t>e with the consent of the examiner. No particular provision was brought to my attention which would prevent the sale of a company asset during the period of an examinership</w:t>
      </w:r>
      <w:r w:rsidR="002F1017">
        <w:rPr>
          <w:color w:val="000000"/>
          <w:lang w:val="en-IE"/>
        </w:rPr>
        <w:t xml:space="preserve"> whether</w:t>
      </w:r>
      <w:r w:rsidRPr="008700C2">
        <w:rPr>
          <w:color w:val="000000"/>
          <w:lang w:val="en-IE"/>
        </w:rPr>
        <w:t xml:space="preserve"> </w:t>
      </w:r>
      <w:r w:rsidR="002F1017">
        <w:rPr>
          <w:color w:val="000000"/>
          <w:lang w:val="en-IE"/>
        </w:rPr>
        <w:t xml:space="preserve">on </w:t>
      </w:r>
      <w:r w:rsidRPr="008700C2">
        <w:rPr>
          <w:color w:val="000000"/>
          <w:lang w:val="en-IE"/>
        </w:rPr>
        <w:t>an entirely voluntary basis or, as he</w:t>
      </w:r>
      <w:r w:rsidR="002F1017">
        <w:rPr>
          <w:color w:val="000000"/>
          <w:lang w:val="en-IE"/>
        </w:rPr>
        <w:t xml:space="preserve">re, </w:t>
      </w:r>
      <w:r w:rsidRPr="008700C2">
        <w:rPr>
          <w:color w:val="000000"/>
          <w:lang w:val="en-IE"/>
        </w:rPr>
        <w:t xml:space="preserve">pursuant to an agreement </w:t>
      </w:r>
      <w:proofErr w:type="gramStart"/>
      <w:r w:rsidRPr="008700C2">
        <w:rPr>
          <w:color w:val="000000"/>
          <w:lang w:val="en-IE"/>
        </w:rPr>
        <w:t>entered into</w:t>
      </w:r>
      <w:proofErr w:type="gramEnd"/>
      <w:r w:rsidRPr="008700C2">
        <w:rPr>
          <w:color w:val="000000"/>
          <w:lang w:val="en-IE"/>
        </w:rPr>
        <w:t xml:space="preserve"> many years prior to the commencement of the examinership</w:t>
      </w:r>
      <w:r w:rsidR="002F1017">
        <w:rPr>
          <w:color w:val="000000"/>
          <w:lang w:val="en-IE"/>
        </w:rPr>
        <w:t>.</w:t>
      </w:r>
    </w:p>
    <w:p w14:paraId="13A445CF" w14:textId="5BEE28E3" w:rsidR="003A5AF8" w:rsidRPr="003A5AF8" w:rsidRDefault="00601146"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w:t>
      </w:r>
      <w:r w:rsidR="00936CE0" w:rsidRPr="008700C2">
        <w:rPr>
          <w:color w:val="000000"/>
          <w:lang w:val="en-IE"/>
        </w:rPr>
        <w:t xml:space="preserve">he applicant </w:t>
      </w:r>
      <w:r>
        <w:rPr>
          <w:color w:val="000000"/>
          <w:lang w:val="en-IE"/>
        </w:rPr>
        <w:t xml:space="preserve">seeks to draw an analogy between this case and the </w:t>
      </w:r>
      <w:r w:rsidR="00867805">
        <w:rPr>
          <w:color w:val="000000"/>
          <w:lang w:val="en-IE"/>
        </w:rPr>
        <w:t xml:space="preserve">circumstances considered in </w:t>
      </w:r>
      <w:r w:rsidR="00936CE0" w:rsidRPr="008700C2">
        <w:rPr>
          <w:color w:val="000000"/>
          <w:lang w:val="en-IE"/>
        </w:rPr>
        <w:t xml:space="preserve">the unanimous decision of the Supreme Court in </w:t>
      </w:r>
      <w:r w:rsidR="002F1017" w:rsidRPr="002F1017">
        <w:rPr>
          <w:i/>
          <w:iCs/>
          <w:color w:val="000000"/>
          <w:lang w:val="en-IE"/>
        </w:rPr>
        <w:t>Re</w:t>
      </w:r>
      <w:r w:rsidR="00936CE0" w:rsidRPr="002F1017">
        <w:rPr>
          <w:i/>
          <w:iCs/>
          <w:color w:val="000000"/>
          <w:lang w:val="en-IE"/>
        </w:rPr>
        <w:t xml:space="preserve"> </w:t>
      </w:r>
      <w:proofErr w:type="spellStart"/>
      <w:r w:rsidR="002F1017" w:rsidRPr="002F1017">
        <w:rPr>
          <w:i/>
          <w:iCs/>
          <w:color w:val="000000"/>
          <w:lang w:val="en-IE"/>
        </w:rPr>
        <w:t>Holidair</w:t>
      </w:r>
      <w:proofErr w:type="spellEnd"/>
      <w:r w:rsidR="002F1017" w:rsidRPr="002F1017">
        <w:rPr>
          <w:i/>
          <w:iCs/>
          <w:color w:val="000000"/>
          <w:lang w:val="en-IE"/>
        </w:rPr>
        <w:t xml:space="preserve"> Ltd</w:t>
      </w:r>
      <w:r w:rsidR="002F1017">
        <w:rPr>
          <w:color w:val="000000"/>
          <w:lang w:val="en-IE"/>
        </w:rPr>
        <w:t xml:space="preserve"> [1994] 1 IR 416 </w:t>
      </w:r>
      <w:r w:rsidR="00867805">
        <w:rPr>
          <w:color w:val="000000"/>
          <w:lang w:val="en-IE"/>
        </w:rPr>
        <w:t xml:space="preserve">where it was held </w:t>
      </w:r>
      <w:r w:rsidR="00936CE0" w:rsidRPr="008700C2">
        <w:rPr>
          <w:color w:val="000000"/>
          <w:lang w:val="en-IE"/>
        </w:rPr>
        <w:t>that the statutory provisions concerning examinerships should be interpreted bearing the objectives of the legislation in mind</w:t>
      </w:r>
      <w:r w:rsidR="002F1017">
        <w:rPr>
          <w:color w:val="000000"/>
          <w:lang w:val="en-IE"/>
        </w:rPr>
        <w:t>. T</w:t>
      </w:r>
      <w:r w:rsidR="00936CE0" w:rsidRPr="008700C2">
        <w:rPr>
          <w:color w:val="000000"/>
          <w:lang w:val="en-IE"/>
        </w:rPr>
        <w:t>he applicant characteri</w:t>
      </w:r>
      <w:r w:rsidR="002F1017">
        <w:rPr>
          <w:color w:val="000000"/>
          <w:lang w:val="en-IE"/>
        </w:rPr>
        <w:t>s</w:t>
      </w:r>
      <w:r w:rsidR="00936CE0" w:rsidRPr="008700C2">
        <w:rPr>
          <w:color w:val="000000"/>
          <w:lang w:val="en-IE"/>
        </w:rPr>
        <w:t xml:space="preserve">es the Supreme Court as having adopted a broad or expansive view of the protections afforded by the examinership legislation to argue that </w:t>
      </w:r>
      <w:r w:rsidR="002F1017" w:rsidRPr="002F1017">
        <w:rPr>
          <w:i/>
          <w:iCs/>
          <w:color w:val="000000"/>
          <w:lang w:val="en-IE"/>
        </w:rPr>
        <w:t>“t</w:t>
      </w:r>
      <w:r w:rsidR="00936CE0" w:rsidRPr="002F1017">
        <w:rPr>
          <w:i/>
          <w:iCs/>
          <w:color w:val="000000"/>
          <w:lang w:val="en-IE"/>
        </w:rPr>
        <w:t>he appropriation of the applicant</w:t>
      </w:r>
      <w:r w:rsidR="002F1017" w:rsidRPr="002F1017">
        <w:rPr>
          <w:i/>
          <w:iCs/>
          <w:color w:val="000000"/>
          <w:lang w:val="en-IE"/>
        </w:rPr>
        <w:t>’s</w:t>
      </w:r>
      <w:r w:rsidR="00936CE0" w:rsidRPr="002F1017">
        <w:rPr>
          <w:i/>
          <w:iCs/>
          <w:color w:val="000000"/>
          <w:lang w:val="en-IE"/>
        </w:rPr>
        <w:t xml:space="preserve"> shareholding in the company during the protection period </w:t>
      </w:r>
      <w:r w:rsidR="002F1017">
        <w:rPr>
          <w:color w:val="000000"/>
          <w:lang w:val="en-IE"/>
        </w:rPr>
        <w:t>[</w:t>
      </w:r>
      <w:r w:rsidR="00936CE0" w:rsidRPr="008700C2">
        <w:rPr>
          <w:color w:val="000000"/>
          <w:lang w:val="en-IE"/>
        </w:rPr>
        <w:t>sho</w:t>
      </w:r>
      <w:r w:rsidR="002F1017">
        <w:rPr>
          <w:color w:val="000000"/>
          <w:lang w:val="en-IE"/>
        </w:rPr>
        <w:t>uld]</w:t>
      </w:r>
      <w:r w:rsidR="00936CE0" w:rsidRPr="008700C2">
        <w:rPr>
          <w:color w:val="000000"/>
          <w:lang w:val="en-IE"/>
        </w:rPr>
        <w:t xml:space="preserve"> </w:t>
      </w:r>
      <w:r w:rsidR="002F1017" w:rsidRPr="002F1017">
        <w:rPr>
          <w:i/>
          <w:iCs/>
          <w:color w:val="000000"/>
          <w:lang w:val="en-IE"/>
        </w:rPr>
        <w:t>be</w:t>
      </w:r>
      <w:r w:rsidR="00936CE0" w:rsidRPr="002F1017">
        <w:rPr>
          <w:i/>
          <w:iCs/>
          <w:color w:val="000000"/>
          <w:lang w:val="en-IE"/>
        </w:rPr>
        <w:t xml:space="preserve"> prohibited by the </w:t>
      </w:r>
      <w:r w:rsidR="00936CE0" w:rsidRPr="002F1017">
        <w:rPr>
          <w:i/>
          <w:iCs/>
          <w:color w:val="000000"/>
          <w:lang w:val="en-IE"/>
        </w:rPr>
        <w:lastRenderedPageBreak/>
        <w:t>examinership scheme</w:t>
      </w:r>
      <w:r w:rsidR="002F1017" w:rsidRPr="002F1017">
        <w:rPr>
          <w:i/>
          <w:iCs/>
          <w:color w:val="000000"/>
          <w:lang w:val="en-IE"/>
        </w:rPr>
        <w:t>”</w:t>
      </w:r>
      <w:r w:rsidR="002F1017">
        <w:rPr>
          <w:color w:val="000000"/>
          <w:lang w:val="en-IE"/>
        </w:rPr>
        <w:t>. T</w:t>
      </w:r>
      <w:r w:rsidR="00936CE0" w:rsidRPr="008700C2">
        <w:rPr>
          <w:color w:val="000000"/>
          <w:lang w:val="en-IE"/>
        </w:rPr>
        <w:t>he Supreme Court s</w:t>
      </w:r>
      <w:r w:rsidR="002F1017">
        <w:rPr>
          <w:color w:val="000000"/>
          <w:lang w:val="en-IE"/>
        </w:rPr>
        <w:t>aw</w:t>
      </w:r>
      <w:r w:rsidR="00936CE0" w:rsidRPr="008700C2">
        <w:rPr>
          <w:color w:val="000000"/>
          <w:lang w:val="en-IE"/>
        </w:rPr>
        <w:t xml:space="preserve"> the object of the legislation as be</w:t>
      </w:r>
      <w:r w:rsidR="002F1017">
        <w:rPr>
          <w:color w:val="000000"/>
          <w:lang w:val="en-IE"/>
        </w:rPr>
        <w:t>ing</w:t>
      </w:r>
      <w:r w:rsidR="00936CE0" w:rsidRPr="008700C2">
        <w:rPr>
          <w:color w:val="000000"/>
          <w:lang w:val="en-IE"/>
        </w:rPr>
        <w:t xml:space="preserve"> to provide a period of protection for</w:t>
      </w:r>
      <w:r w:rsidR="002F1017">
        <w:rPr>
          <w:color w:val="000000"/>
          <w:lang w:val="en-IE"/>
        </w:rPr>
        <w:t xml:space="preserve"> a</w:t>
      </w:r>
      <w:r w:rsidR="00936CE0" w:rsidRPr="008700C2">
        <w:rPr>
          <w:color w:val="000000"/>
          <w:lang w:val="en-IE"/>
        </w:rPr>
        <w:t xml:space="preserve"> company to try and make a scheme of arrangement</w:t>
      </w:r>
      <w:r w:rsidR="002F1017">
        <w:rPr>
          <w:color w:val="000000"/>
          <w:lang w:val="en-IE"/>
        </w:rPr>
        <w:t xml:space="preserve"> </w:t>
      </w:r>
      <w:r w:rsidR="002F1017" w:rsidRPr="002F1017">
        <w:rPr>
          <w:i/>
          <w:iCs/>
          <w:color w:val="000000"/>
          <w:lang w:val="en-IE"/>
        </w:rPr>
        <w:t>“</w:t>
      </w:r>
      <w:r w:rsidR="00936CE0" w:rsidRPr="002F1017">
        <w:rPr>
          <w:i/>
          <w:iCs/>
          <w:color w:val="000000"/>
          <w:lang w:val="en-IE"/>
        </w:rPr>
        <w:t>rather than an immediate liquidation o</w:t>
      </w:r>
      <w:r w:rsidR="005C5730">
        <w:rPr>
          <w:i/>
          <w:iCs/>
          <w:color w:val="000000"/>
          <w:lang w:val="en-IE"/>
        </w:rPr>
        <w:t>r</w:t>
      </w:r>
      <w:r w:rsidR="00936CE0" w:rsidRPr="002F1017">
        <w:rPr>
          <w:i/>
          <w:iCs/>
          <w:color w:val="000000"/>
          <w:lang w:val="en-IE"/>
        </w:rPr>
        <w:t xml:space="preserve"> receivership at the hands of one or more </w:t>
      </w:r>
      <w:proofErr w:type="gramStart"/>
      <w:r w:rsidR="00936CE0" w:rsidRPr="002F1017">
        <w:rPr>
          <w:i/>
          <w:iCs/>
          <w:color w:val="000000"/>
          <w:lang w:val="en-IE"/>
        </w:rPr>
        <w:t>large secured</w:t>
      </w:r>
      <w:proofErr w:type="gramEnd"/>
      <w:r w:rsidR="00936CE0" w:rsidRPr="002F1017">
        <w:rPr>
          <w:i/>
          <w:iCs/>
          <w:color w:val="000000"/>
          <w:lang w:val="en-IE"/>
        </w:rPr>
        <w:t xml:space="preserve"> creditors</w:t>
      </w:r>
      <w:r w:rsidR="002F1017" w:rsidRPr="002F1017">
        <w:rPr>
          <w:i/>
          <w:iCs/>
          <w:color w:val="000000"/>
          <w:lang w:val="en-IE"/>
        </w:rPr>
        <w:t>”</w:t>
      </w:r>
      <w:r w:rsidR="002F1017">
        <w:rPr>
          <w:color w:val="000000"/>
          <w:lang w:val="en-IE"/>
        </w:rPr>
        <w:t>. O</w:t>
      </w:r>
      <w:r w:rsidR="00936CE0" w:rsidRPr="008700C2">
        <w:rPr>
          <w:color w:val="000000"/>
          <w:lang w:val="en-IE"/>
        </w:rPr>
        <w:t>f course</w:t>
      </w:r>
      <w:r w:rsidR="002F1017">
        <w:rPr>
          <w:color w:val="000000"/>
          <w:lang w:val="en-IE"/>
        </w:rPr>
        <w:t>, Amb</w:t>
      </w:r>
      <w:r w:rsidR="00936CE0" w:rsidRPr="008700C2">
        <w:rPr>
          <w:color w:val="000000"/>
          <w:lang w:val="en-IE"/>
        </w:rPr>
        <w:t>er was not a creditor of the applicant and was not trying to enforce a security over the applicant</w:t>
      </w:r>
      <w:r w:rsidR="002F1017">
        <w:rPr>
          <w:color w:val="000000"/>
          <w:lang w:val="en-IE"/>
        </w:rPr>
        <w:t>’</w:t>
      </w:r>
      <w:r w:rsidR="00936CE0" w:rsidRPr="008700C2">
        <w:rPr>
          <w:color w:val="000000"/>
          <w:lang w:val="en-IE"/>
        </w:rPr>
        <w:t>s assets</w:t>
      </w:r>
      <w:r w:rsidR="002F1017">
        <w:rPr>
          <w:color w:val="000000"/>
          <w:lang w:val="en-IE"/>
        </w:rPr>
        <w:t>. R</w:t>
      </w:r>
      <w:r w:rsidR="00936CE0" w:rsidRPr="008700C2">
        <w:rPr>
          <w:color w:val="000000"/>
          <w:lang w:val="en-IE"/>
        </w:rPr>
        <w:t>ather</w:t>
      </w:r>
      <w:r w:rsidR="002F1017">
        <w:rPr>
          <w:color w:val="000000"/>
          <w:lang w:val="en-IE"/>
        </w:rPr>
        <w:t>, t</w:t>
      </w:r>
      <w:r w:rsidR="00936CE0" w:rsidRPr="008700C2">
        <w:rPr>
          <w:color w:val="000000"/>
          <w:lang w:val="en-IE"/>
        </w:rPr>
        <w:t>he applicant and Amber were pursuing a joint venture through the mechanism of the company in which they both h</w:t>
      </w:r>
      <w:r w:rsidR="002F1017">
        <w:rPr>
          <w:color w:val="000000"/>
          <w:lang w:val="en-IE"/>
        </w:rPr>
        <w:t>el</w:t>
      </w:r>
      <w:r w:rsidR="00936CE0" w:rsidRPr="008700C2">
        <w:rPr>
          <w:color w:val="000000"/>
          <w:lang w:val="en-IE"/>
        </w:rPr>
        <w:t>d shares</w:t>
      </w:r>
      <w:r w:rsidR="002F1017">
        <w:rPr>
          <w:color w:val="000000"/>
          <w:lang w:val="en-IE"/>
        </w:rPr>
        <w:t>. T</w:t>
      </w:r>
      <w:r w:rsidR="00936CE0" w:rsidRPr="008700C2">
        <w:rPr>
          <w:color w:val="000000"/>
          <w:lang w:val="en-IE"/>
        </w:rPr>
        <w:t xml:space="preserve">he provisions of clause 11 generally </w:t>
      </w:r>
      <w:r w:rsidR="002F1017">
        <w:rPr>
          <w:color w:val="000000"/>
          <w:lang w:val="en-IE"/>
        </w:rPr>
        <w:t>and</w:t>
      </w:r>
      <w:r w:rsidR="00936CE0" w:rsidRPr="008700C2">
        <w:rPr>
          <w:color w:val="000000"/>
          <w:lang w:val="en-IE"/>
        </w:rPr>
        <w:t xml:space="preserve"> clause 11.5</w:t>
      </w:r>
      <w:r w:rsidR="002F1017">
        <w:rPr>
          <w:color w:val="000000"/>
          <w:lang w:val="en-IE"/>
        </w:rPr>
        <w:t xml:space="preserve"> m</w:t>
      </w:r>
      <w:r w:rsidR="00936CE0" w:rsidRPr="008700C2">
        <w:rPr>
          <w:color w:val="000000"/>
          <w:lang w:val="en-IE"/>
        </w:rPr>
        <w:t xml:space="preserve">ore specifically </w:t>
      </w:r>
      <w:r w:rsidR="002F1017">
        <w:rPr>
          <w:color w:val="000000"/>
          <w:lang w:val="en-IE"/>
        </w:rPr>
        <w:t>we</w:t>
      </w:r>
      <w:r w:rsidR="00936CE0" w:rsidRPr="008700C2">
        <w:rPr>
          <w:color w:val="000000"/>
          <w:lang w:val="en-IE"/>
        </w:rPr>
        <w:t>re designed to ensure that the parties to the joint venture ha</w:t>
      </w:r>
      <w:r w:rsidR="00867805">
        <w:rPr>
          <w:color w:val="000000"/>
          <w:lang w:val="en-IE"/>
        </w:rPr>
        <w:t>d</w:t>
      </w:r>
      <w:r w:rsidR="00936CE0" w:rsidRPr="008700C2">
        <w:rPr>
          <w:color w:val="000000"/>
          <w:lang w:val="en-IE"/>
        </w:rPr>
        <w:t xml:space="preserve"> a measure of control over the identity of the other party to the joint venture in which they </w:t>
      </w:r>
      <w:r w:rsidR="00867805">
        <w:rPr>
          <w:color w:val="000000"/>
          <w:lang w:val="en-IE"/>
        </w:rPr>
        <w:t>were</w:t>
      </w:r>
      <w:r w:rsidR="00936CE0" w:rsidRPr="008700C2">
        <w:rPr>
          <w:color w:val="000000"/>
          <w:lang w:val="en-IE"/>
        </w:rPr>
        <w:t xml:space="preserve"> mutually involved.</w:t>
      </w:r>
    </w:p>
    <w:p w14:paraId="7C9458DA" w14:textId="77777777" w:rsidR="00885079"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411456">
        <w:rPr>
          <w:color w:val="000000"/>
          <w:lang w:val="en-IE"/>
        </w:rPr>
        <w:t xml:space="preserve">Whilst it is difficult to be definitive about the meaning of any provision </w:t>
      </w:r>
      <w:r w:rsidR="003A5AF8">
        <w:rPr>
          <w:color w:val="000000"/>
          <w:lang w:val="en-IE"/>
        </w:rPr>
        <w:t>a</w:t>
      </w:r>
      <w:r w:rsidRPr="00411456">
        <w:rPr>
          <w:color w:val="000000"/>
          <w:lang w:val="en-IE"/>
        </w:rPr>
        <w:t>s poorly drafted as clause 11.5, I</w:t>
      </w:r>
      <w:r w:rsidR="003A5AF8">
        <w:rPr>
          <w:color w:val="000000"/>
          <w:lang w:val="en-IE"/>
        </w:rPr>
        <w:t xml:space="preserve"> a</w:t>
      </w:r>
      <w:r w:rsidRPr="00411456">
        <w:rPr>
          <w:color w:val="000000"/>
          <w:lang w:val="en-IE"/>
        </w:rPr>
        <w:t>m inclined to the view that the interpretation a</w:t>
      </w:r>
      <w:r w:rsidR="00885079">
        <w:rPr>
          <w:color w:val="000000"/>
          <w:lang w:val="en-IE"/>
        </w:rPr>
        <w:t xml:space="preserve">dvanced </w:t>
      </w:r>
      <w:r w:rsidRPr="00411456">
        <w:rPr>
          <w:color w:val="000000"/>
          <w:lang w:val="en-IE"/>
        </w:rPr>
        <w:t>by the respondents is closer to the intention of the parties in including this clause in the shareholders</w:t>
      </w:r>
      <w:r w:rsidR="00885079">
        <w:rPr>
          <w:color w:val="000000"/>
          <w:lang w:val="en-IE"/>
        </w:rPr>
        <w:t>’</w:t>
      </w:r>
      <w:r w:rsidRPr="00411456">
        <w:rPr>
          <w:color w:val="000000"/>
          <w:lang w:val="en-IE"/>
        </w:rPr>
        <w:t xml:space="preserve"> agreement. This interpretation gives business efficacy to the reference to the appointment of a receiver or an examiner as a factor which triggers the operation of the </w:t>
      </w:r>
      <w:r w:rsidR="00885079">
        <w:rPr>
          <w:color w:val="000000"/>
          <w:lang w:val="en-IE"/>
        </w:rPr>
        <w:t>clause</w:t>
      </w:r>
      <w:r w:rsidRPr="00411456">
        <w:rPr>
          <w:color w:val="000000"/>
          <w:lang w:val="en-IE"/>
        </w:rPr>
        <w:t>. Whilst it does require</w:t>
      </w:r>
      <w:r w:rsidR="00885079">
        <w:rPr>
          <w:color w:val="000000"/>
          <w:lang w:val="en-IE"/>
        </w:rPr>
        <w:t xml:space="preserve"> a</w:t>
      </w:r>
      <w:r w:rsidRPr="00411456">
        <w:rPr>
          <w:color w:val="000000"/>
          <w:lang w:val="en-IE"/>
        </w:rPr>
        <w:t xml:space="preserve"> consequently broad interpretation of the word </w:t>
      </w:r>
      <w:r w:rsidR="00885079" w:rsidRPr="00885079">
        <w:rPr>
          <w:i/>
          <w:iCs/>
          <w:color w:val="000000"/>
          <w:lang w:val="en-IE"/>
        </w:rPr>
        <w:t>“l</w:t>
      </w:r>
      <w:r w:rsidRPr="00885079">
        <w:rPr>
          <w:i/>
          <w:iCs/>
          <w:color w:val="000000"/>
          <w:lang w:val="en-IE"/>
        </w:rPr>
        <w:t>iquidator</w:t>
      </w:r>
      <w:r w:rsidR="00885079" w:rsidRPr="00885079">
        <w:rPr>
          <w:i/>
          <w:iCs/>
          <w:color w:val="000000"/>
          <w:lang w:val="en-IE"/>
        </w:rPr>
        <w:t>”</w:t>
      </w:r>
      <w:r w:rsidR="00885079">
        <w:rPr>
          <w:i/>
          <w:iCs/>
          <w:color w:val="000000"/>
          <w:lang w:val="en-IE"/>
        </w:rPr>
        <w:t xml:space="preserve"> </w:t>
      </w:r>
      <w:r w:rsidRPr="00411456">
        <w:rPr>
          <w:color w:val="000000"/>
          <w:lang w:val="en-IE"/>
        </w:rPr>
        <w:t xml:space="preserve">in the subsequent parts of the clause so as to read </w:t>
      </w:r>
      <w:r w:rsidR="00885079" w:rsidRPr="00885079">
        <w:rPr>
          <w:i/>
          <w:iCs/>
          <w:color w:val="000000"/>
          <w:lang w:val="en-IE"/>
        </w:rPr>
        <w:t>“</w:t>
      </w:r>
      <w:r w:rsidRPr="00885079">
        <w:rPr>
          <w:i/>
          <w:iCs/>
          <w:color w:val="000000"/>
          <w:lang w:val="en-IE"/>
        </w:rPr>
        <w:t>liquidator</w:t>
      </w:r>
      <w:r w:rsidR="00885079" w:rsidRPr="00885079">
        <w:rPr>
          <w:i/>
          <w:iCs/>
          <w:color w:val="000000"/>
          <w:lang w:val="en-IE"/>
        </w:rPr>
        <w:t xml:space="preserve">, </w:t>
      </w:r>
      <w:r w:rsidRPr="00885079">
        <w:rPr>
          <w:i/>
          <w:iCs/>
          <w:color w:val="000000"/>
          <w:lang w:val="en-IE"/>
        </w:rPr>
        <w:t>receiver or examiner</w:t>
      </w:r>
      <w:r w:rsidR="00885079" w:rsidRPr="00885079">
        <w:rPr>
          <w:i/>
          <w:iCs/>
          <w:color w:val="000000"/>
          <w:lang w:val="en-IE"/>
        </w:rPr>
        <w:t>”</w:t>
      </w:r>
      <w:r w:rsidRPr="00411456">
        <w:rPr>
          <w:color w:val="000000"/>
          <w:lang w:val="en-IE"/>
        </w:rPr>
        <w:t>, this seems to be more in keeping with the intention of the parties than a process which is nominally triggered by the appointment of an examiner, but which cannot thereafter take place because of the omission of any subsequent reference to an examiner in the balance of the provision</w:t>
      </w:r>
      <w:r w:rsidR="00885079">
        <w:rPr>
          <w:color w:val="000000"/>
          <w:lang w:val="en-IE"/>
        </w:rPr>
        <w:t>.</w:t>
      </w:r>
    </w:p>
    <w:p w14:paraId="424E79A6" w14:textId="0FC34F0E" w:rsidR="00320F49"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411456">
        <w:rPr>
          <w:color w:val="000000"/>
          <w:lang w:val="en-IE"/>
        </w:rPr>
        <w:t>I am less convinced that the reference to the non</w:t>
      </w:r>
      <w:r w:rsidR="00885079">
        <w:rPr>
          <w:color w:val="000000"/>
          <w:lang w:val="en-IE"/>
        </w:rPr>
        <w:t>-</w:t>
      </w:r>
      <w:r w:rsidRPr="00411456">
        <w:rPr>
          <w:color w:val="000000"/>
          <w:lang w:val="en-IE"/>
        </w:rPr>
        <w:t>exist</w:t>
      </w:r>
      <w:r w:rsidR="00885079">
        <w:rPr>
          <w:color w:val="000000"/>
          <w:lang w:val="en-IE"/>
        </w:rPr>
        <w:t>ent</w:t>
      </w:r>
      <w:r w:rsidRPr="00411456">
        <w:rPr>
          <w:color w:val="000000"/>
          <w:lang w:val="en-IE"/>
        </w:rPr>
        <w:t xml:space="preserve"> clause</w:t>
      </w:r>
      <w:r w:rsidR="00885079">
        <w:rPr>
          <w:color w:val="000000"/>
          <w:lang w:val="en-IE"/>
        </w:rPr>
        <w:t xml:space="preserve"> 12.3.1</w:t>
      </w:r>
      <w:r w:rsidRPr="00411456">
        <w:rPr>
          <w:color w:val="000000"/>
          <w:lang w:val="en-IE"/>
        </w:rPr>
        <w:t xml:space="preserve"> should be read as a reference to the cooling off period in clause 11</w:t>
      </w:r>
      <w:r w:rsidR="00885079">
        <w:rPr>
          <w:color w:val="000000"/>
          <w:lang w:val="en-IE"/>
        </w:rPr>
        <w:t>.</w:t>
      </w:r>
      <w:r w:rsidRPr="00411456">
        <w:rPr>
          <w:color w:val="000000"/>
          <w:lang w:val="en-IE"/>
        </w:rPr>
        <w:t xml:space="preserve">2.1, at least insofar as that applies to the transferor </w:t>
      </w:r>
      <w:r w:rsidR="00885079">
        <w:rPr>
          <w:color w:val="000000"/>
          <w:lang w:val="en-IE"/>
        </w:rPr>
        <w:t>(</w:t>
      </w:r>
      <w:proofErr w:type="gramStart"/>
      <w:r w:rsidRPr="00411456">
        <w:rPr>
          <w:color w:val="000000"/>
          <w:lang w:val="en-IE"/>
        </w:rPr>
        <w:t>i</w:t>
      </w:r>
      <w:r w:rsidR="00885079">
        <w:rPr>
          <w:color w:val="000000"/>
          <w:lang w:val="en-IE"/>
        </w:rPr>
        <w:t>.</w:t>
      </w:r>
      <w:r w:rsidRPr="00411456">
        <w:rPr>
          <w:color w:val="000000"/>
          <w:lang w:val="en-IE"/>
        </w:rPr>
        <w:t>e</w:t>
      </w:r>
      <w:r w:rsidR="00885079">
        <w:rPr>
          <w:color w:val="000000"/>
          <w:lang w:val="en-IE"/>
        </w:rPr>
        <w:t>.</w:t>
      </w:r>
      <w:proofErr w:type="gramEnd"/>
      <w:r w:rsidRPr="00411456">
        <w:rPr>
          <w:color w:val="000000"/>
          <w:lang w:val="en-IE"/>
        </w:rPr>
        <w:t xml:space="preserve"> the applicant in this case</w:t>
      </w:r>
      <w:r w:rsidR="00885079">
        <w:rPr>
          <w:color w:val="000000"/>
          <w:lang w:val="en-IE"/>
        </w:rPr>
        <w:t>).</w:t>
      </w:r>
      <w:r w:rsidRPr="00411456">
        <w:rPr>
          <w:color w:val="000000"/>
          <w:lang w:val="en-IE"/>
        </w:rPr>
        <w:t xml:space="preserve"> </w:t>
      </w:r>
      <w:r w:rsidR="00885079">
        <w:rPr>
          <w:color w:val="000000"/>
          <w:lang w:val="en-IE"/>
        </w:rPr>
        <w:t>U</w:t>
      </w:r>
      <w:r w:rsidRPr="00411456">
        <w:rPr>
          <w:color w:val="000000"/>
          <w:lang w:val="en-IE"/>
        </w:rPr>
        <w:t>nder clause 11 generally</w:t>
      </w:r>
      <w:r w:rsidR="00867805">
        <w:rPr>
          <w:color w:val="000000"/>
          <w:lang w:val="en-IE"/>
        </w:rPr>
        <w:t xml:space="preserve"> </w:t>
      </w:r>
      <w:r w:rsidR="006D06E4">
        <w:rPr>
          <w:color w:val="000000"/>
          <w:lang w:val="en-IE"/>
        </w:rPr>
        <w:t>in</w:t>
      </w:r>
      <w:r w:rsidRPr="00411456">
        <w:rPr>
          <w:color w:val="000000"/>
          <w:lang w:val="en-IE"/>
        </w:rPr>
        <w:t xml:space="preserve"> circumstances </w:t>
      </w:r>
      <w:r w:rsidR="00885079">
        <w:rPr>
          <w:color w:val="000000"/>
          <w:lang w:val="en-IE"/>
        </w:rPr>
        <w:t>where</w:t>
      </w:r>
      <w:r w:rsidRPr="00411456">
        <w:rPr>
          <w:color w:val="000000"/>
          <w:lang w:val="en-IE"/>
        </w:rPr>
        <w:t xml:space="preserve"> a shareholder wishing to dispose of its shareholding must offer it for sale to the other shareholder at a 30% discount</w:t>
      </w:r>
      <w:r w:rsidR="00885079">
        <w:rPr>
          <w:color w:val="000000"/>
          <w:lang w:val="en-IE"/>
        </w:rPr>
        <w:t>, i</w:t>
      </w:r>
      <w:r w:rsidRPr="00411456">
        <w:rPr>
          <w:color w:val="000000"/>
          <w:lang w:val="en-IE"/>
        </w:rPr>
        <w:t>t makes sense that that party ha</w:t>
      </w:r>
      <w:r w:rsidR="00867805">
        <w:rPr>
          <w:color w:val="000000"/>
          <w:lang w:val="en-IE"/>
        </w:rPr>
        <w:t>ve</w:t>
      </w:r>
      <w:r w:rsidRPr="00411456">
        <w:rPr>
          <w:color w:val="000000"/>
          <w:lang w:val="en-IE"/>
        </w:rPr>
        <w:t xml:space="preserve"> a cooling off period </w:t>
      </w:r>
      <w:r w:rsidR="00885079">
        <w:rPr>
          <w:color w:val="000000"/>
          <w:lang w:val="en-IE"/>
        </w:rPr>
        <w:t xml:space="preserve">within </w:t>
      </w:r>
      <w:r w:rsidRPr="00411456">
        <w:rPr>
          <w:color w:val="000000"/>
          <w:lang w:val="en-IE"/>
        </w:rPr>
        <w:t xml:space="preserve">which it </w:t>
      </w:r>
      <w:proofErr w:type="gramStart"/>
      <w:r w:rsidRPr="00411456">
        <w:rPr>
          <w:color w:val="000000"/>
          <w:lang w:val="en-IE"/>
        </w:rPr>
        <w:t>can</w:t>
      </w:r>
      <w:proofErr w:type="gramEnd"/>
      <w:r w:rsidRPr="00411456">
        <w:rPr>
          <w:color w:val="000000"/>
          <w:lang w:val="en-IE"/>
        </w:rPr>
        <w:t xml:space="preserve"> decide not to proceed with the transaction </w:t>
      </w:r>
      <w:r w:rsidR="00867805">
        <w:rPr>
          <w:color w:val="000000"/>
          <w:lang w:val="en-IE"/>
        </w:rPr>
        <w:t>i</w:t>
      </w:r>
      <w:r w:rsidRPr="00411456">
        <w:rPr>
          <w:color w:val="000000"/>
          <w:lang w:val="en-IE"/>
        </w:rPr>
        <w:t xml:space="preserve">f the valuation provided by the auditor makes the sale an </w:t>
      </w:r>
      <w:r w:rsidR="00867805">
        <w:rPr>
          <w:color w:val="000000"/>
          <w:lang w:val="en-IE"/>
        </w:rPr>
        <w:t>un</w:t>
      </w:r>
      <w:r w:rsidRPr="00411456">
        <w:rPr>
          <w:color w:val="000000"/>
          <w:lang w:val="en-IE"/>
        </w:rPr>
        <w:t xml:space="preserve">attractive </w:t>
      </w:r>
      <w:r w:rsidR="005C5730" w:rsidRPr="00411456">
        <w:rPr>
          <w:color w:val="000000"/>
          <w:lang w:val="en-IE"/>
        </w:rPr>
        <w:t>propo</w:t>
      </w:r>
      <w:r w:rsidR="005C5730">
        <w:rPr>
          <w:color w:val="000000"/>
          <w:lang w:val="en-IE"/>
        </w:rPr>
        <w:t>sition</w:t>
      </w:r>
      <w:r w:rsidRPr="00411456">
        <w:rPr>
          <w:color w:val="000000"/>
          <w:lang w:val="en-IE"/>
        </w:rPr>
        <w:t xml:space="preserve">. Presumably, it </w:t>
      </w:r>
      <w:r w:rsidR="00867805">
        <w:rPr>
          <w:color w:val="000000"/>
          <w:lang w:val="en-IE"/>
        </w:rPr>
        <w:t>wa</w:t>
      </w:r>
      <w:r w:rsidRPr="00411456">
        <w:rPr>
          <w:color w:val="000000"/>
          <w:lang w:val="en-IE"/>
        </w:rPr>
        <w:t xml:space="preserve">s not </w:t>
      </w:r>
      <w:r w:rsidRPr="00411456">
        <w:rPr>
          <w:color w:val="000000"/>
          <w:lang w:val="en-IE"/>
        </w:rPr>
        <w:lastRenderedPageBreak/>
        <w:t>intended that a shareholder coming within the circumstance</w:t>
      </w:r>
      <w:r w:rsidR="00885079">
        <w:rPr>
          <w:color w:val="000000"/>
          <w:lang w:val="en-IE"/>
        </w:rPr>
        <w:t>s set out in</w:t>
      </w:r>
      <w:r w:rsidRPr="00411456">
        <w:rPr>
          <w:color w:val="000000"/>
          <w:lang w:val="en-IE"/>
        </w:rPr>
        <w:t xml:space="preserve"> clause 11.5 </w:t>
      </w:r>
      <w:r w:rsidR="00885079">
        <w:rPr>
          <w:color w:val="000000"/>
          <w:lang w:val="en-IE"/>
        </w:rPr>
        <w:t>w</w:t>
      </w:r>
      <w:r w:rsidRPr="00411456">
        <w:rPr>
          <w:color w:val="000000"/>
          <w:lang w:val="en-IE"/>
        </w:rPr>
        <w:t xml:space="preserve">ho is deemed to have offered </w:t>
      </w:r>
      <w:r w:rsidR="00885079">
        <w:rPr>
          <w:color w:val="000000"/>
          <w:lang w:val="en-IE"/>
        </w:rPr>
        <w:t xml:space="preserve">its </w:t>
      </w:r>
      <w:r w:rsidRPr="00411456">
        <w:rPr>
          <w:color w:val="000000"/>
          <w:lang w:val="en-IE"/>
        </w:rPr>
        <w:t xml:space="preserve">shareholding for sale will then have the right to withdraw from this sale because the price fixed was </w:t>
      </w:r>
      <w:r w:rsidR="00885079">
        <w:rPr>
          <w:color w:val="000000"/>
          <w:lang w:val="en-IE"/>
        </w:rPr>
        <w:t>una</w:t>
      </w:r>
      <w:r w:rsidRPr="00411456">
        <w:rPr>
          <w:color w:val="000000"/>
          <w:lang w:val="en-IE"/>
        </w:rPr>
        <w:t>ttractive t</w:t>
      </w:r>
      <w:r w:rsidR="00885079">
        <w:rPr>
          <w:color w:val="000000"/>
          <w:lang w:val="en-IE"/>
        </w:rPr>
        <w:t xml:space="preserve">o it, </w:t>
      </w:r>
      <w:r w:rsidRPr="00411456">
        <w:rPr>
          <w:color w:val="000000"/>
          <w:lang w:val="en-IE"/>
        </w:rPr>
        <w:t xml:space="preserve">much less </w:t>
      </w:r>
      <w:r w:rsidR="00885079">
        <w:rPr>
          <w:color w:val="000000"/>
          <w:lang w:val="en-IE"/>
        </w:rPr>
        <w:t xml:space="preserve">that </w:t>
      </w:r>
      <w:r w:rsidRPr="00411456">
        <w:rPr>
          <w:color w:val="000000"/>
          <w:lang w:val="en-IE"/>
        </w:rPr>
        <w:t xml:space="preserve">it should have a period of three months within which to </w:t>
      </w:r>
      <w:r w:rsidR="00885079">
        <w:rPr>
          <w:color w:val="000000"/>
          <w:lang w:val="en-IE"/>
        </w:rPr>
        <w:t>elect</w:t>
      </w:r>
      <w:r w:rsidRPr="00411456">
        <w:rPr>
          <w:color w:val="000000"/>
          <w:lang w:val="en-IE"/>
        </w:rPr>
        <w:t xml:space="preserve"> to do this. It is more likely that any such extended period was intended to apply only to the period within which Amber</w:t>
      </w:r>
      <w:r w:rsidR="00885079">
        <w:rPr>
          <w:color w:val="000000"/>
          <w:lang w:val="en-IE"/>
        </w:rPr>
        <w:t>,</w:t>
      </w:r>
      <w:r w:rsidRPr="00411456">
        <w:rPr>
          <w:color w:val="000000"/>
          <w:lang w:val="en-IE"/>
        </w:rPr>
        <w:t xml:space="preserve"> as transfer</w:t>
      </w:r>
      <w:r w:rsidR="00885079">
        <w:rPr>
          <w:color w:val="000000"/>
          <w:lang w:val="en-IE"/>
        </w:rPr>
        <w:t>ee,</w:t>
      </w:r>
      <w:r w:rsidRPr="00411456">
        <w:rPr>
          <w:color w:val="000000"/>
          <w:lang w:val="en-IE"/>
        </w:rPr>
        <w:t xml:space="preserve"> could </w:t>
      </w:r>
      <w:r w:rsidR="00885079">
        <w:rPr>
          <w:color w:val="000000"/>
          <w:lang w:val="en-IE"/>
        </w:rPr>
        <w:t>elect</w:t>
      </w:r>
      <w:r w:rsidRPr="00411456">
        <w:rPr>
          <w:color w:val="000000"/>
          <w:lang w:val="en-IE"/>
        </w:rPr>
        <w:t xml:space="preserve"> to accept or reject the valuation</w:t>
      </w:r>
      <w:r w:rsidR="00320F49">
        <w:rPr>
          <w:color w:val="000000"/>
          <w:lang w:val="en-IE"/>
        </w:rPr>
        <w:t>.</w:t>
      </w:r>
      <w:r w:rsidRPr="00411456">
        <w:rPr>
          <w:color w:val="000000"/>
          <w:lang w:val="en-IE"/>
        </w:rPr>
        <w:t xml:space="preserve"> </w:t>
      </w:r>
      <w:r w:rsidR="00320F49">
        <w:rPr>
          <w:color w:val="000000"/>
          <w:lang w:val="en-IE"/>
        </w:rPr>
        <w:t>T</w:t>
      </w:r>
      <w:r w:rsidRPr="00411456">
        <w:rPr>
          <w:color w:val="000000"/>
          <w:lang w:val="en-IE"/>
        </w:rPr>
        <w:t>herefore</w:t>
      </w:r>
      <w:r w:rsidR="00320F49">
        <w:rPr>
          <w:color w:val="000000"/>
          <w:lang w:val="en-IE"/>
        </w:rPr>
        <w:t>,</w:t>
      </w:r>
      <w:r w:rsidRPr="00411456">
        <w:rPr>
          <w:color w:val="000000"/>
          <w:lang w:val="en-IE"/>
        </w:rPr>
        <w:t xml:space="preserve"> as </w:t>
      </w:r>
      <w:r w:rsidR="00320F49">
        <w:rPr>
          <w:color w:val="000000"/>
          <w:lang w:val="en-IE"/>
        </w:rPr>
        <w:t>the</w:t>
      </w:r>
      <w:r w:rsidRPr="00411456">
        <w:rPr>
          <w:color w:val="000000"/>
          <w:lang w:val="en-IE"/>
        </w:rPr>
        <w:t xml:space="preserve"> cooling off period under clause 11</w:t>
      </w:r>
      <w:r w:rsidR="00320F49">
        <w:rPr>
          <w:color w:val="000000"/>
          <w:lang w:val="en-IE"/>
        </w:rPr>
        <w:t>.</w:t>
      </w:r>
      <w:r w:rsidRPr="00411456">
        <w:rPr>
          <w:color w:val="000000"/>
          <w:lang w:val="en-IE"/>
        </w:rPr>
        <w:t>2.1 extended to both the transferor and the transferee</w:t>
      </w:r>
      <w:r w:rsidR="00320F49">
        <w:rPr>
          <w:color w:val="000000"/>
          <w:lang w:val="en-IE"/>
        </w:rPr>
        <w:t>, i</w:t>
      </w:r>
      <w:r w:rsidRPr="00411456">
        <w:rPr>
          <w:color w:val="000000"/>
          <w:lang w:val="en-IE"/>
        </w:rPr>
        <w:t>t seems to be more likely that the erroneous reference to clause 12</w:t>
      </w:r>
      <w:r w:rsidR="00320F49">
        <w:rPr>
          <w:color w:val="000000"/>
          <w:lang w:val="en-IE"/>
        </w:rPr>
        <w:t>.</w:t>
      </w:r>
      <w:r w:rsidRPr="00411456">
        <w:rPr>
          <w:color w:val="000000"/>
          <w:lang w:val="en-IE"/>
        </w:rPr>
        <w:t>3.1 was intended as a reference to clause 11</w:t>
      </w:r>
      <w:r w:rsidR="00320F49">
        <w:rPr>
          <w:color w:val="000000"/>
          <w:lang w:val="en-IE"/>
        </w:rPr>
        <w:t>.</w:t>
      </w:r>
      <w:r w:rsidRPr="00411456">
        <w:rPr>
          <w:color w:val="000000"/>
          <w:lang w:val="en-IE"/>
        </w:rPr>
        <w:t>2.2 or 11</w:t>
      </w:r>
      <w:r w:rsidR="00320F49">
        <w:rPr>
          <w:color w:val="000000"/>
          <w:lang w:val="en-IE"/>
        </w:rPr>
        <w:t>.</w:t>
      </w:r>
      <w:r w:rsidRPr="00411456">
        <w:rPr>
          <w:color w:val="000000"/>
          <w:lang w:val="en-IE"/>
        </w:rPr>
        <w:t>2.3 in which the consequences of the transfer</w:t>
      </w:r>
      <w:r w:rsidR="00320F49">
        <w:rPr>
          <w:color w:val="000000"/>
          <w:lang w:val="en-IE"/>
        </w:rPr>
        <w:t>e</w:t>
      </w:r>
      <w:r w:rsidRPr="00411456">
        <w:rPr>
          <w:color w:val="000000"/>
          <w:lang w:val="en-IE"/>
        </w:rPr>
        <w:t xml:space="preserve">e declining or failing </w:t>
      </w:r>
      <w:r w:rsidR="00867805">
        <w:rPr>
          <w:color w:val="000000"/>
          <w:lang w:val="en-IE"/>
        </w:rPr>
        <w:t xml:space="preserve">to </w:t>
      </w:r>
      <w:r w:rsidRPr="00411456">
        <w:rPr>
          <w:color w:val="000000"/>
          <w:lang w:val="en-IE"/>
        </w:rPr>
        <w:t xml:space="preserve">purchase the shares within the relevant period are set </w:t>
      </w:r>
      <w:r w:rsidR="00320F49">
        <w:rPr>
          <w:color w:val="000000"/>
          <w:lang w:val="en-IE"/>
        </w:rPr>
        <w:t>out. T</w:t>
      </w:r>
      <w:r w:rsidRPr="00411456">
        <w:rPr>
          <w:color w:val="000000"/>
          <w:lang w:val="en-IE"/>
        </w:rPr>
        <w:t>his distinction is significant because a cooling off period within which the transferor can elect not to proceed must run to completion</w:t>
      </w:r>
      <w:r w:rsidR="00320F49">
        <w:rPr>
          <w:color w:val="000000"/>
          <w:lang w:val="en-IE"/>
        </w:rPr>
        <w:t xml:space="preserve"> i</w:t>
      </w:r>
      <w:r w:rsidRPr="00411456">
        <w:rPr>
          <w:color w:val="000000"/>
          <w:lang w:val="en-IE"/>
        </w:rPr>
        <w:t>f the transferor does not engage with the transaction</w:t>
      </w:r>
      <w:r w:rsidR="00320F49">
        <w:rPr>
          <w:color w:val="000000"/>
          <w:lang w:val="en-IE"/>
        </w:rPr>
        <w:t>. The</w:t>
      </w:r>
      <w:r w:rsidRPr="00411456">
        <w:rPr>
          <w:color w:val="000000"/>
          <w:lang w:val="en-IE"/>
        </w:rPr>
        <w:t xml:space="preserve"> period</w:t>
      </w:r>
      <w:r w:rsidR="00320F49">
        <w:rPr>
          <w:color w:val="000000"/>
          <w:lang w:val="en-IE"/>
        </w:rPr>
        <w:t>,</w:t>
      </w:r>
      <w:r w:rsidRPr="00411456">
        <w:rPr>
          <w:color w:val="000000"/>
          <w:lang w:val="en-IE"/>
        </w:rPr>
        <w:t xml:space="preserve"> as it applies to the transfer</w:t>
      </w:r>
      <w:r w:rsidR="00320F49">
        <w:rPr>
          <w:color w:val="000000"/>
          <w:lang w:val="en-IE"/>
        </w:rPr>
        <w:t>ee,</w:t>
      </w:r>
      <w:r w:rsidRPr="00411456">
        <w:rPr>
          <w:color w:val="000000"/>
          <w:lang w:val="en-IE"/>
        </w:rPr>
        <w:t xml:space="preserve"> is one within which the transferee can accept or reject the valuation and agree to proceed with the sale such that</w:t>
      </w:r>
      <w:r w:rsidR="00320F49">
        <w:rPr>
          <w:color w:val="000000"/>
          <w:lang w:val="en-IE"/>
        </w:rPr>
        <w:t>,</w:t>
      </w:r>
      <w:r w:rsidRPr="00411456">
        <w:rPr>
          <w:color w:val="000000"/>
          <w:lang w:val="en-IE"/>
        </w:rPr>
        <w:t xml:space="preserve"> if the transferee positively accepts the valuation and wishes to proceed with the sale, the entire period does not have to elapse before it can do so.</w:t>
      </w:r>
      <w:r w:rsidR="006D06E4">
        <w:rPr>
          <w:color w:val="000000"/>
          <w:lang w:val="en-IE"/>
        </w:rPr>
        <w:t xml:space="preserve"> </w:t>
      </w:r>
      <w:r w:rsidR="00C07509">
        <w:rPr>
          <w:color w:val="000000"/>
          <w:lang w:val="en-IE"/>
        </w:rPr>
        <w:t xml:space="preserve">It does not make any commercial sense for the parties to have agreed that the insolvent shareholder </w:t>
      </w:r>
      <w:proofErr w:type="gramStart"/>
      <w:r w:rsidR="00C07509">
        <w:rPr>
          <w:color w:val="000000"/>
          <w:lang w:val="en-IE"/>
        </w:rPr>
        <w:t>which</w:t>
      </w:r>
      <w:proofErr w:type="gramEnd"/>
      <w:r w:rsidR="00C07509">
        <w:rPr>
          <w:color w:val="000000"/>
          <w:lang w:val="en-IE"/>
        </w:rPr>
        <w:t xml:space="preserve"> is required to sell its shareholding under the mechanism provided for in clause 11.5 should then have 3 months within which to reject auditor’s valuation.</w:t>
      </w:r>
    </w:p>
    <w:p w14:paraId="23EDEE4A" w14:textId="49AF943A" w:rsidR="00867805"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411456">
        <w:rPr>
          <w:color w:val="000000"/>
          <w:lang w:val="en-IE"/>
        </w:rPr>
        <w:t>I do not think there is a significant difficulty with reading the second reference to</w:t>
      </w:r>
      <w:r w:rsidR="00320F49">
        <w:rPr>
          <w:color w:val="000000"/>
          <w:lang w:val="en-IE"/>
        </w:rPr>
        <w:t xml:space="preserve"> </w:t>
      </w:r>
      <w:r w:rsidR="00320F49" w:rsidRPr="00320F49">
        <w:rPr>
          <w:i/>
          <w:iCs/>
          <w:color w:val="000000"/>
          <w:lang w:val="en-IE"/>
        </w:rPr>
        <w:t>“</w:t>
      </w:r>
      <w:r w:rsidRPr="00320F49">
        <w:rPr>
          <w:i/>
          <w:iCs/>
          <w:color w:val="000000"/>
          <w:lang w:val="en-IE"/>
        </w:rPr>
        <w:t>liquidat</w:t>
      </w:r>
      <w:r w:rsidR="00320F49" w:rsidRPr="00320F49">
        <w:rPr>
          <w:i/>
          <w:iCs/>
          <w:color w:val="000000"/>
          <w:lang w:val="en-IE"/>
        </w:rPr>
        <w:t>or”</w:t>
      </w:r>
      <w:r w:rsidRPr="00411456">
        <w:rPr>
          <w:color w:val="000000"/>
          <w:lang w:val="en-IE"/>
        </w:rPr>
        <w:t xml:space="preserve"> in clause 11.5 </w:t>
      </w:r>
      <w:r w:rsidR="00320F49">
        <w:rPr>
          <w:color w:val="000000"/>
          <w:lang w:val="en-IE"/>
        </w:rPr>
        <w:t>a</w:t>
      </w:r>
      <w:r w:rsidRPr="00411456">
        <w:rPr>
          <w:color w:val="000000"/>
          <w:lang w:val="en-IE"/>
        </w:rPr>
        <w:t>s meaning a liquidator</w:t>
      </w:r>
      <w:r w:rsidR="00320F49">
        <w:rPr>
          <w:color w:val="000000"/>
          <w:lang w:val="en-IE"/>
        </w:rPr>
        <w:t>,</w:t>
      </w:r>
      <w:r w:rsidRPr="00411456">
        <w:rPr>
          <w:color w:val="000000"/>
          <w:lang w:val="en-IE"/>
        </w:rPr>
        <w:t xml:space="preserve"> </w:t>
      </w:r>
      <w:proofErr w:type="gramStart"/>
      <w:r w:rsidRPr="00411456">
        <w:rPr>
          <w:color w:val="000000"/>
          <w:lang w:val="en-IE"/>
        </w:rPr>
        <w:t>receiver</w:t>
      </w:r>
      <w:proofErr w:type="gramEnd"/>
      <w:r w:rsidRPr="00411456">
        <w:rPr>
          <w:color w:val="000000"/>
          <w:lang w:val="en-IE"/>
        </w:rPr>
        <w:t xml:space="preserve"> or examiner</w:t>
      </w:r>
      <w:r w:rsidR="00320F49">
        <w:rPr>
          <w:color w:val="000000"/>
          <w:lang w:val="en-IE"/>
        </w:rPr>
        <w:t>, so</w:t>
      </w:r>
      <w:r w:rsidRPr="00411456">
        <w:rPr>
          <w:color w:val="000000"/>
          <w:lang w:val="en-IE"/>
        </w:rPr>
        <w:t xml:space="preserve"> as to deem the transfer notice served immediately before the appointment of any such insolvency practitioner. The third reference to liquidat</w:t>
      </w:r>
      <w:r w:rsidR="00320F49">
        <w:rPr>
          <w:color w:val="000000"/>
          <w:lang w:val="en-IE"/>
        </w:rPr>
        <w:t>or</w:t>
      </w:r>
      <w:r w:rsidRPr="00411456">
        <w:rPr>
          <w:color w:val="000000"/>
          <w:lang w:val="en-IE"/>
        </w:rPr>
        <w:t xml:space="preserve"> in the stipulation that the payment for the shares be made to the liquidator is </w:t>
      </w:r>
      <w:r w:rsidR="00320F49">
        <w:rPr>
          <w:color w:val="000000"/>
          <w:lang w:val="en-IE"/>
        </w:rPr>
        <w:t>undoubtedly</w:t>
      </w:r>
      <w:r w:rsidRPr="00411456">
        <w:rPr>
          <w:color w:val="000000"/>
          <w:lang w:val="en-IE"/>
        </w:rPr>
        <w:t xml:space="preserve"> more problematic.</w:t>
      </w:r>
      <w:r w:rsidR="009D638E">
        <w:rPr>
          <w:color w:val="000000"/>
          <w:lang w:val="en-IE"/>
        </w:rPr>
        <w:t xml:space="preserve"> However,</w:t>
      </w:r>
      <w:r w:rsidRPr="00411456">
        <w:rPr>
          <w:color w:val="000000"/>
          <w:lang w:val="en-IE"/>
        </w:rPr>
        <w:t xml:space="preserve"> I do not think it is so problematic as to render the </w:t>
      </w:r>
      <w:r w:rsidR="009D638E">
        <w:rPr>
          <w:color w:val="000000"/>
          <w:lang w:val="en-IE"/>
        </w:rPr>
        <w:t>clause</w:t>
      </w:r>
      <w:r w:rsidRPr="00411456">
        <w:rPr>
          <w:color w:val="000000"/>
          <w:lang w:val="en-IE"/>
        </w:rPr>
        <w:t xml:space="preserve"> incapable of any practical operation insofar as it relates to an examinership. I note that</w:t>
      </w:r>
      <w:r w:rsidR="009D638E">
        <w:rPr>
          <w:color w:val="000000"/>
          <w:lang w:val="en-IE"/>
        </w:rPr>
        <w:t>,</w:t>
      </w:r>
      <w:r w:rsidRPr="00411456">
        <w:rPr>
          <w:color w:val="000000"/>
          <w:lang w:val="en-IE"/>
        </w:rPr>
        <w:t xml:space="preserve"> in this case, Amber sent a che</w:t>
      </w:r>
      <w:r w:rsidR="009D638E">
        <w:rPr>
          <w:color w:val="000000"/>
          <w:lang w:val="en-IE"/>
        </w:rPr>
        <w:t>que</w:t>
      </w:r>
      <w:r w:rsidRPr="00411456">
        <w:rPr>
          <w:color w:val="000000"/>
          <w:lang w:val="en-IE"/>
        </w:rPr>
        <w:t xml:space="preserve"> to the examiner which was made payable to the applicant</w:t>
      </w:r>
      <w:r w:rsidR="009D638E">
        <w:rPr>
          <w:color w:val="000000"/>
          <w:lang w:val="en-IE"/>
        </w:rPr>
        <w:t>. Whilst</w:t>
      </w:r>
      <w:r w:rsidRPr="00411456">
        <w:rPr>
          <w:color w:val="000000"/>
          <w:lang w:val="en-IE"/>
        </w:rPr>
        <w:t xml:space="preserve"> not strictly provided for in clause 11.5</w:t>
      </w:r>
      <w:r w:rsidR="009D638E">
        <w:rPr>
          <w:color w:val="000000"/>
          <w:lang w:val="en-IE"/>
        </w:rPr>
        <w:t xml:space="preserve">, </w:t>
      </w:r>
      <w:r w:rsidRPr="00411456">
        <w:rPr>
          <w:color w:val="000000"/>
          <w:lang w:val="en-IE"/>
        </w:rPr>
        <w:t xml:space="preserve">this </w:t>
      </w:r>
      <w:r w:rsidRPr="00411456">
        <w:rPr>
          <w:color w:val="000000"/>
          <w:lang w:val="en-IE"/>
        </w:rPr>
        <w:lastRenderedPageBreak/>
        <w:t>seems to me to be consistent with the scheme of the clause. In other words, the payment was sent through the examiner</w:t>
      </w:r>
      <w:r w:rsidR="009D638E">
        <w:rPr>
          <w:color w:val="000000"/>
          <w:lang w:val="en-IE"/>
        </w:rPr>
        <w:t>’</w:t>
      </w:r>
      <w:r w:rsidRPr="00411456">
        <w:rPr>
          <w:color w:val="000000"/>
          <w:lang w:val="en-IE"/>
        </w:rPr>
        <w:t xml:space="preserve">s office </w:t>
      </w:r>
      <w:r w:rsidR="009D638E">
        <w:rPr>
          <w:color w:val="000000"/>
          <w:lang w:val="en-IE"/>
        </w:rPr>
        <w:t>but,</w:t>
      </w:r>
      <w:r w:rsidRPr="00411456">
        <w:rPr>
          <w:color w:val="000000"/>
          <w:lang w:val="en-IE"/>
        </w:rPr>
        <w:t xml:space="preserve"> because an examiner unlike a liquidator does not assume control of the company</w:t>
      </w:r>
      <w:r w:rsidR="009D638E">
        <w:rPr>
          <w:color w:val="000000"/>
          <w:lang w:val="en-IE"/>
        </w:rPr>
        <w:t>’</w:t>
      </w:r>
      <w:r w:rsidRPr="00411456">
        <w:rPr>
          <w:color w:val="000000"/>
          <w:lang w:val="en-IE"/>
        </w:rPr>
        <w:t xml:space="preserve">s assets and </w:t>
      </w:r>
      <w:r w:rsidR="009D638E">
        <w:rPr>
          <w:color w:val="000000"/>
          <w:lang w:val="en-IE"/>
        </w:rPr>
        <w:t>is</w:t>
      </w:r>
      <w:r w:rsidRPr="00411456">
        <w:rPr>
          <w:color w:val="000000"/>
          <w:lang w:val="en-IE"/>
        </w:rPr>
        <w:t xml:space="preserve"> not a person to whom payments are made on behalf of the company</w:t>
      </w:r>
      <w:r w:rsidR="009D638E">
        <w:rPr>
          <w:color w:val="000000"/>
          <w:lang w:val="en-IE"/>
        </w:rPr>
        <w:t>, t</w:t>
      </w:r>
      <w:r w:rsidRPr="00411456">
        <w:rPr>
          <w:color w:val="000000"/>
          <w:lang w:val="en-IE"/>
        </w:rPr>
        <w:t>he actual che</w:t>
      </w:r>
      <w:r w:rsidR="009D638E">
        <w:rPr>
          <w:color w:val="000000"/>
          <w:lang w:val="en-IE"/>
        </w:rPr>
        <w:t>que</w:t>
      </w:r>
      <w:r w:rsidRPr="00411456">
        <w:rPr>
          <w:color w:val="000000"/>
          <w:lang w:val="en-IE"/>
        </w:rPr>
        <w:t xml:space="preserve"> is not made </w:t>
      </w:r>
      <w:r w:rsidR="00867805">
        <w:rPr>
          <w:color w:val="000000"/>
          <w:lang w:val="en-IE"/>
        </w:rPr>
        <w:t xml:space="preserve">out </w:t>
      </w:r>
      <w:r w:rsidRPr="00411456">
        <w:rPr>
          <w:color w:val="000000"/>
          <w:lang w:val="en-IE"/>
        </w:rPr>
        <w:t>to him</w:t>
      </w:r>
      <w:r w:rsidR="009D638E">
        <w:rPr>
          <w:color w:val="000000"/>
          <w:lang w:val="en-IE"/>
        </w:rPr>
        <w:t>.</w:t>
      </w:r>
    </w:p>
    <w:p w14:paraId="6FD657F9" w14:textId="77777777" w:rsidR="00CF58FA" w:rsidRPr="00CF58FA" w:rsidRDefault="00CF58FA" w:rsidP="004A0604">
      <w:pPr>
        <w:pStyle w:val="NormalWeb"/>
        <w:spacing w:before="0" w:beforeAutospacing="0" w:after="0" w:afterAutospacing="0" w:line="480" w:lineRule="auto"/>
        <w:jc w:val="both"/>
        <w:rPr>
          <w:color w:val="000000"/>
          <w:lang w:val="en-IE"/>
        </w:rPr>
      </w:pPr>
    </w:p>
    <w:p w14:paraId="4749E50A" w14:textId="72057A8B" w:rsidR="00681E03" w:rsidRPr="00681E03" w:rsidRDefault="00681E03" w:rsidP="004A0604">
      <w:pPr>
        <w:pStyle w:val="NormalWeb"/>
        <w:spacing w:before="0" w:beforeAutospacing="0" w:after="0" w:afterAutospacing="0" w:line="480" w:lineRule="auto"/>
        <w:jc w:val="both"/>
        <w:rPr>
          <w:b/>
          <w:bCs/>
          <w:color w:val="000000"/>
          <w:u w:val="single"/>
          <w:lang w:val="en-IE"/>
        </w:rPr>
      </w:pPr>
      <w:r w:rsidRPr="00681E03">
        <w:rPr>
          <w:b/>
          <w:bCs/>
          <w:color w:val="000000"/>
          <w:u w:val="single"/>
          <w:lang w:val="en-IE"/>
        </w:rPr>
        <w:t>V</w:t>
      </w:r>
      <w:r w:rsidR="00936CE0" w:rsidRPr="00681E03">
        <w:rPr>
          <w:b/>
          <w:bCs/>
          <w:color w:val="000000"/>
          <w:u w:val="single"/>
          <w:lang w:val="en-IE"/>
        </w:rPr>
        <w:t xml:space="preserve">alidity of </w:t>
      </w:r>
      <w:r w:rsidR="00A6742B">
        <w:rPr>
          <w:b/>
          <w:bCs/>
          <w:color w:val="000000"/>
          <w:u w:val="single"/>
          <w:lang w:val="en-IE"/>
        </w:rPr>
        <w:t>S</w:t>
      </w:r>
      <w:r w:rsidR="00936CE0" w:rsidRPr="00681E03">
        <w:rPr>
          <w:b/>
          <w:bCs/>
          <w:color w:val="000000"/>
          <w:u w:val="single"/>
          <w:lang w:val="en-IE"/>
        </w:rPr>
        <w:t xml:space="preserve">teps </w:t>
      </w:r>
      <w:r w:rsidR="00A6742B">
        <w:rPr>
          <w:b/>
          <w:bCs/>
          <w:color w:val="000000"/>
          <w:u w:val="single"/>
          <w:lang w:val="en-IE"/>
        </w:rPr>
        <w:t>T</w:t>
      </w:r>
      <w:r w:rsidR="00936CE0" w:rsidRPr="00681E03">
        <w:rPr>
          <w:b/>
          <w:bCs/>
          <w:color w:val="000000"/>
          <w:u w:val="single"/>
          <w:lang w:val="en-IE"/>
        </w:rPr>
        <w:t>aken</w:t>
      </w:r>
      <w:r w:rsidR="00A6742B">
        <w:rPr>
          <w:b/>
          <w:bCs/>
          <w:color w:val="000000"/>
          <w:u w:val="single"/>
          <w:lang w:val="en-IE"/>
        </w:rPr>
        <w:t xml:space="preserve"> under Clause 11.5</w:t>
      </w:r>
    </w:p>
    <w:p w14:paraId="0E5AFCB3" w14:textId="0FB65BE7" w:rsidR="00214F18"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411456">
        <w:rPr>
          <w:color w:val="000000"/>
          <w:lang w:val="en-IE"/>
        </w:rPr>
        <w:t xml:space="preserve">The applicant argues that even if the deemed service of the transfer notice was </w:t>
      </w:r>
      <w:r w:rsidR="00681E03">
        <w:rPr>
          <w:color w:val="000000"/>
          <w:lang w:val="en-IE"/>
        </w:rPr>
        <w:t xml:space="preserve">valid, </w:t>
      </w:r>
      <w:r w:rsidRPr="00411456">
        <w:rPr>
          <w:color w:val="000000"/>
          <w:lang w:val="en-IE"/>
        </w:rPr>
        <w:t>this operat</w:t>
      </w:r>
      <w:r w:rsidR="00681E03">
        <w:rPr>
          <w:color w:val="000000"/>
          <w:lang w:val="en-IE"/>
        </w:rPr>
        <w:t>ed</w:t>
      </w:r>
      <w:r w:rsidRPr="00411456">
        <w:rPr>
          <w:color w:val="000000"/>
          <w:lang w:val="en-IE"/>
        </w:rPr>
        <w:t xml:space="preserve"> to commence </w:t>
      </w:r>
      <w:r w:rsidR="00681E03">
        <w:rPr>
          <w:color w:val="000000"/>
          <w:lang w:val="en-IE"/>
        </w:rPr>
        <w:t>a</w:t>
      </w:r>
      <w:r w:rsidRPr="00411456">
        <w:rPr>
          <w:color w:val="000000"/>
          <w:lang w:val="en-IE"/>
        </w:rPr>
        <w:t xml:space="preserve"> process under clause 11</w:t>
      </w:r>
      <w:r w:rsidR="00681E03">
        <w:rPr>
          <w:color w:val="000000"/>
          <w:lang w:val="en-IE"/>
        </w:rPr>
        <w:t xml:space="preserve"> a</w:t>
      </w:r>
      <w:r w:rsidRPr="00411456">
        <w:rPr>
          <w:color w:val="000000"/>
          <w:lang w:val="en-IE"/>
        </w:rPr>
        <w:t xml:space="preserve">nd that Amber remained under an obligation to comply with </w:t>
      </w:r>
      <w:proofErr w:type="gramStart"/>
      <w:r w:rsidRPr="00411456">
        <w:rPr>
          <w:color w:val="000000"/>
          <w:lang w:val="en-IE"/>
        </w:rPr>
        <w:t>all of</w:t>
      </w:r>
      <w:proofErr w:type="gramEnd"/>
      <w:r w:rsidRPr="00411456">
        <w:rPr>
          <w:color w:val="000000"/>
          <w:lang w:val="en-IE"/>
        </w:rPr>
        <w:t xml:space="preserve"> the steps in that process.</w:t>
      </w:r>
      <w:r w:rsidR="00681E03">
        <w:rPr>
          <w:color w:val="000000"/>
          <w:lang w:val="en-IE"/>
        </w:rPr>
        <w:t xml:space="preserve"> </w:t>
      </w:r>
      <w:r w:rsidRPr="00681E03">
        <w:rPr>
          <w:color w:val="000000"/>
          <w:lang w:val="en-IE"/>
        </w:rPr>
        <w:t xml:space="preserve">The applicant makes </w:t>
      </w:r>
      <w:r w:rsidR="00A6742B">
        <w:rPr>
          <w:color w:val="000000"/>
          <w:lang w:val="en-IE"/>
        </w:rPr>
        <w:t>four</w:t>
      </w:r>
      <w:r w:rsidRPr="00681E03">
        <w:rPr>
          <w:color w:val="000000"/>
          <w:lang w:val="en-IE"/>
        </w:rPr>
        <w:t xml:space="preserve"> main arguments to say that Amber did not properly comply</w:t>
      </w:r>
      <w:r w:rsidR="00681E03">
        <w:rPr>
          <w:color w:val="000000"/>
          <w:lang w:val="en-IE"/>
        </w:rPr>
        <w:t xml:space="preserve"> with</w:t>
      </w:r>
      <w:r w:rsidRPr="00681E03">
        <w:rPr>
          <w:color w:val="000000"/>
          <w:lang w:val="en-IE"/>
        </w:rPr>
        <w:t xml:space="preserve"> </w:t>
      </w:r>
      <w:r w:rsidR="00681E03">
        <w:rPr>
          <w:color w:val="000000"/>
          <w:lang w:val="en-IE"/>
        </w:rPr>
        <w:t>t</w:t>
      </w:r>
      <w:r w:rsidRPr="00681E03">
        <w:rPr>
          <w:color w:val="000000"/>
          <w:lang w:val="en-IE"/>
        </w:rPr>
        <w:t>his process</w:t>
      </w:r>
      <w:r w:rsidR="00681E03">
        <w:rPr>
          <w:color w:val="000000"/>
          <w:lang w:val="en-IE"/>
        </w:rPr>
        <w:t>.</w:t>
      </w:r>
      <w:r w:rsidRPr="00681E03">
        <w:rPr>
          <w:color w:val="000000"/>
          <w:lang w:val="en-IE"/>
        </w:rPr>
        <w:t xml:space="preserve"> </w:t>
      </w:r>
      <w:r w:rsidR="00681E03">
        <w:rPr>
          <w:color w:val="000000"/>
          <w:lang w:val="en-IE"/>
        </w:rPr>
        <w:t>T</w:t>
      </w:r>
      <w:r w:rsidRPr="00681E03">
        <w:rPr>
          <w:color w:val="000000"/>
          <w:lang w:val="en-IE"/>
        </w:rPr>
        <w:t xml:space="preserve">he first </w:t>
      </w:r>
      <w:r w:rsidR="00681E03">
        <w:rPr>
          <w:color w:val="000000"/>
          <w:lang w:val="en-IE"/>
        </w:rPr>
        <w:t>is to</w:t>
      </w:r>
      <w:r w:rsidRPr="00681E03">
        <w:rPr>
          <w:color w:val="000000"/>
          <w:lang w:val="en-IE"/>
        </w:rPr>
        <w:t xml:space="preserve"> say that the cooling off period under clause 11</w:t>
      </w:r>
      <w:r w:rsidR="00681E03">
        <w:rPr>
          <w:color w:val="000000"/>
          <w:lang w:val="en-IE"/>
        </w:rPr>
        <w:t>.</w:t>
      </w:r>
      <w:r w:rsidRPr="00681E03">
        <w:rPr>
          <w:color w:val="000000"/>
          <w:lang w:val="en-IE"/>
        </w:rPr>
        <w:t>2.1 was extended to a period of three months by clause 11.5 and</w:t>
      </w:r>
      <w:r w:rsidR="00681E03">
        <w:rPr>
          <w:color w:val="000000"/>
          <w:lang w:val="en-IE"/>
        </w:rPr>
        <w:t xml:space="preserve">, </w:t>
      </w:r>
      <w:r w:rsidRPr="00681E03">
        <w:rPr>
          <w:color w:val="000000"/>
          <w:lang w:val="en-IE"/>
        </w:rPr>
        <w:t>cruciall</w:t>
      </w:r>
      <w:r w:rsidR="00681E03">
        <w:rPr>
          <w:color w:val="000000"/>
          <w:lang w:val="en-IE"/>
        </w:rPr>
        <w:t>y,</w:t>
      </w:r>
      <w:r w:rsidRPr="00681E03">
        <w:rPr>
          <w:color w:val="000000"/>
          <w:lang w:val="en-IE"/>
        </w:rPr>
        <w:t xml:space="preserve"> that meant that the proposed transaction could not be carried out within the period of the examinership. </w:t>
      </w:r>
      <w:r w:rsidR="00867805">
        <w:rPr>
          <w:color w:val="000000"/>
          <w:lang w:val="en-IE"/>
        </w:rPr>
        <w:t xml:space="preserve">This is </w:t>
      </w:r>
      <w:r w:rsidR="00214F18">
        <w:rPr>
          <w:color w:val="000000"/>
          <w:lang w:val="en-IE"/>
        </w:rPr>
        <w:t xml:space="preserve">also </w:t>
      </w:r>
      <w:r w:rsidR="00867805">
        <w:rPr>
          <w:color w:val="000000"/>
          <w:lang w:val="en-IE"/>
        </w:rPr>
        <w:t xml:space="preserve">relevant to the </w:t>
      </w:r>
      <w:r w:rsidR="00214F18">
        <w:rPr>
          <w:color w:val="000000"/>
          <w:lang w:val="en-IE"/>
        </w:rPr>
        <w:t xml:space="preserve">case made by the applicant that it never received payment for the shares because, it contends, that payment was taken personally by Mr Tougher who, crucially, was no longer a director of the applicant after the examinership. </w:t>
      </w:r>
    </w:p>
    <w:p w14:paraId="53234F14" w14:textId="52BC8D33" w:rsidR="00214F18"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681E03">
        <w:rPr>
          <w:color w:val="000000"/>
          <w:lang w:val="en-IE"/>
        </w:rPr>
        <w:t>I have already found that the erroneous reference to clause 12</w:t>
      </w:r>
      <w:r w:rsidR="00681E03">
        <w:rPr>
          <w:color w:val="000000"/>
          <w:lang w:val="en-IE"/>
        </w:rPr>
        <w:t>.</w:t>
      </w:r>
      <w:r w:rsidRPr="00681E03">
        <w:rPr>
          <w:color w:val="000000"/>
          <w:lang w:val="en-IE"/>
        </w:rPr>
        <w:t xml:space="preserve">3.1 </w:t>
      </w:r>
      <w:r w:rsidR="00681E03">
        <w:rPr>
          <w:color w:val="000000"/>
          <w:lang w:val="en-IE"/>
        </w:rPr>
        <w:t>a</w:t>
      </w:r>
      <w:r w:rsidRPr="00681E03">
        <w:rPr>
          <w:color w:val="000000"/>
          <w:lang w:val="en-IE"/>
        </w:rPr>
        <w:t>nd the extension of a</w:t>
      </w:r>
      <w:r w:rsidR="00681E03">
        <w:rPr>
          <w:color w:val="000000"/>
          <w:lang w:val="en-IE"/>
        </w:rPr>
        <w:t xml:space="preserve"> fourteen-</w:t>
      </w:r>
      <w:r w:rsidRPr="00681E03">
        <w:rPr>
          <w:color w:val="000000"/>
          <w:lang w:val="en-IE"/>
        </w:rPr>
        <w:t>day period to three months cannot logically have been intended to refer to the cooling off period afforded to a transferor under clause 11</w:t>
      </w:r>
      <w:r w:rsidR="00681E03">
        <w:rPr>
          <w:color w:val="000000"/>
          <w:lang w:val="en-IE"/>
        </w:rPr>
        <w:t>.</w:t>
      </w:r>
      <w:r w:rsidRPr="00681E03">
        <w:rPr>
          <w:color w:val="000000"/>
          <w:lang w:val="en-IE"/>
        </w:rPr>
        <w:t xml:space="preserve">2.1 in circumstances where the transferor is deemed to have served a transfer notice and is required to sell </w:t>
      </w:r>
      <w:r w:rsidR="00681E03">
        <w:rPr>
          <w:color w:val="000000"/>
          <w:lang w:val="en-IE"/>
        </w:rPr>
        <w:t>its</w:t>
      </w:r>
      <w:r w:rsidRPr="00681E03">
        <w:rPr>
          <w:color w:val="000000"/>
          <w:lang w:val="en-IE"/>
        </w:rPr>
        <w:t xml:space="preserve"> sharehold</w:t>
      </w:r>
      <w:r w:rsidR="00681E03">
        <w:rPr>
          <w:color w:val="000000"/>
          <w:lang w:val="en-IE"/>
        </w:rPr>
        <w:t xml:space="preserve">ing </w:t>
      </w:r>
      <w:r w:rsidRPr="00681E03">
        <w:rPr>
          <w:color w:val="000000"/>
          <w:lang w:val="en-IE"/>
        </w:rPr>
        <w:t>unless the other shareholder does not wish to purchase</w:t>
      </w:r>
      <w:r w:rsidR="00681E03">
        <w:rPr>
          <w:color w:val="000000"/>
          <w:lang w:val="en-IE"/>
        </w:rPr>
        <w:t xml:space="preserve"> it.</w:t>
      </w:r>
      <w:r w:rsidRPr="00681E03">
        <w:rPr>
          <w:color w:val="000000"/>
          <w:lang w:val="en-IE"/>
        </w:rPr>
        <w:t xml:space="preserve"> </w:t>
      </w:r>
      <w:r w:rsidR="00681E03">
        <w:rPr>
          <w:color w:val="000000"/>
          <w:lang w:val="en-IE"/>
        </w:rPr>
        <w:t>T</w:t>
      </w:r>
      <w:r w:rsidRPr="00681E03">
        <w:rPr>
          <w:color w:val="000000"/>
          <w:lang w:val="en-IE"/>
        </w:rPr>
        <w:t>he company</w:t>
      </w:r>
      <w:r w:rsidR="00681E03">
        <w:rPr>
          <w:color w:val="000000"/>
          <w:lang w:val="en-IE"/>
        </w:rPr>
        <w:t>’</w:t>
      </w:r>
      <w:r w:rsidRPr="00681E03">
        <w:rPr>
          <w:color w:val="000000"/>
          <w:lang w:val="en-IE"/>
        </w:rPr>
        <w:t>s auditors can be asked to provide a valuation of the shares in circumstances where the shareholders have been unable to agree this price between themselves</w:t>
      </w:r>
      <w:r w:rsidR="00681E03">
        <w:rPr>
          <w:color w:val="000000"/>
          <w:lang w:val="en-IE"/>
        </w:rPr>
        <w:t xml:space="preserve">. </w:t>
      </w:r>
      <w:r w:rsidR="00214F18">
        <w:rPr>
          <w:color w:val="000000"/>
          <w:lang w:val="en-IE"/>
        </w:rPr>
        <w:t>Given the commercial intent of clause 11.5 i</w:t>
      </w:r>
      <w:r w:rsidRPr="00681E03">
        <w:rPr>
          <w:color w:val="000000"/>
          <w:lang w:val="en-IE"/>
        </w:rPr>
        <w:t>t would make no logical sense to allow the transferor to simply refuse to sell the shares at the valuation fixed by the auditors</w:t>
      </w:r>
      <w:r w:rsidR="00681E03">
        <w:rPr>
          <w:color w:val="000000"/>
          <w:lang w:val="en-IE"/>
        </w:rPr>
        <w:t xml:space="preserve">, less </w:t>
      </w:r>
      <w:r w:rsidRPr="00681E03">
        <w:rPr>
          <w:color w:val="000000"/>
          <w:lang w:val="en-IE"/>
        </w:rPr>
        <w:t>30%</w:t>
      </w:r>
      <w:r w:rsidR="00681E03">
        <w:rPr>
          <w:color w:val="000000"/>
          <w:lang w:val="en-IE"/>
        </w:rPr>
        <w:t>,</w:t>
      </w:r>
      <w:r w:rsidRPr="00681E03">
        <w:rPr>
          <w:color w:val="000000"/>
          <w:lang w:val="en-IE"/>
        </w:rPr>
        <w:t xml:space="preserve"> much less to have an extended period of three months within which to make that decision. </w:t>
      </w:r>
    </w:p>
    <w:p w14:paraId="640D107C" w14:textId="2681B173" w:rsidR="000544E0"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681E03">
        <w:rPr>
          <w:color w:val="000000"/>
          <w:lang w:val="en-IE"/>
        </w:rPr>
        <w:lastRenderedPageBreak/>
        <w:t xml:space="preserve">This leads to the second complaint </w:t>
      </w:r>
      <w:r w:rsidR="00681E03">
        <w:rPr>
          <w:color w:val="000000"/>
          <w:lang w:val="en-IE"/>
        </w:rPr>
        <w:t>made</w:t>
      </w:r>
      <w:r w:rsidRPr="00681E03">
        <w:rPr>
          <w:color w:val="000000"/>
          <w:lang w:val="en-IE"/>
        </w:rPr>
        <w:t xml:space="preserve"> by the applicant which is </w:t>
      </w:r>
      <w:r w:rsidR="00681E03">
        <w:rPr>
          <w:color w:val="000000"/>
          <w:lang w:val="en-IE"/>
        </w:rPr>
        <w:t xml:space="preserve">that </w:t>
      </w:r>
      <w:r w:rsidRPr="00681E03">
        <w:rPr>
          <w:color w:val="000000"/>
          <w:lang w:val="en-IE"/>
        </w:rPr>
        <w:t>under clause 11</w:t>
      </w:r>
      <w:r w:rsidR="00681E03">
        <w:rPr>
          <w:color w:val="000000"/>
          <w:lang w:val="en-IE"/>
        </w:rPr>
        <w:t>.</w:t>
      </w:r>
      <w:r w:rsidRPr="00681E03">
        <w:rPr>
          <w:color w:val="000000"/>
          <w:lang w:val="en-IE"/>
        </w:rPr>
        <w:t xml:space="preserve">3.1 </w:t>
      </w:r>
      <w:r w:rsidR="00681E03">
        <w:rPr>
          <w:color w:val="000000"/>
          <w:lang w:val="en-IE"/>
        </w:rPr>
        <w:t>i</w:t>
      </w:r>
      <w:r w:rsidRPr="00681E03">
        <w:rPr>
          <w:color w:val="000000"/>
          <w:lang w:val="en-IE"/>
        </w:rPr>
        <w:t xml:space="preserve">t is stipulated that the entire of the agreed price </w:t>
      </w:r>
      <w:r w:rsidR="00A6742B">
        <w:rPr>
          <w:color w:val="000000"/>
          <w:lang w:val="en-IE"/>
        </w:rPr>
        <w:t>be paid on the 28</w:t>
      </w:r>
      <w:r w:rsidR="00A6742B" w:rsidRPr="00886FFD">
        <w:rPr>
          <w:color w:val="000000"/>
          <w:vertAlign w:val="superscript"/>
          <w:lang w:val="en-IE"/>
        </w:rPr>
        <w:t>th</w:t>
      </w:r>
      <w:r w:rsidR="00A6742B">
        <w:rPr>
          <w:color w:val="000000"/>
          <w:lang w:val="en-IE"/>
        </w:rPr>
        <w:t xml:space="preserve"> day following the price being agreed </w:t>
      </w:r>
      <w:r w:rsidRPr="00681E03">
        <w:rPr>
          <w:color w:val="000000"/>
          <w:lang w:val="en-IE"/>
        </w:rPr>
        <w:t>and</w:t>
      </w:r>
      <w:r w:rsidR="00681E03">
        <w:rPr>
          <w:color w:val="000000"/>
          <w:lang w:val="en-IE"/>
        </w:rPr>
        <w:t>,</w:t>
      </w:r>
      <w:r w:rsidRPr="00681E03">
        <w:rPr>
          <w:color w:val="000000"/>
          <w:lang w:val="en-IE"/>
        </w:rPr>
        <w:t xml:space="preserve"> on the same da</w:t>
      </w:r>
      <w:r w:rsidR="00681E03">
        <w:rPr>
          <w:color w:val="000000"/>
          <w:lang w:val="en-IE"/>
        </w:rPr>
        <w:t>te,</w:t>
      </w:r>
      <w:r w:rsidRPr="00681E03">
        <w:rPr>
          <w:color w:val="000000"/>
          <w:lang w:val="en-IE"/>
        </w:rPr>
        <w:t xml:space="preserve"> the stock transfer form is to be executed </w:t>
      </w:r>
      <w:r w:rsidR="00A6742B">
        <w:rPr>
          <w:color w:val="000000"/>
          <w:lang w:val="en-IE"/>
        </w:rPr>
        <w:t xml:space="preserve">by the transferor </w:t>
      </w:r>
      <w:r w:rsidRPr="00681E03">
        <w:rPr>
          <w:color w:val="000000"/>
          <w:lang w:val="en-IE"/>
        </w:rPr>
        <w:t>and the share certificates handed over</w:t>
      </w:r>
      <w:r w:rsidR="00681E03">
        <w:rPr>
          <w:color w:val="000000"/>
          <w:lang w:val="en-IE"/>
        </w:rPr>
        <w:t>. T</w:t>
      </w:r>
      <w:r w:rsidRPr="00681E03">
        <w:rPr>
          <w:color w:val="000000"/>
          <w:lang w:val="en-IE"/>
        </w:rPr>
        <w:t xml:space="preserve">he applicant argues that this provision was not complied with because Amber sent the </w:t>
      </w:r>
      <w:r w:rsidR="00A6742B">
        <w:rPr>
          <w:color w:val="000000"/>
          <w:lang w:val="en-IE"/>
        </w:rPr>
        <w:t xml:space="preserve">auditor’s </w:t>
      </w:r>
      <w:r w:rsidRPr="00681E03">
        <w:rPr>
          <w:color w:val="000000"/>
          <w:lang w:val="en-IE"/>
        </w:rPr>
        <w:t>valuation and the che</w:t>
      </w:r>
      <w:r w:rsidR="00681E03">
        <w:rPr>
          <w:color w:val="000000"/>
          <w:lang w:val="en-IE"/>
        </w:rPr>
        <w:t>que</w:t>
      </w:r>
      <w:r w:rsidRPr="00681E03">
        <w:rPr>
          <w:color w:val="000000"/>
          <w:lang w:val="en-IE"/>
        </w:rPr>
        <w:t xml:space="preserve"> on the same date and requested </w:t>
      </w:r>
      <w:r w:rsidR="001C04E1">
        <w:rPr>
          <w:color w:val="000000"/>
          <w:lang w:val="en-IE"/>
        </w:rPr>
        <w:t>r</w:t>
      </w:r>
      <w:r w:rsidRPr="00681E03">
        <w:rPr>
          <w:color w:val="000000"/>
          <w:lang w:val="en-IE"/>
        </w:rPr>
        <w:t xml:space="preserve">eturn of the stock transfer </w:t>
      </w:r>
      <w:proofErr w:type="spellStart"/>
      <w:r w:rsidRPr="00681E03">
        <w:rPr>
          <w:color w:val="000000"/>
          <w:lang w:val="en-IE"/>
        </w:rPr>
        <w:t>form</w:t>
      </w:r>
      <w:proofErr w:type="spellEnd"/>
      <w:r w:rsidR="001C04E1">
        <w:rPr>
          <w:color w:val="000000"/>
          <w:lang w:val="en-IE"/>
        </w:rPr>
        <w:t xml:space="preserve"> w</w:t>
      </w:r>
      <w:r w:rsidRPr="00681E03">
        <w:rPr>
          <w:color w:val="000000"/>
          <w:lang w:val="en-IE"/>
        </w:rPr>
        <w:t>ithin</w:t>
      </w:r>
      <w:r w:rsidR="001C04E1">
        <w:rPr>
          <w:color w:val="000000"/>
          <w:lang w:val="en-IE"/>
        </w:rPr>
        <w:t xml:space="preserve"> fourteen</w:t>
      </w:r>
      <w:r w:rsidRPr="00681E03">
        <w:rPr>
          <w:color w:val="000000"/>
          <w:lang w:val="en-IE"/>
        </w:rPr>
        <w:t xml:space="preserve"> days</w:t>
      </w:r>
      <w:r w:rsidR="001C04E1">
        <w:rPr>
          <w:color w:val="000000"/>
          <w:lang w:val="en-IE"/>
        </w:rPr>
        <w:t>. I</w:t>
      </w:r>
      <w:r w:rsidRPr="00681E03">
        <w:rPr>
          <w:color w:val="000000"/>
          <w:lang w:val="en-IE"/>
        </w:rPr>
        <w:t>n response</w:t>
      </w:r>
      <w:r w:rsidR="001C04E1">
        <w:rPr>
          <w:color w:val="000000"/>
          <w:lang w:val="en-IE"/>
        </w:rPr>
        <w:t>,</w:t>
      </w:r>
      <w:r w:rsidRPr="00681E03">
        <w:rPr>
          <w:color w:val="000000"/>
          <w:lang w:val="en-IE"/>
        </w:rPr>
        <w:t xml:space="preserve"> the respondents point out that </w:t>
      </w:r>
      <w:r w:rsidR="001C04E1">
        <w:rPr>
          <w:color w:val="000000"/>
          <w:lang w:val="en-IE"/>
        </w:rPr>
        <w:t>clause</w:t>
      </w:r>
      <w:r w:rsidRPr="00681E03">
        <w:rPr>
          <w:color w:val="000000"/>
          <w:lang w:val="en-IE"/>
        </w:rPr>
        <w:t xml:space="preserve"> 11</w:t>
      </w:r>
      <w:r w:rsidR="001C04E1">
        <w:rPr>
          <w:color w:val="000000"/>
          <w:lang w:val="en-IE"/>
        </w:rPr>
        <w:t>.</w:t>
      </w:r>
      <w:r w:rsidRPr="00681E03">
        <w:rPr>
          <w:color w:val="000000"/>
          <w:lang w:val="en-IE"/>
        </w:rPr>
        <w:t>3.1</w:t>
      </w:r>
      <w:r w:rsidR="001C04E1">
        <w:rPr>
          <w:color w:val="000000"/>
          <w:lang w:val="en-IE"/>
        </w:rPr>
        <w:t xml:space="preserve">, </w:t>
      </w:r>
      <w:r w:rsidRPr="00681E03">
        <w:rPr>
          <w:color w:val="000000"/>
          <w:lang w:val="en-IE"/>
        </w:rPr>
        <w:t>unlike cl</w:t>
      </w:r>
      <w:r w:rsidR="001C04E1">
        <w:rPr>
          <w:color w:val="000000"/>
          <w:lang w:val="en-IE"/>
        </w:rPr>
        <w:t>au</w:t>
      </w:r>
      <w:r w:rsidRPr="00681E03">
        <w:rPr>
          <w:color w:val="000000"/>
          <w:lang w:val="en-IE"/>
        </w:rPr>
        <w:t>se 11.5</w:t>
      </w:r>
      <w:r w:rsidR="001C04E1">
        <w:rPr>
          <w:color w:val="000000"/>
          <w:lang w:val="en-IE"/>
        </w:rPr>
        <w:t>,</w:t>
      </w:r>
      <w:r w:rsidRPr="00681E03">
        <w:rPr>
          <w:color w:val="000000"/>
          <w:lang w:val="en-IE"/>
        </w:rPr>
        <w:t xml:space="preserve"> is primarily for the benefit of the transferor and ensures that a transferor selling its shareholding will be paid within 28 days of the price being agreed </w:t>
      </w:r>
      <w:r w:rsidR="001C04E1">
        <w:rPr>
          <w:color w:val="000000"/>
          <w:lang w:val="en-IE"/>
        </w:rPr>
        <w:t>un</w:t>
      </w:r>
      <w:r w:rsidRPr="00681E03">
        <w:rPr>
          <w:color w:val="000000"/>
          <w:lang w:val="en-IE"/>
        </w:rPr>
        <w:t>less the transferor permits an extension of that deadline</w:t>
      </w:r>
      <w:r w:rsidR="001C04E1">
        <w:rPr>
          <w:color w:val="000000"/>
          <w:lang w:val="en-IE"/>
        </w:rPr>
        <w:t xml:space="preserve">. It </w:t>
      </w:r>
      <w:r w:rsidRPr="00681E03">
        <w:rPr>
          <w:color w:val="000000"/>
          <w:lang w:val="en-IE"/>
        </w:rPr>
        <w:t>would make no commercial sense to invalidate a transaction and to allow the seller resi</w:t>
      </w:r>
      <w:r w:rsidR="001C04E1">
        <w:rPr>
          <w:color w:val="000000"/>
          <w:lang w:val="en-IE"/>
        </w:rPr>
        <w:t>le</w:t>
      </w:r>
      <w:r w:rsidRPr="00681E03">
        <w:rPr>
          <w:color w:val="000000"/>
          <w:lang w:val="en-IE"/>
        </w:rPr>
        <w:t xml:space="preserve"> from it because the seller was paid </w:t>
      </w:r>
      <w:r w:rsidR="001C04E1">
        <w:rPr>
          <w:color w:val="000000"/>
          <w:lang w:val="en-IE"/>
        </w:rPr>
        <w:t xml:space="preserve">– </w:t>
      </w:r>
      <w:r w:rsidRPr="00681E03">
        <w:rPr>
          <w:color w:val="000000"/>
          <w:lang w:val="en-IE"/>
        </w:rPr>
        <w:t xml:space="preserve">and accepted payment </w:t>
      </w:r>
      <w:r w:rsidR="001C04E1">
        <w:rPr>
          <w:color w:val="000000"/>
          <w:lang w:val="en-IE"/>
        </w:rPr>
        <w:t>–</w:t>
      </w:r>
      <w:r w:rsidRPr="00681E03">
        <w:rPr>
          <w:color w:val="000000"/>
          <w:lang w:val="en-IE"/>
        </w:rPr>
        <w:t xml:space="preserve"> earlier than the date stipulated in the contract as being the date on which payment must be made.</w:t>
      </w:r>
      <w:r w:rsidR="001C04E1">
        <w:rPr>
          <w:color w:val="000000"/>
          <w:lang w:val="en-IE"/>
        </w:rPr>
        <w:t xml:space="preserve"> </w:t>
      </w:r>
      <w:r w:rsidRPr="001C04E1">
        <w:rPr>
          <w:color w:val="000000"/>
          <w:lang w:val="en-IE"/>
        </w:rPr>
        <w:t>I think this is correct. It would have been open to the applicant</w:t>
      </w:r>
      <w:r w:rsidR="001C04E1">
        <w:rPr>
          <w:color w:val="000000"/>
          <w:lang w:val="en-IE"/>
        </w:rPr>
        <w:t>,</w:t>
      </w:r>
      <w:r w:rsidRPr="001C04E1">
        <w:rPr>
          <w:color w:val="000000"/>
          <w:lang w:val="en-IE"/>
        </w:rPr>
        <w:t xml:space="preserve"> as transferor</w:t>
      </w:r>
      <w:r w:rsidR="001C04E1">
        <w:rPr>
          <w:color w:val="000000"/>
          <w:lang w:val="en-IE"/>
        </w:rPr>
        <w:t>,</w:t>
      </w:r>
      <w:r w:rsidRPr="001C04E1">
        <w:rPr>
          <w:color w:val="000000"/>
          <w:lang w:val="en-IE"/>
        </w:rPr>
        <w:t xml:space="preserve"> to refuse to accept a payment made to it for </w:t>
      </w:r>
      <w:r w:rsidR="001C04E1">
        <w:rPr>
          <w:color w:val="000000"/>
          <w:lang w:val="en-IE"/>
        </w:rPr>
        <w:t>shares</w:t>
      </w:r>
      <w:r w:rsidRPr="001C04E1">
        <w:rPr>
          <w:color w:val="000000"/>
          <w:lang w:val="en-IE"/>
        </w:rPr>
        <w:t xml:space="preserve"> in advance of the date upon which the transferee was contractually obliged to pay for those shares. However</w:t>
      </w:r>
      <w:r w:rsidR="001C04E1">
        <w:rPr>
          <w:color w:val="000000"/>
          <w:lang w:val="en-IE"/>
        </w:rPr>
        <w:t>,</w:t>
      </w:r>
      <w:r w:rsidRPr="001C04E1">
        <w:rPr>
          <w:color w:val="000000"/>
          <w:lang w:val="en-IE"/>
        </w:rPr>
        <w:t xml:space="preserve"> once the payment was accepted by the applicant</w:t>
      </w:r>
      <w:r w:rsidR="000544E0">
        <w:rPr>
          <w:color w:val="000000"/>
          <w:lang w:val="en-IE"/>
        </w:rPr>
        <w:t>,</w:t>
      </w:r>
      <w:r w:rsidRPr="001C04E1">
        <w:rPr>
          <w:color w:val="000000"/>
          <w:lang w:val="en-IE"/>
        </w:rPr>
        <w:t xml:space="preserve"> then I do not think it can simultaneous</w:t>
      </w:r>
      <w:r w:rsidR="000544E0">
        <w:rPr>
          <w:color w:val="000000"/>
          <w:lang w:val="en-IE"/>
        </w:rPr>
        <w:t xml:space="preserve">ly </w:t>
      </w:r>
      <w:r w:rsidRPr="001C04E1">
        <w:rPr>
          <w:color w:val="000000"/>
          <w:lang w:val="en-IE"/>
        </w:rPr>
        <w:t>complain that the transfer is invalid because it has received that payment too early</w:t>
      </w:r>
      <w:r w:rsidR="000544E0">
        <w:rPr>
          <w:color w:val="000000"/>
          <w:lang w:val="en-IE"/>
        </w:rPr>
        <w:t>.</w:t>
      </w:r>
    </w:p>
    <w:p w14:paraId="65703C2B" w14:textId="4D6DAB92" w:rsidR="00721867"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1C04E1">
        <w:rPr>
          <w:color w:val="000000"/>
          <w:lang w:val="en-IE"/>
        </w:rPr>
        <w:t>Related to this</w:t>
      </w:r>
      <w:r w:rsidR="000544E0">
        <w:rPr>
          <w:color w:val="000000"/>
          <w:lang w:val="en-IE"/>
        </w:rPr>
        <w:t>,</w:t>
      </w:r>
      <w:r w:rsidRPr="001C04E1">
        <w:rPr>
          <w:color w:val="000000"/>
          <w:lang w:val="en-IE"/>
        </w:rPr>
        <w:t xml:space="preserve"> </w:t>
      </w:r>
      <w:r w:rsidR="000544E0">
        <w:rPr>
          <w:color w:val="000000"/>
          <w:lang w:val="en-IE"/>
        </w:rPr>
        <w:t>t</w:t>
      </w:r>
      <w:r w:rsidRPr="001C04E1">
        <w:rPr>
          <w:color w:val="000000"/>
          <w:lang w:val="en-IE"/>
        </w:rPr>
        <w:t xml:space="preserve">he applicant argues that the purchase monies were somehow diverted from the </w:t>
      </w:r>
      <w:proofErr w:type="gramStart"/>
      <w:r w:rsidRPr="001C04E1">
        <w:rPr>
          <w:color w:val="000000"/>
          <w:lang w:val="en-IE"/>
        </w:rPr>
        <w:t>applicant</w:t>
      </w:r>
      <w:proofErr w:type="gramEnd"/>
      <w:r w:rsidRPr="001C04E1">
        <w:rPr>
          <w:color w:val="000000"/>
          <w:lang w:val="en-IE"/>
        </w:rPr>
        <w:t xml:space="preserve"> and it </w:t>
      </w:r>
      <w:r w:rsidR="00A6742B">
        <w:rPr>
          <w:color w:val="000000"/>
          <w:lang w:val="en-IE"/>
        </w:rPr>
        <w:t xml:space="preserve">seems </w:t>
      </w:r>
      <w:r w:rsidRPr="001C04E1">
        <w:rPr>
          <w:color w:val="000000"/>
          <w:lang w:val="en-IE"/>
        </w:rPr>
        <w:t xml:space="preserve">to be alleged that they were misappropriated by a former director of the applicant. </w:t>
      </w:r>
      <w:r w:rsidR="00A6742B">
        <w:rPr>
          <w:color w:val="000000"/>
          <w:lang w:val="en-IE"/>
        </w:rPr>
        <w:t xml:space="preserve">Even allowing for the fact that the amount of money in issue is negligible, this is a serious allegation made against someone who is not a party to the application. </w:t>
      </w:r>
      <w:r w:rsidRPr="001C04E1">
        <w:rPr>
          <w:color w:val="000000"/>
          <w:lang w:val="en-IE"/>
        </w:rPr>
        <w:t>There is little or no evidence before the court to support this allegation save for M</w:t>
      </w:r>
      <w:r w:rsidR="00673D16">
        <w:rPr>
          <w:color w:val="000000"/>
          <w:lang w:val="en-IE"/>
        </w:rPr>
        <w:t xml:space="preserve">r. </w:t>
      </w:r>
      <w:proofErr w:type="spellStart"/>
      <w:r w:rsidR="00673D16">
        <w:rPr>
          <w:color w:val="000000"/>
          <w:lang w:val="en-IE"/>
        </w:rPr>
        <w:t>O’Regan’s</w:t>
      </w:r>
      <w:proofErr w:type="spellEnd"/>
      <w:r w:rsidRPr="001C04E1">
        <w:rPr>
          <w:color w:val="000000"/>
          <w:lang w:val="en-IE"/>
        </w:rPr>
        <w:t xml:space="preserve"> </w:t>
      </w:r>
      <w:r w:rsidR="00673D16">
        <w:rPr>
          <w:color w:val="000000"/>
          <w:lang w:val="en-IE"/>
        </w:rPr>
        <w:t>aver</w:t>
      </w:r>
      <w:r w:rsidRPr="001C04E1">
        <w:rPr>
          <w:color w:val="000000"/>
          <w:lang w:val="en-IE"/>
        </w:rPr>
        <w:t xml:space="preserve">ment </w:t>
      </w:r>
      <w:r w:rsidR="00673D16">
        <w:rPr>
          <w:color w:val="000000"/>
          <w:lang w:val="en-IE"/>
        </w:rPr>
        <w:t>(</w:t>
      </w:r>
      <w:r w:rsidRPr="001C04E1">
        <w:rPr>
          <w:color w:val="000000"/>
          <w:lang w:val="en-IE"/>
        </w:rPr>
        <w:t>without exhibiting any relevant supporting documentatio</w:t>
      </w:r>
      <w:r w:rsidR="00673D16">
        <w:rPr>
          <w:color w:val="000000"/>
          <w:lang w:val="en-IE"/>
        </w:rPr>
        <w:t>n)</w:t>
      </w:r>
      <w:r w:rsidRPr="001C04E1">
        <w:rPr>
          <w:color w:val="000000"/>
          <w:lang w:val="en-IE"/>
        </w:rPr>
        <w:t xml:space="preserve"> that the che</w:t>
      </w:r>
      <w:r w:rsidR="00673D16">
        <w:rPr>
          <w:color w:val="000000"/>
          <w:lang w:val="en-IE"/>
        </w:rPr>
        <w:t>que</w:t>
      </w:r>
      <w:r w:rsidRPr="001C04E1">
        <w:rPr>
          <w:color w:val="000000"/>
          <w:lang w:val="en-IE"/>
        </w:rPr>
        <w:t xml:space="preserve"> was not l</w:t>
      </w:r>
      <w:r w:rsidR="00673D16">
        <w:rPr>
          <w:color w:val="000000"/>
          <w:lang w:val="en-IE"/>
        </w:rPr>
        <w:t>odged</w:t>
      </w:r>
      <w:r w:rsidRPr="001C04E1">
        <w:rPr>
          <w:color w:val="000000"/>
          <w:lang w:val="en-IE"/>
        </w:rPr>
        <w:t xml:space="preserve"> to the benefit of the applicant</w:t>
      </w:r>
      <w:r w:rsidR="00673D16">
        <w:rPr>
          <w:color w:val="000000"/>
          <w:lang w:val="en-IE"/>
        </w:rPr>
        <w:t>’</w:t>
      </w:r>
      <w:r w:rsidRPr="001C04E1">
        <w:rPr>
          <w:color w:val="000000"/>
          <w:lang w:val="en-IE"/>
        </w:rPr>
        <w:t>s bank account</w:t>
      </w:r>
      <w:r w:rsidR="00673D16">
        <w:rPr>
          <w:color w:val="000000"/>
          <w:lang w:val="en-IE"/>
        </w:rPr>
        <w:t xml:space="preserve">. </w:t>
      </w:r>
      <w:r w:rsidR="00721867">
        <w:rPr>
          <w:color w:val="000000"/>
          <w:lang w:val="en-IE"/>
        </w:rPr>
        <w:t xml:space="preserve">The argument elaborated upon in the written submissions is that the cheque made out to the applicant </w:t>
      </w:r>
      <w:r w:rsidR="00721867" w:rsidRPr="00D46EC2">
        <w:rPr>
          <w:color w:val="000000"/>
          <w:lang w:val="en-IE"/>
        </w:rPr>
        <w:t xml:space="preserve">was cashed by Mr. </w:t>
      </w:r>
      <w:r w:rsidR="00721867">
        <w:rPr>
          <w:color w:val="000000"/>
          <w:lang w:val="en-IE"/>
        </w:rPr>
        <w:t>Tough</w:t>
      </w:r>
      <w:r w:rsidR="00721867" w:rsidRPr="00D46EC2">
        <w:rPr>
          <w:color w:val="000000"/>
          <w:lang w:val="en-IE"/>
        </w:rPr>
        <w:t xml:space="preserve">er when he was no longer </w:t>
      </w:r>
      <w:r w:rsidR="00721867">
        <w:rPr>
          <w:color w:val="000000"/>
          <w:lang w:val="en-IE"/>
        </w:rPr>
        <w:t xml:space="preserve">a </w:t>
      </w:r>
      <w:r w:rsidR="00721867" w:rsidRPr="00D46EC2">
        <w:rPr>
          <w:color w:val="000000"/>
          <w:lang w:val="en-IE"/>
        </w:rPr>
        <w:t xml:space="preserve">director of </w:t>
      </w:r>
      <w:r w:rsidR="00721867">
        <w:rPr>
          <w:color w:val="000000"/>
          <w:lang w:val="en-IE"/>
        </w:rPr>
        <w:t xml:space="preserve">the applicant </w:t>
      </w:r>
      <w:proofErr w:type="gramStart"/>
      <w:r w:rsidR="00721867" w:rsidRPr="00D46EC2">
        <w:rPr>
          <w:color w:val="000000"/>
          <w:lang w:val="en-IE"/>
        </w:rPr>
        <w:t>company</w:t>
      </w:r>
      <w:proofErr w:type="gramEnd"/>
      <w:r w:rsidR="00721867" w:rsidRPr="00D46EC2">
        <w:rPr>
          <w:color w:val="000000"/>
          <w:lang w:val="en-IE"/>
        </w:rPr>
        <w:t xml:space="preserve"> and the monies were </w:t>
      </w:r>
      <w:r w:rsidR="00721867" w:rsidRPr="00D46EC2">
        <w:rPr>
          <w:color w:val="000000"/>
          <w:lang w:val="en-IE"/>
        </w:rPr>
        <w:lastRenderedPageBreak/>
        <w:t>not received by the applicant. According to the applicant, the effective date and time for the implementation of the scheme of arrangement proposed by the examiner was 9</w:t>
      </w:r>
      <w:r w:rsidR="00721867">
        <w:rPr>
          <w:color w:val="000000"/>
          <w:lang w:val="en-IE"/>
        </w:rPr>
        <w:t>:00</w:t>
      </w:r>
      <w:r w:rsidR="00721867" w:rsidRPr="00D46EC2">
        <w:rPr>
          <w:color w:val="000000"/>
          <w:lang w:val="en-IE"/>
        </w:rPr>
        <w:t>am on 19</w:t>
      </w:r>
      <w:r w:rsidR="00721867" w:rsidRPr="00D46EC2">
        <w:rPr>
          <w:color w:val="000000"/>
          <w:vertAlign w:val="superscript"/>
          <w:lang w:val="en-IE"/>
        </w:rPr>
        <w:t>th</w:t>
      </w:r>
      <w:r w:rsidR="00721867">
        <w:rPr>
          <w:color w:val="000000"/>
          <w:lang w:val="en-IE"/>
        </w:rPr>
        <w:t xml:space="preserve"> </w:t>
      </w:r>
      <w:r w:rsidR="00721867" w:rsidRPr="00D46EC2">
        <w:rPr>
          <w:color w:val="000000"/>
          <w:lang w:val="en-IE"/>
        </w:rPr>
        <w:t>February 2013</w:t>
      </w:r>
      <w:r w:rsidR="00721867">
        <w:rPr>
          <w:color w:val="000000"/>
          <w:lang w:val="en-IE"/>
        </w:rPr>
        <w:t xml:space="preserve"> and</w:t>
      </w:r>
      <w:r w:rsidR="00721867" w:rsidRPr="00D46EC2">
        <w:rPr>
          <w:color w:val="000000"/>
          <w:lang w:val="en-IE"/>
        </w:rPr>
        <w:t xml:space="preserve"> Mr. To</w:t>
      </w:r>
      <w:r w:rsidR="00721867">
        <w:rPr>
          <w:color w:val="000000"/>
          <w:lang w:val="en-IE"/>
        </w:rPr>
        <w:t>ugher</w:t>
      </w:r>
      <w:r w:rsidR="00721867" w:rsidRPr="00D46EC2">
        <w:rPr>
          <w:color w:val="000000"/>
          <w:lang w:val="en-IE"/>
        </w:rPr>
        <w:t xml:space="preserve"> resigned from the applicant </w:t>
      </w:r>
      <w:r w:rsidR="00721867">
        <w:rPr>
          <w:color w:val="000000"/>
          <w:lang w:val="en-IE"/>
        </w:rPr>
        <w:t>with effect</w:t>
      </w:r>
      <w:r w:rsidR="00721867" w:rsidRPr="00D46EC2">
        <w:rPr>
          <w:color w:val="000000"/>
          <w:lang w:val="en-IE"/>
        </w:rPr>
        <w:t xml:space="preserve"> from that time pursuant to a court order made on 18</w:t>
      </w:r>
      <w:r w:rsidR="00721867" w:rsidRPr="00615C5B">
        <w:rPr>
          <w:color w:val="000000"/>
          <w:vertAlign w:val="superscript"/>
          <w:lang w:val="en-IE"/>
        </w:rPr>
        <w:t>th</w:t>
      </w:r>
      <w:r w:rsidR="00721867">
        <w:rPr>
          <w:color w:val="000000"/>
          <w:lang w:val="en-IE"/>
        </w:rPr>
        <w:t xml:space="preserve"> </w:t>
      </w:r>
      <w:r w:rsidR="00721867" w:rsidRPr="00D46EC2">
        <w:rPr>
          <w:color w:val="000000"/>
          <w:lang w:val="en-IE"/>
        </w:rPr>
        <w:t>February 2013</w:t>
      </w:r>
      <w:r w:rsidR="00721867">
        <w:rPr>
          <w:color w:val="000000"/>
          <w:lang w:val="en-IE"/>
        </w:rPr>
        <w:t xml:space="preserve"> a</w:t>
      </w:r>
      <w:r w:rsidR="00721867" w:rsidRPr="00D46EC2">
        <w:rPr>
          <w:color w:val="000000"/>
          <w:lang w:val="en-IE"/>
        </w:rPr>
        <w:t>pproving that scheme of arrangement</w:t>
      </w:r>
      <w:r w:rsidR="00721867">
        <w:rPr>
          <w:color w:val="000000"/>
          <w:lang w:val="en-IE"/>
        </w:rPr>
        <w:t>. H</w:t>
      </w:r>
      <w:r w:rsidR="00721867" w:rsidRPr="00D46EC2">
        <w:rPr>
          <w:color w:val="000000"/>
          <w:lang w:val="en-IE"/>
        </w:rPr>
        <w:t>owever, the applicant has not placed any evidence before the</w:t>
      </w:r>
      <w:r w:rsidR="00721867">
        <w:rPr>
          <w:color w:val="000000"/>
          <w:lang w:val="en-IE"/>
        </w:rPr>
        <w:t xml:space="preserve"> cou</w:t>
      </w:r>
      <w:r w:rsidR="00721867" w:rsidRPr="00D46EC2">
        <w:rPr>
          <w:color w:val="000000"/>
          <w:lang w:val="en-IE"/>
        </w:rPr>
        <w:t>rt to support this narrative. In particular, the applicant has not placed the documentation in relation to the examinership and the scheme of arrangement approved by the</w:t>
      </w:r>
      <w:r w:rsidR="00721867">
        <w:rPr>
          <w:color w:val="000000"/>
          <w:lang w:val="en-IE"/>
        </w:rPr>
        <w:t xml:space="preserve"> High Court</w:t>
      </w:r>
      <w:r w:rsidR="00721867" w:rsidRPr="00D46EC2">
        <w:rPr>
          <w:color w:val="000000"/>
          <w:lang w:val="en-IE"/>
        </w:rPr>
        <w:t xml:space="preserve"> before the court</w:t>
      </w:r>
      <w:r w:rsidR="00721867">
        <w:rPr>
          <w:color w:val="000000"/>
          <w:lang w:val="en-IE"/>
        </w:rPr>
        <w:t>. R</w:t>
      </w:r>
      <w:r w:rsidR="00721867" w:rsidRPr="00D46EC2">
        <w:rPr>
          <w:color w:val="000000"/>
          <w:lang w:val="en-IE"/>
        </w:rPr>
        <w:t>everting to</w:t>
      </w:r>
      <w:r w:rsidR="00721867">
        <w:rPr>
          <w:color w:val="000000"/>
          <w:lang w:val="en-IE"/>
        </w:rPr>
        <w:t xml:space="preserve"> the</w:t>
      </w:r>
      <w:r w:rsidR="00721867" w:rsidRPr="00D46EC2">
        <w:rPr>
          <w:color w:val="000000"/>
          <w:lang w:val="en-IE"/>
        </w:rPr>
        <w:t xml:space="preserve"> discussion earlier in this judgment </w:t>
      </w:r>
      <w:r w:rsidR="00721867">
        <w:rPr>
          <w:color w:val="000000"/>
          <w:lang w:val="en-IE"/>
        </w:rPr>
        <w:t xml:space="preserve">on </w:t>
      </w:r>
      <w:r w:rsidR="00721867" w:rsidRPr="00D46EC2">
        <w:rPr>
          <w:color w:val="000000"/>
          <w:lang w:val="en-IE"/>
        </w:rPr>
        <w:t>the preliminary objections made by the respondents</w:t>
      </w:r>
      <w:r w:rsidR="00721867">
        <w:rPr>
          <w:color w:val="000000"/>
          <w:lang w:val="en-IE"/>
        </w:rPr>
        <w:t>,</w:t>
      </w:r>
      <w:r w:rsidR="00721867" w:rsidRPr="00D46EC2">
        <w:rPr>
          <w:color w:val="000000"/>
          <w:lang w:val="en-IE"/>
        </w:rPr>
        <w:t xml:space="preserve"> the onus is on the applicant as the moving party in </w:t>
      </w:r>
      <w:r w:rsidR="00721867">
        <w:rPr>
          <w:color w:val="000000"/>
          <w:lang w:val="en-IE"/>
        </w:rPr>
        <w:t>an</w:t>
      </w:r>
      <w:r w:rsidR="00721867" w:rsidRPr="00D46EC2">
        <w:rPr>
          <w:color w:val="000000"/>
          <w:lang w:val="en-IE"/>
        </w:rPr>
        <w:t xml:space="preserve"> application under </w:t>
      </w:r>
      <w:r w:rsidR="00721867">
        <w:rPr>
          <w:color w:val="000000"/>
          <w:lang w:val="en-IE"/>
        </w:rPr>
        <w:t>s.</w:t>
      </w:r>
      <w:r w:rsidR="00721867" w:rsidRPr="00D46EC2">
        <w:rPr>
          <w:color w:val="000000"/>
          <w:lang w:val="en-IE"/>
        </w:rPr>
        <w:t xml:space="preserve"> 173</w:t>
      </w:r>
      <w:r w:rsidR="00721867">
        <w:rPr>
          <w:color w:val="000000"/>
          <w:lang w:val="en-IE"/>
        </w:rPr>
        <w:t xml:space="preserve"> t</w:t>
      </w:r>
      <w:r w:rsidR="00721867" w:rsidRPr="00D46EC2">
        <w:rPr>
          <w:color w:val="000000"/>
          <w:lang w:val="en-IE"/>
        </w:rPr>
        <w:t>o establish that the removal of its name from the register was without sufficient caus</w:t>
      </w:r>
      <w:r w:rsidR="00721867">
        <w:rPr>
          <w:color w:val="000000"/>
          <w:lang w:val="en-IE"/>
        </w:rPr>
        <w:t>e. I</w:t>
      </w:r>
      <w:r w:rsidR="00721867" w:rsidRPr="00D46EC2">
        <w:rPr>
          <w:color w:val="000000"/>
          <w:lang w:val="en-IE"/>
        </w:rPr>
        <w:t xml:space="preserve">n circumstances where the applicant has not put evidence before the court to support </w:t>
      </w:r>
      <w:r w:rsidR="00721867">
        <w:rPr>
          <w:color w:val="000000"/>
          <w:lang w:val="en-IE"/>
        </w:rPr>
        <w:t xml:space="preserve">key </w:t>
      </w:r>
      <w:r w:rsidR="00721867" w:rsidRPr="00D46EC2">
        <w:rPr>
          <w:color w:val="000000"/>
          <w:lang w:val="en-IE"/>
        </w:rPr>
        <w:t>elements of its argument as to why there was not sufficient cause</w:t>
      </w:r>
      <w:r w:rsidR="00721867">
        <w:rPr>
          <w:color w:val="000000"/>
          <w:lang w:val="en-IE"/>
        </w:rPr>
        <w:t>, i</w:t>
      </w:r>
      <w:r w:rsidR="00721867" w:rsidRPr="00D46EC2">
        <w:rPr>
          <w:color w:val="000000"/>
          <w:lang w:val="en-IE"/>
        </w:rPr>
        <w:t>t has not discharged the onus of proof upon it.</w:t>
      </w:r>
    </w:p>
    <w:p w14:paraId="24C2861D" w14:textId="4E856EC0" w:rsidR="0016678B" w:rsidRDefault="00673D16"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As</w:t>
      </w:r>
      <w:r w:rsidR="00936CE0" w:rsidRPr="001C04E1">
        <w:rPr>
          <w:color w:val="000000"/>
          <w:lang w:val="en-IE"/>
        </w:rPr>
        <w:t xml:space="preserve"> against this</w:t>
      </w:r>
      <w:r>
        <w:rPr>
          <w:color w:val="000000"/>
          <w:lang w:val="en-IE"/>
        </w:rPr>
        <w:t>,</w:t>
      </w:r>
      <w:r w:rsidR="00936CE0" w:rsidRPr="001C04E1">
        <w:rPr>
          <w:color w:val="000000"/>
          <w:lang w:val="en-IE"/>
        </w:rPr>
        <w:t xml:space="preserve"> </w:t>
      </w:r>
      <w:r>
        <w:rPr>
          <w:color w:val="000000"/>
          <w:lang w:val="en-IE"/>
        </w:rPr>
        <w:t>t</w:t>
      </w:r>
      <w:r w:rsidR="00936CE0" w:rsidRPr="001C04E1">
        <w:rPr>
          <w:color w:val="000000"/>
          <w:lang w:val="en-IE"/>
        </w:rPr>
        <w:t>he respondents have exhibited a copy of the che</w:t>
      </w:r>
      <w:r>
        <w:rPr>
          <w:color w:val="000000"/>
          <w:lang w:val="en-IE"/>
        </w:rPr>
        <w:t>que</w:t>
      </w:r>
      <w:r w:rsidR="00936CE0" w:rsidRPr="001C04E1">
        <w:rPr>
          <w:color w:val="000000"/>
          <w:lang w:val="en-IE"/>
        </w:rPr>
        <w:t xml:space="preserve"> </w:t>
      </w:r>
      <w:r w:rsidR="00A6742B" w:rsidRPr="001C04E1">
        <w:rPr>
          <w:color w:val="000000"/>
          <w:lang w:val="en-IE"/>
        </w:rPr>
        <w:t xml:space="preserve">made payable to the applicant company </w:t>
      </w:r>
      <w:r w:rsidR="00936CE0" w:rsidRPr="001C04E1">
        <w:rPr>
          <w:color w:val="000000"/>
          <w:lang w:val="en-IE"/>
        </w:rPr>
        <w:t>which was sent to the examiner</w:t>
      </w:r>
      <w:r w:rsidR="00A6742B">
        <w:rPr>
          <w:color w:val="000000"/>
          <w:lang w:val="en-IE"/>
        </w:rPr>
        <w:t xml:space="preserve"> during the period of the examinership</w:t>
      </w:r>
      <w:r w:rsidR="00936CE0" w:rsidRPr="001C04E1">
        <w:rPr>
          <w:color w:val="000000"/>
          <w:lang w:val="en-IE"/>
        </w:rPr>
        <w:t xml:space="preserve">. They have also exhibited an extract from </w:t>
      </w:r>
      <w:proofErr w:type="gramStart"/>
      <w:r w:rsidR="00936CE0" w:rsidRPr="001C04E1">
        <w:rPr>
          <w:color w:val="000000"/>
          <w:lang w:val="en-IE"/>
        </w:rPr>
        <w:t>Amber</w:t>
      </w:r>
      <w:r>
        <w:rPr>
          <w:color w:val="000000"/>
          <w:lang w:val="en-IE"/>
        </w:rPr>
        <w:t>’</w:t>
      </w:r>
      <w:r w:rsidR="00936CE0" w:rsidRPr="001C04E1">
        <w:rPr>
          <w:color w:val="000000"/>
          <w:lang w:val="en-IE"/>
        </w:rPr>
        <w:t>s</w:t>
      </w:r>
      <w:proofErr w:type="gramEnd"/>
      <w:r w:rsidR="00936CE0" w:rsidRPr="001C04E1">
        <w:rPr>
          <w:color w:val="000000"/>
          <w:lang w:val="en-IE"/>
        </w:rPr>
        <w:t xml:space="preserve"> bank account in which </w:t>
      </w:r>
      <w:r>
        <w:rPr>
          <w:color w:val="000000"/>
          <w:lang w:val="en-IE"/>
        </w:rPr>
        <w:t>a</w:t>
      </w:r>
      <w:r w:rsidR="00936CE0" w:rsidRPr="001C04E1">
        <w:rPr>
          <w:color w:val="000000"/>
          <w:lang w:val="en-IE"/>
        </w:rPr>
        <w:t xml:space="preserve"> debit in that amount with the same reference number as the che</w:t>
      </w:r>
      <w:r>
        <w:rPr>
          <w:color w:val="000000"/>
          <w:lang w:val="en-IE"/>
        </w:rPr>
        <w:t>que</w:t>
      </w:r>
      <w:r w:rsidR="00936CE0" w:rsidRPr="001C04E1">
        <w:rPr>
          <w:color w:val="000000"/>
          <w:lang w:val="en-IE"/>
        </w:rPr>
        <w:t xml:space="preserve"> appears on 20</w:t>
      </w:r>
      <w:r w:rsidR="00936CE0" w:rsidRPr="00673D16">
        <w:rPr>
          <w:color w:val="000000"/>
          <w:vertAlign w:val="superscript"/>
          <w:lang w:val="en-IE"/>
        </w:rPr>
        <w:t>th</w:t>
      </w:r>
      <w:r w:rsidR="00936CE0" w:rsidRPr="001C04E1">
        <w:rPr>
          <w:color w:val="000000"/>
          <w:lang w:val="en-IE"/>
        </w:rPr>
        <w:t xml:space="preserve"> February 2013</w:t>
      </w:r>
      <w:r>
        <w:rPr>
          <w:color w:val="000000"/>
          <w:lang w:val="en-IE"/>
        </w:rPr>
        <w:t>. I</w:t>
      </w:r>
      <w:r w:rsidR="00936CE0" w:rsidRPr="001C04E1">
        <w:rPr>
          <w:color w:val="000000"/>
          <w:lang w:val="en-IE"/>
        </w:rPr>
        <w:t>f</w:t>
      </w:r>
      <w:r>
        <w:rPr>
          <w:color w:val="000000"/>
          <w:lang w:val="en-IE"/>
        </w:rPr>
        <w:t xml:space="preserve">, </w:t>
      </w:r>
      <w:r w:rsidR="00936CE0" w:rsidRPr="001C04E1">
        <w:rPr>
          <w:color w:val="000000"/>
          <w:lang w:val="en-IE"/>
        </w:rPr>
        <w:t>as Mr.</w:t>
      </w:r>
      <w:r>
        <w:rPr>
          <w:color w:val="000000"/>
          <w:lang w:val="en-IE"/>
        </w:rPr>
        <w:t xml:space="preserve"> </w:t>
      </w:r>
      <w:proofErr w:type="spellStart"/>
      <w:r>
        <w:rPr>
          <w:color w:val="000000"/>
          <w:lang w:val="en-IE"/>
        </w:rPr>
        <w:t>O’Regan</w:t>
      </w:r>
      <w:proofErr w:type="spellEnd"/>
      <w:r w:rsidR="00936CE0" w:rsidRPr="001C04E1">
        <w:rPr>
          <w:color w:val="000000"/>
          <w:lang w:val="en-IE"/>
        </w:rPr>
        <w:t xml:space="preserve"> alleges</w:t>
      </w:r>
      <w:r>
        <w:rPr>
          <w:color w:val="000000"/>
          <w:lang w:val="en-IE"/>
        </w:rPr>
        <w:t>,</w:t>
      </w:r>
      <w:r w:rsidR="00936CE0" w:rsidRPr="001C04E1">
        <w:rPr>
          <w:color w:val="000000"/>
          <w:lang w:val="en-IE"/>
        </w:rPr>
        <w:t xml:space="preserve"> </w:t>
      </w:r>
      <w:r>
        <w:rPr>
          <w:color w:val="000000"/>
          <w:lang w:val="en-IE"/>
        </w:rPr>
        <w:t>t</w:t>
      </w:r>
      <w:r w:rsidR="00936CE0" w:rsidRPr="001C04E1">
        <w:rPr>
          <w:color w:val="000000"/>
          <w:lang w:val="en-IE"/>
        </w:rPr>
        <w:t>he purchase price for the shares</w:t>
      </w:r>
      <w:r>
        <w:rPr>
          <w:color w:val="000000"/>
          <w:lang w:val="en-IE"/>
        </w:rPr>
        <w:t xml:space="preserve"> w</w:t>
      </w:r>
      <w:r w:rsidR="00A6742B">
        <w:rPr>
          <w:color w:val="000000"/>
          <w:lang w:val="en-IE"/>
        </w:rPr>
        <w:t>as</w:t>
      </w:r>
      <w:r w:rsidR="00936CE0" w:rsidRPr="001C04E1">
        <w:rPr>
          <w:color w:val="000000"/>
          <w:lang w:val="en-IE"/>
        </w:rPr>
        <w:t xml:space="preserve"> somehow misappropriated within the applicant company</w:t>
      </w:r>
      <w:r>
        <w:rPr>
          <w:color w:val="000000"/>
          <w:lang w:val="en-IE"/>
        </w:rPr>
        <w:t>,</w:t>
      </w:r>
      <w:r w:rsidR="00936CE0" w:rsidRPr="001C04E1">
        <w:rPr>
          <w:color w:val="000000"/>
          <w:lang w:val="en-IE"/>
        </w:rPr>
        <w:t xml:space="preserve"> </w:t>
      </w:r>
      <w:r>
        <w:rPr>
          <w:color w:val="000000"/>
          <w:lang w:val="en-IE"/>
        </w:rPr>
        <w:t>t</w:t>
      </w:r>
      <w:r w:rsidR="00936CE0" w:rsidRPr="001C04E1">
        <w:rPr>
          <w:color w:val="000000"/>
          <w:lang w:val="en-IE"/>
        </w:rPr>
        <w:t>hat</w:t>
      </w:r>
      <w:r>
        <w:rPr>
          <w:color w:val="000000"/>
          <w:lang w:val="en-IE"/>
        </w:rPr>
        <w:t xml:space="preserve">, </w:t>
      </w:r>
      <w:r w:rsidR="00936CE0" w:rsidRPr="001C04E1">
        <w:rPr>
          <w:color w:val="000000"/>
          <w:lang w:val="en-IE"/>
        </w:rPr>
        <w:t>in my view</w:t>
      </w:r>
      <w:r>
        <w:rPr>
          <w:color w:val="000000"/>
          <w:lang w:val="en-IE"/>
        </w:rPr>
        <w:t xml:space="preserve">, </w:t>
      </w:r>
      <w:r w:rsidR="00936CE0" w:rsidRPr="001C04E1">
        <w:rPr>
          <w:color w:val="000000"/>
          <w:lang w:val="en-IE"/>
        </w:rPr>
        <w:t>does not alter the evidential position before the court which is that Amber paid the applicant for the purchase of the applicant</w:t>
      </w:r>
      <w:r w:rsidR="0016678B">
        <w:rPr>
          <w:color w:val="000000"/>
          <w:lang w:val="en-IE"/>
        </w:rPr>
        <w:t>’</w:t>
      </w:r>
      <w:r w:rsidR="00936CE0" w:rsidRPr="001C04E1">
        <w:rPr>
          <w:color w:val="000000"/>
          <w:lang w:val="en-IE"/>
        </w:rPr>
        <w:t>s shares in the company.</w:t>
      </w:r>
    </w:p>
    <w:p w14:paraId="4917D8A1" w14:textId="165D96EE" w:rsidR="00721867" w:rsidRPr="00CF58FA" w:rsidRDefault="00721867" w:rsidP="008A391E">
      <w:pPr>
        <w:pStyle w:val="NormalWeb"/>
        <w:numPr>
          <w:ilvl w:val="0"/>
          <w:numId w:val="2"/>
        </w:numPr>
        <w:spacing w:before="0" w:beforeAutospacing="0" w:after="0" w:afterAutospacing="0" w:line="480" w:lineRule="auto"/>
        <w:ind w:left="0" w:firstLine="0"/>
        <w:jc w:val="both"/>
        <w:rPr>
          <w:color w:val="000000"/>
          <w:lang w:val="en-IE"/>
        </w:rPr>
      </w:pPr>
      <w:r w:rsidRPr="00D46EC2">
        <w:rPr>
          <w:color w:val="000000"/>
          <w:lang w:val="en-IE"/>
        </w:rPr>
        <w:t>For clarification</w:t>
      </w:r>
      <w:r>
        <w:rPr>
          <w:color w:val="000000"/>
          <w:lang w:val="en-IE"/>
        </w:rPr>
        <w:t>, i</w:t>
      </w:r>
      <w:r w:rsidRPr="00D46EC2">
        <w:rPr>
          <w:color w:val="000000"/>
          <w:lang w:val="en-IE"/>
        </w:rPr>
        <w:t>t might be noted that I make these observations in circumstances where I have already held</w:t>
      </w:r>
      <w:r>
        <w:rPr>
          <w:color w:val="000000"/>
          <w:lang w:val="en-IE"/>
        </w:rPr>
        <w:t>,</w:t>
      </w:r>
      <w:r w:rsidRPr="00D46EC2">
        <w:rPr>
          <w:color w:val="000000"/>
          <w:lang w:val="en-IE"/>
        </w:rPr>
        <w:t xml:space="preserve"> firstly</w:t>
      </w:r>
      <w:r>
        <w:rPr>
          <w:color w:val="000000"/>
          <w:lang w:val="en-IE"/>
        </w:rPr>
        <w:t>,</w:t>
      </w:r>
      <w:r w:rsidRPr="00D46EC2">
        <w:rPr>
          <w:color w:val="000000"/>
          <w:lang w:val="en-IE"/>
        </w:rPr>
        <w:t xml:space="preserve"> that the protection afforded by the examinership did not preclude the transfer of shares pursuant to clause 11.5 of the shareholders</w:t>
      </w:r>
      <w:r>
        <w:rPr>
          <w:color w:val="000000"/>
          <w:lang w:val="en-IE"/>
        </w:rPr>
        <w:t>’</w:t>
      </w:r>
      <w:r w:rsidRPr="00D46EC2">
        <w:rPr>
          <w:color w:val="000000"/>
          <w:lang w:val="en-IE"/>
        </w:rPr>
        <w:t xml:space="preserve"> agreement during the currency of the examinership and</w:t>
      </w:r>
      <w:r>
        <w:rPr>
          <w:color w:val="000000"/>
          <w:lang w:val="en-IE"/>
        </w:rPr>
        <w:t>, secondly, that</w:t>
      </w:r>
      <w:r w:rsidRPr="00D46EC2">
        <w:rPr>
          <w:color w:val="000000"/>
          <w:lang w:val="en-IE"/>
        </w:rPr>
        <w:t xml:space="preserve"> as payment for the shares </w:t>
      </w:r>
      <w:r>
        <w:rPr>
          <w:color w:val="000000"/>
          <w:lang w:val="en-IE"/>
        </w:rPr>
        <w:t>was by way</w:t>
      </w:r>
      <w:r w:rsidRPr="00D46EC2">
        <w:rPr>
          <w:color w:val="000000"/>
          <w:lang w:val="en-IE"/>
        </w:rPr>
        <w:t xml:space="preserve"> </w:t>
      </w:r>
      <w:r>
        <w:rPr>
          <w:color w:val="000000"/>
          <w:lang w:val="en-IE"/>
        </w:rPr>
        <w:t>of a</w:t>
      </w:r>
      <w:r w:rsidRPr="00D46EC2">
        <w:rPr>
          <w:color w:val="000000"/>
          <w:lang w:val="en-IE"/>
        </w:rPr>
        <w:t xml:space="preserve"> che</w:t>
      </w:r>
      <w:r>
        <w:rPr>
          <w:color w:val="000000"/>
          <w:lang w:val="en-IE"/>
        </w:rPr>
        <w:t>que</w:t>
      </w:r>
      <w:r w:rsidRPr="00D46EC2">
        <w:rPr>
          <w:color w:val="000000"/>
          <w:lang w:val="en-IE"/>
        </w:rPr>
        <w:t xml:space="preserve"> made out to the company and sent to the examiner</w:t>
      </w:r>
      <w:r>
        <w:rPr>
          <w:color w:val="000000"/>
          <w:lang w:val="en-IE"/>
        </w:rPr>
        <w:t xml:space="preserve">, </w:t>
      </w:r>
      <w:r w:rsidRPr="00D46EC2">
        <w:rPr>
          <w:color w:val="000000"/>
          <w:lang w:val="en-IE"/>
        </w:rPr>
        <w:t>that if the proceeds of that che</w:t>
      </w:r>
      <w:r>
        <w:rPr>
          <w:color w:val="000000"/>
          <w:lang w:val="en-IE"/>
        </w:rPr>
        <w:t>que</w:t>
      </w:r>
      <w:r w:rsidRPr="00D46EC2">
        <w:rPr>
          <w:color w:val="000000"/>
          <w:lang w:val="en-IE"/>
        </w:rPr>
        <w:t xml:space="preserve"> w</w:t>
      </w:r>
      <w:r>
        <w:rPr>
          <w:color w:val="000000"/>
          <w:lang w:val="en-IE"/>
        </w:rPr>
        <w:t>ere</w:t>
      </w:r>
      <w:r w:rsidRPr="00D46EC2">
        <w:rPr>
          <w:color w:val="000000"/>
          <w:lang w:val="en-IE"/>
        </w:rPr>
        <w:t xml:space="preserve"> subsequently misappropriated </w:t>
      </w:r>
      <w:r>
        <w:rPr>
          <w:color w:val="000000"/>
          <w:lang w:val="en-IE"/>
        </w:rPr>
        <w:t>(and I make</w:t>
      </w:r>
      <w:r w:rsidRPr="00D46EC2">
        <w:rPr>
          <w:color w:val="000000"/>
          <w:lang w:val="en-IE"/>
        </w:rPr>
        <w:t xml:space="preserve"> no finding </w:t>
      </w:r>
      <w:r w:rsidRPr="00D46EC2">
        <w:rPr>
          <w:color w:val="000000"/>
          <w:lang w:val="en-IE"/>
        </w:rPr>
        <w:lastRenderedPageBreak/>
        <w:t>that they were</w:t>
      </w:r>
      <w:r>
        <w:rPr>
          <w:color w:val="000000"/>
          <w:lang w:val="en-IE"/>
        </w:rPr>
        <w:t xml:space="preserve">) </w:t>
      </w:r>
      <w:r w:rsidRPr="00D46EC2">
        <w:rPr>
          <w:color w:val="000000"/>
          <w:lang w:val="en-IE"/>
        </w:rPr>
        <w:t>that is</w:t>
      </w:r>
      <w:r>
        <w:rPr>
          <w:color w:val="000000"/>
          <w:lang w:val="en-IE"/>
        </w:rPr>
        <w:t xml:space="preserve"> a matter b</w:t>
      </w:r>
      <w:r w:rsidRPr="00D46EC2">
        <w:rPr>
          <w:color w:val="000000"/>
          <w:lang w:val="en-IE"/>
        </w:rPr>
        <w:t>etween the applicant</w:t>
      </w:r>
      <w:r>
        <w:rPr>
          <w:color w:val="000000"/>
          <w:lang w:val="en-IE"/>
        </w:rPr>
        <w:t xml:space="preserve">, </w:t>
      </w:r>
      <w:r w:rsidRPr="00D46EC2">
        <w:rPr>
          <w:color w:val="000000"/>
          <w:lang w:val="en-IE"/>
        </w:rPr>
        <w:t>its former director and the examiner and not a matter which invalidates Amber</w:t>
      </w:r>
      <w:r>
        <w:rPr>
          <w:color w:val="000000"/>
          <w:lang w:val="en-IE"/>
        </w:rPr>
        <w:t>’</w:t>
      </w:r>
      <w:r w:rsidRPr="00D46EC2">
        <w:rPr>
          <w:color w:val="000000"/>
          <w:lang w:val="en-IE"/>
        </w:rPr>
        <w:t>s purchase of the shares pursuant to the s</w:t>
      </w:r>
      <w:r>
        <w:rPr>
          <w:color w:val="000000"/>
          <w:lang w:val="en-IE"/>
        </w:rPr>
        <w:t>aid</w:t>
      </w:r>
      <w:r w:rsidRPr="00D46EC2">
        <w:rPr>
          <w:color w:val="000000"/>
          <w:lang w:val="en-IE"/>
        </w:rPr>
        <w:t xml:space="preserve"> transfer</w:t>
      </w:r>
      <w:r>
        <w:rPr>
          <w:color w:val="000000"/>
          <w:lang w:val="en-IE"/>
        </w:rPr>
        <w:t>.</w:t>
      </w:r>
      <w:r w:rsidRPr="00D46EC2">
        <w:rPr>
          <w:color w:val="000000"/>
          <w:lang w:val="en-IE"/>
        </w:rPr>
        <w:t xml:space="preserve"> </w:t>
      </w:r>
    </w:p>
    <w:p w14:paraId="72A287D8" w14:textId="617927AD" w:rsidR="00A6742B" w:rsidRDefault="0016678B"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Thirdly,</w:t>
      </w:r>
      <w:r w:rsidR="00936CE0" w:rsidRPr="001C04E1">
        <w:rPr>
          <w:color w:val="000000"/>
          <w:lang w:val="en-IE"/>
        </w:rPr>
        <w:t xml:space="preserve"> the applicant contends that the steps necessary to ensure the valid registration of the transfer of the shares </w:t>
      </w:r>
      <w:r>
        <w:rPr>
          <w:color w:val="000000"/>
          <w:lang w:val="en-IE"/>
        </w:rPr>
        <w:t>we</w:t>
      </w:r>
      <w:r w:rsidR="00936CE0" w:rsidRPr="001C04E1">
        <w:rPr>
          <w:color w:val="000000"/>
          <w:lang w:val="en-IE"/>
        </w:rPr>
        <w:t>re not properly taken. Although the applicant points generally to clause 11.7 which provides that the company shall not register any transfer made in breach of the agreement and the shares comprised in any such transfer shall not currently carry any rights until the breach is rectified</w:t>
      </w:r>
      <w:r>
        <w:rPr>
          <w:color w:val="000000"/>
          <w:lang w:val="en-IE"/>
        </w:rPr>
        <w:t xml:space="preserve">, </w:t>
      </w:r>
      <w:r w:rsidR="00936CE0" w:rsidRPr="001C04E1">
        <w:rPr>
          <w:color w:val="000000"/>
          <w:lang w:val="en-IE"/>
        </w:rPr>
        <w:t>as far as I understand the only additional clause of which breach is alleged is clause 11</w:t>
      </w:r>
      <w:r>
        <w:rPr>
          <w:color w:val="000000"/>
          <w:lang w:val="en-IE"/>
        </w:rPr>
        <w:t>.</w:t>
      </w:r>
      <w:r w:rsidR="00936CE0" w:rsidRPr="001C04E1">
        <w:rPr>
          <w:color w:val="000000"/>
          <w:lang w:val="en-IE"/>
        </w:rPr>
        <w:t xml:space="preserve">3.2. This requires that before any </w:t>
      </w:r>
      <w:r>
        <w:rPr>
          <w:color w:val="000000"/>
          <w:lang w:val="en-IE"/>
        </w:rPr>
        <w:t>person</w:t>
      </w:r>
      <w:r w:rsidR="00936CE0" w:rsidRPr="001C04E1">
        <w:rPr>
          <w:color w:val="000000"/>
          <w:lang w:val="en-IE"/>
        </w:rPr>
        <w:t xml:space="preserve"> is registered as the holder of shares in the company, that person </w:t>
      </w:r>
      <w:r>
        <w:rPr>
          <w:color w:val="000000"/>
          <w:lang w:val="en-IE"/>
        </w:rPr>
        <w:t>i</w:t>
      </w:r>
      <w:r w:rsidR="00936CE0" w:rsidRPr="001C04E1">
        <w:rPr>
          <w:color w:val="000000"/>
          <w:lang w:val="en-IE"/>
        </w:rPr>
        <w:t>s to enter into a deed of adherence to the shareholders</w:t>
      </w:r>
      <w:r>
        <w:rPr>
          <w:color w:val="000000"/>
          <w:lang w:val="en-IE"/>
        </w:rPr>
        <w:t>’</w:t>
      </w:r>
      <w:r w:rsidR="00936CE0" w:rsidRPr="001C04E1">
        <w:rPr>
          <w:color w:val="000000"/>
          <w:lang w:val="en-IE"/>
        </w:rPr>
        <w:t xml:space="preserve"> agreeme</w:t>
      </w:r>
      <w:r>
        <w:rPr>
          <w:color w:val="000000"/>
          <w:lang w:val="en-IE"/>
        </w:rPr>
        <w:t>nt. In</w:t>
      </w:r>
      <w:r w:rsidR="00936CE0" w:rsidRPr="001C04E1">
        <w:rPr>
          <w:color w:val="000000"/>
          <w:lang w:val="en-IE"/>
        </w:rPr>
        <w:t xml:space="preserve"> circumstances where the company was set up for the purposes of a joint venture it makes sense that if a third party is coming into the company through the purchase of shares</w:t>
      </w:r>
      <w:r>
        <w:rPr>
          <w:color w:val="000000"/>
          <w:lang w:val="en-IE"/>
        </w:rPr>
        <w:t>,</w:t>
      </w:r>
      <w:r w:rsidR="00936CE0" w:rsidRPr="001C04E1">
        <w:rPr>
          <w:color w:val="000000"/>
          <w:lang w:val="en-IE"/>
        </w:rPr>
        <w:t xml:space="preserve"> that party be required to sign up to the shareholders</w:t>
      </w:r>
      <w:r>
        <w:rPr>
          <w:color w:val="000000"/>
          <w:lang w:val="en-IE"/>
        </w:rPr>
        <w:t>’</w:t>
      </w:r>
      <w:r w:rsidR="00936CE0" w:rsidRPr="001C04E1">
        <w:rPr>
          <w:color w:val="000000"/>
          <w:lang w:val="en-IE"/>
        </w:rPr>
        <w:t xml:space="preserve"> agreement</w:t>
      </w:r>
      <w:r>
        <w:rPr>
          <w:color w:val="000000"/>
          <w:lang w:val="en-IE"/>
        </w:rPr>
        <w:t xml:space="preserve">. </w:t>
      </w:r>
      <w:r w:rsidR="00A6742B">
        <w:rPr>
          <w:color w:val="000000"/>
          <w:lang w:val="en-IE"/>
        </w:rPr>
        <w:t xml:space="preserve">However, the disputed </w:t>
      </w:r>
      <w:r w:rsidR="00936CE0" w:rsidRPr="001C04E1">
        <w:rPr>
          <w:color w:val="000000"/>
          <w:lang w:val="en-IE"/>
        </w:rPr>
        <w:t>transfer was as between the two original parties to the shareholders</w:t>
      </w:r>
      <w:r>
        <w:rPr>
          <w:color w:val="000000"/>
          <w:lang w:val="en-IE"/>
        </w:rPr>
        <w:t>’</w:t>
      </w:r>
      <w:r w:rsidR="00936CE0" w:rsidRPr="001C04E1">
        <w:rPr>
          <w:color w:val="000000"/>
          <w:lang w:val="en-IE"/>
        </w:rPr>
        <w:t xml:space="preserve"> agreement</w:t>
      </w:r>
      <w:r w:rsidR="00A6742B">
        <w:rPr>
          <w:color w:val="000000"/>
          <w:lang w:val="en-IE"/>
        </w:rPr>
        <w:t>.</w:t>
      </w:r>
      <w:r>
        <w:rPr>
          <w:color w:val="000000"/>
          <w:lang w:val="en-IE"/>
        </w:rPr>
        <w:t xml:space="preserve"> </w:t>
      </w:r>
      <w:r w:rsidR="00A6742B">
        <w:rPr>
          <w:color w:val="000000"/>
          <w:lang w:val="en-IE"/>
        </w:rPr>
        <w:t xml:space="preserve">In my view there was no </w:t>
      </w:r>
      <w:r w:rsidR="00936CE0" w:rsidRPr="001C04E1">
        <w:rPr>
          <w:color w:val="000000"/>
          <w:lang w:val="en-IE"/>
        </w:rPr>
        <w:t>additional obligation on Amber arising under clause 11</w:t>
      </w:r>
      <w:r>
        <w:rPr>
          <w:color w:val="000000"/>
          <w:lang w:val="en-IE"/>
        </w:rPr>
        <w:t>.</w:t>
      </w:r>
      <w:r w:rsidR="00936CE0" w:rsidRPr="001C04E1">
        <w:rPr>
          <w:color w:val="000000"/>
          <w:lang w:val="en-IE"/>
        </w:rPr>
        <w:t xml:space="preserve">3.2. </w:t>
      </w:r>
      <w:r w:rsidR="00A6742B">
        <w:rPr>
          <w:color w:val="000000"/>
          <w:lang w:val="en-IE"/>
        </w:rPr>
        <w:t xml:space="preserve">because </w:t>
      </w:r>
      <w:r w:rsidR="00936CE0" w:rsidRPr="001C04E1">
        <w:rPr>
          <w:color w:val="000000"/>
          <w:lang w:val="en-IE"/>
        </w:rPr>
        <w:t>Amber was already a party to the shareholders</w:t>
      </w:r>
      <w:r>
        <w:rPr>
          <w:color w:val="000000"/>
          <w:lang w:val="en-IE"/>
        </w:rPr>
        <w:t>’</w:t>
      </w:r>
      <w:r w:rsidR="00936CE0" w:rsidRPr="001C04E1">
        <w:rPr>
          <w:color w:val="000000"/>
          <w:lang w:val="en-IE"/>
        </w:rPr>
        <w:t xml:space="preserve"> agreement</w:t>
      </w:r>
      <w:r>
        <w:rPr>
          <w:color w:val="000000"/>
          <w:lang w:val="en-IE"/>
        </w:rPr>
        <w:t>.</w:t>
      </w:r>
      <w:r w:rsidR="00936CE0" w:rsidRPr="001C04E1">
        <w:rPr>
          <w:color w:val="000000"/>
          <w:lang w:val="en-IE"/>
        </w:rPr>
        <w:t xml:space="preserve"> </w:t>
      </w:r>
      <w:r>
        <w:rPr>
          <w:color w:val="000000"/>
          <w:lang w:val="en-IE"/>
        </w:rPr>
        <w:t>T</w:t>
      </w:r>
      <w:r w:rsidR="00936CE0" w:rsidRPr="001C04E1">
        <w:rPr>
          <w:color w:val="000000"/>
          <w:lang w:val="en-IE"/>
        </w:rPr>
        <w:t>he effect of the transfer was to increase its shareholding rather than to add a new shareholder</w:t>
      </w:r>
      <w:r>
        <w:rPr>
          <w:color w:val="000000"/>
          <w:lang w:val="en-IE"/>
        </w:rPr>
        <w:t xml:space="preserve">. </w:t>
      </w:r>
    </w:p>
    <w:p w14:paraId="7149BC3C" w14:textId="27D9745D" w:rsidR="0016678B" w:rsidRDefault="0016678B"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w:t>
      </w:r>
      <w:r w:rsidR="00936CE0" w:rsidRPr="0016678B">
        <w:rPr>
          <w:color w:val="000000"/>
          <w:lang w:val="en-IE"/>
        </w:rPr>
        <w:t xml:space="preserve">he point may be of some relevance as regards the transfer between Amber and Otto since </w:t>
      </w:r>
      <w:r>
        <w:rPr>
          <w:color w:val="000000"/>
          <w:lang w:val="en-IE"/>
        </w:rPr>
        <w:t>Otto</w:t>
      </w:r>
      <w:r w:rsidR="00936CE0" w:rsidRPr="0016678B">
        <w:rPr>
          <w:color w:val="000000"/>
          <w:lang w:val="en-IE"/>
        </w:rPr>
        <w:t xml:space="preserve"> is not otherwise a party to the shareholders</w:t>
      </w:r>
      <w:r>
        <w:rPr>
          <w:color w:val="000000"/>
          <w:lang w:val="en-IE"/>
        </w:rPr>
        <w:t>’</w:t>
      </w:r>
      <w:r w:rsidR="00936CE0" w:rsidRPr="0016678B">
        <w:rPr>
          <w:color w:val="000000"/>
          <w:lang w:val="en-IE"/>
        </w:rPr>
        <w:t xml:space="preserve"> agreement</w:t>
      </w:r>
      <w:r>
        <w:rPr>
          <w:color w:val="000000"/>
          <w:lang w:val="en-IE"/>
        </w:rPr>
        <w:t>. H</w:t>
      </w:r>
      <w:r w:rsidR="00936CE0" w:rsidRPr="0016678B">
        <w:rPr>
          <w:color w:val="000000"/>
          <w:lang w:val="en-IE"/>
        </w:rPr>
        <w:t>owever</w:t>
      </w:r>
      <w:r>
        <w:rPr>
          <w:color w:val="000000"/>
          <w:lang w:val="en-IE"/>
        </w:rPr>
        <w:t>,</w:t>
      </w:r>
      <w:r w:rsidR="00936CE0" w:rsidRPr="0016678B">
        <w:rPr>
          <w:color w:val="000000"/>
          <w:lang w:val="en-IE"/>
        </w:rPr>
        <w:t xml:space="preserve"> if the applicant </w:t>
      </w:r>
      <w:proofErr w:type="gramStart"/>
      <w:r w:rsidR="00936CE0" w:rsidRPr="0016678B">
        <w:rPr>
          <w:color w:val="000000"/>
          <w:lang w:val="en-IE"/>
        </w:rPr>
        <w:t>does not succeed</w:t>
      </w:r>
      <w:proofErr w:type="gramEnd"/>
      <w:r w:rsidR="00936CE0" w:rsidRPr="0016678B">
        <w:rPr>
          <w:color w:val="000000"/>
          <w:lang w:val="en-IE"/>
        </w:rPr>
        <w:t xml:space="preserve"> in establishing an entitlement to the disputed share</w:t>
      </w:r>
      <w:r>
        <w:rPr>
          <w:color w:val="000000"/>
          <w:lang w:val="en-IE"/>
        </w:rPr>
        <w:t>s</w:t>
      </w:r>
      <w:r w:rsidR="00A6742B">
        <w:rPr>
          <w:color w:val="000000"/>
          <w:lang w:val="en-IE"/>
        </w:rPr>
        <w:t xml:space="preserve"> through its challenge to the validity of the transfer to Amber</w:t>
      </w:r>
      <w:r>
        <w:rPr>
          <w:color w:val="000000"/>
          <w:lang w:val="en-IE"/>
        </w:rPr>
        <w:t>,</w:t>
      </w:r>
      <w:r w:rsidR="00936CE0" w:rsidRPr="0016678B">
        <w:rPr>
          <w:color w:val="000000"/>
          <w:lang w:val="en-IE"/>
        </w:rPr>
        <w:t xml:space="preserve"> I do not think it has </w:t>
      </w:r>
      <w:r>
        <w:rPr>
          <w:i/>
          <w:iCs/>
          <w:color w:val="000000"/>
          <w:lang w:val="en-IE"/>
        </w:rPr>
        <w:t>locus standi</w:t>
      </w:r>
      <w:r>
        <w:rPr>
          <w:color w:val="000000"/>
          <w:lang w:val="en-IE"/>
        </w:rPr>
        <w:t xml:space="preserve"> </w:t>
      </w:r>
      <w:r w:rsidR="00936CE0" w:rsidRPr="0016678B">
        <w:rPr>
          <w:color w:val="000000"/>
          <w:lang w:val="en-IE"/>
        </w:rPr>
        <w:t>to complain about the adherence or non</w:t>
      </w:r>
      <w:r>
        <w:rPr>
          <w:color w:val="000000"/>
          <w:lang w:val="en-IE"/>
        </w:rPr>
        <w:t>-</w:t>
      </w:r>
      <w:r w:rsidR="00936CE0" w:rsidRPr="0016678B">
        <w:rPr>
          <w:color w:val="000000"/>
          <w:lang w:val="en-IE"/>
        </w:rPr>
        <w:t xml:space="preserve">adherence of </w:t>
      </w:r>
      <w:r>
        <w:rPr>
          <w:color w:val="000000"/>
          <w:lang w:val="en-IE"/>
        </w:rPr>
        <w:t>Otto</w:t>
      </w:r>
      <w:r w:rsidR="00936CE0" w:rsidRPr="0016678B">
        <w:rPr>
          <w:color w:val="000000"/>
          <w:lang w:val="en-IE"/>
        </w:rPr>
        <w:t xml:space="preserve"> to the shareholders</w:t>
      </w:r>
      <w:r>
        <w:rPr>
          <w:color w:val="000000"/>
          <w:lang w:val="en-IE"/>
        </w:rPr>
        <w:t>’</w:t>
      </w:r>
      <w:r w:rsidR="00936CE0" w:rsidRPr="0016678B">
        <w:rPr>
          <w:color w:val="000000"/>
          <w:lang w:val="en-IE"/>
        </w:rPr>
        <w:t xml:space="preserve"> agreement.</w:t>
      </w:r>
    </w:p>
    <w:p w14:paraId="36AF843F" w14:textId="201F5E5E" w:rsidR="00A3062A" w:rsidRDefault="0016678B"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w:t>
      </w:r>
      <w:r w:rsidR="00936CE0" w:rsidRPr="0016678B">
        <w:rPr>
          <w:color w:val="000000"/>
          <w:lang w:val="en-IE"/>
        </w:rPr>
        <w:t>he final complaints made by the applicant alleging a failure to comply with the shareholders</w:t>
      </w:r>
      <w:r>
        <w:rPr>
          <w:color w:val="000000"/>
          <w:lang w:val="en-IE"/>
        </w:rPr>
        <w:t>’</w:t>
      </w:r>
      <w:r w:rsidR="00936CE0" w:rsidRPr="0016678B">
        <w:rPr>
          <w:color w:val="000000"/>
          <w:lang w:val="en-IE"/>
        </w:rPr>
        <w:t xml:space="preserve"> agreement concern the non</w:t>
      </w:r>
      <w:r>
        <w:rPr>
          <w:color w:val="000000"/>
          <w:lang w:val="en-IE"/>
        </w:rPr>
        <w:t>-</w:t>
      </w:r>
      <w:r w:rsidR="00936CE0" w:rsidRPr="0016678B">
        <w:rPr>
          <w:color w:val="000000"/>
          <w:lang w:val="en-IE"/>
        </w:rPr>
        <w:t xml:space="preserve">registration of the transfer of the shares until February 2021. </w:t>
      </w:r>
      <w:r>
        <w:rPr>
          <w:color w:val="000000"/>
          <w:lang w:val="en-IE"/>
        </w:rPr>
        <w:t>I</w:t>
      </w:r>
      <w:r w:rsidR="00936CE0" w:rsidRPr="0016678B">
        <w:rPr>
          <w:color w:val="000000"/>
          <w:lang w:val="en-IE"/>
        </w:rPr>
        <w:t>t seems that</w:t>
      </w:r>
      <w:r w:rsidR="00721867">
        <w:rPr>
          <w:color w:val="000000"/>
          <w:lang w:val="en-IE"/>
        </w:rPr>
        <w:t xml:space="preserve"> </w:t>
      </w:r>
      <w:proofErr w:type="gramStart"/>
      <w:r w:rsidR="00721867">
        <w:rPr>
          <w:color w:val="000000"/>
          <w:lang w:val="en-IE"/>
        </w:rPr>
        <w:t>subsequent to</w:t>
      </w:r>
      <w:proofErr w:type="gramEnd"/>
      <w:r w:rsidR="00721867">
        <w:rPr>
          <w:color w:val="000000"/>
          <w:lang w:val="en-IE"/>
        </w:rPr>
        <w:t xml:space="preserve"> </w:t>
      </w:r>
      <w:r>
        <w:rPr>
          <w:color w:val="000000"/>
          <w:lang w:val="en-IE"/>
        </w:rPr>
        <w:t>the auditor’s</w:t>
      </w:r>
      <w:r w:rsidR="00936CE0" w:rsidRPr="0016678B">
        <w:rPr>
          <w:color w:val="000000"/>
          <w:lang w:val="en-IE"/>
        </w:rPr>
        <w:t xml:space="preserve"> valuation</w:t>
      </w:r>
      <w:r w:rsidR="00A3062A">
        <w:rPr>
          <w:color w:val="000000"/>
          <w:lang w:val="en-IE"/>
        </w:rPr>
        <w:t xml:space="preserve">, </w:t>
      </w:r>
      <w:r w:rsidR="00721867">
        <w:rPr>
          <w:color w:val="000000"/>
          <w:lang w:val="en-IE"/>
        </w:rPr>
        <w:t xml:space="preserve">the </w:t>
      </w:r>
      <w:r w:rsidR="00A3062A">
        <w:rPr>
          <w:color w:val="000000"/>
          <w:lang w:val="en-IE"/>
        </w:rPr>
        <w:t>c</w:t>
      </w:r>
      <w:r w:rsidR="00936CE0" w:rsidRPr="0016678B">
        <w:rPr>
          <w:color w:val="000000"/>
          <w:lang w:val="en-IE"/>
        </w:rPr>
        <w:t>he</w:t>
      </w:r>
      <w:r w:rsidR="00A3062A">
        <w:rPr>
          <w:color w:val="000000"/>
          <w:lang w:val="en-IE"/>
        </w:rPr>
        <w:t>que</w:t>
      </w:r>
      <w:r w:rsidR="00936CE0" w:rsidRPr="0016678B">
        <w:rPr>
          <w:color w:val="000000"/>
          <w:lang w:val="en-IE"/>
        </w:rPr>
        <w:t xml:space="preserve"> and </w:t>
      </w:r>
      <w:r w:rsidR="00721867">
        <w:rPr>
          <w:color w:val="000000"/>
          <w:lang w:val="en-IE"/>
        </w:rPr>
        <w:t xml:space="preserve">the </w:t>
      </w:r>
      <w:r w:rsidR="00936CE0" w:rsidRPr="0016678B">
        <w:rPr>
          <w:color w:val="000000"/>
          <w:lang w:val="en-IE"/>
        </w:rPr>
        <w:t>st</w:t>
      </w:r>
      <w:r w:rsidR="00A3062A">
        <w:rPr>
          <w:color w:val="000000"/>
          <w:lang w:val="en-IE"/>
        </w:rPr>
        <w:t>ock</w:t>
      </w:r>
      <w:r w:rsidR="00936CE0" w:rsidRPr="0016678B">
        <w:rPr>
          <w:color w:val="000000"/>
          <w:lang w:val="en-IE"/>
        </w:rPr>
        <w:t xml:space="preserve"> transfer </w:t>
      </w:r>
      <w:proofErr w:type="spellStart"/>
      <w:r w:rsidR="00936CE0" w:rsidRPr="0016678B">
        <w:rPr>
          <w:color w:val="000000"/>
          <w:lang w:val="en-IE"/>
        </w:rPr>
        <w:t>form</w:t>
      </w:r>
      <w:proofErr w:type="spellEnd"/>
      <w:r w:rsidR="00936CE0" w:rsidRPr="0016678B">
        <w:rPr>
          <w:color w:val="000000"/>
          <w:lang w:val="en-IE"/>
        </w:rPr>
        <w:t xml:space="preserve"> being sent to the examiner</w:t>
      </w:r>
      <w:r w:rsidR="00721867">
        <w:rPr>
          <w:color w:val="000000"/>
          <w:lang w:val="en-IE"/>
        </w:rPr>
        <w:t>,</w:t>
      </w:r>
      <w:r w:rsidR="00936CE0" w:rsidRPr="0016678B">
        <w:rPr>
          <w:color w:val="000000"/>
          <w:lang w:val="en-IE"/>
        </w:rPr>
        <w:t xml:space="preserve"> </w:t>
      </w:r>
      <w:r w:rsidR="00936CE0" w:rsidRPr="0016678B">
        <w:rPr>
          <w:color w:val="000000"/>
          <w:lang w:val="en-IE"/>
        </w:rPr>
        <w:lastRenderedPageBreak/>
        <w:t>that the che</w:t>
      </w:r>
      <w:r w:rsidR="00A3062A">
        <w:rPr>
          <w:color w:val="000000"/>
          <w:lang w:val="en-IE"/>
        </w:rPr>
        <w:t>que</w:t>
      </w:r>
      <w:r w:rsidR="00936CE0" w:rsidRPr="0016678B">
        <w:rPr>
          <w:color w:val="000000"/>
          <w:lang w:val="en-IE"/>
        </w:rPr>
        <w:t xml:space="preserve"> was l</w:t>
      </w:r>
      <w:r w:rsidR="00A3062A">
        <w:rPr>
          <w:color w:val="000000"/>
          <w:lang w:val="en-IE"/>
        </w:rPr>
        <w:t>odge</w:t>
      </w:r>
      <w:r w:rsidR="00936CE0" w:rsidRPr="0016678B">
        <w:rPr>
          <w:color w:val="000000"/>
          <w:lang w:val="en-IE"/>
        </w:rPr>
        <w:t>d on 20</w:t>
      </w:r>
      <w:r w:rsidR="00A3062A" w:rsidRPr="00A3062A">
        <w:rPr>
          <w:color w:val="000000"/>
          <w:vertAlign w:val="superscript"/>
          <w:lang w:val="en-IE"/>
        </w:rPr>
        <w:t>th</w:t>
      </w:r>
      <w:r w:rsidR="00A3062A">
        <w:rPr>
          <w:color w:val="000000"/>
          <w:lang w:val="en-IE"/>
        </w:rPr>
        <w:t xml:space="preserve"> </w:t>
      </w:r>
      <w:r w:rsidR="00936CE0" w:rsidRPr="0016678B">
        <w:rPr>
          <w:color w:val="000000"/>
          <w:lang w:val="en-IE"/>
        </w:rPr>
        <w:t>February 201</w:t>
      </w:r>
      <w:r w:rsidR="00A3062A">
        <w:rPr>
          <w:color w:val="000000"/>
          <w:lang w:val="en-IE"/>
        </w:rPr>
        <w:t>3 a</w:t>
      </w:r>
      <w:r w:rsidR="00936CE0" w:rsidRPr="0016678B">
        <w:rPr>
          <w:color w:val="000000"/>
          <w:lang w:val="en-IE"/>
        </w:rPr>
        <w:t>nd the completed stock transfer form was returned to Amber</w:t>
      </w:r>
      <w:r w:rsidR="00A3062A">
        <w:rPr>
          <w:color w:val="000000"/>
          <w:lang w:val="en-IE"/>
        </w:rPr>
        <w:t>’</w:t>
      </w:r>
      <w:r w:rsidR="00936CE0" w:rsidRPr="0016678B">
        <w:rPr>
          <w:color w:val="000000"/>
          <w:lang w:val="en-IE"/>
        </w:rPr>
        <w:t>s then</w:t>
      </w:r>
      <w:r w:rsidR="00A3062A">
        <w:rPr>
          <w:color w:val="000000"/>
          <w:lang w:val="en-IE"/>
        </w:rPr>
        <w:t>-</w:t>
      </w:r>
      <w:r w:rsidR="00936CE0" w:rsidRPr="0016678B">
        <w:rPr>
          <w:color w:val="000000"/>
          <w:lang w:val="en-IE"/>
        </w:rPr>
        <w:t>solicitor.</w:t>
      </w:r>
      <w:r w:rsidR="00A3062A">
        <w:rPr>
          <w:color w:val="000000"/>
          <w:lang w:val="en-IE"/>
        </w:rPr>
        <w:t xml:space="preserve"> </w:t>
      </w:r>
      <w:r w:rsidR="00936CE0" w:rsidRPr="00A3062A">
        <w:rPr>
          <w:color w:val="000000"/>
          <w:lang w:val="en-IE"/>
        </w:rPr>
        <w:t>The stock transfer form</w:t>
      </w:r>
      <w:r w:rsidR="00A3062A">
        <w:rPr>
          <w:color w:val="000000"/>
          <w:lang w:val="en-IE"/>
        </w:rPr>
        <w:t>,</w:t>
      </w:r>
      <w:r w:rsidR="00936CE0" w:rsidRPr="00A3062A">
        <w:rPr>
          <w:color w:val="000000"/>
          <w:lang w:val="en-IE"/>
        </w:rPr>
        <w:t xml:space="preserve"> although signed by a director of the applicant</w:t>
      </w:r>
      <w:r w:rsidR="00A3062A">
        <w:rPr>
          <w:color w:val="000000"/>
          <w:lang w:val="en-IE"/>
        </w:rPr>
        <w:t>,</w:t>
      </w:r>
      <w:r w:rsidR="00936CE0" w:rsidRPr="00A3062A">
        <w:rPr>
          <w:color w:val="000000"/>
          <w:lang w:val="en-IE"/>
        </w:rPr>
        <w:t xml:space="preserve"> is </w:t>
      </w:r>
      <w:r w:rsidR="00A3062A">
        <w:rPr>
          <w:color w:val="000000"/>
          <w:lang w:val="en-IE"/>
        </w:rPr>
        <w:t>undated</w:t>
      </w:r>
      <w:r w:rsidR="00936CE0" w:rsidRPr="00A3062A">
        <w:rPr>
          <w:color w:val="000000"/>
          <w:lang w:val="en-IE"/>
        </w:rPr>
        <w:t>. The applicant initially complained that the stock transfer form had not been properly executed</w:t>
      </w:r>
      <w:r w:rsidR="00A3062A">
        <w:rPr>
          <w:color w:val="000000"/>
          <w:lang w:val="en-IE"/>
        </w:rPr>
        <w:t xml:space="preserve"> b</w:t>
      </w:r>
      <w:r w:rsidR="00936CE0" w:rsidRPr="00A3062A">
        <w:rPr>
          <w:color w:val="000000"/>
          <w:lang w:val="en-IE"/>
        </w:rPr>
        <w:t xml:space="preserve">ut this was not something </w:t>
      </w:r>
      <w:r w:rsidR="00A3062A">
        <w:rPr>
          <w:color w:val="000000"/>
          <w:lang w:val="en-IE"/>
        </w:rPr>
        <w:t>e</w:t>
      </w:r>
      <w:r w:rsidR="00936CE0" w:rsidRPr="00A3062A">
        <w:rPr>
          <w:color w:val="000000"/>
          <w:lang w:val="en-IE"/>
        </w:rPr>
        <w:t>laborated on at the hearing. It was unclear whether the applicant was making a complaint as regards the f</w:t>
      </w:r>
      <w:r w:rsidR="00A3062A">
        <w:rPr>
          <w:color w:val="000000"/>
          <w:lang w:val="en-IE"/>
        </w:rPr>
        <w:t>orm</w:t>
      </w:r>
      <w:r w:rsidR="00936CE0" w:rsidRPr="00A3062A">
        <w:rPr>
          <w:color w:val="000000"/>
          <w:lang w:val="en-IE"/>
        </w:rPr>
        <w:t>al execution of the stock transfer form as distinct from the more general complaint</w:t>
      </w:r>
      <w:r w:rsidR="00A3062A">
        <w:rPr>
          <w:color w:val="000000"/>
          <w:lang w:val="en-IE"/>
        </w:rPr>
        <w:t xml:space="preserve">, </w:t>
      </w:r>
      <w:r w:rsidR="00936CE0" w:rsidRPr="00A3062A">
        <w:rPr>
          <w:color w:val="000000"/>
          <w:lang w:val="en-IE"/>
        </w:rPr>
        <w:t>which I have not accepted</w:t>
      </w:r>
      <w:r w:rsidR="00A3062A">
        <w:rPr>
          <w:color w:val="000000"/>
          <w:lang w:val="en-IE"/>
        </w:rPr>
        <w:t>,</w:t>
      </w:r>
      <w:r w:rsidR="00936CE0" w:rsidRPr="00A3062A">
        <w:rPr>
          <w:color w:val="000000"/>
          <w:lang w:val="en-IE"/>
        </w:rPr>
        <w:t xml:space="preserve"> that no transfer of shares could take place during the period </w:t>
      </w:r>
      <w:r w:rsidR="00A3062A">
        <w:rPr>
          <w:color w:val="000000"/>
          <w:lang w:val="en-IE"/>
        </w:rPr>
        <w:t>whilst</w:t>
      </w:r>
      <w:r w:rsidR="00936CE0" w:rsidRPr="00A3062A">
        <w:rPr>
          <w:color w:val="000000"/>
          <w:lang w:val="en-IE"/>
        </w:rPr>
        <w:t xml:space="preserve"> the applicant was under the protection of the High Court in the examinership.</w:t>
      </w:r>
    </w:p>
    <w:p w14:paraId="1F652455" w14:textId="0E450670" w:rsidR="00A3062A" w:rsidRDefault="00A3062A"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S</w:t>
      </w:r>
      <w:r w:rsidR="00936CE0" w:rsidRPr="00A3062A">
        <w:rPr>
          <w:color w:val="000000"/>
          <w:lang w:val="en-IE"/>
        </w:rPr>
        <w:t>ignificantly</w:t>
      </w:r>
      <w:r>
        <w:rPr>
          <w:color w:val="000000"/>
          <w:lang w:val="en-IE"/>
        </w:rPr>
        <w:t>,</w:t>
      </w:r>
      <w:r w:rsidR="00936CE0" w:rsidRPr="00A3062A">
        <w:rPr>
          <w:color w:val="000000"/>
          <w:lang w:val="en-IE"/>
        </w:rPr>
        <w:t xml:space="preserve"> it seems that Amber</w:t>
      </w:r>
      <w:r>
        <w:rPr>
          <w:color w:val="000000"/>
          <w:lang w:val="en-IE"/>
        </w:rPr>
        <w:t>’</w:t>
      </w:r>
      <w:r w:rsidR="00936CE0" w:rsidRPr="00A3062A">
        <w:rPr>
          <w:color w:val="000000"/>
          <w:lang w:val="en-IE"/>
        </w:rPr>
        <w:t xml:space="preserve">s </w:t>
      </w:r>
      <w:r>
        <w:rPr>
          <w:color w:val="000000"/>
          <w:lang w:val="en-IE"/>
        </w:rPr>
        <w:t xml:space="preserve">then-solicitor </w:t>
      </w:r>
      <w:r w:rsidR="00936CE0" w:rsidRPr="00A3062A">
        <w:rPr>
          <w:color w:val="000000"/>
          <w:lang w:val="en-IE"/>
        </w:rPr>
        <w:t>did not forward the completed stock transfer form to Amber nor to the company and</w:t>
      </w:r>
      <w:r>
        <w:rPr>
          <w:color w:val="000000"/>
          <w:lang w:val="en-IE"/>
        </w:rPr>
        <w:t>,</w:t>
      </w:r>
      <w:r w:rsidR="00936CE0" w:rsidRPr="00A3062A">
        <w:rPr>
          <w:color w:val="000000"/>
          <w:lang w:val="en-IE"/>
        </w:rPr>
        <w:t xml:space="preserve"> consequentl</w:t>
      </w:r>
      <w:r>
        <w:rPr>
          <w:color w:val="000000"/>
          <w:lang w:val="en-IE"/>
        </w:rPr>
        <w:t>y, the</w:t>
      </w:r>
      <w:r w:rsidR="00936CE0" w:rsidRPr="00A3062A">
        <w:rPr>
          <w:color w:val="000000"/>
          <w:lang w:val="en-IE"/>
        </w:rPr>
        <w:t xml:space="preserve"> transfer of shares reflected therein was not recorded on the register of members of the company. As a further consequence, the auditors continued to prepare annual returns for the </w:t>
      </w:r>
      <w:r>
        <w:rPr>
          <w:color w:val="000000"/>
          <w:lang w:val="en-IE"/>
        </w:rPr>
        <w:t xml:space="preserve">CRO without </w:t>
      </w:r>
      <w:r w:rsidR="00936CE0" w:rsidRPr="00A3062A">
        <w:rPr>
          <w:color w:val="000000"/>
          <w:lang w:val="en-IE"/>
        </w:rPr>
        <w:t xml:space="preserve">taking account of the transfer and the directors continued to sign those returns. It is in many respects bizarre that having put </w:t>
      </w:r>
      <w:r w:rsidR="00721867" w:rsidRPr="00A3062A">
        <w:rPr>
          <w:color w:val="000000"/>
          <w:lang w:val="en-IE"/>
        </w:rPr>
        <w:t xml:space="preserve">in train </w:t>
      </w:r>
      <w:r w:rsidR="00936CE0" w:rsidRPr="00A3062A">
        <w:rPr>
          <w:color w:val="000000"/>
          <w:lang w:val="en-IE"/>
        </w:rPr>
        <w:t xml:space="preserve">the process under clause 11.5 </w:t>
      </w:r>
      <w:proofErr w:type="gramStart"/>
      <w:r w:rsidR="00936CE0" w:rsidRPr="00A3062A">
        <w:rPr>
          <w:color w:val="000000"/>
          <w:lang w:val="en-IE"/>
        </w:rPr>
        <w:t>in order to</w:t>
      </w:r>
      <w:proofErr w:type="gramEnd"/>
      <w:r w:rsidR="00936CE0" w:rsidRPr="00A3062A">
        <w:rPr>
          <w:color w:val="000000"/>
          <w:lang w:val="en-IE"/>
        </w:rPr>
        <w:t xml:space="preserve"> acquire the applicant</w:t>
      </w:r>
      <w:r>
        <w:rPr>
          <w:color w:val="000000"/>
          <w:lang w:val="en-IE"/>
        </w:rPr>
        <w:t>’s</w:t>
      </w:r>
      <w:r w:rsidR="00936CE0" w:rsidRPr="00A3062A">
        <w:rPr>
          <w:color w:val="000000"/>
          <w:lang w:val="en-IE"/>
        </w:rPr>
        <w:t xml:space="preserve"> shares and having ostensibly achieved that objectiv</w:t>
      </w:r>
      <w:r>
        <w:rPr>
          <w:color w:val="000000"/>
          <w:lang w:val="en-IE"/>
        </w:rPr>
        <w:t>e, Amb</w:t>
      </w:r>
      <w:r w:rsidR="00936CE0" w:rsidRPr="00A3062A">
        <w:rPr>
          <w:color w:val="000000"/>
          <w:lang w:val="en-IE"/>
        </w:rPr>
        <w:t>er did not then either take the f</w:t>
      </w:r>
      <w:r>
        <w:rPr>
          <w:color w:val="000000"/>
          <w:lang w:val="en-IE"/>
        </w:rPr>
        <w:t xml:space="preserve">ormal </w:t>
      </w:r>
      <w:r w:rsidR="00936CE0" w:rsidRPr="00A3062A">
        <w:rPr>
          <w:color w:val="000000"/>
          <w:lang w:val="en-IE"/>
        </w:rPr>
        <w:t>steps necessary to complete the transaction or tr</w:t>
      </w:r>
      <w:r>
        <w:rPr>
          <w:color w:val="000000"/>
          <w:lang w:val="en-IE"/>
        </w:rPr>
        <w:t>eat</w:t>
      </w:r>
      <w:r w:rsidR="00936CE0" w:rsidRPr="00A3062A">
        <w:rPr>
          <w:color w:val="000000"/>
          <w:lang w:val="en-IE"/>
        </w:rPr>
        <w:t xml:space="preserve"> itself as the owner of those shares</w:t>
      </w:r>
      <w:r>
        <w:rPr>
          <w:color w:val="000000"/>
          <w:lang w:val="en-IE"/>
        </w:rPr>
        <w:t>. I</w:t>
      </w:r>
      <w:r w:rsidR="00936CE0" w:rsidRPr="00A3062A">
        <w:rPr>
          <w:color w:val="000000"/>
          <w:lang w:val="en-IE"/>
        </w:rPr>
        <w:t>ndeed</w:t>
      </w:r>
      <w:r>
        <w:rPr>
          <w:color w:val="000000"/>
          <w:lang w:val="en-IE"/>
        </w:rPr>
        <w:t xml:space="preserve">, </w:t>
      </w:r>
      <w:r w:rsidR="00936CE0" w:rsidRPr="00A3062A">
        <w:rPr>
          <w:color w:val="000000"/>
          <w:lang w:val="en-IE"/>
        </w:rPr>
        <w:t xml:space="preserve">the actions taken by </w:t>
      </w:r>
      <w:r>
        <w:rPr>
          <w:color w:val="000000"/>
          <w:lang w:val="en-IE"/>
        </w:rPr>
        <w:t>A</w:t>
      </w:r>
      <w:r w:rsidR="00936CE0" w:rsidRPr="00A3062A">
        <w:rPr>
          <w:color w:val="000000"/>
          <w:lang w:val="en-IE"/>
        </w:rPr>
        <w:t>mber in 2015</w:t>
      </w:r>
      <w:r>
        <w:rPr>
          <w:color w:val="000000"/>
          <w:lang w:val="en-IE"/>
        </w:rPr>
        <w:t xml:space="preserve"> a</w:t>
      </w:r>
      <w:r w:rsidR="00936CE0" w:rsidRPr="00A3062A">
        <w:rPr>
          <w:color w:val="000000"/>
          <w:lang w:val="en-IE"/>
        </w:rPr>
        <w:t>nd the correspondence prior to February 2021 suggests that the transfer of shares had</w:t>
      </w:r>
      <w:r>
        <w:rPr>
          <w:color w:val="000000"/>
          <w:lang w:val="en-IE"/>
        </w:rPr>
        <w:t>,</w:t>
      </w:r>
      <w:r w:rsidR="00936CE0" w:rsidRPr="00A3062A">
        <w:rPr>
          <w:color w:val="000000"/>
          <w:lang w:val="en-IE"/>
        </w:rPr>
        <w:t xml:space="preserve"> for practical purposes</w:t>
      </w:r>
      <w:r>
        <w:rPr>
          <w:color w:val="000000"/>
          <w:lang w:val="en-IE"/>
        </w:rPr>
        <w:t>,</w:t>
      </w:r>
      <w:r w:rsidR="00936CE0" w:rsidRPr="00A3062A">
        <w:rPr>
          <w:color w:val="000000"/>
          <w:lang w:val="en-IE"/>
        </w:rPr>
        <w:t xml:space="preserve"> been forgotten by Amber</w:t>
      </w:r>
      <w:r>
        <w:rPr>
          <w:color w:val="000000"/>
          <w:lang w:val="en-IE"/>
        </w:rPr>
        <w:t>.</w:t>
      </w:r>
    </w:p>
    <w:p w14:paraId="2373B2FC" w14:textId="6E73F95D" w:rsidR="00A3062A" w:rsidRDefault="00A3062A"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That said,</w:t>
      </w:r>
      <w:r w:rsidR="00936CE0" w:rsidRPr="00A3062A">
        <w:rPr>
          <w:color w:val="000000"/>
          <w:lang w:val="en-IE"/>
        </w:rPr>
        <w:t xml:space="preserve"> </w:t>
      </w:r>
      <w:r>
        <w:rPr>
          <w:color w:val="000000"/>
          <w:lang w:val="en-IE"/>
        </w:rPr>
        <w:t xml:space="preserve">the </w:t>
      </w:r>
      <w:r w:rsidR="00936CE0" w:rsidRPr="00A3062A">
        <w:rPr>
          <w:color w:val="000000"/>
          <w:lang w:val="en-IE"/>
        </w:rPr>
        <w:t>applicant has not pointed to any statutory provision or rule of law which would preclude the court recogni</w:t>
      </w:r>
      <w:r>
        <w:rPr>
          <w:color w:val="000000"/>
          <w:lang w:val="en-IE"/>
        </w:rPr>
        <w:t>s</w:t>
      </w:r>
      <w:r w:rsidR="00936CE0" w:rsidRPr="00A3062A">
        <w:rPr>
          <w:color w:val="000000"/>
          <w:lang w:val="en-IE"/>
        </w:rPr>
        <w:t xml:space="preserve">ing the transfer of its shares to </w:t>
      </w:r>
      <w:r>
        <w:rPr>
          <w:color w:val="000000"/>
          <w:lang w:val="en-IE"/>
        </w:rPr>
        <w:t>A</w:t>
      </w:r>
      <w:r w:rsidR="00936CE0" w:rsidRPr="00A3062A">
        <w:rPr>
          <w:color w:val="000000"/>
          <w:lang w:val="en-IE"/>
        </w:rPr>
        <w:t xml:space="preserve">mber solely because of </w:t>
      </w:r>
      <w:r w:rsidR="00721867">
        <w:rPr>
          <w:color w:val="000000"/>
          <w:lang w:val="en-IE"/>
        </w:rPr>
        <w:t xml:space="preserve">an </w:t>
      </w:r>
      <w:r w:rsidR="00936CE0" w:rsidRPr="00A3062A">
        <w:rPr>
          <w:color w:val="000000"/>
          <w:lang w:val="en-IE"/>
        </w:rPr>
        <w:t xml:space="preserve">interval of nearly eight years between the date of the transfer and the date upon which the transfer </w:t>
      </w:r>
      <w:r w:rsidR="00721867">
        <w:rPr>
          <w:color w:val="000000"/>
          <w:lang w:val="en-IE"/>
        </w:rPr>
        <w:t>wa</w:t>
      </w:r>
      <w:r w:rsidR="00936CE0" w:rsidRPr="00A3062A">
        <w:rPr>
          <w:color w:val="000000"/>
          <w:lang w:val="en-IE"/>
        </w:rPr>
        <w:t xml:space="preserve">s registered. </w:t>
      </w:r>
      <w:r>
        <w:rPr>
          <w:color w:val="000000"/>
          <w:lang w:val="en-IE"/>
        </w:rPr>
        <w:t>I</w:t>
      </w:r>
      <w:r w:rsidR="00936CE0" w:rsidRPr="00A3062A">
        <w:rPr>
          <w:color w:val="000000"/>
          <w:lang w:val="en-IE"/>
        </w:rPr>
        <w:t>n circumstances where the evidence suggest</w:t>
      </w:r>
      <w:r>
        <w:rPr>
          <w:color w:val="000000"/>
          <w:lang w:val="en-IE"/>
        </w:rPr>
        <w:t>s</w:t>
      </w:r>
      <w:r w:rsidR="00936CE0" w:rsidRPr="00A3062A">
        <w:rPr>
          <w:color w:val="000000"/>
          <w:lang w:val="en-IE"/>
        </w:rPr>
        <w:t xml:space="preserve"> that a completed transfer form was not sent by Amber</w:t>
      </w:r>
      <w:r>
        <w:rPr>
          <w:color w:val="000000"/>
          <w:lang w:val="en-IE"/>
        </w:rPr>
        <w:t>’</w:t>
      </w:r>
      <w:r w:rsidR="00936CE0" w:rsidRPr="00A3062A">
        <w:rPr>
          <w:color w:val="000000"/>
          <w:lang w:val="en-IE"/>
        </w:rPr>
        <w:t>s then</w:t>
      </w:r>
      <w:r>
        <w:rPr>
          <w:color w:val="000000"/>
          <w:lang w:val="en-IE"/>
        </w:rPr>
        <w:t>-</w:t>
      </w:r>
      <w:r w:rsidR="00936CE0" w:rsidRPr="00A3062A">
        <w:rPr>
          <w:color w:val="000000"/>
          <w:lang w:val="en-IE"/>
        </w:rPr>
        <w:t>solicitor to the company</w:t>
      </w:r>
      <w:r>
        <w:rPr>
          <w:color w:val="000000"/>
          <w:lang w:val="en-IE"/>
        </w:rPr>
        <w:t>,</w:t>
      </w:r>
      <w:r w:rsidR="00936CE0" w:rsidRPr="00A3062A">
        <w:rPr>
          <w:color w:val="000000"/>
          <w:lang w:val="en-IE"/>
        </w:rPr>
        <w:t xml:space="preserve"> </w:t>
      </w:r>
      <w:r>
        <w:rPr>
          <w:color w:val="000000"/>
          <w:lang w:val="en-IE"/>
        </w:rPr>
        <w:t>t</w:t>
      </w:r>
      <w:r w:rsidR="00936CE0" w:rsidRPr="00A3062A">
        <w:rPr>
          <w:color w:val="000000"/>
          <w:lang w:val="en-IE"/>
        </w:rPr>
        <w:t>here is no basis for treating the non</w:t>
      </w:r>
      <w:r>
        <w:rPr>
          <w:color w:val="000000"/>
          <w:lang w:val="en-IE"/>
        </w:rPr>
        <w:t>-</w:t>
      </w:r>
      <w:r w:rsidR="00936CE0" w:rsidRPr="00A3062A">
        <w:rPr>
          <w:color w:val="000000"/>
          <w:lang w:val="en-IE"/>
        </w:rPr>
        <w:t>registration of the transfer by the company as a refusal to register the transfer of the shares under clause 11.4. The reality is that the directors of the company were not asked to register the transfer of the shares until 2021 and</w:t>
      </w:r>
      <w:r>
        <w:rPr>
          <w:color w:val="000000"/>
          <w:lang w:val="en-IE"/>
        </w:rPr>
        <w:t>,</w:t>
      </w:r>
      <w:r w:rsidR="00936CE0" w:rsidRPr="00A3062A">
        <w:rPr>
          <w:color w:val="000000"/>
          <w:lang w:val="en-IE"/>
        </w:rPr>
        <w:t xml:space="preserve"> when asked</w:t>
      </w:r>
      <w:r>
        <w:rPr>
          <w:color w:val="000000"/>
          <w:lang w:val="en-IE"/>
        </w:rPr>
        <w:t>, t</w:t>
      </w:r>
      <w:r w:rsidR="00936CE0" w:rsidRPr="00A3062A">
        <w:rPr>
          <w:color w:val="000000"/>
          <w:lang w:val="en-IE"/>
        </w:rPr>
        <w:t>hey did so</w:t>
      </w:r>
      <w:r>
        <w:rPr>
          <w:color w:val="000000"/>
          <w:lang w:val="en-IE"/>
        </w:rPr>
        <w:t>.</w:t>
      </w:r>
      <w:r w:rsidR="00721867">
        <w:rPr>
          <w:color w:val="000000"/>
          <w:lang w:val="en-IE"/>
        </w:rPr>
        <w:t xml:space="preserve">  </w:t>
      </w:r>
    </w:p>
    <w:p w14:paraId="78C04F8F" w14:textId="72324DFB" w:rsidR="00D46EC2" w:rsidRDefault="00721867"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lastRenderedPageBreak/>
        <w:t xml:space="preserve">Apart from the fact that I have not upheld the specific complaints made by the applicant, </w:t>
      </w:r>
      <w:r w:rsidRPr="00A3062A">
        <w:rPr>
          <w:color w:val="000000"/>
          <w:lang w:val="en-IE"/>
        </w:rPr>
        <w:t>in my view</w:t>
      </w:r>
      <w:r w:rsidDel="00721867">
        <w:rPr>
          <w:color w:val="000000"/>
          <w:lang w:val="en-IE"/>
        </w:rPr>
        <w:t xml:space="preserve"> </w:t>
      </w:r>
      <w:r>
        <w:rPr>
          <w:color w:val="000000"/>
          <w:lang w:val="en-IE"/>
        </w:rPr>
        <w:t>t</w:t>
      </w:r>
      <w:r w:rsidR="00936CE0" w:rsidRPr="00A3062A">
        <w:rPr>
          <w:color w:val="000000"/>
          <w:lang w:val="en-IE"/>
        </w:rPr>
        <w:t>he applicant</w:t>
      </w:r>
      <w:r w:rsidR="00A3062A">
        <w:rPr>
          <w:color w:val="000000"/>
          <w:lang w:val="en-IE"/>
        </w:rPr>
        <w:t>’</w:t>
      </w:r>
      <w:r w:rsidR="00936CE0" w:rsidRPr="00A3062A">
        <w:rPr>
          <w:color w:val="000000"/>
          <w:lang w:val="en-IE"/>
        </w:rPr>
        <w:t>s reliance on clause 11.7 which precludes the company from registering a transfer made in breach of the shareholders</w:t>
      </w:r>
      <w:r w:rsidR="00A3062A">
        <w:rPr>
          <w:color w:val="000000"/>
          <w:lang w:val="en-IE"/>
        </w:rPr>
        <w:t>’</w:t>
      </w:r>
      <w:r w:rsidR="00936CE0" w:rsidRPr="00A3062A">
        <w:rPr>
          <w:color w:val="000000"/>
          <w:lang w:val="en-IE"/>
        </w:rPr>
        <w:t xml:space="preserve"> agreement until the breach is rectified</w:t>
      </w:r>
      <w:r w:rsidR="00A3062A">
        <w:rPr>
          <w:color w:val="000000"/>
          <w:lang w:val="en-IE"/>
        </w:rPr>
        <w:t xml:space="preserve"> </w:t>
      </w:r>
      <w:r w:rsidR="00936CE0" w:rsidRPr="00A3062A">
        <w:rPr>
          <w:color w:val="000000"/>
          <w:lang w:val="en-IE"/>
        </w:rPr>
        <w:t>is misplaced</w:t>
      </w:r>
      <w:r w:rsidR="00A3062A">
        <w:rPr>
          <w:color w:val="000000"/>
          <w:lang w:val="en-IE"/>
        </w:rPr>
        <w:t>.</w:t>
      </w:r>
      <w:r w:rsidR="00936CE0" w:rsidRPr="00A3062A">
        <w:rPr>
          <w:color w:val="000000"/>
          <w:lang w:val="en-IE"/>
        </w:rPr>
        <w:t xml:space="preserve"> </w:t>
      </w:r>
      <w:r w:rsidR="00A3062A">
        <w:rPr>
          <w:color w:val="000000"/>
          <w:lang w:val="en-IE"/>
        </w:rPr>
        <w:t>U</w:t>
      </w:r>
      <w:r w:rsidR="00936CE0" w:rsidRPr="00A3062A">
        <w:rPr>
          <w:color w:val="000000"/>
          <w:lang w:val="en-IE"/>
        </w:rPr>
        <w:t>nder clause 11.7</w:t>
      </w:r>
      <w:r w:rsidR="00A3062A">
        <w:rPr>
          <w:color w:val="000000"/>
          <w:lang w:val="en-IE"/>
        </w:rPr>
        <w:t>,</w:t>
      </w:r>
      <w:r w:rsidR="00936CE0" w:rsidRPr="00A3062A">
        <w:rPr>
          <w:color w:val="000000"/>
          <w:lang w:val="en-IE"/>
        </w:rPr>
        <w:t xml:space="preserve"> </w:t>
      </w:r>
      <w:r w:rsidR="00A3062A">
        <w:rPr>
          <w:color w:val="000000"/>
          <w:lang w:val="en-IE"/>
        </w:rPr>
        <w:t>t</w:t>
      </w:r>
      <w:r w:rsidR="00936CE0" w:rsidRPr="00A3062A">
        <w:rPr>
          <w:color w:val="000000"/>
          <w:lang w:val="en-IE"/>
        </w:rPr>
        <w:t>he consequence of non</w:t>
      </w:r>
      <w:r w:rsidR="00A3062A">
        <w:rPr>
          <w:color w:val="000000"/>
          <w:lang w:val="en-IE"/>
        </w:rPr>
        <w:t>-r</w:t>
      </w:r>
      <w:r w:rsidR="00936CE0" w:rsidRPr="00A3062A">
        <w:rPr>
          <w:color w:val="000000"/>
          <w:lang w:val="en-IE"/>
        </w:rPr>
        <w:t xml:space="preserve">egistration is that the shares comprised in the unregistered transfer </w:t>
      </w:r>
      <w:r w:rsidR="00A3062A" w:rsidRPr="00A3062A">
        <w:rPr>
          <w:i/>
          <w:iCs/>
          <w:color w:val="000000"/>
          <w:lang w:val="en-IE"/>
        </w:rPr>
        <w:t>“</w:t>
      </w:r>
      <w:r w:rsidR="00936CE0" w:rsidRPr="00A3062A">
        <w:rPr>
          <w:i/>
          <w:iCs/>
          <w:color w:val="000000"/>
          <w:lang w:val="en-IE"/>
        </w:rPr>
        <w:t>carry no rights whatsoever</w:t>
      </w:r>
      <w:r w:rsidR="00A3062A" w:rsidRPr="00A3062A">
        <w:rPr>
          <w:i/>
          <w:iCs/>
          <w:color w:val="000000"/>
          <w:lang w:val="en-IE"/>
        </w:rPr>
        <w:t>”</w:t>
      </w:r>
      <w:r w:rsidR="00936CE0" w:rsidRPr="00A3062A">
        <w:rPr>
          <w:color w:val="000000"/>
          <w:lang w:val="en-IE"/>
        </w:rPr>
        <w:t xml:space="preserve"> until the breach is rectified</w:t>
      </w:r>
      <w:r w:rsidR="00D46EC2">
        <w:rPr>
          <w:color w:val="000000"/>
          <w:lang w:val="en-IE"/>
        </w:rPr>
        <w:t>. T</w:t>
      </w:r>
      <w:r w:rsidR="00936CE0" w:rsidRPr="00A3062A">
        <w:rPr>
          <w:color w:val="000000"/>
          <w:lang w:val="en-IE"/>
        </w:rPr>
        <w:t>herefore</w:t>
      </w:r>
      <w:r w:rsidR="00D46EC2">
        <w:rPr>
          <w:color w:val="000000"/>
          <w:lang w:val="en-IE"/>
        </w:rPr>
        <w:t>,</w:t>
      </w:r>
      <w:r w:rsidR="00936CE0" w:rsidRPr="00A3062A">
        <w:rPr>
          <w:color w:val="000000"/>
          <w:lang w:val="en-IE"/>
        </w:rPr>
        <w:t xml:space="preserve"> cl</w:t>
      </w:r>
      <w:r w:rsidR="00D46EC2">
        <w:rPr>
          <w:color w:val="000000"/>
          <w:lang w:val="en-IE"/>
        </w:rPr>
        <w:t>au</w:t>
      </w:r>
      <w:r w:rsidR="00936CE0" w:rsidRPr="00A3062A">
        <w:rPr>
          <w:color w:val="000000"/>
          <w:lang w:val="en-IE"/>
        </w:rPr>
        <w:t>se 11.7 does not invalidate a transfer of shares that is made in breach of the shareholders</w:t>
      </w:r>
      <w:r w:rsidR="00D46EC2">
        <w:rPr>
          <w:color w:val="000000"/>
          <w:lang w:val="en-IE"/>
        </w:rPr>
        <w:t>’</w:t>
      </w:r>
      <w:r w:rsidR="00936CE0" w:rsidRPr="00A3062A">
        <w:rPr>
          <w:color w:val="000000"/>
          <w:lang w:val="en-IE"/>
        </w:rPr>
        <w:t xml:space="preserve"> agreemen</w:t>
      </w:r>
      <w:r w:rsidR="00D46EC2">
        <w:rPr>
          <w:color w:val="000000"/>
          <w:lang w:val="en-IE"/>
        </w:rPr>
        <w:t xml:space="preserve">t; </w:t>
      </w:r>
      <w:r w:rsidR="00936CE0" w:rsidRPr="00D46EC2">
        <w:rPr>
          <w:color w:val="000000"/>
          <w:lang w:val="en-IE"/>
        </w:rPr>
        <w:t>rather, it requires that the breach be rectified</w:t>
      </w:r>
      <w:r w:rsidR="008A391E">
        <w:rPr>
          <w:color w:val="000000"/>
          <w:lang w:val="en-IE"/>
        </w:rPr>
        <w:t xml:space="preserve"> and penalises the acquiring party in the interim by treating the shares as ones which do carry voting rights or the right to dividends</w:t>
      </w:r>
      <w:r w:rsidR="00D46EC2">
        <w:rPr>
          <w:color w:val="000000"/>
          <w:lang w:val="en-IE"/>
        </w:rPr>
        <w:t>. Thus,</w:t>
      </w:r>
      <w:r w:rsidR="00936CE0" w:rsidRPr="00D46EC2">
        <w:rPr>
          <w:color w:val="000000"/>
          <w:lang w:val="en-IE"/>
        </w:rPr>
        <w:t xml:space="preserve"> if the applicant had identified a breach of the shareholders</w:t>
      </w:r>
      <w:r w:rsidR="00D46EC2">
        <w:rPr>
          <w:color w:val="000000"/>
          <w:lang w:val="en-IE"/>
        </w:rPr>
        <w:t>’</w:t>
      </w:r>
      <w:r w:rsidR="00936CE0" w:rsidRPr="00D46EC2">
        <w:rPr>
          <w:color w:val="000000"/>
          <w:lang w:val="en-IE"/>
        </w:rPr>
        <w:t xml:space="preserve"> agreement</w:t>
      </w:r>
      <w:r w:rsidR="00D46EC2">
        <w:rPr>
          <w:color w:val="000000"/>
          <w:lang w:val="en-IE"/>
        </w:rPr>
        <w:t>, i</w:t>
      </w:r>
      <w:r w:rsidR="00936CE0" w:rsidRPr="00D46EC2">
        <w:rPr>
          <w:color w:val="000000"/>
          <w:lang w:val="en-IE"/>
        </w:rPr>
        <w:t>t would not follow that the transaction was invalid and that the applicant remained the owner of the shares.</w:t>
      </w:r>
      <w:r>
        <w:rPr>
          <w:color w:val="000000"/>
          <w:lang w:val="en-IE"/>
        </w:rPr>
        <w:t xml:space="preserve"> </w:t>
      </w:r>
    </w:p>
    <w:p w14:paraId="3EB1AADB" w14:textId="77777777" w:rsidR="00CF58FA" w:rsidRDefault="00CF58FA" w:rsidP="004A0604">
      <w:pPr>
        <w:pStyle w:val="NormalWeb"/>
        <w:spacing w:before="0" w:beforeAutospacing="0" w:after="0" w:afterAutospacing="0" w:line="480" w:lineRule="auto"/>
        <w:jc w:val="both"/>
        <w:rPr>
          <w:color w:val="000000"/>
          <w:lang w:val="en-IE"/>
        </w:rPr>
      </w:pPr>
    </w:p>
    <w:p w14:paraId="4CA30047" w14:textId="0EE6974A" w:rsidR="00615C5B" w:rsidRPr="00615C5B" w:rsidRDefault="00615C5B" w:rsidP="004A0604">
      <w:pPr>
        <w:pStyle w:val="NormalWeb"/>
        <w:spacing w:before="0" w:beforeAutospacing="0" w:after="0" w:afterAutospacing="0" w:line="480" w:lineRule="auto"/>
        <w:jc w:val="both"/>
        <w:rPr>
          <w:b/>
          <w:bCs/>
          <w:color w:val="000000"/>
          <w:u w:val="single"/>
          <w:lang w:val="en-IE"/>
        </w:rPr>
      </w:pPr>
      <w:r w:rsidRPr="00615C5B">
        <w:rPr>
          <w:b/>
          <w:bCs/>
          <w:color w:val="000000"/>
          <w:u w:val="single"/>
          <w:lang w:val="en-IE"/>
        </w:rPr>
        <w:t>E</w:t>
      </w:r>
      <w:r w:rsidR="00936CE0" w:rsidRPr="00615C5B">
        <w:rPr>
          <w:b/>
          <w:bCs/>
          <w:color w:val="000000"/>
          <w:u w:val="single"/>
          <w:lang w:val="en-IE"/>
        </w:rPr>
        <w:t xml:space="preserve">stoppel by </w:t>
      </w:r>
      <w:r w:rsidR="008A481D">
        <w:rPr>
          <w:b/>
          <w:bCs/>
          <w:color w:val="000000"/>
          <w:u w:val="single"/>
          <w:lang w:val="en-IE"/>
        </w:rPr>
        <w:t>C</w:t>
      </w:r>
      <w:r w:rsidR="00936CE0" w:rsidRPr="00615C5B">
        <w:rPr>
          <w:b/>
          <w:bCs/>
          <w:color w:val="000000"/>
          <w:u w:val="single"/>
          <w:lang w:val="en-IE"/>
        </w:rPr>
        <w:t>onvention</w:t>
      </w:r>
    </w:p>
    <w:p w14:paraId="04E6323C" w14:textId="578774E6" w:rsidR="00615C5B"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615C5B">
        <w:rPr>
          <w:color w:val="000000"/>
          <w:lang w:val="en-IE"/>
        </w:rPr>
        <w:t>The final argument made by the applicant is that the behavio</w:t>
      </w:r>
      <w:r w:rsidR="00615C5B">
        <w:rPr>
          <w:color w:val="000000"/>
          <w:lang w:val="en-IE"/>
        </w:rPr>
        <w:t>u</w:t>
      </w:r>
      <w:r w:rsidRPr="00615C5B">
        <w:rPr>
          <w:color w:val="000000"/>
          <w:lang w:val="en-IE"/>
        </w:rPr>
        <w:t xml:space="preserve">r of the company </w:t>
      </w:r>
      <w:r w:rsidR="00615C5B">
        <w:rPr>
          <w:color w:val="000000"/>
          <w:lang w:val="en-IE"/>
        </w:rPr>
        <w:t>and of</w:t>
      </w:r>
      <w:r w:rsidRPr="00615C5B">
        <w:rPr>
          <w:color w:val="000000"/>
          <w:lang w:val="en-IE"/>
        </w:rPr>
        <w:t xml:space="preserve"> Amber during the period 2013 to 2021 is such that</w:t>
      </w:r>
      <w:r w:rsidR="00615C5B">
        <w:rPr>
          <w:color w:val="000000"/>
          <w:lang w:val="en-IE"/>
        </w:rPr>
        <w:t xml:space="preserve"> it</w:t>
      </w:r>
      <w:r w:rsidRPr="00615C5B">
        <w:rPr>
          <w:color w:val="000000"/>
          <w:lang w:val="en-IE"/>
        </w:rPr>
        <w:t xml:space="preserve"> cannot now rely on its strict legal rights pursuant to the transfer</w:t>
      </w:r>
      <w:r w:rsidR="00615C5B">
        <w:rPr>
          <w:color w:val="000000"/>
          <w:lang w:val="en-IE"/>
        </w:rPr>
        <w:t>. T</w:t>
      </w:r>
      <w:r w:rsidRPr="00615C5B">
        <w:rPr>
          <w:color w:val="000000"/>
          <w:lang w:val="en-IE"/>
        </w:rPr>
        <w:t>he applicant characteri</w:t>
      </w:r>
      <w:r w:rsidR="00615C5B">
        <w:rPr>
          <w:color w:val="000000"/>
          <w:lang w:val="en-IE"/>
        </w:rPr>
        <w:t>s</w:t>
      </w:r>
      <w:r w:rsidRPr="00615C5B">
        <w:rPr>
          <w:color w:val="000000"/>
          <w:lang w:val="en-IE"/>
        </w:rPr>
        <w:t>es this as the conduct of both parties be</w:t>
      </w:r>
      <w:r w:rsidR="00615C5B">
        <w:rPr>
          <w:color w:val="000000"/>
          <w:lang w:val="en-IE"/>
        </w:rPr>
        <w:t>ing</w:t>
      </w:r>
      <w:r w:rsidRPr="00615C5B">
        <w:rPr>
          <w:color w:val="000000"/>
          <w:lang w:val="en-IE"/>
        </w:rPr>
        <w:t xml:space="preserve"> based on a common understanding of the shared interest in the company during this period. The applicant relies on the decision of the Supreme Court</w:t>
      </w:r>
      <w:r w:rsidR="00615C5B">
        <w:rPr>
          <w:color w:val="000000"/>
          <w:lang w:val="en-IE"/>
        </w:rPr>
        <w:t xml:space="preserve"> (</w:t>
      </w:r>
      <w:proofErr w:type="spellStart"/>
      <w:r w:rsidR="00615C5B">
        <w:rPr>
          <w:color w:val="000000"/>
          <w:lang w:val="en-IE"/>
        </w:rPr>
        <w:t>Charleton</w:t>
      </w:r>
      <w:proofErr w:type="spellEnd"/>
      <w:r w:rsidR="00615C5B">
        <w:rPr>
          <w:color w:val="000000"/>
          <w:lang w:val="en-IE"/>
        </w:rPr>
        <w:t xml:space="preserve"> J.)</w:t>
      </w:r>
      <w:r w:rsidRPr="00615C5B">
        <w:rPr>
          <w:color w:val="000000"/>
          <w:lang w:val="en-IE"/>
        </w:rPr>
        <w:t xml:space="preserve"> </w:t>
      </w:r>
      <w:r w:rsidR="00615C5B">
        <w:rPr>
          <w:color w:val="000000"/>
          <w:lang w:val="en-IE"/>
        </w:rPr>
        <w:t xml:space="preserve">in </w:t>
      </w:r>
      <w:r w:rsidR="00615C5B" w:rsidRPr="00615C5B">
        <w:rPr>
          <w:i/>
          <w:iCs/>
          <w:color w:val="000000"/>
          <w:lang w:val="en-IE"/>
        </w:rPr>
        <w:t>Ulster</w:t>
      </w:r>
      <w:r w:rsidRPr="00615C5B">
        <w:rPr>
          <w:i/>
          <w:iCs/>
          <w:color w:val="000000"/>
          <w:lang w:val="en-IE"/>
        </w:rPr>
        <w:t xml:space="preserve"> </w:t>
      </w:r>
      <w:r w:rsidR="00615C5B" w:rsidRPr="00615C5B">
        <w:rPr>
          <w:i/>
          <w:iCs/>
          <w:color w:val="000000"/>
          <w:lang w:val="en-IE"/>
        </w:rPr>
        <w:t>I</w:t>
      </w:r>
      <w:r w:rsidRPr="00615C5B">
        <w:rPr>
          <w:i/>
          <w:iCs/>
          <w:color w:val="000000"/>
          <w:lang w:val="en-IE"/>
        </w:rPr>
        <w:t xml:space="preserve">nvestment </w:t>
      </w:r>
      <w:r w:rsidR="00615C5B" w:rsidRPr="00615C5B">
        <w:rPr>
          <w:i/>
          <w:iCs/>
          <w:color w:val="000000"/>
          <w:lang w:val="en-IE"/>
        </w:rPr>
        <w:t>B</w:t>
      </w:r>
      <w:r w:rsidRPr="00615C5B">
        <w:rPr>
          <w:i/>
          <w:iCs/>
          <w:color w:val="000000"/>
          <w:lang w:val="en-IE"/>
        </w:rPr>
        <w:t xml:space="preserve">ank </w:t>
      </w:r>
      <w:r w:rsidR="00615C5B" w:rsidRPr="00615C5B">
        <w:rPr>
          <w:i/>
          <w:iCs/>
          <w:color w:val="000000"/>
          <w:lang w:val="en-IE"/>
        </w:rPr>
        <w:t>Lt</w:t>
      </w:r>
      <w:r w:rsidRPr="00615C5B">
        <w:rPr>
          <w:i/>
          <w:iCs/>
          <w:color w:val="000000"/>
          <w:lang w:val="en-IE"/>
        </w:rPr>
        <w:t xml:space="preserve">d </w:t>
      </w:r>
      <w:r w:rsidR="00615C5B" w:rsidRPr="00615C5B">
        <w:rPr>
          <w:i/>
          <w:iCs/>
          <w:color w:val="000000"/>
          <w:lang w:val="en-IE"/>
        </w:rPr>
        <w:t xml:space="preserve">v. </w:t>
      </w:r>
      <w:proofErr w:type="spellStart"/>
      <w:r w:rsidR="00615C5B" w:rsidRPr="00615C5B">
        <w:rPr>
          <w:i/>
          <w:iCs/>
          <w:color w:val="000000"/>
          <w:lang w:val="en-IE"/>
        </w:rPr>
        <w:t>R</w:t>
      </w:r>
      <w:r w:rsidRPr="00615C5B">
        <w:rPr>
          <w:i/>
          <w:iCs/>
          <w:color w:val="000000"/>
          <w:lang w:val="en-IE"/>
        </w:rPr>
        <w:t>ock</w:t>
      </w:r>
      <w:r w:rsidR="00615C5B" w:rsidRPr="00615C5B">
        <w:rPr>
          <w:i/>
          <w:iCs/>
          <w:color w:val="000000"/>
          <w:lang w:val="en-IE"/>
        </w:rPr>
        <w:t>r</w:t>
      </w:r>
      <w:r w:rsidRPr="00615C5B">
        <w:rPr>
          <w:i/>
          <w:iCs/>
          <w:color w:val="000000"/>
          <w:lang w:val="en-IE"/>
        </w:rPr>
        <w:t>o</w:t>
      </w:r>
      <w:r w:rsidR="00615C5B" w:rsidRPr="00615C5B">
        <w:rPr>
          <w:i/>
          <w:iCs/>
          <w:color w:val="000000"/>
          <w:lang w:val="en-IE"/>
        </w:rPr>
        <w:t>h</w:t>
      </w:r>
      <w:r w:rsidRPr="00615C5B">
        <w:rPr>
          <w:i/>
          <w:iCs/>
          <w:color w:val="000000"/>
          <w:lang w:val="en-IE"/>
        </w:rPr>
        <w:t>an</w:t>
      </w:r>
      <w:proofErr w:type="spellEnd"/>
      <w:r w:rsidRPr="00615C5B">
        <w:rPr>
          <w:i/>
          <w:iCs/>
          <w:color w:val="000000"/>
          <w:lang w:val="en-IE"/>
        </w:rPr>
        <w:t xml:space="preserve"> E</w:t>
      </w:r>
      <w:r w:rsidR="00615C5B" w:rsidRPr="00615C5B">
        <w:rPr>
          <w:i/>
          <w:iCs/>
          <w:color w:val="000000"/>
          <w:lang w:val="en-IE"/>
        </w:rPr>
        <w:t>s</w:t>
      </w:r>
      <w:r w:rsidRPr="00615C5B">
        <w:rPr>
          <w:i/>
          <w:iCs/>
          <w:color w:val="000000"/>
          <w:lang w:val="en-IE"/>
        </w:rPr>
        <w:t>tat</w:t>
      </w:r>
      <w:r w:rsidR="00615C5B" w:rsidRPr="00615C5B">
        <w:rPr>
          <w:i/>
          <w:iCs/>
          <w:color w:val="000000"/>
          <w:lang w:val="en-IE"/>
        </w:rPr>
        <w:t>e Ltd</w:t>
      </w:r>
      <w:r w:rsidR="00615C5B">
        <w:rPr>
          <w:color w:val="000000"/>
          <w:lang w:val="en-IE"/>
        </w:rPr>
        <w:t xml:space="preserve"> [</w:t>
      </w:r>
      <w:r w:rsidRPr="00615C5B">
        <w:rPr>
          <w:color w:val="000000"/>
          <w:lang w:val="en-IE"/>
        </w:rPr>
        <w:t>2015</w:t>
      </w:r>
      <w:r w:rsidR="00615C5B">
        <w:rPr>
          <w:color w:val="000000"/>
          <w:lang w:val="en-IE"/>
        </w:rPr>
        <w:t>] 4 IR 37</w:t>
      </w:r>
      <w:r w:rsidRPr="00615C5B">
        <w:rPr>
          <w:color w:val="000000"/>
          <w:lang w:val="en-IE"/>
        </w:rPr>
        <w:t xml:space="preserve"> in which it is identified </w:t>
      </w:r>
      <w:r w:rsidR="00615C5B">
        <w:rPr>
          <w:color w:val="000000"/>
          <w:lang w:val="en-IE"/>
        </w:rPr>
        <w:t>that,</w:t>
      </w:r>
      <w:r w:rsidRPr="00615C5B">
        <w:rPr>
          <w:color w:val="000000"/>
          <w:lang w:val="en-IE"/>
        </w:rPr>
        <w:t xml:space="preserve"> </w:t>
      </w:r>
      <w:r w:rsidR="00615C5B">
        <w:rPr>
          <w:color w:val="000000"/>
          <w:lang w:val="en-IE"/>
        </w:rPr>
        <w:t>where</w:t>
      </w:r>
      <w:r w:rsidRPr="00615C5B">
        <w:rPr>
          <w:color w:val="000000"/>
          <w:lang w:val="en-IE"/>
        </w:rPr>
        <w:t xml:space="preserve"> both parties proceed</w:t>
      </w:r>
      <w:r w:rsidR="00615C5B">
        <w:rPr>
          <w:color w:val="000000"/>
          <w:lang w:val="en-IE"/>
        </w:rPr>
        <w:t xml:space="preserve"> </w:t>
      </w:r>
      <w:r w:rsidR="00615C5B" w:rsidRPr="00615C5B">
        <w:rPr>
          <w:i/>
          <w:iCs/>
          <w:color w:val="000000"/>
          <w:lang w:val="en-IE"/>
        </w:rPr>
        <w:t>“</w:t>
      </w:r>
      <w:r w:rsidRPr="00615C5B">
        <w:rPr>
          <w:i/>
          <w:iCs/>
          <w:color w:val="000000"/>
          <w:lang w:val="en-IE"/>
        </w:rPr>
        <w:t>on the basis of a clear common understanding</w:t>
      </w:r>
      <w:r w:rsidR="00615C5B" w:rsidRPr="00615C5B">
        <w:rPr>
          <w:i/>
          <w:iCs/>
          <w:color w:val="000000"/>
          <w:lang w:val="en-IE"/>
        </w:rPr>
        <w:t>,</w:t>
      </w:r>
      <w:r w:rsidRPr="00615C5B">
        <w:rPr>
          <w:i/>
          <w:iCs/>
          <w:color w:val="000000"/>
          <w:lang w:val="en-IE"/>
        </w:rPr>
        <w:t xml:space="preserve"> the mutual convention of the parties may suffice as a foundation for estoppel</w:t>
      </w:r>
      <w:r w:rsidR="00615C5B" w:rsidRPr="00615C5B">
        <w:rPr>
          <w:i/>
          <w:iCs/>
          <w:color w:val="000000"/>
          <w:lang w:val="en-IE"/>
        </w:rPr>
        <w:t>”</w:t>
      </w:r>
      <w:r w:rsidR="00615C5B">
        <w:rPr>
          <w:color w:val="000000"/>
          <w:lang w:val="en-IE"/>
        </w:rPr>
        <w:t xml:space="preserve">. </w:t>
      </w:r>
      <w:proofErr w:type="spellStart"/>
      <w:r w:rsidR="00615C5B" w:rsidRPr="00615C5B">
        <w:rPr>
          <w:i/>
          <w:iCs/>
          <w:color w:val="000000"/>
          <w:lang w:val="en-IE"/>
        </w:rPr>
        <w:t>Rockrohan</w:t>
      </w:r>
      <w:proofErr w:type="spellEnd"/>
      <w:r w:rsidR="00615C5B">
        <w:rPr>
          <w:color w:val="000000"/>
          <w:lang w:val="en-IE"/>
        </w:rPr>
        <w:t xml:space="preserve"> </w:t>
      </w:r>
      <w:r w:rsidRPr="00615C5B">
        <w:rPr>
          <w:color w:val="000000"/>
          <w:lang w:val="en-IE"/>
        </w:rPr>
        <w:t xml:space="preserve">itself concerned </w:t>
      </w:r>
      <w:r w:rsidR="00615C5B">
        <w:rPr>
          <w:color w:val="000000"/>
          <w:lang w:val="en-IE"/>
        </w:rPr>
        <w:t>a</w:t>
      </w:r>
      <w:r w:rsidRPr="00615C5B">
        <w:rPr>
          <w:color w:val="000000"/>
          <w:lang w:val="en-IE"/>
        </w:rPr>
        <w:t xml:space="preserve"> claim for adverse possession made in circumstances where a bank had secured a well charging order and an order for sale</w:t>
      </w:r>
      <w:r w:rsidR="00615C5B">
        <w:rPr>
          <w:color w:val="000000"/>
          <w:lang w:val="en-IE"/>
        </w:rPr>
        <w:t xml:space="preserve"> m</w:t>
      </w:r>
      <w:r w:rsidRPr="00615C5B">
        <w:rPr>
          <w:color w:val="000000"/>
          <w:lang w:val="en-IE"/>
        </w:rPr>
        <w:t xml:space="preserve">ore than </w:t>
      </w:r>
      <w:r w:rsidR="00615C5B">
        <w:rPr>
          <w:color w:val="000000"/>
          <w:lang w:val="en-IE"/>
        </w:rPr>
        <w:t>twelve</w:t>
      </w:r>
      <w:r w:rsidRPr="00615C5B">
        <w:rPr>
          <w:color w:val="000000"/>
          <w:lang w:val="en-IE"/>
        </w:rPr>
        <w:t xml:space="preserve"> years earlier</w:t>
      </w:r>
      <w:r w:rsidR="00615C5B">
        <w:rPr>
          <w:color w:val="000000"/>
          <w:lang w:val="en-IE"/>
        </w:rPr>
        <w:t>. T</w:t>
      </w:r>
      <w:r w:rsidRPr="00615C5B">
        <w:rPr>
          <w:color w:val="000000"/>
          <w:lang w:val="en-IE"/>
        </w:rPr>
        <w:t>he bank had not moved to sell the land because the defendant had sought a deferral of such sale pending the conclusion of related litigation</w:t>
      </w:r>
      <w:r w:rsidR="00615C5B">
        <w:rPr>
          <w:color w:val="000000"/>
          <w:lang w:val="en-IE"/>
        </w:rPr>
        <w:t xml:space="preserve"> </w:t>
      </w:r>
      <w:r w:rsidRPr="00615C5B">
        <w:rPr>
          <w:color w:val="000000"/>
          <w:lang w:val="en-IE"/>
        </w:rPr>
        <w:t>which</w:t>
      </w:r>
      <w:r w:rsidR="00615C5B">
        <w:rPr>
          <w:color w:val="000000"/>
          <w:lang w:val="en-IE"/>
        </w:rPr>
        <w:t xml:space="preserve">, </w:t>
      </w:r>
      <w:r w:rsidRPr="00615C5B">
        <w:rPr>
          <w:color w:val="000000"/>
          <w:lang w:val="en-IE"/>
        </w:rPr>
        <w:t xml:space="preserve">if successful, would have </w:t>
      </w:r>
      <w:r w:rsidR="00615C5B">
        <w:rPr>
          <w:color w:val="000000"/>
          <w:lang w:val="en-IE"/>
        </w:rPr>
        <w:t>en</w:t>
      </w:r>
      <w:r w:rsidRPr="00615C5B">
        <w:rPr>
          <w:color w:val="000000"/>
          <w:lang w:val="en-IE"/>
        </w:rPr>
        <w:t>able</w:t>
      </w:r>
      <w:r w:rsidR="00615C5B">
        <w:rPr>
          <w:color w:val="000000"/>
          <w:lang w:val="en-IE"/>
        </w:rPr>
        <w:t>d it</w:t>
      </w:r>
      <w:r w:rsidRPr="00615C5B">
        <w:rPr>
          <w:color w:val="000000"/>
          <w:lang w:val="en-IE"/>
        </w:rPr>
        <w:t xml:space="preserve"> to clear the d</w:t>
      </w:r>
      <w:r w:rsidR="00721867">
        <w:rPr>
          <w:color w:val="000000"/>
          <w:lang w:val="en-IE"/>
        </w:rPr>
        <w:t>e</w:t>
      </w:r>
      <w:r w:rsidR="00615C5B">
        <w:rPr>
          <w:color w:val="000000"/>
          <w:lang w:val="en-IE"/>
        </w:rPr>
        <w:t>bt</w:t>
      </w:r>
      <w:r w:rsidRPr="00615C5B">
        <w:rPr>
          <w:color w:val="000000"/>
          <w:lang w:val="en-IE"/>
        </w:rPr>
        <w:t>. The bank argue</w:t>
      </w:r>
      <w:r w:rsidR="00721867">
        <w:rPr>
          <w:color w:val="000000"/>
          <w:lang w:val="en-IE"/>
        </w:rPr>
        <w:t>d</w:t>
      </w:r>
      <w:r w:rsidR="00615C5B">
        <w:rPr>
          <w:color w:val="000000"/>
          <w:lang w:val="en-IE"/>
        </w:rPr>
        <w:t>,</w:t>
      </w:r>
      <w:r w:rsidRPr="00615C5B">
        <w:rPr>
          <w:color w:val="000000"/>
          <w:lang w:val="en-IE"/>
        </w:rPr>
        <w:t xml:space="preserve"> successfull</w:t>
      </w:r>
      <w:r w:rsidR="00615C5B">
        <w:rPr>
          <w:color w:val="000000"/>
          <w:lang w:val="en-IE"/>
        </w:rPr>
        <w:t xml:space="preserve">y, </w:t>
      </w:r>
      <w:r w:rsidRPr="00615C5B">
        <w:rPr>
          <w:color w:val="000000"/>
          <w:lang w:val="en-IE"/>
        </w:rPr>
        <w:t xml:space="preserve">that the defendant was </w:t>
      </w:r>
      <w:r w:rsidR="00615C5B">
        <w:rPr>
          <w:color w:val="000000"/>
          <w:lang w:val="en-IE"/>
        </w:rPr>
        <w:t>e</w:t>
      </w:r>
      <w:r w:rsidRPr="00615C5B">
        <w:rPr>
          <w:color w:val="000000"/>
          <w:lang w:val="en-IE"/>
        </w:rPr>
        <w:t xml:space="preserve">stopped from </w:t>
      </w:r>
      <w:r w:rsidR="00615C5B">
        <w:rPr>
          <w:color w:val="000000"/>
          <w:lang w:val="en-IE"/>
        </w:rPr>
        <w:t>re</w:t>
      </w:r>
      <w:r w:rsidRPr="00615C5B">
        <w:rPr>
          <w:color w:val="000000"/>
          <w:lang w:val="en-IE"/>
        </w:rPr>
        <w:t xml:space="preserve">lying on the </w:t>
      </w:r>
      <w:r w:rsidR="00615C5B">
        <w:rPr>
          <w:color w:val="000000"/>
          <w:lang w:val="en-IE"/>
        </w:rPr>
        <w:t>S</w:t>
      </w:r>
      <w:r w:rsidRPr="00615C5B">
        <w:rPr>
          <w:color w:val="000000"/>
          <w:lang w:val="en-IE"/>
        </w:rPr>
        <w:t xml:space="preserve">tatute of </w:t>
      </w:r>
      <w:r w:rsidR="00615C5B">
        <w:rPr>
          <w:color w:val="000000"/>
          <w:lang w:val="en-IE"/>
        </w:rPr>
        <w:t>L</w:t>
      </w:r>
      <w:r w:rsidRPr="00615C5B">
        <w:rPr>
          <w:color w:val="000000"/>
          <w:lang w:val="en-IE"/>
        </w:rPr>
        <w:t>imitations to defeat the claim for possession</w:t>
      </w:r>
      <w:r w:rsidR="00615C5B">
        <w:rPr>
          <w:color w:val="000000"/>
          <w:lang w:val="en-IE"/>
        </w:rPr>
        <w:t>.</w:t>
      </w:r>
      <w:r w:rsidRPr="00615C5B">
        <w:rPr>
          <w:color w:val="000000"/>
          <w:lang w:val="en-IE"/>
        </w:rPr>
        <w:t xml:space="preserve"> </w:t>
      </w:r>
    </w:p>
    <w:p w14:paraId="4E0B11E2" w14:textId="48AECB3B" w:rsidR="00615C5B"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615C5B">
        <w:rPr>
          <w:color w:val="000000"/>
          <w:lang w:val="en-IE"/>
        </w:rPr>
        <w:lastRenderedPageBreak/>
        <w:t>Clearly</w:t>
      </w:r>
      <w:r w:rsidR="00615C5B">
        <w:rPr>
          <w:color w:val="000000"/>
          <w:lang w:val="en-IE"/>
        </w:rPr>
        <w:t>,</w:t>
      </w:r>
      <w:r w:rsidRPr="00615C5B">
        <w:rPr>
          <w:color w:val="000000"/>
          <w:lang w:val="en-IE"/>
        </w:rPr>
        <w:t xml:space="preserve"> the factual matrix in </w:t>
      </w:r>
      <w:proofErr w:type="spellStart"/>
      <w:r w:rsidR="00615C5B">
        <w:rPr>
          <w:i/>
          <w:iCs/>
          <w:color w:val="000000"/>
          <w:lang w:val="en-IE"/>
        </w:rPr>
        <w:t>Rockrohan</w:t>
      </w:r>
      <w:proofErr w:type="spellEnd"/>
      <w:r w:rsidRPr="00615C5B">
        <w:rPr>
          <w:color w:val="000000"/>
          <w:lang w:val="en-IE"/>
        </w:rPr>
        <w:t xml:space="preserve"> is materially different to this case</w:t>
      </w:r>
      <w:r w:rsidR="00615C5B">
        <w:rPr>
          <w:color w:val="000000"/>
          <w:lang w:val="en-IE"/>
        </w:rPr>
        <w:t>.</w:t>
      </w:r>
      <w:r w:rsidRPr="00615C5B">
        <w:rPr>
          <w:color w:val="000000"/>
          <w:lang w:val="en-IE"/>
        </w:rPr>
        <w:t xml:space="preserve"> </w:t>
      </w:r>
      <w:r w:rsidR="00615C5B">
        <w:rPr>
          <w:color w:val="000000"/>
          <w:lang w:val="en-IE"/>
        </w:rPr>
        <w:t>C</w:t>
      </w:r>
      <w:r w:rsidRPr="00615C5B">
        <w:rPr>
          <w:color w:val="000000"/>
          <w:lang w:val="en-IE"/>
        </w:rPr>
        <w:t xml:space="preserve">entral to the decision in </w:t>
      </w:r>
      <w:proofErr w:type="spellStart"/>
      <w:r w:rsidR="00615C5B">
        <w:rPr>
          <w:i/>
          <w:iCs/>
          <w:color w:val="000000"/>
          <w:lang w:val="en-IE"/>
        </w:rPr>
        <w:t>Rockrohan</w:t>
      </w:r>
      <w:proofErr w:type="spellEnd"/>
      <w:r w:rsidRPr="00615C5B">
        <w:rPr>
          <w:color w:val="000000"/>
          <w:lang w:val="en-IE"/>
        </w:rPr>
        <w:t xml:space="preserve"> is the element of mutuality in the part</w:t>
      </w:r>
      <w:r w:rsidR="00615C5B">
        <w:rPr>
          <w:color w:val="000000"/>
          <w:lang w:val="en-IE"/>
        </w:rPr>
        <w:t>ie</w:t>
      </w:r>
      <w:r w:rsidRPr="00615C5B">
        <w:rPr>
          <w:color w:val="000000"/>
          <w:lang w:val="en-IE"/>
        </w:rPr>
        <w:t>s</w:t>
      </w:r>
      <w:r w:rsidR="00615C5B">
        <w:rPr>
          <w:color w:val="000000"/>
          <w:lang w:val="en-IE"/>
        </w:rPr>
        <w:t>’</w:t>
      </w:r>
      <w:r w:rsidRPr="00615C5B">
        <w:rPr>
          <w:color w:val="000000"/>
          <w:lang w:val="en-IE"/>
        </w:rPr>
        <w:t xml:space="preserve"> understanding and </w:t>
      </w:r>
      <w:r w:rsidR="008A391E">
        <w:rPr>
          <w:color w:val="000000"/>
          <w:lang w:val="en-IE"/>
        </w:rPr>
        <w:t xml:space="preserve">their </w:t>
      </w:r>
      <w:r w:rsidRPr="00615C5B">
        <w:rPr>
          <w:color w:val="000000"/>
          <w:lang w:val="en-IE"/>
        </w:rPr>
        <w:t>assumption</w:t>
      </w:r>
      <w:r w:rsidR="008A391E">
        <w:rPr>
          <w:color w:val="000000"/>
          <w:lang w:val="en-IE"/>
        </w:rPr>
        <w:t>s</w:t>
      </w:r>
      <w:r w:rsidRPr="00615C5B">
        <w:rPr>
          <w:color w:val="000000"/>
          <w:lang w:val="en-IE"/>
        </w:rPr>
        <w:t xml:space="preserve"> as to the </w:t>
      </w:r>
      <w:proofErr w:type="gramStart"/>
      <w:r w:rsidRPr="00615C5B">
        <w:rPr>
          <w:color w:val="000000"/>
          <w:lang w:val="en-IE"/>
        </w:rPr>
        <w:t>state of affairs</w:t>
      </w:r>
      <w:proofErr w:type="gramEnd"/>
      <w:r w:rsidRPr="00615C5B">
        <w:rPr>
          <w:color w:val="000000"/>
          <w:lang w:val="en-IE"/>
        </w:rPr>
        <w:t xml:space="preserve">. This is put by </w:t>
      </w:r>
      <w:proofErr w:type="spellStart"/>
      <w:r w:rsidR="00615C5B">
        <w:rPr>
          <w:color w:val="000000"/>
          <w:lang w:val="en-IE"/>
        </w:rPr>
        <w:t>Charleton</w:t>
      </w:r>
      <w:proofErr w:type="spellEnd"/>
      <w:r w:rsidR="00615C5B">
        <w:rPr>
          <w:color w:val="000000"/>
          <w:lang w:val="en-IE"/>
        </w:rPr>
        <w:t xml:space="preserve"> </w:t>
      </w:r>
      <w:r w:rsidRPr="00615C5B">
        <w:rPr>
          <w:color w:val="000000"/>
          <w:lang w:val="en-IE"/>
        </w:rPr>
        <w:t>J</w:t>
      </w:r>
      <w:r w:rsidR="00615C5B">
        <w:rPr>
          <w:color w:val="000000"/>
          <w:lang w:val="en-IE"/>
        </w:rPr>
        <w:t>.</w:t>
      </w:r>
      <w:r w:rsidRPr="00615C5B">
        <w:rPr>
          <w:color w:val="000000"/>
          <w:lang w:val="en-IE"/>
        </w:rPr>
        <w:t xml:space="preserve"> at p</w:t>
      </w:r>
      <w:r w:rsidR="00615C5B">
        <w:rPr>
          <w:color w:val="000000"/>
          <w:lang w:val="en-IE"/>
        </w:rPr>
        <w:t>.</w:t>
      </w:r>
      <w:r w:rsidRPr="00615C5B">
        <w:rPr>
          <w:color w:val="000000"/>
          <w:lang w:val="en-IE"/>
        </w:rPr>
        <w:t xml:space="preserve"> 55 of the report as f</w:t>
      </w:r>
      <w:r w:rsidR="00615C5B">
        <w:rPr>
          <w:color w:val="000000"/>
          <w:lang w:val="en-IE"/>
        </w:rPr>
        <w:t>ollows:</w:t>
      </w:r>
      <w:r w:rsidR="00F224EE">
        <w:rPr>
          <w:color w:val="000000"/>
          <w:lang w:val="en-IE"/>
        </w:rPr>
        <w:t xml:space="preserve"> </w:t>
      </w:r>
      <w:r w:rsidR="00615C5B">
        <w:rPr>
          <w:color w:val="000000"/>
          <w:lang w:val="en-IE"/>
        </w:rPr>
        <w:t>-</w:t>
      </w:r>
    </w:p>
    <w:p w14:paraId="4C86C645" w14:textId="09EEEA41" w:rsidR="00615C5B" w:rsidRPr="00615C5B" w:rsidRDefault="00615C5B" w:rsidP="004A0604">
      <w:pPr>
        <w:pStyle w:val="NormalWeb"/>
        <w:spacing w:before="0" w:beforeAutospacing="0" w:after="0" w:afterAutospacing="0" w:line="480" w:lineRule="auto"/>
        <w:ind w:left="720"/>
        <w:jc w:val="both"/>
        <w:rPr>
          <w:i/>
          <w:iCs/>
          <w:color w:val="000000"/>
          <w:lang w:val="en-IE"/>
        </w:rPr>
      </w:pPr>
      <w:r w:rsidRPr="00615C5B">
        <w:rPr>
          <w:i/>
          <w:iCs/>
          <w:color w:val="000000"/>
          <w:lang w:val="en-IE"/>
        </w:rPr>
        <w:t>“There was a common assumption between these parties, reasonably held and based on unequivocal circumstances, that the parties would hold their hand as against each other until such time as that litigation had come to a practical conclusion one way or the other.”</w:t>
      </w:r>
    </w:p>
    <w:p w14:paraId="6198173A" w14:textId="474D957E" w:rsidR="00886FFD" w:rsidRDefault="00615C5B" w:rsidP="004A0604">
      <w:pPr>
        <w:pStyle w:val="NormalWeb"/>
        <w:spacing w:before="0" w:beforeAutospacing="0" w:after="0" w:afterAutospacing="0" w:line="480" w:lineRule="auto"/>
        <w:jc w:val="both"/>
        <w:rPr>
          <w:color w:val="000000"/>
          <w:lang w:val="en-IE"/>
        </w:rPr>
      </w:pPr>
      <w:r>
        <w:rPr>
          <w:color w:val="000000"/>
          <w:lang w:val="en-IE"/>
        </w:rPr>
        <w:t>H</w:t>
      </w:r>
      <w:r w:rsidR="00936CE0" w:rsidRPr="00615C5B">
        <w:rPr>
          <w:color w:val="000000"/>
          <w:lang w:val="en-IE"/>
        </w:rPr>
        <w:t>ere</w:t>
      </w:r>
      <w:r>
        <w:rPr>
          <w:color w:val="000000"/>
          <w:lang w:val="en-IE"/>
        </w:rPr>
        <w:t>,</w:t>
      </w:r>
      <w:r w:rsidR="00936CE0" w:rsidRPr="00615C5B">
        <w:rPr>
          <w:color w:val="000000"/>
          <w:lang w:val="en-IE"/>
        </w:rPr>
        <w:t xml:space="preserve"> the respondents argue that there was no common assumption as between the parties</w:t>
      </w:r>
      <w:r w:rsidR="00A74DEE">
        <w:rPr>
          <w:color w:val="000000"/>
          <w:lang w:val="en-IE"/>
        </w:rPr>
        <w:t>. On Amber’s</w:t>
      </w:r>
      <w:r w:rsidR="00936CE0" w:rsidRPr="00615C5B">
        <w:rPr>
          <w:color w:val="000000"/>
          <w:lang w:val="en-IE"/>
        </w:rPr>
        <w:t xml:space="preserve"> </w:t>
      </w:r>
      <w:r w:rsidR="00A74DEE">
        <w:rPr>
          <w:color w:val="000000"/>
          <w:lang w:val="en-IE"/>
        </w:rPr>
        <w:t>part, it is</w:t>
      </w:r>
      <w:r w:rsidR="00936CE0" w:rsidRPr="00615C5B">
        <w:rPr>
          <w:color w:val="000000"/>
          <w:lang w:val="en-IE"/>
        </w:rPr>
        <w:t xml:space="preserve"> contended that the failure to register the transfer of shares was an error which arose because the relevant documentation was not for</w:t>
      </w:r>
      <w:r w:rsidR="00A74DEE">
        <w:rPr>
          <w:color w:val="000000"/>
          <w:lang w:val="en-IE"/>
        </w:rPr>
        <w:t>warded</w:t>
      </w:r>
      <w:r w:rsidR="00936CE0" w:rsidRPr="00615C5B">
        <w:rPr>
          <w:color w:val="000000"/>
          <w:lang w:val="en-IE"/>
        </w:rPr>
        <w:t xml:space="preserve"> </w:t>
      </w:r>
      <w:r w:rsidR="00721867">
        <w:rPr>
          <w:color w:val="000000"/>
          <w:lang w:val="en-IE"/>
        </w:rPr>
        <w:t xml:space="preserve">to it by </w:t>
      </w:r>
      <w:r w:rsidR="00A74DEE">
        <w:rPr>
          <w:color w:val="000000"/>
          <w:lang w:val="en-IE"/>
        </w:rPr>
        <w:t>Amber’s then-</w:t>
      </w:r>
      <w:r w:rsidR="00936CE0" w:rsidRPr="00615C5B">
        <w:rPr>
          <w:color w:val="000000"/>
          <w:lang w:val="en-IE"/>
        </w:rPr>
        <w:t>solicitors</w:t>
      </w:r>
      <w:r w:rsidR="00A74DEE">
        <w:rPr>
          <w:color w:val="000000"/>
          <w:lang w:val="en-IE"/>
        </w:rPr>
        <w:t>. M</w:t>
      </w:r>
      <w:r w:rsidR="00936CE0" w:rsidRPr="00615C5B">
        <w:rPr>
          <w:color w:val="000000"/>
          <w:lang w:val="en-IE"/>
        </w:rPr>
        <w:t>ore importantly</w:t>
      </w:r>
      <w:r w:rsidR="00A74DEE">
        <w:rPr>
          <w:color w:val="000000"/>
          <w:lang w:val="en-IE"/>
        </w:rPr>
        <w:t>, i</w:t>
      </w:r>
      <w:r w:rsidR="00936CE0" w:rsidRPr="00615C5B">
        <w:rPr>
          <w:color w:val="000000"/>
          <w:lang w:val="en-IE"/>
        </w:rPr>
        <w:t xml:space="preserve">t is contended </w:t>
      </w:r>
      <w:r w:rsidR="00A74DEE">
        <w:rPr>
          <w:color w:val="000000"/>
          <w:lang w:val="en-IE"/>
        </w:rPr>
        <w:t xml:space="preserve">that </w:t>
      </w:r>
      <w:r w:rsidR="00936CE0" w:rsidRPr="00615C5B">
        <w:rPr>
          <w:color w:val="000000"/>
          <w:lang w:val="en-IE"/>
        </w:rPr>
        <w:t>the evidence does not establish the existence of any understanding or assumption on the applicant</w:t>
      </w:r>
      <w:r w:rsidR="00A74DEE">
        <w:rPr>
          <w:color w:val="000000"/>
          <w:lang w:val="en-IE"/>
        </w:rPr>
        <w:t>’s</w:t>
      </w:r>
      <w:r w:rsidR="00936CE0" w:rsidRPr="00615C5B">
        <w:rPr>
          <w:color w:val="000000"/>
          <w:lang w:val="en-IE"/>
        </w:rPr>
        <w:t xml:space="preserve"> side</w:t>
      </w:r>
      <w:r w:rsidR="00A74DEE">
        <w:rPr>
          <w:color w:val="000000"/>
          <w:lang w:val="en-IE"/>
        </w:rPr>
        <w:t>.</w:t>
      </w:r>
      <w:r w:rsidR="00936CE0" w:rsidRPr="00615C5B">
        <w:rPr>
          <w:color w:val="000000"/>
          <w:lang w:val="en-IE"/>
        </w:rPr>
        <w:t xml:space="preserve"> I have considered </w:t>
      </w:r>
      <w:proofErr w:type="gramStart"/>
      <w:r w:rsidR="00936CE0" w:rsidRPr="00615C5B">
        <w:rPr>
          <w:color w:val="000000"/>
          <w:lang w:val="en-IE"/>
        </w:rPr>
        <w:t>all of</w:t>
      </w:r>
      <w:proofErr w:type="gramEnd"/>
      <w:r w:rsidR="00936CE0" w:rsidRPr="00615C5B">
        <w:rPr>
          <w:color w:val="000000"/>
          <w:lang w:val="en-IE"/>
        </w:rPr>
        <w:t xml:space="preserve"> the evidence before the court very carefully</w:t>
      </w:r>
      <w:r w:rsidR="00A74DEE">
        <w:rPr>
          <w:color w:val="000000"/>
          <w:lang w:val="en-IE"/>
        </w:rPr>
        <w:t>. The</w:t>
      </w:r>
      <w:r w:rsidR="00936CE0" w:rsidRPr="00615C5B">
        <w:rPr>
          <w:color w:val="000000"/>
          <w:lang w:val="en-IE"/>
        </w:rPr>
        <w:t xml:space="preserve"> respondents are correct in identifying an absence of evidence to demonstrate that the applicant considered itself the owner of shares in the company at any time after 2013 until the matter was raised in correspondenc</w:t>
      </w:r>
      <w:r w:rsidR="00A74DEE">
        <w:rPr>
          <w:color w:val="000000"/>
          <w:lang w:val="en-IE"/>
        </w:rPr>
        <w:t xml:space="preserve">e, </w:t>
      </w:r>
      <w:r w:rsidR="00936CE0" w:rsidRPr="00615C5B">
        <w:rPr>
          <w:color w:val="000000"/>
          <w:lang w:val="en-IE"/>
        </w:rPr>
        <w:t xml:space="preserve">initiated by </w:t>
      </w:r>
      <w:r w:rsidR="00A74DEE">
        <w:rPr>
          <w:color w:val="000000"/>
          <w:lang w:val="en-IE"/>
        </w:rPr>
        <w:t>A</w:t>
      </w:r>
      <w:r w:rsidR="00936CE0" w:rsidRPr="00615C5B">
        <w:rPr>
          <w:color w:val="000000"/>
          <w:lang w:val="en-IE"/>
        </w:rPr>
        <w:t xml:space="preserve">mber in 2020. </w:t>
      </w:r>
      <w:r w:rsidR="00A74DEE">
        <w:rPr>
          <w:color w:val="000000"/>
          <w:lang w:val="en-IE"/>
        </w:rPr>
        <w:t>S</w:t>
      </w:r>
      <w:r w:rsidR="00936CE0" w:rsidRPr="00615C5B">
        <w:rPr>
          <w:color w:val="000000"/>
          <w:lang w:val="en-IE"/>
        </w:rPr>
        <w:t>trikingly</w:t>
      </w:r>
      <w:r w:rsidR="00A74DEE">
        <w:rPr>
          <w:color w:val="000000"/>
          <w:lang w:val="en-IE"/>
        </w:rPr>
        <w:t>,</w:t>
      </w:r>
      <w:r w:rsidR="00936CE0" w:rsidRPr="00615C5B">
        <w:rPr>
          <w:color w:val="000000"/>
          <w:lang w:val="en-IE"/>
        </w:rPr>
        <w:t xml:space="preserve"> there is no evidence before the court to suggest that the applicant engaged with or reacted to the purported downgrading of its shareholding in the company in 2015. Although Mr.</w:t>
      </w:r>
      <w:r w:rsidR="00A74DEE">
        <w:rPr>
          <w:color w:val="000000"/>
          <w:lang w:val="en-IE"/>
        </w:rPr>
        <w:t xml:space="preserve"> </w:t>
      </w:r>
      <w:proofErr w:type="spellStart"/>
      <w:r w:rsidR="00A74DEE">
        <w:rPr>
          <w:color w:val="000000"/>
          <w:lang w:val="en-IE"/>
        </w:rPr>
        <w:t>O’Regan</w:t>
      </w:r>
      <w:proofErr w:type="spellEnd"/>
      <w:r w:rsidR="00A74DEE">
        <w:rPr>
          <w:color w:val="000000"/>
          <w:lang w:val="en-IE"/>
        </w:rPr>
        <w:t xml:space="preserve"> h</w:t>
      </w:r>
      <w:r w:rsidR="00936CE0" w:rsidRPr="00615C5B">
        <w:rPr>
          <w:color w:val="000000"/>
          <w:lang w:val="en-IE"/>
        </w:rPr>
        <w:t xml:space="preserve">as </w:t>
      </w:r>
      <w:r w:rsidR="00A74DEE">
        <w:rPr>
          <w:color w:val="000000"/>
          <w:lang w:val="en-IE"/>
        </w:rPr>
        <w:t>aver</w:t>
      </w:r>
      <w:r w:rsidR="00936CE0" w:rsidRPr="00615C5B">
        <w:rPr>
          <w:color w:val="000000"/>
          <w:lang w:val="en-IE"/>
        </w:rPr>
        <w:t>r</w:t>
      </w:r>
      <w:r w:rsidR="00A74DEE">
        <w:rPr>
          <w:color w:val="000000"/>
          <w:lang w:val="en-IE"/>
        </w:rPr>
        <w:t>e</w:t>
      </w:r>
      <w:r w:rsidR="00936CE0" w:rsidRPr="00615C5B">
        <w:rPr>
          <w:color w:val="000000"/>
          <w:lang w:val="en-IE"/>
        </w:rPr>
        <w:t>d that the applicant</w:t>
      </w:r>
      <w:r w:rsidR="00A74DEE">
        <w:rPr>
          <w:color w:val="000000"/>
          <w:lang w:val="en-IE"/>
        </w:rPr>
        <w:t>’</w:t>
      </w:r>
      <w:r w:rsidR="00936CE0" w:rsidRPr="00615C5B">
        <w:rPr>
          <w:color w:val="000000"/>
          <w:lang w:val="en-IE"/>
        </w:rPr>
        <w:t xml:space="preserve">s interest in </w:t>
      </w:r>
      <w:r w:rsidR="00721867">
        <w:rPr>
          <w:i/>
          <w:color w:val="000000"/>
          <w:lang w:val="en-IE"/>
        </w:rPr>
        <w:t>“</w:t>
      </w:r>
      <w:r w:rsidR="00A74DEE">
        <w:rPr>
          <w:i/>
          <w:iCs/>
          <w:color w:val="000000"/>
          <w:lang w:val="en-IE"/>
        </w:rPr>
        <w:t>that asset”</w:t>
      </w:r>
      <w:r w:rsidR="00A74DEE">
        <w:rPr>
          <w:color w:val="000000"/>
          <w:lang w:val="en-IE"/>
        </w:rPr>
        <w:t xml:space="preserve"> (</w:t>
      </w:r>
      <w:r w:rsidR="00936CE0" w:rsidRPr="00615C5B">
        <w:rPr>
          <w:color w:val="000000"/>
          <w:lang w:val="en-IE"/>
        </w:rPr>
        <w:t>presumably meaning the property held by the company</w:t>
      </w:r>
      <w:r w:rsidR="00A74DEE">
        <w:rPr>
          <w:color w:val="000000"/>
          <w:lang w:val="en-IE"/>
        </w:rPr>
        <w:t>)</w:t>
      </w:r>
      <w:r w:rsidR="00936CE0" w:rsidRPr="00615C5B">
        <w:rPr>
          <w:color w:val="000000"/>
          <w:lang w:val="en-IE"/>
        </w:rPr>
        <w:t xml:space="preserve"> form</w:t>
      </w:r>
      <w:r w:rsidR="00721867">
        <w:rPr>
          <w:color w:val="000000"/>
          <w:lang w:val="en-IE"/>
        </w:rPr>
        <w:t>ed</w:t>
      </w:r>
      <w:r w:rsidR="00936CE0" w:rsidRPr="00615C5B">
        <w:rPr>
          <w:color w:val="000000"/>
          <w:lang w:val="en-IE"/>
        </w:rPr>
        <w:t xml:space="preserve"> part of the reason for his investment in the applicant</w:t>
      </w:r>
      <w:r w:rsidR="00A74DEE">
        <w:rPr>
          <w:color w:val="000000"/>
          <w:lang w:val="en-IE"/>
        </w:rPr>
        <w:t>,</w:t>
      </w:r>
      <w:r w:rsidR="00936CE0" w:rsidRPr="00615C5B">
        <w:rPr>
          <w:color w:val="000000"/>
          <w:lang w:val="en-IE"/>
        </w:rPr>
        <w:t xml:space="preserve"> as previously noted</w:t>
      </w:r>
      <w:r w:rsidR="00A74DEE">
        <w:rPr>
          <w:color w:val="000000"/>
          <w:lang w:val="en-IE"/>
        </w:rPr>
        <w:t xml:space="preserve">, </w:t>
      </w:r>
      <w:r w:rsidR="00936CE0" w:rsidRPr="00615C5B">
        <w:rPr>
          <w:color w:val="000000"/>
          <w:lang w:val="en-IE"/>
        </w:rPr>
        <w:t>there is no documentary evidence before the court on any of these matters</w:t>
      </w:r>
      <w:r w:rsidR="00A74DEE">
        <w:rPr>
          <w:color w:val="000000"/>
          <w:lang w:val="en-IE"/>
        </w:rPr>
        <w:t>.</w:t>
      </w:r>
    </w:p>
    <w:p w14:paraId="69704D80" w14:textId="14148E2A" w:rsidR="00886FFD" w:rsidRPr="00CF58FA" w:rsidRDefault="00886FFD" w:rsidP="008A391E">
      <w:pPr>
        <w:pStyle w:val="NormalWeb"/>
        <w:numPr>
          <w:ilvl w:val="0"/>
          <w:numId w:val="2"/>
        </w:numPr>
        <w:spacing w:before="0" w:beforeAutospacing="0" w:after="0" w:afterAutospacing="0" w:line="480" w:lineRule="auto"/>
        <w:ind w:left="0" w:firstLine="0"/>
        <w:jc w:val="both"/>
        <w:rPr>
          <w:color w:val="000000"/>
          <w:lang w:val="en-IE"/>
        </w:rPr>
      </w:pPr>
      <w:r w:rsidRPr="00A633AE">
        <w:rPr>
          <w:color w:val="000000"/>
          <w:lang w:val="en-IE"/>
        </w:rPr>
        <w:t xml:space="preserve">I do not regard the facts </w:t>
      </w:r>
      <w:r w:rsidR="008A391E">
        <w:rPr>
          <w:color w:val="000000"/>
          <w:lang w:val="en-IE"/>
        </w:rPr>
        <w:t xml:space="preserve">evident from the material </w:t>
      </w:r>
      <w:r w:rsidRPr="00A633AE">
        <w:rPr>
          <w:color w:val="000000"/>
          <w:lang w:val="en-IE"/>
        </w:rPr>
        <w:t>before the court as establishing that there was any form of contrivance on the part of</w:t>
      </w:r>
      <w:r>
        <w:rPr>
          <w:color w:val="000000"/>
          <w:lang w:val="en-IE"/>
        </w:rPr>
        <w:t xml:space="preserve"> A</w:t>
      </w:r>
      <w:r w:rsidRPr="00A633AE">
        <w:rPr>
          <w:color w:val="000000"/>
          <w:lang w:val="en-IE"/>
        </w:rPr>
        <w:t>mber or on the part of the company</w:t>
      </w:r>
      <w:r>
        <w:rPr>
          <w:color w:val="000000"/>
          <w:lang w:val="en-IE"/>
        </w:rPr>
        <w:t>.</w:t>
      </w:r>
      <w:r w:rsidRPr="00A633AE">
        <w:rPr>
          <w:color w:val="000000"/>
          <w:lang w:val="en-IE"/>
        </w:rPr>
        <w:t xml:space="preserve"> </w:t>
      </w:r>
      <w:r>
        <w:rPr>
          <w:color w:val="000000"/>
          <w:lang w:val="en-IE"/>
        </w:rPr>
        <w:t>T</w:t>
      </w:r>
      <w:r w:rsidRPr="00A633AE">
        <w:rPr>
          <w:color w:val="000000"/>
          <w:lang w:val="en-IE"/>
        </w:rPr>
        <w:t>he possibility of a form of false crystalli</w:t>
      </w:r>
      <w:r>
        <w:rPr>
          <w:color w:val="000000"/>
          <w:lang w:val="en-IE"/>
        </w:rPr>
        <w:t>s</w:t>
      </w:r>
      <w:r w:rsidRPr="00A633AE">
        <w:rPr>
          <w:color w:val="000000"/>
          <w:lang w:val="en-IE"/>
        </w:rPr>
        <w:t>ation</w:t>
      </w:r>
      <w:r>
        <w:rPr>
          <w:color w:val="000000"/>
          <w:lang w:val="en-IE"/>
        </w:rPr>
        <w:t xml:space="preserve"> o</w:t>
      </w:r>
      <w:r w:rsidRPr="00A633AE">
        <w:rPr>
          <w:color w:val="000000"/>
          <w:lang w:val="en-IE"/>
        </w:rPr>
        <w:t xml:space="preserve">f a floating charge by </w:t>
      </w:r>
      <w:r>
        <w:rPr>
          <w:color w:val="000000"/>
          <w:lang w:val="en-IE"/>
        </w:rPr>
        <w:t xml:space="preserve">a </w:t>
      </w:r>
      <w:r w:rsidR="008A391E">
        <w:rPr>
          <w:color w:val="000000"/>
          <w:lang w:val="en-IE"/>
        </w:rPr>
        <w:t>deb</w:t>
      </w:r>
      <w:r w:rsidRPr="00A633AE">
        <w:rPr>
          <w:color w:val="000000"/>
          <w:lang w:val="en-IE"/>
        </w:rPr>
        <w:t xml:space="preserve">enture </w:t>
      </w:r>
      <w:r>
        <w:rPr>
          <w:color w:val="000000"/>
          <w:lang w:val="en-IE"/>
        </w:rPr>
        <w:t>holder</w:t>
      </w:r>
      <w:r w:rsidRPr="00A633AE">
        <w:rPr>
          <w:color w:val="000000"/>
          <w:lang w:val="en-IE"/>
        </w:rPr>
        <w:t xml:space="preserve"> be</w:t>
      </w:r>
      <w:r>
        <w:rPr>
          <w:color w:val="000000"/>
          <w:lang w:val="en-IE"/>
        </w:rPr>
        <w:t>ing</w:t>
      </w:r>
      <w:r w:rsidRPr="00A633AE">
        <w:rPr>
          <w:color w:val="000000"/>
          <w:lang w:val="en-IE"/>
        </w:rPr>
        <w:t xml:space="preserve"> contrived</w:t>
      </w:r>
      <w:r>
        <w:rPr>
          <w:color w:val="000000"/>
          <w:lang w:val="en-IE"/>
        </w:rPr>
        <w:t xml:space="preserve"> i</w:t>
      </w:r>
      <w:r w:rsidRPr="00A633AE">
        <w:rPr>
          <w:color w:val="000000"/>
          <w:lang w:val="en-IE"/>
        </w:rPr>
        <w:t xml:space="preserve">n circumstances where a company was imminently facing insolvency is clearly the basis for the concern identified by the </w:t>
      </w:r>
      <w:proofErr w:type="spellStart"/>
      <w:r>
        <w:rPr>
          <w:color w:val="000000"/>
          <w:lang w:val="en-IE"/>
        </w:rPr>
        <w:t>Laffoy</w:t>
      </w:r>
      <w:proofErr w:type="spellEnd"/>
      <w:r>
        <w:rPr>
          <w:color w:val="000000"/>
          <w:lang w:val="en-IE"/>
        </w:rPr>
        <w:t xml:space="preserve"> J. </w:t>
      </w:r>
      <w:r>
        <w:rPr>
          <w:i/>
          <w:iCs/>
          <w:color w:val="000000"/>
          <w:lang w:val="en-IE"/>
        </w:rPr>
        <w:t>Re J.D. Brian</w:t>
      </w:r>
      <w:r w:rsidRPr="00EC3E83">
        <w:rPr>
          <w:i/>
          <w:iCs/>
          <w:color w:val="000000"/>
          <w:lang w:val="en-IE"/>
        </w:rPr>
        <w:t xml:space="preserve"> Ltd</w:t>
      </w:r>
      <w:r>
        <w:rPr>
          <w:color w:val="000000"/>
          <w:lang w:val="en-IE"/>
        </w:rPr>
        <w:t xml:space="preserve"> [2016] 1 IR 131. </w:t>
      </w:r>
      <w:r w:rsidRPr="00A633AE">
        <w:rPr>
          <w:color w:val="000000"/>
          <w:lang w:val="en-IE"/>
        </w:rPr>
        <w:t xml:space="preserve">Importantly, this is not a case in which a company continued to carry </w:t>
      </w:r>
      <w:r w:rsidRPr="00A633AE">
        <w:rPr>
          <w:color w:val="000000"/>
          <w:lang w:val="en-IE"/>
        </w:rPr>
        <w:lastRenderedPageBreak/>
        <w:t>on business to the detriment of any third party w</w:t>
      </w:r>
      <w:r>
        <w:rPr>
          <w:color w:val="000000"/>
          <w:lang w:val="en-IE"/>
        </w:rPr>
        <w:t>hilst</w:t>
      </w:r>
      <w:r w:rsidRPr="00A633AE">
        <w:rPr>
          <w:color w:val="000000"/>
          <w:lang w:val="en-IE"/>
        </w:rPr>
        <w:t xml:space="preserve"> failing to register a transaction which might have a bearing on the business being conducted.</w:t>
      </w:r>
      <w:r>
        <w:rPr>
          <w:color w:val="000000"/>
          <w:lang w:val="en-IE"/>
        </w:rPr>
        <w:t xml:space="preserve"> This company was not a trading company and the only steps taken by it since its incorporation were the purchase and then the sale of the property. </w:t>
      </w:r>
      <w:r w:rsidR="00A74DEE" w:rsidRPr="00CF58FA">
        <w:rPr>
          <w:color w:val="000000"/>
          <w:lang w:val="en-IE"/>
        </w:rPr>
        <w:t xml:space="preserve"> </w:t>
      </w:r>
    </w:p>
    <w:p w14:paraId="06891841" w14:textId="1F7F4836" w:rsidR="00A633AE" w:rsidRDefault="00A74DEE"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Whilst i</w:t>
      </w:r>
      <w:r w:rsidR="00936CE0" w:rsidRPr="00615C5B">
        <w:rPr>
          <w:color w:val="000000"/>
          <w:lang w:val="en-IE"/>
        </w:rPr>
        <w:t>n many respects a situation where Amber purchased the applicant</w:t>
      </w:r>
      <w:r>
        <w:rPr>
          <w:color w:val="000000"/>
          <w:lang w:val="en-IE"/>
        </w:rPr>
        <w:t>’s</w:t>
      </w:r>
      <w:r w:rsidR="00936CE0" w:rsidRPr="00615C5B">
        <w:rPr>
          <w:color w:val="000000"/>
          <w:lang w:val="en-IE"/>
        </w:rPr>
        <w:t xml:space="preserve"> shares in the company and immediately forgot it had done so and the applicant continued to be formally treated as the owner of those shares without paying any heed to that fact is bizarre</w:t>
      </w:r>
      <w:r>
        <w:rPr>
          <w:color w:val="000000"/>
          <w:lang w:val="en-IE"/>
        </w:rPr>
        <w:t>,</w:t>
      </w:r>
      <w:r w:rsidR="00936CE0" w:rsidRPr="00615C5B">
        <w:rPr>
          <w:color w:val="000000"/>
          <w:lang w:val="en-IE"/>
        </w:rPr>
        <w:t xml:space="preserve"> it is nonetheless understandable</w:t>
      </w:r>
      <w:r>
        <w:rPr>
          <w:color w:val="000000"/>
          <w:lang w:val="en-IE"/>
        </w:rPr>
        <w:t xml:space="preserve"> i</w:t>
      </w:r>
      <w:r w:rsidR="00936CE0" w:rsidRPr="00615C5B">
        <w:rPr>
          <w:color w:val="000000"/>
          <w:lang w:val="en-IE"/>
        </w:rPr>
        <w:t xml:space="preserve">n the </w:t>
      </w:r>
      <w:proofErr w:type="gramStart"/>
      <w:r w:rsidR="00721867">
        <w:rPr>
          <w:color w:val="000000"/>
          <w:lang w:val="en-IE"/>
        </w:rPr>
        <w:t xml:space="preserve">particular </w:t>
      </w:r>
      <w:r w:rsidR="00936CE0" w:rsidRPr="00615C5B">
        <w:rPr>
          <w:color w:val="000000"/>
          <w:lang w:val="en-IE"/>
        </w:rPr>
        <w:t>circumstances</w:t>
      </w:r>
      <w:proofErr w:type="gramEnd"/>
      <w:r>
        <w:rPr>
          <w:color w:val="000000"/>
          <w:lang w:val="en-IE"/>
        </w:rPr>
        <w:t>.</w:t>
      </w:r>
      <w:r w:rsidR="00936CE0" w:rsidRPr="00615C5B">
        <w:rPr>
          <w:color w:val="000000"/>
          <w:lang w:val="en-IE"/>
        </w:rPr>
        <w:t xml:space="preserve"> </w:t>
      </w:r>
      <w:r>
        <w:rPr>
          <w:color w:val="000000"/>
          <w:lang w:val="en-IE"/>
        </w:rPr>
        <w:t>The</w:t>
      </w:r>
      <w:r w:rsidR="00936CE0" w:rsidRPr="00615C5B">
        <w:rPr>
          <w:color w:val="000000"/>
          <w:lang w:val="en-IE"/>
        </w:rPr>
        <w:t xml:space="preserve"> company was formed with the sole objective of being</w:t>
      </w:r>
      <w:r>
        <w:rPr>
          <w:color w:val="000000"/>
          <w:lang w:val="en-IE"/>
        </w:rPr>
        <w:t xml:space="preserve"> the</w:t>
      </w:r>
      <w:r w:rsidR="00936CE0" w:rsidRPr="00615C5B">
        <w:rPr>
          <w:color w:val="000000"/>
          <w:lang w:val="en-IE"/>
        </w:rPr>
        <w:t xml:space="preserve"> vehicle through which a joint venture between the applicant and Amber </w:t>
      </w:r>
      <w:r w:rsidR="00721867">
        <w:rPr>
          <w:color w:val="000000"/>
          <w:lang w:val="en-IE"/>
        </w:rPr>
        <w:t xml:space="preserve">to carry out a specific development </w:t>
      </w:r>
      <w:r w:rsidR="00936CE0" w:rsidRPr="00615C5B">
        <w:rPr>
          <w:color w:val="000000"/>
          <w:lang w:val="en-IE"/>
        </w:rPr>
        <w:t>would be pursued</w:t>
      </w:r>
      <w:r>
        <w:rPr>
          <w:color w:val="000000"/>
          <w:lang w:val="en-IE"/>
        </w:rPr>
        <w:t>.</w:t>
      </w:r>
      <w:r w:rsidR="00936CE0" w:rsidRPr="00615C5B">
        <w:rPr>
          <w:color w:val="000000"/>
          <w:lang w:val="en-IE"/>
        </w:rPr>
        <w:t xml:space="preserve"> </w:t>
      </w:r>
      <w:r>
        <w:rPr>
          <w:color w:val="000000"/>
          <w:lang w:val="en-IE"/>
        </w:rPr>
        <w:t>H</w:t>
      </w:r>
      <w:r w:rsidR="00936CE0" w:rsidRPr="00615C5B">
        <w:rPr>
          <w:color w:val="000000"/>
          <w:lang w:val="en-IE"/>
        </w:rPr>
        <w:t xml:space="preserve">aving bought the lands upon which it was intended to build the </w:t>
      </w:r>
      <w:r w:rsidR="00983A49">
        <w:rPr>
          <w:color w:val="000000"/>
          <w:lang w:val="en-IE"/>
        </w:rPr>
        <w:t>d</w:t>
      </w:r>
      <w:r w:rsidR="00936CE0" w:rsidRPr="00615C5B">
        <w:rPr>
          <w:color w:val="000000"/>
          <w:lang w:val="en-IE"/>
        </w:rPr>
        <w:t>evelopmen</w:t>
      </w:r>
      <w:r w:rsidR="00983A49">
        <w:rPr>
          <w:color w:val="000000"/>
          <w:lang w:val="en-IE"/>
        </w:rPr>
        <w:t xml:space="preserve">t, </w:t>
      </w:r>
      <w:r w:rsidR="00936CE0" w:rsidRPr="00615C5B">
        <w:rPr>
          <w:color w:val="000000"/>
          <w:lang w:val="en-IE"/>
        </w:rPr>
        <w:t>the economy crashed and the shareholders in the company</w:t>
      </w:r>
      <w:r w:rsidR="005D7FA7">
        <w:rPr>
          <w:color w:val="000000"/>
          <w:lang w:val="en-IE"/>
        </w:rPr>
        <w:t xml:space="preserve">, </w:t>
      </w:r>
      <w:r w:rsidR="00936CE0" w:rsidRPr="00615C5B">
        <w:rPr>
          <w:color w:val="000000"/>
          <w:lang w:val="en-IE"/>
        </w:rPr>
        <w:t>most particularly the applicant</w:t>
      </w:r>
      <w:r w:rsidR="005D7FA7">
        <w:rPr>
          <w:color w:val="000000"/>
          <w:lang w:val="en-IE"/>
        </w:rPr>
        <w:t xml:space="preserve">, </w:t>
      </w:r>
      <w:r w:rsidR="00936CE0" w:rsidRPr="00615C5B">
        <w:rPr>
          <w:color w:val="000000"/>
          <w:lang w:val="en-IE"/>
        </w:rPr>
        <w:t>were unable to service the company</w:t>
      </w:r>
      <w:r w:rsidR="005D7FA7">
        <w:rPr>
          <w:color w:val="000000"/>
          <w:lang w:val="en-IE"/>
        </w:rPr>
        <w:t>’</w:t>
      </w:r>
      <w:r w:rsidR="00936CE0" w:rsidRPr="00615C5B">
        <w:rPr>
          <w:color w:val="000000"/>
          <w:lang w:val="en-IE"/>
        </w:rPr>
        <w:t>s loans. The value of the property declined and was in serious negative equity</w:t>
      </w:r>
      <w:r w:rsidR="005D7FA7">
        <w:rPr>
          <w:color w:val="000000"/>
          <w:lang w:val="en-IE"/>
        </w:rPr>
        <w:t xml:space="preserve">. </w:t>
      </w:r>
      <w:r w:rsidR="00721867">
        <w:rPr>
          <w:color w:val="000000"/>
          <w:lang w:val="en-IE"/>
        </w:rPr>
        <w:t>T</w:t>
      </w:r>
      <w:r w:rsidR="00936CE0" w:rsidRPr="00615C5B">
        <w:rPr>
          <w:color w:val="000000"/>
          <w:lang w:val="en-IE"/>
        </w:rPr>
        <w:t>o all intents and purposes</w:t>
      </w:r>
      <w:r w:rsidR="005D7FA7">
        <w:rPr>
          <w:color w:val="000000"/>
          <w:lang w:val="en-IE"/>
        </w:rPr>
        <w:t>,</w:t>
      </w:r>
      <w:r w:rsidR="00936CE0" w:rsidRPr="00615C5B">
        <w:rPr>
          <w:color w:val="000000"/>
          <w:lang w:val="en-IE"/>
        </w:rPr>
        <w:t xml:space="preserve"> both the company and the only a</w:t>
      </w:r>
      <w:r w:rsidR="005D7FA7">
        <w:rPr>
          <w:color w:val="000000"/>
          <w:lang w:val="en-IE"/>
        </w:rPr>
        <w:t>sset it</w:t>
      </w:r>
      <w:r w:rsidR="00936CE0" w:rsidRPr="00615C5B">
        <w:rPr>
          <w:color w:val="000000"/>
          <w:lang w:val="en-IE"/>
        </w:rPr>
        <w:t xml:space="preserve"> possessed, namely the lands</w:t>
      </w:r>
      <w:r w:rsidR="005D7FA7">
        <w:rPr>
          <w:color w:val="000000"/>
          <w:lang w:val="en-IE"/>
        </w:rPr>
        <w:t>, were</w:t>
      </w:r>
      <w:r w:rsidR="00936CE0" w:rsidRPr="00615C5B">
        <w:rPr>
          <w:color w:val="000000"/>
          <w:lang w:val="en-IE"/>
        </w:rPr>
        <w:t xml:space="preserve"> worthless</w:t>
      </w:r>
      <w:r w:rsidR="00886FFD">
        <w:rPr>
          <w:color w:val="000000"/>
          <w:lang w:val="en-IE"/>
        </w:rPr>
        <w:t xml:space="preserve"> – although I note that the applicant claims that the company’s losses have a value to it for revenue purposes.</w:t>
      </w:r>
      <w:r w:rsidR="00CF58FA">
        <w:rPr>
          <w:color w:val="000000"/>
          <w:lang w:val="en-IE"/>
        </w:rPr>
        <w:t xml:space="preserve"> </w:t>
      </w:r>
      <w:r w:rsidR="005D7FA7">
        <w:rPr>
          <w:color w:val="000000"/>
          <w:lang w:val="en-IE"/>
        </w:rPr>
        <w:t>T</w:t>
      </w:r>
      <w:r w:rsidR="00936CE0" w:rsidRPr="00615C5B">
        <w:rPr>
          <w:color w:val="000000"/>
          <w:lang w:val="en-IE"/>
        </w:rPr>
        <w:t>he company was not trading and</w:t>
      </w:r>
      <w:r w:rsidR="005D7FA7">
        <w:rPr>
          <w:color w:val="000000"/>
          <w:lang w:val="en-IE"/>
        </w:rPr>
        <w:t>,</w:t>
      </w:r>
      <w:r w:rsidR="00936CE0" w:rsidRPr="00615C5B">
        <w:rPr>
          <w:color w:val="000000"/>
          <w:lang w:val="en-IE"/>
        </w:rPr>
        <w:t xml:space="preserve"> effectively</w:t>
      </w:r>
      <w:r w:rsidR="005D7FA7">
        <w:rPr>
          <w:color w:val="000000"/>
          <w:lang w:val="en-IE"/>
        </w:rPr>
        <w:t>,</w:t>
      </w:r>
      <w:r w:rsidR="00936CE0" w:rsidRPr="00615C5B">
        <w:rPr>
          <w:color w:val="000000"/>
          <w:lang w:val="en-IE"/>
        </w:rPr>
        <w:t xml:space="preserve"> remained dormant until the mon</w:t>
      </w:r>
      <w:r w:rsidR="005D7FA7">
        <w:rPr>
          <w:color w:val="000000"/>
          <w:lang w:val="en-IE"/>
        </w:rPr>
        <w:t>ie</w:t>
      </w:r>
      <w:r w:rsidR="00936CE0" w:rsidRPr="00615C5B">
        <w:rPr>
          <w:color w:val="000000"/>
          <w:lang w:val="en-IE"/>
        </w:rPr>
        <w:t>s due to the bank were repaid through a combination of the sale of the land and further investment by Amber</w:t>
      </w:r>
      <w:r w:rsidR="00A633AE">
        <w:rPr>
          <w:color w:val="000000"/>
          <w:lang w:val="en-IE"/>
        </w:rPr>
        <w:t xml:space="preserve">. Whilst </w:t>
      </w:r>
      <w:r w:rsidR="00886FFD">
        <w:rPr>
          <w:color w:val="000000"/>
          <w:lang w:val="en-IE"/>
        </w:rPr>
        <w:t>t</w:t>
      </w:r>
      <w:r w:rsidR="00886FFD" w:rsidRPr="00615C5B">
        <w:rPr>
          <w:color w:val="000000"/>
          <w:lang w:val="en-IE"/>
        </w:rPr>
        <w:t xml:space="preserve">o put it mildly </w:t>
      </w:r>
      <w:r w:rsidR="00936CE0" w:rsidRPr="00615C5B">
        <w:rPr>
          <w:color w:val="000000"/>
          <w:lang w:val="en-IE"/>
        </w:rPr>
        <w:t>the treatment of the shares was slopp</w:t>
      </w:r>
      <w:r w:rsidR="00A633AE">
        <w:rPr>
          <w:color w:val="000000"/>
          <w:lang w:val="en-IE"/>
        </w:rPr>
        <w:t>y f</w:t>
      </w:r>
      <w:r w:rsidR="00936CE0" w:rsidRPr="00615C5B">
        <w:rPr>
          <w:color w:val="000000"/>
          <w:lang w:val="en-IE"/>
        </w:rPr>
        <w:t>rom a company law perspective, it was not unreasonable from a purely commercial perspective.</w:t>
      </w:r>
    </w:p>
    <w:p w14:paraId="776A9D96" w14:textId="739EAFDB" w:rsidR="00EC3E83" w:rsidRPr="00CF58FA" w:rsidRDefault="00A633AE"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Whilst</w:t>
      </w:r>
      <w:r w:rsidR="00936CE0" w:rsidRPr="00615C5B">
        <w:rPr>
          <w:color w:val="000000"/>
          <w:lang w:val="en-IE"/>
        </w:rPr>
        <w:t xml:space="preserve"> the making of returns to the capital C</w:t>
      </w:r>
      <w:r>
        <w:rPr>
          <w:color w:val="000000"/>
          <w:lang w:val="en-IE"/>
        </w:rPr>
        <w:t>R</w:t>
      </w:r>
      <w:r w:rsidR="00936CE0" w:rsidRPr="00615C5B">
        <w:rPr>
          <w:color w:val="000000"/>
          <w:lang w:val="en-IE"/>
        </w:rPr>
        <w:t>O is an important matter and directors are under a statutory duty to ensure the truth and accuracy of returns made</w:t>
      </w:r>
      <w:r>
        <w:rPr>
          <w:color w:val="000000"/>
          <w:lang w:val="en-IE"/>
        </w:rPr>
        <w:t>,</w:t>
      </w:r>
      <w:r w:rsidR="00936CE0" w:rsidRPr="00615C5B">
        <w:rPr>
          <w:color w:val="000000"/>
          <w:lang w:val="en-IE"/>
        </w:rPr>
        <w:t xml:space="preserve"> in the </w:t>
      </w:r>
      <w:proofErr w:type="gramStart"/>
      <w:r w:rsidR="00936CE0" w:rsidRPr="00615C5B">
        <w:rPr>
          <w:color w:val="000000"/>
          <w:lang w:val="en-IE"/>
        </w:rPr>
        <w:t>particular circumstances</w:t>
      </w:r>
      <w:proofErr w:type="gramEnd"/>
      <w:r w:rsidR="00936CE0" w:rsidRPr="00615C5B">
        <w:rPr>
          <w:color w:val="000000"/>
          <w:lang w:val="en-IE"/>
        </w:rPr>
        <w:t xml:space="preserve"> I do not regard the filing of these returns as raising an estoppel against</w:t>
      </w:r>
      <w:r>
        <w:rPr>
          <w:color w:val="000000"/>
          <w:lang w:val="en-IE"/>
        </w:rPr>
        <w:t xml:space="preserve"> </w:t>
      </w:r>
      <w:r w:rsidR="00936CE0" w:rsidRPr="00A633AE">
        <w:rPr>
          <w:color w:val="000000"/>
          <w:lang w:val="en-IE"/>
        </w:rPr>
        <w:t>Amber so as to preclude the completion of the transfer through the re</w:t>
      </w:r>
      <w:r>
        <w:rPr>
          <w:color w:val="000000"/>
          <w:lang w:val="en-IE"/>
        </w:rPr>
        <w:t>-r</w:t>
      </w:r>
      <w:r w:rsidR="00936CE0" w:rsidRPr="00A633AE">
        <w:rPr>
          <w:color w:val="000000"/>
          <w:lang w:val="en-IE"/>
        </w:rPr>
        <w:t>egistration of the shares in 2021.</w:t>
      </w:r>
      <w:r w:rsidR="008A391E">
        <w:rPr>
          <w:color w:val="000000"/>
          <w:lang w:val="en-IE"/>
        </w:rPr>
        <w:t xml:space="preserve"> </w:t>
      </w:r>
    </w:p>
    <w:p w14:paraId="1A7EDD8C" w14:textId="10C85330" w:rsidR="00D70F14" w:rsidRDefault="00EC3E83" w:rsidP="008A391E">
      <w:pPr>
        <w:pStyle w:val="NormalWeb"/>
        <w:numPr>
          <w:ilvl w:val="0"/>
          <w:numId w:val="2"/>
        </w:numPr>
        <w:spacing w:before="0" w:beforeAutospacing="0" w:after="0" w:afterAutospacing="0" w:line="480" w:lineRule="auto"/>
        <w:ind w:left="0" w:firstLine="0"/>
        <w:jc w:val="both"/>
        <w:rPr>
          <w:color w:val="000000"/>
          <w:lang w:val="en-IE"/>
        </w:rPr>
      </w:pPr>
      <w:r>
        <w:rPr>
          <w:color w:val="000000"/>
          <w:lang w:val="en-IE"/>
        </w:rPr>
        <w:t>A</w:t>
      </w:r>
      <w:r w:rsidR="00936CE0" w:rsidRPr="00EC3E83">
        <w:rPr>
          <w:color w:val="000000"/>
          <w:lang w:val="en-IE"/>
        </w:rPr>
        <w:t>s noted by H</w:t>
      </w:r>
      <w:r>
        <w:rPr>
          <w:color w:val="000000"/>
          <w:lang w:val="en-IE"/>
        </w:rPr>
        <w:t>augh</w:t>
      </w:r>
      <w:r w:rsidR="00936CE0" w:rsidRPr="00EC3E83">
        <w:rPr>
          <w:color w:val="000000"/>
          <w:lang w:val="en-IE"/>
        </w:rPr>
        <w:t>ton J</w:t>
      </w:r>
      <w:r>
        <w:rPr>
          <w:color w:val="000000"/>
          <w:lang w:val="en-IE"/>
        </w:rPr>
        <w:t>.</w:t>
      </w:r>
      <w:r w:rsidR="00936CE0" w:rsidRPr="00EC3E83">
        <w:rPr>
          <w:color w:val="000000"/>
          <w:lang w:val="en-IE"/>
        </w:rPr>
        <w:t xml:space="preserve"> in </w:t>
      </w:r>
      <w:r w:rsidR="00936CE0" w:rsidRPr="00EC3E83">
        <w:rPr>
          <w:i/>
          <w:iCs/>
          <w:color w:val="000000"/>
          <w:lang w:val="en-IE"/>
        </w:rPr>
        <w:t>Garcia</w:t>
      </w:r>
      <w:r w:rsidRPr="00EC3E83">
        <w:rPr>
          <w:i/>
          <w:iCs/>
          <w:color w:val="000000"/>
          <w:lang w:val="en-IE"/>
        </w:rPr>
        <w:t xml:space="preserve"> v.</w:t>
      </w:r>
      <w:r w:rsidR="00936CE0" w:rsidRPr="00EC3E83">
        <w:rPr>
          <w:i/>
          <w:iCs/>
          <w:color w:val="000000"/>
          <w:lang w:val="en-IE"/>
        </w:rPr>
        <w:t xml:space="preserve"> Kilkenny</w:t>
      </w:r>
      <w:r w:rsidR="00936CE0" w:rsidRPr="00EC3E83">
        <w:rPr>
          <w:color w:val="000000"/>
          <w:lang w:val="en-IE"/>
        </w:rPr>
        <w:t xml:space="preserve"> </w:t>
      </w:r>
      <w:r>
        <w:rPr>
          <w:color w:val="000000"/>
          <w:lang w:val="en-IE"/>
        </w:rPr>
        <w:t>[</w:t>
      </w:r>
      <w:r w:rsidR="00936CE0" w:rsidRPr="00EC3E83">
        <w:rPr>
          <w:color w:val="000000"/>
          <w:lang w:val="en-IE"/>
        </w:rPr>
        <w:t>2015</w:t>
      </w:r>
      <w:r>
        <w:rPr>
          <w:color w:val="000000"/>
          <w:lang w:val="en-IE"/>
        </w:rPr>
        <w:t>]</w:t>
      </w:r>
      <w:r w:rsidR="00936CE0" w:rsidRPr="00EC3E83">
        <w:rPr>
          <w:color w:val="000000"/>
          <w:lang w:val="en-IE"/>
        </w:rPr>
        <w:t xml:space="preserve"> </w:t>
      </w:r>
      <w:r>
        <w:rPr>
          <w:color w:val="000000"/>
          <w:lang w:val="en-IE"/>
        </w:rPr>
        <w:t>IEHC</w:t>
      </w:r>
      <w:r w:rsidR="00936CE0" w:rsidRPr="00EC3E83">
        <w:rPr>
          <w:color w:val="000000"/>
          <w:lang w:val="en-IE"/>
        </w:rPr>
        <w:t xml:space="preserve"> 272</w:t>
      </w:r>
      <w:r>
        <w:rPr>
          <w:color w:val="000000"/>
          <w:lang w:val="en-IE"/>
        </w:rPr>
        <w:t xml:space="preserve"> </w:t>
      </w:r>
      <w:r w:rsidR="00936CE0" w:rsidRPr="00EC3E83">
        <w:rPr>
          <w:color w:val="000000"/>
          <w:lang w:val="en-IE"/>
        </w:rPr>
        <w:t xml:space="preserve">the overarching principle </w:t>
      </w:r>
      <w:r w:rsidR="008A391E">
        <w:rPr>
          <w:color w:val="000000"/>
          <w:lang w:val="en-IE"/>
        </w:rPr>
        <w:t xml:space="preserve">in estoppel by convention (as indeed in other forms of estoppel) </w:t>
      </w:r>
      <w:r w:rsidR="00936CE0" w:rsidRPr="00EC3E83">
        <w:rPr>
          <w:color w:val="000000"/>
          <w:lang w:val="en-IE"/>
        </w:rPr>
        <w:t xml:space="preserve">is that it must be unconscionable to allow </w:t>
      </w:r>
      <w:r w:rsidR="00936CE0" w:rsidRPr="00EC3E83">
        <w:rPr>
          <w:color w:val="000000"/>
          <w:lang w:val="en-IE"/>
        </w:rPr>
        <w:lastRenderedPageBreak/>
        <w:t xml:space="preserve">the </w:t>
      </w:r>
      <w:r>
        <w:rPr>
          <w:color w:val="000000"/>
          <w:lang w:val="en-IE"/>
        </w:rPr>
        <w:t>e</w:t>
      </w:r>
      <w:r w:rsidR="00936CE0" w:rsidRPr="00EC3E83">
        <w:rPr>
          <w:color w:val="000000"/>
          <w:lang w:val="en-IE"/>
        </w:rPr>
        <w:t>stopped party to rely on their legal rights. I</w:t>
      </w:r>
      <w:r>
        <w:rPr>
          <w:color w:val="000000"/>
          <w:lang w:val="en-IE"/>
        </w:rPr>
        <w:t xml:space="preserve"> a</w:t>
      </w:r>
      <w:r w:rsidR="00936CE0" w:rsidRPr="00EC3E83">
        <w:rPr>
          <w:color w:val="000000"/>
          <w:lang w:val="en-IE"/>
        </w:rPr>
        <w:t xml:space="preserve">m unable to identify any basis in the papers before me as to why it would be unconscionable to allow the respondents to rely on their legal rights. Amber invoked the provisions of the shareholders agreement that had been entered into with the applicant in circumstances where the applicant was facing insolvency and had </w:t>
      </w:r>
      <w:proofErr w:type="gramStart"/>
      <w:r w:rsidR="00936CE0" w:rsidRPr="00EC3E83">
        <w:rPr>
          <w:color w:val="000000"/>
          <w:lang w:val="en-IE"/>
        </w:rPr>
        <w:t>entered into</w:t>
      </w:r>
      <w:proofErr w:type="gramEnd"/>
      <w:r w:rsidR="00936CE0" w:rsidRPr="00EC3E83">
        <w:rPr>
          <w:color w:val="000000"/>
          <w:lang w:val="en-IE"/>
        </w:rPr>
        <w:t xml:space="preserve"> examinership</w:t>
      </w:r>
      <w:r w:rsidR="00D70F14">
        <w:rPr>
          <w:color w:val="000000"/>
          <w:lang w:val="en-IE"/>
        </w:rPr>
        <w:t xml:space="preserve">. Amber </w:t>
      </w:r>
      <w:r w:rsidR="00936CE0" w:rsidRPr="00EC3E83">
        <w:rPr>
          <w:color w:val="000000"/>
          <w:lang w:val="en-IE"/>
        </w:rPr>
        <w:t>purchase</w:t>
      </w:r>
      <w:r w:rsidR="00D70F14">
        <w:rPr>
          <w:color w:val="000000"/>
          <w:lang w:val="en-IE"/>
        </w:rPr>
        <w:t>d</w:t>
      </w:r>
      <w:r w:rsidR="00936CE0" w:rsidRPr="00EC3E83">
        <w:rPr>
          <w:color w:val="000000"/>
          <w:lang w:val="en-IE"/>
        </w:rPr>
        <w:t xml:space="preserve"> the applicant</w:t>
      </w:r>
      <w:r w:rsidR="00D70F14">
        <w:rPr>
          <w:color w:val="000000"/>
          <w:lang w:val="en-IE"/>
        </w:rPr>
        <w:t>’s</w:t>
      </w:r>
      <w:r w:rsidR="00936CE0" w:rsidRPr="00EC3E83">
        <w:rPr>
          <w:color w:val="000000"/>
          <w:lang w:val="en-IE"/>
        </w:rPr>
        <w:t xml:space="preserve"> shares and paid for those shares</w:t>
      </w:r>
      <w:r w:rsidR="00D70F14">
        <w:rPr>
          <w:color w:val="000000"/>
          <w:lang w:val="en-IE"/>
        </w:rPr>
        <w:t xml:space="preserve">. </w:t>
      </w:r>
      <w:r w:rsidR="00886FFD">
        <w:rPr>
          <w:color w:val="000000"/>
          <w:lang w:val="en-IE"/>
        </w:rPr>
        <w:t xml:space="preserve">At the material time the shares had no appreciable value. </w:t>
      </w:r>
      <w:r w:rsidR="00D70F14">
        <w:rPr>
          <w:color w:val="000000"/>
          <w:lang w:val="en-IE"/>
        </w:rPr>
        <w:t>A</w:t>
      </w:r>
      <w:r w:rsidR="00936CE0" w:rsidRPr="00EC3E83">
        <w:rPr>
          <w:color w:val="000000"/>
          <w:lang w:val="en-IE"/>
        </w:rPr>
        <w:t xml:space="preserve">lthough errors were clearly made </w:t>
      </w:r>
      <w:r w:rsidR="00D70F14">
        <w:rPr>
          <w:color w:val="000000"/>
          <w:lang w:val="en-IE"/>
        </w:rPr>
        <w:t>by Am</w:t>
      </w:r>
      <w:r w:rsidR="00936CE0" w:rsidRPr="00EC3E83">
        <w:rPr>
          <w:color w:val="000000"/>
          <w:lang w:val="en-IE"/>
        </w:rPr>
        <w:t xml:space="preserve">ber and its advisors in failing to register the transfer and in continuing to </w:t>
      </w:r>
      <w:r w:rsidR="00886FFD">
        <w:rPr>
          <w:color w:val="000000"/>
          <w:lang w:val="en-IE"/>
        </w:rPr>
        <w:t xml:space="preserve">formally </w:t>
      </w:r>
      <w:r w:rsidR="00936CE0" w:rsidRPr="00EC3E83">
        <w:rPr>
          <w:color w:val="000000"/>
          <w:lang w:val="en-IE"/>
        </w:rPr>
        <w:t>treat the applicant as the owner of the shares,</w:t>
      </w:r>
      <w:r w:rsidR="00D70F14">
        <w:rPr>
          <w:color w:val="000000"/>
          <w:lang w:val="en-IE"/>
        </w:rPr>
        <w:t xml:space="preserve"> t</w:t>
      </w:r>
      <w:r w:rsidR="00936CE0" w:rsidRPr="00EC3E83">
        <w:rPr>
          <w:color w:val="000000"/>
          <w:lang w:val="en-IE"/>
        </w:rPr>
        <w:t>here</w:t>
      </w:r>
      <w:r w:rsidR="00D70F14">
        <w:rPr>
          <w:color w:val="000000"/>
          <w:lang w:val="en-IE"/>
        </w:rPr>
        <w:t xml:space="preserve"> i</w:t>
      </w:r>
      <w:r w:rsidR="00936CE0" w:rsidRPr="00EC3E83">
        <w:rPr>
          <w:color w:val="000000"/>
          <w:lang w:val="en-IE"/>
        </w:rPr>
        <w:t>s no evidence before the court that the applicant continued to re</w:t>
      </w:r>
      <w:r w:rsidR="00D70F14">
        <w:rPr>
          <w:color w:val="000000"/>
          <w:lang w:val="en-IE"/>
        </w:rPr>
        <w:t>ga</w:t>
      </w:r>
      <w:r w:rsidR="00936CE0" w:rsidRPr="00EC3E83">
        <w:rPr>
          <w:color w:val="000000"/>
          <w:lang w:val="en-IE"/>
        </w:rPr>
        <w:t>rd itself as the owner of the shares</w:t>
      </w:r>
      <w:r w:rsidR="00886FFD">
        <w:rPr>
          <w:color w:val="000000"/>
          <w:lang w:val="en-IE"/>
        </w:rPr>
        <w:t>.</w:t>
      </w:r>
      <w:r w:rsidR="00936CE0" w:rsidRPr="00EC3E83">
        <w:rPr>
          <w:color w:val="000000"/>
          <w:lang w:val="en-IE"/>
        </w:rPr>
        <w:t xml:space="preserve"> </w:t>
      </w:r>
      <w:proofErr w:type="gramStart"/>
      <w:r w:rsidR="00886FFD">
        <w:rPr>
          <w:color w:val="000000"/>
          <w:lang w:val="en-IE"/>
        </w:rPr>
        <w:t>Instead</w:t>
      </w:r>
      <w:proofErr w:type="gramEnd"/>
      <w:r w:rsidR="00886FFD">
        <w:rPr>
          <w:color w:val="000000"/>
          <w:lang w:val="en-IE"/>
        </w:rPr>
        <w:t xml:space="preserve"> the applicant</w:t>
      </w:r>
      <w:r w:rsidR="00936CE0" w:rsidRPr="00EC3E83">
        <w:rPr>
          <w:color w:val="000000"/>
          <w:lang w:val="en-IE"/>
        </w:rPr>
        <w:t xml:space="preserve"> did not involve itself with the company</w:t>
      </w:r>
      <w:r w:rsidR="00D70F14">
        <w:rPr>
          <w:color w:val="000000"/>
          <w:lang w:val="en-IE"/>
        </w:rPr>
        <w:t xml:space="preserve"> a</w:t>
      </w:r>
      <w:r w:rsidR="00936CE0" w:rsidRPr="00EC3E83">
        <w:rPr>
          <w:color w:val="000000"/>
          <w:lang w:val="en-IE"/>
        </w:rPr>
        <w:t xml:space="preserve">t all. </w:t>
      </w:r>
      <w:r w:rsidR="00D70F14">
        <w:rPr>
          <w:color w:val="000000"/>
          <w:lang w:val="en-IE"/>
        </w:rPr>
        <w:t>I</w:t>
      </w:r>
      <w:r w:rsidR="00936CE0" w:rsidRPr="00EC3E83">
        <w:rPr>
          <w:color w:val="000000"/>
          <w:lang w:val="en-IE"/>
        </w:rPr>
        <w:t>t provided no funding to meet the company</w:t>
      </w:r>
      <w:r w:rsidR="00D70F14">
        <w:rPr>
          <w:color w:val="000000"/>
          <w:lang w:val="en-IE"/>
        </w:rPr>
        <w:t>’</w:t>
      </w:r>
      <w:r w:rsidR="00936CE0" w:rsidRPr="00EC3E83">
        <w:rPr>
          <w:color w:val="000000"/>
          <w:lang w:val="en-IE"/>
        </w:rPr>
        <w:t>s continuing d</w:t>
      </w:r>
      <w:r w:rsidR="00D70F14">
        <w:rPr>
          <w:color w:val="000000"/>
          <w:lang w:val="en-IE"/>
        </w:rPr>
        <w:t>ebt</w:t>
      </w:r>
      <w:r w:rsidR="00936CE0" w:rsidRPr="00EC3E83">
        <w:rPr>
          <w:color w:val="000000"/>
          <w:lang w:val="en-IE"/>
        </w:rPr>
        <w:t xml:space="preserve"> and played no part in the formal running o</w:t>
      </w:r>
      <w:r w:rsidR="00D70F14">
        <w:rPr>
          <w:color w:val="000000"/>
          <w:lang w:val="en-IE"/>
        </w:rPr>
        <w:t>r</w:t>
      </w:r>
      <w:r w:rsidR="00936CE0" w:rsidRPr="00EC3E83">
        <w:rPr>
          <w:color w:val="000000"/>
          <w:lang w:val="en-IE"/>
        </w:rPr>
        <w:t xml:space="preserve"> management of the company</w:t>
      </w:r>
      <w:r w:rsidR="00D70F14">
        <w:rPr>
          <w:color w:val="000000"/>
          <w:lang w:val="en-IE"/>
        </w:rPr>
        <w:t>.</w:t>
      </w:r>
      <w:r w:rsidR="00936CE0" w:rsidRPr="00EC3E83">
        <w:rPr>
          <w:color w:val="000000"/>
          <w:lang w:val="en-IE"/>
        </w:rPr>
        <w:t xml:space="preserve"> </w:t>
      </w:r>
    </w:p>
    <w:p w14:paraId="789C5D34" w14:textId="6ADA5349" w:rsidR="00D70F14" w:rsidRPr="0039604A" w:rsidRDefault="00936CE0" w:rsidP="008A391E">
      <w:pPr>
        <w:pStyle w:val="NormalWeb"/>
        <w:numPr>
          <w:ilvl w:val="0"/>
          <w:numId w:val="2"/>
        </w:numPr>
        <w:spacing w:before="0" w:beforeAutospacing="0" w:after="0" w:afterAutospacing="0" w:line="480" w:lineRule="auto"/>
        <w:ind w:left="0" w:firstLine="0"/>
        <w:jc w:val="both"/>
        <w:rPr>
          <w:color w:val="000000"/>
          <w:lang w:val="en-IE"/>
        </w:rPr>
      </w:pPr>
      <w:r w:rsidRPr="00EC3E83">
        <w:rPr>
          <w:color w:val="000000"/>
          <w:lang w:val="en-IE"/>
        </w:rPr>
        <w:t xml:space="preserve">In conclusion, I do not find that the applicant has established that the registration of the transfer which took place in 2013 and </w:t>
      </w:r>
      <w:r w:rsidR="00D70F14">
        <w:rPr>
          <w:color w:val="000000"/>
          <w:lang w:val="en-IE"/>
        </w:rPr>
        <w:t xml:space="preserve">the </w:t>
      </w:r>
      <w:r w:rsidRPr="00EC3E83">
        <w:rPr>
          <w:color w:val="000000"/>
          <w:lang w:val="en-IE"/>
        </w:rPr>
        <w:t>consequential removal of the applicant</w:t>
      </w:r>
      <w:r w:rsidR="00D70F14">
        <w:rPr>
          <w:color w:val="000000"/>
          <w:lang w:val="en-IE"/>
        </w:rPr>
        <w:t>’</w:t>
      </w:r>
      <w:r w:rsidRPr="00EC3E83">
        <w:rPr>
          <w:color w:val="000000"/>
          <w:lang w:val="en-IE"/>
        </w:rPr>
        <w:t xml:space="preserve">s name from the register of members of the company was without sufficient cause. </w:t>
      </w:r>
      <w:r w:rsidR="00D70F14">
        <w:rPr>
          <w:color w:val="000000"/>
          <w:lang w:val="en-IE"/>
        </w:rPr>
        <w:t>I will, t</w:t>
      </w:r>
      <w:r w:rsidRPr="00EC3E83">
        <w:rPr>
          <w:color w:val="000000"/>
          <w:lang w:val="en-IE"/>
        </w:rPr>
        <w:t>herefore</w:t>
      </w:r>
      <w:r w:rsidR="00D70F14">
        <w:rPr>
          <w:color w:val="000000"/>
          <w:lang w:val="en-IE"/>
        </w:rPr>
        <w:t>,</w:t>
      </w:r>
      <w:r w:rsidRPr="00EC3E83">
        <w:rPr>
          <w:color w:val="000000"/>
          <w:lang w:val="en-IE"/>
        </w:rPr>
        <w:t xml:space="preserve"> refuse the relief sought under </w:t>
      </w:r>
      <w:r w:rsidR="00D70F14">
        <w:rPr>
          <w:color w:val="000000"/>
          <w:lang w:val="en-IE"/>
        </w:rPr>
        <w:t>s.</w:t>
      </w:r>
      <w:r w:rsidRPr="00EC3E83">
        <w:rPr>
          <w:color w:val="000000"/>
          <w:lang w:val="en-IE"/>
        </w:rPr>
        <w:t xml:space="preserve"> 173 of the Companies Act</w:t>
      </w:r>
      <w:r w:rsidR="00D70F14">
        <w:rPr>
          <w:color w:val="000000"/>
          <w:lang w:val="en-IE"/>
        </w:rPr>
        <w:t>,</w:t>
      </w:r>
      <w:r w:rsidRPr="00EC3E83">
        <w:rPr>
          <w:color w:val="000000"/>
          <w:lang w:val="en-IE"/>
        </w:rPr>
        <w:t xml:space="preserve"> 2014</w:t>
      </w:r>
      <w:r w:rsidR="00D70F14">
        <w:rPr>
          <w:color w:val="000000"/>
          <w:lang w:val="en-IE"/>
        </w:rPr>
        <w:t>.</w:t>
      </w:r>
    </w:p>
    <w:sectPr w:rsidR="00D70F14" w:rsidRPr="0039604A" w:rsidSect="00936CE0">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85E8" w14:textId="77777777" w:rsidR="00886FFD" w:rsidRDefault="00886FFD" w:rsidP="00886FFD">
      <w:pPr>
        <w:spacing w:after="0" w:line="240" w:lineRule="auto"/>
      </w:pPr>
      <w:r>
        <w:separator/>
      </w:r>
    </w:p>
  </w:endnote>
  <w:endnote w:type="continuationSeparator" w:id="0">
    <w:p w14:paraId="6BAC2A85" w14:textId="77777777" w:rsidR="00886FFD" w:rsidRDefault="00886FFD" w:rsidP="0088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411489"/>
      <w:docPartObj>
        <w:docPartGallery w:val="Page Numbers (Bottom of Page)"/>
        <w:docPartUnique/>
      </w:docPartObj>
    </w:sdtPr>
    <w:sdtEndPr>
      <w:rPr>
        <w:noProof/>
      </w:rPr>
    </w:sdtEndPr>
    <w:sdtContent>
      <w:p w14:paraId="1A16E162" w14:textId="43415704" w:rsidR="00886FFD" w:rsidRDefault="00886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A99A0" w14:textId="77777777" w:rsidR="00886FFD" w:rsidRDefault="00886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47B7" w14:textId="77777777" w:rsidR="00886FFD" w:rsidRDefault="00886FFD" w:rsidP="00886FFD">
      <w:pPr>
        <w:spacing w:after="0" w:line="240" w:lineRule="auto"/>
      </w:pPr>
      <w:r>
        <w:separator/>
      </w:r>
    </w:p>
  </w:footnote>
  <w:footnote w:type="continuationSeparator" w:id="0">
    <w:p w14:paraId="3A2B5FCE" w14:textId="77777777" w:rsidR="00886FFD" w:rsidRDefault="00886FFD" w:rsidP="00886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C400D"/>
    <w:multiLevelType w:val="multilevel"/>
    <w:tmpl w:val="60D8BAC4"/>
    <w:lvl w:ilvl="0">
      <w:start w:val="4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185B34"/>
    <w:multiLevelType w:val="hybridMultilevel"/>
    <w:tmpl w:val="0E66BF4C"/>
    <w:lvl w:ilvl="0" w:tplc="7E84F7C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E7096"/>
    <w:multiLevelType w:val="hybridMultilevel"/>
    <w:tmpl w:val="17E03D82"/>
    <w:lvl w:ilvl="0" w:tplc="F44A4DCE">
      <w:start w:val="49"/>
      <w:numFmt w:val="decimal"/>
      <w:lvlText w:val="%1."/>
      <w:lvlJc w:val="left"/>
      <w:pPr>
        <w:ind w:left="786"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7C"/>
    <w:rsid w:val="0000419A"/>
    <w:rsid w:val="000179A0"/>
    <w:rsid w:val="00026C03"/>
    <w:rsid w:val="00026C8D"/>
    <w:rsid w:val="00034D84"/>
    <w:rsid w:val="00034DD6"/>
    <w:rsid w:val="00041E0F"/>
    <w:rsid w:val="00053F5E"/>
    <w:rsid w:val="000544E0"/>
    <w:rsid w:val="00054D2A"/>
    <w:rsid w:val="00056F02"/>
    <w:rsid w:val="000604E5"/>
    <w:rsid w:val="000776B2"/>
    <w:rsid w:val="000812E5"/>
    <w:rsid w:val="000C6BCC"/>
    <w:rsid w:val="000D234D"/>
    <w:rsid w:val="000D4806"/>
    <w:rsid w:val="000E0F66"/>
    <w:rsid w:val="000F17A2"/>
    <w:rsid w:val="00120868"/>
    <w:rsid w:val="00147554"/>
    <w:rsid w:val="0015221A"/>
    <w:rsid w:val="00155527"/>
    <w:rsid w:val="00163B16"/>
    <w:rsid w:val="0016678B"/>
    <w:rsid w:val="001803AE"/>
    <w:rsid w:val="001A773B"/>
    <w:rsid w:val="001C04E1"/>
    <w:rsid w:val="001C5C57"/>
    <w:rsid w:val="001D52A1"/>
    <w:rsid w:val="001E1839"/>
    <w:rsid w:val="001F196D"/>
    <w:rsid w:val="00214015"/>
    <w:rsid w:val="00214F18"/>
    <w:rsid w:val="00242AD3"/>
    <w:rsid w:val="00242EFD"/>
    <w:rsid w:val="00247132"/>
    <w:rsid w:val="0025447C"/>
    <w:rsid w:val="0026607A"/>
    <w:rsid w:val="00280779"/>
    <w:rsid w:val="00292C34"/>
    <w:rsid w:val="00292EB0"/>
    <w:rsid w:val="0029571E"/>
    <w:rsid w:val="002C3B81"/>
    <w:rsid w:val="002D2B97"/>
    <w:rsid w:val="002D2F3F"/>
    <w:rsid w:val="002F1017"/>
    <w:rsid w:val="002F5223"/>
    <w:rsid w:val="00314E29"/>
    <w:rsid w:val="00320F49"/>
    <w:rsid w:val="00322286"/>
    <w:rsid w:val="00330CCD"/>
    <w:rsid w:val="00332B52"/>
    <w:rsid w:val="00355840"/>
    <w:rsid w:val="00365DB3"/>
    <w:rsid w:val="00372F76"/>
    <w:rsid w:val="00387200"/>
    <w:rsid w:val="0039139B"/>
    <w:rsid w:val="00393876"/>
    <w:rsid w:val="00393CEA"/>
    <w:rsid w:val="0039604A"/>
    <w:rsid w:val="003A5AF8"/>
    <w:rsid w:val="003A7346"/>
    <w:rsid w:val="003B61B8"/>
    <w:rsid w:val="003F43F7"/>
    <w:rsid w:val="00411456"/>
    <w:rsid w:val="00421214"/>
    <w:rsid w:val="00427402"/>
    <w:rsid w:val="004305BA"/>
    <w:rsid w:val="0043457C"/>
    <w:rsid w:val="00453FA7"/>
    <w:rsid w:val="00456DFE"/>
    <w:rsid w:val="004618E0"/>
    <w:rsid w:val="00472DD8"/>
    <w:rsid w:val="004817B3"/>
    <w:rsid w:val="00481C10"/>
    <w:rsid w:val="004948AD"/>
    <w:rsid w:val="004A0604"/>
    <w:rsid w:val="004A2355"/>
    <w:rsid w:val="004B1F8C"/>
    <w:rsid w:val="004C46A8"/>
    <w:rsid w:val="004D22A4"/>
    <w:rsid w:val="00504535"/>
    <w:rsid w:val="00505253"/>
    <w:rsid w:val="00507E1A"/>
    <w:rsid w:val="00513C13"/>
    <w:rsid w:val="00516791"/>
    <w:rsid w:val="00567FF7"/>
    <w:rsid w:val="00576B19"/>
    <w:rsid w:val="0058016B"/>
    <w:rsid w:val="00585155"/>
    <w:rsid w:val="00585B7C"/>
    <w:rsid w:val="005C5730"/>
    <w:rsid w:val="005D18AB"/>
    <w:rsid w:val="005D7FA7"/>
    <w:rsid w:val="005E6E57"/>
    <w:rsid w:val="00601146"/>
    <w:rsid w:val="006130B4"/>
    <w:rsid w:val="00615C5B"/>
    <w:rsid w:val="00617953"/>
    <w:rsid w:val="0062648C"/>
    <w:rsid w:val="00627196"/>
    <w:rsid w:val="006564CA"/>
    <w:rsid w:val="00665D47"/>
    <w:rsid w:val="00667565"/>
    <w:rsid w:val="00673D16"/>
    <w:rsid w:val="00677D28"/>
    <w:rsid w:val="00681E03"/>
    <w:rsid w:val="006D06E4"/>
    <w:rsid w:val="006D1BBB"/>
    <w:rsid w:val="006D5B39"/>
    <w:rsid w:val="006E2F3F"/>
    <w:rsid w:val="006E66BE"/>
    <w:rsid w:val="006F6C3C"/>
    <w:rsid w:val="007071E2"/>
    <w:rsid w:val="00721867"/>
    <w:rsid w:val="00731F5A"/>
    <w:rsid w:val="007639A6"/>
    <w:rsid w:val="007940EE"/>
    <w:rsid w:val="007951E1"/>
    <w:rsid w:val="00796133"/>
    <w:rsid w:val="007A2050"/>
    <w:rsid w:val="007A753C"/>
    <w:rsid w:val="007B1AEE"/>
    <w:rsid w:val="007C0EA3"/>
    <w:rsid w:val="007C323A"/>
    <w:rsid w:val="007C4F65"/>
    <w:rsid w:val="007E57E3"/>
    <w:rsid w:val="008006C4"/>
    <w:rsid w:val="008210D4"/>
    <w:rsid w:val="00840DC3"/>
    <w:rsid w:val="00841753"/>
    <w:rsid w:val="00862A90"/>
    <w:rsid w:val="00867805"/>
    <w:rsid w:val="008700C2"/>
    <w:rsid w:val="00883485"/>
    <w:rsid w:val="00885079"/>
    <w:rsid w:val="00886FFD"/>
    <w:rsid w:val="00894A4E"/>
    <w:rsid w:val="00894AEE"/>
    <w:rsid w:val="008A391E"/>
    <w:rsid w:val="008A481D"/>
    <w:rsid w:val="008B24D9"/>
    <w:rsid w:val="008F6D9E"/>
    <w:rsid w:val="008F769A"/>
    <w:rsid w:val="0090617B"/>
    <w:rsid w:val="009252A9"/>
    <w:rsid w:val="00930222"/>
    <w:rsid w:val="00936CE0"/>
    <w:rsid w:val="00983A49"/>
    <w:rsid w:val="009A681E"/>
    <w:rsid w:val="009B3F2E"/>
    <w:rsid w:val="009D61D0"/>
    <w:rsid w:val="009D638E"/>
    <w:rsid w:val="00A11B1F"/>
    <w:rsid w:val="00A22130"/>
    <w:rsid w:val="00A3062A"/>
    <w:rsid w:val="00A309E9"/>
    <w:rsid w:val="00A439A2"/>
    <w:rsid w:val="00A45201"/>
    <w:rsid w:val="00A622C4"/>
    <w:rsid w:val="00A633AE"/>
    <w:rsid w:val="00A63D5E"/>
    <w:rsid w:val="00A6742B"/>
    <w:rsid w:val="00A70020"/>
    <w:rsid w:val="00A74DEE"/>
    <w:rsid w:val="00A85762"/>
    <w:rsid w:val="00AA2B36"/>
    <w:rsid w:val="00AA53CD"/>
    <w:rsid w:val="00AC0706"/>
    <w:rsid w:val="00AC12E6"/>
    <w:rsid w:val="00AC5D60"/>
    <w:rsid w:val="00AE69AC"/>
    <w:rsid w:val="00B00736"/>
    <w:rsid w:val="00B07CF4"/>
    <w:rsid w:val="00B1039F"/>
    <w:rsid w:val="00B152D0"/>
    <w:rsid w:val="00B152F5"/>
    <w:rsid w:val="00B15DEE"/>
    <w:rsid w:val="00B26CDB"/>
    <w:rsid w:val="00B31B22"/>
    <w:rsid w:val="00B33D9C"/>
    <w:rsid w:val="00B502EF"/>
    <w:rsid w:val="00B5730F"/>
    <w:rsid w:val="00B70081"/>
    <w:rsid w:val="00B778BB"/>
    <w:rsid w:val="00B8261C"/>
    <w:rsid w:val="00B83F95"/>
    <w:rsid w:val="00B9391F"/>
    <w:rsid w:val="00BB458B"/>
    <w:rsid w:val="00BC3D7A"/>
    <w:rsid w:val="00BD0224"/>
    <w:rsid w:val="00BD0ED4"/>
    <w:rsid w:val="00BF7EBA"/>
    <w:rsid w:val="00C07509"/>
    <w:rsid w:val="00C13851"/>
    <w:rsid w:val="00C73FAB"/>
    <w:rsid w:val="00C779AA"/>
    <w:rsid w:val="00C93310"/>
    <w:rsid w:val="00CB2942"/>
    <w:rsid w:val="00CB5BEB"/>
    <w:rsid w:val="00CB5D79"/>
    <w:rsid w:val="00CC7F5F"/>
    <w:rsid w:val="00CD12C5"/>
    <w:rsid w:val="00CD5614"/>
    <w:rsid w:val="00CF58FA"/>
    <w:rsid w:val="00CF591D"/>
    <w:rsid w:val="00CF5B94"/>
    <w:rsid w:val="00CF672C"/>
    <w:rsid w:val="00CF73D8"/>
    <w:rsid w:val="00D07177"/>
    <w:rsid w:val="00D1315E"/>
    <w:rsid w:val="00D304A3"/>
    <w:rsid w:val="00D32292"/>
    <w:rsid w:val="00D44918"/>
    <w:rsid w:val="00D46EC2"/>
    <w:rsid w:val="00D66C10"/>
    <w:rsid w:val="00D70015"/>
    <w:rsid w:val="00D70F14"/>
    <w:rsid w:val="00D81006"/>
    <w:rsid w:val="00DC3012"/>
    <w:rsid w:val="00DD7FE2"/>
    <w:rsid w:val="00DF35AF"/>
    <w:rsid w:val="00E32300"/>
    <w:rsid w:val="00E41A94"/>
    <w:rsid w:val="00E4221B"/>
    <w:rsid w:val="00E45335"/>
    <w:rsid w:val="00E70AA3"/>
    <w:rsid w:val="00E861BC"/>
    <w:rsid w:val="00EB20DB"/>
    <w:rsid w:val="00EC3E83"/>
    <w:rsid w:val="00ED2F9B"/>
    <w:rsid w:val="00ED30EB"/>
    <w:rsid w:val="00F02D0F"/>
    <w:rsid w:val="00F05EC2"/>
    <w:rsid w:val="00F063F5"/>
    <w:rsid w:val="00F224EE"/>
    <w:rsid w:val="00F66D54"/>
    <w:rsid w:val="00F73268"/>
    <w:rsid w:val="00F83022"/>
    <w:rsid w:val="00F933F0"/>
    <w:rsid w:val="00FB3F19"/>
    <w:rsid w:val="00FF2B6B"/>
    <w:rsid w:val="00FF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F99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B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81"/>
    <w:rPr>
      <w:rFonts w:ascii="Segoe UI" w:hAnsi="Segoe UI" w:cs="Segoe UI"/>
      <w:sz w:val="18"/>
      <w:szCs w:val="18"/>
    </w:rPr>
  </w:style>
  <w:style w:type="paragraph" w:styleId="Header">
    <w:name w:val="header"/>
    <w:basedOn w:val="Normal"/>
    <w:link w:val="HeaderChar"/>
    <w:uiPriority w:val="99"/>
    <w:unhideWhenUsed/>
    <w:rsid w:val="00886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FFD"/>
  </w:style>
  <w:style w:type="paragraph" w:styleId="Footer">
    <w:name w:val="footer"/>
    <w:basedOn w:val="Normal"/>
    <w:link w:val="FooterChar"/>
    <w:uiPriority w:val="99"/>
    <w:unhideWhenUsed/>
    <w:rsid w:val="00886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FFD"/>
  </w:style>
  <w:style w:type="character" w:styleId="CommentReference">
    <w:name w:val="annotation reference"/>
    <w:basedOn w:val="DefaultParagraphFont"/>
    <w:uiPriority w:val="99"/>
    <w:semiHidden/>
    <w:unhideWhenUsed/>
    <w:rsid w:val="00ED2F9B"/>
    <w:rPr>
      <w:sz w:val="16"/>
      <w:szCs w:val="16"/>
    </w:rPr>
  </w:style>
  <w:style w:type="paragraph" w:styleId="CommentText">
    <w:name w:val="annotation text"/>
    <w:basedOn w:val="Normal"/>
    <w:link w:val="CommentTextChar"/>
    <w:uiPriority w:val="99"/>
    <w:semiHidden/>
    <w:unhideWhenUsed/>
    <w:rsid w:val="00ED2F9B"/>
    <w:pPr>
      <w:spacing w:line="240" w:lineRule="auto"/>
    </w:pPr>
    <w:rPr>
      <w:sz w:val="20"/>
      <w:szCs w:val="20"/>
    </w:rPr>
  </w:style>
  <w:style w:type="character" w:customStyle="1" w:styleId="CommentTextChar">
    <w:name w:val="Comment Text Char"/>
    <w:basedOn w:val="DefaultParagraphFont"/>
    <w:link w:val="CommentText"/>
    <w:uiPriority w:val="99"/>
    <w:semiHidden/>
    <w:rsid w:val="00ED2F9B"/>
    <w:rPr>
      <w:sz w:val="20"/>
      <w:szCs w:val="20"/>
    </w:rPr>
  </w:style>
  <w:style w:type="paragraph" w:styleId="CommentSubject">
    <w:name w:val="annotation subject"/>
    <w:basedOn w:val="CommentText"/>
    <w:next w:val="CommentText"/>
    <w:link w:val="CommentSubjectChar"/>
    <w:uiPriority w:val="99"/>
    <w:semiHidden/>
    <w:unhideWhenUsed/>
    <w:rsid w:val="00ED2F9B"/>
    <w:rPr>
      <w:b/>
      <w:bCs/>
    </w:rPr>
  </w:style>
  <w:style w:type="character" w:customStyle="1" w:styleId="CommentSubjectChar">
    <w:name w:val="Comment Subject Char"/>
    <w:basedOn w:val="CommentTextChar"/>
    <w:link w:val="CommentSubject"/>
    <w:uiPriority w:val="99"/>
    <w:semiHidden/>
    <w:rsid w:val="00ED2F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4749">
      <w:bodyDiv w:val="1"/>
      <w:marLeft w:val="0"/>
      <w:marRight w:val="0"/>
      <w:marTop w:val="0"/>
      <w:marBottom w:val="0"/>
      <w:divBdr>
        <w:top w:val="none" w:sz="0" w:space="0" w:color="auto"/>
        <w:left w:val="none" w:sz="0" w:space="0" w:color="auto"/>
        <w:bottom w:val="none" w:sz="0" w:space="0" w:color="auto"/>
        <w:right w:val="none" w:sz="0" w:space="0" w:color="auto"/>
      </w:divBdr>
    </w:div>
    <w:div w:id="14780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0BE0-514A-43D7-ACA0-6FE8C685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13750</Words>
  <Characters>78375</Characters>
  <Application>Microsoft Office Word</Application>
  <DocSecurity>4</DocSecurity>
  <Lines>653</Lines>
  <Paragraphs>183</Paragraphs>
  <ScaleCrop>false</ScaleCrop>
  <Company/>
  <LinksUpToDate>false</LinksUpToDate>
  <CharactersWithSpaces>91942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2022-07-11T11:20:00Z</dcterms:created>
  <dcterms:modified xsi:type="dcterms:W3CDTF">2022-07-11T11:20:00Z</dcterms:modified>
</cp:coreProperties>
</file>