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A91B" w14:textId="77777777" w:rsidR="003B4F92" w:rsidRDefault="003B4F92" w:rsidP="003B4F92">
      <w:pPr>
        <w:jc w:val="center"/>
      </w:pPr>
      <w:r>
        <w:rPr>
          <w:noProof/>
        </w:rPr>
        <w:drawing>
          <wp:inline distT="0" distB="0" distL="0" distR="0" wp14:anchorId="2E2DF464" wp14:editId="34057992">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7D472FBF" w14:textId="77777777" w:rsidR="003B4F92" w:rsidRDefault="003B4F92" w:rsidP="003B4F92">
      <w:pPr>
        <w:pStyle w:val="Harp"/>
      </w:pPr>
    </w:p>
    <w:p w14:paraId="2EFFA268" w14:textId="77777777" w:rsidR="003B4F92" w:rsidRPr="00E7745F" w:rsidRDefault="003B4F92" w:rsidP="003B4F92">
      <w:pPr>
        <w:jc w:val="center"/>
        <w:rPr>
          <w:b/>
          <w:bCs/>
          <w:sz w:val="28"/>
          <w:szCs w:val="28"/>
          <w:lang w:val="en-US"/>
        </w:rPr>
      </w:pPr>
      <w:r w:rsidRPr="00E7745F">
        <w:rPr>
          <w:b/>
          <w:bCs/>
          <w:sz w:val="28"/>
          <w:szCs w:val="28"/>
          <w:lang w:val="de-DE"/>
        </w:rPr>
        <w:t>AN CH</w:t>
      </w:r>
      <w:r w:rsidRPr="00E7745F">
        <w:rPr>
          <w:b/>
          <w:bCs/>
          <w:sz w:val="28"/>
          <w:szCs w:val="28"/>
          <w:lang w:val="en-US"/>
        </w:rPr>
        <w:t>Ú</w:t>
      </w:r>
      <w:r w:rsidRPr="00E7745F">
        <w:rPr>
          <w:b/>
          <w:bCs/>
          <w:sz w:val="28"/>
          <w:szCs w:val="28"/>
          <w:lang w:val="de-DE"/>
        </w:rPr>
        <w:t>IRT UACHTARACH</w:t>
      </w:r>
    </w:p>
    <w:p w14:paraId="2006388A" w14:textId="77777777" w:rsidR="003B4F92" w:rsidRPr="00E7745F" w:rsidRDefault="003B4F92" w:rsidP="003B4F92">
      <w:pPr>
        <w:jc w:val="center"/>
        <w:rPr>
          <w:b/>
          <w:sz w:val="28"/>
          <w:szCs w:val="28"/>
        </w:rPr>
      </w:pPr>
    </w:p>
    <w:p w14:paraId="29B3C7EC" w14:textId="77777777" w:rsidR="003B4F92" w:rsidRPr="00E7745F" w:rsidRDefault="003B4F92" w:rsidP="003B4F92">
      <w:pPr>
        <w:jc w:val="center"/>
        <w:rPr>
          <w:b/>
          <w:sz w:val="28"/>
          <w:szCs w:val="28"/>
        </w:rPr>
      </w:pPr>
      <w:r w:rsidRPr="00E7745F">
        <w:rPr>
          <w:b/>
          <w:sz w:val="28"/>
          <w:szCs w:val="28"/>
        </w:rPr>
        <w:t>THE SUPREME COURT</w:t>
      </w:r>
    </w:p>
    <w:p w14:paraId="71096EA4" w14:textId="77777777" w:rsidR="003B4F92" w:rsidRPr="00E7745F" w:rsidRDefault="003B4F92" w:rsidP="003B4F92">
      <w:pPr>
        <w:spacing w:line="480" w:lineRule="auto"/>
        <w:jc w:val="right"/>
        <w:rPr>
          <w:b/>
        </w:rPr>
      </w:pPr>
    </w:p>
    <w:p w14:paraId="11E6757A" w14:textId="77777777" w:rsidR="003B4F92" w:rsidRPr="00E7745F" w:rsidRDefault="003B4F92" w:rsidP="003B4F92">
      <w:pPr>
        <w:jc w:val="right"/>
        <w:rPr>
          <w:b/>
        </w:rPr>
      </w:pPr>
      <w:proofErr w:type="gramStart"/>
      <w:r w:rsidRPr="00E7745F">
        <w:rPr>
          <w:b/>
        </w:rPr>
        <w:t>S:AP</w:t>
      </w:r>
      <w:proofErr w:type="gramEnd"/>
      <w:r w:rsidRPr="00E7745F">
        <w:rPr>
          <w:b/>
        </w:rPr>
        <w:t>:IE:2021:000053</w:t>
      </w:r>
    </w:p>
    <w:p w14:paraId="51359260" w14:textId="77777777" w:rsidR="003B4F92" w:rsidRPr="00E7745F" w:rsidRDefault="003B4F92" w:rsidP="003B4F92">
      <w:pPr>
        <w:jc w:val="right"/>
        <w:rPr>
          <w:b/>
        </w:rPr>
      </w:pPr>
      <w:r w:rsidRPr="00E7745F">
        <w:rPr>
          <w:b/>
        </w:rPr>
        <w:t>Court of Appeal Record No. 2020/155</w:t>
      </w:r>
    </w:p>
    <w:p w14:paraId="0F3D4A8A" w14:textId="77777777" w:rsidR="003B4F92" w:rsidRPr="00E7745F" w:rsidRDefault="003B4F92" w:rsidP="003B4F92">
      <w:pPr>
        <w:jc w:val="right"/>
        <w:rPr>
          <w:b/>
        </w:rPr>
      </w:pPr>
      <w:r w:rsidRPr="00E7745F">
        <w:rPr>
          <w:b/>
        </w:rPr>
        <w:t>Circuit Court Record No. 2019/5526</w:t>
      </w:r>
    </w:p>
    <w:p w14:paraId="3D61458F" w14:textId="77777777" w:rsidR="003B4F92" w:rsidRPr="00E7745F" w:rsidRDefault="003B4F92" w:rsidP="003B4F92">
      <w:pPr>
        <w:spacing w:line="480" w:lineRule="auto"/>
        <w:rPr>
          <w:b/>
        </w:rPr>
      </w:pPr>
    </w:p>
    <w:p w14:paraId="57B645FB" w14:textId="77777777" w:rsidR="003B4F92" w:rsidRPr="00E7745F" w:rsidRDefault="003B4F92" w:rsidP="003B4F92">
      <w:pPr>
        <w:spacing w:line="276" w:lineRule="auto"/>
        <w:rPr>
          <w:b/>
        </w:rPr>
      </w:pPr>
      <w:r w:rsidRPr="00E7745F">
        <w:rPr>
          <w:b/>
        </w:rPr>
        <w:t>O’Donnell C.J.</w:t>
      </w:r>
    </w:p>
    <w:p w14:paraId="06A78F85" w14:textId="77777777" w:rsidR="003B4F92" w:rsidRPr="00E7745F" w:rsidRDefault="003B4F92" w:rsidP="003B4F92">
      <w:pPr>
        <w:spacing w:line="276" w:lineRule="auto"/>
        <w:rPr>
          <w:b/>
        </w:rPr>
      </w:pPr>
      <w:r w:rsidRPr="00E7745F">
        <w:rPr>
          <w:b/>
        </w:rPr>
        <w:t>Charleton J.</w:t>
      </w:r>
    </w:p>
    <w:p w14:paraId="653992EB" w14:textId="77777777" w:rsidR="003B4F92" w:rsidRPr="00E7745F" w:rsidRDefault="003B4F92" w:rsidP="003B4F92">
      <w:pPr>
        <w:spacing w:line="276" w:lineRule="auto"/>
        <w:rPr>
          <w:b/>
        </w:rPr>
      </w:pPr>
      <w:r w:rsidRPr="00E7745F">
        <w:rPr>
          <w:b/>
        </w:rPr>
        <w:t>Baker J.</w:t>
      </w:r>
    </w:p>
    <w:p w14:paraId="6CC624A6" w14:textId="77777777" w:rsidR="003B4F92" w:rsidRPr="00E7745F" w:rsidRDefault="003B4F92" w:rsidP="003B4F92">
      <w:pPr>
        <w:spacing w:line="276" w:lineRule="auto"/>
        <w:rPr>
          <w:b/>
        </w:rPr>
      </w:pPr>
      <w:r w:rsidRPr="00E7745F">
        <w:rPr>
          <w:b/>
        </w:rPr>
        <w:t>Woulfe J.</w:t>
      </w:r>
    </w:p>
    <w:p w14:paraId="0878E7FF" w14:textId="77777777" w:rsidR="003B4F92" w:rsidRPr="00E7745F" w:rsidRDefault="003B4F92" w:rsidP="003B4F92">
      <w:pPr>
        <w:spacing w:line="276" w:lineRule="auto"/>
        <w:rPr>
          <w:b/>
        </w:rPr>
      </w:pPr>
      <w:r w:rsidRPr="00E7745F">
        <w:rPr>
          <w:b/>
        </w:rPr>
        <w:t>Hogan J.</w:t>
      </w:r>
    </w:p>
    <w:p w14:paraId="2168E67F" w14:textId="77777777" w:rsidR="003B4F92" w:rsidRDefault="003B4F92" w:rsidP="003B4F92">
      <w:pPr>
        <w:spacing w:line="480" w:lineRule="auto"/>
        <w:jc w:val="center"/>
        <w:rPr>
          <w:b/>
          <w:sz w:val="28"/>
          <w:szCs w:val="28"/>
        </w:rPr>
      </w:pPr>
    </w:p>
    <w:p w14:paraId="505F6D34" w14:textId="77777777" w:rsidR="003B4F92" w:rsidRPr="00720516" w:rsidRDefault="003B4F92" w:rsidP="003B4F92">
      <w:pPr>
        <w:spacing w:line="480" w:lineRule="auto"/>
        <w:jc w:val="center"/>
        <w:rPr>
          <w:b/>
        </w:rPr>
      </w:pPr>
      <w:r w:rsidRPr="00720516">
        <w:rPr>
          <w:b/>
        </w:rPr>
        <w:t>IN THE MATTER OF SECTION 16 OF THE COURTS OF JUSTICE ACT 1947 (AS AMENDED) – A CASE STATED FROM THE CIRCUIT COURT TO THE COURT OF APPEAL</w:t>
      </w:r>
    </w:p>
    <w:p w14:paraId="77ED4046" w14:textId="77777777" w:rsidR="003B4F92" w:rsidRPr="00720516" w:rsidRDefault="003B4F92" w:rsidP="003B4F92">
      <w:pPr>
        <w:spacing w:line="480" w:lineRule="auto"/>
        <w:rPr>
          <w:b/>
        </w:rPr>
      </w:pPr>
      <w:r w:rsidRPr="00720516">
        <w:rPr>
          <w:b/>
        </w:rPr>
        <w:t>Between/</w:t>
      </w:r>
    </w:p>
    <w:p w14:paraId="63C7BC35" w14:textId="77777777" w:rsidR="003B4F92" w:rsidRPr="00E7745F" w:rsidRDefault="003B4F92" w:rsidP="003B4F92">
      <w:pPr>
        <w:spacing w:line="480" w:lineRule="auto"/>
        <w:jc w:val="center"/>
        <w:rPr>
          <w:b/>
        </w:rPr>
      </w:pPr>
      <w:r w:rsidRPr="00E7745F">
        <w:rPr>
          <w:b/>
        </w:rPr>
        <w:t>ELG</w:t>
      </w:r>
    </w:p>
    <w:p w14:paraId="008C23FC" w14:textId="77777777" w:rsidR="003B4F92" w:rsidRPr="00E7745F" w:rsidRDefault="003B4F92" w:rsidP="003B4F92">
      <w:pPr>
        <w:spacing w:line="480" w:lineRule="auto"/>
        <w:jc w:val="center"/>
        <w:rPr>
          <w:b/>
        </w:rPr>
      </w:pPr>
      <w:r w:rsidRPr="00E7745F">
        <w:rPr>
          <w:b/>
        </w:rPr>
        <w:t>(a minor suing by her mother and next friend SG)</w:t>
      </w:r>
    </w:p>
    <w:p w14:paraId="1B4D2F26" w14:textId="77777777" w:rsidR="003B4F92" w:rsidRPr="00E7745F" w:rsidRDefault="003B4F92" w:rsidP="003B4F92">
      <w:pPr>
        <w:spacing w:line="480" w:lineRule="auto"/>
        <w:jc w:val="right"/>
        <w:rPr>
          <w:b/>
        </w:rPr>
      </w:pPr>
      <w:r w:rsidRPr="00E7745F">
        <w:rPr>
          <w:b/>
        </w:rPr>
        <w:t>Appellants/Applicants</w:t>
      </w:r>
    </w:p>
    <w:p w14:paraId="7B168BE9" w14:textId="77777777" w:rsidR="003B4F92" w:rsidRPr="00E7745F" w:rsidRDefault="003B4F92" w:rsidP="003B4F92">
      <w:pPr>
        <w:spacing w:line="480" w:lineRule="auto"/>
        <w:jc w:val="center"/>
        <w:rPr>
          <w:b/>
        </w:rPr>
      </w:pPr>
      <w:r w:rsidRPr="00E7745F">
        <w:rPr>
          <w:b/>
        </w:rPr>
        <w:t>- AND –</w:t>
      </w:r>
    </w:p>
    <w:p w14:paraId="2B025D73" w14:textId="77777777" w:rsidR="003B4F92" w:rsidRPr="00E7745F" w:rsidRDefault="003B4F92" w:rsidP="003B4F92">
      <w:pPr>
        <w:spacing w:line="480" w:lineRule="auto"/>
        <w:jc w:val="center"/>
        <w:rPr>
          <w:b/>
        </w:rPr>
      </w:pPr>
      <w:r w:rsidRPr="00E7745F">
        <w:rPr>
          <w:b/>
        </w:rPr>
        <w:t>Health Service Executive</w:t>
      </w:r>
    </w:p>
    <w:p w14:paraId="14C7C0F3" w14:textId="77777777" w:rsidR="003B4F92" w:rsidRPr="00E7745F" w:rsidRDefault="003B4F92" w:rsidP="003B4F92">
      <w:pPr>
        <w:spacing w:line="480" w:lineRule="auto"/>
        <w:jc w:val="center"/>
        <w:rPr>
          <w:b/>
        </w:rPr>
      </w:pPr>
      <w:r w:rsidRPr="00E7745F">
        <w:rPr>
          <w:b/>
        </w:rPr>
        <w:t>(No. 2)</w:t>
      </w:r>
    </w:p>
    <w:p w14:paraId="4E41D848" w14:textId="77777777" w:rsidR="003B4F92" w:rsidRPr="00E7745F" w:rsidRDefault="003B4F92" w:rsidP="003B4F92">
      <w:pPr>
        <w:spacing w:line="480" w:lineRule="auto"/>
        <w:jc w:val="right"/>
        <w:rPr>
          <w:b/>
        </w:rPr>
      </w:pPr>
      <w:r w:rsidRPr="00E7745F">
        <w:rPr>
          <w:b/>
        </w:rPr>
        <w:t>Respondent/Respondent</w:t>
      </w:r>
    </w:p>
    <w:p w14:paraId="4F13303A" w14:textId="2254F888" w:rsidR="003B4F92" w:rsidRPr="00E7745F" w:rsidRDefault="003B4F92" w:rsidP="003B4F92">
      <w:pPr>
        <w:spacing w:line="480" w:lineRule="auto"/>
        <w:rPr>
          <w:b/>
        </w:rPr>
      </w:pPr>
      <w:r w:rsidRPr="00082169">
        <w:rPr>
          <w:b/>
          <w:u w:val="single"/>
        </w:rPr>
        <w:t xml:space="preserve">COSTS RULING of the Court delivered on </w:t>
      </w:r>
      <w:r w:rsidR="007B5D66">
        <w:rPr>
          <w:b/>
          <w:u w:val="single"/>
        </w:rPr>
        <w:t xml:space="preserve">2 </w:t>
      </w:r>
      <w:r w:rsidRPr="00082169">
        <w:rPr>
          <w:b/>
          <w:u w:val="single"/>
        </w:rPr>
        <w:t xml:space="preserve">day of </w:t>
      </w:r>
      <w:r>
        <w:rPr>
          <w:b/>
          <w:u w:val="single"/>
        </w:rPr>
        <w:t>June</w:t>
      </w:r>
      <w:r w:rsidRPr="00082169">
        <w:rPr>
          <w:b/>
          <w:u w:val="single"/>
        </w:rPr>
        <w:t xml:space="preserve"> 2022</w:t>
      </w:r>
    </w:p>
    <w:p w14:paraId="4EC2DB2F" w14:textId="5E0B6B38" w:rsidR="0000270C" w:rsidRPr="00D66162" w:rsidRDefault="008046BB" w:rsidP="00A74303">
      <w:pPr>
        <w:numPr>
          <w:ilvl w:val="0"/>
          <w:numId w:val="1"/>
        </w:numPr>
        <w:spacing w:line="480" w:lineRule="auto"/>
        <w:ind w:left="0" w:firstLine="0"/>
        <w:jc w:val="both"/>
      </w:pPr>
      <w:r w:rsidRPr="00D66162">
        <w:t>T</w:t>
      </w:r>
      <w:r w:rsidR="0000270C" w:rsidRPr="00D66162">
        <w:t>he appellant</w:t>
      </w:r>
      <w:r w:rsidR="0073380E" w:rsidRPr="00D66162">
        <w:t>s</w:t>
      </w:r>
      <w:r w:rsidR="0000270C" w:rsidRPr="00D66162">
        <w:t xml:space="preserve"> seek the costs of the appeal to this Court, </w:t>
      </w:r>
      <w:r w:rsidRPr="00D66162">
        <w:t xml:space="preserve">including </w:t>
      </w:r>
      <w:r w:rsidR="00B170DC">
        <w:t xml:space="preserve">those </w:t>
      </w:r>
      <w:r w:rsidR="0000270C" w:rsidRPr="00D66162">
        <w:t xml:space="preserve">in respect of the </w:t>
      </w:r>
      <w:r w:rsidR="0073380E" w:rsidRPr="00D66162">
        <w:t xml:space="preserve">hearing of the </w:t>
      </w:r>
      <w:r w:rsidR="0000270C" w:rsidRPr="00D66162">
        <w:t xml:space="preserve">preliminary issue regarding the jurisdiction to hear a case stated when the judge stating the case had retired.  </w:t>
      </w:r>
      <w:r w:rsidR="003B4F92">
        <w:t>T</w:t>
      </w:r>
      <w:r w:rsidR="0000270C" w:rsidRPr="00D66162">
        <w:t>he appellant</w:t>
      </w:r>
      <w:r w:rsidR="0073380E" w:rsidRPr="00D66162">
        <w:t>s</w:t>
      </w:r>
      <w:r w:rsidR="003B4F92">
        <w:t xml:space="preserve"> also</w:t>
      </w:r>
      <w:r w:rsidR="0073380E" w:rsidRPr="00D66162">
        <w:t xml:space="preserve"> seek</w:t>
      </w:r>
      <w:r w:rsidR="0000270C" w:rsidRPr="00D66162">
        <w:t xml:space="preserve"> the costs of the hearing before </w:t>
      </w:r>
      <w:r w:rsidR="0000270C" w:rsidRPr="00D66162">
        <w:lastRenderedPageBreak/>
        <w:t xml:space="preserve">the Court of Appeal, and </w:t>
      </w:r>
      <w:r w:rsidR="0073380E" w:rsidRPr="00D66162">
        <w:t xml:space="preserve">an issue arises </w:t>
      </w:r>
      <w:r w:rsidR="0000270C" w:rsidRPr="00D66162">
        <w:t xml:space="preserve">whether the Determination granting leave to appeal </w:t>
      </w:r>
      <w:r w:rsidR="0073380E" w:rsidRPr="00D66162">
        <w:t>to</w:t>
      </w:r>
      <w:r w:rsidR="0000270C" w:rsidRPr="00D66162">
        <w:t xml:space="preserve"> this Court permitted an appeal on that ground. </w:t>
      </w:r>
    </w:p>
    <w:p w14:paraId="245F6D06" w14:textId="7DBA050B" w:rsidR="0000270C" w:rsidRPr="00D66162" w:rsidRDefault="0000270C" w:rsidP="00A74303">
      <w:pPr>
        <w:numPr>
          <w:ilvl w:val="0"/>
          <w:numId w:val="1"/>
        </w:numPr>
        <w:spacing w:line="480" w:lineRule="auto"/>
        <w:ind w:left="0" w:firstLine="0"/>
        <w:jc w:val="both"/>
      </w:pPr>
      <w:r w:rsidRPr="00D66162">
        <w:t>Briefly</w:t>
      </w:r>
      <w:r w:rsidR="0073380E" w:rsidRPr="00D66162">
        <w:t>,</w:t>
      </w:r>
      <w:r w:rsidRPr="00D66162">
        <w:t xml:space="preserve"> the appeal concerned the question of whether the minor appellant</w:t>
      </w:r>
      <w:r w:rsidR="004C5726">
        <w:t>, who was assessed with needs falling short of a disability, could be entitled to a service statement</w:t>
      </w:r>
      <w:r w:rsidRPr="00D66162">
        <w:t xml:space="preserve"> for the purposes of the Disability Act 2005</w:t>
      </w:r>
      <w:r w:rsidR="009A0687">
        <w:t xml:space="preserve"> (“the Act of 2005</w:t>
      </w:r>
      <w:r w:rsidR="004C5726">
        <w:t>) which provides an enforcement mechanism to access to certain services.</w:t>
      </w:r>
      <w:r w:rsidRPr="00D66162">
        <w:t xml:space="preserve"> </w:t>
      </w:r>
    </w:p>
    <w:p w14:paraId="7BE63593" w14:textId="3B6B3265" w:rsidR="0000270C" w:rsidRPr="00D66162" w:rsidRDefault="0000270C" w:rsidP="00A74303">
      <w:pPr>
        <w:numPr>
          <w:ilvl w:val="0"/>
          <w:numId w:val="1"/>
        </w:numPr>
        <w:spacing w:line="480" w:lineRule="auto"/>
        <w:ind w:left="0" w:firstLine="0"/>
        <w:jc w:val="both"/>
      </w:pPr>
      <w:r w:rsidRPr="00D66162">
        <w:t xml:space="preserve">The issue arose for determination in </w:t>
      </w:r>
      <w:r w:rsidR="0073380E" w:rsidRPr="00D66162">
        <w:t xml:space="preserve">the </w:t>
      </w:r>
      <w:r w:rsidRPr="00D66162">
        <w:t xml:space="preserve">application to the Circuit Court </w:t>
      </w:r>
      <w:r w:rsidR="0073380E" w:rsidRPr="00D66162">
        <w:t xml:space="preserve">commenced </w:t>
      </w:r>
      <w:r w:rsidRPr="00D66162">
        <w:t xml:space="preserve">by originating motion pursuant to the enforcement and complaints procedure provided by the Act of 2005.  The Circuit </w:t>
      </w:r>
      <w:r w:rsidR="001F4B1D">
        <w:t xml:space="preserve">Court </w:t>
      </w:r>
      <w:r w:rsidRPr="00D66162">
        <w:t>judge agreed to state a case to the Court of Appeal</w:t>
      </w:r>
      <w:r w:rsidR="008046BB" w:rsidRPr="00D66162">
        <w:t>,</w:t>
      </w:r>
      <w:r w:rsidRPr="00D66162">
        <w:t xml:space="preserve"> by way of consultative case stated</w:t>
      </w:r>
      <w:r w:rsidR="008046BB" w:rsidRPr="00D66162">
        <w:t>,</w:t>
      </w:r>
      <w:r w:rsidRPr="00D66162">
        <w:t xml:space="preserve"> as to the proper interpretation of the statutory provisions.  </w:t>
      </w:r>
      <w:r w:rsidR="00142A5F" w:rsidRPr="00D66162">
        <w:t>The initial request to state the case was made by the respondent</w:t>
      </w:r>
      <w:r w:rsidR="0073380E" w:rsidRPr="00D66162">
        <w:t xml:space="preserve">, and the appellants agreed. </w:t>
      </w:r>
      <w:r w:rsidR="00142A5F" w:rsidRPr="00D66162">
        <w:t xml:space="preserve"> </w:t>
      </w:r>
      <w:r w:rsidR="0073380E" w:rsidRPr="00D66162">
        <w:t>T</w:t>
      </w:r>
      <w:r w:rsidR="00142A5F" w:rsidRPr="00D66162">
        <w:t xml:space="preserve">he Court of Appeal in its judgment observed that the issue raised was one which could potentially impact on a large number of </w:t>
      </w:r>
      <w:proofErr w:type="gramStart"/>
      <w:r w:rsidR="00142A5F" w:rsidRPr="00D66162">
        <w:t>persons, and</w:t>
      </w:r>
      <w:proofErr w:type="gramEnd"/>
      <w:r w:rsidR="00142A5F" w:rsidRPr="00D66162">
        <w:t xml:space="preserve"> had agreed with the submission of the respondent that the issue raised was of “systemic” importance.  The Determination of this Court granting leave noted the potentially </w:t>
      </w:r>
      <w:r w:rsidR="009A0687">
        <w:t xml:space="preserve">“wide-ranging implication” </w:t>
      </w:r>
      <w:r w:rsidR="00142A5F" w:rsidRPr="00D66162">
        <w:t>of the issue.</w:t>
      </w:r>
    </w:p>
    <w:p w14:paraId="5A2725EC" w14:textId="1372715A" w:rsidR="003B4F92" w:rsidRPr="00E7745F" w:rsidRDefault="00142A5F" w:rsidP="003B4F92">
      <w:pPr>
        <w:numPr>
          <w:ilvl w:val="0"/>
          <w:numId w:val="1"/>
        </w:numPr>
        <w:spacing w:line="480" w:lineRule="auto"/>
        <w:ind w:left="0" w:firstLine="0"/>
        <w:jc w:val="both"/>
      </w:pPr>
      <w:r w:rsidRPr="00D66162">
        <w:t xml:space="preserve">The case was stated </w:t>
      </w:r>
      <w:r w:rsidR="0073380E" w:rsidRPr="00D66162">
        <w:t xml:space="preserve">by </w:t>
      </w:r>
      <w:r w:rsidRPr="00D66162">
        <w:t>the Circuit Court judge who</w:t>
      </w:r>
      <w:r w:rsidR="008046BB" w:rsidRPr="00D66162">
        <w:t xml:space="preserve"> </w:t>
      </w:r>
      <w:r w:rsidRPr="00D66162">
        <w:t>had retired from office before the judgment of the Court of Appeal was delivered.  In those circumstances a separate and new issue arose for consideration by this Court as to whether jurisdiction existed to hear an appeal from the decision of the Court of Appeal, and although neither party asserted that this Court did not have jurisdiction, the issue was one of some novelty and resulted in the Court reserving its judgment and</w:t>
      </w:r>
      <w:r w:rsidR="006A139E" w:rsidRPr="00D66162">
        <w:t xml:space="preserve"> the delivery of two judgments</w:t>
      </w:r>
      <w:r w:rsidR="003B4F92">
        <w:t>: Baker J. and Hogan J.</w:t>
      </w:r>
      <w:r w:rsidR="003B4F92" w:rsidRPr="001343B4">
        <w:t xml:space="preserve"> </w:t>
      </w:r>
      <w:r w:rsidR="003B4F92">
        <w:t>(</w:t>
      </w:r>
      <w:r w:rsidR="003B4F92" w:rsidRPr="00775546">
        <w:t>[2021] IESC 82</w:t>
      </w:r>
      <w:r w:rsidR="003B4F92">
        <w:t xml:space="preserve">).  </w:t>
      </w:r>
      <w:r w:rsidR="003B4F92" w:rsidRPr="00E7745F">
        <w:t xml:space="preserve">The </w:t>
      </w:r>
      <w:r w:rsidR="003B4F92">
        <w:t>C</w:t>
      </w:r>
      <w:r w:rsidR="003B4F92" w:rsidRPr="00E7745F">
        <w:t xml:space="preserve">ourt, for the reasons stated, accepted it had jurisdiction to hear the appeal.  </w:t>
      </w:r>
    </w:p>
    <w:p w14:paraId="710A7C97" w14:textId="771D31EF" w:rsidR="00142A5F" w:rsidRPr="00D66162" w:rsidRDefault="00142A5F" w:rsidP="00A74303">
      <w:pPr>
        <w:numPr>
          <w:ilvl w:val="0"/>
          <w:numId w:val="1"/>
        </w:numPr>
        <w:spacing w:line="480" w:lineRule="auto"/>
        <w:ind w:left="0" w:firstLine="0"/>
        <w:jc w:val="both"/>
      </w:pPr>
      <w:r w:rsidRPr="00D66162">
        <w:t xml:space="preserve">The hearing of that preliminary issue may fairly be said to be separate from the substantive </w:t>
      </w:r>
      <w:proofErr w:type="gramStart"/>
      <w:r w:rsidRPr="00D66162">
        <w:t xml:space="preserve">appeal, </w:t>
      </w:r>
      <w:r w:rsidR="0073380E" w:rsidRPr="00D66162">
        <w:t>and</w:t>
      </w:r>
      <w:proofErr w:type="gramEnd"/>
      <w:r w:rsidR="0073380E" w:rsidRPr="00D66162">
        <w:t xml:space="preserve"> </w:t>
      </w:r>
      <w:r w:rsidRPr="00D66162">
        <w:t>arose from circumstances outside the control of both parties to the case stated and to the appeal.  It could be said that there was no “winner” of this aspect of the appeal as both parties had urged the Court to assume jurisdiction because</w:t>
      </w:r>
      <w:r w:rsidR="0073380E" w:rsidRPr="00D66162">
        <w:t>,</w:t>
      </w:r>
      <w:r w:rsidRPr="00D66162">
        <w:t xml:space="preserve"> as noted in the </w:t>
      </w:r>
      <w:r w:rsidRPr="00D66162">
        <w:lastRenderedPageBreak/>
        <w:t xml:space="preserve">judgment </w:t>
      </w:r>
      <w:r w:rsidR="0073380E" w:rsidRPr="00D66162">
        <w:t xml:space="preserve">of Baker J., </w:t>
      </w:r>
      <w:r w:rsidRPr="00D66162">
        <w:t xml:space="preserve">the question of law arising was capable of finally resolving the </w:t>
      </w:r>
      <w:r w:rsidR="001F4B1D">
        <w:t xml:space="preserve">issue </w:t>
      </w:r>
      <w:r w:rsidRPr="00D66162">
        <w:t>between the parties but “also the cases of those other children potentially affected by the statutory provisions”.</w:t>
      </w:r>
      <w:r w:rsidR="003B4F92">
        <w:t xml:space="preserve"> </w:t>
      </w:r>
    </w:p>
    <w:p w14:paraId="3A5A90A9" w14:textId="77777777" w:rsidR="00DF46A3" w:rsidRPr="00D66162" w:rsidRDefault="00DF46A3" w:rsidP="00A74303">
      <w:pPr>
        <w:spacing w:line="480" w:lineRule="auto"/>
        <w:jc w:val="both"/>
        <w:rPr>
          <w:b/>
          <w:u w:val="single"/>
        </w:rPr>
      </w:pPr>
      <w:r w:rsidRPr="00D66162">
        <w:rPr>
          <w:b/>
          <w:u w:val="single"/>
        </w:rPr>
        <w:t>The costs of the appeal</w:t>
      </w:r>
    </w:p>
    <w:p w14:paraId="3F6C7B23" w14:textId="3611A1EC" w:rsidR="00D302C2" w:rsidRPr="00D66162" w:rsidRDefault="007154AF" w:rsidP="00A74303">
      <w:pPr>
        <w:numPr>
          <w:ilvl w:val="0"/>
          <w:numId w:val="1"/>
        </w:numPr>
        <w:spacing w:line="480" w:lineRule="auto"/>
        <w:ind w:left="0" w:firstLine="0"/>
        <w:jc w:val="both"/>
      </w:pPr>
      <w:r>
        <w:t xml:space="preserve">In the substantive judgment </w:t>
      </w:r>
      <w:r w:rsidR="003B4F92" w:rsidRPr="003B4F92">
        <w:t xml:space="preserve">Baker J., with whom the other members of the Court agreed, </w:t>
      </w:r>
      <w:r w:rsidR="0073380E" w:rsidRPr="00D66162">
        <w:t xml:space="preserve">rejected </w:t>
      </w:r>
      <w:r w:rsidR="00DF46A3" w:rsidRPr="00D66162">
        <w:t>the proposition advanced by the appellant</w:t>
      </w:r>
      <w:r w:rsidR="0073380E" w:rsidRPr="00D66162">
        <w:t>s</w:t>
      </w:r>
      <w:r w:rsidR="00DF46A3" w:rsidRPr="00D66162">
        <w:t xml:space="preserve"> concerning the </w:t>
      </w:r>
      <w:r w:rsidR="008046BB" w:rsidRPr="00D66162">
        <w:t>interpretation of the legislation</w:t>
      </w:r>
      <w:r w:rsidR="00757EF6">
        <w:t xml:space="preserve"> </w:t>
      </w:r>
      <w:r w:rsidR="00757EF6" w:rsidRPr="003B4F92">
        <w:t>([2022] IESC 14)</w:t>
      </w:r>
      <w:r w:rsidR="00A21B56" w:rsidRPr="00D66162">
        <w:t>.  The practical consequence of the decision of this Court on the case stated was therefore that the appellant</w:t>
      </w:r>
      <w:r w:rsidR="001F4B1D">
        <w:t>s</w:t>
      </w:r>
      <w:r w:rsidR="00A21B56" w:rsidRPr="00D66162">
        <w:t xml:space="preserve"> could not succeed in obtaining the relief sought in the motion before the Circuit Court.  </w:t>
      </w:r>
    </w:p>
    <w:p w14:paraId="3FBCBC17" w14:textId="7C698EF6" w:rsidR="00D302C2" w:rsidRPr="00D66162" w:rsidRDefault="00A21B56" w:rsidP="00A74303">
      <w:pPr>
        <w:numPr>
          <w:ilvl w:val="0"/>
          <w:numId w:val="1"/>
        </w:numPr>
        <w:spacing w:line="480" w:lineRule="auto"/>
        <w:ind w:left="0" w:firstLine="0"/>
        <w:jc w:val="both"/>
      </w:pPr>
      <w:r w:rsidRPr="00D66162">
        <w:t xml:space="preserve">The </w:t>
      </w:r>
      <w:r w:rsidR="00D302C2" w:rsidRPr="00D66162">
        <w:t xml:space="preserve">appellants </w:t>
      </w:r>
      <w:r w:rsidRPr="00D66162">
        <w:t>assert</w:t>
      </w:r>
      <w:r w:rsidR="00757EF6">
        <w:t>, however,</w:t>
      </w:r>
      <w:r w:rsidRPr="00D66162">
        <w:t xml:space="preserve"> that </w:t>
      </w:r>
      <w:r w:rsidR="00D302C2" w:rsidRPr="00D66162">
        <w:t>they are</w:t>
      </w:r>
      <w:r w:rsidRPr="00D66162">
        <w:t xml:space="preserve"> entitled to the costs of the appeal because </w:t>
      </w:r>
      <w:r w:rsidR="008046BB" w:rsidRPr="00D66162">
        <w:t>in the words of s. 161(1)(A) of the Legal Services Regulation Act 2015</w:t>
      </w:r>
      <w:r w:rsidRPr="00D66162">
        <w:t xml:space="preserve"> the “nature and circumstances of the case” </w:t>
      </w:r>
      <w:r w:rsidR="008046BB" w:rsidRPr="00D66162">
        <w:t xml:space="preserve">so require, </w:t>
      </w:r>
      <w:r w:rsidRPr="00D66162">
        <w:t xml:space="preserve">and that costs should be awarded to </w:t>
      </w:r>
      <w:r w:rsidR="00D302C2" w:rsidRPr="00D66162">
        <w:t xml:space="preserve">them </w:t>
      </w:r>
      <w:r w:rsidRPr="00D66162">
        <w:t xml:space="preserve">in </w:t>
      </w:r>
      <w:r w:rsidR="00D302C2" w:rsidRPr="00D66162">
        <w:t>the Court’s</w:t>
      </w:r>
      <w:r w:rsidRPr="00D66162">
        <w:t xml:space="preserve"> general discretion</w:t>
      </w:r>
      <w:r w:rsidR="00747E08">
        <w:t>,</w:t>
      </w:r>
      <w:r w:rsidRPr="00D66162">
        <w:t xml:space="preserve"> whether </w:t>
      </w:r>
      <w:r w:rsidR="008046BB" w:rsidRPr="00D66162">
        <w:t>the issue of costs is assessed under</w:t>
      </w:r>
      <w:r w:rsidRPr="00D66162">
        <w:t xml:space="preserve"> the Act </w:t>
      </w:r>
      <w:r w:rsidR="00747E08">
        <w:t xml:space="preserve">of </w:t>
      </w:r>
      <w:r w:rsidRPr="00D66162">
        <w:t xml:space="preserve">2015 or under O. </w:t>
      </w:r>
      <w:r w:rsidR="00D302C2" w:rsidRPr="00D66162">
        <w:t>9</w:t>
      </w:r>
      <w:r w:rsidRPr="00D66162">
        <w:t>9</w:t>
      </w:r>
      <w:r w:rsidR="003B4F92">
        <w:t>,</w:t>
      </w:r>
      <w:r w:rsidRPr="00D66162">
        <w:t xml:space="preserve"> r. 2(1) of the Rules of the Superior Courts.  </w:t>
      </w:r>
      <w:r w:rsidR="008046BB" w:rsidRPr="00D66162">
        <w:t>Again, by reference to the statutory language, i</w:t>
      </w:r>
      <w:r w:rsidRPr="00D66162">
        <w:t>t is asserted that it was “reasonable” for the appellant</w:t>
      </w:r>
      <w:r w:rsidR="00747E08">
        <w:t>s</w:t>
      </w:r>
      <w:r w:rsidRPr="00D66162">
        <w:t xml:space="preserve"> to support the request by the respondent that the Circuit Court would state a case to the Court of Appeal, </w:t>
      </w:r>
      <w:proofErr w:type="gramStart"/>
      <w:r w:rsidRPr="00D66162">
        <w:t>and also</w:t>
      </w:r>
      <w:proofErr w:type="gramEnd"/>
      <w:r w:rsidRPr="00D66162">
        <w:t xml:space="preserve"> reasonable for </w:t>
      </w:r>
      <w:r w:rsidR="00747E08">
        <w:t xml:space="preserve">them </w:t>
      </w:r>
      <w:r w:rsidRPr="00D66162">
        <w:t xml:space="preserve">to appeal the decision of the Court of Appeal.  It is argued that </w:t>
      </w:r>
      <w:r w:rsidR="00D302C2" w:rsidRPr="00D66162">
        <w:t xml:space="preserve">the affidavit evidence of the respondent in the Circuit Court was that </w:t>
      </w:r>
      <w:r w:rsidRPr="00D66162">
        <w:t>the issue was one of “systemic” importance, which “potentially touches thousands of applicants across the country who have been assessed</w:t>
      </w:r>
      <w:r w:rsidR="00EB4D01" w:rsidRPr="00D66162">
        <w:t xml:space="preserve"> not to have a disability”.  </w:t>
      </w:r>
    </w:p>
    <w:p w14:paraId="4688980B" w14:textId="20C8408E" w:rsidR="00D302C2" w:rsidRPr="00D66162" w:rsidRDefault="00D302C2" w:rsidP="00A74303">
      <w:pPr>
        <w:numPr>
          <w:ilvl w:val="0"/>
          <w:numId w:val="1"/>
        </w:numPr>
        <w:spacing w:line="480" w:lineRule="auto"/>
        <w:ind w:left="0" w:firstLine="0"/>
        <w:jc w:val="both"/>
      </w:pPr>
      <w:r w:rsidRPr="00D66162">
        <w:t>As the Court of Appeal noted in its judgment</w:t>
      </w:r>
      <w:r w:rsidR="004A0C87">
        <w:t xml:space="preserve"> at para. 39</w:t>
      </w:r>
      <w:r w:rsidRPr="00D66162">
        <w:t xml:space="preserve">, and as was noted also in the judgment of this Court on the substantive issue, no authority had directly dealt with the question posed in the case stated regarding the entitlement </w:t>
      </w:r>
      <w:r w:rsidR="00747E08" w:rsidRPr="00FC51E1">
        <w:t>to a service statement</w:t>
      </w:r>
      <w:r w:rsidR="00747E08" w:rsidRPr="00747E08">
        <w:t xml:space="preserve"> </w:t>
      </w:r>
      <w:r w:rsidRPr="00D66162">
        <w:t xml:space="preserve">of a person </w:t>
      </w:r>
      <w:r w:rsidR="008046BB" w:rsidRPr="00D66162">
        <w:t>with</w:t>
      </w:r>
      <w:r w:rsidRPr="00D66162">
        <w:t xml:space="preserve"> identified health needs falling short of a disability, </w:t>
      </w:r>
      <w:r w:rsidR="00747E08">
        <w:t xml:space="preserve">such statement being </w:t>
      </w:r>
      <w:r w:rsidRPr="00D66162">
        <w:t xml:space="preserve">the statutory gateway to the enforcement mechanisms in the Act.  </w:t>
      </w:r>
    </w:p>
    <w:p w14:paraId="013DC819" w14:textId="3A3171DE" w:rsidR="00DF46A3" w:rsidRPr="00D66162" w:rsidRDefault="001F4B1D" w:rsidP="00A74303">
      <w:pPr>
        <w:numPr>
          <w:ilvl w:val="0"/>
          <w:numId w:val="1"/>
        </w:numPr>
        <w:spacing w:line="480" w:lineRule="auto"/>
        <w:ind w:left="0" w:firstLine="0"/>
        <w:jc w:val="both"/>
      </w:pPr>
      <w:r>
        <w:lastRenderedPageBreak/>
        <w:t>I</w:t>
      </w:r>
      <w:r w:rsidR="00EB4D01" w:rsidRPr="00D66162">
        <w:t>n correspondence on 4 November 2020</w:t>
      </w:r>
      <w:r w:rsidR="008046BB" w:rsidRPr="00D66162">
        <w:t>,</w:t>
      </w:r>
      <w:r w:rsidR="00EB4D01" w:rsidRPr="00D66162">
        <w:t xml:space="preserve"> before the case was stated</w:t>
      </w:r>
      <w:r w:rsidR="008046BB" w:rsidRPr="00D66162">
        <w:t>,</w:t>
      </w:r>
      <w:r w:rsidR="00EB4D01" w:rsidRPr="00D66162">
        <w:t xml:space="preserve"> to the solicitor for the applicants </w:t>
      </w:r>
      <w:r w:rsidR="00D302C2" w:rsidRPr="00D66162">
        <w:t xml:space="preserve">the respondent’s solicitor had proposed that </w:t>
      </w:r>
      <w:r w:rsidR="00EB4D01" w:rsidRPr="00D66162">
        <w:t>the Circuit Court would make a consultative case stated to the Court of Appeal</w:t>
      </w:r>
      <w:r w:rsidR="00D302C2" w:rsidRPr="00D66162">
        <w:t>,</w:t>
      </w:r>
      <w:r w:rsidR="00EB4D01" w:rsidRPr="00D66162">
        <w:t xml:space="preserve"> </w:t>
      </w:r>
      <w:r w:rsidR="00D302C2" w:rsidRPr="00D66162">
        <w:t>as</w:t>
      </w:r>
      <w:r>
        <w:t>,</w:t>
      </w:r>
      <w:r w:rsidR="00D302C2" w:rsidRPr="00D66162">
        <w:t xml:space="preserve"> </w:t>
      </w:r>
      <w:r>
        <w:t xml:space="preserve">because </w:t>
      </w:r>
      <w:r w:rsidR="00EB4D01" w:rsidRPr="00D66162">
        <w:t xml:space="preserve">the </w:t>
      </w:r>
      <w:r w:rsidR="00D302C2" w:rsidRPr="00D66162">
        <w:t>interpretative question raised</w:t>
      </w:r>
      <w:r w:rsidR="00EB4D01" w:rsidRPr="00D66162">
        <w:t xml:space="preserve"> arose in other cases, there would be a “significant benefit” in clarifying the point</w:t>
      </w:r>
      <w:r w:rsidR="00D302C2" w:rsidRPr="00D66162">
        <w:t xml:space="preserve">. It was said </w:t>
      </w:r>
      <w:r w:rsidR="00EB4D01" w:rsidRPr="00D66162">
        <w:t>that</w:t>
      </w:r>
      <w:r w:rsidR="00D302C2" w:rsidRPr="00D66162">
        <w:t>,</w:t>
      </w:r>
      <w:r w:rsidR="00EB4D01" w:rsidRPr="00D66162">
        <w:t xml:space="preserve"> should the Circuit Court judge accede to the application to state the case</w:t>
      </w:r>
      <w:r w:rsidR="00D302C2" w:rsidRPr="00D66162">
        <w:t>,</w:t>
      </w:r>
      <w:r w:rsidR="00EB4D01" w:rsidRPr="00D66162">
        <w:t xml:space="preserve"> that no order for costs would be sought against the applicant</w:t>
      </w:r>
      <w:r w:rsidR="00D302C2" w:rsidRPr="00D66162">
        <w:t>s</w:t>
      </w:r>
      <w:r w:rsidR="00EB4D01" w:rsidRPr="00D66162">
        <w:t xml:space="preserve"> irrespective of the outcome. </w:t>
      </w:r>
    </w:p>
    <w:p w14:paraId="3A32225A" w14:textId="07AA0DAF" w:rsidR="00CD30AB" w:rsidRPr="00D66162" w:rsidRDefault="00CD30AB" w:rsidP="00A74303">
      <w:pPr>
        <w:numPr>
          <w:ilvl w:val="0"/>
          <w:numId w:val="1"/>
        </w:numPr>
        <w:spacing w:line="480" w:lineRule="auto"/>
        <w:ind w:left="0" w:firstLine="0"/>
        <w:jc w:val="both"/>
      </w:pPr>
      <w:r w:rsidRPr="00D66162">
        <w:t>The responden</w:t>
      </w:r>
      <w:r w:rsidR="00C97BE2">
        <w:t xml:space="preserve">t says </w:t>
      </w:r>
      <w:r w:rsidRPr="00D66162">
        <w:t xml:space="preserve">that it is presumptively entitled to its costs but proposes that no order for costs be made in respect of </w:t>
      </w:r>
      <w:r w:rsidR="008046BB" w:rsidRPr="00D66162">
        <w:t xml:space="preserve">either aspect of </w:t>
      </w:r>
      <w:r w:rsidRPr="00D66162">
        <w:t xml:space="preserve">the appeal before this Court, and that the order in the Court of Appeal be retained.  </w:t>
      </w:r>
    </w:p>
    <w:p w14:paraId="305CA42C" w14:textId="5181CC45" w:rsidR="00CD30AB" w:rsidRPr="00D66162" w:rsidRDefault="00CD30AB" w:rsidP="00A74303">
      <w:pPr>
        <w:spacing w:line="480" w:lineRule="auto"/>
        <w:jc w:val="both"/>
        <w:rPr>
          <w:b/>
          <w:u w:val="single"/>
        </w:rPr>
      </w:pPr>
      <w:r w:rsidRPr="00D66162">
        <w:rPr>
          <w:b/>
          <w:u w:val="single"/>
        </w:rPr>
        <w:t>General comments re</w:t>
      </w:r>
      <w:r w:rsidR="003B4F92">
        <w:rPr>
          <w:b/>
          <w:u w:val="single"/>
        </w:rPr>
        <w:t>garding</w:t>
      </w:r>
      <w:r w:rsidRPr="00D66162">
        <w:rPr>
          <w:b/>
          <w:u w:val="single"/>
        </w:rPr>
        <w:t xml:space="preserve"> costs</w:t>
      </w:r>
    </w:p>
    <w:p w14:paraId="7BDD1F5F" w14:textId="15EA2D24" w:rsidR="00C97BE2" w:rsidRPr="00FC51E1" w:rsidRDefault="00C97BE2" w:rsidP="00C97BE2">
      <w:pPr>
        <w:numPr>
          <w:ilvl w:val="0"/>
          <w:numId w:val="1"/>
        </w:numPr>
        <w:spacing w:line="480" w:lineRule="auto"/>
        <w:ind w:left="0" w:firstLine="0"/>
        <w:jc w:val="both"/>
      </w:pPr>
      <w:r w:rsidRPr="00FC51E1">
        <w:t xml:space="preserve">The factors which fall to be considered when </w:t>
      </w:r>
      <w:r w:rsidR="001F4B1D">
        <w:t xml:space="preserve">a </w:t>
      </w:r>
      <w:r w:rsidRPr="00FC51E1">
        <w:t xml:space="preserve">court is asked to depart from the normal rule that costs follow the “event” </w:t>
      </w:r>
      <w:r>
        <w:t xml:space="preserve">include </w:t>
      </w:r>
      <w:r w:rsidRPr="00FC51E1">
        <w:t>the general importance of the legal issues raise</w:t>
      </w:r>
      <w:r>
        <w:t>d</w:t>
      </w:r>
      <w:r w:rsidRPr="00FC51E1">
        <w:t>, whether they are novel or well</w:t>
      </w:r>
      <w:r>
        <w:t>-</w:t>
      </w:r>
      <w:r w:rsidRPr="00FC51E1">
        <w:t xml:space="preserve">established, whether </w:t>
      </w:r>
      <w:r>
        <w:t xml:space="preserve">a party’s </w:t>
      </w:r>
      <w:r w:rsidRPr="00FC51E1">
        <w:t xml:space="preserve">case is strong or weak, and whether the subject matter of the litigation is likely to have a significant effect on the category of persons affected by the legal issues.  The jurisdiction is exceptional. </w:t>
      </w:r>
      <w:r>
        <w:t xml:space="preserve"> </w:t>
      </w:r>
      <w:r w:rsidRPr="00FC51E1">
        <w:t xml:space="preserve">Where the losing party had brought a claim to, even in part, obtain a personal advantage that factor will undoubtedly weigh against granting costs to that party, but may justify making no order against them: see the discussion in this Court’s judgment in </w:t>
      </w:r>
      <w:r w:rsidRPr="00FC51E1">
        <w:rPr>
          <w:i/>
        </w:rPr>
        <w:t>An Taisce v</w:t>
      </w:r>
      <w:r>
        <w:rPr>
          <w:i/>
        </w:rPr>
        <w:t>.</w:t>
      </w:r>
      <w:r w:rsidRPr="00FC51E1">
        <w:rPr>
          <w:i/>
        </w:rPr>
        <w:t xml:space="preserve"> An Bord Pleanála</w:t>
      </w:r>
      <w:r w:rsidRPr="00FC51E1">
        <w:t xml:space="preserve"> </w:t>
      </w:r>
      <w:r>
        <w:t>[</w:t>
      </w:r>
      <w:r w:rsidRPr="00FC51E1">
        <w:t>2022</w:t>
      </w:r>
      <w:r>
        <w:t>]</w:t>
      </w:r>
      <w:r w:rsidRPr="00FC51E1">
        <w:t xml:space="preserve"> IESC 18 and in that of Murray J</w:t>
      </w:r>
      <w:r>
        <w:t>.</w:t>
      </w:r>
      <w:r w:rsidRPr="00FC51E1">
        <w:t xml:space="preserve"> in the Court of Appeal in </w:t>
      </w:r>
      <w:r w:rsidRPr="00FC51E1">
        <w:rPr>
          <w:i/>
        </w:rPr>
        <w:t>Lee v</w:t>
      </w:r>
      <w:r>
        <w:rPr>
          <w:i/>
        </w:rPr>
        <w:t>.</w:t>
      </w:r>
      <w:r w:rsidRPr="00FC51E1">
        <w:rPr>
          <w:i/>
        </w:rPr>
        <w:t xml:space="preserve"> Revenue Commissioners</w:t>
      </w:r>
      <w:r w:rsidRPr="00FC51E1">
        <w:t xml:space="preserve"> </w:t>
      </w:r>
      <w:r>
        <w:t xml:space="preserve">[2021] </w:t>
      </w:r>
      <w:r w:rsidRPr="00FC51E1">
        <w:t>IECA 114.</w:t>
      </w:r>
    </w:p>
    <w:p w14:paraId="6D130A3E" w14:textId="4EDC0CEB" w:rsidR="00EB4D01" w:rsidRPr="00D66162" w:rsidRDefault="00EB4D01" w:rsidP="00D66162">
      <w:pPr>
        <w:numPr>
          <w:ilvl w:val="0"/>
          <w:numId w:val="1"/>
        </w:numPr>
        <w:spacing w:line="480" w:lineRule="auto"/>
        <w:ind w:left="0" w:firstLine="0"/>
        <w:jc w:val="both"/>
      </w:pPr>
      <w:r w:rsidRPr="00D66162">
        <w:t>Essentially the appellant</w:t>
      </w:r>
      <w:r w:rsidR="004A0C87">
        <w:t>s</w:t>
      </w:r>
      <w:r w:rsidRPr="00D66162">
        <w:t xml:space="preserve"> argue that the appeal to this Court raised a matter of </w:t>
      </w:r>
      <w:proofErr w:type="gramStart"/>
      <w:r w:rsidRPr="00D66162">
        <w:t>general public</w:t>
      </w:r>
      <w:proofErr w:type="gramEnd"/>
      <w:r w:rsidRPr="00D66162">
        <w:t xml:space="preserve"> importance which justifies the award of costs in their favour.  Reliance is placed on the decision of Simons J. in </w:t>
      </w:r>
      <w:r w:rsidRPr="00D66162">
        <w:rPr>
          <w:i/>
        </w:rPr>
        <w:t>Corcoran v</w:t>
      </w:r>
      <w:r w:rsidR="004A0C87">
        <w:rPr>
          <w:i/>
        </w:rPr>
        <w:t>.</w:t>
      </w:r>
      <w:r w:rsidRPr="00D66162">
        <w:rPr>
          <w:i/>
        </w:rPr>
        <w:t xml:space="preserve"> Commissioner of </w:t>
      </w:r>
      <w:proofErr w:type="gramStart"/>
      <w:r w:rsidRPr="00D66162">
        <w:rPr>
          <w:i/>
        </w:rPr>
        <w:t>An</w:t>
      </w:r>
      <w:proofErr w:type="gramEnd"/>
      <w:r w:rsidRPr="00D66162">
        <w:rPr>
          <w:i/>
        </w:rPr>
        <w:t xml:space="preserve"> Garda Siochána</w:t>
      </w:r>
      <w:r w:rsidRPr="00D66162">
        <w:t xml:space="preserve"> [2021] IEHC 11 </w:t>
      </w:r>
      <w:r w:rsidR="003B4F92">
        <w:t xml:space="preserve">at para. 19 </w:t>
      </w:r>
      <w:r w:rsidRPr="00D66162">
        <w:t xml:space="preserve">where he noted that one of the objectives of the Court in exercising its discretion to award costs in proceedings which raise matters of general public importance includes “the objective of </w:t>
      </w:r>
      <w:r w:rsidR="003B4F92">
        <w:t>e</w:t>
      </w:r>
      <w:r w:rsidRPr="00D66162">
        <w:t xml:space="preserve">nsuring that individuals are not deterred by the risk of exposure </w:t>
      </w:r>
      <w:r w:rsidRPr="00D66162">
        <w:lastRenderedPageBreak/>
        <w:t>to legal costs from pursuing litigation of a type which</w:t>
      </w:r>
      <w:r w:rsidR="003B4F92">
        <w:t>—</w:t>
      </w:r>
      <w:r w:rsidRPr="00D66162">
        <w:t xml:space="preserve"> although ultimately unsuccessful</w:t>
      </w:r>
      <w:r w:rsidR="003B4F92">
        <w:t>—n</w:t>
      </w:r>
      <w:r w:rsidRPr="00D66162">
        <w:t xml:space="preserve">evertheless serves a public interest”, noting </w:t>
      </w:r>
      <w:r w:rsidR="003A0171" w:rsidRPr="00D66162">
        <w:t xml:space="preserve">too </w:t>
      </w:r>
      <w:r w:rsidRPr="00D66162">
        <w:t>that that objective must be reconciled with another objective, that of insuring that unmeritorious litigation is not “inadvertently encouraged by an overly indulgent cost</w:t>
      </w:r>
      <w:r w:rsidR="003B4F92">
        <w:t>s</w:t>
      </w:r>
      <w:r w:rsidRPr="00D66162">
        <w:t xml:space="preserve"> regime”.  </w:t>
      </w:r>
    </w:p>
    <w:p w14:paraId="66B84E2A" w14:textId="6950B4F6" w:rsidR="00EB4D01" w:rsidRPr="00D66162" w:rsidRDefault="0064007F" w:rsidP="00A74303">
      <w:pPr>
        <w:numPr>
          <w:ilvl w:val="0"/>
          <w:numId w:val="1"/>
        </w:numPr>
        <w:spacing w:line="480" w:lineRule="auto"/>
        <w:ind w:left="0" w:firstLine="0"/>
        <w:jc w:val="both"/>
      </w:pPr>
      <w:r w:rsidRPr="00D66162">
        <w:t xml:space="preserve">As will be apparent from the judgment of the Court, </w:t>
      </w:r>
      <w:proofErr w:type="gramStart"/>
      <w:r w:rsidRPr="00D66162">
        <w:t>in particular from</w:t>
      </w:r>
      <w:proofErr w:type="gramEnd"/>
      <w:r w:rsidRPr="00D66162">
        <w:t xml:space="preserve"> para. 50 to the end of the judgment, the issues raised were answered by a literal reading of the Act</w:t>
      </w:r>
      <w:r w:rsidR="00C97BE2">
        <w:t>,</w:t>
      </w:r>
      <w:r w:rsidRPr="00D66162">
        <w:t xml:space="preserve"> by a reading of the relevant statutory provisions in the </w:t>
      </w:r>
      <w:r w:rsidR="00AC010A" w:rsidRPr="00D66162">
        <w:t xml:space="preserve">context of the Act as a whole </w:t>
      </w:r>
      <w:proofErr w:type="gramStart"/>
      <w:r w:rsidR="00AC010A" w:rsidRPr="00D66162">
        <w:t>and also</w:t>
      </w:r>
      <w:proofErr w:type="gramEnd"/>
      <w:r w:rsidR="00AC010A" w:rsidRPr="00D66162">
        <w:t xml:space="preserve"> in the light of the definition section in Part 2 of the Act.  The conclusion of the Court was that the ordinary canons of statutory interpretation did not require to be departed from in the exercise of ascertaining the intention of the Oireachtas.  </w:t>
      </w:r>
      <w:r w:rsidR="00D9131A" w:rsidRPr="00D66162">
        <w:t>The appeal did not therefore raise an issue of any great complexity or novelty.</w:t>
      </w:r>
    </w:p>
    <w:p w14:paraId="06BB9751" w14:textId="77777777" w:rsidR="005D1111" w:rsidRDefault="00AC010A" w:rsidP="00A74303">
      <w:pPr>
        <w:numPr>
          <w:ilvl w:val="0"/>
          <w:numId w:val="1"/>
        </w:numPr>
        <w:spacing w:line="480" w:lineRule="auto"/>
        <w:ind w:left="0" w:firstLine="0"/>
        <w:jc w:val="both"/>
      </w:pPr>
      <w:r w:rsidRPr="00D66162">
        <w:t xml:space="preserve">Nonetheless, and while the judgment did not require the Court to depart from well-established principles of statutory interpretation, the matter can still be said to have been one of </w:t>
      </w:r>
      <w:proofErr w:type="gramStart"/>
      <w:r w:rsidRPr="00D66162">
        <w:t>general public</w:t>
      </w:r>
      <w:proofErr w:type="gramEnd"/>
      <w:r w:rsidRPr="00D66162">
        <w:t xml:space="preserve"> importance, the answer to which is likely to be undoubtedly of assistance in many cases where the legislation falls to be interpreted. </w:t>
      </w:r>
    </w:p>
    <w:p w14:paraId="7275DEEF" w14:textId="33F39CDE" w:rsidR="00C42416" w:rsidRPr="005D1111" w:rsidRDefault="00AC010A" w:rsidP="005D1111">
      <w:pPr>
        <w:numPr>
          <w:ilvl w:val="0"/>
          <w:numId w:val="1"/>
        </w:numPr>
        <w:spacing w:line="480" w:lineRule="auto"/>
        <w:ind w:left="0" w:firstLine="0"/>
        <w:jc w:val="both"/>
      </w:pPr>
      <w:r w:rsidRPr="00D66162">
        <w:t xml:space="preserve"> The principles to which th</w:t>
      </w:r>
      <w:r w:rsidR="001F4B1D">
        <w:t>is</w:t>
      </w:r>
      <w:r w:rsidRPr="00D66162">
        <w:t xml:space="preserve"> Court must have regard in considering the proper approach to costs in a case where issues of general public importance arise must have regard in the first place to the </w:t>
      </w:r>
      <w:r w:rsidR="005D1111">
        <w:t xml:space="preserve">changes in the </w:t>
      </w:r>
      <w:r w:rsidRPr="00D66162">
        <w:t xml:space="preserve">constitutional architecture </w:t>
      </w:r>
      <w:r w:rsidR="005D1111" w:rsidRPr="005D1111">
        <w:t xml:space="preserve">affected by the operation of the 33rd Amendment of the Constitution Act 2013 </w:t>
      </w:r>
      <w:r w:rsidRPr="00D66162">
        <w:t xml:space="preserve">which has resulted in a new and constitutionally different jurisdiction in this Court and that leave to appeal is granted only in those cases which raise legal issues of general public importance, or where the interests of justice require.  It could be said therefore that all cases that come before this Court have the potential </w:t>
      </w:r>
      <w:r w:rsidR="005D1111">
        <w:t xml:space="preserve">to </w:t>
      </w:r>
      <w:r w:rsidRPr="00D66162">
        <w:t>determin</w:t>
      </w:r>
      <w:r w:rsidR="005D1111">
        <w:t>e</w:t>
      </w:r>
      <w:r w:rsidRPr="00D66162">
        <w:t xml:space="preserve"> a legal question which can have general legal effect and </w:t>
      </w:r>
      <w:proofErr w:type="gramStart"/>
      <w:r w:rsidRPr="00D66162">
        <w:t>importance, and</w:t>
      </w:r>
      <w:proofErr w:type="gramEnd"/>
      <w:r w:rsidRPr="00D66162">
        <w:t xml:space="preserve"> is capable of affecting a large or small number of other persons in similar circumstances. </w:t>
      </w:r>
    </w:p>
    <w:p w14:paraId="2EF67E5F" w14:textId="23D5C3AC" w:rsidR="00C42416" w:rsidRPr="00FC51E1" w:rsidRDefault="005D1111" w:rsidP="00C42416">
      <w:pPr>
        <w:numPr>
          <w:ilvl w:val="0"/>
          <w:numId w:val="1"/>
        </w:numPr>
        <w:spacing w:line="480" w:lineRule="auto"/>
        <w:ind w:left="0" w:firstLine="0"/>
        <w:jc w:val="both"/>
      </w:pPr>
      <w:r>
        <w:t>Therefore, a</w:t>
      </w:r>
      <w:r w:rsidR="00C42416" w:rsidRPr="00FC51E1">
        <w:t xml:space="preserve">s this Court has already noted in its ruling on costs in </w:t>
      </w:r>
      <w:r w:rsidR="00C42416" w:rsidRPr="00FC51E1">
        <w:rPr>
          <w:i/>
        </w:rPr>
        <w:t>Minister for Communications Energy and Natural Resources v</w:t>
      </w:r>
      <w:r w:rsidR="00C42416">
        <w:rPr>
          <w:i/>
        </w:rPr>
        <w:t>.</w:t>
      </w:r>
      <w:r w:rsidR="00C42416" w:rsidRPr="00FC51E1">
        <w:rPr>
          <w:i/>
        </w:rPr>
        <w:t xml:space="preserve"> Wymes</w:t>
      </w:r>
      <w:r w:rsidR="00C42416" w:rsidRPr="00FC51E1">
        <w:t xml:space="preserve"> [2021] IESC 63, the fact that a </w:t>
      </w:r>
      <w:r w:rsidR="00C42416" w:rsidRPr="00FC51E1">
        <w:lastRenderedPageBreak/>
        <w:t xml:space="preserve">question considered in an appeal is a matter of general public importance cannot of itself be a basis on which a determination on liability for costs could be made, as most, if not all, appeals to this Court could be said to fall into that category by reason of the constitutional threshold to grant of leave to appeal.  More recently in </w:t>
      </w:r>
      <w:r w:rsidR="00C42416" w:rsidRPr="00FC51E1">
        <w:rPr>
          <w:i/>
        </w:rPr>
        <w:t>Sobhy v</w:t>
      </w:r>
      <w:r w:rsidR="00C42416">
        <w:rPr>
          <w:i/>
        </w:rPr>
        <w:t>.</w:t>
      </w:r>
      <w:r w:rsidR="00C42416" w:rsidRPr="00FC51E1">
        <w:rPr>
          <w:i/>
        </w:rPr>
        <w:t xml:space="preserve"> Chief Appeals Officer</w:t>
      </w:r>
      <w:r w:rsidR="00C42416" w:rsidRPr="00FC51E1">
        <w:t xml:space="preserve"> [2022] IESC 1</w:t>
      </w:r>
      <w:r w:rsidR="00C42416">
        <w:t>6</w:t>
      </w:r>
      <w:r w:rsidR="00C42416" w:rsidRPr="00FC51E1">
        <w:t xml:space="preserve">, which concerned what was undoubtedly a matter of systemic importance regarding the </w:t>
      </w:r>
      <w:r>
        <w:t xml:space="preserve">welfare </w:t>
      </w:r>
      <w:r w:rsidR="00C42416" w:rsidRPr="00FC51E1">
        <w:t>entitlement of an undocumented person who whilst employed in the State was making the appropriate social welfare contributions, the Court considered that the justice of the case was properly met by making no order as to the costs of the appeal or of the High Court, and noted that whilst the result had a direct consequence for the appellant</w:t>
      </w:r>
      <w:r w:rsidR="00C42416">
        <w:t>s</w:t>
      </w:r>
      <w:r w:rsidR="00C42416" w:rsidRPr="00FC51E1">
        <w:t xml:space="preserve"> it was equally likely to impact on a large number of persons.  The Court there departed from the normal rule that costs follow the event, as </w:t>
      </w:r>
      <w:proofErr w:type="gramStart"/>
      <w:r w:rsidR="00C42416" w:rsidRPr="00FC51E1">
        <w:t>that appellant</w:t>
      </w:r>
      <w:r w:rsidR="00C42416">
        <w:t>s</w:t>
      </w:r>
      <w:proofErr w:type="gramEnd"/>
      <w:r w:rsidR="00C42416" w:rsidRPr="00FC51E1">
        <w:t xml:space="preserve"> had lost the appeal.  </w:t>
      </w:r>
    </w:p>
    <w:p w14:paraId="13ABF234" w14:textId="3A244414" w:rsidR="00C97BE2" w:rsidRPr="00C42416" w:rsidRDefault="00AC010A" w:rsidP="00D66162">
      <w:pPr>
        <w:numPr>
          <w:ilvl w:val="0"/>
          <w:numId w:val="1"/>
        </w:numPr>
        <w:spacing w:line="480" w:lineRule="auto"/>
        <w:ind w:left="0" w:firstLine="0"/>
        <w:jc w:val="both"/>
        <w:rPr>
          <w:b/>
          <w:u w:val="single"/>
        </w:rPr>
      </w:pPr>
      <w:r w:rsidRPr="00D66162">
        <w:t xml:space="preserve"> </w:t>
      </w:r>
      <w:r w:rsidR="00CD30AB" w:rsidRPr="00D66162">
        <w:t>In the light of those general observations the following is the conclusion of the Court</w:t>
      </w:r>
    </w:p>
    <w:p w14:paraId="56722A55" w14:textId="467763CC" w:rsidR="00194A07" w:rsidRPr="00D66162" w:rsidRDefault="00194A07" w:rsidP="00A74303">
      <w:pPr>
        <w:spacing w:line="480" w:lineRule="auto"/>
        <w:jc w:val="both"/>
        <w:rPr>
          <w:b/>
          <w:u w:val="single"/>
        </w:rPr>
      </w:pPr>
      <w:r w:rsidRPr="00D66162">
        <w:rPr>
          <w:b/>
          <w:u w:val="single"/>
        </w:rPr>
        <w:t>The costs of the Court of Appeal</w:t>
      </w:r>
    </w:p>
    <w:p w14:paraId="74CEE215" w14:textId="26EDE206" w:rsidR="00A21B56" w:rsidRPr="00D66162" w:rsidRDefault="00194A07" w:rsidP="00A74303">
      <w:pPr>
        <w:numPr>
          <w:ilvl w:val="0"/>
          <w:numId w:val="1"/>
        </w:numPr>
        <w:spacing w:line="480" w:lineRule="auto"/>
        <w:ind w:left="0" w:firstLine="0"/>
        <w:jc w:val="both"/>
      </w:pPr>
      <w:r w:rsidRPr="00D66162">
        <w:t>The applicant</w:t>
      </w:r>
      <w:r w:rsidR="005D0DAF">
        <w:t>s</w:t>
      </w:r>
      <w:r w:rsidRPr="00D66162">
        <w:t xml:space="preserve"> raised the issue of the costs of the Court of Appeal in their applica</w:t>
      </w:r>
      <w:r w:rsidR="005D0DAF">
        <w:t>tion</w:t>
      </w:r>
      <w:r w:rsidRPr="00D66162">
        <w:t xml:space="preserve"> for leave </w:t>
      </w:r>
      <w:r w:rsidR="0047364B">
        <w:t xml:space="preserve">to appeal </w:t>
      </w:r>
      <w:r w:rsidRPr="00D66162">
        <w:t xml:space="preserve">under the rubric of “interests of justice” and make a specific plea in Ground 5 of the notice of appeal that the Court of Appeal erred in the </w:t>
      </w:r>
      <w:proofErr w:type="gramStart"/>
      <w:r w:rsidRPr="00D66162">
        <w:t>manner in which</w:t>
      </w:r>
      <w:proofErr w:type="gramEnd"/>
      <w:r w:rsidRPr="00D66162">
        <w:t xml:space="preserve"> it exercised its discretion to not award costs to them.  The respondent opposed the application and pleaded that the Court of Appeal had correctly exercised its discretion </w:t>
      </w:r>
      <w:proofErr w:type="gramStart"/>
      <w:r w:rsidRPr="00D66162">
        <w:t>in particular by</w:t>
      </w:r>
      <w:proofErr w:type="gramEnd"/>
      <w:r w:rsidRPr="00D66162">
        <w:t xml:space="preserve"> reference to the principle set out by that Court in </w:t>
      </w:r>
      <w:r w:rsidR="005D0DAF" w:rsidRPr="00E7745F">
        <w:rPr>
          <w:i/>
        </w:rPr>
        <w:t>Lee v</w:t>
      </w:r>
      <w:r w:rsidR="005D0DAF">
        <w:rPr>
          <w:i/>
        </w:rPr>
        <w:t>.</w:t>
      </w:r>
      <w:r w:rsidR="005D0DAF" w:rsidRPr="00E7745F">
        <w:rPr>
          <w:i/>
        </w:rPr>
        <w:t xml:space="preserve"> Revenue Commissioners</w:t>
      </w:r>
      <w:r w:rsidR="005D0DAF" w:rsidRPr="00E7745F">
        <w:t>.</w:t>
      </w:r>
    </w:p>
    <w:p w14:paraId="3FC42C5A" w14:textId="4F0D7648" w:rsidR="00D0306C" w:rsidRPr="00D66162" w:rsidRDefault="00194A07" w:rsidP="00A74303">
      <w:pPr>
        <w:numPr>
          <w:ilvl w:val="0"/>
          <w:numId w:val="1"/>
        </w:numPr>
        <w:spacing w:line="480" w:lineRule="auto"/>
        <w:ind w:left="0" w:firstLine="0"/>
        <w:jc w:val="both"/>
      </w:pPr>
      <w:r w:rsidRPr="00D66162">
        <w:t xml:space="preserve">It is argued by the respondent that the Determination did not give leave to appeal the </w:t>
      </w:r>
      <w:r w:rsidR="00CD30AB" w:rsidRPr="00D66162">
        <w:t>Court of Appeal order</w:t>
      </w:r>
      <w:r w:rsidRPr="00D66162">
        <w:t xml:space="preserve"> for costs.  </w:t>
      </w:r>
      <w:r w:rsidR="0047364B">
        <w:t xml:space="preserve">It was not mentioned in </w:t>
      </w:r>
      <w:r w:rsidR="0047364B" w:rsidRPr="00FC51E1">
        <w:t>the Statement of Case to the parties on 29 October 2021</w:t>
      </w:r>
      <w:r w:rsidR="0047364B">
        <w:t xml:space="preserve">. </w:t>
      </w:r>
      <w:r w:rsidR="00D0306C" w:rsidRPr="00D66162">
        <w:t>The appellant</w:t>
      </w:r>
      <w:r w:rsidR="00CD30AB" w:rsidRPr="00D66162">
        <w:t>s</w:t>
      </w:r>
      <w:r w:rsidR="00D0306C" w:rsidRPr="00D66162">
        <w:t xml:space="preserve"> made no suggestion following circulation of </w:t>
      </w:r>
      <w:r w:rsidR="0047364B">
        <w:t xml:space="preserve">the </w:t>
      </w:r>
      <w:r w:rsidR="0047364B" w:rsidRPr="00FC51E1">
        <w:t xml:space="preserve">Statement of Case </w:t>
      </w:r>
      <w:r w:rsidR="00D0306C" w:rsidRPr="00D66162">
        <w:t xml:space="preserve">that the issue of costs did arise for consideration in the appeal and </w:t>
      </w:r>
      <w:r w:rsidR="00CD30AB" w:rsidRPr="00D66162">
        <w:t xml:space="preserve">that it ought to have been </w:t>
      </w:r>
      <w:r w:rsidR="00D0306C" w:rsidRPr="00D66162">
        <w:t>referred to in the Statement of Case</w:t>
      </w:r>
      <w:r w:rsidR="00CD30AB" w:rsidRPr="00D66162">
        <w:t>.</w:t>
      </w:r>
      <w:r w:rsidR="005D0DAF">
        <w:t xml:space="preserve"> </w:t>
      </w:r>
      <w:r w:rsidR="00CD30AB" w:rsidRPr="00D66162">
        <w:t xml:space="preserve"> It was not rai</w:t>
      </w:r>
      <w:r w:rsidR="005D0DAF">
        <w:t>se</w:t>
      </w:r>
      <w:r w:rsidR="00CD30AB" w:rsidRPr="00D66162">
        <w:t xml:space="preserve">d at either of the two </w:t>
      </w:r>
      <w:r w:rsidR="00D0306C" w:rsidRPr="00D66162">
        <w:t xml:space="preserve">case management </w:t>
      </w:r>
      <w:r w:rsidR="00CD30AB" w:rsidRPr="00D66162">
        <w:t xml:space="preserve">hearings and the Court notes that </w:t>
      </w:r>
      <w:r w:rsidR="00D0306C" w:rsidRPr="00D66162">
        <w:t>on 5 November 2021</w:t>
      </w:r>
      <w:r w:rsidR="00CD30AB" w:rsidRPr="00D66162">
        <w:t>,</w:t>
      </w:r>
      <w:r w:rsidR="00D0306C" w:rsidRPr="00D66162">
        <w:t xml:space="preserve"> when the </w:t>
      </w:r>
      <w:r w:rsidR="00CD30AB" w:rsidRPr="00D66162">
        <w:t xml:space="preserve">case management judge </w:t>
      </w:r>
      <w:r w:rsidR="00D0306C" w:rsidRPr="00D66162">
        <w:t>asked the parties to identify any issues which remained to be clarified</w:t>
      </w:r>
      <w:r w:rsidR="00CD30AB" w:rsidRPr="00D66162">
        <w:t>,</w:t>
      </w:r>
      <w:r w:rsidR="00D0306C" w:rsidRPr="00D66162">
        <w:t xml:space="preserve"> the appellant</w:t>
      </w:r>
      <w:r w:rsidR="004A0C87">
        <w:t>s</w:t>
      </w:r>
      <w:r w:rsidR="00D0306C" w:rsidRPr="00D66162">
        <w:t xml:space="preserve"> again did not raise the costs.  As was noted in the judgment of the Court</w:t>
      </w:r>
      <w:r w:rsidR="000B1AA3">
        <w:t>,</w:t>
      </w:r>
      <w:r w:rsidR="00D0306C" w:rsidRPr="00D66162">
        <w:t xml:space="preserve"> the parties prepared a joint issue paper as directed at case management.  The issue paper prepared by the parties identified those matters which were agreed and those remaining in contention.  The costs of the Court of Appeal were not mentioned as an issue.  The document ran to four pages with 17 numbered paragraphs.</w:t>
      </w:r>
    </w:p>
    <w:p w14:paraId="63E641C0" w14:textId="5AC05AD9" w:rsidR="00770ABE" w:rsidRPr="00D66162" w:rsidRDefault="00D0306C" w:rsidP="00A74303">
      <w:pPr>
        <w:numPr>
          <w:ilvl w:val="0"/>
          <w:numId w:val="1"/>
        </w:numPr>
        <w:spacing w:line="480" w:lineRule="auto"/>
        <w:ind w:left="0" w:firstLine="0"/>
        <w:jc w:val="both"/>
      </w:pPr>
      <w:r w:rsidRPr="00D66162">
        <w:t>Whilst it could be said that in many cases when the result of an appeal to this Court is a finding that the judgment of the lower Court was wrong</w:t>
      </w:r>
      <w:r w:rsidR="00CD30AB" w:rsidRPr="00D66162">
        <w:t>,</w:t>
      </w:r>
      <w:r w:rsidRPr="00D66162">
        <w:t xml:space="preserve"> th</w:t>
      </w:r>
      <w:r w:rsidR="004A0C87">
        <w:t>en</w:t>
      </w:r>
      <w:r w:rsidRPr="00D66162">
        <w:t xml:space="preserve"> the usual order would include an order setting aside the judgment of that lower Court and</w:t>
      </w:r>
      <w:r w:rsidR="004A0C87">
        <w:t xml:space="preserve"> setting aside</w:t>
      </w:r>
      <w:r w:rsidRPr="00D66162">
        <w:t xml:space="preserve"> the costs </w:t>
      </w:r>
      <w:r w:rsidR="00D9131A" w:rsidRPr="00D66162">
        <w:t xml:space="preserve">order made </w:t>
      </w:r>
      <w:r w:rsidRPr="00D66162">
        <w:t xml:space="preserve">against the party who was ultimately successful on appeal.  </w:t>
      </w:r>
      <w:r w:rsidR="00CD30AB" w:rsidRPr="00D66162">
        <w:t>It would</w:t>
      </w:r>
      <w:r w:rsidR="00D9131A" w:rsidRPr="00D66162">
        <w:t>,</w:t>
      </w:r>
      <w:r w:rsidR="00CD30AB" w:rsidRPr="00D66162">
        <w:t xml:space="preserve"> in those circumstances</w:t>
      </w:r>
      <w:r w:rsidR="00D9131A" w:rsidRPr="00D66162">
        <w:t>,</w:t>
      </w:r>
      <w:r w:rsidR="00CD30AB" w:rsidRPr="00D66162">
        <w:t xml:space="preserve"> follow</w:t>
      </w:r>
      <w:r w:rsidRPr="00D66162">
        <w:t xml:space="preserve"> as a matter of logic and fairness</w:t>
      </w:r>
      <w:r w:rsidR="00CD30AB" w:rsidRPr="00D66162">
        <w:t xml:space="preserve"> that</w:t>
      </w:r>
      <w:r w:rsidRPr="00D66162">
        <w:t xml:space="preserve"> if the result of the appeal was that the lower </w:t>
      </w:r>
      <w:r w:rsidR="004A0C87">
        <w:t>c</w:t>
      </w:r>
      <w:r w:rsidRPr="00D66162">
        <w:t>ourt’s decision was wrong in its substance</w:t>
      </w:r>
      <w:r w:rsidR="004A0C87">
        <w:t>, th</w:t>
      </w:r>
      <w:r w:rsidR="005D1111">
        <w:t>at</w:t>
      </w:r>
      <w:r w:rsidRPr="00D66162">
        <w:t xml:space="preserve"> the costs order it made w</w:t>
      </w:r>
      <w:r w:rsidR="004A0C87">
        <w:t>as in</w:t>
      </w:r>
      <w:r w:rsidRPr="00D66162">
        <w:t>correct.  However, the present case presents a somewhat different question, in that the appellant</w:t>
      </w:r>
      <w:r w:rsidR="005D0DAF">
        <w:t>s</w:t>
      </w:r>
      <w:r w:rsidRPr="00D66162">
        <w:t xml:space="preserve"> seek</w:t>
      </w:r>
      <w:r w:rsidR="005D0DAF">
        <w:t xml:space="preserve"> </w:t>
      </w:r>
      <w:r w:rsidRPr="00D66162">
        <w:t xml:space="preserve">to appeal the refusal of the Court of Appeal to exercise its discretion to award the costs of the Court of Appeal </w:t>
      </w:r>
      <w:r w:rsidR="00CD30AB" w:rsidRPr="00D66162">
        <w:t xml:space="preserve">to the losing party </w:t>
      </w:r>
      <w:r w:rsidRPr="00D66162">
        <w:t xml:space="preserve">on an exceptional basis having regard to the public interest element of the litigation, and because the result of the case stated was likely to impact on </w:t>
      </w:r>
      <w:proofErr w:type="gramStart"/>
      <w:r w:rsidRPr="00D66162">
        <w:t>a large number of</w:t>
      </w:r>
      <w:proofErr w:type="gramEnd"/>
      <w:r w:rsidRPr="00D66162">
        <w:t xml:space="preserve"> other persons.  The costs question therefore was not one which was capable of being dealt with in this usual way because the result of the appeal was to uphold the decision of the Court of Appeal</w:t>
      </w:r>
      <w:r w:rsidR="00CD30AB" w:rsidRPr="00D66162">
        <w:t>,</w:t>
      </w:r>
      <w:r w:rsidRPr="00D66162">
        <w:t xml:space="preserve"> which had</w:t>
      </w:r>
      <w:r w:rsidR="00CD30AB" w:rsidRPr="00D66162">
        <w:t>,</w:t>
      </w:r>
      <w:r w:rsidRPr="00D66162">
        <w:t xml:space="preserve"> like this Court</w:t>
      </w:r>
      <w:r w:rsidR="00CD30AB" w:rsidRPr="00D66162">
        <w:t>,</w:t>
      </w:r>
      <w:r w:rsidRPr="00D66162">
        <w:t xml:space="preserve"> rejected the argument of the appellant</w:t>
      </w:r>
      <w:r w:rsidR="004A0C87">
        <w:t>s</w:t>
      </w:r>
      <w:r w:rsidRPr="00D66162">
        <w:t xml:space="preserve"> on the meaning and application of the statutory scheme.  </w:t>
      </w:r>
    </w:p>
    <w:p w14:paraId="1375406A" w14:textId="0553FC9A" w:rsidR="00D0306C" w:rsidRPr="00D66162" w:rsidRDefault="00CD30AB" w:rsidP="00A74303">
      <w:pPr>
        <w:numPr>
          <w:ilvl w:val="0"/>
          <w:numId w:val="1"/>
        </w:numPr>
        <w:spacing w:line="480" w:lineRule="auto"/>
        <w:ind w:left="0" w:firstLine="0"/>
        <w:jc w:val="both"/>
      </w:pPr>
      <w:r w:rsidRPr="00D66162">
        <w:t>In those circumstances</w:t>
      </w:r>
      <w:r w:rsidR="004A0C87">
        <w:t>,</w:t>
      </w:r>
      <w:r w:rsidR="00D9131A" w:rsidRPr="00D66162">
        <w:t xml:space="preserve"> </w:t>
      </w:r>
      <w:r w:rsidR="004D7166" w:rsidRPr="00D66162">
        <w:t>it was imperative that the appellant</w:t>
      </w:r>
      <w:r w:rsidR="00D9131A" w:rsidRPr="00D66162">
        <w:t>s</w:t>
      </w:r>
      <w:r w:rsidR="004D7166" w:rsidRPr="00D66162">
        <w:t xml:space="preserve"> should identify th</w:t>
      </w:r>
      <w:r w:rsidR="00886D66">
        <w:t>e costs</w:t>
      </w:r>
      <w:r w:rsidR="004D7166" w:rsidRPr="00D66162">
        <w:t xml:space="preserve"> question as a separate and standalone question for consideration by this Court on the appeal.  The appellant</w:t>
      </w:r>
      <w:r w:rsidR="00D9131A" w:rsidRPr="00D66162">
        <w:t>s</w:t>
      </w:r>
      <w:r w:rsidR="004D7166" w:rsidRPr="00D66162">
        <w:t xml:space="preserve"> had ample opportunity to do so, </w:t>
      </w:r>
      <w:r w:rsidR="004A0C87">
        <w:t>including</w:t>
      </w:r>
      <w:r w:rsidR="004D7166" w:rsidRPr="00D66162">
        <w:t xml:space="preserve"> at case management hearings, in the </w:t>
      </w:r>
      <w:r w:rsidR="00770ABE" w:rsidRPr="00D66162">
        <w:t xml:space="preserve">preparation of the </w:t>
      </w:r>
      <w:r w:rsidR="004D7166" w:rsidRPr="00D66162">
        <w:t>agreed issue paper</w:t>
      </w:r>
      <w:r w:rsidR="004A0C87">
        <w:t xml:space="preserve">, and </w:t>
      </w:r>
      <w:r w:rsidR="004A0C87" w:rsidRPr="00E7745F">
        <w:t>in response to the Statement of Case</w:t>
      </w:r>
      <w:r w:rsidR="004A0C87">
        <w:t xml:space="preserve"> issued by the Court</w:t>
      </w:r>
      <w:r w:rsidR="004D7166" w:rsidRPr="00D66162">
        <w:t xml:space="preserve">.  </w:t>
      </w:r>
      <w:r w:rsidR="00886D66">
        <w:t xml:space="preserve"> W</w:t>
      </w:r>
      <w:r w:rsidR="004D7166" w:rsidRPr="00D66162">
        <w:t xml:space="preserve">hilst it is not normally necessary for this Court in its </w:t>
      </w:r>
      <w:r w:rsidR="004C5726">
        <w:t>D</w:t>
      </w:r>
      <w:r w:rsidR="004D7166" w:rsidRPr="00D66162">
        <w:t xml:space="preserve">etermination on a question of leave to appeal to separately identify the </w:t>
      </w:r>
      <w:r w:rsidR="004A0C87">
        <w:t xml:space="preserve">issue of </w:t>
      </w:r>
      <w:r w:rsidR="004D7166" w:rsidRPr="00D66162">
        <w:t>costs, and because the Court expressly left open the precise parameters of the appeal, the appellants ought to have identified th</w:t>
      </w:r>
      <w:r w:rsidR="00886D66">
        <w:t>e costs</w:t>
      </w:r>
      <w:r w:rsidR="004D7166" w:rsidRPr="00D66162">
        <w:t xml:space="preserve"> issue with clarity</w:t>
      </w:r>
      <w:r w:rsidR="00770ABE" w:rsidRPr="00D66162">
        <w:t xml:space="preserve">. </w:t>
      </w:r>
      <w:r w:rsidR="004D7166" w:rsidRPr="00D66162">
        <w:t xml:space="preserve"> </w:t>
      </w:r>
      <w:r w:rsidR="00770ABE" w:rsidRPr="00D66162">
        <w:t>B</w:t>
      </w:r>
      <w:r w:rsidR="004D7166" w:rsidRPr="00D66162">
        <w:t>ecause they did not do so</w:t>
      </w:r>
      <w:r w:rsidR="00770ABE" w:rsidRPr="00D66162">
        <w:t>,</w:t>
      </w:r>
      <w:r w:rsidR="004D7166" w:rsidRPr="00D66162">
        <w:t xml:space="preserve"> it follows that the issue of reversing the costs order of the Court of Appeal on exceptional grounds did not become part of the appeal as it evolved through case management.</w:t>
      </w:r>
    </w:p>
    <w:p w14:paraId="1434D7EF" w14:textId="020E5C1E" w:rsidR="004D7166" w:rsidRPr="00D66162" w:rsidRDefault="004D7166" w:rsidP="00A74303">
      <w:pPr>
        <w:numPr>
          <w:ilvl w:val="0"/>
          <w:numId w:val="1"/>
        </w:numPr>
        <w:spacing w:line="480" w:lineRule="auto"/>
        <w:ind w:left="0" w:firstLine="0"/>
        <w:jc w:val="both"/>
      </w:pPr>
      <w:r w:rsidRPr="00D66162">
        <w:t>The Court notes too tha</w:t>
      </w:r>
      <w:r w:rsidR="005D0DAF">
        <w:t>t</w:t>
      </w:r>
      <w:r w:rsidRPr="00D66162">
        <w:t xml:space="preserve"> an </w:t>
      </w:r>
      <w:proofErr w:type="gramStart"/>
      <w:r w:rsidRPr="00D66162">
        <w:rPr>
          <w:i/>
        </w:rPr>
        <w:t>ex tempore</w:t>
      </w:r>
      <w:proofErr w:type="gramEnd"/>
      <w:r w:rsidRPr="00D66162">
        <w:t xml:space="preserve"> judgment was delivered by the Court of Appeal (Ní Raifeartaigh J.) following an oral hearing by that Court on the costs question and the transcript of that ruling was not </w:t>
      </w:r>
      <w:r w:rsidR="00C64B43" w:rsidRPr="00D66162">
        <w:t>submitted with the appeal papers</w:t>
      </w:r>
      <w:r w:rsidR="00770ABE" w:rsidRPr="00D66162">
        <w:t>.</w:t>
      </w:r>
    </w:p>
    <w:p w14:paraId="4A4CB2DB" w14:textId="508427FB" w:rsidR="00C64B43" w:rsidRPr="00D66162" w:rsidRDefault="00C64B43" w:rsidP="00A74303">
      <w:pPr>
        <w:numPr>
          <w:ilvl w:val="0"/>
          <w:numId w:val="1"/>
        </w:numPr>
        <w:spacing w:line="480" w:lineRule="auto"/>
        <w:ind w:left="0" w:firstLine="0"/>
        <w:jc w:val="both"/>
      </w:pPr>
      <w:r w:rsidRPr="00D66162">
        <w:t>It appears from the summary of the reasoning of Ní Raifeartaigh J.</w:t>
      </w:r>
      <w:r w:rsidR="00770ABE" w:rsidRPr="00D66162">
        <w:t>,</w:t>
      </w:r>
      <w:r w:rsidRPr="00D66162">
        <w:t xml:space="preserve"> </w:t>
      </w:r>
      <w:r w:rsidR="00770ABE" w:rsidRPr="00D66162">
        <w:t xml:space="preserve">now set out by the respondent in its written submissions on costs, </w:t>
      </w:r>
      <w:r w:rsidRPr="00D66162">
        <w:t xml:space="preserve">that she noted </w:t>
      </w:r>
      <w:r w:rsidR="00D9131A" w:rsidRPr="00D66162">
        <w:t>the various factors which came for consideration in the exercise of the court’s exceptional discretiona</w:t>
      </w:r>
      <w:r w:rsidR="00886D66">
        <w:t>ry</w:t>
      </w:r>
      <w:r w:rsidR="00D9131A" w:rsidRPr="00D66162">
        <w:t xml:space="preserve"> power to award costs against a successful litigant. </w:t>
      </w:r>
    </w:p>
    <w:p w14:paraId="7B765CE3" w14:textId="2B99ED38" w:rsidR="008F4FC7" w:rsidRPr="00D66162" w:rsidRDefault="003D5677" w:rsidP="00A74303">
      <w:pPr>
        <w:numPr>
          <w:ilvl w:val="0"/>
          <w:numId w:val="1"/>
        </w:numPr>
        <w:spacing w:line="480" w:lineRule="auto"/>
        <w:ind w:left="0" w:firstLine="0"/>
        <w:jc w:val="both"/>
      </w:pPr>
      <w:r w:rsidRPr="00D66162">
        <w:t>In th</w:t>
      </w:r>
      <w:r w:rsidR="00770ABE" w:rsidRPr="00D66162">
        <w:t>is</w:t>
      </w:r>
      <w:r w:rsidRPr="00D66162">
        <w:t xml:space="preserve"> Court’s view</w:t>
      </w:r>
      <w:r w:rsidR="00770ABE" w:rsidRPr="00D66162">
        <w:t>,</w:t>
      </w:r>
      <w:r w:rsidRPr="00D66162">
        <w:t xml:space="preserve"> having regard to the fact that the appellant</w:t>
      </w:r>
      <w:r w:rsidR="005D0DAF">
        <w:t>s</w:t>
      </w:r>
      <w:r w:rsidRPr="00D66162">
        <w:t xml:space="preserve"> did not specifically raise and identify the issue of costs as a live issue in the appeal, and also having regard to the fact that what </w:t>
      </w:r>
      <w:r w:rsidR="00D9131A" w:rsidRPr="00D66162">
        <w:t>i</w:t>
      </w:r>
      <w:r w:rsidRPr="00D66162">
        <w:t xml:space="preserve">s sought is </w:t>
      </w:r>
      <w:r w:rsidR="00D9131A" w:rsidRPr="00D66162">
        <w:t>an</w:t>
      </w:r>
      <w:r w:rsidRPr="00D66162">
        <w:t xml:space="preserve"> appeal </w:t>
      </w:r>
      <w:r w:rsidR="00D9131A" w:rsidRPr="00D66162">
        <w:t xml:space="preserve">of </w:t>
      </w:r>
      <w:r w:rsidRPr="00D66162">
        <w:t>a discretionary order where no error can be identified in the reasoning of the Court of Appeal, this Court</w:t>
      </w:r>
      <w:r w:rsidR="00A83109" w:rsidRPr="00D66162">
        <w:t xml:space="preserve"> considers that it</w:t>
      </w:r>
      <w:r w:rsidRPr="00D66162">
        <w:t xml:space="preserve"> should not allow an appeal from the order of the Court of Appeal, and should not interfere with that order:  </w:t>
      </w:r>
      <w:r w:rsidR="00770ABE" w:rsidRPr="00D66162">
        <w:t xml:space="preserve">see the discussion in </w:t>
      </w:r>
      <w:r w:rsidR="005D0DAF">
        <w:rPr>
          <w:i/>
        </w:rPr>
        <w:t>M</w:t>
      </w:r>
      <w:r w:rsidR="005D0DAF" w:rsidRPr="00E7745F">
        <w:rPr>
          <w:i/>
        </w:rPr>
        <w:t>D v</w:t>
      </w:r>
      <w:r w:rsidR="005D0DAF">
        <w:rPr>
          <w:i/>
        </w:rPr>
        <w:t>.</w:t>
      </w:r>
      <w:r w:rsidR="005D0DAF" w:rsidRPr="00E7745F">
        <w:rPr>
          <w:i/>
        </w:rPr>
        <w:t xml:space="preserve"> ND</w:t>
      </w:r>
      <w:r w:rsidR="005D0DAF" w:rsidRPr="00E7745F">
        <w:t xml:space="preserve"> [2015] IESC 66</w:t>
      </w:r>
      <w:r w:rsidR="005D0DAF">
        <w:t>, [2016] 2 I.R. 438</w:t>
      </w:r>
      <w:r w:rsidR="005D0DAF" w:rsidRPr="00E7745F">
        <w:t xml:space="preserve"> and </w:t>
      </w:r>
      <w:r w:rsidR="005D0DAF" w:rsidRPr="00E7745F">
        <w:rPr>
          <w:i/>
        </w:rPr>
        <w:t>Nash v</w:t>
      </w:r>
      <w:r w:rsidR="005D0DAF">
        <w:rPr>
          <w:i/>
        </w:rPr>
        <w:t>.</w:t>
      </w:r>
      <w:r w:rsidR="005D0DAF" w:rsidRPr="00E7745F">
        <w:rPr>
          <w:i/>
        </w:rPr>
        <w:t xml:space="preserve"> DPP</w:t>
      </w:r>
      <w:r w:rsidR="005D0DAF" w:rsidRPr="00E7745F">
        <w:t xml:space="preserve"> [2016] IESC 60</w:t>
      </w:r>
      <w:r w:rsidR="005D0DAF">
        <w:t>, [2016] 3 I.R. 320</w:t>
      </w:r>
      <w:r w:rsidRPr="00D66162">
        <w:t xml:space="preserve">.  The decision of the Court of Appeal was “within the range of costs orders which were open to the trial judge within the margin of appreciation which must be afforded” to it: </w:t>
      </w:r>
      <w:r w:rsidRPr="00D66162">
        <w:rPr>
          <w:i/>
          <w:iCs/>
        </w:rPr>
        <w:t xml:space="preserve">per </w:t>
      </w:r>
      <w:r w:rsidRPr="00D66162">
        <w:t>Clarke J.</w:t>
      </w:r>
      <w:r w:rsidR="005D0DAF">
        <w:t xml:space="preserve"> (as he then was)</w:t>
      </w:r>
      <w:r w:rsidRPr="00D66162">
        <w:t xml:space="preserve"> in </w:t>
      </w:r>
      <w:r w:rsidRPr="00D66162">
        <w:rPr>
          <w:i/>
        </w:rPr>
        <w:t>Nash v</w:t>
      </w:r>
      <w:r w:rsidR="005D0DAF">
        <w:rPr>
          <w:i/>
        </w:rPr>
        <w:t>.</w:t>
      </w:r>
      <w:r w:rsidRPr="00D66162">
        <w:rPr>
          <w:i/>
        </w:rPr>
        <w:t xml:space="preserve"> DPP</w:t>
      </w:r>
      <w:r w:rsidRPr="00D66162">
        <w:t xml:space="preserve"> at para. 73.</w:t>
      </w:r>
    </w:p>
    <w:p w14:paraId="06D66ECC" w14:textId="77777777" w:rsidR="00770ABE" w:rsidRPr="00D66162" w:rsidRDefault="00770ABE" w:rsidP="00A74303">
      <w:pPr>
        <w:spacing w:line="480" w:lineRule="auto"/>
        <w:jc w:val="both"/>
        <w:rPr>
          <w:b/>
          <w:u w:val="single"/>
        </w:rPr>
      </w:pPr>
      <w:r w:rsidRPr="00D66162">
        <w:rPr>
          <w:b/>
          <w:u w:val="single"/>
        </w:rPr>
        <w:t>The costs of the appeal</w:t>
      </w:r>
    </w:p>
    <w:p w14:paraId="271BAA9D" w14:textId="2B7B3A2D" w:rsidR="004B0183" w:rsidRPr="00D66162" w:rsidRDefault="003E7DD8" w:rsidP="00A74303">
      <w:pPr>
        <w:numPr>
          <w:ilvl w:val="0"/>
          <w:numId w:val="1"/>
        </w:numPr>
        <w:spacing w:line="480" w:lineRule="auto"/>
        <w:ind w:left="0" w:firstLine="0"/>
        <w:jc w:val="both"/>
      </w:pPr>
      <w:r w:rsidRPr="00D66162">
        <w:t xml:space="preserve">In the present case a conclusion </w:t>
      </w:r>
      <w:proofErr w:type="gramStart"/>
      <w:r w:rsidR="00886D66" w:rsidRPr="00FC51E1">
        <w:t>similar</w:t>
      </w:r>
      <w:r w:rsidR="00886D66" w:rsidRPr="00886D66">
        <w:t xml:space="preserve"> </w:t>
      </w:r>
      <w:r w:rsidR="00886D66">
        <w:t>to</w:t>
      </w:r>
      <w:proofErr w:type="gramEnd"/>
      <w:r w:rsidR="00886D66">
        <w:t xml:space="preserve"> that in </w:t>
      </w:r>
      <w:r w:rsidR="00886D66" w:rsidRPr="00D66162">
        <w:rPr>
          <w:i/>
        </w:rPr>
        <w:t>Sobhy</w:t>
      </w:r>
      <w:r w:rsidR="00886D66">
        <w:t xml:space="preserve"> and </w:t>
      </w:r>
      <w:r w:rsidR="00886D66" w:rsidRPr="00D66162">
        <w:rPr>
          <w:i/>
        </w:rPr>
        <w:t>Wymes</w:t>
      </w:r>
      <w:r w:rsidR="00886D66">
        <w:t xml:space="preserve"> </w:t>
      </w:r>
      <w:r w:rsidR="0075234F">
        <w:t xml:space="preserve">(discussed above at 16) </w:t>
      </w:r>
      <w:r w:rsidR="00673794" w:rsidRPr="00D66162">
        <w:t>would have been</w:t>
      </w:r>
      <w:r w:rsidRPr="00D66162">
        <w:t xml:space="preserve"> warranted</w:t>
      </w:r>
      <w:r w:rsidR="001633D5" w:rsidRPr="00D66162">
        <w:t xml:space="preserve"> but for </w:t>
      </w:r>
      <w:r w:rsidR="004B0183" w:rsidRPr="00D66162">
        <w:t>a number of</w:t>
      </w:r>
      <w:r w:rsidR="001633D5" w:rsidRPr="00D66162">
        <w:t xml:space="preserve"> special</w:t>
      </w:r>
      <w:r w:rsidR="004B0183" w:rsidRPr="00D66162">
        <w:t xml:space="preserve"> </w:t>
      </w:r>
      <w:r w:rsidRPr="00D66162">
        <w:t>factor</w:t>
      </w:r>
      <w:r w:rsidR="004B0183" w:rsidRPr="00D66162">
        <w:t>s</w:t>
      </w:r>
      <w:r w:rsidR="00777516">
        <w:t>, n</w:t>
      </w:r>
      <w:r w:rsidR="004B0183" w:rsidRPr="00D66162">
        <w:t>one</w:t>
      </w:r>
      <w:r w:rsidR="00655F82">
        <w:t xml:space="preserve"> of which</w:t>
      </w:r>
      <w:r w:rsidR="00777516">
        <w:t xml:space="preserve">, </w:t>
      </w:r>
      <w:r w:rsidR="004B0183" w:rsidRPr="00D66162">
        <w:t xml:space="preserve">taken alone would warrant a departure from the usual rule </w:t>
      </w:r>
      <w:r w:rsidR="00B813B1" w:rsidRPr="00D66162">
        <w:t xml:space="preserve">that costs follow the </w:t>
      </w:r>
      <w:r w:rsidR="00EF23B4" w:rsidRPr="00D66162">
        <w:t>e</w:t>
      </w:r>
      <w:r w:rsidR="00B813B1" w:rsidRPr="00D66162">
        <w:t>vent</w:t>
      </w:r>
      <w:r w:rsidR="004C18A2" w:rsidRPr="00D66162">
        <w:t>,</w:t>
      </w:r>
      <w:r w:rsidR="00B813B1" w:rsidRPr="00D66162">
        <w:t xml:space="preserve"> </w:t>
      </w:r>
      <w:r w:rsidR="004B0183" w:rsidRPr="00D66162">
        <w:t>or from the</w:t>
      </w:r>
      <w:r w:rsidR="001633D5" w:rsidRPr="00D66162">
        <w:t xml:space="preserve"> general</w:t>
      </w:r>
      <w:r w:rsidR="004B0183" w:rsidRPr="00D66162">
        <w:t xml:space="preserve"> approach adopted in </w:t>
      </w:r>
      <w:r w:rsidR="004B0183" w:rsidRPr="00D66162">
        <w:rPr>
          <w:i/>
        </w:rPr>
        <w:t>Sobhy</w:t>
      </w:r>
      <w:r w:rsidR="004C18A2" w:rsidRPr="00D66162">
        <w:rPr>
          <w:i/>
        </w:rPr>
        <w:t>,</w:t>
      </w:r>
      <w:r w:rsidR="00B813B1" w:rsidRPr="00D66162">
        <w:rPr>
          <w:i/>
        </w:rPr>
        <w:t xml:space="preserve"> </w:t>
      </w:r>
      <w:r w:rsidR="00B813B1" w:rsidRPr="00D66162">
        <w:t>t</w:t>
      </w:r>
      <w:r w:rsidR="001633D5" w:rsidRPr="00D66162">
        <w:t xml:space="preserve">hat </w:t>
      </w:r>
      <w:r w:rsidR="00B813B1" w:rsidRPr="00D66162">
        <w:t>costs</w:t>
      </w:r>
      <w:r w:rsidR="001633D5" w:rsidRPr="00D66162">
        <w:t xml:space="preserve"> should</w:t>
      </w:r>
      <w:r w:rsidR="00B813B1" w:rsidRPr="00D66162">
        <w:t xml:space="preserve"> not </w:t>
      </w:r>
      <w:r w:rsidR="004C18A2" w:rsidRPr="00D66162">
        <w:t xml:space="preserve">in general </w:t>
      </w:r>
      <w:r w:rsidR="00B813B1" w:rsidRPr="00D66162">
        <w:t xml:space="preserve">be awarded against </w:t>
      </w:r>
      <w:r w:rsidR="004C18A2" w:rsidRPr="00D66162">
        <w:t>a</w:t>
      </w:r>
      <w:r w:rsidR="00B813B1" w:rsidRPr="00D66162">
        <w:t xml:space="preserve"> </w:t>
      </w:r>
      <w:r w:rsidR="001633D5" w:rsidRPr="00D66162">
        <w:t xml:space="preserve">successful </w:t>
      </w:r>
      <w:r w:rsidR="00B813B1" w:rsidRPr="00D66162">
        <w:t>party</w:t>
      </w:r>
      <w:r w:rsidRPr="00D66162">
        <w:t xml:space="preserve">.  </w:t>
      </w:r>
    </w:p>
    <w:p w14:paraId="6B6D05CD" w14:textId="2BEA7E51" w:rsidR="00DB1611" w:rsidRPr="00D66162" w:rsidRDefault="003E7DD8" w:rsidP="00A74303">
      <w:pPr>
        <w:numPr>
          <w:ilvl w:val="0"/>
          <w:numId w:val="1"/>
        </w:numPr>
        <w:spacing w:line="480" w:lineRule="auto"/>
        <w:ind w:left="0" w:firstLine="0"/>
        <w:jc w:val="both"/>
      </w:pPr>
      <w:r w:rsidRPr="00D66162">
        <w:t xml:space="preserve">This appeal arose by reason of a case stated from the </w:t>
      </w:r>
      <w:r w:rsidR="006A139E" w:rsidRPr="00D66162">
        <w:t xml:space="preserve">Circuit Court, one promoted or initiated by the respondent.  That factor </w:t>
      </w:r>
      <w:r w:rsidR="00DB1611" w:rsidRPr="00D66162">
        <w:t xml:space="preserve">is </w:t>
      </w:r>
      <w:r w:rsidR="006A139E" w:rsidRPr="00D66162">
        <w:t xml:space="preserve">one which distinguishes the circumstances from those arising in either </w:t>
      </w:r>
      <w:r w:rsidR="006A139E" w:rsidRPr="00D66162">
        <w:rPr>
          <w:i/>
        </w:rPr>
        <w:t>Wymes</w:t>
      </w:r>
      <w:r w:rsidR="006A139E" w:rsidRPr="00D66162">
        <w:t xml:space="preserve"> or </w:t>
      </w:r>
      <w:r w:rsidR="006A139E" w:rsidRPr="00D66162">
        <w:rPr>
          <w:i/>
        </w:rPr>
        <w:t>Sobhy</w:t>
      </w:r>
      <w:r w:rsidR="006A139E" w:rsidRPr="00D66162">
        <w:t>, and as noted above</w:t>
      </w:r>
      <w:r w:rsidR="00770ABE" w:rsidRPr="00D66162">
        <w:t>,</w:t>
      </w:r>
      <w:r w:rsidR="006A139E" w:rsidRPr="00D66162">
        <w:t xml:space="preserve"> the respondent did urge the Circuit Court to make a consultative case stated by reason of the systemic importance of the question.  The respondent provide</w:t>
      </w:r>
      <w:r w:rsidR="00DB1611" w:rsidRPr="00D66162">
        <w:t>d</w:t>
      </w:r>
      <w:r w:rsidR="006A139E" w:rsidRPr="00D66162">
        <w:t xml:space="preserve"> comfort to the appellant</w:t>
      </w:r>
      <w:r w:rsidR="005D0DAF">
        <w:t>s</w:t>
      </w:r>
      <w:r w:rsidR="006A139E" w:rsidRPr="00D66162">
        <w:t xml:space="preserve"> by agreeing that it would not seek its costs even should its interpretation of the legislation be found to be correct, but nonetheless the appellant</w:t>
      </w:r>
      <w:r w:rsidR="005D0DAF">
        <w:t>s were</w:t>
      </w:r>
      <w:r w:rsidR="006A139E" w:rsidRPr="00D66162">
        <w:t xml:space="preserve"> in those circumstances facilitating and agreeing to the making of a case stated</w:t>
      </w:r>
      <w:r w:rsidR="00EF23B4" w:rsidRPr="00D66162">
        <w:t>.</w:t>
      </w:r>
    </w:p>
    <w:p w14:paraId="50846F39" w14:textId="7BA88775" w:rsidR="00DB1611" w:rsidRPr="00D66162" w:rsidRDefault="001633D5" w:rsidP="00A74303">
      <w:pPr>
        <w:numPr>
          <w:ilvl w:val="0"/>
          <w:numId w:val="1"/>
        </w:numPr>
        <w:spacing w:line="480" w:lineRule="auto"/>
        <w:ind w:left="0" w:firstLine="0"/>
        <w:jc w:val="both"/>
      </w:pPr>
      <w:r w:rsidRPr="00D66162">
        <w:t>T</w:t>
      </w:r>
      <w:r w:rsidR="00DB1611" w:rsidRPr="00D66162">
        <w:t>he respondent is</w:t>
      </w:r>
      <w:r w:rsidRPr="00D66162">
        <w:t>, moreover,</w:t>
      </w:r>
      <w:r w:rsidR="00DB1611" w:rsidRPr="00D66162">
        <w:t xml:space="preserve"> a </w:t>
      </w:r>
      <w:proofErr w:type="gramStart"/>
      <w:r w:rsidR="00DB1611" w:rsidRPr="00D66162">
        <w:t>State</w:t>
      </w:r>
      <w:proofErr w:type="gramEnd"/>
      <w:r w:rsidR="00DB1611" w:rsidRPr="00D66162">
        <w:t xml:space="preserve"> agency,</w:t>
      </w:r>
      <w:r w:rsidR="00A14F9E" w:rsidRPr="00D66162">
        <w:t xml:space="preserve"> which has broader i</w:t>
      </w:r>
      <w:r w:rsidR="00EF23B4" w:rsidRPr="00D66162">
        <w:t>n</w:t>
      </w:r>
      <w:r w:rsidR="00A14F9E" w:rsidRPr="00D66162">
        <w:t>terests and obligations t</w:t>
      </w:r>
      <w:r w:rsidR="00EF23B4" w:rsidRPr="00D66162">
        <w:t>han</w:t>
      </w:r>
      <w:r w:rsidR="00A14F9E" w:rsidRPr="00D66162">
        <w:t xml:space="preserve"> a private party to litigation. In addition</w:t>
      </w:r>
      <w:r w:rsidR="005D0DAF">
        <w:t>,</w:t>
      </w:r>
      <w:r w:rsidR="00A14F9E" w:rsidRPr="00D66162">
        <w:t xml:space="preserve"> </w:t>
      </w:r>
      <w:r w:rsidR="00DB1611" w:rsidRPr="00D66162">
        <w:t>the imbalance</w:t>
      </w:r>
      <w:r w:rsidR="00A14F9E" w:rsidRPr="00D66162">
        <w:t xml:space="preserve"> in interests in the litigation and </w:t>
      </w:r>
      <w:r w:rsidR="00DB1611" w:rsidRPr="00D66162">
        <w:t xml:space="preserve">in resources is a factor </w:t>
      </w:r>
      <w:r w:rsidR="003B4B74" w:rsidRPr="00D66162">
        <w:t>to which some regard it to be had</w:t>
      </w:r>
      <w:r w:rsidR="00DB1611" w:rsidRPr="00D66162">
        <w:t>, especially in the light of the limitations in the availability of civil legal aid in cases such as this</w:t>
      </w:r>
      <w:r w:rsidR="004C18A2" w:rsidRPr="00D66162">
        <w:t xml:space="preserve"> and the personal </w:t>
      </w:r>
      <w:r w:rsidR="00DD1589" w:rsidRPr="00D66162">
        <w:t xml:space="preserve">sensitive </w:t>
      </w:r>
      <w:r w:rsidR="004C18A2" w:rsidRPr="00D66162">
        <w:t>intere</w:t>
      </w:r>
      <w:r w:rsidR="00DD1589" w:rsidRPr="00D66162">
        <w:t>s</w:t>
      </w:r>
      <w:r w:rsidR="004C18A2" w:rsidRPr="00D66162">
        <w:t>ts</w:t>
      </w:r>
      <w:r w:rsidR="00DD1589" w:rsidRPr="00D66162">
        <w:t xml:space="preserve"> sought to be protected by the appellants</w:t>
      </w:r>
      <w:r w:rsidR="00DB1611" w:rsidRPr="00D66162">
        <w:t xml:space="preserve">. </w:t>
      </w:r>
      <w:r w:rsidR="00A14F9E" w:rsidRPr="00D66162">
        <w:t xml:space="preserve">The respondent had a real systemic interest in securing a definitive ruling on the scope of the Act. </w:t>
      </w:r>
      <w:r w:rsidR="00DB1611" w:rsidRPr="00D66162">
        <w:t xml:space="preserve"> </w:t>
      </w:r>
      <w:r w:rsidR="00A14F9E" w:rsidRPr="00D66162">
        <w:t>While t</w:t>
      </w:r>
      <w:r w:rsidR="00DB1611" w:rsidRPr="00D66162">
        <w:t>he appellants commenced the Circuit Court application to seek a personal benefit for the first applicant, and she has lost that application</w:t>
      </w:r>
      <w:r w:rsidR="00A14F9E" w:rsidRPr="00D66162">
        <w:t xml:space="preserve">, </w:t>
      </w:r>
      <w:r w:rsidR="00DB1611" w:rsidRPr="00D66162">
        <w:t>it must be recognised that the minor child undoubtedly has needs and requires some State support over that available to a child without those needs</w:t>
      </w:r>
      <w:r w:rsidR="00EF23B4" w:rsidRPr="00D66162">
        <w:t>,</w:t>
      </w:r>
      <w:r w:rsidR="00A14F9E" w:rsidRPr="00D66162">
        <w:t xml:space="preserve"> and these circumstances meant that some engagement with the respondent and the legislation was both appropriate and indeed inevitable</w:t>
      </w:r>
      <w:r w:rsidR="00DB1611" w:rsidRPr="00D66162">
        <w:t xml:space="preserve">.   </w:t>
      </w:r>
    </w:p>
    <w:p w14:paraId="03ABD153" w14:textId="7B57BB15" w:rsidR="00DB1611" w:rsidRPr="00D66162" w:rsidRDefault="00DB1611" w:rsidP="00A74303">
      <w:pPr>
        <w:numPr>
          <w:ilvl w:val="0"/>
          <w:numId w:val="1"/>
        </w:numPr>
        <w:spacing w:line="480" w:lineRule="auto"/>
        <w:ind w:left="0" w:firstLine="0"/>
        <w:jc w:val="both"/>
      </w:pPr>
      <w:r w:rsidRPr="00D66162">
        <w:t>These are factors which</w:t>
      </w:r>
      <w:r w:rsidR="003B4B74" w:rsidRPr="00D66162">
        <w:t>,</w:t>
      </w:r>
      <w:r w:rsidRPr="00D66162">
        <w:t xml:space="preserve"> taken together</w:t>
      </w:r>
      <w:r w:rsidR="003B4B74" w:rsidRPr="00D66162">
        <w:t xml:space="preserve">, </w:t>
      </w:r>
      <w:r w:rsidR="00A14F9E" w:rsidRPr="00D66162">
        <w:t xml:space="preserve">are relevant. </w:t>
      </w:r>
      <w:r w:rsidR="005D0DAF">
        <w:t xml:space="preserve"> </w:t>
      </w:r>
      <w:r w:rsidR="00A14F9E" w:rsidRPr="00D66162">
        <w:t xml:space="preserve">While </w:t>
      </w:r>
      <w:r w:rsidR="003B4B74" w:rsidRPr="00D66162">
        <w:t>noting too that the legal point was not of an</w:t>
      </w:r>
      <w:r w:rsidR="001633D5" w:rsidRPr="00D66162">
        <w:t>y</w:t>
      </w:r>
      <w:r w:rsidR="003B4B74" w:rsidRPr="00D66162">
        <w:t xml:space="preserve"> great complexity nor was the legislation </w:t>
      </w:r>
      <w:r w:rsidR="00DD3CCF">
        <w:t xml:space="preserve">so </w:t>
      </w:r>
      <w:r w:rsidR="003B4B74" w:rsidRPr="00D66162">
        <w:t xml:space="preserve">opaque as to require the Court to depart from standard rules of statutory interpretation, </w:t>
      </w:r>
      <w:r w:rsidR="00711AEA" w:rsidRPr="00D66162">
        <w:t>the Court is of the view</w:t>
      </w:r>
      <w:r w:rsidR="006A139E" w:rsidRPr="00D66162">
        <w:t xml:space="preserve"> that the appellant</w:t>
      </w:r>
      <w:r w:rsidR="005D0DAF">
        <w:t>s</w:t>
      </w:r>
      <w:r w:rsidR="006A139E" w:rsidRPr="00D66162">
        <w:t xml:space="preserve"> should be awarded some costs</w:t>
      </w:r>
      <w:r w:rsidR="00711AEA" w:rsidRPr="00D66162">
        <w:t>, albeit not the full measure of costs</w:t>
      </w:r>
      <w:r w:rsidR="001633D5" w:rsidRPr="00D66162">
        <w:t xml:space="preserve">. </w:t>
      </w:r>
      <w:r w:rsidR="005D0DAF">
        <w:t xml:space="preserve"> </w:t>
      </w:r>
      <w:r w:rsidR="001633D5" w:rsidRPr="00D66162">
        <w:t>Any</w:t>
      </w:r>
      <w:r w:rsidR="003B4B74" w:rsidRPr="00D66162">
        <w:t xml:space="preserve"> costs order must as a starting point reflect and give considerable weight to the fact that the appellant</w:t>
      </w:r>
      <w:r w:rsidR="005D0DAF">
        <w:t>s</w:t>
      </w:r>
      <w:r w:rsidR="003B4B74" w:rsidRPr="00D66162">
        <w:t xml:space="preserve"> lost the appeal</w:t>
      </w:r>
      <w:r w:rsidR="00B813B1" w:rsidRPr="00D66162">
        <w:t xml:space="preserve">, and </w:t>
      </w:r>
      <w:proofErr w:type="gramStart"/>
      <w:r w:rsidR="00B813B1" w:rsidRPr="00D66162">
        <w:t>as a consequence</w:t>
      </w:r>
      <w:proofErr w:type="gramEnd"/>
      <w:r w:rsidR="001633D5" w:rsidRPr="00D66162">
        <w:t xml:space="preserve">, </w:t>
      </w:r>
      <w:r w:rsidR="005D0DAF">
        <w:t>they</w:t>
      </w:r>
      <w:r w:rsidR="005D0DAF" w:rsidRPr="00D66162">
        <w:t xml:space="preserve"> </w:t>
      </w:r>
      <w:r w:rsidR="001633D5" w:rsidRPr="00D66162">
        <w:t>will</w:t>
      </w:r>
      <w:r w:rsidR="00B813B1" w:rsidRPr="00D66162">
        <w:t xml:space="preserve"> not succeed in the Circuit </w:t>
      </w:r>
      <w:r w:rsidR="001633D5" w:rsidRPr="00D66162">
        <w:t>C</w:t>
      </w:r>
      <w:r w:rsidR="00B813B1" w:rsidRPr="00D66162">
        <w:t>ourt application commenced</w:t>
      </w:r>
      <w:r w:rsidR="00DD3CCF">
        <w:t xml:space="preserve"> on behalf of the minor child</w:t>
      </w:r>
      <w:r w:rsidR="003B4B74" w:rsidRPr="00D66162">
        <w:t xml:space="preserve">. </w:t>
      </w:r>
    </w:p>
    <w:p w14:paraId="718A1B0A" w14:textId="2A5F51CB" w:rsidR="003E7DD8" w:rsidRPr="00D66162" w:rsidRDefault="00711AEA" w:rsidP="00A74303">
      <w:pPr>
        <w:numPr>
          <w:ilvl w:val="0"/>
          <w:numId w:val="1"/>
        </w:numPr>
        <w:spacing w:line="480" w:lineRule="auto"/>
        <w:ind w:left="0" w:firstLine="0"/>
        <w:jc w:val="both"/>
      </w:pPr>
      <w:r w:rsidRPr="00D66162">
        <w:t>A</w:t>
      </w:r>
      <w:r w:rsidR="006A139E" w:rsidRPr="00D66162">
        <w:t>ccordingly</w:t>
      </w:r>
      <w:r w:rsidR="00770ABE" w:rsidRPr="00D66162">
        <w:t>,</w:t>
      </w:r>
      <w:r w:rsidR="006A139E" w:rsidRPr="00D66162">
        <w:t xml:space="preserve"> </w:t>
      </w:r>
      <w:r w:rsidR="003B4B74" w:rsidRPr="00D66162">
        <w:t xml:space="preserve">the </w:t>
      </w:r>
      <w:r w:rsidR="00B813B1" w:rsidRPr="00D66162">
        <w:t>C</w:t>
      </w:r>
      <w:r w:rsidR="003B4B74" w:rsidRPr="00D66162">
        <w:t xml:space="preserve">ourt considers that </w:t>
      </w:r>
      <w:r w:rsidR="006A139E" w:rsidRPr="00D66162">
        <w:t>the justice of the case would be met by awarding the appellant</w:t>
      </w:r>
      <w:r w:rsidR="005D0DAF">
        <w:t>s</w:t>
      </w:r>
      <w:r w:rsidR="006A139E" w:rsidRPr="00D66162">
        <w:t xml:space="preserve"> </w:t>
      </w:r>
      <w:r w:rsidR="003B4B74" w:rsidRPr="00D66162">
        <w:t xml:space="preserve">40% of the costs of the </w:t>
      </w:r>
      <w:r w:rsidR="006A139E" w:rsidRPr="00D66162">
        <w:t>appeal</w:t>
      </w:r>
      <w:r w:rsidR="003B4B74" w:rsidRPr="00D66162">
        <w:t>,</w:t>
      </w:r>
      <w:r w:rsidR="006A139E" w:rsidRPr="00D66162">
        <w:t xml:space="preserve"> </w:t>
      </w:r>
      <w:proofErr w:type="gramStart"/>
      <w:r w:rsidR="006A139E" w:rsidRPr="00D66162">
        <w:t>on the basis of</w:t>
      </w:r>
      <w:proofErr w:type="gramEnd"/>
      <w:r w:rsidR="006A139E" w:rsidRPr="00D66162">
        <w:t xml:space="preserve"> one day’s</w:t>
      </w:r>
      <w:r w:rsidR="009F3653">
        <w:t xml:space="preserve"> hearing</w:t>
      </w:r>
      <w:r w:rsidR="006A139E" w:rsidRPr="00D66162">
        <w:t xml:space="preserve">, although the case did run on two separate days and in two separate parts.  </w:t>
      </w:r>
    </w:p>
    <w:p w14:paraId="5A3C502F" w14:textId="77777777" w:rsidR="006A139E" w:rsidRPr="00D66162" w:rsidRDefault="006A139E" w:rsidP="00A74303">
      <w:pPr>
        <w:numPr>
          <w:ilvl w:val="0"/>
          <w:numId w:val="1"/>
        </w:numPr>
        <w:spacing w:line="480" w:lineRule="auto"/>
        <w:ind w:left="0" w:firstLine="0"/>
        <w:jc w:val="both"/>
      </w:pPr>
      <w:r w:rsidRPr="00D66162">
        <w:t>Accordingly, the Court will make the following orders:</w:t>
      </w:r>
    </w:p>
    <w:p w14:paraId="56DCF729" w14:textId="77777777" w:rsidR="006A139E" w:rsidRPr="00D66162" w:rsidRDefault="006A139E" w:rsidP="00A74303">
      <w:pPr>
        <w:pStyle w:val="ListParagraph"/>
        <w:numPr>
          <w:ilvl w:val="0"/>
          <w:numId w:val="3"/>
        </w:numPr>
        <w:spacing w:line="480" w:lineRule="auto"/>
        <w:jc w:val="both"/>
      </w:pPr>
      <w:r w:rsidRPr="00D66162">
        <w:t>Dismiss the appeal from the order of the Court of Appeal; and</w:t>
      </w:r>
    </w:p>
    <w:p w14:paraId="7602C2CC" w14:textId="25D1966A" w:rsidR="006A139E" w:rsidRPr="00D66162" w:rsidRDefault="006A139E" w:rsidP="00A74303">
      <w:pPr>
        <w:pStyle w:val="ListParagraph"/>
        <w:numPr>
          <w:ilvl w:val="0"/>
          <w:numId w:val="3"/>
        </w:numPr>
        <w:spacing w:line="480" w:lineRule="auto"/>
        <w:jc w:val="both"/>
      </w:pPr>
      <w:r w:rsidRPr="00D66162">
        <w:t>Award the appellant</w:t>
      </w:r>
      <w:r w:rsidR="005D0DAF">
        <w:t>s</w:t>
      </w:r>
      <w:r w:rsidRPr="00D66162">
        <w:t xml:space="preserve"> </w:t>
      </w:r>
      <w:r w:rsidR="003B4B74" w:rsidRPr="00D66162">
        <w:t xml:space="preserve">40% of </w:t>
      </w:r>
      <w:r w:rsidRPr="00D66162">
        <w:t xml:space="preserve">the costs of the appeal </w:t>
      </w:r>
      <w:proofErr w:type="gramStart"/>
      <w:r w:rsidRPr="00D66162">
        <w:t>on the basis of</w:t>
      </w:r>
      <w:proofErr w:type="gramEnd"/>
      <w:r w:rsidRPr="00D66162">
        <w:t xml:space="preserve"> one day’s </w:t>
      </w:r>
      <w:r w:rsidR="003B4B74" w:rsidRPr="00D66162">
        <w:t>hearing</w:t>
      </w:r>
      <w:r w:rsidRPr="00D66162">
        <w:t>.</w:t>
      </w:r>
    </w:p>
    <w:p w14:paraId="62F80352" w14:textId="77777777" w:rsidR="006A139E" w:rsidRPr="00D66162" w:rsidRDefault="006A139E" w:rsidP="00A74303">
      <w:pPr>
        <w:spacing w:line="480" w:lineRule="auto"/>
        <w:jc w:val="both"/>
      </w:pPr>
    </w:p>
    <w:p w14:paraId="5FA43A54" w14:textId="77777777" w:rsidR="00D0306C" w:rsidRPr="00D66162" w:rsidRDefault="00D0306C" w:rsidP="00A74303">
      <w:pPr>
        <w:spacing w:line="480" w:lineRule="auto"/>
        <w:jc w:val="both"/>
      </w:pPr>
    </w:p>
    <w:sectPr w:rsidR="00D0306C" w:rsidRPr="00D66162" w:rsidSect="003F5F1A">
      <w:headerReference w:type="default" r:id="rId9"/>
      <w:headerReference w:type="first" r:id="rId10"/>
      <w:pgSz w:w="11906" w:h="16838" w:code="9"/>
      <w:pgMar w:top="1134"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872B" w14:textId="77777777" w:rsidR="003A641C" w:rsidRDefault="003A641C" w:rsidP="000C42AF">
      <w:r>
        <w:separator/>
      </w:r>
    </w:p>
  </w:endnote>
  <w:endnote w:type="continuationSeparator" w:id="0">
    <w:p w14:paraId="37D1AEF7" w14:textId="77777777" w:rsidR="003A641C" w:rsidRDefault="003A641C" w:rsidP="000C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7B7A9" w14:textId="77777777" w:rsidR="003A641C" w:rsidRDefault="003A641C" w:rsidP="000C42AF">
      <w:r>
        <w:separator/>
      </w:r>
    </w:p>
  </w:footnote>
  <w:footnote w:type="continuationSeparator" w:id="0">
    <w:p w14:paraId="31F2FBCB" w14:textId="77777777" w:rsidR="003A641C" w:rsidRDefault="003A641C" w:rsidP="000C4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872D" w14:textId="77777777" w:rsidR="00F277FD" w:rsidRDefault="00F277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E249" w14:textId="77777777" w:rsidR="003F5F1A" w:rsidRDefault="003F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1F6A"/>
    <w:multiLevelType w:val="hybridMultilevel"/>
    <w:tmpl w:val="8FD44650"/>
    <w:lvl w:ilvl="0" w:tplc="DDAE17D2">
      <w:start w:val="1"/>
      <w:numFmt w:val="decimal"/>
      <w:lvlText w:val="%1."/>
      <w:lvlJc w:val="left"/>
      <w:pPr>
        <w:ind w:left="360" w:hanging="360"/>
      </w:pPr>
      <w:rPr>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8CE4AFB"/>
    <w:multiLevelType w:val="hybridMultilevel"/>
    <w:tmpl w:val="A4340C50"/>
    <w:lvl w:ilvl="0" w:tplc="58705992">
      <w:start w:val="1"/>
      <w:numFmt w:val="bullet"/>
      <w:lvlText w:val=""/>
      <w:lvlJc w:val="left"/>
      <w:pPr>
        <w:ind w:left="720" w:hanging="360"/>
      </w:pPr>
      <w:rPr>
        <w:rFonts w:ascii="Symbol" w:hAnsi="Symbol"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5AA5922"/>
    <w:multiLevelType w:val="hybridMultilevel"/>
    <w:tmpl w:val="E74CF6A4"/>
    <w:lvl w:ilvl="0" w:tplc="AE2E8D5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5B3B3D6C"/>
    <w:multiLevelType w:val="hybridMultilevel"/>
    <w:tmpl w:val="A372F534"/>
    <w:lvl w:ilvl="0" w:tplc="6142B5B4">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D65"/>
    <w:rsid w:val="0000270C"/>
    <w:rsid w:val="00042BA0"/>
    <w:rsid w:val="000B1AA3"/>
    <w:rsid w:val="000C42AF"/>
    <w:rsid w:val="000F37CC"/>
    <w:rsid w:val="00142A5F"/>
    <w:rsid w:val="001633D5"/>
    <w:rsid w:val="00166BA5"/>
    <w:rsid w:val="00180677"/>
    <w:rsid w:val="00194A07"/>
    <w:rsid w:val="001A01C9"/>
    <w:rsid w:val="001F4B1D"/>
    <w:rsid w:val="00273735"/>
    <w:rsid w:val="00282FEF"/>
    <w:rsid w:val="00285832"/>
    <w:rsid w:val="00294194"/>
    <w:rsid w:val="002E6E92"/>
    <w:rsid w:val="002F3E86"/>
    <w:rsid w:val="0035156A"/>
    <w:rsid w:val="003633EE"/>
    <w:rsid w:val="003A0171"/>
    <w:rsid w:val="003A641C"/>
    <w:rsid w:val="003B4B74"/>
    <w:rsid w:val="003B4DF0"/>
    <w:rsid w:val="003B4F92"/>
    <w:rsid w:val="003D0452"/>
    <w:rsid w:val="003D05F9"/>
    <w:rsid w:val="003D5677"/>
    <w:rsid w:val="003E2E89"/>
    <w:rsid w:val="003E7DD8"/>
    <w:rsid w:val="003F541E"/>
    <w:rsid w:val="003F5F1A"/>
    <w:rsid w:val="00434EF2"/>
    <w:rsid w:val="004413BF"/>
    <w:rsid w:val="0047364B"/>
    <w:rsid w:val="004A0C87"/>
    <w:rsid w:val="004B0183"/>
    <w:rsid w:val="004C18A2"/>
    <w:rsid w:val="004C5726"/>
    <w:rsid w:val="004D7166"/>
    <w:rsid w:val="00521439"/>
    <w:rsid w:val="00555633"/>
    <w:rsid w:val="00566272"/>
    <w:rsid w:val="00595AED"/>
    <w:rsid w:val="005B6035"/>
    <w:rsid w:val="005D0DAF"/>
    <w:rsid w:val="005D1111"/>
    <w:rsid w:val="005F659F"/>
    <w:rsid w:val="0064007F"/>
    <w:rsid w:val="00655F82"/>
    <w:rsid w:val="00673794"/>
    <w:rsid w:val="006A139E"/>
    <w:rsid w:val="00711AEA"/>
    <w:rsid w:val="007154AF"/>
    <w:rsid w:val="0073380E"/>
    <w:rsid w:val="00747E08"/>
    <w:rsid w:val="0075234F"/>
    <w:rsid w:val="00757EF6"/>
    <w:rsid w:val="00770ABE"/>
    <w:rsid w:val="00777516"/>
    <w:rsid w:val="007927E7"/>
    <w:rsid w:val="007B5D66"/>
    <w:rsid w:val="007F1605"/>
    <w:rsid w:val="008046BB"/>
    <w:rsid w:val="00822E3C"/>
    <w:rsid w:val="00827403"/>
    <w:rsid w:val="00852F6F"/>
    <w:rsid w:val="00886D66"/>
    <w:rsid w:val="008D4D41"/>
    <w:rsid w:val="008E4967"/>
    <w:rsid w:val="008F4FC7"/>
    <w:rsid w:val="009124D3"/>
    <w:rsid w:val="009556ED"/>
    <w:rsid w:val="009A0687"/>
    <w:rsid w:val="009A2C59"/>
    <w:rsid w:val="009D3D65"/>
    <w:rsid w:val="009E79B3"/>
    <w:rsid w:val="009F3653"/>
    <w:rsid w:val="00A14F9E"/>
    <w:rsid w:val="00A21B56"/>
    <w:rsid w:val="00A350DB"/>
    <w:rsid w:val="00A6289E"/>
    <w:rsid w:val="00A74303"/>
    <w:rsid w:val="00A76DA7"/>
    <w:rsid w:val="00A83109"/>
    <w:rsid w:val="00A97492"/>
    <w:rsid w:val="00AC010A"/>
    <w:rsid w:val="00B170DC"/>
    <w:rsid w:val="00B24AD9"/>
    <w:rsid w:val="00B46191"/>
    <w:rsid w:val="00B813B1"/>
    <w:rsid w:val="00BB6AD0"/>
    <w:rsid w:val="00C42416"/>
    <w:rsid w:val="00C54833"/>
    <w:rsid w:val="00C64B43"/>
    <w:rsid w:val="00C9036E"/>
    <w:rsid w:val="00C958E3"/>
    <w:rsid w:val="00C97BE2"/>
    <w:rsid w:val="00CB2899"/>
    <w:rsid w:val="00CC0A48"/>
    <w:rsid w:val="00CD30AB"/>
    <w:rsid w:val="00D0306C"/>
    <w:rsid w:val="00D11CE7"/>
    <w:rsid w:val="00D26EBC"/>
    <w:rsid w:val="00D302C2"/>
    <w:rsid w:val="00D57B4E"/>
    <w:rsid w:val="00D66162"/>
    <w:rsid w:val="00D9131A"/>
    <w:rsid w:val="00DB1611"/>
    <w:rsid w:val="00DD1589"/>
    <w:rsid w:val="00DD3CCF"/>
    <w:rsid w:val="00DF46A3"/>
    <w:rsid w:val="00E43117"/>
    <w:rsid w:val="00E53418"/>
    <w:rsid w:val="00EB4D01"/>
    <w:rsid w:val="00EC7240"/>
    <w:rsid w:val="00EC77EA"/>
    <w:rsid w:val="00ED5AEB"/>
    <w:rsid w:val="00EF23B4"/>
    <w:rsid w:val="00F05A0B"/>
    <w:rsid w:val="00F277FD"/>
    <w:rsid w:val="00F517D0"/>
    <w:rsid w:val="00F711C2"/>
    <w:rsid w:val="00FB3F76"/>
    <w:rsid w:val="00FE1FB9"/>
    <w:rsid w:val="00FF4C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3930C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ParagraphtextJ">
    <w:name w:val="13. Paragraph text J"/>
    <w:autoRedefine/>
    <w:rsid w:val="002E6E92"/>
    <w:pPr>
      <w:tabs>
        <w:tab w:val="left" w:pos="567"/>
      </w:tabs>
      <w:spacing w:after="240" w:line="360" w:lineRule="auto"/>
      <w:ind w:left="567" w:hanging="567"/>
    </w:pPr>
    <w:rPr>
      <w:rFonts w:ascii="Verdana" w:hAnsi="Verdana"/>
      <w:sz w:val="18"/>
    </w:rPr>
  </w:style>
  <w:style w:type="paragraph" w:customStyle="1" w:styleId="Harp">
    <w:name w:val="Harp"/>
    <w:rsid w:val="002E6E92"/>
    <w:pPr>
      <w:jc w:val="center"/>
    </w:pPr>
    <w:rPr>
      <w:rFonts w:ascii="Verdana" w:hAnsi="Verdana"/>
      <w:sz w:val="18"/>
    </w:rPr>
  </w:style>
  <w:style w:type="character" w:styleId="CommentReference">
    <w:name w:val="annotation reference"/>
    <w:basedOn w:val="DefaultParagraphFont"/>
    <w:uiPriority w:val="99"/>
    <w:semiHidden/>
    <w:unhideWhenUsed/>
    <w:rsid w:val="00521439"/>
    <w:rPr>
      <w:sz w:val="16"/>
      <w:szCs w:val="16"/>
    </w:rPr>
  </w:style>
  <w:style w:type="paragraph" w:styleId="CommentText">
    <w:name w:val="annotation text"/>
    <w:basedOn w:val="Normal"/>
    <w:link w:val="CommentTextChar"/>
    <w:uiPriority w:val="99"/>
    <w:semiHidden/>
    <w:unhideWhenUsed/>
    <w:rsid w:val="00521439"/>
    <w:rPr>
      <w:sz w:val="20"/>
      <w:szCs w:val="20"/>
    </w:rPr>
  </w:style>
  <w:style w:type="character" w:customStyle="1" w:styleId="CommentTextChar">
    <w:name w:val="Comment Text Char"/>
    <w:basedOn w:val="DefaultParagraphFont"/>
    <w:link w:val="CommentText"/>
    <w:uiPriority w:val="99"/>
    <w:semiHidden/>
    <w:rsid w:val="00521439"/>
  </w:style>
  <w:style w:type="paragraph" w:styleId="CommentSubject">
    <w:name w:val="annotation subject"/>
    <w:basedOn w:val="CommentText"/>
    <w:next w:val="CommentText"/>
    <w:link w:val="CommentSubjectChar"/>
    <w:uiPriority w:val="99"/>
    <w:semiHidden/>
    <w:unhideWhenUsed/>
    <w:rsid w:val="00521439"/>
    <w:rPr>
      <w:b/>
      <w:bCs/>
    </w:rPr>
  </w:style>
  <w:style w:type="character" w:customStyle="1" w:styleId="CommentSubjectChar">
    <w:name w:val="Comment Subject Char"/>
    <w:basedOn w:val="CommentTextChar"/>
    <w:link w:val="CommentSubject"/>
    <w:uiPriority w:val="99"/>
    <w:semiHidden/>
    <w:rsid w:val="00521439"/>
    <w:rPr>
      <w:b/>
      <w:bCs/>
    </w:rPr>
  </w:style>
  <w:style w:type="paragraph" w:styleId="BalloonText">
    <w:name w:val="Balloon Text"/>
    <w:basedOn w:val="Normal"/>
    <w:link w:val="BalloonTextChar"/>
    <w:uiPriority w:val="99"/>
    <w:semiHidden/>
    <w:unhideWhenUsed/>
    <w:rsid w:val="005214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39"/>
    <w:rPr>
      <w:rFonts w:ascii="Segoe UI" w:hAnsi="Segoe UI" w:cs="Segoe UI"/>
      <w:sz w:val="18"/>
      <w:szCs w:val="18"/>
    </w:rPr>
  </w:style>
  <w:style w:type="paragraph" w:styleId="ListParagraph">
    <w:name w:val="List Paragraph"/>
    <w:basedOn w:val="Normal"/>
    <w:uiPriority w:val="34"/>
    <w:qFormat/>
    <w:rsid w:val="00B24AD9"/>
    <w:pPr>
      <w:ind w:left="720"/>
      <w:contextualSpacing/>
    </w:pPr>
    <w:rPr>
      <w:lang w:val="en-GB" w:eastAsia="en-GB"/>
    </w:rPr>
  </w:style>
  <w:style w:type="paragraph" w:styleId="Header">
    <w:name w:val="header"/>
    <w:basedOn w:val="Normal"/>
    <w:link w:val="HeaderChar"/>
    <w:uiPriority w:val="99"/>
    <w:unhideWhenUsed/>
    <w:rsid w:val="000C42AF"/>
    <w:pPr>
      <w:tabs>
        <w:tab w:val="center" w:pos="4513"/>
        <w:tab w:val="right" w:pos="9026"/>
      </w:tabs>
    </w:pPr>
  </w:style>
  <w:style w:type="character" w:customStyle="1" w:styleId="HeaderChar">
    <w:name w:val="Header Char"/>
    <w:basedOn w:val="DefaultParagraphFont"/>
    <w:link w:val="Header"/>
    <w:uiPriority w:val="99"/>
    <w:rsid w:val="000C42AF"/>
    <w:rPr>
      <w:sz w:val="24"/>
      <w:szCs w:val="24"/>
    </w:rPr>
  </w:style>
  <w:style w:type="paragraph" w:styleId="Footer">
    <w:name w:val="footer"/>
    <w:basedOn w:val="Normal"/>
    <w:link w:val="FooterChar"/>
    <w:uiPriority w:val="99"/>
    <w:unhideWhenUsed/>
    <w:rsid w:val="000C42AF"/>
    <w:pPr>
      <w:tabs>
        <w:tab w:val="center" w:pos="4513"/>
        <w:tab w:val="right" w:pos="9026"/>
      </w:tabs>
    </w:pPr>
  </w:style>
  <w:style w:type="character" w:customStyle="1" w:styleId="FooterChar">
    <w:name w:val="Footer Char"/>
    <w:basedOn w:val="DefaultParagraphFont"/>
    <w:link w:val="Footer"/>
    <w:uiPriority w:val="99"/>
    <w:rsid w:val="000C42AF"/>
    <w:rPr>
      <w:sz w:val="24"/>
      <w:szCs w:val="24"/>
    </w:rPr>
  </w:style>
  <w:style w:type="paragraph" w:customStyle="1" w:styleId="Body">
    <w:name w:val="Body"/>
    <w:rsid w:val="005D1111"/>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DD41D-28E6-4003-A3D0-DA97BED9E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2811</Words>
  <Characters>16025</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2022-06-02T15:54:00Z</dcterms:created>
  <dcterms:modified xsi:type="dcterms:W3CDTF">2022-06-02T15:54:00Z</dcterms:modified>
</cp:coreProperties>
</file>