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13620" w14:textId="77777777" w:rsidR="00EC50C9" w:rsidRPr="00102277" w:rsidRDefault="00EC50C9" w:rsidP="00EC50C9">
      <w:pPr>
        <w:spacing w:after="0" w:line="240" w:lineRule="auto"/>
        <w:jc w:val="center"/>
        <w:rPr>
          <w:rFonts w:eastAsia="Times New Roman" w:cs="Times New Roman"/>
          <w:b/>
          <w:szCs w:val="24"/>
          <w:lang w:eastAsia="en-GB"/>
        </w:rPr>
      </w:pPr>
      <w:r w:rsidRPr="00102277">
        <w:rPr>
          <w:rFonts w:eastAsia="Times New Roman" w:cs="Times New Roman"/>
          <w:b/>
          <w:szCs w:val="24"/>
          <w:lang w:eastAsia="en-GB"/>
        </w:rPr>
        <w:t>An Chúirt Uachtarach</w:t>
      </w:r>
    </w:p>
    <w:p w14:paraId="50962B09" w14:textId="77777777" w:rsidR="00EC50C9" w:rsidRPr="00102277" w:rsidRDefault="00EC50C9" w:rsidP="00EC50C9">
      <w:pPr>
        <w:spacing w:after="0" w:line="240" w:lineRule="auto"/>
        <w:jc w:val="center"/>
        <w:rPr>
          <w:rFonts w:eastAsia="Times New Roman" w:cs="Times New Roman"/>
          <w:szCs w:val="24"/>
          <w:lang w:val="en-GB" w:eastAsia="en-GB"/>
        </w:rPr>
      </w:pPr>
      <w:r w:rsidRPr="00102277">
        <w:rPr>
          <w:rFonts w:eastAsia="Times New Roman" w:cs="Times New Roman"/>
          <w:noProof/>
          <w:szCs w:val="24"/>
          <w:lang w:val="en-GB" w:eastAsia="en-GB"/>
        </w:rPr>
        <w:drawing>
          <wp:inline distT="0" distB="0" distL="0" distR="0" wp14:anchorId="7078428E" wp14:editId="509E32E0">
            <wp:extent cx="619125" cy="102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9125" cy="1028700"/>
                    </a:xfrm>
                    <a:prstGeom prst="rect">
                      <a:avLst/>
                    </a:prstGeom>
                    <a:noFill/>
                    <a:ln>
                      <a:noFill/>
                    </a:ln>
                  </pic:spPr>
                </pic:pic>
              </a:graphicData>
            </a:graphic>
          </wp:inline>
        </w:drawing>
      </w:r>
    </w:p>
    <w:p w14:paraId="2BFDE810" w14:textId="77777777" w:rsidR="00EC50C9" w:rsidRPr="00102277" w:rsidRDefault="00EC50C9" w:rsidP="00EC50C9">
      <w:pPr>
        <w:spacing w:after="0" w:line="240" w:lineRule="auto"/>
        <w:jc w:val="center"/>
        <w:rPr>
          <w:rFonts w:eastAsia="Times New Roman" w:cs="Times New Roman"/>
          <w:b/>
          <w:szCs w:val="24"/>
          <w:lang w:eastAsia="en-GB"/>
        </w:rPr>
      </w:pPr>
      <w:r w:rsidRPr="00102277">
        <w:rPr>
          <w:rFonts w:eastAsia="Times New Roman" w:cs="Times New Roman"/>
          <w:b/>
          <w:szCs w:val="24"/>
          <w:lang w:eastAsia="en-GB"/>
        </w:rPr>
        <w:t>The Supreme Court</w:t>
      </w:r>
    </w:p>
    <w:p w14:paraId="46BC87F3" w14:textId="77777777" w:rsidR="00EC50C9" w:rsidRPr="00102277" w:rsidRDefault="00EC50C9" w:rsidP="00EC50C9">
      <w:pPr>
        <w:spacing w:after="0" w:line="240" w:lineRule="auto"/>
        <w:rPr>
          <w:rFonts w:eastAsia="Times New Roman" w:cs="Times New Roman"/>
          <w:szCs w:val="24"/>
          <w:lang w:val="en-GB" w:eastAsia="en-GB"/>
        </w:rPr>
      </w:pPr>
      <w:r>
        <w:rPr>
          <w:rFonts w:eastAsia="Times New Roman" w:cs="Times New Roman"/>
          <w:szCs w:val="24"/>
          <w:lang w:val="en-GB" w:eastAsia="en-GB"/>
        </w:rPr>
        <w:t>O’Donnell</w:t>
      </w:r>
      <w:r w:rsidRPr="00102277">
        <w:rPr>
          <w:rFonts w:eastAsia="Times New Roman" w:cs="Times New Roman"/>
          <w:szCs w:val="24"/>
          <w:lang w:val="en-GB" w:eastAsia="en-GB"/>
        </w:rPr>
        <w:t xml:space="preserve"> </w:t>
      </w:r>
      <w:r>
        <w:rPr>
          <w:rFonts w:eastAsia="Times New Roman" w:cs="Times New Roman"/>
          <w:szCs w:val="24"/>
          <w:lang w:val="en-GB" w:eastAsia="en-GB"/>
        </w:rPr>
        <w:t>C</w:t>
      </w:r>
      <w:r w:rsidRPr="00102277">
        <w:rPr>
          <w:rFonts w:eastAsia="Times New Roman" w:cs="Times New Roman"/>
          <w:szCs w:val="24"/>
          <w:lang w:val="en-GB" w:eastAsia="en-GB"/>
        </w:rPr>
        <w:t>J</w:t>
      </w:r>
    </w:p>
    <w:p w14:paraId="49B862D2" w14:textId="77777777" w:rsidR="00EC50C9" w:rsidRPr="00102277" w:rsidRDefault="00EC50C9" w:rsidP="00EC50C9">
      <w:pPr>
        <w:spacing w:after="0" w:line="240" w:lineRule="auto"/>
        <w:rPr>
          <w:rFonts w:eastAsia="Times New Roman" w:cs="Times New Roman"/>
          <w:szCs w:val="24"/>
          <w:lang w:val="en-GB" w:eastAsia="en-GB"/>
        </w:rPr>
      </w:pPr>
      <w:r w:rsidRPr="00102277">
        <w:rPr>
          <w:rFonts w:eastAsia="Times New Roman" w:cs="Times New Roman"/>
          <w:szCs w:val="24"/>
          <w:lang w:val="en-GB" w:eastAsia="en-GB"/>
        </w:rPr>
        <w:t>Charleton J</w:t>
      </w:r>
    </w:p>
    <w:p w14:paraId="41B4018F" w14:textId="77777777" w:rsidR="00EC50C9" w:rsidRPr="00102277" w:rsidRDefault="00EC50C9" w:rsidP="00EC50C9">
      <w:pPr>
        <w:spacing w:after="0" w:line="240" w:lineRule="auto"/>
        <w:rPr>
          <w:rFonts w:eastAsia="Times New Roman" w:cs="Times New Roman"/>
          <w:szCs w:val="24"/>
          <w:lang w:val="en-GB" w:eastAsia="en-GB"/>
        </w:rPr>
      </w:pPr>
      <w:r w:rsidRPr="00102277">
        <w:rPr>
          <w:rFonts w:eastAsia="Times New Roman" w:cs="Times New Roman"/>
          <w:szCs w:val="24"/>
          <w:lang w:val="en-GB" w:eastAsia="en-GB"/>
        </w:rPr>
        <w:t>O’Malley J</w:t>
      </w:r>
    </w:p>
    <w:p w14:paraId="31AC9AAD" w14:textId="77777777" w:rsidR="00EC50C9" w:rsidRPr="00102277" w:rsidRDefault="00EC50C9" w:rsidP="00EC50C9">
      <w:pPr>
        <w:spacing w:after="0" w:line="240" w:lineRule="auto"/>
        <w:rPr>
          <w:rFonts w:eastAsia="Times New Roman" w:cs="Times New Roman"/>
          <w:szCs w:val="24"/>
          <w:lang w:val="en-GB" w:eastAsia="en-GB"/>
        </w:rPr>
      </w:pPr>
      <w:r w:rsidRPr="00102277">
        <w:rPr>
          <w:rFonts w:eastAsia="Times New Roman" w:cs="Times New Roman"/>
          <w:szCs w:val="24"/>
          <w:lang w:val="en-GB" w:eastAsia="en-GB"/>
        </w:rPr>
        <w:t>Woulfe J</w:t>
      </w:r>
    </w:p>
    <w:p w14:paraId="45B69C83" w14:textId="77777777" w:rsidR="00EC50C9" w:rsidRPr="00102277" w:rsidRDefault="00EC50C9" w:rsidP="00EC50C9">
      <w:pPr>
        <w:spacing w:after="0" w:line="240" w:lineRule="auto"/>
        <w:rPr>
          <w:rFonts w:eastAsia="Times New Roman" w:cs="Times New Roman"/>
          <w:szCs w:val="24"/>
          <w:lang w:val="en-GB" w:eastAsia="en-GB"/>
        </w:rPr>
      </w:pPr>
      <w:r w:rsidRPr="00102277">
        <w:rPr>
          <w:rFonts w:eastAsia="Times New Roman" w:cs="Times New Roman"/>
          <w:szCs w:val="24"/>
          <w:lang w:val="en-GB" w:eastAsia="en-GB"/>
        </w:rPr>
        <w:t xml:space="preserve">Hogan J </w:t>
      </w:r>
    </w:p>
    <w:p w14:paraId="099F3A3D" w14:textId="77777777" w:rsidR="00EC50C9" w:rsidRPr="00102277" w:rsidRDefault="00EC50C9" w:rsidP="00EC50C9">
      <w:pPr>
        <w:spacing w:after="0" w:line="240" w:lineRule="auto"/>
        <w:rPr>
          <w:rFonts w:eastAsia="Times New Roman" w:cs="Times New Roman"/>
          <w:szCs w:val="24"/>
          <w:lang w:val="en-GB" w:eastAsia="en-GB"/>
        </w:rPr>
      </w:pPr>
    </w:p>
    <w:p w14:paraId="3C89F82C" w14:textId="77777777" w:rsidR="00EC50C9" w:rsidRPr="00102277" w:rsidRDefault="00EC50C9" w:rsidP="00EC50C9">
      <w:pPr>
        <w:spacing w:after="0" w:line="240" w:lineRule="auto"/>
        <w:jc w:val="right"/>
        <w:rPr>
          <w:rFonts w:eastAsia="Times New Roman" w:cs="Times New Roman"/>
          <w:szCs w:val="24"/>
          <w:lang w:val="en-GB" w:eastAsia="en-GB"/>
        </w:rPr>
      </w:pPr>
      <w:r w:rsidRPr="00102277">
        <w:rPr>
          <w:rFonts w:eastAsia="Times New Roman" w:cs="Times New Roman"/>
          <w:szCs w:val="24"/>
          <w:lang w:val="en-GB" w:eastAsia="en-GB"/>
        </w:rPr>
        <w:t xml:space="preserve">Supreme Court appeal number: </w:t>
      </w:r>
      <w:proofErr w:type="gramStart"/>
      <w:r w:rsidRPr="00102277">
        <w:rPr>
          <w:rFonts w:eastAsia="Times New Roman" w:cs="Times New Roman"/>
          <w:szCs w:val="24"/>
          <w:lang w:val="en-GB" w:eastAsia="en-GB"/>
        </w:rPr>
        <w:t>S:AP</w:t>
      </w:r>
      <w:proofErr w:type="gramEnd"/>
      <w:r w:rsidRPr="00102277">
        <w:rPr>
          <w:rFonts w:eastAsia="Times New Roman" w:cs="Times New Roman"/>
          <w:szCs w:val="24"/>
          <w:lang w:val="en-GB" w:eastAsia="en-GB"/>
        </w:rPr>
        <w:t>:IE:2021:000104</w:t>
      </w:r>
    </w:p>
    <w:p w14:paraId="14028ACD" w14:textId="46A77034" w:rsidR="00EC50C9" w:rsidRPr="00102277" w:rsidRDefault="00EC50C9" w:rsidP="00EC50C9">
      <w:pPr>
        <w:spacing w:after="0" w:line="240" w:lineRule="auto"/>
        <w:jc w:val="right"/>
        <w:rPr>
          <w:rFonts w:eastAsia="Times New Roman" w:cs="Times New Roman"/>
          <w:szCs w:val="24"/>
          <w:lang w:val="en-GB" w:eastAsia="en-GB"/>
        </w:rPr>
      </w:pPr>
      <w:r w:rsidRPr="00102277">
        <w:rPr>
          <w:rFonts w:eastAsia="Times New Roman" w:cs="Times New Roman"/>
          <w:szCs w:val="24"/>
          <w:lang w:val="en-GB" w:eastAsia="en-GB"/>
        </w:rPr>
        <w:t xml:space="preserve">[2022] IESC </w:t>
      </w:r>
      <w:r w:rsidR="001D4408">
        <w:rPr>
          <w:rFonts w:eastAsia="Times New Roman" w:cs="Times New Roman"/>
          <w:szCs w:val="24"/>
          <w:lang w:val="en-GB" w:eastAsia="en-GB"/>
        </w:rPr>
        <w:t>29</w:t>
      </w:r>
    </w:p>
    <w:p w14:paraId="409393A5" w14:textId="77777777" w:rsidR="00EC50C9" w:rsidRPr="00102277" w:rsidRDefault="00EC50C9" w:rsidP="00EC50C9">
      <w:pPr>
        <w:spacing w:after="0" w:line="240" w:lineRule="auto"/>
        <w:jc w:val="right"/>
        <w:rPr>
          <w:rFonts w:eastAsia="Times New Roman" w:cs="Times New Roman"/>
          <w:szCs w:val="24"/>
          <w:lang w:val="en-GB" w:eastAsia="en-GB"/>
        </w:rPr>
      </w:pPr>
      <w:r w:rsidRPr="00102277">
        <w:rPr>
          <w:rFonts w:eastAsia="Times New Roman" w:cs="Times New Roman"/>
          <w:szCs w:val="24"/>
          <w:lang w:val="en-GB" w:eastAsia="en-GB"/>
        </w:rPr>
        <w:t>Court of Appeal Record Number: 197/17</w:t>
      </w:r>
    </w:p>
    <w:p w14:paraId="7893EB1E" w14:textId="77777777" w:rsidR="00EC50C9" w:rsidRPr="00102277" w:rsidRDefault="00EC50C9" w:rsidP="00EC50C9">
      <w:pPr>
        <w:spacing w:after="0" w:line="240" w:lineRule="auto"/>
        <w:jc w:val="right"/>
        <w:rPr>
          <w:rFonts w:eastAsia="Times New Roman" w:cs="Times New Roman"/>
          <w:szCs w:val="24"/>
          <w:lang w:val="en-GB" w:eastAsia="en-GB"/>
        </w:rPr>
      </w:pPr>
      <w:r w:rsidRPr="00102277">
        <w:rPr>
          <w:rFonts w:eastAsia="Times New Roman" w:cs="Times New Roman"/>
          <w:szCs w:val="24"/>
          <w:lang w:val="en-GB" w:eastAsia="en-GB"/>
        </w:rPr>
        <w:t>High Court Record Number: CCCDP0114/2015</w:t>
      </w:r>
    </w:p>
    <w:p w14:paraId="5DAFD75B" w14:textId="77777777" w:rsidR="00EC50C9" w:rsidRPr="00102277" w:rsidRDefault="00EC50C9" w:rsidP="00EC50C9">
      <w:pPr>
        <w:spacing w:after="0" w:line="240" w:lineRule="auto"/>
        <w:rPr>
          <w:rFonts w:eastAsia="Times New Roman" w:cs="Times New Roman"/>
          <w:szCs w:val="24"/>
          <w:lang w:val="en-GB" w:eastAsia="en-GB"/>
        </w:rPr>
      </w:pPr>
    </w:p>
    <w:p w14:paraId="3DE5A8D5" w14:textId="77777777" w:rsidR="00EC50C9" w:rsidRPr="00102277" w:rsidRDefault="00EC50C9" w:rsidP="00EC50C9">
      <w:pPr>
        <w:spacing w:after="0" w:line="240" w:lineRule="auto"/>
        <w:rPr>
          <w:rFonts w:eastAsia="Times New Roman" w:cs="Times New Roman"/>
          <w:szCs w:val="24"/>
          <w:lang w:val="en-GB" w:eastAsia="en-GB"/>
        </w:rPr>
      </w:pPr>
    </w:p>
    <w:p w14:paraId="2E8AC700" w14:textId="77777777" w:rsidR="00EC50C9" w:rsidRPr="00102277" w:rsidRDefault="00EC50C9" w:rsidP="00EC50C9">
      <w:pPr>
        <w:spacing w:after="0" w:line="240" w:lineRule="auto"/>
        <w:rPr>
          <w:rFonts w:eastAsia="Times New Roman" w:cs="Times New Roman"/>
          <w:szCs w:val="24"/>
          <w:lang w:val="en-GB" w:eastAsia="en-GB"/>
        </w:rPr>
      </w:pPr>
    </w:p>
    <w:p w14:paraId="1D0119C1" w14:textId="77777777" w:rsidR="00EC50C9" w:rsidRPr="00102277" w:rsidRDefault="00EC50C9" w:rsidP="00EC50C9">
      <w:pPr>
        <w:spacing w:after="0" w:line="240" w:lineRule="auto"/>
        <w:rPr>
          <w:rFonts w:eastAsia="Times New Roman" w:cs="Times New Roman"/>
          <w:szCs w:val="24"/>
          <w:lang w:val="en-GB" w:eastAsia="en-GB"/>
        </w:rPr>
      </w:pPr>
    </w:p>
    <w:p w14:paraId="4E45B0EB" w14:textId="77777777" w:rsidR="00EC50C9" w:rsidRPr="00102277" w:rsidRDefault="00EC50C9" w:rsidP="00EC50C9">
      <w:pPr>
        <w:spacing w:after="0" w:line="240" w:lineRule="auto"/>
        <w:jc w:val="center"/>
        <w:rPr>
          <w:rFonts w:eastAsia="Times New Roman" w:cs="Times New Roman"/>
          <w:b/>
          <w:szCs w:val="24"/>
          <w:lang w:val="en-GB" w:eastAsia="en-GB"/>
        </w:rPr>
      </w:pPr>
      <w:r w:rsidRPr="00102277">
        <w:rPr>
          <w:rFonts w:eastAsia="Times New Roman" w:cs="Times New Roman"/>
          <w:b/>
          <w:szCs w:val="24"/>
          <w:lang w:val="en-GB" w:eastAsia="en-GB"/>
        </w:rPr>
        <w:t>Between</w:t>
      </w:r>
    </w:p>
    <w:p w14:paraId="62A0FCDD" w14:textId="77777777" w:rsidR="00EC50C9" w:rsidRPr="00102277" w:rsidRDefault="00EC50C9" w:rsidP="00EC50C9">
      <w:pPr>
        <w:spacing w:after="0" w:line="240" w:lineRule="auto"/>
        <w:jc w:val="center"/>
        <w:rPr>
          <w:rFonts w:eastAsia="Times New Roman" w:cs="Times New Roman"/>
          <w:b/>
          <w:szCs w:val="24"/>
          <w:lang w:val="en-GB" w:eastAsia="en-GB"/>
        </w:rPr>
      </w:pPr>
    </w:p>
    <w:p w14:paraId="55118DCA" w14:textId="77777777" w:rsidR="00EC50C9" w:rsidRPr="00102277" w:rsidRDefault="00EC50C9" w:rsidP="00EC50C9">
      <w:pPr>
        <w:spacing w:after="0" w:line="240" w:lineRule="auto"/>
        <w:jc w:val="center"/>
        <w:rPr>
          <w:rFonts w:eastAsia="Times New Roman" w:cs="Times New Roman"/>
          <w:b/>
          <w:szCs w:val="24"/>
          <w:lang w:val="en-GB" w:eastAsia="en-GB"/>
        </w:rPr>
      </w:pPr>
      <w:r w:rsidRPr="00102277">
        <w:rPr>
          <w:rFonts w:eastAsia="Times New Roman" w:cs="Times New Roman"/>
          <w:b/>
          <w:szCs w:val="24"/>
          <w:lang w:val="en-GB" w:eastAsia="en-GB"/>
        </w:rPr>
        <w:t>The People at the Suit of the Director of Public Prosecutions</w:t>
      </w:r>
    </w:p>
    <w:p w14:paraId="1D79609E" w14:textId="77777777" w:rsidR="00EC50C9" w:rsidRPr="00102277" w:rsidRDefault="00EC50C9" w:rsidP="00EC50C9">
      <w:pPr>
        <w:spacing w:after="0" w:line="240" w:lineRule="auto"/>
        <w:jc w:val="center"/>
        <w:rPr>
          <w:rFonts w:eastAsia="Times New Roman" w:cs="Times New Roman"/>
          <w:b/>
          <w:szCs w:val="24"/>
          <w:lang w:val="en-GB" w:eastAsia="en-GB"/>
        </w:rPr>
      </w:pPr>
      <w:r w:rsidRPr="00102277">
        <w:rPr>
          <w:rFonts w:eastAsia="Times New Roman" w:cs="Times New Roman"/>
          <w:b/>
          <w:szCs w:val="24"/>
          <w:lang w:val="en-GB" w:eastAsia="en-GB"/>
        </w:rPr>
        <w:t>Respondent/Prosecutor</w:t>
      </w:r>
    </w:p>
    <w:p w14:paraId="547C45E5" w14:textId="77777777" w:rsidR="00EC50C9" w:rsidRPr="00102277" w:rsidRDefault="00EC50C9" w:rsidP="00EC50C9">
      <w:pPr>
        <w:spacing w:after="0" w:line="240" w:lineRule="auto"/>
        <w:jc w:val="center"/>
        <w:rPr>
          <w:rFonts w:eastAsia="Times New Roman" w:cs="Times New Roman"/>
          <w:b/>
          <w:szCs w:val="24"/>
          <w:lang w:val="en-GB" w:eastAsia="en-GB"/>
        </w:rPr>
      </w:pPr>
    </w:p>
    <w:p w14:paraId="3E923A62" w14:textId="77777777" w:rsidR="00EC50C9" w:rsidRPr="00102277" w:rsidRDefault="00EC50C9" w:rsidP="00EC50C9">
      <w:pPr>
        <w:spacing w:after="0" w:line="240" w:lineRule="auto"/>
        <w:jc w:val="center"/>
        <w:rPr>
          <w:rFonts w:eastAsia="Times New Roman" w:cs="Times New Roman"/>
          <w:b/>
          <w:szCs w:val="24"/>
          <w:lang w:val="en-GB" w:eastAsia="en-GB"/>
        </w:rPr>
      </w:pPr>
      <w:r w:rsidRPr="00102277">
        <w:rPr>
          <w:rFonts w:eastAsia="Times New Roman" w:cs="Times New Roman"/>
          <w:b/>
          <w:szCs w:val="24"/>
          <w:lang w:val="en-GB" w:eastAsia="en-GB"/>
        </w:rPr>
        <w:t>- and -</w:t>
      </w:r>
    </w:p>
    <w:p w14:paraId="0AD6936D" w14:textId="77777777" w:rsidR="00EC50C9" w:rsidRPr="00102277" w:rsidRDefault="00EC50C9" w:rsidP="00EC50C9">
      <w:pPr>
        <w:spacing w:after="0" w:line="240" w:lineRule="auto"/>
        <w:jc w:val="center"/>
        <w:rPr>
          <w:rFonts w:eastAsia="Times New Roman" w:cs="Times New Roman"/>
          <w:b/>
          <w:szCs w:val="24"/>
          <w:lang w:val="en-GB" w:eastAsia="en-GB"/>
        </w:rPr>
      </w:pPr>
    </w:p>
    <w:p w14:paraId="64E27D8F" w14:textId="77777777" w:rsidR="00EC50C9" w:rsidRPr="00102277" w:rsidRDefault="00EC50C9" w:rsidP="00EC50C9">
      <w:pPr>
        <w:spacing w:after="0" w:line="240" w:lineRule="auto"/>
        <w:jc w:val="center"/>
        <w:rPr>
          <w:rFonts w:eastAsia="Times New Roman" w:cs="Times New Roman"/>
          <w:b/>
          <w:szCs w:val="24"/>
          <w:lang w:val="en-GB" w:eastAsia="en-GB"/>
        </w:rPr>
      </w:pPr>
      <w:r w:rsidRPr="00102277">
        <w:rPr>
          <w:rFonts w:eastAsia="Times New Roman" w:cs="Times New Roman"/>
          <w:b/>
          <w:szCs w:val="24"/>
          <w:lang w:val="en-GB" w:eastAsia="en-GB"/>
        </w:rPr>
        <w:t>Christopher McDonald</w:t>
      </w:r>
    </w:p>
    <w:p w14:paraId="5FF7C34B" w14:textId="77777777" w:rsidR="00EC50C9" w:rsidRPr="00102277" w:rsidRDefault="00EC50C9" w:rsidP="00EC50C9">
      <w:pPr>
        <w:spacing w:after="0" w:line="240" w:lineRule="auto"/>
        <w:jc w:val="center"/>
        <w:rPr>
          <w:rFonts w:eastAsia="Times New Roman" w:cs="Times New Roman"/>
          <w:b/>
          <w:szCs w:val="24"/>
          <w:lang w:val="en-GB" w:eastAsia="en-GB"/>
        </w:rPr>
      </w:pPr>
      <w:r w:rsidRPr="00102277">
        <w:rPr>
          <w:rFonts w:eastAsia="Times New Roman" w:cs="Times New Roman"/>
          <w:b/>
          <w:szCs w:val="24"/>
          <w:lang w:val="en-GB" w:eastAsia="en-GB"/>
        </w:rPr>
        <w:t>Appellant/Defendant</w:t>
      </w:r>
    </w:p>
    <w:p w14:paraId="3F0C071D" w14:textId="77777777" w:rsidR="00EC50C9" w:rsidRPr="00102277" w:rsidRDefault="00EC50C9" w:rsidP="00EC50C9">
      <w:pPr>
        <w:spacing w:after="0" w:line="240" w:lineRule="auto"/>
        <w:rPr>
          <w:rFonts w:eastAsia="Times New Roman" w:cs="Times New Roman"/>
          <w:b/>
          <w:szCs w:val="24"/>
          <w:lang w:val="en-GB" w:eastAsia="en-GB"/>
        </w:rPr>
      </w:pPr>
    </w:p>
    <w:p w14:paraId="4B79A878" w14:textId="77777777" w:rsidR="00EC50C9" w:rsidRPr="00102277" w:rsidRDefault="00EC50C9" w:rsidP="00EC50C9">
      <w:pPr>
        <w:spacing w:after="0" w:line="240" w:lineRule="auto"/>
        <w:rPr>
          <w:rFonts w:eastAsia="Times New Roman" w:cs="Times New Roman"/>
          <w:b/>
          <w:szCs w:val="24"/>
          <w:lang w:val="en-GB" w:eastAsia="en-GB"/>
        </w:rPr>
      </w:pPr>
    </w:p>
    <w:p w14:paraId="1540E1A2" w14:textId="77777777" w:rsidR="00EC50C9" w:rsidRDefault="00EC50C9" w:rsidP="00EC50C9">
      <w:pPr>
        <w:spacing w:after="0" w:line="240" w:lineRule="auto"/>
        <w:rPr>
          <w:rFonts w:eastAsia="Times New Roman" w:cs="Times New Roman"/>
          <w:b/>
          <w:szCs w:val="24"/>
          <w:lang w:val="en-GB" w:eastAsia="en-GB"/>
        </w:rPr>
      </w:pPr>
      <w:r>
        <w:rPr>
          <w:rFonts w:eastAsia="Times New Roman" w:cs="Times New Roman"/>
          <w:b/>
          <w:szCs w:val="24"/>
          <w:lang w:val="en-GB" w:eastAsia="en-GB"/>
        </w:rPr>
        <w:t xml:space="preserve">Judgment of Mr Justice Peter Charleton delivered on </w:t>
      </w:r>
      <w:r w:rsidR="00717009">
        <w:rPr>
          <w:rFonts w:eastAsia="Times New Roman" w:cs="Times New Roman"/>
          <w:b/>
          <w:szCs w:val="24"/>
          <w:lang w:val="en-GB" w:eastAsia="en-GB"/>
        </w:rPr>
        <w:t xml:space="preserve">Thursday </w:t>
      </w:r>
      <w:r w:rsidR="00D97AA1">
        <w:rPr>
          <w:rFonts w:eastAsia="Times New Roman" w:cs="Times New Roman"/>
          <w:b/>
          <w:szCs w:val="24"/>
          <w:lang w:val="en-GB" w:eastAsia="en-GB"/>
        </w:rPr>
        <w:t>30</w:t>
      </w:r>
      <w:r w:rsidR="00717009">
        <w:rPr>
          <w:rFonts w:eastAsia="Times New Roman" w:cs="Times New Roman"/>
          <w:b/>
          <w:szCs w:val="24"/>
          <w:lang w:val="en-GB" w:eastAsia="en-GB"/>
        </w:rPr>
        <w:t xml:space="preserve"> June</w:t>
      </w:r>
      <w:r>
        <w:rPr>
          <w:rFonts w:eastAsia="Times New Roman" w:cs="Times New Roman"/>
          <w:b/>
          <w:szCs w:val="24"/>
          <w:lang w:val="en-GB" w:eastAsia="en-GB"/>
        </w:rPr>
        <w:t xml:space="preserve"> 2022</w:t>
      </w:r>
    </w:p>
    <w:p w14:paraId="751CB5C0" w14:textId="77777777" w:rsidR="00EC50C9" w:rsidRDefault="00EC50C9" w:rsidP="00EC50C9">
      <w:pPr>
        <w:spacing w:after="0" w:line="240" w:lineRule="auto"/>
        <w:rPr>
          <w:rFonts w:eastAsia="Times New Roman" w:cs="Times New Roman"/>
          <w:szCs w:val="24"/>
          <w:lang w:val="en-GB" w:eastAsia="en-GB"/>
        </w:rPr>
      </w:pPr>
    </w:p>
    <w:p w14:paraId="697585E7" w14:textId="77777777" w:rsidR="00EC50C9" w:rsidRDefault="00EC50C9" w:rsidP="00EC50C9">
      <w:pPr>
        <w:spacing w:after="0" w:line="240" w:lineRule="auto"/>
        <w:rPr>
          <w:rFonts w:eastAsia="Times New Roman" w:cs="Times New Roman"/>
          <w:szCs w:val="24"/>
          <w:lang w:val="en-GB" w:eastAsia="en-GB"/>
        </w:rPr>
      </w:pPr>
      <w:r>
        <w:rPr>
          <w:rFonts w:eastAsia="Times New Roman" w:cs="Times New Roman"/>
          <w:szCs w:val="24"/>
          <w:lang w:val="en-GB" w:eastAsia="en-GB"/>
        </w:rPr>
        <w:t>1. The issues on this appeal are, firstly, whether an arrested person, by virtue of common law principle, may validly give consent to the taking of forensic samples from his person (usually various plucked and cut hair samples and blood or other DNA</w:t>
      </w:r>
      <w:r w:rsidR="009836C8">
        <w:rPr>
          <w:rFonts w:eastAsia="Times New Roman" w:cs="Times New Roman"/>
          <w:szCs w:val="24"/>
          <w:lang w:val="en-GB" w:eastAsia="en-GB"/>
        </w:rPr>
        <w:t xml:space="preserve"> </w:t>
      </w:r>
      <w:r w:rsidR="00C5390B">
        <w:rPr>
          <w:rFonts w:eastAsia="Times New Roman" w:cs="Times New Roman"/>
          <w:szCs w:val="24"/>
          <w:lang w:val="en-GB" w:eastAsia="en-GB"/>
        </w:rPr>
        <w:t>by</w:t>
      </w:r>
      <w:r>
        <w:rPr>
          <w:rFonts w:eastAsia="Times New Roman" w:cs="Times New Roman"/>
          <w:szCs w:val="24"/>
          <w:lang w:val="en-GB" w:eastAsia="en-GB"/>
        </w:rPr>
        <w:t xml:space="preserve"> swabbing) notwithstanding that </w:t>
      </w:r>
      <w:r w:rsidRPr="00102277">
        <w:rPr>
          <w:rFonts w:eastAsia="Times New Roman" w:cs="Times New Roman"/>
          <w:szCs w:val="24"/>
          <w:lang w:val="en-GB" w:eastAsia="en-GB"/>
        </w:rPr>
        <w:t>the Criminal Justice (Forensic Evidence) Act 1990</w:t>
      </w:r>
      <w:r>
        <w:rPr>
          <w:rFonts w:eastAsia="Times New Roman" w:cs="Times New Roman"/>
          <w:szCs w:val="24"/>
          <w:lang w:val="en-GB" w:eastAsia="en-GB"/>
        </w:rPr>
        <w:t>,</w:t>
      </w:r>
      <w:r w:rsidRPr="00102277">
        <w:rPr>
          <w:rFonts w:eastAsia="Times New Roman" w:cs="Times New Roman"/>
          <w:szCs w:val="24"/>
          <w:lang w:val="en-GB" w:eastAsia="en-GB"/>
        </w:rPr>
        <w:t xml:space="preserve"> Regulations 1992</w:t>
      </w:r>
      <w:r>
        <w:rPr>
          <w:rFonts w:eastAsia="Times New Roman" w:cs="Times New Roman"/>
          <w:szCs w:val="24"/>
          <w:lang w:val="en-GB" w:eastAsia="en-GB"/>
        </w:rPr>
        <w:t>, s 2 provides a procedure for taking such samples and, secondly, whether the presence of a solicitor is necessary for such consent to be given validly.</w:t>
      </w:r>
    </w:p>
    <w:p w14:paraId="5C9ED232" w14:textId="77777777" w:rsidR="00EC50C9" w:rsidRPr="00102277" w:rsidRDefault="00EC50C9" w:rsidP="00EC50C9">
      <w:pPr>
        <w:spacing w:after="0" w:line="240" w:lineRule="auto"/>
        <w:rPr>
          <w:rFonts w:eastAsia="Times New Roman" w:cs="Times New Roman"/>
          <w:szCs w:val="24"/>
          <w:lang w:val="en-GB" w:eastAsia="en-GB"/>
        </w:rPr>
      </w:pPr>
      <w:r>
        <w:rPr>
          <w:rFonts w:eastAsia="Times New Roman" w:cs="Times New Roman"/>
          <w:szCs w:val="24"/>
          <w:lang w:val="en-GB" w:eastAsia="en-GB"/>
        </w:rPr>
        <w:t xml:space="preserve"> </w:t>
      </w:r>
    </w:p>
    <w:p w14:paraId="53F2BBDA" w14:textId="77777777" w:rsidR="00EC50C9" w:rsidRDefault="00EC50C9" w:rsidP="00EC50C9">
      <w:pPr>
        <w:spacing w:after="0" w:line="240" w:lineRule="auto"/>
        <w:rPr>
          <w:rFonts w:eastAsia="Times New Roman" w:cs="Times New Roman"/>
          <w:szCs w:val="24"/>
          <w:lang w:val="en-GB" w:eastAsia="en-GB"/>
        </w:rPr>
      </w:pPr>
      <w:r w:rsidRPr="00102277">
        <w:rPr>
          <w:rFonts w:eastAsia="Times New Roman" w:cs="Times New Roman"/>
          <w:szCs w:val="24"/>
          <w:lang w:val="en-GB" w:eastAsia="en-GB"/>
        </w:rPr>
        <w:t xml:space="preserve">2. </w:t>
      </w:r>
      <w:r>
        <w:rPr>
          <w:rFonts w:eastAsia="Times New Roman" w:cs="Times New Roman"/>
          <w:szCs w:val="24"/>
          <w:lang w:val="en-GB" w:eastAsia="en-GB"/>
        </w:rPr>
        <w:t>The first issue arises by virtue of the necessity to properly consider the issues in the appeal with a view to a proper assessment and is integral to the decision of this Court granting leave to appeal where, [2021] IESCDET 135, the question for appeal was thus stated:</w:t>
      </w:r>
    </w:p>
    <w:p w14:paraId="221D856B" w14:textId="77777777" w:rsidR="00EC50C9" w:rsidRDefault="00EC50C9" w:rsidP="00EC50C9">
      <w:pPr>
        <w:spacing w:after="0" w:line="240" w:lineRule="auto"/>
        <w:rPr>
          <w:rFonts w:eastAsia="Times New Roman" w:cs="Times New Roman"/>
          <w:szCs w:val="24"/>
          <w:lang w:val="en-GB" w:eastAsia="en-GB"/>
        </w:rPr>
      </w:pPr>
    </w:p>
    <w:p w14:paraId="619430F0" w14:textId="77777777" w:rsidR="00EC50C9" w:rsidRDefault="00EC50C9" w:rsidP="00EC50C9">
      <w:pPr>
        <w:spacing w:after="0" w:line="240" w:lineRule="auto"/>
        <w:ind w:left="720"/>
        <w:rPr>
          <w:rFonts w:eastAsia="Times New Roman" w:cs="Times New Roman"/>
          <w:szCs w:val="24"/>
          <w:lang w:val="en-GB" w:eastAsia="en-GB"/>
        </w:rPr>
      </w:pPr>
      <w:r>
        <w:rPr>
          <w:rFonts w:eastAsia="Times New Roman" w:cs="Times New Roman"/>
          <w:szCs w:val="24"/>
          <w:lang w:val="en-GB" w:eastAsia="en-GB"/>
        </w:rPr>
        <w:t>T</w:t>
      </w:r>
      <w:r w:rsidRPr="0037315A">
        <w:rPr>
          <w:rFonts w:eastAsia="Times New Roman" w:cs="Times New Roman"/>
          <w:szCs w:val="24"/>
          <w:lang w:val="en-GB" w:eastAsia="en-GB"/>
        </w:rPr>
        <w:t xml:space="preserve">he Court is of the opinion that this case does involve a matter of </w:t>
      </w:r>
      <w:proofErr w:type="gramStart"/>
      <w:r w:rsidRPr="0037315A">
        <w:rPr>
          <w:rFonts w:eastAsia="Times New Roman" w:cs="Times New Roman"/>
          <w:szCs w:val="24"/>
          <w:lang w:val="en-GB" w:eastAsia="en-GB"/>
        </w:rPr>
        <w:t>general public</w:t>
      </w:r>
      <w:proofErr w:type="gramEnd"/>
      <w:r w:rsidRPr="0037315A">
        <w:rPr>
          <w:rFonts w:eastAsia="Times New Roman" w:cs="Times New Roman"/>
          <w:szCs w:val="24"/>
          <w:lang w:val="en-GB" w:eastAsia="en-GB"/>
        </w:rPr>
        <w:t xml:space="preserve"> importance regarding the extent of the entitlement of a person in custody to access legal advice in respect of non-mandatory forensic sampling. The Court notes that these issues may arise in other criminal trials in the </w:t>
      </w:r>
      <w:proofErr w:type="gramStart"/>
      <w:r w:rsidRPr="0037315A">
        <w:rPr>
          <w:rFonts w:eastAsia="Times New Roman" w:cs="Times New Roman"/>
          <w:szCs w:val="24"/>
          <w:lang w:val="en-GB" w:eastAsia="en-GB"/>
        </w:rPr>
        <w:t>future</w:t>
      </w:r>
      <w:proofErr w:type="gramEnd"/>
      <w:r w:rsidRPr="0037315A">
        <w:rPr>
          <w:rFonts w:eastAsia="Times New Roman" w:cs="Times New Roman"/>
          <w:szCs w:val="24"/>
          <w:lang w:val="en-GB" w:eastAsia="en-GB"/>
        </w:rPr>
        <w:t xml:space="preserve"> and it would be in the public interest to obtain further clarity.</w:t>
      </w:r>
    </w:p>
    <w:p w14:paraId="0D264394" w14:textId="77777777" w:rsidR="00EC50C9" w:rsidRDefault="00EC50C9" w:rsidP="00EC50C9">
      <w:pPr>
        <w:spacing w:after="0" w:line="240" w:lineRule="auto"/>
        <w:rPr>
          <w:rFonts w:eastAsia="Times New Roman" w:cs="Times New Roman"/>
          <w:szCs w:val="24"/>
          <w:lang w:val="en-GB" w:eastAsia="en-GB"/>
        </w:rPr>
      </w:pPr>
    </w:p>
    <w:p w14:paraId="0FFB36D2" w14:textId="77777777" w:rsidR="00EC50C9" w:rsidRDefault="00EC50C9" w:rsidP="00EC50C9">
      <w:pPr>
        <w:spacing w:after="0" w:line="240" w:lineRule="auto"/>
        <w:rPr>
          <w:rFonts w:eastAsia="Times New Roman" w:cs="Times New Roman"/>
          <w:b/>
          <w:szCs w:val="24"/>
          <w:lang w:val="en-GB" w:eastAsia="en-GB"/>
        </w:rPr>
      </w:pPr>
      <w:r>
        <w:rPr>
          <w:rFonts w:eastAsia="Times New Roman" w:cs="Times New Roman"/>
          <w:b/>
          <w:szCs w:val="24"/>
          <w:lang w:val="en-GB" w:eastAsia="en-GB"/>
        </w:rPr>
        <w:t>Background</w:t>
      </w:r>
    </w:p>
    <w:p w14:paraId="3372D6A7" w14:textId="77777777" w:rsidR="00EC50C9" w:rsidRPr="0037315A" w:rsidRDefault="00EC50C9" w:rsidP="00EC50C9">
      <w:pPr>
        <w:spacing w:after="0" w:line="240" w:lineRule="auto"/>
        <w:rPr>
          <w:rFonts w:eastAsia="Times New Roman" w:cs="Times New Roman"/>
          <w:b/>
          <w:szCs w:val="24"/>
          <w:lang w:val="en-GB" w:eastAsia="en-GB"/>
        </w:rPr>
      </w:pPr>
    </w:p>
    <w:p w14:paraId="57A19FA1" w14:textId="77777777" w:rsidR="00EC50C9" w:rsidRDefault="00EC50C9" w:rsidP="00EC50C9">
      <w:pPr>
        <w:spacing w:after="0" w:line="240" w:lineRule="auto"/>
        <w:rPr>
          <w:rFonts w:eastAsia="Times New Roman" w:cs="Times New Roman"/>
          <w:szCs w:val="24"/>
          <w:lang w:val="en-GB" w:eastAsia="en-GB"/>
        </w:rPr>
      </w:pPr>
      <w:r>
        <w:rPr>
          <w:rFonts w:eastAsia="Times New Roman" w:cs="Times New Roman"/>
          <w:szCs w:val="24"/>
          <w:lang w:val="en-GB" w:eastAsia="en-GB"/>
        </w:rPr>
        <w:t xml:space="preserve">3. </w:t>
      </w:r>
      <w:r w:rsidRPr="00102277">
        <w:rPr>
          <w:rFonts w:eastAsia="Times New Roman" w:cs="Times New Roman"/>
          <w:szCs w:val="24"/>
          <w:lang w:val="en-GB" w:eastAsia="en-GB"/>
        </w:rPr>
        <w:t xml:space="preserve">Christopher McDonald was </w:t>
      </w:r>
      <w:r>
        <w:rPr>
          <w:rFonts w:eastAsia="Times New Roman" w:cs="Times New Roman"/>
          <w:szCs w:val="24"/>
          <w:lang w:val="en-GB" w:eastAsia="en-GB"/>
        </w:rPr>
        <w:t>found guilty by a jury in the Central Criminal Court</w:t>
      </w:r>
      <w:r w:rsidRPr="00102277">
        <w:rPr>
          <w:rFonts w:eastAsia="Times New Roman" w:cs="Times New Roman"/>
          <w:szCs w:val="24"/>
          <w:lang w:val="en-GB" w:eastAsia="en-GB"/>
        </w:rPr>
        <w:t xml:space="preserve"> on 10 July 2017 </w:t>
      </w:r>
      <w:r>
        <w:rPr>
          <w:rFonts w:eastAsia="Times New Roman" w:cs="Times New Roman"/>
          <w:szCs w:val="24"/>
          <w:lang w:val="en-GB" w:eastAsia="en-GB"/>
        </w:rPr>
        <w:t>of</w:t>
      </w:r>
      <w:r w:rsidRPr="00102277">
        <w:rPr>
          <w:rFonts w:eastAsia="Times New Roman" w:cs="Times New Roman"/>
          <w:szCs w:val="24"/>
          <w:lang w:val="en-GB" w:eastAsia="en-GB"/>
        </w:rPr>
        <w:t xml:space="preserve"> the murder of Keith Walker on 12 June 2015 at Blanchardstown Racing Pigeon Club.</w:t>
      </w:r>
      <w:r>
        <w:rPr>
          <w:rFonts w:eastAsia="Times New Roman" w:cs="Times New Roman"/>
          <w:szCs w:val="24"/>
          <w:lang w:val="en-GB" w:eastAsia="en-GB"/>
        </w:rPr>
        <w:t xml:space="preserve"> The circumstances were such that investigation into trace elements might be expected to potentially yield material which might be used to establish a link to the perpetrator. In the area of the club,</w:t>
      </w:r>
      <w:r w:rsidRPr="00102277">
        <w:rPr>
          <w:rFonts w:eastAsia="Times New Roman" w:cs="Times New Roman"/>
          <w:szCs w:val="24"/>
          <w:lang w:val="en-GB" w:eastAsia="en-GB"/>
        </w:rPr>
        <w:t xml:space="preserve"> eyewitnesses </w:t>
      </w:r>
      <w:r>
        <w:rPr>
          <w:rFonts w:eastAsia="Times New Roman" w:cs="Times New Roman"/>
          <w:szCs w:val="24"/>
          <w:lang w:val="en-GB" w:eastAsia="en-GB"/>
        </w:rPr>
        <w:t>encountered</w:t>
      </w:r>
      <w:r w:rsidRPr="00102277">
        <w:rPr>
          <w:rFonts w:eastAsia="Times New Roman" w:cs="Times New Roman"/>
          <w:szCs w:val="24"/>
          <w:lang w:val="en-GB" w:eastAsia="en-GB"/>
        </w:rPr>
        <w:t xml:space="preserve"> an individual, who appeared to be a woman</w:t>
      </w:r>
      <w:r>
        <w:rPr>
          <w:rFonts w:eastAsia="Times New Roman" w:cs="Times New Roman"/>
          <w:szCs w:val="24"/>
          <w:lang w:val="en-GB" w:eastAsia="en-GB"/>
        </w:rPr>
        <w:t>.</w:t>
      </w:r>
      <w:r w:rsidRPr="008A761E">
        <w:rPr>
          <w:rFonts w:eastAsia="Times New Roman" w:cs="Times New Roman"/>
          <w:szCs w:val="24"/>
          <w:lang w:val="en-GB" w:eastAsia="en-GB"/>
        </w:rPr>
        <w:t xml:space="preserve"> </w:t>
      </w:r>
      <w:r w:rsidRPr="00102277">
        <w:rPr>
          <w:rFonts w:eastAsia="Times New Roman" w:cs="Times New Roman"/>
          <w:szCs w:val="24"/>
          <w:lang w:val="en-GB" w:eastAsia="en-GB"/>
        </w:rPr>
        <w:t>Th</w:t>
      </w:r>
      <w:r>
        <w:rPr>
          <w:rFonts w:eastAsia="Times New Roman" w:cs="Times New Roman"/>
          <w:szCs w:val="24"/>
          <w:lang w:val="en-GB" w:eastAsia="en-GB"/>
        </w:rPr>
        <w:t xml:space="preserve">at individual </w:t>
      </w:r>
      <w:r w:rsidRPr="00102277">
        <w:rPr>
          <w:rFonts w:eastAsia="Times New Roman" w:cs="Times New Roman"/>
          <w:szCs w:val="24"/>
          <w:lang w:val="en-GB" w:eastAsia="en-GB"/>
        </w:rPr>
        <w:t>was described by witnesses as wearing a long black wig and women’s sunglasses</w:t>
      </w:r>
      <w:r>
        <w:rPr>
          <w:rFonts w:eastAsia="Times New Roman" w:cs="Times New Roman"/>
          <w:szCs w:val="24"/>
          <w:lang w:val="en-GB" w:eastAsia="en-GB"/>
        </w:rPr>
        <w:t xml:space="preserve"> and a cut was noticed over the person’s right eye</w:t>
      </w:r>
      <w:r w:rsidRPr="00102277">
        <w:rPr>
          <w:rFonts w:eastAsia="Times New Roman" w:cs="Times New Roman"/>
          <w:szCs w:val="24"/>
          <w:lang w:val="en-GB" w:eastAsia="en-GB"/>
        </w:rPr>
        <w:t>.</w:t>
      </w:r>
      <w:r>
        <w:rPr>
          <w:rFonts w:eastAsia="Times New Roman" w:cs="Times New Roman"/>
          <w:szCs w:val="24"/>
          <w:lang w:val="en-GB" w:eastAsia="en-GB"/>
        </w:rPr>
        <w:t xml:space="preserve"> In so far as the getup was designed to deceive, it was not successful.</w:t>
      </w:r>
      <w:r w:rsidRPr="00102277">
        <w:rPr>
          <w:rFonts w:eastAsia="Times New Roman" w:cs="Times New Roman"/>
          <w:szCs w:val="24"/>
          <w:lang w:val="en-GB" w:eastAsia="en-GB"/>
        </w:rPr>
        <w:t xml:space="preserve"> Witnesses</w:t>
      </w:r>
      <w:r>
        <w:rPr>
          <w:rFonts w:eastAsia="Times New Roman" w:cs="Times New Roman"/>
          <w:szCs w:val="24"/>
          <w:lang w:val="en-GB" w:eastAsia="en-GB"/>
        </w:rPr>
        <w:t xml:space="preserve"> in the neighbourhood</w:t>
      </w:r>
      <w:r w:rsidRPr="00102277">
        <w:rPr>
          <w:rFonts w:eastAsia="Times New Roman" w:cs="Times New Roman"/>
          <w:szCs w:val="24"/>
          <w:lang w:val="en-GB" w:eastAsia="en-GB"/>
        </w:rPr>
        <w:t xml:space="preserve"> testified to having encountered a man in women’s clothing who was carrying a handbag. This person asked them for directions to the club</w:t>
      </w:r>
      <w:r w:rsidR="0032059B">
        <w:rPr>
          <w:rFonts w:eastAsia="Times New Roman" w:cs="Times New Roman"/>
          <w:szCs w:val="24"/>
          <w:lang w:val="en-GB" w:eastAsia="en-GB"/>
        </w:rPr>
        <w:t>; apparently innocently</w:t>
      </w:r>
      <w:r w:rsidRPr="00102277">
        <w:rPr>
          <w:rFonts w:eastAsia="Times New Roman" w:cs="Times New Roman"/>
          <w:szCs w:val="24"/>
          <w:lang w:val="en-GB" w:eastAsia="en-GB"/>
        </w:rPr>
        <w:t>.</w:t>
      </w:r>
      <w:r>
        <w:rPr>
          <w:rFonts w:eastAsia="Times New Roman" w:cs="Times New Roman"/>
          <w:szCs w:val="24"/>
          <w:lang w:val="en-GB" w:eastAsia="en-GB"/>
        </w:rPr>
        <w:t xml:space="preserve"> That</w:t>
      </w:r>
      <w:r w:rsidR="0032059B">
        <w:rPr>
          <w:rFonts w:eastAsia="Times New Roman" w:cs="Times New Roman"/>
          <w:szCs w:val="24"/>
          <w:lang w:val="en-GB" w:eastAsia="en-GB"/>
        </w:rPr>
        <w:t xml:space="preserve"> individual</w:t>
      </w:r>
      <w:r>
        <w:rPr>
          <w:rFonts w:eastAsia="Times New Roman" w:cs="Times New Roman"/>
          <w:szCs w:val="24"/>
          <w:lang w:val="en-GB" w:eastAsia="en-GB"/>
        </w:rPr>
        <w:t>, however, had a firearm</w:t>
      </w:r>
      <w:r w:rsidR="00D06E46">
        <w:rPr>
          <w:rFonts w:eastAsia="Times New Roman" w:cs="Times New Roman"/>
          <w:szCs w:val="24"/>
          <w:lang w:val="en-GB" w:eastAsia="en-GB"/>
        </w:rPr>
        <w:t xml:space="preserve"> concealed</w:t>
      </w:r>
      <w:r>
        <w:rPr>
          <w:rFonts w:eastAsia="Times New Roman" w:cs="Times New Roman"/>
          <w:szCs w:val="24"/>
          <w:lang w:val="en-GB" w:eastAsia="en-GB"/>
        </w:rPr>
        <w:t xml:space="preserve"> in the handbag </w:t>
      </w:r>
      <w:r w:rsidR="00434D15">
        <w:rPr>
          <w:rFonts w:eastAsia="Times New Roman" w:cs="Times New Roman"/>
          <w:szCs w:val="24"/>
          <w:lang w:val="en-GB" w:eastAsia="en-GB"/>
        </w:rPr>
        <w:t>draped over their arm</w:t>
      </w:r>
      <w:r>
        <w:rPr>
          <w:rFonts w:eastAsia="Times New Roman" w:cs="Times New Roman"/>
          <w:szCs w:val="24"/>
          <w:lang w:val="en-GB" w:eastAsia="en-GB"/>
        </w:rPr>
        <w:t>. Shortly afterwards, the victim drove</w:t>
      </w:r>
      <w:r w:rsidR="00434D15">
        <w:rPr>
          <w:rFonts w:eastAsia="Times New Roman" w:cs="Times New Roman"/>
          <w:szCs w:val="24"/>
          <w:lang w:val="en-GB" w:eastAsia="en-GB"/>
        </w:rPr>
        <w:t xml:space="preserve"> up</w:t>
      </w:r>
      <w:r>
        <w:rPr>
          <w:rFonts w:eastAsia="Times New Roman" w:cs="Times New Roman"/>
          <w:szCs w:val="24"/>
          <w:lang w:val="en-GB" w:eastAsia="en-GB"/>
        </w:rPr>
        <w:t xml:space="preserve"> near to the club and parked his car. As he alighted </w:t>
      </w:r>
      <w:r w:rsidR="00D06E46">
        <w:rPr>
          <w:rFonts w:eastAsia="Times New Roman" w:cs="Times New Roman"/>
          <w:szCs w:val="24"/>
          <w:lang w:val="en-GB" w:eastAsia="en-GB"/>
        </w:rPr>
        <w:t>having secured the vehicle</w:t>
      </w:r>
      <w:r>
        <w:rPr>
          <w:rFonts w:eastAsia="Times New Roman" w:cs="Times New Roman"/>
          <w:szCs w:val="24"/>
          <w:lang w:val="en-GB" w:eastAsia="en-GB"/>
        </w:rPr>
        <w:t xml:space="preserve">, the person dressed as a woman pulled </w:t>
      </w:r>
      <w:r w:rsidRPr="00102277">
        <w:rPr>
          <w:rFonts w:eastAsia="Times New Roman" w:cs="Times New Roman"/>
          <w:szCs w:val="24"/>
          <w:lang w:val="en-GB" w:eastAsia="en-GB"/>
        </w:rPr>
        <w:t xml:space="preserve">a submachine gun from </w:t>
      </w:r>
      <w:r>
        <w:rPr>
          <w:rFonts w:eastAsia="Times New Roman" w:cs="Times New Roman"/>
          <w:szCs w:val="24"/>
          <w:lang w:val="en-GB" w:eastAsia="en-GB"/>
        </w:rPr>
        <w:t>the</w:t>
      </w:r>
      <w:r w:rsidRPr="00102277">
        <w:rPr>
          <w:rFonts w:eastAsia="Times New Roman" w:cs="Times New Roman"/>
          <w:szCs w:val="24"/>
          <w:lang w:val="en-GB" w:eastAsia="en-GB"/>
        </w:rPr>
        <w:t xml:space="preserve"> handbag</w:t>
      </w:r>
      <w:r>
        <w:rPr>
          <w:rFonts w:eastAsia="Times New Roman" w:cs="Times New Roman"/>
          <w:szCs w:val="24"/>
          <w:lang w:val="en-GB" w:eastAsia="en-GB"/>
        </w:rPr>
        <w:t xml:space="preserve">, aimed the </w:t>
      </w:r>
      <w:proofErr w:type="gramStart"/>
      <w:r>
        <w:rPr>
          <w:rFonts w:eastAsia="Times New Roman" w:cs="Times New Roman"/>
          <w:szCs w:val="24"/>
          <w:lang w:val="en-GB" w:eastAsia="en-GB"/>
        </w:rPr>
        <w:t>weapon</w:t>
      </w:r>
      <w:proofErr w:type="gramEnd"/>
      <w:r>
        <w:rPr>
          <w:rFonts w:eastAsia="Times New Roman" w:cs="Times New Roman"/>
          <w:szCs w:val="24"/>
          <w:lang w:val="en-GB" w:eastAsia="en-GB"/>
        </w:rPr>
        <w:t xml:space="preserve"> and opened</w:t>
      </w:r>
      <w:r w:rsidRPr="00102277">
        <w:rPr>
          <w:rFonts w:eastAsia="Times New Roman" w:cs="Times New Roman"/>
          <w:szCs w:val="24"/>
          <w:lang w:val="en-GB" w:eastAsia="en-GB"/>
        </w:rPr>
        <w:t xml:space="preserve"> fire on th</w:t>
      </w:r>
      <w:r>
        <w:rPr>
          <w:rFonts w:eastAsia="Times New Roman" w:cs="Times New Roman"/>
          <w:szCs w:val="24"/>
          <w:lang w:val="en-GB" w:eastAsia="en-GB"/>
        </w:rPr>
        <w:t>e victim</w:t>
      </w:r>
      <w:r w:rsidR="0032059B">
        <w:rPr>
          <w:rFonts w:eastAsia="Times New Roman" w:cs="Times New Roman"/>
          <w:szCs w:val="24"/>
          <w:lang w:val="en-GB" w:eastAsia="en-GB"/>
        </w:rPr>
        <w:t>, killing him</w:t>
      </w:r>
      <w:r>
        <w:rPr>
          <w:rFonts w:eastAsia="Times New Roman" w:cs="Times New Roman"/>
          <w:szCs w:val="24"/>
          <w:lang w:val="en-GB" w:eastAsia="en-GB"/>
        </w:rPr>
        <w:t xml:space="preserve">. </w:t>
      </w:r>
    </w:p>
    <w:p w14:paraId="6E75D0F5" w14:textId="77777777" w:rsidR="00EC50C9" w:rsidRDefault="00EC50C9" w:rsidP="00EC50C9">
      <w:pPr>
        <w:spacing w:after="0" w:line="240" w:lineRule="auto"/>
        <w:rPr>
          <w:rFonts w:eastAsia="Times New Roman" w:cs="Times New Roman"/>
          <w:szCs w:val="24"/>
          <w:lang w:val="en-GB" w:eastAsia="en-GB"/>
        </w:rPr>
      </w:pPr>
    </w:p>
    <w:p w14:paraId="38DE2F4E" w14:textId="77777777" w:rsidR="00EC50C9" w:rsidRDefault="00EC50C9" w:rsidP="00EC50C9">
      <w:pPr>
        <w:spacing w:after="0" w:line="240" w:lineRule="auto"/>
        <w:rPr>
          <w:rFonts w:eastAsia="Times New Roman" w:cs="Times New Roman"/>
          <w:szCs w:val="24"/>
          <w:lang w:val="en-GB" w:eastAsia="en-GB"/>
        </w:rPr>
      </w:pPr>
      <w:r>
        <w:rPr>
          <w:rFonts w:eastAsia="Times New Roman" w:cs="Times New Roman"/>
          <w:szCs w:val="24"/>
          <w:lang w:val="en-GB" w:eastAsia="en-GB"/>
        </w:rPr>
        <w:t xml:space="preserve">4. There is no question raised as to the rationality of the suspicion focusing on Christopher McDonald in consequence of an exhaustive garda enquiry. </w:t>
      </w:r>
      <w:r w:rsidRPr="00102277">
        <w:rPr>
          <w:rFonts w:eastAsia="Times New Roman" w:cs="Times New Roman"/>
          <w:szCs w:val="24"/>
          <w:lang w:val="en-GB" w:eastAsia="en-GB"/>
        </w:rPr>
        <w:t xml:space="preserve">On 16 June 2015, </w:t>
      </w:r>
      <w:r w:rsidR="00434D15">
        <w:rPr>
          <w:rFonts w:eastAsia="Times New Roman" w:cs="Times New Roman"/>
          <w:szCs w:val="24"/>
          <w:lang w:val="en-GB" w:eastAsia="en-GB"/>
        </w:rPr>
        <w:t>g</w:t>
      </w:r>
      <w:r w:rsidRPr="00102277">
        <w:rPr>
          <w:rFonts w:eastAsia="Times New Roman" w:cs="Times New Roman"/>
          <w:szCs w:val="24"/>
          <w:lang w:val="en-GB" w:eastAsia="en-GB"/>
        </w:rPr>
        <w:t>ardaí went to a public laneway in Sheepmoor Grove and located a handbag, matching the description</w:t>
      </w:r>
      <w:r>
        <w:rPr>
          <w:rFonts w:eastAsia="Times New Roman" w:cs="Times New Roman"/>
          <w:szCs w:val="24"/>
          <w:lang w:val="en-GB" w:eastAsia="en-GB"/>
        </w:rPr>
        <w:t xml:space="preserve"> given by</w:t>
      </w:r>
      <w:r w:rsidRPr="00102277">
        <w:rPr>
          <w:rFonts w:eastAsia="Times New Roman" w:cs="Times New Roman"/>
          <w:szCs w:val="24"/>
          <w:lang w:val="en-GB" w:eastAsia="en-GB"/>
        </w:rPr>
        <w:t xml:space="preserve"> eyewitnesses from the scene of the shooting, a firearm, a wig, a clear disposable glove, and an earplug. The discharged bullets found at the scene of the shooting were of the same type as would </w:t>
      </w:r>
      <w:r>
        <w:rPr>
          <w:rFonts w:eastAsia="Times New Roman" w:cs="Times New Roman"/>
          <w:szCs w:val="24"/>
          <w:lang w:val="en-GB" w:eastAsia="en-GB"/>
        </w:rPr>
        <w:t xml:space="preserve">be </w:t>
      </w:r>
      <w:r w:rsidRPr="00102277">
        <w:rPr>
          <w:rFonts w:eastAsia="Times New Roman" w:cs="Times New Roman"/>
          <w:szCs w:val="24"/>
          <w:lang w:val="en-GB" w:eastAsia="en-GB"/>
        </w:rPr>
        <w:t xml:space="preserve">loaded into </w:t>
      </w:r>
      <w:r>
        <w:rPr>
          <w:rFonts w:eastAsia="Times New Roman" w:cs="Times New Roman"/>
          <w:szCs w:val="24"/>
          <w:lang w:val="en-GB" w:eastAsia="en-GB"/>
        </w:rPr>
        <w:t>a machine gun of that type</w:t>
      </w:r>
      <w:r w:rsidRPr="00102277">
        <w:rPr>
          <w:rFonts w:eastAsia="Times New Roman" w:cs="Times New Roman"/>
          <w:szCs w:val="24"/>
          <w:lang w:val="en-GB" w:eastAsia="en-GB"/>
        </w:rPr>
        <w:t xml:space="preserve">. </w:t>
      </w:r>
      <w:r>
        <w:rPr>
          <w:rFonts w:eastAsia="Times New Roman" w:cs="Times New Roman"/>
          <w:szCs w:val="24"/>
          <w:lang w:val="en-GB" w:eastAsia="en-GB"/>
        </w:rPr>
        <w:t>Prior to</w:t>
      </w:r>
      <w:r w:rsidR="00434D15">
        <w:rPr>
          <w:rFonts w:eastAsia="Times New Roman" w:cs="Times New Roman"/>
          <w:szCs w:val="24"/>
          <w:lang w:val="en-GB" w:eastAsia="en-GB"/>
        </w:rPr>
        <w:t xml:space="preserve"> recovery of</w:t>
      </w:r>
      <w:r>
        <w:rPr>
          <w:rFonts w:eastAsia="Times New Roman" w:cs="Times New Roman"/>
          <w:szCs w:val="24"/>
          <w:lang w:val="en-GB" w:eastAsia="en-GB"/>
        </w:rPr>
        <w:t xml:space="preserve"> this evidence, on</w:t>
      </w:r>
      <w:r w:rsidR="00434D15">
        <w:rPr>
          <w:rFonts w:eastAsia="Times New Roman" w:cs="Times New Roman"/>
          <w:szCs w:val="24"/>
          <w:lang w:val="en-GB" w:eastAsia="en-GB"/>
        </w:rPr>
        <w:t xml:space="preserve"> the day after the shooting, on,</w:t>
      </w:r>
      <w:r>
        <w:rPr>
          <w:rFonts w:eastAsia="Times New Roman" w:cs="Times New Roman"/>
          <w:szCs w:val="24"/>
          <w:lang w:val="en-GB" w:eastAsia="en-GB"/>
        </w:rPr>
        <w:t xml:space="preserve"> 13 June 2015</w:t>
      </w:r>
      <w:r w:rsidR="00434D15">
        <w:rPr>
          <w:rFonts w:eastAsia="Times New Roman" w:cs="Times New Roman"/>
          <w:szCs w:val="24"/>
          <w:lang w:val="en-GB" w:eastAsia="en-GB"/>
        </w:rPr>
        <w:t>,</w:t>
      </w:r>
      <w:r>
        <w:rPr>
          <w:rFonts w:eastAsia="Times New Roman" w:cs="Times New Roman"/>
          <w:szCs w:val="24"/>
          <w:lang w:val="en-GB" w:eastAsia="en-GB"/>
        </w:rPr>
        <w:t xml:space="preserve"> the District Court issued a </w:t>
      </w:r>
      <w:r w:rsidRPr="00102277">
        <w:rPr>
          <w:rFonts w:eastAsia="Times New Roman" w:cs="Times New Roman"/>
          <w:szCs w:val="24"/>
          <w:lang w:val="en-GB" w:eastAsia="en-GB"/>
        </w:rPr>
        <w:t>search warrant for a residence in County Meath. Christopher McDonald</w:t>
      </w:r>
      <w:r>
        <w:rPr>
          <w:rFonts w:eastAsia="Times New Roman" w:cs="Times New Roman"/>
          <w:szCs w:val="24"/>
          <w:lang w:val="en-GB" w:eastAsia="en-GB"/>
        </w:rPr>
        <w:t xml:space="preserve"> appeared to be staying there</w:t>
      </w:r>
      <w:r w:rsidR="00434D15">
        <w:rPr>
          <w:rFonts w:eastAsia="Times New Roman" w:cs="Times New Roman"/>
          <w:szCs w:val="24"/>
          <w:lang w:val="en-GB" w:eastAsia="en-GB"/>
        </w:rPr>
        <w:t xml:space="preserve"> and he was</w:t>
      </w:r>
      <w:r w:rsidR="00D06E46">
        <w:rPr>
          <w:rFonts w:eastAsia="Times New Roman" w:cs="Times New Roman"/>
          <w:szCs w:val="24"/>
          <w:lang w:val="en-GB" w:eastAsia="en-GB"/>
        </w:rPr>
        <w:t xml:space="preserve"> there</w:t>
      </w:r>
      <w:r w:rsidR="00434D15">
        <w:rPr>
          <w:rFonts w:eastAsia="Times New Roman" w:cs="Times New Roman"/>
          <w:szCs w:val="24"/>
          <w:lang w:val="en-GB" w:eastAsia="en-GB"/>
        </w:rPr>
        <w:t xml:space="preserve"> arrested</w:t>
      </w:r>
      <w:r>
        <w:rPr>
          <w:rFonts w:eastAsia="Times New Roman" w:cs="Times New Roman"/>
          <w:szCs w:val="24"/>
          <w:lang w:val="en-GB" w:eastAsia="en-GB"/>
        </w:rPr>
        <w:t>. On arrest, gardaí noted him to have what seemed to be</w:t>
      </w:r>
      <w:r w:rsidRPr="00102277">
        <w:rPr>
          <w:rFonts w:eastAsia="Times New Roman" w:cs="Times New Roman"/>
          <w:szCs w:val="24"/>
          <w:lang w:val="en-GB" w:eastAsia="en-GB"/>
        </w:rPr>
        <w:t xml:space="preserve"> makeup on his face and </w:t>
      </w:r>
      <w:r>
        <w:rPr>
          <w:rFonts w:eastAsia="Times New Roman" w:cs="Times New Roman"/>
          <w:szCs w:val="24"/>
          <w:lang w:val="en-GB" w:eastAsia="en-GB"/>
        </w:rPr>
        <w:t>there was</w:t>
      </w:r>
      <w:r w:rsidRPr="00102277">
        <w:rPr>
          <w:rFonts w:eastAsia="Times New Roman" w:cs="Times New Roman"/>
          <w:szCs w:val="24"/>
          <w:lang w:val="en-GB" w:eastAsia="en-GB"/>
        </w:rPr>
        <w:t xml:space="preserve"> a cut over his right eye, </w:t>
      </w:r>
      <w:proofErr w:type="gramStart"/>
      <w:r w:rsidRPr="00102277">
        <w:rPr>
          <w:rFonts w:eastAsia="Times New Roman" w:cs="Times New Roman"/>
          <w:szCs w:val="24"/>
          <w:lang w:val="en-GB" w:eastAsia="en-GB"/>
        </w:rPr>
        <w:t>similar to</w:t>
      </w:r>
      <w:proofErr w:type="gramEnd"/>
      <w:r w:rsidRPr="00102277">
        <w:rPr>
          <w:rFonts w:eastAsia="Times New Roman" w:cs="Times New Roman"/>
          <w:szCs w:val="24"/>
          <w:lang w:val="en-GB" w:eastAsia="en-GB"/>
        </w:rPr>
        <w:t xml:space="preserve"> a cut described on the individual by the two witnesses from the day of the shooting.</w:t>
      </w:r>
      <w:r>
        <w:rPr>
          <w:rFonts w:eastAsia="Times New Roman" w:cs="Times New Roman"/>
          <w:szCs w:val="24"/>
          <w:lang w:val="en-GB" w:eastAsia="en-GB"/>
        </w:rPr>
        <w:t xml:space="preserve"> He was arrested at 06:10 hours. On arrest, his detention was authorised by the member in charge of</w:t>
      </w:r>
      <w:r w:rsidRPr="00102277">
        <w:rPr>
          <w:rFonts w:eastAsia="Times New Roman" w:cs="Times New Roman"/>
          <w:szCs w:val="24"/>
          <w:lang w:val="en-GB" w:eastAsia="en-GB"/>
        </w:rPr>
        <w:t xml:space="preserve"> Blanchardstown </w:t>
      </w:r>
      <w:r w:rsidR="00D06E46">
        <w:rPr>
          <w:rFonts w:eastAsia="Times New Roman" w:cs="Times New Roman"/>
          <w:szCs w:val="24"/>
          <w:lang w:val="en-GB" w:eastAsia="en-GB"/>
        </w:rPr>
        <w:t>g</w:t>
      </w:r>
      <w:r w:rsidRPr="00102277">
        <w:rPr>
          <w:rFonts w:eastAsia="Times New Roman" w:cs="Times New Roman"/>
          <w:szCs w:val="24"/>
          <w:lang w:val="en-GB" w:eastAsia="en-GB"/>
        </w:rPr>
        <w:t>arda station</w:t>
      </w:r>
      <w:r>
        <w:rPr>
          <w:rFonts w:eastAsia="Times New Roman" w:cs="Times New Roman"/>
          <w:szCs w:val="24"/>
          <w:lang w:val="en-GB" w:eastAsia="en-GB"/>
        </w:rPr>
        <w:t>. He indicated</w:t>
      </w:r>
      <w:r w:rsidR="00434D15">
        <w:rPr>
          <w:rFonts w:eastAsia="Times New Roman" w:cs="Times New Roman"/>
          <w:szCs w:val="24"/>
          <w:lang w:val="en-GB" w:eastAsia="en-GB"/>
        </w:rPr>
        <w:t xml:space="preserve"> on being detained</w:t>
      </w:r>
      <w:r>
        <w:rPr>
          <w:rFonts w:eastAsia="Times New Roman" w:cs="Times New Roman"/>
          <w:szCs w:val="24"/>
          <w:lang w:val="en-GB" w:eastAsia="en-GB"/>
        </w:rPr>
        <w:t xml:space="preserve"> that he was taking methadone 30 ml</w:t>
      </w:r>
      <w:r w:rsidR="00434D15">
        <w:rPr>
          <w:rFonts w:eastAsia="Times New Roman" w:cs="Times New Roman"/>
          <w:szCs w:val="24"/>
          <w:lang w:val="en-GB" w:eastAsia="en-GB"/>
        </w:rPr>
        <w:t xml:space="preserve"> periodically</w:t>
      </w:r>
      <w:r>
        <w:rPr>
          <w:rFonts w:eastAsia="Times New Roman" w:cs="Times New Roman"/>
          <w:szCs w:val="24"/>
          <w:lang w:val="en-GB" w:eastAsia="en-GB"/>
        </w:rPr>
        <w:t xml:space="preserve">. He was handed a notice of his rights. He had a </w:t>
      </w:r>
      <w:proofErr w:type="gramStart"/>
      <w:r>
        <w:rPr>
          <w:rFonts w:eastAsia="Times New Roman" w:cs="Times New Roman"/>
          <w:szCs w:val="24"/>
          <w:lang w:val="en-GB" w:eastAsia="en-GB"/>
        </w:rPr>
        <w:t>two minute</w:t>
      </w:r>
      <w:proofErr w:type="gramEnd"/>
      <w:r>
        <w:rPr>
          <w:rFonts w:eastAsia="Times New Roman" w:cs="Times New Roman"/>
          <w:szCs w:val="24"/>
          <w:lang w:val="en-GB" w:eastAsia="en-GB"/>
        </w:rPr>
        <w:t xml:space="preserve"> telephone call with his solicitor John Quinn</w:t>
      </w:r>
      <w:r w:rsidR="00D06E46">
        <w:rPr>
          <w:rFonts w:eastAsia="Times New Roman" w:cs="Times New Roman"/>
          <w:szCs w:val="24"/>
          <w:lang w:val="en-GB" w:eastAsia="en-GB"/>
        </w:rPr>
        <w:t>;</w:t>
      </w:r>
      <w:r>
        <w:rPr>
          <w:rFonts w:eastAsia="Times New Roman" w:cs="Times New Roman"/>
          <w:szCs w:val="24"/>
          <w:lang w:val="en-GB" w:eastAsia="en-GB"/>
        </w:rPr>
        <w:t xml:space="preserve"> but there was no face-to-face meeting with his legal advisor </w:t>
      </w:r>
      <w:r w:rsidR="00434D15">
        <w:rPr>
          <w:rFonts w:eastAsia="Times New Roman" w:cs="Times New Roman"/>
          <w:szCs w:val="24"/>
          <w:lang w:val="en-GB" w:eastAsia="en-GB"/>
        </w:rPr>
        <w:t>until later</w:t>
      </w:r>
      <w:r>
        <w:rPr>
          <w:rFonts w:eastAsia="Times New Roman" w:cs="Times New Roman"/>
          <w:szCs w:val="24"/>
          <w:lang w:val="en-GB" w:eastAsia="en-GB"/>
        </w:rPr>
        <w:t>. Shortly afterwards, Christopher McDonald signed a document consenting to the taking of forensic samples. The sampling centred on the discharge of a firearm, which leaves chemical residues on those in the immediate vicinity of firing,</w:t>
      </w:r>
      <w:r w:rsidR="00434D15">
        <w:rPr>
          <w:rFonts w:eastAsia="Times New Roman" w:cs="Times New Roman"/>
          <w:szCs w:val="24"/>
          <w:lang w:val="en-GB" w:eastAsia="en-GB"/>
        </w:rPr>
        <w:t xml:space="preserve"> resulting</w:t>
      </w:r>
      <w:r w:rsidR="00D06E46">
        <w:rPr>
          <w:rFonts w:eastAsia="Times New Roman" w:cs="Times New Roman"/>
          <w:szCs w:val="24"/>
          <w:lang w:val="en-GB" w:eastAsia="en-GB"/>
        </w:rPr>
        <w:t xml:space="preserve"> from</w:t>
      </w:r>
      <w:r>
        <w:rPr>
          <w:rFonts w:eastAsia="Times New Roman" w:cs="Times New Roman"/>
          <w:szCs w:val="24"/>
          <w:lang w:val="en-GB" w:eastAsia="en-GB"/>
        </w:rPr>
        <w:t xml:space="preserve"> the explosive propellant that drives the bullets. Hence, swabs</w:t>
      </w:r>
      <w:r w:rsidRPr="00102277">
        <w:rPr>
          <w:rFonts w:eastAsia="Times New Roman" w:cs="Times New Roman"/>
          <w:szCs w:val="24"/>
          <w:lang w:val="en-GB" w:eastAsia="en-GB"/>
        </w:rPr>
        <w:t xml:space="preserve"> were taken from him for firearms residue analysis, swabs</w:t>
      </w:r>
      <w:r w:rsidR="00D06E46">
        <w:rPr>
          <w:rFonts w:eastAsia="Times New Roman" w:cs="Times New Roman"/>
          <w:szCs w:val="24"/>
          <w:lang w:val="en-GB" w:eastAsia="en-GB"/>
        </w:rPr>
        <w:t xml:space="preserve"> were also taken</w:t>
      </w:r>
      <w:r w:rsidRPr="00102277">
        <w:rPr>
          <w:rFonts w:eastAsia="Times New Roman" w:cs="Times New Roman"/>
          <w:szCs w:val="24"/>
          <w:lang w:val="en-GB" w:eastAsia="en-GB"/>
        </w:rPr>
        <w:t xml:space="preserve"> for DNA comparisons and a swab of what was suspected to be</w:t>
      </w:r>
      <w:r>
        <w:rPr>
          <w:rFonts w:eastAsia="Times New Roman" w:cs="Times New Roman"/>
          <w:szCs w:val="24"/>
          <w:lang w:val="en-GB" w:eastAsia="en-GB"/>
        </w:rPr>
        <w:t xml:space="preserve"> the</w:t>
      </w:r>
      <w:r w:rsidRPr="00102277">
        <w:rPr>
          <w:rFonts w:eastAsia="Times New Roman" w:cs="Times New Roman"/>
          <w:szCs w:val="24"/>
          <w:lang w:val="en-GB" w:eastAsia="en-GB"/>
        </w:rPr>
        <w:t xml:space="preserve"> makeup on his face. </w:t>
      </w:r>
    </w:p>
    <w:p w14:paraId="3EC9972E" w14:textId="77777777" w:rsidR="00EC50C9" w:rsidRPr="00102277" w:rsidRDefault="00EC50C9" w:rsidP="00EC50C9">
      <w:pPr>
        <w:spacing w:after="0" w:line="240" w:lineRule="auto"/>
        <w:rPr>
          <w:rFonts w:eastAsia="Times New Roman" w:cs="Times New Roman"/>
          <w:szCs w:val="24"/>
          <w:lang w:val="en-GB" w:eastAsia="en-GB"/>
        </w:rPr>
      </w:pPr>
    </w:p>
    <w:p w14:paraId="56B9A35D" w14:textId="77777777" w:rsidR="00EC50C9" w:rsidRPr="00102277" w:rsidRDefault="00EC50C9" w:rsidP="00EC50C9">
      <w:pPr>
        <w:spacing w:after="0" w:line="240" w:lineRule="auto"/>
        <w:rPr>
          <w:rFonts w:eastAsia="Times New Roman" w:cs="Times New Roman"/>
          <w:szCs w:val="24"/>
          <w:lang w:val="en-GB" w:eastAsia="en-GB"/>
        </w:rPr>
      </w:pPr>
      <w:r>
        <w:rPr>
          <w:rFonts w:eastAsia="Times New Roman" w:cs="Times New Roman"/>
          <w:szCs w:val="24"/>
          <w:lang w:val="en-GB" w:eastAsia="en-GB"/>
        </w:rPr>
        <w:t>5</w:t>
      </w:r>
      <w:r w:rsidRPr="00102277">
        <w:rPr>
          <w:rFonts w:eastAsia="Times New Roman" w:cs="Times New Roman"/>
          <w:szCs w:val="24"/>
          <w:lang w:val="en-GB" w:eastAsia="en-GB"/>
        </w:rPr>
        <w:t xml:space="preserve">. </w:t>
      </w:r>
      <w:r>
        <w:rPr>
          <w:rFonts w:eastAsia="Times New Roman" w:cs="Times New Roman"/>
          <w:szCs w:val="24"/>
          <w:lang w:val="en-GB" w:eastAsia="en-GB"/>
        </w:rPr>
        <w:t xml:space="preserve">Subsequent testing yielded a </w:t>
      </w:r>
      <w:r w:rsidRPr="00102277">
        <w:rPr>
          <w:rFonts w:eastAsia="Times New Roman" w:cs="Times New Roman"/>
          <w:szCs w:val="24"/>
          <w:lang w:val="en-GB" w:eastAsia="en-GB"/>
        </w:rPr>
        <w:t>DNA profile from the</w:t>
      </w:r>
      <w:r>
        <w:rPr>
          <w:rFonts w:eastAsia="Times New Roman" w:cs="Times New Roman"/>
          <w:szCs w:val="24"/>
          <w:lang w:val="en-GB" w:eastAsia="en-GB"/>
        </w:rPr>
        <w:t xml:space="preserve"> disposable</w:t>
      </w:r>
      <w:r w:rsidRPr="00102277">
        <w:rPr>
          <w:rFonts w:eastAsia="Times New Roman" w:cs="Times New Roman"/>
          <w:szCs w:val="24"/>
          <w:lang w:val="en-GB" w:eastAsia="en-GB"/>
        </w:rPr>
        <w:t xml:space="preserve"> glove</w:t>
      </w:r>
      <w:r>
        <w:rPr>
          <w:rFonts w:eastAsia="Times New Roman" w:cs="Times New Roman"/>
          <w:szCs w:val="24"/>
          <w:lang w:val="en-GB" w:eastAsia="en-GB"/>
        </w:rPr>
        <w:t xml:space="preserve"> at Sheepmore Grove</w:t>
      </w:r>
      <w:r w:rsidRPr="00102277">
        <w:rPr>
          <w:rFonts w:eastAsia="Times New Roman" w:cs="Times New Roman"/>
          <w:szCs w:val="24"/>
          <w:lang w:val="en-GB" w:eastAsia="en-GB"/>
        </w:rPr>
        <w:t>, which matched the DNA profile of</w:t>
      </w:r>
      <w:r>
        <w:rPr>
          <w:rFonts w:eastAsia="Times New Roman" w:cs="Times New Roman"/>
          <w:szCs w:val="24"/>
          <w:lang w:val="en-GB" w:eastAsia="en-GB"/>
        </w:rPr>
        <w:t xml:space="preserve"> Christopher McDonald</w:t>
      </w:r>
      <w:r w:rsidRPr="00102277">
        <w:rPr>
          <w:rFonts w:eastAsia="Times New Roman" w:cs="Times New Roman"/>
          <w:szCs w:val="24"/>
          <w:lang w:val="en-GB" w:eastAsia="en-GB"/>
        </w:rPr>
        <w:t>, as did one source of the mixture of DNA from more than two sources found on the wig.</w:t>
      </w:r>
      <w:r>
        <w:rPr>
          <w:rFonts w:eastAsia="Times New Roman" w:cs="Times New Roman"/>
          <w:szCs w:val="24"/>
          <w:lang w:val="en-GB" w:eastAsia="en-GB"/>
        </w:rPr>
        <w:t xml:space="preserve"> The finding of two sources means no more than that some other person had handled or worn the wig prior to or after the suspect.</w:t>
      </w:r>
      <w:r w:rsidRPr="00102277">
        <w:rPr>
          <w:rFonts w:eastAsia="Times New Roman" w:cs="Times New Roman"/>
          <w:szCs w:val="24"/>
          <w:lang w:val="en-GB" w:eastAsia="en-GB"/>
        </w:rPr>
        <w:t xml:space="preserve"> Thomas Hannigan, a forensic scientist at the Forensic Science Laboratory, </w:t>
      </w:r>
      <w:r>
        <w:rPr>
          <w:rFonts w:eastAsia="Times New Roman" w:cs="Times New Roman"/>
          <w:szCs w:val="24"/>
          <w:lang w:val="en-GB" w:eastAsia="en-GB"/>
        </w:rPr>
        <w:t>testified</w:t>
      </w:r>
      <w:r w:rsidRPr="00102277">
        <w:rPr>
          <w:rFonts w:eastAsia="Times New Roman" w:cs="Times New Roman"/>
          <w:szCs w:val="24"/>
          <w:lang w:val="en-GB" w:eastAsia="en-GB"/>
        </w:rPr>
        <w:t xml:space="preserve"> at trial that the forensic analysis provided very strong support for the suggestion that the items in question had been worn by the shooter.</w:t>
      </w:r>
      <w:r>
        <w:rPr>
          <w:rFonts w:eastAsia="Times New Roman" w:cs="Times New Roman"/>
          <w:szCs w:val="24"/>
          <w:lang w:val="en-GB" w:eastAsia="en-GB"/>
        </w:rPr>
        <w:t xml:space="preserve"> Hence, the forensic connection established as between the person wielding the machine gun who killed the victim and Christopher McDonald was a key building block of the prosecution case.</w:t>
      </w:r>
    </w:p>
    <w:p w14:paraId="2ABD16F4" w14:textId="77777777" w:rsidR="00EC50C9" w:rsidRPr="00102277" w:rsidRDefault="00EC50C9" w:rsidP="00EC50C9">
      <w:pPr>
        <w:spacing w:after="0" w:line="240" w:lineRule="auto"/>
        <w:rPr>
          <w:rFonts w:eastAsia="Times New Roman" w:cs="Times New Roman"/>
          <w:szCs w:val="24"/>
          <w:lang w:val="en-GB" w:eastAsia="en-GB"/>
        </w:rPr>
      </w:pPr>
    </w:p>
    <w:p w14:paraId="33266542" w14:textId="77777777" w:rsidR="00EC50C9" w:rsidRPr="00102277" w:rsidRDefault="00EC50C9" w:rsidP="00EC50C9">
      <w:pPr>
        <w:spacing w:after="0" w:line="240" w:lineRule="auto"/>
        <w:rPr>
          <w:rFonts w:eastAsia="Times New Roman" w:cs="Times New Roman"/>
          <w:b/>
          <w:bCs/>
          <w:szCs w:val="24"/>
          <w:lang w:val="en-GB" w:eastAsia="en-GB"/>
        </w:rPr>
      </w:pPr>
      <w:r>
        <w:rPr>
          <w:rFonts w:eastAsia="Times New Roman" w:cs="Times New Roman"/>
          <w:b/>
          <w:bCs/>
          <w:szCs w:val="24"/>
          <w:lang w:val="en-GB" w:eastAsia="en-GB"/>
        </w:rPr>
        <w:t xml:space="preserve">Statutory regime </w:t>
      </w:r>
    </w:p>
    <w:p w14:paraId="63076DEA" w14:textId="77777777" w:rsidR="00EC50C9" w:rsidRPr="00102277" w:rsidRDefault="00EC50C9" w:rsidP="00EC50C9">
      <w:pPr>
        <w:spacing w:after="0" w:line="240" w:lineRule="auto"/>
        <w:rPr>
          <w:rFonts w:eastAsia="Times New Roman" w:cs="Times New Roman"/>
          <w:szCs w:val="24"/>
          <w:lang w:val="en-GB" w:eastAsia="en-GB"/>
        </w:rPr>
      </w:pPr>
    </w:p>
    <w:p w14:paraId="2F109B27" w14:textId="77777777" w:rsidR="00EC50C9" w:rsidRDefault="00EC50C9" w:rsidP="00EC50C9">
      <w:pPr>
        <w:spacing w:after="0" w:line="240" w:lineRule="auto"/>
        <w:contextualSpacing/>
        <w:rPr>
          <w:rFonts w:eastAsia="Times New Roman" w:cs="Times New Roman"/>
          <w:szCs w:val="24"/>
          <w:lang w:val="en-GB" w:eastAsia="en-GB"/>
        </w:rPr>
      </w:pPr>
      <w:r>
        <w:rPr>
          <w:rFonts w:eastAsia="Times New Roman" w:cs="Times New Roman"/>
          <w:szCs w:val="24"/>
          <w:lang w:val="en-GB" w:eastAsia="en-GB"/>
        </w:rPr>
        <w:t xml:space="preserve">6. At the time the samples were taken from Christopher McDonald, it was possible to require a suspect in garda custody to give samples in circumstances where an inference might be drawn </w:t>
      </w:r>
      <w:r>
        <w:rPr>
          <w:rFonts w:eastAsia="Times New Roman" w:cs="Times New Roman"/>
          <w:szCs w:val="24"/>
          <w:lang w:val="en-GB" w:eastAsia="en-GB"/>
        </w:rPr>
        <w:lastRenderedPageBreak/>
        <w:t xml:space="preserve">from refusal but only where the statutory regime was followed. Statutory authority derived from </w:t>
      </w:r>
      <w:r w:rsidRPr="00D51C7A">
        <w:rPr>
          <w:rFonts w:eastAsia="Times New Roman" w:cs="Times New Roman"/>
          <w:szCs w:val="24"/>
          <w:lang w:val="en-GB" w:eastAsia="en-GB"/>
        </w:rPr>
        <w:t>the Criminal Justice (Forensic Evidence) Act 1990</w:t>
      </w:r>
      <w:r>
        <w:rPr>
          <w:rFonts w:eastAsia="Times New Roman" w:cs="Times New Roman"/>
          <w:szCs w:val="24"/>
          <w:lang w:val="en-GB" w:eastAsia="en-GB"/>
        </w:rPr>
        <w:t xml:space="preserve"> s 2</w:t>
      </w:r>
      <w:r w:rsidRPr="00D51C7A">
        <w:rPr>
          <w:rFonts w:eastAsia="Times New Roman" w:cs="Times New Roman"/>
          <w:szCs w:val="24"/>
          <w:lang w:val="en-GB" w:eastAsia="en-GB"/>
        </w:rPr>
        <w:t>, as amended by the Criminal Justice (Drug Trafficking) Act 1996</w:t>
      </w:r>
      <w:r>
        <w:rPr>
          <w:rFonts w:eastAsia="Times New Roman" w:cs="Times New Roman"/>
          <w:szCs w:val="24"/>
          <w:lang w:val="en-GB" w:eastAsia="en-GB"/>
        </w:rPr>
        <w:t xml:space="preserve">, </w:t>
      </w:r>
      <w:r w:rsidRPr="00D51C7A">
        <w:rPr>
          <w:rFonts w:eastAsia="Times New Roman" w:cs="Times New Roman"/>
          <w:szCs w:val="24"/>
          <w:lang w:val="en-GB" w:eastAsia="en-GB"/>
        </w:rPr>
        <w:t xml:space="preserve">the Criminal Justice Act </w:t>
      </w:r>
      <w:proofErr w:type="gramStart"/>
      <w:r w:rsidRPr="00D51C7A">
        <w:rPr>
          <w:rFonts w:eastAsia="Times New Roman" w:cs="Times New Roman"/>
          <w:szCs w:val="24"/>
          <w:lang w:val="en-GB" w:eastAsia="en-GB"/>
        </w:rPr>
        <w:t>2006</w:t>
      </w:r>
      <w:proofErr w:type="gramEnd"/>
      <w:r w:rsidRPr="00D51C7A">
        <w:rPr>
          <w:rFonts w:eastAsia="Times New Roman" w:cs="Times New Roman"/>
          <w:szCs w:val="24"/>
          <w:lang w:val="en-GB" w:eastAsia="en-GB"/>
        </w:rPr>
        <w:t xml:space="preserve"> and the Criminal Justice Act 2007</w:t>
      </w:r>
      <w:r>
        <w:rPr>
          <w:rFonts w:eastAsia="Times New Roman" w:cs="Times New Roman"/>
          <w:szCs w:val="24"/>
          <w:lang w:val="en-GB" w:eastAsia="en-GB"/>
        </w:rPr>
        <w:t>. This is the wording extant at the time since the</w:t>
      </w:r>
      <w:r w:rsidRPr="00916800">
        <w:rPr>
          <w:rFonts w:eastAsia="Times New Roman" w:cs="Times New Roman"/>
          <w:szCs w:val="24"/>
          <w:lang w:val="en-GB" w:eastAsia="en-GB"/>
        </w:rPr>
        <w:t xml:space="preserve"> substantive sections of the Criminal Justice (Forensic Evidence and DNA Database) Act 2014 were not commenced until 20 November 2015. This was after the relevant samples in this case were obtained</w:t>
      </w:r>
      <w:r>
        <w:rPr>
          <w:rFonts w:eastAsia="Times New Roman" w:cs="Times New Roman"/>
          <w:szCs w:val="24"/>
          <w:lang w:val="en-GB" w:eastAsia="en-GB"/>
        </w:rPr>
        <w:t>. The relevant section is quoted as agreed and as reproduced in</w:t>
      </w:r>
      <w:r w:rsidRPr="005E49BD">
        <w:rPr>
          <w:rFonts w:eastAsia="Times New Roman" w:cs="Times New Roman"/>
          <w:szCs w:val="24"/>
          <w:lang w:val="en-GB" w:eastAsia="en-GB"/>
        </w:rPr>
        <w:t xml:space="preserve"> O’Sullivan, </w:t>
      </w:r>
      <w:r w:rsidRPr="005E49BD">
        <w:rPr>
          <w:rFonts w:eastAsia="Times New Roman" w:cs="Times New Roman"/>
          <w:i/>
          <w:iCs/>
          <w:szCs w:val="24"/>
          <w:lang w:val="en-GB" w:eastAsia="en-GB"/>
        </w:rPr>
        <w:t>Criminal Legislation in Ireland</w:t>
      </w:r>
      <w:r w:rsidRPr="005E49BD">
        <w:rPr>
          <w:rFonts w:eastAsia="Times New Roman" w:cs="Times New Roman"/>
          <w:szCs w:val="24"/>
          <w:lang w:val="en-GB" w:eastAsia="en-GB"/>
        </w:rPr>
        <w:t xml:space="preserve"> (2nd edition, Dublin, 2014):</w:t>
      </w:r>
    </w:p>
    <w:p w14:paraId="2B1CE549" w14:textId="77777777" w:rsidR="00EC50C9" w:rsidRPr="005E49BD" w:rsidRDefault="00EC50C9" w:rsidP="00EC50C9">
      <w:pPr>
        <w:spacing w:after="0" w:line="240" w:lineRule="auto"/>
        <w:contextualSpacing/>
        <w:jc w:val="left"/>
        <w:rPr>
          <w:rFonts w:eastAsia="Times New Roman" w:cs="Times New Roman"/>
          <w:szCs w:val="24"/>
          <w:lang w:val="en-GB" w:eastAsia="en-GB"/>
        </w:rPr>
      </w:pPr>
    </w:p>
    <w:p w14:paraId="0E94EB41" w14:textId="77777777" w:rsidR="00EC50C9" w:rsidRPr="00916800" w:rsidRDefault="00EC50C9" w:rsidP="00EC50C9">
      <w:pPr>
        <w:numPr>
          <w:ilvl w:val="0"/>
          <w:numId w:val="6"/>
        </w:numPr>
        <w:spacing w:after="0" w:line="240" w:lineRule="auto"/>
        <w:ind w:left="720"/>
        <w:contextualSpacing/>
        <w:rPr>
          <w:rFonts w:eastAsia="Times New Roman" w:cs="Times New Roman"/>
          <w:szCs w:val="24"/>
          <w:lang w:val="en-GB" w:eastAsia="en-GB"/>
        </w:rPr>
      </w:pPr>
      <w:r w:rsidRPr="00916800">
        <w:rPr>
          <w:rFonts w:eastAsia="Times New Roman" w:cs="Times New Roman"/>
          <w:szCs w:val="24"/>
          <w:lang w:val="en-GB" w:eastAsia="en-GB"/>
        </w:rPr>
        <w:t>Subject to the provisions of subsections (4) to (8A) of this section,</w:t>
      </w:r>
      <w:r>
        <w:rPr>
          <w:rFonts w:eastAsia="Times New Roman" w:cs="Times New Roman"/>
          <w:szCs w:val="24"/>
          <w:lang w:val="en-GB" w:eastAsia="en-GB"/>
        </w:rPr>
        <w:t xml:space="preserve"> </w:t>
      </w:r>
      <w:r w:rsidRPr="00916800">
        <w:rPr>
          <w:rFonts w:eastAsia="Times New Roman" w:cs="Times New Roman"/>
          <w:szCs w:val="24"/>
          <w:lang w:val="en-GB" w:eastAsia="en-GB"/>
        </w:rPr>
        <w:t>where a person is in custody under the provisions of section 30 of the Offences against the State Act, 1939, section 4 of the Criminal Justice Act, 1984, section 2 of the Criminal Justice (Drug Trafficking) Act, 1996 or section 50 of the Criminal Justice Act 2007, a member of the Garda Síochána may take, or cause to be taken, from that person for the purpose of forensic testing all or any of the following samples, namely—</w:t>
      </w:r>
    </w:p>
    <w:p w14:paraId="0211C5E7" w14:textId="77777777" w:rsidR="00EC50C9" w:rsidRPr="005E49BD" w:rsidRDefault="00EC50C9" w:rsidP="00EC50C9">
      <w:pPr>
        <w:spacing w:after="0" w:line="240" w:lineRule="auto"/>
        <w:ind w:left="720" w:firstLine="720"/>
        <w:contextualSpacing/>
        <w:rPr>
          <w:rFonts w:eastAsia="Times New Roman" w:cs="Times New Roman"/>
          <w:szCs w:val="24"/>
          <w:lang w:val="en-GB" w:eastAsia="en-GB"/>
        </w:rPr>
      </w:pPr>
      <w:r w:rsidRPr="005E49BD">
        <w:rPr>
          <w:rFonts w:eastAsia="Times New Roman" w:cs="Times New Roman"/>
          <w:szCs w:val="24"/>
          <w:lang w:val="en-GB" w:eastAsia="en-GB"/>
        </w:rPr>
        <w:t>(a)</w:t>
      </w:r>
      <w:r>
        <w:rPr>
          <w:rFonts w:eastAsia="Times New Roman" w:cs="Times New Roman"/>
          <w:szCs w:val="24"/>
          <w:lang w:val="en-GB" w:eastAsia="en-GB"/>
        </w:rPr>
        <w:t xml:space="preserve"> </w:t>
      </w:r>
      <w:r w:rsidRPr="005E49BD">
        <w:rPr>
          <w:rFonts w:eastAsia="Times New Roman" w:cs="Times New Roman"/>
          <w:szCs w:val="24"/>
          <w:lang w:val="en-GB" w:eastAsia="en-GB"/>
        </w:rPr>
        <w:t>a sample of—</w:t>
      </w:r>
    </w:p>
    <w:p w14:paraId="7EE1E59D" w14:textId="77777777" w:rsidR="00EC50C9" w:rsidRPr="005E49BD" w:rsidRDefault="00EC50C9" w:rsidP="00EC50C9">
      <w:pPr>
        <w:spacing w:after="0" w:line="240" w:lineRule="auto"/>
        <w:ind w:left="1440" w:firstLine="720"/>
        <w:contextualSpacing/>
        <w:rPr>
          <w:rFonts w:eastAsia="Times New Roman" w:cs="Times New Roman"/>
          <w:szCs w:val="24"/>
          <w:lang w:val="en-GB" w:eastAsia="en-GB"/>
        </w:rPr>
      </w:pPr>
      <w:r w:rsidRPr="005E49BD">
        <w:rPr>
          <w:rFonts w:eastAsia="Times New Roman" w:cs="Times New Roman"/>
          <w:szCs w:val="24"/>
          <w:lang w:val="en-GB" w:eastAsia="en-GB"/>
        </w:rPr>
        <w:t>(i)</w:t>
      </w:r>
      <w:r>
        <w:rPr>
          <w:rFonts w:eastAsia="Times New Roman" w:cs="Times New Roman"/>
          <w:szCs w:val="24"/>
          <w:lang w:val="en-GB" w:eastAsia="en-GB"/>
        </w:rPr>
        <w:t xml:space="preserve"> </w:t>
      </w:r>
      <w:r w:rsidRPr="005E49BD">
        <w:rPr>
          <w:rFonts w:eastAsia="Times New Roman" w:cs="Times New Roman"/>
          <w:szCs w:val="24"/>
          <w:lang w:val="en-GB" w:eastAsia="en-GB"/>
        </w:rPr>
        <w:t xml:space="preserve">blood, </w:t>
      </w:r>
    </w:p>
    <w:p w14:paraId="3B32A8CE" w14:textId="77777777" w:rsidR="00EC50C9" w:rsidRDefault="00EC50C9" w:rsidP="00EC50C9">
      <w:pPr>
        <w:spacing w:after="0" w:line="240" w:lineRule="auto"/>
        <w:ind w:left="1440" w:firstLine="720"/>
        <w:contextualSpacing/>
        <w:rPr>
          <w:rFonts w:eastAsia="Times New Roman" w:cs="Times New Roman"/>
          <w:szCs w:val="24"/>
          <w:lang w:val="en-GB" w:eastAsia="en-GB"/>
        </w:rPr>
      </w:pPr>
      <w:r w:rsidRPr="005E49BD">
        <w:rPr>
          <w:rFonts w:eastAsia="Times New Roman" w:cs="Times New Roman"/>
          <w:szCs w:val="24"/>
          <w:lang w:val="en-GB" w:eastAsia="en-GB"/>
        </w:rPr>
        <w:t>(ii)</w:t>
      </w:r>
      <w:r>
        <w:rPr>
          <w:rFonts w:eastAsia="Times New Roman" w:cs="Times New Roman"/>
          <w:szCs w:val="24"/>
          <w:lang w:val="en-GB" w:eastAsia="en-GB"/>
        </w:rPr>
        <w:t xml:space="preserve"> </w:t>
      </w:r>
      <w:r w:rsidRPr="005E49BD">
        <w:rPr>
          <w:rFonts w:eastAsia="Times New Roman" w:cs="Times New Roman"/>
          <w:szCs w:val="24"/>
          <w:lang w:val="en-GB" w:eastAsia="en-GB"/>
        </w:rPr>
        <w:t>pubic hair,</w:t>
      </w:r>
    </w:p>
    <w:p w14:paraId="2182BF7A" w14:textId="77777777" w:rsidR="00EC50C9" w:rsidRPr="005E49BD" w:rsidRDefault="00EC50C9" w:rsidP="00EC50C9">
      <w:pPr>
        <w:spacing w:after="0" w:line="240" w:lineRule="auto"/>
        <w:ind w:left="1440" w:firstLine="720"/>
        <w:contextualSpacing/>
        <w:rPr>
          <w:rFonts w:eastAsia="Times New Roman" w:cs="Times New Roman"/>
          <w:szCs w:val="24"/>
          <w:lang w:val="en-GB" w:eastAsia="en-GB"/>
        </w:rPr>
      </w:pPr>
      <w:r>
        <w:rPr>
          <w:rFonts w:eastAsia="Times New Roman" w:cs="Times New Roman"/>
          <w:szCs w:val="24"/>
          <w:lang w:val="en-GB" w:eastAsia="en-GB"/>
        </w:rPr>
        <w:t xml:space="preserve">(iii) </w:t>
      </w:r>
      <w:r w:rsidRPr="005E49BD">
        <w:rPr>
          <w:rFonts w:eastAsia="Times New Roman" w:cs="Times New Roman"/>
          <w:szCs w:val="24"/>
          <w:lang w:val="en-GB" w:eastAsia="en-GB"/>
        </w:rPr>
        <w:t>urine,</w:t>
      </w:r>
    </w:p>
    <w:p w14:paraId="2FF88097" w14:textId="77777777" w:rsidR="00EC50C9" w:rsidRPr="005E49BD" w:rsidRDefault="00EC50C9" w:rsidP="00EC50C9">
      <w:pPr>
        <w:spacing w:after="0" w:line="240" w:lineRule="auto"/>
        <w:ind w:left="1440" w:firstLine="720"/>
        <w:contextualSpacing/>
        <w:rPr>
          <w:rFonts w:eastAsia="Times New Roman" w:cs="Times New Roman"/>
          <w:szCs w:val="24"/>
          <w:lang w:val="en-GB" w:eastAsia="en-GB"/>
        </w:rPr>
      </w:pPr>
      <w:r w:rsidRPr="005E49BD">
        <w:rPr>
          <w:rFonts w:eastAsia="Times New Roman" w:cs="Times New Roman"/>
          <w:szCs w:val="24"/>
          <w:lang w:val="en-GB" w:eastAsia="en-GB"/>
        </w:rPr>
        <w:t>(iv)</w:t>
      </w:r>
      <w:r>
        <w:rPr>
          <w:rFonts w:eastAsia="Times New Roman" w:cs="Times New Roman"/>
          <w:szCs w:val="24"/>
          <w:lang w:val="en-GB" w:eastAsia="en-GB"/>
        </w:rPr>
        <w:t xml:space="preserve"> </w:t>
      </w:r>
      <w:r w:rsidRPr="005E49BD">
        <w:rPr>
          <w:rFonts w:eastAsia="Times New Roman" w:cs="Times New Roman"/>
          <w:szCs w:val="24"/>
          <w:lang w:val="en-GB" w:eastAsia="en-GB"/>
        </w:rPr>
        <w:t>saliva,</w:t>
      </w:r>
    </w:p>
    <w:p w14:paraId="6B69EF74" w14:textId="77777777" w:rsidR="00EC50C9" w:rsidRPr="005E49BD" w:rsidRDefault="00EC50C9" w:rsidP="00EC50C9">
      <w:pPr>
        <w:spacing w:after="0" w:line="240" w:lineRule="auto"/>
        <w:ind w:left="1440" w:firstLine="720"/>
        <w:contextualSpacing/>
        <w:rPr>
          <w:rFonts w:eastAsia="Times New Roman" w:cs="Times New Roman"/>
          <w:szCs w:val="24"/>
          <w:lang w:val="en-GB" w:eastAsia="en-GB"/>
        </w:rPr>
      </w:pPr>
      <w:r w:rsidRPr="005E49BD">
        <w:rPr>
          <w:rFonts w:eastAsia="Times New Roman" w:cs="Times New Roman"/>
          <w:szCs w:val="24"/>
          <w:lang w:val="en-GB" w:eastAsia="en-GB"/>
        </w:rPr>
        <w:t>(v)</w:t>
      </w:r>
      <w:r>
        <w:rPr>
          <w:rFonts w:eastAsia="Times New Roman" w:cs="Times New Roman"/>
          <w:szCs w:val="24"/>
          <w:lang w:val="en-GB" w:eastAsia="en-GB"/>
        </w:rPr>
        <w:t xml:space="preserve"> </w:t>
      </w:r>
      <w:r w:rsidRPr="005E49BD">
        <w:rPr>
          <w:rFonts w:eastAsia="Times New Roman" w:cs="Times New Roman"/>
          <w:szCs w:val="24"/>
          <w:lang w:val="en-GB" w:eastAsia="en-GB"/>
        </w:rPr>
        <w:t>hair other than pubic hair,</w:t>
      </w:r>
    </w:p>
    <w:p w14:paraId="5A1423BC" w14:textId="77777777" w:rsidR="00EC50C9" w:rsidRPr="005E49BD" w:rsidRDefault="00EC50C9" w:rsidP="00EC50C9">
      <w:pPr>
        <w:spacing w:after="0" w:line="240" w:lineRule="auto"/>
        <w:ind w:left="1440" w:firstLine="720"/>
        <w:contextualSpacing/>
        <w:rPr>
          <w:rFonts w:eastAsia="Times New Roman" w:cs="Times New Roman"/>
          <w:szCs w:val="24"/>
          <w:lang w:val="en-GB" w:eastAsia="en-GB"/>
        </w:rPr>
      </w:pPr>
      <w:r w:rsidRPr="005E49BD">
        <w:rPr>
          <w:rFonts w:eastAsia="Times New Roman" w:cs="Times New Roman"/>
          <w:szCs w:val="24"/>
          <w:lang w:val="en-GB" w:eastAsia="en-GB"/>
        </w:rPr>
        <w:t>(vi)</w:t>
      </w:r>
      <w:r>
        <w:rPr>
          <w:rFonts w:eastAsia="Times New Roman" w:cs="Times New Roman"/>
          <w:szCs w:val="24"/>
          <w:lang w:val="en-GB" w:eastAsia="en-GB"/>
        </w:rPr>
        <w:t xml:space="preserve"> </w:t>
      </w:r>
      <w:r w:rsidRPr="005E49BD">
        <w:rPr>
          <w:rFonts w:eastAsia="Times New Roman" w:cs="Times New Roman"/>
          <w:szCs w:val="24"/>
          <w:lang w:val="en-GB" w:eastAsia="en-GB"/>
        </w:rPr>
        <w:t>a nail,</w:t>
      </w:r>
    </w:p>
    <w:p w14:paraId="51ABC108" w14:textId="77777777" w:rsidR="00EC50C9" w:rsidRPr="005E49BD" w:rsidRDefault="00EC50C9" w:rsidP="00EC50C9">
      <w:pPr>
        <w:spacing w:after="0" w:line="240" w:lineRule="auto"/>
        <w:ind w:left="1440" w:firstLine="720"/>
        <w:contextualSpacing/>
        <w:rPr>
          <w:rFonts w:eastAsia="Times New Roman" w:cs="Times New Roman"/>
          <w:szCs w:val="24"/>
          <w:lang w:val="en-GB" w:eastAsia="en-GB"/>
        </w:rPr>
      </w:pPr>
      <w:r w:rsidRPr="005E49BD">
        <w:rPr>
          <w:rFonts w:eastAsia="Times New Roman" w:cs="Times New Roman"/>
          <w:szCs w:val="24"/>
          <w:lang w:val="en-GB" w:eastAsia="en-GB"/>
        </w:rPr>
        <w:t>(vii)</w:t>
      </w:r>
      <w:r>
        <w:rPr>
          <w:rFonts w:eastAsia="Times New Roman" w:cs="Times New Roman"/>
          <w:szCs w:val="24"/>
          <w:lang w:val="en-GB" w:eastAsia="en-GB"/>
        </w:rPr>
        <w:t xml:space="preserve"> </w:t>
      </w:r>
      <w:r w:rsidRPr="005E49BD">
        <w:rPr>
          <w:rFonts w:eastAsia="Times New Roman" w:cs="Times New Roman"/>
          <w:szCs w:val="24"/>
          <w:lang w:val="en-GB" w:eastAsia="en-GB"/>
        </w:rPr>
        <w:t>any material found under a nail,</w:t>
      </w:r>
    </w:p>
    <w:p w14:paraId="451932A9" w14:textId="77777777" w:rsidR="00EC50C9" w:rsidRPr="005E49BD" w:rsidRDefault="00EC50C9" w:rsidP="00EC50C9">
      <w:pPr>
        <w:spacing w:after="0" w:line="240" w:lineRule="auto"/>
        <w:ind w:left="720" w:firstLine="720"/>
        <w:contextualSpacing/>
        <w:rPr>
          <w:rFonts w:eastAsia="Times New Roman" w:cs="Times New Roman"/>
          <w:szCs w:val="24"/>
          <w:lang w:val="en-GB" w:eastAsia="en-GB"/>
        </w:rPr>
      </w:pPr>
      <w:r w:rsidRPr="005E49BD">
        <w:rPr>
          <w:rFonts w:eastAsia="Times New Roman" w:cs="Times New Roman"/>
          <w:szCs w:val="24"/>
          <w:lang w:val="en-GB" w:eastAsia="en-GB"/>
        </w:rPr>
        <w:t>(b)</w:t>
      </w:r>
      <w:r>
        <w:rPr>
          <w:rFonts w:eastAsia="Times New Roman" w:cs="Times New Roman"/>
          <w:szCs w:val="24"/>
          <w:lang w:val="en-GB" w:eastAsia="en-GB"/>
        </w:rPr>
        <w:t xml:space="preserve"> </w:t>
      </w:r>
      <w:r w:rsidRPr="005E49BD">
        <w:rPr>
          <w:rFonts w:eastAsia="Times New Roman" w:cs="Times New Roman"/>
          <w:szCs w:val="24"/>
          <w:lang w:val="en-GB" w:eastAsia="en-GB"/>
        </w:rPr>
        <w:t xml:space="preserve">a swab from any part of the body including the mouth but not from any other </w:t>
      </w:r>
      <w:r w:rsidRPr="005E49BD">
        <w:rPr>
          <w:rFonts w:eastAsia="Times New Roman" w:cs="Times New Roman"/>
          <w:szCs w:val="24"/>
          <w:lang w:val="en-GB" w:eastAsia="en-GB"/>
        </w:rPr>
        <w:tab/>
        <w:t>body orifice or a genital region,</w:t>
      </w:r>
    </w:p>
    <w:p w14:paraId="72B966AA" w14:textId="77777777" w:rsidR="00EC50C9" w:rsidRPr="005E49BD" w:rsidRDefault="00EC50C9" w:rsidP="00EC50C9">
      <w:pPr>
        <w:spacing w:after="0" w:line="240" w:lineRule="auto"/>
        <w:ind w:left="720" w:firstLine="720"/>
        <w:contextualSpacing/>
        <w:rPr>
          <w:rFonts w:eastAsia="Times New Roman" w:cs="Times New Roman"/>
          <w:szCs w:val="24"/>
          <w:lang w:val="en-GB" w:eastAsia="en-GB"/>
        </w:rPr>
      </w:pPr>
      <w:r w:rsidRPr="005E49BD">
        <w:rPr>
          <w:rFonts w:eastAsia="Times New Roman" w:cs="Times New Roman"/>
          <w:szCs w:val="24"/>
          <w:lang w:val="en-GB" w:eastAsia="en-GB"/>
        </w:rPr>
        <w:t>(c)</w:t>
      </w:r>
      <w:r>
        <w:rPr>
          <w:rFonts w:eastAsia="Times New Roman" w:cs="Times New Roman"/>
          <w:szCs w:val="24"/>
          <w:lang w:val="en-GB" w:eastAsia="en-GB"/>
        </w:rPr>
        <w:t xml:space="preserve"> </w:t>
      </w:r>
      <w:r w:rsidRPr="005E49BD">
        <w:rPr>
          <w:rFonts w:eastAsia="Times New Roman" w:cs="Times New Roman"/>
          <w:szCs w:val="24"/>
          <w:lang w:val="en-GB" w:eastAsia="en-GB"/>
        </w:rPr>
        <w:t>a swab from a body orifice, other than the mouth, or a genital region,</w:t>
      </w:r>
    </w:p>
    <w:p w14:paraId="4DA48FD4" w14:textId="77777777" w:rsidR="00EC50C9" w:rsidRPr="005E49BD" w:rsidRDefault="00EC50C9" w:rsidP="00EC50C9">
      <w:pPr>
        <w:spacing w:after="0" w:line="240" w:lineRule="auto"/>
        <w:ind w:left="720" w:firstLine="720"/>
        <w:contextualSpacing/>
        <w:rPr>
          <w:rFonts w:eastAsia="Times New Roman" w:cs="Times New Roman"/>
          <w:szCs w:val="24"/>
          <w:lang w:val="en-GB" w:eastAsia="en-GB"/>
        </w:rPr>
      </w:pPr>
      <w:r w:rsidRPr="005E49BD">
        <w:rPr>
          <w:rFonts w:eastAsia="Times New Roman" w:cs="Times New Roman"/>
          <w:szCs w:val="24"/>
          <w:lang w:val="en-GB" w:eastAsia="en-GB"/>
        </w:rPr>
        <w:t>(d)</w:t>
      </w:r>
      <w:r>
        <w:rPr>
          <w:rFonts w:eastAsia="Times New Roman" w:cs="Times New Roman"/>
          <w:szCs w:val="24"/>
          <w:lang w:val="en-GB" w:eastAsia="en-GB"/>
        </w:rPr>
        <w:t xml:space="preserve"> </w:t>
      </w:r>
      <w:r w:rsidRPr="005E49BD">
        <w:rPr>
          <w:rFonts w:eastAsia="Times New Roman" w:cs="Times New Roman"/>
          <w:szCs w:val="24"/>
          <w:lang w:val="en-GB" w:eastAsia="en-GB"/>
        </w:rPr>
        <w:t>a dental impression,</w:t>
      </w:r>
    </w:p>
    <w:p w14:paraId="3D2E8C76" w14:textId="77777777" w:rsidR="00EC50C9" w:rsidRPr="005E49BD" w:rsidRDefault="00EC50C9" w:rsidP="00EC50C9">
      <w:pPr>
        <w:spacing w:after="0" w:line="240" w:lineRule="auto"/>
        <w:ind w:left="1440"/>
        <w:contextualSpacing/>
        <w:rPr>
          <w:rFonts w:eastAsia="Times New Roman" w:cs="Times New Roman"/>
          <w:szCs w:val="24"/>
          <w:lang w:val="en-GB" w:eastAsia="en-GB"/>
        </w:rPr>
      </w:pPr>
      <w:r w:rsidRPr="005E49BD">
        <w:rPr>
          <w:rFonts w:eastAsia="Times New Roman" w:cs="Times New Roman"/>
          <w:szCs w:val="24"/>
          <w:lang w:val="en-GB" w:eastAsia="en-GB"/>
        </w:rPr>
        <w:t>(e) a footprint or similar impression of any part of the person’s body other than a part of his hand.</w:t>
      </w:r>
    </w:p>
    <w:p w14:paraId="3DCF598B" w14:textId="77777777" w:rsidR="00EC50C9" w:rsidRPr="005E49BD" w:rsidRDefault="00EC50C9" w:rsidP="00EC50C9">
      <w:pPr>
        <w:spacing w:after="0" w:line="240" w:lineRule="auto"/>
        <w:ind w:left="720"/>
        <w:contextualSpacing/>
        <w:rPr>
          <w:rFonts w:eastAsia="Times New Roman" w:cs="Times New Roman"/>
          <w:szCs w:val="24"/>
          <w:lang w:val="en-GB" w:eastAsia="en-GB"/>
        </w:rPr>
      </w:pPr>
      <w:r w:rsidRPr="005E49BD">
        <w:rPr>
          <w:rFonts w:eastAsia="Times New Roman" w:cs="Times New Roman"/>
          <w:szCs w:val="24"/>
          <w:lang w:val="en-GB" w:eastAsia="en-GB"/>
        </w:rPr>
        <w:t>(1A)</w:t>
      </w:r>
      <w:r>
        <w:rPr>
          <w:rFonts w:eastAsia="Times New Roman" w:cs="Times New Roman"/>
          <w:szCs w:val="24"/>
          <w:lang w:val="en-GB" w:eastAsia="en-GB"/>
        </w:rPr>
        <w:t xml:space="preserve"> </w:t>
      </w:r>
      <w:r w:rsidRPr="005E49BD">
        <w:rPr>
          <w:rFonts w:eastAsia="Times New Roman" w:cs="Times New Roman"/>
          <w:szCs w:val="24"/>
          <w:lang w:val="en-GB" w:eastAsia="en-GB"/>
        </w:rPr>
        <w:t xml:space="preserve">A reference in subsection (1) of this section to the mouth shall be </w:t>
      </w:r>
      <w:r>
        <w:rPr>
          <w:rFonts w:eastAsia="Times New Roman" w:cs="Times New Roman"/>
          <w:szCs w:val="24"/>
          <w:lang w:val="en-GB" w:eastAsia="en-GB"/>
        </w:rPr>
        <w:t>r</w:t>
      </w:r>
      <w:r w:rsidRPr="005E49BD">
        <w:rPr>
          <w:rFonts w:eastAsia="Times New Roman" w:cs="Times New Roman"/>
          <w:szCs w:val="24"/>
          <w:lang w:val="en-GB" w:eastAsia="en-GB"/>
        </w:rPr>
        <w:t>ead as including a reference to the inside of the mouth. (2) […]</w:t>
      </w:r>
    </w:p>
    <w:p w14:paraId="56AAF8B2" w14:textId="77777777" w:rsidR="00EC50C9" w:rsidRPr="005E49BD" w:rsidRDefault="00EC50C9" w:rsidP="00EC50C9">
      <w:pPr>
        <w:spacing w:after="0" w:line="240" w:lineRule="auto"/>
        <w:ind w:left="720"/>
        <w:contextualSpacing/>
        <w:rPr>
          <w:rFonts w:eastAsia="Times New Roman" w:cs="Times New Roman"/>
          <w:szCs w:val="24"/>
          <w:lang w:eastAsia="en-GB"/>
        </w:rPr>
      </w:pPr>
      <w:r w:rsidRPr="005E49BD">
        <w:rPr>
          <w:rFonts w:eastAsia="Times New Roman" w:cs="Times New Roman"/>
          <w:szCs w:val="24"/>
          <w:lang w:eastAsia="en-GB"/>
        </w:rPr>
        <w:t>(</w:t>
      </w:r>
      <w:proofErr w:type="gramStart"/>
      <w:r w:rsidRPr="005E49BD">
        <w:rPr>
          <w:rFonts w:eastAsia="Times New Roman" w:cs="Times New Roman"/>
          <w:szCs w:val="24"/>
          <w:lang w:eastAsia="en-GB"/>
        </w:rPr>
        <w:t>2)[</w:t>
      </w:r>
      <w:proofErr w:type="gramEnd"/>
      <w:r w:rsidRPr="005E49BD">
        <w:rPr>
          <w:rFonts w:eastAsia="Times New Roman" w:cs="Times New Roman"/>
          <w:szCs w:val="24"/>
          <w:lang w:eastAsia="en-GB"/>
        </w:rPr>
        <w:t>Omitted.]</w:t>
      </w:r>
      <w:r w:rsidRPr="005E49BD">
        <w:rPr>
          <w:rFonts w:eastAsia="Times New Roman" w:cs="Times New Roman"/>
          <w:szCs w:val="24"/>
          <w:lang w:eastAsia="en-GB"/>
        </w:rPr>
        <w:br/>
        <w:t>(3) [Omitted.]</w:t>
      </w:r>
    </w:p>
    <w:p w14:paraId="78139E46" w14:textId="77777777" w:rsidR="00EC50C9" w:rsidRPr="005E49BD" w:rsidRDefault="00EC50C9" w:rsidP="00EC50C9">
      <w:pPr>
        <w:spacing w:after="0" w:line="240" w:lineRule="auto"/>
        <w:ind w:left="720"/>
        <w:contextualSpacing/>
        <w:rPr>
          <w:rFonts w:eastAsia="Times New Roman" w:cs="Times New Roman"/>
          <w:szCs w:val="24"/>
          <w:lang w:eastAsia="en-GB"/>
        </w:rPr>
      </w:pPr>
      <w:r w:rsidRPr="005E49BD">
        <w:rPr>
          <w:rFonts w:eastAsia="Times New Roman" w:cs="Times New Roman"/>
          <w:szCs w:val="24"/>
          <w:lang w:eastAsia="en-GB"/>
        </w:rPr>
        <w:t xml:space="preserve">(4) A sample may be taken under this section only if – </w:t>
      </w:r>
    </w:p>
    <w:p w14:paraId="23ABECED" w14:textId="77777777" w:rsidR="00EC50C9" w:rsidRPr="005E49BD" w:rsidRDefault="00EC50C9" w:rsidP="00EC50C9">
      <w:pPr>
        <w:spacing w:after="0" w:line="240" w:lineRule="auto"/>
        <w:ind w:left="1440"/>
        <w:contextualSpacing/>
        <w:rPr>
          <w:rFonts w:eastAsia="Times New Roman" w:cs="Times New Roman"/>
          <w:szCs w:val="24"/>
          <w:lang w:eastAsia="en-GB"/>
        </w:rPr>
      </w:pPr>
      <w:r w:rsidRPr="005E49BD">
        <w:rPr>
          <w:rFonts w:eastAsia="Times New Roman" w:cs="Times New Roman"/>
          <w:szCs w:val="24"/>
          <w:lang w:eastAsia="en-GB"/>
        </w:rPr>
        <w:t xml:space="preserve">(a) a member of the Garda </w:t>
      </w:r>
      <w:r w:rsidRPr="00916800">
        <w:rPr>
          <w:rFonts w:eastAsia="Times New Roman" w:cs="Times New Roman"/>
          <w:szCs w:val="24"/>
          <w:lang w:val="en-GB" w:eastAsia="en-GB"/>
        </w:rPr>
        <w:t xml:space="preserve">Síochána </w:t>
      </w:r>
      <w:r w:rsidRPr="005E49BD">
        <w:rPr>
          <w:rFonts w:eastAsia="Times New Roman" w:cs="Times New Roman"/>
          <w:szCs w:val="24"/>
          <w:lang w:eastAsia="en-GB"/>
        </w:rPr>
        <w:t xml:space="preserve">not below the rank of superintendent authorises it to be taken, and </w:t>
      </w:r>
    </w:p>
    <w:p w14:paraId="15ACFF91" w14:textId="77777777" w:rsidR="00EC50C9" w:rsidRPr="005E49BD" w:rsidRDefault="00EC50C9" w:rsidP="00EC50C9">
      <w:pPr>
        <w:spacing w:after="0" w:line="240" w:lineRule="auto"/>
        <w:ind w:left="1440"/>
        <w:contextualSpacing/>
        <w:rPr>
          <w:rFonts w:eastAsia="Times New Roman" w:cs="Times New Roman"/>
          <w:szCs w:val="24"/>
          <w:lang w:eastAsia="en-GB"/>
        </w:rPr>
      </w:pPr>
      <w:r w:rsidRPr="005E49BD">
        <w:rPr>
          <w:rFonts w:eastAsia="Times New Roman" w:cs="Times New Roman"/>
          <w:szCs w:val="24"/>
          <w:lang w:eastAsia="en-GB"/>
        </w:rPr>
        <w:t xml:space="preserve">(b) in the case of a sample mentioned in subparagraph (i), (ii) or (iii) of paragraph (a) of subsection (1) of this section, or in paragraph (c) or (d) of the said subsection (1), the appropriate consent has been given in writing. </w:t>
      </w:r>
    </w:p>
    <w:p w14:paraId="28D50B62" w14:textId="77777777" w:rsidR="00EC50C9" w:rsidRPr="005E49BD" w:rsidRDefault="00EC50C9" w:rsidP="00EC50C9">
      <w:pPr>
        <w:spacing w:after="0" w:line="240" w:lineRule="auto"/>
        <w:ind w:left="720"/>
        <w:contextualSpacing/>
        <w:rPr>
          <w:rFonts w:eastAsia="Times New Roman" w:cs="Times New Roman"/>
          <w:szCs w:val="24"/>
          <w:lang w:eastAsia="en-GB"/>
        </w:rPr>
      </w:pPr>
      <w:r w:rsidRPr="005E49BD">
        <w:rPr>
          <w:rFonts w:eastAsia="Times New Roman" w:cs="Times New Roman"/>
          <w:szCs w:val="24"/>
          <w:lang w:eastAsia="en-GB"/>
        </w:rPr>
        <w:t xml:space="preserve">(5) An authorisation to take a sample under this section shall not be given unless the member of the Garda </w:t>
      </w:r>
      <w:r w:rsidRPr="00916800">
        <w:rPr>
          <w:rFonts w:eastAsia="Times New Roman" w:cs="Times New Roman"/>
          <w:szCs w:val="24"/>
          <w:lang w:val="en-GB" w:eastAsia="en-GB"/>
        </w:rPr>
        <w:t xml:space="preserve">Síochána </w:t>
      </w:r>
      <w:r w:rsidRPr="005E49BD">
        <w:rPr>
          <w:rFonts w:eastAsia="Times New Roman" w:cs="Times New Roman"/>
          <w:szCs w:val="24"/>
          <w:lang w:eastAsia="en-GB"/>
        </w:rPr>
        <w:t xml:space="preserve">giving it has reasonable grounds – </w:t>
      </w:r>
    </w:p>
    <w:p w14:paraId="102280CD" w14:textId="77777777" w:rsidR="00EC50C9" w:rsidRPr="005E49BD" w:rsidRDefault="00EC50C9" w:rsidP="00EC50C9">
      <w:pPr>
        <w:spacing w:after="0" w:line="240" w:lineRule="auto"/>
        <w:ind w:left="1440"/>
        <w:contextualSpacing/>
        <w:rPr>
          <w:rFonts w:eastAsia="Times New Roman" w:cs="Times New Roman"/>
          <w:szCs w:val="24"/>
          <w:lang w:eastAsia="en-GB"/>
        </w:rPr>
      </w:pPr>
      <w:r w:rsidRPr="005E49BD">
        <w:rPr>
          <w:rFonts w:eastAsia="Times New Roman" w:cs="Times New Roman"/>
          <w:szCs w:val="24"/>
          <w:lang w:eastAsia="en-GB"/>
        </w:rPr>
        <w:t>(a) for suspecting the involvement of the person from whom the sample is to be taken –</w:t>
      </w:r>
    </w:p>
    <w:p w14:paraId="16B3F5EB" w14:textId="77777777" w:rsidR="00EC50C9" w:rsidRPr="005E49BD" w:rsidRDefault="00EC50C9" w:rsidP="00EC50C9">
      <w:pPr>
        <w:spacing w:after="0" w:line="240" w:lineRule="auto"/>
        <w:ind w:left="2160"/>
        <w:contextualSpacing/>
        <w:rPr>
          <w:rFonts w:eastAsia="Times New Roman" w:cs="Times New Roman"/>
          <w:szCs w:val="24"/>
          <w:lang w:eastAsia="en-GB"/>
        </w:rPr>
      </w:pPr>
      <w:r w:rsidRPr="005E49BD">
        <w:rPr>
          <w:rFonts w:eastAsia="Times New Roman" w:cs="Times New Roman"/>
          <w:szCs w:val="24"/>
          <w:lang w:eastAsia="en-GB"/>
        </w:rPr>
        <w:t xml:space="preserve">(i) in a case where the person is in custody, in the offence in respect of which he is in custody, or </w:t>
      </w:r>
    </w:p>
    <w:p w14:paraId="10EDE9C1" w14:textId="77777777" w:rsidR="00EC50C9" w:rsidRPr="005E49BD" w:rsidRDefault="00EC50C9" w:rsidP="00EC50C9">
      <w:pPr>
        <w:spacing w:after="0" w:line="240" w:lineRule="auto"/>
        <w:ind w:left="1440" w:firstLine="720"/>
        <w:contextualSpacing/>
        <w:rPr>
          <w:rFonts w:eastAsia="Times New Roman" w:cs="Times New Roman"/>
          <w:szCs w:val="24"/>
          <w:lang w:eastAsia="en-GB"/>
        </w:rPr>
      </w:pPr>
      <w:r w:rsidRPr="005E49BD">
        <w:rPr>
          <w:rFonts w:eastAsia="Times New Roman" w:cs="Times New Roman"/>
          <w:szCs w:val="24"/>
          <w:lang w:eastAsia="en-GB"/>
        </w:rPr>
        <w:t xml:space="preserve">(ii) [Omitted] </w:t>
      </w:r>
    </w:p>
    <w:p w14:paraId="122D3921" w14:textId="77777777" w:rsidR="00EC50C9" w:rsidRPr="005E49BD" w:rsidRDefault="00EC50C9" w:rsidP="00EC50C9">
      <w:pPr>
        <w:spacing w:after="0" w:line="240" w:lineRule="auto"/>
        <w:ind w:left="720" w:firstLine="720"/>
        <w:contextualSpacing/>
        <w:rPr>
          <w:rFonts w:eastAsia="Times New Roman" w:cs="Times New Roman"/>
          <w:szCs w:val="24"/>
          <w:lang w:eastAsia="en-GB"/>
        </w:rPr>
      </w:pPr>
      <w:r w:rsidRPr="005E49BD">
        <w:rPr>
          <w:rFonts w:eastAsia="Times New Roman" w:cs="Times New Roman"/>
          <w:szCs w:val="24"/>
          <w:lang w:eastAsia="en-GB"/>
        </w:rPr>
        <w:t xml:space="preserve">and </w:t>
      </w:r>
    </w:p>
    <w:p w14:paraId="6BF55A50" w14:textId="77777777" w:rsidR="00EC50C9" w:rsidRPr="005E49BD" w:rsidRDefault="00EC50C9" w:rsidP="00EC50C9">
      <w:pPr>
        <w:spacing w:after="0" w:line="240" w:lineRule="auto"/>
        <w:ind w:left="1440"/>
        <w:contextualSpacing/>
        <w:rPr>
          <w:rFonts w:eastAsia="Times New Roman" w:cs="Times New Roman"/>
          <w:szCs w:val="24"/>
          <w:lang w:eastAsia="en-GB"/>
        </w:rPr>
      </w:pPr>
      <w:r w:rsidRPr="005E49BD">
        <w:rPr>
          <w:rFonts w:eastAsia="Times New Roman" w:cs="Times New Roman"/>
          <w:szCs w:val="24"/>
          <w:lang w:eastAsia="en-GB"/>
        </w:rPr>
        <w:t xml:space="preserve">(b) for believing that the sample will tend to confirm or disprove the involvement of the person from whom the sample is to be taken in the said offence. </w:t>
      </w:r>
    </w:p>
    <w:p w14:paraId="3E969929" w14:textId="77777777" w:rsidR="00EC50C9" w:rsidRPr="005E49BD" w:rsidRDefault="00EC50C9" w:rsidP="00EC50C9">
      <w:pPr>
        <w:spacing w:after="0" w:line="240" w:lineRule="auto"/>
        <w:ind w:left="720"/>
        <w:contextualSpacing/>
        <w:rPr>
          <w:rFonts w:eastAsia="Times New Roman" w:cs="Times New Roman"/>
          <w:szCs w:val="24"/>
          <w:lang w:eastAsia="en-GB"/>
        </w:rPr>
      </w:pPr>
      <w:r w:rsidRPr="005E49BD">
        <w:rPr>
          <w:rFonts w:eastAsia="Times New Roman" w:cs="Times New Roman"/>
          <w:szCs w:val="24"/>
          <w:lang w:eastAsia="en-GB"/>
        </w:rPr>
        <w:t xml:space="preserve">(6) Before a member of the Garda </w:t>
      </w:r>
      <w:r w:rsidRPr="00916800">
        <w:rPr>
          <w:rFonts w:eastAsia="Times New Roman" w:cs="Times New Roman"/>
          <w:szCs w:val="24"/>
          <w:lang w:val="en-GB" w:eastAsia="en-GB"/>
        </w:rPr>
        <w:t xml:space="preserve">Síochána </w:t>
      </w:r>
      <w:r w:rsidRPr="005E49BD">
        <w:rPr>
          <w:rFonts w:eastAsia="Times New Roman" w:cs="Times New Roman"/>
          <w:szCs w:val="24"/>
          <w:lang w:eastAsia="en-GB"/>
        </w:rPr>
        <w:t xml:space="preserve">takes, or causes to be taken, a sample under subsection (1) of this section, or seeks the consent of the person from whom the sample is required to the taking of such a sample, the member shall inform the person – </w:t>
      </w:r>
    </w:p>
    <w:p w14:paraId="327E9B87" w14:textId="77777777" w:rsidR="00EC50C9" w:rsidRPr="005E49BD" w:rsidRDefault="00EC50C9" w:rsidP="00EC50C9">
      <w:pPr>
        <w:spacing w:after="0" w:line="240" w:lineRule="auto"/>
        <w:ind w:left="1440"/>
        <w:contextualSpacing/>
        <w:rPr>
          <w:rFonts w:eastAsia="Times New Roman" w:cs="Times New Roman"/>
          <w:szCs w:val="24"/>
          <w:lang w:eastAsia="en-GB"/>
        </w:rPr>
      </w:pPr>
      <w:r w:rsidRPr="005E49BD">
        <w:rPr>
          <w:rFonts w:eastAsia="Times New Roman" w:cs="Times New Roman"/>
          <w:szCs w:val="24"/>
          <w:lang w:eastAsia="en-GB"/>
        </w:rPr>
        <w:lastRenderedPageBreak/>
        <w:t xml:space="preserve">(a) of the nature of the offence in which it is suspected that that person has been involved, </w:t>
      </w:r>
    </w:p>
    <w:p w14:paraId="3E215785" w14:textId="77777777" w:rsidR="00EC50C9" w:rsidRPr="005E49BD" w:rsidRDefault="00EC50C9" w:rsidP="00EC50C9">
      <w:pPr>
        <w:spacing w:after="0" w:line="240" w:lineRule="auto"/>
        <w:ind w:left="1440"/>
        <w:contextualSpacing/>
        <w:rPr>
          <w:rFonts w:eastAsia="Times New Roman" w:cs="Times New Roman"/>
          <w:szCs w:val="24"/>
          <w:lang w:eastAsia="en-GB"/>
        </w:rPr>
      </w:pPr>
      <w:r w:rsidRPr="005E49BD">
        <w:rPr>
          <w:rFonts w:eastAsia="Times New Roman" w:cs="Times New Roman"/>
          <w:szCs w:val="24"/>
          <w:lang w:eastAsia="en-GB"/>
        </w:rPr>
        <w:t xml:space="preserve">(b) that an authorisation has been given under subsection (4)(a) of this section and of the grounds on which it has been given, and </w:t>
      </w:r>
    </w:p>
    <w:p w14:paraId="20275C1D" w14:textId="77777777" w:rsidR="00EC50C9" w:rsidRPr="005E49BD" w:rsidRDefault="00EC50C9" w:rsidP="00EC50C9">
      <w:pPr>
        <w:spacing w:after="0" w:line="240" w:lineRule="auto"/>
        <w:ind w:left="1440"/>
        <w:contextualSpacing/>
        <w:rPr>
          <w:rFonts w:eastAsia="Times New Roman" w:cs="Times New Roman"/>
          <w:szCs w:val="24"/>
          <w:lang w:eastAsia="en-GB"/>
        </w:rPr>
      </w:pPr>
      <w:r w:rsidRPr="005E49BD">
        <w:rPr>
          <w:rFonts w:eastAsia="Times New Roman" w:cs="Times New Roman"/>
          <w:szCs w:val="24"/>
          <w:lang w:eastAsia="en-GB"/>
        </w:rPr>
        <w:t xml:space="preserve">(c) that the results of any tests on the sample may be given in evidence in any proceedings. </w:t>
      </w:r>
    </w:p>
    <w:p w14:paraId="2105935D" w14:textId="77777777" w:rsidR="00EC50C9" w:rsidRPr="005E49BD" w:rsidRDefault="00EC50C9" w:rsidP="00EC50C9">
      <w:pPr>
        <w:spacing w:after="0" w:line="240" w:lineRule="auto"/>
        <w:ind w:left="720"/>
        <w:contextualSpacing/>
        <w:rPr>
          <w:rFonts w:eastAsia="Times New Roman" w:cs="Times New Roman"/>
          <w:szCs w:val="24"/>
          <w:lang w:eastAsia="en-GB"/>
        </w:rPr>
      </w:pPr>
      <w:r w:rsidRPr="005E49BD">
        <w:rPr>
          <w:rFonts w:eastAsia="Times New Roman" w:cs="Times New Roman"/>
          <w:szCs w:val="24"/>
          <w:lang w:eastAsia="en-GB"/>
        </w:rPr>
        <w:t xml:space="preserve">(7) An authorisation under subsection (4)(a) of this section may be given orally but, if it is given orally, it shall be confirmed in writing as soon as is practicable. </w:t>
      </w:r>
    </w:p>
    <w:p w14:paraId="6DF30D8E" w14:textId="77777777" w:rsidR="00EC50C9" w:rsidRPr="005E49BD" w:rsidRDefault="00EC50C9" w:rsidP="00EC50C9">
      <w:pPr>
        <w:spacing w:after="0" w:line="240" w:lineRule="auto"/>
        <w:ind w:left="720"/>
        <w:contextualSpacing/>
        <w:rPr>
          <w:rFonts w:eastAsia="Times New Roman" w:cs="Times New Roman"/>
          <w:szCs w:val="24"/>
          <w:lang w:eastAsia="en-GB"/>
        </w:rPr>
      </w:pPr>
      <w:r w:rsidRPr="005E49BD">
        <w:rPr>
          <w:rFonts w:eastAsia="Times New Roman" w:cs="Times New Roman"/>
          <w:szCs w:val="24"/>
          <w:lang w:eastAsia="en-GB"/>
        </w:rPr>
        <w:t xml:space="preserve">(8) A sample of a kind specified in subparagraph (i) or (ii) of paragraph (a) of subsection (1) of this section or in paragraph (c) of the said subsection (1) may be taken only by a registered medical practitioner and a dental impression may be taken only by a registered dentist or a registered medical practitioner. </w:t>
      </w:r>
    </w:p>
    <w:p w14:paraId="205BF853" w14:textId="77777777" w:rsidR="00EC50C9" w:rsidRPr="005E49BD" w:rsidRDefault="00EC50C9" w:rsidP="00EC50C9">
      <w:pPr>
        <w:spacing w:after="0" w:line="240" w:lineRule="auto"/>
        <w:ind w:left="720"/>
        <w:contextualSpacing/>
        <w:rPr>
          <w:rFonts w:eastAsia="Times New Roman" w:cs="Times New Roman"/>
          <w:szCs w:val="24"/>
          <w:lang w:eastAsia="en-GB"/>
        </w:rPr>
      </w:pPr>
      <w:r w:rsidRPr="005E49BD">
        <w:rPr>
          <w:rFonts w:eastAsia="Times New Roman" w:cs="Times New Roman"/>
          <w:szCs w:val="24"/>
          <w:lang w:eastAsia="en-GB"/>
        </w:rPr>
        <w:t xml:space="preserve">(8A) [Omitted] </w:t>
      </w:r>
    </w:p>
    <w:p w14:paraId="035245D3" w14:textId="77777777" w:rsidR="00EC50C9" w:rsidRPr="005E49BD" w:rsidRDefault="00EC50C9" w:rsidP="00EC50C9">
      <w:pPr>
        <w:spacing w:after="0" w:line="240" w:lineRule="auto"/>
        <w:ind w:left="720"/>
        <w:contextualSpacing/>
        <w:rPr>
          <w:rFonts w:eastAsia="Times New Roman" w:cs="Times New Roman"/>
          <w:szCs w:val="24"/>
          <w:lang w:eastAsia="en-GB"/>
        </w:rPr>
      </w:pPr>
      <w:r w:rsidRPr="005E49BD">
        <w:rPr>
          <w:rFonts w:eastAsia="Times New Roman" w:cs="Times New Roman"/>
          <w:szCs w:val="24"/>
          <w:lang w:eastAsia="en-GB"/>
        </w:rPr>
        <w:t xml:space="preserve">(9) A person who obstructs or attempts to obstruct any member of the Garda </w:t>
      </w:r>
      <w:r w:rsidRPr="00916800">
        <w:rPr>
          <w:rFonts w:eastAsia="Times New Roman" w:cs="Times New Roman"/>
          <w:szCs w:val="24"/>
          <w:lang w:val="en-GB" w:eastAsia="en-GB"/>
        </w:rPr>
        <w:t xml:space="preserve">Síochána </w:t>
      </w:r>
      <w:r w:rsidRPr="005E49BD">
        <w:rPr>
          <w:rFonts w:eastAsia="Times New Roman" w:cs="Times New Roman"/>
          <w:szCs w:val="24"/>
          <w:lang w:eastAsia="en-GB"/>
        </w:rPr>
        <w:t xml:space="preserve">or any other person acting under the powers conferred by subsection (1) of this section shall be guilty of an offence and shall be liable on summary conviction to a fine not exceeding €3,000 or to imprisonment for a term not exceeding 12 months or both. </w:t>
      </w:r>
    </w:p>
    <w:p w14:paraId="064D4F93" w14:textId="77777777" w:rsidR="00EC50C9" w:rsidRPr="005E49BD" w:rsidRDefault="00EC50C9" w:rsidP="00EC50C9">
      <w:pPr>
        <w:spacing w:after="0" w:line="240" w:lineRule="auto"/>
        <w:ind w:left="720"/>
        <w:contextualSpacing/>
        <w:rPr>
          <w:rFonts w:eastAsia="Times New Roman" w:cs="Times New Roman"/>
          <w:szCs w:val="24"/>
          <w:lang w:eastAsia="en-GB"/>
        </w:rPr>
      </w:pPr>
      <w:r w:rsidRPr="005E49BD">
        <w:rPr>
          <w:rFonts w:eastAsia="Times New Roman" w:cs="Times New Roman"/>
          <w:szCs w:val="24"/>
          <w:lang w:eastAsia="en-GB"/>
        </w:rPr>
        <w:t xml:space="preserve">(10) [omitted] </w:t>
      </w:r>
    </w:p>
    <w:p w14:paraId="5EF27C6A" w14:textId="77777777" w:rsidR="00EC50C9" w:rsidRDefault="00EC50C9" w:rsidP="00EC50C9">
      <w:pPr>
        <w:spacing w:after="0" w:line="240" w:lineRule="auto"/>
        <w:rPr>
          <w:rFonts w:eastAsia="Times New Roman" w:cs="Times New Roman"/>
          <w:szCs w:val="24"/>
          <w:lang w:eastAsia="en-GB"/>
        </w:rPr>
      </w:pPr>
    </w:p>
    <w:p w14:paraId="179BE051" w14:textId="77777777" w:rsidR="00EC50C9" w:rsidRPr="001400CA" w:rsidRDefault="00EC50C9" w:rsidP="00EC50C9">
      <w:pPr>
        <w:spacing w:after="0" w:line="240" w:lineRule="auto"/>
        <w:contextualSpacing/>
        <w:rPr>
          <w:rFonts w:eastAsia="Times New Roman" w:cs="Times New Roman"/>
          <w:szCs w:val="24"/>
          <w:lang w:eastAsia="en-GB"/>
        </w:rPr>
      </w:pPr>
      <w:r>
        <w:rPr>
          <w:rFonts w:eastAsia="Times New Roman" w:cs="Times New Roman"/>
          <w:szCs w:val="24"/>
          <w:lang w:eastAsia="en-GB"/>
        </w:rPr>
        <w:t>7. For these purposes, importantly, subsection (11) provides that “</w:t>
      </w:r>
      <w:r w:rsidRPr="005E49BD">
        <w:rPr>
          <w:rFonts w:eastAsia="Times New Roman" w:cs="Times New Roman"/>
          <w:szCs w:val="24"/>
          <w:lang w:eastAsia="en-GB"/>
        </w:rPr>
        <w:t>The powers conferred by this section are without prejudice to any other powers exercisable by a member of the Garda S</w:t>
      </w:r>
      <w:r>
        <w:rPr>
          <w:rFonts w:eastAsia="Times New Roman" w:cs="Times New Roman"/>
          <w:szCs w:val="24"/>
          <w:lang w:eastAsia="en-GB"/>
        </w:rPr>
        <w:t>í</w:t>
      </w:r>
      <w:r w:rsidRPr="005E49BD">
        <w:rPr>
          <w:rFonts w:eastAsia="Times New Roman" w:cs="Times New Roman"/>
          <w:szCs w:val="24"/>
          <w:lang w:eastAsia="en-GB"/>
        </w:rPr>
        <w:t>och</w:t>
      </w:r>
      <w:r>
        <w:rPr>
          <w:rFonts w:eastAsia="Times New Roman" w:cs="Times New Roman"/>
          <w:szCs w:val="24"/>
          <w:lang w:eastAsia="en-GB"/>
        </w:rPr>
        <w:t>á</w:t>
      </w:r>
      <w:r w:rsidRPr="005E49BD">
        <w:rPr>
          <w:rFonts w:eastAsia="Times New Roman" w:cs="Times New Roman"/>
          <w:szCs w:val="24"/>
          <w:lang w:eastAsia="en-GB"/>
        </w:rPr>
        <w:t>na.</w:t>
      </w:r>
      <w:r>
        <w:rPr>
          <w:rFonts w:eastAsia="Times New Roman" w:cs="Times New Roman"/>
          <w:szCs w:val="24"/>
          <w:lang w:eastAsia="en-GB"/>
        </w:rPr>
        <w:t>”</w:t>
      </w:r>
      <w:r w:rsidRPr="005E49BD">
        <w:rPr>
          <w:rFonts w:eastAsia="Times New Roman" w:cs="Times New Roman"/>
          <w:szCs w:val="24"/>
          <w:lang w:eastAsia="en-GB"/>
        </w:rPr>
        <w:t xml:space="preserve"> </w:t>
      </w:r>
      <w:r w:rsidRPr="00102277">
        <w:rPr>
          <w:rFonts w:eastAsia="Times New Roman" w:cs="Times New Roman"/>
          <w:szCs w:val="24"/>
          <w:lang w:val="en-GB" w:eastAsia="en-GB"/>
        </w:rPr>
        <w:t>The relevant samples included in s 4(b) of the 1990 Act include</w:t>
      </w:r>
      <w:r>
        <w:rPr>
          <w:rFonts w:eastAsia="Times New Roman" w:cs="Times New Roman"/>
          <w:szCs w:val="24"/>
          <w:lang w:val="en-GB" w:eastAsia="en-GB"/>
        </w:rPr>
        <w:t xml:space="preserve">d </w:t>
      </w:r>
      <w:r w:rsidRPr="00102277">
        <w:rPr>
          <w:rFonts w:eastAsia="Times New Roman" w:cs="Times New Roman"/>
          <w:szCs w:val="24"/>
          <w:lang w:val="en-GB" w:eastAsia="en-GB"/>
        </w:rPr>
        <w:t xml:space="preserve">bodily samples of the kind taken from Christopher McDonald while in custody. </w:t>
      </w:r>
      <w:r>
        <w:rPr>
          <w:rFonts w:eastAsia="Times New Roman" w:cs="Times New Roman"/>
          <w:szCs w:val="24"/>
          <w:lang w:val="en-GB" w:eastAsia="en-GB"/>
        </w:rPr>
        <w:t>A</w:t>
      </w:r>
      <w:r w:rsidRPr="00102277">
        <w:rPr>
          <w:rFonts w:eastAsia="Times New Roman" w:cs="Times New Roman"/>
          <w:szCs w:val="24"/>
          <w:lang w:val="en-GB" w:eastAsia="en-GB"/>
        </w:rPr>
        <w:t>t trial</w:t>
      </w:r>
      <w:r>
        <w:rPr>
          <w:rFonts w:eastAsia="Times New Roman" w:cs="Times New Roman"/>
          <w:szCs w:val="24"/>
          <w:lang w:val="en-GB" w:eastAsia="en-GB"/>
        </w:rPr>
        <w:t>,</w:t>
      </w:r>
      <w:r w:rsidRPr="00102277">
        <w:rPr>
          <w:rFonts w:eastAsia="Times New Roman" w:cs="Times New Roman"/>
          <w:szCs w:val="24"/>
          <w:lang w:val="en-GB" w:eastAsia="en-GB"/>
        </w:rPr>
        <w:t xml:space="preserve"> Superintendent Mahon</w:t>
      </w:r>
      <w:r>
        <w:rPr>
          <w:rFonts w:eastAsia="Times New Roman" w:cs="Times New Roman"/>
          <w:szCs w:val="24"/>
          <w:lang w:val="en-GB" w:eastAsia="en-GB"/>
        </w:rPr>
        <w:t xml:space="preserve"> testified</w:t>
      </w:r>
      <w:r w:rsidRPr="00102277">
        <w:rPr>
          <w:rFonts w:eastAsia="Times New Roman" w:cs="Times New Roman"/>
          <w:szCs w:val="24"/>
          <w:lang w:val="en-GB" w:eastAsia="en-GB"/>
        </w:rPr>
        <w:t xml:space="preserve"> that he had authorised the taking of the samples pursuant to s 2 of the Act, while Garda Graham Dillon gave evidence that he had tendered a bodily samples consent form to </w:t>
      </w:r>
      <w:r>
        <w:rPr>
          <w:rFonts w:eastAsia="Times New Roman" w:cs="Times New Roman"/>
          <w:szCs w:val="24"/>
          <w:lang w:val="en-GB" w:eastAsia="en-GB"/>
        </w:rPr>
        <w:t>him</w:t>
      </w:r>
      <w:r w:rsidRPr="00102277">
        <w:rPr>
          <w:rFonts w:eastAsia="Times New Roman" w:cs="Times New Roman"/>
          <w:szCs w:val="24"/>
          <w:lang w:val="en-GB" w:eastAsia="en-GB"/>
        </w:rPr>
        <w:t>. This consent form</w:t>
      </w:r>
      <w:r>
        <w:rPr>
          <w:rFonts w:eastAsia="Times New Roman" w:cs="Times New Roman"/>
          <w:szCs w:val="24"/>
          <w:lang w:val="en-GB" w:eastAsia="en-GB"/>
        </w:rPr>
        <w:t xml:space="preserve"> </w:t>
      </w:r>
      <w:r w:rsidRPr="00102277">
        <w:rPr>
          <w:rFonts w:eastAsia="Times New Roman" w:cs="Times New Roman"/>
          <w:szCs w:val="24"/>
          <w:lang w:val="en-GB" w:eastAsia="en-GB"/>
        </w:rPr>
        <w:t>was said to be generally used where samples are taken pursuant to the common law power,</w:t>
      </w:r>
      <w:r>
        <w:rPr>
          <w:rFonts w:eastAsia="Times New Roman" w:cs="Times New Roman"/>
          <w:szCs w:val="24"/>
          <w:lang w:val="en-GB" w:eastAsia="en-GB"/>
        </w:rPr>
        <w:t xml:space="preserve"> not abolished by the legislation,</w:t>
      </w:r>
      <w:r w:rsidRPr="00102277">
        <w:rPr>
          <w:rFonts w:eastAsia="Times New Roman" w:cs="Times New Roman"/>
          <w:szCs w:val="24"/>
          <w:lang w:val="en-GB" w:eastAsia="en-GB"/>
        </w:rPr>
        <w:t xml:space="preserve"> as opposed to the specific one required </w:t>
      </w:r>
      <w:r>
        <w:rPr>
          <w:rFonts w:eastAsia="Times New Roman" w:cs="Times New Roman"/>
          <w:szCs w:val="24"/>
          <w:lang w:val="en-GB" w:eastAsia="en-GB"/>
        </w:rPr>
        <w:t>to properly implement</w:t>
      </w:r>
      <w:r w:rsidRPr="00102277">
        <w:rPr>
          <w:rFonts w:eastAsia="Times New Roman" w:cs="Times New Roman"/>
          <w:szCs w:val="24"/>
          <w:lang w:val="en-GB" w:eastAsia="en-GB"/>
        </w:rPr>
        <w:t xml:space="preserve"> the 1990 Act</w:t>
      </w:r>
      <w:r>
        <w:rPr>
          <w:rFonts w:eastAsia="Times New Roman" w:cs="Times New Roman"/>
          <w:szCs w:val="24"/>
          <w:lang w:val="en-GB" w:eastAsia="en-GB"/>
        </w:rPr>
        <w:t>. The consent form</w:t>
      </w:r>
      <w:r w:rsidRPr="00102277">
        <w:rPr>
          <w:rFonts w:eastAsia="Times New Roman" w:cs="Times New Roman"/>
          <w:szCs w:val="24"/>
          <w:lang w:val="en-GB" w:eastAsia="en-GB"/>
        </w:rPr>
        <w:t xml:space="preserve"> </w:t>
      </w:r>
      <w:r>
        <w:rPr>
          <w:rFonts w:eastAsia="Times New Roman" w:cs="Times New Roman"/>
          <w:szCs w:val="24"/>
          <w:lang w:val="en-GB" w:eastAsia="en-GB"/>
        </w:rPr>
        <w:t xml:space="preserve">was </w:t>
      </w:r>
      <w:r w:rsidRPr="00102277">
        <w:rPr>
          <w:rFonts w:eastAsia="Times New Roman" w:cs="Times New Roman"/>
          <w:szCs w:val="24"/>
          <w:lang w:val="en-GB" w:eastAsia="en-GB"/>
        </w:rPr>
        <w:t>signed by Christopher McDonald prior to the taking of said samples.</w:t>
      </w:r>
      <w:r>
        <w:rPr>
          <w:rFonts w:eastAsia="Times New Roman" w:cs="Times New Roman"/>
          <w:szCs w:val="24"/>
          <w:lang w:eastAsia="en-GB"/>
        </w:rPr>
        <w:t xml:space="preserve"> </w:t>
      </w:r>
      <w:r w:rsidRPr="00102277">
        <w:rPr>
          <w:rFonts w:eastAsia="Times New Roman" w:cs="Times New Roman"/>
          <w:szCs w:val="24"/>
          <w:lang w:val="en-GB" w:eastAsia="en-GB"/>
        </w:rPr>
        <w:t>Where samples are obtained on foot of the statutory power,</w:t>
      </w:r>
      <w:r>
        <w:rPr>
          <w:rFonts w:eastAsia="Times New Roman" w:cs="Times New Roman"/>
          <w:szCs w:val="24"/>
          <w:lang w:val="en-GB" w:eastAsia="en-GB"/>
        </w:rPr>
        <w:t xml:space="preserve"> no</w:t>
      </w:r>
      <w:r w:rsidRPr="00102277">
        <w:rPr>
          <w:rFonts w:eastAsia="Times New Roman" w:cs="Times New Roman"/>
          <w:szCs w:val="24"/>
          <w:lang w:val="en-GB" w:eastAsia="en-GB"/>
        </w:rPr>
        <w:t xml:space="preserve"> consent of the appellant is </w:t>
      </w:r>
      <w:r>
        <w:rPr>
          <w:rFonts w:eastAsia="Times New Roman" w:cs="Times New Roman"/>
          <w:szCs w:val="24"/>
          <w:lang w:val="en-GB" w:eastAsia="en-GB"/>
        </w:rPr>
        <w:t>r</w:t>
      </w:r>
      <w:r w:rsidRPr="00102277">
        <w:rPr>
          <w:rFonts w:eastAsia="Times New Roman" w:cs="Times New Roman"/>
          <w:szCs w:val="24"/>
          <w:lang w:val="en-GB" w:eastAsia="en-GB"/>
        </w:rPr>
        <w:t>equired</w:t>
      </w:r>
      <w:r>
        <w:rPr>
          <w:rFonts w:eastAsia="Times New Roman" w:cs="Times New Roman"/>
          <w:szCs w:val="24"/>
          <w:lang w:val="en-GB" w:eastAsia="en-GB"/>
        </w:rPr>
        <w:t>.</w:t>
      </w:r>
      <w:r w:rsidRPr="00102277">
        <w:rPr>
          <w:rFonts w:eastAsia="Times New Roman" w:cs="Times New Roman"/>
          <w:szCs w:val="24"/>
          <w:lang w:val="en-GB" w:eastAsia="en-GB"/>
        </w:rPr>
        <w:t xml:space="preserve"> However, if they are taken </w:t>
      </w:r>
      <w:proofErr w:type="gramStart"/>
      <w:r w:rsidRPr="00102277">
        <w:rPr>
          <w:rFonts w:eastAsia="Times New Roman" w:cs="Times New Roman"/>
          <w:szCs w:val="24"/>
          <w:lang w:val="en-GB" w:eastAsia="en-GB"/>
        </w:rPr>
        <w:t>on the basis of</w:t>
      </w:r>
      <w:proofErr w:type="gramEnd"/>
      <w:r w:rsidRPr="00102277">
        <w:rPr>
          <w:rFonts w:eastAsia="Times New Roman" w:cs="Times New Roman"/>
          <w:szCs w:val="24"/>
          <w:lang w:val="en-GB" w:eastAsia="en-GB"/>
        </w:rPr>
        <w:t xml:space="preserve"> the common law power, </w:t>
      </w:r>
      <w:r>
        <w:rPr>
          <w:rFonts w:eastAsia="Times New Roman" w:cs="Times New Roman"/>
          <w:szCs w:val="24"/>
          <w:lang w:val="en-GB" w:eastAsia="en-GB"/>
        </w:rPr>
        <w:t>consent is necessary</w:t>
      </w:r>
      <w:r w:rsidRPr="00102277">
        <w:rPr>
          <w:rFonts w:eastAsia="Times New Roman" w:cs="Times New Roman"/>
          <w:szCs w:val="24"/>
          <w:lang w:val="en-GB" w:eastAsia="en-GB"/>
        </w:rPr>
        <w:t xml:space="preserve">. It is therefore contended </w:t>
      </w:r>
      <w:r>
        <w:rPr>
          <w:rFonts w:eastAsia="Times New Roman" w:cs="Times New Roman"/>
          <w:szCs w:val="24"/>
          <w:lang w:val="en-GB" w:eastAsia="en-GB"/>
        </w:rPr>
        <w:t>on behalf of Christopher McDonald</w:t>
      </w:r>
      <w:r w:rsidRPr="00102277">
        <w:rPr>
          <w:rFonts w:eastAsia="Times New Roman" w:cs="Times New Roman"/>
          <w:szCs w:val="24"/>
          <w:lang w:val="en-GB" w:eastAsia="en-GB"/>
        </w:rPr>
        <w:t xml:space="preserve"> that, if taken pursuant to the 1990 Act, the failure on the part of </w:t>
      </w:r>
      <w:r>
        <w:rPr>
          <w:rFonts w:eastAsia="Times New Roman" w:cs="Times New Roman"/>
          <w:szCs w:val="24"/>
          <w:lang w:val="en-GB" w:eastAsia="en-GB"/>
        </w:rPr>
        <w:t xml:space="preserve">the </w:t>
      </w:r>
      <w:r w:rsidRPr="00102277">
        <w:rPr>
          <w:rFonts w:eastAsia="Times New Roman" w:cs="Times New Roman"/>
          <w:szCs w:val="24"/>
          <w:lang w:val="en-GB" w:eastAsia="en-GB"/>
        </w:rPr>
        <w:t>Garda</w:t>
      </w:r>
      <w:r>
        <w:rPr>
          <w:rFonts w:eastAsia="Times New Roman" w:cs="Times New Roman"/>
          <w:szCs w:val="24"/>
          <w:lang w:val="en-GB" w:eastAsia="en-GB"/>
        </w:rPr>
        <w:t xml:space="preserve"> </w:t>
      </w:r>
      <w:proofErr w:type="gramStart"/>
      <w:r w:rsidRPr="00916800">
        <w:rPr>
          <w:rFonts w:eastAsia="Times New Roman" w:cs="Times New Roman"/>
          <w:szCs w:val="24"/>
          <w:lang w:val="en-GB" w:eastAsia="en-GB"/>
        </w:rPr>
        <w:t xml:space="preserve">Síochána </w:t>
      </w:r>
      <w:r w:rsidRPr="00102277">
        <w:rPr>
          <w:rFonts w:eastAsia="Times New Roman" w:cs="Times New Roman"/>
          <w:szCs w:val="24"/>
          <w:lang w:val="en-GB" w:eastAsia="en-GB"/>
        </w:rPr>
        <w:t xml:space="preserve"> to</w:t>
      </w:r>
      <w:proofErr w:type="gramEnd"/>
      <w:r w:rsidRPr="00102277">
        <w:rPr>
          <w:rFonts w:eastAsia="Times New Roman" w:cs="Times New Roman"/>
          <w:szCs w:val="24"/>
          <w:lang w:val="en-GB" w:eastAsia="en-GB"/>
        </w:rPr>
        <w:t xml:space="preserve"> utilise the specified form constitutes a failure to follow procedures which render the samples </w:t>
      </w:r>
      <w:r>
        <w:rPr>
          <w:rFonts w:eastAsia="Times New Roman" w:cs="Times New Roman"/>
          <w:szCs w:val="24"/>
          <w:lang w:val="en-GB" w:eastAsia="en-GB"/>
        </w:rPr>
        <w:t>unlawfully taken</w:t>
      </w:r>
      <w:r w:rsidRPr="00102277">
        <w:rPr>
          <w:rFonts w:eastAsia="Times New Roman" w:cs="Times New Roman"/>
          <w:szCs w:val="24"/>
          <w:lang w:val="en-GB" w:eastAsia="en-GB"/>
        </w:rPr>
        <w:t xml:space="preserve">. If the samples were in fact taken on foot of the common law power, however, it is </w:t>
      </w:r>
      <w:r>
        <w:rPr>
          <w:rFonts w:eastAsia="Times New Roman" w:cs="Times New Roman"/>
          <w:szCs w:val="24"/>
          <w:lang w:val="en-GB" w:eastAsia="en-GB"/>
        </w:rPr>
        <w:t>contended on behalf of Christopher McDonald</w:t>
      </w:r>
      <w:r w:rsidRPr="00102277">
        <w:rPr>
          <w:rFonts w:eastAsia="Times New Roman" w:cs="Times New Roman"/>
          <w:szCs w:val="24"/>
          <w:lang w:val="en-GB" w:eastAsia="en-GB"/>
        </w:rPr>
        <w:t xml:space="preserve"> that his lack of access to legal advice, in not meeting with</w:t>
      </w:r>
      <w:r>
        <w:rPr>
          <w:rFonts w:eastAsia="Times New Roman" w:cs="Times New Roman"/>
          <w:szCs w:val="24"/>
          <w:lang w:val="en-GB" w:eastAsia="en-GB"/>
        </w:rPr>
        <w:t xml:space="preserve"> his solicitor</w:t>
      </w:r>
      <w:r w:rsidRPr="00102277">
        <w:rPr>
          <w:rFonts w:eastAsia="Times New Roman" w:cs="Times New Roman"/>
          <w:szCs w:val="24"/>
          <w:lang w:val="en-GB" w:eastAsia="en-GB"/>
        </w:rPr>
        <w:t xml:space="preserve"> John Quinn prior to consenting to the samples being taken, renders the evidence unlawfully obtained.</w:t>
      </w:r>
    </w:p>
    <w:p w14:paraId="51F94A9B" w14:textId="77777777" w:rsidR="00EC50C9" w:rsidRPr="00102277" w:rsidRDefault="00EC50C9" w:rsidP="00EC50C9">
      <w:pPr>
        <w:spacing w:after="0" w:line="240" w:lineRule="auto"/>
        <w:rPr>
          <w:rFonts w:eastAsia="Times New Roman" w:cs="Times New Roman"/>
          <w:szCs w:val="24"/>
          <w:lang w:val="en-GB" w:eastAsia="en-GB"/>
        </w:rPr>
      </w:pPr>
    </w:p>
    <w:p w14:paraId="63B00B93" w14:textId="77777777" w:rsidR="00EC50C9" w:rsidRPr="00102277" w:rsidRDefault="00EC50C9" w:rsidP="00EC50C9">
      <w:pPr>
        <w:spacing w:after="0" w:line="240" w:lineRule="auto"/>
        <w:rPr>
          <w:rFonts w:eastAsia="Times New Roman" w:cs="Times New Roman"/>
          <w:b/>
          <w:bCs/>
          <w:szCs w:val="24"/>
          <w:lang w:val="en-GB" w:eastAsia="en-GB"/>
        </w:rPr>
      </w:pPr>
      <w:r>
        <w:rPr>
          <w:rFonts w:eastAsia="Times New Roman" w:cs="Times New Roman"/>
          <w:b/>
          <w:bCs/>
          <w:szCs w:val="24"/>
          <w:lang w:val="en-GB" w:eastAsia="en-GB"/>
        </w:rPr>
        <w:t>Admission at trial</w:t>
      </w:r>
      <w:r w:rsidRPr="00102277">
        <w:rPr>
          <w:rFonts w:eastAsia="Times New Roman" w:cs="Times New Roman"/>
          <w:b/>
          <w:bCs/>
          <w:szCs w:val="24"/>
          <w:lang w:val="en-GB" w:eastAsia="en-GB"/>
        </w:rPr>
        <w:t xml:space="preserve"> </w:t>
      </w:r>
    </w:p>
    <w:p w14:paraId="73B8FC7D" w14:textId="77777777" w:rsidR="00EC50C9" w:rsidRPr="00102277" w:rsidRDefault="00EC50C9" w:rsidP="00EC50C9">
      <w:pPr>
        <w:spacing w:after="0" w:line="240" w:lineRule="auto"/>
        <w:rPr>
          <w:rFonts w:eastAsia="Times New Roman" w:cs="Times New Roman"/>
          <w:b/>
          <w:bCs/>
          <w:szCs w:val="24"/>
          <w:lang w:val="en-GB" w:eastAsia="en-GB"/>
        </w:rPr>
      </w:pPr>
    </w:p>
    <w:p w14:paraId="1ABB2B71" w14:textId="77777777" w:rsidR="00EC50C9" w:rsidRPr="00102277" w:rsidRDefault="00EC50C9" w:rsidP="00EC50C9">
      <w:pPr>
        <w:spacing w:after="0" w:line="240" w:lineRule="auto"/>
        <w:rPr>
          <w:rFonts w:eastAsia="Times New Roman" w:cs="Times New Roman"/>
          <w:szCs w:val="24"/>
          <w:lang w:val="en-GB" w:eastAsia="en-GB"/>
        </w:rPr>
      </w:pPr>
      <w:r w:rsidRPr="00102277">
        <w:rPr>
          <w:rFonts w:eastAsia="Times New Roman" w:cs="Times New Roman"/>
          <w:szCs w:val="24"/>
          <w:lang w:val="en-GB" w:eastAsia="en-GB"/>
        </w:rPr>
        <w:t xml:space="preserve">8. A </w:t>
      </w:r>
      <w:r w:rsidRPr="00102277">
        <w:rPr>
          <w:rFonts w:eastAsia="Times New Roman" w:cs="Times New Roman"/>
          <w:i/>
          <w:iCs/>
          <w:szCs w:val="24"/>
          <w:lang w:val="en-GB" w:eastAsia="en-GB"/>
        </w:rPr>
        <w:t>voir dire</w:t>
      </w:r>
      <w:r w:rsidRPr="00102277">
        <w:rPr>
          <w:rFonts w:eastAsia="Times New Roman" w:cs="Times New Roman"/>
          <w:szCs w:val="24"/>
          <w:lang w:val="en-GB" w:eastAsia="en-GB"/>
        </w:rPr>
        <w:t xml:space="preserve"> was carried out in relation to the use of the sample evidence at trial</w:t>
      </w:r>
      <w:r>
        <w:rPr>
          <w:rFonts w:eastAsia="Times New Roman" w:cs="Times New Roman"/>
          <w:szCs w:val="24"/>
          <w:lang w:val="en-GB" w:eastAsia="en-GB"/>
        </w:rPr>
        <w:t xml:space="preserve"> in the Central Criminal Court</w:t>
      </w:r>
      <w:r w:rsidRPr="00102277">
        <w:rPr>
          <w:rFonts w:eastAsia="Times New Roman" w:cs="Times New Roman"/>
          <w:szCs w:val="24"/>
          <w:lang w:val="en-GB" w:eastAsia="en-GB"/>
        </w:rPr>
        <w:t xml:space="preserve"> during which Garda Graham Dillon outlined the </w:t>
      </w:r>
      <w:proofErr w:type="gramStart"/>
      <w:r w:rsidRPr="00102277">
        <w:rPr>
          <w:rFonts w:eastAsia="Times New Roman" w:cs="Times New Roman"/>
          <w:szCs w:val="24"/>
          <w:lang w:val="en-GB" w:eastAsia="en-GB"/>
        </w:rPr>
        <w:t>manner in which</w:t>
      </w:r>
      <w:proofErr w:type="gramEnd"/>
      <w:r w:rsidRPr="00102277">
        <w:rPr>
          <w:rFonts w:eastAsia="Times New Roman" w:cs="Times New Roman"/>
          <w:szCs w:val="24"/>
          <w:lang w:val="en-GB" w:eastAsia="en-GB"/>
        </w:rPr>
        <w:t xml:space="preserve"> forensic samples were obtained from Christopher McDonald. In admitting the </w:t>
      </w:r>
      <w:proofErr w:type="gramStart"/>
      <w:r w:rsidRPr="00102277">
        <w:rPr>
          <w:rFonts w:eastAsia="Times New Roman" w:cs="Times New Roman"/>
          <w:szCs w:val="24"/>
          <w:lang w:val="en-GB" w:eastAsia="en-GB"/>
        </w:rPr>
        <w:t>evidence</w:t>
      </w:r>
      <w:proofErr w:type="gramEnd"/>
      <w:r>
        <w:rPr>
          <w:rFonts w:eastAsia="Times New Roman" w:cs="Times New Roman"/>
          <w:szCs w:val="24"/>
          <w:lang w:val="en-GB" w:eastAsia="en-GB"/>
        </w:rPr>
        <w:t xml:space="preserve"> the trial judge,</w:t>
      </w:r>
      <w:r w:rsidRPr="00102277">
        <w:rPr>
          <w:rFonts w:eastAsia="Times New Roman" w:cs="Times New Roman"/>
          <w:szCs w:val="24"/>
          <w:lang w:val="en-GB" w:eastAsia="en-GB"/>
        </w:rPr>
        <w:t xml:space="preserve"> McCarthy J</w:t>
      </w:r>
      <w:r>
        <w:rPr>
          <w:rFonts w:eastAsia="Times New Roman" w:cs="Times New Roman"/>
          <w:szCs w:val="24"/>
          <w:lang w:val="en-GB" w:eastAsia="en-GB"/>
        </w:rPr>
        <w:t>,</w:t>
      </w:r>
      <w:r w:rsidRPr="00B712B0">
        <w:rPr>
          <w:rFonts w:eastAsia="Times New Roman" w:cs="Times New Roman"/>
          <w:szCs w:val="24"/>
          <w:lang w:val="en-GB" w:eastAsia="en-GB"/>
        </w:rPr>
        <w:t xml:space="preserve"> </w:t>
      </w:r>
      <w:r>
        <w:rPr>
          <w:rFonts w:eastAsia="Times New Roman" w:cs="Times New Roman"/>
          <w:szCs w:val="24"/>
          <w:lang w:val="en-GB" w:eastAsia="en-GB"/>
        </w:rPr>
        <w:t>noted that the garda approach of consent</w:t>
      </w:r>
      <w:r w:rsidRPr="00102277">
        <w:rPr>
          <w:rFonts w:eastAsia="Times New Roman" w:cs="Times New Roman"/>
          <w:szCs w:val="24"/>
          <w:lang w:val="en-GB" w:eastAsia="en-GB"/>
        </w:rPr>
        <w:t xml:space="preserve">, founded on the common law power, </w:t>
      </w:r>
      <w:r>
        <w:rPr>
          <w:rFonts w:eastAsia="Times New Roman" w:cs="Times New Roman"/>
          <w:szCs w:val="24"/>
          <w:lang w:val="en-GB" w:eastAsia="en-GB"/>
        </w:rPr>
        <w:t xml:space="preserve">had been considered in </w:t>
      </w:r>
      <w:r>
        <w:rPr>
          <w:rFonts w:eastAsia="Times New Roman" w:cs="Times New Roman"/>
          <w:i/>
          <w:szCs w:val="24"/>
          <w:lang w:val="en-GB" w:eastAsia="en-GB"/>
        </w:rPr>
        <w:t>The People</w:t>
      </w:r>
      <w:r w:rsidRPr="00102277">
        <w:rPr>
          <w:rFonts w:eastAsia="Times New Roman" w:cs="Times New Roman"/>
          <w:szCs w:val="24"/>
          <w:lang w:val="en-GB" w:eastAsia="en-GB"/>
        </w:rPr>
        <w:t xml:space="preserve"> </w:t>
      </w:r>
      <w:r>
        <w:rPr>
          <w:rFonts w:eastAsia="Times New Roman" w:cs="Times New Roman"/>
          <w:i/>
          <w:szCs w:val="24"/>
          <w:lang w:val="en-GB" w:eastAsia="en-GB"/>
        </w:rPr>
        <w:t>(</w:t>
      </w:r>
      <w:r w:rsidRPr="00102277">
        <w:rPr>
          <w:rFonts w:eastAsia="Times New Roman" w:cs="Times New Roman"/>
          <w:i/>
          <w:iCs/>
          <w:szCs w:val="24"/>
          <w:lang w:val="en-GB" w:eastAsia="en-GB"/>
        </w:rPr>
        <w:t>DPP</w:t>
      </w:r>
      <w:r>
        <w:rPr>
          <w:rFonts w:eastAsia="Times New Roman" w:cs="Times New Roman"/>
          <w:i/>
          <w:iCs/>
          <w:szCs w:val="24"/>
          <w:lang w:val="en-GB" w:eastAsia="en-GB"/>
        </w:rPr>
        <w:t>)</w:t>
      </w:r>
      <w:r w:rsidRPr="00102277">
        <w:rPr>
          <w:rFonts w:eastAsia="Times New Roman" w:cs="Times New Roman"/>
          <w:i/>
          <w:iCs/>
          <w:szCs w:val="24"/>
          <w:lang w:val="en-GB" w:eastAsia="en-GB"/>
        </w:rPr>
        <w:t xml:space="preserve"> v Boyce</w:t>
      </w:r>
      <w:r w:rsidRPr="00102277">
        <w:rPr>
          <w:rFonts w:eastAsia="Times New Roman" w:cs="Times New Roman"/>
          <w:szCs w:val="24"/>
          <w:lang w:val="en-GB" w:eastAsia="en-GB"/>
        </w:rPr>
        <w:t xml:space="preserve"> [2005] IECCA 143. From this case, it was held that it was “unambiguously clear” that the common law power to take samples with consent was preserved, provided the samples were taken on a voluntary basis.</w:t>
      </w:r>
      <w:r>
        <w:rPr>
          <w:rFonts w:eastAsia="Times New Roman" w:cs="Times New Roman"/>
          <w:szCs w:val="24"/>
          <w:lang w:val="en-GB" w:eastAsia="en-GB"/>
        </w:rPr>
        <w:t xml:space="preserve"> McCarthy J ruled accordingly:</w:t>
      </w:r>
    </w:p>
    <w:p w14:paraId="197E5469" w14:textId="77777777" w:rsidR="00EC50C9" w:rsidRPr="00102277" w:rsidRDefault="00EC50C9" w:rsidP="00EC50C9">
      <w:pPr>
        <w:spacing w:after="0" w:line="240" w:lineRule="auto"/>
        <w:rPr>
          <w:rFonts w:eastAsia="Times New Roman" w:cs="Times New Roman"/>
          <w:szCs w:val="24"/>
          <w:lang w:val="en-GB" w:eastAsia="en-GB"/>
        </w:rPr>
      </w:pPr>
    </w:p>
    <w:p w14:paraId="1E790921" w14:textId="77777777" w:rsidR="00EC50C9" w:rsidRPr="00102277" w:rsidRDefault="00EC50C9" w:rsidP="00EC50C9">
      <w:pPr>
        <w:spacing w:after="0" w:line="240" w:lineRule="auto"/>
        <w:ind w:left="720"/>
        <w:rPr>
          <w:rFonts w:eastAsia="Times New Roman" w:cs="Times New Roman"/>
          <w:szCs w:val="24"/>
          <w:lang w:val="en-GB" w:eastAsia="en-GB"/>
        </w:rPr>
      </w:pPr>
      <w:r w:rsidRPr="00102277">
        <w:rPr>
          <w:rFonts w:eastAsia="Times New Roman" w:cs="Times New Roman"/>
          <w:szCs w:val="24"/>
          <w:lang w:val="en-GB" w:eastAsia="en-GB"/>
        </w:rPr>
        <w:t xml:space="preserve">He [Garda Dillon] did not, in fact, proceed in accordance with the statute, but rather in accordance with a process which is perfectly lawful, which was to seek to obtain from the accused permission to take various samples from him and in the course of which he elaborated in detail </w:t>
      </w:r>
      <w:proofErr w:type="gramStart"/>
      <w:r w:rsidRPr="00102277">
        <w:rPr>
          <w:rFonts w:eastAsia="Times New Roman" w:cs="Times New Roman"/>
          <w:szCs w:val="24"/>
          <w:lang w:val="en-GB" w:eastAsia="en-GB"/>
        </w:rPr>
        <w:t>upon</w:t>
      </w:r>
      <w:proofErr w:type="gramEnd"/>
      <w:r w:rsidRPr="00102277">
        <w:rPr>
          <w:rFonts w:eastAsia="Times New Roman" w:cs="Times New Roman"/>
          <w:szCs w:val="24"/>
          <w:lang w:val="en-GB" w:eastAsia="en-GB"/>
        </w:rPr>
        <w:t xml:space="preserve"> and I’m satisfied as a fact that this occurred, the written consent </w:t>
      </w:r>
      <w:r w:rsidRPr="00102277">
        <w:rPr>
          <w:rFonts w:eastAsia="Times New Roman" w:cs="Times New Roman"/>
          <w:szCs w:val="24"/>
          <w:lang w:val="en-GB" w:eastAsia="en-GB"/>
        </w:rPr>
        <w:lastRenderedPageBreak/>
        <w:t xml:space="preserve">which was proffered to the accused. In effect, therefore, at that juncture the Garda had abandoned reliance upon the Act and the order made by the Superintendent and was proceeding in accordance with his powers as a member of </w:t>
      </w:r>
      <w:proofErr w:type="gramStart"/>
      <w:r w:rsidRPr="00102277">
        <w:rPr>
          <w:rFonts w:eastAsia="Times New Roman" w:cs="Times New Roman"/>
          <w:szCs w:val="24"/>
          <w:lang w:val="en-GB" w:eastAsia="en-GB"/>
        </w:rPr>
        <w:t>An</w:t>
      </w:r>
      <w:proofErr w:type="gramEnd"/>
      <w:r w:rsidRPr="00102277">
        <w:rPr>
          <w:rFonts w:eastAsia="Times New Roman" w:cs="Times New Roman"/>
          <w:szCs w:val="24"/>
          <w:lang w:val="en-GB" w:eastAsia="en-GB"/>
        </w:rPr>
        <w:t xml:space="preserve"> Garda Síochána at common law to take samples from someone who was in garda custody with that person’s consent.</w:t>
      </w:r>
    </w:p>
    <w:p w14:paraId="245FE752" w14:textId="77777777" w:rsidR="00EC50C9" w:rsidRPr="00102277" w:rsidRDefault="00EC50C9" w:rsidP="00EC50C9">
      <w:pPr>
        <w:spacing w:after="0" w:line="240" w:lineRule="auto"/>
        <w:rPr>
          <w:rFonts w:eastAsia="Times New Roman" w:cs="Times New Roman"/>
          <w:szCs w:val="24"/>
          <w:lang w:val="en-GB" w:eastAsia="en-GB"/>
        </w:rPr>
      </w:pPr>
    </w:p>
    <w:p w14:paraId="0E39EE56" w14:textId="77777777" w:rsidR="00EC50C9" w:rsidRPr="00102277" w:rsidRDefault="00EC50C9" w:rsidP="00EC50C9">
      <w:pPr>
        <w:spacing w:after="0" w:line="240" w:lineRule="auto"/>
        <w:rPr>
          <w:rFonts w:eastAsia="Times New Roman" w:cs="Times New Roman"/>
          <w:szCs w:val="24"/>
          <w:lang w:val="en-GB" w:eastAsia="en-GB"/>
        </w:rPr>
      </w:pPr>
      <w:r w:rsidRPr="00102277">
        <w:rPr>
          <w:rFonts w:eastAsia="Times New Roman" w:cs="Times New Roman"/>
          <w:szCs w:val="24"/>
          <w:lang w:val="en-GB" w:eastAsia="en-GB"/>
        </w:rPr>
        <w:t>9. McCarthy J therefore held that the forensic evidence obtained from Christopher McDonald was admissible on the basis that the common law power to obtain samples had been lawfully utilised, thereby rendering any argument in relation to compliance with the requirements of the 1990 Act no longer applicable in this context. The evidence was presented to the jury</w:t>
      </w:r>
      <w:r>
        <w:rPr>
          <w:rFonts w:eastAsia="Times New Roman" w:cs="Times New Roman"/>
          <w:szCs w:val="24"/>
          <w:lang w:val="en-GB" w:eastAsia="en-GB"/>
        </w:rPr>
        <w:t>.</w:t>
      </w:r>
    </w:p>
    <w:p w14:paraId="5F791FE6" w14:textId="77777777" w:rsidR="00EC50C9" w:rsidRPr="00102277" w:rsidRDefault="00EC50C9" w:rsidP="00EC50C9">
      <w:pPr>
        <w:spacing w:after="0" w:line="240" w:lineRule="auto"/>
        <w:rPr>
          <w:rFonts w:eastAsia="Times New Roman" w:cs="Times New Roman"/>
          <w:szCs w:val="24"/>
          <w:lang w:val="en-GB" w:eastAsia="en-GB"/>
        </w:rPr>
      </w:pPr>
    </w:p>
    <w:p w14:paraId="44C99F68" w14:textId="77777777" w:rsidR="00EC50C9" w:rsidRPr="00102277" w:rsidRDefault="00EC50C9" w:rsidP="00EC50C9">
      <w:pPr>
        <w:spacing w:after="0" w:line="240" w:lineRule="auto"/>
        <w:rPr>
          <w:rFonts w:eastAsia="Times New Roman" w:cs="Times New Roman"/>
          <w:b/>
          <w:bCs/>
          <w:szCs w:val="24"/>
          <w:lang w:val="en-GB" w:eastAsia="en-GB"/>
        </w:rPr>
      </w:pPr>
      <w:r w:rsidRPr="00102277">
        <w:rPr>
          <w:rFonts w:eastAsia="Times New Roman" w:cs="Times New Roman"/>
          <w:b/>
          <w:bCs/>
          <w:szCs w:val="24"/>
          <w:lang w:val="en-GB" w:eastAsia="en-GB"/>
        </w:rPr>
        <w:t>Court of Appeal</w:t>
      </w:r>
    </w:p>
    <w:p w14:paraId="05F5455B" w14:textId="77777777" w:rsidR="00EC50C9" w:rsidRPr="00102277" w:rsidRDefault="00EC50C9" w:rsidP="00EC50C9">
      <w:pPr>
        <w:spacing w:after="0" w:line="240" w:lineRule="auto"/>
        <w:rPr>
          <w:rFonts w:eastAsia="Times New Roman" w:cs="Times New Roman"/>
          <w:b/>
          <w:bCs/>
          <w:szCs w:val="24"/>
          <w:lang w:val="en-GB" w:eastAsia="en-GB"/>
        </w:rPr>
      </w:pPr>
    </w:p>
    <w:p w14:paraId="2D726F1B" w14:textId="77777777" w:rsidR="00EC50C9" w:rsidRPr="00102277" w:rsidRDefault="00EC50C9" w:rsidP="00EC50C9">
      <w:pPr>
        <w:spacing w:after="0" w:line="240" w:lineRule="auto"/>
        <w:rPr>
          <w:rFonts w:eastAsia="Times New Roman" w:cs="Times New Roman"/>
          <w:szCs w:val="24"/>
          <w:lang w:val="en-GB" w:eastAsia="en-GB"/>
        </w:rPr>
      </w:pPr>
      <w:r w:rsidRPr="00102277">
        <w:rPr>
          <w:rFonts w:eastAsia="Times New Roman" w:cs="Times New Roman"/>
          <w:szCs w:val="24"/>
          <w:lang w:val="en-GB" w:eastAsia="en-GB"/>
        </w:rPr>
        <w:t>10.</w:t>
      </w:r>
      <w:r>
        <w:rPr>
          <w:rFonts w:eastAsia="Times New Roman" w:cs="Times New Roman"/>
          <w:szCs w:val="24"/>
          <w:lang w:val="en-GB" w:eastAsia="en-GB"/>
        </w:rPr>
        <w:t xml:space="preserve"> Christopher McDonald</w:t>
      </w:r>
      <w:r w:rsidRPr="00102277">
        <w:rPr>
          <w:rFonts w:eastAsia="Times New Roman" w:cs="Times New Roman"/>
          <w:szCs w:val="24"/>
          <w:lang w:val="en-GB" w:eastAsia="en-GB"/>
        </w:rPr>
        <w:t xml:space="preserve"> appealed to the Court of Appeal on 13 grounds</w:t>
      </w:r>
      <w:r>
        <w:rPr>
          <w:rFonts w:eastAsia="Times New Roman" w:cs="Times New Roman"/>
          <w:szCs w:val="24"/>
          <w:lang w:val="en-GB" w:eastAsia="en-GB"/>
        </w:rPr>
        <w:t xml:space="preserve">, which do not require to be reproduced here, apart from </w:t>
      </w:r>
      <w:r w:rsidRPr="00102277">
        <w:rPr>
          <w:rFonts w:eastAsia="Times New Roman" w:cs="Times New Roman"/>
          <w:szCs w:val="24"/>
          <w:lang w:val="en-GB" w:eastAsia="en-GB"/>
        </w:rPr>
        <w:t xml:space="preserve"> </w:t>
      </w:r>
    </w:p>
    <w:p w14:paraId="1A1D1762" w14:textId="77777777" w:rsidR="00EC50C9" w:rsidRPr="00102277" w:rsidRDefault="00EC50C9" w:rsidP="00EC50C9">
      <w:pPr>
        <w:spacing w:after="0" w:line="240" w:lineRule="auto"/>
        <w:rPr>
          <w:rFonts w:eastAsia="Times New Roman" w:cs="Times New Roman"/>
          <w:szCs w:val="24"/>
          <w:lang w:val="en-GB" w:eastAsia="en-GB"/>
        </w:rPr>
      </w:pPr>
    </w:p>
    <w:p w14:paraId="6916C365" w14:textId="77777777" w:rsidR="00EC50C9" w:rsidRDefault="00EC50C9" w:rsidP="00EC50C9">
      <w:pPr>
        <w:spacing w:after="0" w:line="240" w:lineRule="auto"/>
        <w:ind w:left="720"/>
        <w:rPr>
          <w:rFonts w:eastAsia="Times New Roman" w:cs="Times New Roman"/>
          <w:szCs w:val="24"/>
          <w:lang w:val="en-GB" w:eastAsia="en-GB"/>
        </w:rPr>
      </w:pPr>
      <w:r w:rsidRPr="00102277">
        <w:rPr>
          <w:rFonts w:eastAsia="Times New Roman" w:cs="Times New Roman"/>
          <w:szCs w:val="24"/>
          <w:lang w:val="en-GB" w:eastAsia="en-GB"/>
        </w:rPr>
        <w:t xml:space="preserve">(vi) That the trial judge erred in law and in fact in admitting evidence in respect of forensic samples taken from the appellant in circumstances where it had not been established in evidence that the samples were lawfully </w:t>
      </w:r>
      <w:proofErr w:type="gramStart"/>
      <w:r w:rsidRPr="00102277">
        <w:rPr>
          <w:rFonts w:eastAsia="Times New Roman" w:cs="Times New Roman"/>
          <w:szCs w:val="24"/>
          <w:lang w:val="en-GB" w:eastAsia="en-GB"/>
        </w:rPr>
        <w:t>taken;</w:t>
      </w:r>
      <w:proofErr w:type="gramEnd"/>
    </w:p>
    <w:p w14:paraId="2952EDC2" w14:textId="77777777" w:rsidR="00EC50C9" w:rsidRPr="00102277" w:rsidRDefault="00EC50C9" w:rsidP="00EC50C9">
      <w:pPr>
        <w:spacing w:after="0" w:line="240" w:lineRule="auto"/>
        <w:rPr>
          <w:rFonts w:eastAsia="Times New Roman" w:cs="Times New Roman"/>
          <w:szCs w:val="24"/>
          <w:lang w:val="en-GB" w:eastAsia="en-GB"/>
        </w:rPr>
      </w:pPr>
    </w:p>
    <w:p w14:paraId="6D77ECD0" w14:textId="77777777" w:rsidR="00EC50C9" w:rsidRPr="00102277" w:rsidRDefault="00EC50C9" w:rsidP="00EC50C9">
      <w:pPr>
        <w:spacing w:after="0" w:line="240" w:lineRule="auto"/>
        <w:rPr>
          <w:rFonts w:eastAsia="Times New Roman" w:cs="Times New Roman"/>
          <w:szCs w:val="24"/>
          <w:lang w:val="en-GB" w:eastAsia="en-GB"/>
        </w:rPr>
      </w:pPr>
      <w:r w:rsidRPr="00102277">
        <w:rPr>
          <w:rFonts w:eastAsia="Times New Roman" w:cs="Times New Roman"/>
          <w:szCs w:val="24"/>
          <w:lang w:val="en-GB" w:eastAsia="en-GB"/>
        </w:rPr>
        <w:t xml:space="preserve">11. The Court of Appeal rejected each ground of appeal, holding at [56] that “none of the grounds advanced by way of written or oral submission have caused us to doubt the fairness of the trial or the safety of the verdict.” Essentially, </w:t>
      </w:r>
      <w:r>
        <w:rPr>
          <w:rFonts w:eastAsia="Times New Roman" w:cs="Times New Roman"/>
          <w:szCs w:val="24"/>
          <w:lang w:val="en-GB" w:eastAsia="en-GB"/>
        </w:rPr>
        <w:t>the argument put forward on behalf of Christopher McDonald</w:t>
      </w:r>
      <w:r w:rsidRPr="00102277">
        <w:rPr>
          <w:rFonts w:eastAsia="Times New Roman" w:cs="Times New Roman"/>
          <w:szCs w:val="24"/>
          <w:lang w:val="en-GB" w:eastAsia="en-GB"/>
        </w:rPr>
        <w:t xml:space="preserve"> in the Court of Appeal </w:t>
      </w:r>
      <w:r>
        <w:rPr>
          <w:rFonts w:eastAsia="Times New Roman" w:cs="Times New Roman"/>
          <w:szCs w:val="24"/>
          <w:lang w:val="en-GB" w:eastAsia="en-GB"/>
        </w:rPr>
        <w:t>is</w:t>
      </w:r>
      <w:r w:rsidRPr="00102277">
        <w:rPr>
          <w:rFonts w:eastAsia="Times New Roman" w:cs="Times New Roman"/>
          <w:szCs w:val="24"/>
          <w:lang w:val="en-GB" w:eastAsia="en-GB"/>
        </w:rPr>
        <w:t xml:space="preserve"> the point advanced </w:t>
      </w:r>
      <w:r>
        <w:rPr>
          <w:rFonts w:eastAsia="Times New Roman" w:cs="Times New Roman"/>
          <w:szCs w:val="24"/>
          <w:lang w:val="en-GB" w:eastAsia="en-GB"/>
        </w:rPr>
        <w:t xml:space="preserve">on </w:t>
      </w:r>
      <w:r w:rsidRPr="00102277">
        <w:rPr>
          <w:rFonts w:eastAsia="Times New Roman" w:cs="Times New Roman"/>
          <w:szCs w:val="24"/>
          <w:lang w:val="en-GB" w:eastAsia="en-GB"/>
        </w:rPr>
        <w:t>appeal, with counsel for Christopher McDonald submitting that the samples were taken unlawfully if they were to be deemed taken pursuant to the 1990 Act on the basis that the relevant procedures had not been followed, or, if taken on foot of the common law power, as held by the trial judge, the evidence was unlawfully obtained on the basis that it had been obtained on foot of consent in breach of the appellant’s constitutional right of access to a lawyer.</w:t>
      </w:r>
    </w:p>
    <w:p w14:paraId="2CC4D064" w14:textId="77777777" w:rsidR="00EC50C9" w:rsidRPr="00102277" w:rsidRDefault="00EC50C9" w:rsidP="00EC50C9">
      <w:pPr>
        <w:spacing w:after="0" w:line="240" w:lineRule="auto"/>
        <w:rPr>
          <w:rFonts w:eastAsia="Times New Roman" w:cs="Times New Roman"/>
          <w:szCs w:val="24"/>
          <w:lang w:val="en-GB" w:eastAsia="en-GB"/>
        </w:rPr>
      </w:pPr>
    </w:p>
    <w:p w14:paraId="157B444D" w14:textId="77777777" w:rsidR="00EC50C9" w:rsidRPr="00102277" w:rsidRDefault="00EC50C9" w:rsidP="00EC50C9">
      <w:pPr>
        <w:spacing w:after="0" w:line="240" w:lineRule="auto"/>
        <w:rPr>
          <w:rFonts w:eastAsia="Times New Roman" w:cs="Times New Roman"/>
          <w:szCs w:val="24"/>
          <w:lang w:val="en-GB" w:eastAsia="en-GB"/>
        </w:rPr>
      </w:pPr>
      <w:r w:rsidRPr="00102277">
        <w:rPr>
          <w:rFonts w:eastAsia="Times New Roman" w:cs="Times New Roman"/>
          <w:szCs w:val="24"/>
          <w:lang w:val="en-GB" w:eastAsia="en-GB"/>
        </w:rPr>
        <w:t xml:space="preserve">12. </w:t>
      </w:r>
      <w:r>
        <w:rPr>
          <w:rFonts w:eastAsia="Times New Roman" w:cs="Times New Roman"/>
          <w:szCs w:val="24"/>
          <w:lang w:val="en-GB" w:eastAsia="en-GB"/>
        </w:rPr>
        <w:t>Submiss</w:t>
      </w:r>
      <w:r w:rsidRPr="00102277">
        <w:rPr>
          <w:rFonts w:eastAsia="Times New Roman" w:cs="Times New Roman"/>
          <w:szCs w:val="24"/>
          <w:lang w:val="en-GB" w:eastAsia="en-GB"/>
        </w:rPr>
        <w:t xml:space="preserve">ions </w:t>
      </w:r>
      <w:r>
        <w:rPr>
          <w:rFonts w:eastAsia="Times New Roman" w:cs="Times New Roman"/>
          <w:szCs w:val="24"/>
          <w:lang w:val="en-GB" w:eastAsia="en-GB"/>
        </w:rPr>
        <w:t>on this</w:t>
      </w:r>
      <w:r w:rsidRPr="00102277">
        <w:rPr>
          <w:rFonts w:eastAsia="Times New Roman" w:cs="Times New Roman"/>
          <w:szCs w:val="24"/>
          <w:lang w:val="en-GB" w:eastAsia="en-GB"/>
        </w:rPr>
        <w:t xml:space="preserve"> appeal focused on the argument in relation to the appellant’s right to legal advice prior to the taking of samples for forensic analysis. The Court of Appeal </w:t>
      </w:r>
      <w:r>
        <w:rPr>
          <w:rFonts w:eastAsia="Times New Roman" w:cs="Times New Roman"/>
          <w:szCs w:val="24"/>
          <w:lang w:val="en-GB" w:eastAsia="en-GB"/>
        </w:rPr>
        <w:t xml:space="preserve">had </w:t>
      </w:r>
      <w:r w:rsidRPr="00102277">
        <w:rPr>
          <w:rFonts w:eastAsia="Times New Roman" w:cs="Times New Roman"/>
          <w:szCs w:val="24"/>
          <w:lang w:val="en-GB" w:eastAsia="en-GB"/>
        </w:rPr>
        <w:t>held that this finding was depend</w:t>
      </w:r>
      <w:r>
        <w:rPr>
          <w:rFonts w:eastAsia="Times New Roman" w:cs="Times New Roman"/>
          <w:szCs w:val="24"/>
          <w:lang w:val="en-GB" w:eastAsia="en-GB"/>
        </w:rPr>
        <w:t>e</w:t>
      </w:r>
      <w:r w:rsidRPr="00102277">
        <w:rPr>
          <w:rFonts w:eastAsia="Times New Roman" w:cs="Times New Roman"/>
          <w:szCs w:val="24"/>
          <w:lang w:val="en-GB" w:eastAsia="en-GB"/>
        </w:rPr>
        <w:t xml:space="preserve">nt on the implications of the decision in </w:t>
      </w:r>
      <w:r w:rsidRPr="00102277">
        <w:rPr>
          <w:rFonts w:eastAsia="Times New Roman" w:cs="Times New Roman"/>
          <w:i/>
          <w:szCs w:val="24"/>
          <w:lang w:val="en-GB" w:eastAsia="en-GB"/>
        </w:rPr>
        <w:t>The People (</w:t>
      </w:r>
      <w:r w:rsidRPr="00102277">
        <w:rPr>
          <w:rFonts w:eastAsia="Times New Roman" w:cs="Times New Roman"/>
          <w:i/>
          <w:iCs/>
          <w:szCs w:val="24"/>
          <w:lang w:val="en-GB" w:eastAsia="en-GB"/>
        </w:rPr>
        <w:t>DPP) v Gormley and White</w:t>
      </w:r>
      <w:r w:rsidRPr="00102277">
        <w:rPr>
          <w:rFonts w:eastAsia="Times New Roman" w:cs="Times New Roman"/>
          <w:szCs w:val="24"/>
          <w:lang w:val="en-GB" w:eastAsia="en-GB"/>
        </w:rPr>
        <w:t xml:space="preserve"> [2014] </w:t>
      </w:r>
      <w:r>
        <w:rPr>
          <w:rFonts w:eastAsia="Times New Roman" w:cs="Times New Roman"/>
          <w:szCs w:val="24"/>
          <w:lang w:val="en-GB" w:eastAsia="en-GB"/>
        </w:rPr>
        <w:t xml:space="preserve">IESC 17, [2014] </w:t>
      </w:r>
      <w:r w:rsidRPr="00102277">
        <w:rPr>
          <w:rFonts w:eastAsia="Times New Roman" w:cs="Times New Roman"/>
          <w:szCs w:val="24"/>
          <w:lang w:val="en-GB" w:eastAsia="en-GB"/>
        </w:rPr>
        <w:t xml:space="preserve">2 IR 591. Counsel for Christopher McDonald contended that the </w:t>
      </w:r>
      <w:r w:rsidRPr="00102277">
        <w:rPr>
          <w:rFonts w:eastAsia="Times New Roman" w:cs="Times New Roman"/>
          <w:i/>
          <w:iCs/>
          <w:szCs w:val="24"/>
          <w:lang w:val="en-GB" w:eastAsia="en-GB"/>
        </w:rPr>
        <w:t xml:space="preserve">ratio </w:t>
      </w:r>
      <w:r w:rsidRPr="00102277">
        <w:rPr>
          <w:rFonts w:eastAsia="Times New Roman" w:cs="Times New Roman"/>
          <w:szCs w:val="24"/>
          <w:lang w:val="en-GB" w:eastAsia="en-GB"/>
        </w:rPr>
        <w:t>of this</w:t>
      </w:r>
      <w:r>
        <w:rPr>
          <w:rFonts w:eastAsia="Times New Roman" w:cs="Times New Roman"/>
          <w:szCs w:val="24"/>
          <w:lang w:val="en-GB" w:eastAsia="en-GB"/>
        </w:rPr>
        <w:t xml:space="preserve"> decision</w:t>
      </w:r>
      <w:r w:rsidRPr="00102277">
        <w:rPr>
          <w:rFonts w:eastAsia="Times New Roman" w:cs="Times New Roman"/>
          <w:szCs w:val="24"/>
          <w:lang w:val="en-GB" w:eastAsia="en-GB"/>
        </w:rPr>
        <w:t xml:space="preserve"> was that</w:t>
      </w:r>
      <w:r>
        <w:rPr>
          <w:rFonts w:eastAsia="Times New Roman" w:cs="Times New Roman"/>
          <w:szCs w:val="24"/>
          <w:lang w:val="en-GB" w:eastAsia="en-GB"/>
        </w:rPr>
        <w:t>,</w:t>
      </w:r>
      <w:r w:rsidRPr="00102277">
        <w:rPr>
          <w:rFonts w:eastAsia="Times New Roman" w:cs="Times New Roman"/>
          <w:szCs w:val="24"/>
          <w:lang w:val="en-GB" w:eastAsia="en-GB"/>
        </w:rPr>
        <w:t xml:space="preserve"> as the appellant had a choice as to </w:t>
      </w:r>
      <w:proofErr w:type="gramStart"/>
      <w:r w:rsidRPr="00102277">
        <w:rPr>
          <w:rFonts w:eastAsia="Times New Roman" w:cs="Times New Roman"/>
          <w:szCs w:val="24"/>
          <w:lang w:val="en-GB" w:eastAsia="en-GB"/>
        </w:rPr>
        <w:t>whether or not</w:t>
      </w:r>
      <w:proofErr w:type="gramEnd"/>
      <w:r w:rsidRPr="00102277">
        <w:rPr>
          <w:rFonts w:eastAsia="Times New Roman" w:cs="Times New Roman"/>
          <w:szCs w:val="24"/>
          <w:lang w:val="en-GB" w:eastAsia="en-GB"/>
        </w:rPr>
        <w:t xml:space="preserve"> to give a sample on foot of the common law power, the taking of the sample prior to </w:t>
      </w:r>
      <w:r>
        <w:rPr>
          <w:rFonts w:eastAsia="Times New Roman" w:cs="Times New Roman"/>
          <w:szCs w:val="24"/>
          <w:lang w:val="en-GB" w:eastAsia="en-GB"/>
        </w:rPr>
        <w:t xml:space="preserve">his having </w:t>
      </w:r>
      <w:r w:rsidRPr="00102277">
        <w:rPr>
          <w:rFonts w:eastAsia="Times New Roman" w:cs="Times New Roman"/>
          <w:szCs w:val="24"/>
          <w:lang w:val="en-GB" w:eastAsia="en-GB"/>
        </w:rPr>
        <w:t xml:space="preserve">any opportunity to take advice from his solicitor constituted a breach of his constitutional right of access to a lawyer. The </w:t>
      </w:r>
      <w:r>
        <w:rPr>
          <w:rFonts w:eastAsia="Times New Roman" w:cs="Times New Roman"/>
          <w:szCs w:val="24"/>
          <w:lang w:val="en-GB" w:eastAsia="en-GB"/>
        </w:rPr>
        <w:t>prosecution</w:t>
      </w:r>
      <w:r w:rsidRPr="00102277">
        <w:rPr>
          <w:rFonts w:eastAsia="Times New Roman" w:cs="Times New Roman"/>
          <w:szCs w:val="24"/>
          <w:lang w:val="en-GB" w:eastAsia="en-GB"/>
        </w:rPr>
        <w:t xml:space="preserve"> relied on this same decision and certain </w:t>
      </w:r>
      <w:r w:rsidRPr="00102277">
        <w:rPr>
          <w:rFonts w:eastAsia="Times New Roman" w:cs="Times New Roman"/>
          <w:i/>
          <w:iCs/>
          <w:szCs w:val="24"/>
          <w:lang w:val="en-GB" w:eastAsia="en-GB"/>
        </w:rPr>
        <w:t>dicta</w:t>
      </w:r>
      <w:r w:rsidRPr="00102277">
        <w:rPr>
          <w:rFonts w:eastAsia="Times New Roman" w:cs="Times New Roman"/>
          <w:szCs w:val="24"/>
          <w:lang w:val="en-GB" w:eastAsia="en-GB"/>
        </w:rPr>
        <w:t xml:space="preserve"> of Charleton J in </w:t>
      </w:r>
      <w:r>
        <w:rPr>
          <w:rFonts w:eastAsia="Times New Roman" w:cs="Times New Roman"/>
          <w:i/>
          <w:iCs/>
          <w:szCs w:val="24"/>
          <w:lang w:val="en-GB" w:eastAsia="en-GB"/>
        </w:rPr>
        <w:t xml:space="preserve">The People </w:t>
      </w:r>
      <w:r w:rsidRPr="00102277">
        <w:rPr>
          <w:rFonts w:eastAsia="Times New Roman" w:cs="Times New Roman"/>
          <w:szCs w:val="24"/>
          <w:lang w:val="en-GB" w:eastAsia="en-GB"/>
        </w:rPr>
        <w:t>(</w:t>
      </w:r>
      <w:r w:rsidRPr="00102277">
        <w:rPr>
          <w:rFonts w:eastAsia="Times New Roman" w:cs="Times New Roman"/>
          <w:i/>
          <w:iCs/>
          <w:szCs w:val="24"/>
          <w:lang w:val="en-GB" w:eastAsia="en-GB"/>
        </w:rPr>
        <w:t>DPP) v Barry Doyle</w:t>
      </w:r>
      <w:r w:rsidRPr="00102277">
        <w:rPr>
          <w:rFonts w:eastAsia="Times New Roman" w:cs="Times New Roman"/>
          <w:szCs w:val="24"/>
          <w:lang w:val="en-GB" w:eastAsia="en-GB"/>
        </w:rPr>
        <w:t xml:space="preserve"> </w:t>
      </w:r>
      <w:r>
        <w:rPr>
          <w:rFonts w:eastAsia="Times New Roman" w:cs="Times New Roman"/>
          <w:szCs w:val="24"/>
          <w:lang w:val="en-GB" w:eastAsia="en-GB"/>
        </w:rPr>
        <w:t xml:space="preserve">[2017] IESC 1, </w:t>
      </w:r>
      <w:r w:rsidRPr="00102277">
        <w:rPr>
          <w:rFonts w:eastAsia="Times New Roman" w:cs="Times New Roman"/>
          <w:szCs w:val="24"/>
          <w:lang w:val="en-GB" w:eastAsia="en-GB"/>
        </w:rPr>
        <w:t>[2018] 1 IR 1 in submitting that access to legal advice was not required in this instance, as it did not engage Christopher McDonald’s right against self-incrimination due to the objective nature of the forensic evidence.</w:t>
      </w:r>
    </w:p>
    <w:p w14:paraId="34F80BC0" w14:textId="77777777" w:rsidR="00EC50C9" w:rsidRPr="00102277" w:rsidRDefault="00EC50C9" w:rsidP="00EC50C9">
      <w:pPr>
        <w:spacing w:after="0" w:line="240" w:lineRule="auto"/>
        <w:rPr>
          <w:rFonts w:eastAsia="Times New Roman" w:cs="Times New Roman"/>
          <w:szCs w:val="24"/>
          <w:lang w:val="en-GB" w:eastAsia="en-GB"/>
        </w:rPr>
      </w:pPr>
    </w:p>
    <w:p w14:paraId="2AE78D0F" w14:textId="77777777" w:rsidR="00EC50C9" w:rsidRPr="00102277" w:rsidRDefault="00EC50C9" w:rsidP="00EC50C9">
      <w:pPr>
        <w:spacing w:after="0" w:line="240" w:lineRule="auto"/>
        <w:rPr>
          <w:rFonts w:eastAsia="Times New Roman" w:cs="Times New Roman"/>
          <w:szCs w:val="24"/>
          <w:lang w:val="en-GB" w:eastAsia="en-GB"/>
        </w:rPr>
      </w:pPr>
      <w:r w:rsidRPr="00102277">
        <w:rPr>
          <w:rFonts w:eastAsia="Times New Roman" w:cs="Times New Roman"/>
          <w:szCs w:val="24"/>
          <w:lang w:val="en-GB" w:eastAsia="en-GB"/>
        </w:rPr>
        <w:t xml:space="preserve">13. In considering the </w:t>
      </w:r>
      <w:r w:rsidRPr="00102277">
        <w:rPr>
          <w:rFonts w:eastAsia="Times New Roman" w:cs="Times New Roman"/>
          <w:i/>
          <w:iCs/>
          <w:szCs w:val="24"/>
          <w:lang w:val="en-GB" w:eastAsia="en-GB"/>
        </w:rPr>
        <w:t>Gormley and White</w:t>
      </w:r>
      <w:r w:rsidRPr="00102277">
        <w:rPr>
          <w:rFonts w:eastAsia="Times New Roman" w:cs="Times New Roman"/>
          <w:szCs w:val="24"/>
          <w:lang w:val="en-GB" w:eastAsia="en-GB"/>
        </w:rPr>
        <w:t xml:space="preserve"> case, at [3</w:t>
      </w:r>
      <w:r>
        <w:rPr>
          <w:rFonts w:eastAsia="Times New Roman" w:cs="Times New Roman"/>
          <w:szCs w:val="24"/>
          <w:lang w:val="en-GB" w:eastAsia="en-GB"/>
        </w:rPr>
        <w:t>5</w:t>
      </w:r>
      <w:r w:rsidRPr="00102277">
        <w:rPr>
          <w:rFonts w:eastAsia="Times New Roman" w:cs="Times New Roman"/>
          <w:szCs w:val="24"/>
          <w:lang w:val="en-GB" w:eastAsia="en-GB"/>
        </w:rPr>
        <w:t xml:space="preserve">], the Court of Appeal judgment stated that “in one sense it might be said that this case falls somewhere between </w:t>
      </w:r>
      <w:r w:rsidRPr="00102277">
        <w:rPr>
          <w:rFonts w:eastAsia="Times New Roman" w:cs="Times New Roman"/>
          <w:i/>
          <w:iCs/>
          <w:szCs w:val="24"/>
          <w:lang w:val="en-GB" w:eastAsia="en-GB"/>
        </w:rPr>
        <w:t>Gormley</w:t>
      </w:r>
      <w:r w:rsidRPr="00102277">
        <w:rPr>
          <w:rFonts w:eastAsia="Times New Roman" w:cs="Times New Roman"/>
          <w:szCs w:val="24"/>
          <w:lang w:val="en-GB" w:eastAsia="en-GB"/>
        </w:rPr>
        <w:t xml:space="preserve"> and </w:t>
      </w:r>
      <w:r w:rsidRPr="00102277">
        <w:rPr>
          <w:rFonts w:eastAsia="Times New Roman" w:cs="Times New Roman"/>
          <w:i/>
          <w:iCs/>
          <w:szCs w:val="24"/>
          <w:lang w:val="en-GB" w:eastAsia="en-GB"/>
        </w:rPr>
        <w:t>White</w:t>
      </w:r>
      <w:r w:rsidRPr="00102277">
        <w:rPr>
          <w:rFonts w:eastAsia="Times New Roman" w:cs="Times New Roman"/>
          <w:szCs w:val="24"/>
          <w:lang w:val="en-GB" w:eastAsia="en-GB"/>
        </w:rPr>
        <w:t xml:space="preserve">”, in that the </w:t>
      </w:r>
      <w:r>
        <w:rPr>
          <w:rFonts w:eastAsia="Times New Roman" w:cs="Times New Roman"/>
          <w:szCs w:val="24"/>
          <w:lang w:val="en-GB" w:eastAsia="en-GB"/>
        </w:rPr>
        <w:t xml:space="preserve">Christopher McDonald </w:t>
      </w:r>
      <w:r w:rsidRPr="00102277">
        <w:rPr>
          <w:rFonts w:eastAsia="Times New Roman" w:cs="Times New Roman"/>
          <w:szCs w:val="24"/>
          <w:lang w:val="en-GB" w:eastAsia="en-GB"/>
        </w:rPr>
        <w:t xml:space="preserve">was not questioned prior to the arrival of his solicitor, thereby distinguishing the </w:t>
      </w:r>
      <w:r w:rsidRPr="00102277">
        <w:rPr>
          <w:rFonts w:eastAsia="Times New Roman" w:cs="Times New Roman"/>
          <w:i/>
          <w:iCs/>
          <w:szCs w:val="24"/>
          <w:lang w:val="en-GB" w:eastAsia="en-GB"/>
        </w:rPr>
        <w:t>ratio</w:t>
      </w:r>
      <w:r w:rsidRPr="00102277">
        <w:rPr>
          <w:rFonts w:eastAsia="Times New Roman" w:cs="Times New Roman"/>
          <w:szCs w:val="24"/>
          <w:lang w:val="en-GB" w:eastAsia="en-GB"/>
        </w:rPr>
        <w:t xml:space="preserve"> of </w:t>
      </w:r>
      <w:r w:rsidRPr="00102277">
        <w:rPr>
          <w:rFonts w:eastAsia="Times New Roman" w:cs="Times New Roman"/>
          <w:i/>
          <w:iCs/>
          <w:szCs w:val="24"/>
          <w:lang w:val="en-GB" w:eastAsia="en-GB"/>
        </w:rPr>
        <w:t>Gormley</w:t>
      </w:r>
      <w:r w:rsidRPr="00102277">
        <w:rPr>
          <w:rFonts w:eastAsia="Times New Roman" w:cs="Times New Roman"/>
          <w:szCs w:val="24"/>
          <w:lang w:val="en-GB" w:eastAsia="en-GB"/>
        </w:rPr>
        <w:t xml:space="preserve"> from this case. However, the samples were not taken pursuant to a compulsory process, as in </w:t>
      </w:r>
      <w:r w:rsidRPr="00102277">
        <w:rPr>
          <w:rFonts w:eastAsia="Times New Roman" w:cs="Times New Roman"/>
          <w:i/>
          <w:iCs/>
          <w:szCs w:val="24"/>
          <w:lang w:val="en-GB" w:eastAsia="en-GB"/>
        </w:rPr>
        <w:t>White</w:t>
      </w:r>
      <w:r w:rsidRPr="00102277">
        <w:rPr>
          <w:rFonts w:eastAsia="Times New Roman" w:cs="Times New Roman"/>
          <w:szCs w:val="24"/>
          <w:lang w:val="en-GB" w:eastAsia="en-GB"/>
        </w:rPr>
        <w:t>, which arguably might have engaged an issue of fair process; in so far as that might ever be relevant.</w:t>
      </w:r>
    </w:p>
    <w:p w14:paraId="101B36CB" w14:textId="77777777" w:rsidR="00EC50C9" w:rsidRPr="00102277" w:rsidRDefault="00EC50C9" w:rsidP="00EC50C9">
      <w:pPr>
        <w:spacing w:after="0" w:line="240" w:lineRule="auto"/>
        <w:rPr>
          <w:rFonts w:eastAsia="Times New Roman" w:cs="Times New Roman"/>
          <w:szCs w:val="24"/>
          <w:lang w:val="en-GB" w:eastAsia="en-GB"/>
        </w:rPr>
      </w:pPr>
    </w:p>
    <w:p w14:paraId="7F11C204" w14:textId="77777777" w:rsidR="00EC50C9" w:rsidRPr="00102277" w:rsidRDefault="00EC50C9" w:rsidP="00EC50C9">
      <w:pPr>
        <w:spacing w:after="0" w:line="240" w:lineRule="auto"/>
        <w:rPr>
          <w:rFonts w:eastAsia="Times New Roman" w:cs="Times New Roman"/>
          <w:szCs w:val="24"/>
          <w:lang w:val="en-GB" w:eastAsia="en-GB"/>
        </w:rPr>
      </w:pPr>
      <w:r w:rsidRPr="00102277">
        <w:rPr>
          <w:rFonts w:eastAsia="Times New Roman" w:cs="Times New Roman"/>
          <w:szCs w:val="24"/>
          <w:lang w:val="en-GB" w:eastAsia="en-GB"/>
        </w:rPr>
        <w:t xml:space="preserve">14. At [40], the Court of Appeal held that the “basic fairness of process” </w:t>
      </w:r>
      <w:r>
        <w:rPr>
          <w:rFonts w:eastAsia="Times New Roman" w:cs="Times New Roman"/>
          <w:szCs w:val="24"/>
          <w:lang w:val="en-GB" w:eastAsia="en-GB"/>
        </w:rPr>
        <w:t xml:space="preserve">was not </w:t>
      </w:r>
      <w:r w:rsidRPr="00102277">
        <w:rPr>
          <w:rFonts w:eastAsia="Times New Roman" w:cs="Times New Roman"/>
          <w:szCs w:val="24"/>
          <w:lang w:val="en-GB" w:eastAsia="en-GB"/>
        </w:rPr>
        <w:t xml:space="preserve">engaged in the same way as it was in the cases of </w:t>
      </w:r>
      <w:r w:rsidRPr="00102277">
        <w:rPr>
          <w:rFonts w:eastAsia="Times New Roman" w:cs="Times New Roman"/>
          <w:i/>
          <w:iCs/>
          <w:szCs w:val="24"/>
          <w:lang w:val="en-GB" w:eastAsia="en-GB"/>
        </w:rPr>
        <w:t xml:space="preserve">Salduz v Turkey </w:t>
      </w:r>
      <w:r w:rsidRPr="00102277">
        <w:rPr>
          <w:rFonts w:eastAsia="Times New Roman" w:cs="Times New Roman"/>
          <w:szCs w:val="24"/>
          <w:lang w:val="en-GB" w:eastAsia="en-GB"/>
        </w:rPr>
        <w:t xml:space="preserve">(App No 36391/02) (2009) 49 EHRR 19 and in </w:t>
      </w:r>
      <w:r w:rsidRPr="00102277">
        <w:rPr>
          <w:rFonts w:eastAsia="Times New Roman" w:cs="Times New Roman"/>
          <w:i/>
          <w:iCs/>
          <w:szCs w:val="24"/>
          <w:lang w:val="en-GB" w:eastAsia="en-GB"/>
        </w:rPr>
        <w:t>Gormley</w:t>
      </w:r>
      <w:r w:rsidRPr="00102277">
        <w:rPr>
          <w:rFonts w:eastAsia="Times New Roman" w:cs="Times New Roman"/>
          <w:szCs w:val="24"/>
          <w:lang w:val="en-GB" w:eastAsia="en-GB"/>
        </w:rPr>
        <w:t xml:space="preserve"> based on the circumstances which arose here, as a statutory power existed which allowed </w:t>
      </w:r>
      <w:r w:rsidRPr="00102277">
        <w:rPr>
          <w:rFonts w:eastAsia="Times New Roman" w:cs="Times New Roman"/>
          <w:szCs w:val="24"/>
          <w:lang w:val="en-GB" w:eastAsia="en-GB"/>
        </w:rPr>
        <w:lastRenderedPageBreak/>
        <w:t xml:space="preserve">for compulsory obtaining of the samples. It was held that, in effect, the choice on the part of the appellant was rendered “illusory” by the additional mechanism which could have overridden any decision made by Christopher McDonald </w:t>
      </w:r>
      <w:proofErr w:type="gramStart"/>
      <w:r w:rsidRPr="00102277">
        <w:rPr>
          <w:rFonts w:eastAsia="Times New Roman" w:cs="Times New Roman"/>
          <w:szCs w:val="24"/>
          <w:lang w:val="en-GB" w:eastAsia="en-GB"/>
        </w:rPr>
        <w:t>in light of</w:t>
      </w:r>
      <w:proofErr w:type="gramEnd"/>
      <w:r w:rsidRPr="00102277">
        <w:rPr>
          <w:rFonts w:eastAsia="Times New Roman" w:cs="Times New Roman"/>
          <w:szCs w:val="24"/>
          <w:lang w:val="en-GB" w:eastAsia="en-GB"/>
        </w:rPr>
        <w:t xml:space="preserve"> legal advice received. It was, however, highlighted in the Court of Appeal judgment that this conclusion was reached solely on the basis that a power to obtain the sample compulsorily existed, and no proposition was made that the entitlement to a lawyer could never arise in relation to choices relevant to the gathering of “static” evidence, a term used by Charleton J in </w:t>
      </w:r>
      <w:r w:rsidRPr="00102277">
        <w:rPr>
          <w:rFonts w:eastAsia="Times New Roman" w:cs="Times New Roman"/>
          <w:i/>
          <w:szCs w:val="24"/>
          <w:lang w:val="en-GB" w:eastAsia="en-GB"/>
        </w:rPr>
        <w:t>The People (</w:t>
      </w:r>
      <w:r w:rsidRPr="00102277">
        <w:rPr>
          <w:rFonts w:eastAsia="Times New Roman" w:cs="Times New Roman"/>
          <w:i/>
          <w:iCs/>
          <w:szCs w:val="24"/>
          <w:lang w:val="en-GB" w:eastAsia="en-GB"/>
        </w:rPr>
        <w:t>DPP) v Barry Doyle</w:t>
      </w:r>
      <w:r w:rsidRPr="00102277">
        <w:rPr>
          <w:rFonts w:eastAsia="Times New Roman" w:cs="Times New Roman"/>
          <w:szCs w:val="24"/>
          <w:lang w:val="en-GB" w:eastAsia="en-GB"/>
        </w:rPr>
        <w:t>.</w:t>
      </w:r>
    </w:p>
    <w:p w14:paraId="674CFD1A" w14:textId="77777777" w:rsidR="00EC50C9" w:rsidRPr="00102277" w:rsidRDefault="00EC50C9" w:rsidP="00EC50C9">
      <w:pPr>
        <w:spacing w:after="0" w:line="240" w:lineRule="auto"/>
        <w:rPr>
          <w:rFonts w:eastAsia="Times New Roman" w:cs="Times New Roman"/>
          <w:szCs w:val="24"/>
          <w:lang w:val="en-GB" w:eastAsia="en-GB"/>
        </w:rPr>
      </w:pPr>
    </w:p>
    <w:p w14:paraId="0F96ACC9" w14:textId="77777777" w:rsidR="00EC50C9" w:rsidRPr="00102277" w:rsidRDefault="00EC50C9" w:rsidP="00EC50C9">
      <w:pPr>
        <w:spacing w:after="0" w:line="240" w:lineRule="auto"/>
        <w:rPr>
          <w:rFonts w:eastAsia="Times New Roman" w:cs="Times New Roman"/>
          <w:b/>
          <w:bCs/>
          <w:szCs w:val="24"/>
          <w:lang w:val="en-GB" w:eastAsia="en-GB"/>
        </w:rPr>
      </w:pPr>
      <w:r>
        <w:rPr>
          <w:rFonts w:eastAsia="Times New Roman" w:cs="Times New Roman"/>
          <w:b/>
          <w:bCs/>
          <w:szCs w:val="24"/>
          <w:lang w:val="en-GB" w:eastAsia="en-GB"/>
        </w:rPr>
        <w:t>Submissions</w:t>
      </w:r>
    </w:p>
    <w:p w14:paraId="226F426F" w14:textId="77777777" w:rsidR="00EC50C9" w:rsidRPr="00102277" w:rsidRDefault="00EC50C9" w:rsidP="00EC50C9">
      <w:pPr>
        <w:spacing w:after="0" w:line="240" w:lineRule="auto"/>
        <w:rPr>
          <w:rFonts w:eastAsia="Times New Roman" w:cs="Times New Roman"/>
          <w:szCs w:val="24"/>
          <w:lang w:val="en-GB" w:eastAsia="en-GB"/>
        </w:rPr>
      </w:pPr>
    </w:p>
    <w:p w14:paraId="215464A2" w14:textId="77777777" w:rsidR="00EC50C9" w:rsidRPr="00102277" w:rsidRDefault="00EC50C9" w:rsidP="00EC50C9">
      <w:pPr>
        <w:spacing w:after="0" w:line="240" w:lineRule="auto"/>
        <w:rPr>
          <w:rFonts w:eastAsia="Times New Roman" w:cs="Times New Roman"/>
          <w:szCs w:val="24"/>
          <w:lang w:val="en-GB" w:eastAsia="en-GB"/>
        </w:rPr>
      </w:pPr>
      <w:r w:rsidRPr="00102277">
        <w:rPr>
          <w:rFonts w:eastAsia="Times New Roman" w:cs="Times New Roman"/>
          <w:szCs w:val="24"/>
          <w:lang w:val="en-GB" w:eastAsia="en-GB"/>
        </w:rPr>
        <w:t>1</w:t>
      </w:r>
      <w:r>
        <w:rPr>
          <w:rFonts w:eastAsia="Times New Roman" w:cs="Times New Roman"/>
          <w:szCs w:val="24"/>
          <w:lang w:val="en-GB" w:eastAsia="en-GB"/>
        </w:rPr>
        <w:t>5</w:t>
      </w:r>
      <w:r w:rsidRPr="00102277">
        <w:rPr>
          <w:rFonts w:eastAsia="Times New Roman" w:cs="Times New Roman"/>
          <w:szCs w:val="24"/>
          <w:lang w:val="en-GB" w:eastAsia="en-GB"/>
        </w:rPr>
        <w:t xml:space="preserve">. </w:t>
      </w:r>
      <w:r>
        <w:rPr>
          <w:rFonts w:eastAsia="Times New Roman" w:cs="Times New Roman"/>
          <w:szCs w:val="24"/>
          <w:lang w:val="en-GB" w:eastAsia="en-GB"/>
        </w:rPr>
        <w:t>In this court, on behalf of Christopher McDonald it is emphasised that</w:t>
      </w:r>
      <w:r w:rsidRPr="00102277">
        <w:rPr>
          <w:rFonts w:eastAsia="Times New Roman" w:cs="Times New Roman"/>
          <w:szCs w:val="24"/>
          <w:lang w:val="en-GB" w:eastAsia="en-GB"/>
        </w:rPr>
        <w:t xml:space="preserve"> the common law power exercised in this instance</w:t>
      </w:r>
      <w:r>
        <w:rPr>
          <w:rFonts w:eastAsia="Times New Roman" w:cs="Times New Roman"/>
          <w:szCs w:val="24"/>
          <w:lang w:val="en-GB" w:eastAsia="en-GB"/>
        </w:rPr>
        <w:t xml:space="preserve"> </w:t>
      </w:r>
      <w:r w:rsidRPr="00102277">
        <w:rPr>
          <w:rFonts w:eastAsia="Times New Roman" w:cs="Times New Roman"/>
          <w:szCs w:val="24"/>
          <w:lang w:val="en-GB" w:eastAsia="en-GB"/>
        </w:rPr>
        <w:t>derives its legitimacy from the voluntary act of the accused in providing consent</w:t>
      </w:r>
      <w:r>
        <w:rPr>
          <w:rFonts w:eastAsia="Times New Roman" w:cs="Times New Roman"/>
          <w:szCs w:val="24"/>
          <w:lang w:val="en-GB" w:eastAsia="en-GB"/>
        </w:rPr>
        <w:t xml:space="preserve">. </w:t>
      </w:r>
      <w:proofErr w:type="gramStart"/>
      <w:r>
        <w:rPr>
          <w:rFonts w:eastAsia="Times New Roman" w:cs="Times New Roman"/>
          <w:szCs w:val="24"/>
          <w:lang w:val="en-GB" w:eastAsia="en-GB"/>
        </w:rPr>
        <w:t>Thus</w:t>
      </w:r>
      <w:proofErr w:type="gramEnd"/>
      <w:r>
        <w:rPr>
          <w:rFonts w:eastAsia="Times New Roman" w:cs="Times New Roman"/>
          <w:szCs w:val="24"/>
          <w:lang w:val="en-GB" w:eastAsia="en-GB"/>
        </w:rPr>
        <w:t xml:space="preserve"> it is contended</w:t>
      </w:r>
      <w:r w:rsidRPr="00102277">
        <w:rPr>
          <w:rFonts w:eastAsia="Times New Roman" w:cs="Times New Roman"/>
          <w:szCs w:val="24"/>
          <w:lang w:val="en-GB" w:eastAsia="en-GB"/>
        </w:rPr>
        <w:t xml:space="preserve"> that the Court of Appeal erred in this context. In effect, </w:t>
      </w:r>
      <w:r>
        <w:rPr>
          <w:rFonts w:eastAsia="Times New Roman" w:cs="Times New Roman"/>
          <w:szCs w:val="24"/>
          <w:lang w:val="en-GB" w:eastAsia="en-GB"/>
        </w:rPr>
        <w:t xml:space="preserve">it is argued, </w:t>
      </w:r>
      <w:r w:rsidRPr="00102277">
        <w:rPr>
          <w:rFonts w:eastAsia="Times New Roman" w:cs="Times New Roman"/>
          <w:szCs w:val="24"/>
          <w:lang w:val="en-GB" w:eastAsia="en-GB"/>
        </w:rPr>
        <w:t xml:space="preserve">such a finding would give rise to a situation in which </w:t>
      </w:r>
      <w:r>
        <w:rPr>
          <w:rFonts w:eastAsia="Times New Roman" w:cs="Times New Roman"/>
          <w:szCs w:val="24"/>
          <w:lang w:val="en-GB" w:eastAsia="en-GB"/>
        </w:rPr>
        <w:t>g</w:t>
      </w:r>
      <w:r w:rsidRPr="00102277">
        <w:rPr>
          <w:rFonts w:eastAsia="Times New Roman" w:cs="Times New Roman"/>
          <w:szCs w:val="24"/>
          <w:lang w:val="en-GB" w:eastAsia="en-GB"/>
        </w:rPr>
        <w:t>ardaí would be entitled to tell an accused they had a choice in consenting to giving the relevant samples, but where such consent was “effectively a nullity”, as the use of the compulsory power could override any decision, thereby leading to a significant lack of clarity in relation to the potential ramifications of refusing consent.</w:t>
      </w:r>
    </w:p>
    <w:p w14:paraId="3DA55931" w14:textId="77777777" w:rsidR="00EC50C9" w:rsidRPr="00102277" w:rsidRDefault="00EC50C9" w:rsidP="00EC50C9">
      <w:pPr>
        <w:spacing w:after="0" w:line="240" w:lineRule="auto"/>
        <w:rPr>
          <w:rFonts w:eastAsia="Times New Roman" w:cs="Times New Roman"/>
          <w:szCs w:val="24"/>
          <w:lang w:val="en-GB" w:eastAsia="en-GB"/>
        </w:rPr>
      </w:pPr>
    </w:p>
    <w:p w14:paraId="0B5B8B70" w14:textId="77777777" w:rsidR="00EC50C9" w:rsidRPr="00102277" w:rsidRDefault="00EC50C9" w:rsidP="00EC50C9">
      <w:pPr>
        <w:spacing w:after="0" w:line="240" w:lineRule="auto"/>
        <w:rPr>
          <w:rFonts w:eastAsia="Times New Roman" w:cs="Times New Roman"/>
          <w:szCs w:val="24"/>
          <w:lang w:val="en-GB" w:eastAsia="en-GB"/>
        </w:rPr>
      </w:pPr>
      <w:r w:rsidRPr="00102277">
        <w:rPr>
          <w:rFonts w:eastAsia="Times New Roman" w:cs="Times New Roman"/>
          <w:szCs w:val="24"/>
          <w:lang w:val="en-GB" w:eastAsia="en-GB"/>
        </w:rPr>
        <w:t>1</w:t>
      </w:r>
      <w:r>
        <w:rPr>
          <w:rFonts w:eastAsia="Times New Roman" w:cs="Times New Roman"/>
          <w:szCs w:val="24"/>
          <w:lang w:val="en-GB" w:eastAsia="en-GB"/>
        </w:rPr>
        <w:t>6</w:t>
      </w:r>
      <w:r w:rsidRPr="00102277">
        <w:rPr>
          <w:rFonts w:eastAsia="Times New Roman" w:cs="Times New Roman"/>
          <w:szCs w:val="24"/>
          <w:lang w:val="en-GB" w:eastAsia="en-GB"/>
        </w:rPr>
        <w:t>. Furthermore, it is contend</w:t>
      </w:r>
      <w:r>
        <w:rPr>
          <w:rFonts w:eastAsia="Times New Roman" w:cs="Times New Roman"/>
          <w:szCs w:val="24"/>
          <w:lang w:val="en-GB" w:eastAsia="en-GB"/>
        </w:rPr>
        <w:t>ed</w:t>
      </w:r>
      <w:r w:rsidRPr="00102277">
        <w:rPr>
          <w:rFonts w:eastAsia="Times New Roman" w:cs="Times New Roman"/>
          <w:szCs w:val="24"/>
          <w:lang w:val="en-GB" w:eastAsia="en-GB"/>
        </w:rPr>
        <w:t xml:space="preserve"> for Christopher McDonald that </w:t>
      </w:r>
      <w:r>
        <w:rPr>
          <w:rFonts w:eastAsia="Times New Roman" w:cs="Times New Roman"/>
          <w:szCs w:val="24"/>
          <w:lang w:val="en-GB" w:eastAsia="en-GB"/>
        </w:rPr>
        <w:t>this</w:t>
      </w:r>
      <w:r w:rsidRPr="00102277">
        <w:rPr>
          <w:rFonts w:eastAsia="Times New Roman" w:cs="Times New Roman"/>
          <w:szCs w:val="24"/>
          <w:lang w:val="en-GB" w:eastAsia="en-GB"/>
        </w:rPr>
        <w:t xml:space="preserve"> interpretation assumes that such a potential use of the relevant statutory power for compulsory sampling would have been invoked and exercised, thereby bringing the circumstances within the scope of the decision in </w:t>
      </w:r>
      <w:r w:rsidRPr="00102277">
        <w:rPr>
          <w:rFonts w:eastAsia="Times New Roman" w:cs="Times New Roman"/>
          <w:i/>
          <w:iCs/>
          <w:szCs w:val="24"/>
          <w:lang w:val="en-GB" w:eastAsia="en-GB"/>
        </w:rPr>
        <w:t>White</w:t>
      </w:r>
      <w:r w:rsidRPr="00102277">
        <w:rPr>
          <w:rFonts w:eastAsia="Times New Roman" w:cs="Times New Roman"/>
          <w:szCs w:val="24"/>
          <w:lang w:val="en-GB" w:eastAsia="en-GB"/>
        </w:rPr>
        <w:t>. This, on the appellant’s submissions, constitutes a significant level of speculation and should therefore not</w:t>
      </w:r>
      <w:r>
        <w:rPr>
          <w:rFonts w:eastAsia="Times New Roman" w:cs="Times New Roman"/>
          <w:szCs w:val="24"/>
          <w:lang w:val="en-GB" w:eastAsia="en-GB"/>
        </w:rPr>
        <w:t xml:space="preserve"> be</w:t>
      </w:r>
      <w:r w:rsidRPr="00102277">
        <w:rPr>
          <w:rFonts w:eastAsia="Times New Roman" w:cs="Times New Roman"/>
          <w:szCs w:val="24"/>
          <w:lang w:val="en-GB" w:eastAsia="en-GB"/>
        </w:rPr>
        <w:t xml:space="preserve"> </w:t>
      </w:r>
      <w:r>
        <w:rPr>
          <w:rFonts w:eastAsia="Times New Roman" w:cs="Times New Roman"/>
          <w:szCs w:val="24"/>
          <w:lang w:val="en-GB" w:eastAsia="en-GB"/>
        </w:rPr>
        <w:t>countenanced</w:t>
      </w:r>
      <w:r w:rsidRPr="00102277">
        <w:rPr>
          <w:rFonts w:eastAsia="Times New Roman" w:cs="Times New Roman"/>
          <w:szCs w:val="24"/>
          <w:lang w:val="en-GB" w:eastAsia="en-GB"/>
        </w:rPr>
        <w:t>.</w:t>
      </w:r>
    </w:p>
    <w:p w14:paraId="52010AF9" w14:textId="77777777" w:rsidR="00EC50C9" w:rsidRPr="00102277" w:rsidRDefault="00EC50C9" w:rsidP="00EC50C9">
      <w:pPr>
        <w:spacing w:after="0" w:line="240" w:lineRule="auto"/>
        <w:rPr>
          <w:rFonts w:eastAsia="Times New Roman" w:cs="Times New Roman"/>
          <w:szCs w:val="24"/>
          <w:lang w:val="en-GB" w:eastAsia="en-GB"/>
        </w:rPr>
      </w:pPr>
    </w:p>
    <w:p w14:paraId="0D0ED0A5" w14:textId="77777777" w:rsidR="00EC50C9" w:rsidRPr="00102277" w:rsidRDefault="00EC50C9" w:rsidP="00EC50C9">
      <w:pPr>
        <w:spacing w:after="0" w:line="240" w:lineRule="auto"/>
        <w:rPr>
          <w:rFonts w:eastAsia="Times New Roman" w:cs="Times New Roman"/>
          <w:szCs w:val="24"/>
          <w:lang w:val="en-GB" w:eastAsia="en-GB"/>
        </w:rPr>
      </w:pPr>
      <w:r w:rsidRPr="00102277">
        <w:rPr>
          <w:rFonts w:eastAsia="Times New Roman" w:cs="Times New Roman"/>
          <w:szCs w:val="24"/>
          <w:lang w:val="en-GB" w:eastAsia="en-GB"/>
        </w:rPr>
        <w:t>1</w:t>
      </w:r>
      <w:r>
        <w:rPr>
          <w:rFonts w:eastAsia="Times New Roman" w:cs="Times New Roman"/>
          <w:szCs w:val="24"/>
          <w:lang w:val="en-GB" w:eastAsia="en-GB"/>
        </w:rPr>
        <w:t>7</w:t>
      </w:r>
      <w:r w:rsidRPr="00102277">
        <w:rPr>
          <w:rFonts w:eastAsia="Times New Roman" w:cs="Times New Roman"/>
          <w:szCs w:val="24"/>
          <w:lang w:val="en-GB" w:eastAsia="en-GB"/>
        </w:rPr>
        <w:t xml:space="preserve">. The effect of this alleged breach of constitutional rights, </w:t>
      </w:r>
      <w:r>
        <w:rPr>
          <w:rFonts w:eastAsia="Times New Roman" w:cs="Times New Roman"/>
          <w:szCs w:val="24"/>
          <w:lang w:val="en-GB" w:eastAsia="en-GB"/>
        </w:rPr>
        <w:t>it is argued</w:t>
      </w:r>
      <w:r w:rsidRPr="00102277">
        <w:rPr>
          <w:rFonts w:eastAsia="Times New Roman" w:cs="Times New Roman"/>
          <w:szCs w:val="24"/>
          <w:lang w:val="en-GB" w:eastAsia="en-GB"/>
        </w:rPr>
        <w:t xml:space="preserve">, gives rise to a failure to meet the requirement for basic fairness, which was held to be inherent in the requirement of a trial in due course of law under Article 38.1 of the Constitution in </w:t>
      </w:r>
      <w:r w:rsidRPr="00102277">
        <w:rPr>
          <w:rFonts w:eastAsia="Times New Roman" w:cs="Times New Roman"/>
          <w:i/>
          <w:iCs/>
          <w:szCs w:val="24"/>
          <w:lang w:val="en-GB" w:eastAsia="en-GB"/>
        </w:rPr>
        <w:t>Gormley and White</w:t>
      </w:r>
      <w:r w:rsidRPr="00102277">
        <w:rPr>
          <w:rFonts w:eastAsia="Times New Roman" w:cs="Times New Roman"/>
          <w:szCs w:val="24"/>
          <w:lang w:val="en-GB" w:eastAsia="en-GB"/>
        </w:rPr>
        <w:t xml:space="preserve">. A breach of this requirement between the time of arrest and the trial, it is submitted, </w:t>
      </w:r>
      <w:r>
        <w:rPr>
          <w:rFonts w:eastAsia="Times New Roman" w:cs="Times New Roman"/>
          <w:szCs w:val="24"/>
          <w:lang w:val="en-GB" w:eastAsia="en-GB"/>
        </w:rPr>
        <w:t>resulted in a failure to give this accused</w:t>
      </w:r>
      <w:r w:rsidRPr="00102277">
        <w:rPr>
          <w:rFonts w:eastAsia="Times New Roman" w:cs="Times New Roman"/>
          <w:szCs w:val="24"/>
          <w:lang w:val="en-GB" w:eastAsia="en-GB"/>
        </w:rPr>
        <w:t xml:space="preserve"> a trial in due course of law. </w:t>
      </w:r>
      <w:r>
        <w:rPr>
          <w:rFonts w:eastAsia="Times New Roman" w:cs="Times New Roman"/>
          <w:szCs w:val="24"/>
          <w:lang w:val="en-GB" w:eastAsia="en-GB"/>
        </w:rPr>
        <w:t>I</w:t>
      </w:r>
      <w:r w:rsidRPr="00102277">
        <w:rPr>
          <w:rFonts w:eastAsia="Times New Roman" w:cs="Times New Roman"/>
          <w:szCs w:val="24"/>
          <w:lang w:val="en-GB" w:eastAsia="en-GB"/>
        </w:rPr>
        <w:t>n this context</w:t>
      </w:r>
      <w:r>
        <w:rPr>
          <w:rFonts w:eastAsia="Times New Roman" w:cs="Times New Roman"/>
          <w:szCs w:val="24"/>
          <w:lang w:val="en-GB" w:eastAsia="en-GB"/>
        </w:rPr>
        <w:t>, the submission advanced is</w:t>
      </w:r>
      <w:r w:rsidRPr="00102277">
        <w:rPr>
          <w:rFonts w:eastAsia="Times New Roman" w:cs="Times New Roman"/>
          <w:szCs w:val="24"/>
          <w:lang w:val="en-GB" w:eastAsia="en-GB"/>
        </w:rPr>
        <w:t xml:space="preserve"> that this breach results in Christopher McDonald’s trial not being in due course of law</w:t>
      </w:r>
      <w:r>
        <w:rPr>
          <w:rFonts w:eastAsia="Times New Roman" w:cs="Times New Roman"/>
          <w:szCs w:val="24"/>
          <w:lang w:val="en-GB" w:eastAsia="en-GB"/>
        </w:rPr>
        <w:t xml:space="preserve">. In consequence, it is argued </w:t>
      </w:r>
      <w:r w:rsidRPr="00102277">
        <w:rPr>
          <w:rFonts w:eastAsia="Times New Roman" w:cs="Times New Roman"/>
          <w:szCs w:val="24"/>
          <w:lang w:val="en-GB" w:eastAsia="en-GB"/>
        </w:rPr>
        <w:t>by the appellant</w:t>
      </w:r>
      <w:r>
        <w:rPr>
          <w:rFonts w:eastAsia="Times New Roman" w:cs="Times New Roman"/>
          <w:szCs w:val="24"/>
          <w:lang w:val="en-GB" w:eastAsia="en-GB"/>
        </w:rPr>
        <w:t>, t</w:t>
      </w:r>
      <w:r w:rsidRPr="00102277">
        <w:rPr>
          <w:rFonts w:eastAsia="Times New Roman" w:cs="Times New Roman"/>
          <w:szCs w:val="24"/>
          <w:lang w:val="en-GB" w:eastAsia="en-GB"/>
        </w:rPr>
        <w:t xml:space="preserve">he resulting conviction </w:t>
      </w:r>
      <w:r>
        <w:rPr>
          <w:rFonts w:eastAsia="Times New Roman" w:cs="Times New Roman"/>
          <w:szCs w:val="24"/>
          <w:lang w:val="en-GB" w:eastAsia="en-GB"/>
        </w:rPr>
        <w:t>must</w:t>
      </w:r>
      <w:r w:rsidRPr="00102277">
        <w:rPr>
          <w:rFonts w:eastAsia="Times New Roman" w:cs="Times New Roman"/>
          <w:szCs w:val="24"/>
          <w:lang w:val="en-GB" w:eastAsia="en-GB"/>
        </w:rPr>
        <w:t xml:space="preserve"> be set aside.</w:t>
      </w:r>
    </w:p>
    <w:p w14:paraId="0C6709C9" w14:textId="77777777" w:rsidR="00EC50C9" w:rsidRPr="00102277" w:rsidRDefault="00EC50C9" w:rsidP="00EC50C9">
      <w:pPr>
        <w:spacing w:after="0" w:line="240" w:lineRule="auto"/>
        <w:rPr>
          <w:rFonts w:eastAsia="Times New Roman" w:cs="Times New Roman"/>
          <w:b/>
          <w:bCs/>
          <w:szCs w:val="24"/>
          <w:lang w:val="en-GB" w:eastAsia="en-GB"/>
        </w:rPr>
      </w:pPr>
    </w:p>
    <w:p w14:paraId="67EF0E34" w14:textId="77777777" w:rsidR="00EC50C9" w:rsidRPr="00102277" w:rsidRDefault="00EC50C9" w:rsidP="00EC50C9">
      <w:pPr>
        <w:spacing w:after="0" w:line="240" w:lineRule="auto"/>
        <w:rPr>
          <w:rFonts w:eastAsia="Times New Roman" w:cs="Times New Roman"/>
          <w:szCs w:val="24"/>
          <w:lang w:val="en-GB" w:eastAsia="en-GB"/>
        </w:rPr>
      </w:pPr>
      <w:r w:rsidRPr="00102277">
        <w:rPr>
          <w:rFonts w:eastAsia="Times New Roman" w:cs="Times New Roman"/>
          <w:szCs w:val="24"/>
          <w:lang w:val="en-GB" w:eastAsia="en-GB"/>
        </w:rPr>
        <w:t>1</w:t>
      </w:r>
      <w:r>
        <w:rPr>
          <w:rFonts w:eastAsia="Times New Roman" w:cs="Times New Roman"/>
          <w:szCs w:val="24"/>
          <w:lang w:val="en-GB" w:eastAsia="en-GB"/>
        </w:rPr>
        <w:t>8</w:t>
      </w:r>
      <w:r w:rsidRPr="00102277">
        <w:rPr>
          <w:rFonts w:eastAsia="Times New Roman" w:cs="Times New Roman"/>
          <w:szCs w:val="24"/>
          <w:lang w:val="en-GB" w:eastAsia="en-GB"/>
        </w:rPr>
        <w:t>. The primary submission on the part of the Director of Public Prosecutions is that there is no constitutional obligation on</w:t>
      </w:r>
      <w:r>
        <w:rPr>
          <w:rFonts w:eastAsia="Times New Roman" w:cs="Times New Roman"/>
          <w:szCs w:val="24"/>
          <w:lang w:val="en-GB" w:eastAsia="en-GB"/>
        </w:rPr>
        <w:t xml:space="preserve"> investigating police</w:t>
      </w:r>
      <w:r w:rsidRPr="00102277">
        <w:rPr>
          <w:rFonts w:eastAsia="Times New Roman" w:cs="Times New Roman"/>
          <w:szCs w:val="24"/>
          <w:lang w:val="en-GB" w:eastAsia="en-GB"/>
        </w:rPr>
        <w:t xml:space="preserve"> to allow</w:t>
      </w:r>
      <w:r>
        <w:rPr>
          <w:rFonts w:eastAsia="Times New Roman" w:cs="Times New Roman"/>
          <w:szCs w:val="24"/>
          <w:lang w:val="en-GB" w:eastAsia="en-GB"/>
        </w:rPr>
        <w:t xml:space="preserve"> a detained suspect</w:t>
      </w:r>
      <w:r w:rsidRPr="00102277">
        <w:rPr>
          <w:rFonts w:eastAsia="Times New Roman" w:cs="Times New Roman"/>
          <w:szCs w:val="24"/>
          <w:lang w:val="en-GB" w:eastAsia="en-GB"/>
        </w:rPr>
        <w:t xml:space="preserve"> access to legal advice prior </w:t>
      </w:r>
      <w:r>
        <w:rPr>
          <w:rFonts w:eastAsia="Times New Roman" w:cs="Times New Roman"/>
          <w:szCs w:val="24"/>
          <w:lang w:val="en-GB" w:eastAsia="en-GB"/>
        </w:rPr>
        <w:t>to samples</w:t>
      </w:r>
      <w:r w:rsidRPr="00102277">
        <w:rPr>
          <w:rFonts w:eastAsia="Times New Roman" w:cs="Times New Roman"/>
          <w:szCs w:val="24"/>
          <w:lang w:val="en-GB" w:eastAsia="en-GB"/>
        </w:rPr>
        <w:t xml:space="preserve"> being taken, regardless of whether they are being taken </w:t>
      </w:r>
      <w:proofErr w:type="gramStart"/>
      <w:r w:rsidRPr="00102277">
        <w:rPr>
          <w:rFonts w:eastAsia="Times New Roman" w:cs="Times New Roman"/>
          <w:szCs w:val="24"/>
          <w:lang w:val="en-GB" w:eastAsia="en-GB"/>
        </w:rPr>
        <w:t>on the basis of</w:t>
      </w:r>
      <w:proofErr w:type="gramEnd"/>
      <w:r w:rsidRPr="00102277">
        <w:rPr>
          <w:rFonts w:eastAsia="Times New Roman" w:cs="Times New Roman"/>
          <w:szCs w:val="24"/>
          <w:lang w:val="en-GB" w:eastAsia="en-GB"/>
        </w:rPr>
        <w:t xml:space="preserve"> a voluntary or a mandatory process. In addition, t</w:t>
      </w:r>
      <w:r>
        <w:rPr>
          <w:rFonts w:eastAsia="Times New Roman" w:cs="Times New Roman"/>
          <w:szCs w:val="24"/>
          <w:lang w:val="en-GB" w:eastAsia="en-GB"/>
        </w:rPr>
        <w:t>he prosecution asserts</w:t>
      </w:r>
      <w:r w:rsidRPr="00102277">
        <w:rPr>
          <w:rFonts w:eastAsia="Times New Roman" w:cs="Times New Roman"/>
          <w:szCs w:val="24"/>
          <w:lang w:val="en-GB" w:eastAsia="en-GB"/>
        </w:rPr>
        <w:t xml:space="preserve"> that, even if a finding </w:t>
      </w:r>
      <w:r>
        <w:rPr>
          <w:rFonts w:eastAsia="Times New Roman" w:cs="Times New Roman"/>
          <w:szCs w:val="24"/>
          <w:lang w:val="en-GB" w:eastAsia="en-GB"/>
        </w:rPr>
        <w:t>were somehow to be</w:t>
      </w:r>
      <w:r w:rsidRPr="00102277">
        <w:rPr>
          <w:rFonts w:eastAsia="Times New Roman" w:cs="Times New Roman"/>
          <w:szCs w:val="24"/>
          <w:lang w:val="en-GB" w:eastAsia="en-GB"/>
        </w:rPr>
        <w:t xml:space="preserve"> made </w:t>
      </w:r>
      <w:r>
        <w:rPr>
          <w:rFonts w:eastAsia="Times New Roman" w:cs="Times New Roman"/>
          <w:szCs w:val="24"/>
          <w:lang w:val="en-GB" w:eastAsia="en-GB"/>
        </w:rPr>
        <w:t xml:space="preserve">in favour of a </w:t>
      </w:r>
      <w:r w:rsidRPr="00102277">
        <w:rPr>
          <w:rFonts w:eastAsia="Times New Roman" w:cs="Times New Roman"/>
          <w:szCs w:val="24"/>
          <w:lang w:val="en-GB" w:eastAsia="en-GB"/>
        </w:rPr>
        <w:t>constitutional right to access to legal advice prior to being required to indicate consent to the taking of samples, this should not result in the setting aside of the murder conviction, as contended by counsel for Christopher McDonald, on the basis that the breach was not knowingly “deliberate and conscious”, and therefore does not come within the scope of</w:t>
      </w:r>
      <w:r>
        <w:rPr>
          <w:rFonts w:eastAsia="Times New Roman" w:cs="Times New Roman"/>
          <w:szCs w:val="24"/>
          <w:lang w:val="en-GB" w:eastAsia="en-GB"/>
        </w:rPr>
        <w:t xml:space="preserve"> the test set out in</w:t>
      </w:r>
      <w:r w:rsidRPr="00102277">
        <w:rPr>
          <w:rFonts w:eastAsia="Times New Roman" w:cs="Times New Roman"/>
          <w:szCs w:val="24"/>
          <w:lang w:val="en-GB" w:eastAsia="en-GB"/>
        </w:rPr>
        <w:t xml:space="preserve"> </w:t>
      </w:r>
      <w:r w:rsidRPr="00102277">
        <w:rPr>
          <w:rFonts w:eastAsia="Times New Roman" w:cs="Times New Roman"/>
          <w:i/>
          <w:iCs/>
          <w:szCs w:val="24"/>
          <w:lang w:val="en-GB" w:eastAsia="en-GB"/>
        </w:rPr>
        <w:t>DPP v JC</w:t>
      </w:r>
      <w:r w:rsidRPr="00102277">
        <w:rPr>
          <w:rFonts w:eastAsia="Times New Roman" w:cs="Times New Roman"/>
          <w:szCs w:val="24"/>
          <w:lang w:val="en-GB" w:eastAsia="en-GB"/>
        </w:rPr>
        <w:t xml:space="preserve"> [2015] IESC 31</w:t>
      </w:r>
      <w:r>
        <w:rPr>
          <w:rFonts w:eastAsia="Times New Roman" w:cs="Times New Roman"/>
          <w:szCs w:val="24"/>
          <w:lang w:val="en-GB" w:eastAsia="en-GB"/>
        </w:rPr>
        <w:t>, [2017] 1 IR 417</w:t>
      </w:r>
      <w:r w:rsidRPr="00102277">
        <w:rPr>
          <w:rFonts w:eastAsia="Times New Roman" w:cs="Times New Roman"/>
          <w:szCs w:val="24"/>
          <w:lang w:val="en-GB" w:eastAsia="en-GB"/>
        </w:rPr>
        <w:t>.</w:t>
      </w:r>
    </w:p>
    <w:p w14:paraId="5900C4D8" w14:textId="77777777" w:rsidR="00EC50C9" w:rsidRPr="00102277" w:rsidRDefault="00EC50C9" w:rsidP="00EC50C9">
      <w:pPr>
        <w:spacing w:after="0" w:line="240" w:lineRule="auto"/>
        <w:rPr>
          <w:rFonts w:eastAsia="Times New Roman" w:cs="Times New Roman"/>
          <w:szCs w:val="24"/>
          <w:lang w:val="en-GB" w:eastAsia="en-GB"/>
        </w:rPr>
      </w:pPr>
    </w:p>
    <w:p w14:paraId="0D8C7826" w14:textId="77777777" w:rsidR="00EC50C9" w:rsidRPr="00102277" w:rsidRDefault="00EC50C9" w:rsidP="00EC50C9">
      <w:pPr>
        <w:spacing w:after="0" w:line="240" w:lineRule="auto"/>
        <w:rPr>
          <w:rFonts w:eastAsia="Times New Roman" w:cs="Times New Roman"/>
          <w:szCs w:val="24"/>
          <w:lang w:val="en-GB" w:eastAsia="en-GB"/>
        </w:rPr>
      </w:pPr>
      <w:r>
        <w:rPr>
          <w:rFonts w:eastAsia="Times New Roman" w:cs="Times New Roman"/>
          <w:szCs w:val="24"/>
          <w:lang w:val="en-GB" w:eastAsia="en-GB"/>
        </w:rPr>
        <w:t>19</w:t>
      </w:r>
      <w:r w:rsidRPr="00102277">
        <w:rPr>
          <w:rFonts w:eastAsia="Times New Roman" w:cs="Times New Roman"/>
          <w:szCs w:val="24"/>
          <w:lang w:val="en-GB" w:eastAsia="en-GB"/>
        </w:rPr>
        <w:t xml:space="preserve">. In relation to the decision in </w:t>
      </w:r>
      <w:r w:rsidRPr="00102277">
        <w:rPr>
          <w:rFonts w:eastAsia="Times New Roman" w:cs="Times New Roman"/>
          <w:i/>
          <w:iCs/>
          <w:szCs w:val="24"/>
          <w:lang w:val="en-GB" w:eastAsia="en-GB"/>
        </w:rPr>
        <w:t>Gormley and White</w:t>
      </w:r>
      <w:r w:rsidRPr="00102277">
        <w:rPr>
          <w:rFonts w:eastAsia="Times New Roman" w:cs="Times New Roman"/>
          <w:szCs w:val="24"/>
          <w:lang w:val="en-GB" w:eastAsia="en-GB"/>
        </w:rPr>
        <w:t>, the</w:t>
      </w:r>
      <w:r>
        <w:rPr>
          <w:rFonts w:eastAsia="Times New Roman" w:cs="Times New Roman"/>
          <w:szCs w:val="24"/>
          <w:lang w:val="en-GB" w:eastAsia="en-GB"/>
        </w:rPr>
        <w:t xml:space="preserve"> prosecution</w:t>
      </w:r>
      <w:r w:rsidRPr="00102277">
        <w:rPr>
          <w:rFonts w:eastAsia="Times New Roman" w:cs="Times New Roman"/>
          <w:szCs w:val="24"/>
          <w:lang w:val="en-GB" w:eastAsia="en-GB"/>
        </w:rPr>
        <w:t xml:space="preserve"> emphasise</w:t>
      </w:r>
      <w:r>
        <w:rPr>
          <w:rFonts w:eastAsia="Times New Roman" w:cs="Times New Roman"/>
          <w:szCs w:val="24"/>
          <w:lang w:val="en-GB" w:eastAsia="en-GB"/>
        </w:rPr>
        <w:t>s</w:t>
      </w:r>
      <w:r w:rsidRPr="00102277">
        <w:rPr>
          <w:rFonts w:eastAsia="Times New Roman" w:cs="Times New Roman"/>
          <w:szCs w:val="24"/>
          <w:lang w:val="en-GB" w:eastAsia="en-GB"/>
        </w:rPr>
        <w:t xml:space="preserve"> that any finding by Clarke J in </w:t>
      </w:r>
      <w:r>
        <w:rPr>
          <w:rFonts w:eastAsia="Times New Roman" w:cs="Times New Roman"/>
          <w:szCs w:val="24"/>
          <w:lang w:val="en-GB" w:eastAsia="en-GB"/>
        </w:rPr>
        <w:t>that</w:t>
      </w:r>
      <w:r w:rsidRPr="00102277">
        <w:rPr>
          <w:rFonts w:eastAsia="Times New Roman" w:cs="Times New Roman"/>
          <w:szCs w:val="24"/>
          <w:lang w:val="en-GB" w:eastAsia="en-GB"/>
        </w:rPr>
        <w:t xml:space="preserve"> case in relation to a potential infringement of constitutional rights where genuine legal choices are available to a suspect, and where it is reasonably necessary for the suspect to have access to legal advice before making any choice in relation to consent, was strictly </w:t>
      </w:r>
      <w:r w:rsidRPr="00102277">
        <w:rPr>
          <w:rFonts w:eastAsia="Times New Roman" w:cs="Times New Roman"/>
          <w:i/>
          <w:iCs/>
          <w:szCs w:val="24"/>
          <w:lang w:val="en-GB" w:eastAsia="en-GB"/>
        </w:rPr>
        <w:t>obiter</w:t>
      </w:r>
      <w:r w:rsidRPr="00102277">
        <w:rPr>
          <w:rFonts w:eastAsia="Times New Roman" w:cs="Times New Roman"/>
          <w:szCs w:val="24"/>
          <w:lang w:val="en-GB" w:eastAsia="en-GB"/>
        </w:rPr>
        <w:t xml:space="preserve">, and that such a circumstance did not arise on the facts of </w:t>
      </w:r>
      <w:r w:rsidRPr="00102277">
        <w:rPr>
          <w:rFonts w:eastAsia="Times New Roman" w:cs="Times New Roman"/>
          <w:i/>
          <w:iCs/>
          <w:szCs w:val="24"/>
          <w:lang w:val="en-GB" w:eastAsia="en-GB"/>
        </w:rPr>
        <w:t>White</w:t>
      </w:r>
      <w:r w:rsidRPr="00102277">
        <w:rPr>
          <w:rFonts w:eastAsia="Times New Roman" w:cs="Times New Roman"/>
          <w:szCs w:val="24"/>
          <w:lang w:val="en-GB" w:eastAsia="en-GB"/>
        </w:rPr>
        <w:t>. Furthermore, it is</w:t>
      </w:r>
      <w:r>
        <w:rPr>
          <w:rFonts w:eastAsia="Times New Roman" w:cs="Times New Roman"/>
          <w:szCs w:val="24"/>
          <w:lang w:val="en-GB" w:eastAsia="en-GB"/>
        </w:rPr>
        <w:t xml:space="preserve"> asserted</w:t>
      </w:r>
      <w:r w:rsidRPr="00102277">
        <w:rPr>
          <w:rFonts w:eastAsia="Times New Roman" w:cs="Times New Roman"/>
          <w:szCs w:val="24"/>
          <w:lang w:val="en-GB" w:eastAsia="en-GB"/>
        </w:rPr>
        <w:t xml:space="preserve"> that such a situation does not arise solely where there is a genuine legal choice available, but also requires the additional element that it be reasonably necessary for the suspect concerned to have access to legal advice. </w:t>
      </w:r>
      <w:r>
        <w:rPr>
          <w:rFonts w:eastAsia="Times New Roman" w:cs="Times New Roman"/>
          <w:szCs w:val="24"/>
          <w:lang w:val="en-GB" w:eastAsia="en-GB"/>
        </w:rPr>
        <w:t>Hence, it is argued</w:t>
      </w:r>
      <w:r w:rsidRPr="00102277">
        <w:rPr>
          <w:rFonts w:eastAsia="Times New Roman" w:cs="Times New Roman"/>
          <w:szCs w:val="24"/>
          <w:lang w:val="en-GB" w:eastAsia="en-GB"/>
        </w:rPr>
        <w:t xml:space="preserve"> that, even if the </w:t>
      </w:r>
      <w:r w:rsidRPr="00102277">
        <w:rPr>
          <w:rFonts w:eastAsia="Times New Roman" w:cs="Times New Roman"/>
          <w:i/>
          <w:iCs/>
          <w:szCs w:val="24"/>
          <w:lang w:val="en-GB" w:eastAsia="en-GB"/>
        </w:rPr>
        <w:t>obiter dicta</w:t>
      </w:r>
      <w:r w:rsidRPr="00102277">
        <w:rPr>
          <w:rFonts w:eastAsia="Times New Roman" w:cs="Times New Roman"/>
          <w:szCs w:val="24"/>
          <w:lang w:val="en-GB" w:eastAsia="en-GB"/>
        </w:rPr>
        <w:t xml:space="preserve"> in </w:t>
      </w:r>
      <w:r w:rsidRPr="00102277">
        <w:rPr>
          <w:rFonts w:eastAsia="Times New Roman" w:cs="Times New Roman"/>
          <w:i/>
          <w:iCs/>
          <w:szCs w:val="24"/>
          <w:lang w:val="en-GB" w:eastAsia="en-GB"/>
        </w:rPr>
        <w:t>Gormley and White</w:t>
      </w:r>
      <w:r w:rsidRPr="00102277">
        <w:rPr>
          <w:rFonts w:eastAsia="Times New Roman" w:cs="Times New Roman"/>
          <w:szCs w:val="24"/>
          <w:lang w:val="en-GB" w:eastAsia="en-GB"/>
        </w:rPr>
        <w:t xml:space="preserve"> is deemed to be binding</w:t>
      </w:r>
      <w:r>
        <w:rPr>
          <w:rFonts w:eastAsia="Times New Roman" w:cs="Times New Roman"/>
          <w:szCs w:val="24"/>
          <w:lang w:val="en-GB" w:eastAsia="en-GB"/>
        </w:rPr>
        <w:t xml:space="preserve"> </w:t>
      </w:r>
      <w:r>
        <w:rPr>
          <w:rFonts w:eastAsia="Times New Roman" w:cs="Times New Roman"/>
          <w:szCs w:val="24"/>
          <w:lang w:val="en-GB" w:eastAsia="en-GB"/>
        </w:rPr>
        <w:lastRenderedPageBreak/>
        <w:t>in</w:t>
      </w:r>
      <w:r w:rsidRPr="00102277">
        <w:rPr>
          <w:rFonts w:eastAsia="Times New Roman" w:cs="Times New Roman"/>
          <w:szCs w:val="24"/>
          <w:lang w:val="en-GB" w:eastAsia="en-GB"/>
        </w:rPr>
        <w:t xml:space="preserve"> law, which </w:t>
      </w:r>
      <w:r>
        <w:rPr>
          <w:rFonts w:eastAsia="Times New Roman" w:cs="Times New Roman"/>
          <w:szCs w:val="24"/>
          <w:lang w:val="en-GB" w:eastAsia="en-GB"/>
        </w:rPr>
        <w:t>is not conceded</w:t>
      </w:r>
      <w:r w:rsidRPr="00102277">
        <w:rPr>
          <w:rFonts w:eastAsia="Times New Roman" w:cs="Times New Roman"/>
          <w:szCs w:val="24"/>
          <w:lang w:val="en-GB" w:eastAsia="en-GB"/>
        </w:rPr>
        <w:t>, the situation arising on the facts of this case does not fall within the scope of the ruling of Clarke J.</w:t>
      </w:r>
    </w:p>
    <w:p w14:paraId="60EA0FF0" w14:textId="77777777" w:rsidR="00EC50C9" w:rsidRPr="00102277" w:rsidRDefault="00EC50C9" w:rsidP="00EC50C9">
      <w:pPr>
        <w:spacing w:after="0" w:line="240" w:lineRule="auto"/>
        <w:rPr>
          <w:rFonts w:eastAsia="Times New Roman" w:cs="Times New Roman"/>
          <w:szCs w:val="24"/>
          <w:lang w:val="en-GB" w:eastAsia="en-GB"/>
        </w:rPr>
      </w:pPr>
    </w:p>
    <w:p w14:paraId="0E7244A1" w14:textId="77777777" w:rsidR="00EC50C9" w:rsidRPr="00102277" w:rsidRDefault="00EC50C9" w:rsidP="00EC50C9">
      <w:pPr>
        <w:spacing w:after="0" w:line="240" w:lineRule="auto"/>
        <w:rPr>
          <w:rFonts w:eastAsia="Times New Roman" w:cs="Times New Roman"/>
          <w:szCs w:val="24"/>
          <w:lang w:val="en-GB" w:eastAsia="en-GB"/>
        </w:rPr>
      </w:pPr>
      <w:r w:rsidRPr="00102277">
        <w:rPr>
          <w:rFonts w:eastAsia="Times New Roman" w:cs="Times New Roman"/>
          <w:szCs w:val="24"/>
          <w:lang w:val="en-GB" w:eastAsia="en-GB"/>
        </w:rPr>
        <w:t>2</w:t>
      </w:r>
      <w:r>
        <w:rPr>
          <w:rFonts w:eastAsia="Times New Roman" w:cs="Times New Roman"/>
          <w:szCs w:val="24"/>
          <w:lang w:val="en-GB" w:eastAsia="en-GB"/>
        </w:rPr>
        <w:t>0</w:t>
      </w:r>
      <w:r w:rsidRPr="00102277">
        <w:rPr>
          <w:rFonts w:eastAsia="Times New Roman" w:cs="Times New Roman"/>
          <w:szCs w:val="24"/>
          <w:lang w:val="en-GB" w:eastAsia="en-GB"/>
        </w:rPr>
        <w:t xml:space="preserve">. </w:t>
      </w:r>
      <w:r>
        <w:rPr>
          <w:rFonts w:eastAsia="Times New Roman" w:cs="Times New Roman"/>
          <w:szCs w:val="24"/>
          <w:lang w:val="en-GB" w:eastAsia="en-GB"/>
        </w:rPr>
        <w:t>The prosecution argues</w:t>
      </w:r>
      <w:r w:rsidRPr="00102277">
        <w:rPr>
          <w:rFonts w:eastAsia="Times New Roman" w:cs="Times New Roman"/>
          <w:szCs w:val="24"/>
          <w:lang w:val="en-GB" w:eastAsia="en-GB"/>
        </w:rPr>
        <w:t xml:space="preserve"> that there is no constitutional right of access to legal advice prior to sampling, based on the ruling of Charleton J in </w:t>
      </w:r>
      <w:r w:rsidRPr="00102277">
        <w:rPr>
          <w:rFonts w:eastAsia="Times New Roman" w:cs="Times New Roman"/>
          <w:i/>
          <w:szCs w:val="24"/>
          <w:lang w:val="en-GB" w:eastAsia="en-GB"/>
        </w:rPr>
        <w:t>The People (</w:t>
      </w:r>
      <w:r w:rsidRPr="00102277">
        <w:rPr>
          <w:rFonts w:eastAsia="Times New Roman" w:cs="Times New Roman"/>
          <w:i/>
          <w:iCs/>
          <w:szCs w:val="24"/>
          <w:lang w:val="en-GB" w:eastAsia="en-GB"/>
        </w:rPr>
        <w:t>DPP) v Barry Doyle</w:t>
      </w:r>
      <w:r w:rsidRPr="00102277">
        <w:rPr>
          <w:rFonts w:eastAsia="Times New Roman" w:cs="Times New Roman"/>
          <w:szCs w:val="24"/>
          <w:lang w:val="en-GB" w:eastAsia="en-GB"/>
        </w:rPr>
        <w:t>, on the basis that the forensic evidence obtained was wholly objective, thereby not engaging the right against self-incrimination in the same way that a statement or confession evidence may. It is also</w:t>
      </w:r>
      <w:r>
        <w:rPr>
          <w:rFonts w:eastAsia="Times New Roman" w:cs="Times New Roman"/>
          <w:szCs w:val="24"/>
          <w:lang w:val="en-GB" w:eastAsia="en-GB"/>
        </w:rPr>
        <w:t xml:space="preserve"> put forward in the prosecution</w:t>
      </w:r>
      <w:r w:rsidRPr="00102277">
        <w:rPr>
          <w:rFonts w:eastAsia="Times New Roman" w:cs="Times New Roman"/>
          <w:szCs w:val="24"/>
          <w:lang w:val="en-GB" w:eastAsia="en-GB"/>
        </w:rPr>
        <w:t xml:space="preserve"> submissions that the nature of forensic evidence is not dependent on whether the samples were obtained voluntarily with consent or mandatorily under statute. This </w:t>
      </w:r>
      <w:r>
        <w:rPr>
          <w:rFonts w:eastAsia="Times New Roman" w:cs="Times New Roman"/>
          <w:szCs w:val="24"/>
          <w:lang w:val="en-GB" w:eastAsia="en-GB"/>
        </w:rPr>
        <w:t>distinction is claimed to be supported</w:t>
      </w:r>
      <w:r w:rsidRPr="00102277">
        <w:rPr>
          <w:rFonts w:eastAsia="Times New Roman" w:cs="Times New Roman"/>
          <w:szCs w:val="24"/>
          <w:lang w:val="en-GB" w:eastAsia="en-GB"/>
        </w:rPr>
        <w:t xml:space="preserve"> by the ruling of Charleton J in the High Court in </w:t>
      </w:r>
      <w:r>
        <w:rPr>
          <w:rFonts w:eastAsia="Times New Roman" w:cs="Times New Roman"/>
          <w:i/>
          <w:iCs/>
          <w:szCs w:val="24"/>
          <w:lang w:val="en-GB" w:eastAsia="en-GB"/>
        </w:rPr>
        <w:t>The People (</w:t>
      </w:r>
      <w:proofErr w:type="gramStart"/>
      <w:r w:rsidRPr="00102277">
        <w:rPr>
          <w:rFonts w:eastAsia="Times New Roman" w:cs="Times New Roman"/>
          <w:i/>
          <w:iCs/>
          <w:szCs w:val="24"/>
          <w:lang w:val="en-GB" w:eastAsia="en-GB"/>
        </w:rPr>
        <w:t>DPP</w:t>
      </w:r>
      <w:r>
        <w:rPr>
          <w:rFonts w:eastAsia="Times New Roman" w:cs="Times New Roman"/>
          <w:i/>
          <w:iCs/>
          <w:szCs w:val="24"/>
          <w:lang w:val="en-GB" w:eastAsia="en-GB"/>
        </w:rPr>
        <w:t>)</w:t>
      </w:r>
      <w:r w:rsidRPr="00102277">
        <w:rPr>
          <w:rFonts w:eastAsia="Times New Roman" w:cs="Times New Roman"/>
          <w:i/>
          <w:iCs/>
          <w:szCs w:val="24"/>
          <w:lang w:val="en-GB" w:eastAsia="en-GB"/>
        </w:rPr>
        <w:t xml:space="preserve">  v</w:t>
      </w:r>
      <w:proofErr w:type="gramEnd"/>
      <w:r w:rsidRPr="00102277">
        <w:rPr>
          <w:rFonts w:eastAsia="Times New Roman" w:cs="Times New Roman"/>
          <w:i/>
          <w:iCs/>
          <w:szCs w:val="24"/>
          <w:lang w:val="en-GB" w:eastAsia="en-GB"/>
        </w:rPr>
        <w:t xml:space="preserve"> Cash</w:t>
      </w:r>
      <w:r w:rsidRPr="00102277">
        <w:rPr>
          <w:rFonts w:eastAsia="Times New Roman" w:cs="Times New Roman"/>
          <w:szCs w:val="24"/>
          <w:lang w:val="en-GB" w:eastAsia="en-GB"/>
        </w:rPr>
        <w:t xml:space="preserve"> [2007] IEHC 108, in which it was held that the nature of fingerprint evidence, similarly to blood samples, will not be altered by its taking voluntarily or involuntarily at [32].</w:t>
      </w:r>
      <w:r>
        <w:rPr>
          <w:rFonts w:eastAsia="Times New Roman" w:cs="Times New Roman"/>
          <w:szCs w:val="24"/>
          <w:lang w:val="en-GB" w:eastAsia="en-GB"/>
        </w:rPr>
        <w:t xml:space="preserve"> Consequently, a major distinction is sought to be drawn as between a voluntary or involuntary confession in custody, which is, on the run of all the relevant cases, capable of being coerced through pressure or constructed through suggestion, and forensic samples which are said to be subject to no such infirmity.</w:t>
      </w:r>
    </w:p>
    <w:p w14:paraId="50BF912E" w14:textId="77777777" w:rsidR="00EC50C9" w:rsidRPr="00102277" w:rsidRDefault="00EC50C9" w:rsidP="00EC50C9">
      <w:pPr>
        <w:spacing w:after="0" w:line="240" w:lineRule="auto"/>
        <w:rPr>
          <w:rFonts w:eastAsia="Times New Roman" w:cs="Times New Roman"/>
          <w:szCs w:val="24"/>
          <w:lang w:val="en-GB" w:eastAsia="en-GB"/>
        </w:rPr>
      </w:pPr>
    </w:p>
    <w:p w14:paraId="6031707E" w14:textId="77777777" w:rsidR="00EC50C9" w:rsidRPr="00102277" w:rsidRDefault="00EC50C9" w:rsidP="00EC50C9">
      <w:pPr>
        <w:spacing w:after="0" w:line="240" w:lineRule="auto"/>
        <w:rPr>
          <w:rFonts w:eastAsia="Times New Roman" w:cs="Times New Roman"/>
          <w:szCs w:val="24"/>
          <w:lang w:val="en-GB" w:eastAsia="en-GB"/>
        </w:rPr>
      </w:pPr>
      <w:r w:rsidRPr="00102277">
        <w:rPr>
          <w:rFonts w:eastAsia="Times New Roman" w:cs="Times New Roman"/>
          <w:szCs w:val="24"/>
          <w:lang w:val="en-GB" w:eastAsia="en-GB"/>
        </w:rPr>
        <w:t>2</w:t>
      </w:r>
      <w:r>
        <w:rPr>
          <w:rFonts w:eastAsia="Times New Roman" w:cs="Times New Roman"/>
          <w:szCs w:val="24"/>
          <w:lang w:val="en-GB" w:eastAsia="en-GB"/>
        </w:rPr>
        <w:t>1</w:t>
      </w:r>
      <w:r w:rsidRPr="00102277">
        <w:rPr>
          <w:rFonts w:eastAsia="Times New Roman" w:cs="Times New Roman"/>
          <w:szCs w:val="24"/>
          <w:lang w:val="en-GB" w:eastAsia="en-GB"/>
        </w:rPr>
        <w:t>.</w:t>
      </w:r>
      <w:r>
        <w:rPr>
          <w:rFonts w:eastAsia="Times New Roman" w:cs="Times New Roman"/>
          <w:szCs w:val="24"/>
          <w:lang w:val="en-GB" w:eastAsia="en-GB"/>
        </w:rPr>
        <w:t xml:space="preserve"> The prosecution submits that the </w:t>
      </w:r>
      <w:r w:rsidRPr="00102277">
        <w:rPr>
          <w:rFonts w:eastAsia="Times New Roman" w:cs="Times New Roman"/>
          <w:szCs w:val="24"/>
          <w:lang w:val="en-GB" w:eastAsia="en-GB"/>
        </w:rPr>
        <w:t xml:space="preserve">European Court of Human Rights supports the position of the DPP, noting that the Court of Appeal at [36] of its judgment </w:t>
      </w:r>
      <w:r>
        <w:rPr>
          <w:rFonts w:eastAsia="Times New Roman" w:cs="Times New Roman"/>
          <w:szCs w:val="24"/>
          <w:lang w:val="en-GB" w:eastAsia="en-GB"/>
        </w:rPr>
        <w:t xml:space="preserve">relied on </w:t>
      </w:r>
      <w:r>
        <w:rPr>
          <w:rFonts w:eastAsia="Times New Roman" w:cs="Times New Roman"/>
          <w:i/>
          <w:szCs w:val="24"/>
          <w:lang w:val="en-GB" w:eastAsia="en-GB"/>
        </w:rPr>
        <w:t>Salduz</w:t>
      </w:r>
      <w:r>
        <w:rPr>
          <w:rFonts w:eastAsia="Times New Roman" w:cs="Times New Roman"/>
          <w:szCs w:val="24"/>
          <w:lang w:val="en-GB" w:eastAsia="en-GB"/>
        </w:rPr>
        <w:t xml:space="preserve">. Further, the prosecution contends that </w:t>
      </w:r>
      <w:r w:rsidRPr="00102277">
        <w:rPr>
          <w:rFonts w:eastAsia="Times New Roman" w:cs="Times New Roman"/>
          <w:szCs w:val="24"/>
          <w:lang w:val="en-GB" w:eastAsia="en-GB"/>
        </w:rPr>
        <w:t xml:space="preserve">the ruling in </w:t>
      </w:r>
      <w:r w:rsidRPr="00102277">
        <w:rPr>
          <w:rFonts w:eastAsia="Times New Roman" w:cs="Times New Roman"/>
          <w:i/>
          <w:iCs/>
          <w:szCs w:val="24"/>
          <w:lang w:val="en-GB" w:eastAsia="en-GB"/>
        </w:rPr>
        <w:t>Gormley</w:t>
      </w:r>
      <w:r w:rsidRPr="00102277">
        <w:rPr>
          <w:rFonts w:eastAsia="Times New Roman" w:cs="Times New Roman"/>
          <w:szCs w:val="24"/>
          <w:lang w:val="en-GB" w:eastAsia="en-GB"/>
        </w:rPr>
        <w:t xml:space="preserve"> placed considerable reliance on the </w:t>
      </w:r>
      <w:r w:rsidRPr="00102277">
        <w:rPr>
          <w:rFonts w:eastAsia="Times New Roman" w:cs="Times New Roman"/>
          <w:i/>
          <w:iCs/>
          <w:szCs w:val="24"/>
          <w:lang w:val="en-GB" w:eastAsia="en-GB"/>
        </w:rPr>
        <w:t>Salduz</w:t>
      </w:r>
      <w:r w:rsidRPr="00102277">
        <w:rPr>
          <w:rFonts w:eastAsia="Times New Roman" w:cs="Times New Roman"/>
          <w:szCs w:val="24"/>
          <w:lang w:val="en-GB" w:eastAsia="en-GB"/>
        </w:rPr>
        <w:t xml:space="preserve"> authority, basing the right to access to legal advice on the protection of the right of an accused to not incriminate themselves</w:t>
      </w:r>
      <w:r>
        <w:rPr>
          <w:rFonts w:eastAsia="Times New Roman" w:cs="Times New Roman"/>
          <w:szCs w:val="24"/>
          <w:lang w:val="en-GB" w:eastAsia="en-GB"/>
        </w:rPr>
        <w:t>: the forensic objective test argument as opposed to the infirm confession danger</w:t>
      </w:r>
      <w:r w:rsidRPr="00102277">
        <w:rPr>
          <w:rFonts w:eastAsia="Times New Roman" w:cs="Times New Roman"/>
          <w:szCs w:val="24"/>
          <w:lang w:val="en-GB" w:eastAsia="en-GB"/>
        </w:rPr>
        <w:t xml:space="preserve">. The Court of Appeal supported the position of the </w:t>
      </w:r>
      <w:r>
        <w:rPr>
          <w:rFonts w:eastAsia="Times New Roman" w:cs="Times New Roman"/>
          <w:szCs w:val="24"/>
          <w:lang w:val="en-GB" w:eastAsia="en-GB"/>
        </w:rPr>
        <w:t>prosecution, it is claimed,</w:t>
      </w:r>
      <w:r w:rsidRPr="00102277">
        <w:rPr>
          <w:rFonts w:eastAsia="Times New Roman" w:cs="Times New Roman"/>
          <w:szCs w:val="24"/>
          <w:lang w:val="en-GB" w:eastAsia="en-GB"/>
        </w:rPr>
        <w:t xml:space="preserve"> in relation to the distinction between statement evidence and objective forensic evidence at [39] of its judgment in finding that, in the case of statements made during an interrogation, the right to legal advice is significant on the basis that “the course of action the suspect thus adopts may have significant implications for his or her position in the course of any subsequent trial.”</w:t>
      </w:r>
    </w:p>
    <w:p w14:paraId="63B5895B" w14:textId="77777777" w:rsidR="00EC50C9" w:rsidRPr="00102277" w:rsidRDefault="00EC50C9" w:rsidP="00EC50C9">
      <w:pPr>
        <w:spacing w:after="0" w:line="240" w:lineRule="auto"/>
        <w:rPr>
          <w:rFonts w:eastAsia="Times New Roman" w:cs="Times New Roman"/>
          <w:szCs w:val="24"/>
          <w:lang w:val="en-GB" w:eastAsia="en-GB"/>
        </w:rPr>
      </w:pPr>
    </w:p>
    <w:p w14:paraId="4663645D" w14:textId="77777777" w:rsidR="00EC50C9" w:rsidRPr="00102277" w:rsidRDefault="00EC50C9" w:rsidP="00EC50C9">
      <w:pPr>
        <w:spacing w:after="0" w:line="240" w:lineRule="auto"/>
        <w:rPr>
          <w:rFonts w:eastAsia="Times New Roman" w:cs="Times New Roman"/>
          <w:szCs w:val="24"/>
          <w:lang w:val="en-GB" w:eastAsia="en-GB"/>
        </w:rPr>
      </w:pPr>
      <w:r w:rsidRPr="00102277">
        <w:rPr>
          <w:rFonts w:eastAsia="Times New Roman" w:cs="Times New Roman"/>
          <w:szCs w:val="24"/>
          <w:lang w:val="en-GB" w:eastAsia="en-GB"/>
        </w:rPr>
        <w:t>2</w:t>
      </w:r>
      <w:r>
        <w:rPr>
          <w:rFonts w:eastAsia="Times New Roman" w:cs="Times New Roman"/>
          <w:szCs w:val="24"/>
          <w:lang w:val="en-GB" w:eastAsia="en-GB"/>
        </w:rPr>
        <w:t>2</w:t>
      </w:r>
      <w:r w:rsidRPr="00102277">
        <w:rPr>
          <w:rFonts w:eastAsia="Times New Roman" w:cs="Times New Roman"/>
          <w:szCs w:val="24"/>
          <w:lang w:val="en-GB" w:eastAsia="en-GB"/>
        </w:rPr>
        <w:t xml:space="preserve">. Based on the evidence provided to the trial judge during the course of the </w:t>
      </w:r>
      <w:r w:rsidRPr="00102277">
        <w:rPr>
          <w:rFonts w:eastAsia="Times New Roman" w:cs="Times New Roman"/>
          <w:i/>
          <w:iCs/>
          <w:szCs w:val="24"/>
          <w:lang w:val="en-GB" w:eastAsia="en-GB"/>
        </w:rPr>
        <w:t>voir dire</w:t>
      </w:r>
      <w:r w:rsidRPr="00102277">
        <w:rPr>
          <w:rFonts w:eastAsia="Times New Roman" w:cs="Times New Roman"/>
          <w:szCs w:val="24"/>
          <w:lang w:val="en-GB" w:eastAsia="en-GB"/>
        </w:rPr>
        <w:t xml:space="preserve"> in relation to the admissibility of the samples, it is contended by the</w:t>
      </w:r>
      <w:r>
        <w:rPr>
          <w:rFonts w:eastAsia="Times New Roman" w:cs="Times New Roman"/>
          <w:szCs w:val="24"/>
          <w:lang w:val="en-GB" w:eastAsia="en-GB"/>
        </w:rPr>
        <w:t xml:space="preserve"> prosecution</w:t>
      </w:r>
      <w:r w:rsidRPr="00102277">
        <w:rPr>
          <w:rFonts w:eastAsia="Times New Roman" w:cs="Times New Roman"/>
          <w:szCs w:val="24"/>
          <w:lang w:val="en-GB" w:eastAsia="en-GB"/>
        </w:rPr>
        <w:t xml:space="preserve"> that there was no basis on which a conclusion could have been reached whereby the appellant was unaware that he was entitled to refuse consent, or that the appellant required legal advice on this issue prior to consenting, noting that the appellant did not give evidence on the </w:t>
      </w:r>
      <w:r w:rsidRPr="00102277">
        <w:rPr>
          <w:rFonts w:eastAsia="Times New Roman" w:cs="Times New Roman"/>
          <w:i/>
          <w:iCs/>
          <w:szCs w:val="24"/>
          <w:lang w:val="en-GB" w:eastAsia="en-GB"/>
        </w:rPr>
        <w:t>voir dire</w:t>
      </w:r>
      <w:r w:rsidRPr="00102277">
        <w:rPr>
          <w:rFonts w:eastAsia="Times New Roman" w:cs="Times New Roman"/>
          <w:szCs w:val="24"/>
          <w:lang w:val="en-GB" w:eastAsia="en-GB"/>
        </w:rPr>
        <w:t xml:space="preserve">. This, it is submitted, fails to meet the </w:t>
      </w:r>
      <w:r>
        <w:rPr>
          <w:rFonts w:eastAsia="Times New Roman" w:cs="Times New Roman"/>
          <w:szCs w:val="24"/>
          <w:lang w:val="en-GB" w:eastAsia="en-GB"/>
        </w:rPr>
        <w:t>test which the prosecution claim was</w:t>
      </w:r>
      <w:r w:rsidRPr="00102277">
        <w:rPr>
          <w:rFonts w:eastAsia="Times New Roman" w:cs="Times New Roman"/>
          <w:szCs w:val="24"/>
          <w:lang w:val="en-GB" w:eastAsia="en-GB"/>
        </w:rPr>
        <w:t xml:space="preserve"> set out in </w:t>
      </w:r>
      <w:r w:rsidRPr="00102277">
        <w:rPr>
          <w:rFonts w:eastAsia="Times New Roman" w:cs="Times New Roman"/>
          <w:i/>
          <w:iCs/>
          <w:szCs w:val="24"/>
          <w:lang w:val="en-GB" w:eastAsia="en-GB"/>
        </w:rPr>
        <w:t>White and Gormley</w:t>
      </w:r>
      <w:r>
        <w:rPr>
          <w:rFonts w:eastAsia="Times New Roman" w:cs="Times New Roman"/>
          <w:iCs/>
          <w:szCs w:val="24"/>
          <w:lang w:val="en-GB" w:eastAsia="en-GB"/>
        </w:rPr>
        <w:t>:</w:t>
      </w:r>
      <w:r w:rsidRPr="00102277">
        <w:rPr>
          <w:rFonts w:eastAsia="Times New Roman" w:cs="Times New Roman"/>
          <w:i/>
          <w:iCs/>
          <w:szCs w:val="24"/>
          <w:lang w:val="en-GB" w:eastAsia="en-GB"/>
        </w:rPr>
        <w:t xml:space="preserve"> </w:t>
      </w:r>
      <w:r w:rsidRPr="00102277">
        <w:rPr>
          <w:rFonts w:eastAsia="Times New Roman" w:cs="Times New Roman"/>
          <w:szCs w:val="24"/>
          <w:lang w:val="en-GB" w:eastAsia="en-GB"/>
        </w:rPr>
        <w:t xml:space="preserve">that the suspect show that legal advice was “reasonably necessary to enable the suspect to make an informed choice”. The </w:t>
      </w:r>
      <w:r>
        <w:rPr>
          <w:rFonts w:eastAsia="Times New Roman" w:cs="Times New Roman"/>
          <w:szCs w:val="24"/>
          <w:lang w:val="en-GB" w:eastAsia="en-GB"/>
        </w:rPr>
        <w:t xml:space="preserve">prosecution </w:t>
      </w:r>
      <w:r w:rsidRPr="00102277">
        <w:rPr>
          <w:rFonts w:eastAsia="Times New Roman" w:cs="Times New Roman"/>
          <w:szCs w:val="24"/>
          <w:lang w:val="en-GB" w:eastAsia="en-GB"/>
        </w:rPr>
        <w:t>submissions emphasise that there is</w:t>
      </w:r>
      <w:r>
        <w:rPr>
          <w:rFonts w:eastAsia="Times New Roman" w:cs="Times New Roman"/>
          <w:szCs w:val="24"/>
          <w:lang w:val="en-GB" w:eastAsia="en-GB"/>
        </w:rPr>
        <w:t xml:space="preserve"> no evidence establishing that</w:t>
      </w:r>
      <w:r w:rsidRPr="00102277">
        <w:rPr>
          <w:rFonts w:eastAsia="Times New Roman" w:cs="Times New Roman"/>
          <w:szCs w:val="24"/>
          <w:lang w:val="en-GB" w:eastAsia="en-GB"/>
        </w:rPr>
        <w:t xml:space="preserve"> Christopher McDonald was unaware of what he was consenting to at the time that the form was completed</w:t>
      </w:r>
      <w:r>
        <w:rPr>
          <w:rFonts w:eastAsia="Times New Roman" w:cs="Times New Roman"/>
          <w:szCs w:val="24"/>
          <w:lang w:val="en-GB" w:eastAsia="en-GB"/>
        </w:rPr>
        <w:t>. The prosecution points to</w:t>
      </w:r>
      <w:r w:rsidRPr="00102277">
        <w:rPr>
          <w:rFonts w:eastAsia="Times New Roman" w:cs="Times New Roman"/>
          <w:szCs w:val="24"/>
          <w:lang w:val="en-GB" w:eastAsia="en-GB"/>
        </w:rPr>
        <w:t xml:space="preserve"> </w:t>
      </w:r>
      <w:r>
        <w:rPr>
          <w:rFonts w:eastAsia="Times New Roman" w:cs="Times New Roman"/>
          <w:szCs w:val="24"/>
          <w:lang w:val="en-GB" w:eastAsia="en-GB"/>
        </w:rPr>
        <w:t xml:space="preserve">the fact that no </w:t>
      </w:r>
      <w:r w:rsidRPr="00102277">
        <w:rPr>
          <w:rFonts w:eastAsia="Times New Roman" w:cs="Times New Roman"/>
          <w:szCs w:val="24"/>
          <w:lang w:val="en-GB" w:eastAsia="en-GB"/>
        </w:rPr>
        <w:t xml:space="preserve">complaints </w:t>
      </w:r>
      <w:r>
        <w:rPr>
          <w:rFonts w:eastAsia="Times New Roman" w:cs="Times New Roman"/>
          <w:szCs w:val="24"/>
          <w:lang w:val="en-GB" w:eastAsia="en-GB"/>
        </w:rPr>
        <w:t xml:space="preserve">were </w:t>
      </w:r>
      <w:r w:rsidRPr="00102277">
        <w:rPr>
          <w:rFonts w:eastAsia="Times New Roman" w:cs="Times New Roman"/>
          <w:szCs w:val="24"/>
          <w:lang w:val="en-GB" w:eastAsia="en-GB"/>
        </w:rPr>
        <w:t>made either directly following the taking of the relevant samples or over the course of subsequent consultations with solicitors</w:t>
      </w:r>
      <w:r>
        <w:rPr>
          <w:rFonts w:eastAsia="Times New Roman" w:cs="Times New Roman"/>
          <w:szCs w:val="24"/>
          <w:lang w:val="en-GB" w:eastAsia="en-GB"/>
        </w:rPr>
        <w:t xml:space="preserve"> in support of this submission</w:t>
      </w:r>
      <w:r w:rsidRPr="00102277">
        <w:rPr>
          <w:rFonts w:eastAsia="Times New Roman" w:cs="Times New Roman"/>
          <w:szCs w:val="24"/>
          <w:lang w:val="en-GB" w:eastAsia="en-GB"/>
        </w:rPr>
        <w:t>.</w:t>
      </w:r>
    </w:p>
    <w:p w14:paraId="6E0E2ABC" w14:textId="77777777" w:rsidR="00EC50C9" w:rsidRPr="00102277" w:rsidRDefault="00EC50C9" w:rsidP="00EC50C9">
      <w:pPr>
        <w:spacing w:after="0" w:line="240" w:lineRule="auto"/>
        <w:rPr>
          <w:rFonts w:eastAsia="Times New Roman" w:cs="Times New Roman"/>
          <w:szCs w:val="24"/>
          <w:lang w:val="en-GB" w:eastAsia="en-GB"/>
        </w:rPr>
      </w:pPr>
    </w:p>
    <w:p w14:paraId="308A5E2B" w14:textId="77777777" w:rsidR="00EC50C9" w:rsidRPr="00102277" w:rsidRDefault="00EC50C9" w:rsidP="00EC50C9">
      <w:pPr>
        <w:spacing w:after="0" w:line="240" w:lineRule="auto"/>
        <w:rPr>
          <w:rFonts w:eastAsia="Times New Roman" w:cs="Times New Roman"/>
          <w:szCs w:val="24"/>
          <w:lang w:val="en-GB" w:eastAsia="en-GB"/>
        </w:rPr>
      </w:pPr>
      <w:r w:rsidRPr="00102277">
        <w:rPr>
          <w:rFonts w:eastAsia="Times New Roman" w:cs="Times New Roman"/>
          <w:szCs w:val="24"/>
          <w:lang w:val="en-GB" w:eastAsia="en-GB"/>
        </w:rPr>
        <w:t>2</w:t>
      </w:r>
      <w:r>
        <w:rPr>
          <w:rFonts w:eastAsia="Times New Roman" w:cs="Times New Roman"/>
          <w:szCs w:val="24"/>
          <w:lang w:val="en-GB" w:eastAsia="en-GB"/>
        </w:rPr>
        <w:t>3</w:t>
      </w:r>
      <w:r w:rsidRPr="00102277">
        <w:rPr>
          <w:rFonts w:eastAsia="Times New Roman" w:cs="Times New Roman"/>
          <w:szCs w:val="24"/>
          <w:lang w:val="en-GB" w:eastAsia="en-GB"/>
        </w:rPr>
        <w:t xml:space="preserve">. With respect to the proposition advanced by counsel for Christopher McDonald that the inference made by the Court of Appeal that the statutory process for obtaining samples </w:t>
      </w:r>
      <w:r>
        <w:rPr>
          <w:rFonts w:eastAsia="Times New Roman" w:cs="Times New Roman"/>
          <w:szCs w:val="24"/>
          <w:lang w:val="en-GB" w:eastAsia="en-GB"/>
        </w:rPr>
        <w:t>would</w:t>
      </w:r>
      <w:r w:rsidRPr="00102277">
        <w:rPr>
          <w:rFonts w:eastAsia="Times New Roman" w:cs="Times New Roman"/>
          <w:szCs w:val="24"/>
          <w:lang w:val="en-GB" w:eastAsia="en-GB"/>
        </w:rPr>
        <w:t xml:space="preserve"> be correctly followed was inappropriate, the</w:t>
      </w:r>
      <w:r>
        <w:rPr>
          <w:rFonts w:eastAsia="Times New Roman" w:cs="Times New Roman"/>
          <w:szCs w:val="24"/>
          <w:lang w:val="en-GB" w:eastAsia="en-GB"/>
        </w:rPr>
        <w:t xml:space="preserve"> prosecution counters</w:t>
      </w:r>
      <w:r w:rsidRPr="00102277">
        <w:rPr>
          <w:rFonts w:eastAsia="Times New Roman" w:cs="Times New Roman"/>
          <w:szCs w:val="24"/>
          <w:lang w:val="en-GB" w:eastAsia="en-GB"/>
        </w:rPr>
        <w:t xml:space="preserve"> that any such interpretation would render any consent given by an individual to voluntarily provide access to a premises by </w:t>
      </w:r>
      <w:r>
        <w:rPr>
          <w:rFonts w:eastAsia="Times New Roman" w:cs="Times New Roman"/>
          <w:szCs w:val="24"/>
          <w:lang w:val="en-GB" w:eastAsia="en-GB"/>
        </w:rPr>
        <w:t>investigating g</w:t>
      </w:r>
      <w:r w:rsidRPr="00102277">
        <w:rPr>
          <w:rFonts w:eastAsia="Times New Roman" w:cs="Times New Roman"/>
          <w:szCs w:val="24"/>
          <w:lang w:val="en-GB" w:eastAsia="en-GB"/>
        </w:rPr>
        <w:t>ardaí</w:t>
      </w:r>
      <w:r>
        <w:rPr>
          <w:rFonts w:eastAsia="Times New Roman" w:cs="Times New Roman"/>
          <w:szCs w:val="24"/>
          <w:lang w:val="en-GB" w:eastAsia="en-GB"/>
        </w:rPr>
        <w:t xml:space="preserve"> inadequate, thereby mandating a reliance on statutory powers on the part of the garda</w:t>
      </w:r>
      <w:r w:rsidRPr="00102277">
        <w:rPr>
          <w:rFonts w:eastAsia="Times New Roman" w:cs="Times New Roman"/>
          <w:szCs w:val="24"/>
          <w:lang w:val="en-GB" w:eastAsia="en-GB"/>
        </w:rPr>
        <w:t>í</w:t>
      </w:r>
      <w:r>
        <w:rPr>
          <w:rFonts w:eastAsia="Times New Roman" w:cs="Times New Roman"/>
          <w:szCs w:val="24"/>
          <w:lang w:val="en-GB" w:eastAsia="en-GB"/>
        </w:rPr>
        <w:t>. The prosecution point,</w:t>
      </w:r>
      <w:r w:rsidRPr="00102277">
        <w:rPr>
          <w:rFonts w:eastAsia="Times New Roman" w:cs="Times New Roman"/>
          <w:szCs w:val="24"/>
          <w:lang w:val="en-GB" w:eastAsia="en-GB"/>
        </w:rPr>
        <w:t xml:space="preserve"> for example,</w:t>
      </w:r>
      <w:r>
        <w:rPr>
          <w:rFonts w:eastAsia="Times New Roman" w:cs="Times New Roman"/>
          <w:szCs w:val="24"/>
          <w:lang w:val="en-GB" w:eastAsia="en-GB"/>
        </w:rPr>
        <w:t xml:space="preserve"> to a scenario </w:t>
      </w:r>
      <w:proofErr w:type="gramStart"/>
      <w:r>
        <w:rPr>
          <w:rFonts w:eastAsia="Times New Roman" w:cs="Times New Roman"/>
          <w:szCs w:val="24"/>
          <w:lang w:val="en-GB" w:eastAsia="en-GB"/>
        </w:rPr>
        <w:t>where</w:t>
      </w:r>
      <w:proofErr w:type="gramEnd"/>
      <w:r>
        <w:rPr>
          <w:rFonts w:eastAsia="Times New Roman" w:cs="Times New Roman"/>
          <w:szCs w:val="24"/>
          <w:lang w:val="en-GB" w:eastAsia="en-GB"/>
        </w:rPr>
        <w:t xml:space="preserve"> consenting to investigators coming on a property would be somehow rendered</w:t>
      </w:r>
      <w:r w:rsidRPr="00102277">
        <w:rPr>
          <w:rFonts w:eastAsia="Times New Roman" w:cs="Times New Roman"/>
          <w:szCs w:val="24"/>
          <w:lang w:val="en-GB" w:eastAsia="en-GB"/>
        </w:rPr>
        <w:t xml:space="preserve"> inadmissible where statutory powers for search were available to be pursued. Such an interpretation is therefore </w:t>
      </w:r>
      <w:r>
        <w:rPr>
          <w:rFonts w:eastAsia="Times New Roman" w:cs="Times New Roman"/>
          <w:szCs w:val="24"/>
          <w:lang w:val="en-GB" w:eastAsia="en-GB"/>
        </w:rPr>
        <w:t>claimed</w:t>
      </w:r>
      <w:r w:rsidRPr="00102277">
        <w:rPr>
          <w:rFonts w:eastAsia="Times New Roman" w:cs="Times New Roman"/>
          <w:szCs w:val="24"/>
          <w:lang w:val="en-GB" w:eastAsia="en-GB"/>
        </w:rPr>
        <w:t xml:space="preserve"> illogical</w:t>
      </w:r>
      <w:r>
        <w:rPr>
          <w:rFonts w:eastAsia="Times New Roman" w:cs="Times New Roman"/>
          <w:szCs w:val="24"/>
          <w:lang w:val="en-GB" w:eastAsia="en-GB"/>
        </w:rPr>
        <w:t>. I</w:t>
      </w:r>
      <w:r w:rsidRPr="00102277">
        <w:rPr>
          <w:rFonts w:eastAsia="Times New Roman" w:cs="Times New Roman"/>
          <w:szCs w:val="24"/>
          <w:lang w:val="en-GB" w:eastAsia="en-GB"/>
        </w:rPr>
        <w:t xml:space="preserve">t is submitted that the giving of consent freely and on an informed basis should be sufficient. Applying the position contended </w:t>
      </w:r>
      <w:r>
        <w:rPr>
          <w:rFonts w:eastAsia="Times New Roman" w:cs="Times New Roman"/>
          <w:szCs w:val="24"/>
          <w:lang w:val="en-GB" w:eastAsia="en-GB"/>
        </w:rPr>
        <w:t>on behalf of</w:t>
      </w:r>
      <w:r w:rsidRPr="00102277">
        <w:rPr>
          <w:rFonts w:eastAsia="Times New Roman" w:cs="Times New Roman"/>
          <w:szCs w:val="24"/>
          <w:lang w:val="en-GB" w:eastAsia="en-GB"/>
        </w:rPr>
        <w:t xml:space="preserve"> Christopher McDonald would extend the right outlined in </w:t>
      </w:r>
      <w:r w:rsidRPr="00102277">
        <w:rPr>
          <w:rFonts w:eastAsia="Times New Roman" w:cs="Times New Roman"/>
          <w:i/>
          <w:iCs/>
          <w:szCs w:val="24"/>
          <w:lang w:val="en-GB" w:eastAsia="en-GB"/>
        </w:rPr>
        <w:t xml:space="preserve">Gormley </w:t>
      </w:r>
      <w:r w:rsidRPr="00102277">
        <w:rPr>
          <w:rFonts w:eastAsia="Times New Roman" w:cs="Times New Roman"/>
          <w:i/>
          <w:iCs/>
          <w:szCs w:val="24"/>
          <w:lang w:val="en-GB" w:eastAsia="en-GB"/>
        </w:rPr>
        <w:lastRenderedPageBreak/>
        <w:t>and White</w:t>
      </w:r>
      <w:r w:rsidRPr="00102277">
        <w:rPr>
          <w:rFonts w:eastAsia="Times New Roman" w:cs="Times New Roman"/>
          <w:szCs w:val="24"/>
          <w:lang w:val="en-GB" w:eastAsia="en-GB"/>
        </w:rPr>
        <w:t xml:space="preserve"> beyond the scope intended by the Supreme Court, so it is contended.</w:t>
      </w:r>
      <w:r>
        <w:rPr>
          <w:rFonts w:eastAsia="Times New Roman" w:cs="Times New Roman"/>
          <w:szCs w:val="24"/>
          <w:lang w:val="en-GB" w:eastAsia="en-GB"/>
        </w:rPr>
        <w:t xml:space="preserve"> Such access as Christopher McDonald had to his solicitor is asserted, in any event, to suffice.</w:t>
      </w:r>
    </w:p>
    <w:p w14:paraId="474B5271" w14:textId="77777777" w:rsidR="00EC50C9" w:rsidRDefault="00EC50C9" w:rsidP="00EC50C9">
      <w:pPr>
        <w:spacing w:after="0" w:line="240" w:lineRule="auto"/>
        <w:contextualSpacing/>
        <w:jc w:val="left"/>
        <w:rPr>
          <w:rFonts w:eastAsia="Times New Roman" w:cs="Times New Roman"/>
          <w:szCs w:val="24"/>
          <w:lang w:val="en-GB" w:eastAsia="en-GB"/>
        </w:rPr>
      </w:pPr>
    </w:p>
    <w:p w14:paraId="2FA68315" w14:textId="77777777" w:rsidR="00EC50C9" w:rsidRDefault="00EC50C9" w:rsidP="00EC50C9">
      <w:pPr>
        <w:spacing w:after="0" w:line="240" w:lineRule="auto"/>
        <w:contextualSpacing/>
        <w:jc w:val="left"/>
        <w:rPr>
          <w:rFonts w:eastAsia="Times New Roman" w:cs="Times New Roman"/>
          <w:b/>
          <w:szCs w:val="24"/>
          <w:lang w:val="en-GB" w:eastAsia="en-GB"/>
        </w:rPr>
      </w:pPr>
      <w:r>
        <w:rPr>
          <w:rFonts w:eastAsia="Times New Roman" w:cs="Times New Roman"/>
          <w:b/>
          <w:szCs w:val="24"/>
          <w:lang w:val="en-GB" w:eastAsia="en-GB"/>
        </w:rPr>
        <w:t>Confession evidence and forensic samples</w:t>
      </w:r>
    </w:p>
    <w:p w14:paraId="21FF81CA" w14:textId="77777777" w:rsidR="00EC50C9" w:rsidRPr="00356DD1" w:rsidRDefault="00EC50C9" w:rsidP="00EC50C9">
      <w:pPr>
        <w:spacing w:after="0" w:line="240" w:lineRule="auto"/>
        <w:contextualSpacing/>
        <w:jc w:val="left"/>
        <w:rPr>
          <w:rFonts w:eastAsia="Times New Roman" w:cs="Times New Roman"/>
          <w:b/>
          <w:szCs w:val="24"/>
          <w:lang w:val="en-GB" w:eastAsia="en-GB"/>
        </w:rPr>
      </w:pPr>
    </w:p>
    <w:p w14:paraId="6222EEF5" w14:textId="77777777" w:rsidR="0032059B" w:rsidRPr="0032059B" w:rsidRDefault="00EC50C9" w:rsidP="0032059B">
      <w:pPr>
        <w:spacing w:line="240" w:lineRule="auto"/>
        <w:rPr>
          <w:szCs w:val="24"/>
        </w:rPr>
      </w:pPr>
      <w:r w:rsidRPr="00B12603">
        <w:rPr>
          <w:szCs w:val="24"/>
        </w:rPr>
        <w:t>2</w:t>
      </w:r>
      <w:r>
        <w:rPr>
          <w:szCs w:val="24"/>
        </w:rPr>
        <w:t>4</w:t>
      </w:r>
      <w:r w:rsidRPr="00B12603">
        <w:rPr>
          <w:szCs w:val="24"/>
        </w:rPr>
        <w:t xml:space="preserve">. </w:t>
      </w:r>
      <w:r>
        <w:rPr>
          <w:szCs w:val="24"/>
        </w:rPr>
        <w:t xml:space="preserve">A distinction may validly be drawn as between what emanates from the mind of a person in custody and physical samples from that suspect’s clothing or body. That does not mean that forensic sampling is not subject to the requirements of fairness. </w:t>
      </w:r>
      <w:proofErr w:type="gramStart"/>
      <w:r>
        <w:rPr>
          <w:szCs w:val="24"/>
        </w:rPr>
        <w:t>But,</w:t>
      </w:r>
      <w:proofErr w:type="gramEnd"/>
      <w:r>
        <w:rPr>
          <w:szCs w:val="24"/>
        </w:rPr>
        <w:t xml:space="preserve"> the application of fairness does</w:t>
      </w:r>
      <w:r w:rsidR="0032059B">
        <w:rPr>
          <w:szCs w:val="24"/>
        </w:rPr>
        <w:t xml:space="preserve"> not</w:t>
      </w:r>
      <w:r>
        <w:rPr>
          <w:szCs w:val="24"/>
        </w:rPr>
        <w:t xml:space="preserve"> mean that a person in custody has more extensive right to privacy than would a person in the public street.</w:t>
      </w:r>
      <w:r w:rsidR="0032059B" w:rsidRPr="0032059B">
        <w:t xml:space="preserve"> </w:t>
      </w:r>
      <w:r w:rsidR="0032059B">
        <w:t xml:space="preserve">While the substantive content of a right does not alter because a person is in custody, the fact of custody will evoke </w:t>
      </w:r>
      <w:proofErr w:type="gramStart"/>
      <w:r w:rsidR="0032059B">
        <w:t>a close scrutiny</w:t>
      </w:r>
      <w:proofErr w:type="gramEnd"/>
      <w:r w:rsidR="0032059B">
        <w:t xml:space="preserve"> of how the right is affected.</w:t>
      </w:r>
    </w:p>
    <w:p w14:paraId="71361F44" w14:textId="77777777" w:rsidR="00EC50C9" w:rsidRDefault="00EC50C9" w:rsidP="00EC50C9">
      <w:pPr>
        <w:spacing w:line="240" w:lineRule="auto"/>
        <w:rPr>
          <w:szCs w:val="24"/>
        </w:rPr>
      </w:pPr>
      <w:r>
        <w:rPr>
          <w:szCs w:val="24"/>
        </w:rPr>
        <w:t xml:space="preserve">25. In the judgments of this Court in </w:t>
      </w:r>
      <w:r>
        <w:rPr>
          <w:i/>
          <w:szCs w:val="24"/>
        </w:rPr>
        <w:t xml:space="preserve">The People (DPP) v Barry Doyle </w:t>
      </w:r>
      <w:r>
        <w:rPr>
          <w:szCs w:val="24"/>
        </w:rPr>
        <w:t xml:space="preserve">[2017] IESC 1, [2018] 1 IR 1, the history of how abuse of a suspect in custody may lead to an unreliable or false admission to the commission of a crime is set out as the basis for the formulation of the rule, expressed by the maxim </w:t>
      </w:r>
      <w:r>
        <w:rPr>
          <w:i/>
          <w:szCs w:val="24"/>
        </w:rPr>
        <w:t>nemo tenetur se ipsum prodere</w:t>
      </w:r>
      <w:r>
        <w:rPr>
          <w:szCs w:val="24"/>
        </w:rPr>
        <w:t xml:space="preserve">, which underlies the reasoning for protecting against coercion and trickery. The discretion on which that maxim is based, whereby a judge may exclude evidence of an admission against interest, an exception to the prohibition of hearsay, has for centuries been exercised </w:t>
      </w:r>
      <w:proofErr w:type="gramStart"/>
      <w:r>
        <w:rPr>
          <w:szCs w:val="24"/>
        </w:rPr>
        <w:t>on the basis of</w:t>
      </w:r>
      <w:proofErr w:type="gramEnd"/>
      <w:r>
        <w:rPr>
          <w:szCs w:val="24"/>
        </w:rPr>
        <w:t xml:space="preserve"> the protection of suspects. But the underlying reasoning is that what is forced from a prisoner in custody, while against his or her interest, may not be an admission at all. Hence, unusually, a trial judge may conduct an examination in the absence of the jury, a </w:t>
      </w:r>
      <w:r>
        <w:rPr>
          <w:i/>
          <w:szCs w:val="24"/>
        </w:rPr>
        <w:t>voir dire</w:t>
      </w:r>
      <w:r>
        <w:rPr>
          <w:szCs w:val="24"/>
        </w:rPr>
        <w:t xml:space="preserve">, literally “to see to say” or “to see what will be said”, </w:t>
      </w:r>
      <w:proofErr w:type="gramStart"/>
      <w:r>
        <w:rPr>
          <w:szCs w:val="24"/>
        </w:rPr>
        <w:t>in order to</w:t>
      </w:r>
      <w:proofErr w:type="gramEnd"/>
      <w:r>
        <w:rPr>
          <w:szCs w:val="24"/>
        </w:rPr>
        <w:t xml:space="preserve"> interrogate the circumstances in which a confession was taken. What results from a fear of prejudice or hope of favour, whether due to brutality, bullying, coercive promises or undermining by tricks, has always been considered unreliable evidence and subject to exclusion. For all the rules of the common law, where more base motives such as revenge</w:t>
      </w:r>
      <w:r w:rsidR="0032059B">
        <w:rPr>
          <w:szCs w:val="24"/>
        </w:rPr>
        <w:t>, even on an animal or an inanimate object such as a ship,</w:t>
      </w:r>
      <w:r>
        <w:rPr>
          <w:szCs w:val="24"/>
        </w:rPr>
        <w:t xml:space="preserve"> have faded into the historical distance, there remains an underlying rationale based on experience; </w:t>
      </w:r>
      <w:r w:rsidRPr="006C321C">
        <w:rPr>
          <w:szCs w:val="24"/>
        </w:rPr>
        <w:t xml:space="preserve">Oliver Wendell Holmes, </w:t>
      </w:r>
      <w:r w:rsidRPr="006C321C">
        <w:rPr>
          <w:i/>
          <w:szCs w:val="24"/>
        </w:rPr>
        <w:t>The Common Law</w:t>
      </w:r>
      <w:r w:rsidRPr="006C321C">
        <w:rPr>
          <w:szCs w:val="24"/>
        </w:rPr>
        <w:t xml:space="preserve"> (</w:t>
      </w:r>
      <w:r>
        <w:rPr>
          <w:szCs w:val="24"/>
        </w:rPr>
        <w:t xml:space="preserve">Boston, </w:t>
      </w:r>
      <w:r w:rsidRPr="006C321C">
        <w:rPr>
          <w:szCs w:val="24"/>
        </w:rPr>
        <w:t>1881) chapter 1</w:t>
      </w:r>
      <w:r>
        <w:rPr>
          <w:szCs w:val="24"/>
        </w:rPr>
        <w:t xml:space="preserve">. Where coercion or trickery cause a suspect confined without social or legal support into admitting to the very definite suspicions that led to their arrest in the first place, the admission before a jury of such evidence may draw them into an unfair conclusion; and this danger is not necessarily removed by the entitlement of counsel for the accused to re-examine the circumstances in which that confession emerged by testing witnesses as to its weight in their presence. This is sufficiently analysed in the </w:t>
      </w:r>
      <w:proofErr w:type="gramStart"/>
      <w:r>
        <w:rPr>
          <w:szCs w:val="24"/>
        </w:rPr>
        <w:t>aforementioned judgments</w:t>
      </w:r>
      <w:proofErr w:type="gramEnd"/>
      <w:r>
        <w:rPr>
          <w:szCs w:val="24"/>
        </w:rPr>
        <w:t xml:space="preserve"> to not require repetition or refinement.</w:t>
      </w:r>
    </w:p>
    <w:p w14:paraId="445A73FB" w14:textId="77777777" w:rsidR="00EC50C9" w:rsidRDefault="00EC50C9" w:rsidP="00EC50C9">
      <w:pPr>
        <w:spacing w:line="240" w:lineRule="auto"/>
        <w:rPr>
          <w:szCs w:val="24"/>
          <w:lang w:val="en-GB"/>
        </w:rPr>
      </w:pPr>
      <w:r>
        <w:rPr>
          <w:szCs w:val="24"/>
        </w:rPr>
        <w:t xml:space="preserve">26. Furthermore, reading the judgments of the European Court of Human Rights, analysed for the most part in the judgments in </w:t>
      </w:r>
      <w:r>
        <w:rPr>
          <w:i/>
          <w:szCs w:val="24"/>
        </w:rPr>
        <w:t>Doyle</w:t>
      </w:r>
      <w:r>
        <w:rPr>
          <w:szCs w:val="24"/>
        </w:rPr>
        <w:t xml:space="preserve">, the emphasis there is in the protection of a suspect in terms of equality of arms and fairness of treatment where arrest and interrogation may, of itself, tend to weaken the will or undermine the mind of an arrested person. </w:t>
      </w:r>
      <w:r w:rsidRPr="00994F27">
        <w:rPr>
          <w:i/>
          <w:iCs/>
          <w:szCs w:val="24"/>
        </w:rPr>
        <w:t>Salduz</w:t>
      </w:r>
      <w:r w:rsidRPr="00994F27">
        <w:rPr>
          <w:szCs w:val="24"/>
        </w:rPr>
        <w:t xml:space="preserve">, </w:t>
      </w:r>
      <w:r w:rsidRPr="00994F27">
        <w:rPr>
          <w:i/>
          <w:iCs/>
          <w:szCs w:val="24"/>
        </w:rPr>
        <w:t>v</w:t>
      </w:r>
      <w:r w:rsidRPr="00994F27">
        <w:rPr>
          <w:szCs w:val="24"/>
        </w:rPr>
        <w:t xml:space="preserve"> </w:t>
      </w:r>
      <w:r w:rsidRPr="00994F27">
        <w:rPr>
          <w:i/>
          <w:iCs/>
          <w:szCs w:val="24"/>
          <w:lang w:val="en-GB"/>
        </w:rPr>
        <w:t xml:space="preserve">Turkey </w:t>
      </w:r>
      <w:r w:rsidRPr="00994F27">
        <w:rPr>
          <w:szCs w:val="24"/>
          <w:lang w:val="en-GB"/>
        </w:rPr>
        <w:t>(App No 36391/02) (2009) 49 EHRR 19, basing the right to access to independent legal advice on the right to a trial in due course of law, with only limited exceptions permitted.</w:t>
      </w:r>
      <w:r>
        <w:rPr>
          <w:szCs w:val="24"/>
          <w:lang w:val="en-GB"/>
        </w:rPr>
        <w:t xml:space="preserve"> That court </w:t>
      </w:r>
      <w:r w:rsidRPr="00994F27">
        <w:rPr>
          <w:szCs w:val="24"/>
          <w:lang w:val="en-GB"/>
        </w:rPr>
        <w:t xml:space="preserve">based the right to access to a lawyer </w:t>
      </w:r>
      <w:proofErr w:type="gramStart"/>
      <w:r w:rsidRPr="00994F27">
        <w:rPr>
          <w:szCs w:val="24"/>
          <w:lang w:val="en-GB"/>
        </w:rPr>
        <w:t xml:space="preserve">on </w:t>
      </w:r>
      <w:r>
        <w:rPr>
          <w:szCs w:val="24"/>
          <w:lang w:val="en-GB"/>
        </w:rPr>
        <w:t xml:space="preserve"> “</w:t>
      </w:r>
      <w:proofErr w:type="gramEnd"/>
      <w:r>
        <w:rPr>
          <w:szCs w:val="24"/>
          <w:lang w:val="en-GB"/>
        </w:rPr>
        <w:t xml:space="preserve">the protection of the accused against abusive coercion on the part of the authorities”, as well as “equality of arms” considerations and the “particularly vulnerable position” of the suspect. The court stated, </w:t>
      </w:r>
      <w:r w:rsidRPr="00994F27">
        <w:rPr>
          <w:szCs w:val="24"/>
          <w:lang w:val="en-GB"/>
        </w:rPr>
        <w:t>at [5</w:t>
      </w:r>
      <w:r>
        <w:rPr>
          <w:szCs w:val="24"/>
          <w:lang w:val="en-GB"/>
        </w:rPr>
        <w:t>4</w:t>
      </w:r>
      <w:r w:rsidRPr="00994F27">
        <w:rPr>
          <w:szCs w:val="24"/>
          <w:lang w:val="en-GB"/>
        </w:rPr>
        <w:t>], that pre-questioning legal advice is required to ensure that the right against self-incrimination is not impacted or infringed. Since then,</w:t>
      </w:r>
      <w:r>
        <w:rPr>
          <w:szCs w:val="24"/>
          <w:lang w:val="en-GB"/>
        </w:rPr>
        <w:t xml:space="preserve"> in </w:t>
      </w:r>
      <w:r w:rsidRPr="00994F27">
        <w:rPr>
          <w:i/>
          <w:iCs/>
          <w:szCs w:val="24"/>
          <w:lang w:val="en-GB"/>
        </w:rPr>
        <w:t>Ibrahim v U</w:t>
      </w:r>
      <w:r>
        <w:rPr>
          <w:i/>
          <w:iCs/>
          <w:szCs w:val="24"/>
          <w:lang w:val="en-GB"/>
        </w:rPr>
        <w:t>nited Kingdom</w:t>
      </w:r>
      <w:r w:rsidRPr="00994F27">
        <w:rPr>
          <w:szCs w:val="24"/>
          <w:lang w:val="en-GB"/>
        </w:rPr>
        <w:t xml:space="preserve"> (2015) 61 EHRR 9</w:t>
      </w:r>
      <w:r>
        <w:rPr>
          <w:szCs w:val="24"/>
          <w:lang w:val="en-GB"/>
        </w:rPr>
        <w:t>, a</w:t>
      </w:r>
      <w:r w:rsidRPr="00994F27">
        <w:rPr>
          <w:szCs w:val="24"/>
          <w:lang w:val="en-GB"/>
        </w:rPr>
        <w:t xml:space="preserve"> two-stage test</w:t>
      </w:r>
      <w:r>
        <w:rPr>
          <w:szCs w:val="24"/>
          <w:lang w:val="en-GB"/>
        </w:rPr>
        <w:t xml:space="preserve"> has emerged. W</w:t>
      </w:r>
      <w:r w:rsidRPr="00994F27">
        <w:rPr>
          <w:szCs w:val="24"/>
          <w:lang w:val="en-GB"/>
        </w:rPr>
        <w:t>here a restriction is found</w:t>
      </w:r>
      <w:r>
        <w:rPr>
          <w:szCs w:val="24"/>
          <w:lang w:val="en-GB"/>
        </w:rPr>
        <w:t xml:space="preserve"> on non-incrimination</w:t>
      </w:r>
      <w:r w:rsidRPr="00994F27">
        <w:rPr>
          <w:szCs w:val="24"/>
          <w:lang w:val="en-GB"/>
        </w:rPr>
        <w:t xml:space="preserve">, the court must first analyse whether there are compelling reasons for the restriction and then evaluate the impact of the restriction on the overall fairness of the trial. </w:t>
      </w:r>
      <w:r>
        <w:rPr>
          <w:szCs w:val="24"/>
          <w:lang w:val="en-GB"/>
        </w:rPr>
        <w:t>S</w:t>
      </w:r>
      <w:r w:rsidRPr="00994F27">
        <w:rPr>
          <w:szCs w:val="24"/>
          <w:lang w:val="en-GB"/>
        </w:rPr>
        <w:t xml:space="preserve">ince confirmed in </w:t>
      </w:r>
      <w:r w:rsidRPr="00994F27">
        <w:rPr>
          <w:i/>
          <w:iCs/>
          <w:szCs w:val="24"/>
          <w:lang w:val="en-GB"/>
        </w:rPr>
        <w:t>Beuze v Belgium</w:t>
      </w:r>
      <w:r w:rsidRPr="00994F27">
        <w:rPr>
          <w:szCs w:val="24"/>
          <w:lang w:val="en-GB"/>
        </w:rPr>
        <w:t xml:space="preserve"> (2019) 69 EHRR 1</w:t>
      </w:r>
      <w:r>
        <w:rPr>
          <w:szCs w:val="24"/>
          <w:lang w:val="en-GB"/>
        </w:rPr>
        <w:t xml:space="preserve">, </w:t>
      </w:r>
      <w:r w:rsidRPr="00994F27">
        <w:rPr>
          <w:szCs w:val="24"/>
          <w:lang w:val="en-GB"/>
        </w:rPr>
        <w:t xml:space="preserve">this test </w:t>
      </w:r>
      <w:r>
        <w:rPr>
          <w:szCs w:val="24"/>
          <w:lang w:val="en-GB"/>
        </w:rPr>
        <w:t>has so far related to the effect of a lack of legal assistance on the mind of a suspect in terms of disputed admissions.</w:t>
      </w:r>
    </w:p>
    <w:p w14:paraId="5D203CD3" w14:textId="77777777" w:rsidR="00EC50C9" w:rsidRPr="00994F27" w:rsidRDefault="00EC50C9" w:rsidP="00EC50C9">
      <w:pPr>
        <w:spacing w:line="240" w:lineRule="auto"/>
        <w:rPr>
          <w:szCs w:val="24"/>
        </w:rPr>
      </w:pPr>
      <w:r>
        <w:rPr>
          <w:szCs w:val="24"/>
          <w:lang w:val="en-GB"/>
        </w:rPr>
        <w:lastRenderedPageBreak/>
        <w:t xml:space="preserve">27. The 1990 Act did not abolish the common law. Nor did it, purposely or otherwise, usher in the application by investigating authorities of unfair practices. There is no rule of law which prevents a person burdened in conscience by a crime from arriving at a garda station and seeking to confess. Nor is a person required by law to not let investigating officers enter the family home. It is also possible for a person to waive the right to legal advice upon arrest and detention by gardaí. But, of course, the courts must scrutinise the reality of any such exercise of apparent free choice. While there is freedom from coercion in admission, and while investigating authorities are neither required to reveal their hand nor to eschew stealth, there remains an entitlement not to be the subject of fundamental unfairness in extracting consent. As Finnegan J notes in </w:t>
      </w:r>
      <w:r>
        <w:rPr>
          <w:i/>
          <w:szCs w:val="24"/>
          <w:lang w:val="en-GB"/>
        </w:rPr>
        <w:t xml:space="preserve">The People (DPP) v Boyce </w:t>
      </w:r>
      <w:r w:rsidRPr="00994F27">
        <w:rPr>
          <w:szCs w:val="24"/>
        </w:rPr>
        <w:t xml:space="preserve">[2009] 2 IR 124, </w:t>
      </w:r>
      <w:r>
        <w:rPr>
          <w:szCs w:val="24"/>
        </w:rPr>
        <w:t>162</w:t>
      </w:r>
      <w:r w:rsidRPr="00994F27">
        <w:rPr>
          <w:szCs w:val="24"/>
        </w:rPr>
        <w:t>:</w:t>
      </w:r>
    </w:p>
    <w:p w14:paraId="38CA3FEC" w14:textId="77777777" w:rsidR="00EC50C9" w:rsidRPr="00994F27" w:rsidRDefault="00EC50C9" w:rsidP="00EC50C9">
      <w:pPr>
        <w:spacing w:line="240" w:lineRule="auto"/>
        <w:ind w:left="720"/>
        <w:rPr>
          <w:szCs w:val="24"/>
        </w:rPr>
      </w:pPr>
      <w:r>
        <w:rPr>
          <w:szCs w:val="24"/>
        </w:rPr>
        <w:t>The</w:t>
      </w:r>
      <w:r w:rsidRPr="00994F27">
        <w:rPr>
          <w:szCs w:val="24"/>
        </w:rPr>
        <w:t xml:space="preserve"> consent must be freely and voluntarily given. The consent must not be obtained by trickery or unfairly or oppressively. While a discretion remains to admit evidence obtained from a detained person where he is misled or tricked such evidence, whether it be an inculpatory statement </w:t>
      </w:r>
      <w:r>
        <w:rPr>
          <w:szCs w:val="24"/>
        </w:rPr>
        <w:t>o</w:t>
      </w:r>
      <w:r w:rsidRPr="00994F27">
        <w:rPr>
          <w:szCs w:val="24"/>
        </w:rPr>
        <w:t>r the provision of fingerprints or DNA material, is likely to infringe on the rule against self-incrimination.</w:t>
      </w:r>
    </w:p>
    <w:p w14:paraId="42030F56" w14:textId="77777777" w:rsidR="00EC50C9" w:rsidRDefault="00EC50C9" w:rsidP="00EC50C9">
      <w:pPr>
        <w:spacing w:line="240" w:lineRule="auto"/>
        <w:rPr>
          <w:szCs w:val="24"/>
        </w:rPr>
      </w:pPr>
      <w:r>
        <w:rPr>
          <w:szCs w:val="24"/>
        </w:rPr>
        <w:t>28. I</w:t>
      </w:r>
      <w:r w:rsidRPr="00994F27">
        <w:rPr>
          <w:szCs w:val="24"/>
        </w:rPr>
        <w:t xml:space="preserve">n </w:t>
      </w:r>
      <w:r w:rsidRPr="00994F27">
        <w:rPr>
          <w:i/>
          <w:iCs/>
          <w:szCs w:val="24"/>
        </w:rPr>
        <w:t>Boyce</w:t>
      </w:r>
      <w:r w:rsidRPr="00994F27">
        <w:rPr>
          <w:szCs w:val="24"/>
        </w:rPr>
        <w:t xml:space="preserve"> </w:t>
      </w:r>
      <w:r>
        <w:rPr>
          <w:szCs w:val="24"/>
        </w:rPr>
        <w:t>this Court held that the e</w:t>
      </w:r>
      <w:r w:rsidRPr="00994F27">
        <w:rPr>
          <w:szCs w:val="24"/>
        </w:rPr>
        <w:t>nactment of the 1990 Act</w:t>
      </w:r>
      <w:r>
        <w:rPr>
          <w:szCs w:val="24"/>
        </w:rPr>
        <w:t xml:space="preserve"> did not constitute the only means whereby a sample for forensic testing might be obtained. Section 2(11) preserves the common law. Hence, </w:t>
      </w:r>
      <w:r w:rsidRPr="00994F27">
        <w:rPr>
          <w:szCs w:val="24"/>
        </w:rPr>
        <w:t>Denham J at [6</w:t>
      </w:r>
      <w:r>
        <w:rPr>
          <w:szCs w:val="24"/>
        </w:rPr>
        <w:t>0</w:t>
      </w:r>
      <w:r w:rsidRPr="00994F27">
        <w:rPr>
          <w:szCs w:val="24"/>
        </w:rPr>
        <w:t>] stat</w:t>
      </w:r>
      <w:r>
        <w:rPr>
          <w:szCs w:val="24"/>
        </w:rPr>
        <w:t>es</w:t>
      </w:r>
      <w:r w:rsidRPr="00994F27">
        <w:rPr>
          <w:szCs w:val="24"/>
        </w:rPr>
        <w:t xml:space="preserve"> that “the common law enables a practical and efficient way to obtain samples with consent, from the local population.”</w:t>
      </w:r>
      <w:r>
        <w:rPr>
          <w:szCs w:val="24"/>
        </w:rPr>
        <w:t xml:space="preserve"> In that case it was consent by the suspect in custody to the taking of a blood sample which subsequently established a forensic connection to the crime of rape. Denham J expressly stated that the common law had been preserved:</w:t>
      </w:r>
    </w:p>
    <w:p w14:paraId="0A701E7A" w14:textId="77777777" w:rsidR="00EC50C9" w:rsidRPr="008F13E8" w:rsidRDefault="00EC50C9" w:rsidP="00EC50C9">
      <w:pPr>
        <w:spacing w:line="240" w:lineRule="auto"/>
        <w:ind w:left="720"/>
        <w:rPr>
          <w:szCs w:val="24"/>
        </w:rPr>
      </w:pPr>
      <w:r w:rsidRPr="008F13E8">
        <w:rPr>
          <w:szCs w:val="24"/>
        </w:rPr>
        <w:t>57. The common law approach to obtaining information by consent is well established. It is a fundamental aspect of the approach to</w:t>
      </w:r>
      <w:r>
        <w:rPr>
          <w:szCs w:val="24"/>
        </w:rPr>
        <w:t xml:space="preserve"> </w:t>
      </w:r>
      <w:r w:rsidRPr="008F13E8">
        <w:rPr>
          <w:szCs w:val="24"/>
        </w:rPr>
        <w:t>investigating crime. It is a practical approach. Any alteration to such a fundamental aspect of criminal investigation would require a</w:t>
      </w:r>
      <w:r>
        <w:rPr>
          <w:szCs w:val="24"/>
        </w:rPr>
        <w:t xml:space="preserve"> </w:t>
      </w:r>
      <w:r w:rsidRPr="008F13E8">
        <w:rPr>
          <w:szCs w:val="24"/>
        </w:rPr>
        <w:t>clear expression of an intent to change. No such approach is apparent from the words of the Act.</w:t>
      </w:r>
    </w:p>
    <w:p w14:paraId="0A4DE5B2" w14:textId="77777777" w:rsidR="00EC50C9" w:rsidRDefault="00EC50C9" w:rsidP="00EC50C9">
      <w:pPr>
        <w:spacing w:line="240" w:lineRule="auto"/>
        <w:ind w:left="720"/>
        <w:rPr>
          <w:szCs w:val="24"/>
        </w:rPr>
      </w:pPr>
      <w:r w:rsidRPr="008F13E8">
        <w:rPr>
          <w:szCs w:val="24"/>
        </w:rPr>
        <w:t>58. The Act of 1990 in s.2(11) expressly states that the powers conferred by this section are without prejudice to any other powers</w:t>
      </w:r>
      <w:r>
        <w:rPr>
          <w:szCs w:val="24"/>
        </w:rPr>
        <w:t xml:space="preserve"> </w:t>
      </w:r>
      <w:r w:rsidRPr="008F13E8">
        <w:rPr>
          <w:szCs w:val="24"/>
        </w:rPr>
        <w:t>exercisable by a member of the Garda Síochána. This section confers powers to take, or cause to be taken, samples, within the</w:t>
      </w:r>
      <w:r>
        <w:rPr>
          <w:szCs w:val="24"/>
        </w:rPr>
        <w:t xml:space="preserve"> </w:t>
      </w:r>
      <w:r w:rsidRPr="008F13E8">
        <w:rPr>
          <w:szCs w:val="24"/>
        </w:rPr>
        <w:t>scheme provided. It is a matter of construing the subsection to determine to what this reference is made. It expressly retains powers</w:t>
      </w:r>
      <w:r>
        <w:rPr>
          <w:szCs w:val="24"/>
        </w:rPr>
        <w:t xml:space="preserve"> </w:t>
      </w:r>
      <w:r w:rsidRPr="008F13E8">
        <w:rPr>
          <w:szCs w:val="24"/>
        </w:rPr>
        <w:t>of the Garda Síochána. By inference it is referring to the establishment of a scheme which does not alter the powers of the Garda</w:t>
      </w:r>
      <w:r>
        <w:rPr>
          <w:szCs w:val="24"/>
        </w:rPr>
        <w:t xml:space="preserve"> </w:t>
      </w:r>
      <w:r w:rsidRPr="008F13E8">
        <w:rPr>
          <w:szCs w:val="24"/>
        </w:rPr>
        <w:t>Síochána. This express and implied construction indicates an intent to establish a new legislative scheme, but not to change existing</w:t>
      </w:r>
      <w:r>
        <w:rPr>
          <w:szCs w:val="24"/>
        </w:rPr>
        <w:t xml:space="preserve"> </w:t>
      </w:r>
      <w:r w:rsidRPr="008F13E8">
        <w:rPr>
          <w:szCs w:val="24"/>
        </w:rPr>
        <w:t>law.</w:t>
      </w:r>
    </w:p>
    <w:p w14:paraId="69719A0E" w14:textId="77777777" w:rsidR="00EC50C9" w:rsidRDefault="00EC50C9" w:rsidP="00EC50C9">
      <w:pPr>
        <w:spacing w:line="240" w:lineRule="auto"/>
        <w:rPr>
          <w:szCs w:val="24"/>
        </w:rPr>
      </w:pPr>
      <w:r>
        <w:rPr>
          <w:szCs w:val="24"/>
          <w:lang w:val="en-GB"/>
        </w:rPr>
        <w:t xml:space="preserve">29. </w:t>
      </w:r>
      <w:r w:rsidRPr="00994F27">
        <w:rPr>
          <w:szCs w:val="24"/>
        </w:rPr>
        <w:t xml:space="preserve">The distinction between statement evidence and forensic evidence in relation to consent from the suspect is </w:t>
      </w:r>
      <w:r>
        <w:rPr>
          <w:szCs w:val="24"/>
        </w:rPr>
        <w:t>correctly stated in</w:t>
      </w:r>
      <w:r w:rsidRPr="00994F27">
        <w:rPr>
          <w:szCs w:val="24"/>
        </w:rPr>
        <w:t xml:space="preserve"> Coen</w:t>
      </w:r>
      <w:r>
        <w:rPr>
          <w:szCs w:val="24"/>
        </w:rPr>
        <w:t>,</w:t>
      </w:r>
      <w:r w:rsidRPr="00994F27">
        <w:rPr>
          <w:szCs w:val="24"/>
        </w:rPr>
        <w:t xml:space="preserve"> </w:t>
      </w:r>
      <w:r w:rsidRPr="00994F27">
        <w:rPr>
          <w:i/>
          <w:iCs/>
          <w:szCs w:val="24"/>
        </w:rPr>
        <w:t>Garda Powers: Laws and Practices</w:t>
      </w:r>
      <w:r w:rsidRPr="00994F27">
        <w:rPr>
          <w:szCs w:val="24"/>
        </w:rPr>
        <w:t xml:space="preserve"> (1</w:t>
      </w:r>
      <w:r w:rsidRPr="00994F27">
        <w:rPr>
          <w:szCs w:val="24"/>
          <w:vertAlign w:val="superscript"/>
        </w:rPr>
        <w:t>st</w:t>
      </w:r>
      <w:r w:rsidRPr="00994F27">
        <w:rPr>
          <w:szCs w:val="24"/>
        </w:rPr>
        <w:t xml:space="preserve"> e</w:t>
      </w:r>
      <w:r>
        <w:rPr>
          <w:szCs w:val="24"/>
        </w:rPr>
        <w:t>dition, Dublin,</w:t>
      </w:r>
      <w:r w:rsidRPr="00994F27">
        <w:rPr>
          <w:szCs w:val="24"/>
        </w:rPr>
        <w:t xml:space="preserve"> 2014)</w:t>
      </w:r>
      <w:r>
        <w:rPr>
          <w:szCs w:val="24"/>
        </w:rPr>
        <w:t xml:space="preserve"> at </w:t>
      </w:r>
      <w:r w:rsidRPr="00994F27">
        <w:rPr>
          <w:szCs w:val="24"/>
        </w:rPr>
        <w:t xml:space="preserve">233, </w:t>
      </w:r>
      <w:r>
        <w:rPr>
          <w:szCs w:val="24"/>
        </w:rPr>
        <w:t xml:space="preserve">noting that the </w:t>
      </w:r>
      <w:r w:rsidRPr="00994F27">
        <w:rPr>
          <w:szCs w:val="24"/>
        </w:rPr>
        <w:t>compulsory sampling of forensic evidence is permitted “notwithstanding the fact that in giving a forensic sample a person may well incriminate himself – the right not to incriminate oneself is not applicable in the context of forensic sampling.”</w:t>
      </w:r>
      <w:r>
        <w:rPr>
          <w:szCs w:val="24"/>
        </w:rPr>
        <w:t xml:space="preserve"> That distinction is one made </w:t>
      </w:r>
      <w:r w:rsidRPr="00994F27">
        <w:rPr>
          <w:szCs w:val="24"/>
        </w:rPr>
        <w:t xml:space="preserve">in </w:t>
      </w:r>
      <w:r>
        <w:rPr>
          <w:i/>
          <w:szCs w:val="24"/>
        </w:rPr>
        <w:t>The People (</w:t>
      </w:r>
      <w:r w:rsidRPr="00994F27">
        <w:rPr>
          <w:i/>
          <w:iCs/>
          <w:szCs w:val="24"/>
        </w:rPr>
        <w:t>DPP</w:t>
      </w:r>
      <w:r>
        <w:rPr>
          <w:i/>
          <w:iCs/>
          <w:szCs w:val="24"/>
        </w:rPr>
        <w:t>)</w:t>
      </w:r>
      <w:r w:rsidRPr="00994F27">
        <w:rPr>
          <w:i/>
          <w:iCs/>
          <w:szCs w:val="24"/>
        </w:rPr>
        <w:t xml:space="preserve"> v Cash </w:t>
      </w:r>
      <w:r w:rsidRPr="00994F27">
        <w:rPr>
          <w:szCs w:val="24"/>
        </w:rPr>
        <w:t xml:space="preserve">[2007] IEHC </w:t>
      </w:r>
      <w:proofErr w:type="gramStart"/>
      <w:r w:rsidRPr="00994F27">
        <w:rPr>
          <w:szCs w:val="24"/>
        </w:rPr>
        <w:t>108</w:t>
      </w:r>
      <w:r>
        <w:rPr>
          <w:szCs w:val="24"/>
        </w:rPr>
        <w:t>, and</w:t>
      </w:r>
      <w:proofErr w:type="gramEnd"/>
      <w:r>
        <w:rPr>
          <w:szCs w:val="24"/>
        </w:rPr>
        <w:t xml:space="preserve"> see </w:t>
      </w:r>
      <w:r>
        <w:rPr>
          <w:i/>
          <w:szCs w:val="24"/>
        </w:rPr>
        <w:t>The People (</w:t>
      </w:r>
      <w:r w:rsidRPr="00994F27">
        <w:rPr>
          <w:i/>
          <w:iCs/>
          <w:szCs w:val="24"/>
        </w:rPr>
        <w:t>DPP</w:t>
      </w:r>
      <w:r>
        <w:rPr>
          <w:i/>
          <w:iCs/>
          <w:szCs w:val="24"/>
        </w:rPr>
        <w:t>)</w:t>
      </w:r>
      <w:r w:rsidRPr="00994F27">
        <w:rPr>
          <w:i/>
          <w:iCs/>
          <w:szCs w:val="24"/>
        </w:rPr>
        <w:t xml:space="preserve"> v</w:t>
      </w:r>
      <w:r>
        <w:rPr>
          <w:i/>
          <w:iCs/>
          <w:szCs w:val="24"/>
        </w:rPr>
        <w:t xml:space="preserve"> Gormley and</w:t>
      </w:r>
      <w:r w:rsidRPr="00994F27">
        <w:rPr>
          <w:i/>
          <w:iCs/>
          <w:szCs w:val="24"/>
        </w:rPr>
        <w:t xml:space="preserve"> White</w:t>
      </w:r>
      <w:r w:rsidRPr="00994F27">
        <w:rPr>
          <w:szCs w:val="24"/>
        </w:rPr>
        <w:t xml:space="preserve"> [2014] IESC</w:t>
      </w:r>
      <w:r>
        <w:rPr>
          <w:szCs w:val="24"/>
        </w:rPr>
        <w:t xml:space="preserve"> 17, [2014] 2 IR 591. A</w:t>
      </w:r>
      <w:r w:rsidRPr="00994F27">
        <w:rPr>
          <w:szCs w:val="24"/>
        </w:rPr>
        <w:t xml:space="preserve"> fingerprint or a sample of DNA does not change in nature regardless of the nature of the process by which it is obtained.</w:t>
      </w:r>
      <w:r>
        <w:rPr>
          <w:szCs w:val="24"/>
        </w:rPr>
        <w:t xml:space="preserve"> Nonetheless, that process cannot be coercive or unfair. </w:t>
      </w:r>
    </w:p>
    <w:p w14:paraId="462FF45C" w14:textId="77777777" w:rsidR="00EC50C9" w:rsidRPr="00DF13D2" w:rsidRDefault="00EC50C9" w:rsidP="00EC50C9">
      <w:pPr>
        <w:spacing w:line="240" w:lineRule="auto"/>
        <w:rPr>
          <w:szCs w:val="24"/>
        </w:rPr>
      </w:pPr>
      <w:r>
        <w:rPr>
          <w:szCs w:val="24"/>
        </w:rPr>
        <w:t xml:space="preserve">30. While argument has been addressed to the issue of </w:t>
      </w:r>
      <w:proofErr w:type="gramStart"/>
      <w:r>
        <w:rPr>
          <w:szCs w:val="24"/>
        </w:rPr>
        <w:t>whether or not</w:t>
      </w:r>
      <w:proofErr w:type="gramEnd"/>
      <w:r>
        <w:rPr>
          <w:szCs w:val="24"/>
        </w:rPr>
        <w:t xml:space="preserve"> legal advice is appropriate prior to a person consenting, as in this case, to giving a sample, there is a reality to the case which is that Christopher McDonald did have a consultation with his solicitor prior to any sample being taken. Furthermore, there is no evidence of any coercion or unfairness by way of a trick whereby any entitlement to hold back from assistance, apart from the statutory scheme not invoked here, </w:t>
      </w:r>
      <w:r>
        <w:rPr>
          <w:szCs w:val="24"/>
        </w:rPr>
        <w:lastRenderedPageBreak/>
        <w:t xml:space="preserve">which might call the validity of his actions into question. It should also be remembered that in </w:t>
      </w:r>
      <w:r>
        <w:rPr>
          <w:i/>
          <w:szCs w:val="24"/>
        </w:rPr>
        <w:t>Doyle</w:t>
      </w:r>
      <w:r>
        <w:rPr>
          <w:szCs w:val="24"/>
        </w:rPr>
        <w:t xml:space="preserve">, this Court did not hold beyond the provision of legal advice and did not insist on the presence of a solicitor while interviews were being conducted. There was, however, both a detailed examination of the circumstances of the confession of that accused and an overall ruling that fairness prevailed in the taking of his admission to murder. Since what was involved in that case was a process as to what a person admitted out of his own mind, as opposed to what his blood or a plucked hair sample might objectively say, the reasoning of Denham CJ becomes stronger in the context of the argument advanced on behalf of Christopher McDonald: </w:t>
      </w:r>
    </w:p>
    <w:p w14:paraId="38BE4F21" w14:textId="77777777" w:rsidR="00EC50C9" w:rsidRDefault="00EC50C9" w:rsidP="00EC50C9">
      <w:pPr>
        <w:spacing w:line="240" w:lineRule="auto"/>
        <w:ind w:left="720"/>
        <w:rPr>
          <w:szCs w:val="24"/>
        </w:rPr>
      </w:pPr>
      <w:r w:rsidRPr="00C00F59">
        <w:rPr>
          <w:szCs w:val="24"/>
        </w:rPr>
        <w:t>7. The constitutional right is grounded in Article 38.1 of the Constitution, which provides that:</w:t>
      </w:r>
      <w:r>
        <w:rPr>
          <w:szCs w:val="24"/>
        </w:rPr>
        <w:t xml:space="preserve"> </w:t>
      </w:r>
      <w:r w:rsidRPr="00C00F59">
        <w:rPr>
          <w:szCs w:val="24"/>
        </w:rPr>
        <w:t>“No person shall be tried on any criminal charge save in due course of law.”</w:t>
      </w:r>
    </w:p>
    <w:p w14:paraId="77EE796E" w14:textId="77777777" w:rsidR="00EC50C9" w:rsidRDefault="00EC50C9" w:rsidP="00EC50C9">
      <w:pPr>
        <w:spacing w:line="240" w:lineRule="auto"/>
        <w:ind w:left="720"/>
        <w:rPr>
          <w:szCs w:val="24"/>
        </w:rPr>
      </w:pPr>
      <w:r w:rsidRPr="00C00F59">
        <w:rPr>
          <w:szCs w:val="24"/>
        </w:rPr>
        <w:t>8. The protection of a trial in due course of law is not confined to the trial in court but applies also to pre-trial detention and</w:t>
      </w:r>
      <w:r>
        <w:rPr>
          <w:szCs w:val="24"/>
        </w:rPr>
        <w:t xml:space="preserve"> </w:t>
      </w:r>
      <w:r w:rsidRPr="00C00F59">
        <w:rPr>
          <w:szCs w:val="24"/>
        </w:rPr>
        <w:t>questioning. However, not all rights which are guaranteed for the courtroom apply to pre-trial detention and questioning. For example,</w:t>
      </w:r>
      <w:r>
        <w:rPr>
          <w:szCs w:val="24"/>
        </w:rPr>
        <w:t xml:space="preserve"> </w:t>
      </w:r>
      <w:r w:rsidRPr="00C00F59">
        <w:rPr>
          <w:szCs w:val="24"/>
        </w:rPr>
        <w:t xml:space="preserve">the solicitor of an accused is not permitted to have regular updates and running accounts of the progress of an investigation: </w:t>
      </w:r>
      <w:r w:rsidRPr="00B35B7C">
        <w:rPr>
          <w:i/>
          <w:szCs w:val="24"/>
        </w:rPr>
        <w:t>Lavery v. Member in Charge, Carrickmacross Garda Station</w:t>
      </w:r>
      <w:r w:rsidRPr="00C00F59">
        <w:rPr>
          <w:szCs w:val="24"/>
        </w:rPr>
        <w:t xml:space="preserve"> [1999] 2 I.R. 390.</w:t>
      </w:r>
    </w:p>
    <w:p w14:paraId="12B56601" w14:textId="77777777" w:rsidR="00EC50C9" w:rsidRDefault="00EC50C9" w:rsidP="00EC50C9">
      <w:pPr>
        <w:spacing w:line="240" w:lineRule="auto"/>
        <w:ind w:left="720"/>
        <w:rPr>
          <w:szCs w:val="24"/>
        </w:rPr>
      </w:pPr>
      <w:r w:rsidRPr="00C00F59">
        <w:rPr>
          <w:szCs w:val="24"/>
        </w:rPr>
        <w:t xml:space="preserve">9. The concept of basic fairness of process applies from the time of arrest. In </w:t>
      </w:r>
      <w:r w:rsidRPr="00B35B7C">
        <w:rPr>
          <w:i/>
          <w:szCs w:val="24"/>
        </w:rPr>
        <w:t>DPP v Gormley and DPP v White</w:t>
      </w:r>
      <w:r w:rsidRPr="00C00F59">
        <w:rPr>
          <w:szCs w:val="24"/>
        </w:rPr>
        <w:t xml:space="preserve"> [2014] IESC 17, [2014]2 I.R. 591, Clarke J. described this </w:t>
      </w:r>
      <w:proofErr w:type="gramStart"/>
      <w:r w:rsidRPr="00C00F59">
        <w:rPr>
          <w:szCs w:val="24"/>
        </w:rPr>
        <w:t>as:“</w:t>
      </w:r>
      <w:proofErr w:type="gramEnd"/>
      <w:r w:rsidRPr="00C00F59">
        <w:rPr>
          <w:szCs w:val="24"/>
        </w:rPr>
        <w:t>...[T]he requirement that persons only be tried in due course of law therefore requires that the basic fairness of process</w:t>
      </w:r>
      <w:r>
        <w:rPr>
          <w:szCs w:val="24"/>
        </w:rPr>
        <w:t xml:space="preserve"> </w:t>
      </w:r>
      <w:r w:rsidRPr="00C00F59">
        <w:rPr>
          <w:szCs w:val="24"/>
        </w:rPr>
        <w:t>identified as an essential ingredient of that concept by this Court in State (Healy) v Donoghue applies from the time of</w:t>
      </w:r>
      <w:r>
        <w:rPr>
          <w:szCs w:val="24"/>
        </w:rPr>
        <w:t xml:space="preserve"> </w:t>
      </w:r>
      <w:r w:rsidRPr="00C00F59">
        <w:rPr>
          <w:szCs w:val="24"/>
        </w:rPr>
        <w:t>arrest of a suspect. The precise consequences of such a requirement do, of course, require careful and detailed analysis.... it seems to me that the fundamental requirement of basic fairness does apply from the time of arrest such that any</w:t>
      </w:r>
      <w:r>
        <w:rPr>
          <w:szCs w:val="24"/>
        </w:rPr>
        <w:t xml:space="preserve"> </w:t>
      </w:r>
      <w:r w:rsidRPr="00C00F59">
        <w:rPr>
          <w:szCs w:val="24"/>
        </w:rPr>
        <w:t>breach of that requirement can lead to an absence of a trial in due course of law. In that regard it seems to me that the</w:t>
      </w:r>
      <w:r>
        <w:rPr>
          <w:szCs w:val="24"/>
        </w:rPr>
        <w:t xml:space="preserve"> </w:t>
      </w:r>
      <w:r w:rsidRPr="00C00F59">
        <w:rPr>
          <w:szCs w:val="24"/>
        </w:rPr>
        <w:t>Irish position is the same as that acknowledged by the ECtHR and by the Supreme Court of the United States.”</w:t>
      </w:r>
    </w:p>
    <w:p w14:paraId="5416DD59" w14:textId="77777777" w:rsidR="00EC50C9" w:rsidRDefault="00EC50C9" w:rsidP="00EC50C9">
      <w:pPr>
        <w:spacing w:line="240" w:lineRule="auto"/>
        <w:ind w:left="720"/>
        <w:rPr>
          <w:szCs w:val="24"/>
        </w:rPr>
      </w:pPr>
      <w:r w:rsidRPr="00C00F59">
        <w:rPr>
          <w:szCs w:val="24"/>
        </w:rPr>
        <w:t xml:space="preserve">10. </w:t>
      </w:r>
      <w:r w:rsidRPr="00B35B7C">
        <w:rPr>
          <w:i/>
          <w:szCs w:val="24"/>
        </w:rPr>
        <w:t>DPP v Gormley and DPP v White</w:t>
      </w:r>
      <w:r w:rsidRPr="00C00F59">
        <w:rPr>
          <w:szCs w:val="24"/>
        </w:rPr>
        <w:t xml:space="preserve"> confirmed an entitlement to have reasonable access to legal advice prior to the conduct of any</w:t>
      </w:r>
      <w:r>
        <w:rPr>
          <w:szCs w:val="24"/>
        </w:rPr>
        <w:t xml:space="preserve"> </w:t>
      </w:r>
      <w:r w:rsidRPr="00C00F59">
        <w:rPr>
          <w:szCs w:val="24"/>
        </w:rPr>
        <w:t>interrogation.</w:t>
      </w:r>
    </w:p>
    <w:p w14:paraId="0C3686E3" w14:textId="77777777" w:rsidR="00EC50C9" w:rsidRDefault="00EC50C9" w:rsidP="00EC50C9">
      <w:pPr>
        <w:spacing w:line="240" w:lineRule="auto"/>
        <w:ind w:left="720"/>
        <w:rPr>
          <w:szCs w:val="24"/>
        </w:rPr>
      </w:pPr>
      <w:r w:rsidRPr="00C00F59">
        <w:rPr>
          <w:szCs w:val="24"/>
        </w:rPr>
        <w:t xml:space="preserve">11. Further, in </w:t>
      </w:r>
      <w:r w:rsidRPr="00B35B7C">
        <w:rPr>
          <w:i/>
          <w:szCs w:val="24"/>
        </w:rPr>
        <w:t>DPP v Gormley and DPP v White</w:t>
      </w:r>
      <w:r w:rsidRPr="00C00F59">
        <w:rPr>
          <w:szCs w:val="24"/>
        </w:rPr>
        <w:t>, opinions were given as to possible future development of the law. Thus, Hardiman J.</w:t>
      </w:r>
      <w:r>
        <w:rPr>
          <w:szCs w:val="24"/>
        </w:rPr>
        <w:t xml:space="preserve"> </w:t>
      </w:r>
      <w:r w:rsidRPr="00C00F59">
        <w:rPr>
          <w:szCs w:val="24"/>
        </w:rPr>
        <w:t>stated (in a judgment concurring with Clarke J.</w:t>
      </w:r>
      <w:proofErr w:type="gramStart"/>
      <w:r w:rsidRPr="00C00F59">
        <w:rPr>
          <w:szCs w:val="24"/>
        </w:rPr>
        <w:t>):-</w:t>
      </w:r>
      <w:proofErr w:type="gramEnd"/>
    </w:p>
    <w:p w14:paraId="22E166FE" w14:textId="77777777" w:rsidR="00EC50C9" w:rsidRPr="00C00F59" w:rsidRDefault="00EC50C9" w:rsidP="00EC50C9">
      <w:pPr>
        <w:spacing w:line="240" w:lineRule="auto"/>
        <w:ind w:left="1440"/>
        <w:rPr>
          <w:szCs w:val="24"/>
        </w:rPr>
      </w:pPr>
      <w:r w:rsidRPr="00C00F59">
        <w:rPr>
          <w:szCs w:val="24"/>
        </w:rPr>
        <w:t>“[12] In my view, the most salient and practically important feature of Mr. Justice Clarke’s judgment is the citation from</w:t>
      </w:r>
      <w:r>
        <w:rPr>
          <w:szCs w:val="24"/>
        </w:rPr>
        <w:t xml:space="preserve"> </w:t>
      </w:r>
      <w:r w:rsidRPr="00C00F59">
        <w:rPr>
          <w:szCs w:val="24"/>
        </w:rPr>
        <w:t xml:space="preserve">the judgment of the Supreme Court of the United Kingdom in </w:t>
      </w:r>
      <w:r w:rsidRPr="00B35B7C">
        <w:rPr>
          <w:i/>
          <w:szCs w:val="24"/>
        </w:rPr>
        <w:t>Cadder v. Her Majesty’s Advocates</w:t>
      </w:r>
      <w:r w:rsidRPr="00C00F59">
        <w:rPr>
          <w:szCs w:val="24"/>
        </w:rPr>
        <w:t xml:space="preserve"> [2010] UKSC 43. There,</w:t>
      </w:r>
      <w:r>
        <w:rPr>
          <w:szCs w:val="24"/>
        </w:rPr>
        <w:t xml:space="preserve"> </w:t>
      </w:r>
      <w:r w:rsidRPr="00C00F59">
        <w:rPr>
          <w:szCs w:val="24"/>
        </w:rPr>
        <w:t>at para. 48, Lord Hope, having summarised the principal features of the European Convention on Human Rights</w:t>
      </w:r>
      <w:r>
        <w:rPr>
          <w:szCs w:val="24"/>
        </w:rPr>
        <w:t xml:space="preserve"> </w:t>
      </w:r>
      <w:r w:rsidRPr="00C00F59">
        <w:rPr>
          <w:szCs w:val="24"/>
        </w:rPr>
        <w:t>jurisprudence concluded that:</w:t>
      </w:r>
      <w:r>
        <w:rPr>
          <w:szCs w:val="24"/>
        </w:rPr>
        <w:t xml:space="preserve"> </w:t>
      </w:r>
      <w:r w:rsidRPr="00C00F59">
        <w:rPr>
          <w:szCs w:val="24"/>
        </w:rPr>
        <w:t>“the contracting States are under a duty to organise their systems in such a way as to ensure that, unless in the</w:t>
      </w:r>
      <w:r>
        <w:rPr>
          <w:szCs w:val="24"/>
        </w:rPr>
        <w:t xml:space="preserve"> </w:t>
      </w:r>
      <w:r w:rsidRPr="00C00F59">
        <w:rPr>
          <w:szCs w:val="24"/>
        </w:rPr>
        <w:t>particular circumstances of the case there are compelling reasons for restricting the right, a person who is detained</w:t>
      </w:r>
      <w:r>
        <w:rPr>
          <w:szCs w:val="24"/>
        </w:rPr>
        <w:t xml:space="preserve"> </w:t>
      </w:r>
      <w:r w:rsidRPr="00C00F59">
        <w:rPr>
          <w:szCs w:val="24"/>
        </w:rPr>
        <w:t>has access to a lawyer before he is subjected to police questioning.”[13] I believe that the law in Ireland is identical, as to the need to organise [our system] to take account of detained</w:t>
      </w:r>
      <w:r>
        <w:rPr>
          <w:szCs w:val="24"/>
        </w:rPr>
        <w:t xml:space="preserve"> </w:t>
      </w:r>
      <w:r w:rsidRPr="00C00F59">
        <w:rPr>
          <w:szCs w:val="24"/>
        </w:rPr>
        <w:t>persons’ rights.</w:t>
      </w:r>
    </w:p>
    <w:p w14:paraId="3C38DE6A" w14:textId="77777777" w:rsidR="00EC50C9" w:rsidRDefault="00EC50C9" w:rsidP="00EC50C9">
      <w:pPr>
        <w:spacing w:line="240" w:lineRule="auto"/>
        <w:ind w:left="1440"/>
        <w:rPr>
          <w:szCs w:val="24"/>
        </w:rPr>
      </w:pPr>
      <w:r w:rsidRPr="00C00F59">
        <w:rPr>
          <w:szCs w:val="24"/>
        </w:rPr>
        <w:t>[17] It is, at least prima facie, a matter for the legislature and the State to provide for the time and manner of a person’s</w:t>
      </w:r>
      <w:r>
        <w:rPr>
          <w:szCs w:val="24"/>
        </w:rPr>
        <w:t xml:space="preserve"> </w:t>
      </w:r>
      <w:r w:rsidRPr="00C00F59">
        <w:rPr>
          <w:szCs w:val="24"/>
        </w:rPr>
        <w:t>arrest and the circumstances of his or her detention. But it is now essential that these matters should be regulated, and</w:t>
      </w:r>
      <w:r>
        <w:rPr>
          <w:szCs w:val="24"/>
        </w:rPr>
        <w:t xml:space="preserve"> </w:t>
      </w:r>
      <w:r w:rsidRPr="00C00F59">
        <w:rPr>
          <w:szCs w:val="24"/>
        </w:rPr>
        <w:t xml:space="preserve">if </w:t>
      </w:r>
      <w:proofErr w:type="gramStart"/>
      <w:r w:rsidRPr="00C00F59">
        <w:rPr>
          <w:szCs w:val="24"/>
        </w:rPr>
        <w:t>necessary</w:t>
      </w:r>
      <w:proofErr w:type="gramEnd"/>
      <w:r w:rsidRPr="00C00F59">
        <w:rPr>
          <w:szCs w:val="24"/>
        </w:rPr>
        <w:t xml:space="preserve"> the mode of regulation altered, in order to vindicate the right to legal advice.”</w:t>
      </w:r>
      <w:r>
        <w:rPr>
          <w:szCs w:val="24"/>
        </w:rPr>
        <w:t xml:space="preserve"> </w:t>
      </w:r>
    </w:p>
    <w:p w14:paraId="6CB94E90" w14:textId="77777777" w:rsidR="00EC50C9" w:rsidRDefault="00EC50C9" w:rsidP="00EC50C9">
      <w:pPr>
        <w:spacing w:line="240" w:lineRule="auto"/>
        <w:ind w:left="720"/>
        <w:rPr>
          <w:szCs w:val="24"/>
        </w:rPr>
      </w:pPr>
      <w:r w:rsidRPr="00C00F59">
        <w:rPr>
          <w:szCs w:val="24"/>
        </w:rPr>
        <w:lastRenderedPageBreak/>
        <w:t>12. In other words, while the right of access to a solicitor before questioning was once again affirmed, Hardiman J. pointed out that</w:t>
      </w:r>
      <w:r>
        <w:rPr>
          <w:szCs w:val="24"/>
        </w:rPr>
        <w:t xml:space="preserve"> </w:t>
      </w:r>
      <w:r w:rsidRPr="00C00F59">
        <w:rPr>
          <w:szCs w:val="24"/>
        </w:rPr>
        <w:t>there needed to be regulation by the Legislature and the State in the area.</w:t>
      </w:r>
    </w:p>
    <w:p w14:paraId="1C07E426" w14:textId="77777777" w:rsidR="00EC50C9" w:rsidRDefault="00EC50C9" w:rsidP="00EC50C9">
      <w:pPr>
        <w:spacing w:line="240" w:lineRule="auto"/>
        <w:ind w:left="720"/>
        <w:rPr>
          <w:szCs w:val="24"/>
        </w:rPr>
      </w:pPr>
      <w:r w:rsidRPr="00C00F59">
        <w:rPr>
          <w:szCs w:val="24"/>
        </w:rPr>
        <w:t xml:space="preserve">13. In </w:t>
      </w:r>
      <w:r w:rsidRPr="001E38B2">
        <w:rPr>
          <w:i/>
          <w:iCs/>
          <w:szCs w:val="24"/>
        </w:rPr>
        <w:t>Gormley</w:t>
      </w:r>
      <w:r w:rsidRPr="00C00F59">
        <w:rPr>
          <w:szCs w:val="24"/>
        </w:rPr>
        <w:t xml:space="preserve"> the issue as to whether a detained person is entitled to a general right to have a lawyer present during an</w:t>
      </w:r>
      <w:r>
        <w:rPr>
          <w:szCs w:val="24"/>
        </w:rPr>
        <w:t xml:space="preserve"> </w:t>
      </w:r>
      <w:r w:rsidRPr="00C00F59">
        <w:rPr>
          <w:szCs w:val="24"/>
        </w:rPr>
        <w:t>interrogation did not arise. Consequently, any statements on such issue are obiter dicta.</w:t>
      </w:r>
    </w:p>
    <w:p w14:paraId="75C846C4" w14:textId="77777777" w:rsidR="00EC50C9" w:rsidRDefault="00EC50C9" w:rsidP="00EC50C9">
      <w:pPr>
        <w:spacing w:line="240" w:lineRule="auto"/>
        <w:ind w:left="720"/>
        <w:rPr>
          <w:szCs w:val="24"/>
        </w:rPr>
      </w:pPr>
      <w:r w:rsidRPr="00C00F59">
        <w:rPr>
          <w:szCs w:val="24"/>
        </w:rPr>
        <w:t>14. In this case the appellant had access to his lawyer just before the key interview. Also, at the solicitor’s request, the interview</w:t>
      </w:r>
      <w:r>
        <w:rPr>
          <w:szCs w:val="24"/>
        </w:rPr>
        <w:t xml:space="preserve"> </w:t>
      </w:r>
      <w:r w:rsidRPr="00C00F59">
        <w:rPr>
          <w:szCs w:val="24"/>
        </w:rPr>
        <w:t>was interrupted to enable access by the solicitor to the appellant.</w:t>
      </w:r>
    </w:p>
    <w:p w14:paraId="1F4FB98D" w14:textId="77777777" w:rsidR="00EC50C9" w:rsidRDefault="00EC50C9" w:rsidP="00EC50C9">
      <w:pPr>
        <w:spacing w:line="240" w:lineRule="auto"/>
        <w:ind w:left="720"/>
        <w:rPr>
          <w:szCs w:val="24"/>
        </w:rPr>
      </w:pPr>
      <w:r w:rsidRPr="00C00F59">
        <w:rPr>
          <w:szCs w:val="24"/>
        </w:rPr>
        <w:t xml:space="preserve">15. Consequently, </w:t>
      </w:r>
      <w:proofErr w:type="gramStart"/>
      <w:r w:rsidRPr="00C00F59">
        <w:rPr>
          <w:szCs w:val="24"/>
        </w:rPr>
        <w:t>it is clear that the</w:t>
      </w:r>
      <w:proofErr w:type="gramEnd"/>
      <w:r w:rsidRPr="00C00F59">
        <w:rPr>
          <w:szCs w:val="24"/>
        </w:rPr>
        <w:t xml:space="preserve"> appellant requested access to a solicitor and obtained access to a solicitor. He had access to</w:t>
      </w:r>
      <w:r>
        <w:rPr>
          <w:szCs w:val="24"/>
        </w:rPr>
        <w:t xml:space="preserve"> </w:t>
      </w:r>
      <w:r w:rsidRPr="00C00F59">
        <w:rPr>
          <w:szCs w:val="24"/>
        </w:rPr>
        <w:t>legal advice. He had access to the solicitor before the important Interview 15, and he had access, at the solicitor’s request, during</w:t>
      </w:r>
      <w:r>
        <w:rPr>
          <w:szCs w:val="24"/>
        </w:rPr>
        <w:t xml:space="preserve"> </w:t>
      </w:r>
      <w:r w:rsidRPr="00C00F59">
        <w:rPr>
          <w:szCs w:val="24"/>
        </w:rPr>
        <w:t>that interview, when the solicitor phoned in and sought to speak to the appellant as Interview 15 was underway. The interview was</w:t>
      </w:r>
      <w:r>
        <w:rPr>
          <w:szCs w:val="24"/>
        </w:rPr>
        <w:t xml:space="preserve"> </w:t>
      </w:r>
      <w:r w:rsidRPr="00C00F59">
        <w:rPr>
          <w:szCs w:val="24"/>
        </w:rPr>
        <w:t>interrupted to enable the appellant to speak to his solicitor. There was no request to have the legal adviser present during the</w:t>
      </w:r>
      <w:r>
        <w:rPr>
          <w:szCs w:val="24"/>
        </w:rPr>
        <w:t xml:space="preserve"> </w:t>
      </w:r>
      <w:r w:rsidRPr="00C00F59">
        <w:rPr>
          <w:szCs w:val="24"/>
        </w:rPr>
        <w:t>interview.</w:t>
      </w:r>
    </w:p>
    <w:p w14:paraId="508E22E0" w14:textId="77777777" w:rsidR="00EC50C9" w:rsidRDefault="00EC50C9" w:rsidP="00EC50C9">
      <w:pPr>
        <w:spacing w:line="240" w:lineRule="auto"/>
        <w:rPr>
          <w:szCs w:val="24"/>
        </w:rPr>
      </w:pPr>
    </w:p>
    <w:p w14:paraId="77DCBE3E" w14:textId="77777777" w:rsidR="00EC50C9" w:rsidRDefault="00EC50C9" w:rsidP="00EC50C9">
      <w:pPr>
        <w:spacing w:line="240" w:lineRule="auto"/>
        <w:rPr>
          <w:szCs w:val="24"/>
        </w:rPr>
      </w:pPr>
      <w:r>
        <w:rPr>
          <w:szCs w:val="24"/>
        </w:rPr>
        <w:t xml:space="preserve">31. In </w:t>
      </w:r>
      <w:proofErr w:type="gramStart"/>
      <w:r>
        <w:rPr>
          <w:i/>
          <w:szCs w:val="24"/>
        </w:rPr>
        <w:t>The</w:t>
      </w:r>
      <w:proofErr w:type="gramEnd"/>
      <w:r>
        <w:rPr>
          <w:i/>
          <w:szCs w:val="24"/>
        </w:rPr>
        <w:t xml:space="preserve"> People (DPP) v Wilson </w:t>
      </w:r>
      <w:r>
        <w:rPr>
          <w:iCs/>
          <w:szCs w:val="24"/>
        </w:rPr>
        <w:t xml:space="preserve">[2017] IESC 54, </w:t>
      </w:r>
      <w:r w:rsidRPr="00994F27">
        <w:rPr>
          <w:szCs w:val="24"/>
        </w:rPr>
        <w:t>[2019] 1 IR 96</w:t>
      </w:r>
      <w:r>
        <w:rPr>
          <w:szCs w:val="24"/>
        </w:rPr>
        <w:t xml:space="preserve"> a man arrested for murder refused to cooperate in the giving of a sample. This assumed importance due to the gardaí obtaining a full DNA profile from a glove discarded at the scene of the crime. In consequence, the investigators kept such items as the accused had touched for analysis; particularly cigarette butts as he was a prodigious smoker. Rights to privacy within a garda station could not be higher than had the gardaí, for instance, trailed the accused and picked up such butts as he had discarded on the public street; that was the basis of the ruling in relation to discarded chewing gum in a case called </w:t>
      </w:r>
      <w:r>
        <w:rPr>
          <w:i/>
          <w:szCs w:val="24"/>
        </w:rPr>
        <w:t>The People</w:t>
      </w:r>
      <w:r w:rsidRPr="00994F27">
        <w:rPr>
          <w:szCs w:val="24"/>
        </w:rPr>
        <w:t xml:space="preserve"> </w:t>
      </w:r>
      <w:r>
        <w:rPr>
          <w:i/>
          <w:szCs w:val="24"/>
        </w:rPr>
        <w:t>(</w:t>
      </w:r>
      <w:r w:rsidRPr="00994F27">
        <w:rPr>
          <w:i/>
          <w:iCs/>
          <w:szCs w:val="24"/>
        </w:rPr>
        <w:t>DPP</w:t>
      </w:r>
      <w:r>
        <w:rPr>
          <w:i/>
          <w:iCs/>
          <w:szCs w:val="24"/>
        </w:rPr>
        <w:t>)</w:t>
      </w:r>
      <w:r w:rsidRPr="00994F27">
        <w:rPr>
          <w:i/>
          <w:iCs/>
          <w:szCs w:val="24"/>
        </w:rPr>
        <w:t xml:space="preserve"> v Scanlon</w:t>
      </w:r>
      <w:r w:rsidRPr="00994F27">
        <w:rPr>
          <w:szCs w:val="24"/>
        </w:rPr>
        <w:t xml:space="preserve"> (</w:t>
      </w:r>
      <w:r>
        <w:rPr>
          <w:szCs w:val="24"/>
        </w:rPr>
        <w:t>U</w:t>
      </w:r>
      <w:r w:rsidRPr="00994F27">
        <w:rPr>
          <w:szCs w:val="24"/>
        </w:rPr>
        <w:t xml:space="preserve">nreported, </w:t>
      </w:r>
      <w:r>
        <w:rPr>
          <w:szCs w:val="24"/>
        </w:rPr>
        <w:t>Court of Criminal Appeal</w:t>
      </w:r>
      <w:r w:rsidRPr="00994F27">
        <w:rPr>
          <w:szCs w:val="24"/>
        </w:rPr>
        <w:t xml:space="preserve">, </w:t>
      </w:r>
      <w:r>
        <w:rPr>
          <w:szCs w:val="24"/>
        </w:rPr>
        <w:t>20 April 2007</w:t>
      </w:r>
      <w:r w:rsidRPr="00994F27">
        <w:rPr>
          <w:szCs w:val="24"/>
        </w:rPr>
        <w:t>)</w:t>
      </w:r>
      <w:r>
        <w:rPr>
          <w:szCs w:val="24"/>
        </w:rPr>
        <w:t xml:space="preserve"> where that sample was simply taken up when abandoned in custody. This case </w:t>
      </w:r>
      <w:proofErr w:type="gramStart"/>
      <w:r>
        <w:rPr>
          <w:szCs w:val="24"/>
        </w:rPr>
        <w:t>is sought,</w:t>
      </w:r>
      <w:proofErr w:type="gramEnd"/>
      <w:r>
        <w:rPr>
          <w:szCs w:val="24"/>
        </w:rPr>
        <w:t xml:space="preserve"> on behalf of Christopher McDonald, to be distinguished on the basis that the appellant in that case had no choice, whereas this detainee exercised a choice. It is hard to see how exercising a choice makes what is otherwise lawful into an unlawful act. Furthermore, the judgment in principle of the Court clearly covers both a chosen course of consent and the </w:t>
      </w:r>
      <w:r>
        <w:rPr>
          <w:i/>
          <w:szCs w:val="24"/>
        </w:rPr>
        <w:t>Scanlon</w:t>
      </w:r>
      <w:r>
        <w:rPr>
          <w:szCs w:val="24"/>
        </w:rPr>
        <w:t xml:space="preserve"> type of situation. Clarke, </w:t>
      </w:r>
      <w:proofErr w:type="gramStart"/>
      <w:r>
        <w:rPr>
          <w:szCs w:val="24"/>
        </w:rPr>
        <w:t>Dunne</w:t>
      </w:r>
      <w:proofErr w:type="gramEnd"/>
      <w:r>
        <w:rPr>
          <w:szCs w:val="24"/>
        </w:rPr>
        <w:t xml:space="preserve"> and O’Malley JJ considered the privacy and disparity of power argument and ruled:</w:t>
      </w:r>
    </w:p>
    <w:p w14:paraId="6A7B4CAD" w14:textId="77777777" w:rsidR="00EC50C9" w:rsidRDefault="00EC50C9" w:rsidP="00EC50C9">
      <w:pPr>
        <w:spacing w:line="240" w:lineRule="auto"/>
        <w:ind w:left="720"/>
        <w:rPr>
          <w:szCs w:val="24"/>
        </w:rPr>
      </w:pPr>
      <w:r w:rsidRPr="00D702E0">
        <w:rPr>
          <w:szCs w:val="24"/>
        </w:rPr>
        <w:t>4.30 We accept that a person in detention is, for a variety of reasons, in a particularly vulnerable position. Apart from other potential</w:t>
      </w:r>
      <w:r>
        <w:rPr>
          <w:szCs w:val="24"/>
        </w:rPr>
        <w:t xml:space="preserve"> </w:t>
      </w:r>
      <w:r w:rsidRPr="00D702E0">
        <w:rPr>
          <w:szCs w:val="24"/>
        </w:rPr>
        <w:t>issues, the Court of Criminal Appeal was correct in pointing out that he or she will be dependent on the Gardaí for the supply of all</w:t>
      </w:r>
      <w:r>
        <w:rPr>
          <w:szCs w:val="24"/>
        </w:rPr>
        <w:t xml:space="preserve"> </w:t>
      </w:r>
      <w:r w:rsidRPr="00D702E0">
        <w:rPr>
          <w:szCs w:val="24"/>
        </w:rPr>
        <w:t>necessary things and facilities for the duration of the detention. It is partly for that reason that the courts will give extra scrutiny to</w:t>
      </w:r>
      <w:r>
        <w:rPr>
          <w:szCs w:val="24"/>
        </w:rPr>
        <w:t xml:space="preserve"> </w:t>
      </w:r>
      <w:r w:rsidRPr="00D702E0">
        <w:rPr>
          <w:szCs w:val="24"/>
        </w:rPr>
        <w:t>events occurring during detention, to ensure that the rights of a vulnerable person are not breached.</w:t>
      </w:r>
    </w:p>
    <w:p w14:paraId="1739884E" w14:textId="77777777" w:rsidR="00EC50C9" w:rsidRDefault="00EC50C9" w:rsidP="00EC50C9">
      <w:pPr>
        <w:spacing w:line="240" w:lineRule="auto"/>
        <w:ind w:left="720"/>
        <w:rPr>
          <w:szCs w:val="24"/>
        </w:rPr>
      </w:pPr>
      <w:r w:rsidRPr="00D702E0">
        <w:rPr>
          <w:szCs w:val="24"/>
        </w:rPr>
        <w:t>4.31 However, the requirement for enhanced scrutiny, and careful examination of the question whether a right has been breached,</w:t>
      </w:r>
      <w:r>
        <w:rPr>
          <w:szCs w:val="24"/>
        </w:rPr>
        <w:t xml:space="preserve"> </w:t>
      </w:r>
      <w:r w:rsidRPr="00D702E0">
        <w:rPr>
          <w:szCs w:val="24"/>
        </w:rPr>
        <w:t>cannot create a situation where the actual substantive content of the right differs according to whether a person is at liberty or in</w:t>
      </w:r>
      <w:r>
        <w:rPr>
          <w:szCs w:val="24"/>
        </w:rPr>
        <w:t xml:space="preserve"> </w:t>
      </w:r>
      <w:r w:rsidRPr="00D702E0">
        <w:rPr>
          <w:szCs w:val="24"/>
        </w:rPr>
        <w:t>custody. It cannot be that a person who is in custody for the purpose of investigation has a more extensive privacy protection than a</w:t>
      </w:r>
      <w:r>
        <w:rPr>
          <w:szCs w:val="24"/>
        </w:rPr>
        <w:t xml:space="preserve"> </w:t>
      </w:r>
      <w:r w:rsidRPr="00D702E0">
        <w:rPr>
          <w:szCs w:val="24"/>
        </w:rPr>
        <w:t xml:space="preserve">person at liberty. The issue </w:t>
      </w:r>
      <w:proofErr w:type="gramStart"/>
      <w:r w:rsidRPr="00D702E0">
        <w:rPr>
          <w:szCs w:val="24"/>
        </w:rPr>
        <w:t>has to</w:t>
      </w:r>
      <w:proofErr w:type="gramEnd"/>
      <w:r w:rsidRPr="00D702E0">
        <w:rPr>
          <w:szCs w:val="24"/>
        </w:rPr>
        <w:t xml:space="preserve"> be the same in both cases – was the constitutional right to privacy breached by the manner in</w:t>
      </w:r>
      <w:r>
        <w:rPr>
          <w:szCs w:val="24"/>
        </w:rPr>
        <w:t xml:space="preserve"> </w:t>
      </w:r>
      <w:r w:rsidRPr="00D702E0">
        <w:rPr>
          <w:szCs w:val="24"/>
        </w:rPr>
        <w:t>which the sample of biological material was obtained and analysed? The answer cannot vary simply because one is in custody.</w:t>
      </w:r>
    </w:p>
    <w:p w14:paraId="152ECAB1" w14:textId="77777777" w:rsidR="00EC50C9" w:rsidRDefault="00EC50C9" w:rsidP="00EC50C9">
      <w:pPr>
        <w:spacing w:line="240" w:lineRule="auto"/>
        <w:ind w:left="720"/>
        <w:rPr>
          <w:szCs w:val="24"/>
        </w:rPr>
      </w:pPr>
      <w:r w:rsidRPr="00D702E0">
        <w:rPr>
          <w:szCs w:val="24"/>
        </w:rPr>
        <w:t>4.32 The first part of the question is easily answered in this case. The Gardaí must be entitled to pick up items discarded by persons</w:t>
      </w:r>
      <w:r>
        <w:rPr>
          <w:szCs w:val="24"/>
        </w:rPr>
        <w:t xml:space="preserve"> </w:t>
      </w:r>
      <w:r w:rsidRPr="00D702E0">
        <w:rPr>
          <w:szCs w:val="24"/>
        </w:rPr>
        <w:t xml:space="preserve">in detention in a Garda station in the same </w:t>
      </w:r>
      <w:r w:rsidRPr="00D702E0">
        <w:rPr>
          <w:szCs w:val="24"/>
        </w:rPr>
        <w:lastRenderedPageBreak/>
        <w:t>way that they would in a more public place. There is no question of any property right</w:t>
      </w:r>
      <w:r>
        <w:rPr>
          <w:szCs w:val="24"/>
        </w:rPr>
        <w:t xml:space="preserve"> </w:t>
      </w:r>
      <w:r w:rsidRPr="00D702E0">
        <w:rPr>
          <w:szCs w:val="24"/>
        </w:rPr>
        <w:t>being interfered with. The cigarette butts were therefore lawfully in the hands of the Gardaí. We would accept that, while he had</w:t>
      </w:r>
      <w:r>
        <w:rPr>
          <w:szCs w:val="24"/>
        </w:rPr>
        <w:t xml:space="preserve"> </w:t>
      </w:r>
      <w:r w:rsidRPr="00D702E0">
        <w:rPr>
          <w:szCs w:val="24"/>
        </w:rPr>
        <w:t>relinquished all interest in the physical cigarette butts, Mr. Wilson continued to retain a privacy interest in the information contained</w:t>
      </w:r>
      <w:r>
        <w:rPr>
          <w:szCs w:val="24"/>
        </w:rPr>
        <w:t xml:space="preserve"> </w:t>
      </w:r>
      <w:r w:rsidRPr="00D702E0">
        <w:rPr>
          <w:szCs w:val="24"/>
        </w:rPr>
        <w:t xml:space="preserve">in the DNA deposited on them. </w:t>
      </w:r>
      <w:proofErr w:type="gramStart"/>
      <w:r w:rsidRPr="00D702E0">
        <w:rPr>
          <w:szCs w:val="24"/>
        </w:rPr>
        <w:t>However</w:t>
      </w:r>
      <w:proofErr w:type="gramEnd"/>
      <w:r w:rsidRPr="00D702E0">
        <w:rPr>
          <w:szCs w:val="24"/>
        </w:rPr>
        <w:t xml:space="preserve"> his rights in this</w:t>
      </w:r>
      <w:r>
        <w:rPr>
          <w:szCs w:val="24"/>
        </w:rPr>
        <w:t xml:space="preserve"> </w:t>
      </w:r>
      <w:r w:rsidRPr="00D702E0">
        <w:rPr>
          <w:szCs w:val="24"/>
        </w:rPr>
        <w:t>regards were, as already noted, subject to the public interest in the proper</w:t>
      </w:r>
      <w:r>
        <w:rPr>
          <w:szCs w:val="24"/>
        </w:rPr>
        <w:t xml:space="preserve"> </w:t>
      </w:r>
      <w:r w:rsidRPr="00D702E0">
        <w:rPr>
          <w:szCs w:val="24"/>
        </w:rPr>
        <w:t>investigation of the offence. The lawfulness of carrying out an analysis of the DNA material therefore depended on whether it was</w:t>
      </w:r>
      <w:r>
        <w:rPr>
          <w:szCs w:val="24"/>
        </w:rPr>
        <w:t xml:space="preserve"> </w:t>
      </w:r>
      <w:r w:rsidRPr="00D702E0">
        <w:rPr>
          <w:szCs w:val="24"/>
        </w:rPr>
        <w:t xml:space="preserve">properly related to that objective. In our view the generation of a DNA profile, for the purpose of discovering </w:t>
      </w:r>
      <w:proofErr w:type="gramStart"/>
      <w:r w:rsidRPr="00D702E0">
        <w:rPr>
          <w:szCs w:val="24"/>
        </w:rPr>
        <w:t>whether or not</w:t>
      </w:r>
      <w:proofErr w:type="gramEnd"/>
      <w:r w:rsidRPr="00D702E0">
        <w:rPr>
          <w:szCs w:val="24"/>
        </w:rPr>
        <w:t xml:space="preserve"> it</w:t>
      </w:r>
      <w:r>
        <w:rPr>
          <w:szCs w:val="24"/>
        </w:rPr>
        <w:t xml:space="preserve"> </w:t>
      </w:r>
      <w:r w:rsidRPr="00D702E0">
        <w:rPr>
          <w:szCs w:val="24"/>
        </w:rPr>
        <w:t>matched the profile associated with the crime, was a justifiable intrusion into Mr. Wilson’s privacy.</w:t>
      </w:r>
    </w:p>
    <w:p w14:paraId="3F229E2D" w14:textId="77777777" w:rsidR="00EC50C9" w:rsidRDefault="00EC50C9" w:rsidP="00EC50C9">
      <w:pPr>
        <w:spacing w:line="240" w:lineRule="auto"/>
        <w:ind w:left="720"/>
        <w:rPr>
          <w:szCs w:val="24"/>
        </w:rPr>
      </w:pPr>
      <w:r w:rsidRPr="00D702E0">
        <w:rPr>
          <w:szCs w:val="24"/>
        </w:rPr>
        <w:t>4.33 The argument made on behalf of Mr. Wilson (and to a certain extent accepted in the Court of Criminal Appeal) would lead to the</w:t>
      </w:r>
      <w:r>
        <w:rPr>
          <w:szCs w:val="24"/>
        </w:rPr>
        <w:t xml:space="preserve"> </w:t>
      </w:r>
      <w:r w:rsidRPr="00D702E0">
        <w:rPr>
          <w:szCs w:val="24"/>
        </w:rPr>
        <w:t xml:space="preserve">conclusion that a person in custody could exercise a veto on the investigation of DNA material, unless the sample was taken </w:t>
      </w:r>
      <w:proofErr w:type="gramStart"/>
      <w:r w:rsidRPr="00D702E0">
        <w:rPr>
          <w:szCs w:val="24"/>
        </w:rPr>
        <w:t>by the</w:t>
      </w:r>
      <w:r>
        <w:rPr>
          <w:szCs w:val="24"/>
        </w:rPr>
        <w:t xml:space="preserve"> </w:t>
      </w:r>
      <w:r w:rsidRPr="00D702E0">
        <w:rPr>
          <w:szCs w:val="24"/>
        </w:rPr>
        <w:t>use of</w:t>
      </w:r>
      <w:proofErr w:type="gramEnd"/>
      <w:r w:rsidRPr="00D702E0">
        <w:rPr>
          <w:szCs w:val="24"/>
        </w:rPr>
        <w:t xml:space="preserve"> force in exercise of the powers under the 1990 Act. Under the analysis adopted by the Court of Criminal Appeal that veto could</w:t>
      </w:r>
      <w:r>
        <w:rPr>
          <w:szCs w:val="24"/>
        </w:rPr>
        <w:t xml:space="preserve"> </w:t>
      </w:r>
      <w:r w:rsidRPr="00D702E0">
        <w:rPr>
          <w:szCs w:val="24"/>
        </w:rPr>
        <w:t>arise in any event in the case of “necessary” items handled by the prisoner.</w:t>
      </w:r>
    </w:p>
    <w:p w14:paraId="2E1AEED4" w14:textId="77777777" w:rsidR="00EC50C9" w:rsidRDefault="00EC50C9" w:rsidP="00EC50C9">
      <w:pPr>
        <w:spacing w:line="240" w:lineRule="auto"/>
        <w:ind w:left="720"/>
        <w:rPr>
          <w:szCs w:val="24"/>
        </w:rPr>
      </w:pPr>
      <w:r w:rsidRPr="00D702E0">
        <w:rPr>
          <w:szCs w:val="24"/>
        </w:rPr>
        <w:t>4.34 In our view this analysis is misconceived and fails to take sufficient account of the relevance of the unchallenged legislation</w:t>
      </w:r>
      <w:r>
        <w:rPr>
          <w:szCs w:val="24"/>
        </w:rPr>
        <w:t xml:space="preserve"> </w:t>
      </w:r>
      <w:r w:rsidRPr="00D702E0">
        <w:rPr>
          <w:szCs w:val="24"/>
        </w:rPr>
        <w:t xml:space="preserve">conferring on the Gardaí the power to take bodily samples, if </w:t>
      </w:r>
      <w:proofErr w:type="gramStart"/>
      <w:r w:rsidRPr="00D702E0">
        <w:rPr>
          <w:szCs w:val="24"/>
        </w:rPr>
        <w:t>necessary</w:t>
      </w:r>
      <w:proofErr w:type="gramEnd"/>
      <w:r w:rsidRPr="00D702E0">
        <w:rPr>
          <w:szCs w:val="24"/>
        </w:rPr>
        <w:t xml:space="preserve"> by force. The statute, in the terms in which it conferred that</w:t>
      </w:r>
      <w:r>
        <w:rPr>
          <w:szCs w:val="24"/>
        </w:rPr>
        <w:t xml:space="preserve"> </w:t>
      </w:r>
      <w:r w:rsidRPr="00D702E0">
        <w:rPr>
          <w:szCs w:val="24"/>
        </w:rPr>
        <w:t>power, must be taken as having embodied the policy of the legislature in respect of the parameters of the privacy rights of an</w:t>
      </w:r>
      <w:r>
        <w:rPr>
          <w:szCs w:val="24"/>
        </w:rPr>
        <w:t xml:space="preserve"> </w:t>
      </w:r>
      <w:r w:rsidRPr="00D702E0">
        <w:rPr>
          <w:szCs w:val="24"/>
        </w:rPr>
        <w:t>individual in DNA material. It restricted the taking of bodily samples to cases where an authorisation was given for stated reasons and</w:t>
      </w:r>
      <w:r>
        <w:rPr>
          <w:szCs w:val="24"/>
        </w:rPr>
        <w:t xml:space="preserve"> </w:t>
      </w:r>
      <w:r w:rsidRPr="00D702E0">
        <w:rPr>
          <w:szCs w:val="24"/>
        </w:rPr>
        <w:t>the material was taken only for the purposes of the investigation in question. That proportionate invasion of privacy was justified by</w:t>
      </w:r>
      <w:r>
        <w:rPr>
          <w:szCs w:val="24"/>
        </w:rPr>
        <w:t xml:space="preserve"> </w:t>
      </w:r>
      <w:r w:rsidRPr="00D702E0">
        <w:rPr>
          <w:szCs w:val="24"/>
        </w:rPr>
        <w:t>the need to investigate serious crime, and the legal obligation on the detained person was to refrain from obstructing it.</w:t>
      </w:r>
    </w:p>
    <w:p w14:paraId="5A49039F" w14:textId="77777777" w:rsidR="00EC50C9" w:rsidRDefault="00EC50C9" w:rsidP="00EC50C9">
      <w:pPr>
        <w:spacing w:line="240" w:lineRule="auto"/>
        <w:ind w:left="720"/>
        <w:rPr>
          <w:szCs w:val="24"/>
        </w:rPr>
      </w:pPr>
      <w:r w:rsidRPr="00D702E0">
        <w:rPr>
          <w:szCs w:val="24"/>
        </w:rPr>
        <w:t>4.35 Where the detained person indicated an intention to resist the taking of the sample, and the Gardaí had an alternative source</w:t>
      </w:r>
      <w:r>
        <w:rPr>
          <w:szCs w:val="24"/>
        </w:rPr>
        <w:t xml:space="preserve"> </w:t>
      </w:r>
      <w:r w:rsidRPr="00D702E0">
        <w:rPr>
          <w:szCs w:val="24"/>
        </w:rPr>
        <w:t>lawfully in their hands, it would not accord with principle to elevate the privacy rights of the person in custody – the whole purpose of</w:t>
      </w:r>
      <w:r>
        <w:rPr>
          <w:szCs w:val="24"/>
        </w:rPr>
        <w:t xml:space="preserve"> </w:t>
      </w:r>
      <w:r w:rsidRPr="00D702E0">
        <w:rPr>
          <w:szCs w:val="24"/>
        </w:rPr>
        <w:t>which is investigatory – beyond those of either a person who complied with the statutory regime or a person at liberty. Since it is</w:t>
      </w:r>
      <w:r>
        <w:rPr>
          <w:szCs w:val="24"/>
        </w:rPr>
        <w:t xml:space="preserve"> </w:t>
      </w:r>
      <w:r w:rsidRPr="00D702E0">
        <w:rPr>
          <w:szCs w:val="24"/>
        </w:rPr>
        <w:t>accepted that the latter would have no cause for complaint if his cigarette butts were picked up in a public place, or in an authorised</w:t>
      </w:r>
      <w:r>
        <w:rPr>
          <w:szCs w:val="24"/>
        </w:rPr>
        <w:t xml:space="preserve"> </w:t>
      </w:r>
      <w:r w:rsidRPr="00D702E0">
        <w:rPr>
          <w:szCs w:val="24"/>
        </w:rPr>
        <w:t>search of his premises, it is impossible to hold that the rights of the detained person are breached by the same procedure in respect</w:t>
      </w:r>
      <w:r>
        <w:rPr>
          <w:szCs w:val="24"/>
        </w:rPr>
        <w:t xml:space="preserve"> </w:t>
      </w:r>
      <w:r w:rsidRPr="00D702E0">
        <w:rPr>
          <w:szCs w:val="24"/>
        </w:rPr>
        <w:t>of things that he discards. Equally, it would clearly be contrary to public policy to hold that the Gardaí were in the circumstances</w:t>
      </w:r>
      <w:r>
        <w:rPr>
          <w:szCs w:val="24"/>
        </w:rPr>
        <w:t xml:space="preserve"> </w:t>
      </w:r>
      <w:r w:rsidRPr="00D702E0">
        <w:rPr>
          <w:szCs w:val="24"/>
        </w:rPr>
        <w:t xml:space="preserve">constrained to use force, thereby risking injury to both the suspect and </w:t>
      </w:r>
      <w:proofErr w:type="gramStart"/>
      <w:r w:rsidRPr="00D702E0">
        <w:rPr>
          <w:szCs w:val="24"/>
        </w:rPr>
        <w:t>themselves</w:t>
      </w:r>
      <w:proofErr w:type="gramEnd"/>
      <w:r w:rsidRPr="00D702E0">
        <w:rPr>
          <w:szCs w:val="24"/>
        </w:rPr>
        <w:t>, and that a failure to use force rendered the</w:t>
      </w:r>
      <w:r>
        <w:rPr>
          <w:szCs w:val="24"/>
        </w:rPr>
        <w:t xml:space="preserve"> </w:t>
      </w:r>
      <w:r w:rsidRPr="00D702E0">
        <w:rPr>
          <w:szCs w:val="24"/>
        </w:rPr>
        <w:t>picking up of the discarded items unlawful.</w:t>
      </w:r>
    </w:p>
    <w:p w14:paraId="3E1CC4FA" w14:textId="77777777" w:rsidR="00EC50C9" w:rsidRDefault="00EC50C9" w:rsidP="00EC50C9">
      <w:pPr>
        <w:spacing w:line="240" w:lineRule="auto"/>
        <w:ind w:left="720"/>
        <w:rPr>
          <w:szCs w:val="24"/>
        </w:rPr>
      </w:pPr>
      <w:r w:rsidRPr="00D702E0">
        <w:rPr>
          <w:szCs w:val="24"/>
        </w:rPr>
        <w:t>4.36 In circumstances where the biological material is obtained without recourse to the statutory power to take it by force, the right</w:t>
      </w:r>
      <w:r>
        <w:rPr>
          <w:szCs w:val="24"/>
        </w:rPr>
        <w:t xml:space="preserve"> </w:t>
      </w:r>
      <w:r w:rsidRPr="00D702E0">
        <w:rPr>
          <w:szCs w:val="24"/>
        </w:rPr>
        <w:t xml:space="preserve">to privacy would however arguably entail a right that it </w:t>
      </w:r>
      <w:proofErr w:type="gramStart"/>
      <w:r w:rsidRPr="00D702E0">
        <w:rPr>
          <w:szCs w:val="24"/>
        </w:rPr>
        <w:t>not be</w:t>
      </w:r>
      <w:proofErr w:type="gramEnd"/>
      <w:r w:rsidRPr="00D702E0">
        <w:rPr>
          <w:szCs w:val="24"/>
        </w:rPr>
        <w:t xml:space="preserve"> tested or used for purposes outside the investigation of the offence.</w:t>
      </w:r>
      <w:r>
        <w:rPr>
          <w:szCs w:val="24"/>
        </w:rPr>
        <w:t xml:space="preserve"> </w:t>
      </w:r>
      <w:r w:rsidRPr="00D702E0">
        <w:rPr>
          <w:szCs w:val="24"/>
        </w:rPr>
        <w:t>That question does not however arise in this case, since there is no evidence that the sample was subjected to any process beyond</w:t>
      </w:r>
      <w:r>
        <w:rPr>
          <w:szCs w:val="24"/>
        </w:rPr>
        <w:t xml:space="preserve"> </w:t>
      </w:r>
      <w:r w:rsidRPr="00D702E0">
        <w:rPr>
          <w:szCs w:val="24"/>
        </w:rPr>
        <w:t>the generation of the DNA profile or that the Gardaí retained it in an unauthorised databank.</w:t>
      </w:r>
    </w:p>
    <w:p w14:paraId="70BD78F8" w14:textId="77777777" w:rsidR="00EC50C9" w:rsidRDefault="00EC50C9" w:rsidP="00EC50C9">
      <w:pPr>
        <w:spacing w:line="240" w:lineRule="auto"/>
        <w:rPr>
          <w:szCs w:val="24"/>
        </w:rPr>
      </w:pPr>
      <w:r>
        <w:rPr>
          <w:szCs w:val="24"/>
        </w:rPr>
        <w:t xml:space="preserve">32. Nor does </w:t>
      </w:r>
      <w:r w:rsidRPr="00994F27">
        <w:rPr>
          <w:szCs w:val="24"/>
          <w:lang w:val="en-GB"/>
        </w:rPr>
        <w:t>DNA evidence,</w:t>
      </w:r>
      <w:r>
        <w:rPr>
          <w:szCs w:val="24"/>
          <w:lang w:val="en-GB"/>
        </w:rPr>
        <w:t xml:space="preserve"> a forensic fact</w:t>
      </w:r>
      <w:r w:rsidRPr="00994F27">
        <w:rPr>
          <w:szCs w:val="24"/>
          <w:lang w:val="en-GB"/>
        </w:rPr>
        <w:t xml:space="preserve"> “uninfluenced by the mental state of the arrested person”</w:t>
      </w:r>
      <w:r>
        <w:rPr>
          <w:szCs w:val="24"/>
          <w:lang w:val="en-GB"/>
        </w:rPr>
        <w:t xml:space="preserve"> (</w:t>
      </w:r>
      <w:r w:rsidRPr="00994F27">
        <w:rPr>
          <w:szCs w:val="24"/>
          <w:lang w:val="en-GB"/>
        </w:rPr>
        <w:t xml:space="preserve">Charleton J in </w:t>
      </w:r>
      <w:r w:rsidRPr="00994F27">
        <w:rPr>
          <w:i/>
          <w:iCs/>
          <w:szCs w:val="24"/>
          <w:lang w:val="en-GB"/>
        </w:rPr>
        <w:t xml:space="preserve">DPP v Doyle </w:t>
      </w:r>
      <w:r w:rsidRPr="00994F27">
        <w:rPr>
          <w:szCs w:val="24"/>
          <w:lang w:val="en-GB"/>
        </w:rPr>
        <w:t>[2017] IESC 1 at [44]</w:t>
      </w:r>
      <w:r>
        <w:rPr>
          <w:szCs w:val="24"/>
          <w:lang w:val="en-GB"/>
        </w:rPr>
        <w:t xml:space="preserve">) become subject to infirmity by reason of any circumstance of </w:t>
      </w:r>
      <w:proofErr w:type="gramStart"/>
      <w:r>
        <w:rPr>
          <w:szCs w:val="24"/>
          <w:lang w:val="en-GB"/>
        </w:rPr>
        <w:t>its</w:t>
      </w:r>
      <w:proofErr w:type="gramEnd"/>
      <w:r>
        <w:rPr>
          <w:szCs w:val="24"/>
          <w:lang w:val="en-GB"/>
        </w:rPr>
        <w:t xml:space="preserve"> taking.</w:t>
      </w:r>
      <w:r w:rsidRPr="00994F27">
        <w:rPr>
          <w:szCs w:val="24"/>
          <w:lang w:val="en-GB"/>
        </w:rPr>
        <w:t xml:space="preserve"> The ruling in </w:t>
      </w:r>
      <w:r w:rsidRPr="00994F27">
        <w:rPr>
          <w:i/>
          <w:iCs/>
          <w:szCs w:val="24"/>
          <w:lang w:val="en-GB"/>
        </w:rPr>
        <w:t>Doyle</w:t>
      </w:r>
      <w:r w:rsidRPr="00994F27">
        <w:rPr>
          <w:szCs w:val="24"/>
          <w:lang w:val="en-GB"/>
        </w:rPr>
        <w:t xml:space="preserve"> distinguished the significance of access to legal advice for a detained suspect in the past and the modern position in this context, most notably the ruling of Warren CJ in </w:t>
      </w:r>
      <w:r w:rsidRPr="00994F27">
        <w:rPr>
          <w:i/>
          <w:iCs/>
          <w:szCs w:val="24"/>
          <w:lang w:val="en-GB"/>
        </w:rPr>
        <w:t>Miranda v State of Arizona</w:t>
      </w:r>
      <w:r w:rsidRPr="00994F27">
        <w:rPr>
          <w:szCs w:val="24"/>
          <w:lang w:val="en-GB"/>
        </w:rPr>
        <w:t xml:space="preserve"> 384 US 436 (1966), at [48] on the basis that the “most fundamental </w:t>
      </w:r>
      <w:r>
        <w:rPr>
          <w:szCs w:val="24"/>
          <w:lang w:val="en-GB"/>
        </w:rPr>
        <w:t>problem</w:t>
      </w:r>
      <w:r w:rsidRPr="00994F27">
        <w:rPr>
          <w:szCs w:val="24"/>
          <w:lang w:val="en-GB"/>
        </w:rPr>
        <w:t xml:space="preserve">” giving rise to the need for extensive protection, that </w:t>
      </w:r>
      <w:r w:rsidRPr="00994F27">
        <w:rPr>
          <w:szCs w:val="24"/>
          <w:lang w:val="en-GB"/>
        </w:rPr>
        <w:lastRenderedPageBreak/>
        <w:t>interrogations were originally carried out in secrecy, no longer applied in this jurisdiction</w:t>
      </w:r>
      <w:r>
        <w:rPr>
          <w:szCs w:val="24"/>
          <w:lang w:val="en-GB"/>
        </w:rPr>
        <w:t xml:space="preserve">. </w:t>
      </w:r>
      <w:r>
        <w:rPr>
          <w:szCs w:val="24"/>
        </w:rPr>
        <w:t xml:space="preserve">Here, there is no question of any trick or coercion. It may be noted that in </w:t>
      </w:r>
      <w:r w:rsidRPr="00994F27">
        <w:rPr>
          <w:i/>
          <w:iCs/>
          <w:szCs w:val="24"/>
        </w:rPr>
        <w:t>Gormley and White</w:t>
      </w:r>
      <w:r w:rsidRPr="00994F27">
        <w:rPr>
          <w:szCs w:val="24"/>
        </w:rPr>
        <w:t xml:space="preserve"> at [9.14]</w:t>
      </w:r>
      <w:r>
        <w:rPr>
          <w:szCs w:val="24"/>
        </w:rPr>
        <w:t>, it was held</w:t>
      </w:r>
      <w:r w:rsidRPr="00994F27">
        <w:rPr>
          <w:szCs w:val="24"/>
        </w:rPr>
        <w:t xml:space="preserve"> that any departure from the general position that legal advice should be received after arrest and that no interrogation may take place without the opportunity to obtain such advice must involve a “pressing and compelling need to protect other major constitutional rights such as the right to life.” </w:t>
      </w:r>
      <w:r>
        <w:rPr>
          <w:szCs w:val="24"/>
        </w:rPr>
        <w:t xml:space="preserve">That does not arise in this case. </w:t>
      </w:r>
    </w:p>
    <w:p w14:paraId="2FD6AD3E" w14:textId="77777777" w:rsidR="00EC50C9" w:rsidRDefault="00EC50C9" w:rsidP="00EC50C9">
      <w:pPr>
        <w:spacing w:line="240" w:lineRule="auto"/>
        <w:rPr>
          <w:szCs w:val="24"/>
        </w:rPr>
      </w:pPr>
      <w:r>
        <w:rPr>
          <w:szCs w:val="24"/>
        </w:rPr>
        <w:t>33. Finally, it might be added that only one form seems to be in use in garda stations where a prisoner chooses to consent to physical sampling from his body. That form references the 1990 Act but is not capable of any argument as to confusion.</w:t>
      </w:r>
    </w:p>
    <w:p w14:paraId="59C0F3C5" w14:textId="77777777" w:rsidR="00EC50C9" w:rsidRDefault="00EC50C9" w:rsidP="00EC50C9">
      <w:pPr>
        <w:spacing w:line="240" w:lineRule="auto"/>
        <w:rPr>
          <w:b/>
          <w:szCs w:val="24"/>
          <w:lang w:val="en-GB"/>
        </w:rPr>
      </w:pPr>
      <w:r>
        <w:rPr>
          <w:b/>
          <w:szCs w:val="24"/>
          <w:lang w:val="en-GB"/>
        </w:rPr>
        <w:t>Result</w:t>
      </w:r>
    </w:p>
    <w:p w14:paraId="5A54BB02" w14:textId="77777777" w:rsidR="00EC50C9" w:rsidRPr="00BA3700" w:rsidRDefault="00EC50C9" w:rsidP="00EC50C9">
      <w:pPr>
        <w:spacing w:line="240" w:lineRule="auto"/>
        <w:rPr>
          <w:szCs w:val="24"/>
          <w:lang w:val="en-GB"/>
        </w:rPr>
      </w:pPr>
      <w:r>
        <w:rPr>
          <w:szCs w:val="24"/>
          <w:lang w:val="en-GB"/>
        </w:rPr>
        <w:t>34. In the result, there is no basis for any ruling that the consensual taking of a blood sample from a person in custody who has been given a notice of rights and who has availed of a telephone conversation with a solicitor was unlawfully taken.</w:t>
      </w:r>
    </w:p>
    <w:p w14:paraId="7F9731E3" w14:textId="77777777" w:rsidR="00EC50C9" w:rsidRDefault="00EC50C9" w:rsidP="00EC50C9">
      <w:pPr>
        <w:spacing w:after="0" w:line="240" w:lineRule="auto"/>
        <w:ind w:left="720"/>
        <w:contextualSpacing/>
        <w:jc w:val="left"/>
        <w:rPr>
          <w:rFonts w:eastAsia="Times New Roman" w:cs="Times New Roman"/>
          <w:szCs w:val="24"/>
          <w:lang w:val="en-GB" w:eastAsia="en-GB"/>
        </w:rPr>
      </w:pPr>
    </w:p>
    <w:p w14:paraId="6661BC76" w14:textId="77777777" w:rsidR="00EC50C9" w:rsidRDefault="00EC50C9" w:rsidP="00EC50C9">
      <w:pPr>
        <w:spacing w:after="0" w:line="240" w:lineRule="auto"/>
        <w:ind w:left="720"/>
        <w:contextualSpacing/>
        <w:jc w:val="left"/>
        <w:rPr>
          <w:rFonts w:eastAsia="Times New Roman" w:cs="Times New Roman"/>
          <w:szCs w:val="24"/>
          <w:lang w:val="en-GB" w:eastAsia="en-GB"/>
        </w:rPr>
      </w:pPr>
    </w:p>
    <w:p w14:paraId="4E87E364" w14:textId="77777777" w:rsidR="00EC50C9" w:rsidRPr="000A5F01" w:rsidRDefault="00EC50C9" w:rsidP="00EC50C9">
      <w:pPr>
        <w:spacing w:after="0" w:line="240" w:lineRule="auto"/>
        <w:ind w:left="720"/>
        <w:contextualSpacing/>
        <w:rPr>
          <w:rFonts w:eastAsia="Times New Roman" w:cs="Times New Roman"/>
          <w:szCs w:val="24"/>
          <w:lang w:val="en-GB" w:eastAsia="en-GB"/>
        </w:rPr>
      </w:pPr>
    </w:p>
    <w:p w14:paraId="4E2B5C14" w14:textId="77777777" w:rsidR="000A5F01" w:rsidRPr="000A5F01" w:rsidRDefault="000A5F01" w:rsidP="00B759F2">
      <w:pPr>
        <w:spacing w:after="0" w:line="240" w:lineRule="auto"/>
        <w:ind w:left="720"/>
        <w:contextualSpacing/>
        <w:rPr>
          <w:rFonts w:eastAsia="Times New Roman" w:cs="Times New Roman"/>
          <w:szCs w:val="24"/>
          <w:lang w:val="en-GB" w:eastAsia="en-GB"/>
        </w:rPr>
      </w:pPr>
    </w:p>
    <w:sectPr w:rsidR="000A5F01" w:rsidRPr="000A5F0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D32A1" w14:textId="77777777" w:rsidR="00DF13D2" w:rsidRDefault="00DF13D2">
      <w:pPr>
        <w:spacing w:after="0" w:line="240" w:lineRule="auto"/>
      </w:pPr>
      <w:r>
        <w:separator/>
      </w:r>
    </w:p>
  </w:endnote>
  <w:endnote w:type="continuationSeparator" w:id="0">
    <w:p w14:paraId="33097D6E" w14:textId="77777777" w:rsidR="00DF13D2" w:rsidRDefault="00DF1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2ADCA" w14:textId="77777777" w:rsidR="00DF13D2" w:rsidRDefault="00DF13D2">
      <w:pPr>
        <w:spacing w:after="0" w:line="240" w:lineRule="auto"/>
      </w:pPr>
      <w:r>
        <w:separator/>
      </w:r>
    </w:p>
  </w:footnote>
  <w:footnote w:type="continuationSeparator" w:id="0">
    <w:p w14:paraId="2DD5FC32" w14:textId="77777777" w:rsidR="00DF13D2" w:rsidRDefault="00DF13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Garamond" w:hAnsi="Garamond"/>
      </w:rPr>
      <w:id w:val="782309698"/>
      <w:docPartObj>
        <w:docPartGallery w:val="Page Numbers (Top of Page)"/>
        <w:docPartUnique/>
      </w:docPartObj>
    </w:sdtPr>
    <w:sdtEndPr>
      <w:rPr>
        <w:noProof/>
      </w:rPr>
    </w:sdtEndPr>
    <w:sdtContent>
      <w:p w14:paraId="2453457C" w14:textId="77777777" w:rsidR="00DF13D2" w:rsidRPr="00BC27BB" w:rsidRDefault="00DF13D2">
        <w:pPr>
          <w:pStyle w:val="Header"/>
          <w:jc w:val="right"/>
          <w:rPr>
            <w:rFonts w:ascii="Garamond" w:hAnsi="Garamond"/>
          </w:rPr>
        </w:pPr>
        <w:r w:rsidRPr="00BC27BB">
          <w:rPr>
            <w:rFonts w:ascii="Garamond" w:hAnsi="Garamond"/>
          </w:rPr>
          <w:fldChar w:fldCharType="begin"/>
        </w:r>
        <w:r w:rsidRPr="00BC27BB">
          <w:rPr>
            <w:rFonts w:ascii="Garamond" w:hAnsi="Garamond"/>
          </w:rPr>
          <w:instrText xml:space="preserve"> PAGE   \* MERGEFORMAT </w:instrText>
        </w:r>
        <w:r w:rsidRPr="00BC27BB">
          <w:rPr>
            <w:rFonts w:ascii="Garamond" w:hAnsi="Garamond"/>
          </w:rPr>
          <w:fldChar w:fldCharType="separate"/>
        </w:r>
        <w:r w:rsidRPr="00BC27BB">
          <w:rPr>
            <w:rFonts w:ascii="Garamond" w:hAnsi="Garamond"/>
            <w:noProof/>
          </w:rPr>
          <w:t>2</w:t>
        </w:r>
        <w:r w:rsidRPr="00BC27BB">
          <w:rPr>
            <w:rFonts w:ascii="Garamond" w:hAnsi="Garamond"/>
            <w:noProof/>
          </w:rPr>
          <w:fldChar w:fldCharType="end"/>
        </w:r>
      </w:p>
    </w:sdtContent>
  </w:sdt>
  <w:p w14:paraId="299D74E0" w14:textId="77777777" w:rsidR="00DF13D2" w:rsidRPr="00BC27BB" w:rsidRDefault="00DF13D2">
    <w:pPr>
      <w:pStyle w:val="Header"/>
      <w:rPr>
        <w:rFonts w:ascii="Garamond" w:hAnsi="Garamon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27BD7"/>
    <w:multiLevelType w:val="hybridMultilevel"/>
    <w:tmpl w:val="B42C98E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10D0743"/>
    <w:multiLevelType w:val="hybridMultilevel"/>
    <w:tmpl w:val="3EB28692"/>
    <w:lvl w:ilvl="0" w:tplc="DDEEA89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8A94793"/>
    <w:multiLevelType w:val="hybridMultilevel"/>
    <w:tmpl w:val="B42C98EC"/>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 w15:restartNumberingAfterBreak="0">
    <w:nsid w:val="4C0B0AF0"/>
    <w:multiLevelType w:val="hybridMultilevel"/>
    <w:tmpl w:val="026AFD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2FA7AA2"/>
    <w:multiLevelType w:val="hybridMultilevel"/>
    <w:tmpl w:val="5B2AD830"/>
    <w:lvl w:ilvl="0" w:tplc="2F3682D2">
      <w:start w:val="1"/>
      <w:numFmt w:val="lowerRoman"/>
      <w:lvlText w:val="(%1)"/>
      <w:lvlJc w:val="left"/>
      <w:pPr>
        <w:ind w:left="1080" w:hanging="72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53A576E"/>
    <w:multiLevelType w:val="hybridMultilevel"/>
    <w:tmpl w:val="C30E70C4"/>
    <w:lvl w:ilvl="0" w:tplc="80FE0D04">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5"/>
  </w:num>
  <w:num w:numId="2">
    <w:abstractNumId w:val="0"/>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277"/>
    <w:rsid w:val="00040B81"/>
    <w:rsid w:val="00061622"/>
    <w:rsid w:val="0006707A"/>
    <w:rsid w:val="000769FC"/>
    <w:rsid w:val="000A04B3"/>
    <w:rsid w:val="000A5F01"/>
    <w:rsid w:val="000B460A"/>
    <w:rsid w:val="000D002E"/>
    <w:rsid w:val="000E2697"/>
    <w:rsid w:val="000E461C"/>
    <w:rsid w:val="000F62D7"/>
    <w:rsid w:val="00102277"/>
    <w:rsid w:val="00130804"/>
    <w:rsid w:val="001400CA"/>
    <w:rsid w:val="00142519"/>
    <w:rsid w:val="00193A17"/>
    <w:rsid w:val="001A545D"/>
    <w:rsid w:val="001B17B4"/>
    <w:rsid w:val="001D4408"/>
    <w:rsid w:val="001D51E5"/>
    <w:rsid w:val="001F2EFA"/>
    <w:rsid w:val="001F3A90"/>
    <w:rsid w:val="00225CE1"/>
    <w:rsid w:val="002A2D16"/>
    <w:rsid w:val="002C16AC"/>
    <w:rsid w:val="002D0FFE"/>
    <w:rsid w:val="002E72B0"/>
    <w:rsid w:val="00317296"/>
    <w:rsid w:val="0032059B"/>
    <w:rsid w:val="003274AD"/>
    <w:rsid w:val="00341304"/>
    <w:rsid w:val="00351B40"/>
    <w:rsid w:val="003569EA"/>
    <w:rsid w:val="00356DD1"/>
    <w:rsid w:val="0037092E"/>
    <w:rsid w:val="0037315A"/>
    <w:rsid w:val="00376E7B"/>
    <w:rsid w:val="003932BE"/>
    <w:rsid w:val="00395DE1"/>
    <w:rsid w:val="003C1D37"/>
    <w:rsid w:val="003C2371"/>
    <w:rsid w:val="003F2552"/>
    <w:rsid w:val="004073B6"/>
    <w:rsid w:val="004253A2"/>
    <w:rsid w:val="00434D15"/>
    <w:rsid w:val="00455C4A"/>
    <w:rsid w:val="004A68F3"/>
    <w:rsid w:val="004E3707"/>
    <w:rsid w:val="005036B0"/>
    <w:rsid w:val="00522A41"/>
    <w:rsid w:val="00523816"/>
    <w:rsid w:val="005A1842"/>
    <w:rsid w:val="005C2436"/>
    <w:rsid w:val="005C5619"/>
    <w:rsid w:val="005D0CBC"/>
    <w:rsid w:val="005E2401"/>
    <w:rsid w:val="005E49BD"/>
    <w:rsid w:val="005E5A32"/>
    <w:rsid w:val="0060061B"/>
    <w:rsid w:val="00612CDF"/>
    <w:rsid w:val="00631C8C"/>
    <w:rsid w:val="00647D57"/>
    <w:rsid w:val="006712C9"/>
    <w:rsid w:val="006A1CD6"/>
    <w:rsid w:val="006A6934"/>
    <w:rsid w:val="006C321C"/>
    <w:rsid w:val="00717009"/>
    <w:rsid w:val="00734879"/>
    <w:rsid w:val="007644EE"/>
    <w:rsid w:val="00777A76"/>
    <w:rsid w:val="00784E0C"/>
    <w:rsid w:val="007B4537"/>
    <w:rsid w:val="007C2AE4"/>
    <w:rsid w:val="00842732"/>
    <w:rsid w:val="0084702A"/>
    <w:rsid w:val="00855940"/>
    <w:rsid w:val="008A761E"/>
    <w:rsid w:val="008B48FE"/>
    <w:rsid w:val="008C19F2"/>
    <w:rsid w:val="008F13E8"/>
    <w:rsid w:val="00913566"/>
    <w:rsid w:val="00915062"/>
    <w:rsid w:val="009151B4"/>
    <w:rsid w:val="00916800"/>
    <w:rsid w:val="009836C8"/>
    <w:rsid w:val="00994F27"/>
    <w:rsid w:val="00996902"/>
    <w:rsid w:val="009C0747"/>
    <w:rsid w:val="009C1063"/>
    <w:rsid w:val="00A00B0F"/>
    <w:rsid w:val="00A24CD0"/>
    <w:rsid w:val="00A807F0"/>
    <w:rsid w:val="00A97EFF"/>
    <w:rsid w:val="00AD0394"/>
    <w:rsid w:val="00AE1A36"/>
    <w:rsid w:val="00AF289E"/>
    <w:rsid w:val="00B12603"/>
    <w:rsid w:val="00B21FF2"/>
    <w:rsid w:val="00B35B7C"/>
    <w:rsid w:val="00B44E1E"/>
    <w:rsid w:val="00B55B3C"/>
    <w:rsid w:val="00B712B0"/>
    <w:rsid w:val="00B759F2"/>
    <w:rsid w:val="00BA3700"/>
    <w:rsid w:val="00BB5513"/>
    <w:rsid w:val="00BC178C"/>
    <w:rsid w:val="00C00F59"/>
    <w:rsid w:val="00C11ECF"/>
    <w:rsid w:val="00C256C6"/>
    <w:rsid w:val="00C45014"/>
    <w:rsid w:val="00C5390B"/>
    <w:rsid w:val="00C744CE"/>
    <w:rsid w:val="00C7466A"/>
    <w:rsid w:val="00CA0F64"/>
    <w:rsid w:val="00CC4FB4"/>
    <w:rsid w:val="00CD27A7"/>
    <w:rsid w:val="00D059F7"/>
    <w:rsid w:val="00D06E46"/>
    <w:rsid w:val="00D34B4E"/>
    <w:rsid w:val="00D51C7A"/>
    <w:rsid w:val="00D702E0"/>
    <w:rsid w:val="00D7052C"/>
    <w:rsid w:val="00D733EC"/>
    <w:rsid w:val="00D7506A"/>
    <w:rsid w:val="00D976AF"/>
    <w:rsid w:val="00D97AA1"/>
    <w:rsid w:val="00DA203F"/>
    <w:rsid w:val="00DC228C"/>
    <w:rsid w:val="00DF13D2"/>
    <w:rsid w:val="00DF7D8D"/>
    <w:rsid w:val="00E067E3"/>
    <w:rsid w:val="00E16CB3"/>
    <w:rsid w:val="00E62EF0"/>
    <w:rsid w:val="00EA7A83"/>
    <w:rsid w:val="00EC50C9"/>
    <w:rsid w:val="00EF2435"/>
    <w:rsid w:val="00F00B10"/>
    <w:rsid w:val="00F10E1B"/>
    <w:rsid w:val="00F1239E"/>
    <w:rsid w:val="00F21E40"/>
    <w:rsid w:val="00F40C56"/>
    <w:rsid w:val="00F71AC1"/>
    <w:rsid w:val="00F72530"/>
    <w:rsid w:val="00F72BA4"/>
    <w:rsid w:val="00F8058D"/>
    <w:rsid w:val="00F919A7"/>
    <w:rsid w:val="00FB2B39"/>
    <w:rsid w:val="00FC7DF0"/>
    <w:rsid w:val="00FD26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260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4"/>
        <w:szCs w:val="22"/>
        <w:lang w:val="en-IE"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0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277"/>
    <w:pPr>
      <w:tabs>
        <w:tab w:val="center" w:pos="4513"/>
        <w:tab w:val="right" w:pos="9026"/>
      </w:tabs>
      <w:spacing w:after="0" w:line="240" w:lineRule="auto"/>
      <w:jc w:val="left"/>
    </w:pPr>
    <w:rPr>
      <w:rFonts w:ascii="Times New Roman" w:eastAsia="Times New Roman" w:hAnsi="Times New Roman" w:cs="Times New Roman"/>
      <w:szCs w:val="24"/>
      <w:lang w:val="en-GB" w:eastAsia="en-GB"/>
    </w:rPr>
  </w:style>
  <w:style w:type="character" w:customStyle="1" w:styleId="HeaderChar">
    <w:name w:val="Header Char"/>
    <w:basedOn w:val="DefaultParagraphFont"/>
    <w:link w:val="Header"/>
    <w:uiPriority w:val="99"/>
    <w:rsid w:val="00102277"/>
    <w:rPr>
      <w:rFonts w:ascii="Times New Roman" w:eastAsia="Times New Roman" w:hAnsi="Times New Roman" w:cs="Times New Roman"/>
      <w:szCs w:val="24"/>
      <w:lang w:val="en-GB" w:eastAsia="en-GB"/>
    </w:rPr>
  </w:style>
  <w:style w:type="paragraph" w:styleId="ListParagraph">
    <w:name w:val="List Paragraph"/>
    <w:basedOn w:val="Normal"/>
    <w:uiPriority w:val="34"/>
    <w:qFormat/>
    <w:rsid w:val="00FC7DF0"/>
    <w:pPr>
      <w:ind w:left="720"/>
      <w:contextualSpacing/>
    </w:pPr>
  </w:style>
  <w:style w:type="paragraph" w:styleId="BalloonText">
    <w:name w:val="Balloon Text"/>
    <w:basedOn w:val="Normal"/>
    <w:link w:val="BalloonTextChar"/>
    <w:uiPriority w:val="99"/>
    <w:semiHidden/>
    <w:unhideWhenUsed/>
    <w:rsid w:val="005D0C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0CBC"/>
    <w:rPr>
      <w:rFonts w:ascii="Segoe UI" w:hAnsi="Segoe UI" w:cs="Segoe UI"/>
      <w:sz w:val="18"/>
      <w:szCs w:val="18"/>
    </w:rPr>
  </w:style>
  <w:style w:type="paragraph" w:styleId="Footer">
    <w:name w:val="footer"/>
    <w:basedOn w:val="Normal"/>
    <w:link w:val="FooterChar"/>
    <w:uiPriority w:val="99"/>
    <w:unhideWhenUsed/>
    <w:rsid w:val="009969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6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7905</Words>
  <Characters>38028</Characters>
  <Application>Microsoft Office Word</Application>
  <DocSecurity>0</DocSecurity>
  <Lines>809</Lines>
  <Paragraphs>306</Paragraphs>
  <ScaleCrop>false</ScaleCrop>
  <Company/>
  <LinksUpToDate>false</LinksUpToDate>
  <CharactersWithSpaces>45627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2022-06-30T10:34:00Z</dcterms:created>
  <dcterms:modified xsi:type="dcterms:W3CDTF">2022-06-30T10:34:00Z</dcterms:modified>
</cp:coreProperties>
</file>