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7656" w14:textId="77777777" w:rsidR="00AE0D01" w:rsidRPr="00A317BE" w:rsidRDefault="00AE0D01" w:rsidP="00A317BE">
      <w:pPr>
        <w:pStyle w:val="Harp"/>
        <w:widowControl w:val="0"/>
        <w:tabs>
          <w:tab w:val="left" w:pos="567"/>
        </w:tabs>
        <w:spacing w:line="480" w:lineRule="auto"/>
        <w:jc w:val="left"/>
        <w:rPr>
          <w:color w:val="000000" w:themeColor="text1"/>
        </w:rPr>
      </w:pPr>
      <w:bookmarkStart w:id="0" w:name="_GoBack"/>
      <w:bookmarkEnd w:id="0"/>
    </w:p>
    <w:p w14:paraId="452981C1" w14:textId="21B7CEF2" w:rsidR="00AE0D01" w:rsidRDefault="00AE0D01" w:rsidP="00A317BE">
      <w:pPr>
        <w:widowControl w:val="0"/>
        <w:tabs>
          <w:tab w:val="left" w:pos="567"/>
        </w:tabs>
        <w:spacing w:line="480" w:lineRule="auto"/>
        <w:jc w:val="center"/>
        <w:rPr>
          <w:b/>
          <w:color w:val="000000" w:themeColor="text1"/>
          <w:sz w:val="32"/>
          <w:szCs w:val="32"/>
        </w:rPr>
      </w:pPr>
      <w:r w:rsidRPr="00A317BE">
        <w:rPr>
          <w:b/>
          <w:color w:val="000000" w:themeColor="text1"/>
          <w:sz w:val="32"/>
          <w:szCs w:val="32"/>
        </w:rPr>
        <w:t>THE COURT OF APPEAL</w:t>
      </w:r>
    </w:p>
    <w:p w14:paraId="238AD5A2" w14:textId="78F7B386" w:rsidR="00DB36A8" w:rsidRPr="00DB36A8" w:rsidRDefault="00DB36A8" w:rsidP="00DB36A8">
      <w:pPr>
        <w:widowControl w:val="0"/>
        <w:tabs>
          <w:tab w:val="left" w:pos="567"/>
        </w:tabs>
        <w:spacing w:line="480" w:lineRule="auto"/>
        <w:jc w:val="left"/>
        <w:rPr>
          <w:b/>
          <w:color w:val="000000" w:themeColor="text1"/>
          <w:sz w:val="28"/>
          <w:szCs w:val="28"/>
          <w:u w:val="single"/>
        </w:rPr>
      </w:pPr>
      <w:r>
        <w:rPr>
          <w:b/>
          <w:color w:val="000000" w:themeColor="text1"/>
          <w:sz w:val="28"/>
          <w:szCs w:val="28"/>
          <w:u w:val="single"/>
        </w:rPr>
        <w:t>UNAPPROVED</w:t>
      </w:r>
    </w:p>
    <w:p w14:paraId="429D2CCC" w14:textId="4131B990" w:rsidR="00B026DB" w:rsidRDefault="00B026DB" w:rsidP="00BD5141">
      <w:pPr>
        <w:widowControl w:val="0"/>
        <w:tabs>
          <w:tab w:val="left" w:pos="567"/>
        </w:tabs>
        <w:spacing w:line="480" w:lineRule="auto"/>
        <w:jc w:val="right"/>
        <w:rPr>
          <w:b/>
          <w:color w:val="000000" w:themeColor="text1"/>
        </w:rPr>
      </w:pPr>
      <w:r>
        <w:rPr>
          <w:b/>
          <w:color w:val="000000" w:themeColor="text1"/>
        </w:rPr>
        <w:t>Neutral Citation: [2022] IECA 104</w:t>
      </w:r>
    </w:p>
    <w:p w14:paraId="2CD1094E" w14:textId="068F4D82" w:rsidR="00BD5141" w:rsidRPr="00A317BE" w:rsidRDefault="00BD5141" w:rsidP="00BD5141">
      <w:pPr>
        <w:widowControl w:val="0"/>
        <w:tabs>
          <w:tab w:val="left" w:pos="567"/>
        </w:tabs>
        <w:spacing w:line="480" w:lineRule="auto"/>
        <w:jc w:val="right"/>
        <w:rPr>
          <w:b/>
          <w:color w:val="000000" w:themeColor="text1"/>
        </w:rPr>
      </w:pPr>
      <w:r w:rsidRPr="00A317BE">
        <w:rPr>
          <w:b/>
          <w:color w:val="000000" w:themeColor="text1"/>
        </w:rPr>
        <w:t>Court of Appeal Record Number: 2019/376</w:t>
      </w:r>
    </w:p>
    <w:p w14:paraId="6463B203" w14:textId="77777777" w:rsidR="00007C3A" w:rsidRPr="00A317BE" w:rsidRDefault="00007C3A" w:rsidP="00BD5141">
      <w:pPr>
        <w:widowControl w:val="0"/>
        <w:tabs>
          <w:tab w:val="left" w:pos="567"/>
        </w:tabs>
        <w:spacing w:line="360" w:lineRule="auto"/>
        <w:jc w:val="right"/>
        <w:rPr>
          <w:b/>
          <w:color w:val="000000" w:themeColor="text1"/>
        </w:rPr>
      </w:pPr>
    </w:p>
    <w:p w14:paraId="24B2C67A" w14:textId="0DF7CFAF" w:rsidR="00007C3A" w:rsidRPr="00A317BE" w:rsidRDefault="00080850" w:rsidP="00A317BE">
      <w:pPr>
        <w:widowControl w:val="0"/>
        <w:tabs>
          <w:tab w:val="left" w:pos="567"/>
        </w:tabs>
        <w:spacing w:line="360" w:lineRule="auto"/>
        <w:rPr>
          <w:b/>
          <w:color w:val="000000" w:themeColor="text1"/>
        </w:rPr>
      </w:pPr>
      <w:r w:rsidRPr="00A317BE">
        <w:rPr>
          <w:b/>
          <w:color w:val="000000" w:themeColor="text1"/>
        </w:rPr>
        <w:t xml:space="preserve">Donnelly J. </w:t>
      </w:r>
    </w:p>
    <w:p w14:paraId="7975031E" w14:textId="2A9E2DB7" w:rsidR="00AE0D01" w:rsidRPr="00A317BE" w:rsidRDefault="00356055" w:rsidP="00A317BE">
      <w:pPr>
        <w:widowControl w:val="0"/>
        <w:tabs>
          <w:tab w:val="left" w:pos="567"/>
        </w:tabs>
        <w:spacing w:line="360" w:lineRule="auto"/>
        <w:rPr>
          <w:b/>
          <w:color w:val="000000" w:themeColor="text1"/>
        </w:rPr>
      </w:pPr>
      <w:r w:rsidRPr="00A317BE">
        <w:rPr>
          <w:b/>
          <w:color w:val="000000" w:themeColor="text1"/>
        </w:rPr>
        <w:t>Ní Raifeartaigh</w:t>
      </w:r>
      <w:r w:rsidR="00AE0D01" w:rsidRPr="00A317BE">
        <w:rPr>
          <w:b/>
          <w:color w:val="000000" w:themeColor="text1"/>
        </w:rPr>
        <w:t xml:space="preserve"> J.</w:t>
      </w:r>
    </w:p>
    <w:p w14:paraId="1DCACD1E" w14:textId="7E9D8746" w:rsidR="00080850" w:rsidRPr="00A317BE" w:rsidRDefault="00080850" w:rsidP="00A317BE">
      <w:pPr>
        <w:widowControl w:val="0"/>
        <w:tabs>
          <w:tab w:val="left" w:pos="567"/>
        </w:tabs>
        <w:spacing w:line="360" w:lineRule="auto"/>
        <w:rPr>
          <w:b/>
          <w:color w:val="000000" w:themeColor="text1"/>
        </w:rPr>
      </w:pPr>
      <w:r w:rsidRPr="00A317BE">
        <w:rPr>
          <w:b/>
          <w:color w:val="000000" w:themeColor="text1"/>
        </w:rPr>
        <w:t xml:space="preserve">Collins J. </w:t>
      </w:r>
    </w:p>
    <w:p w14:paraId="07678918" w14:textId="77777777" w:rsidR="00AE0D01" w:rsidRPr="00A317BE" w:rsidRDefault="00AE0D01" w:rsidP="00A317BE">
      <w:pPr>
        <w:widowControl w:val="0"/>
        <w:tabs>
          <w:tab w:val="left" w:pos="567"/>
        </w:tabs>
        <w:spacing w:line="360" w:lineRule="auto"/>
        <w:rPr>
          <w:b/>
          <w:color w:val="000000" w:themeColor="text1"/>
        </w:rPr>
      </w:pPr>
    </w:p>
    <w:p w14:paraId="52B49CF7" w14:textId="77777777" w:rsidR="00AE0D01" w:rsidRPr="00A317BE" w:rsidRDefault="00AE0D01" w:rsidP="00A317BE">
      <w:pPr>
        <w:widowControl w:val="0"/>
        <w:tabs>
          <w:tab w:val="left" w:pos="567"/>
        </w:tabs>
        <w:spacing w:line="360" w:lineRule="auto"/>
        <w:rPr>
          <w:b/>
          <w:color w:val="000000" w:themeColor="text1"/>
        </w:rPr>
      </w:pPr>
    </w:p>
    <w:p w14:paraId="75F68D3D" w14:textId="77777777" w:rsidR="00AE0D01" w:rsidRPr="00A317BE" w:rsidRDefault="00AE0D01" w:rsidP="00A317BE">
      <w:pPr>
        <w:widowControl w:val="0"/>
        <w:tabs>
          <w:tab w:val="left" w:pos="567"/>
        </w:tabs>
        <w:spacing w:line="360" w:lineRule="auto"/>
        <w:rPr>
          <w:b/>
          <w:color w:val="000000" w:themeColor="text1"/>
        </w:rPr>
      </w:pPr>
      <w:r w:rsidRPr="00A317BE">
        <w:rPr>
          <w:b/>
          <w:color w:val="000000" w:themeColor="text1"/>
        </w:rPr>
        <w:t>BETWEEN</w:t>
      </w:r>
    </w:p>
    <w:p w14:paraId="0E955161" w14:textId="77777777" w:rsidR="00007C3A" w:rsidRPr="00A317BE" w:rsidRDefault="00007C3A" w:rsidP="00A317BE">
      <w:pPr>
        <w:widowControl w:val="0"/>
        <w:tabs>
          <w:tab w:val="left" w:pos="567"/>
        </w:tabs>
        <w:spacing w:line="360" w:lineRule="auto"/>
        <w:rPr>
          <w:b/>
          <w:color w:val="000000" w:themeColor="text1"/>
        </w:rPr>
      </w:pPr>
    </w:p>
    <w:p w14:paraId="1C6C3543" w14:textId="4D01FD8E" w:rsidR="00007C3A" w:rsidRPr="00A317BE" w:rsidRDefault="00080850" w:rsidP="00A317BE">
      <w:pPr>
        <w:tabs>
          <w:tab w:val="left" w:pos="567"/>
        </w:tabs>
        <w:jc w:val="center"/>
        <w:rPr>
          <w:b/>
          <w:color w:val="000000" w:themeColor="text1"/>
        </w:rPr>
      </w:pPr>
      <w:r w:rsidRPr="00A317BE">
        <w:rPr>
          <w:b/>
          <w:color w:val="000000" w:themeColor="text1"/>
        </w:rPr>
        <w:t>JOAN DONNELLY</w:t>
      </w:r>
    </w:p>
    <w:p w14:paraId="7E43FFDC" w14:textId="48350DC3" w:rsidR="00007C3A" w:rsidRPr="00A317BE" w:rsidRDefault="00007C3A" w:rsidP="00A317BE">
      <w:pPr>
        <w:tabs>
          <w:tab w:val="left" w:pos="567"/>
        </w:tabs>
        <w:jc w:val="right"/>
        <w:rPr>
          <w:b/>
          <w:color w:val="000000" w:themeColor="text1"/>
        </w:rPr>
      </w:pP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00E720F1" w:rsidRPr="00A317BE">
        <w:rPr>
          <w:b/>
          <w:color w:val="000000" w:themeColor="text1"/>
        </w:rPr>
        <w:t>APPELLANT</w:t>
      </w:r>
    </w:p>
    <w:p w14:paraId="11BBA7CA" w14:textId="33531511" w:rsidR="00007C3A" w:rsidRPr="00A317BE" w:rsidRDefault="00E720F1" w:rsidP="00A317BE">
      <w:pPr>
        <w:tabs>
          <w:tab w:val="left" w:pos="567"/>
        </w:tabs>
        <w:jc w:val="center"/>
        <w:rPr>
          <w:b/>
          <w:color w:val="000000" w:themeColor="text1"/>
        </w:rPr>
      </w:pPr>
      <w:r w:rsidRPr="00A317BE">
        <w:rPr>
          <w:b/>
          <w:color w:val="000000" w:themeColor="text1"/>
        </w:rPr>
        <w:t>-</w:t>
      </w:r>
      <w:r w:rsidR="00007C3A" w:rsidRPr="00A317BE">
        <w:rPr>
          <w:b/>
          <w:color w:val="000000" w:themeColor="text1"/>
        </w:rPr>
        <w:t>AND</w:t>
      </w:r>
      <w:r w:rsidRPr="00A317BE">
        <w:rPr>
          <w:b/>
          <w:color w:val="000000" w:themeColor="text1"/>
        </w:rPr>
        <w:t>-</w:t>
      </w:r>
    </w:p>
    <w:p w14:paraId="6720B670" w14:textId="77777777" w:rsidR="00007C3A" w:rsidRPr="00A317BE" w:rsidRDefault="00007C3A" w:rsidP="00A317BE">
      <w:pPr>
        <w:tabs>
          <w:tab w:val="left" w:pos="567"/>
        </w:tabs>
        <w:jc w:val="center"/>
        <w:rPr>
          <w:b/>
          <w:color w:val="000000" w:themeColor="text1"/>
        </w:rPr>
      </w:pPr>
    </w:p>
    <w:p w14:paraId="6D03E085" w14:textId="42058D6E" w:rsidR="00007C3A" w:rsidRPr="00A317BE" w:rsidRDefault="00080850" w:rsidP="00A317BE">
      <w:pPr>
        <w:tabs>
          <w:tab w:val="left" w:pos="567"/>
        </w:tabs>
        <w:jc w:val="center"/>
        <w:rPr>
          <w:b/>
          <w:color w:val="000000" w:themeColor="text1"/>
        </w:rPr>
      </w:pPr>
      <w:r w:rsidRPr="00A317BE">
        <w:rPr>
          <w:b/>
          <w:color w:val="000000" w:themeColor="text1"/>
        </w:rPr>
        <w:t>VIVIER AND COMPANY LIMITED</w:t>
      </w:r>
    </w:p>
    <w:p w14:paraId="48C9357E" w14:textId="365DC3AA" w:rsidR="00007C3A" w:rsidRPr="00A317BE" w:rsidRDefault="00007C3A" w:rsidP="00A317BE">
      <w:pPr>
        <w:tabs>
          <w:tab w:val="left" w:pos="567"/>
        </w:tabs>
        <w:jc w:val="right"/>
        <w:rPr>
          <w:b/>
          <w:color w:val="000000" w:themeColor="text1"/>
        </w:rPr>
      </w:pP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Pr="00A317BE">
        <w:rPr>
          <w:b/>
          <w:color w:val="000000" w:themeColor="text1"/>
        </w:rPr>
        <w:tab/>
      </w:r>
      <w:r w:rsidR="00E720F1" w:rsidRPr="00A317BE">
        <w:rPr>
          <w:b/>
          <w:color w:val="000000" w:themeColor="text1"/>
        </w:rPr>
        <w:t>RESPONDENT</w:t>
      </w:r>
    </w:p>
    <w:p w14:paraId="6A160141" w14:textId="77777777" w:rsidR="00E901E4" w:rsidRPr="00A317BE" w:rsidRDefault="00E901E4" w:rsidP="00A317BE">
      <w:pPr>
        <w:widowControl w:val="0"/>
        <w:tabs>
          <w:tab w:val="left" w:pos="567"/>
        </w:tabs>
        <w:spacing w:line="480" w:lineRule="auto"/>
        <w:jc w:val="right"/>
        <w:rPr>
          <w:b/>
          <w:color w:val="000000" w:themeColor="text1"/>
        </w:rPr>
      </w:pPr>
    </w:p>
    <w:p w14:paraId="1BC8725E" w14:textId="462811B8" w:rsidR="00007C3A" w:rsidRPr="00A317BE" w:rsidRDefault="00080850" w:rsidP="00A317BE">
      <w:pPr>
        <w:widowControl w:val="0"/>
        <w:tabs>
          <w:tab w:val="left" w:pos="567"/>
        </w:tabs>
        <w:spacing w:line="360" w:lineRule="auto"/>
        <w:rPr>
          <w:color w:val="000000" w:themeColor="text1"/>
        </w:rPr>
      </w:pPr>
      <w:r w:rsidRPr="00A317BE">
        <w:rPr>
          <w:b/>
          <w:color w:val="000000" w:themeColor="text1"/>
          <w:u w:val="single"/>
        </w:rPr>
        <w:t xml:space="preserve">JUDGMENT of Ms. Justice Ní Raifeartaigh delivered on the </w:t>
      </w:r>
      <w:r w:rsidR="009A09EC" w:rsidRPr="00A317BE">
        <w:rPr>
          <w:b/>
          <w:color w:val="000000" w:themeColor="text1"/>
          <w:u w:val="single"/>
        </w:rPr>
        <w:t>6</w:t>
      </w:r>
      <w:r w:rsidRPr="00A317BE">
        <w:rPr>
          <w:b/>
          <w:color w:val="000000" w:themeColor="text1"/>
          <w:u w:val="single"/>
        </w:rPr>
        <w:t xml:space="preserve">th day of </w:t>
      </w:r>
      <w:r w:rsidR="00727DF7" w:rsidRPr="00A317BE">
        <w:rPr>
          <w:b/>
          <w:color w:val="000000" w:themeColor="text1"/>
          <w:u w:val="single"/>
        </w:rPr>
        <w:t>M</w:t>
      </w:r>
      <w:r w:rsidR="000B1651" w:rsidRPr="00A317BE">
        <w:rPr>
          <w:b/>
          <w:color w:val="000000" w:themeColor="text1"/>
          <w:u w:val="single"/>
        </w:rPr>
        <w:t>ay</w:t>
      </w:r>
      <w:r w:rsidR="00727DF7" w:rsidRPr="00A317BE">
        <w:rPr>
          <w:b/>
          <w:color w:val="000000" w:themeColor="text1"/>
          <w:u w:val="single"/>
        </w:rPr>
        <w:t xml:space="preserve"> 2022</w:t>
      </w:r>
    </w:p>
    <w:p w14:paraId="213B5F02" w14:textId="77777777" w:rsidR="00080850" w:rsidRPr="00A317BE" w:rsidRDefault="00080850" w:rsidP="00A317BE">
      <w:pPr>
        <w:tabs>
          <w:tab w:val="left" w:pos="567"/>
        </w:tabs>
        <w:rPr>
          <w:color w:val="000000" w:themeColor="text1"/>
        </w:rPr>
      </w:pPr>
    </w:p>
    <w:p w14:paraId="397C4BF0" w14:textId="720C8475" w:rsidR="00080850" w:rsidRPr="00A317BE" w:rsidRDefault="00B23C56" w:rsidP="00A317BE">
      <w:pPr>
        <w:pStyle w:val="Heading1"/>
        <w:tabs>
          <w:tab w:val="left" w:pos="567"/>
        </w:tabs>
        <w:rPr>
          <w:color w:val="000000" w:themeColor="text1"/>
        </w:rPr>
      </w:pPr>
      <w:r w:rsidRPr="00A317BE">
        <w:rPr>
          <w:color w:val="000000" w:themeColor="text1"/>
        </w:rPr>
        <w:t>The issue under appeal</w:t>
      </w:r>
    </w:p>
    <w:p w14:paraId="53D7D3AA" w14:textId="7B546D41" w:rsidR="005B1E96" w:rsidRPr="00A317BE" w:rsidRDefault="00080850" w:rsidP="00F26376">
      <w:pPr>
        <w:numPr>
          <w:ilvl w:val="0"/>
          <w:numId w:val="23"/>
        </w:numPr>
        <w:tabs>
          <w:tab w:val="left" w:pos="567"/>
        </w:tabs>
        <w:spacing w:line="480" w:lineRule="auto"/>
        <w:ind w:left="0" w:firstLine="0"/>
        <w:rPr>
          <w:color w:val="000000" w:themeColor="text1"/>
        </w:rPr>
      </w:pPr>
      <w:r w:rsidRPr="00A317BE">
        <w:rPr>
          <w:color w:val="000000" w:themeColor="text1"/>
        </w:rPr>
        <w:t>The appellant</w:t>
      </w:r>
      <w:r w:rsidR="00AC2037" w:rsidRPr="00A317BE">
        <w:rPr>
          <w:color w:val="000000" w:themeColor="text1"/>
        </w:rPr>
        <w:t xml:space="preserve">, </w:t>
      </w:r>
      <w:r w:rsidR="000E14B2" w:rsidRPr="00A317BE">
        <w:rPr>
          <w:color w:val="000000" w:themeColor="text1"/>
        </w:rPr>
        <w:t xml:space="preserve">who lives in Ireland, </w:t>
      </w:r>
      <w:r w:rsidRPr="00A317BE">
        <w:rPr>
          <w:color w:val="000000" w:themeColor="text1"/>
        </w:rPr>
        <w:t>obtained an order for service</w:t>
      </w:r>
      <w:r w:rsidR="00FB4810" w:rsidRPr="00A317BE">
        <w:rPr>
          <w:color w:val="000000" w:themeColor="text1"/>
        </w:rPr>
        <w:t xml:space="preserve"> of her plenary summons</w:t>
      </w:r>
      <w:r w:rsidRPr="00A317BE">
        <w:rPr>
          <w:color w:val="000000" w:themeColor="text1"/>
        </w:rPr>
        <w:t xml:space="preserve"> out of the jurisdiction </w:t>
      </w:r>
      <w:r w:rsidR="00D9428C" w:rsidRPr="00A317BE">
        <w:rPr>
          <w:color w:val="000000" w:themeColor="text1"/>
        </w:rPr>
        <w:t xml:space="preserve">on </w:t>
      </w:r>
      <w:r w:rsidR="009A6C4B" w:rsidRPr="00A317BE">
        <w:rPr>
          <w:color w:val="000000" w:themeColor="text1"/>
        </w:rPr>
        <w:t>the respondent</w:t>
      </w:r>
      <w:r w:rsidR="00CE5CD8" w:rsidRPr="00A317BE">
        <w:rPr>
          <w:color w:val="000000" w:themeColor="text1"/>
        </w:rPr>
        <w:t>, a company incorporated in New Zealand.</w:t>
      </w:r>
      <w:r w:rsidR="005B1E96" w:rsidRPr="00A317BE">
        <w:rPr>
          <w:color w:val="000000" w:themeColor="text1"/>
        </w:rPr>
        <w:t xml:space="preserve"> The appellant’s claims include claims for defamation and a claim for payment of monies she says are due to her in respect of legal research services she performed for the respondent. </w:t>
      </w:r>
      <w:r w:rsidRPr="00A317BE">
        <w:rPr>
          <w:color w:val="000000" w:themeColor="text1"/>
        </w:rPr>
        <w:t xml:space="preserve"> </w:t>
      </w:r>
      <w:r w:rsidR="009A6C4B" w:rsidRPr="00A317BE">
        <w:rPr>
          <w:color w:val="000000" w:themeColor="text1"/>
        </w:rPr>
        <w:t>The respondent</w:t>
      </w:r>
      <w:r w:rsidRPr="00A317BE">
        <w:rPr>
          <w:color w:val="000000" w:themeColor="text1"/>
        </w:rPr>
        <w:t xml:space="preserve"> entered a conditional appearance contesting the jurisdiction of the Irish courts and brought a motion to strike out the appellant’s proceedings. This application was </w:t>
      </w:r>
      <w:r w:rsidRPr="00A317BE">
        <w:rPr>
          <w:color w:val="000000" w:themeColor="text1"/>
        </w:rPr>
        <w:lastRenderedPageBreak/>
        <w:t>successful in the High Court. The appellant appeals against the decision of the High Court and seeks to maintain her proceedings against the New Zealand company in Ireland</w:t>
      </w:r>
      <w:r w:rsidR="005B1E96" w:rsidRPr="00A317BE">
        <w:rPr>
          <w:color w:val="000000" w:themeColor="text1"/>
        </w:rPr>
        <w:t xml:space="preserve">. </w:t>
      </w:r>
    </w:p>
    <w:p w14:paraId="1BAAD311" w14:textId="6441275A" w:rsidR="00904581" w:rsidRPr="00A317BE" w:rsidRDefault="00904581" w:rsidP="00A317BE">
      <w:pPr>
        <w:pStyle w:val="Heading1"/>
        <w:tabs>
          <w:tab w:val="left" w:pos="567"/>
        </w:tabs>
        <w:rPr>
          <w:color w:val="000000" w:themeColor="text1"/>
        </w:rPr>
      </w:pPr>
      <w:r w:rsidRPr="00A317BE">
        <w:rPr>
          <w:color w:val="000000" w:themeColor="text1"/>
        </w:rPr>
        <w:t>Order 11 of the Rules of the Superior Court</w:t>
      </w:r>
      <w:r w:rsidR="000C74B6" w:rsidRPr="00A317BE">
        <w:rPr>
          <w:color w:val="000000" w:themeColor="text1"/>
        </w:rPr>
        <w:t>s</w:t>
      </w:r>
      <w:r w:rsidRPr="00A317BE">
        <w:rPr>
          <w:color w:val="000000" w:themeColor="text1"/>
        </w:rPr>
        <w:t xml:space="preserve"> and Service out of the Jurisdiction</w:t>
      </w:r>
    </w:p>
    <w:p w14:paraId="621DADAC" w14:textId="77777777" w:rsidR="00505A98" w:rsidRPr="00A317BE" w:rsidRDefault="00505A98" w:rsidP="00A317BE">
      <w:pPr>
        <w:tabs>
          <w:tab w:val="left" w:pos="567"/>
        </w:tabs>
        <w:rPr>
          <w:color w:val="000000" w:themeColor="text1"/>
        </w:rPr>
      </w:pPr>
    </w:p>
    <w:p w14:paraId="279C920D" w14:textId="27685817" w:rsidR="00505A98" w:rsidRPr="00A317BE" w:rsidRDefault="005B1E96"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As the respondent is a company incorporated in New Zealand, Order 11(1) and the common law rules constitute the applicable legal framework. </w:t>
      </w:r>
      <w:r w:rsidR="00486A7D" w:rsidRPr="00A317BE">
        <w:rPr>
          <w:color w:val="000000" w:themeColor="text1"/>
        </w:rPr>
        <w:t xml:space="preserve">The EU regime (Regulation (EU) 1215/2012 or “Brussels 1 recast”) does not apply. </w:t>
      </w:r>
      <w:r w:rsidR="009B37B5" w:rsidRPr="00A317BE">
        <w:rPr>
          <w:color w:val="000000" w:themeColor="text1"/>
        </w:rPr>
        <w:t xml:space="preserve">Order 11(1) of the Rules of the Superior Courts </w:t>
      </w:r>
      <w:r w:rsidR="00E720F1" w:rsidRPr="00A317BE">
        <w:rPr>
          <w:color w:val="000000" w:themeColor="text1"/>
        </w:rPr>
        <w:t xml:space="preserve">(RSC) </w:t>
      </w:r>
      <w:r w:rsidR="007E42BE" w:rsidRPr="00A317BE">
        <w:rPr>
          <w:color w:val="000000" w:themeColor="text1"/>
        </w:rPr>
        <w:t>sets out a number of categories in which</w:t>
      </w:r>
      <w:r w:rsidR="009B37B5" w:rsidRPr="00A317BE">
        <w:rPr>
          <w:color w:val="000000" w:themeColor="text1"/>
        </w:rPr>
        <w:t xml:space="preserve"> </w:t>
      </w:r>
      <w:r w:rsidR="00505A98" w:rsidRPr="00A317BE">
        <w:rPr>
          <w:color w:val="000000" w:themeColor="text1"/>
        </w:rPr>
        <w:t xml:space="preserve">service out of the jurisdiction of an originating summons or notice of an originating summons may be </w:t>
      </w:r>
      <w:r w:rsidR="007E42BE" w:rsidRPr="00A317BE">
        <w:rPr>
          <w:color w:val="000000" w:themeColor="text1"/>
        </w:rPr>
        <w:t>permitted</w:t>
      </w:r>
      <w:r w:rsidR="003448C8" w:rsidRPr="00A317BE">
        <w:rPr>
          <w:color w:val="000000" w:themeColor="text1"/>
        </w:rPr>
        <w:t>. The most relevant categories for present purposes are where:-</w:t>
      </w:r>
      <w:r w:rsidRPr="00A317BE">
        <w:rPr>
          <w:color w:val="000000" w:themeColor="text1"/>
        </w:rPr>
        <w:t>:</w:t>
      </w:r>
    </w:p>
    <w:p w14:paraId="3C9BCC26" w14:textId="774DEBEB" w:rsidR="00505A98" w:rsidRPr="00A317BE" w:rsidRDefault="00505A98" w:rsidP="00A317BE">
      <w:pPr>
        <w:tabs>
          <w:tab w:val="left" w:pos="567"/>
        </w:tabs>
        <w:spacing w:line="480" w:lineRule="auto"/>
        <w:rPr>
          <w:color w:val="000000" w:themeColor="text1"/>
        </w:rPr>
      </w:pPr>
    </w:p>
    <w:p w14:paraId="3FF395F6" w14:textId="68914CA0" w:rsidR="00505A98" w:rsidRPr="00A317BE" w:rsidRDefault="00E720F1" w:rsidP="00A317BE">
      <w:pPr>
        <w:tabs>
          <w:tab w:val="left" w:pos="567"/>
        </w:tabs>
        <w:spacing w:line="480" w:lineRule="auto"/>
        <w:ind w:left="567"/>
        <w:rPr>
          <w:color w:val="000000" w:themeColor="text1"/>
        </w:rPr>
      </w:pPr>
      <w:r w:rsidRPr="00A317BE">
        <w:rPr>
          <w:color w:val="000000" w:themeColor="text1"/>
        </w:rPr>
        <w:t>“</w:t>
      </w:r>
      <w:r w:rsidR="00505A98" w:rsidRPr="00A317BE">
        <w:rPr>
          <w:color w:val="000000" w:themeColor="text1"/>
        </w:rPr>
        <w:t>(e) the action is one brought to enforce, rescind, dissolve, annul, or otherwise affect a contract, or to recover damages or other relief for or in respect of the breach of a contract</w:t>
      </w:r>
    </w:p>
    <w:p w14:paraId="7ECCD521" w14:textId="77777777" w:rsidR="00505A98" w:rsidRPr="00A317BE" w:rsidRDefault="00505A98" w:rsidP="00A317BE">
      <w:pPr>
        <w:tabs>
          <w:tab w:val="left" w:pos="567"/>
        </w:tabs>
        <w:spacing w:line="480" w:lineRule="auto"/>
        <w:ind w:left="567"/>
        <w:rPr>
          <w:color w:val="000000" w:themeColor="text1"/>
        </w:rPr>
      </w:pPr>
      <w:r w:rsidRPr="00A317BE">
        <w:rPr>
          <w:color w:val="000000" w:themeColor="text1"/>
        </w:rPr>
        <w:t>(i)  made within the jurisdiction; or</w:t>
      </w:r>
    </w:p>
    <w:p w14:paraId="4F8D7A0B" w14:textId="75EB95BD" w:rsidR="00505A98" w:rsidRPr="00A317BE" w:rsidRDefault="00505A98" w:rsidP="00A317BE">
      <w:pPr>
        <w:tabs>
          <w:tab w:val="left" w:pos="567"/>
        </w:tabs>
        <w:spacing w:line="480" w:lineRule="auto"/>
        <w:ind w:left="567"/>
        <w:rPr>
          <w:color w:val="000000" w:themeColor="text1"/>
        </w:rPr>
      </w:pPr>
      <w:r w:rsidRPr="00A317BE">
        <w:rPr>
          <w:color w:val="000000" w:themeColor="text1"/>
        </w:rPr>
        <w:t>(ii) made by or through an agent trading or residing within the jurisdiction on behalf of a principal trading or residing out of the jurisdiction; or</w:t>
      </w:r>
    </w:p>
    <w:p w14:paraId="34350776" w14:textId="77777777" w:rsidR="00E16865" w:rsidRPr="00A317BE" w:rsidRDefault="00505A98" w:rsidP="00A317BE">
      <w:pPr>
        <w:tabs>
          <w:tab w:val="left" w:pos="567"/>
        </w:tabs>
        <w:spacing w:line="480" w:lineRule="auto"/>
        <w:ind w:left="567"/>
        <w:rPr>
          <w:color w:val="000000" w:themeColor="text1"/>
        </w:rPr>
      </w:pPr>
      <w:r w:rsidRPr="00A317BE">
        <w:rPr>
          <w:color w:val="000000" w:themeColor="text1"/>
        </w:rPr>
        <w:t xml:space="preserve">(iii) by its terms or by implication to be governed by Irish Law, or is one brought in respect of a breach committed within the jurisdiction of a contract wherever made, even though such breach was preceded or accompanied by a breach out of the jurisdiction which rendered impossible the performance of the part of the contract which ought to have been performed within the jurisdiction; </w:t>
      </w:r>
    </w:p>
    <w:p w14:paraId="018FE432" w14:textId="46F4B0F2" w:rsidR="00505A98" w:rsidRPr="00A317BE" w:rsidRDefault="00505A98" w:rsidP="00A317BE">
      <w:pPr>
        <w:tabs>
          <w:tab w:val="left" w:pos="567"/>
        </w:tabs>
        <w:spacing w:line="480" w:lineRule="auto"/>
        <w:ind w:left="567"/>
        <w:rPr>
          <w:color w:val="000000" w:themeColor="text1"/>
        </w:rPr>
      </w:pPr>
      <w:r w:rsidRPr="00A317BE">
        <w:rPr>
          <w:color w:val="000000" w:themeColor="text1"/>
        </w:rPr>
        <w:t>or</w:t>
      </w:r>
    </w:p>
    <w:p w14:paraId="22A57063" w14:textId="77777777" w:rsidR="00D238E7" w:rsidRPr="00A317BE" w:rsidRDefault="00D238E7" w:rsidP="00A317BE">
      <w:pPr>
        <w:tabs>
          <w:tab w:val="left" w:pos="567"/>
        </w:tabs>
        <w:spacing w:line="480" w:lineRule="auto"/>
        <w:ind w:left="567"/>
        <w:rPr>
          <w:color w:val="000000" w:themeColor="text1"/>
        </w:rPr>
      </w:pPr>
    </w:p>
    <w:p w14:paraId="629097B8" w14:textId="0001222C" w:rsidR="00057A18" w:rsidRPr="00A317BE" w:rsidRDefault="00505A98" w:rsidP="00A317BE">
      <w:pPr>
        <w:tabs>
          <w:tab w:val="left" w:pos="567"/>
        </w:tabs>
        <w:spacing w:line="480" w:lineRule="auto"/>
        <w:ind w:left="567"/>
        <w:rPr>
          <w:color w:val="000000" w:themeColor="text1"/>
        </w:rPr>
      </w:pPr>
      <w:r w:rsidRPr="00A317BE">
        <w:rPr>
          <w:color w:val="000000" w:themeColor="text1"/>
        </w:rPr>
        <w:t>(f) the action is founded on a tort committed within the jurisdiction</w:t>
      </w:r>
      <w:r w:rsidR="00057A18" w:rsidRPr="00A317BE">
        <w:rPr>
          <w:color w:val="000000" w:themeColor="text1"/>
        </w:rPr>
        <w:t>.</w:t>
      </w:r>
      <w:r w:rsidR="00E720F1" w:rsidRPr="00A317BE">
        <w:rPr>
          <w:color w:val="000000" w:themeColor="text1"/>
        </w:rPr>
        <w:t>”</w:t>
      </w:r>
    </w:p>
    <w:p w14:paraId="23F339A4" w14:textId="77777777" w:rsidR="00F032BA" w:rsidRPr="00A317BE" w:rsidRDefault="00F032BA" w:rsidP="00A317BE">
      <w:pPr>
        <w:tabs>
          <w:tab w:val="left" w:pos="567"/>
        </w:tabs>
        <w:spacing w:line="480" w:lineRule="auto"/>
        <w:rPr>
          <w:color w:val="000000" w:themeColor="text1"/>
        </w:rPr>
      </w:pPr>
    </w:p>
    <w:p w14:paraId="2642BCBA" w14:textId="53636694" w:rsidR="00057A18" w:rsidRPr="00A317BE" w:rsidRDefault="00F032BA"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w:t>
      </w:r>
      <w:r w:rsidR="00DF1455" w:rsidRPr="00A317BE">
        <w:rPr>
          <w:color w:val="000000" w:themeColor="text1"/>
        </w:rPr>
        <w:t xml:space="preserve">basic </w:t>
      </w:r>
      <w:r w:rsidRPr="00A317BE">
        <w:rPr>
          <w:color w:val="000000" w:themeColor="text1"/>
        </w:rPr>
        <w:t>connection between the procedural</w:t>
      </w:r>
      <w:r w:rsidR="00E16865" w:rsidRPr="00A317BE">
        <w:rPr>
          <w:color w:val="000000" w:themeColor="text1"/>
        </w:rPr>
        <w:t xml:space="preserve"> question</w:t>
      </w:r>
      <w:r w:rsidRPr="00A317BE">
        <w:rPr>
          <w:color w:val="000000" w:themeColor="text1"/>
        </w:rPr>
        <w:t xml:space="preserve"> of service out of the jurisdiction and</w:t>
      </w:r>
      <w:r w:rsidR="00057A18" w:rsidRPr="00A317BE">
        <w:rPr>
          <w:color w:val="000000" w:themeColor="text1"/>
        </w:rPr>
        <w:t xml:space="preserve"> </w:t>
      </w:r>
      <w:r w:rsidRPr="00A317BE">
        <w:rPr>
          <w:color w:val="000000" w:themeColor="text1"/>
        </w:rPr>
        <w:t xml:space="preserve">the underlying common law </w:t>
      </w:r>
      <w:r w:rsidR="00E16865" w:rsidRPr="00A317BE">
        <w:rPr>
          <w:color w:val="000000" w:themeColor="text1"/>
        </w:rPr>
        <w:t xml:space="preserve">rules </w:t>
      </w:r>
      <w:r w:rsidRPr="00A317BE">
        <w:rPr>
          <w:color w:val="000000" w:themeColor="text1"/>
        </w:rPr>
        <w:t>as to jurisdiction</w:t>
      </w:r>
      <w:r w:rsidR="00E16865" w:rsidRPr="00A317BE">
        <w:rPr>
          <w:color w:val="000000" w:themeColor="text1"/>
        </w:rPr>
        <w:t xml:space="preserve"> in cases with connections to several countries</w:t>
      </w:r>
      <w:r w:rsidRPr="00A317BE">
        <w:rPr>
          <w:color w:val="000000" w:themeColor="text1"/>
        </w:rPr>
        <w:t xml:space="preserve"> is well </w:t>
      </w:r>
      <w:r w:rsidR="0029748C" w:rsidRPr="00A317BE">
        <w:rPr>
          <w:color w:val="000000" w:themeColor="text1"/>
        </w:rPr>
        <w:t>described</w:t>
      </w:r>
      <w:r w:rsidRPr="00A317BE">
        <w:rPr>
          <w:color w:val="000000" w:themeColor="text1"/>
        </w:rPr>
        <w:t xml:space="preserve"> by</w:t>
      </w:r>
      <w:r w:rsidR="00057A18" w:rsidRPr="00A317BE">
        <w:rPr>
          <w:color w:val="000000" w:themeColor="text1"/>
        </w:rPr>
        <w:t xml:space="preserve"> Delaney and McGrath, </w:t>
      </w:r>
      <w:r w:rsidR="002F13F4" w:rsidRPr="00A317BE">
        <w:rPr>
          <w:i/>
          <w:color w:val="000000" w:themeColor="text1"/>
        </w:rPr>
        <w:t xml:space="preserve">Civil Procedure </w:t>
      </w:r>
      <w:r w:rsidR="002F13F4" w:rsidRPr="00A317BE">
        <w:rPr>
          <w:iCs/>
          <w:color w:val="000000" w:themeColor="text1"/>
        </w:rPr>
        <w:t>(4</w:t>
      </w:r>
      <w:r w:rsidR="002F13F4" w:rsidRPr="00A317BE">
        <w:rPr>
          <w:iCs/>
          <w:color w:val="000000" w:themeColor="text1"/>
          <w:vertAlign w:val="superscript"/>
        </w:rPr>
        <w:t>th</w:t>
      </w:r>
      <w:r w:rsidR="002F13F4" w:rsidRPr="00A317BE">
        <w:rPr>
          <w:iCs/>
          <w:color w:val="000000" w:themeColor="text1"/>
        </w:rPr>
        <w:t xml:space="preserve"> ed, 2018),</w:t>
      </w:r>
      <w:r w:rsidR="002F13F4" w:rsidRPr="00A317BE">
        <w:rPr>
          <w:color w:val="000000" w:themeColor="text1"/>
        </w:rPr>
        <w:t xml:space="preserve"> </w:t>
      </w:r>
      <w:r w:rsidR="00057A18" w:rsidRPr="00A317BE">
        <w:rPr>
          <w:color w:val="000000" w:themeColor="text1"/>
        </w:rPr>
        <w:t>who say at paragraph 1-13:</w:t>
      </w:r>
    </w:p>
    <w:p w14:paraId="59303F11" w14:textId="77777777" w:rsidR="00420AF7" w:rsidRDefault="00420AF7" w:rsidP="000C74B6">
      <w:pPr>
        <w:tabs>
          <w:tab w:val="left" w:pos="567"/>
        </w:tabs>
        <w:spacing w:line="480" w:lineRule="auto"/>
        <w:ind w:left="567"/>
        <w:rPr>
          <w:color w:val="000000" w:themeColor="text1"/>
        </w:rPr>
      </w:pPr>
    </w:p>
    <w:p w14:paraId="69CF1321" w14:textId="17B6C1A9" w:rsidR="004377BB" w:rsidRPr="00A317BE" w:rsidRDefault="001832AA" w:rsidP="00A317BE">
      <w:pPr>
        <w:tabs>
          <w:tab w:val="left" w:pos="567"/>
        </w:tabs>
        <w:spacing w:line="480" w:lineRule="auto"/>
        <w:ind w:left="567"/>
        <w:rPr>
          <w:color w:val="000000" w:themeColor="text1"/>
        </w:rPr>
      </w:pPr>
      <w:r w:rsidRPr="00A317BE">
        <w:rPr>
          <w:color w:val="000000" w:themeColor="text1"/>
        </w:rPr>
        <w:t>“</w:t>
      </w:r>
      <w:r w:rsidR="00057A18" w:rsidRPr="00A317BE">
        <w:rPr>
          <w:color w:val="000000" w:themeColor="text1"/>
        </w:rPr>
        <w:t xml:space="preserve">Given that service is the foundation of jurisdiction, and that service out of the jurisdiction is not permissible except in those circumstances prescribed by Order 11, the question of whether the Irish courts have jurisdiction in a claim involving a foreign defendant or element essentially involves an inquiry as to whether service out is permissible pursuant to Order 11. ….Order 11, rules 1(a)-(s) enumerate the different circumstances in which proceedings can be served out of the jurisdiction. The courts have held that this represents an exhaustive list of situations in which the grant of leave to serve proceedings out of the jurisdiction will be contemplated. Thus, it is imperative that an applicant seeking an order for service out of the jurisdiction bring himself within one of the categories set out therein as otherwise leave will not be granted”. Order 11 is, however, discretionary; the fact that proceedings come within one or more of the categories specified in Order 11, rules 1(a)-(s) does not entitle the applicant as of right to succeed in an application for leave to effect service out of the jurisdiction.” (footnotes omitted). </w:t>
      </w:r>
    </w:p>
    <w:p w14:paraId="597AC12A" w14:textId="77777777" w:rsidR="000C729B" w:rsidRPr="00A317BE" w:rsidRDefault="000C729B" w:rsidP="00A317BE">
      <w:pPr>
        <w:tabs>
          <w:tab w:val="left" w:pos="567"/>
        </w:tabs>
        <w:rPr>
          <w:color w:val="000000" w:themeColor="text1"/>
        </w:rPr>
      </w:pPr>
    </w:p>
    <w:p w14:paraId="27281054" w14:textId="0A3CAC32" w:rsidR="002565D3" w:rsidRPr="00A317BE" w:rsidRDefault="00D94B4E" w:rsidP="00F26376">
      <w:pPr>
        <w:pStyle w:val="ListParagraph"/>
        <w:numPr>
          <w:ilvl w:val="0"/>
          <w:numId w:val="23"/>
        </w:numPr>
        <w:tabs>
          <w:tab w:val="left" w:pos="567"/>
        </w:tabs>
        <w:ind w:left="0" w:firstLine="0"/>
        <w:rPr>
          <w:color w:val="000000" w:themeColor="text1"/>
        </w:rPr>
      </w:pPr>
      <w:r w:rsidRPr="00A317BE">
        <w:rPr>
          <w:color w:val="000000" w:themeColor="text1"/>
        </w:rPr>
        <w:t>Order 11</w:t>
      </w:r>
      <w:r w:rsidR="00E720F1" w:rsidRPr="00A317BE">
        <w:rPr>
          <w:color w:val="000000" w:themeColor="text1"/>
        </w:rPr>
        <w:t>,</w:t>
      </w:r>
      <w:r w:rsidRPr="00A317BE">
        <w:rPr>
          <w:color w:val="000000" w:themeColor="text1"/>
        </w:rPr>
        <w:t xml:space="preserve"> r</w:t>
      </w:r>
      <w:r w:rsidR="00E720F1" w:rsidRPr="00A317BE">
        <w:rPr>
          <w:color w:val="000000" w:themeColor="text1"/>
        </w:rPr>
        <w:t>.</w:t>
      </w:r>
      <w:r w:rsidRPr="00A317BE">
        <w:rPr>
          <w:color w:val="000000" w:themeColor="text1"/>
        </w:rPr>
        <w:t xml:space="preserve"> 5 provides:-</w:t>
      </w:r>
      <w:r w:rsidRPr="00A317BE">
        <w:rPr>
          <w:color w:val="000000" w:themeColor="text1"/>
        </w:rPr>
        <w:tab/>
      </w:r>
    </w:p>
    <w:p w14:paraId="18031196" w14:textId="54A6A04D" w:rsidR="00D94B4E" w:rsidRPr="00A317BE" w:rsidRDefault="00E720F1" w:rsidP="00A317BE">
      <w:pPr>
        <w:pStyle w:val="NormalWeb"/>
        <w:shd w:val="clear" w:color="auto" w:fill="FFFFFF"/>
        <w:tabs>
          <w:tab w:val="left" w:pos="567"/>
        </w:tabs>
        <w:spacing w:before="0" w:beforeAutospacing="0" w:after="0" w:afterAutospacing="0" w:line="480" w:lineRule="auto"/>
        <w:ind w:left="567"/>
        <w:jc w:val="both"/>
        <w:rPr>
          <w:color w:val="000000" w:themeColor="text1"/>
        </w:rPr>
      </w:pPr>
      <w:r w:rsidRPr="00A317BE">
        <w:rPr>
          <w:color w:val="000000" w:themeColor="text1"/>
        </w:rPr>
        <w:t>“</w:t>
      </w:r>
      <w:r w:rsidR="00D94B4E" w:rsidRPr="00A317BE">
        <w:rPr>
          <w:color w:val="000000" w:themeColor="text1"/>
        </w:rPr>
        <w:t xml:space="preserve">Every application for leave to serve a summons or notice of a summons on a defendant out of the jurisdiction shall be supported by affidavit, or other evidence, stating that in the belief of the deponent the plaintiff has a good cause of action, and showing in what place or country such defendant is or probably may be found, and </w:t>
      </w:r>
      <w:r w:rsidR="00D94B4E" w:rsidRPr="00A317BE">
        <w:rPr>
          <w:color w:val="000000" w:themeColor="text1"/>
        </w:rPr>
        <w:lastRenderedPageBreak/>
        <w:t>whether such defendant is a citizen of Ireland or not, and where leave is asked to serve a summons or notice thereof under r. 1 stating the particulars necessary for enabling the Court to exercise a due discretion in the manner in r. 2 specified; and no leave shall be granted unless it shall be made sufficiently to appear to the Court that the case is a proper one for service out of the jurisdiction under this Order.</w:t>
      </w:r>
      <w:r w:rsidRPr="00A317BE">
        <w:rPr>
          <w:color w:val="000000" w:themeColor="text1"/>
        </w:rPr>
        <w:t>”</w:t>
      </w:r>
    </w:p>
    <w:p w14:paraId="646366B1" w14:textId="54677209" w:rsidR="00D3087C" w:rsidRPr="00A317BE" w:rsidRDefault="00D3087C" w:rsidP="00A317BE">
      <w:pPr>
        <w:pStyle w:val="NormalWeb"/>
        <w:shd w:val="clear" w:color="auto" w:fill="FFFFFF"/>
        <w:tabs>
          <w:tab w:val="left" w:pos="567"/>
        </w:tabs>
        <w:spacing w:before="0" w:beforeAutospacing="0" w:after="0" w:afterAutospacing="0" w:line="480" w:lineRule="auto"/>
        <w:jc w:val="both"/>
        <w:rPr>
          <w:color w:val="000000" w:themeColor="text1"/>
        </w:rPr>
      </w:pPr>
    </w:p>
    <w:p w14:paraId="3E841D74" w14:textId="17609546" w:rsidR="00D3087C" w:rsidRPr="00A317BE" w:rsidRDefault="003C5C57" w:rsidP="00F26376">
      <w:pPr>
        <w:pStyle w:val="CommentText"/>
        <w:numPr>
          <w:ilvl w:val="0"/>
          <w:numId w:val="23"/>
        </w:numPr>
        <w:tabs>
          <w:tab w:val="left" w:pos="567"/>
        </w:tabs>
        <w:spacing w:line="480" w:lineRule="auto"/>
        <w:ind w:left="0" w:firstLine="0"/>
        <w:rPr>
          <w:color w:val="000000" w:themeColor="text1"/>
        </w:rPr>
      </w:pPr>
      <w:r w:rsidRPr="00A317BE">
        <w:rPr>
          <w:color w:val="000000" w:themeColor="text1"/>
          <w:sz w:val="24"/>
          <w:szCs w:val="24"/>
        </w:rPr>
        <w:t>T</w:t>
      </w:r>
      <w:r w:rsidR="00D3087C" w:rsidRPr="00A317BE">
        <w:rPr>
          <w:color w:val="000000" w:themeColor="text1"/>
          <w:sz w:val="24"/>
          <w:szCs w:val="24"/>
        </w:rPr>
        <w:t>he burden is on the applicant for leave to demonstrate that “</w:t>
      </w:r>
      <w:r w:rsidR="00D3087C" w:rsidRPr="00A317BE">
        <w:rPr>
          <w:i/>
          <w:color w:val="000000" w:themeColor="text1"/>
          <w:sz w:val="24"/>
          <w:szCs w:val="24"/>
        </w:rPr>
        <w:t>the case is a proper one for service out of the jurisdiction under this Order”</w:t>
      </w:r>
      <w:r w:rsidR="00D3087C" w:rsidRPr="00A317BE">
        <w:rPr>
          <w:color w:val="000000" w:themeColor="text1"/>
          <w:sz w:val="24"/>
          <w:szCs w:val="24"/>
        </w:rPr>
        <w:t xml:space="preserve"> (Order 11, </w:t>
      </w:r>
      <w:r w:rsidR="00E720F1" w:rsidRPr="00A317BE">
        <w:rPr>
          <w:color w:val="000000" w:themeColor="text1"/>
          <w:sz w:val="24"/>
          <w:szCs w:val="24"/>
        </w:rPr>
        <w:t>r.</w:t>
      </w:r>
      <w:r w:rsidR="00D3087C" w:rsidRPr="00A317BE">
        <w:rPr>
          <w:color w:val="000000" w:themeColor="text1"/>
          <w:sz w:val="24"/>
          <w:szCs w:val="24"/>
        </w:rPr>
        <w:t xml:space="preserve"> 5 RSC). </w:t>
      </w:r>
      <w:r w:rsidRPr="00A317BE">
        <w:rPr>
          <w:color w:val="000000" w:themeColor="text1"/>
          <w:sz w:val="24"/>
          <w:szCs w:val="24"/>
        </w:rPr>
        <w:t>Therefore, an applicant for leave to serve out of the jurisdiction must show (i) that he or she falls within one</w:t>
      </w:r>
      <w:r w:rsidR="00923A18" w:rsidRPr="00A317BE">
        <w:rPr>
          <w:color w:val="000000" w:themeColor="text1"/>
          <w:sz w:val="24"/>
          <w:szCs w:val="24"/>
        </w:rPr>
        <w:t xml:space="preserve"> or more</w:t>
      </w:r>
      <w:r w:rsidRPr="00A317BE">
        <w:rPr>
          <w:color w:val="000000" w:themeColor="text1"/>
          <w:sz w:val="24"/>
          <w:szCs w:val="24"/>
        </w:rPr>
        <w:t xml:space="preserve"> of th</w:t>
      </w:r>
      <w:r w:rsidR="00923A18" w:rsidRPr="00A317BE">
        <w:rPr>
          <w:color w:val="000000" w:themeColor="text1"/>
          <w:sz w:val="24"/>
          <w:szCs w:val="24"/>
        </w:rPr>
        <w:t xml:space="preserve">e </w:t>
      </w:r>
      <w:r w:rsidRPr="00A317BE">
        <w:rPr>
          <w:color w:val="000000" w:themeColor="text1"/>
          <w:sz w:val="24"/>
          <w:szCs w:val="24"/>
        </w:rPr>
        <w:t>categories</w:t>
      </w:r>
      <w:r w:rsidR="00923A18" w:rsidRPr="00A317BE">
        <w:rPr>
          <w:color w:val="000000" w:themeColor="text1"/>
          <w:sz w:val="24"/>
          <w:szCs w:val="24"/>
        </w:rPr>
        <w:t xml:space="preserve"> in the sub-paragraphs of Order 11(1)</w:t>
      </w:r>
      <w:r w:rsidR="00600688" w:rsidRPr="00A317BE">
        <w:rPr>
          <w:color w:val="000000" w:themeColor="text1"/>
          <w:sz w:val="24"/>
          <w:szCs w:val="24"/>
        </w:rPr>
        <w:t>, which are in effect</w:t>
      </w:r>
      <w:r w:rsidRPr="00A317BE">
        <w:rPr>
          <w:color w:val="000000" w:themeColor="text1"/>
          <w:sz w:val="24"/>
          <w:szCs w:val="24"/>
        </w:rPr>
        <w:t xml:space="preserve"> jurisdictional “gateways”; and (ii) that the case is a proper one for service</w:t>
      </w:r>
      <w:r w:rsidR="00E720F1" w:rsidRPr="00A317BE">
        <w:rPr>
          <w:color w:val="000000" w:themeColor="text1"/>
          <w:sz w:val="24"/>
          <w:szCs w:val="24"/>
        </w:rPr>
        <w:t>,</w:t>
      </w:r>
      <w:r w:rsidRPr="00A317BE">
        <w:rPr>
          <w:color w:val="000000" w:themeColor="text1"/>
          <w:sz w:val="24"/>
          <w:szCs w:val="24"/>
        </w:rPr>
        <w:t xml:space="preserve"> i.e. that </w:t>
      </w:r>
      <w:r w:rsidR="00C91190" w:rsidRPr="00A317BE">
        <w:rPr>
          <w:color w:val="000000" w:themeColor="text1"/>
          <w:sz w:val="24"/>
          <w:szCs w:val="24"/>
        </w:rPr>
        <w:t xml:space="preserve">this jurisdiction is </w:t>
      </w:r>
      <w:r w:rsidR="00C91190" w:rsidRPr="00A317BE">
        <w:rPr>
          <w:i/>
          <w:color w:val="000000" w:themeColor="text1"/>
          <w:sz w:val="24"/>
          <w:szCs w:val="24"/>
        </w:rPr>
        <w:t xml:space="preserve">forum conveniens. </w:t>
      </w:r>
    </w:p>
    <w:p w14:paraId="4DD5625C" w14:textId="7024161A" w:rsidR="00D94B4E" w:rsidRPr="00A317BE" w:rsidRDefault="00D94B4E" w:rsidP="00A317BE">
      <w:pPr>
        <w:tabs>
          <w:tab w:val="left" w:pos="567"/>
        </w:tabs>
        <w:rPr>
          <w:color w:val="000000" w:themeColor="text1"/>
        </w:rPr>
      </w:pPr>
    </w:p>
    <w:p w14:paraId="7F9AA78E" w14:textId="47AEB5AD" w:rsidR="00150964" w:rsidRPr="00A317BE" w:rsidRDefault="00B435C0" w:rsidP="00A317BE">
      <w:pPr>
        <w:tabs>
          <w:tab w:val="left" w:pos="567"/>
        </w:tabs>
        <w:rPr>
          <w:color w:val="000000" w:themeColor="text1"/>
        </w:rPr>
      </w:pPr>
      <w:r w:rsidRPr="00A317BE">
        <w:rPr>
          <w:color w:val="000000" w:themeColor="text1"/>
        </w:rPr>
        <w:tab/>
      </w:r>
    </w:p>
    <w:p w14:paraId="0898F0BF" w14:textId="56DAFB66" w:rsidR="00E9061E" w:rsidRPr="00A317BE" w:rsidRDefault="00FD6633" w:rsidP="00A317BE">
      <w:pPr>
        <w:pStyle w:val="Heading1"/>
        <w:tabs>
          <w:tab w:val="left" w:pos="567"/>
        </w:tabs>
        <w:rPr>
          <w:color w:val="000000" w:themeColor="text1"/>
        </w:rPr>
      </w:pPr>
      <w:r w:rsidRPr="00A317BE">
        <w:rPr>
          <w:color w:val="000000" w:themeColor="text1"/>
        </w:rPr>
        <w:t>The reliefs sought by the appellant in the</w:t>
      </w:r>
      <w:r w:rsidR="00E720F1" w:rsidRPr="00A317BE">
        <w:rPr>
          <w:color w:val="000000" w:themeColor="text1"/>
        </w:rPr>
        <w:t>se</w:t>
      </w:r>
      <w:r w:rsidRPr="00A317BE">
        <w:rPr>
          <w:color w:val="000000" w:themeColor="text1"/>
        </w:rPr>
        <w:t xml:space="preserve"> proceedings</w:t>
      </w:r>
    </w:p>
    <w:p w14:paraId="0C2A7392" w14:textId="22EDA6E2" w:rsidR="00EC151C" w:rsidRPr="00A317BE" w:rsidRDefault="003B351E" w:rsidP="00F26376">
      <w:pPr>
        <w:numPr>
          <w:ilvl w:val="0"/>
          <w:numId w:val="23"/>
        </w:numPr>
        <w:tabs>
          <w:tab w:val="left" w:pos="567"/>
        </w:tabs>
        <w:spacing w:line="480" w:lineRule="auto"/>
        <w:ind w:left="0" w:firstLine="0"/>
        <w:rPr>
          <w:color w:val="000000" w:themeColor="text1"/>
        </w:rPr>
      </w:pPr>
      <w:r w:rsidRPr="00A317BE">
        <w:rPr>
          <w:color w:val="000000" w:themeColor="text1"/>
        </w:rPr>
        <w:t>Before setting out the reliefs sought by the appellant, some</w:t>
      </w:r>
      <w:r w:rsidR="00F96E83" w:rsidRPr="00A317BE">
        <w:rPr>
          <w:color w:val="000000" w:themeColor="text1"/>
        </w:rPr>
        <w:t xml:space="preserve"> initial</w:t>
      </w:r>
      <w:r w:rsidR="000B341B" w:rsidRPr="00A317BE">
        <w:rPr>
          <w:color w:val="000000" w:themeColor="text1"/>
        </w:rPr>
        <w:t xml:space="preserve"> background facts may</w:t>
      </w:r>
      <w:r w:rsidR="00CE40C5" w:rsidRPr="00A317BE">
        <w:rPr>
          <w:color w:val="000000" w:themeColor="text1"/>
        </w:rPr>
        <w:t xml:space="preserve"> assist </w:t>
      </w:r>
      <w:r w:rsidR="009D6FFB" w:rsidRPr="00A317BE">
        <w:rPr>
          <w:color w:val="000000" w:themeColor="text1"/>
        </w:rPr>
        <w:t xml:space="preserve">in </w:t>
      </w:r>
      <w:r w:rsidR="00F96667" w:rsidRPr="00A317BE">
        <w:rPr>
          <w:color w:val="000000" w:themeColor="text1"/>
        </w:rPr>
        <w:t xml:space="preserve">providing </w:t>
      </w:r>
      <w:r w:rsidRPr="00A317BE">
        <w:rPr>
          <w:color w:val="000000" w:themeColor="text1"/>
        </w:rPr>
        <w:t xml:space="preserve">some context. </w:t>
      </w:r>
      <w:r w:rsidR="000B341B" w:rsidRPr="00A317BE">
        <w:rPr>
          <w:color w:val="000000" w:themeColor="text1"/>
        </w:rPr>
        <w:t xml:space="preserve">A more detailed chronology of events is set out later in this judgment. </w:t>
      </w:r>
    </w:p>
    <w:p w14:paraId="476DFBFA" w14:textId="77777777" w:rsidR="00A212BF" w:rsidRPr="00A317BE" w:rsidRDefault="00A212BF" w:rsidP="00151DF9">
      <w:pPr>
        <w:tabs>
          <w:tab w:val="left" w:pos="567"/>
        </w:tabs>
        <w:spacing w:line="480" w:lineRule="auto"/>
        <w:rPr>
          <w:color w:val="000000" w:themeColor="text1"/>
        </w:rPr>
      </w:pPr>
    </w:p>
    <w:p w14:paraId="07AEF85B" w14:textId="128F849A" w:rsidR="00A212BF" w:rsidRPr="00A317BE" w:rsidRDefault="00BE5F0C"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 </w:t>
      </w:r>
      <w:r w:rsidR="001112D2" w:rsidRPr="00A317BE">
        <w:rPr>
          <w:color w:val="000000" w:themeColor="text1"/>
        </w:rPr>
        <w:t>The</w:t>
      </w:r>
      <w:r w:rsidR="00E26E4E" w:rsidRPr="00A317BE">
        <w:rPr>
          <w:color w:val="000000" w:themeColor="text1"/>
        </w:rPr>
        <w:t xml:space="preserve"> appellant</w:t>
      </w:r>
      <w:r w:rsidR="000178F0" w:rsidRPr="00A317BE">
        <w:rPr>
          <w:color w:val="000000" w:themeColor="text1"/>
        </w:rPr>
        <w:t xml:space="preserve">, who </w:t>
      </w:r>
      <w:r w:rsidR="003A2486" w:rsidRPr="00A317BE">
        <w:rPr>
          <w:color w:val="000000" w:themeColor="text1"/>
        </w:rPr>
        <w:t>was at all material times</w:t>
      </w:r>
      <w:r w:rsidR="00CF1D0E" w:rsidRPr="00A317BE">
        <w:rPr>
          <w:color w:val="000000" w:themeColor="text1"/>
        </w:rPr>
        <w:t xml:space="preserve"> living</w:t>
      </w:r>
      <w:r w:rsidR="00A212BF" w:rsidRPr="00A317BE">
        <w:rPr>
          <w:color w:val="000000" w:themeColor="text1"/>
        </w:rPr>
        <w:t xml:space="preserve"> and working</w:t>
      </w:r>
      <w:r w:rsidR="00CF1D0E" w:rsidRPr="00A317BE">
        <w:rPr>
          <w:color w:val="000000" w:themeColor="text1"/>
        </w:rPr>
        <w:t xml:space="preserve"> in Ireland</w:t>
      </w:r>
      <w:r w:rsidR="000178F0" w:rsidRPr="00A317BE">
        <w:rPr>
          <w:color w:val="000000" w:themeColor="text1"/>
        </w:rPr>
        <w:t xml:space="preserve">, </w:t>
      </w:r>
      <w:r w:rsidR="00E26E4E" w:rsidRPr="00A317BE">
        <w:rPr>
          <w:color w:val="000000" w:themeColor="text1"/>
        </w:rPr>
        <w:t xml:space="preserve">was a director of </w:t>
      </w:r>
      <w:r w:rsidR="009A6C4B" w:rsidRPr="00A317BE">
        <w:rPr>
          <w:color w:val="000000" w:themeColor="text1"/>
        </w:rPr>
        <w:t>the respondent</w:t>
      </w:r>
      <w:r w:rsidR="00983E70" w:rsidRPr="00A317BE">
        <w:rPr>
          <w:color w:val="000000" w:themeColor="text1"/>
        </w:rPr>
        <w:t xml:space="preserve"> company</w:t>
      </w:r>
      <w:r w:rsidR="00CA4B95" w:rsidRPr="00A317BE">
        <w:rPr>
          <w:color w:val="000000" w:themeColor="text1"/>
        </w:rPr>
        <w:t xml:space="preserve"> </w:t>
      </w:r>
      <w:r w:rsidR="00983E70" w:rsidRPr="00A317BE">
        <w:rPr>
          <w:color w:val="000000" w:themeColor="text1"/>
        </w:rPr>
        <w:t>(“</w:t>
      </w:r>
      <w:r w:rsidR="00983E70" w:rsidRPr="00A317BE">
        <w:rPr>
          <w:b/>
          <w:color w:val="000000" w:themeColor="text1"/>
        </w:rPr>
        <w:t>VCL</w:t>
      </w:r>
      <w:r w:rsidR="00983E70" w:rsidRPr="00A317BE">
        <w:rPr>
          <w:color w:val="000000" w:themeColor="text1"/>
        </w:rPr>
        <w:t xml:space="preserve">”) </w:t>
      </w:r>
      <w:r w:rsidR="00CA4B95" w:rsidRPr="00A317BE">
        <w:rPr>
          <w:color w:val="000000" w:themeColor="text1"/>
        </w:rPr>
        <w:t xml:space="preserve">from </w:t>
      </w:r>
      <w:r w:rsidR="00E40959" w:rsidRPr="00A317BE">
        <w:rPr>
          <w:color w:val="000000" w:themeColor="text1"/>
        </w:rPr>
        <w:t xml:space="preserve">December 2014 until </w:t>
      </w:r>
      <w:r w:rsidR="00983E70" w:rsidRPr="00A317BE">
        <w:rPr>
          <w:color w:val="000000" w:themeColor="text1"/>
        </w:rPr>
        <w:t>certain events occurred in the summer of 2017</w:t>
      </w:r>
      <w:r w:rsidR="000B2FBB" w:rsidRPr="00A317BE">
        <w:rPr>
          <w:color w:val="000000" w:themeColor="text1"/>
        </w:rPr>
        <w:t xml:space="preserve"> which are the subject of these proceedings</w:t>
      </w:r>
      <w:r w:rsidR="00983E70" w:rsidRPr="00A317BE">
        <w:rPr>
          <w:color w:val="000000" w:themeColor="text1"/>
        </w:rPr>
        <w:t xml:space="preserve">.  </w:t>
      </w:r>
      <w:r w:rsidR="00EC151C" w:rsidRPr="00A317BE">
        <w:rPr>
          <w:color w:val="000000" w:themeColor="text1"/>
        </w:rPr>
        <w:t xml:space="preserve">As noted, the respondent is a company incorporated in New Zealand. </w:t>
      </w:r>
      <w:r w:rsidR="001112D2" w:rsidRPr="00A317BE">
        <w:rPr>
          <w:color w:val="000000" w:themeColor="text1"/>
        </w:rPr>
        <w:t>The</w:t>
      </w:r>
      <w:r w:rsidR="00EC151C" w:rsidRPr="00A317BE">
        <w:rPr>
          <w:color w:val="000000" w:themeColor="text1"/>
        </w:rPr>
        <w:t xml:space="preserve"> appellant</w:t>
      </w:r>
      <w:r w:rsidR="00902F7D" w:rsidRPr="00A317BE">
        <w:rPr>
          <w:color w:val="000000" w:themeColor="text1"/>
        </w:rPr>
        <w:t xml:space="preserve"> was also a director of a connected Irish company</w:t>
      </w:r>
      <w:r w:rsidR="00983E70" w:rsidRPr="00A317BE">
        <w:rPr>
          <w:color w:val="000000" w:themeColor="text1"/>
        </w:rPr>
        <w:t xml:space="preserve"> during the same period. Th</w:t>
      </w:r>
      <w:r w:rsidR="00FB42E4" w:rsidRPr="00A317BE">
        <w:rPr>
          <w:color w:val="000000" w:themeColor="text1"/>
        </w:rPr>
        <w:t>is</w:t>
      </w:r>
      <w:r w:rsidR="00983E70" w:rsidRPr="00A317BE">
        <w:rPr>
          <w:color w:val="000000" w:themeColor="text1"/>
        </w:rPr>
        <w:t xml:space="preserve"> Irish company</w:t>
      </w:r>
      <w:r w:rsidR="00902F7D" w:rsidRPr="00A317BE">
        <w:rPr>
          <w:color w:val="000000" w:themeColor="text1"/>
        </w:rPr>
        <w:t xml:space="preserve"> went through </w:t>
      </w:r>
      <w:r w:rsidR="00C51258" w:rsidRPr="00A317BE">
        <w:rPr>
          <w:color w:val="000000" w:themeColor="text1"/>
        </w:rPr>
        <w:t>various incarnations and</w:t>
      </w:r>
      <w:r w:rsidR="00902F7D" w:rsidRPr="00A317BE">
        <w:rPr>
          <w:color w:val="000000" w:themeColor="text1"/>
        </w:rPr>
        <w:t xml:space="preserve"> name-change</w:t>
      </w:r>
      <w:r w:rsidR="00C51258" w:rsidRPr="00A317BE">
        <w:rPr>
          <w:color w:val="000000" w:themeColor="text1"/>
        </w:rPr>
        <w:t>s</w:t>
      </w:r>
      <w:r w:rsidR="00902F7D" w:rsidRPr="00A317BE">
        <w:rPr>
          <w:color w:val="000000" w:themeColor="text1"/>
        </w:rPr>
        <w:t xml:space="preserve"> </w:t>
      </w:r>
      <w:r w:rsidR="00C51258" w:rsidRPr="00A317BE">
        <w:rPr>
          <w:color w:val="000000" w:themeColor="text1"/>
        </w:rPr>
        <w:t>and references will be made to</w:t>
      </w:r>
      <w:r w:rsidR="00FB42E4" w:rsidRPr="00A317BE">
        <w:rPr>
          <w:color w:val="000000" w:themeColor="text1"/>
        </w:rPr>
        <w:t xml:space="preserve"> </w:t>
      </w:r>
      <w:r w:rsidR="00C51258" w:rsidRPr="00A317BE">
        <w:rPr>
          <w:color w:val="000000" w:themeColor="text1"/>
        </w:rPr>
        <w:t xml:space="preserve">Home </w:t>
      </w:r>
      <w:r w:rsidR="00293E3C" w:rsidRPr="00A317BE">
        <w:rPr>
          <w:color w:val="000000" w:themeColor="text1"/>
        </w:rPr>
        <w:t>Funding Corporation Limited</w:t>
      </w:r>
      <w:r w:rsidR="00C51258" w:rsidRPr="00A317BE">
        <w:rPr>
          <w:color w:val="000000" w:themeColor="text1"/>
        </w:rPr>
        <w:t xml:space="preserve">, </w:t>
      </w:r>
      <w:r w:rsidR="00FB42E4" w:rsidRPr="00A317BE">
        <w:rPr>
          <w:color w:val="000000" w:themeColor="text1"/>
        </w:rPr>
        <w:t xml:space="preserve"> </w:t>
      </w:r>
      <w:r w:rsidR="00902F7D" w:rsidRPr="00A317BE">
        <w:rPr>
          <w:color w:val="000000" w:themeColor="text1"/>
        </w:rPr>
        <w:t>Vivier Mortgages Limited (hereinafter “</w:t>
      </w:r>
      <w:r w:rsidR="000178F0" w:rsidRPr="00A317BE">
        <w:rPr>
          <w:b/>
          <w:color w:val="000000" w:themeColor="text1"/>
        </w:rPr>
        <w:t>VML</w:t>
      </w:r>
      <w:r w:rsidR="00902F7D" w:rsidRPr="00A317BE">
        <w:rPr>
          <w:color w:val="000000" w:themeColor="text1"/>
        </w:rPr>
        <w:t>”)</w:t>
      </w:r>
      <w:r w:rsidR="000178F0" w:rsidRPr="00A317BE">
        <w:rPr>
          <w:color w:val="000000" w:themeColor="text1"/>
        </w:rPr>
        <w:t xml:space="preserve"> </w:t>
      </w:r>
      <w:r w:rsidR="00C51258" w:rsidRPr="00A317BE">
        <w:rPr>
          <w:color w:val="000000" w:themeColor="text1"/>
        </w:rPr>
        <w:t>and</w:t>
      </w:r>
      <w:r w:rsidR="00902F7D" w:rsidRPr="00A317BE">
        <w:rPr>
          <w:color w:val="000000" w:themeColor="text1"/>
        </w:rPr>
        <w:t xml:space="preserve"> Elstree Mortgages Limited </w:t>
      </w:r>
      <w:r w:rsidR="00902F7D" w:rsidRPr="00A317BE">
        <w:rPr>
          <w:color w:val="000000" w:themeColor="text1"/>
        </w:rPr>
        <w:lastRenderedPageBreak/>
        <w:t xml:space="preserve">(hereinafter </w:t>
      </w:r>
      <w:r w:rsidR="00902F7D" w:rsidRPr="00A317BE">
        <w:rPr>
          <w:b/>
          <w:bCs/>
          <w:color w:val="000000" w:themeColor="text1"/>
        </w:rPr>
        <w:t>“EML”</w:t>
      </w:r>
      <w:r w:rsidR="00902F7D" w:rsidRPr="00A317BE">
        <w:rPr>
          <w:color w:val="000000" w:themeColor="text1"/>
        </w:rPr>
        <w:t>)</w:t>
      </w:r>
      <w:r w:rsidR="00C51258" w:rsidRPr="00A317BE">
        <w:rPr>
          <w:color w:val="000000" w:themeColor="text1"/>
        </w:rPr>
        <w:t xml:space="preserve"> in that regard, as these different names feature in the documentary exhibits and affidavits in the case.</w:t>
      </w:r>
    </w:p>
    <w:p w14:paraId="50632C80" w14:textId="77777777" w:rsidR="00A212BF" w:rsidRPr="00A317BE" w:rsidRDefault="00A212BF" w:rsidP="000C74B6">
      <w:pPr>
        <w:tabs>
          <w:tab w:val="left" w:pos="567"/>
        </w:tabs>
        <w:spacing w:line="480" w:lineRule="auto"/>
        <w:rPr>
          <w:color w:val="000000" w:themeColor="text1"/>
        </w:rPr>
      </w:pPr>
    </w:p>
    <w:p w14:paraId="1B73AB53" w14:textId="26DECC95" w:rsidR="00492620" w:rsidRPr="00A317BE" w:rsidRDefault="002A62D0" w:rsidP="00420AF7">
      <w:pPr>
        <w:numPr>
          <w:ilvl w:val="0"/>
          <w:numId w:val="23"/>
        </w:numPr>
        <w:tabs>
          <w:tab w:val="left" w:pos="567"/>
        </w:tabs>
        <w:spacing w:line="480" w:lineRule="auto"/>
        <w:ind w:left="0" w:firstLine="0"/>
        <w:rPr>
          <w:color w:val="000000" w:themeColor="text1"/>
        </w:rPr>
      </w:pPr>
      <w:r w:rsidRPr="00A317BE">
        <w:rPr>
          <w:color w:val="000000" w:themeColor="text1"/>
        </w:rPr>
        <w:t>The appellant agreed</w:t>
      </w:r>
      <w:r w:rsidR="00103FFB" w:rsidRPr="00A317BE">
        <w:rPr>
          <w:color w:val="000000" w:themeColor="text1"/>
        </w:rPr>
        <w:t xml:space="preserve"> </w:t>
      </w:r>
      <w:r w:rsidR="00E26E4E" w:rsidRPr="00A317BE">
        <w:rPr>
          <w:color w:val="000000" w:themeColor="text1"/>
        </w:rPr>
        <w:t xml:space="preserve">to </w:t>
      </w:r>
      <w:r w:rsidR="00FF1417" w:rsidRPr="00A317BE">
        <w:rPr>
          <w:color w:val="000000" w:themeColor="text1"/>
        </w:rPr>
        <w:t xml:space="preserve">undertake some legal research for </w:t>
      </w:r>
      <w:r w:rsidR="009A6C4B" w:rsidRPr="00A317BE">
        <w:rPr>
          <w:color w:val="000000" w:themeColor="text1"/>
        </w:rPr>
        <w:t>the respondent</w:t>
      </w:r>
      <w:r w:rsidR="00FF1417" w:rsidRPr="00A317BE">
        <w:rPr>
          <w:color w:val="000000" w:themeColor="text1"/>
        </w:rPr>
        <w:t xml:space="preserve"> </w:t>
      </w:r>
      <w:r w:rsidR="00EB316B" w:rsidRPr="00A317BE">
        <w:rPr>
          <w:color w:val="000000" w:themeColor="text1"/>
        </w:rPr>
        <w:t xml:space="preserve">in connection with a particular project, </w:t>
      </w:r>
      <w:r w:rsidR="00FF1417" w:rsidRPr="00A317BE">
        <w:rPr>
          <w:color w:val="000000" w:themeColor="text1"/>
        </w:rPr>
        <w:t>which she carried out during the year 2</w:t>
      </w:r>
      <w:r w:rsidR="00EC151C" w:rsidRPr="00A317BE">
        <w:rPr>
          <w:color w:val="000000" w:themeColor="text1"/>
        </w:rPr>
        <w:t>015</w:t>
      </w:r>
      <w:r w:rsidR="00FF1417" w:rsidRPr="00A317BE">
        <w:rPr>
          <w:color w:val="000000" w:themeColor="text1"/>
        </w:rPr>
        <w:t>.</w:t>
      </w:r>
      <w:r w:rsidR="00B538A9" w:rsidRPr="00A317BE">
        <w:rPr>
          <w:color w:val="000000" w:themeColor="text1"/>
        </w:rPr>
        <w:t xml:space="preserve"> Central to one of her claims is th</w:t>
      </w:r>
      <w:r w:rsidR="00840519" w:rsidRPr="00A317BE">
        <w:rPr>
          <w:color w:val="000000" w:themeColor="text1"/>
        </w:rPr>
        <w:t>e contention that</w:t>
      </w:r>
      <w:r w:rsidR="00B538A9" w:rsidRPr="00A317BE">
        <w:rPr>
          <w:color w:val="000000" w:themeColor="text1"/>
        </w:rPr>
        <w:t xml:space="preserve"> she was never paid for this work.</w:t>
      </w:r>
      <w:r w:rsidR="00515631" w:rsidRPr="00A317BE">
        <w:rPr>
          <w:color w:val="000000" w:themeColor="text1"/>
        </w:rPr>
        <w:t xml:space="preserve"> </w:t>
      </w:r>
    </w:p>
    <w:p w14:paraId="22D9627E" w14:textId="77777777" w:rsidR="00103FFB" w:rsidRPr="00A317BE" w:rsidRDefault="00103FFB" w:rsidP="00420AF7">
      <w:pPr>
        <w:tabs>
          <w:tab w:val="left" w:pos="567"/>
        </w:tabs>
        <w:spacing w:line="480" w:lineRule="auto"/>
        <w:rPr>
          <w:color w:val="000000" w:themeColor="text1"/>
        </w:rPr>
      </w:pPr>
    </w:p>
    <w:p w14:paraId="16C0D5ED" w14:textId="0B82758D" w:rsidR="007733E4" w:rsidRPr="00A317BE" w:rsidRDefault="001F0BEB"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Certain events, described in further detail below, took place in the summer of 2016. There is a serious conflict between the parties as to one </w:t>
      </w:r>
      <w:r w:rsidR="00E720F1" w:rsidRPr="00A317BE">
        <w:rPr>
          <w:color w:val="000000" w:themeColor="text1"/>
        </w:rPr>
        <w:t xml:space="preserve">particular, and </w:t>
      </w:r>
      <w:r w:rsidRPr="00A317BE">
        <w:rPr>
          <w:color w:val="000000" w:themeColor="text1"/>
        </w:rPr>
        <w:t>key</w:t>
      </w:r>
      <w:r w:rsidR="00E720F1" w:rsidRPr="00A317BE">
        <w:rPr>
          <w:color w:val="000000" w:themeColor="text1"/>
        </w:rPr>
        <w:t>,</w:t>
      </w:r>
      <w:r w:rsidRPr="00A317BE">
        <w:rPr>
          <w:color w:val="000000" w:themeColor="text1"/>
        </w:rPr>
        <w:t xml:space="preserve"> event. The respondent maintains that the appellant resigned her position as director of the respondent and sent a resignation letter by email to that effect. The appellant maintains that she did not. She maintains that any email or document purporting to show that she resign</w:t>
      </w:r>
      <w:r w:rsidR="0034698E" w:rsidRPr="00A317BE">
        <w:rPr>
          <w:color w:val="000000" w:themeColor="text1"/>
        </w:rPr>
        <w:t>ed</w:t>
      </w:r>
      <w:r w:rsidRPr="00A317BE">
        <w:rPr>
          <w:color w:val="000000" w:themeColor="text1"/>
        </w:rPr>
        <w:t xml:space="preserve"> is a forgery. </w:t>
      </w:r>
      <w:r w:rsidR="00E720F1" w:rsidRPr="00A317BE">
        <w:rPr>
          <w:color w:val="000000" w:themeColor="text1"/>
        </w:rPr>
        <w:t>Furthermore, s</w:t>
      </w:r>
      <w:r w:rsidRPr="00A317BE">
        <w:rPr>
          <w:color w:val="000000" w:themeColor="text1"/>
        </w:rPr>
        <w:t xml:space="preserve">he maintains that she stepped down as a director on a temporary basis with a clear understanding that this was </w:t>
      </w:r>
      <w:r w:rsidR="000A681F" w:rsidRPr="00A317BE">
        <w:rPr>
          <w:color w:val="000000" w:themeColor="text1"/>
        </w:rPr>
        <w:t xml:space="preserve">for </w:t>
      </w:r>
      <w:r w:rsidRPr="00A317BE">
        <w:rPr>
          <w:color w:val="000000" w:themeColor="text1"/>
        </w:rPr>
        <w:t xml:space="preserve">reasons of public optics only and that </w:t>
      </w:r>
      <w:r w:rsidR="00532BBA" w:rsidRPr="00A317BE">
        <w:rPr>
          <w:color w:val="000000" w:themeColor="text1"/>
        </w:rPr>
        <w:t xml:space="preserve">it was agreed that </w:t>
      </w:r>
      <w:r w:rsidRPr="00A317BE">
        <w:rPr>
          <w:color w:val="000000" w:themeColor="text1"/>
        </w:rPr>
        <w:t xml:space="preserve">she would be entitled to come back after a short period. She also maintains that she never lost any of her rights during this temporary step-down. </w:t>
      </w:r>
      <w:r w:rsidR="003051DE" w:rsidRPr="00A317BE">
        <w:rPr>
          <w:color w:val="000000" w:themeColor="text1"/>
        </w:rPr>
        <w:t xml:space="preserve"> </w:t>
      </w:r>
      <w:r w:rsidR="007E2252" w:rsidRPr="00A317BE">
        <w:rPr>
          <w:color w:val="000000" w:themeColor="text1"/>
        </w:rPr>
        <w:t xml:space="preserve"> </w:t>
      </w:r>
      <w:r w:rsidR="00B453C8" w:rsidRPr="00A317BE">
        <w:rPr>
          <w:color w:val="000000" w:themeColor="text1"/>
        </w:rPr>
        <w:t xml:space="preserve"> </w:t>
      </w:r>
    </w:p>
    <w:p w14:paraId="41D4B3FD" w14:textId="77777777" w:rsidR="001F0BEB" w:rsidRPr="00A317BE" w:rsidRDefault="001F0BEB">
      <w:pPr>
        <w:tabs>
          <w:tab w:val="left" w:pos="567"/>
        </w:tabs>
        <w:spacing w:line="480" w:lineRule="auto"/>
        <w:rPr>
          <w:color w:val="000000" w:themeColor="text1"/>
        </w:rPr>
      </w:pPr>
    </w:p>
    <w:p w14:paraId="404C65AD" w14:textId="47F2412B" w:rsidR="001F0BEB" w:rsidRPr="00A317BE" w:rsidRDefault="00B453C8"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 </w:t>
      </w:r>
      <w:r w:rsidR="001F0BEB" w:rsidRPr="00A317BE">
        <w:rPr>
          <w:color w:val="000000" w:themeColor="text1"/>
        </w:rPr>
        <w:t xml:space="preserve">In February 2017, there was an email exchange in which the appellant was sent the disputed resignation letter/email. She immediately responded that it was a forgery </w:t>
      </w:r>
      <w:r w:rsidR="006B01AF" w:rsidRPr="00A317BE">
        <w:rPr>
          <w:color w:val="000000" w:themeColor="text1"/>
        </w:rPr>
        <w:t xml:space="preserve">and that </w:t>
      </w:r>
      <w:r w:rsidR="001F0BEB" w:rsidRPr="00A317BE">
        <w:rPr>
          <w:color w:val="000000" w:themeColor="text1"/>
        </w:rPr>
        <w:t xml:space="preserve">  her electronic signature had been put on it by the respondent and not herself. She continued</w:t>
      </w:r>
      <w:r w:rsidR="0046378A" w:rsidRPr="00A317BE">
        <w:rPr>
          <w:color w:val="000000" w:themeColor="text1"/>
        </w:rPr>
        <w:t xml:space="preserve"> </w:t>
      </w:r>
      <w:r w:rsidR="00F75709" w:rsidRPr="00A317BE">
        <w:rPr>
          <w:color w:val="000000" w:themeColor="text1"/>
        </w:rPr>
        <w:t xml:space="preserve">to </w:t>
      </w:r>
      <w:r w:rsidR="0046378A" w:rsidRPr="00A317BE">
        <w:rPr>
          <w:color w:val="000000" w:themeColor="text1"/>
        </w:rPr>
        <w:t>make her views on this issue known to various parties</w:t>
      </w:r>
      <w:r w:rsidR="001F0BEB" w:rsidRPr="00A317BE">
        <w:rPr>
          <w:color w:val="000000" w:themeColor="text1"/>
        </w:rPr>
        <w:t xml:space="preserve"> over the ensuing days, weeks and months</w:t>
      </w:r>
      <w:r w:rsidR="0046378A" w:rsidRPr="00A317BE">
        <w:rPr>
          <w:color w:val="000000" w:themeColor="text1"/>
        </w:rPr>
        <w:t>. This</w:t>
      </w:r>
      <w:r w:rsidR="00E720F1" w:rsidRPr="00A317BE">
        <w:rPr>
          <w:color w:val="000000" w:themeColor="text1"/>
        </w:rPr>
        <w:t>,</w:t>
      </w:r>
      <w:r w:rsidR="0046378A" w:rsidRPr="00A317BE">
        <w:rPr>
          <w:color w:val="000000" w:themeColor="text1"/>
        </w:rPr>
        <w:t xml:space="preserve"> in turn</w:t>
      </w:r>
      <w:r w:rsidR="00E720F1" w:rsidRPr="00A317BE">
        <w:rPr>
          <w:color w:val="000000" w:themeColor="text1"/>
        </w:rPr>
        <w:t>,</w:t>
      </w:r>
      <w:r w:rsidR="001F0BEB" w:rsidRPr="00A317BE">
        <w:rPr>
          <w:color w:val="000000" w:themeColor="text1"/>
        </w:rPr>
        <w:t xml:space="preserve"> evoked strong denials by the respondent and its officers that the document was forged. Various communications ensued, with each side accusing the other of defamation. </w:t>
      </w:r>
    </w:p>
    <w:p w14:paraId="5602B0FB" w14:textId="77777777" w:rsidR="001F0BEB" w:rsidRPr="00A317BE" w:rsidRDefault="001F0BEB">
      <w:pPr>
        <w:tabs>
          <w:tab w:val="left" w:pos="567"/>
        </w:tabs>
        <w:spacing w:line="480" w:lineRule="auto"/>
        <w:rPr>
          <w:color w:val="000000" w:themeColor="text1"/>
        </w:rPr>
      </w:pPr>
    </w:p>
    <w:p w14:paraId="15457066" w14:textId="56DA533A" w:rsidR="00D23808" w:rsidRPr="00A317BE" w:rsidRDefault="001F0BEB"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U</w:t>
      </w:r>
      <w:r w:rsidR="00852949" w:rsidRPr="00A317BE">
        <w:rPr>
          <w:color w:val="000000" w:themeColor="text1"/>
        </w:rPr>
        <w:t>nsuccessful settlement talks between the parties</w:t>
      </w:r>
      <w:r w:rsidRPr="00A317BE">
        <w:rPr>
          <w:color w:val="000000" w:themeColor="text1"/>
        </w:rPr>
        <w:t xml:space="preserve"> took place</w:t>
      </w:r>
      <w:r w:rsidR="00852949" w:rsidRPr="00A317BE">
        <w:rPr>
          <w:color w:val="000000" w:themeColor="text1"/>
        </w:rPr>
        <w:t xml:space="preserve"> in London in April 2017</w:t>
      </w:r>
      <w:r w:rsidR="00D23808" w:rsidRPr="00A317BE">
        <w:rPr>
          <w:color w:val="000000" w:themeColor="text1"/>
        </w:rPr>
        <w:t xml:space="preserve">. </w:t>
      </w:r>
      <w:r w:rsidR="00852949" w:rsidRPr="00A317BE">
        <w:rPr>
          <w:color w:val="000000" w:themeColor="text1"/>
        </w:rPr>
        <w:t xml:space="preserve">The next day, her directorship with EML was terminated. </w:t>
      </w:r>
      <w:r w:rsidR="00402B8B" w:rsidRPr="00A317BE">
        <w:rPr>
          <w:color w:val="000000" w:themeColor="text1"/>
        </w:rPr>
        <w:t xml:space="preserve"> </w:t>
      </w:r>
    </w:p>
    <w:p w14:paraId="366D9EB3" w14:textId="77777777" w:rsidR="00003AAD" w:rsidRPr="00A317BE" w:rsidRDefault="00003AAD">
      <w:pPr>
        <w:tabs>
          <w:tab w:val="left" w:pos="567"/>
        </w:tabs>
        <w:spacing w:line="480" w:lineRule="auto"/>
        <w:rPr>
          <w:color w:val="000000" w:themeColor="text1"/>
        </w:rPr>
      </w:pPr>
    </w:p>
    <w:p w14:paraId="2F53B7AE" w14:textId="7E14A18F" w:rsidR="00037935" w:rsidRPr="00A317BE" w:rsidRDefault="00003AAD"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w:t>
      </w:r>
      <w:r w:rsidR="00037935" w:rsidRPr="00A317BE">
        <w:rPr>
          <w:color w:val="000000" w:themeColor="text1"/>
        </w:rPr>
        <w:t>made various complaints to bodies in New Zealand, as we shall see below. She then decided to bring proceedings in Ireland. She made the respondent aware of this and correspondence was exchanged. Among other things, the respondent or its agents maintained</w:t>
      </w:r>
      <w:r w:rsidR="00EF3F6F" w:rsidRPr="00A317BE">
        <w:rPr>
          <w:color w:val="000000" w:themeColor="text1"/>
        </w:rPr>
        <w:t xml:space="preserve"> in the course of this correspondence</w:t>
      </w:r>
      <w:r w:rsidR="00037935" w:rsidRPr="00A317BE">
        <w:rPr>
          <w:color w:val="000000" w:themeColor="text1"/>
        </w:rPr>
        <w:t xml:space="preserve"> that the appropriate jurisdiction for the resolution of the dispute was New Zealand. </w:t>
      </w:r>
      <w:r w:rsidR="00EF3F6F" w:rsidRPr="00A317BE">
        <w:rPr>
          <w:color w:val="000000" w:themeColor="text1"/>
        </w:rPr>
        <w:t>It requested that its position on this, together with one particular document (discussed below) be brought to the attention of the High Court on any leave application. In fact this was not done</w:t>
      </w:r>
      <w:r w:rsidR="004A38AE" w:rsidRPr="00A317BE">
        <w:rPr>
          <w:color w:val="000000" w:themeColor="text1"/>
        </w:rPr>
        <w:t xml:space="preserve">. Theappellant maintains that she did not do so because it was an irrelevant document. </w:t>
      </w:r>
    </w:p>
    <w:p w14:paraId="39BA4A01" w14:textId="77777777" w:rsidR="00037935" w:rsidRPr="00A317BE" w:rsidRDefault="00037935" w:rsidP="00A317BE">
      <w:pPr>
        <w:pStyle w:val="ListParagraph"/>
        <w:tabs>
          <w:tab w:val="left" w:pos="567"/>
        </w:tabs>
        <w:ind w:left="0"/>
        <w:rPr>
          <w:color w:val="000000" w:themeColor="text1"/>
        </w:rPr>
      </w:pPr>
    </w:p>
    <w:p w14:paraId="3FC884CF" w14:textId="34E4E2DB" w:rsidR="0029748C" w:rsidRPr="00A317BE" w:rsidRDefault="00722A20"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made an </w:t>
      </w:r>
      <w:r w:rsidRPr="00A317BE">
        <w:rPr>
          <w:i/>
          <w:color w:val="000000" w:themeColor="text1"/>
        </w:rPr>
        <w:t>ex parte</w:t>
      </w:r>
      <w:r w:rsidRPr="00A317BE">
        <w:rPr>
          <w:color w:val="000000" w:themeColor="text1"/>
        </w:rPr>
        <w:t xml:space="preserve"> application for leave to serve out of the jurisdiction pursuant to Order 11(1) grounded upon an affidavit setting out her version of the facts and exhibiting a small number of documents. </w:t>
      </w:r>
      <w:r w:rsidR="00E12742" w:rsidRPr="00A317BE">
        <w:rPr>
          <w:color w:val="000000" w:themeColor="text1"/>
        </w:rPr>
        <w:t>An order was granted by the High Court (Meenan J.) on</w:t>
      </w:r>
      <w:r w:rsidR="00E720F1" w:rsidRPr="00A317BE">
        <w:rPr>
          <w:color w:val="000000" w:themeColor="text1"/>
        </w:rPr>
        <w:t xml:space="preserve"> the</w:t>
      </w:r>
      <w:r w:rsidR="00E12742" w:rsidRPr="00A317BE">
        <w:rPr>
          <w:color w:val="000000" w:themeColor="text1"/>
        </w:rPr>
        <w:t xml:space="preserve"> 9 April 2018 (perfected</w:t>
      </w:r>
      <w:r w:rsidR="00E720F1" w:rsidRPr="00A317BE">
        <w:rPr>
          <w:color w:val="000000" w:themeColor="text1"/>
        </w:rPr>
        <w:t xml:space="preserve"> on the</w:t>
      </w:r>
      <w:r w:rsidR="00E12742" w:rsidRPr="00A317BE">
        <w:rPr>
          <w:color w:val="000000" w:themeColor="text1"/>
        </w:rPr>
        <w:t xml:space="preserve"> 16 April 2018) giving her leave to serve out of the jurisdiction by </w:t>
      </w:r>
      <w:r w:rsidR="000B3D54" w:rsidRPr="00A317BE">
        <w:rPr>
          <w:color w:val="000000" w:themeColor="text1"/>
        </w:rPr>
        <w:t xml:space="preserve">email. </w:t>
      </w:r>
      <w:r w:rsidR="00D05087" w:rsidRPr="00A317BE">
        <w:rPr>
          <w:color w:val="000000" w:themeColor="text1"/>
        </w:rPr>
        <w:t>Regrettably the</w:t>
      </w:r>
      <w:r w:rsidR="000B3D54" w:rsidRPr="00A317BE">
        <w:rPr>
          <w:color w:val="000000" w:themeColor="text1"/>
        </w:rPr>
        <w:t xml:space="preserve"> order does not identify the particular category of Order 11(1) in respect of which leave was given</w:t>
      </w:r>
      <w:r w:rsidR="00A45838" w:rsidRPr="00A317BE">
        <w:rPr>
          <w:color w:val="000000" w:themeColor="text1"/>
        </w:rPr>
        <w:t xml:space="preserve"> ( </w:t>
      </w:r>
      <w:r w:rsidR="0061695C" w:rsidRPr="00A317BE">
        <w:rPr>
          <w:color w:val="000000" w:themeColor="text1"/>
        </w:rPr>
        <w:t xml:space="preserve">despite </w:t>
      </w:r>
      <w:r w:rsidR="00064D38" w:rsidRPr="00A317BE">
        <w:rPr>
          <w:color w:val="000000" w:themeColor="text1"/>
        </w:rPr>
        <w:t>what was said</w:t>
      </w:r>
      <w:r w:rsidR="0061695C" w:rsidRPr="00A317BE">
        <w:rPr>
          <w:color w:val="000000" w:themeColor="text1"/>
        </w:rPr>
        <w:t xml:space="preserve"> in this regard</w:t>
      </w:r>
      <w:r w:rsidR="00A45838" w:rsidRPr="00A317BE">
        <w:rPr>
          <w:color w:val="000000" w:themeColor="text1"/>
        </w:rPr>
        <w:t xml:space="preserve"> in </w:t>
      </w:r>
      <w:r w:rsidR="00A45838" w:rsidRPr="00A317BE">
        <w:rPr>
          <w:i/>
          <w:color w:val="000000" w:themeColor="text1"/>
        </w:rPr>
        <w:t xml:space="preserve">Shipsey v British and South American Steam Navigation Co. </w:t>
      </w:r>
      <w:r w:rsidR="00A45838" w:rsidRPr="00A317BE">
        <w:rPr>
          <w:color w:val="000000" w:themeColor="text1"/>
        </w:rPr>
        <w:t xml:space="preserve">[1936] IR 65, and </w:t>
      </w:r>
      <w:r w:rsidR="00A45838" w:rsidRPr="00A317BE">
        <w:rPr>
          <w:i/>
          <w:color w:val="000000" w:themeColor="text1"/>
        </w:rPr>
        <w:t>Analog Devices</w:t>
      </w:r>
      <w:r w:rsidR="00E720F1" w:rsidRPr="00A317BE">
        <w:rPr>
          <w:i/>
          <w:color w:val="000000" w:themeColor="text1"/>
        </w:rPr>
        <w:t xml:space="preserve"> </w:t>
      </w:r>
      <w:r w:rsidR="00E720F1" w:rsidRPr="00A317BE">
        <w:rPr>
          <w:iCs/>
          <w:color w:val="000000" w:themeColor="text1"/>
        </w:rPr>
        <w:t>[2002] 1 IR 272</w:t>
      </w:r>
      <w:r w:rsidR="00A45838" w:rsidRPr="00A317BE">
        <w:rPr>
          <w:i/>
          <w:color w:val="000000" w:themeColor="text1"/>
        </w:rPr>
        <w:t>)</w:t>
      </w:r>
      <w:r w:rsidR="000B3D54" w:rsidRPr="00A317BE">
        <w:rPr>
          <w:color w:val="000000" w:themeColor="text1"/>
        </w:rPr>
        <w:t xml:space="preserve">. </w:t>
      </w:r>
      <w:r w:rsidR="00195ED0" w:rsidRPr="00A317BE">
        <w:rPr>
          <w:color w:val="000000" w:themeColor="text1"/>
        </w:rPr>
        <w:t>In any event</w:t>
      </w:r>
      <w:r w:rsidR="008121BF" w:rsidRPr="00A317BE">
        <w:rPr>
          <w:color w:val="000000" w:themeColor="text1"/>
        </w:rPr>
        <w:t>, the argument in this appeal has centred on Order 11(1) sub-paragraphs (e) and (f)</w:t>
      </w:r>
      <w:r w:rsidR="00E720F1" w:rsidRPr="00A317BE">
        <w:rPr>
          <w:color w:val="000000" w:themeColor="text1"/>
        </w:rPr>
        <w:t>.</w:t>
      </w:r>
    </w:p>
    <w:p w14:paraId="6143D6F0" w14:textId="77777777" w:rsidR="000B3D54" w:rsidRPr="00A317BE" w:rsidRDefault="000B3D54" w:rsidP="00151DF9">
      <w:pPr>
        <w:tabs>
          <w:tab w:val="left" w:pos="567"/>
        </w:tabs>
        <w:spacing w:line="480" w:lineRule="auto"/>
        <w:rPr>
          <w:color w:val="000000" w:themeColor="text1"/>
        </w:rPr>
      </w:pPr>
    </w:p>
    <w:p w14:paraId="5ED289BE" w14:textId="7B55D9A3" w:rsidR="00C253EC" w:rsidRPr="00A317BE" w:rsidRDefault="00FA1306" w:rsidP="00151DF9">
      <w:pPr>
        <w:numPr>
          <w:ilvl w:val="0"/>
          <w:numId w:val="23"/>
        </w:numPr>
        <w:tabs>
          <w:tab w:val="left" w:pos="567"/>
        </w:tabs>
        <w:spacing w:line="480" w:lineRule="auto"/>
        <w:ind w:left="0" w:firstLine="0"/>
        <w:rPr>
          <w:color w:val="000000" w:themeColor="text1"/>
        </w:rPr>
      </w:pPr>
      <w:r w:rsidRPr="00A317BE">
        <w:rPr>
          <w:color w:val="000000" w:themeColor="text1"/>
        </w:rPr>
        <w:t>The above provides a general context for the reliefs sought by the appellant. She</w:t>
      </w:r>
      <w:r w:rsidR="00B16627" w:rsidRPr="00A317BE">
        <w:rPr>
          <w:color w:val="000000" w:themeColor="text1"/>
        </w:rPr>
        <w:t xml:space="preserve"> </w:t>
      </w:r>
      <w:r w:rsidRPr="00A317BE">
        <w:rPr>
          <w:color w:val="000000" w:themeColor="text1"/>
        </w:rPr>
        <w:t xml:space="preserve">identifies </w:t>
      </w:r>
      <w:r w:rsidR="004C3ED7" w:rsidRPr="00A317BE">
        <w:rPr>
          <w:color w:val="000000" w:themeColor="text1"/>
        </w:rPr>
        <w:t>three broad forms of relief in her plenary summons</w:t>
      </w:r>
      <w:r w:rsidR="000F523B" w:rsidRPr="00A317BE">
        <w:rPr>
          <w:color w:val="000000" w:themeColor="text1"/>
        </w:rPr>
        <w:t xml:space="preserve">, which is dated </w:t>
      </w:r>
      <w:r w:rsidR="00E720F1" w:rsidRPr="00A317BE">
        <w:rPr>
          <w:color w:val="000000" w:themeColor="text1"/>
        </w:rPr>
        <w:t xml:space="preserve">the </w:t>
      </w:r>
      <w:r w:rsidR="000F523B" w:rsidRPr="00A317BE">
        <w:rPr>
          <w:color w:val="000000" w:themeColor="text1"/>
        </w:rPr>
        <w:t xml:space="preserve">19 April </w:t>
      </w:r>
      <w:r w:rsidR="000F523B" w:rsidRPr="00A317BE">
        <w:rPr>
          <w:color w:val="000000" w:themeColor="text1"/>
        </w:rPr>
        <w:lastRenderedPageBreak/>
        <w:t>2018,</w:t>
      </w:r>
      <w:r w:rsidR="004C3ED7" w:rsidRPr="00A317BE">
        <w:rPr>
          <w:color w:val="000000" w:themeColor="text1"/>
        </w:rPr>
        <w:t xml:space="preserve"> and </w:t>
      </w:r>
      <w:r w:rsidR="00C324E5" w:rsidRPr="00A317BE">
        <w:rPr>
          <w:color w:val="000000" w:themeColor="text1"/>
        </w:rPr>
        <w:t xml:space="preserve">in her </w:t>
      </w:r>
      <w:r w:rsidR="004C3ED7" w:rsidRPr="00A317BE">
        <w:rPr>
          <w:color w:val="000000" w:themeColor="text1"/>
        </w:rPr>
        <w:t>statement of claim</w:t>
      </w:r>
      <w:r w:rsidR="00C324E5" w:rsidRPr="00A317BE">
        <w:rPr>
          <w:color w:val="000000" w:themeColor="text1"/>
        </w:rPr>
        <w:t xml:space="preserve">. Incidentally, the statement of claim furnished to the Court was undated, but Mr. Hashemifar has averred that it was issued on </w:t>
      </w:r>
      <w:r w:rsidR="00E720F1" w:rsidRPr="00A317BE">
        <w:rPr>
          <w:color w:val="000000" w:themeColor="text1"/>
        </w:rPr>
        <w:t xml:space="preserve">the </w:t>
      </w:r>
      <w:r w:rsidR="00C324E5" w:rsidRPr="00A317BE">
        <w:rPr>
          <w:color w:val="000000" w:themeColor="text1"/>
        </w:rPr>
        <w:t>11 May 2018.</w:t>
      </w:r>
      <w:r w:rsidR="000F523B" w:rsidRPr="00A317BE">
        <w:rPr>
          <w:color w:val="000000" w:themeColor="text1"/>
        </w:rPr>
        <w:t xml:space="preserve"> </w:t>
      </w:r>
    </w:p>
    <w:p w14:paraId="4DFB2DD1" w14:textId="77777777" w:rsidR="00C253EC" w:rsidRPr="00A317BE" w:rsidRDefault="00C253EC" w:rsidP="00A317BE">
      <w:pPr>
        <w:pStyle w:val="ListParagraph"/>
        <w:tabs>
          <w:tab w:val="left" w:pos="567"/>
        </w:tabs>
        <w:ind w:left="0"/>
        <w:rPr>
          <w:color w:val="000000" w:themeColor="text1"/>
        </w:rPr>
      </w:pPr>
    </w:p>
    <w:p w14:paraId="21D53581" w14:textId="24111F29" w:rsidR="00AE69C5" w:rsidRPr="00A317BE" w:rsidRDefault="000F5D29" w:rsidP="00F26376">
      <w:pPr>
        <w:numPr>
          <w:ilvl w:val="0"/>
          <w:numId w:val="23"/>
        </w:numPr>
        <w:tabs>
          <w:tab w:val="left" w:pos="567"/>
        </w:tabs>
        <w:spacing w:line="480" w:lineRule="auto"/>
        <w:ind w:left="0" w:firstLine="0"/>
        <w:rPr>
          <w:color w:val="000000" w:themeColor="text1"/>
        </w:rPr>
      </w:pPr>
      <w:r w:rsidRPr="00A317BE">
        <w:rPr>
          <w:color w:val="000000" w:themeColor="text1"/>
        </w:rPr>
        <w:t>First</w:t>
      </w:r>
      <w:r w:rsidR="003848BF" w:rsidRPr="00A317BE">
        <w:rPr>
          <w:color w:val="000000" w:themeColor="text1"/>
        </w:rPr>
        <w:t xml:space="preserve">, </w:t>
      </w:r>
      <w:r w:rsidR="00070F63" w:rsidRPr="00A317BE">
        <w:rPr>
          <w:color w:val="000000" w:themeColor="text1"/>
        </w:rPr>
        <w:t xml:space="preserve">she seeks “€36,000 for legal services rendered to the defendant”. No further details are provided as to how this sum was calculated but it is not in dispute that it refers to payment </w:t>
      </w:r>
      <w:r w:rsidR="00F53511" w:rsidRPr="00A317BE">
        <w:rPr>
          <w:color w:val="000000" w:themeColor="text1"/>
        </w:rPr>
        <w:t xml:space="preserve">claimed by the appellant </w:t>
      </w:r>
      <w:r w:rsidR="00070F63" w:rsidRPr="00A317BE">
        <w:rPr>
          <w:color w:val="000000" w:themeColor="text1"/>
        </w:rPr>
        <w:t xml:space="preserve">in respect of the legal research conducted by her for the respondent. </w:t>
      </w:r>
      <w:r w:rsidR="00AE69C5" w:rsidRPr="00A317BE">
        <w:rPr>
          <w:color w:val="000000" w:themeColor="text1"/>
        </w:rPr>
        <w:t>In her affidavit seeking leave</w:t>
      </w:r>
      <w:r w:rsidR="00504374" w:rsidRPr="00A317BE">
        <w:rPr>
          <w:color w:val="000000" w:themeColor="text1"/>
        </w:rPr>
        <w:t xml:space="preserve"> to serve out of the jurisdiction, </w:t>
      </w:r>
      <w:r w:rsidR="00AE69C5" w:rsidRPr="00A317BE">
        <w:rPr>
          <w:color w:val="000000" w:themeColor="text1"/>
        </w:rPr>
        <w:t xml:space="preserve">she referred </w:t>
      </w:r>
      <w:r w:rsidR="00504374" w:rsidRPr="00A317BE">
        <w:rPr>
          <w:color w:val="000000" w:themeColor="text1"/>
        </w:rPr>
        <w:t>at paragraph 6 to this claim being</w:t>
      </w:r>
      <w:r w:rsidR="00AE69C5" w:rsidRPr="00A317BE">
        <w:rPr>
          <w:color w:val="000000" w:themeColor="text1"/>
        </w:rPr>
        <w:t xml:space="preserve"> based upon </w:t>
      </w:r>
      <w:r w:rsidR="00AE69C5" w:rsidRPr="00A317BE">
        <w:rPr>
          <w:i/>
          <w:color w:val="000000" w:themeColor="text1"/>
        </w:rPr>
        <w:t>quantum meruit</w:t>
      </w:r>
      <w:r w:rsidR="00504374" w:rsidRPr="00A317BE">
        <w:rPr>
          <w:color w:val="000000" w:themeColor="text1"/>
        </w:rPr>
        <w:t>.</w:t>
      </w:r>
      <w:r w:rsidR="00AE69C5" w:rsidRPr="00A317BE">
        <w:rPr>
          <w:color w:val="000000" w:themeColor="text1"/>
        </w:rPr>
        <w:t xml:space="preserve">  </w:t>
      </w:r>
      <w:r w:rsidR="00504374" w:rsidRPr="00A317BE">
        <w:rPr>
          <w:color w:val="000000" w:themeColor="text1"/>
        </w:rPr>
        <w:t xml:space="preserve">The </w:t>
      </w:r>
      <w:r w:rsidR="00E720F1" w:rsidRPr="00A317BE">
        <w:rPr>
          <w:color w:val="000000" w:themeColor="text1"/>
        </w:rPr>
        <w:t>S</w:t>
      </w:r>
      <w:r w:rsidR="00504374" w:rsidRPr="00A317BE">
        <w:rPr>
          <w:color w:val="000000" w:themeColor="text1"/>
        </w:rPr>
        <w:t xml:space="preserve">tatement of </w:t>
      </w:r>
      <w:r w:rsidR="00E720F1" w:rsidRPr="00A317BE">
        <w:rPr>
          <w:color w:val="000000" w:themeColor="text1"/>
        </w:rPr>
        <w:t>C</w:t>
      </w:r>
      <w:r w:rsidR="00504374" w:rsidRPr="00A317BE">
        <w:rPr>
          <w:color w:val="000000" w:themeColor="text1"/>
        </w:rPr>
        <w:t>laim appears to be in accordance with th</w:t>
      </w:r>
      <w:r w:rsidR="006A6D38" w:rsidRPr="00A317BE">
        <w:rPr>
          <w:color w:val="000000" w:themeColor="text1"/>
        </w:rPr>
        <w:t xml:space="preserve">is view (i.e. </w:t>
      </w:r>
      <w:r w:rsidR="006A6D38" w:rsidRPr="00A317BE">
        <w:rPr>
          <w:i/>
          <w:color w:val="000000" w:themeColor="text1"/>
        </w:rPr>
        <w:t>quantum meruit</w:t>
      </w:r>
      <w:r w:rsidR="006A6D38" w:rsidRPr="00A317BE">
        <w:rPr>
          <w:color w:val="000000" w:themeColor="text1"/>
        </w:rPr>
        <w:t>)</w:t>
      </w:r>
      <w:r w:rsidR="00504374" w:rsidRPr="00A317BE">
        <w:rPr>
          <w:color w:val="000000" w:themeColor="text1"/>
        </w:rPr>
        <w:t xml:space="preserve"> </w:t>
      </w:r>
      <w:r w:rsidR="006A6D38" w:rsidRPr="00A317BE">
        <w:rPr>
          <w:color w:val="000000" w:themeColor="text1"/>
        </w:rPr>
        <w:t>of the nature of</w:t>
      </w:r>
      <w:r w:rsidR="00913D9E" w:rsidRPr="00A317BE">
        <w:rPr>
          <w:color w:val="000000" w:themeColor="text1"/>
        </w:rPr>
        <w:t xml:space="preserve"> </w:t>
      </w:r>
      <w:r w:rsidR="00504374" w:rsidRPr="00A317BE">
        <w:rPr>
          <w:color w:val="000000" w:themeColor="text1"/>
        </w:rPr>
        <w:t>th</w:t>
      </w:r>
      <w:r w:rsidR="006A6D38" w:rsidRPr="00A317BE">
        <w:rPr>
          <w:color w:val="000000" w:themeColor="text1"/>
        </w:rPr>
        <w:t>is</w:t>
      </w:r>
      <w:r w:rsidR="00504374" w:rsidRPr="00A317BE">
        <w:rPr>
          <w:color w:val="000000" w:themeColor="text1"/>
        </w:rPr>
        <w:t xml:space="preserve"> claim</w:t>
      </w:r>
      <w:r w:rsidR="002F3D10" w:rsidRPr="00A317BE">
        <w:rPr>
          <w:color w:val="000000" w:themeColor="text1"/>
        </w:rPr>
        <w:t xml:space="preserve"> </w:t>
      </w:r>
      <w:r w:rsidR="00470A40" w:rsidRPr="00A317BE">
        <w:rPr>
          <w:color w:val="000000" w:themeColor="text1"/>
        </w:rPr>
        <w:t>(</w:t>
      </w:r>
      <w:r w:rsidR="002F3D10" w:rsidRPr="00A317BE">
        <w:rPr>
          <w:color w:val="000000" w:themeColor="text1"/>
        </w:rPr>
        <w:t>although it is curious, perhaps, that the claim is for a definite sum of €36,000 and no reference is made to the court having to evaluate the services rendered or how the relevant valuation is to be conducted</w:t>
      </w:r>
      <w:r w:rsidR="00470A40" w:rsidRPr="00A317BE">
        <w:rPr>
          <w:color w:val="000000" w:themeColor="text1"/>
        </w:rPr>
        <w:t>)</w:t>
      </w:r>
      <w:r w:rsidR="00504374" w:rsidRPr="00A317BE">
        <w:rPr>
          <w:color w:val="000000" w:themeColor="text1"/>
        </w:rPr>
        <w:t xml:space="preserve">. Later, as we shall see, </w:t>
      </w:r>
      <w:r w:rsidR="004450EB" w:rsidRPr="00A317BE">
        <w:rPr>
          <w:color w:val="000000" w:themeColor="text1"/>
        </w:rPr>
        <w:t>the appellant</w:t>
      </w:r>
      <w:r w:rsidR="00504374" w:rsidRPr="00A317BE">
        <w:rPr>
          <w:color w:val="000000" w:themeColor="text1"/>
        </w:rPr>
        <w:t xml:space="preserve"> asserted that her claim was based upon a contract concluded by an exchange of emails, but this </w:t>
      </w:r>
      <w:r w:rsidR="00111611" w:rsidRPr="00A317BE">
        <w:rPr>
          <w:color w:val="000000" w:themeColor="text1"/>
        </w:rPr>
        <w:t xml:space="preserve">suggestion </w:t>
      </w:r>
      <w:r w:rsidR="00504374" w:rsidRPr="00A317BE">
        <w:rPr>
          <w:color w:val="000000" w:themeColor="text1"/>
        </w:rPr>
        <w:t xml:space="preserve">arose for the first time from a replying affidavit </w:t>
      </w:r>
      <w:r w:rsidR="00E720F1" w:rsidRPr="00A317BE">
        <w:rPr>
          <w:color w:val="000000" w:themeColor="text1"/>
        </w:rPr>
        <w:t xml:space="preserve">which </w:t>
      </w:r>
      <w:r w:rsidR="00504374" w:rsidRPr="00A317BE">
        <w:rPr>
          <w:color w:val="000000" w:themeColor="text1"/>
        </w:rPr>
        <w:t xml:space="preserve">she swore in response to the affidavit grounding the respondent’s motion to dismiss the proceedings. </w:t>
      </w:r>
    </w:p>
    <w:p w14:paraId="044739BE" w14:textId="77777777" w:rsidR="004D6307" w:rsidRPr="00A317BE" w:rsidRDefault="004D6307" w:rsidP="00A317BE">
      <w:pPr>
        <w:tabs>
          <w:tab w:val="left" w:pos="567"/>
        </w:tabs>
        <w:rPr>
          <w:color w:val="000000" w:themeColor="text1"/>
        </w:rPr>
      </w:pPr>
    </w:p>
    <w:p w14:paraId="4875B5C0" w14:textId="58F51C85" w:rsidR="00D0080D" w:rsidRPr="00A317BE" w:rsidRDefault="00736C80" w:rsidP="00F26376">
      <w:pPr>
        <w:numPr>
          <w:ilvl w:val="0"/>
          <w:numId w:val="23"/>
        </w:numPr>
        <w:tabs>
          <w:tab w:val="left" w:pos="567"/>
        </w:tabs>
        <w:spacing w:line="480" w:lineRule="auto"/>
        <w:ind w:left="0" w:firstLine="0"/>
        <w:rPr>
          <w:color w:val="000000" w:themeColor="text1"/>
        </w:rPr>
      </w:pPr>
      <w:r w:rsidRPr="00A317BE">
        <w:rPr>
          <w:color w:val="000000" w:themeColor="text1"/>
        </w:rPr>
        <w:t>Secondly,</w:t>
      </w:r>
      <w:r w:rsidR="004D6307" w:rsidRPr="00A317BE">
        <w:rPr>
          <w:color w:val="000000" w:themeColor="text1"/>
        </w:rPr>
        <w:t xml:space="preserve"> </w:t>
      </w:r>
      <w:r w:rsidR="00C76387" w:rsidRPr="00A317BE">
        <w:rPr>
          <w:color w:val="000000" w:themeColor="text1"/>
        </w:rPr>
        <w:t>the appellant</w:t>
      </w:r>
      <w:r w:rsidRPr="00A317BE">
        <w:rPr>
          <w:color w:val="000000" w:themeColor="text1"/>
        </w:rPr>
        <w:t xml:space="preserve"> </w:t>
      </w:r>
      <w:r w:rsidR="003848BF" w:rsidRPr="00A317BE">
        <w:rPr>
          <w:color w:val="000000" w:themeColor="text1"/>
        </w:rPr>
        <w:t>seeks</w:t>
      </w:r>
      <w:r w:rsidR="000F5D29" w:rsidRPr="00A317BE">
        <w:rPr>
          <w:color w:val="000000" w:themeColor="text1"/>
        </w:rPr>
        <w:t xml:space="preserve"> damages for defamation</w:t>
      </w:r>
      <w:r w:rsidR="00D407A6" w:rsidRPr="00A317BE">
        <w:rPr>
          <w:color w:val="000000" w:themeColor="text1"/>
        </w:rPr>
        <w:t>.</w:t>
      </w:r>
      <w:r w:rsidR="008D3556" w:rsidRPr="00A317BE">
        <w:rPr>
          <w:color w:val="000000" w:themeColor="text1"/>
        </w:rPr>
        <w:t xml:space="preserve"> </w:t>
      </w:r>
      <w:r w:rsidRPr="00A317BE">
        <w:rPr>
          <w:color w:val="000000" w:themeColor="text1"/>
        </w:rPr>
        <w:t xml:space="preserve">The </w:t>
      </w:r>
      <w:r w:rsidR="00E720F1" w:rsidRPr="00A317BE">
        <w:rPr>
          <w:color w:val="000000" w:themeColor="text1"/>
        </w:rPr>
        <w:t>S</w:t>
      </w:r>
      <w:r w:rsidRPr="00A317BE">
        <w:rPr>
          <w:color w:val="000000" w:themeColor="text1"/>
        </w:rPr>
        <w:t xml:space="preserve">tatement of </w:t>
      </w:r>
      <w:r w:rsidR="00E720F1" w:rsidRPr="00A317BE">
        <w:rPr>
          <w:color w:val="000000" w:themeColor="text1"/>
        </w:rPr>
        <w:t>C</w:t>
      </w:r>
      <w:r w:rsidRPr="00A317BE">
        <w:rPr>
          <w:color w:val="000000" w:themeColor="text1"/>
        </w:rPr>
        <w:t xml:space="preserve">laim enumerates six different alleged instances of defamation. </w:t>
      </w:r>
      <w:r w:rsidR="00D0080D" w:rsidRPr="00A317BE">
        <w:rPr>
          <w:color w:val="000000" w:themeColor="text1"/>
        </w:rPr>
        <w:t xml:space="preserve">The content of </w:t>
      </w:r>
      <w:r w:rsidR="00D0080D" w:rsidRPr="00A317BE">
        <w:rPr>
          <w:color w:val="000000" w:themeColor="text1"/>
          <w:u w:val="single"/>
        </w:rPr>
        <w:t xml:space="preserve">five </w:t>
      </w:r>
      <w:r w:rsidR="00D0080D" w:rsidRPr="00A317BE">
        <w:rPr>
          <w:color w:val="000000" w:themeColor="text1"/>
        </w:rPr>
        <w:t xml:space="preserve">of the alleged defamatory publications is identical; namely, that the respondent alleged that the appellant had manufactured a false allegation of forgery against the respondent in order to circumvent the waiver of fees contained in her alleged letter of resignation and thereby extort monies from the company. Those five different publications of this identical alleged defamation are alleged to be as follows: </w:t>
      </w:r>
    </w:p>
    <w:p w14:paraId="66CA5340" w14:textId="77777777" w:rsidR="00D0080D" w:rsidRPr="00A317BE" w:rsidRDefault="00D0080D" w:rsidP="00A317BE">
      <w:pPr>
        <w:numPr>
          <w:ilvl w:val="2"/>
          <w:numId w:val="23"/>
        </w:numPr>
        <w:tabs>
          <w:tab w:val="left" w:pos="567"/>
        </w:tabs>
        <w:spacing w:line="480" w:lineRule="auto"/>
        <w:ind w:left="567" w:firstLine="0"/>
        <w:rPr>
          <w:color w:val="000000" w:themeColor="text1"/>
        </w:rPr>
      </w:pPr>
      <w:r w:rsidRPr="00A317BE">
        <w:rPr>
          <w:color w:val="000000" w:themeColor="text1"/>
        </w:rPr>
        <w:t xml:space="preserve">From the management of the respondent to the members of its own Board of Directors </w:t>
      </w:r>
    </w:p>
    <w:p w14:paraId="7AE8A98B" w14:textId="77777777" w:rsidR="00D0080D" w:rsidRPr="00A317BE" w:rsidRDefault="00D0080D" w:rsidP="00A317BE">
      <w:pPr>
        <w:numPr>
          <w:ilvl w:val="2"/>
          <w:numId w:val="23"/>
        </w:numPr>
        <w:tabs>
          <w:tab w:val="left" w:pos="567"/>
        </w:tabs>
        <w:spacing w:line="480" w:lineRule="auto"/>
        <w:ind w:left="567" w:firstLine="0"/>
        <w:rPr>
          <w:color w:val="000000" w:themeColor="text1"/>
        </w:rPr>
      </w:pPr>
      <w:r w:rsidRPr="00A317BE">
        <w:rPr>
          <w:color w:val="000000" w:themeColor="text1"/>
        </w:rPr>
        <w:t>From the respondent to Consult-Partners, which is said to be its parent company.</w:t>
      </w:r>
    </w:p>
    <w:p w14:paraId="4ABD3DE5" w14:textId="77777777" w:rsidR="00D0080D" w:rsidRPr="00A317BE" w:rsidRDefault="00D0080D" w:rsidP="00A317BE">
      <w:pPr>
        <w:numPr>
          <w:ilvl w:val="2"/>
          <w:numId w:val="23"/>
        </w:numPr>
        <w:tabs>
          <w:tab w:val="left" w:pos="567"/>
        </w:tabs>
        <w:spacing w:line="480" w:lineRule="auto"/>
        <w:ind w:left="567" w:firstLine="0"/>
        <w:rPr>
          <w:color w:val="000000" w:themeColor="text1"/>
        </w:rPr>
      </w:pPr>
      <w:r w:rsidRPr="00A317BE">
        <w:rPr>
          <w:color w:val="000000" w:themeColor="text1"/>
        </w:rPr>
        <w:t xml:space="preserve">From the respondent to EML </w:t>
      </w:r>
    </w:p>
    <w:p w14:paraId="58FC5288" w14:textId="77777777" w:rsidR="00D0080D" w:rsidRPr="00A317BE" w:rsidRDefault="00D0080D" w:rsidP="00A317BE">
      <w:pPr>
        <w:numPr>
          <w:ilvl w:val="2"/>
          <w:numId w:val="23"/>
        </w:numPr>
        <w:tabs>
          <w:tab w:val="left" w:pos="567"/>
        </w:tabs>
        <w:spacing w:line="480" w:lineRule="auto"/>
        <w:ind w:left="567" w:firstLine="0"/>
        <w:rPr>
          <w:color w:val="000000" w:themeColor="text1"/>
        </w:rPr>
      </w:pPr>
      <w:r w:rsidRPr="00A317BE">
        <w:rPr>
          <w:color w:val="000000" w:themeColor="text1"/>
        </w:rPr>
        <w:lastRenderedPageBreak/>
        <w:t xml:space="preserve">From the respondent to the New Zealand Privacy Commissioner </w:t>
      </w:r>
    </w:p>
    <w:p w14:paraId="62F70B2A" w14:textId="77777777" w:rsidR="00D0080D" w:rsidRPr="00A317BE" w:rsidRDefault="00D0080D" w:rsidP="00A317BE">
      <w:pPr>
        <w:numPr>
          <w:ilvl w:val="2"/>
          <w:numId w:val="23"/>
        </w:numPr>
        <w:tabs>
          <w:tab w:val="left" w:pos="567"/>
        </w:tabs>
        <w:spacing w:line="480" w:lineRule="auto"/>
        <w:ind w:left="567" w:firstLine="0"/>
        <w:rPr>
          <w:color w:val="000000" w:themeColor="text1"/>
        </w:rPr>
      </w:pPr>
      <w:r w:rsidRPr="00A317BE">
        <w:rPr>
          <w:color w:val="000000" w:themeColor="text1"/>
        </w:rPr>
        <w:t xml:space="preserve">From the respondent to the New Zealand Companies Office </w:t>
      </w:r>
    </w:p>
    <w:p w14:paraId="3A742958" w14:textId="77777777" w:rsidR="00D0080D" w:rsidRPr="00A317BE" w:rsidRDefault="00D0080D" w:rsidP="00A317BE">
      <w:pPr>
        <w:tabs>
          <w:tab w:val="left" w:pos="567"/>
        </w:tabs>
        <w:spacing w:line="480" w:lineRule="auto"/>
        <w:rPr>
          <w:color w:val="000000" w:themeColor="text1"/>
        </w:rPr>
      </w:pPr>
    </w:p>
    <w:p w14:paraId="25A69B3C" w14:textId="734F4E4B" w:rsidR="00070F63" w:rsidRPr="00A317BE" w:rsidRDefault="00D0080D"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sixth alleged defamation is a publication by the respondent to </w:t>
      </w:r>
      <w:r w:rsidR="007F46A5" w:rsidRPr="00A317BE">
        <w:rPr>
          <w:color w:val="000000" w:themeColor="text1"/>
        </w:rPr>
        <w:t xml:space="preserve">the New Zealand Human Rights Review Commission </w:t>
      </w:r>
      <w:r w:rsidRPr="00A317BE">
        <w:rPr>
          <w:color w:val="000000" w:themeColor="text1"/>
        </w:rPr>
        <w:t>to the effect that the appellant had</w:t>
      </w:r>
      <w:r w:rsidR="00E720F1" w:rsidRPr="00A317BE">
        <w:rPr>
          <w:color w:val="000000" w:themeColor="text1"/>
        </w:rPr>
        <w:t>,</w:t>
      </w:r>
      <w:r w:rsidRPr="00A317BE">
        <w:rPr>
          <w:color w:val="000000" w:themeColor="text1"/>
        </w:rPr>
        <w:t xml:space="preserve"> over a two-year period</w:t>
      </w:r>
      <w:r w:rsidR="00E720F1" w:rsidRPr="00A317BE">
        <w:rPr>
          <w:color w:val="000000" w:themeColor="text1"/>
        </w:rPr>
        <w:t>,</w:t>
      </w:r>
      <w:r w:rsidRPr="00A317BE">
        <w:rPr>
          <w:color w:val="000000" w:themeColor="text1"/>
        </w:rPr>
        <w:t xml:space="preserve"> sent vituperative emails to the personnel of the respondent for the purpose of intimidating and harassing the company.</w:t>
      </w:r>
    </w:p>
    <w:p w14:paraId="1B23CCA3" w14:textId="77777777" w:rsidR="00F1669C" w:rsidRPr="00A317BE" w:rsidRDefault="00F1669C" w:rsidP="00151DF9">
      <w:pPr>
        <w:tabs>
          <w:tab w:val="left" w:pos="567"/>
        </w:tabs>
        <w:spacing w:line="480" w:lineRule="auto"/>
        <w:rPr>
          <w:color w:val="000000" w:themeColor="text1"/>
        </w:rPr>
      </w:pPr>
    </w:p>
    <w:p w14:paraId="0B447414" w14:textId="414220FC" w:rsidR="00863C84" w:rsidRPr="00A317BE" w:rsidRDefault="00863C84"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The third </w:t>
      </w:r>
      <w:r w:rsidR="004D6307" w:rsidRPr="00A317BE">
        <w:rPr>
          <w:color w:val="000000" w:themeColor="text1"/>
        </w:rPr>
        <w:t>relief or claim</w:t>
      </w:r>
      <w:r w:rsidRPr="00A317BE">
        <w:rPr>
          <w:color w:val="000000" w:themeColor="text1"/>
        </w:rPr>
        <w:t xml:space="preserve"> is described as </w:t>
      </w:r>
      <w:r w:rsidR="000F5D29" w:rsidRPr="00A317BE">
        <w:rPr>
          <w:color w:val="000000" w:themeColor="text1"/>
        </w:rPr>
        <w:t xml:space="preserve"> “</w:t>
      </w:r>
      <w:r w:rsidR="00D41302" w:rsidRPr="00A317BE">
        <w:rPr>
          <w:color w:val="000000" w:themeColor="text1"/>
        </w:rPr>
        <w:t xml:space="preserve">Intimidation and Economic Duress arising out of the decision of </w:t>
      </w:r>
      <w:r w:rsidR="0026516A" w:rsidRPr="00A317BE">
        <w:rPr>
          <w:color w:val="000000" w:themeColor="text1"/>
        </w:rPr>
        <w:t>the respondent</w:t>
      </w:r>
      <w:r w:rsidR="00D41302" w:rsidRPr="00A317BE">
        <w:rPr>
          <w:color w:val="000000" w:themeColor="text1"/>
        </w:rPr>
        <w:t xml:space="preserve"> to manipulate EML into threatening to dismiss the plaintiff from her positions with EML if she should ever contact </w:t>
      </w:r>
      <w:r w:rsidR="0026516A" w:rsidRPr="00A317BE">
        <w:rPr>
          <w:color w:val="000000" w:themeColor="text1"/>
        </w:rPr>
        <w:t>the respondent</w:t>
      </w:r>
      <w:r w:rsidR="00D41302" w:rsidRPr="00A317BE">
        <w:rPr>
          <w:color w:val="000000" w:themeColor="text1"/>
        </w:rPr>
        <w:t xml:space="preserve"> again or issue proceedings against it (which decision led to the dismissal of the plaintiff from her position with EML)</w:t>
      </w:r>
      <w:r w:rsidR="000F5D29" w:rsidRPr="00A317BE">
        <w:rPr>
          <w:color w:val="000000" w:themeColor="text1"/>
        </w:rPr>
        <w:t>”</w:t>
      </w:r>
      <w:r w:rsidR="008D3556" w:rsidRPr="00A317BE">
        <w:rPr>
          <w:color w:val="000000" w:themeColor="text1"/>
        </w:rPr>
        <w:t xml:space="preserve">. </w:t>
      </w:r>
      <w:r w:rsidRPr="00A317BE">
        <w:rPr>
          <w:color w:val="000000" w:themeColor="text1"/>
        </w:rPr>
        <w:t xml:space="preserve">I will refer to this as the “Intimidation/Economic Duress” Claim. </w:t>
      </w:r>
    </w:p>
    <w:p w14:paraId="761568F6" w14:textId="77777777" w:rsidR="00863C84" w:rsidRPr="00A317BE" w:rsidRDefault="00863C84" w:rsidP="00420AF7">
      <w:pPr>
        <w:tabs>
          <w:tab w:val="left" w:pos="567"/>
        </w:tabs>
        <w:spacing w:line="480" w:lineRule="auto"/>
        <w:rPr>
          <w:color w:val="000000" w:themeColor="text1"/>
        </w:rPr>
      </w:pPr>
    </w:p>
    <w:p w14:paraId="294011BF" w14:textId="4E53FECB" w:rsidR="0007512D" w:rsidRPr="00A317BE" w:rsidRDefault="00E20C31" w:rsidP="00A317BE">
      <w:pPr>
        <w:pStyle w:val="Heading1"/>
        <w:tabs>
          <w:tab w:val="left" w:pos="567"/>
        </w:tabs>
        <w:rPr>
          <w:color w:val="000000" w:themeColor="text1"/>
        </w:rPr>
      </w:pPr>
      <w:r w:rsidRPr="00A317BE">
        <w:rPr>
          <w:b w:val="0"/>
          <w:color w:val="000000" w:themeColor="text1"/>
        </w:rPr>
        <w:t>The present application</w:t>
      </w:r>
    </w:p>
    <w:p w14:paraId="7A442573" w14:textId="0762A1D8" w:rsidR="00863C84" w:rsidRPr="00A317BE" w:rsidRDefault="00072855" w:rsidP="00A317BE">
      <w:pPr>
        <w:pStyle w:val="ListParagraph"/>
        <w:numPr>
          <w:ilvl w:val="0"/>
          <w:numId w:val="23"/>
        </w:numPr>
        <w:tabs>
          <w:tab w:val="left" w:pos="567"/>
        </w:tabs>
        <w:ind w:left="0" w:firstLine="0"/>
        <w:rPr>
          <w:color w:val="000000" w:themeColor="text1"/>
        </w:rPr>
      </w:pPr>
      <w:r w:rsidRPr="00A317BE">
        <w:rPr>
          <w:color w:val="000000" w:themeColor="text1"/>
        </w:rPr>
        <w:t xml:space="preserve">The normal procedure </w:t>
      </w:r>
      <w:r w:rsidR="00DF553B" w:rsidRPr="00A317BE">
        <w:rPr>
          <w:color w:val="000000" w:themeColor="text1"/>
        </w:rPr>
        <w:t xml:space="preserve">– and in my opinion the appropriate procedure under the Rules - </w:t>
      </w:r>
      <w:r w:rsidRPr="00A317BE">
        <w:rPr>
          <w:color w:val="000000" w:themeColor="text1"/>
        </w:rPr>
        <w:t xml:space="preserve">for a defendant </w:t>
      </w:r>
      <w:r w:rsidR="00863C84" w:rsidRPr="00A317BE">
        <w:rPr>
          <w:color w:val="000000" w:themeColor="text1"/>
        </w:rPr>
        <w:t>seeking to aside the order granting leave to serve out would bring an application to this effect</w:t>
      </w:r>
      <w:r w:rsidR="00DC4F62" w:rsidRPr="00A317BE">
        <w:rPr>
          <w:color w:val="000000" w:themeColor="text1"/>
        </w:rPr>
        <w:t xml:space="preserve"> </w:t>
      </w:r>
      <w:r w:rsidR="00863C84" w:rsidRPr="00A317BE">
        <w:rPr>
          <w:color w:val="000000" w:themeColor="text1"/>
        </w:rPr>
        <w:t>under O</w:t>
      </w:r>
      <w:r w:rsidR="00E720F1" w:rsidRPr="00A317BE">
        <w:rPr>
          <w:color w:val="000000" w:themeColor="text1"/>
        </w:rPr>
        <w:t xml:space="preserve">rder </w:t>
      </w:r>
      <w:r w:rsidR="00863C84" w:rsidRPr="00A317BE">
        <w:rPr>
          <w:color w:val="000000" w:themeColor="text1"/>
        </w:rPr>
        <w:t>12, r</w:t>
      </w:r>
      <w:r w:rsidR="00E720F1" w:rsidRPr="00A317BE">
        <w:rPr>
          <w:color w:val="000000" w:themeColor="text1"/>
        </w:rPr>
        <w:t>.</w:t>
      </w:r>
      <w:r w:rsidR="00863C84" w:rsidRPr="00A317BE">
        <w:rPr>
          <w:color w:val="000000" w:themeColor="text1"/>
        </w:rPr>
        <w:t xml:space="preserve"> 26 </w:t>
      </w:r>
      <w:r w:rsidR="00F82033" w:rsidRPr="00A317BE">
        <w:rPr>
          <w:color w:val="000000" w:themeColor="text1"/>
        </w:rPr>
        <w:t xml:space="preserve">together with  an application for a stay on the ground of </w:t>
      </w:r>
      <w:r w:rsidR="00F82033" w:rsidRPr="00A317BE">
        <w:rPr>
          <w:i/>
          <w:color w:val="000000" w:themeColor="text1"/>
        </w:rPr>
        <w:t>forum non conveniens</w:t>
      </w:r>
      <w:r w:rsidR="00F82033" w:rsidRPr="00A317BE">
        <w:rPr>
          <w:color w:val="000000" w:themeColor="text1"/>
        </w:rPr>
        <w:t xml:space="preserve">, </w:t>
      </w:r>
      <w:r w:rsidR="00863C84" w:rsidRPr="00A317BE">
        <w:rPr>
          <w:color w:val="000000" w:themeColor="text1"/>
        </w:rPr>
        <w:t>but this was not the procedure adopted</w:t>
      </w:r>
      <w:r w:rsidRPr="00A317BE">
        <w:rPr>
          <w:color w:val="000000" w:themeColor="text1"/>
        </w:rPr>
        <w:t xml:space="preserve"> here. Instead </w:t>
      </w:r>
      <w:r w:rsidR="0007512D" w:rsidRPr="00A317BE">
        <w:rPr>
          <w:color w:val="000000" w:themeColor="text1"/>
        </w:rPr>
        <w:t xml:space="preserve">the respondent </w:t>
      </w:r>
      <w:r w:rsidR="00863C84" w:rsidRPr="00A317BE">
        <w:rPr>
          <w:color w:val="000000" w:themeColor="text1"/>
        </w:rPr>
        <w:t xml:space="preserve">brought a motion </w:t>
      </w:r>
      <w:r w:rsidR="00B8402D" w:rsidRPr="00A317BE">
        <w:rPr>
          <w:color w:val="000000" w:themeColor="text1"/>
        </w:rPr>
        <w:t>seeking</w:t>
      </w:r>
      <w:r w:rsidR="00863C84" w:rsidRPr="00A317BE">
        <w:rPr>
          <w:color w:val="000000" w:themeColor="text1"/>
        </w:rPr>
        <w:t xml:space="preserve"> </w:t>
      </w:r>
      <w:r w:rsidR="00B8402D" w:rsidRPr="00A317BE">
        <w:rPr>
          <w:color w:val="000000" w:themeColor="text1"/>
        </w:rPr>
        <w:t xml:space="preserve">an order striking out the proceedings for want of jurisdiction and declaring </w:t>
      </w:r>
      <w:r w:rsidR="00E720F1" w:rsidRPr="00A317BE">
        <w:rPr>
          <w:color w:val="000000" w:themeColor="text1"/>
        </w:rPr>
        <w:t xml:space="preserve">that </w:t>
      </w:r>
      <w:r w:rsidR="00B8402D" w:rsidRPr="00A317BE">
        <w:rPr>
          <w:color w:val="000000" w:themeColor="text1"/>
        </w:rPr>
        <w:t xml:space="preserve">the Court had no jurisdiction to hear and determine the plaintiff’s claim against the defence. </w:t>
      </w:r>
      <w:r w:rsidR="00863C84" w:rsidRPr="00A317BE">
        <w:rPr>
          <w:color w:val="000000" w:themeColor="text1"/>
        </w:rPr>
        <w:t xml:space="preserve">However, </w:t>
      </w:r>
      <w:r w:rsidR="0040536C" w:rsidRPr="00A317BE">
        <w:rPr>
          <w:color w:val="000000" w:themeColor="text1"/>
        </w:rPr>
        <w:t>the application appears in effect to have been</w:t>
      </w:r>
      <w:r w:rsidR="00863C84" w:rsidRPr="00A317BE">
        <w:rPr>
          <w:color w:val="000000" w:themeColor="text1"/>
        </w:rPr>
        <w:t xml:space="preserve"> treated by both parties as an application to set aside the </w:t>
      </w:r>
      <w:r w:rsidR="00863C84" w:rsidRPr="00A317BE">
        <w:rPr>
          <w:i/>
          <w:color w:val="000000" w:themeColor="text1"/>
        </w:rPr>
        <w:t>ex parte</w:t>
      </w:r>
      <w:r w:rsidR="00863C84" w:rsidRPr="00A317BE">
        <w:rPr>
          <w:color w:val="000000" w:themeColor="text1"/>
        </w:rPr>
        <w:t xml:space="preserve"> order. I will comment on the burden and standard of proof in respect of such an application later in this judgment. </w:t>
      </w:r>
    </w:p>
    <w:p w14:paraId="6D73E11E" w14:textId="77777777" w:rsidR="0040536C" w:rsidRPr="00A317BE" w:rsidRDefault="0040536C" w:rsidP="00A317BE">
      <w:pPr>
        <w:pStyle w:val="ListParagraph"/>
        <w:tabs>
          <w:tab w:val="left" w:pos="567"/>
        </w:tabs>
        <w:ind w:left="0"/>
        <w:rPr>
          <w:color w:val="000000" w:themeColor="text1"/>
        </w:rPr>
      </w:pPr>
    </w:p>
    <w:p w14:paraId="0F922898" w14:textId="335397BC" w:rsidR="007153A3" w:rsidRPr="00A317BE" w:rsidRDefault="0040536C" w:rsidP="00F26376">
      <w:pPr>
        <w:pStyle w:val="CommentText"/>
        <w:numPr>
          <w:ilvl w:val="0"/>
          <w:numId w:val="23"/>
        </w:numPr>
        <w:tabs>
          <w:tab w:val="left" w:pos="567"/>
        </w:tabs>
        <w:spacing w:line="480" w:lineRule="auto"/>
        <w:ind w:left="0" w:firstLine="0"/>
        <w:rPr>
          <w:color w:val="000000" w:themeColor="text1"/>
          <w:sz w:val="24"/>
          <w:szCs w:val="24"/>
        </w:rPr>
      </w:pPr>
      <w:r w:rsidRPr="00A317BE">
        <w:rPr>
          <w:color w:val="000000" w:themeColor="text1"/>
          <w:sz w:val="24"/>
          <w:szCs w:val="24"/>
        </w:rPr>
        <w:lastRenderedPageBreak/>
        <w:t xml:space="preserve">After the appellant obtained leave on an </w:t>
      </w:r>
      <w:r w:rsidRPr="00A317BE">
        <w:rPr>
          <w:i/>
          <w:color w:val="000000" w:themeColor="text1"/>
          <w:sz w:val="24"/>
          <w:szCs w:val="24"/>
        </w:rPr>
        <w:t>ex parte</w:t>
      </w:r>
      <w:r w:rsidRPr="00A317BE">
        <w:rPr>
          <w:color w:val="000000" w:themeColor="text1"/>
          <w:sz w:val="24"/>
          <w:szCs w:val="24"/>
        </w:rPr>
        <w:t xml:space="preserve"> basis to serve out of the jurisdiction, the </w:t>
      </w:r>
      <w:r w:rsidR="009A6C4B" w:rsidRPr="00A317BE">
        <w:rPr>
          <w:color w:val="000000" w:themeColor="text1"/>
          <w:sz w:val="24"/>
          <w:szCs w:val="24"/>
        </w:rPr>
        <w:t>respondent</w:t>
      </w:r>
      <w:r w:rsidR="00071079" w:rsidRPr="00A317BE">
        <w:rPr>
          <w:color w:val="000000" w:themeColor="text1"/>
          <w:sz w:val="24"/>
          <w:szCs w:val="24"/>
        </w:rPr>
        <w:t xml:space="preserve"> entered a</w:t>
      </w:r>
      <w:r w:rsidR="00B555A7" w:rsidRPr="00A317BE">
        <w:rPr>
          <w:color w:val="000000" w:themeColor="text1"/>
          <w:sz w:val="24"/>
          <w:szCs w:val="24"/>
        </w:rPr>
        <w:t xml:space="preserve"> conditional appearance on </w:t>
      </w:r>
      <w:r w:rsidR="00E720F1" w:rsidRPr="00A317BE">
        <w:rPr>
          <w:color w:val="000000" w:themeColor="text1"/>
          <w:sz w:val="24"/>
          <w:szCs w:val="24"/>
        </w:rPr>
        <w:t xml:space="preserve">the </w:t>
      </w:r>
      <w:r w:rsidR="00B555A7" w:rsidRPr="00A317BE">
        <w:rPr>
          <w:color w:val="000000" w:themeColor="text1"/>
          <w:sz w:val="24"/>
          <w:szCs w:val="24"/>
        </w:rPr>
        <w:t xml:space="preserve">26 June 2018 for the purpose of contesting jurisdiction. </w:t>
      </w:r>
    </w:p>
    <w:p w14:paraId="7C7E8E29" w14:textId="77777777" w:rsidR="00B8402D" w:rsidRPr="00A317BE" w:rsidRDefault="00B8402D" w:rsidP="00F26376">
      <w:pPr>
        <w:pStyle w:val="CommentText"/>
        <w:tabs>
          <w:tab w:val="left" w:pos="567"/>
        </w:tabs>
        <w:spacing w:line="480" w:lineRule="auto"/>
        <w:rPr>
          <w:color w:val="000000" w:themeColor="text1"/>
          <w:sz w:val="24"/>
          <w:szCs w:val="24"/>
        </w:rPr>
      </w:pPr>
    </w:p>
    <w:p w14:paraId="415925A4" w14:textId="6A99293A" w:rsidR="008F32FF" w:rsidRPr="00A317BE" w:rsidRDefault="003E7E98" w:rsidP="00151DF9">
      <w:pPr>
        <w:numPr>
          <w:ilvl w:val="0"/>
          <w:numId w:val="23"/>
        </w:numPr>
        <w:tabs>
          <w:tab w:val="left" w:pos="567"/>
        </w:tabs>
        <w:spacing w:line="480" w:lineRule="auto"/>
        <w:ind w:left="0" w:firstLine="0"/>
        <w:rPr>
          <w:color w:val="000000" w:themeColor="text1"/>
        </w:rPr>
      </w:pPr>
      <w:r w:rsidRPr="00A317BE">
        <w:rPr>
          <w:color w:val="000000" w:themeColor="text1"/>
        </w:rPr>
        <w:t>The notice of motion contesting jurisdiction is</w:t>
      </w:r>
      <w:r w:rsidR="00B555A7" w:rsidRPr="00A317BE">
        <w:rPr>
          <w:color w:val="000000" w:themeColor="text1"/>
        </w:rPr>
        <w:t xml:space="preserve"> dated </w:t>
      </w:r>
      <w:r w:rsidR="00FD3855" w:rsidRPr="00A317BE">
        <w:rPr>
          <w:color w:val="000000" w:themeColor="text1"/>
        </w:rPr>
        <w:t xml:space="preserve">the </w:t>
      </w:r>
      <w:r w:rsidR="00A73168" w:rsidRPr="00A317BE">
        <w:rPr>
          <w:color w:val="000000" w:themeColor="text1"/>
        </w:rPr>
        <w:t>15 November or December</w:t>
      </w:r>
      <w:r w:rsidR="00B555A7" w:rsidRPr="00A317BE">
        <w:rPr>
          <w:color w:val="000000" w:themeColor="text1"/>
        </w:rPr>
        <w:t xml:space="preserve"> 2018</w:t>
      </w:r>
      <w:r w:rsidR="00A73168" w:rsidRPr="00A317BE">
        <w:rPr>
          <w:color w:val="000000" w:themeColor="text1"/>
        </w:rPr>
        <w:t xml:space="preserve"> (it was difficult to decipher the date on the copy provided to the Court)</w:t>
      </w:r>
      <w:r w:rsidRPr="00A317BE">
        <w:rPr>
          <w:color w:val="000000" w:themeColor="text1"/>
        </w:rPr>
        <w:t xml:space="preserve">. </w:t>
      </w:r>
      <w:r w:rsidR="00B555A7" w:rsidRPr="00A317BE">
        <w:rPr>
          <w:color w:val="000000" w:themeColor="text1"/>
        </w:rPr>
        <w:t>This was grounded on an affidavit sworn on the</w:t>
      </w:r>
      <w:r w:rsidR="00197C26" w:rsidRPr="00A317BE">
        <w:rPr>
          <w:color w:val="000000" w:themeColor="text1"/>
        </w:rPr>
        <w:t xml:space="preserve"> 23 October 2018 by </w:t>
      </w:r>
      <w:r w:rsidR="00D407A6" w:rsidRPr="00A317BE">
        <w:rPr>
          <w:color w:val="000000" w:themeColor="text1"/>
        </w:rPr>
        <w:t xml:space="preserve">a Mr. </w:t>
      </w:r>
      <w:r w:rsidR="00197C26" w:rsidRPr="00A317BE">
        <w:rPr>
          <w:color w:val="000000" w:themeColor="text1"/>
        </w:rPr>
        <w:t>Ali Hashemifar</w:t>
      </w:r>
      <w:r w:rsidR="008D3556" w:rsidRPr="00A317BE">
        <w:rPr>
          <w:color w:val="000000" w:themeColor="text1"/>
        </w:rPr>
        <w:t>, exhibiting a number of documents</w:t>
      </w:r>
      <w:r w:rsidR="008C60F3" w:rsidRPr="00A317BE">
        <w:rPr>
          <w:color w:val="000000" w:themeColor="text1"/>
        </w:rPr>
        <w:t xml:space="preserve">, including a “consultant’s contract” dated </w:t>
      </w:r>
      <w:r w:rsidR="00FD3855" w:rsidRPr="00A317BE">
        <w:rPr>
          <w:color w:val="000000" w:themeColor="text1"/>
        </w:rPr>
        <w:t xml:space="preserve">the </w:t>
      </w:r>
      <w:r w:rsidR="008C60F3" w:rsidRPr="00A317BE">
        <w:rPr>
          <w:color w:val="000000" w:themeColor="text1"/>
        </w:rPr>
        <w:t>4 December 201</w:t>
      </w:r>
      <w:r w:rsidR="00075C01" w:rsidRPr="00A317BE">
        <w:rPr>
          <w:color w:val="000000" w:themeColor="text1"/>
        </w:rPr>
        <w:t>4</w:t>
      </w:r>
      <w:r w:rsidR="008C60F3" w:rsidRPr="00A317BE">
        <w:rPr>
          <w:color w:val="000000" w:themeColor="text1"/>
        </w:rPr>
        <w:t xml:space="preserve"> which clearly provides for New Zealand as the jurisdiction for the resolution of disputes between the appellant and the respondent. The respondent maintains that this document clearly shows that Ireland does not have jurisdiction. </w:t>
      </w:r>
    </w:p>
    <w:p w14:paraId="78BE678B" w14:textId="77777777" w:rsidR="008C60F3" w:rsidRPr="00A317BE" w:rsidRDefault="008C60F3" w:rsidP="00151DF9">
      <w:pPr>
        <w:tabs>
          <w:tab w:val="left" w:pos="567"/>
        </w:tabs>
        <w:spacing w:line="480" w:lineRule="auto"/>
        <w:rPr>
          <w:color w:val="000000" w:themeColor="text1"/>
        </w:rPr>
      </w:pPr>
    </w:p>
    <w:p w14:paraId="03B2CE38" w14:textId="6DE784C0" w:rsidR="00A840C3" w:rsidRPr="00A317BE" w:rsidRDefault="008D3556" w:rsidP="00420AF7">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filed a replying affidavit sworn </w:t>
      </w:r>
      <w:r w:rsidR="008F32FF" w:rsidRPr="00A317BE">
        <w:rPr>
          <w:color w:val="000000" w:themeColor="text1"/>
        </w:rPr>
        <w:t>in January 2019 (again the precise date is difficult to decipher)</w:t>
      </w:r>
      <w:r w:rsidRPr="00A317BE">
        <w:rPr>
          <w:color w:val="000000" w:themeColor="text1"/>
        </w:rPr>
        <w:t xml:space="preserve"> which exhibited further documents.</w:t>
      </w:r>
      <w:r w:rsidR="00C26E16" w:rsidRPr="00A317BE">
        <w:rPr>
          <w:color w:val="000000" w:themeColor="text1"/>
        </w:rPr>
        <w:t xml:space="preserve"> </w:t>
      </w:r>
      <w:r w:rsidR="008C60F3" w:rsidRPr="00A317BE">
        <w:rPr>
          <w:color w:val="000000" w:themeColor="text1"/>
        </w:rPr>
        <w:t>The appellant maintains that the contract of</w:t>
      </w:r>
      <w:r w:rsidR="00FD3855" w:rsidRPr="00A317BE">
        <w:rPr>
          <w:color w:val="000000" w:themeColor="text1"/>
        </w:rPr>
        <w:t xml:space="preserve"> the</w:t>
      </w:r>
      <w:r w:rsidR="008C60F3" w:rsidRPr="00A317BE">
        <w:rPr>
          <w:color w:val="000000" w:themeColor="text1"/>
        </w:rPr>
        <w:t xml:space="preserve"> 4 December 2014 was confined to her directorship duties and did/does not apply to the legal research services in respect of which she now seeks remuneration. She exhibited</w:t>
      </w:r>
      <w:r w:rsidR="001C345A" w:rsidRPr="00A317BE">
        <w:rPr>
          <w:color w:val="000000" w:themeColor="text1"/>
        </w:rPr>
        <w:t xml:space="preserve"> (for the first time)</w:t>
      </w:r>
      <w:r w:rsidR="008C60F3" w:rsidRPr="00A317BE">
        <w:rPr>
          <w:color w:val="000000" w:themeColor="text1"/>
        </w:rPr>
        <w:t xml:space="preserve"> a number of emails </w:t>
      </w:r>
      <w:r w:rsidR="00FD3855" w:rsidRPr="00A317BE">
        <w:rPr>
          <w:color w:val="000000" w:themeColor="text1"/>
        </w:rPr>
        <w:t xml:space="preserve">dated </w:t>
      </w:r>
      <w:r w:rsidR="008C60F3" w:rsidRPr="00A317BE">
        <w:rPr>
          <w:color w:val="000000" w:themeColor="text1"/>
        </w:rPr>
        <w:t>August 2014 which, she contended, showed that there was a separate contract governing the issue of the legal research which contained no choice of law/jurisdiction clause. She contended that the appropriate jurisdiction for the resolution of any dispute relating to this subject-matter (i.e. the legal research services she provided) fell to be governed by the common law, and that the application of the common law principles favoured the assumption of jurisdiction by the Irish courts</w:t>
      </w:r>
      <w:r w:rsidR="008F7369" w:rsidRPr="00A317BE">
        <w:rPr>
          <w:color w:val="000000" w:themeColor="text1"/>
        </w:rPr>
        <w:t xml:space="preserve">. </w:t>
      </w:r>
      <w:r w:rsidR="00FD3855" w:rsidRPr="00A317BE">
        <w:rPr>
          <w:color w:val="000000" w:themeColor="text1"/>
        </w:rPr>
        <w:t>(</w:t>
      </w:r>
      <w:r w:rsidR="00017638" w:rsidRPr="00A317BE">
        <w:rPr>
          <w:color w:val="000000" w:themeColor="text1"/>
        </w:rPr>
        <w:t>As I have already observed, she had prev</w:t>
      </w:r>
      <w:r w:rsidR="008F7369" w:rsidRPr="00A317BE">
        <w:rPr>
          <w:color w:val="000000" w:themeColor="text1"/>
        </w:rPr>
        <w:t>i</w:t>
      </w:r>
      <w:r w:rsidR="00017638" w:rsidRPr="00A317BE">
        <w:rPr>
          <w:color w:val="000000" w:themeColor="text1"/>
        </w:rPr>
        <w:t>ously</w:t>
      </w:r>
      <w:r w:rsidR="009F4BBE" w:rsidRPr="00A317BE">
        <w:rPr>
          <w:color w:val="000000" w:themeColor="text1"/>
        </w:rPr>
        <w:t xml:space="preserve"> put forward her claim for payment of money on a </w:t>
      </w:r>
      <w:r w:rsidR="009F4BBE" w:rsidRPr="00A317BE">
        <w:rPr>
          <w:i/>
          <w:iCs/>
          <w:color w:val="000000" w:themeColor="text1"/>
        </w:rPr>
        <w:t>quantum meruit</w:t>
      </w:r>
      <w:r w:rsidR="009F4BBE" w:rsidRPr="00A317BE">
        <w:rPr>
          <w:color w:val="000000" w:themeColor="text1"/>
        </w:rPr>
        <w:t xml:space="preserve"> basis). </w:t>
      </w:r>
    </w:p>
    <w:p w14:paraId="161EFC6E" w14:textId="77777777" w:rsidR="00BF12B0" w:rsidRPr="00A317BE" w:rsidRDefault="00BF12B0" w:rsidP="00A317BE">
      <w:pPr>
        <w:tabs>
          <w:tab w:val="left" w:pos="567"/>
        </w:tabs>
        <w:spacing w:line="480" w:lineRule="auto"/>
        <w:rPr>
          <w:color w:val="000000" w:themeColor="text1"/>
        </w:rPr>
      </w:pPr>
    </w:p>
    <w:p w14:paraId="1B59E836" w14:textId="65DCBD2C" w:rsidR="00E86892" w:rsidRPr="00A317BE" w:rsidRDefault="00E96C2F" w:rsidP="00F26376">
      <w:pPr>
        <w:numPr>
          <w:ilvl w:val="0"/>
          <w:numId w:val="23"/>
        </w:numPr>
        <w:tabs>
          <w:tab w:val="left" w:pos="567"/>
        </w:tabs>
        <w:spacing w:line="480" w:lineRule="auto"/>
        <w:ind w:left="0" w:firstLine="0"/>
        <w:rPr>
          <w:color w:val="000000" w:themeColor="text1"/>
        </w:rPr>
      </w:pPr>
      <w:r w:rsidRPr="00A317BE">
        <w:rPr>
          <w:color w:val="000000" w:themeColor="text1"/>
        </w:rPr>
        <w:lastRenderedPageBreak/>
        <w:t xml:space="preserve">It is now </w:t>
      </w:r>
      <w:r w:rsidR="00DC17F9" w:rsidRPr="00A317BE">
        <w:rPr>
          <w:color w:val="000000" w:themeColor="text1"/>
        </w:rPr>
        <w:t xml:space="preserve">necessary to examine in greater detail the factual events which took place insofar as this may be constructed from the pleadings to date and the affidavits filed in relation to the motion together with the documents exhibited therein. </w:t>
      </w:r>
      <w:r w:rsidR="002C5E68" w:rsidRPr="00A317BE">
        <w:rPr>
          <w:color w:val="000000" w:themeColor="text1"/>
        </w:rPr>
        <w:t xml:space="preserve">I will confine myself to such matters as appear relevant to the issue before the court. The appellant made many allegations in respect of </w:t>
      </w:r>
      <w:r w:rsidR="009A6C4B" w:rsidRPr="00A317BE">
        <w:rPr>
          <w:color w:val="000000" w:themeColor="text1"/>
        </w:rPr>
        <w:t>the respondent</w:t>
      </w:r>
      <w:r w:rsidR="002C5E68" w:rsidRPr="00A317BE">
        <w:rPr>
          <w:color w:val="000000" w:themeColor="text1"/>
        </w:rPr>
        <w:t xml:space="preserve"> and its officers which are not directly relevant </w:t>
      </w:r>
      <w:r w:rsidR="00FD3855" w:rsidRPr="00A317BE">
        <w:rPr>
          <w:color w:val="000000" w:themeColor="text1"/>
        </w:rPr>
        <w:t>to</w:t>
      </w:r>
      <w:r w:rsidR="00287EF9" w:rsidRPr="00A317BE">
        <w:rPr>
          <w:color w:val="000000" w:themeColor="text1"/>
        </w:rPr>
        <w:t xml:space="preserve"> this appeal.</w:t>
      </w:r>
      <w:r w:rsidR="0044145E" w:rsidRPr="00A317BE">
        <w:rPr>
          <w:color w:val="000000" w:themeColor="text1"/>
        </w:rPr>
        <w:t xml:space="preserve"> What is most relevant for present purposes is the nature of the claims, the location of various events, and the content of particular documents, all of which are relevant to the issue of jurisdiction under Order 11(1). </w:t>
      </w:r>
    </w:p>
    <w:p w14:paraId="2CDD3D64" w14:textId="77777777" w:rsidR="00016FDE" w:rsidRPr="00A317BE" w:rsidRDefault="00016FDE" w:rsidP="00A317BE">
      <w:pPr>
        <w:pStyle w:val="ListParagraph"/>
        <w:tabs>
          <w:tab w:val="left" w:pos="567"/>
        </w:tabs>
        <w:ind w:left="0"/>
        <w:rPr>
          <w:color w:val="000000" w:themeColor="text1"/>
        </w:rPr>
      </w:pPr>
    </w:p>
    <w:p w14:paraId="33DFD438" w14:textId="605231E6" w:rsidR="00016FDE" w:rsidRPr="00A317BE" w:rsidRDefault="00016FDE" w:rsidP="00A317BE">
      <w:pPr>
        <w:pStyle w:val="Heading1"/>
        <w:tabs>
          <w:tab w:val="left" w:pos="567"/>
        </w:tabs>
        <w:rPr>
          <w:color w:val="000000" w:themeColor="text1"/>
        </w:rPr>
      </w:pPr>
      <w:r w:rsidRPr="00A317BE">
        <w:rPr>
          <w:color w:val="000000" w:themeColor="text1"/>
        </w:rPr>
        <w:t xml:space="preserve">The </w:t>
      </w:r>
      <w:r w:rsidR="00FD3855" w:rsidRPr="00A317BE">
        <w:rPr>
          <w:color w:val="000000" w:themeColor="text1"/>
        </w:rPr>
        <w:t>f</w:t>
      </w:r>
      <w:r w:rsidRPr="00A317BE">
        <w:rPr>
          <w:color w:val="000000" w:themeColor="text1"/>
        </w:rPr>
        <w:t xml:space="preserve">acts according to the evidence available </w:t>
      </w:r>
      <w:r w:rsidR="0088129D" w:rsidRPr="00A317BE">
        <w:rPr>
          <w:color w:val="000000" w:themeColor="text1"/>
        </w:rPr>
        <w:t>to the Court</w:t>
      </w:r>
      <w:r w:rsidR="00751077" w:rsidRPr="00A317BE">
        <w:rPr>
          <w:color w:val="000000" w:themeColor="text1"/>
        </w:rPr>
        <w:t xml:space="preserve"> on this appeal</w:t>
      </w:r>
    </w:p>
    <w:p w14:paraId="6B6AF560" w14:textId="48448451" w:rsidR="00EF441D" w:rsidRPr="00A317BE" w:rsidRDefault="00EF441D"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As noted, </w:t>
      </w:r>
      <w:r w:rsidR="009A6C4B" w:rsidRPr="00A317BE">
        <w:rPr>
          <w:color w:val="000000" w:themeColor="text1"/>
        </w:rPr>
        <w:t>the respondent</w:t>
      </w:r>
      <w:r w:rsidR="008D54AF" w:rsidRPr="00A317BE">
        <w:rPr>
          <w:color w:val="000000" w:themeColor="text1"/>
        </w:rPr>
        <w:t xml:space="preserve"> “VCL”</w:t>
      </w:r>
      <w:r w:rsidRPr="00A317BE">
        <w:rPr>
          <w:color w:val="000000" w:themeColor="text1"/>
        </w:rPr>
        <w:t xml:space="preserve"> is a company incorporated in New Zealand which provide</w:t>
      </w:r>
      <w:r w:rsidR="008D54AF" w:rsidRPr="00A317BE">
        <w:rPr>
          <w:color w:val="000000" w:themeColor="text1"/>
        </w:rPr>
        <w:t>d</w:t>
      </w:r>
      <w:r w:rsidRPr="00A317BE">
        <w:rPr>
          <w:color w:val="000000" w:themeColor="text1"/>
        </w:rPr>
        <w:t xml:space="preserve"> financial services</w:t>
      </w:r>
      <w:r w:rsidR="008D54AF" w:rsidRPr="00A317BE">
        <w:rPr>
          <w:color w:val="000000" w:themeColor="text1"/>
        </w:rPr>
        <w:t xml:space="preserve"> at the material time</w:t>
      </w:r>
      <w:r w:rsidRPr="00A317BE">
        <w:rPr>
          <w:color w:val="000000" w:themeColor="text1"/>
        </w:rPr>
        <w:t>. The</w:t>
      </w:r>
      <w:r w:rsidR="00E96C2F" w:rsidRPr="00A317BE">
        <w:rPr>
          <w:color w:val="000000" w:themeColor="text1"/>
        </w:rPr>
        <w:t xml:space="preserve"> Chief Executive </w:t>
      </w:r>
      <w:r w:rsidRPr="00A317BE">
        <w:rPr>
          <w:color w:val="000000" w:themeColor="text1"/>
        </w:rPr>
        <w:t>O</w:t>
      </w:r>
      <w:r w:rsidR="00E96C2F" w:rsidRPr="00A317BE">
        <w:rPr>
          <w:color w:val="000000" w:themeColor="text1"/>
        </w:rPr>
        <w:t xml:space="preserve">fficer was one Luigi Wewege. </w:t>
      </w:r>
      <w:r w:rsidR="00B7080D" w:rsidRPr="00A317BE">
        <w:rPr>
          <w:color w:val="000000" w:themeColor="text1"/>
        </w:rPr>
        <w:t xml:space="preserve">The appellant has averred that </w:t>
      </w:r>
      <w:r w:rsidR="00160B00" w:rsidRPr="00A317BE">
        <w:rPr>
          <w:color w:val="000000" w:themeColor="text1"/>
        </w:rPr>
        <w:t>the company</w:t>
      </w:r>
      <w:r w:rsidR="00B7080D" w:rsidRPr="00A317BE">
        <w:rPr>
          <w:color w:val="000000" w:themeColor="text1"/>
        </w:rPr>
        <w:t xml:space="preserve"> is legally owned by one Eduardo Goncalves but is beneficially owned and managed by one Ian Andrews, formerly known as Ian </w:t>
      </w:r>
      <w:r w:rsidR="00DF553B" w:rsidRPr="00A317BE">
        <w:rPr>
          <w:color w:val="000000" w:themeColor="text1"/>
        </w:rPr>
        <w:t>L</w:t>
      </w:r>
      <w:r w:rsidR="00B7080D" w:rsidRPr="00A317BE">
        <w:rPr>
          <w:color w:val="000000" w:themeColor="text1"/>
        </w:rPr>
        <w:t xml:space="preserve">eaf. </w:t>
      </w:r>
      <w:r w:rsidRPr="00A317BE">
        <w:rPr>
          <w:color w:val="000000" w:themeColor="text1"/>
        </w:rPr>
        <w:t>The Irish company, EML,</w:t>
      </w:r>
      <w:r w:rsidR="00A057C5" w:rsidRPr="00A317BE">
        <w:rPr>
          <w:color w:val="000000" w:themeColor="text1"/>
        </w:rPr>
        <w:t xml:space="preserve"> </w:t>
      </w:r>
      <w:r w:rsidR="004C2F06" w:rsidRPr="00A317BE">
        <w:rPr>
          <w:color w:val="000000" w:themeColor="text1"/>
        </w:rPr>
        <w:t>is</w:t>
      </w:r>
      <w:r w:rsidR="003A7C84" w:rsidRPr="00A317BE">
        <w:rPr>
          <w:color w:val="000000" w:themeColor="text1"/>
        </w:rPr>
        <w:t xml:space="preserve"> registered with the Central Bank</w:t>
      </w:r>
      <w:r w:rsidR="004C2F06" w:rsidRPr="00A317BE">
        <w:rPr>
          <w:color w:val="000000" w:themeColor="text1"/>
        </w:rPr>
        <w:t xml:space="preserve"> and operates in Ireland</w:t>
      </w:r>
      <w:r w:rsidR="003A7C84" w:rsidRPr="00A317BE">
        <w:rPr>
          <w:color w:val="000000" w:themeColor="text1"/>
        </w:rPr>
        <w:t xml:space="preserve">. </w:t>
      </w:r>
      <w:r w:rsidR="00A057C5" w:rsidRPr="00A317BE">
        <w:rPr>
          <w:color w:val="000000" w:themeColor="text1"/>
        </w:rPr>
        <w:t xml:space="preserve">It was formerly known as VML and before that again, Home Funding Corporation Limited. </w:t>
      </w:r>
    </w:p>
    <w:p w14:paraId="1A10471A" w14:textId="56B1108F" w:rsidR="005B5385" w:rsidRPr="00A317BE" w:rsidRDefault="005B5385" w:rsidP="00A317BE">
      <w:pPr>
        <w:pStyle w:val="Heading3"/>
        <w:tabs>
          <w:tab w:val="left" w:pos="567"/>
        </w:tabs>
        <w:rPr>
          <w:color w:val="000000" w:themeColor="text1"/>
        </w:rPr>
      </w:pPr>
      <w:r w:rsidRPr="00A317BE">
        <w:rPr>
          <w:color w:val="000000" w:themeColor="text1"/>
        </w:rPr>
        <w:t>July 2014: Directorship contract between the appellant and Home Funding Corporation (later EML)</w:t>
      </w:r>
    </w:p>
    <w:p w14:paraId="79DC4EAB" w14:textId="77777777" w:rsidR="00B36697" w:rsidRPr="00A317BE" w:rsidRDefault="00B36697" w:rsidP="00A317BE">
      <w:pPr>
        <w:tabs>
          <w:tab w:val="left" w:pos="567"/>
        </w:tabs>
        <w:spacing w:line="480" w:lineRule="auto"/>
        <w:rPr>
          <w:color w:val="000000" w:themeColor="text1"/>
        </w:rPr>
      </w:pPr>
    </w:p>
    <w:p w14:paraId="409E457D" w14:textId="633DC9DD" w:rsidR="0077236B" w:rsidRPr="00A317BE" w:rsidRDefault="003250F5" w:rsidP="00F26376">
      <w:pPr>
        <w:numPr>
          <w:ilvl w:val="0"/>
          <w:numId w:val="23"/>
        </w:numPr>
        <w:tabs>
          <w:tab w:val="left" w:pos="567"/>
        </w:tabs>
        <w:spacing w:line="480" w:lineRule="auto"/>
        <w:ind w:left="0" w:firstLine="0"/>
        <w:rPr>
          <w:color w:val="000000" w:themeColor="text1"/>
        </w:rPr>
      </w:pPr>
      <w:r w:rsidRPr="00A317BE">
        <w:rPr>
          <w:color w:val="000000" w:themeColor="text1"/>
        </w:rPr>
        <w:t>On the 31 July 2014 the appellant entered into an agreement with Home Funding Corporation L</w:t>
      </w:r>
      <w:r w:rsidR="00FD3855" w:rsidRPr="00A317BE">
        <w:rPr>
          <w:color w:val="000000" w:themeColor="text1"/>
        </w:rPr>
        <w:t>imited</w:t>
      </w:r>
      <w:r w:rsidRPr="00A317BE">
        <w:rPr>
          <w:color w:val="000000" w:themeColor="text1"/>
        </w:rPr>
        <w:t xml:space="preserve"> whereby she became a director of that company.</w:t>
      </w:r>
      <w:r w:rsidR="00935B68" w:rsidRPr="00A317BE">
        <w:rPr>
          <w:color w:val="000000" w:themeColor="text1"/>
        </w:rPr>
        <w:t xml:space="preserve"> </w:t>
      </w:r>
      <w:r w:rsidR="004C2F06" w:rsidRPr="00A317BE">
        <w:rPr>
          <w:color w:val="000000" w:themeColor="text1"/>
        </w:rPr>
        <w:t>The appellant averred that the company was a credit servicing firm</w:t>
      </w:r>
      <w:r w:rsidR="0077236B" w:rsidRPr="00A317BE">
        <w:rPr>
          <w:color w:val="000000" w:themeColor="text1"/>
        </w:rPr>
        <w:t xml:space="preserve"> and that it is legally owned </w:t>
      </w:r>
      <w:r w:rsidR="00FD3855" w:rsidRPr="00A317BE">
        <w:rPr>
          <w:color w:val="000000" w:themeColor="text1"/>
        </w:rPr>
        <w:t>and</w:t>
      </w:r>
      <w:r w:rsidR="0077236B" w:rsidRPr="00A317BE">
        <w:rPr>
          <w:color w:val="000000" w:themeColor="text1"/>
        </w:rPr>
        <w:t xml:space="preserve"> managed by one Richard Andrews. </w:t>
      </w:r>
    </w:p>
    <w:p w14:paraId="0AE2BA92" w14:textId="77777777" w:rsidR="00A04813" w:rsidRPr="00A317BE" w:rsidRDefault="00A04813" w:rsidP="00151DF9">
      <w:pPr>
        <w:tabs>
          <w:tab w:val="left" w:pos="567"/>
        </w:tabs>
        <w:spacing w:line="480" w:lineRule="auto"/>
        <w:rPr>
          <w:color w:val="000000" w:themeColor="text1"/>
        </w:rPr>
      </w:pPr>
    </w:p>
    <w:p w14:paraId="68716E11" w14:textId="5476182C" w:rsidR="00ED2389" w:rsidRPr="00A317BE" w:rsidRDefault="00CD6EC4" w:rsidP="00151DF9">
      <w:pPr>
        <w:numPr>
          <w:ilvl w:val="0"/>
          <w:numId w:val="23"/>
        </w:numPr>
        <w:tabs>
          <w:tab w:val="left" w:pos="567"/>
        </w:tabs>
        <w:spacing w:line="480" w:lineRule="auto"/>
        <w:ind w:left="0" w:firstLine="0"/>
        <w:rPr>
          <w:color w:val="000000" w:themeColor="text1"/>
        </w:rPr>
      </w:pPr>
      <w:r w:rsidRPr="00A317BE">
        <w:rPr>
          <w:color w:val="000000" w:themeColor="text1"/>
        </w:rPr>
        <w:lastRenderedPageBreak/>
        <w:t xml:space="preserve">The Court has seen </w:t>
      </w:r>
      <w:r w:rsidR="00BB582C" w:rsidRPr="00A317BE">
        <w:rPr>
          <w:color w:val="000000" w:themeColor="text1"/>
        </w:rPr>
        <w:t>a</w:t>
      </w:r>
      <w:r w:rsidR="00070295" w:rsidRPr="00A317BE">
        <w:rPr>
          <w:color w:val="000000" w:themeColor="text1"/>
        </w:rPr>
        <w:t xml:space="preserve"> </w:t>
      </w:r>
      <w:r w:rsidR="00B36697" w:rsidRPr="00A317BE">
        <w:rPr>
          <w:color w:val="000000" w:themeColor="text1"/>
        </w:rPr>
        <w:t xml:space="preserve">written </w:t>
      </w:r>
      <w:r w:rsidR="00070295" w:rsidRPr="00A317BE">
        <w:rPr>
          <w:color w:val="000000" w:themeColor="text1"/>
        </w:rPr>
        <w:t>agreement of July 2014 whereby the appellant became director of Home Funding Corporation</w:t>
      </w:r>
      <w:r w:rsidR="00B36697" w:rsidRPr="00A317BE">
        <w:rPr>
          <w:color w:val="000000" w:themeColor="text1"/>
        </w:rPr>
        <w:t>.</w:t>
      </w:r>
      <w:r w:rsidR="001B2063" w:rsidRPr="00A317BE">
        <w:rPr>
          <w:color w:val="000000" w:themeColor="text1"/>
        </w:rPr>
        <w:t xml:space="preserve"> It is clear from </w:t>
      </w:r>
      <w:r w:rsidR="00FD3855" w:rsidRPr="00A317BE">
        <w:rPr>
          <w:color w:val="000000" w:themeColor="text1"/>
        </w:rPr>
        <w:t>C</w:t>
      </w:r>
      <w:r w:rsidR="001B2063" w:rsidRPr="00A317BE">
        <w:rPr>
          <w:color w:val="000000" w:themeColor="text1"/>
        </w:rPr>
        <w:t>lause 11 of that document that any disputes were to be resolved by arbitration within th</w:t>
      </w:r>
      <w:r w:rsidRPr="00A317BE">
        <w:rPr>
          <w:color w:val="000000" w:themeColor="text1"/>
        </w:rPr>
        <w:t>is</w:t>
      </w:r>
      <w:r w:rsidR="001B2063" w:rsidRPr="00A317BE">
        <w:rPr>
          <w:color w:val="000000" w:themeColor="text1"/>
        </w:rPr>
        <w:t xml:space="preserve"> jurisdiction</w:t>
      </w:r>
      <w:r w:rsidR="00FD3855" w:rsidRPr="00A317BE">
        <w:rPr>
          <w:color w:val="000000" w:themeColor="text1"/>
        </w:rPr>
        <w:t>,</w:t>
      </w:r>
      <w:r w:rsidR="001B2063" w:rsidRPr="00A317BE">
        <w:rPr>
          <w:color w:val="000000" w:themeColor="text1"/>
        </w:rPr>
        <w:t xml:space="preserve"> with the possibility of an appeal to the High Court on a point of a law arising out of an award. </w:t>
      </w:r>
    </w:p>
    <w:p w14:paraId="7474AAE9" w14:textId="77777777" w:rsidR="00ED2389" w:rsidRPr="00A317BE" w:rsidRDefault="00ED2389" w:rsidP="00151DF9">
      <w:pPr>
        <w:tabs>
          <w:tab w:val="left" w:pos="567"/>
        </w:tabs>
        <w:spacing w:line="480" w:lineRule="auto"/>
        <w:rPr>
          <w:color w:val="000000" w:themeColor="text1"/>
        </w:rPr>
      </w:pPr>
    </w:p>
    <w:p w14:paraId="7C7BB475" w14:textId="518A379C" w:rsidR="00ED2389" w:rsidRPr="00A317BE" w:rsidRDefault="00ED2389" w:rsidP="00420AF7">
      <w:pPr>
        <w:numPr>
          <w:ilvl w:val="0"/>
          <w:numId w:val="23"/>
        </w:numPr>
        <w:tabs>
          <w:tab w:val="left" w:pos="567"/>
        </w:tabs>
        <w:spacing w:line="480" w:lineRule="auto"/>
        <w:ind w:left="0" w:firstLine="0"/>
        <w:rPr>
          <w:color w:val="000000" w:themeColor="text1"/>
        </w:rPr>
      </w:pPr>
      <w:r w:rsidRPr="00A317BE">
        <w:rPr>
          <w:color w:val="000000" w:themeColor="text1"/>
        </w:rPr>
        <w:t>On the 14 August 2014 the company changed its name to VML and then on</w:t>
      </w:r>
      <w:r w:rsidR="00F514C1" w:rsidRPr="00A317BE">
        <w:rPr>
          <w:color w:val="000000" w:themeColor="text1"/>
        </w:rPr>
        <w:t xml:space="preserve"> </w:t>
      </w:r>
      <w:r w:rsidR="00FD3855" w:rsidRPr="00A317BE">
        <w:rPr>
          <w:color w:val="000000" w:themeColor="text1"/>
        </w:rPr>
        <w:t xml:space="preserve">the </w:t>
      </w:r>
      <w:r w:rsidR="00F514C1" w:rsidRPr="00A317BE">
        <w:rPr>
          <w:color w:val="000000" w:themeColor="text1"/>
        </w:rPr>
        <w:t xml:space="preserve">10 August 2016 </w:t>
      </w:r>
      <w:r w:rsidRPr="00A317BE">
        <w:rPr>
          <w:color w:val="000000" w:themeColor="text1"/>
        </w:rPr>
        <w:t>to Elstree Mortgages L</w:t>
      </w:r>
      <w:r w:rsidR="00FD3855" w:rsidRPr="00A317BE">
        <w:rPr>
          <w:color w:val="000000" w:themeColor="text1"/>
        </w:rPr>
        <w:t>imited</w:t>
      </w:r>
      <w:r w:rsidRPr="00A317BE">
        <w:rPr>
          <w:color w:val="000000" w:themeColor="text1"/>
        </w:rPr>
        <w:t xml:space="preserve"> (EML).  </w:t>
      </w:r>
      <w:r w:rsidR="00B36697" w:rsidRPr="00A317BE">
        <w:rPr>
          <w:color w:val="000000" w:themeColor="text1"/>
        </w:rPr>
        <w:t xml:space="preserve"> </w:t>
      </w:r>
      <w:r w:rsidRPr="00A317BE">
        <w:rPr>
          <w:color w:val="000000" w:themeColor="text1"/>
        </w:rPr>
        <w:t>Mr. Hashemifar</w:t>
      </w:r>
      <w:r w:rsidR="00B36697" w:rsidRPr="00A317BE">
        <w:rPr>
          <w:color w:val="000000" w:themeColor="text1"/>
        </w:rPr>
        <w:t xml:space="preserve"> </w:t>
      </w:r>
      <w:r w:rsidR="0042428B" w:rsidRPr="00A317BE">
        <w:rPr>
          <w:color w:val="000000" w:themeColor="text1"/>
        </w:rPr>
        <w:t>exhibited</w:t>
      </w:r>
      <w:r w:rsidR="002F78EA" w:rsidRPr="00A317BE">
        <w:rPr>
          <w:color w:val="000000" w:themeColor="text1"/>
        </w:rPr>
        <w:t xml:space="preserve"> the certificates of incorporation on change of name </w:t>
      </w:r>
      <w:r w:rsidR="00070295" w:rsidRPr="00A317BE">
        <w:rPr>
          <w:color w:val="000000" w:themeColor="text1"/>
        </w:rPr>
        <w:t>to VML and then EML</w:t>
      </w:r>
      <w:r w:rsidR="002F78EA" w:rsidRPr="00A317BE">
        <w:rPr>
          <w:color w:val="000000" w:themeColor="text1"/>
        </w:rPr>
        <w:t xml:space="preserve">. </w:t>
      </w:r>
    </w:p>
    <w:p w14:paraId="4BC5413B" w14:textId="77777777" w:rsidR="00A04813" w:rsidRPr="00A317BE" w:rsidRDefault="00A04813" w:rsidP="00420AF7">
      <w:pPr>
        <w:tabs>
          <w:tab w:val="left" w:pos="567"/>
        </w:tabs>
        <w:spacing w:line="480" w:lineRule="auto"/>
        <w:rPr>
          <w:color w:val="000000" w:themeColor="text1"/>
        </w:rPr>
      </w:pPr>
    </w:p>
    <w:p w14:paraId="4DE878A8" w14:textId="56F242DD" w:rsidR="006B0FA5" w:rsidRPr="00A317BE" w:rsidRDefault="00CF73DA"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w:t>
      </w:r>
      <w:r w:rsidR="00A04813" w:rsidRPr="00A317BE">
        <w:rPr>
          <w:color w:val="000000" w:themeColor="text1"/>
        </w:rPr>
        <w:t>C</w:t>
      </w:r>
      <w:r w:rsidRPr="00A317BE">
        <w:rPr>
          <w:color w:val="000000" w:themeColor="text1"/>
        </w:rPr>
        <w:t>ourt has also been furnished with a</w:t>
      </w:r>
      <w:r w:rsidR="002F78EA" w:rsidRPr="00A317BE">
        <w:rPr>
          <w:color w:val="000000" w:themeColor="text1"/>
        </w:rPr>
        <w:t xml:space="preserve"> letter dated</w:t>
      </w:r>
      <w:r w:rsidR="00FD3855" w:rsidRPr="00A317BE">
        <w:rPr>
          <w:color w:val="000000" w:themeColor="text1"/>
        </w:rPr>
        <w:t xml:space="preserve"> the</w:t>
      </w:r>
      <w:r w:rsidR="002F78EA" w:rsidRPr="00A317BE">
        <w:rPr>
          <w:color w:val="000000" w:themeColor="text1"/>
        </w:rPr>
        <w:t xml:space="preserve"> 20 June 2016</w:t>
      </w:r>
      <w:r w:rsidRPr="00A317BE">
        <w:rPr>
          <w:color w:val="000000" w:themeColor="text1"/>
        </w:rPr>
        <w:t xml:space="preserve"> whereby</w:t>
      </w:r>
      <w:r w:rsidR="002F78EA" w:rsidRPr="00A317BE">
        <w:rPr>
          <w:color w:val="000000" w:themeColor="text1"/>
        </w:rPr>
        <w:t xml:space="preserve"> the appellant signed up to various alterations in her directorship agreement with the Irish Mortgage Company</w:t>
      </w:r>
      <w:r w:rsidR="00A04813" w:rsidRPr="00A317BE">
        <w:rPr>
          <w:color w:val="000000" w:themeColor="text1"/>
        </w:rPr>
        <w:t xml:space="preserve">, but none of these are relevant to jurisdiction. </w:t>
      </w:r>
    </w:p>
    <w:p w14:paraId="505E3D94" w14:textId="77777777" w:rsidR="00CD6EC4" w:rsidRPr="00A317BE" w:rsidRDefault="00CD6EC4" w:rsidP="00A317BE">
      <w:pPr>
        <w:pStyle w:val="ListParagraph"/>
        <w:tabs>
          <w:tab w:val="left" w:pos="567"/>
        </w:tabs>
        <w:ind w:left="0"/>
        <w:rPr>
          <w:color w:val="000000" w:themeColor="text1"/>
        </w:rPr>
      </w:pPr>
    </w:p>
    <w:p w14:paraId="000A919B" w14:textId="5273CF09" w:rsidR="00457A91" w:rsidRPr="00A317BE" w:rsidRDefault="00A17C8C" w:rsidP="00A317BE">
      <w:pPr>
        <w:pStyle w:val="Heading3"/>
        <w:tabs>
          <w:tab w:val="left" w:pos="567"/>
        </w:tabs>
        <w:rPr>
          <w:color w:val="000000" w:themeColor="text1"/>
        </w:rPr>
      </w:pPr>
      <w:r w:rsidRPr="00A317BE">
        <w:rPr>
          <w:color w:val="000000" w:themeColor="text1"/>
        </w:rPr>
        <w:t>The appellant is requested</w:t>
      </w:r>
      <w:r w:rsidR="00300854" w:rsidRPr="00A317BE">
        <w:rPr>
          <w:color w:val="000000" w:themeColor="text1"/>
        </w:rPr>
        <w:t xml:space="preserve"> to do research work on the Project</w:t>
      </w:r>
    </w:p>
    <w:p w14:paraId="3FDA66B5" w14:textId="77777777" w:rsidR="00457A91" w:rsidRPr="00A317BE" w:rsidRDefault="00457A91" w:rsidP="00A317BE">
      <w:pPr>
        <w:tabs>
          <w:tab w:val="left" w:pos="567"/>
        </w:tabs>
        <w:rPr>
          <w:color w:val="000000" w:themeColor="text1"/>
        </w:rPr>
      </w:pPr>
    </w:p>
    <w:p w14:paraId="47922241" w14:textId="20E0C96E" w:rsidR="002C5E68" w:rsidRPr="00A317BE" w:rsidRDefault="007A07B9" w:rsidP="00F26376">
      <w:pPr>
        <w:numPr>
          <w:ilvl w:val="0"/>
          <w:numId w:val="23"/>
        </w:numPr>
        <w:tabs>
          <w:tab w:val="left" w:pos="567"/>
        </w:tabs>
        <w:spacing w:line="480" w:lineRule="auto"/>
        <w:ind w:left="0" w:firstLine="0"/>
        <w:rPr>
          <w:color w:val="000000" w:themeColor="text1"/>
        </w:rPr>
      </w:pPr>
      <w:r w:rsidRPr="00A317BE">
        <w:rPr>
          <w:color w:val="000000" w:themeColor="text1"/>
        </w:rPr>
        <w:t>The appellant averred that in early 2015, VCL was facing deregistration in New</w:t>
      </w:r>
      <w:r w:rsidR="00457A91" w:rsidRPr="00A317BE">
        <w:rPr>
          <w:color w:val="000000" w:themeColor="text1"/>
        </w:rPr>
        <w:t xml:space="preserve"> </w:t>
      </w:r>
      <w:r w:rsidRPr="00A317BE">
        <w:rPr>
          <w:color w:val="000000" w:themeColor="text1"/>
        </w:rPr>
        <w:t>Zealand</w:t>
      </w:r>
      <w:r w:rsidR="00E1596B" w:rsidRPr="00A317BE">
        <w:rPr>
          <w:color w:val="000000" w:themeColor="text1"/>
        </w:rPr>
        <w:t xml:space="preserve"> and that</w:t>
      </w:r>
      <w:r w:rsidR="0077076C" w:rsidRPr="00A317BE">
        <w:rPr>
          <w:color w:val="000000" w:themeColor="text1"/>
        </w:rPr>
        <w:t xml:space="preserve"> </w:t>
      </w:r>
      <w:r w:rsidR="006B0FA5" w:rsidRPr="00A317BE">
        <w:rPr>
          <w:color w:val="000000" w:themeColor="text1"/>
        </w:rPr>
        <w:t xml:space="preserve">the CEO of </w:t>
      </w:r>
      <w:r w:rsidR="009A6C4B" w:rsidRPr="00A317BE">
        <w:rPr>
          <w:color w:val="000000" w:themeColor="text1"/>
        </w:rPr>
        <w:t>the respondent</w:t>
      </w:r>
      <w:r w:rsidR="006B0FA5" w:rsidRPr="00A317BE">
        <w:rPr>
          <w:color w:val="000000" w:themeColor="text1"/>
        </w:rPr>
        <w:t xml:space="preserve">, </w:t>
      </w:r>
      <w:r w:rsidR="0077076C" w:rsidRPr="00A317BE">
        <w:rPr>
          <w:color w:val="000000" w:themeColor="text1"/>
        </w:rPr>
        <w:t>Mr. Wewege</w:t>
      </w:r>
      <w:r w:rsidR="006B0FA5" w:rsidRPr="00A317BE">
        <w:rPr>
          <w:color w:val="000000" w:themeColor="text1"/>
        </w:rPr>
        <w:t xml:space="preserve">, </w:t>
      </w:r>
      <w:r w:rsidR="0077076C" w:rsidRPr="00A317BE">
        <w:rPr>
          <w:color w:val="000000" w:themeColor="text1"/>
        </w:rPr>
        <w:t>requested her to become involved in a project known as the “Bank Jurisdiction Comparison Project” (hereinafter “</w:t>
      </w:r>
      <w:r w:rsidR="0077076C" w:rsidRPr="00A317BE">
        <w:rPr>
          <w:b/>
          <w:color w:val="000000" w:themeColor="text1"/>
        </w:rPr>
        <w:t>the Project</w:t>
      </w:r>
      <w:r w:rsidR="0077076C" w:rsidRPr="00A317BE">
        <w:rPr>
          <w:color w:val="000000" w:themeColor="text1"/>
        </w:rPr>
        <w:t xml:space="preserve">”). She was to carry out research to assist the company in </w:t>
      </w:r>
      <w:r w:rsidR="00457A91" w:rsidRPr="00A317BE">
        <w:rPr>
          <w:color w:val="000000" w:themeColor="text1"/>
        </w:rPr>
        <w:t>locating</w:t>
      </w:r>
      <w:r w:rsidR="0077076C" w:rsidRPr="00A317BE">
        <w:rPr>
          <w:color w:val="000000" w:themeColor="text1"/>
        </w:rPr>
        <w:t xml:space="preserve"> a jurisdiction other than New Zealand in which it could establish itself</w:t>
      </w:r>
      <w:r w:rsidR="00457A91" w:rsidRPr="00A317BE">
        <w:rPr>
          <w:color w:val="000000" w:themeColor="text1"/>
        </w:rPr>
        <w:t>,</w:t>
      </w:r>
      <w:r w:rsidR="006B0FA5" w:rsidRPr="00A317BE">
        <w:rPr>
          <w:color w:val="000000" w:themeColor="text1"/>
        </w:rPr>
        <w:t xml:space="preserve"> by advising on the legal and other requirements for the issue of bank licences in a multiplicity of jurisdictions across the world</w:t>
      </w:r>
      <w:r w:rsidR="0077076C" w:rsidRPr="00A317BE">
        <w:rPr>
          <w:color w:val="000000" w:themeColor="text1"/>
        </w:rPr>
        <w:t>.</w:t>
      </w:r>
      <w:r w:rsidR="00EF68F2" w:rsidRPr="00A317BE">
        <w:rPr>
          <w:color w:val="000000" w:themeColor="text1"/>
        </w:rPr>
        <w:t xml:space="preserve"> </w:t>
      </w:r>
      <w:r w:rsidR="00E1596B" w:rsidRPr="00A317BE">
        <w:rPr>
          <w:color w:val="000000" w:themeColor="text1"/>
        </w:rPr>
        <w:t xml:space="preserve">She says that it was a “massive undertaking” and that she frequently worked up to 7,10 or 12 hours per day on the project. She says that Mr. Wewege continually reviewed and encouraged the work she undertook. </w:t>
      </w:r>
    </w:p>
    <w:p w14:paraId="5F633DC7" w14:textId="77777777" w:rsidR="00457A91" w:rsidRPr="00A317BE" w:rsidRDefault="00457A91" w:rsidP="00151DF9">
      <w:pPr>
        <w:tabs>
          <w:tab w:val="left" w:pos="567"/>
        </w:tabs>
        <w:spacing w:line="480" w:lineRule="auto"/>
        <w:rPr>
          <w:color w:val="000000" w:themeColor="text1"/>
        </w:rPr>
      </w:pPr>
    </w:p>
    <w:p w14:paraId="6B93B43E" w14:textId="7239466C" w:rsidR="005D1964" w:rsidRPr="00A317BE" w:rsidRDefault="009D0F21" w:rsidP="00151DF9">
      <w:pPr>
        <w:pStyle w:val="ListParagraph"/>
        <w:numPr>
          <w:ilvl w:val="0"/>
          <w:numId w:val="23"/>
        </w:numPr>
        <w:tabs>
          <w:tab w:val="left" w:pos="567"/>
        </w:tabs>
        <w:spacing w:after="0"/>
        <w:ind w:left="0" w:firstLine="0"/>
        <w:rPr>
          <w:color w:val="000000" w:themeColor="text1"/>
        </w:rPr>
      </w:pPr>
      <w:r w:rsidRPr="00A317BE">
        <w:rPr>
          <w:color w:val="000000" w:themeColor="text1"/>
        </w:rPr>
        <w:lastRenderedPageBreak/>
        <w:t xml:space="preserve">While it </w:t>
      </w:r>
      <w:r w:rsidR="00457A91" w:rsidRPr="00A317BE">
        <w:rPr>
          <w:color w:val="000000" w:themeColor="text1"/>
        </w:rPr>
        <w:t>does not appear to be</w:t>
      </w:r>
      <w:r w:rsidRPr="00A317BE">
        <w:rPr>
          <w:color w:val="000000" w:themeColor="text1"/>
        </w:rPr>
        <w:t xml:space="preserve"> in dispute that the appellant agreed to carry out research work for </w:t>
      </w:r>
      <w:r w:rsidR="009A6C4B" w:rsidRPr="00A317BE">
        <w:rPr>
          <w:color w:val="000000" w:themeColor="text1"/>
        </w:rPr>
        <w:t>the respondent</w:t>
      </w:r>
      <w:r w:rsidRPr="00A317BE">
        <w:rPr>
          <w:color w:val="000000" w:themeColor="text1"/>
        </w:rPr>
        <w:t>, what is</w:t>
      </w:r>
      <w:r w:rsidR="00470F68" w:rsidRPr="00A317BE">
        <w:rPr>
          <w:color w:val="000000" w:themeColor="text1"/>
        </w:rPr>
        <w:t xml:space="preserve"> </w:t>
      </w:r>
      <w:r w:rsidRPr="00A317BE">
        <w:rPr>
          <w:color w:val="000000" w:themeColor="text1"/>
        </w:rPr>
        <w:t>in dispute is</w:t>
      </w:r>
      <w:r w:rsidR="00470F68" w:rsidRPr="00A317BE">
        <w:rPr>
          <w:color w:val="000000" w:themeColor="text1"/>
        </w:rPr>
        <w:t xml:space="preserve"> </w:t>
      </w:r>
      <w:r w:rsidR="002935AF" w:rsidRPr="00A317BE">
        <w:rPr>
          <w:color w:val="000000" w:themeColor="text1"/>
        </w:rPr>
        <w:t>whether a contract was created with regard to this work and if so, the precise document(s) constituting the contract</w:t>
      </w:r>
      <w:r w:rsidR="00470F68" w:rsidRPr="00A317BE">
        <w:rPr>
          <w:color w:val="000000" w:themeColor="text1"/>
        </w:rPr>
        <w:t xml:space="preserve">. </w:t>
      </w:r>
      <w:r w:rsidR="00033608" w:rsidRPr="00A317BE">
        <w:rPr>
          <w:color w:val="000000" w:themeColor="text1"/>
        </w:rPr>
        <w:t xml:space="preserve">As noted above, the </w:t>
      </w:r>
      <w:r w:rsidR="00470F68" w:rsidRPr="00A317BE">
        <w:rPr>
          <w:color w:val="000000" w:themeColor="text1"/>
        </w:rPr>
        <w:t xml:space="preserve">appellant contends that </w:t>
      </w:r>
      <w:r w:rsidR="002935AF" w:rsidRPr="00A317BE">
        <w:rPr>
          <w:color w:val="000000" w:themeColor="text1"/>
        </w:rPr>
        <w:t>a contract was created by means of</w:t>
      </w:r>
      <w:r w:rsidR="00470F68" w:rsidRPr="00A317BE">
        <w:rPr>
          <w:color w:val="000000" w:themeColor="text1"/>
        </w:rPr>
        <w:t xml:space="preserve"> an email exchange on </w:t>
      </w:r>
      <w:r w:rsidR="00FD3855" w:rsidRPr="00A317BE">
        <w:rPr>
          <w:color w:val="000000" w:themeColor="text1"/>
        </w:rPr>
        <w:t xml:space="preserve">the </w:t>
      </w:r>
      <w:r w:rsidR="00470F68" w:rsidRPr="00A317BE">
        <w:rPr>
          <w:color w:val="000000" w:themeColor="text1"/>
        </w:rPr>
        <w:t xml:space="preserve">18 August 2014, whereas </w:t>
      </w:r>
      <w:r w:rsidR="009A6C4B" w:rsidRPr="00A317BE">
        <w:rPr>
          <w:color w:val="000000" w:themeColor="text1"/>
        </w:rPr>
        <w:t>the respondent</w:t>
      </w:r>
      <w:r w:rsidR="00470F68" w:rsidRPr="00A317BE">
        <w:rPr>
          <w:color w:val="000000" w:themeColor="text1"/>
        </w:rPr>
        <w:t xml:space="preserve"> maintains </w:t>
      </w:r>
      <w:r w:rsidR="002935AF" w:rsidRPr="00A317BE">
        <w:rPr>
          <w:color w:val="000000" w:themeColor="text1"/>
        </w:rPr>
        <w:t>that the position was governed by</w:t>
      </w:r>
      <w:r w:rsidR="00470F68" w:rsidRPr="00A317BE">
        <w:rPr>
          <w:color w:val="000000" w:themeColor="text1"/>
        </w:rPr>
        <w:t xml:space="preserve"> a contract dated </w:t>
      </w:r>
      <w:r w:rsidR="00FD3855" w:rsidRPr="00A317BE">
        <w:rPr>
          <w:color w:val="000000" w:themeColor="text1"/>
        </w:rPr>
        <w:t xml:space="preserve">the </w:t>
      </w:r>
      <w:r w:rsidR="00470F68" w:rsidRPr="00A317BE">
        <w:rPr>
          <w:color w:val="000000" w:themeColor="text1"/>
        </w:rPr>
        <w:t>5 December 2014</w:t>
      </w:r>
      <w:r w:rsidR="002935AF" w:rsidRPr="00A317BE">
        <w:rPr>
          <w:color w:val="000000" w:themeColor="text1"/>
        </w:rPr>
        <w:t>, which designated New Zealand as the jurisdiction in which any disputes would be resolved</w:t>
      </w:r>
      <w:r w:rsidR="00470F68" w:rsidRPr="00A317BE">
        <w:rPr>
          <w:color w:val="000000" w:themeColor="text1"/>
        </w:rPr>
        <w:t xml:space="preserve">. </w:t>
      </w:r>
      <w:r w:rsidRPr="00A317BE">
        <w:rPr>
          <w:color w:val="000000" w:themeColor="text1"/>
        </w:rPr>
        <w:t xml:space="preserve">I will turn first to the emails of </w:t>
      </w:r>
      <w:r w:rsidR="00FD3855" w:rsidRPr="00A317BE">
        <w:rPr>
          <w:color w:val="000000" w:themeColor="text1"/>
        </w:rPr>
        <w:t xml:space="preserve">the </w:t>
      </w:r>
      <w:r w:rsidRPr="00A317BE">
        <w:rPr>
          <w:color w:val="000000" w:themeColor="text1"/>
        </w:rPr>
        <w:t xml:space="preserve">18 August 2014, although they were not in fact adduced in evidence until the appellant swore her replying affidavit to that of Mr. Hashimefar. She had not referred to any such agreement or the emails in her </w:t>
      </w:r>
      <w:r w:rsidR="00E1596B" w:rsidRPr="00A317BE">
        <w:rPr>
          <w:color w:val="000000" w:themeColor="text1"/>
        </w:rPr>
        <w:t xml:space="preserve">grounding affidavit </w:t>
      </w:r>
      <w:r w:rsidR="00075C01" w:rsidRPr="00A317BE">
        <w:rPr>
          <w:color w:val="000000" w:themeColor="text1"/>
        </w:rPr>
        <w:t xml:space="preserve">seeking leave to serve outside the jurisdiction </w:t>
      </w:r>
      <w:r w:rsidR="00E1596B" w:rsidRPr="00A317BE">
        <w:rPr>
          <w:color w:val="000000" w:themeColor="text1"/>
        </w:rPr>
        <w:t xml:space="preserve">or </w:t>
      </w:r>
      <w:r w:rsidR="00FD3855" w:rsidRPr="00A317BE">
        <w:rPr>
          <w:color w:val="000000" w:themeColor="text1"/>
        </w:rPr>
        <w:t>S</w:t>
      </w:r>
      <w:r w:rsidR="00E1596B" w:rsidRPr="00A317BE">
        <w:rPr>
          <w:color w:val="000000" w:themeColor="text1"/>
        </w:rPr>
        <w:t xml:space="preserve">tatement of </w:t>
      </w:r>
      <w:r w:rsidR="00FD3855" w:rsidRPr="00A317BE">
        <w:rPr>
          <w:color w:val="000000" w:themeColor="text1"/>
        </w:rPr>
        <w:t>C</w:t>
      </w:r>
      <w:r w:rsidR="00E1596B" w:rsidRPr="00A317BE">
        <w:rPr>
          <w:color w:val="000000" w:themeColor="text1"/>
        </w:rPr>
        <w:t xml:space="preserve">laim. </w:t>
      </w:r>
    </w:p>
    <w:p w14:paraId="1C76ADFB" w14:textId="77777777" w:rsidR="005D1964" w:rsidRPr="00A317BE" w:rsidRDefault="005D1964" w:rsidP="00A317BE">
      <w:pPr>
        <w:pStyle w:val="ListParagraph"/>
        <w:tabs>
          <w:tab w:val="left" w:pos="567"/>
        </w:tabs>
        <w:ind w:left="0"/>
        <w:rPr>
          <w:color w:val="000000" w:themeColor="text1"/>
        </w:rPr>
      </w:pPr>
    </w:p>
    <w:p w14:paraId="4C2DE04A" w14:textId="4AEDF24F" w:rsidR="003911E3" w:rsidRPr="00A317BE" w:rsidRDefault="00AC7503" w:rsidP="00A317BE">
      <w:pPr>
        <w:pStyle w:val="Heading3"/>
        <w:tabs>
          <w:tab w:val="left" w:pos="567"/>
        </w:tabs>
        <w:rPr>
          <w:color w:val="000000" w:themeColor="text1"/>
        </w:rPr>
      </w:pPr>
      <w:r w:rsidRPr="00A317BE">
        <w:rPr>
          <w:color w:val="000000" w:themeColor="text1"/>
        </w:rPr>
        <w:t xml:space="preserve">18 </w:t>
      </w:r>
      <w:r w:rsidR="00F20AF2" w:rsidRPr="00A317BE">
        <w:rPr>
          <w:color w:val="000000" w:themeColor="text1"/>
        </w:rPr>
        <w:t xml:space="preserve">August 2014 </w:t>
      </w:r>
      <w:r w:rsidR="007A77B5" w:rsidRPr="00A317BE">
        <w:rPr>
          <w:color w:val="000000" w:themeColor="text1"/>
        </w:rPr>
        <w:t>-</w:t>
      </w:r>
      <w:r w:rsidR="00FD3855" w:rsidRPr="00A317BE">
        <w:rPr>
          <w:color w:val="000000" w:themeColor="text1"/>
        </w:rPr>
        <w:t xml:space="preserve"> </w:t>
      </w:r>
      <w:r w:rsidR="007A77B5" w:rsidRPr="00A317BE">
        <w:rPr>
          <w:color w:val="000000" w:themeColor="text1"/>
        </w:rPr>
        <w:t>E</w:t>
      </w:r>
      <w:r w:rsidR="00F20AF2" w:rsidRPr="00A317BE">
        <w:rPr>
          <w:color w:val="000000" w:themeColor="text1"/>
        </w:rPr>
        <w:t>mails</w:t>
      </w:r>
      <w:r w:rsidR="007A77B5" w:rsidRPr="00A317BE">
        <w:rPr>
          <w:color w:val="000000" w:themeColor="text1"/>
        </w:rPr>
        <w:t xml:space="preserve"> between </w:t>
      </w:r>
      <w:r w:rsidR="00FD3855" w:rsidRPr="00A317BE">
        <w:rPr>
          <w:color w:val="000000" w:themeColor="text1"/>
        </w:rPr>
        <w:t xml:space="preserve">the </w:t>
      </w:r>
      <w:r w:rsidR="007A77B5" w:rsidRPr="00A317BE">
        <w:rPr>
          <w:color w:val="000000" w:themeColor="text1"/>
        </w:rPr>
        <w:t xml:space="preserve">appellant and </w:t>
      </w:r>
      <w:r w:rsidR="003911E3" w:rsidRPr="00A317BE">
        <w:rPr>
          <w:color w:val="000000" w:themeColor="text1"/>
        </w:rPr>
        <w:t>Kevin M</w:t>
      </w:r>
      <w:r w:rsidR="00FD3855" w:rsidRPr="00A317BE">
        <w:rPr>
          <w:color w:val="000000" w:themeColor="text1"/>
        </w:rPr>
        <w:t>a</w:t>
      </w:r>
      <w:r w:rsidR="003911E3" w:rsidRPr="00A317BE">
        <w:rPr>
          <w:color w:val="000000" w:themeColor="text1"/>
        </w:rPr>
        <w:t>cLeod</w:t>
      </w:r>
    </w:p>
    <w:p w14:paraId="5BF53A7D" w14:textId="77777777" w:rsidR="003911E3" w:rsidRPr="00A317BE" w:rsidRDefault="003911E3" w:rsidP="00A317BE">
      <w:pPr>
        <w:tabs>
          <w:tab w:val="left" w:pos="567"/>
        </w:tabs>
        <w:rPr>
          <w:color w:val="000000" w:themeColor="text1"/>
        </w:rPr>
      </w:pPr>
    </w:p>
    <w:p w14:paraId="593610CF" w14:textId="25759392" w:rsidR="00404254" w:rsidRPr="00A317BE" w:rsidRDefault="00B42C30"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The email exchange </w:t>
      </w:r>
      <w:r w:rsidR="00F07FBD" w:rsidRPr="00A317BE">
        <w:rPr>
          <w:color w:val="000000" w:themeColor="text1"/>
        </w:rPr>
        <w:t>in question took place between the appellant</w:t>
      </w:r>
      <w:r w:rsidRPr="00A317BE">
        <w:rPr>
          <w:color w:val="000000" w:themeColor="text1"/>
        </w:rPr>
        <w:t xml:space="preserve"> and </w:t>
      </w:r>
      <w:r w:rsidR="002222C5" w:rsidRPr="00A317BE">
        <w:rPr>
          <w:color w:val="000000" w:themeColor="text1"/>
        </w:rPr>
        <w:t xml:space="preserve">one </w:t>
      </w:r>
      <w:r w:rsidRPr="00A317BE">
        <w:rPr>
          <w:color w:val="000000" w:themeColor="text1"/>
        </w:rPr>
        <w:t xml:space="preserve">Kevin MacLeod on the 18 August 2014. </w:t>
      </w:r>
      <w:r w:rsidR="005D1964" w:rsidRPr="00A317BE">
        <w:rPr>
          <w:color w:val="000000" w:themeColor="text1"/>
        </w:rPr>
        <w:t>The appellant has described Mr. M</w:t>
      </w:r>
      <w:r w:rsidR="00FD3855" w:rsidRPr="00A317BE">
        <w:rPr>
          <w:color w:val="000000" w:themeColor="text1"/>
        </w:rPr>
        <w:t>a</w:t>
      </w:r>
      <w:r w:rsidR="005D1964" w:rsidRPr="00A317BE">
        <w:rPr>
          <w:color w:val="000000" w:themeColor="text1"/>
        </w:rPr>
        <w:t xml:space="preserve">cLeod as being of Consult-Partners, a UK consultancy firm beneficially owned by Ian Andrews. </w:t>
      </w:r>
      <w:r w:rsidR="00F07FBD" w:rsidRPr="00A317BE">
        <w:rPr>
          <w:color w:val="000000" w:themeColor="text1"/>
        </w:rPr>
        <w:t>Again, I emphasise that these are the emails which</w:t>
      </w:r>
      <w:r w:rsidRPr="00A317BE">
        <w:rPr>
          <w:color w:val="000000" w:themeColor="text1"/>
        </w:rPr>
        <w:t xml:space="preserve"> the appellant </w:t>
      </w:r>
      <w:r w:rsidR="00C3666D" w:rsidRPr="00A317BE">
        <w:rPr>
          <w:color w:val="000000" w:themeColor="text1"/>
        </w:rPr>
        <w:t xml:space="preserve">now </w:t>
      </w:r>
      <w:r w:rsidRPr="00A317BE">
        <w:rPr>
          <w:color w:val="000000" w:themeColor="text1"/>
        </w:rPr>
        <w:t xml:space="preserve">maintains form the basis of the contract between her and </w:t>
      </w:r>
      <w:r w:rsidR="009A6C4B" w:rsidRPr="00A317BE">
        <w:rPr>
          <w:color w:val="000000" w:themeColor="text1"/>
        </w:rPr>
        <w:t>the respondent</w:t>
      </w:r>
      <w:r w:rsidRPr="00A317BE">
        <w:rPr>
          <w:color w:val="000000" w:themeColor="text1"/>
        </w:rPr>
        <w:t xml:space="preserve"> with regard to the work she performed on the Project</w:t>
      </w:r>
      <w:r w:rsidR="00404254" w:rsidRPr="00A317BE">
        <w:rPr>
          <w:color w:val="000000" w:themeColor="text1"/>
        </w:rPr>
        <w:t xml:space="preserve">. </w:t>
      </w:r>
      <w:r w:rsidR="00F07FBD" w:rsidRPr="00A317BE">
        <w:rPr>
          <w:color w:val="000000" w:themeColor="text1"/>
        </w:rPr>
        <w:t xml:space="preserve">In this regard, it is unfortunate that the copies of the emails furnished to the court were in places illegible because of the photocopying process. </w:t>
      </w:r>
      <w:r w:rsidR="005B20CB" w:rsidRPr="00A317BE">
        <w:rPr>
          <w:color w:val="000000" w:themeColor="text1"/>
        </w:rPr>
        <w:t xml:space="preserve">I have recorded this below where appropriate. </w:t>
      </w:r>
    </w:p>
    <w:p w14:paraId="305E5104" w14:textId="77777777" w:rsidR="00404254" w:rsidRPr="00A317BE" w:rsidRDefault="00404254" w:rsidP="00A317BE">
      <w:pPr>
        <w:pStyle w:val="ListParagraph"/>
        <w:tabs>
          <w:tab w:val="left" w:pos="567"/>
        </w:tabs>
        <w:ind w:left="0"/>
        <w:rPr>
          <w:color w:val="000000" w:themeColor="text1"/>
        </w:rPr>
      </w:pPr>
    </w:p>
    <w:p w14:paraId="6C01E237" w14:textId="77777777" w:rsidR="00420AF7" w:rsidRDefault="00E424DA"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There is an email on the timed 13:26 from the appellant to Mr. MacLeod saying: </w:t>
      </w:r>
    </w:p>
    <w:p w14:paraId="1F5037BE" w14:textId="77777777" w:rsidR="00420AF7" w:rsidRPr="00A317BE" w:rsidRDefault="00420AF7" w:rsidP="00A317BE">
      <w:pPr>
        <w:pStyle w:val="ListParagraph"/>
        <w:rPr>
          <w:color w:val="000000" w:themeColor="text1"/>
        </w:rPr>
      </w:pPr>
    </w:p>
    <w:p w14:paraId="57D8BD5B" w14:textId="51E8D360" w:rsidR="00E424DA" w:rsidRPr="00A317BE" w:rsidRDefault="00E424DA" w:rsidP="00A317BE">
      <w:pPr>
        <w:pStyle w:val="ListParagraph"/>
        <w:tabs>
          <w:tab w:val="left" w:pos="567"/>
        </w:tabs>
        <w:spacing w:after="0"/>
        <w:ind w:left="567"/>
        <w:rPr>
          <w:color w:val="000000" w:themeColor="text1"/>
        </w:rPr>
      </w:pPr>
      <w:r w:rsidRPr="00A317BE">
        <w:rPr>
          <w:color w:val="000000" w:themeColor="text1"/>
        </w:rPr>
        <w:t>“</w:t>
      </w:r>
      <w:r w:rsidRPr="00A317BE">
        <w:rPr>
          <w:i/>
          <w:iCs/>
          <w:color w:val="000000" w:themeColor="text1"/>
        </w:rPr>
        <w:t xml:space="preserve">Dear Kevin, Thank you for your email.  I am certainly interested in playing a role in these areas </w:t>
      </w:r>
      <w:r w:rsidRPr="00A317BE">
        <w:rPr>
          <w:color w:val="000000" w:themeColor="text1"/>
        </w:rPr>
        <w:t xml:space="preserve">[words illegible].  </w:t>
      </w:r>
      <w:r w:rsidRPr="00A317BE">
        <w:rPr>
          <w:i/>
          <w:iCs/>
          <w:color w:val="000000" w:themeColor="text1"/>
        </w:rPr>
        <w:t xml:space="preserve">Legal research: I am aware that </w:t>
      </w:r>
      <w:r w:rsidR="00404254" w:rsidRPr="00A317BE">
        <w:rPr>
          <w:i/>
          <w:iCs/>
          <w:color w:val="000000" w:themeColor="text1"/>
        </w:rPr>
        <w:t>H</w:t>
      </w:r>
      <w:r w:rsidRPr="00A317BE">
        <w:rPr>
          <w:i/>
          <w:iCs/>
          <w:color w:val="000000" w:themeColor="text1"/>
        </w:rPr>
        <w:t xml:space="preserve">ome </w:t>
      </w:r>
      <w:r w:rsidR="00404254" w:rsidRPr="00A317BE">
        <w:rPr>
          <w:i/>
          <w:iCs/>
          <w:color w:val="000000" w:themeColor="text1"/>
        </w:rPr>
        <w:t>F</w:t>
      </w:r>
      <w:r w:rsidRPr="00A317BE">
        <w:rPr>
          <w:i/>
          <w:iCs/>
          <w:color w:val="000000" w:themeColor="text1"/>
        </w:rPr>
        <w:t xml:space="preserve">unding </w:t>
      </w:r>
      <w:r w:rsidRPr="00A317BE">
        <w:rPr>
          <w:i/>
          <w:iCs/>
          <w:color w:val="000000" w:themeColor="text1"/>
        </w:rPr>
        <w:lastRenderedPageBreak/>
        <w:t xml:space="preserve">operates in </w:t>
      </w:r>
      <w:r w:rsidR="008D1B8F" w:rsidRPr="00A317BE">
        <w:rPr>
          <w:i/>
          <w:iCs/>
          <w:color w:val="000000" w:themeColor="text1"/>
        </w:rPr>
        <w:t xml:space="preserve">the unlicensed subprime market </w:t>
      </w:r>
      <w:r w:rsidRPr="00A317BE">
        <w:rPr>
          <w:i/>
          <w:iCs/>
          <w:color w:val="000000" w:themeColor="text1"/>
        </w:rPr>
        <w:t xml:space="preserve">and is not therefore subject to regulatory </w:t>
      </w:r>
      <w:r w:rsidRPr="00A317BE">
        <w:rPr>
          <w:bCs/>
          <w:i/>
          <w:iCs/>
          <w:color w:val="000000" w:themeColor="text1"/>
        </w:rPr>
        <w:t>codes.</w:t>
      </w:r>
      <w:r w:rsidRPr="00A317BE">
        <w:rPr>
          <w:b/>
          <w:bCs/>
          <w:i/>
          <w:iCs/>
          <w:color w:val="000000" w:themeColor="text1"/>
        </w:rPr>
        <w:t xml:space="preserve"> </w:t>
      </w:r>
      <w:r w:rsidRPr="00A317BE">
        <w:rPr>
          <w:bCs/>
          <w:i/>
          <w:iCs/>
          <w:color w:val="000000" w:themeColor="text1"/>
        </w:rPr>
        <w:t>B</w:t>
      </w:r>
      <w:r w:rsidRPr="00A317BE">
        <w:rPr>
          <w:i/>
          <w:iCs/>
          <w:color w:val="000000" w:themeColor="text1"/>
        </w:rPr>
        <w:t xml:space="preserve">ut as you mention legislative or regulatory changes may be in the pipeline.  </w:t>
      </w:r>
      <w:r w:rsidRPr="00A317BE">
        <w:rPr>
          <w:bCs/>
          <w:i/>
          <w:iCs/>
          <w:color w:val="000000" w:themeColor="text1"/>
        </w:rPr>
        <w:t>Writing a paper for submission</w:t>
      </w:r>
      <w:r w:rsidR="00404254" w:rsidRPr="00A317BE">
        <w:rPr>
          <w:bCs/>
          <w:i/>
          <w:iCs/>
          <w:color w:val="000000" w:themeColor="text1"/>
        </w:rPr>
        <w:t xml:space="preserve"> </w:t>
      </w:r>
      <w:r w:rsidRPr="00A317BE">
        <w:rPr>
          <w:bCs/>
          <w:i/>
          <w:iCs/>
          <w:color w:val="000000" w:themeColor="text1"/>
        </w:rPr>
        <w:t>to government is "right up my alleyway". I have extensive experience of conducting legal research and actually secured the highest mark in this subject in the Bar exam. As far as a fee is concerned, I don't like the idea of charging on a time-costing basis. Charging on this basis encourages overservicing and time sheet abuse and discourages professionalism. Whilst I would never yield to these temptations, I p</w:t>
      </w:r>
      <w:r w:rsidR="00404254" w:rsidRPr="00A317BE">
        <w:rPr>
          <w:bCs/>
          <w:i/>
          <w:iCs/>
          <w:color w:val="000000" w:themeColor="text1"/>
        </w:rPr>
        <w:t>erish</w:t>
      </w:r>
      <w:r w:rsidRPr="00A317BE">
        <w:rPr>
          <w:bCs/>
          <w:i/>
          <w:iCs/>
          <w:color w:val="000000" w:themeColor="text1"/>
        </w:rPr>
        <w:t xml:space="preserve"> the thought</w:t>
      </w:r>
      <w:r w:rsidRPr="00A317BE">
        <w:rPr>
          <w:b/>
          <w:bCs/>
          <w:i/>
          <w:iCs/>
          <w:color w:val="000000" w:themeColor="text1"/>
        </w:rPr>
        <w:t xml:space="preserve">. </w:t>
      </w:r>
      <w:r w:rsidRPr="00A317BE">
        <w:rPr>
          <w:bCs/>
          <w:i/>
          <w:iCs/>
          <w:color w:val="000000" w:themeColor="text1"/>
        </w:rPr>
        <w:t>I still feel from the perspective of Vivier, a fixed fee would be a more appropriate basis for remunerating me. I don't know how much work is involved in this project. May I therefore respectfully request you to suggest an appropriate fee?/</w:t>
      </w:r>
      <w:r w:rsidRPr="00A317BE">
        <w:rPr>
          <w:b/>
          <w:bCs/>
          <w:i/>
          <w:iCs/>
          <w:color w:val="000000" w:themeColor="text1"/>
        </w:rPr>
        <w:t xml:space="preserve"> </w:t>
      </w:r>
      <w:r w:rsidRPr="00A317BE">
        <w:rPr>
          <w:bCs/>
          <w:i/>
          <w:iCs/>
          <w:color w:val="000000" w:themeColor="text1"/>
        </w:rPr>
        <w:t xml:space="preserve">Computer Skills: </w:t>
      </w:r>
      <w:r w:rsidRPr="00A317BE">
        <w:rPr>
          <w:bCs/>
          <w:color w:val="000000" w:themeColor="text1"/>
        </w:rPr>
        <w:t xml:space="preserve">[Words illegible] ... </w:t>
      </w:r>
      <w:r w:rsidRPr="00A317BE">
        <w:rPr>
          <w:bCs/>
          <w:i/>
          <w:iCs/>
          <w:color w:val="000000" w:themeColor="text1"/>
        </w:rPr>
        <w:t>"I would therefore need more information about what the work entails. What level of Visual</w:t>
      </w:r>
      <w:r w:rsidRPr="00A317BE">
        <w:rPr>
          <w:bCs/>
          <w:color w:val="000000" w:themeColor="text1"/>
        </w:rPr>
        <w:t xml:space="preserve">[Basic?] </w:t>
      </w:r>
      <w:r w:rsidRPr="00A317BE">
        <w:rPr>
          <w:bCs/>
          <w:i/>
          <w:iCs/>
          <w:color w:val="000000" w:themeColor="text1"/>
        </w:rPr>
        <w:t>is required? Is knowledge of HTML required? I presume...</w:t>
      </w:r>
      <w:r w:rsidRPr="00A317BE">
        <w:rPr>
          <w:bCs/>
          <w:color w:val="000000" w:themeColor="text1"/>
        </w:rPr>
        <w:t xml:space="preserve">[Words illegible] </w:t>
      </w:r>
      <w:r w:rsidRPr="00A317BE">
        <w:rPr>
          <w:bCs/>
          <w:i/>
          <w:iCs/>
          <w:color w:val="000000" w:themeColor="text1"/>
        </w:rPr>
        <w:t>Therefore, an annual retainer fee may be more appropriate than rewarding on an hourly basis for the reason already cited). But I am definitely interested. I look forward to clarification in this regard. Kind regards ..."</w:t>
      </w:r>
    </w:p>
    <w:p w14:paraId="078E06AC" w14:textId="77777777" w:rsidR="00DB4C6D" w:rsidRPr="00A317BE" w:rsidRDefault="00DB4C6D" w:rsidP="00A317BE">
      <w:pPr>
        <w:pStyle w:val="ListParagraph"/>
        <w:tabs>
          <w:tab w:val="left" w:pos="567"/>
        </w:tabs>
        <w:spacing w:after="0"/>
        <w:ind w:left="0"/>
        <w:rPr>
          <w:color w:val="000000" w:themeColor="text1"/>
        </w:rPr>
      </w:pPr>
    </w:p>
    <w:p w14:paraId="22B6E0D7" w14:textId="0D23485A" w:rsidR="00DB4C6D" w:rsidRPr="00A317BE" w:rsidRDefault="00DB4C6D" w:rsidP="00F26376">
      <w:pPr>
        <w:numPr>
          <w:ilvl w:val="0"/>
          <w:numId w:val="23"/>
        </w:numPr>
        <w:tabs>
          <w:tab w:val="left" w:pos="567"/>
        </w:tabs>
        <w:autoSpaceDE w:val="0"/>
        <w:autoSpaceDN w:val="0"/>
        <w:adjustRightInd w:val="0"/>
        <w:spacing w:line="480" w:lineRule="auto"/>
        <w:ind w:left="0" w:firstLine="0"/>
        <w:rPr>
          <w:color w:val="000000" w:themeColor="text1"/>
        </w:rPr>
      </w:pPr>
      <w:r w:rsidRPr="00A317BE">
        <w:rPr>
          <w:color w:val="000000" w:themeColor="text1"/>
        </w:rPr>
        <w:t xml:space="preserve">There is an email timed 15:11 from Mr. MacLeod to the appellant which says </w:t>
      </w:r>
      <w:r w:rsidRPr="00A317BE">
        <w:rPr>
          <w:i/>
          <w:iCs/>
          <w:color w:val="000000" w:themeColor="text1"/>
        </w:rPr>
        <w:t xml:space="preserve">“Dear Joan, many </w:t>
      </w:r>
      <w:r w:rsidRPr="00A317BE">
        <w:rPr>
          <w:b/>
          <w:i/>
          <w:iCs/>
          <w:color w:val="000000" w:themeColor="text1"/>
        </w:rPr>
        <w:t xml:space="preserve">thanks I think the best way to proceed is to discuss </w:t>
      </w:r>
      <w:r w:rsidR="00ED4C88" w:rsidRPr="00A317BE">
        <w:rPr>
          <w:b/>
          <w:i/>
          <w:iCs/>
          <w:color w:val="000000" w:themeColor="text1"/>
        </w:rPr>
        <w:t>fees</w:t>
      </w:r>
      <w:r w:rsidRPr="00A317BE">
        <w:rPr>
          <w:b/>
          <w:i/>
          <w:iCs/>
          <w:color w:val="000000" w:themeColor="text1"/>
        </w:rPr>
        <w:t xml:space="preserve"> as and when specific tasks calling for your expertise arise.</w:t>
      </w:r>
      <w:r w:rsidRPr="00A317BE">
        <w:rPr>
          <w:i/>
          <w:iCs/>
          <w:color w:val="000000" w:themeColor="text1"/>
        </w:rPr>
        <w:t xml:space="preserve">  In the meantime, Luigi has asked that you link in as director and secretary of Vivier Mortgages </w:t>
      </w:r>
      <w:r w:rsidRPr="00A317BE">
        <w:rPr>
          <w:color w:val="000000" w:themeColor="text1"/>
        </w:rPr>
        <w:t xml:space="preserve">[ words illegible]. </w:t>
      </w:r>
      <w:r w:rsidRPr="00A317BE">
        <w:rPr>
          <w:i/>
          <w:iCs/>
          <w:color w:val="000000" w:themeColor="text1"/>
        </w:rPr>
        <w:t xml:space="preserve">He would also like you to confirm your agreement to your acting as legal advisor </w:t>
      </w:r>
      <w:r w:rsidR="00ED4C88" w:rsidRPr="00A317BE">
        <w:rPr>
          <w:color w:val="000000" w:themeColor="text1"/>
        </w:rPr>
        <w:t xml:space="preserve">to </w:t>
      </w:r>
      <w:r w:rsidR="00ED4C88" w:rsidRPr="00A317BE">
        <w:rPr>
          <w:i/>
          <w:color w:val="000000" w:themeColor="text1"/>
        </w:rPr>
        <w:t>Vivier &amp; Co. and Vivier Developments Limited. Fees would be on the same ad hoc basis. If you agree please link in as legal adviser to the two Vivier companies. Finally please note that the change of name from HML to Vivier Mortgages Limited is now recorded at CRO”.</w:t>
      </w:r>
      <w:r w:rsidR="002222C5" w:rsidRPr="00A317BE">
        <w:rPr>
          <w:i/>
          <w:color w:val="000000" w:themeColor="text1"/>
        </w:rPr>
        <w:t xml:space="preserve"> (emphasis added)</w:t>
      </w:r>
    </w:p>
    <w:p w14:paraId="5CDC53F9" w14:textId="77777777" w:rsidR="00DB4C6D" w:rsidRPr="00A317BE" w:rsidRDefault="00DB4C6D" w:rsidP="00A317BE">
      <w:pPr>
        <w:pStyle w:val="ListParagraph"/>
        <w:tabs>
          <w:tab w:val="left" w:pos="567"/>
        </w:tabs>
        <w:ind w:left="0"/>
        <w:rPr>
          <w:color w:val="000000" w:themeColor="text1"/>
        </w:rPr>
      </w:pPr>
    </w:p>
    <w:p w14:paraId="08166692" w14:textId="77C60DC9" w:rsidR="00DB5170" w:rsidRPr="00A317BE" w:rsidRDefault="00E424DA" w:rsidP="00F26376">
      <w:pPr>
        <w:numPr>
          <w:ilvl w:val="0"/>
          <w:numId w:val="23"/>
        </w:numPr>
        <w:tabs>
          <w:tab w:val="left" w:pos="567"/>
        </w:tabs>
        <w:autoSpaceDE w:val="0"/>
        <w:autoSpaceDN w:val="0"/>
        <w:adjustRightInd w:val="0"/>
        <w:spacing w:line="480" w:lineRule="auto"/>
        <w:ind w:left="0" w:firstLine="0"/>
        <w:rPr>
          <w:color w:val="000000" w:themeColor="text1"/>
        </w:rPr>
      </w:pPr>
      <w:r w:rsidRPr="00A317BE">
        <w:rPr>
          <w:color w:val="000000" w:themeColor="text1"/>
        </w:rPr>
        <w:t xml:space="preserve"> </w:t>
      </w:r>
      <w:r w:rsidR="00DB4C6D" w:rsidRPr="00A317BE">
        <w:rPr>
          <w:color w:val="000000" w:themeColor="text1"/>
        </w:rPr>
        <w:t>A</w:t>
      </w:r>
      <w:r w:rsidR="00071093" w:rsidRPr="00A317BE">
        <w:rPr>
          <w:color w:val="000000" w:themeColor="text1"/>
        </w:rPr>
        <w:t>n</w:t>
      </w:r>
      <w:r w:rsidR="00DB4C6D" w:rsidRPr="00A317BE">
        <w:rPr>
          <w:color w:val="000000" w:themeColor="text1"/>
        </w:rPr>
        <w:t xml:space="preserve"> email</w:t>
      </w:r>
      <w:r w:rsidRPr="00A317BE">
        <w:rPr>
          <w:color w:val="000000" w:themeColor="text1"/>
        </w:rPr>
        <w:t xml:space="preserve"> from the appellant on the same date </w:t>
      </w:r>
      <w:r w:rsidR="00DB4C6D" w:rsidRPr="00A317BE">
        <w:rPr>
          <w:color w:val="000000" w:themeColor="text1"/>
        </w:rPr>
        <w:t>timed</w:t>
      </w:r>
      <w:r w:rsidRPr="00A317BE">
        <w:rPr>
          <w:color w:val="000000" w:themeColor="text1"/>
        </w:rPr>
        <w:t xml:space="preserve"> 15:32 </w:t>
      </w:r>
      <w:r w:rsidR="00DB4C6D" w:rsidRPr="00A317BE">
        <w:rPr>
          <w:color w:val="000000" w:themeColor="text1"/>
        </w:rPr>
        <w:t>says</w:t>
      </w:r>
      <w:r w:rsidRPr="00A317BE">
        <w:rPr>
          <w:color w:val="000000" w:themeColor="text1"/>
        </w:rPr>
        <w:t xml:space="preserve"> “</w:t>
      </w:r>
      <w:r w:rsidRPr="00A317BE">
        <w:rPr>
          <w:i/>
          <w:iCs/>
          <w:color w:val="000000" w:themeColor="text1"/>
        </w:rPr>
        <w:t xml:space="preserve">Yes I confirm my agreement to act as legal advisor to Vivier &amp; Co. and Vivier Development Ltd.” </w:t>
      </w:r>
    </w:p>
    <w:p w14:paraId="5E6998EC" w14:textId="77777777" w:rsidR="00DB5170" w:rsidRPr="00A317BE" w:rsidRDefault="00DB5170" w:rsidP="00A317BE">
      <w:pPr>
        <w:pStyle w:val="ListParagraph"/>
        <w:tabs>
          <w:tab w:val="left" w:pos="567"/>
        </w:tabs>
        <w:ind w:left="0"/>
        <w:rPr>
          <w:color w:val="000000" w:themeColor="text1"/>
        </w:rPr>
      </w:pPr>
    </w:p>
    <w:p w14:paraId="5F0E9EE6" w14:textId="13917583" w:rsidR="003911E3" w:rsidRPr="00A317BE" w:rsidRDefault="00071093" w:rsidP="00F26376">
      <w:pPr>
        <w:numPr>
          <w:ilvl w:val="0"/>
          <w:numId w:val="23"/>
        </w:numPr>
        <w:tabs>
          <w:tab w:val="left" w:pos="567"/>
        </w:tabs>
        <w:autoSpaceDE w:val="0"/>
        <w:autoSpaceDN w:val="0"/>
        <w:adjustRightInd w:val="0"/>
        <w:spacing w:line="480" w:lineRule="auto"/>
        <w:ind w:left="0" w:firstLine="0"/>
        <w:rPr>
          <w:i/>
          <w:color w:val="000000" w:themeColor="text1"/>
        </w:rPr>
      </w:pPr>
      <w:r w:rsidRPr="00A317BE">
        <w:rPr>
          <w:color w:val="000000" w:themeColor="text1"/>
        </w:rPr>
        <w:t>The final email is from</w:t>
      </w:r>
      <w:r w:rsidR="00E424DA" w:rsidRPr="00A317BE">
        <w:rPr>
          <w:color w:val="000000" w:themeColor="text1"/>
        </w:rPr>
        <w:t xml:space="preserve"> Mr. McLeod at 15:32: </w:t>
      </w:r>
      <w:r w:rsidR="00E424DA" w:rsidRPr="00A317BE">
        <w:rPr>
          <w:bCs/>
          <w:i/>
          <w:iCs/>
          <w:color w:val="000000" w:themeColor="text1"/>
        </w:rPr>
        <w:t>"Dear Joan, Many thanks. Luigi will be pleased. Please could we give our emails subject headings, that way I know where to [</w:t>
      </w:r>
      <w:r w:rsidR="00DB5170" w:rsidRPr="00A317BE">
        <w:rPr>
          <w:bCs/>
          <w:i/>
          <w:iCs/>
          <w:color w:val="000000" w:themeColor="text1"/>
        </w:rPr>
        <w:t>illegible</w:t>
      </w:r>
      <w:r w:rsidR="00E424DA" w:rsidRPr="00A317BE">
        <w:rPr>
          <w:bCs/>
          <w:i/>
          <w:iCs/>
          <w:color w:val="000000" w:themeColor="text1"/>
        </w:rPr>
        <w:t>] them'.</w:t>
      </w:r>
    </w:p>
    <w:p w14:paraId="4E5B37D7" w14:textId="77777777" w:rsidR="005D4E85" w:rsidRPr="00A317BE" w:rsidRDefault="005D4E85" w:rsidP="00A317BE">
      <w:pPr>
        <w:pStyle w:val="ListParagraph"/>
        <w:tabs>
          <w:tab w:val="left" w:pos="567"/>
        </w:tabs>
        <w:ind w:left="0"/>
        <w:rPr>
          <w:i/>
          <w:color w:val="000000" w:themeColor="text1"/>
        </w:rPr>
      </w:pPr>
    </w:p>
    <w:p w14:paraId="4E55D863" w14:textId="30C7AAC4" w:rsidR="005D4E85" w:rsidRPr="00A317BE" w:rsidRDefault="005D4E85" w:rsidP="00F26376">
      <w:pPr>
        <w:numPr>
          <w:ilvl w:val="0"/>
          <w:numId w:val="23"/>
        </w:numPr>
        <w:tabs>
          <w:tab w:val="left" w:pos="567"/>
        </w:tabs>
        <w:autoSpaceDE w:val="0"/>
        <w:autoSpaceDN w:val="0"/>
        <w:adjustRightInd w:val="0"/>
        <w:spacing w:line="480" w:lineRule="auto"/>
        <w:ind w:left="0" w:firstLine="0"/>
        <w:rPr>
          <w:i/>
          <w:color w:val="000000" w:themeColor="text1"/>
        </w:rPr>
      </w:pPr>
      <w:r w:rsidRPr="00A317BE">
        <w:rPr>
          <w:color w:val="000000" w:themeColor="text1"/>
        </w:rPr>
        <w:t xml:space="preserve">The appellant’s position is that these emails constitute a contract between her and </w:t>
      </w:r>
      <w:r w:rsidR="009A6C4B" w:rsidRPr="00A317BE">
        <w:rPr>
          <w:color w:val="000000" w:themeColor="text1"/>
        </w:rPr>
        <w:t>the respondent</w:t>
      </w:r>
      <w:r w:rsidRPr="00A317BE">
        <w:rPr>
          <w:color w:val="000000" w:themeColor="text1"/>
        </w:rPr>
        <w:t xml:space="preserve"> on the subject of the research services she was to provide, and that because the work was to be performed by her</w:t>
      </w:r>
      <w:r w:rsidR="00FD3855" w:rsidRPr="00A317BE">
        <w:rPr>
          <w:color w:val="000000" w:themeColor="text1"/>
        </w:rPr>
        <w:t xml:space="preserve"> in</w:t>
      </w:r>
      <w:r w:rsidRPr="00A317BE">
        <w:rPr>
          <w:color w:val="000000" w:themeColor="text1"/>
        </w:rPr>
        <w:t xml:space="preserve"> Ireland, that is the appropriate jurisdiction for resolving the dispute which has arisen as to payment for those services. </w:t>
      </w:r>
    </w:p>
    <w:p w14:paraId="28D4094F" w14:textId="480AD336" w:rsidR="00FB2C93" w:rsidRPr="00A317BE" w:rsidRDefault="00260A42" w:rsidP="00A317BE">
      <w:pPr>
        <w:pStyle w:val="Heading3"/>
        <w:tabs>
          <w:tab w:val="left" w:pos="567"/>
        </w:tabs>
        <w:rPr>
          <w:color w:val="000000" w:themeColor="text1"/>
        </w:rPr>
      </w:pPr>
      <w:r w:rsidRPr="00A317BE">
        <w:rPr>
          <w:color w:val="000000" w:themeColor="text1"/>
        </w:rPr>
        <w:t xml:space="preserve">4 </w:t>
      </w:r>
      <w:r w:rsidR="00954D33" w:rsidRPr="00A317BE">
        <w:rPr>
          <w:color w:val="000000" w:themeColor="text1"/>
        </w:rPr>
        <w:t>December 2014</w:t>
      </w:r>
      <w:r w:rsidR="00FD3855" w:rsidRPr="00A317BE">
        <w:rPr>
          <w:color w:val="000000" w:themeColor="text1"/>
        </w:rPr>
        <w:t xml:space="preserve"> </w:t>
      </w:r>
      <w:r w:rsidR="00827E91" w:rsidRPr="00A317BE">
        <w:rPr>
          <w:color w:val="000000" w:themeColor="text1"/>
        </w:rPr>
        <w:t>-</w:t>
      </w:r>
      <w:r w:rsidR="00FD3855" w:rsidRPr="00A317BE">
        <w:rPr>
          <w:color w:val="000000" w:themeColor="text1"/>
        </w:rPr>
        <w:t xml:space="preserve"> </w:t>
      </w:r>
      <w:r w:rsidR="00827E91" w:rsidRPr="00A317BE">
        <w:rPr>
          <w:color w:val="000000" w:themeColor="text1"/>
        </w:rPr>
        <w:t>Contract between appellant and respondent</w:t>
      </w:r>
    </w:p>
    <w:p w14:paraId="069E4D40" w14:textId="77777777" w:rsidR="00FB2C93" w:rsidRPr="00A317BE" w:rsidRDefault="00FB2C93" w:rsidP="00A317BE">
      <w:pPr>
        <w:tabs>
          <w:tab w:val="left" w:pos="567"/>
        </w:tabs>
        <w:rPr>
          <w:color w:val="000000" w:themeColor="text1"/>
        </w:rPr>
      </w:pPr>
    </w:p>
    <w:p w14:paraId="3E1E1B25" w14:textId="02FA4A10" w:rsidR="00953B5F" w:rsidRPr="00A317BE" w:rsidRDefault="008163EE"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In contrast, </w:t>
      </w:r>
      <w:r w:rsidR="009A6C4B" w:rsidRPr="00A317BE">
        <w:rPr>
          <w:color w:val="000000" w:themeColor="text1"/>
        </w:rPr>
        <w:t>the respondent</w:t>
      </w:r>
      <w:r w:rsidR="00C77CAD" w:rsidRPr="00A317BE">
        <w:rPr>
          <w:color w:val="000000" w:themeColor="text1"/>
        </w:rPr>
        <w:t xml:space="preserve">’s position is that </w:t>
      </w:r>
      <w:r w:rsidR="00FB2C93" w:rsidRPr="00A317BE">
        <w:rPr>
          <w:color w:val="000000" w:themeColor="text1"/>
        </w:rPr>
        <w:t>a</w:t>
      </w:r>
      <w:r w:rsidR="00C77CAD" w:rsidRPr="00A317BE">
        <w:rPr>
          <w:color w:val="000000" w:themeColor="text1"/>
        </w:rPr>
        <w:t xml:space="preserve"> document </w:t>
      </w:r>
      <w:r w:rsidR="00FB2C93" w:rsidRPr="00A317BE">
        <w:rPr>
          <w:color w:val="000000" w:themeColor="text1"/>
        </w:rPr>
        <w:t xml:space="preserve">dated the 5 December 2014 </w:t>
      </w:r>
      <w:r w:rsidR="00C77CAD" w:rsidRPr="00A317BE">
        <w:rPr>
          <w:color w:val="000000" w:themeColor="text1"/>
        </w:rPr>
        <w:t xml:space="preserve">governed the appellant’s </w:t>
      </w:r>
      <w:r w:rsidR="00FB2C93" w:rsidRPr="00A317BE">
        <w:rPr>
          <w:color w:val="000000" w:themeColor="text1"/>
        </w:rPr>
        <w:t xml:space="preserve">research </w:t>
      </w:r>
      <w:r w:rsidR="00C77CAD" w:rsidRPr="00A317BE">
        <w:rPr>
          <w:color w:val="000000" w:themeColor="text1"/>
        </w:rPr>
        <w:t>work on the Project</w:t>
      </w:r>
      <w:r w:rsidR="00FB2C93" w:rsidRPr="00A317BE">
        <w:rPr>
          <w:color w:val="000000" w:themeColor="text1"/>
        </w:rPr>
        <w:t xml:space="preserve"> and explicitly superseded any prior agreements. </w:t>
      </w:r>
      <w:r w:rsidR="00C77CAD" w:rsidRPr="00A317BE">
        <w:rPr>
          <w:color w:val="000000" w:themeColor="text1"/>
        </w:rPr>
        <w:t xml:space="preserve">The appellant maintains that </w:t>
      </w:r>
      <w:r w:rsidR="00FB2C93" w:rsidRPr="00A317BE">
        <w:rPr>
          <w:color w:val="000000" w:themeColor="text1"/>
        </w:rPr>
        <w:t>th</w:t>
      </w:r>
      <w:r w:rsidR="00AD4A7E" w:rsidRPr="00A317BE">
        <w:rPr>
          <w:color w:val="000000" w:themeColor="text1"/>
        </w:rPr>
        <w:t>is</w:t>
      </w:r>
      <w:r w:rsidR="00FB2C93" w:rsidRPr="00A317BE">
        <w:rPr>
          <w:color w:val="000000" w:themeColor="text1"/>
        </w:rPr>
        <w:t xml:space="preserve"> contract</w:t>
      </w:r>
      <w:r w:rsidR="00C77CAD" w:rsidRPr="00A317BE">
        <w:rPr>
          <w:color w:val="000000" w:themeColor="text1"/>
        </w:rPr>
        <w:t xml:space="preserve"> </w:t>
      </w:r>
      <w:r w:rsidRPr="00A317BE">
        <w:rPr>
          <w:color w:val="000000" w:themeColor="text1"/>
        </w:rPr>
        <w:t>encompassed her</w:t>
      </w:r>
      <w:r w:rsidR="00C77CAD" w:rsidRPr="00A317BE">
        <w:rPr>
          <w:color w:val="000000" w:themeColor="text1"/>
        </w:rPr>
        <w:t xml:space="preserve"> </w:t>
      </w:r>
      <w:r w:rsidR="00C77CAD" w:rsidRPr="00A317BE">
        <w:rPr>
          <w:i/>
          <w:color w:val="000000" w:themeColor="text1"/>
        </w:rPr>
        <w:t>directorship duties</w:t>
      </w:r>
      <w:r w:rsidR="00C77CAD" w:rsidRPr="00A317BE">
        <w:rPr>
          <w:color w:val="000000" w:themeColor="text1"/>
        </w:rPr>
        <w:t xml:space="preserve"> only</w:t>
      </w:r>
      <w:r w:rsidRPr="00A317BE">
        <w:rPr>
          <w:color w:val="000000" w:themeColor="text1"/>
        </w:rPr>
        <w:t xml:space="preserve"> and did not extend to the legal research she was to carry out on the Project.</w:t>
      </w:r>
      <w:r w:rsidR="00FB2C93" w:rsidRPr="00A317BE">
        <w:rPr>
          <w:color w:val="000000" w:themeColor="text1"/>
        </w:rPr>
        <w:t xml:space="preserve"> </w:t>
      </w:r>
      <w:r w:rsidRPr="00A317BE">
        <w:rPr>
          <w:color w:val="000000" w:themeColor="text1"/>
        </w:rPr>
        <w:t>Therefore, she says, it</w:t>
      </w:r>
      <w:r w:rsidR="00FB2C93" w:rsidRPr="00A317BE">
        <w:rPr>
          <w:color w:val="000000" w:themeColor="text1"/>
        </w:rPr>
        <w:t xml:space="preserve"> did not supersede her agreement concerning the research work.</w:t>
      </w:r>
      <w:r w:rsidR="00DE5FFD" w:rsidRPr="00A317BE">
        <w:rPr>
          <w:color w:val="000000" w:themeColor="text1"/>
        </w:rPr>
        <w:t xml:space="preserve">  As noted, this</w:t>
      </w:r>
      <w:r w:rsidR="00953B5F" w:rsidRPr="00A317BE">
        <w:rPr>
          <w:color w:val="000000" w:themeColor="text1"/>
        </w:rPr>
        <w:t xml:space="preserve"> document was not disclosed by the appellant to the High Court when she sought leave to serve out of the jurisdiction. </w:t>
      </w:r>
    </w:p>
    <w:p w14:paraId="5497EBA9" w14:textId="77777777" w:rsidR="00DE5FFD" w:rsidRPr="00A317BE" w:rsidRDefault="00DE5FFD" w:rsidP="00A317BE">
      <w:pPr>
        <w:pStyle w:val="ListParagraph"/>
        <w:tabs>
          <w:tab w:val="left" w:pos="567"/>
        </w:tabs>
        <w:spacing w:after="0"/>
        <w:ind w:left="0"/>
        <w:rPr>
          <w:color w:val="000000" w:themeColor="text1"/>
        </w:rPr>
      </w:pPr>
    </w:p>
    <w:p w14:paraId="367ACD1B" w14:textId="0ED3875E" w:rsidR="00954D33" w:rsidRDefault="00260A42"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The contract in question carries the title “Consultancy Agreement”. </w:t>
      </w:r>
      <w:r w:rsidR="00462440" w:rsidRPr="00A317BE">
        <w:rPr>
          <w:color w:val="000000" w:themeColor="text1"/>
        </w:rPr>
        <w:t>The date of the contract is</w:t>
      </w:r>
      <w:r w:rsidR="00954D33" w:rsidRPr="00A317BE">
        <w:rPr>
          <w:color w:val="000000" w:themeColor="text1"/>
        </w:rPr>
        <w:t xml:space="preserve"> the 5 December 2014 </w:t>
      </w:r>
      <w:r w:rsidR="00462440" w:rsidRPr="00A317BE">
        <w:rPr>
          <w:color w:val="000000" w:themeColor="text1"/>
        </w:rPr>
        <w:t>and it states</w:t>
      </w:r>
      <w:r w:rsidR="00954D33" w:rsidRPr="00A317BE">
        <w:rPr>
          <w:color w:val="000000" w:themeColor="text1"/>
        </w:rPr>
        <w:t xml:space="preserve"> that </w:t>
      </w:r>
      <w:r w:rsidR="009A6C4B" w:rsidRPr="00A317BE">
        <w:rPr>
          <w:color w:val="000000" w:themeColor="text1"/>
        </w:rPr>
        <w:t>the respondent</w:t>
      </w:r>
      <w:r w:rsidR="00462440" w:rsidRPr="00A317BE">
        <w:rPr>
          <w:color w:val="000000" w:themeColor="text1"/>
        </w:rPr>
        <w:t xml:space="preserve"> company </w:t>
      </w:r>
      <w:r w:rsidR="00954D33" w:rsidRPr="00A317BE">
        <w:rPr>
          <w:color w:val="000000" w:themeColor="text1"/>
        </w:rPr>
        <w:t xml:space="preserve">wishes to engage </w:t>
      </w:r>
      <w:r w:rsidR="00462440" w:rsidRPr="00A317BE">
        <w:rPr>
          <w:color w:val="000000" w:themeColor="text1"/>
        </w:rPr>
        <w:lastRenderedPageBreak/>
        <w:t>the appellant</w:t>
      </w:r>
      <w:r w:rsidR="00954D33" w:rsidRPr="00A317BE">
        <w:rPr>
          <w:color w:val="000000" w:themeColor="text1"/>
        </w:rPr>
        <w:t xml:space="preserve"> as an independent contractor to perform “the services”.  The schedule provides that “the services” are as follows:</w:t>
      </w:r>
    </w:p>
    <w:p w14:paraId="66198B60" w14:textId="77777777" w:rsidR="00AA67FD" w:rsidRPr="00AA67FD" w:rsidRDefault="00AA67FD" w:rsidP="00AA67FD">
      <w:pPr>
        <w:pStyle w:val="ListParagraph"/>
        <w:numPr>
          <w:ilvl w:val="0"/>
          <w:numId w:val="44"/>
        </w:numPr>
        <w:tabs>
          <w:tab w:val="left" w:pos="567"/>
        </w:tabs>
        <w:ind w:left="1134" w:hanging="567"/>
        <w:rPr>
          <w:color w:val="000000" w:themeColor="text1"/>
        </w:rPr>
      </w:pPr>
      <w:r w:rsidRPr="00AA67FD">
        <w:rPr>
          <w:color w:val="000000" w:themeColor="text1"/>
        </w:rPr>
        <w:t>To procure that the company features on comparison websites; and</w:t>
      </w:r>
    </w:p>
    <w:p w14:paraId="63FCE9FA" w14:textId="27480DD5" w:rsidR="00AA67FD" w:rsidRPr="00901690" w:rsidRDefault="00AA67FD" w:rsidP="00901690">
      <w:pPr>
        <w:pStyle w:val="ListParagraph"/>
        <w:numPr>
          <w:ilvl w:val="0"/>
          <w:numId w:val="44"/>
        </w:numPr>
        <w:tabs>
          <w:tab w:val="left" w:pos="567"/>
        </w:tabs>
        <w:ind w:left="1134" w:hanging="567"/>
        <w:rPr>
          <w:color w:val="000000" w:themeColor="text1"/>
        </w:rPr>
      </w:pPr>
      <w:r w:rsidRPr="00AA67FD">
        <w:rPr>
          <w:color w:val="000000" w:themeColor="text1"/>
        </w:rPr>
        <w:t>To secure representative agreements between the company and off-shore company registration agents in all respects approved in writing in advance by the company.</w:t>
      </w:r>
    </w:p>
    <w:p w14:paraId="0224271F" w14:textId="77777777" w:rsidR="00DE5FFD" w:rsidRPr="00A317BE" w:rsidRDefault="00DE5FFD" w:rsidP="00A317BE">
      <w:pPr>
        <w:pStyle w:val="ListParagraph"/>
        <w:tabs>
          <w:tab w:val="left" w:pos="567"/>
        </w:tabs>
        <w:spacing w:after="0"/>
        <w:ind w:left="0"/>
        <w:rPr>
          <w:color w:val="000000" w:themeColor="text1"/>
        </w:rPr>
      </w:pPr>
    </w:p>
    <w:p w14:paraId="1676DC21" w14:textId="7AF8E7BF" w:rsidR="00954D33" w:rsidRPr="00A317BE" w:rsidRDefault="00954D33"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Paragraph 4 deals with the hours of work and says that the consultant undertakes and accepts to work the minimum hours set out in a schedule.  It also provides that she may work </w:t>
      </w:r>
      <w:r w:rsidR="00FD3855" w:rsidRPr="00A317BE">
        <w:rPr>
          <w:color w:val="000000" w:themeColor="text1"/>
        </w:rPr>
        <w:t xml:space="preserve">such </w:t>
      </w:r>
      <w:r w:rsidRPr="00A317BE">
        <w:rPr>
          <w:color w:val="000000" w:themeColor="text1"/>
        </w:rPr>
        <w:t>additional hours as may be necessary or required by the company in order to perform the services effectively</w:t>
      </w:r>
      <w:r w:rsidR="00FD3855" w:rsidRPr="00A317BE">
        <w:rPr>
          <w:color w:val="000000" w:themeColor="text1"/>
        </w:rPr>
        <w:t>,</w:t>
      </w:r>
      <w:r w:rsidRPr="00A317BE">
        <w:rPr>
          <w:color w:val="000000" w:themeColor="text1"/>
        </w:rPr>
        <w:t xml:space="preserve"> accepting that the fees and any commission allow for any such additional hours.  In the event that any part of the month is not worked in full, she is entitled to </w:t>
      </w:r>
      <w:r w:rsidRPr="00A317BE">
        <w:rPr>
          <w:i/>
          <w:color w:val="000000" w:themeColor="text1"/>
        </w:rPr>
        <w:t>pro rata</w:t>
      </w:r>
      <w:r w:rsidRPr="00A317BE">
        <w:rPr>
          <w:color w:val="000000" w:themeColor="text1"/>
        </w:rPr>
        <w:t xml:space="preserve"> fees accordingly.  </w:t>
      </w:r>
    </w:p>
    <w:p w14:paraId="7829A97E" w14:textId="77777777" w:rsidR="004D0574" w:rsidRPr="00A317BE" w:rsidRDefault="004D0574" w:rsidP="00A317BE">
      <w:pPr>
        <w:pStyle w:val="ListParagraph"/>
        <w:tabs>
          <w:tab w:val="left" w:pos="567"/>
        </w:tabs>
        <w:spacing w:after="0"/>
        <w:ind w:left="0"/>
        <w:rPr>
          <w:color w:val="000000" w:themeColor="text1"/>
        </w:rPr>
      </w:pPr>
    </w:p>
    <w:p w14:paraId="68E791C3" w14:textId="6D8AC71B" w:rsidR="00954D33" w:rsidRPr="00A317BE" w:rsidRDefault="00DE5FFD" w:rsidP="00F26376">
      <w:pPr>
        <w:pStyle w:val="ListParagraph"/>
        <w:numPr>
          <w:ilvl w:val="0"/>
          <w:numId w:val="23"/>
        </w:numPr>
        <w:tabs>
          <w:tab w:val="left" w:pos="567"/>
        </w:tabs>
        <w:spacing w:after="0"/>
        <w:ind w:left="0" w:firstLine="0"/>
        <w:rPr>
          <w:color w:val="000000" w:themeColor="text1"/>
        </w:rPr>
      </w:pPr>
      <w:r w:rsidRPr="00A317BE">
        <w:rPr>
          <w:color w:val="000000" w:themeColor="text1"/>
        </w:rPr>
        <w:t>Importantly for present purposes, p</w:t>
      </w:r>
      <w:r w:rsidR="00954D33" w:rsidRPr="00A317BE">
        <w:rPr>
          <w:color w:val="000000" w:themeColor="text1"/>
        </w:rPr>
        <w:t xml:space="preserve">aragraph 12 provides that the agreement shall be governed by and interpreted in accordance with the laws of New Zealand.  Paragraph 12.3 provides that any dispute that cannot be resolved within 10 working days of receipt of written notice from one party to the other shall be referred to mediation.  </w:t>
      </w:r>
    </w:p>
    <w:p w14:paraId="7D490919" w14:textId="77777777" w:rsidR="00DE5FFD" w:rsidRPr="00A317BE" w:rsidRDefault="00DE5FFD" w:rsidP="00A317BE">
      <w:pPr>
        <w:pStyle w:val="ListParagraph"/>
        <w:tabs>
          <w:tab w:val="left" w:pos="567"/>
        </w:tabs>
        <w:spacing w:after="0"/>
        <w:ind w:left="0"/>
        <w:rPr>
          <w:color w:val="000000" w:themeColor="text1"/>
        </w:rPr>
      </w:pPr>
    </w:p>
    <w:p w14:paraId="16CFD363" w14:textId="6522D46E" w:rsidR="00954D33" w:rsidRPr="00A317BE" w:rsidRDefault="00954D33"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Paragraph 15 provides that the agreement cancels and is in substitution for all previous letters of engagement, agreements and arrangements whether oral or in writing </w:t>
      </w:r>
      <w:r w:rsidR="00DE5FFD" w:rsidRPr="00A317BE">
        <w:rPr>
          <w:color w:val="000000" w:themeColor="text1"/>
        </w:rPr>
        <w:t>“</w:t>
      </w:r>
      <w:r w:rsidRPr="00A317BE">
        <w:rPr>
          <w:color w:val="000000" w:themeColor="text1"/>
        </w:rPr>
        <w:t>relating to the subject matter hereof</w:t>
      </w:r>
      <w:r w:rsidR="00DE5FFD" w:rsidRPr="00A317BE">
        <w:rPr>
          <w:color w:val="000000" w:themeColor="text1"/>
        </w:rPr>
        <w:t>”</w:t>
      </w:r>
      <w:r w:rsidRPr="00A317BE">
        <w:rPr>
          <w:color w:val="000000" w:themeColor="text1"/>
        </w:rPr>
        <w:t xml:space="preserve"> between the consultant and the company, all of which shall be deemed to have been terminated by mutual consent.  </w:t>
      </w:r>
    </w:p>
    <w:p w14:paraId="633655E5" w14:textId="77777777" w:rsidR="00DE5FFD" w:rsidRPr="00A317BE" w:rsidRDefault="00DE5FFD" w:rsidP="00151DF9">
      <w:pPr>
        <w:pStyle w:val="ListParagraph"/>
        <w:tabs>
          <w:tab w:val="left" w:pos="567"/>
        </w:tabs>
        <w:spacing w:after="0"/>
        <w:ind w:left="0"/>
        <w:rPr>
          <w:color w:val="000000" w:themeColor="text1"/>
        </w:rPr>
      </w:pPr>
    </w:p>
    <w:p w14:paraId="3DED45DF" w14:textId="11D4B68F" w:rsidR="00954D33" w:rsidRPr="00A317BE" w:rsidRDefault="00954D33" w:rsidP="00151DF9">
      <w:pPr>
        <w:pStyle w:val="ListParagraph"/>
        <w:numPr>
          <w:ilvl w:val="0"/>
          <w:numId w:val="23"/>
        </w:numPr>
        <w:tabs>
          <w:tab w:val="left" w:pos="567"/>
        </w:tabs>
        <w:spacing w:after="0"/>
        <w:ind w:left="0" w:firstLine="0"/>
        <w:rPr>
          <w:color w:val="000000" w:themeColor="text1"/>
        </w:rPr>
      </w:pPr>
      <w:r w:rsidRPr="00A317BE">
        <w:rPr>
          <w:color w:val="000000" w:themeColor="text1"/>
        </w:rPr>
        <w:lastRenderedPageBreak/>
        <w:t>The schedule provides</w:t>
      </w:r>
      <w:r w:rsidR="002C67E2" w:rsidRPr="00A317BE">
        <w:rPr>
          <w:color w:val="000000" w:themeColor="text1"/>
        </w:rPr>
        <w:t>,</w:t>
      </w:r>
      <w:r w:rsidRPr="00A317BE">
        <w:rPr>
          <w:color w:val="000000" w:themeColor="text1"/>
        </w:rPr>
        <w:t xml:space="preserve"> under </w:t>
      </w:r>
      <w:r w:rsidR="002C67E2" w:rsidRPr="00A317BE">
        <w:rPr>
          <w:color w:val="000000" w:themeColor="text1"/>
        </w:rPr>
        <w:t>“</w:t>
      </w:r>
      <w:r w:rsidRPr="00A317BE">
        <w:rPr>
          <w:color w:val="000000" w:themeColor="text1"/>
        </w:rPr>
        <w:t>hours of work</w:t>
      </w:r>
      <w:r w:rsidR="002C67E2" w:rsidRPr="00A317BE">
        <w:rPr>
          <w:color w:val="000000" w:themeColor="text1"/>
        </w:rPr>
        <w:t>”,</w:t>
      </w:r>
      <w:r w:rsidRPr="00A317BE">
        <w:rPr>
          <w:color w:val="000000" w:themeColor="text1"/>
        </w:rPr>
        <w:t xml:space="preserve"> that the expectation is that the consultant will average not less than 20 hours per week over a 7-day week contemporaneously with the hours undertaken with the company’s sister company, VML.   </w:t>
      </w:r>
    </w:p>
    <w:p w14:paraId="160DC63B" w14:textId="77777777" w:rsidR="002C67E2" w:rsidRPr="00A317BE" w:rsidRDefault="002C67E2" w:rsidP="00420AF7">
      <w:pPr>
        <w:pStyle w:val="ListParagraph"/>
        <w:tabs>
          <w:tab w:val="left" w:pos="567"/>
        </w:tabs>
        <w:spacing w:after="0"/>
        <w:ind w:left="0"/>
        <w:rPr>
          <w:color w:val="000000" w:themeColor="text1"/>
        </w:rPr>
      </w:pPr>
    </w:p>
    <w:p w14:paraId="529E4BBC" w14:textId="62DB5048" w:rsidR="00954D33" w:rsidRPr="00A317BE" w:rsidRDefault="00954D33" w:rsidP="00420AF7">
      <w:pPr>
        <w:pStyle w:val="ListParagraph"/>
        <w:numPr>
          <w:ilvl w:val="0"/>
          <w:numId w:val="23"/>
        </w:numPr>
        <w:tabs>
          <w:tab w:val="left" w:pos="567"/>
        </w:tabs>
        <w:spacing w:after="0"/>
        <w:ind w:left="0" w:firstLine="0"/>
        <w:rPr>
          <w:color w:val="000000" w:themeColor="text1"/>
        </w:rPr>
      </w:pPr>
      <w:r w:rsidRPr="00A317BE">
        <w:rPr>
          <w:color w:val="000000" w:themeColor="text1"/>
        </w:rPr>
        <w:t>The fees in the s</w:t>
      </w:r>
      <w:r w:rsidR="002C67E2" w:rsidRPr="00A317BE">
        <w:rPr>
          <w:color w:val="000000" w:themeColor="text1"/>
        </w:rPr>
        <w:t>che</w:t>
      </w:r>
      <w:r w:rsidRPr="00A317BE">
        <w:rPr>
          <w:color w:val="000000" w:themeColor="text1"/>
        </w:rPr>
        <w:t>dule are described as follows:</w:t>
      </w:r>
    </w:p>
    <w:p w14:paraId="30ACEBF7" w14:textId="77777777" w:rsidR="00AA67FD" w:rsidRPr="00A317BE" w:rsidRDefault="00AA67FD" w:rsidP="00AA67FD">
      <w:pPr>
        <w:pStyle w:val="ListParagraph"/>
        <w:numPr>
          <w:ilvl w:val="0"/>
          <w:numId w:val="34"/>
        </w:numPr>
        <w:tabs>
          <w:tab w:val="left" w:pos="567"/>
        </w:tabs>
        <w:spacing w:after="0"/>
        <w:ind w:left="1134" w:hanging="567"/>
        <w:rPr>
          <w:color w:val="000000" w:themeColor="text1"/>
        </w:rPr>
      </w:pPr>
      <w:r w:rsidRPr="00A317BE">
        <w:rPr>
          <w:color w:val="000000" w:themeColor="text1"/>
        </w:rPr>
        <w:t>For every full month during which the company features on a comparison website introduced solely by the consultant and approved by the company, €200; and,</w:t>
      </w:r>
    </w:p>
    <w:p w14:paraId="74E5330D" w14:textId="77777777" w:rsidR="00AA67FD" w:rsidRPr="00A317BE" w:rsidRDefault="00AA67FD" w:rsidP="00AA67FD">
      <w:pPr>
        <w:pStyle w:val="ListParagraph"/>
        <w:numPr>
          <w:ilvl w:val="0"/>
          <w:numId w:val="34"/>
        </w:numPr>
        <w:tabs>
          <w:tab w:val="left" w:pos="567"/>
        </w:tabs>
        <w:spacing w:after="0"/>
        <w:ind w:left="1134" w:hanging="567"/>
        <w:rPr>
          <w:color w:val="000000" w:themeColor="text1"/>
        </w:rPr>
      </w:pPr>
      <w:r w:rsidRPr="00A317BE">
        <w:rPr>
          <w:color w:val="000000" w:themeColor="text1"/>
        </w:rPr>
        <w:t>For every agreement signed by the company and an off-shore company registration agent introduced solely by the consultant, €500.</w:t>
      </w:r>
    </w:p>
    <w:p w14:paraId="5F410EB0" w14:textId="7CFBD036" w:rsidR="00AA67FD" w:rsidRPr="00901690" w:rsidRDefault="00AA67FD" w:rsidP="00901690"/>
    <w:p w14:paraId="63C6ED7C" w14:textId="1A63A12B" w:rsidR="00954D33" w:rsidRPr="00A317BE" w:rsidRDefault="00954D33" w:rsidP="00A317BE">
      <w:pPr>
        <w:tabs>
          <w:tab w:val="left" w:pos="567"/>
        </w:tabs>
        <w:spacing w:line="480" w:lineRule="auto"/>
        <w:rPr>
          <w:color w:val="000000" w:themeColor="text1"/>
        </w:rPr>
      </w:pPr>
      <w:r w:rsidRPr="00A317BE">
        <w:rPr>
          <w:color w:val="000000" w:themeColor="text1"/>
        </w:rPr>
        <w:t xml:space="preserve">Provision is also made for commission in relation to each 12- month rolling notice deposit brought in solely by the consultant and accepted by the company.  </w:t>
      </w:r>
    </w:p>
    <w:p w14:paraId="41BD4153" w14:textId="77777777" w:rsidR="002C67E2" w:rsidRPr="00A317BE" w:rsidRDefault="002C67E2" w:rsidP="00F26376">
      <w:pPr>
        <w:tabs>
          <w:tab w:val="left" w:pos="567"/>
        </w:tabs>
        <w:spacing w:line="480" w:lineRule="auto"/>
        <w:rPr>
          <w:color w:val="000000" w:themeColor="text1"/>
        </w:rPr>
      </w:pPr>
    </w:p>
    <w:p w14:paraId="26928137" w14:textId="7C324803" w:rsidR="00D75A2F" w:rsidRPr="00A317BE" w:rsidRDefault="00954D33"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The schedule provides for a review date, saying that the agreement shall be reviewed within six months of the relevant date for a possible extension.  </w:t>
      </w:r>
    </w:p>
    <w:p w14:paraId="30018E42" w14:textId="4DA40DBF" w:rsidR="00972D41" w:rsidRPr="00A317BE" w:rsidRDefault="007A3EEA" w:rsidP="00A317BE">
      <w:pPr>
        <w:pStyle w:val="Heading3"/>
        <w:tabs>
          <w:tab w:val="left" w:pos="567"/>
        </w:tabs>
        <w:rPr>
          <w:color w:val="000000" w:themeColor="text1"/>
        </w:rPr>
      </w:pPr>
      <w:r w:rsidRPr="00A317BE">
        <w:rPr>
          <w:color w:val="000000" w:themeColor="text1"/>
        </w:rPr>
        <w:t>2015</w:t>
      </w:r>
      <w:r w:rsidR="00FD3855" w:rsidRPr="00A317BE">
        <w:rPr>
          <w:color w:val="000000" w:themeColor="text1"/>
        </w:rPr>
        <w:t xml:space="preserve"> </w:t>
      </w:r>
      <w:r w:rsidRPr="00A317BE">
        <w:rPr>
          <w:color w:val="000000" w:themeColor="text1"/>
        </w:rPr>
        <w:t>-</w:t>
      </w:r>
      <w:r w:rsidR="00FD3855" w:rsidRPr="00A317BE">
        <w:rPr>
          <w:color w:val="000000" w:themeColor="text1"/>
        </w:rPr>
        <w:t xml:space="preserve"> </w:t>
      </w:r>
      <w:r w:rsidR="00972D41" w:rsidRPr="00A317BE">
        <w:rPr>
          <w:color w:val="000000" w:themeColor="text1"/>
        </w:rPr>
        <w:t>The appellant’s work on the Project</w:t>
      </w:r>
      <w:r w:rsidR="00023A38" w:rsidRPr="00A317BE">
        <w:rPr>
          <w:color w:val="000000" w:themeColor="text1"/>
        </w:rPr>
        <w:t xml:space="preserve"> </w:t>
      </w:r>
    </w:p>
    <w:p w14:paraId="4923310A" w14:textId="3DDE4239" w:rsidR="005B55CC" w:rsidRPr="00A317BE" w:rsidRDefault="00336F24"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 appellant’s position is</w:t>
      </w:r>
      <w:r w:rsidR="003750F1" w:rsidRPr="00A317BE">
        <w:rPr>
          <w:color w:val="000000" w:themeColor="text1"/>
        </w:rPr>
        <w:t xml:space="preserve"> that she worked from January to November 2015 on the project and that her work was reviewed </w:t>
      </w:r>
      <w:r w:rsidR="00574000" w:rsidRPr="00A317BE">
        <w:rPr>
          <w:color w:val="000000" w:themeColor="text1"/>
        </w:rPr>
        <w:t>directly by Mr. Wewege.</w:t>
      </w:r>
    </w:p>
    <w:p w14:paraId="129F4C57" w14:textId="77777777" w:rsidR="005B55CC" w:rsidRPr="00A317BE" w:rsidRDefault="005B55CC" w:rsidP="00151DF9">
      <w:pPr>
        <w:pStyle w:val="ListParagraph"/>
        <w:tabs>
          <w:tab w:val="left" w:pos="567"/>
        </w:tabs>
        <w:spacing w:after="0"/>
        <w:ind w:left="0"/>
        <w:rPr>
          <w:color w:val="000000" w:themeColor="text1"/>
        </w:rPr>
      </w:pPr>
    </w:p>
    <w:p w14:paraId="16DE0F1D" w14:textId="51DDCFAD" w:rsidR="005B55CC" w:rsidRPr="00A317BE" w:rsidRDefault="005B55CC" w:rsidP="00151DF9">
      <w:pPr>
        <w:pStyle w:val="ListParagraph"/>
        <w:numPr>
          <w:ilvl w:val="0"/>
          <w:numId w:val="23"/>
        </w:numPr>
        <w:tabs>
          <w:tab w:val="left" w:pos="567"/>
        </w:tabs>
        <w:spacing w:after="0"/>
        <w:ind w:left="0" w:firstLine="0"/>
        <w:rPr>
          <w:color w:val="000000" w:themeColor="text1"/>
        </w:rPr>
      </w:pPr>
      <w:r w:rsidRPr="00A317BE">
        <w:rPr>
          <w:color w:val="000000" w:themeColor="text1"/>
        </w:rPr>
        <w:t>With regard to payment, in her grounding affidavit, she had said</w:t>
      </w:r>
      <w:r w:rsidR="00574000" w:rsidRPr="00A317BE">
        <w:rPr>
          <w:color w:val="000000" w:themeColor="text1"/>
        </w:rPr>
        <w:t xml:space="preserve"> </w:t>
      </w:r>
      <w:r w:rsidRPr="00A317BE">
        <w:rPr>
          <w:color w:val="000000" w:themeColor="text1"/>
        </w:rPr>
        <w:t>–</w:t>
      </w:r>
    </w:p>
    <w:p w14:paraId="5FF68BE6" w14:textId="77777777" w:rsidR="005B55CC" w:rsidRPr="00A317BE" w:rsidRDefault="005B55CC" w:rsidP="00A317BE">
      <w:pPr>
        <w:tabs>
          <w:tab w:val="left" w:pos="567"/>
        </w:tabs>
        <w:rPr>
          <w:color w:val="000000" w:themeColor="text1"/>
        </w:rPr>
      </w:pPr>
    </w:p>
    <w:p w14:paraId="1061D185" w14:textId="7706CB18" w:rsidR="005B55CC" w:rsidRPr="00A317BE" w:rsidRDefault="005B55CC" w:rsidP="00901690">
      <w:pPr>
        <w:tabs>
          <w:tab w:val="left" w:pos="567"/>
        </w:tabs>
        <w:spacing w:line="480" w:lineRule="auto"/>
        <w:ind w:left="567"/>
        <w:rPr>
          <w:color w:val="000000" w:themeColor="text1"/>
        </w:rPr>
      </w:pPr>
      <w:r w:rsidRPr="00A317BE">
        <w:rPr>
          <w:color w:val="000000" w:themeColor="text1"/>
        </w:rPr>
        <w:t>“Although I was entitled to raise an invoice for the work I had carried out on the project, I did not immediately do this. My director’s contract with VCL established my right to earn commissions for bringing in deposits to VCL</w:t>
      </w:r>
      <w:r w:rsidR="00FD3855" w:rsidRPr="00A317BE">
        <w:rPr>
          <w:color w:val="000000" w:themeColor="text1"/>
        </w:rPr>
        <w:t xml:space="preserve"> – </w:t>
      </w:r>
      <w:r w:rsidRPr="00A317BE">
        <w:rPr>
          <w:color w:val="000000" w:themeColor="text1"/>
        </w:rPr>
        <w:t xml:space="preserve">a very valuable right – and I had also been led to believe by Mr. Wewege that VCL would one day offered </w:t>
      </w:r>
      <w:r w:rsidRPr="00A317BE">
        <w:rPr>
          <w:color w:val="000000" w:themeColor="text1"/>
        </w:rPr>
        <w:lastRenderedPageBreak/>
        <w:t xml:space="preserve">me a full-time position with the company. I was prepared to regard anticipated future benefits as a substitute for monetary remuneration for my input to the Bank Jurisdiction Comparison Project”. </w:t>
      </w:r>
    </w:p>
    <w:p w14:paraId="2D528298" w14:textId="77777777" w:rsidR="005B55CC" w:rsidRPr="00A317BE" w:rsidRDefault="005B55CC" w:rsidP="00F26376">
      <w:pPr>
        <w:tabs>
          <w:tab w:val="left" w:pos="567"/>
        </w:tabs>
        <w:spacing w:line="480" w:lineRule="auto"/>
        <w:rPr>
          <w:color w:val="000000" w:themeColor="text1"/>
        </w:rPr>
      </w:pPr>
    </w:p>
    <w:p w14:paraId="4267331E" w14:textId="5AE5B821" w:rsidR="00336F24" w:rsidRPr="00A317BE" w:rsidRDefault="005B55CC"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  The same information was set out in the </w:t>
      </w:r>
      <w:r w:rsidR="00FD3855" w:rsidRPr="00A317BE">
        <w:rPr>
          <w:color w:val="000000" w:themeColor="text1"/>
        </w:rPr>
        <w:t>S</w:t>
      </w:r>
      <w:r w:rsidRPr="00A317BE">
        <w:rPr>
          <w:color w:val="000000" w:themeColor="text1"/>
        </w:rPr>
        <w:t xml:space="preserve">tatement of </w:t>
      </w:r>
      <w:r w:rsidR="00FD3855" w:rsidRPr="00A317BE">
        <w:rPr>
          <w:color w:val="000000" w:themeColor="text1"/>
        </w:rPr>
        <w:t>C</w:t>
      </w:r>
      <w:r w:rsidRPr="00A317BE">
        <w:rPr>
          <w:color w:val="000000" w:themeColor="text1"/>
        </w:rPr>
        <w:t>laim.</w:t>
      </w:r>
    </w:p>
    <w:p w14:paraId="1252B522" w14:textId="77777777" w:rsidR="00290301" w:rsidRPr="00A317BE" w:rsidRDefault="00290301" w:rsidP="00A317BE">
      <w:pPr>
        <w:tabs>
          <w:tab w:val="left" w:pos="567"/>
        </w:tabs>
        <w:spacing w:line="480" w:lineRule="auto"/>
        <w:rPr>
          <w:color w:val="000000" w:themeColor="text1"/>
        </w:rPr>
      </w:pPr>
    </w:p>
    <w:p w14:paraId="6AECF621" w14:textId="39D5AA6C" w:rsidR="001462FC" w:rsidRPr="00A317BE" w:rsidRDefault="001462FC" w:rsidP="00A317BE">
      <w:pPr>
        <w:pStyle w:val="Heading3"/>
        <w:tabs>
          <w:tab w:val="left" w:pos="567"/>
        </w:tabs>
        <w:rPr>
          <w:color w:val="000000" w:themeColor="text1"/>
        </w:rPr>
      </w:pPr>
      <w:r w:rsidRPr="00A317BE">
        <w:rPr>
          <w:color w:val="000000" w:themeColor="text1"/>
        </w:rPr>
        <w:t xml:space="preserve">The events of </w:t>
      </w:r>
      <w:r w:rsidR="00FD3855" w:rsidRPr="00A317BE">
        <w:rPr>
          <w:color w:val="000000" w:themeColor="text1"/>
        </w:rPr>
        <w:t>S</w:t>
      </w:r>
      <w:r w:rsidRPr="00A317BE">
        <w:rPr>
          <w:color w:val="000000" w:themeColor="text1"/>
        </w:rPr>
        <w:t>ummer 2016</w:t>
      </w:r>
    </w:p>
    <w:p w14:paraId="15BD7887" w14:textId="04BD77FD" w:rsidR="00AD5E12" w:rsidRPr="00A317BE" w:rsidRDefault="00703E79"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averred that in May 2016, the New Zealand Court of Appeal upheld a decision of the </w:t>
      </w:r>
      <w:r w:rsidR="00FD3855" w:rsidRPr="00A317BE">
        <w:rPr>
          <w:color w:val="000000" w:themeColor="text1"/>
        </w:rPr>
        <w:t>Financial Markets Authority (</w:t>
      </w:r>
      <w:r w:rsidRPr="00A317BE">
        <w:rPr>
          <w:color w:val="000000" w:themeColor="text1"/>
        </w:rPr>
        <w:t>FMA</w:t>
      </w:r>
      <w:r w:rsidR="00FD3855" w:rsidRPr="00A317BE">
        <w:rPr>
          <w:color w:val="000000" w:themeColor="text1"/>
        </w:rPr>
        <w:t>)</w:t>
      </w:r>
      <w:r w:rsidRPr="00A317BE">
        <w:rPr>
          <w:color w:val="000000" w:themeColor="text1"/>
        </w:rPr>
        <w:t xml:space="preserve"> to delist the respondent. As a result of this, an article on the case appeared in the Irish media.  The appellant averred that as a result of this adverse publicity, she had a </w:t>
      </w:r>
      <w:r w:rsidRPr="00A317BE">
        <w:rPr>
          <w:i/>
          <w:color w:val="000000" w:themeColor="text1"/>
        </w:rPr>
        <w:t>discussion</w:t>
      </w:r>
      <w:r w:rsidRPr="00A317BE">
        <w:rPr>
          <w:color w:val="000000" w:themeColor="text1"/>
        </w:rPr>
        <w:t xml:space="preserve"> with Mr. Wewege about whether he wanted her to resign as director of the respondent “in order to obviate the semblance of a link between VML in Ireland and VCL in New Zealand”, but that she never actually offered to, or agreed to, resign. </w:t>
      </w:r>
    </w:p>
    <w:p w14:paraId="138D3F78" w14:textId="77777777" w:rsidR="0011341C" w:rsidRPr="00A317BE" w:rsidRDefault="0011341C" w:rsidP="00F26376">
      <w:pPr>
        <w:tabs>
          <w:tab w:val="left" w:pos="567"/>
        </w:tabs>
        <w:spacing w:line="480" w:lineRule="auto"/>
        <w:rPr>
          <w:color w:val="000000" w:themeColor="text1"/>
        </w:rPr>
      </w:pPr>
    </w:p>
    <w:p w14:paraId="30A0649E" w14:textId="72620D49" w:rsidR="000C74EE" w:rsidRPr="00A317BE" w:rsidRDefault="00703E79"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 She averred that Mr. Wewege without her consent directed the Corporate Secretary, Ms. Jana Backova, to effect the appellant’s resignation at the Companies Office in New Zealand. She was “upset”</w:t>
      </w:r>
      <w:r w:rsidR="000C74EE" w:rsidRPr="00A317BE">
        <w:rPr>
          <w:color w:val="000000" w:themeColor="text1"/>
        </w:rPr>
        <w:t xml:space="preserve">, </w:t>
      </w:r>
      <w:r w:rsidRPr="00A317BE">
        <w:rPr>
          <w:color w:val="000000" w:themeColor="text1"/>
        </w:rPr>
        <w:t xml:space="preserve">but </w:t>
      </w:r>
      <w:r w:rsidR="00AD5E12" w:rsidRPr="00A317BE">
        <w:rPr>
          <w:color w:val="000000" w:themeColor="text1"/>
        </w:rPr>
        <w:t xml:space="preserve"> </w:t>
      </w:r>
      <w:r w:rsidRPr="00A317BE">
        <w:rPr>
          <w:color w:val="000000" w:themeColor="text1"/>
        </w:rPr>
        <w:t xml:space="preserve">Mr. Wewege assured </w:t>
      </w:r>
      <w:r w:rsidR="00AD5E12" w:rsidRPr="00A317BE">
        <w:rPr>
          <w:color w:val="000000" w:themeColor="text1"/>
        </w:rPr>
        <w:t>her</w:t>
      </w:r>
      <w:r w:rsidRPr="00A317BE">
        <w:rPr>
          <w:color w:val="000000" w:themeColor="text1"/>
        </w:rPr>
        <w:t xml:space="preserve"> that the resignation was </w:t>
      </w:r>
      <w:r w:rsidR="000C74EE" w:rsidRPr="00A317BE">
        <w:rPr>
          <w:color w:val="000000" w:themeColor="text1"/>
        </w:rPr>
        <w:t>temporary</w:t>
      </w:r>
      <w:r w:rsidRPr="00A317BE">
        <w:rPr>
          <w:color w:val="000000" w:themeColor="text1"/>
        </w:rPr>
        <w:t xml:space="preserve"> and that she would be re-admitted to the Board of Directors of the respondent whenever she would </w:t>
      </w:r>
      <w:r w:rsidR="000C74EE" w:rsidRPr="00A317BE">
        <w:rPr>
          <w:color w:val="000000" w:themeColor="text1"/>
        </w:rPr>
        <w:t xml:space="preserve">so </w:t>
      </w:r>
      <w:r w:rsidRPr="00A317BE">
        <w:rPr>
          <w:color w:val="000000" w:themeColor="text1"/>
        </w:rPr>
        <w:t xml:space="preserve">“choose”. She averred </w:t>
      </w:r>
      <w:r w:rsidR="00FD3855" w:rsidRPr="00A317BE">
        <w:rPr>
          <w:color w:val="000000" w:themeColor="text1"/>
        </w:rPr>
        <w:t xml:space="preserve">that </w:t>
      </w:r>
      <w:r w:rsidRPr="00A317BE">
        <w:rPr>
          <w:color w:val="000000" w:themeColor="text1"/>
        </w:rPr>
        <w:t xml:space="preserve">the purpose of the resignation was </w:t>
      </w:r>
      <w:r w:rsidR="000C74EE" w:rsidRPr="00A317BE">
        <w:rPr>
          <w:color w:val="000000" w:themeColor="text1"/>
        </w:rPr>
        <w:t xml:space="preserve">solely </w:t>
      </w:r>
      <w:r w:rsidRPr="00A317BE">
        <w:rPr>
          <w:color w:val="000000" w:themeColor="text1"/>
        </w:rPr>
        <w:t>to decouple her name from the company in New Zealand</w:t>
      </w:r>
      <w:r w:rsidR="000C74EE" w:rsidRPr="00A317BE">
        <w:rPr>
          <w:color w:val="000000" w:themeColor="text1"/>
        </w:rPr>
        <w:t xml:space="preserve"> by reason of the adverse publicity in the media,</w:t>
      </w:r>
      <w:r w:rsidRPr="00A317BE">
        <w:rPr>
          <w:color w:val="000000" w:themeColor="text1"/>
        </w:rPr>
        <w:t xml:space="preserve"> but that her rights, such as her right to earn commission, were to be unaffected. </w:t>
      </w:r>
    </w:p>
    <w:p w14:paraId="135ED06B" w14:textId="77777777" w:rsidR="000C74EE" w:rsidRPr="00A317BE" w:rsidRDefault="000C74EE" w:rsidP="00151DF9">
      <w:pPr>
        <w:tabs>
          <w:tab w:val="left" w:pos="567"/>
        </w:tabs>
        <w:spacing w:line="480" w:lineRule="auto"/>
        <w:rPr>
          <w:color w:val="000000" w:themeColor="text1"/>
        </w:rPr>
      </w:pPr>
    </w:p>
    <w:p w14:paraId="6BD51652" w14:textId="3FE618B5" w:rsidR="00703E79" w:rsidRPr="00A317BE" w:rsidRDefault="000C74EE" w:rsidP="000C74B6">
      <w:pPr>
        <w:numPr>
          <w:ilvl w:val="0"/>
          <w:numId w:val="23"/>
        </w:numPr>
        <w:tabs>
          <w:tab w:val="left" w:pos="567"/>
        </w:tabs>
        <w:spacing w:line="480" w:lineRule="auto"/>
        <w:ind w:left="0" w:firstLine="0"/>
        <w:rPr>
          <w:color w:val="000000" w:themeColor="text1"/>
        </w:rPr>
      </w:pPr>
      <w:r w:rsidRPr="00A317BE">
        <w:rPr>
          <w:color w:val="000000" w:themeColor="text1"/>
        </w:rPr>
        <w:lastRenderedPageBreak/>
        <w:t>Th</w:t>
      </w:r>
      <w:r w:rsidR="0023494E" w:rsidRPr="00A317BE">
        <w:rPr>
          <w:color w:val="000000" w:themeColor="text1"/>
        </w:rPr>
        <w:t>e</w:t>
      </w:r>
      <w:r w:rsidRPr="00A317BE">
        <w:rPr>
          <w:color w:val="000000" w:themeColor="text1"/>
        </w:rPr>
        <w:t xml:space="preserve"> appellant averred</w:t>
      </w:r>
      <w:r w:rsidR="00B41E76" w:rsidRPr="00A317BE">
        <w:rPr>
          <w:color w:val="000000" w:themeColor="text1"/>
        </w:rPr>
        <w:t xml:space="preserve"> that by September 2016, she </w:t>
      </w:r>
      <w:r w:rsidRPr="00A317BE">
        <w:rPr>
          <w:color w:val="000000" w:themeColor="text1"/>
        </w:rPr>
        <w:t>felt</w:t>
      </w:r>
      <w:r w:rsidR="00B41E76" w:rsidRPr="00A317BE">
        <w:rPr>
          <w:color w:val="000000" w:themeColor="text1"/>
        </w:rPr>
        <w:t xml:space="preserve"> the </w:t>
      </w:r>
      <w:r w:rsidR="00FD3855" w:rsidRPr="00A317BE">
        <w:rPr>
          <w:color w:val="000000" w:themeColor="text1"/>
        </w:rPr>
        <w:t>“</w:t>
      </w:r>
      <w:r w:rsidR="00B41E76" w:rsidRPr="00A317BE">
        <w:rPr>
          <w:color w:val="000000" w:themeColor="text1"/>
        </w:rPr>
        <w:t>storm</w:t>
      </w:r>
      <w:r w:rsidR="00FD3855" w:rsidRPr="00A317BE">
        <w:rPr>
          <w:color w:val="000000" w:themeColor="text1"/>
        </w:rPr>
        <w:t>”</w:t>
      </w:r>
      <w:r w:rsidR="00B41E76" w:rsidRPr="00A317BE">
        <w:rPr>
          <w:color w:val="000000" w:themeColor="text1"/>
        </w:rPr>
        <w:t xml:space="preserve"> in Ireland had passed and </w:t>
      </w:r>
      <w:r w:rsidR="00645F83" w:rsidRPr="00A317BE">
        <w:rPr>
          <w:color w:val="000000" w:themeColor="text1"/>
        </w:rPr>
        <w:t xml:space="preserve">so she </w:t>
      </w:r>
      <w:r w:rsidR="00B41E76" w:rsidRPr="00A317BE">
        <w:rPr>
          <w:color w:val="000000" w:themeColor="text1"/>
        </w:rPr>
        <w:t xml:space="preserve">called upon Mr. Wewege to re-admit her to the Board of Directors but he refused. </w:t>
      </w:r>
    </w:p>
    <w:p w14:paraId="0941EEA6" w14:textId="77777777" w:rsidR="00703E79" w:rsidRPr="00A317BE" w:rsidRDefault="00703E79" w:rsidP="00420AF7">
      <w:pPr>
        <w:tabs>
          <w:tab w:val="left" w:pos="567"/>
        </w:tabs>
        <w:spacing w:line="480" w:lineRule="auto"/>
        <w:rPr>
          <w:color w:val="000000" w:themeColor="text1"/>
        </w:rPr>
      </w:pPr>
    </w:p>
    <w:p w14:paraId="06FCFEF0" w14:textId="794EA095" w:rsidR="00C37F1E" w:rsidRPr="00A317BE" w:rsidRDefault="002F6761" w:rsidP="00420AF7">
      <w:pPr>
        <w:numPr>
          <w:ilvl w:val="0"/>
          <w:numId w:val="23"/>
        </w:numPr>
        <w:tabs>
          <w:tab w:val="left" w:pos="567"/>
        </w:tabs>
        <w:spacing w:line="480" w:lineRule="auto"/>
        <w:ind w:left="0" w:firstLine="0"/>
        <w:rPr>
          <w:color w:val="000000" w:themeColor="text1"/>
        </w:rPr>
      </w:pPr>
      <w:r w:rsidRPr="00A317BE">
        <w:rPr>
          <w:color w:val="000000" w:themeColor="text1"/>
        </w:rPr>
        <w:t xml:space="preserve">The respondent’s position is that the appellant </w:t>
      </w:r>
      <w:r w:rsidR="00645F83" w:rsidRPr="00A317BE">
        <w:rPr>
          <w:color w:val="000000" w:themeColor="text1"/>
        </w:rPr>
        <w:t>did in fact resign</w:t>
      </w:r>
      <w:r w:rsidRPr="00A317BE">
        <w:rPr>
          <w:color w:val="000000" w:themeColor="text1"/>
        </w:rPr>
        <w:t xml:space="preserve"> from her position as director of the respondent and that she did so by means of an email </w:t>
      </w:r>
      <w:r w:rsidR="00892F4E" w:rsidRPr="00A317BE">
        <w:rPr>
          <w:color w:val="000000" w:themeColor="text1"/>
        </w:rPr>
        <w:t xml:space="preserve">dated the 19 May 2016 </w:t>
      </w:r>
      <w:r w:rsidRPr="00A317BE">
        <w:rPr>
          <w:color w:val="000000" w:themeColor="text1"/>
        </w:rPr>
        <w:t xml:space="preserve">sent to Ms. </w:t>
      </w:r>
      <w:r w:rsidR="00892F4E" w:rsidRPr="00A317BE">
        <w:rPr>
          <w:color w:val="000000" w:themeColor="text1"/>
        </w:rPr>
        <w:t xml:space="preserve">Jana </w:t>
      </w:r>
      <w:r w:rsidR="00FD3855" w:rsidRPr="00A317BE">
        <w:rPr>
          <w:color w:val="000000" w:themeColor="text1"/>
        </w:rPr>
        <w:t>Backova</w:t>
      </w:r>
      <w:r w:rsidR="00892F4E" w:rsidRPr="00A317BE">
        <w:rPr>
          <w:color w:val="000000" w:themeColor="text1"/>
        </w:rPr>
        <w:t>, Corporate Secretary for the respondent</w:t>
      </w:r>
      <w:r w:rsidRPr="00A317BE">
        <w:rPr>
          <w:color w:val="000000" w:themeColor="text1"/>
        </w:rPr>
        <w:t xml:space="preserve">. </w:t>
      </w:r>
    </w:p>
    <w:p w14:paraId="7BD79450" w14:textId="77777777" w:rsidR="00C37F1E" w:rsidRPr="00A317BE" w:rsidRDefault="00C37F1E" w:rsidP="00A317BE">
      <w:pPr>
        <w:tabs>
          <w:tab w:val="left" w:pos="567"/>
        </w:tabs>
        <w:spacing w:line="480" w:lineRule="auto"/>
        <w:rPr>
          <w:color w:val="000000" w:themeColor="text1"/>
        </w:rPr>
      </w:pPr>
    </w:p>
    <w:p w14:paraId="28346220" w14:textId="63A5B2C8" w:rsidR="002501D6" w:rsidRPr="00A317BE" w:rsidRDefault="002F6761"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maintains </w:t>
      </w:r>
      <w:r w:rsidR="00C37F1E" w:rsidRPr="00A317BE">
        <w:rPr>
          <w:color w:val="000000" w:themeColor="text1"/>
        </w:rPr>
        <w:t>that the document purporting to show that she re</w:t>
      </w:r>
      <w:r w:rsidR="00C84AB6" w:rsidRPr="00A317BE">
        <w:rPr>
          <w:color w:val="000000" w:themeColor="text1"/>
        </w:rPr>
        <w:t>si</w:t>
      </w:r>
      <w:r w:rsidR="00C37F1E" w:rsidRPr="00A317BE">
        <w:rPr>
          <w:color w:val="000000" w:themeColor="text1"/>
        </w:rPr>
        <w:t>gned</w:t>
      </w:r>
      <w:r w:rsidRPr="00A317BE">
        <w:rPr>
          <w:color w:val="000000" w:themeColor="text1"/>
        </w:rPr>
        <w:t xml:space="preserve"> is a forgery and that the electronic signature which it bears, purporting to show it came from her, was copied without her consent</w:t>
      </w:r>
      <w:r w:rsidR="00645F83" w:rsidRPr="00A317BE">
        <w:rPr>
          <w:color w:val="000000" w:themeColor="text1"/>
        </w:rPr>
        <w:t>.</w:t>
      </w:r>
    </w:p>
    <w:p w14:paraId="057FE192" w14:textId="77777777" w:rsidR="007F2705" w:rsidRPr="00A317BE" w:rsidRDefault="007F2705" w:rsidP="00A317BE">
      <w:pPr>
        <w:tabs>
          <w:tab w:val="left" w:pos="567"/>
        </w:tabs>
        <w:rPr>
          <w:color w:val="000000" w:themeColor="text1"/>
        </w:rPr>
      </w:pPr>
    </w:p>
    <w:p w14:paraId="18518855" w14:textId="7CA52620" w:rsidR="001462FC" w:rsidRPr="00A317BE" w:rsidRDefault="008E56C4" w:rsidP="00A317BE">
      <w:pPr>
        <w:pStyle w:val="Heading3"/>
        <w:tabs>
          <w:tab w:val="left" w:pos="567"/>
        </w:tabs>
        <w:rPr>
          <w:color w:val="000000" w:themeColor="text1"/>
        </w:rPr>
      </w:pPr>
      <w:r w:rsidRPr="00A317BE">
        <w:rPr>
          <w:color w:val="000000" w:themeColor="text1"/>
        </w:rPr>
        <w:t>Steps taken by the appellant in 2016</w:t>
      </w:r>
    </w:p>
    <w:p w14:paraId="66B499A3" w14:textId="77777777" w:rsidR="002501D6" w:rsidRPr="00A317BE" w:rsidRDefault="002501D6" w:rsidP="00A317BE">
      <w:pPr>
        <w:tabs>
          <w:tab w:val="left" w:pos="567"/>
        </w:tabs>
        <w:rPr>
          <w:color w:val="000000" w:themeColor="text1"/>
        </w:rPr>
      </w:pPr>
    </w:p>
    <w:p w14:paraId="2D980A56" w14:textId="63A6DD12" w:rsidR="00B203F0" w:rsidRPr="00A317BE" w:rsidRDefault="007F2705" w:rsidP="00F26376">
      <w:pPr>
        <w:pStyle w:val="ListParagraph"/>
        <w:numPr>
          <w:ilvl w:val="0"/>
          <w:numId w:val="23"/>
        </w:numPr>
        <w:tabs>
          <w:tab w:val="left" w:pos="567"/>
        </w:tabs>
        <w:ind w:left="0" w:firstLine="0"/>
        <w:rPr>
          <w:color w:val="000000" w:themeColor="text1"/>
        </w:rPr>
      </w:pPr>
      <w:r w:rsidRPr="00A317BE">
        <w:rPr>
          <w:color w:val="000000" w:themeColor="text1"/>
        </w:rPr>
        <w:t xml:space="preserve">The appellant averred that when it became apparent to her that Mr. Wewege did not intend to re-admit her to the Board of the respondent or provide her with full-time employment, she decided to seek compensation in respect of her Project work on a </w:t>
      </w:r>
      <w:r w:rsidRPr="00A317BE">
        <w:rPr>
          <w:i/>
          <w:color w:val="000000" w:themeColor="text1"/>
        </w:rPr>
        <w:t>quantum meruit</w:t>
      </w:r>
      <w:r w:rsidRPr="00A317BE">
        <w:rPr>
          <w:color w:val="000000" w:themeColor="text1"/>
        </w:rPr>
        <w:t xml:space="preserve"> basis. She says she served a number of notices of dispute </w:t>
      </w:r>
      <w:r w:rsidR="00F24DB2" w:rsidRPr="00A317BE">
        <w:rPr>
          <w:color w:val="000000" w:themeColor="text1"/>
        </w:rPr>
        <w:t>but that the respondent</w:t>
      </w:r>
      <w:r w:rsidRPr="00A317BE">
        <w:rPr>
          <w:color w:val="000000" w:themeColor="text1"/>
        </w:rPr>
        <w:t xml:space="preserve"> ignored them.</w:t>
      </w:r>
    </w:p>
    <w:p w14:paraId="17B962C8" w14:textId="4E18EF10" w:rsidR="007F2705" w:rsidRPr="00A317BE" w:rsidRDefault="007F2705" w:rsidP="00A317BE">
      <w:pPr>
        <w:pStyle w:val="ListParagraph"/>
        <w:tabs>
          <w:tab w:val="left" w:pos="567"/>
        </w:tabs>
        <w:ind w:left="0"/>
        <w:rPr>
          <w:color w:val="000000" w:themeColor="text1"/>
        </w:rPr>
      </w:pPr>
      <w:r w:rsidRPr="00A317BE">
        <w:rPr>
          <w:color w:val="000000" w:themeColor="text1"/>
        </w:rPr>
        <w:t xml:space="preserve"> </w:t>
      </w:r>
    </w:p>
    <w:p w14:paraId="36566B4E" w14:textId="643D6925" w:rsidR="008E56C4" w:rsidRPr="00A317BE" w:rsidRDefault="00B203F0"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 Court has seen an</w:t>
      </w:r>
      <w:r w:rsidR="005612F7" w:rsidRPr="00A317BE">
        <w:rPr>
          <w:color w:val="000000" w:themeColor="text1"/>
        </w:rPr>
        <w:t xml:space="preserve"> </w:t>
      </w:r>
      <w:r w:rsidR="008E56C4" w:rsidRPr="00A317BE">
        <w:rPr>
          <w:color w:val="000000" w:themeColor="text1"/>
        </w:rPr>
        <w:t xml:space="preserve">email dated </w:t>
      </w:r>
      <w:r w:rsidR="00FD3855" w:rsidRPr="00A317BE">
        <w:rPr>
          <w:color w:val="000000" w:themeColor="text1"/>
        </w:rPr>
        <w:t xml:space="preserve">the </w:t>
      </w:r>
      <w:r w:rsidR="008E56C4" w:rsidRPr="00A317BE">
        <w:rPr>
          <w:color w:val="000000" w:themeColor="text1"/>
        </w:rPr>
        <w:t>16 October 2016</w:t>
      </w:r>
      <w:r w:rsidR="005612F7" w:rsidRPr="00A317BE">
        <w:rPr>
          <w:color w:val="000000" w:themeColor="text1"/>
        </w:rPr>
        <w:t xml:space="preserve"> to Mr. Wewege, </w:t>
      </w:r>
      <w:r w:rsidR="005A78C1" w:rsidRPr="00A317BE">
        <w:rPr>
          <w:color w:val="000000" w:themeColor="text1"/>
        </w:rPr>
        <w:t xml:space="preserve">in which </w:t>
      </w:r>
      <w:r w:rsidR="002501D6" w:rsidRPr="00A317BE">
        <w:rPr>
          <w:color w:val="000000" w:themeColor="text1"/>
        </w:rPr>
        <w:t>the appellant</w:t>
      </w:r>
      <w:r w:rsidR="008E56C4" w:rsidRPr="00A317BE">
        <w:rPr>
          <w:color w:val="000000" w:themeColor="text1"/>
        </w:rPr>
        <w:t xml:space="preserve"> expresse</w:t>
      </w:r>
      <w:r w:rsidR="005A78C1" w:rsidRPr="00A317BE">
        <w:rPr>
          <w:color w:val="000000" w:themeColor="text1"/>
        </w:rPr>
        <w:t>s</w:t>
      </w:r>
      <w:r w:rsidR="008E56C4" w:rsidRPr="00A317BE">
        <w:rPr>
          <w:color w:val="000000" w:themeColor="text1"/>
        </w:rPr>
        <w:t xml:space="preserve"> her disappointment at not having heard from him within </w:t>
      </w:r>
      <w:r w:rsidR="00DB2A12" w:rsidRPr="00A317BE">
        <w:rPr>
          <w:color w:val="000000" w:themeColor="text1"/>
        </w:rPr>
        <w:t>the previous ten</w:t>
      </w:r>
      <w:r w:rsidR="008E56C4" w:rsidRPr="00A317BE">
        <w:rPr>
          <w:color w:val="000000" w:themeColor="text1"/>
        </w:rPr>
        <w:t xml:space="preserve"> days with a view to resolving their dispute and </w:t>
      </w:r>
      <w:r w:rsidR="00810A66" w:rsidRPr="00A317BE">
        <w:rPr>
          <w:color w:val="000000" w:themeColor="text1"/>
        </w:rPr>
        <w:t>assert</w:t>
      </w:r>
      <w:r w:rsidR="005A78C1" w:rsidRPr="00A317BE">
        <w:rPr>
          <w:color w:val="000000" w:themeColor="text1"/>
        </w:rPr>
        <w:t>s</w:t>
      </w:r>
      <w:r w:rsidR="008E56C4" w:rsidRPr="00A317BE">
        <w:rPr>
          <w:color w:val="000000" w:themeColor="text1"/>
        </w:rPr>
        <w:t xml:space="preserve"> that</w:t>
      </w:r>
      <w:r w:rsidR="00810A66" w:rsidRPr="00A317BE">
        <w:rPr>
          <w:color w:val="000000" w:themeColor="text1"/>
        </w:rPr>
        <w:t>,</w:t>
      </w:r>
      <w:r w:rsidR="008E56C4" w:rsidRPr="00A317BE">
        <w:rPr>
          <w:color w:val="000000" w:themeColor="text1"/>
        </w:rPr>
        <w:t xml:space="preserve"> </w:t>
      </w:r>
      <w:r w:rsidR="008E56C4" w:rsidRPr="00A317BE">
        <w:rPr>
          <w:i/>
          <w:color w:val="000000" w:themeColor="text1"/>
        </w:rPr>
        <w:t>according to the consultant’s contract,</w:t>
      </w:r>
      <w:r w:rsidR="008E56C4" w:rsidRPr="00A317BE">
        <w:rPr>
          <w:color w:val="000000" w:themeColor="text1"/>
        </w:rPr>
        <w:t xml:space="preserve"> the next step </w:t>
      </w:r>
      <w:r w:rsidR="00810A66" w:rsidRPr="00A317BE">
        <w:rPr>
          <w:color w:val="000000" w:themeColor="text1"/>
        </w:rPr>
        <w:t>was</w:t>
      </w:r>
      <w:r w:rsidR="008E56C4" w:rsidRPr="00A317BE">
        <w:rPr>
          <w:color w:val="000000" w:themeColor="text1"/>
        </w:rPr>
        <w:t xml:space="preserve"> to appoint an appropriately qualified person to media</w:t>
      </w:r>
      <w:r w:rsidR="00DB2A12" w:rsidRPr="00A317BE">
        <w:rPr>
          <w:color w:val="000000" w:themeColor="text1"/>
        </w:rPr>
        <w:t>te</w:t>
      </w:r>
      <w:r w:rsidR="00810A66" w:rsidRPr="00A317BE">
        <w:rPr>
          <w:color w:val="000000" w:themeColor="text1"/>
        </w:rPr>
        <w:t xml:space="preserve">. </w:t>
      </w:r>
      <w:r w:rsidR="00DB2A12" w:rsidRPr="00A317BE">
        <w:rPr>
          <w:color w:val="000000" w:themeColor="text1"/>
        </w:rPr>
        <w:t>The appellant suggested</w:t>
      </w:r>
      <w:r w:rsidR="008E56C4" w:rsidRPr="00A317BE">
        <w:rPr>
          <w:color w:val="000000" w:themeColor="text1"/>
        </w:rPr>
        <w:t xml:space="preserve"> a particular person who </w:t>
      </w:r>
      <w:r w:rsidR="00DB2A12" w:rsidRPr="00A317BE">
        <w:rPr>
          <w:color w:val="000000" w:themeColor="text1"/>
        </w:rPr>
        <w:t>was</w:t>
      </w:r>
      <w:r w:rsidR="008E56C4" w:rsidRPr="00A317BE">
        <w:rPr>
          <w:color w:val="000000" w:themeColor="text1"/>
        </w:rPr>
        <w:t xml:space="preserve"> a New Zealand mediator and solicitor.  She also sa</w:t>
      </w:r>
      <w:r w:rsidR="00DB2A12" w:rsidRPr="00A317BE">
        <w:rPr>
          <w:color w:val="000000" w:themeColor="text1"/>
        </w:rPr>
        <w:t>id</w:t>
      </w:r>
      <w:r w:rsidR="008E56C4" w:rsidRPr="00A317BE">
        <w:rPr>
          <w:color w:val="000000" w:themeColor="text1"/>
        </w:rPr>
        <w:t xml:space="preserve"> that she </w:t>
      </w:r>
      <w:r w:rsidR="00DB2A12" w:rsidRPr="00A317BE">
        <w:rPr>
          <w:color w:val="000000" w:themeColor="text1"/>
        </w:rPr>
        <w:t>was</w:t>
      </w:r>
      <w:r w:rsidR="008E56C4" w:rsidRPr="00A317BE">
        <w:rPr>
          <w:color w:val="000000" w:themeColor="text1"/>
        </w:rPr>
        <w:t xml:space="preserve"> prepared to consent to a variation in the consultancy agreement to </w:t>
      </w:r>
      <w:r w:rsidR="008E56C4" w:rsidRPr="00A317BE">
        <w:rPr>
          <w:color w:val="000000" w:themeColor="text1"/>
        </w:rPr>
        <w:lastRenderedPageBreak/>
        <w:t xml:space="preserve">facilitate the appointment of a meditator outside New Zealand and is receptive to having the dispute mediated in Ireland, the UK or the United States, but </w:t>
      </w:r>
      <w:r w:rsidR="00623841" w:rsidRPr="00A317BE">
        <w:rPr>
          <w:color w:val="000000" w:themeColor="text1"/>
        </w:rPr>
        <w:t xml:space="preserve">says </w:t>
      </w:r>
      <w:r w:rsidR="008E56C4" w:rsidRPr="00A317BE">
        <w:rPr>
          <w:color w:val="000000" w:themeColor="text1"/>
        </w:rPr>
        <w:t xml:space="preserve">that </w:t>
      </w:r>
      <w:r w:rsidR="00623841" w:rsidRPr="00A317BE">
        <w:rPr>
          <w:color w:val="000000" w:themeColor="text1"/>
        </w:rPr>
        <w:t>“</w:t>
      </w:r>
      <w:r w:rsidR="008E56C4" w:rsidRPr="00A317BE">
        <w:rPr>
          <w:i/>
          <w:color w:val="000000" w:themeColor="text1"/>
        </w:rPr>
        <w:t>the dispute would continue to be governed by New Zealand law</w:t>
      </w:r>
      <w:r w:rsidR="00623841" w:rsidRPr="00A317BE">
        <w:rPr>
          <w:color w:val="000000" w:themeColor="text1"/>
        </w:rPr>
        <w:t>”</w:t>
      </w:r>
      <w:r w:rsidR="008E56C4" w:rsidRPr="00A317BE">
        <w:rPr>
          <w:color w:val="000000" w:themeColor="text1"/>
        </w:rPr>
        <w:t>.</w:t>
      </w:r>
      <w:r w:rsidR="005A78C1" w:rsidRPr="00A317BE">
        <w:rPr>
          <w:color w:val="000000" w:themeColor="text1"/>
        </w:rPr>
        <w:t xml:space="preserve"> For obvious reasons, the respondent lays emphasis upon this email.</w:t>
      </w:r>
    </w:p>
    <w:p w14:paraId="37111C91" w14:textId="77777777" w:rsidR="00810A66" w:rsidRPr="00A317BE" w:rsidRDefault="00810A66" w:rsidP="00A317BE">
      <w:pPr>
        <w:pStyle w:val="ListParagraph"/>
        <w:tabs>
          <w:tab w:val="left" w:pos="567"/>
        </w:tabs>
        <w:spacing w:after="0"/>
        <w:ind w:left="0"/>
        <w:rPr>
          <w:color w:val="000000" w:themeColor="text1"/>
        </w:rPr>
      </w:pPr>
    </w:p>
    <w:p w14:paraId="2C5F7025" w14:textId="5DB3501C" w:rsidR="008E56C4" w:rsidRPr="00A317BE" w:rsidRDefault="005612F7"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By Notice of </w:t>
      </w:r>
      <w:r w:rsidR="00EB01B3" w:rsidRPr="00A317BE">
        <w:rPr>
          <w:color w:val="000000" w:themeColor="text1"/>
        </w:rPr>
        <w:t>D</w:t>
      </w:r>
      <w:r w:rsidRPr="00A317BE">
        <w:rPr>
          <w:color w:val="000000" w:themeColor="text1"/>
        </w:rPr>
        <w:t>ispute dated the 19 October 2016, the appellant</w:t>
      </w:r>
      <w:r w:rsidR="008E56C4" w:rsidRPr="00A317BE">
        <w:rPr>
          <w:color w:val="000000" w:themeColor="text1"/>
        </w:rPr>
        <w:t xml:space="preserve"> </w:t>
      </w:r>
      <w:r w:rsidR="00DC4DAA" w:rsidRPr="00A317BE">
        <w:rPr>
          <w:color w:val="000000" w:themeColor="text1"/>
        </w:rPr>
        <w:t>sought to invoke</w:t>
      </w:r>
      <w:r w:rsidR="00964CFF" w:rsidRPr="00A317BE">
        <w:rPr>
          <w:color w:val="000000" w:themeColor="text1"/>
        </w:rPr>
        <w:t xml:space="preserve"> both</w:t>
      </w:r>
      <w:r w:rsidR="00DC4DAA" w:rsidRPr="00A317BE">
        <w:rPr>
          <w:color w:val="000000" w:themeColor="text1"/>
        </w:rPr>
        <w:t xml:space="preserve"> </w:t>
      </w:r>
      <w:r w:rsidR="00F64E74" w:rsidRPr="00A317BE">
        <w:rPr>
          <w:color w:val="000000" w:themeColor="text1"/>
        </w:rPr>
        <w:t>C</w:t>
      </w:r>
      <w:r w:rsidR="00DC4DAA" w:rsidRPr="00A317BE">
        <w:rPr>
          <w:color w:val="000000" w:themeColor="text1"/>
        </w:rPr>
        <w:t>lause</w:t>
      </w:r>
      <w:r w:rsidR="006C577E" w:rsidRPr="00A317BE">
        <w:rPr>
          <w:color w:val="000000" w:themeColor="text1"/>
        </w:rPr>
        <w:t xml:space="preserve"> 12.3 of </w:t>
      </w:r>
      <w:r w:rsidR="002A265E" w:rsidRPr="00A317BE">
        <w:rPr>
          <w:color w:val="000000" w:themeColor="text1"/>
        </w:rPr>
        <w:t>the “consultant’s contract” (i.e. the contract of December 2014) and clause 11.2 of the Home Funding/VML contract.</w:t>
      </w:r>
      <w:r w:rsidR="00DC4DAA" w:rsidRPr="00A317BE">
        <w:rPr>
          <w:color w:val="000000" w:themeColor="text1"/>
        </w:rPr>
        <w:t xml:space="preserve">  </w:t>
      </w:r>
      <w:r w:rsidR="008E56C4" w:rsidRPr="00A317BE">
        <w:rPr>
          <w:color w:val="000000" w:themeColor="text1"/>
        </w:rPr>
        <w:t>It may be noted that at para</w:t>
      </w:r>
      <w:r w:rsidR="00F64E74" w:rsidRPr="00A317BE">
        <w:rPr>
          <w:color w:val="000000" w:themeColor="text1"/>
        </w:rPr>
        <w:t>graph</w:t>
      </w:r>
      <w:r w:rsidR="008E56C4" w:rsidRPr="00A317BE">
        <w:rPr>
          <w:color w:val="000000" w:themeColor="text1"/>
        </w:rPr>
        <w:t xml:space="preserve"> 14 of this document she lists the </w:t>
      </w:r>
      <w:r w:rsidR="00EB01B3" w:rsidRPr="00A317BE">
        <w:rPr>
          <w:color w:val="000000" w:themeColor="text1"/>
        </w:rPr>
        <w:t>items in dispute</w:t>
      </w:r>
      <w:r w:rsidR="008E56C4" w:rsidRPr="00A317BE">
        <w:rPr>
          <w:color w:val="000000" w:themeColor="text1"/>
        </w:rPr>
        <w:t xml:space="preserve"> as follows:</w:t>
      </w:r>
    </w:p>
    <w:p w14:paraId="645E08FE" w14:textId="373BAA92" w:rsidR="008E56C4" w:rsidRPr="00A317BE" w:rsidRDefault="008E56C4" w:rsidP="00A317BE">
      <w:pPr>
        <w:pStyle w:val="ListParagraph"/>
        <w:numPr>
          <w:ilvl w:val="0"/>
          <w:numId w:val="35"/>
        </w:numPr>
        <w:tabs>
          <w:tab w:val="left" w:pos="567"/>
        </w:tabs>
        <w:spacing w:after="0"/>
        <w:ind w:left="567" w:firstLine="0"/>
        <w:rPr>
          <w:b/>
          <w:color w:val="000000" w:themeColor="text1"/>
        </w:rPr>
      </w:pPr>
      <w:r w:rsidRPr="00A317BE">
        <w:rPr>
          <w:b/>
          <w:color w:val="000000" w:themeColor="text1"/>
        </w:rPr>
        <w:t xml:space="preserve">Failure to remunerate </w:t>
      </w:r>
      <w:r w:rsidR="009C2A9D" w:rsidRPr="00A317BE">
        <w:rPr>
          <w:b/>
          <w:color w:val="000000" w:themeColor="text1"/>
        </w:rPr>
        <w:t xml:space="preserve">her </w:t>
      </w:r>
      <w:r w:rsidRPr="00A317BE">
        <w:rPr>
          <w:b/>
          <w:color w:val="000000" w:themeColor="text1"/>
        </w:rPr>
        <w:t xml:space="preserve">on a </w:t>
      </w:r>
      <w:r w:rsidRPr="00A317BE">
        <w:rPr>
          <w:b/>
          <w:i/>
          <w:color w:val="000000" w:themeColor="text1"/>
        </w:rPr>
        <w:t>quantum meruit</w:t>
      </w:r>
      <w:r w:rsidRPr="00A317BE">
        <w:rPr>
          <w:b/>
          <w:color w:val="000000" w:themeColor="text1"/>
        </w:rPr>
        <w:t xml:space="preserve"> basis for the </w:t>
      </w:r>
      <w:r w:rsidR="00DC4DAA" w:rsidRPr="00A317BE">
        <w:rPr>
          <w:b/>
          <w:color w:val="000000" w:themeColor="text1"/>
        </w:rPr>
        <w:t>work she had done on the Project</w:t>
      </w:r>
    </w:p>
    <w:p w14:paraId="068BD20B" w14:textId="51AD9437" w:rsidR="008E56C4" w:rsidRPr="00A317BE" w:rsidRDefault="008E56C4" w:rsidP="00A317BE">
      <w:pPr>
        <w:pStyle w:val="ListParagraph"/>
        <w:numPr>
          <w:ilvl w:val="0"/>
          <w:numId w:val="35"/>
        </w:numPr>
        <w:tabs>
          <w:tab w:val="left" w:pos="567"/>
        </w:tabs>
        <w:spacing w:after="0"/>
        <w:ind w:left="567" w:firstLine="0"/>
        <w:rPr>
          <w:color w:val="000000" w:themeColor="text1"/>
        </w:rPr>
      </w:pPr>
      <w:r w:rsidRPr="00A317BE">
        <w:rPr>
          <w:color w:val="000000" w:themeColor="text1"/>
        </w:rPr>
        <w:t xml:space="preserve">Breach of contract arising from failure to adhere to the requisite formalities of </w:t>
      </w:r>
      <w:r w:rsidR="0026516A" w:rsidRPr="00A317BE">
        <w:rPr>
          <w:color w:val="000000" w:themeColor="text1"/>
        </w:rPr>
        <w:t>the respondent</w:t>
      </w:r>
      <w:r w:rsidRPr="00A317BE">
        <w:rPr>
          <w:color w:val="000000" w:themeColor="text1"/>
        </w:rPr>
        <w:t>, VIL and VDL;</w:t>
      </w:r>
    </w:p>
    <w:p w14:paraId="3D059456" w14:textId="5565E316" w:rsidR="008E56C4" w:rsidRPr="00A317BE" w:rsidRDefault="008E56C4" w:rsidP="00A317BE">
      <w:pPr>
        <w:pStyle w:val="ListParagraph"/>
        <w:numPr>
          <w:ilvl w:val="0"/>
          <w:numId w:val="35"/>
        </w:numPr>
        <w:tabs>
          <w:tab w:val="left" w:pos="567"/>
        </w:tabs>
        <w:spacing w:after="0"/>
        <w:ind w:left="567" w:firstLine="0"/>
        <w:rPr>
          <w:color w:val="000000" w:themeColor="text1"/>
        </w:rPr>
      </w:pPr>
      <w:r w:rsidRPr="00A317BE">
        <w:rPr>
          <w:color w:val="000000" w:themeColor="text1"/>
        </w:rPr>
        <w:t xml:space="preserve">Breach of the contractual representation </w:t>
      </w:r>
      <w:r w:rsidR="00DC4DAA" w:rsidRPr="00A317BE">
        <w:rPr>
          <w:color w:val="000000" w:themeColor="text1"/>
        </w:rPr>
        <w:t>made</w:t>
      </w:r>
      <w:r w:rsidRPr="00A317BE">
        <w:rPr>
          <w:color w:val="000000" w:themeColor="text1"/>
        </w:rPr>
        <w:t xml:space="preserve"> on 20</w:t>
      </w:r>
      <w:r w:rsidRPr="00A317BE">
        <w:rPr>
          <w:color w:val="000000" w:themeColor="text1"/>
          <w:vertAlign w:val="superscript"/>
        </w:rPr>
        <w:t>th</w:t>
      </w:r>
      <w:r w:rsidRPr="00A317BE">
        <w:rPr>
          <w:color w:val="000000" w:themeColor="text1"/>
        </w:rPr>
        <w:t xml:space="preserve"> May 2016 to the effect that, whenever </w:t>
      </w:r>
      <w:r w:rsidR="000E0940" w:rsidRPr="00A317BE">
        <w:rPr>
          <w:color w:val="000000" w:themeColor="text1"/>
        </w:rPr>
        <w:t>she</w:t>
      </w:r>
      <w:r w:rsidRPr="00A317BE">
        <w:rPr>
          <w:color w:val="000000" w:themeColor="text1"/>
        </w:rPr>
        <w:t xml:space="preserve"> would request, </w:t>
      </w:r>
      <w:r w:rsidR="000E0940" w:rsidRPr="00A317BE">
        <w:rPr>
          <w:color w:val="000000" w:themeColor="text1"/>
        </w:rPr>
        <w:t>they</w:t>
      </w:r>
      <w:r w:rsidRPr="00A317BE">
        <w:rPr>
          <w:color w:val="000000" w:themeColor="text1"/>
        </w:rPr>
        <w:t xml:space="preserve"> would readmit </w:t>
      </w:r>
      <w:r w:rsidR="000E0940" w:rsidRPr="00A317BE">
        <w:rPr>
          <w:color w:val="000000" w:themeColor="text1"/>
        </w:rPr>
        <w:t>her</w:t>
      </w:r>
      <w:r w:rsidRPr="00A317BE">
        <w:rPr>
          <w:color w:val="000000" w:themeColor="text1"/>
        </w:rPr>
        <w:t xml:space="preserve"> to the board of directors of </w:t>
      </w:r>
      <w:r w:rsidR="0026516A" w:rsidRPr="00A317BE">
        <w:rPr>
          <w:color w:val="000000" w:themeColor="text1"/>
        </w:rPr>
        <w:t>the respondent</w:t>
      </w:r>
      <w:r w:rsidRPr="00A317BE">
        <w:rPr>
          <w:color w:val="000000" w:themeColor="text1"/>
        </w:rPr>
        <w:t>, VIL and VDL;</w:t>
      </w:r>
    </w:p>
    <w:p w14:paraId="1A1884C1" w14:textId="763FBA74" w:rsidR="008E56C4" w:rsidRPr="00A317BE" w:rsidRDefault="008E56C4" w:rsidP="00A317BE">
      <w:pPr>
        <w:pStyle w:val="ListParagraph"/>
        <w:numPr>
          <w:ilvl w:val="0"/>
          <w:numId w:val="35"/>
        </w:numPr>
        <w:tabs>
          <w:tab w:val="left" w:pos="567"/>
        </w:tabs>
        <w:spacing w:after="0"/>
        <w:ind w:left="567" w:firstLine="0"/>
        <w:rPr>
          <w:color w:val="000000" w:themeColor="text1"/>
        </w:rPr>
      </w:pPr>
      <w:r w:rsidRPr="00A317BE">
        <w:rPr>
          <w:color w:val="000000" w:themeColor="text1"/>
        </w:rPr>
        <w:t xml:space="preserve">Failure to deliver on new agreement to </w:t>
      </w:r>
      <w:r w:rsidR="000E0940" w:rsidRPr="00A317BE">
        <w:rPr>
          <w:color w:val="000000" w:themeColor="text1"/>
        </w:rPr>
        <w:t>enable her</w:t>
      </w:r>
      <w:r w:rsidRPr="00A317BE">
        <w:rPr>
          <w:color w:val="000000" w:themeColor="text1"/>
        </w:rPr>
        <w:t xml:space="preserve"> to earn commissions as promised;</w:t>
      </w:r>
    </w:p>
    <w:p w14:paraId="39A9ADF7" w14:textId="6FC5DD4F" w:rsidR="008E56C4" w:rsidRPr="00A317BE" w:rsidRDefault="008E56C4" w:rsidP="00A317BE">
      <w:pPr>
        <w:pStyle w:val="ListParagraph"/>
        <w:numPr>
          <w:ilvl w:val="0"/>
          <w:numId w:val="35"/>
        </w:numPr>
        <w:tabs>
          <w:tab w:val="left" w:pos="567"/>
        </w:tabs>
        <w:spacing w:after="0"/>
        <w:ind w:left="567" w:firstLine="0"/>
        <w:rPr>
          <w:color w:val="000000" w:themeColor="text1"/>
        </w:rPr>
      </w:pPr>
      <w:r w:rsidRPr="00A317BE">
        <w:rPr>
          <w:color w:val="000000" w:themeColor="text1"/>
        </w:rPr>
        <w:t xml:space="preserve">Failure to discharge invoice re proof reading and editing of phase 2 of E-Book despite </w:t>
      </w:r>
      <w:r w:rsidR="00A0557D" w:rsidRPr="00A317BE">
        <w:rPr>
          <w:color w:val="000000" w:themeColor="text1"/>
        </w:rPr>
        <w:t>a</w:t>
      </w:r>
      <w:r w:rsidRPr="00A317BE">
        <w:rPr>
          <w:color w:val="000000" w:themeColor="text1"/>
        </w:rPr>
        <w:t xml:space="preserve"> promise to “make this up to me”.  </w:t>
      </w:r>
    </w:p>
    <w:p w14:paraId="14C818CA" w14:textId="77777777" w:rsidR="00EB01B3" w:rsidRPr="00A317BE" w:rsidRDefault="00EB01B3" w:rsidP="00A317BE">
      <w:pPr>
        <w:pStyle w:val="ListParagraph"/>
        <w:tabs>
          <w:tab w:val="left" w:pos="567"/>
        </w:tabs>
        <w:spacing w:after="0"/>
        <w:ind w:left="0"/>
        <w:rPr>
          <w:color w:val="000000" w:themeColor="text1"/>
        </w:rPr>
      </w:pPr>
    </w:p>
    <w:p w14:paraId="0F0F2DCC" w14:textId="079505F3" w:rsidR="00A0557D" w:rsidRPr="00A317BE" w:rsidRDefault="00A0557D"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I note that while items (2), (3) and (4) appear to concern </w:t>
      </w:r>
      <w:r w:rsidR="002A3A03" w:rsidRPr="00A317BE">
        <w:rPr>
          <w:color w:val="000000" w:themeColor="text1"/>
        </w:rPr>
        <w:t xml:space="preserve">her directorship of </w:t>
      </w:r>
      <w:r w:rsidR="009A6C4B" w:rsidRPr="00A317BE">
        <w:rPr>
          <w:color w:val="000000" w:themeColor="text1"/>
        </w:rPr>
        <w:t>the respondent</w:t>
      </w:r>
      <w:r w:rsidR="002A3A03" w:rsidRPr="00A317BE">
        <w:rPr>
          <w:color w:val="000000" w:themeColor="text1"/>
        </w:rPr>
        <w:t xml:space="preserve">, item (1) concerns remuneration for her work on the Project. Further, the claim is referred to as a </w:t>
      </w:r>
      <w:r w:rsidR="002A3A03" w:rsidRPr="00A317BE">
        <w:rPr>
          <w:i/>
          <w:color w:val="000000" w:themeColor="text1"/>
        </w:rPr>
        <w:t xml:space="preserve">quantum meruit </w:t>
      </w:r>
      <w:r w:rsidR="002A3A03" w:rsidRPr="00A317BE">
        <w:rPr>
          <w:color w:val="000000" w:themeColor="text1"/>
        </w:rPr>
        <w:t>claim</w:t>
      </w:r>
      <w:r w:rsidR="00E931B0" w:rsidRPr="00A317BE">
        <w:rPr>
          <w:color w:val="000000" w:themeColor="text1"/>
        </w:rPr>
        <w:t>.</w:t>
      </w:r>
      <w:r w:rsidR="002A3A03" w:rsidRPr="00A317BE">
        <w:rPr>
          <w:color w:val="000000" w:themeColor="text1"/>
        </w:rPr>
        <w:t xml:space="preserve">. </w:t>
      </w:r>
      <w:r w:rsidR="005A78C1" w:rsidRPr="00A317BE">
        <w:rPr>
          <w:color w:val="000000" w:themeColor="text1"/>
        </w:rPr>
        <w:t xml:space="preserve">Again, this is a document upon which the respondent lays emphasis. </w:t>
      </w:r>
    </w:p>
    <w:p w14:paraId="1598397D" w14:textId="77777777" w:rsidR="0045799E" w:rsidRPr="00A317BE" w:rsidRDefault="0045799E" w:rsidP="00151DF9">
      <w:pPr>
        <w:pStyle w:val="ListParagraph"/>
        <w:tabs>
          <w:tab w:val="left" w:pos="567"/>
        </w:tabs>
        <w:spacing w:after="0"/>
        <w:ind w:left="0"/>
        <w:rPr>
          <w:color w:val="000000" w:themeColor="text1"/>
        </w:rPr>
      </w:pPr>
    </w:p>
    <w:p w14:paraId="412264A2" w14:textId="1FAEE4EC" w:rsidR="009D52AB" w:rsidRPr="00A317BE" w:rsidRDefault="00C50E1A" w:rsidP="00151DF9">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I note also that in this lengthy </w:t>
      </w:r>
      <w:r w:rsidR="00F64E74" w:rsidRPr="00A317BE">
        <w:rPr>
          <w:color w:val="000000" w:themeColor="text1"/>
        </w:rPr>
        <w:t>N</w:t>
      </w:r>
      <w:r w:rsidR="00EE5910" w:rsidRPr="00A317BE">
        <w:rPr>
          <w:color w:val="000000" w:themeColor="text1"/>
        </w:rPr>
        <w:t xml:space="preserve">otice of </w:t>
      </w:r>
      <w:r w:rsidR="00F64E74" w:rsidRPr="00A317BE">
        <w:rPr>
          <w:color w:val="000000" w:themeColor="text1"/>
        </w:rPr>
        <w:t>D</w:t>
      </w:r>
      <w:r w:rsidR="00EE5910" w:rsidRPr="00A317BE">
        <w:rPr>
          <w:color w:val="000000" w:themeColor="text1"/>
        </w:rPr>
        <w:t>ispute, in which the appellant</w:t>
      </w:r>
      <w:r w:rsidRPr="00A317BE">
        <w:rPr>
          <w:color w:val="000000" w:themeColor="text1"/>
        </w:rPr>
        <w:t xml:space="preserve"> </w:t>
      </w:r>
      <w:r w:rsidR="00EE5910" w:rsidRPr="00A317BE">
        <w:rPr>
          <w:color w:val="000000" w:themeColor="text1"/>
        </w:rPr>
        <w:t>recounts</w:t>
      </w:r>
      <w:r w:rsidRPr="00A317BE">
        <w:rPr>
          <w:color w:val="000000" w:themeColor="text1"/>
        </w:rPr>
        <w:t xml:space="preserve"> a history of events, she mentions that in September 2014 Mr. Wewege said he hoped that she would one day work full-time for VCL. She describes becoming a board member of VCL and the December contract and the work she undertook in that regard. She then describes discussing payment for this work, and whether she should obtain the monthly fee or the commission fee (described in the contract) and that Mr. Wewege said “</w:t>
      </w:r>
      <w:r w:rsidRPr="00A317BE">
        <w:rPr>
          <w:i/>
          <w:color w:val="000000" w:themeColor="text1"/>
        </w:rPr>
        <w:t>neither</w:t>
      </w:r>
      <w:r w:rsidRPr="00A317BE">
        <w:rPr>
          <w:color w:val="000000" w:themeColor="text1"/>
        </w:rPr>
        <w:t>” and that his London agent, Kevin McLeod “</w:t>
      </w:r>
      <w:r w:rsidRPr="00A317BE">
        <w:rPr>
          <w:i/>
          <w:color w:val="000000" w:themeColor="text1"/>
        </w:rPr>
        <w:t>assured me however that you had lots of plans in the pipeline (thereby implying that I would be richly rewarded for all my efforts at some time in the future)</w:t>
      </w:r>
      <w:r w:rsidRPr="00A317BE">
        <w:rPr>
          <w:color w:val="000000" w:themeColor="text1"/>
        </w:rPr>
        <w:t xml:space="preserve">”. </w:t>
      </w:r>
      <w:r w:rsidR="00BA730B" w:rsidRPr="00A317BE">
        <w:rPr>
          <w:color w:val="000000" w:themeColor="text1"/>
        </w:rPr>
        <w:t>She goes on to describe the Project work that she undertook and observes: “</w:t>
      </w:r>
      <w:r w:rsidR="00BA730B" w:rsidRPr="00A317BE">
        <w:rPr>
          <w:i/>
          <w:color w:val="000000" w:themeColor="text1"/>
        </w:rPr>
        <w:t>Although I requested you to agree to pay me an ad hoc fee for the work I had undertaken, you refused. I did not make an issue about this as I had been led to believe that a full-time job would one day develop for me within Vivier. However that never happened. When I specifically asked you for a full-time position, you said you had nothing to offer</w:t>
      </w:r>
      <w:r w:rsidR="00BA730B" w:rsidRPr="00A317BE">
        <w:rPr>
          <w:color w:val="000000" w:themeColor="text1"/>
        </w:rPr>
        <w:t>”. She then complains that other people were appointed to positions</w:t>
      </w:r>
      <w:r w:rsidR="00986FA8" w:rsidRPr="00A317BE">
        <w:rPr>
          <w:color w:val="000000" w:themeColor="text1"/>
        </w:rPr>
        <w:t>, including</w:t>
      </w:r>
      <w:r w:rsidR="00BA730B" w:rsidRPr="00A317BE">
        <w:rPr>
          <w:color w:val="000000" w:themeColor="text1"/>
        </w:rPr>
        <w:t xml:space="preserve"> Edwards Medel, Natasha Radovsky, as legal officers, and a new Corporate Secretary</w:t>
      </w:r>
      <w:r w:rsidR="007E415F" w:rsidRPr="00A317BE">
        <w:rPr>
          <w:color w:val="000000" w:themeColor="text1"/>
        </w:rPr>
        <w:t>, as well as Ali Hashemifar to the position of MLR officer</w:t>
      </w:r>
      <w:r w:rsidR="00BA730B" w:rsidRPr="00A317BE">
        <w:rPr>
          <w:color w:val="000000" w:themeColor="text1"/>
        </w:rPr>
        <w:t>. S</w:t>
      </w:r>
      <w:r w:rsidR="00986FA8" w:rsidRPr="00A317BE">
        <w:rPr>
          <w:color w:val="000000" w:themeColor="text1"/>
        </w:rPr>
        <w:t>he complains that no</w:t>
      </w:r>
      <w:r w:rsidR="00F64E74" w:rsidRPr="00A317BE">
        <w:rPr>
          <w:color w:val="000000" w:themeColor="text1"/>
        </w:rPr>
        <w:t>-o</w:t>
      </w:r>
      <w:r w:rsidR="00986FA8" w:rsidRPr="00A317BE">
        <w:rPr>
          <w:color w:val="000000" w:themeColor="text1"/>
        </w:rPr>
        <w:t xml:space="preserve">ne appeared to have any familiarity with New Zealand law although she herself had completed her training in New Zealand in 2010. </w:t>
      </w:r>
    </w:p>
    <w:p w14:paraId="516F9C37" w14:textId="75EDC4E1" w:rsidR="00A57EEF" w:rsidRPr="00A317BE" w:rsidRDefault="00D9289B" w:rsidP="00A317BE">
      <w:pPr>
        <w:pStyle w:val="Heading3"/>
        <w:tabs>
          <w:tab w:val="left" w:pos="567"/>
        </w:tabs>
        <w:rPr>
          <w:color w:val="000000" w:themeColor="text1"/>
        </w:rPr>
      </w:pPr>
      <w:r w:rsidRPr="00A317BE">
        <w:rPr>
          <w:color w:val="000000" w:themeColor="text1"/>
        </w:rPr>
        <w:t xml:space="preserve">February 2017: </w:t>
      </w:r>
      <w:r w:rsidR="001462FC" w:rsidRPr="00A317BE">
        <w:rPr>
          <w:color w:val="000000" w:themeColor="text1"/>
        </w:rPr>
        <w:t>The Radovsky emails</w:t>
      </w:r>
    </w:p>
    <w:p w14:paraId="534E15A0" w14:textId="77777777" w:rsidR="00A57EEF" w:rsidRPr="00A317BE" w:rsidRDefault="00A57EEF" w:rsidP="00A317BE">
      <w:pPr>
        <w:tabs>
          <w:tab w:val="left" w:pos="567"/>
        </w:tabs>
        <w:rPr>
          <w:color w:val="000000" w:themeColor="text1"/>
        </w:rPr>
      </w:pPr>
    </w:p>
    <w:p w14:paraId="29D340F6" w14:textId="4F34A688" w:rsidR="00A57EEF" w:rsidRPr="00A317BE" w:rsidRDefault="00A57EEF"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Up to this point, it would seem that the appellant’s dispute with </w:t>
      </w:r>
      <w:r w:rsidR="009A6C4B" w:rsidRPr="00A317BE">
        <w:rPr>
          <w:color w:val="000000" w:themeColor="text1"/>
        </w:rPr>
        <w:t>the respondent</w:t>
      </w:r>
      <w:r w:rsidRPr="00A317BE">
        <w:rPr>
          <w:color w:val="000000" w:themeColor="text1"/>
        </w:rPr>
        <w:t xml:space="preserve"> concerned </w:t>
      </w:r>
      <w:r w:rsidR="001C3157" w:rsidRPr="00A317BE">
        <w:rPr>
          <w:color w:val="000000" w:themeColor="text1"/>
        </w:rPr>
        <w:t>a</w:t>
      </w:r>
      <w:r w:rsidRPr="00A317BE">
        <w:rPr>
          <w:color w:val="000000" w:themeColor="text1"/>
        </w:rPr>
        <w:t xml:space="preserve"> failure to re-instate her to her directorship</w:t>
      </w:r>
      <w:r w:rsidR="001C3157" w:rsidRPr="00A317BE">
        <w:rPr>
          <w:color w:val="000000" w:themeColor="text1"/>
        </w:rPr>
        <w:t xml:space="preserve"> of the respondent</w:t>
      </w:r>
      <w:r w:rsidRPr="00A317BE">
        <w:rPr>
          <w:color w:val="000000" w:themeColor="text1"/>
        </w:rPr>
        <w:t xml:space="preserve"> and </w:t>
      </w:r>
      <w:r w:rsidR="001C3157" w:rsidRPr="00A317BE">
        <w:rPr>
          <w:color w:val="000000" w:themeColor="text1"/>
        </w:rPr>
        <w:t>(connected thereto</w:t>
      </w:r>
      <w:r w:rsidRPr="00A317BE">
        <w:rPr>
          <w:color w:val="000000" w:themeColor="text1"/>
        </w:rPr>
        <w:t xml:space="preserve">) her claim for payment for the research (because she could no longer expect future benefits from her directorship).  </w:t>
      </w:r>
      <w:r w:rsidR="001C3157" w:rsidRPr="00A317BE">
        <w:rPr>
          <w:color w:val="000000" w:themeColor="text1"/>
        </w:rPr>
        <w:t>In February 2017, the</w:t>
      </w:r>
      <w:r w:rsidRPr="00A317BE">
        <w:rPr>
          <w:color w:val="000000" w:themeColor="text1"/>
        </w:rPr>
        <w:t xml:space="preserve"> dispute escalated</w:t>
      </w:r>
      <w:r w:rsidR="0045799E" w:rsidRPr="00A317BE">
        <w:rPr>
          <w:color w:val="000000" w:themeColor="text1"/>
        </w:rPr>
        <w:t>,</w:t>
      </w:r>
      <w:r w:rsidRPr="00A317BE">
        <w:rPr>
          <w:color w:val="000000" w:themeColor="text1"/>
        </w:rPr>
        <w:t xml:space="preserve"> with an allegation of forgery coming into the picture</w:t>
      </w:r>
      <w:r w:rsidR="001C3157" w:rsidRPr="00A317BE">
        <w:rPr>
          <w:color w:val="000000" w:themeColor="text1"/>
        </w:rPr>
        <w:t xml:space="preserve"> and subsequent cross-accusations of defamation.</w:t>
      </w:r>
    </w:p>
    <w:p w14:paraId="63E4D7CA" w14:textId="77777777" w:rsidR="00A57EEF" w:rsidRPr="00A317BE" w:rsidRDefault="00A57EEF" w:rsidP="00151DF9">
      <w:pPr>
        <w:pStyle w:val="ListParagraph"/>
        <w:tabs>
          <w:tab w:val="left" w:pos="567"/>
        </w:tabs>
        <w:spacing w:after="0"/>
        <w:ind w:left="0"/>
        <w:rPr>
          <w:color w:val="000000" w:themeColor="text1"/>
        </w:rPr>
      </w:pPr>
    </w:p>
    <w:p w14:paraId="7C16D434" w14:textId="24EDB111" w:rsidR="002E2BF7" w:rsidRPr="00A317BE" w:rsidRDefault="001462FC" w:rsidP="00151DF9">
      <w:pPr>
        <w:pStyle w:val="ListParagraph"/>
        <w:numPr>
          <w:ilvl w:val="0"/>
          <w:numId w:val="23"/>
        </w:numPr>
        <w:tabs>
          <w:tab w:val="left" w:pos="567"/>
        </w:tabs>
        <w:spacing w:after="0"/>
        <w:ind w:left="0" w:firstLine="0"/>
        <w:rPr>
          <w:color w:val="000000" w:themeColor="text1"/>
        </w:rPr>
      </w:pPr>
      <w:r w:rsidRPr="00A317BE">
        <w:rPr>
          <w:color w:val="000000" w:themeColor="text1"/>
        </w:rPr>
        <w:lastRenderedPageBreak/>
        <w:t xml:space="preserve"> </w:t>
      </w:r>
      <w:r w:rsidR="000B19F8" w:rsidRPr="00A317BE">
        <w:rPr>
          <w:color w:val="000000" w:themeColor="text1"/>
        </w:rPr>
        <w:t xml:space="preserve">The </w:t>
      </w:r>
      <w:r w:rsidR="00A57EEF" w:rsidRPr="00A317BE">
        <w:rPr>
          <w:color w:val="000000" w:themeColor="text1"/>
        </w:rPr>
        <w:t>Court has been provided with</w:t>
      </w:r>
      <w:r w:rsidR="000B19F8" w:rsidRPr="00A317BE">
        <w:rPr>
          <w:color w:val="000000" w:themeColor="text1"/>
        </w:rPr>
        <w:t xml:space="preserve"> a batch of emails </w:t>
      </w:r>
      <w:r w:rsidR="00F64E74" w:rsidRPr="00A317BE">
        <w:rPr>
          <w:color w:val="000000" w:themeColor="text1"/>
        </w:rPr>
        <w:t xml:space="preserve">dating from </w:t>
      </w:r>
      <w:r w:rsidR="00120958" w:rsidRPr="00A317BE">
        <w:rPr>
          <w:color w:val="000000" w:themeColor="text1"/>
        </w:rPr>
        <w:t>the period</w:t>
      </w:r>
      <w:r w:rsidR="000B19F8" w:rsidRPr="00A317BE">
        <w:rPr>
          <w:color w:val="000000" w:themeColor="text1"/>
        </w:rPr>
        <w:t xml:space="preserve"> the 12</w:t>
      </w:r>
      <w:r w:rsidR="00AC487E" w:rsidRPr="00A317BE">
        <w:rPr>
          <w:color w:val="000000" w:themeColor="text1"/>
        </w:rPr>
        <w:t>-1</w:t>
      </w:r>
      <w:r w:rsidR="0011216F" w:rsidRPr="00A317BE">
        <w:rPr>
          <w:color w:val="000000" w:themeColor="text1"/>
        </w:rPr>
        <w:t>5</w:t>
      </w:r>
      <w:r w:rsidR="000B19F8" w:rsidRPr="00A317BE">
        <w:rPr>
          <w:color w:val="000000" w:themeColor="text1"/>
        </w:rPr>
        <w:t xml:space="preserve"> February 2017. </w:t>
      </w:r>
      <w:r w:rsidRPr="00A317BE">
        <w:rPr>
          <w:color w:val="000000" w:themeColor="text1"/>
        </w:rPr>
        <w:t xml:space="preserve"> </w:t>
      </w:r>
      <w:r w:rsidR="000B19F8" w:rsidRPr="00A317BE">
        <w:rPr>
          <w:color w:val="000000" w:themeColor="text1"/>
        </w:rPr>
        <w:t xml:space="preserve">By </w:t>
      </w:r>
      <w:r w:rsidRPr="00A317BE">
        <w:rPr>
          <w:color w:val="000000" w:themeColor="text1"/>
        </w:rPr>
        <w:t xml:space="preserve">email at </w:t>
      </w:r>
      <w:r w:rsidR="00F64E74" w:rsidRPr="00A317BE">
        <w:rPr>
          <w:color w:val="000000" w:themeColor="text1"/>
        </w:rPr>
        <w:t>0</w:t>
      </w:r>
      <w:r w:rsidRPr="00A317BE">
        <w:rPr>
          <w:color w:val="000000" w:themeColor="text1"/>
        </w:rPr>
        <w:t>8</w:t>
      </w:r>
      <w:r w:rsidR="00F64E74" w:rsidRPr="00A317BE">
        <w:rPr>
          <w:color w:val="000000" w:themeColor="text1"/>
        </w:rPr>
        <w:t>:</w:t>
      </w:r>
      <w:r w:rsidRPr="00A317BE">
        <w:rPr>
          <w:color w:val="000000" w:themeColor="text1"/>
        </w:rPr>
        <w:t>14 on the 12 February 2017,</w:t>
      </w:r>
      <w:r w:rsidR="000B19F8" w:rsidRPr="00A317BE">
        <w:rPr>
          <w:color w:val="000000" w:themeColor="text1"/>
        </w:rPr>
        <w:t xml:space="preserve"> </w:t>
      </w:r>
      <w:r w:rsidRPr="00A317BE">
        <w:rPr>
          <w:color w:val="000000" w:themeColor="text1"/>
        </w:rPr>
        <w:t>Ms. Radovsky</w:t>
      </w:r>
      <w:r w:rsidR="00731BC4" w:rsidRPr="00A317BE">
        <w:rPr>
          <w:color w:val="000000" w:themeColor="text1"/>
        </w:rPr>
        <w:t>, Chief Legal Office of the respondent,</w:t>
      </w:r>
      <w:r w:rsidRPr="00A317BE">
        <w:rPr>
          <w:color w:val="000000" w:themeColor="text1"/>
        </w:rPr>
        <w:t xml:space="preserve"> says that the appellant has been sending emails to multiple individuals at </w:t>
      </w:r>
      <w:r w:rsidR="009A6C4B" w:rsidRPr="00A317BE">
        <w:rPr>
          <w:color w:val="000000" w:themeColor="text1"/>
        </w:rPr>
        <w:t>the respondent</w:t>
      </w:r>
      <w:r w:rsidRPr="00A317BE">
        <w:rPr>
          <w:color w:val="000000" w:themeColor="text1"/>
        </w:rPr>
        <w:t xml:space="preserve"> alleging that the company owes her €36,750 for services.  </w:t>
      </w:r>
      <w:r w:rsidR="005E5758" w:rsidRPr="00A317BE">
        <w:rPr>
          <w:color w:val="000000" w:themeColor="text1"/>
        </w:rPr>
        <w:t>She</w:t>
      </w:r>
      <w:r w:rsidRPr="00A317BE">
        <w:rPr>
          <w:color w:val="000000" w:themeColor="text1"/>
        </w:rPr>
        <w:t xml:space="preserve"> says that after reviewing her consulting agreement and other relevant documentation, </w:t>
      </w:r>
      <w:r w:rsidR="000B19F8" w:rsidRPr="00A317BE">
        <w:rPr>
          <w:color w:val="000000" w:themeColor="text1"/>
        </w:rPr>
        <w:t>Ms Rado</w:t>
      </w:r>
      <w:r w:rsidR="00F64E74" w:rsidRPr="00A317BE">
        <w:rPr>
          <w:color w:val="000000" w:themeColor="text1"/>
        </w:rPr>
        <w:t>v</w:t>
      </w:r>
      <w:r w:rsidR="000B19F8" w:rsidRPr="00A317BE">
        <w:rPr>
          <w:color w:val="000000" w:themeColor="text1"/>
        </w:rPr>
        <w:t>sky</w:t>
      </w:r>
      <w:r w:rsidRPr="00A317BE">
        <w:rPr>
          <w:color w:val="000000" w:themeColor="text1"/>
        </w:rPr>
        <w:t xml:space="preserve"> has concluded that no fees are owed to </w:t>
      </w:r>
      <w:r w:rsidR="000B19F8" w:rsidRPr="00A317BE">
        <w:rPr>
          <w:color w:val="000000" w:themeColor="text1"/>
        </w:rPr>
        <w:t>the appellant</w:t>
      </w:r>
      <w:r w:rsidRPr="00A317BE">
        <w:rPr>
          <w:color w:val="000000" w:themeColor="text1"/>
        </w:rPr>
        <w:t xml:space="preserve">.  </w:t>
      </w:r>
      <w:r w:rsidR="002E2BF7" w:rsidRPr="00A317BE">
        <w:rPr>
          <w:color w:val="000000" w:themeColor="text1"/>
        </w:rPr>
        <w:t>She asserts that the</w:t>
      </w:r>
      <w:r w:rsidRPr="00A317BE">
        <w:rPr>
          <w:color w:val="000000" w:themeColor="text1"/>
        </w:rPr>
        <w:t xml:space="preserve"> agreement shows that the compensation was solely success</w:t>
      </w:r>
      <w:r w:rsidR="000B19F8" w:rsidRPr="00A317BE">
        <w:rPr>
          <w:color w:val="000000" w:themeColor="text1"/>
        </w:rPr>
        <w:t>-</w:t>
      </w:r>
      <w:r w:rsidRPr="00A317BE">
        <w:rPr>
          <w:color w:val="000000" w:themeColor="text1"/>
        </w:rPr>
        <w:t xml:space="preserve"> and commission</w:t>
      </w:r>
      <w:r w:rsidR="000B19F8" w:rsidRPr="00A317BE">
        <w:rPr>
          <w:color w:val="000000" w:themeColor="text1"/>
        </w:rPr>
        <w:t>-</w:t>
      </w:r>
      <w:r w:rsidRPr="00A317BE">
        <w:rPr>
          <w:color w:val="000000" w:themeColor="text1"/>
        </w:rPr>
        <w:t xml:space="preserve">based and makes no provision for any hourly rates for services. </w:t>
      </w:r>
      <w:r w:rsidR="002E2BF7" w:rsidRPr="00A317BE">
        <w:rPr>
          <w:color w:val="000000" w:themeColor="text1"/>
        </w:rPr>
        <w:t>She</w:t>
      </w:r>
      <w:r w:rsidRPr="00A317BE">
        <w:rPr>
          <w:color w:val="000000" w:themeColor="text1"/>
        </w:rPr>
        <w:t xml:space="preserve"> also refers to a resignation letter and quotes from its contents.  </w:t>
      </w:r>
      <w:r w:rsidR="000B19F8" w:rsidRPr="00A317BE">
        <w:rPr>
          <w:color w:val="000000" w:themeColor="text1"/>
        </w:rPr>
        <w:t>The email</w:t>
      </w:r>
      <w:r w:rsidRPr="00A317BE">
        <w:rPr>
          <w:color w:val="000000" w:themeColor="text1"/>
        </w:rPr>
        <w:t xml:space="preserve"> then says that if </w:t>
      </w:r>
      <w:r w:rsidR="000B19F8" w:rsidRPr="00A317BE">
        <w:rPr>
          <w:color w:val="000000" w:themeColor="text1"/>
        </w:rPr>
        <w:t>the appellant</w:t>
      </w:r>
      <w:r w:rsidRPr="00A317BE">
        <w:rPr>
          <w:color w:val="000000" w:themeColor="text1"/>
        </w:rPr>
        <w:t xml:space="preserve"> wishes to maintain her position she is obliged to follow the contractual procedure for dispute resolution outlined in s.12 of the Consulting Agreement, namely mediation in the first instance and determination of the courts of New Zealand if this is not successful.</w:t>
      </w:r>
      <w:r w:rsidR="002E2BF7" w:rsidRPr="00A317BE">
        <w:rPr>
          <w:color w:val="000000" w:themeColor="text1"/>
        </w:rPr>
        <w:t xml:space="preserve">  </w:t>
      </w:r>
      <w:r w:rsidRPr="00A317BE">
        <w:rPr>
          <w:color w:val="000000" w:themeColor="text1"/>
        </w:rPr>
        <w:t>The appellant replies by email seeking a copy of the alleged resignation letter</w:t>
      </w:r>
      <w:r w:rsidR="00F53511" w:rsidRPr="00A317BE">
        <w:rPr>
          <w:color w:val="000000" w:themeColor="text1"/>
        </w:rPr>
        <w:t>, which</w:t>
      </w:r>
      <w:r w:rsidRPr="00A317BE">
        <w:rPr>
          <w:color w:val="000000" w:themeColor="text1"/>
        </w:rPr>
        <w:t xml:space="preserve"> Ms. Radovsky</w:t>
      </w:r>
      <w:r w:rsidR="005E5758" w:rsidRPr="00A317BE">
        <w:rPr>
          <w:color w:val="000000" w:themeColor="text1"/>
        </w:rPr>
        <w:t xml:space="preserve"> </w:t>
      </w:r>
      <w:r w:rsidR="00F53511" w:rsidRPr="00A317BE">
        <w:rPr>
          <w:color w:val="000000" w:themeColor="text1"/>
        </w:rPr>
        <w:t xml:space="preserve">duly </w:t>
      </w:r>
      <w:r w:rsidR="005E5758" w:rsidRPr="00A317BE">
        <w:rPr>
          <w:color w:val="000000" w:themeColor="text1"/>
        </w:rPr>
        <w:t>provide</w:t>
      </w:r>
      <w:r w:rsidR="00F53511" w:rsidRPr="00A317BE">
        <w:rPr>
          <w:color w:val="000000" w:themeColor="text1"/>
        </w:rPr>
        <w:t>d.</w:t>
      </w:r>
      <w:r w:rsidRPr="00A317BE">
        <w:rPr>
          <w:color w:val="000000" w:themeColor="text1"/>
        </w:rPr>
        <w:t xml:space="preserve"> </w:t>
      </w:r>
    </w:p>
    <w:p w14:paraId="7BC64252" w14:textId="77777777" w:rsidR="002E2BF7" w:rsidRPr="00A317BE" w:rsidRDefault="002E2BF7" w:rsidP="00151DF9">
      <w:pPr>
        <w:pStyle w:val="ListParagraph"/>
        <w:tabs>
          <w:tab w:val="left" w:pos="567"/>
        </w:tabs>
        <w:spacing w:after="0"/>
        <w:ind w:left="0"/>
        <w:rPr>
          <w:color w:val="000000" w:themeColor="text1"/>
        </w:rPr>
      </w:pPr>
    </w:p>
    <w:p w14:paraId="7F870E63" w14:textId="4DAEA8F9" w:rsidR="001462FC" w:rsidRPr="00A317BE" w:rsidRDefault="001462FC" w:rsidP="000C74B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The appellant then sends an email at </w:t>
      </w:r>
      <w:r w:rsidR="00F64E74" w:rsidRPr="00A317BE">
        <w:rPr>
          <w:color w:val="000000" w:themeColor="text1"/>
        </w:rPr>
        <w:t>0</w:t>
      </w:r>
      <w:r w:rsidRPr="00A317BE">
        <w:rPr>
          <w:color w:val="000000" w:themeColor="text1"/>
        </w:rPr>
        <w:t>2:58 saying “</w:t>
      </w:r>
      <w:r w:rsidRPr="00A317BE">
        <w:rPr>
          <w:i/>
          <w:color w:val="000000" w:themeColor="text1"/>
        </w:rPr>
        <w:t xml:space="preserve">This is a forgery.  I have never attached </w:t>
      </w:r>
      <w:r w:rsidR="002E2BF7" w:rsidRPr="00A317BE">
        <w:rPr>
          <w:i/>
          <w:color w:val="000000" w:themeColor="text1"/>
        </w:rPr>
        <w:t>m</w:t>
      </w:r>
      <w:r w:rsidRPr="00A317BE">
        <w:rPr>
          <w:i/>
          <w:color w:val="000000" w:themeColor="text1"/>
        </w:rPr>
        <w:t>y name to this letter”</w:t>
      </w:r>
      <w:r w:rsidR="002E2BF7" w:rsidRPr="00A317BE">
        <w:rPr>
          <w:i/>
          <w:color w:val="000000" w:themeColor="text1"/>
        </w:rPr>
        <w:t xml:space="preserve">. </w:t>
      </w:r>
      <w:r w:rsidR="002E2BF7" w:rsidRPr="00A317BE">
        <w:rPr>
          <w:color w:val="000000" w:themeColor="text1"/>
        </w:rPr>
        <w:t>She</w:t>
      </w:r>
      <w:r w:rsidRPr="00A317BE">
        <w:rPr>
          <w:color w:val="000000" w:themeColor="text1"/>
        </w:rPr>
        <w:t xml:space="preserve"> threatens various actions </w:t>
      </w:r>
      <w:r w:rsidR="002E2BF7" w:rsidRPr="00A317BE">
        <w:rPr>
          <w:color w:val="000000" w:themeColor="text1"/>
        </w:rPr>
        <w:t>in consequence</w:t>
      </w:r>
      <w:r w:rsidRPr="00A317BE">
        <w:rPr>
          <w:color w:val="000000" w:themeColor="text1"/>
        </w:rPr>
        <w:t>.</w:t>
      </w:r>
      <w:r w:rsidR="005207F7" w:rsidRPr="00A317BE">
        <w:rPr>
          <w:color w:val="000000" w:themeColor="text1"/>
        </w:rPr>
        <w:t xml:space="preserve"> In her </w:t>
      </w:r>
      <w:r w:rsidR="006368BC" w:rsidRPr="00A317BE">
        <w:rPr>
          <w:color w:val="000000" w:themeColor="text1"/>
        </w:rPr>
        <w:t>affidavit in these proceedings, the appellant averred</w:t>
      </w:r>
      <w:r w:rsidR="005207F7" w:rsidRPr="00A317BE">
        <w:rPr>
          <w:color w:val="000000" w:themeColor="text1"/>
        </w:rPr>
        <w:t>: “</w:t>
      </w:r>
      <w:r w:rsidR="005207F7" w:rsidRPr="00A317BE">
        <w:rPr>
          <w:i/>
          <w:color w:val="000000" w:themeColor="text1"/>
        </w:rPr>
        <w:t>I was stunned. I had never written such a letter</w:t>
      </w:r>
      <w:r w:rsidR="005207F7" w:rsidRPr="00A317BE">
        <w:rPr>
          <w:color w:val="000000" w:themeColor="text1"/>
        </w:rPr>
        <w:t xml:space="preserve">”. </w:t>
      </w:r>
    </w:p>
    <w:p w14:paraId="480E4158" w14:textId="77777777" w:rsidR="002E2BF7" w:rsidRPr="00A317BE" w:rsidRDefault="002E2BF7" w:rsidP="00420AF7">
      <w:pPr>
        <w:pStyle w:val="ListParagraph"/>
        <w:tabs>
          <w:tab w:val="left" w:pos="567"/>
        </w:tabs>
        <w:spacing w:after="0"/>
        <w:ind w:left="0"/>
        <w:rPr>
          <w:color w:val="000000" w:themeColor="text1"/>
        </w:rPr>
      </w:pPr>
    </w:p>
    <w:p w14:paraId="349E5B2F" w14:textId="3949A1AB" w:rsidR="00AD2DE4" w:rsidRPr="00A317BE" w:rsidRDefault="001462FC" w:rsidP="00420AF7">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 Ms. Radovsky replies</w:t>
      </w:r>
      <w:r w:rsidR="00AD2DE4" w:rsidRPr="00A317BE">
        <w:rPr>
          <w:color w:val="000000" w:themeColor="text1"/>
        </w:rPr>
        <w:t xml:space="preserve"> by email,</w:t>
      </w:r>
      <w:r w:rsidRPr="00A317BE">
        <w:rPr>
          <w:color w:val="000000" w:themeColor="text1"/>
        </w:rPr>
        <w:t xml:space="preserve"> saying that she is puzzled by this response and says that the signature on the resignation letter appears to be identical to the one on the executed </w:t>
      </w:r>
      <w:r w:rsidR="00F64E74" w:rsidRPr="00A317BE">
        <w:rPr>
          <w:color w:val="000000" w:themeColor="text1"/>
        </w:rPr>
        <w:t>C</w:t>
      </w:r>
      <w:r w:rsidRPr="00A317BE">
        <w:rPr>
          <w:color w:val="000000" w:themeColor="text1"/>
        </w:rPr>
        <w:t xml:space="preserve">onsulting </w:t>
      </w:r>
      <w:r w:rsidR="00F64E74" w:rsidRPr="00A317BE">
        <w:rPr>
          <w:color w:val="000000" w:themeColor="text1"/>
        </w:rPr>
        <w:t>A</w:t>
      </w:r>
      <w:r w:rsidRPr="00A317BE">
        <w:rPr>
          <w:color w:val="000000" w:themeColor="text1"/>
        </w:rPr>
        <w:t xml:space="preserve">greement.  </w:t>
      </w:r>
      <w:r w:rsidR="00663BD8" w:rsidRPr="00A317BE">
        <w:rPr>
          <w:color w:val="000000" w:themeColor="text1"/>
        </w:rPr>
        <w:t xml:space="preserve">  </w:t>
      </w:r>
      <w:r w:rsidRPr="00A317BE">
        <w:rPr>
          <w:color w:val="000000" w:themeColor="text1"/>
        </w:rPr>
        <w:t xml:space="preserve">The appellant replies at 11:12 saying that it is an electronic signature and </w:t>
      </w:r>
      <w:r w:rsidR="00AD2DE4" w:rsidRPr="00A317BE">
        <w:rPr>
          <w:color w:val="000000" w:themeColor="text1"/>
        </w:rPr>
        <w:t xml:space="preserve">that it </w:t>
      </w:r>
      <w:r w:rsidRPr="00A317BE">
        <w:rPr>
          <w:color w:val="000000" w:themeColor="text1"/>
        </w:rPr>
        <w:t xml:space="preserve">was copied from the consultancy agreement and attached to the letter without her authorisation.  </w:t>
      </w:r>
    </w:p>
    <w:p w14:paraId="0916393C" w14:textId="77777777" w:rsidR="00AD2DE4" w:rsidRPr="00A317BE" w:rsidRDefault="00AD2DE4">
      <w:pPr>
        <w:pStyle w:val="ListParagraph"/>
        <w:tabs>
          <w:tab w:val="left" w:pos="567"/>
        </w:tabs>
        <w:spacing w:after="0"/>
        <w:ind w:left="0"/>
        <w:rPr>
          <w:color w:val="000000" w:themeColor="text1"/>
        </w:rPr>
      </w:pPr>
    </w:p>
    <w:p w14:paraId="6DE5460F" w14:textId="72952DFA" w:rsidR="00AC487E" w:rsidRPr="00A317BE" w:rsidRDefault="001462FC" w:rsidP="00A317BE">
      <w:pPr>
        <w:pStyle w:val="ListParagraph"/>
        <w:numPr>
          <w:ilvl w:val="0"/>
          <w:numId w:val="23"/>
        </w:numPr>
        <w:tabs>
          <w:tab w:val="left" w:pos="567"/>
        </w:tabs>
        <w:spacing w:after="0"/>
        <w:ind w:left="0" w:firstLine="0"/>
        <w:rPr>
          <w:color w:val="000000" w:themeColor="text1"/>
        </w:rPr>
      </w:pPr>
      <w:r w:rsidRPr="00A317BE">
        <w:rPr>
          <w:color w:val="000000" w:themeColor="text1"/>
        </w:rPr>
        <w:lastRenderedPageBreak/>
        <w:t>There is a further email from the appellant on the 13</w:t>
      </w:r>
      <w:r w:rsidRPr="00A317BE">
        <w:rPr>
          <w:color w:val="000000" w:themeColor="text1"/>
          <w:vertAlign w:val="superscript"/>
        </w:rPr>
        <w:t>th</w:t>
      </w:r>
      <w:r w:rsidRPr="00A317BE">
        <w:rPr>
          <w:color w:val="000000" w:themeColor="text1"/>
        </w:rPr>
        <w:t xml:space="preserve"> February 2017 at 22:17 </w:t>
      </w:r>
      <w:r w:rsidR="00AC487E" w:rsidRPr="00A317BE">
        <w:rPr>
          <w:color w:val="000000" w:themeColor="text1"/>
        </w:rPr>
        <w:t xml:space="preserve">accusing </w:t>
      </w:r>
      <w:r w:rsidR="009A6C4B" w:rsidRPr="00A317BE">
        <w:rPr>
          <w:color w:val="000000" w:themeColor="text1"/>
        </w:rPr>
        <w:t>the respondent</w:t>
      </w:r>
      <w:r w:rsidR="00AC487E" w:rsidRPr="00A317BE">
        <w:rPr>
          <w:color w:val="000000" w:themeColor="text1"/>
        </w:rPr>
        <w:t xml:space="preserve"> of</w:t>
      </w:r>
      <w:r w:rsidRPr="00A317BE">
        <w:rPr>
          <w:color w:val="000000" w:themeColor="text1"/>
        </w:rPr>
        <w:t xml:space="preserve"> having fabricated a letter of resignation and</w:t>
      </w:r>
      <w:r w:rsidR="00AC487E" w:rsidRPr="00A317BE">
        <w:rPr>
          <w:color w:val="000000" w:themeColor="text1"/>
        </w:rPr>
        <w:t xml:space="preserve"> indicating</w:t>
      </w:r>
      <w:r w:rsidRPr="00A317BE">
        <w:rPr>
          <w:color w:val="000000" w:themeColor="text1"/>
        </w:rPr>
        <w:t xml:space="preserve"> that she has decided to issue a civil bill.  She says that her claim against </w:t>
      </w:r>
      <w:r w:rsidR="009A6C4B" w:rsidRPr="00A317BE">
        <w:rPr>
          <w:color w:val="000000" w:themeColor="text1"/>
        </w:rPr>
        <w:t>the respondent</w:t>
      </w:r>
      <w:r w:rsidR="00663BD8" w:rsidRPr="00A317BE">
        <w:rPr>
          <w:color w:val="000000" w:themeColor="text1"/>
        </w:rPr>
        <w:t xml:space="preserve"> </w:t>
      </w:r>
      <w:r w:rsidRPr="00A317BE">
        <w:rPr>
          <w:color w:val="000000" w:themeColor="text1"/>
        </w:rPr>
        <w:t xml:space="preserve">is governed not by her </w:t>
      </w:r>
      <w:r w:rsidR="0026516A" w:rsidRPr="00A317BE">
        <w:rPr>
          <w:color w:val="000000" w:themeColor="text1"/>
        </w:rPr>
        <w:t>the respondent’s</w:t>
      </w:r>
      <w:r w:rsidRPr="00A317BE">
        <w:rPr>
          <w:color w:val="000000" w:themeColor="text1"/>
        </w:rPr>
        <w:t xml:space="preserve"> contract but by her </w:t>
      </w:r>
      <w:r w:rsidRPr="00A317BE">
        <w:rPr>
          <w:i/>
          <w:color w:val="000000" w:themeColor="text1"/>
        </w:rPr>
        <w:t>VML contract</w:t>
      </w:r>
      <w:r w:rsidRPr="00A317BE">
        <w:rPr>
          <w:color w:val="000000" w:themeColor="text1"/>
        </w:rPr>
        <w:t xml:space="preserve">.  </w:t>
      </w:r>
      <w:r w:rsidR="00663BD8" w:rsidRPr="00A317BE">
        <w:rPr>
          <w:color w:val="000000" w:themeColor="text1"/>
        </w:rPr>
        <w:t xml:space="preserve">This appears to </w:t>
      </w:r>
      <w:r w:rsidR="00F64E74" w:rsidRPr="00A317BE">
        <w:rPr>
          <w:color w:val="000000" w:themeColor="text1"/>
        </w:rPr>
        <w:t xml:space="preserve">be </w:t>
      </w:r>
      <w:r w:rsidR="00663BD8" w:rsidRPr="00A317BE">
        <w:rPr>
          <w:color w:val="000000" w:themeColor="text1"/>
        </w:rPr>
        <w:t>the first assertion to this effect in the documentation furnished to the Court.</w:t>
      </w:r>
    </w:p>
    <w:p w14:paraId="0FBD8DF6" w14:textId="77777777" w:rsidR="00AC487E" w:rsidRPr="00A317BE" w:rsidRDefault="00AC487E" w:rsidP="00A317BE">
      <w:pPr>
        <w:pStyle w:val="ListParagraph"/>
        <w:tabs>
          <w:tab w:val="left" w:pos="567"/>
        </w:tabs>
        <w:ind w:left="0"/>
        <w:rPr>
          <w:color w:val="000000" w:themeColor="text1"/>
        </w:rPr>
      </w:pPr>
    </w:p>
    <w:p w14:paraId="18C0D22B" w14:textId="58CBDF82" w:rsidR="00E0572C" w:rsidRPr="00A317BE" w:rsidRDefault="001462FC" w:rsidP="00F26376">
      <w:pPr>
        <w:pStyle w:val="ListParagraph"/>
        <w:numPr>
          <w:ilvl w:val="0"/>
          <w:numId w:val="23"/>
        </w:numPr>
        <w:tabs>
          <w:tab w:val="left" w:pos="567"/>
        </w:tabs>
        <w:spacing w:after="0"/>
        <w:ind w:left="0" w:firstLine="0"/>
        <w:rPr>
          <w:color w:val="000000" w:themeColor="text1"/>
        </w:rPr>
      </w:pPr>
      <w:r w:rsidRPr="00A317BE">
        <w:rPr>
          <w:color w:val="000000" w:themeColor="text1"/>
        </w:rPr>
        <w:t>Ms. Radovsky replies on the 14 February at 11:13 saying that once they are served</w:t>
      </w:r>
      <w:r w:rsidR="003E29B3" w:rsidRPr="00A317BE">
        <w:rPr>
          <w:color w:val="000000" w:themeColor="text1"/>
        </w:rPr>
        <w:t>,</w:t>
      </w:r>
      <w:r w:rsidRPr="00A317BE">
        <w:rPr>
          <w:color w:val="000000" w:themeColor="text1"/>
        </w:rPr>
        <w:t xml:space="preserve"> they will move for immediate removal based on the lack of jurisdiction.  </w:t>
      </w:r>
    </w:p>
    <w:p w14:paraId="384B6AE7" w14:textId="77777777" w:rsidR="00E0572C" w:rsidRPr="00A317BE" w:rsidRDefault="00E0572C" w:rsidP="00A317BE">
      <w:pPr>
        <w:pStyle w:val="ListParagraph"/>
        <w:tabs>
          <w:tab w:val="left" w:pos="567"/>
        </w:tabs>
        <w:ind w:left="0"/>
        <w:rPr>
          <w:color w:val="000000" w:themeColor="text1"/>
        </w:rPr>
      </w:pPr>
    </w:p>
    <w:p w14:paraId="5EE978A4" w14:textId="5EBF9A3E" w:rsidR="001462FC" w:rsidRPr="00A317BE" w:rsidRDefault="001462FC" w:rsidP="00F26376">
      <w:pPr>
        <w:pStyle w:val="ListParagraph"/>
        <w:numPr>
          <w:ilvl w:val="0"/>
          <w:numId w:val="23"/>
        </w:numPr>
        <w:tabs>
          <w:tab w:val="left" w:pos="567"/>
        </w:tabs>
        <w:spacing w:after="0"/>
        <w:ind w:left="0" w:firstLine="0"/>
        <w:rPr>
          <w:color w:val="000000" w:themeColor="text1"/>
        </w:rPr>
      </w:pPr>
      <w:r w:rsidRPr="00A317BE">
        <w:rPr>
          <w:color w:val="000000" w:themeColor="text1"/>
        </w:rPr>
        <w:t>On the same date</w:t>
      </w:r>
      <w:r w:rsidR="00F64E74" w:rsidRPr="00A317BE">
        <w:rPr>
          <w:color w:val="000000" w:themeColor="text1"/>
        </w:rPr>
        <w:t>,</w:t>
      </w:r>
      <w:r w:rsidRPr="00A317BE">
        <w:rPr>
          <w:color w:val="000000" w:themeColor="text1"/>
        </w:rPr>
        <w:t xml:space="preserve"> the appellant emails at 12:39 asking for clarification as to whether Ms. Radovsky is saying that </w:t>
      </w:r>
      <w:r w:rsidR="00E0572C" w:rsidRPr="00A317BE">
        <w:rPr>
          <w:color w:val="000000" w:themeColor="text1"/>
        </w:rPr>
        <w:t>the appella</w:t>
      </w:r>
      <w:r w:rsidR="00665999" w:rsidRPr="00A317BE">
        <w:rPr>
          <w:color w:val="000000" w:themeColor="text1"/>
        </w:rPr>
        <w:t>n</w:t>
      </w:r>
      <w:r w:rsidR="00E0572C" w:rsidRPr="00A317BE">
        <w:rPr>
          <w:color w:val="000000" w:themeColor="text1"/>
        </w:rPr>
        <w:t>t</w:t>
      </w:r>
      <w:r w:rsidRPr="00A317BE">
        <w:rPr>
          <w:color w:val="000000" w:themeColor="text1"/>
        </w:rPr>
        <w:t xml:space="preserve"> attached her signature to the letter of resignation and returned it to her</w:t>
      </w:r>
      <w:r w:rsidR="00E0572C" w:rsidRPr="00A317BE">
        <w:rPr>
          <w:color w:val="000000" w:themeColor="text1"/>
        </w:rPr>
        <w:t>,</w:t>
      </w:r>
      <w:r w:rsidRPr="00A317BE">
        <w:rPr>
          <w:color w:val="000000" w:themeColor="text1"/>
        </w:rPr>
        <w:t xml:space="preserve"> or </w:t>
      </w:r>
      <w:r w:rsidR="00E0572C" w:rsidRPr="00A317BE">
        <w:rPr>
          <w:color w:val="000000" w:themeColor="text1"/>
        </w:rPr>
        <w:t>that</w:t>
      </w:r>
      <w:r w:rsidRPr="00A317BE">
        <w:rPr>
          <w:color w:val="000000" w:themeColor="text1"/>
        </w:rPr>
        <w:t xml:space="preserve"> she authorised “Jana” to attach her signature to the letter</w:t>
      </w:r>
      <w:r w:rsidR="006368BC" w:rsidRPr="00A317BE">
        <w:rPr>
          <w:color w:val="000000" w:themeColor="text1"/>
        </w:rPr>
        <w:t xml:space="preserve"> (a reference, presumably, to Jana </w:t>
      </w:r>
      <w:r w:rsidR="00F64E74" w:rsidRPr="00A317BE">
        <w:rPr>
          <w:color w:val="000000" w:themeColor="text1"/>
        </w:rPr>
        <w:t>Backova</w:t>
      </w:r>
      <w:r w:rsidR="006368BC" w:rsidRPr="00A317BE">
        <w:rPr>
          <w:color w:val="000000" w:themeColor="text1"/>
        </w:rPr>
        <w:t>, Corporate Secretary)</w:t>
      </w:r>
      <w:r w:rsidRPr="00A317BE">
        <w:rPr>
          <w:color w:val="000000" w:themeColor="text1"/>
        </w:rPr>
        <w:t xml:space="preserve">.  There </w:t>
      </w:r>
      <w:r w:rsidR="00755F9D" w:rsidRPr="00A317BE">
        <w:rPr>
          <w:color w:val="000000" w:themeColor="text1"/>
        </w:rPr>
        <w:t>is</w:t>
      </w:r>
      <w:r w:rsidRPr="00A317BE">
        <w:rPr>
          <w:color w:val="000000" w:themeColor="text1"/>
        </w:rPr>
        <w:t xml:space="preserve"> a further email from her at </w:t>
      </w:r>
      <w:r w:rsidR="00F64E74" w:rsidRPr="00A317BE">
        <w:rPr>
          <w:color w:val="000000" w:themeColor="text1"/>
        </w:rPr>
        <w:t>0</w:t>
      </w:r>
      <w:r w:rsidRPr="00A317BE">
        <w:rPr>
          <w:color w:val="000000" w:themeColor="text1"/>
        </w:rPr>
        <w:t xml:space="preserve">5:37 saying that Ms. Radovsky’s emails are in conflict which shows that she is </w:t>
      </w:r>
      <w:r w:rsidR="00755F9D" w:rsidRPr="00A317BE">
        <w:rPr>
          <w:color w:val="000000" w:themeColor="text1"/>
        </w:rPr>
        <w:t>“</w:t>
      </w:r>
      <w:r w:rsidRPr="00A317BE">
        <w:rPr>
          <w:color w:val="000000" w:themeColor="text1"/>
        </w:rPr>
        <w:t>making things up as she goes along</w:t>
      </w:r>
      <w:r w:rsidR="00755F9D" w:rsidRPr="00A317BE">
        <w:rPr>
          <w:color w:val="000000" w:themeColor="text1"/>
        </w:rPr>
        <w:t>”</w:t>
      </w:r>
      <w:r w:rsidRPr="00A317BE">
        <w:rPr>
          <w:color w:val="000000" w:themeColor="text1"/>
        </w:rPr>
        <w:t xml:space="preserve">.  </w:t>
      </w:r>
    </w:p>
    <w:p w14:paraId="629FDD5F" w14:textId="77777777" w:rsidR="001627D8" w:rsidRPr="00A317BE" w:rsidRDefault="001627D8" w:rsidP="00A317BE">
      <w:pPr>
        <w:pStyle w:val="ListParagraph"/>
        <w:tabs>
          <w:tab w:val="left" w:pos="567"/>
        </w:tabs>
        <w:ind w:left="0"/>
        <w:rPr>
          <w:color w:val="000000" w:themeColor="text1"/>
        </w:rPr>
      </w:pPr>
    </w:p>
    <w:p w14:paraId="46BEC126" w14:textId="27B8712F" w:rsidR="00AC487E" w:rsidRPr="00A317BE" w:rsidRDefault="001627D8"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There is a lengthy email from the appellant to Ms. Rado</w:t>
      </w:r>
      <w:r w:rsidR="00F64E74" w:rsidRPr="00A317BE">
        <w:rPr>
          <w:color w:val="000000" w:themeColor="text1"/>
        </w:rPr>
        <w:t>v</w:t>
      </w:r>
      <w:r w:rsidRPr="00A317BE">
        <w:rPr>
          <w:color w:val="000000" w:themeColor="text1"/>
        </w:rPr>
        <w:t xml:space="preserve">sky at </w:t>
      </w:r>
      <w:r w:rsidR="00F64E74" w:rsidRPr="00A317BE">
        <w:rPr>
          <w:color w:val="000000" w:themeColor="text1"/>
        </w:rPr>
        <w:t>21:51</w:t>
      </w:r>
      <w:r w:rsidRPr="00A317BE">
        <w:rPr>
          <w:color w:val="000000" w:themeColor="text1"/>
        </w:rPr>
        <w:t xml:space="preserve"> on </w:t>
      </w:r>
      <w:r w:rsidR="00F64E74" w:rsidRPr="00A317BE">
        <w:rPr>
          <w:color w:val="000000" w:themeColor="text1"/>
        </w:rPr>
        <w:t xml:space="preserve">the </w:t>
      </w:r>
      <w:r w:rsidRPr="00A317BE">
        <w:rPr>
          <w:color w:val="000000" w:themeColor="text1"/>
        </w:rPr>
        <w:t>14 February in which she sets out that she agreed to a temporary step</w:t>
      </w:r>
      <w:r w:rsidR="00F64E74" w:rsidRPr="00A317BE">
        <w:rPr>
          <w:color w:val="000000" w:themeColor="text1"/>
        </w:rPr>
        <w:t>-</w:t>
      </w:r>
      <w:r w:rsidRPr="00A317BE">
        <w:rPr>
          <w:color w:val="000000" w:themeColor="text1"/>
        </w:rPr>
        <w:t xml:space="preserve">down from VCL and that the purported letter of resignation has no legal effect whatsoever. </w:t>
      </w:r>
      <w:r w:rsidR="00202ABC" w:rsidRPr="00A317BE">
        <w:rPr>
          <w:color w:val="000000" w:themeColor="text1"/>
        </w:rPr>
        <w:t xml:space="preserve">The email also contains the </w:t>
      </w:r>
      <w:r w:rsidR="00422895" w:rsidRPr="00A317BE">
        <w:rPr>
          <w:color w:val="000000" w:themeColor="text1"/>
        </w:rPr>
        <w:t>following:</w:t>
      </w:r>
      <w:r w:rsidR="00202ABC" w:rsidRPr="00A317BE">
        <w:rPr>
          <w:color w:val="000000" w:themeColor="text1"/>
        </w:rPr>
        <w:t xml:space="preserve"> “</w:t>
      </w:r>
      <w:r w:rsidR="00202ABC" w:rsidRPr="00A317BE">
        <w:rPr>
          <w:i/>
          <w:color w:val="000000" w:themeColor="text1"/>
        </w:rPr>
        <w:t>I don’t know why your (sic) puzzled about my bringing a claim in Ireland. My claim is governed by the VML contract which says that it is one of my duties ‘to give legal and other advice to the companies within the Vivier Group’. The other claims arise by virtue of the VCL contract – invalid removal of me as director etc</w:t>
      </w:r>
      <w:r w:rsidR="00202ABC" w:rsidRPr="00A317BE">
        <w:rPr>
          <w:color w:val="000000" w:themeColor="text1"/>
        </w:rPr>
        <w:t xml:space="preserve">.’. </w:t>
      </w:r>
    </w:p>
    <w:p w14:paraId="5B79372A" w14:textId="77777777" w:rsidR="00632A29" w:rsidRPr="00A317BE" w:rsidRDefault="00632A29" w:rsidP="00151DF9">
      <w:pPr>
        <w:pStyle w:val="ListParagraph"/>
        <w:tabs>
          <w:tab w:val="left" w:pos="567"/>
        </w:tabs>
        <w:spacing w:after="0"/>
        <w:ind w:left="0"/>
        <w:rPr>
          <w:color w:val="000000" w:themeColor="text1"/>
        </w:rPr>
      </w:pPr>
    </w:p>
    <w:p w14:paraId="59A15BD0" w14:textId="783AF8ED" w:rsidR="00791DF5" w:rsidRPr="00A317BE" w:rsidRDefault="00E0572C" w:rsidP="00151DF9">
      <w:pPr>
        <w:pStyle w:val="ListParagraph"/>
        <w:numPr>
          <w:ilvl w:val="0"/>
          <w:numId w:val="23"/>
        </w:numPr>
        <w:tabs>
          <w:tab w:val="left" w:pos="567"/>
        </w:tabs>
        <w:spacing w:after="0"/>
        <w:ind w:left="0" w:firstLine="0"/>
        <w:rPr>
          <w:color w:val="000000" w:themeColor="text1"/>
        </w:rPr>
      </w:pPr>
      <w:r w:rsidRPr="00A317BE">
        <w:rPr>
          <w:color w:val="000000" w:themeColor="text1"/>
        </w:rPr>
        <w:lastRenderedPageBreak/>
        <w:t>Th</w:t>
      </w:r>
      <w:r w:rsidR="002C7244" w:rsidRPr="00A317BE">
        <w:rPr>
          <w:color w:val="000000" w:themeColor="text1"/>
        </w:rPr>
        <w:t>ere is an</w:t>
      </w:r>
      <w:r w:rsidR="001462FC" w:rsidRPr="00A317BE">
        <w:rPr>
          <w:color w:val="000000" w:themeColor="text1"/>
        </w:rPr>
        <w:t xml:space="preserve"> email on the 15 February at </w:t>
      </w:r>
      <w:r w:rsidR="00F64E74" w:rsidRPr="00A317BE">
        <w:rPr>
          <w:color w:val="000000" w:themeColor="text1"/>
        </w:rPr>
        <w:t>0</w:t>
      </w:r>
      <w:r w:rsidR="001462FC" w:rsidRPr="00A317BE">
        <w:rPr>
          <w:color w:val="000000" w:themeColor="text1"/>
        </w:rPr>
        <w:t xml:space="preserve">4:09 from Ms. Radovsky saying that she finds the tone of the appellant’s emails unprofessional and offensive.  She makes some further comments and then says </w:t>
      </w:r>
      <w:r w:rsidR="00F64E74" w:rsidRPr="00A317BE">
        <w:rPr>
          <w:color w:val="000000" w:themeColor="text1"/>
        </w:rPr>
        <w:t xml:space="preserve">that </w:t>
      </w:r>
      <w:r w:rsidR="001462FC" w:rsidRPr="00A317BE">
        <w:rPr>
          <w:color w:val="000000" w:themeColor="text1"/>
        </w:rPr>
        <w:t xml:space="preserve">she understands it might take a couple of weeks before </w:t>
      </w:r>
      <w:r w:rsidR="00665999" w:rsidRPr="00A317BE">
        <w:rPr>
          <w:color w:val="000000" w:themeColor="text1"/>
        </w:rPr>
        <w:t>the appellant</w:t>
      </w:r>
      <w:r w:rsidR="001462FC" w:rsidRPr="00A317BE">
        <w:rPr>
          <w:color w:val="000000" w:themeColor="text1"/>
        </w:rPr>
        <w:t xml:space="preserve"> could recover the data and emails </w:t>
      </w:r>
      <w:r w:rsidR="00665999" w:rsidRPr="00A317BE">
        <w:rPr>
          <w:color w:val="000000" w:themeColor="text1"/>
        </w:rPr>
        <w:t xml:space="preserve">from her “other computer”, and requesting </w:t>
      </w:r>
      <w:r w:rsidR="00F64E74" w:rsidRPr="00A317BE">
        <w:rPr>
          <w:color w:val="000000" w:themeColor="text1"/>
        </w:rPr>
        <w:t xml:space="preserve">that </w:t>
      </w:r>
      <w:r w:rsidR="00665999" w:rsidRPr="00A317BE">
        <w:rPr>
          <w:color w:val="000000" w:themeColor="text1"/>
        </w:rPr>
        <w:t xml:space="preserve">the appellant </w:t>
      </w:r>
      <w:r w:rsidR="001462FC" w:rsidRPr="00A317BE">
        <w:rPr>
          <w:color w:val="000000" w:themeColor="text1"/>
        </w:rPr>
        <w:t>send the cop</w:t>
      </w:r>
      <w:r w:rsidR="00F64E74" w:rsidRPr="00A317BE">
        <w:rPr>
          <w:color w:val="000000" w:themeColor="text1"/>
        </w:rPr>
        <w:t>ies</w:t>
      </w:r>
      <w:r w:rsidR="001462FC" w:rsidRPr="00A317BE">
        <w:rPr>
          <w:color w:val="000000" w:themeColor="text1"/>
        </w:rPr>
        <w:t xml:space="preserve"> of the three emails a</w:t>
      </w:r>
      <w:r w:rsidR="00755F9D" w:rsidRPr="00A317BE">
        <w:rPr>
          <w:color w:val="000000" w:themeColor="text1"/>
        </w:rPr>
        <w:t>lleged to be</w:t>
      </w:r>
      <w:r w:rsidR="001462FC" w:rsidRPr="00A317BE">
        <w:rPr>
          <w:color w:val="000000" w:themeColor="text1"/>
        </w:rPr>
        <w:t xml:space="preserve"> fraudulent.  </w:t>
      </w:r>
      <w:r w:rsidR="00755F9D" w:rsidRPr="00A317BE">
        <w:rPr>
          <w:color w:val="000000" w:themeColor="text1"/>
        </w:rPr>
        <w:t xml:space="preserve">She makes further comments about the appropriate jurisdiction in which to resolve the dispute. </w:t>
      </w:r>
    </w:p>
    <w:p w14:paraId="24974CE0" w14:textId="77777777" w:rsidR="00755F9D" w:rsidRPr="00A317BE" w:rsidRDefault="00755F9D" w:rsidP="00A317BE">
      <w:pPr>
        <w:tabs>
          <w:tab w:val="left" w:pos="567"/>
        </w:tabs>
        <w:rPr>
          <w:color w:val="000000" w:themeColor="text1"/>
        </w:rPr>
      </w:pPr>
    </w:p>
    <w:p w14:paraId="398E5673" w14:textId="77777777" w:rsidR="00755F9D" w:rsidRPr="00A317BE" w:rsidRDefault="00755F9D" w:rsidP="00F26376">
      <w:pPr>
        <w:pStyle w:val="ListParagraph"/>
        <w:tabs>
          <w:tab w:val="left" w:pos="567"/>
        </w:tabs>
        <w:spacing w:after="0"/>
        <w:ind w:left="0"/>
        <w:rPr>
          <w:color w:val="000000" w:themeColor="text1"/>
        </w:rPr>
      </w:pPr>
    </w:p>
    <w:p w14:paraId="04C13CCA" w14:textId="278F7DE4" w:rsidR="005C260B" w:rsidRPr="00A317BE" w:rsidRDefault="00791DF5" w:rsidP="00151DF9">
      <w:pPr>
        <w:pStyle w:val="ListParagraph"/>
        <w:numPr>
          <w:ilvl w:val="0"/>
          <w:numId w:val="23"/>
        </w:numPr>
        <w:tabs>
          <w:tab w:val="left" w:pos="567"/>
        </w:tabs>
        <w:spacing w:after="0"/>
        <w:ind w:left="0" w:firstLine="0"/>
        <w:rPr>
          <w:color w:val="000000" w:themeColor="text1"/>
        </w:rPr>
      </w:pPr>
      <w:r w:rsidRPr="00A317BE">
        <w:rPr>
          <w:color w:val="000000" w:themeColor="text1"/>
        </w:rPr>
        <w:t>The appellant averred that she never authorised M</w:t>
      </w:r>
      <w:r w:rsidR="00F64E74" w:rsidRPr="00A317BE">
        <w:rPr>
          <w:color w:val="000000" w:themeColor="text1"/>
        </w:rPr>
        <w:t>s</w:t>
      </w:r>
      <w:r w:rsidRPr="00A317BE">
        <w:rPr>
          <w:color w:val="000000" w:themeColor="text1"/>
        </w:rPr>
        <w:t xml:space="preserve">. </w:t>
      </w:r>
      <w:r w:rsidR="00F64E74" w:rsidRPr="00A317BE">
        <w:rPr>
          <w:color w:val="000000" w:themeColor="text1"/>
        </w:rPr>
        <w:t xml:space="preserve">Backova </w:t>
      </w:r>
      <w:r w:rsidRPr="00A317BE">
        <w:rPr>
          <w:color w:val="000000" w:themeColor="text1"/>
        </w:rPr>
        <w:t>to attach her electronic signature to a</w:t>
      </w:r>
      <w:r w:rsidR="00755F9D" w:rsidRPr="00A317BE">
        <w:rPr>
          <w:color w:val="000000" w:themeColor="text1"/>
        </w:rPr>
        <w:t>ny</w:t>
      </w:r>
      <w:r w:rsidRPr="00A317BE">
        <w:rPr>
          <w:color w:val="000000" w:themeColor="text1"/>
        </w:rPr>
        <w:t xml:space="preserve"> letter of resignation</w:t>
      </w:r>
      <w:r w:rsidR="00755F9D" w:rsidRPr="00A317BE">
        <w:rPr>
          <w:color w:val="000000" w:themeColor="text1"/>
        </w:rPr>
        <w:t>.</w:t>
      </w:r>
      <w:r w:rsidRPr="00A317BE">
        <w:rPr>
          <w:color w:val="000000" w:themeColor="text1"/>
        </w:rPr>
        <w:t xml:space="preserve"> She </w:t>
      </w:r>
      <w:r w:rsidR="00180DD1" w:rsidRPr="00A317BE">
        <w:rPr>
          <w:color w:val="000000" w:themeColor="text1"/>
        </w:rPr>
        <w:t xml:space="preserve">averred that while she </w:t>
      </w:r>
      <w:r w:rsidRPr="00A317BE">
        <w:rPr>
          <w:color w:val="000000" w:themeColor="text1"/>
        </w:rPr>
        <w:t>did send emails on th</w:t>
      </w:r>
      <w:r w:rsidR="00755F9D" w:rsidRPr="00A317BE">
        <w:rPr>
          <w:color w:val="000000" w:themeColor="text1"/>
        </w:rPr>
        <w:t>e relevant</w:t>
      </w:r>
      <w:r w:rsidRPr="00A317BE">
        <w:rPr>
          <w:color w:val="000000" w:themeColor="text1"/>
        </w:rPr>
        <w:t xml:space="preserve"> date</w:t>
      </w:r>
      <w:r w:rsidR="00180DD1" w:rsidRPr="00A317BE">
        <w:rPr>
          <w:color w:val="000000" w:themeColor="text1"/>
        </w:rPr>
        <w:t xml:space="preserve">, </w:t>
      </w:r>
      <w:r w:rsidRPr="00A317BE">
        <w:rPr>
          <w:color w:val="000000" w:themeColor="text1"/>
        </w:rPr>
        <w:t xml:space="preserve"> the emails she sent do not match the emails subsequently furnished by the respondent</w:t>
      </w:r>
      <w:r w:rsidR="00755F9D" w:rsidRPr="00A317BE">
        <w:rPr>
          <w:color w:val="000000" w:themeColor="text1"/>
        </w:rPr>
        <w:t xml:space="preserve"> and have therefore</w:t>
      </w:r>
      <w:r w:rsidR="00180DD1" w:rsidRPr="00A317BE">
        <w:rPr>
          <w:color w:val="000000" w:themeColor="text1"/>
        </w:rPr>
        <w:t xml:space="preserve"> (she says)</w:t>
      </w:r>
      <w:r w:rsidR="00755F9D" w:rsidRPr="00A317BE">
        <w:rPr>
          <w:color w:val="000000" w:themeColor="text1"/>
        </w:rPr>
        <w:t xml:space="preserve"> been “tampered with”.</w:t>
      </w:r>
      <w:r w:rsidRPr="00A317BE">
        <w:rPr>
          <w:color w:val="000000" w:themeColor="text1"/>
        </w:rPr>
        <w:t xml:space="preserve"> </w:t>
      </w:r>
    </w:p>
    <w:p w14:paraId="7DA90406" w14:textId="21FB3287" w:rsidR="00B45A1C" w:rsidRPr="00A317BE" w:rsidRDefault="00023A38" w:rsidP="00A317BE">
      <w:pPr>
        <w:pStyle w:val="Heading3"/>
        <w:tabs>
          <w:tab w:val="left" w:pos="567"/>
        </w:tabs>
        <w:rPr>
          <w:color w:val="000000" w:themeColor="text1"/>
        </w:rPr>
      </w:pPr>
      <w:r w:rsidRPr="00A317BE">
        <w:rPr>
          <w:color w:val="000000" w:themeColor="text1"/>
        </w:rPr>
        <w:t>April 2017</w:t>
      </w:r>
      <w:r w:rsidR="00F64E74" w:rsidRPr="00A317BE">
        <w:rPr>
          <w:color w:val="000000" w:themeColor="text1"/>
        </w:rPr>
        <w:t xml:space="preserve"> </w:t>
      </w:r>
      <w:r w:rsidR="0027145D" w:rsidRPr="00A317BE">
        <w:rPr>
          <w:color w:val="000000" w:themeColor="text1"/>
        </w:rPr>
        <w:t>-</w:t>
      </w:r>
      <w:r w:rsidR="00F64E74" w:rsidRPr="00A317BE">
        <w:rPr>
          <w:color w:val="000000" w:themeColor="text1"/>
        </w:rPr>
        <w:t xml:space="preserve"> </w:t>
      </w:r>
      <w:r w:rsidR="00760F1B" w:rsidRPr="00A317BE">
        <w:rPr>
          <w:color w:val="000000" w:themeColor="text1"/>
        </w:rPr>
        <w:t xml:space="preserve">Settlement talks and termination of </w:t>
      </w:r>
      <w:r w:rsidR="0027145D" w:rsidRPr="00A317BE">
        <w:rPr>
          <w:color w:val="000000" w:themeColor="text1"/>
        </w:rPr>
        <w:t xml:space="preserve">the appellant’s directorship </w:t>
      </w:r>
      <w:r w:rsidR="00EF2E79" w:rsidRPr="00A317BE">
        <w:rPr>
          <w:color w:val="000000" w:themeColor="text1"/>
        </w:rPr>
        <w:t>at EML</w:t>
      </w:r>
    </w:p>
    <w:p w14:paraId="4C96F315" w14:textId="77777777" w:rsidR="000B60CF" w:rsidRPr="00A317BE" w:rsidRDefault="000B60CF" w:rsidP="00A317BE">
      <w:pPr>
        <w:tabs>
          <w:tab w:val="left" w:pos="567"/>
        </w:tabs>
        <w:rPr>
          <w:color w:val="000000" w:themeColor="text1"/>
        </w:rPr>
      </w:pPr>
    </w:p>
    <w:p w14:paraId="21A2BCC1" w14:textId="4CD270E5" w:rsidR="00EF2E79" w:rsidRPr="00A317BE" w:rsidRDefault="00760F1B"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 appellant averred that she received an email from Kevin M</w:t>
      </w:r>
      <w:r w:rsidR="00F64E74" w:rsidRPr="00A317BE">
        <w:rPr>
          <w:color w:val="000000" w:themeColor="text1"/>
        </w:rPr>
        <w:t>a</w:t>
      </w:r>
      <w:r w:rsidRPr="00A317BE">
        <w:rPr>
          <w:color w:val="000000" w:themeColor="text1"/>
        </w:rPr>
        <w:t xml:space="preserve">cLeod inviting her to participate in a consultation in London </w:t>
      </w:r>
      <w:r w:rsidR="001671BA" w:rsidRPr="00A317BE">
        <w:rPr>
          <w:color w:val="000000" w:themeColor="text1"/>
        </w:rPr>
        <w:t xml:space="preserve">to try </w:t>
      </w:r>
      <w:r w:rsidRPr="00A317BE">
        <w:rPr>
          <w:color w:val="000000" w:themeColor="text1"/>
        </w:rPr>
        <w:t xml:space="preserve">to settle her claim against the respondent. </w:t>
      </w:r>
      <w:r w:rsidR="00EF2E79" w:rsidRPr="00A317BE">
        <w:rPr>
          <w:color w:val="000000" w:themeColor="text1"/>
        </w:rPr>
        <w:t xml:space="preserve">The Court has seen an email dated </w:t>
      </w:r>
      <w:r w:rsidR="00F64E74" w:rsidRPr="00A317BE">
        <w:rPr>
          <w:color w:val="000000" w:themeColor="text1"/>
        </w:rPr>
        <w:t xml:space="preserve">the </w:t>
      </w:r>
      <w:r w:rsidR="00EF2E79" w:rsidRPr="00A317BE">
        <w:rPr>
          <w:color w:val="000000" w:themeColor="text1"/>
        </w:rPr>
        <w:t xml:space="preserve">20 February 2017 in which Mr. MacLeod says that there is an “appetite” on the respondent’s side for a compromise and a recognition </w:t>
      </w:r>
      <w:r w:rsidR="00EF2E79" w:rsidRPr="00A317BE">
        <w:rPr>
          <w:i/>
          <w:iCs/>
          <w:color w:val="000000" w:themeColor="text1"/>
        </w:rPr>
        <w:t>“that an essential ingredient of any compromise would include ‘establishing your innocence’</w:t>
      </w:r>
      <w:r w:rsidR="00F64E74" w:rsidRPr="00A317BE">
        <w:rPr>
          <w:i/>
          <w:iCs/>
          <w:color w:val="000000" w:themeColor="text1"/>
        </w:rPr>
        <w:t>”</w:t>
      </w:r>
      <w:r w:rsidR="00EF2E79" w:rsidRPr="00A317BE">
        <w:rPr>
          <w:i/>
          <w:iCs/>
          <w:color w:val="000000" w:themeColor="text1"/>
        </w:rPr>
        <w:t>.</w:t>
      </w:r>
      <w:r w:rsidR="00EF2E79" w:rsidRPr="00A317BE">
        <w:rPr>
          <w:color w:val="000000" w:themeColor="text1"/>
        </w:rPr>
        <w:t xml:space="preserve"> It invites her to settlement talks on condition that she would not contact any party directly or indirectly connected to EML or the respondent without their prior written consent. </w:t>
      </w:r>
    </w:p>
    <w:p w14:paraId="0E0678FD" w14:textId="77777777" w:rsidR="00EF2E79" w:rsidRPr="00A317BE" w:rsidRDefault="00EF2E79" w:rsidP="00151DF9">
      <w:pPr>
        <w:pStyle w:val="ListParagraph"/>
        <w:tabs>
          <w:tab w:val="left" w:pos="567"/>
        </w:tabs>
        <w:spacing w:after="0"/>
        <w:ind w:left="0"/>
        <w:rPr>
          <w:color w:val="000000" w:themeColor="text1"/>
        </w:rPr>
      </w:pPr>
    </w:p>
    <w:p w14:paraId="4B335F8F" w14:textId="5F8C6A3D" w:rsidR="003551E5" w:rsidRPr="00A317BE" w:rsidRDefault="001671BA" w:rsidP="00151DF9">
      <w:pPr>
        <w:pStyle w:val="ListParagraph"/>
        <w:numPr>
          <w:ilvl w:val="0"/>
          <w:numId w:val="23"/>
        </w:numPr>
        <w:tabs>
          <w:tab w:val="left" w:pos="567"/>
        </w:tabs>
        <w:spacing w:after="0"/>
        <w:ind w:left="0" w:firstLine="0"/>
        <w:rPr>
          <w:color w:val="000000" w:themeColor="text1"/>
        </w:rPr>
      </w:pPr>
      <w:r w:rsidRPr="00A317BE">
        <w:rPr>
          <w:color w:val="000000" w:themeColor="text1"/>
        </w:rPr>
        <w:t>The appellant appears to have travelled to Londo</w:t>
      </w:r>
      <w:r w:rsidR="0011341C" w:rsidRPr="00A317BE">
        <w:rPr>
          <w:color w:val="000000" w:themeColor="text1"/>
        </w:rPr>
        <w:t>n</w:t>
      </w:r>
      <w:r w:rsidR="00760F1B" w:rsidRPr="00A317BE">
        <w:rPr>
          <w:color w:val="000000" w:themeColor="text1"/>
        </w:rPr>
        <w:t xml:space="preserve"> but the settlement talks did not prove fruitful. </w:t>
      </w:r>
      <w:r w:rsidR="003551E5" w:rsidRPr="00A317BE">
        <w:rPr>
          <w:color w:val="000000" w:themeColor="text1"/>
        </w:rPr>
        <w:t xml:space="preserve">The date of the meeting in London appears to have been </w:t>
      </w:r>
      <w:r w:rsidR="00F64E74" w:rsidRPr="00A317BE">
        <w:rPr>
          <w:color w:val="000000" w:themeColor="text1"/>
        </w:rPr>
        <w:t xml:space="preserve">the </w:t>
      </w:r>
      <w:r w:rsidR="003551E5" w:rsidRPr="00A317BE">
        <w:rPr>
          <w:color w:val="000000" w:themeColor="text1"/>
        </w:rPr>
        <w:t>26 April 2017 (referred to in a letter dated</w:t>
      </w:r>
      <w:r w:rsidR="00F64E74" w:rsidRPr="00A317BE">
        <w:rPr>
          <w:color w:val="000000" w:themeColor="text1"/>
        </w:rPr>
        <w:t xml:space="preserve"> the</w:t>
      </w:r>
      <w:r w:rsidR="003551E5" w:rsidRPr="00A317BE">
        <w:rPr>
          <w:color w:val="000000" w:themeColor="text1"/>
        </w:rPr>
        <w:t xml:space="preserve"> 8 August 2017 written by Mr. Andrews which was exhibited to the affidavit of Mr. Hashemifar). </w:t>
      </w:r>
    </w:p>
    <w:p w14:paraId="21196EFA" w14:textId="77777777" w:rsidR="003551E5" w:rsidRPr="00A317BE" w:rsidRDefault="003551E5" w:rsidP="00420AF7">
      <w:pPr>
        <w:pStyle w:val="ListParagraph"/>
        <w:tabs>
          <w:tab w:val="left" w:pos="567"/>
        </w:tabs>
        <w:spacing w:after="0"/>
        <w:ind w:left="0"/>
        <w:rPr>
          <w:color w:val="000000" w:themeColor="text1"/>
        </w:rPr>
      </w:pPr>
    </w:p>
    <w:p w14:paraId="24416473" w14:textId="46DD6DE4" w:rsidR="00760F1B" w:rsidRPr="00A317BE" w:rsidRDefault="003551E5" w:rsidP="00420AF7">
      <w:pPr>
        <w:pStyle w:val="ListParagraph"/>
        <w:numPr>
          <w:ilvl w:val="0"/>
          <w:numId w:val="23"/>
        </w:numPr>
        <w:tabs>
          <w:tab w:val="left" w:pos="567"/>
        </w:tabs>
        <w:spacing w:after="0"/>
        <w:ind w:left="0" w:firstLine="0"/>
        <w:rPr>
          <w:color w:val="000000" w:themeColor="text1"/>
        </w:rPr>
      </w:pPr>
      <w:r w:rsidRPr="00A317BE">
        <w:rPr>
          <w:color w:val="000000" w:themeColor="text1"/>
        </w:rPr>
        <w:t>The appellant</w:t>
      </w:r>
      <w:r w:rsidR="00760F1B" w:rsidRPr="00A317BE">
        <w:rPr>
          <w:color w:val="000000" w:themeColor="text1"/>
        </w:rPr>
        <w:t xml:space="preserve"> averred that she</w:t>
      </w:r>
      <w:r w:rsidRPr="00A317BE">
        <w:rPr>
          <w:color w:val="000000" w:themeColor="text1"/>
        </w:rPr>
        <w:t xml:space="preserve"> then</w:t>
      </w:r>
      <w:r w:rsidR="00760F1B" w:rsidRPr="00A317BE">
        <w:rPr>
          <w:color w:val="000000" w:themeColor="text1"/>
        </w:rPr>
        <w:t xml:space="preserve"> told the Board members </w:t>
      </w:r>
      <w:r w:rsidR="00614625" w:rsidRPr="00A317BE">
        <w:rPr>
          <w:color w:val="000000" w:themeColor="text1"/>
        </w:rPr>
        <w:t xml:space="preserve">of the respondent </w:t>
      </w:r>
      <w:r w:rsidR="00760F1B" w:rsidRPr="00A317BE">
        <w:rPr>
          <w:color w:val="000000" w:themeColor="text1"/>
        </w:rPr>
        <w:t xml:space="preserve">that she proposed to issue proceedings in Dublin and that the next day, she received an email from Kevin McLeod warning her that if she </w:t>
      </w:r>
      <w:r w:rsidR="00DC6FDA" w:rsidRPr="00A317BE">
        <w:rPr>
          <w:color w:val="000000" w:themeColor="text1"/>
        </w:rPr>
        <w:t xml:space="preserve">did so, her position with EML would be terminated. </w:t>
      </w:r>
      <w:r w:rsidR="00614625" w:rsidRPr="00A317BE">
        <w:rPr>
          <w:color w:val="000000" w:themeColor="text1"/>
        </w:rPr>
        <w:t>Her directorship</w:t>
      </w:r>
      <w:r w:rsidR="00DC6FDA" w:rsidRPr="00A317BE">
        <w:rPr>
          <w:color w:val="000000" w:themeColor="text1"/>
        </w:rPr>
        <w:t xml:space="preserve"> position </w:t>
      </w:r>
      <w:r w:rsidR="00614625" w:rsidRPr="00A317BE">
        <w:rPr>
          <w:color w:val="000000" w:themeColor="text1"/>
        </w:rPr>
        <w:t xml:space="preserve">with EML </w:t>
      </w:r>
      <w:r w:rsidR="00DC6FDA" w:rsidRPr="00A317BE">
        <w:rPr>
          <w:color w:val="000000" w:themeColor="text1"/>
        </w:rPr>
        <w:t xml:space="preserve">was </w:t>
      </w:r>
      <w:r w:rsidR="004C5D29" w:rsidRPr="00A317BE">
        <w:rPr>
          <w:color w:val="000000" w:themeColor="text1"/>
        </w:rPr>
        <w:t xml:space="preserve">in fact </w:t>
      </w:r>
      <w:r w:rsidR="00DC6FDA" w:rsidRPr="00A317BE">
        <w:rPr>
          <w:color w:val="000000" w:themeColor="text1"/>
        </w:rPr>
        <w:t>terminated on the 27 April 201</w:t>
      </w:r>
      <w:r w:rsidR="00D017A2" w:rsidRPr="00A317BE">
        <w:rPr>
          <w:color w:val="000000" w:themeColor="text1"/>
        </w:rPr>
        <w:t>7</w:t>
      </w:r>
      <w:r w:rsidR="00DC6FDA" w:rsidRPr="00A317BE">
        <w:rPr>
          <w:color w:val="000000" w:themeColor="text1"/>
        </w:rPr>
        <w:t xml:space="preserve">. </w:t>
      </w:r>
    </w:p>
    <w:p w14:paraId="5F82494B" w14:textId="77777777" w:rsidR="006904E5" w:rsidRPr="00A317BE" w:rsidRDefault="006904E5">
      <w:pPr>
        <w:tabs>
          <w:tab w:val="left" w:pos="567"/>
        </w:tabs>
        <w:rPr>
          <w:color w:val="000000" w:themeColor="text1"/>
        </w:rPr>
      </w:pPr>
    </w:p>
    <w:p w14:paraId="1D47FFAC" w14:textId="221C8C31" w:rsidR="00C47702" w:rsidRPr="00A317BE" w:rsidRDefault="006F1B91" w:rsidP="00A317BE">
      <w:pPr>
        <w:pStyle w:val="Heading3"/>
        <w:tabs>
          <w:tab w:val="left" w:pos="567"/>
        </w:tabs>
        <w:rPr>
          <w:color w:val="000000" w:themeColor="text1"/>
        </w:rPr>
      </w:pPr>
      <w:r w:rsidRPr="00A317BE">
        <w:rPr>
          <w:color w:val="000000" w:themeColor="text1"/>
        </w:rPr>
        <w:t xml:space="preserve">May 2017: </w:t>
      </w:r>
      <w:r w:rsidR="00C47702" w:rsidRPr="00A317BE">
        <w:rPr>
          <w:color w:val="000000" w:themeColor="text1"/>
        </w:rPr>
        <w:t>Correspondence concerning the Irish proceedings</w:t>
      </w:r>
    </w:p>
    <w:p w14:paraId="3C3AEC4C" w14:textId="77777777" w:rsidR="000B60CF" w:rsidRPr="00A317BE" w:rsidRDefault="000B60CF" w:rsidP="00A317BE">
      <w:pPr>
        <w:tabs>
          <w:tab w:val="left" w:pos="567"/>
        </w:tabs>
        <w:rPr>
          <w:color w:val="000000" w:themeColor="text1"/>
        </w:rPr>
      </w:pPr>
    </w:p>
    <w:p w14:paraId="714F0B8D" w14:textId="4FBBE0CD" w:rsidR="001D74BD" w:rsidRPr="00A317BE" w:rsidRDefault="0027145D"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 deponent</w:t>
      </w:r>
      <w:r w:rsidR="004F4379" w:rsidRPr="00A317BE">
        <w:rPr>
          <w:color w:val="000000" w:themeColor="text1"/>
        </w:rPr>
        <w:t xml:space="preserve"> on behalf of the respondent,</w:t>
      </w:r>
      <w:r w:rsidRPr="00A317BE">
        <w:rPr>
          <w:color w:val="000000" w:themeColor="text1"/>
        </w:rPr>
        <w:t xml:space="preserve"> </w:t>
      </w:r>
      <w:r w:rsidR="001D74BD" w:rsidRPr="00A317BE">
        <w:rPr>
          <w:color w:val="000000" w:themeColor="text1"/>
        </w:rPr>
        <w:t>Mr. Hashemifar</w:t>
      </w:r>
      <w:r w:rsidR="004F4379" w:rsidRPr="00A317BE">
        <w:rPr>
          <w:color w:val="000000" w:themeColor="text1"/>
        </w:rPr>
        <w:t xml:space="preserve">, </w:t>
      </w:r>
      <w:r w:rsidR="001D74BD" w:rsidRPr="00A317BE">
        <w:rPr>
          <w:color w:val="000000" w:themeColor="text1"/>
        </w:rPr>
        <w:t>says in May 2017</w:t>
      </w:r>
      <w:r w:rsidR="00F64E74" w:rsidRPr="00A317BE">
        <w:rPr>
          <w:color w:val="000000" w:themeColor="text1"/>
        </w:rPr>
        <w:t xml:space="preserve"> that</w:t>
      </w:r>
      <w:r w:rsidR="001D74BD" w:rsidRPr="00A317BE">
        <w:rPr>
          <w:color w:val="000000" w:themeColor="text1"/>
        </w:rPr>
        <w:t xml:space="preserve"> the appellant notified </w:t>
      </w:r>
      <w:r w:rsidR="009A6C4B" w:rsidRPr="00A317BE">
        <w:rPr>
          <w:color w:val="000000" w:themeColor="text1"/>
        </w:rPr>
        <w:t>the respondent</w:t>
      </w:r>
      <w:r w:rsidR="001D74BD" w:rsidRPr="00A317BE">
        <w:rPr>
          <w:color w:val="000000" w:themeColor="text1"/>
        </w:rPr>
        <w:t xml:space="preserve"> that she was intending to bring an </w:t>
      </w:r>
      <w:r w:rsidR="001D74BD" w:rsidRPr="00A317BE">
        <w:rPr>
          <w:i/>
          <w:color w:val="000000" w:themeColor="text1"/>
        </w:rPr>
        <w:t xml:space="preserve">ex parte </w:t>
      </w:r>
      <w:r w:rsidR="001D74BD" w:rsidRPr="00A317BE">
        <w:rPr>
          <w:color w:val="000000" w:themeColor="text1"/>
        </w:rPr>
        <w:t>application to the High Court in Dublin</w:t>
      </w:r>
      <w:r w:rsidR="00921736" w:rsidRPr="00A317BE">
        <w:rPr>
          <w:color w:val="000000" w:themeColor="text1"/>
        </w:rPr>
        <w:t>. Mr. Medel on behalf of the respondent</w:t>
      </w:r>
      <w:r w:rsidR="004C3319" w:rsidRPr="00A317BE">
        <w:rPr>
          <w:color w:val="000000" w:themeColor="text1"/>
        </w:rPr>
        <w:t xml:space="preserve"> </w:t>
      </w:r>
      <w:r w:rsidR="001D74BD" w:rsidRPr="00A317BE">
        <w:rPr>
          <w:color w:val="000000" w:themeColor="text1"/>
        </w:rPr>
        <w:t xml:space="preserve">wrote to her by letter dated </w:t>
      </w:r>
      <w:r w:rsidR="00F64E74" w:rsidRPr="00A317BE">
        <w:rPr>
          <w:color w:val="000000" w:themeColor="text1"/>
        </w:rPr>
        <w:t xml:space="preserve">the </w:t>
      </w:r>
      <w:r w:rsidR="001D74BD" w:rsidRPr="00A317BE">
        <w:rPr>
          <w:color w:val="000000" w:themeColor="text1"/>
        </w:rPr>
        <w:t>16 May 2017 saying</w:t>
      </w:r>
      <w:r w:rsidR="00921736" w:rsidRPr="00A317BE">
        <w:rPr>
          <w:color w:val="000000" w:themeColor="text1"/>
        </w:rPr>
        <w:t xml:space="preserve">, inter alia, </w:t>
      </w:r>
      <w:r w:rsidR="001D74BD" w:rsidRPr="00A317BE">
        <w:rPr>
          <w:color w:val="000000" w:themeColor="text1"/>
        </w:rPr>
        <w:t>that the relevant jurisdiction was New Zealand</w:t>
      </w:r>
      <w:r w:rsidR="00747DF9" w:rsidRPr="00A317BE">
        <w:rPr>
          <w:color w:val="000000" w:themeColor="text1"/>
        </w:rPr>
        <w:t>,</w:t>
      </w:r>
      <w:r w:rsidR="001D74BD" w:rsidRPr="00A317BE">
        <w:rPr>
          <w:color w:val="000000" w:themeColor="text1"/>
        </w:rPr>
        <w:t xml:space="preserve"> and that even if another court had jurisdiction, New Zealand would nevertheless be the more appropriate forum for any proceedings.  </w:t>
      </w:r>
      <w:r w:rsidR="00921736" w:rsidRPr="00A317BE">
        <w:rPr>
          <w:color w:val="000000" w:themeColor="text1"/>
        </w:rPr>
        <w:t xml:space="preserve">The author also requested that the letter be shown to the High Court if she proceeded with her </w:t>
      </w:r>
      <w:r w:rsidR="00921736" w:rsidRPr="00A317BE">
        <w:rPr>
          <w:i/>
          <w:color w:val="000000" w:themeColor="text1"/>
        </w:rPr>
        <w:t>ex parte</w:t>
      </w:r>
      <w:r w:rsidR="00921736" w:rsidRPr="00A317BE">
        <w:rPr>
          <w:color w:val="000000" w:themeColor="text1"/>
        </w:rPr>
        <w:t xml:space="preserve"> application. </w:t>
      </w:r>
      <w:r w:rsidR="001D74BD" w:rsidRPr="00A317BE">
        <w:rPr>
          <w:color w:val="000000" w:themeColor="text1"/>
        </w:rPr>
        <w:t xml:space="preserve">There were further letters on </w:t>
      </w:r>
      <w:r w:rsidR="00F64E74" w:rsidRPr="00A317BE">
        <w:rPr>
          <w:color w:val="000000" w:themeColor="text1"/>
        </w:rPr>
        <w:t xml:space="preserve">the </w:t>
      </w:r>
      <w:r w:rsidR="001D74BD" w:rsidRPr="00A317BE">
        <w:rPr>
          <w:color w:val="000000" w:themeColor="text1"/>
        </w:rPr>
        <w:t>19 and 22 May 2017</w:t>
      </w:r>
      <w:r w:rsidR="00747DF9" w:rsidRPr="00A317BE">
        <w:rPr>
          <w:color w:val="000000" w:themeColor="text1"/>
        </w:rPr>
        <w:t xml:space="preserve">, and </w:t>
      </w:r>
      <w:r w:rsidR="00F64E74" w:rsidRPr="00A317BE">
        <w:rPr>
          <w:color w:val="000000" w:themeColor="text1"/>
        </w:rPr>
        <w:t xml:space="preserve">the </w:t>
      </w:r>
      <w:r w:rsidR="001D74BD" w:rsidRPr="00A317BE">
        <w:rPr>
          <w:color w:val="000000" w:themeColor="text1"/>
        </w:rPr>
        <w:t xml:space="preserve">7 June 2017.  </w:t>
      </w:r>
      <w:r w:rsidR="00AB4FAC" w:rsidRPr="00A317BE">
        <w:rPr>
          <w:color w:val="000000" w:themeColor="text1"/>
        </w:rPr>
        <w:t xml:space="preserve">The tone and content of the letters shows that relations between the parties were very acrimonious. </w:t>
      </w:r>
    </w:p>
    <w:p w14:paraId="0EFCA157" w14:textId="6438EDAB" w:rsidR="00446972" w:rsidRPr="00A317BE" w:rsidRDefault="00446972" w:rsidP="00A317BE">
      <w:pPr>
        <w:pStyle w:val="Heading3"/>
        <w:tabs>
          <w:tab w:val="left" w:pos="567"/>
        </w:tabs>
        <w:rPr>
          <w:color w:val="000000" w:themeColor="text1"/>
        </w:rPr>
      </w:pPr>
      <w:r w:rsidRPr="00A317BE">
        <w:rPr>
          <w:color w:val="000000" w:themeColor="text1"/>
        </w:rPr>
        <w:t>8 August 2017</w:t>
      </w:r>
      <w:r w:rsidR="00F64E74" w:rsidRPr="00A317BE">
        <w:rPr>
          <w:color w:val="000000" w:themeColor="text1"/>
        </w:rPr>
        <w:t xml:space="preserve"> </w:t>
      </w:r>
      <w:r w:rsidR="004F4379" w:rsidRPr="00A317BE">
        <w:rPr>
          <w:color w:val="000000" w:themeColor="text1"/>
        </w:rPr>
        <w:t>-</w:t>
      </w:r>
      <w:r w:rsidR="00F64E74" w:rsidRPr="00A317BE">
        <w:rPr>
          <w:color w:val="000000" w:themeColor="text1"/>
        </w:rPr>
        <w:t xml:space="preserve"> </w:t>
      </w:r>
      <w:r w:rsidR="004F4379" w:rsidRPr="00A317BE">
        <w:rPr>
          <w:color w:val="000000" w:themeColor="text1"/>
        </w:rPr>
        <w:t>the Richard Andrews letter</w:t>
      </w:r>
    </w:p>
    <w:p w14:paraId="653E6AA8" w14:textId="77029B59" w:rsidR="00446972" w:rsidRPr="00A317BE" w:rsidRDefault="00446972" w:rsidP="00F26376">
      <w:pPr>
        <w:pStyle w:val="ListParagraph"/>
        <w:numPr>
          <w:ilvl w:val="0"/>
          <w:numId w:val="23"/>
        </w:numPr>
        <w:tabs>
          <w:tab w:val="left" w:pos="567"/>
        </w:tabs>
        <w:spacing w:after="0"/>
        <w:ind w:left="0" w:firstLine="0"/>
        <w:rPr>
          <w:color w:val="000000" w:themeColor="text1"/>
        </w:rPr>
      </w:pPr>
      <w:r w:rsidRPr="00A317BE">
        <w:rPr>
          <w:color w:val="000000" w:themeColor="text1"/>
        </w:rPr>
        <w:t>The document is in the form of a letter but bears the words “by email” on its face. It is from Richard Andrews, with a letter head bearing the name “Elstree Mortgages”</w:t>
      </w:r>
      <w:r w:rsidR="00110EBB" w:rsidRPr="00A317BE">
        <w:rPr>
          <w:color w:val="000000" w:themeColor="text1"/>
        </w:rPr>
        <w:t>,</w:t>
      </w:r>
      <w:r w:rsidRPr="00A317BE">
        <w:rPr>
          <w:color w:val="000000" w:themeColor="text1"/>
        </w:rPr>
        <w:t xml:space="preserve"> and is addressed to Mr. Edward Mendel, Legal Counsel, Vivier &amp; Co</w:t>
      </w:r>
      <w:r w:rsidR="00F64E74" w:rsidRPr="00A317BE">
        <w:rPr>
          <w:color w:val="000000" w:themeColor="text1"/>
        </w:rPr>
        <w:t>.</w:t>
      </w:r>
      <w:r w:rsidRPr="00A317BE">
        <w:rPr>
          <w:color w:val="000000" w:themeColor="text1"/>
        </w:rPr>
        <w:t>, with an address in New Zealand.</w:t>
      </w:r>
      <w:r w:rsidR="00110EBB" w:rsidRPr="00A317BE">
        <w:rPr>
          <w:color w:val="000000" w:themeColor="text1"/>
        </w:rPr>
        <w:t xml:space="preserve"> I set this out in full because the appellant bases her claim in defamation (to the Irish company EML) on an inference to be drawn from this letter. It says as follows:-</w:t>
      </w:r>
    </w:p>
    <w:p w14:paraId="268EA844" w14:textId="77777777" w:rsidR="00446972" w:rsidRPr="00A317BE" w:rsidRDefault="00446972" w:rsidP="00A317BE">
      <w:pPr>
        <w:tabs>
          <w:tab w:val="left" w:pos="567"/>
        </w:tabs>
        <w:rPr>
          <w:color w:val="000000" w:themeColor="text1"/>
        </w:rPr>
      </w:pPr>
    </w:p>
    <w:p w14:paraId="49DA0E7F" w14:textId="40619FC2" w:rsidR="00446972" w:rsidRPr="00A317BE" w:rsidRDefault="00446972" w:rsidP="00A317BE">
      <w:pPr>
        <w:tabs>
          <w:tab w:val="left" w:pos="567"/>
        </w:tabs>
        <w:autoSpaceDE w:val="0"/>
        <w:autoSpaceDN w:val="0"/>
        <w:adjustRightInd w:val="0"/>
        <w:ind w:left="567"/>
        <w:rPr>
          <w:color w:val="000000" w:themeColor="text1"/>
        </w:rPr>
      </w:pPr>
      <w:r w:rsidRPr="00A317BE">
        <w:rPr>
          <w:color w:val="000000" w:themeColor="text1"/>
        </w:rPr>
        <w:t>Dear Mr. Medel,</w:t>
      </w:r>
    </w:p>
    <w:p w14:paraId="7C3ABF0C" w14:textId="77777777" w:rsidR="0023494E" w:rsidRPr="00A317BE" w:rsidRDefault="0023494E" w:rsidP="00A317BE">
      <w:pPr>
        <w:tabs>
          <w:tab w:val="left" w:pos="567"/>
        </w:tabs>
        <w:autoSpaceDE w:val="0"/>
        <w:autoSpaceDN w:val="0"/>
        <w:adjustRightInd w:val="0"/>
        <w:ind w:left="567"/>
        <w:rPr>
          <w:color w:val="000000" w:themeColor="text1"/>
        </w:rPr>
      </w:pPr>
    </w:p>
    <w:p w14:paraId="4D6AF727" w14:textId="77777777" w:rsidR="00446972" w:rsidRPr="00A317BE" w:rsidRDefault="00446972" w:rsidP="00A317BE">
      <w:pPr>
        <w:tabs>
          <w:tab w:val="left" w:pos="567"/>
        </w:tabs>
        <w:autoSpaceDE w:val="0"/>
        <w:autoSpaceDN w:val="0"/>
        <w:adjustRightInd w:val="0"/>
        <w:ind w:left="567"/>
        <w:rPr>
          <w:b/>
          <w:color w:val="000000" w:themeColor="text1"/>
        </w:rPr>
      </w:pPr>
      <w:r w:rsidRPr="00A317BE">
        <w:rPr>
          <w:b/>
          <w:color w:val="000000" w:themeColor="text1"/>
        </w:rPr>
        <w:t>Joan Donnelly</w:t>
      </w:r>
    </w:p>
    <w:p w14:paraId="1B9864EB" w14:textId="77777777" w:rsidR="00446972" w:rsidRPr="00A317BE" w:rsidRDefault="00446972" w:rsidP="00A317BE">
      <w:pPr>
        <w:tabs>
          <w:tab w:val="left" w:pos="567"/>
        </w:tabs>
        <w:autoSpaceDE w:val="0"/>
        <w:autoSpaceDN w:val="0"/>
        <w:adjustRightInd w:val="0"/>
        <w:ind w:left="567"/>
        <w:rPr>
          <w:b/>
          <w:color w:val="000000" w:themeColor="text1"/>
        </w:rPr>
      </w:pPr>
    </w:p>
    <w:p w14:paraId="4064455E"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lastRenderedPageBreak/>
        <w:t>As you probably know, since February 2016 I have owned this company, Elstree Mortgages Limited.  It is a mortgage lender, operating in Ireland and registered with the Central Bank here.  From 01 August 2014 to 27 April 2017, the above person was one of its directors.</w:t>
      </w:r>
    </w:p>
    <w:p w14:paraId="61C5F140"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01C516BF"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I understand that Ms. Donnelly is bringing a legal claim against Vivier &amp; Co. on the ground:</w:t>
      </w:r>
    </w:p>
    <w:p w14:paraId="01063F7C" w14:textId="77777777" w:rsidR="00446972" w:rsidRPr="00A317BE" w:rsidRDefault="00446972" w:rsidP="002A0E1C">
      <w:pPr>
        <w:pStyle w:val="ListParagraph"/>
        <w:numPr>
          <w:ilvl w:val="0"/>
          <w:numId w:val="40"/>
        </w:numPr>
        <w:tabs>
          <w:tab w:val="left" w:pos="1701"/>
        </w:tabs>
        <w:autoSpaceDE w:val="0"/>
        <w:autoSpaceDN w:val="0"/>
        <w:adjustRightInd w:val="0"/>
        <w:spacing w:after="0"/>
        <w:ind w:left="1701" w:hanging="567"/>
        <w:rPr>
          <w:color w:val="000000" w:themeColor="text1"/>
          <w:szCs w:val="24"/>
        </w:rPr>
      </w:pPr>
      <w:r w:rsidRPr="00A317BE">
        <w:rPr>
          <w:color w:val="000000" w:themeColor="text1"/>
          <w:szCs w:val="24"/>
        </w:rPr>
        <w:t xml:space="preserve">That Vivier told Elstree that she had made a false allegation of forgery against Vivier; and </w:t>
      </w:r>
    </w:p>
    <w:p w14:paraId="67BE1DF6" w14:textId="77777777" w:rsidR="00446972" w:rsidRPr="00A317BE" w:rsidRDefault="00446972" w:rsidP="002A0E1C">
      <w:pPr>
        <w:pStyle w:val="ListParagraph"/>
        <w:numPr>
          <w:ilvl w:val="0"/>
          <w:numId w:val="40"/>
        </w:numPr>
        <w:tabs>
          <w:tab w:val="left" w:pos="1701"/>
        </w:tabs>
        <w:autoSpaceDE w:val="0"/>
        <w:autoSpaceDN w:val="0"/>
        <w:adjustRightInd w:val="0"/>
        <w:spacing w:after="0"/>
        <w:ind w:left="1701" w:hanging="567"/>
        <w:rPr>
          <w:color w:val="000000" w:themeColor="text1"/>
          <w:szCs w:val="24"/>
        </w:rPr>
      </w:pPr>
      <w:r w:rsidRPr="00A317BE">
        <w:rPr>
          <w:color w:val="000000" w:themeColor="text1"/>
          <w:szCs w:val="24"/>
        </w:rPr>
        <w:t xml:space="preserve">That this caused Elstree to terminate her directorship agreement. </w:t>
      </w:r>
    </w:p>
    <w:p w14:paraId="039053C3" w14:textId="77777777" w:rsidR="00446972" w:rsidRPr="00A317BE" w:rsidRDefault="00446972" w:rsidP="00A317BE">
      <w:pPr>
        <w:tabs>
          <w:tab w:val="left" w:pos="567"/>
        </w:tabs>
        <w:autoSpaceDE w:val="0"/>
        <w:autoSpaceDN w:val="0"/>
        <w:adjustRightInd w:val="0"/>
        <w:ind w:left="567"/>
        <w:rPr>
          <w:b/>
          <w:color w:val="000000" w:themeColor="text1"/>
        </w:rPr>
      </w:pPr>
      <w:r w:rsidRPr="00A317BE">
        <w:rPr>
          <w:b/>
          <w:color w:val="000000" w:themeColor="text1"/>
        </w:rPr>
        <w:t xml:space="preserve">I wish to state categorically that her allegations are untrue.  </w:t>
      </w:r>
    </w:p>
    <w:p w14:paraId="52EA07B3" w14:textId="77777777" w:rsidR="00446972" w:rsidRPr="00A317BE" w:rsidRDefault="00446972" w:rsidP="00A317BE">
      <w:pPr>
        <w:tabs>
          <w:tab w:val="left" w:pos="567"/>
        </w:tabs>
        <w:autoSpaceDE w:val="0"/>
        <w:autoSpaceDN w:val="0"/>
        <w:adjustRightInd w:val="0"/>
        <w:ind w:left="567"/>
        <w:rPr>
          <w:b/>
          <w:color w:val="000000" w:themeColor="text1"/>
        </w:rPr>
      </w:pPr>
    </w:p>
    <w:p w14:paraId="77365024"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Earlier this year, I became aware that Ms. Donnelly was threatening to sue Vivier for unpaid fees of some €36,000.  She was proposing to use a clause in her directorship agreement with Elstree to bring her claim in Ireland.  I established that she was claiming to have worked on a Vivier project for over ten hours per day between January and November 2015.  This was not consistent with the amount of time she was working for this company during the same period.  Moreover, on 26 April 2017, at a meeting in London, she openly admitted to me that she had absolutely no time sheets or other records to support her claim for time spent on the project.</w:t>
      </w:r>
    </w:p>
    <w:p w14:paraId="79AD676A"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0C6554E8"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 xml:space="preserve">I took the view that, as a director of my company, if she did bring such a flawed claim in Ireland, it would potentially lead to bad publicity for Elstree, causing us severe embarrassment and preventing Ms. Donnelly from devoting her time properly to my business.  She was aware of this, because the day before our meeting she gave notice </w:t>
      </w:r>
      <w:r w:rsidRPr="00A317BE">
        <w:rPr>
          <w:color w:val="000000" w:themeColor="text1"/>
        </w:rPr>
        <w:lastRenderedPageBreak/>
        <w:t>of her resignation, effective from 31</w:t>
      </w:r>
      <w:r w:rsidRPr="00A317BE">
        <w:rPr>
          <w:color w:val="000000" w:themeColor="text1"/>
          <w:vertAlign w:val="superscript"/>
        </w:rPr>
        <w:t xml:space="preserve"> </w:t>
      </w:r>
      <w:r w:rsidRPr="00A317BE">
        <w:rPr>
          <w:color w:val="000000" w:themeColor="text1"/>
        </w:rPr>
        <w:t>July 2017, albeit via a most curious email, citing her dispute with Vivier.</w:t>
      </w:r>
    </w:p>
    <w:p w14:paraId="26770473"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3EF28426"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 xml:space="preserve">Immediately after our meeting in London, probably while she was awaiting her return flight to Dublin, she sent a series of inflammatory and unprofessional emails to various parties.  I asked her to desist from sending such emails and to drop her legal claim here or she would be dismissed with immediate effect.  </w:t>
      </w:r>
    </w:p>
    <w:p w14:paraId="78C46D82"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22AA0DEA"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 xml:space="preserve">On the following day, after she refused to comply with my request, we decided to terminate her directorship; it was for no other reason.  In fact, to the best of my recollection, I have not communicated with anyone from Vivier since February 2016.  </w:t>
      </w:r>
    </w:p>
    <w:p w14:paraId="70E47CE2"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0897D0C2"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r w:rsidRPr="00A317BE">
        <w:rPr>
          <w:color w:val="000000" w:themeColor="text1"/>
        </w:rPr>
        <w:t>I have no objection to you using this letter in defence of Ms. Donnelly’s claim.</w:t>
      </w:r>
    </w:p>
    <w:p w14:paraId="43305042" w14:textId="77777777" w:rsidR="00446972" w:rsidRPr="00A317BE" w:rsidRDefault="00446972" w:rsidP="00A317BE">
      <w:pPr>
        <w:tabs>
          <w:tab w:val="left" w:pos="567"/>
        </w:tabs>
        <w:autoSpaceDE w:val="0"/>
        <w:autoSpaceDN w:val="0"/>
        <w:adjustRightInd w:val="0"/>
        <w:spacing w:line="480" w:lineRule="auto"/>
        <w:ind w:left="567"/>
        <w:rPr>
          <w:color w:val="000000" w:themeColor="text1"/>
        </w:rPr>
      </w:pPr>
    </w:p>
    <w:p w14:paraId="2F83CD24" w14:textId="77777777" w:rsidR="00446972" w:rsidRPr="00A317BE" w:rsidRDefault="00446972" w:rsidP="00A317BE">
      <w:pPr>
        <w:tabs>
          <w:tab w:val="left" w:pos="567"/>
        </w:tabs>
        <w:autoSpaceDE w:val="0"/>
        <w:autoSpaceDN w:val="0"/>
        <w:adjustRightInd w:val="0"/>
        <w:spacing w:line="360" w:lineRule="auto"/>
        <w:ind w:left="567"/>
        <w:rPr>
          <w:color w:val="000000" w:themeColor="text1"/>
        </w:rPr>
      </w:pPr>
    </w:p>
    <w:p w14:paraId="6E61BDC2" w14:textId="77777777" w:rsidR="00446972" w:rsidRPr="00A317BE" w:rsidRDefault="00446972" w:rsidP="00901690">
      <w:pPr>
        <w:tabs>
          <w:tab w:val="left" w:pos="567"/>
        </w:tabs>
        <w:autoSpaceDE w:val="0"/>
        <w:autoSpaceDN w:val="0"/>
        <w:adjustRightInd w:val="0"/>
        <w:spacing w:line="360" w:lineRule="auto"/>
        <w:ind w:left="567"/>
        <w:rPr>
          <w:color w:val="000000" w:themeColor="text1"/>
        </w:rPr>
      </w:pPr>
      <w:r w:rsidRPr="00A317BE">
        <w:rPr>
          <w:color w:val="000000" w:themeColor="text1"/>
        </w:rPr>
        <w:t>Yours Sincerely,</w:t>
      </w:r>
    </w:p>
    <w:p w14:paraId="36B9B9F5" w14:textId="77777777" w:rsidR="00446972" w:rsidRPr="00A317BE" w:rsidRDefault="00446972" w:rsidP="00901690">
      <w:pPr>
        <w:tabs>
          <w:tab w:val="left" w:pos="567"/>
        </w:tabs>
        <w:autoSpaceDE w:val="0"/>
        <w:autoSpaceDN w:val="0"/>
        <w:adjustRightInd w:val="0"/>
        <w:spacing w:line="360" w:lineRule="auto"/>
        <w:ind w:left="567"/>
        <w:rPr>
          <w:color w:val="000000" w:themeColor="text1"/>
        </w:rPr>
      </w:pPr>
      <w:r w:rsidRPr="00A317BE">
        <w:rPr>
          <w:color w:val="000000" w:themeColor="text1"/>
        </w:rPr>
        <w:t>Richard Andrews</w:t>
      </w:r>
    </w:p>
    <w:p w14:paraId="0E1FB6DC" w14:textId="77777777" w:rsidR="00446972" w:rsidRPr="00A317BE" w:rsidRDefault="00446972" w:rsidP="00A317BE">
      <w:pPr>
        <w:tabs>
          <w:tab w:val="left" w:pos="567"/>
        </w:tabs>
        <w:autoSpaceDE w:val="0"/>
        <w:autoSpaceDN w:val="0"/>
        <w:adjustRightInd w:val="0"/>
        <w:ind w:left="567"/>
        <w:rPr>
          <w:color w:val="000000" w:themeColor="text1"/>
          <w:u w:val="single"/>
        </w:rPr>
      </w:pPr>
    </w:p>
    <w:p w14:paraId="72134837" w14:textId="7DD2A394" w:rsidR="00747DF9" w:rsidRPr="00A317BE" w:rsidRDefault="000A7788" w:rsidP="00A317BE">
      <w:pPr>
        <w:pStyle w:val="Heading3"/>
        <w:tabs>
          <w:tab w:val="left" w:pos="567"/>
        </w:tabs>
        <w:rPr>
          <w:color w:val="000000" w:themeColor="text1"/>
        </w:rPr>
      </w:pPr>
      <w:r w:rsidRPr="00A317BE">
        <w:rPr>
          <w:color w:val="000000" w:themeColor="text1"/>
        </w:rPr>
        <w:t>Pre-</w:t>
      </w:r>
      <w:r w:rsidR="00285531" w:rsidRPr="00A317BE">
        <w:rPr>
          <w:color w:val="000000" w:themeColor="text1"/>
        </w:rPr>
        <w:t>and post-</w:t>
      </w:r>
      <w:r w:rsidR="00632A29" w:rsidRPr="00A317BE">
        <w:rPr>
          <w:color w:val="000000" w:themeColor="text1"/>
        </w:rPr>
        <w:t>leave</w:t>
      </w:r>
      <w:r w:rsidRPr="00A317BE">
        <w:rPr>
          <w:color w:val="000000" w:themeColor="text1"/>
        </w:rPr>
        <w:t xml:space="preserve"> correspondence </w:t>
      </w:r>
    </w:p>
    <w:p w14:paraId="688C1126" w14:textId="680F24CE" w:rsidR="00B0276C" w:rsidRPr="00A317BE" w:rsidRDefault="001D74BD"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On </w:t>
      </w:r>
      <w:r w:rsidR="00F64E74" w:rsidRPr="00A317BE">
        <w:rPr>
          <w:color w:val="000000" w:themeColor="text1"/>
        </w:rPr>
        <w:t xml:space="preserve">the </w:t>
      </w:r>
      <w:r w:rsidRPr="00A317BE">
        <w:rPr>
          <w:color w:val="000000" w:themeColor="text1"/>
        </w:rPr>
        <w:t xml:space="preserve">6 March 2018 the appellant emailed the defendant indicating that she was maintaining </w:t>
      </w:r>
      <w:r w:rsidR="009A0502" w:rsidRPr="00A317BE">
        <w:rPr>
          <w:color w:val="000000" w:themeColor="text1"/>
        </w:rPr>
        <w:t>Irish proceedings against the respondent</w:t>
      </w:r>
      <w:r w:rsidRPr="00A317BE">
        <w:rPr>
          <w:color w:val="000000" w:themeColor="text1"/>
        </w:rPr>
        <w:t xml:space="preserve"> although she was seeking agreement that the claim could be taken in the Circuit Court</w:t>
      </w:r>
      <w:r w:rsidR="009A0502" w:rsidRPr="00A317BE">
        <w:rPr>
          <w:color w:val="000000" w:themeColor="text1"/>
        </w:rPr>
        <w:t xml:space="preserve"> instead of the High Court</w:t>
      </w:r>
      <w:r w:rsidRPr="00A317BE">
        <w:rPr>
          <w:color w:val="000000" w:themeColor="text1"/>
        </w:rPr>
        <w:t>.  She wrote again on the 6 May 2018</w:t>
      </w:r>
      <w:r w:rsidR="004C3319" w:rsidRPr="00A317BE">
        <w:rPr>
          <w:color w:val="000000" w:themeColor="text1"/>
        </w:rPr>
        <w:t xml:space="preserve">. </w:t>
      </w:r>
    </w:p>
    <w:p w14:paraId="75D835E3" w14:textId="77777777" w:rsidR="00285531" w:rsidRPr="00A317BE" w:rsidRDefault="00285531" w:rsidP="00151DF9">
      <w:pPr>
        <w:pStyle w:val="ListParagraph"/>
        <w:tabs>
          <w:tab w:val="left" w:pos="567"/>
        </w:tabs>
        <w:spacing w:after="0"/>
        <w:ind w:left="0"/>
        <w:rPr>
          <w:color w:val="000000" w:themeColor="text1"/>
        </w:rPr>
      </w:pPr>
    </w:p>
    <w:p w14:paraId="4D9DC2F0" w14:textId="72FFAAAB" w:rsidR="00031F7E" w:rsidRPr="00A317BE" w:rsidRDefault="00B0276C" w:rsidP="00151DF9">
      <w:pPr>
        <w:pStyle w:val="ListParagraph"/>
        <w:numPr>
          <w:ilvl w:val="0"/>
          <w:numId w:val="23"/>
        </w:numPr>
        <w:tabs>
          <w:tab w:val="left" w:pos="567"/>
        </w:tabs>
        <w:spacing w:after="0"/>
        <w:ind w:left="0" w:firstLine="0"/>
        <w:rPr>
          <w:color w:val="000000" w:themeColor="text1"/>
        </w:rPr>
      </w:pPr>
      <w:r w:rsidRPr="00A317BE">
        <w:rPr>
          <w:color w:val="000000" w:themeColor="text1"/>
        </w:rPr>
        <w:t>Finall</w:t>
      </w:r>
      <w:r w:rsidR="009A0502" w:rsidRPr="00A317BE">
        <w:rPr>
          <w:color w:val="000000" w:themeColor="text1"/>
        </w:rPr>
        <w:t>y, the Court has been shown</w:t>
      </w:r>
      <w:r w:rsidRPr="00A317BE">
        <w:rPr>
          <w:color w:val="000000" w:themeColor="text1"/>
        </w:rPr>
        <w:t xml:space="preserve"> a letter dated </w:t>
      </w:r>
      <w:r w:rsidR="00F64E74" w:rsidRPr="00A317BE">
        <w:rPr>
          <w:color w:val="000000" w:themeColor="text1"/>
        </w:rPr>
        <w:t xml:space="preserve">the </w:t>
      </w:r>
      <w:r w:rsidRPr="00A317BE">
        <w:rPr>
          <w:color w:val="000000" w:themeColor="text1"/>
        </w:rPr>
        <w:t>6 May 2018</w:t>
      </w:r>
      <w:r w:rsidR="00BA2B1F" w:rsidRPr="00A317BE">
        <w:rPr>
          <w:color w:val="000000" w:themeColor="text1"/>
        </w:rPr>
        <w:t>, after the granting of liberty to serve out,</w:t>
      </w:r>
      <w:r w:rsidRPr="00A317BE">
        <w:rPr>
          <w:color w:val="000000" w:themeColor="text1"/>
        </w:rPr>
        <w:t xml:space="preserve"> from the respondent to the appellant</w:t>
      </w:r>
      <w:r w:rsidR="00BA2B1F" w:rsidRPr="00A317BE">
        <w:rPr>
          <w:color w:val="000000" w:themeColor="text1"/>
        </w:rPr>
        <w:t xml:space="preserve">. It </w:t>
      </w:r>
      <w:r w:rsidRPr="00A317BE">
        <w:rPr>
          <w:color w:val="000000" w:themeColor="text1"/>
        </w:rPr>
        <w:t xml:space="preserve">includes an allegation that she deliberately misled the High Court by failing to disclose the jurisdiction provisions in the </w:t>
      </w:r>
      <w:r w:rsidR="009A0502" w:rsidRPr="00A317BE">
        <w:rPr>
          <w:color w:val="000000" w:themeColor="text1"/>
        </w:rPr>
        <w:lastRenderedPageBreak/>
        <w:t xml:space="preserve">December 2014 </w:t>
      </w:r>
      <w:r w:rsidRPr="00A317BE">
        <w:rPr>
          <w:color w:val="000000" w:themeColor="text1"/>
        </w:rPr>
        <w:t xml:space="preserve">agreement. </w:t>
      </w:r>
      <w:r w:rsidR="00B57282" w:rsidRPr="00A317BE">
        <w:rPr>
          <w:color w:val="000000" w:themeColor="text1"/>
        </w:rPr>
        <w:t xml:space="preserve">The appellant’s position is and was that this document is irrelevant and therefore that it was not necessary to disclose it when making her application. </w:t>
      </w:r>
      <w:r w:rsidR="004727A9" w:rsidRPr="00A317BE">
        <w:rPr>
          <w:color w:val="000000" w:themeColor="text1"/>
        </w:rPr>
        <w:t xml:space="preserve">Whether the December 2014 agreement is a contract which governs the Project work done by the appellant is a matter to which I will later return. </w:t>
      </w:r>
    </w:p>
    <w:p w14:paraId="25E497BC" w14:textId="23E84F44" w:rsidR="00031F7E" w:rsidRPr="00A317BE" w:rsidRDefault="00031F7E" w:rsidP="00A317BE">
      <w:pPr>
        <w:pStyle w:val="Heading3"/>
        <w:tabs>
          <w:tab w:val="left" w:pos="567"/>
        </w:tabs>
        <w:rPr>
          <w:color w:val="000000" w:themeColor="text1"/>
        </w:rPr>
      </w:pPr>
      <w:r w:rsidRPr="00A317BE">
        <w:rPr>
          <w:color w:val="000000" w:themeColor="text1"/>
        </w:rPr>
        <w:t>Other bodies contact</w:t>
      </w:r>
      <w:r w:rsidR="00514BA5" w:rsidRPr="00A317BE">
        <w:rPr>
          <w:color w:val="000000" w:themeColor="text1"/>
        </w:rPr>
        <w:t>ed</w:t>
      </w:r>
      <w:r w:rsidRPr="00A317BE">
        <w:rPr>
          <w:color w:val="000000" w:themeColor="text1"/>
        </w:rPr>
        <w:t xml:space="preserve"> by the appellant</w:t>
      </w:r>
    </w:p>
    <w:p w14:paraId="5D9B0C79" w14:textId="77777777" w:rsidR="00031F7E" w:rsidRPr="00A317BE" w:rsidRDefault="00031F7E" w:rsidP="00A317BE">
      <w:pPr>
        <w:tabs>
          <w:tab w:val="left" w:pos="567"/>
        </w:tabs>
        <w:rPr>
          <w:color w:val="000000" w:themeColor="text1"/>
        </w:rPr>
      </w:pPr>
    </w:p>
    <w:p w14:paraId="6DB2ACBC" w14:textId="1A635CD7" w:rsidR="00031F7E" w:rsidRPr="00A317BE" w:rsidRDefault="00031F7E"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The appellant averred that in 2017, she requested the respondent to provide personal information it was holding on her pursuant to the New Zealand Privacy Act 1993 and that, following their failure to do so, </w:t>
      </w:r>
      <w:r w:rsidR="00514BA5" w:rsidRPr="00A317BE">
        <w:rPr>
          <w:color w:val="000000" w:themeColor="text1"/>
        </w:rPr>
        <w:t xml:space="preserve">she complained to the Privacy Commissioner which found in her favour. </w:t>
      </w:r>
      <w:r w:rsidR="00207AB3" w:rsidRPr="00A317BE">
        <w:rPr>
          <w:color w:val="000000" w:themeColor="text1"/>
        </w:rPr>
        <w:t xml:space="preserve">She said </w:t>
      </w:r>
      <w:r w:rsidR="00F64E74" w:rsidRPr="00A317BE">
        <w:rPr>
          <w:color w:val="000000" w:themeColor="text1"/>
        </w:rPr>
        <w:t xml:space="preserve">that </w:t>
      </w:r>
      <w:r w:rsidR="00207AB3" w:rsidRPr="00A317BE">
        <w:rPr>
          <w:color w:val="000000" w:themeColor="text1"/>
        </w:rPr>
        <w:t>the respondent still did not comply.</w:t>
      </w:r>
    </w:p>
    <w:p w14:paraId="6B472DEE" w14:textId="77777777" w:rsidR="00207AB3" w:rsidRPr="00A317BE" w:rsidRDefault="00207AB3" w:rsidP="00151DF9">
      <w:pPr>
        <w:pStyle w:val="ListParagraph"/>
        <w:tabs>
          <w:tab w:val="left" w:pos="567"/>
        </w:tabs>
        <w:spacing w:after="0"/>
        <w:ind w:left="0"/>
        <w:rPr>
          <w:color w:val="000000" w:themeColor="text1"/>
        </w:rPr>
      </w:pPr>
    </w:p>
    <w:p w14:paraId="2419FA57" w14:textId="741665F8" w:rsidR="00207AB3" w:rsidRPr="00A317BE" w:rsidRDefault="00260A42" w:rsidP="00151DF9">
      <w:pPr>
        <w:pStyle w:val="ListParagraph"/>
        <w:numPr>
          <w:ilvl w:val="0"/>
          <w:numId w:val="23"/>
        </w:numPr>
        <w:tabs>
          <w:tab w:val="left" w:pos="567"/>
        </w:tabs>
        <w:spacing w:after="0"/>
        <w:ind w:left="0" w:firstLine="0"/>
        <w:rPr>
          <w:color w:val="000000" w:themeColor="text1"/>
        </w:rPr>
      </w:pPr>
      <w:r w:rsidRPr="00A317BE">
        <w:rPr>
          <w:color w:val="000000" w:themeColor="text1"/>
        </w:rPr>
        <w:t>The Court has seen an email dated</w:t>
      </w:r>
      <w:r w:rsidR="00F64E74" w:rsidRPr="00A317BE">
        <w:rPr>
          <w:color w:val="000000" w:themeColor="text1"/>
        </w:rPr>
        <w:t xml:space="preserve"> the</w:t>
      </w:r>
      <w:r w:rsidRPr="00A317BE">
        <w:rPr>
          <w:color w:val="000000" w:themeColor="text1"/>
        </w:rPr>
        <w:t xml:space="preserve"> 14 September 2017 which shows that the appellant made a complaint to Companies Office in the Ministry of Business, Innovation and Employment concerning her allegedly unlawful </w:t>
      </w:r>
      <w:r w:rsidR="00207AB3" w:rsidRPr="00A317BE">
        <w:rPr>
          <w:color w:val="000000" w:themeColor="text1"/>
        </w:rPr>
        <w:t xml:space="preserve">removal </w:t>
      </w:r>
      <w:r w:rsidRPr="00A317BE">
        <w:rPr>
          <w:color w:val="000000" w:themeColor="text1"/>
        </w:rPr>
        <w:t xml:space="preserve">as director of the respondent. The email indicates that the Office does not propose to progress the complaint any further. </w:t>
      </w:r>
      <w:r w:rsidR="00207AB3" w:rsidRPr="00A317BE">
        <w:rPr>
          <w:color w:val="000000" w:themeColor="text1"/>
        </w:rPr>
        <w:t>The email</w:t>
      </w:r>
      <w:r w:rsidRPr="00A317BE">
        <w:rPr>
          <w:color w:val="000000" w:themeColor="text1"/>
        </w:rPr>
        <w:t xml:space="preserve"> notes that there appears to be an email in which </w:t>
      </w:r>
      <w:r w:rsidR="00207AB3" w:rsidRPr="00A317BE">
        <w:rPr>
          <w:color w:val="000000" w:themeColor="text1"/>
        </w:rPr>
        <w:t>the appellant</w:t>
      </w:r>
      <w:r w:rsidRPr="00A317BE">
        <w:rPr>
          <w:color w:val="000000" w:themeColor="text1"/>
        </w:rPr>
        <w:t xml:space="preserve"> expressly authorise</w:t>
      </w:r>
      <w:r w:rsidR="00207AB3" w:rsidRPr="00A317BE">
        <w:rPr>
          <w:color w:val="000000" w:themeColor="text1"/>
        </w:rPr>
        <w:t>d</w:t>
      </w:r>
      <w:r w:rsidRPr="00A317BE">
        <w:rPr>
          <w:color w:val="000000" w:themeColor="text1"/>
        </w:rPr>
        <w:t xml:space="preserve"> Ms. Backova to attach her electronic signature to the resignation letter and that the meta data appears to suggest that the emails were sent by the appellant. Given the above, and despite the fact that they appreciate that she disputes the authenticity of particular emails in May 2016, they were not satisfied that her removal as director was unlawful. The </w:t>
      </w:r>
      <w:r w:rsidR="00207AB3" w:rsidRPr="00A317BE">
        <w:rPr>
          <w:color w:val="000000" w:themeColor="text1"/>
        </w:rPr>
        <w:t xml:space="preserve">email suggests that if she wishes to contest the authenticity of the emails, the </w:t>
      </w:r>
      <w:r w:rsidRPr="00A317BE">
        <w:rPr>
          <w:color w:val="000000" w:themeColor="text1"/>
        </w:rPr>
        <w:t>appropriate forum</w:t>
      </w:r>
      <w:r w:rsidR="00207AB3" w:rsidRPr="00A317BE">
        <w:rPr>
          <w:color w:val="000000" w:themeColor="text1"/>
        </w:rPr>
        <w:t xml:space="preserve"> </w:t>
      </w:r>
      <w:r w:rsidRPr="00A317BE">
        <w:rPr>
          <w:color w:val="000000" w:themeColor="text1"/>
        </w:rPr>
        <w:t>is the High Court of New Zealand</w:t>
      </w:r>
      <w:r w:rsidR="00207AB3" w:rsidRPr="00A317BE">
        <w:rPr>
          <w:color w:val="000000" w:themeColor="text1"/>
        </w:rPr>
        <w:t xml:space="preserve">. </w:t>
      </w:r>
    </w:p>
    <w:p w14:paraId="3688405D" w14:textId="77777777" w:rsidR="00207AB3" w:rsidRPr="00A317BE" w:rsidRDefault="00207AB3" w:rsidP="00151DF9">
      <w:pPr>
        <w:pStyle w:val="ListParagraph"/>
        <w:tabs>
          <w:tab w:val="left" w:pos="567"/>
        </w:tabs>
        <w:spacing w:after="0"/>
        <w:ind w:left="0"/>
        <w:rPr>
          <w:color w:val="000000" w:themeColor="text1"/>
        </w:rPr>
      </w:pPr>
    </w:p>
    <w:p w14:paraId="5CDF5345" w14:textId="113E4296" w:rsidR="00E84F76" w:rsidRPr="00A317BE" w:rsidRDefault="00766718" w:rsidP="00420AF7">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Mr. Hashemifar averred that the appellant </w:t>
      </w:r>
      <w:r w:rsidR="008326D2" w:rsidRPr="00A317BE">
        <w:rPr>
          <w:color w:val="000000" w:themeColor="text1"/>
        </w:rPr>
        <w:t xml:space="preserve">also </w:t>
      </w:r>
      <w:r w:rsidRPr="00A317BE">
        <w:rPr>
          <w:color w:val="000000" w:themeColor="text1"/>
        </w:rPr>
        <w:t xml:space="preserve">made a complaint to the New Zealand </w:t>
      </w:r>
      <w:r w:rsidR="00D4102D" w:rsidRPr="00A317BE">
        <w:rPr>
          <w:color w:val="000000" w:themeColor="text1"/>
        </w:rPr>
        <w:t>Human Rights Review in April and December 2017</w:t>
      </w:r>
      <w:r w:rsidR="008326D2" w:rsidRPr="00A317BE">
        <w:rPr>
          <w:color w:val="000000" w:themeColor="text1"/>
        </w:rPr>
        <w:t xml:space="preserve"> and</w:t>
      </w:r>
      <w:r w:rsidR="00AE7B38" w:rsidRPr="00A317BE">
        <w:rPr>
          <w:color w:val="000000" w:themeColor="text1"/>
        </w:rPr>
        <w:t xml:space="preserve"> that she had made complaints in several other countries including </w:t>
      </w:r>
      <w:r w:rsidR="00F64E74" w:rsidRPr="00A317BE">
        <w:rPr>
          <w:color w:val="000000" w:themeColor="text1"/>
        </w:rPr>
        <w:t xml:space="preserve">the </w:t>
      </w:r>
      <w:r w:rsidR="00AE7B38" w:rsidRPr="00A317BE">
        <w:rPr>
          <w:color w:val="000000" w:themeColor="text1"/>
        </w:rPr>
        <w:t xml:space="preserve">UK, Spain and Slovakia. </w:t>
      </w:r>
    </w:p>
    <w:p w14:paraId="6FE9B3C1" w14:textId="73A1D484" w:rsidR="00F64E74" w:rsidRPr="00A317BE" w:rsidRDefault="00F64E74" w:rsidP="00A317BE">
      <w:pPr>
        <w:tabs>
          <w:tab w:val="left" w:pos="567"/>
        </w:tabs>
        <w:rPr>
          <w:color w:val="000000" w:themeColor="text1"/>
        </w:rPr>
      </w:pPr>
    </w:p>
    <w:p w14:paraId="005BD678" w14:textId="15BEB132" w:rsidR="00665372" w:rsidRPr="00A317BE" w:rsidRDefault="00665372" w:rsidP="00A317BE">
      <w:pPr>
        <w:pStyle w:val="Heading3"/>
        <w:tabs>
          <w:tab w:val="left" w:pos="567"/>
        </w:tabs>
        <w:rPr>
          <w:color w:val="000000" w:themeColor="text1"/>
        </w:rPr>
      </w:pPr>
      <w:r w:rsidRPr="00A317BE">
        <w:rPr>
          <w:color w:val="000000" w:themeColor="text1"/>
        </w:rPr>
        <w:t>Some further information from the hearing of the appeal</w:t>
      </w:r>
    </w:p>
    <w:p w14:paraId="2089B3EF" w14:textId="77777777" w:rsidR="007F19BC" w:rsidRPr="00A317BE" w:rsidRDefault="007F19BC" w:rsidP="00A317BE">
      <w:pPr>
        <w:tabs>
          <w:tab w:val="left" w:pos="567"/>
        </w:tabs>
        <w:rPr>
          <w:color w:val="000000" w:themeColor="text1"/>
        </w:rPr>
      </w:pPr>
    </w:p>
    <w:p w14:paraId="5DC8944A" w14:textId="2FA2EE69" w:rsidR="007F19BC" w:rsidRPr="00A317BE" w:rsidRDefault="007F19BC"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Court questioned the appellant at the hearing about the absence of any documentary material about the Project work engaged in by her, such as emails asking her to undertake that project, the precise tasks to be undertaken, the method/amount of payment, </w:t>
      </w:r>
      <w:r w:rsidR="00665372" w:rsidRPr="00A317BE">
        <w:rPr>
          <w:color w:val="000000" w:themeColor="text1"/>
        </w:rPr>
        <w:t>and</w:t>
      </w:r>
      <w:r w:rsidRPr="00A317BE">
        <w:rPr>
          <w:color w:val="000000" w:themeColor="text1"/>
        </w:rPr>
        <w:t xml:space="preserve"> how the figure of €36,000 had been arrived at. The appellant’s response was th</w:t>
      </w:r>
      <w:r w:rsidR="00665372" w:rsidRPr="00A317BE">
        <w:rPr>
          <w:color w:val="000000" w:themeColor="text1"/>
        </w:rPr>
        <w:t>at initially,</w:t>
      </w:r>
      <w:r w:rsidRPr="00A317BE">
        <w:rPr>
          <w:color w:val="000000" w:themeColor="text1"/>
        </w:rPr>
        <w:t xml:space="preserve"> her computer was temporarily broken and later, when she had left the company, she was unable to access the information because the respondent had changed the password</w:t>
      </w:r>
      <w:r w:rsidR="007D2274">
        <w:rPr>
          <w:color w:val="000000" w:themeColor="text1"/>
        </w:rPr>
        <w:t>,</w:t>
      </w:r>
      <w:r w:rsidRPr="00A317BE">
        <w:rPr>
          <w:color w:val="000000" w:themeColor="text1"/>
        </w:rPr>
        <w:t xml:space="preserve"> thereby </w:t>
      </w:r>
      <w:r w:rsidR="00F64E74" w:rsidRPr="00A317BE">
        <w:rPr>
          <w:color w:val="000000" w:themeColor="text1"/>
        </w:rPr>
        <w:t xml:space="preserve">blocking </w:t>
      </w:r>
      <w:r w:rsidRPr="00A317BE">
        <w:rPr>
          <w:color w:val="000000" w:themeColor="text1"/>
        </w:rPr>
        <w:t>her</w:t>
      </w:r>
      <w:r w:rsidR="00665372" w:rsidRPr="00A317BE">
        <w:rPr>
          <w:color w:val="000000" w:themeColor="text1"/>
        </w:rPr>
        <w:t xml:space="preserve"> from accessing the emails.</w:t>
      </w:r>
      <w:r w:rsidRPr="00A317BE">
        <w:rPr>
          <w:color w:val="000000" w:themeColor="text1"/>
        </w:rPr>
        <w:t xml:space="preserve"> She said that the respondent has  all of this information and that she would seek </w:t>
      </w:r>
      <w:r w:rsidR="00F64E74" w:rsidRPr="00A317BE">
        <w:rPr>
          <w:color w:val="000000" w:themeColor="text1"/>
        </w:rPr>
        <w:t xml:space="preserve">access to it </w:t>
      </w:r>
      <w:r w:rsidRPr="00A317BE">
        <w:rPr>
          <w:color w:val="000000" w:themeColor="text1"/>
        </w:rPr>
        <w:t xml:space="preserve">by way of discovery. She said that there would be hundreds of emails demonstrating these matters because they had been in contact on a daily basis. </w:t>
      </w:r>
    </w:p>
    <w:p w14:paraId="72EDCB1F" w14:textId="77777777" w:rsidR="007F19BC" w:rsidRPr="00A317BE" w:rsidRDefault="007F19BC" w:rsidP="00A317BE">
      <w:pPr>
        <w:pStyle w:val="ListParagraph"/>
        <w:tabs>
          <w:tab w:val="left" w:pos="567"/>
        </w:tabs>
        <w:ind w:left="0"/>
        <w:rPr>
          <w:color w:val="000000" w:themeColor="text1"/>
        </w:rPr>
      </w:pPr>
    </w:p>
    <w:p w14:paraId="27966836" w14:textId="71391CE4" w:rsidR="007F19BC" w:rsidRPr="00A317BE" w:rsidRDefault="007F19BC"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She also </w:t>
      </w:r>
      <w:r w:rsidR="00665372" w:rsidRPr="00A317BE">
        <w:rPr>
          <w:color w:val="000000" w:themeColor="text1"/>
        </w:rPr>
        <w:t>informed the Court</w:t>
      </w:r>
      <w:r w:rsidRPr="00A317BE">
        <w:rPr>
          <w:color w:val="000000" w:themeColor="text1"/>
        </w:rPr>
        <w:t xml:space="preserve"> that, originally, she had not intended to raise an invoice on th</w:t>
      </w:r>
      <w:r w:rsidR="00665372" w:rsidRPr="00A317BE">
        <w:rPr>
          <w:color w:val="000000" w:themeColor="text1"/>
        </w:rPr>
        <w:t>e research</w:t>
      </w:r>
      <w:r w:rsidRPr="00A317BE">
        <w:rPr>
          <w:color w:val="000000" w:themeColor="text1"/>
        </w:rPr>
        <w:t xml:space="preserve"> work because she was happy with the prospect of a job in return. However, when it became clear that this was never going to happen, she had decided to raise a fee note for the work she had done. She said that she subsequently learned that €25.00 per hour was an appropriate rate for work she was doing, and that was the hourly rate she then applied to arrive at the sum of the €36,000. She accepted that she had no documentation showing the numbers of hours worked. Nor </w:t>
      </w:r>
      <w:r w:rsidR="00665372" w:rsidRPr="00A317BE">
        <w:rPr>
          <w:color w:val="000000" w:themeColor="text1"/>
        </w:rPr>
        <w:t>did she explain</w:t>
      </w:r>
      <w:r w:rsidRPr="00A317BE">
        <w:rPr>
          <w:color w:val="000000" w:themeColor="text1"/>
        </w:rPr>
        <w:t xml:space="preserve"> </w:t>
      </w:r>
      <w:r w:rsidR="00BB4DFC" w:rsidRPr="00A317BE">
        <w:rPr>
          <w:color w:val="000000" w:themeColor="text1"/>
        </w:rPr>
        <w:t xml:space="preserve">in further detail </w:t>
      </w:r>
      <w:r w:rsidRPr="00A317BE">
        <w:rPr>
          <w:color w:val="000000" w:themeColor="text1"/>
        </w:rPr>
        <w:t>how the figure of €25</w:t>
      </w:r>
      <w:r w:rsidR="00665372" w:rsidRPr="00A317BE">
        <w:rPr>
          <w:color w:val="000000" w:themeColor="text1"/>
        </w:rPr>
        <w:t>.00</w:t>
      </w:r>
      <w:r w:rsidRPr="00A317BE">
        <w:rPr>
          <w:color w:val="000000" w:themeColor="text1"/>
        </w:rPr>
        <w:t xml:space="preserve"> per hour was arrived at. </w:t>
      </w:r>
    </w:p>
    <w:p w14:paraId="5028B483" w14:textId="77777777" w:rsidR="007F19BC" w:rsidRPr="00A317BE" w:rsidRDefault="007F19BC" w:rsidP="00A317BE">
      <w:pPr>
        <w:tabs>
          <w:tab w:val="left" w:pos="567"/>
        </w:tabs>
        <w:spacing w:line="480" w:lineRule="auto"/>
        <w:rPr>
          <w:color w:val="000000" w:themeColor="text1"/>
        </w:rPr>
      </w:pPr>
    </w:p>
    <w:p w14:paraId="7D5427D9" w14:textId="5A5EEFE7" w:rsidR="007F19BC" w:rsidRPr="00A317BE" w:rsidRDefault="00665372" w:rsidP="00F26376">
      <w:pPr>
        <w:numPr>
          <w:ilvl w:val="0"/>
          <w:numId w:val="23"/>
        </w:numPr>
        <w:tabs>
          <w:tab w:val="left" w:pos="567"/>
        </w:tabs>
        <w:spacing w:line="480" w:lineRule="auto"/>
        <w:ind w:left="0" w:firstLine="0"/>
        <w:rPr>
          <w:color w:val="000000" w:themeColor="text1"/>
        </w:rPr>
      </w:pPr>
      <w:r w:rsidRPr="00A317BE">
        <w:rPr>
          <w:color w:val="000000" w:themeColor="text1"/>
        </w:rPr>
        <w:t>When questioned about the emails about mediation (described above), she said that her invol</w:t>
      </w:r>
      <w:r w:rsidR="00DF553B" w:rsidRPr="00A317BE">
        <w:rPr>
          <w:color w:val="000000" w:themeColor="text1"/>
        </w:rPr>
        <w:t>v</w:t>
      </w:r>
      <w:r w:rsidRPr="00A317BE">
        <w:rPr>
          <w:color w:val="000000" w:themeColor="text1"/>
        </w:rPr>
        <w:t>ement</w:t>
      </w:r>
      <w:r w:rsidR="007F19BC" w:rsidRPr="00A317BE">
        <w:rPr>
          <w:color w:val="000000" w:themeColor="text1"/>
        </w:rPr>
        <w:t xml:space="preserve"> in mediation was pragmatic and should not be interpreted as an acceptance </w:t>
      </w:r>
      <w:r w:rsidR="007F19BC" w:rsidRPr="00A317BE">
        <w:rPr>
          <w:color w:val="000000" w:themeColor="text1"/>
        </w:rPr>
        <w:lastRenderedPageBreak/>
        <w:t xml:space="preserve">on her part that the governing contract was the December 2014 one. She was merely ‘playing their game’ in the hope of a short-term resolution of matters. </w:t>
      </w:r>
    </w:p>
    <w:p w14:paraId="0F11DFB9" w14:textId="77777777" w:rsidR="004D0574" w:rsidRPr="00A317BE" w:rsidRDefault="004D0574" w:rsidP="00A317BE">
      <w:pPr>
        <w:pStyle w:val="ListParagraph"/>
        <w:tabs>
          <w:tab w:val="left" w:pos="567"/>
        </w:tabs>
        <w:ind w:left="0"/>
        <w:rPr>
          <w:color w:val="000000" w:themeColor="text1"/>
        </w:rPr>
      </w:pPr>
    </w:p>
    <w:p w14:paraId="357189B2" w14:textId="124816FB" w:rsidR="00B77846" w:rsidRPr="00A317BE" w:rsidRDefault="00B77846"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In answer to a question from the Court as to why or how she maintained that a defamatory allegation had been made in Ireland, she referred to the letter of </w:t>
      </w:r>
      <w:r w:rsidR="00FA0806" w:rsidRPr="00A317BE">
        <w:rPr>
          <w:color w:val="000000" w:themeColor="text1"/>
        </w:rPr>
        <w:t xml:space="preserve">the </w:t>
      </w:r>
      <w:r w:rsidR="00FC64A4" w:rsidRPr="00A317BE">
        <w:rPr>
          <w:color w:val="000000" w:themeColor="text1"/>
        </w:rPr>
        <w:t>8 August 2017</w:t>
      </w:r>
      <w:r w:rsidRPr="00A317BE">
        <w:rPr>
          <w:color w:val="000000" w:themeColor="text1"/>
        </w:rPr>
        <w:t xml:space="preserve"> from Richard Andrews of EML. She submitted that the only possible inference from this letter was that the respondent had conveyed defamatory information about her to Mr. Andrews. She said what was relevant in terms of jurisdiction was that the allegation was made to a CEO of an Irish company, </w:t>
      </w:r>
      <w:r w:rsidR="003C4E3A" w:rsidRPr="00A317BE">
        <w:rPr>
          <w:color w:val="000000" w:themeColor="text1"/>
        </w:rPr>
        <w:t>and the</w:t>
      </w:r>
      <w:r w:rsidRPr="00A317BE">
        <w:rPr>
          <w:color w:val="000000" w:themeColor="text1"/>
        </w:rPr>
        <w:t xml:space="preserve"> effect of the defamation upon her </w:t>
      </w:r>
      <w:r w:rsidR="003C4E3A" w:rsidRPr="00A317BE">
        <w:rPr>
          <w:i/>
          <w:color w:val="000000" w:themeColor="text1"/>
        </w:rPr>
        <w:t>qua</w:t>
      </w:r>
      <w:r w:rsidRPr="00A317BE">
        <w:rPr>
          <w:color w:val="000000" w:themeColor="text1"/>
        </w:rPr>
        <w:t xml:space="preserve"> </w:t>
      </w:r>
      <w:r w:rsidR="003C4E3A" w:rsidRPr="00A317BE">
        <w:rPr>
          <w:color w:val="000000" w:themeColor="text1"/>
        </w:rPr>
        <w:t>director</w:t>
      </w:r>
      <w:r w:rsidRPr="00A317BE">
        <w:rPr>
          <w:color w:val="000000" w:themeColor="text1"/>
        </w:rPr>
        <w:t xml:space="preserve"> of a Irish company</w:t>
      </w:r>
      <w:r w:rsidR="003C4E3A" w:rsidRPr="00A317BE">
        <w:rPr>
          <w:color w:val="000000" w:themeColor="text1"/>
        </w:rPr>
        <w:t xml:space="preserve">, not the location of the publication itself. </w:t>
      </w:r>
    </w:p>
    <w:p w14:paraId="5FBC3639" w14:textId="77777777" w:rsidR="00B77846" w:rsidRPr="00A317BE" w:rsidRDefault="00B77846" w:rsidP="00A317BE">
      <w:pPr>
        <w:tabs>
          <w:tab w:val="left" w:pos="567"/>
        </w:tabs>
        <w:spacing w:line="480" w:lineRule="auto"/>
        <w:rPr>
          <w:color w:val="000000" w:themeColor="text1"/>
        </w:rPr>
      </w:pPr>
    </w:p>
    <w:p w14:paraId="6BDC14F4" w14:textId="77777777" w:rsidR="009A6C4B" w:rsidRPr="00A317BE" w:rsidRDefault="009A6C4B" w:rsidP="00A317BE">
      <w:pPr>
        <w:tabs>
          <w:tab w:val="left" w:pos="567"/>
        </w:tabs>
        <w:rPr>
          <w:color w:val="000000" w:themeColor="text1"/>
        </w:rPr>
      </w:pPr>
    </w:p>
    <w:p w14:paraId="72D125A3" w14:textId="0F927AA4" w:rsidR="00080850" w:rsidRPr="00A317BE" w:rsidRDefault="00080850" w:rsidP="00A317BE">
      <w:pPr>
        <w:pStyle w:val="Heading1"/>
        <w:tabs>
          <w:tab w:val="left" w:pos="567"/>
        </w:tabs>
        <w:rPr>
          <w:color w:val="000000" w:themeColor="text1"/>
        </w:rPr>
      </w:pPr>
      <w:r w:rsidRPr="00A317BE">
        <w:rPr>
          <w:color w:val="000000" w:themeColor="text1"/>
        </w:rPr>
        <w:t>The High Court judgment</w:t>
      </w:r>
    </w:p>
    <w:p w14:paraId="54ECCA67" w14:textId="3686CE99" w:rsidR="00CD1FDD" w:rsidRPr="00A317BE" w:rsidRDefault="00080850"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The Court was furnished with a </w:t>
      </w:r>
      <w:r w:rsidR="009A2AB8" w:rsidRPr="00A317BE">
        <w:rPr>
          <w:color w:val="000000" w:themeColor="text1"/>
        </w:rPr>
        <w:t xml:space="preserve">brief </w:t>
      </w:r>
      <w:r w:rsidRPr="00A317BE">
        <w:rPr>
          <w:color w:val="000000" w:themeColor="text1"/>
        </w:rPr>
        <w:t>note of the ex tempore judgment of the High Court judgment</w:t>
      </w:r>
      <w:r w:rsidR="00497536" w:rsidRPr="00A317BE">
        <w:rPr>
          <w:color w:val="000000" w:themeColor="text1"/>
        </w:rPr>
        <w:t xml:space="preserve"> which was agreed between the parties (although not</w:t>
      </w:r>
      <w:r w:rsidR="008B7863" w:rsidRPr="00A317BE">
        <w:rPr>
          <w:color w:val="000000" w:themeColor="text1"/>
        </w:rPr>
        <w:t>,</w:t>
      </w:r>
      <w:r w:rsidR="00497536" w:rsidRPr="00A317BE">
        <w:rPr>
          <w:color w:val="000000" w:themeColor="text1"/>
        </w:rPr>
        <w:t xml:space="preserve"> apparently</w:t>
      </w:r>
      <w:r w:rsidR="008B7863" w:rsidRPr="00A317BE">
        <w:rPr>
          <w:color w:val="000000" w:themeColor="text1"/>
        </w:rPr>
        <w:t>,</w:t>
      </w:r>
      <w:r w:rsidR="00497536" w:rsidRPr="00A317BE">
        <w:rPr>
          <w:color w:val="000000" w:themeColor="text1"/>
        </w:rPr>
        <w:t xml:space="preserve"> approved by the trial judge). </w:t>
      </w:r>
      <w:r w:rsidR="003D697B" w:rsidRPr="00A317BE">
        <w:rPr>
          <w:color w:val="000000" w:themeColor="text1"/>
        </w:rPr>
        <w:t xml:space="preserve">It appears that the </w:t>
      </w:r>
      <w:r w:rsidR="008D1B8F" w:rsidRPr="00A317BE">
        <w:rPr>
          <w:color w:val="000000" w:themeColor="text1"/>
        </w:rPr>
        <w:t>judge</w:t>
      </w:r>
      <w:r w:rsidR="003D697B" w:rsidRPr="00A317BE">
        <w:rPr>
          <w:color w:val="000000" w:themeColor="text1"/>
        </w:rPr>
        <w:t xml:space="preserve"> (O’ Regan J.) said that there were two separate contracts between the appellant and the respondent</w:t>
      </w:r>
      <w:r w:rsidR="00CD1FDD" w:rsidRPr="00A317BE">
        <w:rPr>
          <w:color w:val="000000" w:themeColor="text1"/>
        </w:rPr>
        <w:t xml:space="preserve">; </w:t>
      </w:r>
      <w:r w:rsidR="003D697B" w:rsidRPr="00A317BE">
        <w:rPr>
          <w:color w:val="000000" w:themeColor="text1"/>
        </w:rPr>
        <w:t xml:space="preserve"> a contract concluded by email on the 18 August 2014 which governed her role as legal advisor, which she described as </w:t>
      </w:r>
      <w:r w:rsidR="00FA0806" w:rsidRPr="00A317BE">
        <w:rPr>
          <w:color w:val="000000" w:themeColor="text1"/>
        </w:rPr>
        <w:t>‘</w:t>
      </w:r>
      <w:r w:rsidR="003D697B" w:rsidRPr="00A317BE">
        <w:rPr>
          <w:color w:val="000000" w:themeColor="text1"/>
        </w:rPr>
        <w:t>the Irish agreement</w:t>
      </w:r>
      <w:r w:rsidR="00FA0806" w:rsidRPr="00A317BE">
        <w:rPr>
          <w:color w:val="000000" w:themeColor="text1"/>
        </w:rPr>
        <w:t>’</w:t>
      </w:r>
      <w:r w:rsidR="003D697B" w:rsidRPr="00A317BE">
        <w:rPr>
          <w:color w:val="000000" w:themeColor="text1"/>
        </w:rPr>
        <w:t xml:space="preserve">, and a contract dated </w:t>
      </w:r>
      <w:r w:rsidR="00FA0806" w:rsidRPr="00A317BE">
        <w:rPr>
          <w:color w:val="000000" w:themeColor="text1"/>
        </w:rPr>
        <w:t xml:space="preserve">the </w:t>
      </w:r>
      <w:r w:rsidR="003D697B" w:rsidRPr="00A317BE">
        <w:rPr>
          <w:color w:val="000000" w:themeColor="text1"/>
        </w:rPr>
        <w:t xml:space="preserve">5 December 2014 governing the appellant’s role as director of the respondent, which she described as </w:t>
      </w:r>
      <w:r w:rsidR="00FA0806" w:rsidRPr="00A317BE">
        <w:rPr>
          <w:color w:val="000000" w:themeColor="text1"/>
        </w:rPr>
        <w:t>‘</w:t>
      </w:r>
      <w:r w:rsidR="003D697B" w:rsidRPr="00A317BE">
        <w:rPr>
          <w:color w:val="000000" w:themeColor="text1"/>
        </w:rPr>
        <w:t>the New Zealand agreement</w:t>
      </w:r>
      <w:r w:rsidR="00FA0806" w:rsidRPr="00A317BE">
        <w:rPr>
          <w:color w:val="000000" w:themeColor="text1"/>
        </w:rPr>
        <w:t>’</w:t>
      </w:r>
      <w:r w:rsidR="003D697B" w:rsidRPr="00A317BE">
        <w:rPr>
          <w:color w:val="000000" w:themeColor="text1"/>
        </w:rPr>
        <w:t xml:space="preserve">.  She said </w:t>
      </w:r>
      <w:r w:rsidR="00FA0806" w:rsidRPr="00A317BE">
        <w:rPr>
          <w:color w:val="000000" w:themeColor="text1"/>
        </w:rPr>
        <w:t xml:space="preserve">that </w:t>
      </w:r>
      <w:r w:rsidR="003D697B" w:rsidRPr="00A317BE">
        <w:rPr>
          <w:color w:val="000000" w:themeColor="text1"/>
        </w:rPr>
        <w:t xml:space="preserve">the Irish agreement did not contain a jurisdiction clause while the New Zealand agreement provided that disputes not settled by mediation would be subject to the jurisdiction of the courts of New Zealand.     </w:t>
      </w:r>
      <w:r w:rsidR="00CD1FDD" w:rsidRPr="00A317BE">
        <w:rPr>
          <w:color w:val="000000" w:themeColor="text1"/>
        </w:rPr>
        <w:t xml:space="preserve">O’Regan J. </w:t>
      </w:r>
      <w:r w:rsidR="003D697B" w:rsidRPr="00A317BE">
        <w:rPr>
          <w:color w:val="000000" w:themeColor="text1"/>
        </w:rPr>
        <w:t xml:space="preserve"> </w:t>
      </w:r>
      <w:r w:rsidR="009A1D3D" w:rsidRPr="00A317BE">
        <w:rPr>
          <w:color w:val="000000" w:themeColor="text1"/>
        </w:rPr>
        <w:t>n</w:t>
      </w:r>
      <w:r w:rsidR="003D697B" w:rsidRPr="00A317BE">
        <w:rPr>
          <w:color w:val="000000" w:themeColor="text1"/>
        </w:rPr>
        <w:t xml:space="preserve">oted that the appellant submitted </w:t>
      </w:r>
      <w:r w:rsidR="00FA0806" w:rsidRPr="00A317BE">
        <w:rPr>
          <w:color w:val="000000" w:themeColor="text1"/>
        </w:rPr>
        <w:t xml:space="preserve">that </w:t>
      </w:r>
      <w:r w:rsidR="003D697B" w:rsidRPr="00A317BE">
        <w:rPr>
          <w:color w:val="000000" w:themeColor="text1"/>
        </w:rPr>
        <w:t>there was a claim for breach of contract which was governed by the Irish agreement, which dealt solely with the provision of legal advisory services by her</w:t>
      </w:r>
      <w:r w:rsidR="00FA0806" w:rsidRPr="00A317BE">
        <w:rPr>
          <w:color w:val="000000" w:themeColor="text1"/>
        </w:rPr>
        <w:t>,</w:t>
      </w:r>
      <w:r w:rsidR="003D697B" w:rsidRPr="00A317BE">
        <w:rPr>
          <w:color w:val="000000" w:themeColor="text1"/>
        </w:rPr>
        <w:t xml:space="preserve"> whereas the New </w:t>
      </w:r>
      <w:r w:rsidR="003D697B" w:rsidRPr="00A317BE">
        <w:rPr>
          <w:color w:val="000000" w:themeColor="text1"/>
        </w:rPr>
        <w:lastRenderedPageBreak/>
        <w:t xml:space="preserve">Zealand agreement dealt solely with the provision of certain business development services.  She said that although there was a provision in the New Zealand agreement </w:t>
      </w:r>
      <w:r w:rsidR="00CD1FDD" w:rsidRPr="00A317BE">
        <w:rPr>
          <w:color w:val="000000" w:themeColor="text1"/>
        </w:rPr>
        <w:t>statin</w:t>
      </w:r>
      <w:r w:rsidR="003D697B" w:rsidRPr="00A317BE">
        <w:rPr>
          <w:color w:val="000000" w:themeColor="text1"/>
        </w:rPr>
        <w:t xml:space="preserve">g that it would supersede earlier agreements dealing with the same subject matter as the New Zealand agreement, this provision was inapplicable as the two agreements dealt with entirely separate and </w:t>
      </w:r>
      <w:r w:rsidR="00CD1FDD" w:rsidRPr="00A317BE">
        <w:rPr>
          <w:color w:val="000000" w:themeColor="text1"/>
        </w:rPr>
        <w:t>mutually</w:t>
      </w:r>
      <w:r w:rsidR="003D697B" w:rsidRPr="00A317BE">
        <w:rPr>
          <w:color w:val="000000" w:themeColor="text1"/>
        </w:rPr>
        <w:t xml:space="preserve"> exclusive subject matter.   </w:t>
      </w:r>
    </w:p>
    <w:p w14:paraId="1B1DBCF1" w14:textId="77777777" w:rsidR="00CD1FDD" w:rsidRPr="00A317BE" w:rsidRDefault="00CD1FDD" w:rsidP="00A317BE">
      <w:pPr>
        <w:pStyle w:val="ListParagraph"/>
        <w:tabs>
          <w:tab w:val="left" w:pos="567"/>
        </w:tabs>
        <w:ind w:left="0"/>
        <w:rPr>
          <w:color w:val="000000" w:themeColor="text1"/>
        </w:rPr>
      </w:pPr>
    </w:p>
    <w:p w14:paraId="5A5EB06D" w14:textId="128F1DAC" w:rsidR="00831945" w:rsidRPr="00A317BE" w:rsidRDefault="003D697B" w:rsidP="00F26376">
      <w:pPr>
        <w:pStyle w:val="ListParagraph"/>
        <w:numPr>
          <w:ilvl w:val="0"/>
          <w:numId w:val="23"/>
        </w:numPr>
        <w:tabs>
          <w:tab w:val="left" w:pos="567"/>
        </w:tabs>
        <w:spacing w:after="0"/>
        <w:ind w:left="0" w:firstLine="0"/>
        <w:rPr>
          <w:color w:val="000000" w:themeColor="text1"/>
        </w:rPr>
      </w:pPr>
      <w:r w:rsidRPr="00A317BE">
        <w:rPr>
          <w:color w:val="000000" w:themeColor="text1"/>
        </w:rPr>
        <w:t xml:space="preserve">She said that as there was no jurisdiction clause in the Irish agreement, the issue of jurisdiction was to be resolved by the application to the dispute of the rules of private international law.  She said that the contract of </w:t>
      </w:r>
      <w:r w:rsidR="00FA0806" w:rsidRPr="00A317BE">
        <w:rPr>
          <w:color w:val="000000" w:themeColor="text1"/>
        </w:rPr>
        <w:t xml:space="preserve">the </w:t>
      </w:r>
      <w:r w:rsidRPr="00A317BE">
        <w:rPr>
          <w:color w:val="000000" w:themeColor="text1"/>
        </w:rPr>
        <w:t>18</w:t>
      </w:r>
      <w:r w:rsidR="009A1D3D" w:rsidRPr="00A317BE">
        <w:rPr>
          <w:color w:val="000000" w:themeColor="text1"/>
          <w:vertAlign w:val="superscript"/>
        </w:rPr>
        <w:t xml:space="preserve"> </w:t>
      </w:r>
      <w:r w:rsidRPr="00A317BE">
        <w:rPr>
          <w:color w:val="000000" w:themeColor="text1"/>
        </w:rPr>
        <w:t xml:space="preserve">August 2014 did not bear an electronic signature.  She ruled that the claim for </w:t>
      </w:r>
      <w:r w:rsidR="00FA0806" w:rsidRPr="00A317BE">
        <w:rPr>
          <w:color w:val="000000" w:themeColor="text1"/>
        </w:rPr>
        <w:t xml:space="preserve">the </w:t>
      </w:r>
      <w:r w:rsidRPr="00A317BE">
        <w:rPr>
          <w:color w:val="000000" w:themeColor="text1"/>
        </w:rPr>
        <w:t xml:space="preserve">provision of legal services by the </w:t>
      </w:r>
      <w:r w:rsidR="004C08FB" w:rsidRPr="00A317BE">
        <w:rPr>
          <w:color w:val="000000" w:themeColor="text1"/>
        </w:rPr>
        <w:t>appellant</w:t>
      </w:r>
      <w:r w:rsidRPr="00A317BE">
        <w:rPr>
          <w:color w:val="000000" w:themeColor="text1"/>
        </w:rPr>
        <w:t xml:space="preserve"> was governed by New Zealand law. </w:t>
      </w:r>
    </w:p>
    <w:p w14:paraId="7DA32A26" w14:textId="77777777" w:rsidR="00831945" w:rsidRPr="00A317BE" w:rsidRDefault="00831945" w:rsidP="00A317BE">
      <w:pPr>
        <w:pStyle w:val="ListParagraph"/>
        <w:tabs>
          <w:tab w:val="left" w:pos="567"/>
        </w:tabs>
        <w:ind w:left="0"/>
        <w:rPr>
          <w:color w:val="000000" w:themeColor="text1"/>
        </w:rPr>
      </w:pPr>
    </w:p>
    <w:p w14:paraId="06D1A4DF" w14:textId="2142F9E9" w:rsidR="009D57CA" w:rsidRPr="00A317BE" w:rsidRDefault="009A1D3D" w:rsidP="00F26376">
      <w:pPr>
        <w:pStyle w:val="ListParagraph"/>
        <w:numPr>
          <w:ilvl w:val="0"/>
          <w:numId w:val="23"/>
        </w:numPr>
        <w:tabs>
          <w:tab w:val="left" w:pos="567"/>
        </w:tabs>
        <w:spacing w:after="0"/>
        <w:ind w:left="0" w:firstLine="0"/>
        <w:rPr>
          <w:color w:val="000000" w:themeColor="text1"/>
        </w:rPr>
      </w:pPr>
      <w:r w:rsidRPr="00A317BE">
        <w:rPr>
          <w:color w:val="000000" w:themeColor="text1"/>
        </w:rPr>
        <w:t>As to the claims</w:t>
      </w:r>
      <w:r w:rsidR="003D697B" w:rsidRPr="00A317BE">
        <w:rPr>
          <w:color w:val="000000" w:themeColor="text1"/>
        </w:rPr>
        <w:t xml:space="preserve"> in respect of defamation and intimidation and economic duress</w:t>
      </w:r>
      <w:r w:rsidRPr="00A317BE">
        <w:rPr>
          <w:color w:val="000000" w:themeColor="text1"/>
        </w:rPr>
        <w:t>, s</w:t>
      </w:r>
      <w:r w:rsidR="003D697B" w:rsidRPr="00A317BE">
        <w:rPr>
          <w:color w:val="000000" w:themeColor="text1"/>
        </w:rPr>
        <w:t xml:space="preserve">he noted that the appellant’s submission was that the causes of action in tort arose in Ireland because this was the place where she had suffered the effects of the torts, while the respondent had submitted that the causes of action arose in the place of domicile of the respondent, namely New Zealand.  </w:t>
      </w:r>
      <w:r w:rsidR="00831945" w:rsidRPr="00A317BE">
        <w:rPr>
          <w:color w:val="000000" w:themeColor="text1"/>
        </w:rPr>
        <w:t>O’Regan J.</w:t>
      </w:r>
      <w:r w:rsidR="003D697B" w:rsidRPr="00A317BE">
        <w:rPr>
          <w:color w:val="000000" w:themeColor="text1"/>
        </w:rPr>
        <w:t xml:space="preserve"> appears to have taken the view that the appellant was </w:t>
      </w:r>
      <w:r w:rsidR="00BB213D" w:rsidRPr="00A317BE">
        <w:rPr>
          <w:color w:val="000000" w:themeColor="text1"/>
        </w:rPr>
        <w:t>conflating the issue of</w:t>
      </w:r>
      <w:r w:rsidR="003D697B" w:rsidRPr="00A317BE">
        <w:rPr>
          <w:color w:val="000000" w:themeColor="text1"/>
        </w:rPr>
        <w:t xml:space="preserve"> where the torts were committed and where </w:t>
      </w:r>
      <w:r w:rsidR="00831945" w:rsidRPr="00A317BE">
        <w:rPr>
          <w:color w:val="000000" w:themeColor="text1"/>
        </w:rPr>
        <w:t>the effects</w:t>
      </w:r>
      <w:r w:rsidR="00BB213D" w:rsidRPr="00A317BE">
        <w:rPr>
          <w:color w:val="000000" w:themeColor="text1"/>
        </w:rPr>
        <w:t xml:space="preserve"> of</w:t>
      </w:r>
      <w:r w:rsidR="00831945" w:rsidRPr="00A317BE">
        <w:rPr>
          <w:color w:val="000000" w:themeColor="text1"/>
        </w:rPr>
        <w:t xml:space="preserve"> </w:t>
      </w:r>
      <w:r w:rsidR="003D697B" w:rsidRPr="00A317BE">
        <w:rPr>
          <w:color w:val="000000" w:themeColor="text1"/>
        </w:rPr>
        <w:t>the torts were felt</w:t>
      </w:r>
      <w:r w:rsidR="00BB213D" w:rsidRPr="00A317BE">
        <w:rPr>
          <w:color w:val="000000" w:themeColor="text1"/>
        </w:rPr>
        <w:t xml:space="preserve"> (the damage caused by the torts)</w:t>
      </w:r>
      <w:r w:rsidR="00831945" w:rsidRPr="00A317BE">
        <w:rPr>
          <w:color w:val="000000" w:themeColor="text1"/>
        </w:rPr>
        <w:t>,</w:t>
      </w:r>
      <w:r w:rsidR="003D697B" w:rsidRPr="00A317BE">
        <w:rPr>
          <w:color w:val="000000" w:themeColor="text1"/>
        </w:rPr>
        <w:t xml:space="preserve"> and ruled that the causes of action in tort arose in New Zealand.  </w:t>
      </w:r>
    </w:p>
    <w:p w14:paraId="096741CF" w14:textId="77777777" w:rsidR="000B60CF" w:rsidRPr="00A317BE" w:rsidRDefault="000B60CF" w:rsidP="00F26376">
      <w:pPr>
        <w:pStyle w:val="ListParagraph"/>
        <w:tabs>
          <w:tab w:val="left" w:pos="567"/>
        </w:tabs>
        <w:spacing w:after="0"/>
        <w:ind w:left="0"/>
        <w:jc w:val="left"/>
        <w:rPr>
          <w:color w:val="000000" w:themeColor="text1"/>
        </w:rPr>
      </w:pPr>
    </w:p>
    <w:p w14:paraId="4540B24E" w14:textId="62C0CCE6" w:rsidR="00BB2B20" w:rsidRPr="00A317BE" w:rsidRDefault="0013588C" w:rsidP="00A317BE">
      <w:pPr>
        <w:pStyle w:val="Heading1"/>
        <w:tabs>
          <w:tab w:val="left" w:pos="567"/>
        </w:tabs>
        <w:rPr>
          <w:color w:val="000000" w:themeColor="text1"/>
        </w:rPr>
      </w:pPr>
      <w:r w:rsidRPr="00A317BE">
        <w:rPr>
          <w:color w:val="000000" w:themeColor="text1"/>
        </w:rPr>
        <w:t>Analysis and Decision</w:t>
      </w:r>
    </w:p>
    <w:p w14:paraId="198190D6" w14:textId="655F8F1D" w:rsidR="00826693" w:rsidRPr="00A317BE" w:rsidRDefault="00826693" w:rsidP="00A317BE">
      <w:pPr>
        <w:pStyle w:val="Heading2"/>
        <w:tabs>
          <w:tab w:val="left" w:pos="567"/>
        </w:tabs>
        <w:rPr>
          <w:color w:val="000000" w:themeColor="text1"/>
          <w:sz w:val="26"/>
          <w:szCs w:val="26"/>
        </w:rPr>
      </w:pPr>
      <w:r w:rsidRPr="00A317BE">
        <w:rPr>
          <w:color w:val="000000" w:themeColor="text1"/>
          <w:sz w:val="26"/>
          <w:szCs w:val="26"/>
        </w:rPr>
        <w:t xml:space="preserve">Some </w:t>
      </w:r>
      <w:r w:rsidR="00586A71" w:rsidRPr="00A317BE">
        <w:rPr>
          <w:color w:val="000000" w:themeColor="text1"/>
          <w:sz w:val="26"/>
          <w:szCs w:val="26"/>
        </w:rPr>
        <w:t>relevant general principles</w:t>
      </w:r>
    </w:p>
    <w:p w14:paraId="51A8786A" w14:textId="10404552" w:rsidR="0013588C" w:rsidRPr="00A317BE" w:rsidRDefault="0013588C" w:rsidP="00A317BE">
      <w:pPr>
        <w:tabs>
          <w:tab w:val="left" w:pos="567"/>
        </w:tabs>
        <w:rPr>
          <w:i/>
          <w:color w:val="000000" w:themeColor="text1"/>
        </w:rPr>
      </w:pPr>
    </w:p>
    <w:p w14:paraId="7BF7CA0C" w14:textId="01431DDE" w:rsidR="00EC7D09" w:rsidRPr="00A317BE" w:rsidRDefault="0073791B"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Jurisdiction in this case falls to be considered under </w:t>
      </w:r>
      <w:r w:rsidR="00BA3658" w:rsidRPr="00A317BE">
        <w:rPr>
          <w:color w:val="000000" w:themeColor="text1"/>
        </w:rPr>
        <w:t xml:space="preserve">Order 11 and </w:t>
      </w:r>
      <w:r w:rsidRPr="00A317BE">
        <w:rPr>
          <w:color w:val="000000" w:themeColor="text1"/>
        </w:rPr>
        <w:t>common law principles</w:t>
      </w:r>
      <w:r w:rsidR="00593FC9" w:rsidRPr="00A317BE">
        <w:rPr>
          <w:color w:val="000000" w:themeColor="text1"/>
        </w:rPr>
        <w:t xml:space="preserve">. </w:t>
      </w:r>
      <w:r w:rsidR="00897534" w:rsidRPr="00A317BE">
        <w:rPr>
          <w:color w:val="000000" w:themeColor="text1"/>
        </w:rPr>
        <w:t xml:space="preserve">It is necessary to consider the question of jurisdiction </w:t>
      </w:r>
      <w:r w:rsidR="005D791A" w:rsidRPr="00A317BE">
        <w:rPr>
          <w:color w:val="000000" w:themeColor="text1"/>
        </w:rPr>
        <w:t xml:space="preserve">separately </w:t>
      </w:r>
      <w:r w:rsidR="00897534" w:rsidRPr="00A317BE">
        <w:rPr>
          <w:color w:val="000000" w:themeColor="text1"/>
        </w:rPr>
        <w:t xml:space="preserve">in respect of </w:t>
      </w:r>
      <w:r w:rsidR="00897534" w:rsidRPr="00A317BE">
        <w:rPr>
          <w:color w:val="000000" w:themeColor="text1"/>
        </w:rPr>
        <w:lastRenderedPageBreak/>
        <w:t xml:space="preserve">each of the appellant’s </w:t>
      </w:r>
      <w:r w:rsidR="00114F80" w:rsidRPr="00A317BE">
        <w:rPr>
          <w:color w:val="000000" w:themeColor="text1"/>
        </w:rPr>
        <w:t xml:space="preserve">three </w:t>
      </w:r>
      <w:r w:rsidR="00897534" w:rsidRPr="00A317BE">
        <w:rPr>
          <w:color w:val="000000" w:themeColor="text1"/>
        </w:rPr>
        <w:t>claims</w:t>
      </w:r>
      <w:r w:rsidR="009D0C0B" w:rsidRPr="00A317BE">
        <w:rPr>
          <w:color w:val="000000" w:themeColor="text1"/>
        </w:rPr>
        <w:t xml:space="preserve">. </w:t>
      </w:r>
      <w:r w:rsidR="006F59FF" w:rsidRPr="00A317BE">
        <w:rPr>
          <w:color w:val="000000" w:themeColor="text1"/>
        </w:rPr>
        <w:t>Nonetheless</w:t>
      </w:r>
      <w:r w:rsidR="0006722C" w:rsidRPr="00A317BE">
        <w:rPr>
          <w:color w:val="000000" w:themeColor="text1"/>
        </w:rPr>
        <w:t xml:space="preserve">, it may be helpful to preface each of those discussions with </w:t>
      </w:r>
      <w:r w:rsidR="00EC7D09" w:rsidRPr="00A317BE">
        <w:rPr>
          <w:color w:val="000000" w:themeColor="text1"/>
        </w:rPr>
        <w:t xml:space="preserve">some general observations. </w:t>
      </w:r>
    </w:p>
    <w:p w14:paraId="06DD8852" w14:textId="17720EF4" w:rsidR="00D56B59" w:rsidRPr="00A317BE" w:rsidRDefault="000D6B07" w:rsidP="00A317BE">
      <w:pPr>
        <w:pStyle w:val="Heading3"/>
        <w:tabs>
          <w:tab w:val="left" w:pos="567"/>
        </w:tabs>
        <w:rPr>
          <w:color w:val="000000" w:themeColor="text1"/>
        </w:rPr>
      </w:pPr>
      <w:r w:rsidRPr="00A317BE">
        <w:rPr>
          <w:color w:val="000000" w:themeColor="text1"/>
        </w:rPr>
        <w:t>General approach to service out of the jurisdiction</w:t>
      </w:r>
      <w:r w:rsidR="00A1331F" w:rsidRPr="00A317BE">
        <w:rPr>
          <w:color w:val="000000" w:themeColor="text1"/>
        </w:rPr>
        <w:t xml:space="preserve"> and to Order 11</w:t>
      </w:r>
    </w:p>
    <w:p w14:paraId="0DB4545A" w14:textId="77777777" w:rsidR="00FA0806" w:rsidRPr="00A317BE" w:rsidRDefault="00FA0806" w:rsidP="00A317BE">
      <w:pPr>
        <w:tabs>
          <w:tab w:val="left" w:pos="567"/>
        </w:tabs>
        <w:rPr>
          <w:color w:val="000000" w:themeColor="text1"/>
        </w:rPr>
      </w:pPr>
    </w:p>
    <w:p w14:paraId="5ACFB9D3" w14:textId="5A14AC87" w:rsidR="00704829" w:rsidRPr="00A317BE" w:rsidRDefault="00704829" w:rsidP="00F26376">
      <w:pPr>
        <w:numPr>
          <w:ilvl w:val="0"/>
          <w:numId w:val="23"/>
        </w:numPr>
        <w:tabs>
          <w:tab w:val="left" w:pos="567"/>
        </w:tabs>
        <w:spacing w:line="480" w:lineRule="auto"/>
        <w:ind w:left="0" w:firstLine="0"/>
        <w:rPr>
          <w:color w:val="000000" w:themeColor="text1"/>
        </w:rPr>
      </w:pPr>
      <w:r w:rsidRPr="00A317BE">
        <w:rPr>
          <w:color w:val="000000" w:themeColor="text1"/>
        </w:rPr>
        <w:t>I</w:t>
      </w:r>
      <w:r w:rsidR="00D56B59" w:rsidRPr="00A317BE">
        <w:rPr>
          <w:color w:val="000000" w:themeColor="text1"/>
        </w:rPr>
        <w:t>n the first instance, it</w:t>
      </w:r>
      <w:r w:rsidRPr="00A317BE">
        <w:rPr>
          <w:color w:val="000000" w:themeColor="text1"/>
        </w:rPr>
        <w:t xml:space="preserve"> is important always to bear in mind the overall approach to service out of the jurisdiction as described by Fennelly J</w:t>
      </w:r>
      <w:r w:rsidR="00FA0806" w:rsidRPr="00A317BE">
        <w:rPr>
          <w:color w:val="000000" w:themeColor="text1"/>
        </w:rPr>
        <w:t>.</w:t>
      </w:r>
      <w:r w:rsidRPr="00A317BE">
        <w:rPr>
          <w:color w:val="000000" w:themeColor="text1"/>
        </w:rPr>
        <w:t xml:space="preserve"> in </w:t>
      </w:r>
      <w:r w:rsidRPr="00A317BE">
        <w:rPr>
          <w:i/>
          <w:color w:val="000000" w:themeColor="text1"/>
        </w:rPr>
        <w:t>Analog Devices</w:t>
      </w:r>
      <w:r w:rsidRPr="00A317BE">
        <w:rPr>
          <w:color w:val="000000" w:themeColor="text1"/>
        </w:rPr>
        <w:t xml:space="preserve"> in the following terms:-</w:t>
      </w:r>
    </w:p>
    <w:p w14:paraId="6E18AED6" w14:textId="77777777" w:rsidR="00704829" w:rsidRPr="00A317BE" w:rsidRDefault="00704829" w:rsidP="00A317BE">
      <w:pPr>
        <w:tabs>
          <w:tab w:val="left" w:pos="567"/>
        </w:tabs>
        <w:rPr>
          <w:color w:val="000000" w:themeColor="text1"/>
        </w:rPr>
      </w:pPr>
    </w:p>
    <w:p w14:paraId="2DF58883" w14:textId="19E5E011" w:rsidR="00593FC9" w:rsidRPr="00A317BE" w:rsidRDefault="00B47156" w:rsidP="000C74B6">
      <w:pPr>
        <w:pStyle w:val="Heading3"/>
        <w:tabs>
          <w:tab w:val="left" w:pos="567"/>
        </w:tabs>
        <w:spacing w:line="480" w:lineRule="auto"/>
        <w:ind w:left="567"/>
        <w:rPr>
          <w:color w:val="000000" w:themeColor="text1"/>
        </w:rPr>
      </w:pPr>
      <w:r w:rsidRPr="00A317BE">
        <w:rPr>
          <w:b w:val="0"/>
          <w:color w:val="000000" w:themeColor="text1"/>
          <w:sz w:val="24"/>
        </w:rPr>
        <w:t>“</w:t>
      </w:r>
      <w:r w:rsidR="00704829" w:rsidRPr="00A317BE">
        <w:rPr>
          <w:b w:val="0"/>
          <w:i w:val="0"/>
          <w:color w:val="000000" w:themeColor="text1"/>
          <w:sz w:val="24"/>
        </w:rPr>
        <w:t>When the court grants leave for the service out of the jurisdiction of proceedings, it requires a person, not otherwise within the jurisdiction of our courts, to appear here and to answer the claim of a person made in what is for him a foreign court rather than leaving the plaintiff to pursue his remedy against that person in that other jurisdiction. The international comity of the courts have long required, therefore, that our courts examine such applications with care and circumspection. The applicant must furnish an affidavit verifying the facts upon which he bases his cause of action. It is not sufficient that he assert that he has a cause of action. The court judges the strength of the cause of action on a test of a ‘good arguable case’</w:t>
      </w:r>
      <w:r w:rsidRPr="00A317BE">
        <w:rPr>
          <w:b w:val="0"/>
          <w:i w:val="0"/>
          <w:color w:val="000000" w:themeColor="text1"/>
          <w:sz w:val="24"/>
        </w:rPr>
        <w:t>”</w:t>
      </w:r>
      <w:r w:rsidR="00704829" w:rsidRPr="00A317BE">
        <w:rPr>
          <w:b w:val="0"/>
          <w:color w:val="000000" w:themeColor="text1"/>
          <w:sz w:val="24"/>
        </w:rPr>
        <w:t xml:space="preserve">. </w:t>
      </w:r>
    </w:p>
    <w:p w14:paraId="5F8F5E17" w14:textId="77777777" w:rsidR="003A5883" w:rsidRPr="00A317BE" w:rsidRDefault="003A5883" w:rsidP="00A317BE">
      <w:pPr>
        <w:tabs>
          <w:tab w:val="left" w:pos="567"/>
        </w:tabs>
        <w:rPr>
          <w:color w:val="000000" w:themeColor="text1"/>
        </w:rPr>
      </w:pPr>
    </w:p>
    <w:p w14:paraId="1E7655FB" w14:textId="6F5E95E5" w:rsidR="00897534" w:rsidRPr="00A317BE" w:rsidRDefault="0006722C" w:rsidP="00F26376">
      <w:pPr>
        <w:numPr>
          <w:ilvl w:val="0"/>
          <w:numId w:val="23"/>
        </w:numPr>
        <w:tabs>
          <w:tab w:val="left" w:pos="567"/>
        </w:tabs>
        <w:spacing w:line="480" w:lineRule="auto"/>
        <w:ind w:left="0" w:firstLine="0"/>
        <w:rPr>
          <w:color w:val="000000" w:themeColor="text1"/>
        </w:rPr>
      </w:pPr>
      <w:r w:rsidRPr="00A317BE">
        <w:rPr>
          <w:color w:val="000000" w:themeColor="text1"/>
        </w:rPr>
        <w:t xml:space="preserve"> </w:t>
      </w:r>
      <w:r w:rsidR="005966DA" w:rsidRPr="00A317BE">
        <w:rPr>
          <w:color w:val="000000" w:themeColor="text1"/>
        </w:rPr>
        <w:t xml:space="preserve">It may also be helpful to </w:t>
      </w:r>
      <w:r w:rsidR="007A2F4C" w:rsidRPr="00A317BE">
        <w:rPr>
          <w:color w:val="000000" w:themeColor="text1"/>
        </w:rPr>
        <w:t xml:space="preserve">comment on </w:t>
      </w:r>
      <w:r w:rsidR="005966DA" w:rsidRPr="00A317BE">
        <w:rPr>
          <w:color w:val="000000" w:themeColor="text1"/>
        </w:rPr>
        <w:t>certain observations made by the Court in</w:t>
      </w:r>
      <w:r w:rsidRPr="00A317BE">
        <w:rPr>
          <w:color w:val="000000" w:themeColor="text1"/>
        </w:rPr>
        <w:t xml:space="preserve"> </w:t>
      </w:r>
      <w:r w:rsidRPr="00A317BE">
        <w:rPr>
          <w:i/>
          <w:color w:val="000000" w:themeColor="text1"/>
        </w:rPr>
        <w:t xml:space="preserve">Ryanair </w:t>
      </w:r>
      <w:r w:rsidR="00FA0806" w:rsidRPr="00A317BE">
        <w:rPr>
          <w:i/>
          <w:color w:val="000000" w:themeColor="text1"/>
        </w:rPr>
        <w:t xml:space="preserve">Ltd </w:t>
      </w:r>
      <w:r w:rsidRPr="00A317BE">
        <w:rPr>
          <w:i/>
          <w:color w:val="000000" w:themeColor="text1"/>
        </w:rPr>
        <w:t>v. Fleming</w:t>
      </w:r>
      <w:r w:rsidR="00FA0806" w:rsidRPr="00A317BE">
        <w:rPr>
          <w:i/>
          <w:color w:val="000000" w:themeColor="text1"/>
        </w:rPr>
        <w:t xml:space="preserve"> </w:t>
      </w:r>
      <w:r w:rsidR="00FA0806" w:rsidRPr="00A317BE">
        <w:rPr>
          <w:iCs/>
          <w:color w:val="000000" w:themeColor="text1"/>
        </w:rPr>
        <w:t>[2016] 2 IR 254</w:t>
      </w:r>
      <w:r w:rsidR="00EC7D09" w:rsidRPr="00A317BE">
        <w:rPr>
          <w:i/>
          <w:color w:val="000000" w:themeColor="text1"/>
        </w:rPr>
        <w:t xml:space="preserve">, </w:t>
      </w:r>
      <w:r w:rsidR="005966DA" w:rsidRPr="00A317BE">
        <w:rPr>
          <w:color w:val="000000" w:themeColor="text1"/>
        </w:rPr>
        <w:t>upon which the appellant laid considerably emphasis</w:t>
      </w:r>
      <w:r w:rsidR="00F553E1" w:rsidRPr="00A317BE">
        <w:rPr>
          <w:color w:val="000000" w:themeColor="text1"/>
        </w:rPr>
        <w:t xml:space="preserve"> in her submissions</w:t>
      </w:r>
      <w:r w:rsidR="005966DA" w:rsidRPr="00A317BE">
        <w:rPr>
          <w:color w:val="000000" w:themeColor="text1"/>
        </w:rPr>
        <w:t>. T</w:t>
      </w:r>
      <w:r w:rsidR="00EC7D09" w:rsidRPr="00A317BE">
        <w:rPr>
          <w:color w:val="000000" w:themeColor="text1"/>
        </w:rPr>
        <w:t>he Court (judgment delivered by Hogan J.) set out the fundamental starting principle that a defendant should normally be sued in the place of his/her/its domicile, together with a general explanation of the kinds of principle underpinning the various exceptions to this general rule:-</w:t>
      </w:r>
    </w:p>
    <w:p w14:paraId="1D32BDA7" w14:textId="77777777" w:rsidR="00EC7D09" w:rsidRPr="00A317BE" w:rsidRDefault="00EC7D09" w:rsidP="00151DF9">
      <w:pPr>
        <w:tabs>
          <w:tab w:val="left" w:pos="567"/>
        </w:tabs>
        <w:spacing w:line="480" w:lineRule="auto"/>
        <w:rPr>
          <w:color w:val="000000" w:themeColor="text1"/>
        </w:rPr>
      </w:pPr>
    </w:p>
    <w:p w14:paraId="3399DFBF" w14:textId="2057C17D" w:rsidR="00F2723E" w:rsidRPr="00A317BE" w:rsidRDefault="00B47156" w:rsidP="00A317BE">
      <w:pPr>
        <w:tabs>
          <w:tab w:val="left" w:pos="567"/>
        </w:tabs>
        <w:spacing w:line="480" w:lineRule="auto"/>
        <w:ind w:left="567"/>
        <w:rPr>
          <w:color w:val="000000" w:themeColor="text1"/>
        </w:rPr>
      </w:pPr>
      <w:r w:rsidRPr="00A317BE">
        <w:rPr>
          <w:color w:val="000000" w:themeColor="text1"/>
        </w:rPr>
        <w:lastRenderedPageBreak/>
        <w:t>“</w:t>
      </w:r>
      <w:r w:rsidR="00F2723E" w:rsidRPr="00A317BE">
        <w:rPr>
          <w:color w:val="000000" w:themeColor="text1"/>
        </w:rPr>
        <w:t xml:space="preserve">[19] Before considering the particular issues of jurisdiction and </w:t>
      </w:r>
      <w:r w:rsidR="00F2723E" w:rsidRPr="00A317BE">
        <w:rPr>
          <w:i/>
          <w:color w:val="000000" w:themeColor="text1"/>
        </w:rPr>
        <w:t>forum conveniens</w:t>
      </w:r>
      <w:r w:rsidR="00F2723E" w:rsidRPr="00A317BE">
        <w:rPr>
          <w:color w:val="000000" w:themeColor="text1"/>
        </w:rPr>
        <w:t xml:space="preserve">, it should be noted that a fundamental principle of our conflict of laws rules is that, absent special circumstances, a defendant should normally be sued in the place where he or she is domiciled. The basis for this principle is obvious, since a defendant should not be forced to defend in a foreign jurisdiction – and be thereby deprived of the legal system with which he or she is most familiar, not to speak of the attendant costs and expense of defending proceedings in a foreign jurisdiction – unless there are some special circumstances which justify the attribution of jurisdiction to the courts of the forum selected by the plaintiff. This general principle must, accordingly, inform any consideration of whether the plaintiff can satisfy the court that the High Court had jurisdiction in the matter and, even if it had, whether it would be appropriate to exercise that jurisdiction on </w:t>
      </w:r>
      <w:r w:rsidR="00F2723E" w:rsidRPr="00A317BE">
        <w:rPr>
          <w:i/>
          <w:color w:val="000000" w:themeColor="text1"/>
        </w:rPr>
        <w:t>forum conveniens</w:t>
      </w:r>
      <w:r w:rsidR="00F2723E" w:rsidRPr="00A317BE">
        <w:rPr>
          <w:color w:val="000000" w:themeColor="text1"/>
        </w:rPr>
        <w:t xml:space="preserve"> grounds.</w:t>
      </w:r>
    </w:p>
    <w:p w14:paraId="31297196" w14:textId="77777777" w:rsidR="00F2723E" w:rsidRPr="00A317BE" w:rsidRDefault="00F2723E" w:rsidP="00A317BE">
      <w:pPr>
        <w:tabs>
          <w:tab w:val="left" w:pos="567"/>
        </w:tabs>
        <w:spacing w:line="480" w:lineRule="auto"/>
        <w:ind w:left="567"/>
        <w:rPr>
          <w:color w:val="000000" w:themeColor="text1"/>
        </w:rPr>
      </w:pPr>
    </w:p>
    <w:p w14:paraId="1DF7611C" w14:textId="77777777" w:rsidR="00F2723E" w:rsidRPr="00A317BE" w:rsidRDefault="00F2723E" w:rsidP="00A317BE">
      <w:pPr>
        <w:tabs>
          <w:tab w:val="left" w:pos="567"/>
        </w:tabs>
        <w:spacing w:line="480" w:lineRule="auto"/>
        <w:ind w:left="567"/>
        <w:rPr>
          <w:color w:val="000000" w:themeColor="text1"/>
        </w:rPr>
      </w:pPr>
      <w:r w:rsidRPr="00A317BE">
        <w:rPr>
          <w:color w:val="000000" w:themeColor="text1"/>
        </w:rPr>
        <w:t>[20] It would, of course, be manifestly unfair if a defendant were forced to defend in a foreign jurisdiction in circumstances where he could not reasonably have foreseen that his conduct would expose him to the real risk that he might properly be sued in that foreign jurisdiction. An underlying purpose, therefore, of our conflict of laws rules should, therefore, be to promote the orderly administration of international justice so that potential defendants can arrange their affairs in such a manner as will enable them to predict where such conduct will or (as the case may be) will not render them liable to suit.</w:t>
      </w:r>
    </w:p>
    <w:p w14:paraId="36552BF1" w14:textId="77777777" w:rsidR="00F2723E" w:rsidRPr="00A317BE" w:rsidRDefault="00F2723E" w:rsidP="00A317BE">
      <w:pPr>
        <w:tabs>
          <w:tab w:val="left" w:pos="567"/>
        </w:tabs>
        <w:spacing w:line="480" w:lineRule="auto"/>
        <w:ind w:left="567"/>
        <w:rPr>
          <w:color w:val="000000" w:themeColor="text1"/>
        </w:rPr>
      </w:pPr>
    </w:p>
    <w:p w14:paraId="6241C2F9" w14:textId="1AA9711F" w:rsidR="00F2723E" w:rsidRPr="00A317BE" w:rsidRDefault="00F2723E" w:rsidP="00A317BE">
      <w:pPr>
        <w:tabs>
          <w:tab w:val="left" w:pos="567"/>
        </w:tabs>
        <w:spacing w:line="480" w:lineRule="auto"/>
        <w:ind w:left="567"/>
        <w:rPr>
          <w:color w:val="000000" w:themeColor="text1"/>
        </w:rPr>
      </w:pPr>
      <w:r w:rsidRPr="00A317BE">
        <w:rPr>
          <w:color w:val="000000" w:themeColor="text1"/>
        </w:rPr>
        <w:t>[21] Different considerations apply, of course, where the defendant has engaged in conduct in the foreign jurisdiction in question or where the</w:t>
      </w:r>
      <w:r w:rsidR="000B60CF" w:rsidRPr="00A317BE">
        <w:rPr>
          <w:color w:val="000000" w:themeColor="text1"/>
        </w:rPr>
        <w:t xml:space="preserve"> </w:t>
      </w:r>
      <w:r w:rsidRPr="00A317BE">
        <w:rPr>
          <w:color w:val="000000" w:themeColor="text1"/>
        </w:rPr>
        <w:t xml:space="preserve">wrongful act at issue occurred in that jurisdiction. If, for example, the defendant has in the course of </w:t>
      </w:r>
      <w:r w:rsidRPr="00A317BE">
        <w:rPr>
          <w:color w:val="000000" w:themeColor="text1"/>
        </w:rPr>
        <w:lastRenderedPageBreak/>
        <w:t xml:space="preserve">business targeted consumers in a particular jurisdiction through internet advertising aimed at consumers in that jurisdiction, it is not considered unfair or otherwise inappropriate that it should be liable to be sued in respect of wrongful conduct in that jurisdiction, precisely because such a state of affairs is predictable and foreseeable: see, e.g., in the context of the Brussels Convention the decision of the European Court of Justice to this effect in  </w:t>
      </w:r>
      <w:r w:rsidRPr="00A317BE">
        <w:rPr>
          <w:i/>
          <w:color w:val="000000" w:themeColor="text1"/>
        </w:rPr>
        <w:t>Pammer v. Reederei Karl Schlüter GmbH &amp; Co. KG</w:t>
      </w:r>
      <w:r w:rsidRPr="00A317BE">
        <w:rPr>
          <w:color w:val="000000" w:themeColor="text1"/>
        </w:rPr>
        <w:t xml:space="preserve"> (Joined Cases C-585/08 and C-144/09) [2010] E.C.R. I-12527</w:t>
      </w:r>
      <w:r w:rsidR="00FA0806" w:rsidRPr="00A317BE">
        <w:rPr>
          <w:color w:val="000000" w:themeColor="text1"/>
        </w:rPr>
        <w:t>)</w:t>
      </w:r>
      <w:r w:rsidRPr="00A317BE">
        <w:rPr>
          <w:color w:val="000000" w:themeColor="text1"/>
        </w:rPr>
        <w:t>.</w:t>
      </w:r>
    </w:p>
    <w:p w14:paraId="20305CC2" w14:textId="77777777" w:rsidR="00F400A8" w:rsidRPr="00A317BE" w:rsidRDefault="00F400A8" w:rsidP="00A317BE">
      <w:pPr>
        <w:tabs>
          <w:tab w:val="left" w:pos="567"/>
        </w:tabs>
        <w:spacing w:line="480" w:lineRule="auto"/>
        <w:ind w:left="567"/>
        <w:rPr>
          <w:color w:val="000000" w:themeColor="text1"/>
        </w:rPr>
      </w:pPr>
    </w:p>
    <w:p w14:paraId="0FE1ADD1" w14:textId="77777777" w:rsidR="00F2723E" w:rsidRPr="00A317BE" w:rsidRDefault="00F2723E" w:rsidP="00A317BE">
      <w:pPr>
        <w:tabs>
          <w:tab w:val="left" w:pos="567"/>
        </w:tabs>
        <w:spacing w:line="480" w:lineRule="auto"/>
        <w:ind w:left="567"/>
        <w:rPr>
          <w:color w:val="000000" w:themeColor="text1"/>
        </w:rPr>
      </w:pPr>
      <w:r w:rsidRPr="00A317BE">
        <w:rPr>
          <w:color w:val="000000" w:themeColor="text1"/>
        </w:rPr>
        <w:t>[22] In those type of circumstances that jurisdiction will also of necessity have close connections with the dispute, so that the orderly administration of justice will often favour permitting the jurisdiction where the motor accident occurred or the breach of contract happened to hear the dispute, the foreign domicile of the defendant notwithstanding.</w:t>
      </w:r>
    </w:p>
    <w:p w14:paraId="5FD5D8DB" w14:textId="77777777" w:rsidR="00F2723E" w:rsidRPr="00A317BE" w:rsidRDefault="00F2723E" w:rsidP="00A317BE">
      <w:pPr>
        <w:tabs>
          <w:tab w:val="left" w:pos="567"/>
        </w:tabs>
        <w:spacing w:line="480" w:lineRule="auto"/>
        <w:ind w:left="567"/>
        <w:rPr>
          <w:color w:val="000000" w:themeColor="text1"/>
        </w:rPr>
      </w:pPr>
    </w:p>
    <w:p w14:paraId="290515B8" w14:textId="2099272F" w:rsidR="007F19BC" w:rsidRPr="00A317BE" w:rsidRDefault="00F2723E" w:rsidP="00A317BE">
      <w:pPr>
        <w:tabs>
          <w:tab w:val="left" w:pos="567"/>
        </w:tabs>
        <w:spacing w:line="480" w:lineRule="auto"/>
        <w:ind w:left="567"/>
        <w:rPr>
          <w:color w:val="000000" w:themeColor="text1"/>
        </w:rPr>
      </w:pPr>
      <w:r w:rsidRPr="00A317BE">
        <w:rPr>
          <w:color w:val="000000" w:themeColor="text1"/>
        </w:rPr>
        <w:t>[23] These principles may be said to form the basis of the entire Brussels Regulation (and, indeed, the wider Lugano Convention) system which has been the mainstay of the European Union's jurisdiction allocating rules for the best part of 50 years. It is true, of course, that the present jurisdictional dispute falls completely outside the scope of the Brussels/Lugano system and is governed by our own national conflict of law rules. The point, however, is that conflict of laws rules reflecting the principal allocation of jurisdiction as between competing fora must, in general, at least, in order to be fair, reflect these considerations of foreseeability and the orderly administration of international justice.</w:t>
      </w:r>
      <w:r w:rsidR="00B47156" w:rsidRPr="00A317BE">
        <w:rPr>
          <w:color w:val="000000" w:themeColor="text1"/>
        </w:rPr>
        <w:t>”</w:t>
      </w:r>
    </w:p>
    <w:p w14:paraId="6598D2D4" w14:textId="32DCF392" w:rsidR="007F19BC" w:rsidRPr="00A317BE" w:rsidRDefault="007F19BC" w:rsidP="00A317BE">
      <w:pPr>
        <w:tabs>
          <w:tab w:val="left" w:pos="567"/>
        </w:tabs>
        <w:spacing w:line="480" w:lineRule="auto"/>
        <w:rPr>
          <w:color w:val="000000" w:themeColor="text1"/>
        </w:rPr>
      </w:pPr>
    </w:p>
    <w:p w14:paraId="1A08DCFD" w14:textId="716580B5" w:rsidR="00FB7002" w:rsidRPr="00A317BE" w:rsidRDefault="002F4895" w:rsidP="00F26376">
      <w:pPr>
        <w:numPr>
          <w:ilvl w:val="0"/>
          <w:numId w:val="23"/>
        </w:numPr>
        <w:tabs>
          <w:tab w:val="left" w:pos="567"/>
        </w:tabs>
        <w:spacing w:line="480" w:lineRule="auto"/>
        <w:ind w:left="0" w:firstLine="0"/>
        <w:rPr>
          <w:color w:val="000000" w:themeColor="text1"/>
        </w:rPr>
      </w:pPr>
      <w:r w:rsidRPr="00A317BE">
        <w:rPr>
          <w:color w:val="000000" w:themeColor="text1"/>
        </w:rPr>
        <w:lastRenderedPageBreak/>
        <w:t>I would interpret the above as an explanation of the general rule (that a person should be sued in their domicile)</w:t>
      </w:r>
      <w:r w:rsidR="00FA0806" w:rsidRPr="00A317BE">
        <w:rPr>
          <w:color w:val="000000" w:themeColor="text1"/>
        </w:rPr>
        <w:t>,</w:t>
      </w:r>
      <w:r w:rsidRPr="00A317BE">
        <w:rPr>
          <w:color w:val="000000" w:themeColor="text1"/>
        </w:rPr>
        <w:t xml:space="preserve"> followed by general remarks about the general reasons underpinning the various exceptions to that rule, illustrated with reference to the Brussels/Lugano system. </w:t>
      </w:r>
      <w:r w:rsidR="00580AE0" w:rsidRPr="00A317BE">
        <w:rPr>
          <w:color w:val="000000" w:themeColor="text1"/>
        </w:rPr>
        <w:t xml:space="preserve">However, </w:t>
      </w:r>
      <w:r w:rsidR="009E075C" w:rsidRPr="00A317BE">
        <w:rPr>
          <w:color w:val="000000" w:themeColor="text1"/>
        </w:rPr>
        <w:t xml:space="preserve">I do not think it would be </w:t>
      </w:r>
      <w:r w:rsidR="00F53511" w:rsidRPr="00A317BE">
        <w:rPr>
          <w:color w:val="000000" w:themeColor="text1"/>
        </w:rPr>
        <w:t xml:space="preserve">correct </w:t>
      </w:r>
      <w:r w:rsidR="009E075C" w:rsidRPr="00A317BE">
        <w:rPr>
          <w:color w:val="000000" w:themeColor="text1"/>
        </w:rPr>
        <w:t xml:space="preserve">to characterise Hogan J. as having, </w:t>
      </w:r>
      <w:r w:rsidR="00F400A8" w:rsidRPr="00A317BE">
        <w:rPr>
          <w:i/>
          <w:color w:val="000000" w:themeColor="text1"/>
        </w:rPr>
        <w:t>via</w:t>
      </w:r>
      <w:r w:rsidR="009E075C" w:rsidRPr="00A317BE">
        <w:rPr>
          <w:color w:val="000000" w:themeColor="text1"/>
        </w:rPr>
        <w:t xml:space="preserve"> those remarks, imported the tests for jurisdiction from the Brussels/Lugano system into the common law on a wholesale basis. </w:t>
      </w:r>
      <w:r w:rsidRPr="00A317BE">
        <w:rPr>
          <w:color w:val="000000" w:themeColor="text1"/>
        </w:rPr>
        <w:t>Nor was he</w:t>
      </w:r>
      <w:r w:rsidR="00ED0FC2" w:rsidRPr="00A317BE">
        <w:rPr>
          <w:color w:val="000000" w:themeColor="text1"/>
        </w:rPr>
        <w:t xml:space="preserve"> suggesting that the existing common law rules </w:t>
      </w:r>
      <w:r w:rsidR="00D0405B" w:rsidRPr="00A317BE">
        <w:rPr>
          <w:color w:val="000000" w:themeColor="text1"/>
        </w:rPr>
        <w:t xml:space="preserve">or the categories set out in Order 11 </w:t>
      </w:r>
      <w:r w:rsidR="003E2E6E" w:rsidRPr="00A317BE">
        <w:rPr>
          <w:color w:val="000000" w:themeColor="text1"/>
        </w:rPr>
        <w:t>can be disregarded or that there is some overarching, more general</w:t>
      </w:r>
      <w:r w:rsidR="00D0405B" w:rsidRPr="00A317BE">
        <w:rPr>
          <w:color w:val="000000" w:themeColor="text1"/>
        </w:rPr>
        <w:t xml:space="preserve"> test of “foreseeability”</w:t>
      </w:r>
      <w:r w:rsidR="003E2E6E" w:rsidRPr="00A317BE">
        <w:rPr>
          <w:color w:val="000000" w:themeColor="text1"/>
        </w:rPr>
        <w:t xml:space="preserve"> or “predictability” which a plaintiff may invoke even if he or she does not come within the categories of Order 11</w:t>
      </w:r>
      <w:r w:rsidR="00FB7002" w:rsidRPr="00A317BE">
        <w:rPr>
          <w:color w:val="000000" w:themeColor="text1"/>
        </w:rPr>
        <w:t>.</w:t>
      </w:r>
      <w:r w:rsidR="00D0405B" w:rsidRPr="00A317BE">
        <w:rPr>
          <w:color w:val="000000" w:themeColor="text1"/>
        </w:rPr>
        <w:t xml:space="preserve"> </w:t>
      </w:r>
      <w:r w:rsidR="003A5883" w:rsidRPr="00A317BE">
        <w:rPr>
          <w:color w:val="000000" w:themeColor="text1"/>
        </w:rPr>
        <w:t xml:space="preserve">Indeed, as discussed below, Hogan J. went on to apply the common law rules concerning publication in reaching the conclusion that there was no publication within the jurisdiction in that case, and therefore no basis for jurisdiction under Order 11(1)(f). </w:t>
      </w:r>
      <w:r w:rsidRPr="00A317BE">
        <w:rPr>
          <w:color w:val="000000" w:themeColor="text1"/>
        </w:rPr>
        <w:t>Insofar as the appellant’s submissions may s</w:t>
      </w:r>
      <w:r w:rsidR="003A5883" w:rsidRPr="00A317BE">
        <w:rPr>
          <w:color w:val="000000" w:themeColor="text1"/>
        </w:rPr>
        <w:t>eek to suggest that the Court somehow substituted the common law rules with the EU rules, or that general tests of “foreseeability” or “predictability” are to replace the Order 11(1) categories</w:t>
      </w:r>
      <w:r w:rsidRPr="00A317BE">
        <w:rPr>
          <w:color w:val="000000" w:themeColor="text1"/>
        </w:rPr>
        <w:t>, I would reject th</w:t>
      </w:r>
      <w:r w:rsidR="003A5883" w:rsidRPr="00A317BE">
        <w:rPr>
          <w:color w:val="000000" w:themeColor="text1"/>
        </w:rPr>
        <w:t>em</w:t>
      </w:r>
      <w:r w:rsidRPr="00A317BE">
        <w:rPr>
          <w:color w:val="000000" w:themeColor="text1"/>
        </w:rPr>
        <w:t xml:space="preserve">. </w:t>
      </w:r>
    </w:p>
    <w:p w14:paraId="090DC1AC" w14:textId="77777777" w:rsidR="002D1918" w:rsidRPr="00A317BE" w:rsidRDefault="002D1918" w:rsidP="00151DF9">
      <w:pPr>
        <w:tabs>
          <w:tab w:val="left" w:pos="567"/>
        </w:tabs>
        <w:spacing w:line="480" w:lineRule="auto"/>
        <w:rPr>
          <w:color w:val="000000" w:themeColor="text1"/>
        </w:rPr>
      </w:pPr>
    </w:p>
    <w:p w14:paraId="75B13C09" w14:textId="058BF7EE" w:rsidR="005641E3" w:rsidRPr="00A317BE" w:rsidRDefault="00E75E81"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Indeed, it may be noted that </w:t>
      </w:r>
      <w:r w:rsidR="005641E3" w:rsidRPr="00A317BE">
        <w:rPr>
          <w:color w:val="000000" w:themeColor="text1"/>
        </w:rPr>
        <w:t xml:space="preserve">in the case of </w:t>
      </w:r>
      <w:r w:rsidR="00690AAB" w:rsidRPr="00A317BE">
        <w:rPr>
          <w:i/>
          <w:color w:val="000000" w:themeColor="text1"/>
        </w:rPr>
        <w:t xml:space="preserve">Albaniabeg Ambient </w:t>
      </w:r>
      <w:r w:rsidR="00FA0806" w:rsidRPr="00A317BE">
        <w:rPr>
          <w:i/>
          <w:color w:val="000000" w:themeColor="text1"/>
        </w:rPr>
        <w:t xml:space="preserve">Sh.p.k v. Enel S.p.A and Enelpower S.p.A. </w:t>
      </w:r>
      <w:r w:rsidR="00690AAB" w:rsidRPr="00A317BE">
        <w:rPr>
          <w:color w:val="000000" w:themeColor="text1"/>
        </w:rPr>
        <w:t>[2018] IECA 46</w:t>
      </w:r>
      <w:r w:rsidR="005641E3" w:rsidRPr="00A317BE">
        <w:rPr>
          <w:i/>
          <w:color w:val="000000" w:themeColor="text1"/>
        </w:rPr>
        <w:t xml:space="preserve">, </w:t>
      </w:r>
      <w:r w:rsidRPr="00A317BE">
        <w:rPr>
          <w:color w:val="000000" w:themeColor="text1"/>
        </w:rPr>
        <w:t>Hogan J. drew a clear distinction between the common law rules governing conflicts of law, and the Brussels/Lugano system, saying:-</w:t>
      </w:r>
    </w:p>
    <w:p w14:paraId="2FB61A26" w14:textId="77777777" w:rsidR="00C345D7" w:rsidRPr="00A317BE" w:rsidRDefault="00C345D7" w:rsidP="000C74B6">
      <w:pPr>
        <w:tabs>
          <w:tab w:val="left" w:pos="567"/>
        </w:tabs>
        <w:spacing w:line="480" w:lineRule="auto"/>
        <w:rPr>
          <w:color w:val="000000" w:themeColor="text1"/>
        </w:rPr>
      </w:pPr>
    </w:p>
    <w:p w14:paraId="57081CC7" w14:textId="38486762" w:rsidR="00E75E81" w:rsidRPr="00A317BE" w:rsidRDefault="00B47156" w:rsidP="00A317BE">
      <w:pPr>
        <w:tabs>
          <w:tab w:val="left" w:pos="567"/>
        </w:tabs>
        <w:spacing w:line="480" w:lineRule="auto"/>
        <w:ind w:left="567"/>
        <w:rPr>
          <w:color w:val="000000" w:themeColor="text1"/>
        </w:rPr>
      </w:pPr>
      <w:r w:rsidRPr="00A317BE">
        <w:rPr>
          <w:color w:val="000000" w:themeColor="text1"/>
          <w:shd w:val="clear" w:color="auto" w:fill="FFFFFF"/>
        </w:rPr>
        <w:t>“</w:t>
      </w:r>
      <w:r w:rsidR="00E75E81" w:rsidRPr="00A317BE">
        <w:rPr>
          <w:color w:val="000000" w:themeColor="text1"/>
          <w:shd w:val="clear" w:color="auto" w:fill="FFFFFF"/>
        </w:rPr>
        <w:t>The Brussels/Lugano system involves the application of fixed and non-discretionary rules as to jurisdiction in which the concepts of exorbitant jurisdiction and </w:t>
      </w:r>
      <w:r w:rsidR="00E75E81" w:rsidRPr="00A317BE">
        <w:rPr>
          <w:rStyle w:val="Emphasis"/>
          <w:color w:val="000000" w:themeColor="text1"/>
          <w:shd w:val="clear" w:color="auto" w:fill="FFFFFF"/>
        </w:rPr>
        <w:t>forum conveniens</w:t>
      </w:r>
      <w:r w:rsidR="00E75E81" w:rsidRPr="00A317BE">
        <w:rPr>
          <w:color w:val="000000" w:themeColor="text1"/>
          <w:shd w:val="clear" w:color="auto" w:fill="FFFFFF"/>
        </w:rPr>
        <w:t xml:space="preserve"> are excluded and in respect of which judgments are entitled to near automatic enforcement (with strictly limited exceptions) in other Member States (or, as the case may be, Contracting States) on a full faith and credit basis. The position at </w:t>
      </w:r>
      <w:r w:rsidR="00E75E81" w:rsidRPr="00A317BE">
        <w:rPr>
          <w:color w:val="000000" w:themeColor="text1"/>
          <w:shd w:val="clear" w:color="auto" w:fill="FFFFFF"/>
        </w:rPr>
        <w:lastRenderedPageBreak/>
        <w:t>common law regarding jurisdiction and enforcement is not entirely dissimilar, but there are nonetheless important differences between the two systems. Chief among these are that the jurisdictional bases upon which Irish courts may assume jurisdiction may be exorbitant and are mitigated by considerations of </w:t>
      </w:r>
      <w:r w:rsidR="00E75E81" w:rsidRPr="00A317BE">
        <w:rPr>
          <w:rStyle w:val="Emphasis"/>
          <w:color w:val="000000" w:themeColor="text1"/>
          <w:shd w:val="clear" w:color="auto" w:fill="FFFFFF"/>
        </w:rPr>
        <w:t>forum conveniens</w:t>
      </w:r>
      <w:r w:rsidR="00E75E81" w:rsidRPr="00A317BE">
        <w:rPr>
          <w:color w:val="000000" w:themeColor="text1"/>
          <w:shd w:val="clear" w:color="auto" w:fill="FFFFFF"/>
        </w:rPr>
        <w:t>.</w:t>
      </w:r>
      <w:r w:rsidRPr="00A317BE">
        <w:rPr>
          <w:color w:val="000000" w:themeColor="text1"/>
          <w:shd w:val="clear" w:color="auto" w:fill="FFFFFF"/>
        </w:rPr>
        <w:t>”</w:t>
      </w:r>
    </w:p>
    <w:p w14:paraId="36381304" w14:textId="77777777" w:rsidR="00FA0806" w:rsidRPr="00A317BE" w:rsidRDefault="00FA0806" w:rsidP="00A317BE">
      <w:pPr>
        <w:pStyle w:val="Heading3"/>
        <w:tabs>
          <w:tab w:val="left" w:pos="567"/>
        </w:tabs>
        <w:rPr>
          <w:color w:val="000000" w:themeColor="text1"/>
        </w:rPr>
      </w:pPr>
    </w:p>
    <w:p w14:paraId="0E3F7EFB" w14:textId="00C59029" w:rsidR="00FA01C4" w:rsidRPr="00A317BE" w:rsidRDefault="003A5883" w:rsidP="00A317BE">
      <w:pPr>
        <w:pStyle w:val="Heading3"/>
        <w:tabs>
          <w:tab w:val="left" w:pos="567"/>
        </w:tabs>
        <w:rPr>
          <w:color w:val="000000" w:themeColor="text1"/>
        </w:rPr>
      </w:pPr>
      <w:r w:rsidRPr="00A317BE">
        <w:rPr>
          <w:color w:val="000000" w:themeColor="text1"/>
        </w:rPr>
        <w:t>The burden and standard of proof</w:t>
      </w:r>
    </w:p>
    <w:p w14:paraId="2285C439" w14:textId="77777777" w:rsidR="00FA0806" w:rsidRPr="00A317BE" w:rsidRDefault="00FA0806" w:rsidP="00A317BE">
      <w:pPr>
        <w:tabs>
          <w:tab w:val="left" w:pos="567"/>
        </w:tabs>
        <w:rPr>
          <w:color w:val="000000" w:themeColor="text1"/>
        </w:rPr>
      </w:pPr>
    </w:p>
    <w:p w14:paraId="437F7067" w14:textId="31D56A8F" w:rsidR="00E617C2" w:rsidRPr="00E81177" w:rsidRDefault="00E617C2" w:rsidP="00F26376">
      <w:pPr>
        <w:numPr>
          <w:ilvl w:val="0"/>
          <w:numId w:val="23"/>
        </w:numPr>
        <w:tabs>
          <w:tab w:val="left" w:pos="567"/>
        </w:tabs>
        <w:spacing w:line="480" w:lineRule="auto"/>
        <w:ind w:left="0" w:firstLine="0"/>
        <w:rPr>
          <w:i/>
          <w:color w:val="000000" w:themeColor="text1"/>
        </w:rPr>
      </w:pPr>
      <w:r w:rsidRPr="00A317BE">
        <w:rPr>
          <w:color w:val="000000" w:themeColor="text1"/>
        </w:rPr>
        <w:t>The parties did not address the Court on</w:t>
      </w:r>
      <w:r w:rsidR="00B02F70" w:rsidRPr="00A317BE">
        <w:rPr>
          <w:color w:val="000000" w:themeColor="text1"/>
        </w:rPr>
        <w:t xml:space="preserve"> the burden and standard of proof </w:t>
      </w:r>
      <w:r w:rsidR="00383BF4" w:rsidRPr="00A317BE">
        <w:rPr>
          <w:color w:val="000000" w:themeColor="text1"/>
        </w:rPr>
        <w:t>in applications to set aside leave to serve out of the jurisdiction.</w:t>
      </w:r>
      <w:r w:rsidR="00FC7754" w:rsidRPr="00A317BE">
        <w:rPr>
          <w:color w:val="000000" w:themeColor="text1"/>
        </w:rPr>
        <w:t xml:space="preserve"> </w:t>
      </w:r>
      <w:r w:rsidRPr="00A317BE">
        <w:rPr>
          <w:color w:val="000000" w:themeColor="text1"/>
        </w:rPr>
        <w:t>Indeed, as we have seen above, the motion brought the respondent did not conf</w:t>
      </w:r>
      <w:r w:rsidR="003D43A3" w:rsidRPr="00A317BE">
        <w:rPr>
          <w:color w:val="000000" w:themeColor="text1"/>
        </w:rPr>
        <w:t>o</w:t>
      </w:r>
      <w:r w:rsidRPr="00A317BE">
        <w:rPr>
          <w:color w:val="000000" w:themeColor="text1"/>
        </w:rPr>
        <w:t xml:space="preserve">rm </w:t>
      </w:r>
      <w:bookmarkStart w:id="1" w:name="_Hlk102039256"/>
      <w:r w:rsidRPr="00A317BE">
        <w:rPr>
          <w:color w:val="000000" w:themeColor="text1"/>
        </w:rPr>
        <w:t xml:space="preserve">– </w:t>
      </w:r>
      <w:bookmarkEnd w:id="1"/>
      <w:r w:rsidRPr="00A317BE">
        <w:rPr>
          <w:color w:val="000000" w:themeColor="text1"/>
        </w:rPr>
        <w:t>in form at least</w:t>
      </w:r>
      <w:r w:rsidR="00F53511" w:rsidRPr="00A317BE">
        <w:rPr>
          <w:color w:val="000000" w:themeColor="text1"/>
        </w:rPr>
        <w:t xml:space="preserve"> – </w:t>
      </w:r>
      <w:r w:rsidRPr="00A317BE">
        <w:rPr>
          <w:color w:val="000000" w:themeColor="text1"/>
        </w:rPr>
        <w:t>to an application to set aside at all</w:t>
      </w:r>
      <w:r w:rsidR="005574BD" w:rsidRPr="00A317BE">
        <w:rPr>
          <w:color w:val="000000" w:themeColor="text1"/>
        </w:rPr>
        <w:t>,</w:t>
      </w:r>
      <w:r w:rsidRPr="00A317BE">
        <w:rPr>
          <w:color w:val="000000" w:themeColor="text1"/>
        </w:rPr>
        <w:t xml:space="preserve"> but rather consisted of an application </w:t>
      </w:r>
      <w:r w:rsidR="00327A0E" w:rsidRPr="00A317BE">
        <w:rPr>
          <w:color w:val="000000" w:themeColor="text1"/>
        </w:rPr>
        <w:t>seeking an order striking out the proceedings for want of jurisdiction and declaring</w:t>
      </w:r>
      <w:r w:rsidR="005574BD" w:rsidRPr="00A317BE">
        <w:rPr>
          <w:color w:val="000000" w:themeColor="text1"/>
        </w:rPr>
        <w:t xml:space="preserve"> that</w:t>
      </w:r>
      <w:r w:rsidR="00327A0E" w:rsidRPr="00A317BE">
        <w:rPr>
          <w:color w:val="000000" w:themeColor="text1"/>
        </w:rPr>
        <w:t xml:space="preserve"> the Court had no jurisdiction to hear and determine the plaintiff’s claim against the defence. However, the Court will treat this in substance as an application to set aside the </w:t>
      </w:r>
      <w:r w:rsidR="00327A0E" w:rsidRPr="00A317BE">
        <w:rPr>
          <w:i/>
          <w:color w:val="000000" w:themeColor="text1"/>
        </w:rPr>
        <w:t>ex parte</w:t>
      </w:r>
      <w:r w:rsidR="00327A0E" w:rsidRPr="00A317BE">
        <w:rPr>
          <w:color w:val="000000" w:themeColor="text1"/>
        </w:rPr>
        <w:t xml:space="preserve"> leave to serve out</w:t>
      </w:r>
      <w:r w:rsidR="00F53511" w:rsidRPr="00A317BE">
        <w:rPr>
          <w:color w:val="000000" w:themeColor="text1"/>
        </w:rPr>
        <w:t>, as the High Court appears to have done</w:t>
      </w:r>
      <w:r w:rsidR="00327A0E" w:rsidRPr="00A317BE">
        <w:rPr>
          <w:color w:val="000000" w:themeColor="text1"/>
        </w:rPr>
        <w:t>.</w:t>
      </w:r>
    </w:p>
    <w:p w14:paraId="6365B64E" w14:textId="77777777" w:rsidR="00E81177" w:rsidRPr="00E81177" w:rsidRDefault="00E81177" w:rsidP="00E81177">
      <w:pPr>
        <w:tabs>
          <w:tab w:val="left" w:pos="567"/>
        </w:tabs>
        <w:spacing w:line="480" w:lineRule="auto"/>
        <w:rPr>
          <w:color w:val="000000" w:themeColor="text1"/>
        </w:rPr>
      </w:pPr>
    </w:p>
    <w:p w14:paraId="6F51FB34" w14:textId="5B5BE21D" w:rsidR="002A6E11" w:rsidRPr="00E81177" w:rsidRDefault="00FC7754" w:rsidP="00DF045C">
      <w:pPr>
        <w:numPr>
          <w:ilvl w:val="0"/>
          <w:numId w:val="23"/>
        </w:numPr>
        <w:tabs>
          <w:tab w:val="left" w:pos="567"/>
        </w:tabs>
        <w:spacing w:line="480" w:lineRule="auto"/>
        <w:ind w:left="0" w:firstLine="0"/>
        <w:rPr>
          <w:color w:val="000000" w:themeColor="text1"/>
        </w:rPr>
      </w:pPr>
      <w:r w:rsidRPr="00E81177">
        <w:rPr>
          <w:color w:val="000000" w:themeColor="text1"/>
        </w:rPr>
        <w:t xml:space="preserve">The burden of proof </w:t>
      </w:r>
      <w:r w:rsidR="003D43A3" w:rsidRPr="00E81177">
        <w:rPr>
          <w:color w:val="000000" w:themeColor="text1"/>
        </w:rPr>
        <w:t xml:space="preserve">in such applications </w:t>
      </w:r>
      <w:r w:rsidR="009C7D62" w:rsidRPr="00E81177">
        <w:rPr>
          <w:color w:val="000000" w:themeColor="text1"/>
        </w:rPr>
        <w:t>was discussed by this Court in</w:t>
      </w:r>
      <w:r w:rsidR="002E2452" w:rsidRPr="00E81177">
        <w:rPr>
          <w:color w:val="000000" w:themeColor="text1"/>
        </w:rPr>
        <w:t xml:space="preserve"> </w:t>
      </w:r>
      <w:r w:rsidR="002E2452" w:rsidRPr="00E81177">
        <w:rPr>
          <w:i/>
          <w:color w:val="000000" w:themeColor="text1"/>
        </w:rPr>
        <w:t xml:space="preserve">Albaniabeg </w:t>
      </w:r>
      <w:r w:rsidR="002E2452" w:rsidRPr="00E81177">
        <w:rPr>
          <w:color w:val="000000" w:themeColor="text1"/>
        </w:rPr>
        <w:t>where it was held that the burden to show that the case falls within a particular jurisdictional gateway of Order 11(1) remains at all times on the plaintiff</w:t>
      </w:r>
      <w:r w:rsidR="00F00320" w:rsidRPr="00E81177">
        <w:rPr>
          <w:color w:val="000000" w:themeColor="text1"/>
        </w:rPr>
        <w:t>, even in the application to set aside,</w:t>
      </w:r>
      <w:r w:rsidR="002E2452" w:rsidRPr="00E81177">
        <w:rPr>
          <w:color w:val="000000" w:themeColor="text1"/>
        </w:rPr>
        <w:t xml:space="preserve"> because a court cannot constitutionally make an </w:t>
      </w:r>
      <w:r w:rsidR="002E2452" w:rsidRPr="00E81177">
        <w:rPr>
          <w:i/>
          <w:color w:val="000000" w:themeColor="text1"/>
        </w:rPr>
        <w:t>ex parte</w:t>
      </w:r>
      <w:r w:rsidR="002E2452" w:rsidRPr="00E81177">
        <w:rPr>
          <w:color w:val="000000" w:themeColor="text1"/>
        </w:rPr>
        <w:t xml:space="preserve"> order which finally affects the rights of parties (see para</w:t>
      </w:r>
      <w:r w:rsidR="00DF76DA" w:rsidRPr="00E81177">
        <w:rPr>
          <w:color w:val="000000" w:themeColor="text1"/>
        </w:rPr>
        <w:t>graph 18 of the judgment).</w:t>
      </w:r>
      <w:r w:rsidR="009C7D62" w:rsidRPr="00E81177">
        <w:rPr>
          <w:color w:val="000000" w:themeColor="text1"/>
        </w:rPr>
        <w:t xml:space="preserve"> </w:t>
      </w:r>
      <w:r w:rsidRPr="00E81177">
        <w:rPr>
          <w:color w:val="000000" w:themeColor="text1"/>
        </w:rPr>
        <w:t xml:space="preserve"> </w:t>
      </w:r>
      <w:r w:rsidR="002E2452" w:rsidRPr="00E81177">
        <w:rPr>
          <w:color w:val="000000" w:themeColor="text1"/>
        </w:rPr>
        <w:t>This</w:t>
      </w:r>
      <w:r w:rsidR="003E7D59" w:rsidRPr="00E81177">
        <w:rPr>
          <w:color w:val="000000" w:themeColor="text1"/>
        </w:rPr>
        <w:t xml:space="preserve"> statement as to the burden of proof</w:t>
      </w:r>
      <w:r w:rsidR="002E2452" w:rsidRPr="00E81177">
        <w:rPr>
          <w:color w:val="000000" w:themeColor="text1"/>
        </w:rPr>
        <w:t xml:space="preserve"> was recently followed</w:t>
      </w:r>
      <w:r w:rsidR="00F00320" w:rsidRPr="00E81177">
        <w:rPr>
          <w:color w:val="000000" w:themeColor="text1"/>
        </w:rPr>
        <w:t xml:space="preserve"> and applied</w:t>
      </w:r>
      <w:r w:rsidR="002E2452" w:rsidRPr="00E81177">
        <w:rPr>
          <w:color w:val="000000" w:themeColor="text1"/>
        </w:rPr>
        <w:t xml:space="preserve"> in </w:t>
      </w:r>
      <w:r w:rsidR="002E2452" w:rsidRPr="00E81177">
        <w:rPr>
          <w:i/>
          <w:color w:val="000000" w:themeColor="text1"/>
        </w:rPr>
        <w:t>Trafalgar Developments and others v Mazepin and others</w:t>
      </w:r>
      <w:r w:rsidR="00061C08" w:rsidRPr="00E81177">
        <w:rPr>
          <w:i/>
          <w:color w:val="000000" w:themeColor="text1"/>
        </w:rPr>
        <w:t xml:space="preserve"> </w:t>
      </w:r>
      <w:r w:rsidR="00061C08" w:rsidRPr="00E81177">
        <w:rPr>
          <w:color w:val="000000" w:themeColor="text1"/>
        </w:rPr>
        <w:t xml:space="preserve">[2022] IEHC 167 </w:t>
      </w:r>
      <w:r w:rsidR="002E2452" w:rsidRPr="00E81177">
        <w:rPr>
          <w:i/>
          <w:color w:val="000000" w:themeColor="text1"/>
        </w:rPr>
        <w:t xml:space="preserve"> </w:t>
      </w:r>
      <w:r w:rsidR="002E2452" w:rsidRPr="00E81177">
        <w:rPr>
          <w:color w:val="000000" w:themeColor="text1"/>
        </w:rPr>
        <w:t>at para</w:t>
      </w:r>
      <w:r w:rsidR="00FA0806" w:rsidRPr="00E81177">
        <w:rPr>
          <w:color w:val="000000" w:themeColor="text1"/>
        </w:rPr>
        <w:t>graph</w:t>
      </w:r>
      <w:r w:rsidR="002E2452" w:rsidRPr="00E81177">
        <w:rPr>
          <w:color w:val="000000" w:themeColor="text1"/>
        </w:rPr>
        <w:t>s 133-140</w:t>
      </w:r>
      <w:r w:rsidR="00277622" w:rsidRPr="00E81177">
        <w:rPr>
          <w:i/>
          <w:color w:val="000000" w:themeColor="text1"/>
        </w:rPr>
        <w:t xml:space="preserve">, </w:t>
      </w:r>
      <w:r w:rsidR="00277622" w:rsidRPr="00E81177">
        <w:rPr>
          <w:color w:val="000000" w:themeColor="text1"/>
        </w:rPr>
        <w:t>where the court continued a discussion it had started</w:t>
      </w:r>
      <w:r w:rsidR="003E7D59" w:rsidRPr="00E81177">
        <w:rPr>
          <w:color w:val="000000" w:themeColor="text1"/>
        </w:rPr>
        <w:t xml:space="preserve"> </w:t>
      </w:r>
      <w:r w:rsidR="00277622" w:rsidRPr="00E81177">
        <w:rPr>
          <w:color w:val="000000" w:themeColor="text1"/>
        </w:rPr>
        <w:t xml:space="preserve">in </w:t>
      </w:r>
      <w:r w:rsidR="00277622" w:rsidRPr="00E81177">
        <w:rPr>
          <w:i/>
          <w:color w:val="000000" w:themeColor="text1"/>
        </w:rPr>
        <w:t xml:space="preserve">Microsoft </w:t>
      </w:r>
      <w:r w:rsidR="0021623A" w:rsidRPr="00E81177">
        <w:rPr>
          <w:i/>
          <w:color w:val="000000" w:themeColor="text1"/>
        </w:rPr>
        <w:t>Ireland Operations Limited v. Arabic Computer Systems</w:t>
      </w:r>
      <w:r w:rsidR="00FA0806" w:rsidRPr="00E81177">
        <w:rPr>
          <w:i/>
          <w:color w:val="000000" w:themeColor="text1"/>
        </w:rPr>
        <w:t xml:space="preserve"> &amp; Anor.</w:t>
      </w:r>
      <w:r w:rsidR="0021623A" w:rsidRPr="00E81177">
        <w:rPr>
          <w:i/>
          <w:color w:val="000000" w:themeColor="text1"/>
        </w:rPr>
        <w:t xml:space="preserve"> </w:t>
      </w:r>
      <w:r w:rsidR="0021623A" w:rsidRPr="00E81177">
        <w:rPr>
          <w:color w:val="000000" w:themeColor="text1"/>
        </w:rPr>
        <w:t>[202</w:t>
      </w:r>
      <w:r w:rsidR="00BF1575" w:rsidRPr="00E81177">
        <w:rPr>
          <w:color w:val="000000" w:themeColor="text1"/>
        </w:rPr>
        <w:t>0</w:t>
      </w:r>
      <w:r w:rsidR="0021623A" w:rsidRPr="00E81177">
        <w:rPr>
          <w:color w:val="000000" w:themeColor="text1"/>
        </w:rPr>
        <w:t>] IEHC 549</w:t>
      </w:r>
      <w:r w:rsidR="003E7D59" w:rsidRPr="00E81177">
        <w:rPr>
          <w:color w:val="000000" w:themeColor="text1"/>
        </w:rPr>
        <w:t xml:space="preserve"> with regard to the burden of proof and whether there was conflict in the authorities on the issue (Barniville J. concluded that there was not)</w:t>
      </w:r>
      <w:r w:rsidR="0021623A" w:rsidRPr="00E81177">
        <w:rPr>
          <w:color w:val="000000" w:themeColor="text1"/>
        </w:rPr>
        <w:t>.</w:t>
      </w:r>
      <w:r w:rsidR="00277622" w:rsidRPr="00E81177">
        <w:rPr>
          <w:i/>
          <w:color w:val="000000" w:themeColor="text1"/>
        </w:rPr>
        <w:t xml:space="preserve"> </w:t>
      </w:r>
      <w:r w:rsidR="003E7D59" w:rsidRPr="00E81177">
        <w:rPr>
          <w:color w:val="000000" w:themeColor="text1"/>
        </w:rPr>
        <w:t xml:space="preserve">I also accept the position </w:t>
      </w:r>
      <w:r w:rsidR="003E7D59" w:rsidRPr="00E81177">
        <w:rPr>
          <w:color w:val="000000" w:themeColor="text1"/>
        </w:rPr>
        <w:lastRenderedPageBreak/>
        <w:t xml:space="preserve">as stated in </w:t>
      </w:r>
      <w:r w:rsidR="003E7D59" w:rsidRPr="00E81177">
        <w:rPr>
          <w:i/>
          <w:color w:val="000000" w:themeColor="text1"/>
        </w:rPr>
        <w:t>Albaniabeg</w:t>
      </w:r>
      <w:r w:rsidR="003E7D59" w:rsidRPr="00E81177">
        <w:rPr>
          <w:color w:val="000000" w:themeColor="text1"/>
        </w:rPr>
        <w:t xml:space="preserve">, namely that </w:t>
      </w:r>
      <w:r w:rsidR="00F720D0" w:rsidRPr="00E81177">
        <w:rPr>
          <w:color w:val="000000" w:themeColor="text1"/>
        </w:rPr>
        <w:t xml:space="preserve">the burden of proof in the High Court and in this appeal </w:t>
      </w:r>
      <w:r w:rsidR="001A5E82" w:rsidRPr="00E81177">
        <w:rPr>
          <w:color w:val="000000" w:themeColor="text1"/>
        </w:rPr>
        <w:t xml:space="preserve">fell and </w:t>
      </w:r>
      <w:r w:rsidR="00F720D0" w:rsidRPr="00E81177">
        <w:rPr>
          <w:color w:val="000000" w:themeColor="text1"/>
        </w:rPr>
        <w:t>falls on the appellant to establish that she falls within one of the Order11(1) categories.</w:t>
      </w:r>
    </w:p>
    <w:p w14:paraId="6800FD4E" w14:textId="77777777" w:rsidR="00F57884" w:rsidRPr="00A317BE" w:rsidRDefault="00F57884" w:rsidP="00A317BE">
      <w:pPr>
        <w:tabs>
          <w:tab w:val="left" w:pos="567"/>
        </w:tabs>
        <w:spacing w:line="480" w:lineRule="auto"/>
        <w:rPr>
          <w:i/>
          <w:color w:val="000000" w:themeColor="text1"/>
        </w:rPr>
      </w:pPr>
    </w:p>
    <w:p w14:paraId="6D5FC3AA" w14:textId="74CD4C7F" w:rsidR="00C253EC" w:rsidRPr="00A317BE" w:rsidRDefault="00347551" w:rsidP="00A317BE">
      <w:pPr>
        <w:numPr>
          <w:ilvl w:val="0"/>
          <w:numId w:val="23"/>
        </w:numPr>
        <w:tabs>
          <w:tab w:val="left" w:pos="567"/>
        </w:tabs>
        <w:spacing w:line="480" w:lineRule="auto"/>
        <w:ind w:left="0" w:firstLine="0"/>
        <w:rPr>
          <w:color w:val="000000" w:themeColor="text1"/>
        </w:rPr>
      </w:pPr>
      <w:r w:rsidRPr="00A317BE">
        <w:rPr>
          <w:color w:val="000000" w:themeColor="text1"/>
        </w:rPr>
        <w:t>The standard of proof is an altogether more complex issue</w:t>
      </w:r>
      <w:r w:rsidR="005E1C81" w:rsidRPr="00A317BE">
        <w:rPr>
          <w:color w:val="000000" w:themeColor="text1"/>
        </w:rPr>
        <w:t>. A</w:t>
      </w:r>
      <w:r w:rsidRPr="00A317BE">
        <w:rPr>
          <w:color w:val="000000" w:themeColor="text1"/>
        </w:rPr>
        <w:t xml:space="preserve"> distinction may be drawn </w:t>
      </w:r>
      <w:r w:rsidR="0061624F" w:rsidRPr="00A317BE">
        <w:rPr>
          <w:color w:val="000000" w:themeColor="text1"/>
        </w:rPr>
        <w:t>between</w:t>
      </w:r>
      <w:r w:rsidRPr="00A317BE">
        <w:rPr>
          <w:color w:val="000000" w:themeColor="text1"/>
        </w:rPr>
        <w:t xml:space="preserve"> the standard of proof </w:t>
      </w:r>
      <w:r w:rsidR="009B4919" w:rsidRPr="00A317BE">
        <w:rPr>
          <w:color w:val="000000" w:themeColor="text1"/>
        </w:rPr>
        <w:t>as to</w:t>
      </w:r>
      <w:r w:rsidRPr="00A317BE">
        <w:rPr>
          <w:color w:val="000000" w:themeColor="text1"/>
        </w:rPr>
        <w:t xml:space="preserve"> (a) whether the case falls within a particular category of Order 11</w:t>
      </w:r>
      <w:r w:rsidR="009B4919" w:rsidRPr="00A317BE">
        <w:rPr>
          <w:color w:val="000000" w:themeColor="text1"/>
        </w:rPr>
        <w:t>(1)</w:t>
      </w:r>
      <w:r w:rsidR="00FA0806" w:rsidRPr="00A317BE">
        <w:rPr>
          <w:color w:val="000000" w:themeColor="text1"/>
        </w:rPr>
        <w:t>;</w:t>
      </w:r>
      <w:r w:rsidRPr="00A317BE">
        <w:rPr>
          <w:color w:val="000000" w:themeColor="text1"/>
        </w:rPr>
        <w:t xml:space="preserve"> and (b) whether the plaintiff has a case on the merits</w:t>
      </w:r>
      <w:r w:rsidR="002A58C0" w:rsidRPr="00A317BE">
        <w:rPr>
          <w:color w:val="000000" w:themeColor="text1"/>
        </w:rPr>
        <w:t>, although</w:t>
      </w:r>
      <w:r w:rsidRPr="00A317BE">
        <w:rPr>
          <w:color w:val="000000" w:themeColor="text1"/>
        </w:rPr>
        <w:t xml:space="preserve">  </w:t>
      </w:r>
      <w:r w:rsidR="00BB5679" w:rsidRPr="00A317BE">
        <w:rPr>
          <w:color w:val="000000" w:themeColor="text1"/>
        </w:rPr>
        <w:t>(a) and (b)</w:t>
      </w:r>
      <w:r w:rsidRPr="00A317BE">
        <w:rPr>
          <w:color w:val="000000" w:themeColor="text1"/>
        </w:rPr>
        <w:t xml:space="preserve"> may sometimes be intertwined</w:t>
      </w:r>
      <w:r w:rsidR="009B4919" w:rsidRPr="00A317BE">
        <w:rPr>
          <w:color w:val="000000" w:themeColor="text1"/>
        </w:rPr>
        <w:t>; a</w:t>
      </w:r>
      <w:r w:rsidR="00B23FBD" w:rsidRPr="00A317BE">
        <w:rPr>
          <w:color w:val="000000" w:themeColor="text1"/>
        </w:rPr>
        <w:t xml:space="preserve"> pertinent example would be where there is a dispute as to the existence of a contract</w:t>
      </w:r>
      <w:r w:rsidR="005E1C81" w:rsidRPr="00A317BE">
        <w:rPr>
          <w:color w:val="000000" w:themeColor="text1"/>
        </w:rPr>
        <w:t xml:space="preserve"> and a party wishes to bring itself within Order 11(1)(e)</w:t>
      </w:r>
      <w:r w:rsidR="00B23FBD" w:rsidRPr="00A317BE">
        <w:rPr>
          <w:color w:val="000000" w:themeColor="text1"/>
        </w:rPr>
        <w:t xml:space="preserve">. </w:t>
      </w:r>
      <w:r w:rsidRPr="00A317BE">
        <w:rPr>
          <w:color w:val="000000" w:themeColor="text1"/>
        </w:rPr>
        <w:t xml:space="preserve">The </w:t>
      </w:r>
      <w:r w:rsidR="0046721E" w:rsidRPr="00A317BE">
        <w:rPr>
          <w:color w:val="000000" w:themeColor="text1"/>
        </w:rPr>
        <w:t>recent</w:t>
      </w:r>
      <w:r w:rsidR="005C3999" w:rsidRPr="00A317BE">
        <w:rPr>
          <w:color w:val="000000" w:themeColor="text1"/>
        </w:rPr>
        <w:t xml:space="preserve"> </w:t>
      </w:r>
      <w:r w:rsidRPr="00A317BE">
        <w:rPr>
          <w:color w:val="000000" w:themeColor="text1"/>
        </w:rPr>
        <w:t>judgment</w:t>
      </w:r>
      <w:r w:rsidR="00D54CE8" w:rsidRPr="00A317BE">
        <w:rPr>
          <w:color w:val="000000" w:themeColor="text1"/>
        </w:rPr>
        <w:t>s</w:t>
      </w:r>
      <w:r w:rsidRPr="00A317BE">
        <w:rPr>
          <w:color w:val="000000" w:themeColor="text1"/>
        </w:rPr>
        <w:t xml:space="preserve"> of Barniville J. in </w:t>
      </w:r>
      <w:r w:rsidR="00C7311E" w:rsidRPr="00A317BE">
        <w:rPr>
          <w:color w:val="000000" w:themeColor="text1"/>
        </w:rPr>
        <w:t xml:space="preserve">both </w:t>
      </w:r>
      <w:r w:rsidR="00D54CE8" w:rsidRPr="00A317BE">
        <w:rPr>
          <w:i/>
          <w:color w:val="000000" w:themeColor="text1"/>
        </w:rPr>
        <w:t xml:space="preserve">Microsoft </w:t>
      </w:r>
      <w:r w:rsidR="00D54CE8" w:rsidRPr="00A317BE">
        <w:rPr>
          <w:color w:val="000000" w:themeColor="text1"/>
        </w:rPr>
        <w:t xml:space="preserve">and </w:t>
      </w:r>
      <w:r w:rsidR="00D54CE8" w:rsidRPr="00A317BE">
        <w:rPr>
          <w:i/>
          <w:color w:val="000000" w:themeColor="text1"/>
        </w:rPr>
        <w:t>Trafalg</w:t>
      </w:r>
      <w:r w:rsidR="00FA0806" w:rsidRPr="00A317BE">
        <w:rPr>
          <w:i/>
          <w:color w:val="000000" w:themeColor="text1"/>
        </w:rPr>
        <w:t>a</w:t>
      </w:r>
      <w:r w:rsidR="00D54CE8" w:rsidRPr="00A317BE">
        <w:rPr>
          <w:i/>
          <w:color w:val="000000" w:themeColor="text1"/>
        </w:rPr>
        <w:t xml:space="preserve">r </w:t>
      </w:r>
      <w:r w:rsidRPr="00A317BE">
        <w:rPr>
          <w:color w:val="000000" w:themeColor="text1"/>
        </w:rPr>
        <w:t xml:space="preserve">address in detail </w:t>
      </w:r>
      <w:r w:rsidR="00F81316" w:rsidRPr="00A317BE">
        <w:rPr>
          <w:color w:val="000000" w:themeColor="text1"/>
        </w:rPr>
        <w:t>the standard of proof in respect of both issue</w:t>
      </w:r>
      <w:r w:rsidR="00FA0806" w:rsidRPr="00A317BE">
        <w:rPr>
          <w:color w:val="000000" w:themeColor="text1"/>
        </w:rPr>
        <w:t>s</w:t>
      </w:r>
      <w:r w:rsidR="00F81316" w:rsidRPr="00A317BE">
        <w:rPr>
          <w:color w:val="000000" w:themeColor="text1"/>
        </w:rPr>
        <w:t xml:space="preserve"> (a) (the category issue) and (b) (the merits issue</w:t>
      </w:r>
      <w:r w:rsidR="005C3999" w:rsidRPr="00A317BE">
        <w:rPr>
          <w:color w:val="000000" w:themeColor="text1"/>
        </w:rPr>
        <w:t xml:space="preserve">). He </w:t>
      </w:r>
      <w:r w:rsidR="00883F62" w:rsidRPr="00A317BE">
        <w:rPr>
          <w:color w:val="000000" w:themeColor="text1"/>
        </w:rPr>
        <w:t xml:space="preserve"> </w:t>
      </w:r>
      <w:r w:rsidR="00F81316" w:rsidRPr="00A317BE">
        <w:rPr>
          <w:color w:val="000000" w:themeColor="text1"/>
        </w:rPr>
        <w:t>opines</w:t>
      </w:r>
      <w:r w:rsidRPr="00A317BE">
        <w:rPr>
          <w:color w:val="000000" w:themeColor="text1"/>
        </w:rPr>
        <w:t xml:space="preserve"> </w:t>
      </w:r>
      <w:r w:rsidR="00A12439" w:rsidRPr="00A317BE">
        <w:rPr>
          <w:color w:val="000000" w:themeColor="text1"/>
        </w:rPr>
        <w:t xml:space="preserve">there is some difficulty in reconciling </w:t>
      </w:r>
      <w:r w:rsidR="003223A7" w:rsidRPr="00A317BE">
        <w:rPr>
          <w:color w:val="000000" w:themeColor="text1"/>
        </w:rPr>
        <w:t xml:space="preserve">some of the statements in </w:t>
      </w:r>
      <w:r w:rsidR="00A12439" w:rsidRPr="00A317BE">
        <w:rPr>
          <w:color w:val="000000" w:themeColor="text1"/>
        </w:rPr>
        <w:t>the judgments</w:t>
      </w:r>
      <w:r w:rsidR="00CE0EA9" w:rsidRPr="00A317BE">
        <w:rPr>
          <w:color w:val="000000" w:themeColor="text1"/>
        </w:rPr>
        <w:t xml:space="preserve"> on this specific point</w:t>
      </w:r>
      <w:r w:rsidR="00A12439" w:rsidRPr="00A317BE">
        <w:rPr>
          <w:color w:val="000000" w:themeColor="text1"/>
        </w:rPr>
        <w:t xml:space="preserve"> </w:t>
      </w:r>
      <w:r w:rsidR="00A721D3" w:rsidRPr="00A317BE">
        <w:rPr>
          <w:color w:val="000000" w:themeColor="text1"/>
        </w:rPr>
        <w:t xml:space="preserve">in </w:t>
      </w:r>
      <w:r w:rsidR="00A721D3" w:rsidRPr="00A317BE">
        <w:rPr>
          <w:i/>
          <w:color w:val="000000" w:themeColor="text1"/>
        </w:rPr>
        <w:t>Analog Devices B</w:t>
      </w:r>
      <w:r w:rsidR="00FA0806" w:rsidRPr="00A317BE">
        <w:rPr>
          <w:i/>
          <w:color w:val="000000" w:themeColor="text1"/>
        </w:rPr>
        <w:t>.v.</w:t>
      </w:r>
      <w:r w:rsidR="00A721D3" w:rsidRPr="00A317BE">
        <w:rPr>
          <w:i/>
          <w:color w:val="000000" w:themeColor="text1"/>
        </w:rPr>
        <w:t xml:space="preserve"> v</w:t>
      </w:r>
      <w:r w:rsidR="00FA0806" w:rsidRPr="00A317BE">
        <w:rPr>
          <w:i/>
          <w:color w:val="000000" w:themeColor="text1"/>
        </w:rPr>
        <w:t>.</w:t>
      </w:r>
      <w:r w:rsidR="00A721D3" w:rsidRPr="00A317BE">
        <w:rPr>
          <w:i/>
          <w:color w:val="000000" w:themeColor="text1"/>
        </w:rPr>
        <w:t xml:space="preserve"> Zurich Insurance Co</w:t>
      </w:r>
      <w:r w:rsidR="00CF2EE9" w:rsidRPr="00A317BE">
        <w:rPr>
          <w:i/>
          <w:color w:val="000000" w:themeColor="text1"/>
        </w:rPr>
        <w:t xml:space="preserve"> </w:t>
      </w:r>
      <w:r w:rsidR="00CF2EE9" w:rsidRPr="00A317BE">
        <w:rPr>
          <w:color w:val="000000" w:themeColor="text1"/>
        </w:rPr>
        <w:t>[2002] 1 IR 272</w:t>
      </w:r>
      <w:r w:rsidR="00A721D3" w:rsidRPr="00A317BE">
        <w:rPr>
          <w:i/>
          <w:color w:val="000000" w:themeColor="text1"/>
        </w:rPr>
        <w:t xml:space="preserve"> </w:t>
      </w:r>
      <w:r w:rsidR="00A721D3" w:rsidRPr="00A317BE">
        <w:rPr>
          <w:color w:val="000000" w:themeColor="text1"/>
        </w:rPr>
        <w:t>(judgment of the Supreme Court delivered by Fennelly J.)</w:t>
      </w:r>
      <w:r w:rsidR="007A587B" w:rsidRPr="00A317BE">
        <w:rPr>
          <w:color w:val="000000" w:themeColor="text1"/>
        </w:rPr>
        <w:t xml:space="preserve"> with the judgment in</w:t>
      </w:r>
      <w:r w:rsidR="00A721D3" w:rsidRPr="00A317BE">
        <w:rPr>
          <w:color w:val="000000" w:themeColor="text1"/>
        </w:rPr>
        <w:t xml:space="preserve"> </w:t>
      </w:r>
      <w:r w:rsidR="00A721D3" w:rsidRPr="00A317BE">
        <w:rPr>
          <w:i/>
          <w:color w:val="000000" w:themeColor="text1"/>
        </w:rPr>
        <w:t>IBRC v. Quinn</w:t>
      </w:r>
      <w:r w:rsidR="00CF2EE9" w:rsidRPr="00A317BE">
        <w:rPr>
          <w:color w:val="000000" w:themeColor="text1"/>
        </w:rPr>
        <w:t xml:space="preserve"> [[2016] 3 IR 197</w:t>
      </w:r>
      <w:r w:rsidR="00A721D3" w:rsidRPr="00A317BE">
        <w:rPr>
          <w:color w:val="000000" w:themeColor="text1"/>
        </w:rPr>
        <w:t xml:space="preserve"> (judgment of the Supreme Court delivered by Clarke J., as he then was</w:t>
      </w:r>
      <w:r w:rsidR="005C3999" w:rsidRPr="00A317BE">
        <w:rPr>
          <w:color w:val="000000" w:themeColor="text1"/>
        </w:rPr>
        <w:t>, who uses phrases such as whether the claim is “reasonable capable of being proven” and whether the claim has “reality in law and in fact”</w:t>
      </w:r>
      <w:r w:rsidR="00A721D3" w:rsidRPr="00A317BE">
        <w:rPr>
          <w:color w:val="000000" w:themeColor="text1"/>
        </w:rPr>
        <w:t>)</w:t>
      </w:r>
      <w:r w:rsidR="007A587B" w:rsidRPr="00A317BE">
        <w:rPr>
          <w:color w:val="000000" w:themeColor="text1"/>
        </w:rPr>
        <w:t xml:space="preserve">. </w:t>
      </w:r>
      <w:r w:rsidR="00A12439" w:rsidRPr="00A317BE">
        <w:rPr>
          <w:color w:val="000000" w:themeColor="text1"/>
        </w:rPr>
        <w:t xml:space="preserve"> </w:t>
      </w:r>
      <w:r w:rsidR="00D54CE8" w:rsidRPr="00A317BE">
        <w:rPr>
          <w:color w:val="000000" w:themeColor="text1"/>
        </w:rPr>
        <w:t xml:space="preserve">In </w:t>
      </w:r>
      <w:r w:rsidR="00D54CE8" w:rsidRPr="00A317BE">
        <w:rPr>
          <w:i/>
          <w:color w:val="000000" w:themeColor="text1"/>
        </w:rPr>
        <w:t xml:space="preserve">Trafalgar, </w:t>
      </w:r>
      <w:r w:rsidR="006421D5" w:rsidRPr="00A317BE">
        <w:rPr>
          <w:color w:val="000000" w:themeColor="text1"/>
        </w:rPr>
        <w:t xml:space="preserve">Barniville J, after an exhaustive analysis of each of those judgments </w:t>
      </w:r>
      <w:r w:rsidR="00D54CE8" w:rsidRPr="00A317BE">
        <w:rPr>
          <w:color w:val="000000" w:themeColor="text1"/>
        </w:rPr>
        <w:t xml:space="preserve">reached the conclusion that the correct standard </w:t>
      </w:r>
      <w:r w:rsidR="006421D5" w:rsidRPr="00A317BE">
        <w:rPr>
          <w:color w:val="000000" w:themeColor="text1"/>
        </w:rPr>
        <w:t>to be applied in respect of</w:t>
      </w:r>
      <w:r w:rsidR="00D54CE8" w:rsidRPr="00A317BE">
        <w:rPr>
          <w:color w:val="000000" w:themeColor="text1"/>
        </w:rPr>
        <w:t xml:space="preserve"> both (a) and (b) was “a good arguable case” (see para</w:t>
      </w:r>
      <w:r w:rsidR="00FA0806" w:rsidRPr="00A317BE">
        <w:rPr>
          <w:color w:val="000000" w:themeColor="text1"/>
        </w:rPr>
        <w:t>graph</w:t>
      </w:r>
      <w:r w:rsidR="00D54CE8" w:rsidRPr="00A317BE">
        <w:rPr>
          <w:color w:val="000000" w:themeColor="text1"/>
        </w:rPr>
        <w:t>s 147-</w:t>
      </w:r>
      <w:r w:rsidR="00BA7845" w:rsidRPr="00A317BE">
        <w:rPr>
          <w:color w:val="000000" w:themeColor="text1"/>
        </w:rPr>
        <w:t>170</w:t>
      </w:r>
      <w:r w:rsidR="00D54CE8" w:rsidRPr="00A317BE">
        <w:rPr>
          <w:color w:val="000000" w:themeColor="text1"/>
        </w:rPr>
        <w:t>)</w:t>
      </w:r>
      <w:r w:rsidR="00C9343E" w:rsidRPr="00A317BE">
        <w:rPr>
          <w:color w:val="000000" w:themeColor="text1"/>
        </w:rPr>
        <w:t xml:space="preserve">. He </w:t>
      </w:r>
      <w:r w:rsidR="00F81316" w:rsidRPr="00A317BE">
        <w:rPr>
          <w:color w:val="000000" w:themeColor="text1"/>
        </w:rPr>
        <w:t>rejected</w:t>
      </w:r>
      <w:r w:rsidR="00C9343E" w:rsidRPr="00A317BE">
        <w:rPr>
          <w:color w:val="000000" w:themeColor="text1"/>
        </w:rPr>
        <w:t xml:space="preserve"> the proposition that </w:t>
      </w:r>
      <w:r w:rsidR="00F81316" w:rsidRPr="00A317BE">
        <w:rPr>
          <w:color w:val="000000" w:themeColor="text1"/>
        </w:rPr>
        <w:t xml:space="preserve">a </w:t>
      </w:r>
      <w:r w:rsidR="00C9343E" w:rsidRPr="00A317BE">
        <w:rPr>
          <w:color w:val="000000" w:themeColor="text1"/>
        </w:rPr>
        <w:t xml:space="preserve">standard of </w:t>
      </w:r>
      <w:r w:rsidR="00C45F45" w:rsidRPr="00A317BE">
        <w:rPr>
          <w:color w:val="000000" w:themeColor="text1"/>
        </w:rPr>
        <w:t>“a serious issue to be tried”</w:t>
      </w:r>
      <w:r w:rsidR="00C9343E" w:rsidRPr="00A317BE">
        <w:rPr>
          <w:color w:val="000000" w:themeColor="text1"/>
        </w:rPr>
        <w:t xml:space="preserve"> </w:t>
      </w:r>
      <w:r w:rsidR="00F81316" w:rsidRPr="00A317BE">
        <w:rPr>
          <w:color w:val="000000" w:themeColor="text1"/>
        </w:rPr>
        <w:t xml:space="preserve">applied </w:t>
      </w:r>
      <w:r w:rsidR="00C9343E" w:rsidRPr="00A317BE">
        <w:rPr>
          <w:color w:val="000000" w:themeColor="text1"/>
        </w:rPr>
        <w:t xml:space="preserve">to </w:t>
      </w:r>
      <w:r w:rsidR="00F81316" w:rsidRPr="00A317BE">
        <w:rPr>
          <w:color w:val="000000" w:themeColor="text1"/>
        </w:rPr>
        <w:t xml:space="preserve">issue </w:t>
      </w:r>
      <w:r w:rsidR="00C9343E" w:rsidRPr="00A317BE">
        <w:rPr>
          <w:color w:val="000000" w:themeColor="text1"/>
        </w:rPr>
        <w:t>(b)</w:t>
      </w:r>
      <w:r w:rsidR="00F81316" w:rsidRPr="00A317BE">
        <w:rPr>
          <w:color w:val="000000" w:themeColor="text1"/>
        </w:rPr>
        <w:t xml:space="preserve"> (the merits issue)</w:t>
      </w:r>
      <w:r w:rsidR="00F5718F" w:rsidRPr="00A317BE">
        <w:rPr>
          <w:color w:val="000000" w:themeColor="text1"/>
        </w:rPr>
        <w:t xml:space="preserve"> (see discussion at paragraphs 1</w:t>
      </w:r>
      <w:r w:rsidR="007269B7" w:rsidRPr="00A317BE">
        <w:rPr>
          <w:color w:val="000000" w:themeColor="text1"/>
        </w:rPr>
        <w:t>46</w:t>
      </w:r>
      <w:r w:rsidR="00F5718F" w:rsidRPr="00A317BE">
        <w:rPr>
          <w:color w:val="000000" w:themeColor="text1"/>
        </w:rPr>
        <w:t xml:space="preserve">-173 of his judgment). He also rejected the application of a gloss on the “good arguable case” test developed in some of the English cases, where “the better of the argument” </w:t>
      </w:r>
      <w:r w:rsidR="00BC099A" w:rsidRPr="00A317BE">
        <w:rPr>
          <w:color w:val="000000" w:themeColor="text1"/>
        </w:rPr>
        <w:t>was</w:t>
      </w:r>
      <w:r w:rsidR="00F5718F" w:rsidRPr="00A317BE">
        <w:rPr>
          <w:color w:val="000000" w:themeColor="text1"/>
        </w:rPr>
        <w:t xml:space="preserve"> the</w:t>
      </w:r>
      <w:r w:rsidR="00BC099A" w:rsidRPr="00A317BE">
        <w:rPr>
          <w:color w:val="000000" w:themeColor="text1"/>
        </w:rPr>
        <w:t xml:space="preserve"> preferred</w:t>
      </w:r>
      <w:r w:rsidR="00F5718F" w:rsidRPr="00A317BE">
        <w:rPr>
          <w:color w:val="000000" w:themeColor="text1"/>
        </w:rPr>
        <w:t xml:space="preserve"> formulation</w:t>
      </w:r>
      <w:r w:rsidR="00742FB3" w:rsidRPr="00A317BE">
        <w:rPr>
          <w:color w:val="000000" w:themeColor="text1"/>
        </w:rPr>
        <w:t xml:space="preserve">, seeing it as inconsistent with Irish authorities such as </w:t>
      </w:r>
      <w:r w:rsidR="00742FB3" w:rsidRPr="00A317BE">
        <w:rPr>
          <w:i/>
          <w:color w:val="000000" w:themeColor="text1"/>
        </w:rPr>
        <w:t xml:space="preserve">Analog Devices </w:t>
      </w:r>
      <w:r w:rsidR="00742FB3" w:rsidRPr="00A317BE">
        <w:rPr>
          <w:color w:val="000000" w:themeColor="text1"/>
        </w:rPr>
        <w:t xml:space="preserve">and </w:t>
      </w:r>
      <w:r w:rsidR="00742FB3" w:rsidRPr="00A317BE">
        <w:rPr>
          <w:i/>
          <w:color w:val="000000" w:themeColor="text1"/>
        </w:rPr>
        <w:t>IBRC</w:t>
      </w:r>
      <w:r w:rsidR="00F5718F" w:rsidRPr="00A317BE">
        <w:rPr>
          <w:color w:val="000000" w:themeColor="text1"/>
        </w:rPr>
        <w:t xml:space="preserve">  (see his judgment at paragraphs 174-177</w:t>
      </w:r>
      <w:r w:rsidR="00090618" w:rsidRPr="00A317BE">
        <w:rPr>
          <w:color w:val="000000" w:themeColor="text1"/>
        </w:rPr>
        <w:t xml:space="preserve">, referring to </w:t>
      </w:r>
      <w:r w:rsidR="00FA0806" w:rsidRPr="00A317BE">
        <w:rPr>
          <w:i/>
          <w:color w:val="000000" w:themeColor="text1"/>
        </w:rPr>
        <w:t xml:space="preserve">Four Seasons Holdings Incorporated v Brownlie </w:t>
      </w:r>
      <w:r w:rsidR="00CE0139" w:rsidRPr="00A317BE">
        <w:rPr>
          <w:color w:val="000000" w:themeColor="text1"/>
        </w:rPr>
        <w:t xml:space="preserve"> [2018] 1 </w:t>
      </w:r>
      <w:r w:rsidR="00CE0139" w:rsidRPr="00A317BE">
        <w:rPr>
          <w:color w:val="000000" w:themeColor="text1"/>
        </w:rPr>
        <w:lastRenderedPageBreak/>
        <w:t xml:space="preserve">WLR 192, </w:t>
      </w:r>
      <w:r w:rsidR="00CE0139" w:rsidRPr="00A317BE">
        <w:rPr>
          <w:i/>
          <w:color w:val="000000" w:themeColor="text1"/>
        </w:rPr>
        <w:t xml:space="preserve">Goldman Sachs International v. Nova Banco </w:t>
      </w:r>
      <w:r w:rsidR="004D729F" w:rsidRPr="00A317BE">
        <w:rPr>
          <w:i/>
          <w:color w:val="000000" w:themeColor="text1"/>
        </w:rPr>
        <w:t>SA</w:t>
      </w:r>
      <w:r w:rsidR="00CE0139" w:rsidRPr="00A317BE">
        <w:rPr>
          <w:i/>
          <w:color w:val="000000" w:themeColor="text1"/>
        </w:rPr>
        <w:t xml:space="preserve"> </w:t>
      </w:r>
      <w:r w:rsidR="00CE0139" w:rsidRPr="00A317BE">
        <w:rPr>
          <w:color w:val="000000" w:themeColor="text1"/>
        </w:rPr>
        <w:t xml:space="preserve">[2018] UKSC 34, and </w:t>
      </w:r>
      <w:r w:rsidR="00CE0139" w:rsidRPr="00A317BE">
        <w:rPr>
          <w:i/>
          <w:color w:val="000000" w:themeColor="text1"/>
        </w:rPr>
        <w:t>Kaefer Aisl</w:t>
      </w:r>
      <w:r w:rsidR="004D729F" w:rsidRPr="00A317BE">
        <w:rPr>
          <w:i/>
          <w:color w:val="000000" w:themeColor="text1"/>
        </w:rPr>
        <w:t>a</w:t>
      </w:r>
      <w:r w:rsidR="00CE0139" w:rsidRPr="00A317BE">
        <w:rPr>
          <w:i/>
          <w:color w:val="000000" w:themeColor="text1"/>
        </w:rPr>
        <w:t xml:space="preserve">mientos SA de CV v. AMS Drilling Mexico SA de CV </w:t>
      </w:r>
      <w:r w:rsidR="00CE0139" w:rsidRPr="00A317BE">
        <w:rPr>
          <w:color w:val="000000" w:themeColor="text1"/>
        </w:rPr>
        <w:t>[2019] EWCA Civ 10</w:t>
      </w:r>
      <w:r w:rsidR="00F5718F" w:rsidRPr="00A317BE">
        <w:rPr>
          <w:color w:val="000000" w:themeColor="text1"/>
        </w:rPr>
        <w:t>)</w:t>
      </w:r>
      <w:r w:rsidR="00D54CE8" w:rsidRPr="00A317BE">
        <w:rPr>
          <w:color w:val="000000" w:themeColor="text1"/>
        </w:rPr>
        <w:t>.</w:t>
      </w:r>
      <w:r w:rsidR="00A41C7E" w:rsidRPr="00A317BE">
        <w:rPr>
          <w:color w:val="000000" w:themeColor="text1"/>
        </w:rPr>
        <w:t xml:space="preserve"> </w:t>
      </w:r>
      <w:r w:rsidR="007802FB" w:rsidRPr="00A317BE">
        <w:rPr>
          <w:color w:val="000000" w:themeColor="text1"/>
        </w:rPr>
        <w:t>As the parties in the present case did not address any of these nuances concerning how the threshold test may be described, or whether there is any real difference between</w:t>
      </w:r>
      <w:r w:rsidR="00EE6AC1" w:rsidRPr="00A317BE">
        <w:rPr>
          <w:color w:val="000000" w:themeColor="text1"/>
        </w:rPr>
        <w:t xml:space="preserve"> </w:t>
      </w:r>
      <w:r w:rsidR="00EE6AC1" w:rsidRPr="00A317BE">
        <w:rPr>
          <w:i/>
          <w:color w:val="000000" w:themeColor="text1"/>
        </w:rPr>
        <w:t xml:space="preserve">Analog </w:t>
      </w:r>
      <w:r w:rsidR="00EE6AC1" w:rsidRPr="00A317BE">
        <w:rPr>
          <w:color w:val="000000" w:themeColor="text1"/>
        </w:rPr>
        <w:t xml:space="preserve">or </w:t>
      </w:r>
      <w:r w:rsidR="00EE6AC1" w:rsidRPr="00A317BE">
        <w:rPr>
          <w:i/>
          <w:color w:val="000000" w:themeColor="text1"/>
        </w:rPr>
        <w:t>Quinn</w:t>
      </w:r>
      <w:r w:rsidR="007802FB" w:rsidRPr="00A317BE">
        <w:rPr>
          <w:i/>
          <w:color w:val="000000" w:themeColor="text1"/>
        </w:rPr>
        <w:t xml:space="preserve">, </w:t>
      </w:r>
      <w:r w:rsidR="00A41C7E" w:rsidRPr="00A317BE">
        <w:rPr>
          <w:color w:val="000000" w:themeColor="text1"/>
        </w:rPr>
        <w:t xml:space="preserve">I do not </w:t>
      </w:r>
      <w:r w:rsidR="007802FB" w:rsidRPr="00A317BE">
        <w:rPr>
          <w:color w:val="000000" w:themeColor="text1"/>
        </w:rPr>
        <w:t>think it would be appropriate</w:t>
      </w:r>
      <w:r w:rsidR="00A41C7E" w:rsidRPr="00A317BE">
        <w:rPr>
          <w:color w:val="000000" w:themeColor="text1"/>
        </w:rPr>
        <w:t xml:space="preserve"> to </w:t>
      </w:r>
      <w:r w:rsidR="005465C6" w:rsidRPr="00A317BE">
        <w:rPr>
          <w:color w:val="000000" w:themeColor="text1"/>
        </w:rPr>
        <w:t>comment upon the analysis of Barniville J.</w:t>
      </w:r>
      <w:r w:rsidR="007802FB" w:rsidRPr="00A317BE">
        <w:rPr>
          <w:color w:val="000000" w:themeColor="text1"/>
        </w:rPr>
        <w:t xml:space="preserve"> or to express a view as to the correctness of his </w:t>
      </w:r>
      <w:r w:rsidR="00276A2D" w:rsidRPr="00A317BE">
        <w:rPr>
          <w:color w:val="000000" w:themeColor="text1"/>
        </w:rPr>
        <w:t xml:space="preserve">ultimate </w:t>
      </w:r>
      <w:r w:rsidR="007802FB" w:rsidRPr="00A317BE">
        <w:rPr>
          <w:color w:val="000000" w:themeColor="text1"/>
        </w:rPr>
        <w:t>conclusion.</w:t>
      </w:r>
      <w:r w:rsidR="00D768AF" w:rsidRPr="00A317BE">
        <w:rPr>
          <w:color w:val="000000" w:themeColor="text1"/>
        </w:rPr>
        <w:t xml:space="preserve"> </w:t>
      </w:r>
      <w:r w:rsidR="00EE6AC1" w:rsidRPr="00A317BE">
        <w:rPr>
          <w:color w:val="000000" w:themeColor="text1"/>
        </w:rPr>
        <w:t xml:space="preserve"> </w:t>
      </w:r>
      <w:r w:rsidR="00D768AF" w:rsidRPr="00A317BE">
        <w:rPr>
          <w:color w:val="000000" w:themeColor="text1"/>
        </w:rPr>
        <w:t>In</w:t>
      </w:r>
      <w:r w:rsidR="00A41C7E" w:rsidRPr="00A317BE">
        <w:rPr>
          <w:color w:val="000000" w:themeColor="text1"/>
        </w:rPr>
        <w:t xml:space="preserve"> any event, it will not be necessary to do so</w:t>
      </w:r>
      <w:r w:rsidR="00612CC3" w:rsidRPr="00A317BE">
        <w:rPr>
          <w:color w:val="000000" w:themeColor="text1"/>
        </w:rPr>
        <w:t xml:space="preserve"> in this case</w:t>
      </w:r>
      <w:r w:rsidR="00A41C7E" w:rsidRPr="00A317BE">
        <w:rPr>
          <w:color w:val="000000" w:themeColor="text1"/>
        </w:rPr>
        <w:t xml:space="preserve">, for reasons I will explain later. </w:t>
      </w:r>
      <w:r w:rsidR="00D54CE8" w:rsidRPr="00A317BE">
        <w:rPr>
          <w:color w:val="000000" w:themeColor="text1"/>
        </w:rPr>
        <w:t xml:space="preserve"> </w:t>
      </w:r>
    </w:p>
    <w:p w14:paraId="69015650" w14:textId="77777777" w:rsidR="00BC0EF5" w:rsidRPr="00A317BE" w:rsidRDefault="00BC0EF5" w:rsidP="00F26376">
      <w:pPr>
        <w:tabs>
          <w:tab w:val="left" w:pos="567"/>
        </w:tabs>
        <w:spacing w:line="480" w:lineRule="auto"/>
        <w:rPr>
          <w:color w:val="000000" w:themeColor="text1"/>
        </w:rPr>
      </w:pPr>
    </w:p>
    <w:p w14:paraId="62321708" w14:textId="5866E8CC" w:rsidR="00FB7002" w:rsidRPr="00A317BE" w:rsidRDefault="001D6233" w:rsidP="00151DF9">
      <w:pPr>
        <w:numPr>
          <w:ilvl w:val="0"/>
          <w:numId w:val="23"/>
        </w:numPr>
        <w:tabs>
          <w:tab w:val="left" w:pos="567"/>
        </w:tabs>
        <w:spacing w:line="480" w:lineRule="auto"/>
        <w:ind w:left="0" w:firstLine="0"/>
        <w:rPr>
          <w:color w:val="000000" w:themeColor="text1"/>
        </w:rPr>
      </w:pPr>
      <w:r w:rsidRPr="00A317BE">
        <w:rPr>
          <w:color w:val="000000" w:themeColor="text1"/>
        </w:rPr>
        <w:t xml:space="preserve">With the above remarks in mind, </w:t>
      </w:r>
      <w:r w:rsidR="00901B48" w:rsidRPr="00A317BE">
        <w:rPr>
          <w:color w:val="000000" w:themeColor="text1"/>
        </w:rPr>
        <w:t xml:space="preserve">I turn now to a consideration of whether the appellant’s case falls within any of the </w:t>
      </w:r>
      <w:r w:rsidR="005E5A27" w:rsidRPr="00A317BE">
        <w:rPr>
          <w:color w:val="000000" w:themeColor="text1"/>
        </w:rPr>
        <w:t xml:space="preserve">relevant </w:t>
      </w:r>
      <w:r w:rsidR="00901B48" w:rsidRPr="00A317BE">
        <w:rPr>
          <w:color w:val="000000" w:themeColor="text1"/>
        </w:rPr>
        <w:t xml:space="preserve">Order 11(1) “gateways” to jurisdiction. </w:t>
      </w:r>
    </w:p>
    <w:p w14:paraId="59961E3A" w14:textId="673EE35C" w:rsidR="008F26BB" w:rsidRPr="00A317BE" w:rsidRDefault="00D0405B" w:rsidP="00A317BE">
      <w:pPr>
        <w:pStyle w:val="Heading2"/>
        <w:tabs>
          <w:tab w:val="left" w:pos="567"/>
        </w:tabs>
        <w:rPr>
          <w:color w:val="000000" w:themeColor="text1"/>
        </w:rPr>
      </w:pPr>
      <w:r w:rsidRPr="00A317BE">
        <w:rPr>
          <w:color w:val="000000" w:themeColor="text1"/>
        </w:rPr>
        <w:t xml:space="preserve"> </w:t>
      </w:r>
      <w:r w:rsidR="00BC7876" w:rsidRPr="00A317BE">
        <w:rPr>
          <w:color w:val="000000" w:themeColor="text1"/>
        </w:rPr>
        <w:t xml:space="preserve">1. </w:t>
      </w:r>
      <w:r w:rsidR="00121512" w:rsidRPr="00A317BE">
        <w:rPr>
          <w:color w:val="000000" w:themeColor="text1"/>
        </w:rPr>
        <w:t>The claim for payment of money in respect of the legal research work carried out</w:t>
      </w:r>
    </w:p>
    <w:p w14:paraId="72A52E6A" w14:textId="77777777" w:rsidR="00E11802" w:rsidRPr="00A317BE" w:rsidRDefault="00E11802" w:rsidP="00A317BE">
      <w:pPr>
        <w:tabs>
          <w:tab w:val="left" w:pos="567"/>
        </w:tabs>
        <w:rPr>
          <w:color w:val="000000" w:themeColor="text1"/>
        </w:rPr>
      </w:pPr>
    </w:p>
    <w:p w14:paraId="2DE9E6DB" w14:textId="2DB897B4" w:rsidR="00E11802" w:rsidRPr="00A317BE" w:rsidRDefault="003415AD" w:rsidP="00A317BE">
      <w:pPr>
        <w:numPr>
          <w:ilvl w:val="0"/>
          <w:numId w:val="23"/>
        </w:numPr>
        <w:tabs>
          <w:tab w:val="left" w:pos="567"/>
        </w:tabs>
        <w:spacing w:line="480" w:lineRule="auto"/>
        <w:ind w:left="0" w:firstLine="0"/>
        <w:rPr>
          <w:color w:val="000000" w:themeColor="text1"/>
        </w:rPr>
      </w:pPr>
      <w:r w:rsidRPr="00A317BE">
        <w:rPr>
          <w:color w:val="000000" w:themeColor="text1"/>
        </w:rPr>
        <w:t>As we have seen, Order 11</w:t>
      </w:r>
      <w:r w:rsidR="00F26376" w:rsidRPr="00A317BE">
        <w:rPr>
          <w:color w:val="000000" w:themeColor="text1"/>
        </w:rPr>
        <w:t xml:space="preserve">, r. </w:t>
      </w:r>
      <w:r w:rsidRPr="00A317BE">
        <w:rPr>
          <w:color w:val="000000" w:themeColor="text1"/>
        </w:rPr>
        <w:t>1</w:t>
      </w:r>
      <w:r w:rsidR="00B045F2" w:rsidRPr="00A317BE">
        <w:rPr>
          <w:color w:val="000000" w:themeColor="text1"/>
        </w:rPr>
        <w:t>(e)</w:t>
      </w:r>
      <w:r w:rsidRPr="00A317BE">
        <w:rPr>
          <w:color w:val="000000" w:themeColor="text1"/>
        </w:rPr>
        <w:t xml:space="preserve"> provides for service out of the jurisdiction</w:t>
      </w:r>
      <w:r w:rsidR="000A26A6" w:rsidRPr="00A317BE">
        <w:rPr>
          <w:color w:val="000000" w:themeColor="text1"/>
        </w:rPr>
        <w:t xml:space="preserve"> where</w:t>
      </w:r>
      <w:r w:rsidR="00B92DF6" w:rsidRPr="00A317BE">
        <w:rPr>
          <w:color w:val="000000" w:themeColor="text1"/>
        </w:rPr>
        <w:t xml:space="preserve"> the action is one brought </w:t>
      </w:r>
      <w:r w:rsidR="000A26A6" w:rsidRPr="00A317BE">
        <w:rPr>
          <w:color w:val="000000" w:themeColor="text1"/>
        </w:rPr>
        <w:t>“</w:t>
      </w:r>
      <w:r w:rsidR="00B92DF6" w:rsidRPr="00A317BE">
        <w:rPr>
          <w:color w:val="000000" w:themeColor="text1"/>
        </w:rPr>
        <w:t>to enforce, rescind, dissolve, annul, or otherwise affect a contract</w:t>
      </w:r>
      <w:r w:rsidR="000A26A6" w:rsidRPr="00A317BE">
        <w:rPr>
          <w:color w:val="000000" w:themeColor="text1"/>
        </w:rPr>
        <w:t>”</w:t>
      </w:r>
      <w:r w:rsidR="00B92DF6" w:rsidRPr="00A317BE">
        <w:rPr>
          <w:color w:val="000000" w:themeColor="text1"/>
        </w:rPr>
        <w:t xml:space="preserve">, or </w:t>
      </w:r>
      <w:r w:rsidR="008965AD" w:rsidRPr="00A317BE">
        <w:rPr>
          <w:color w:val="000000" w:themeColor="text1"/>
        </w:rPr>
        <w:t>“</w:t>
      </w:r>
      <w:r w:rsidR="00B92DF6" w:rsidRPr="00A317BE">
        <w:rPr>
          <w:color w:val="000000" w:themeColor="text1"/>
        </w:rPr>
        <w:t>to recover damages or other relief for or in respect of the breach of a contract</w:t>
      </w:r>
      <w:r w:rsidR="000A26A6" w:rsidRPr="00A317BE">
        <w:rPr>
          <w:color w:val="000000" w:themeColor="text1"/>
        </w:rPr>
        <w:t xml:space="preserve"> </w:t>
      </w:r>
      <w:r w:rsidR="00B92DF6" w:rsidRPr="00A317BE">
        <w:rPr>
          <w:color w:val="000000" w:themeColor="text1"/>
        </w:rPr>
        <w:t>(i) made within the jurisdiction; or</w:t>
      </w:r>
      <w:r w:rsidR="000A26A6" w:rsidRPr="00A317BE">
        <w:rPr>
          <w:color w:val="000000" w:themeColor="text1"/>
        </w:rPr>
        <w:t xml:space="preserve"> </w:t>
      </w:r>
      <w:r w:rsidR="00B92DF6" w:rsidRPr="00A317BE">
        <w:rPr>
          <w:color w:val="000000" w:themeColor="text1"/>
        </w:rPr>
        <w:t>(ii) made by or through an agent trading or residing within the jurisdiction on behalf of a principal trading or residing out of the jurisdiction; or</w:t>
      </w:r>
      <w:r w:rsidR="000A26A6" w:rsidRPr="00A317BE">
        <w:rPr>
          <w:color w:val="000000" w:themeColor="text1"/>
        </w:rPr>
        <w:t xml:space="preserve"> </w:t>
      </w:r>
      <w:r w:rsidR="00B92DF6" w:rsidRPr="00A317BE">
        <w:rPr>
          <w:color w:val="000000" w:themeColor="text1"/>
        </w:rPr>
        <w:t>(iii) by its terms or by implication to be governed by Irish Law, or is one brought in respect of a breach committed within the jurisdiction of a contract wherever made</w:t>
      </w:r>
      <w:r w:rsidR="008965AD" w:rsidRPr="00A317BE">
        <w:rPr>
          <w:color w:val="000000" w:themeColor="text1"/>
        </w:rPr>
        <w:t>…”.</w:t>
      </w:r>
      <w:r w:rsidR="002E699A" w:rsidRPr="00A317BE">
        <w:rPr>
          <w:color w:val="000000" w:themeColor="text1"/>
        </w:rPr>
        <w:t xml:space="preserve">  </w:t>
      </w:r>
      <w:r w:rsidRPr="00A317BE">
        <w:rPr>
          <w:color w:val="000000" w:themeColor="text1"/>
        </w:rPr>
        <w:t>Further</w:t>
      </w:r>
      <w:r w:rsidR="00754BF0" w:rsidRPr="00A317BE">
        <w:rPr>
          <w:color w:val="000000" w:themeColor="text1"/>
        </w:rPr>
        <w:t>,</w:t>
      </w:r>
      <w:r w:rsidRPr="00A317BE">
        <w:rPr>
          <w:color w:val="000000" w:themeColor="text1"/>
        </w:rPr>
        <w:t xml:space="preserve"> as a matter of common law principle, where</w:t>
      </w:r>
      <w:r w:rsidR="00EF4D07" w:rsidRPr="00A317BE">
        <w:rPr>
          <w:color w:val="000000" w:themeColor="text1"/>
        </w:rPr>
        <w:t xml:space="preserve"> parties enter into an agreement which contains a specific clause stating that the parties will submit to the jurisdiction of a particular country, this will amount to an unequivocal acceptance of the jurisdiction of that court: </w:t>
      </w:r>
      <w:r w:rsidR="00EF4D07" w:rsidRPr="00A317BE">
        <w:rPr>
          <w:i/>
          <w:iCs/>
          <w:color w:val="000000" w:themeColor="text1"/>
        </w:rPr>
        <w:t>Kutchera v. Buckingham Holding</w:t>
      </w:r>
      <w:r w:rsidR="00245420" w:rsidRPr="00A317BE">
        <w:rPr>
          <w:i/>
          <w:iCs/>
          <w:color w:val="000000" w:themeColor="text1"/>
        </w:rPr>
        <w:t>s</w:t>
      </w:r>
      <w:r w:rsidR="00F26376" w:rsidRPr="00A317BE">
        <w:rPr>
          <w:i/>
          <w:iCs/>
          <w:color w:val="000000" w:themeColor="text1"/>
        </w:rPr>
        <w:t xml:space="preserve"> Ltd.</w:t>
      </w:r>
      <w:r w:rsidR="00245420" w:rsidRPr="00A317BE">
        <w:rPr>
          <w:color w:val="000000" w:themeColor="text1"/>
        </w:rPr>
        <w:t xml:space="preserve"> [1988] IR 61</w:t>
      </w:r>
      <w:r w:rsidR="00EF4D07" w:rsidRPr="00A317BE">
        <w:rPr>
          <w:color w:val="000000" w:themeColor="text1"/>
        </w:rPr>
        <w:t xml:space="preserve">. </w:t>
      </w:r>
      <w:r w:rsidR="00BA0A31" w:rsidRPr="00A317BE">
        <w:rPr>
          <w:color w:val="000000" w:themeColor="text1"/>
        </w:rPr>
        <w:t xml:space="preserve">While the parties </w:t>
      </w:r>
      <w:r w:rsidR="00EA667A" w:rsidRPr="00A317BE">
        <w:rPr>
          <w:color w:val="000000" w:themeColor="text1"/>
        </w:rPr>
        <w:t>are</w:t>
      </w:r>
      <w:r w:rsidR="00BA0A31" w:rsidRPr="00A317BE">
        <w:rPr>
          <w:color w:val="000000" w:themeColor="text1"/>
        </w:rPr>
        <w:t xml:space="preserve"> </w:t>
      </w:r>
      <w:r w:rsidR="00566905" w:rsidRPr="00A317BE">
        <w:rPr>
          <w:color w:val="000000" w:themeColor="text1"/>
        </w:rPr>
        <w:t xml:space="preserve">not </w:t>
      </w:r>
      <w:r w:rsidR="00BA0A31" w:rsidRPr="00A317BE">
        <w:rPr>
          <w:color w:val="000000" w:themeColor="text1"/>
        </w:rPr>
        <w:t xml:space="preserve">in dispute as to this </w:t>
      </w:r>
      <w:r w:rsidR="0072695C" w:rsidRPr="00A317BE">
        <w:rPr>
          <w:color w:val="000000" w:themeColor="text1"/>
        </w:rPr>
        <w:t xml:space="preserve">fundamental </w:t>
      </w:r>
      <w:r w:rsidR="00BA0A31" w:rsidRPr="00A317BE">
        <w:rPr>
          <w:color w:val="000000" w:themeColor="text1"/>
        </w:rPr>
        <w:t>principle, they were in dispute as to what</w:t>
      </w:r>
      <w:r w:rsidR="00754BF0" w:rsidRPr="00A317BE">
        <w:rPr>
          <w:color w:val="000000" w:themeColor="text1"/>
        </w:rPr>
        <w:t xml:space="preserve"> (if any)</w:t>
      </w:r>
      <w:r w:rsidR="00BA0A31" w:rsidRPr="00A317BE">
        <w:rPr>
          <w:color w:val="000000" w:themeColor="text1"/>
        </w:rPr>
        <w:t xml:space="preserve"> contract governed the legal </w:t>
      </w:r>
      <w:r w:rsidR="00BA0A31" w:rsidRPr="00A317BE">
        <w:rPr>
          <w:color w:val="000000" w:themeColor="text1"/>
        </w:rPr>
        <w:lastRenderedPageBreak/>
        <w:t>research services carried out by the appellant.</w:t>
      </w:r>
      <w:r w:rsidR="00225A0E" w:rsidRPr="00A317BE">
        <w:rPr>
          <w:color w:val="000000" w:themeColor="text1"/>
        </w:rPr>
        <w:t xml:space="preserve"> </w:t>
      </w:r>
      <w:r w:rsidR="00B9596B" w:rsidRPr="00A317BE">
        <w:rPr>
          <w:color w:val="000000" w:themeColor="text1"/>
        </w:rPr>
        <w:t xml:space="preserve">Logically of course, if </w:t>
      </w:r>
      <w:r w:rsidR="006B672D" w:rsidRPr="00A317BE">
        <w:rPr>
          <w:color w:val="000000" w:themeColor="text1"/>
        </w:rPr>
        <w:t>any of the grounds for jurisdiction in Order 11(1)</w:t>
      </w:r>
      <w:r w:rsidR="006B7C19" w:rsidRPr="00A317BE">
        <w:rPr>
          <w:color w:val="000000" w:themeColor="text1"/>
        </w:rPr>
        <w:t>(e) is to apply,</w:t>
      </w:r>
      <w:r w:rsidR="00217DA4" w:rsidRPr="00A317BE">
        <w:rPr>
          <w:color w:val="000000" w:themeColor="text1"/>
        </w:rPr>
        <w:t xml:space="preserve"> </w:t>
      </w:r>
      <w:r w:rsidR="00B9596B" w:rsidRPr="00A317BE">
        <w:rPr>
          <w:color w:val="000000" w:themeColor="text1"/>
        </w:rPr>
        <w:t>there has to be a contract</w:t>
      </w:r>
      <w:r w:rsidR="00D70407" w:rsidRPr="00A317BE">
        <w:rPr>
          <w:color w:val="000000" w:themeColor="text1"/>
        </w:rPr>
        <w:t xml:space="preserve"> in the first place.</w:t>
      </w:r>
    </w:p>
    <w:p w14:paraId="6EA81B5C" w14:textId="606215C4" w:rsidR="0028106F" w:rsidRPr="00A317BE" w:rsidRDefault="00D70407" w:rsidP="00A317BE">
      <w:pPr>
        <w:tabs>
          <w:tab w:val="left" w:pos="567"/>
        </w:tabs>
        <w:rPr>
          <w:color w:val="000000" w:themeColor="text1"/>
        </w:rPr>
      </w:pPr>
      <w:r w:rsidRPr="00A317BE">
        <w:rPr>
          <w:color w:val="000000" w:themeColor="text1"/>
        </w:rPr>
        <w:t xml:space="preserve"> </w:t>
      </w:r>
    </w:p>
    <w:p w14:paraId="10FAD3FA" w14:textId="1DA0A22C" w:rsidR="009E0E8C" w:rsidRPr="00A317BE" w:rsidRDefault="00704FEF"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respondent’s position </w:t>
      </w:r>
      <w:r w:rsidR="009E0E8C" w:rsidRPr="00A317BE">
        <w:rPr>
          <w:color w:val="000000" w:themeColor="text1"/>
        </w:rPr>
        <w:t>is</w:t>
      </w:r>
      <w:r w:rsidRPr="00A317BE">
        <w:rPr>
          <w:color w:val="000000" w:themeColor="text1"/>
        </w:rPr>
        <w:t xml:space="preserve"> that the</w:t>
      </w:r>
      <w:r w:rsidR="005E74C4" w:rsidRPr="00A317BE">
        <w:rPr>
          <w:color w:val="000000" w:themeColor="text1"/>
        </w:rPr>
        <w:t xml:space="preserve"> formal written, signed</w:t>
      </w:r>
      <w:r w:rsidRPr="00A317BE">
        <w:rPr>
          <w:color w:val="000000" w:themeColor="text1"/>
        </w:rPr>
        <w:t xml:space="preserve"> </w:t>
      </w:r>
      <w:r w:rsidR="009E0E8C" w:rsidRPr="00A317BE">
        <w:rPr>
          <w:color w:val="000000" w:themeColor="text1"/>
        </w:rPr>
        <w:t xml:space="preserve">“consultant’s </w:t>
      </w:r>
      <w:r w:rsidRPr="00A317BE">
        <w:rPr>
          <w:color w:val="000000" w:themeColor="text1"/>
        </w:rPr>
        <w:t>contract</w:t>
      </w:r>
      <w:r w:rsidR="009E0E8C" w:rsidRPr="00A317BE">
        <w:rPr>
          <w:color w:val="000000" w:themeColor="text1"/>
        </w:rPr>
        <w:t>”</w:t>
      </w:r>
      <w:r w:rsidRPr="00A317BE">
        <w:rPr>
          <w:color w:val="000000" w:themeColor="text1"/>
        </w:rPr>
        <w:t xml:space="preserve"> of the 5 December 2014 governed</w:t>
      </w:r>
      <w:r w:rsidR="00374ACC" w:rsidRPr="00A317BE">
        <w:rPr>
          <w:color w:val="000000" w:themeColor="text1"/>
        </w:rPr>
        <w:t xml:space="preserve"> both</w:t>
      </w:r>
      <w:r w:rsidRPr="00A317BE">
        <w:rPr>
          <w:color w:val="000000" w:themeColor="text1"/>
        </w:rPr>
        <w:t xml:space="preserve"> the appellant’s research work </w:t>
      </w:r>
      <w:r w:rsidR="00374ACC" w:rsidRPr="00A317BE">
        <w:rPr>
          <w:color w:val="000000" w:themeColor="text1"/>
        </w:rPr>
        <w:t xml:space="preserve">and her </w:t>
      </w:r>
      <w:r w:rsidRPr="00A317BE">
        <w:rPr>
          <w:color w:val="000000" w:themeColor="text1"/>
        </w:rPr>
        <w:t>directorship duties</w:t>
      </w:r>
      <w:r w:rsidR="009E0E8C" w:rsidRPr="00A317BE">
        <w:rPr>
          <w:color w:val="000000" w:themeColor="text1"/>
        </w:rPr>
        <w:t>;</w:t>
      </w:r>
      <w:r w:rsidRPr="00A317BE">
        <w:rPr>
          <w:color w:val="000000" w:themeColor="text1"/>
        </w:rPr>
        <w:t xml:space="preserve"> that it </w:t>
      </w:r>
      <w:r w:rsidR="00B15623" w:rsidRPr="00A317BE">
        <w:rPr>
          <w:color w:val="000000" w:themeColor="text1"/>
        </w:rPr>
        <w:t>explicitly</w:t>
      </w:r>
      <w:r w:rsidR="009E0E8C" w:rsidRPr="00A317BE">
        <w:rPr>
          <w:color w:val="000000" w:themeColor="text1"/>
        </w:rPr>
        <w:t xml:space="preserve"> described itself as</w:t>
      </w:r>
      <w:r w:rsidR="00B15623" w:rsidRPr="00A317BE">
        <w:rPr>
          <w:color w:val="000000" w:themeColor="text1"/>
        </w:rPr>
        <w:t xml:space="preserve"> </w:t>
      </w:r>
      <w:r w:rsidRPr="00A317BE">
        <w:rPr>
          <w:color w:val="000000" w:themeColor="text1"/>
        </w:rPr>
        <w:t>supersed</w:t>
      </w:r>
      <w:r w:rsidR="009E0E8C" w:rsidRPr="00A317BE">
        <w:rPr>
          <w:color w:val="000000" w:themeColor="text1"/>
        </w:rPr>
        <w:t>ing</w:t>
      </w:r>
      <w:r w:rsidRPr="00A317BE">
        <w:rPr>
          <w:color w:val="000000" w:themeColor="text1"/>
        </w:rPr>
        <w:t xml:space="preserve"> all previous agreements</w:t>
      </w:r>
      <w:r w:rsidR="009E0E8C" w:rsidRPr="00A317BE">
        <w:rPr>
          <w:color w:val="000000" w:themeColor="text1"/>
        </w:rPr>
        <w:t>;</w:t>
      </w:r>
      <w:r w:rsidRPr="00A317BE">
        <w:rPr>
          <w:color w:val="000000" w:themeColor="text1"/>
        </w:rPr>
        <w:t xml:space="preserve"> and that </w:t>
      </w:r>
      <w:r w:rsidR="00F26376" w:rsidRPr="00A317BE">
        <w:rPr>
          <w:color w:val="000000" w:themeColor="text1"/>
        </w:rPr>
        <w:t>C</w:t>
      </w:r>
      <w:r w:rsidR="007467DB" w:rsidRPr="00A317BE">
        <w:rPr>
          <w:color w:val="000000" w:themeColor="text1"/>
        </w:rPr>
        <w:t xml:space="preserve">lause 12.2 within this agreement </w:t>
      </w:r>
      <w:r w:rsidRPr="00A317BE">
        <w:rPr>
          <w:color w:val="000000" w:themeColor="text1"/>
        </w:rPr>
        <w:t xml:space="preserve">clearly chose New Zealand as the forum for resolution of disputes </w:t>
      </w:r>
      <w:r w:rsidR="00786D97" w:rsidRPr="00A317BE">
        <w:rPr>
          <w:color w:val="000000" w:themeColor="text1"/>
        </w:rPr>
        <w:t>between the appellant and the respondent</w:t>
      </w:r>
      <w:r w:rsidRPr="00A317BE">
        <w:rPr>
          <w:color w:val="000000" w:themeColor="text1"/>
        </w:rPr>
        <w:t xml:space="preserve">. </w:t>
      </w:r>
      <w:r w:rsidR="005A39C0" w:rsidRPr="00A317BE">
        <w:rPr>
          <w:color w:val="000000" w:themeColor="text1"/>
        </w:rPr>
        <w:t>It also points out that the legal research commenced, according to the appellant herself, in January 2015, one month after this written contract.</w:t>
      </w:r>
    </w:p>
    <w:p w14:paraId="01A2E741" w14:textId="77777777" w:rsidR="009E0E8C" w:rsidRPr="00A317BE" w:rsidRDefault="009E0E8C" w:rsidP="00A317BE">
      <w:pPr>
        <w:tabs>
          <w:tab w:val="left" w:pos="567"/>
        </w:tabs>
        <w:spacing w:line="480" w:lineRule="auto"/>
        <w:rPr>
          <w:color w:val="000000" w:themeColor="text1"/>
        </w:rPr>
      </w:pPr>
    </w:p>
    <w:p w14:paraId="7EEE36CA" w14:textId="3ADD2FB5" w:rsidR="002E53B4" w:rsidRPr="00A317BE" w:rsidRDefault="00C14B7C"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submits </w:t>
      </w:r>
      <w:r w:rsidR="00F26376" w:rsidRPr="00A317BE">
        <w:rPr>
          <w:color w:val="000000" w:themeColor="text1"/>
        </w:rPr>
        <w:t xml:space="preserve">that </w:t>
      </w:r>
      <w:r w:rsidRPr="00A317BE">
        <w:rPr>
          <w:color w:val="000000" w:themeColor="text1"/>
        </w:rPr>
        <w:t>th</w:t>
      </w:r>
      <w:r w:rsidR="001D6E30" w:rsidRPr="00A317BE">
        <w:rPr>
          <w:color w:val="000000" w:themeColor="text1"/>
        </w:rPr>
        <w:t xml:space="preserve">e December 2014 </w:t>
      </w:r>
      <w:r w:rsidRPr="00A317BE">
        <w:rPr>
          <w:color w:val="000000" w:themeColor="text1"/>
        </w:rPr>
        <w:t xml:space="preserve">contract </w:t>
      </w:r>
      <w:r w:rsidR="00120C11" w:rsidRPr="00A317BE">
        <w:rPr>
          <w:color w:val="000000" w:themeColor="text1"/>
        </w:rPr>
        <w:t>was</w:t>
      </w:r>
      <w:r w:rsidRPr="00A317BE">
        <w:rPr>
          <w:color w:val="000000" w:themeColor="text1"/>
        </w:rPr>
        <w:t xml:space="preserve"> confined to her rights and duties as director of the respondent and that </w:t>
      </w:r>
      <w:r w:rsidR="00786D97" w:rsidRPr="00A317BE">
        <w:rPr>
          <w:color w:val="000000" w:themeColor="text1"/>
        </w:rPr>
        <w:t xml:space="preserve">her </w:t>
      </w:r>
      <w:r w:rsidR="00532EC0" w:rsidRPr="00A317BE">
        <w:rPr>
          <w:color w:val="000000" w:themeColor="text1"/>
        </w:rPr>
        <w:t>research work for the Project</w:t>
      </w:r>
      <w:r w:rsidRPr="00A317BE">
        <w:rPr>
          <w:color w:val="000000" w:themeColor="text1"/>
        </w:rPr>
        <w:t xml:space="preserve"> was governed by an earlier agreement dated the 18 August 2014</w:t>
      </w:r>
      <w:r w:rsidR="00EF047A" w:rsidRPr="00A317BE">
        <w:rPr>
          <w:color w:val="000000" w:themeColor="text1"/>
        </w:rPr>
        <w:t xml:space="preserve">, concluded months before she had signed the formal document of December 2014. </w:t>
      </w:r>
      <w:r w:rsidRPr="00A317BE">
        <w:rPr>
          <w:color w:val="000000" w:themeColor="text1"/>
        </w:rPr>
        <w:t>She sa</w:t>
      </w:r>
      <w:r w:rsidR="00DB7E96" w:rsidRPr="00A317BE">
        <w:rPr>
          <w:color w:val="000000" w:themeColor="text1"/>
        </w:rPr>
        <w:t>ys</w:t>
      </w:r>
      <w:r w:rsidRPr="00A317BE">
        <w:rPr>
          <w:color w:val="000000" w:themeColor="text1"/>
        </w:rPr>
        <w:t xml:space="preserve"> that it was agreed that she would be paid the same ad hoc rate as would apply to providing legal research services to VML</w:t>
      </w:r>
      <w:r w:rsidR="00120C11" w:rsidRPr="00A317BE">
        <w:rPr>
          <w:color w:val="000000" w:themeColor="text1"/>
        </w:rPr>
        <w:t>/EML (the Irish company)</w:t>
      </w:r>
      <w:r w:rsidRPr="00A317BE">
        <w:rPr>
          <w:color w:val="000000" w:themeColor="text1"/>
        </w:rPr>
        <w:t xml:space="preserve"> of which she was </w:t>
      </w:r>
      <w:r w:rsidR="00120C11" w:rsidRPr="00A317BE">
        <w:rPr>
          <w:color w:val="000000" w:themeColor="text1"/>
        </w:rPr>
        <w:t xml:space="preserve">also </w:t>
      </w:r>
      <w:r w:rsidRPr="00A317BE">
        <w:rPr>
          <w:color w:val="000000" w:themeColor="text1"/>
        </w:rPr>
        <w:t>a director.  She s</w:t>
      </w:r>
      <w:r w:rsidR="00EF047A" w:rsidRPr="00A317BE">
        <w:rPr>
          <w:color w:val="000000" w:themeColor="text1"/>
        </w:rPr>
        <w:t xml:space="preserve">ubmits, therefore, that </w:t>
      </w:r>
      <w:r w:rsidR="001B2512" w:rsidRPr="00A317BE">
        <w:rPr>
          <w:color w:val="000000" w:themeColor="text1"/>
        </w:rPr>
        <w:t>she entered</w:t>
      </w:r>
      <w:r w:rsidRPr="00A317BE">
        <w:rPr>
          <w:color w:val="000000" w:themeColor="text1"/>
        </w:rPr>
        <w:t xml:space="preserve"> two different contracts </w:t>
      </w:r>
      <w:r w:rsidR="001B2512" w:rsidRPr="00A317BE">
        <w:rPr>
          <w:color w:val="000000" w:themeColor="text1"/>
        </w:rPr>
        <w:t xml:space="preserve">with the respondent, </w:t>
      </w:r>
      <w:r w:rsidRPr="00A317BE">
        <w:rPr>
          <w:color w:val="000000" w:themeColor="text1"/>
        </w:rPr>
        <w:t xml:space="preserve">dealing with two separate and mutually exclusive subject matters. The appellant contends </w:t>
      </w:r>
      <w:r w:rsidR="007D1723" w:rsidRPr="00A317BE">
        <w:rPr>
          <w:color w:val="000000" w:themeColor="text1"/>
        </w:rPr>
        <w:t xml:space="preserve">further </w:t>
      </w:r>
      <w:r w:rsidRPr="00A317BE">
        <w:rPr>
          <w:color w:val="000000" w:themeColor="text1"/>
        </w:rPr>
        <w:t xml:space="preserve">that the contract </w:t>
      </w:r>
      <w:r w:rsidR="007D1723" w:rsidRPr="00A317BE">
        <w:rPr>
          <w:color w:val="000000" w:themeColor="text1"/>
        </w:rPr>
        <w:t xml:space="preserve">which she says </w:t>
      </w:r>
      <w:r w:rsidRPr="00A317BE">
        <w:rPr>
          <w:color w:val="000000" w:themeColor="text1"/>
        </w:rPr>
        <w:t xml:space="preserve">was formed via the emails of the 18 August 2014 did not address the issue of applicable law or jurisdiction and therefore the rules of private international law apply. She says that what is relevant in this regard is that the agreement was concluded in Ireland because she was in Ireland when she agreed to provide the services to the respondent and that the work she undertook was performed entirely in Ireland. </w:t>
      </w:r>
    </w:p>
    <w:p w14:paraId="340045B2" w14:textId="77777777" w:rsidR="002E53B4" w:rsidRPr="00A317BE" w:rsidRDefault="002E53B4" w:rsidP="00A317BE">
      <w:pPr>
        <w:tabs>
          <w:tab w:val="left" w:pos="567"/>
        </w:tabs>
        <w:spacing w:line="480" w:lineRule="auto"/>
        <w:rPr>
          <w:color w:val="000000" w:themeColor="text1"/>
        </w:rPr>
      </w:pPr>
    </w:p>
    <w:p w14:paraId="78629884" w14:textId="0D7B7EA1" w:rsidR="00C14B7C" w:rsidRPr="00A317BE" w:rsidRDefault="00DC1E76"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She also submits that the respondent is a New Zealand company in name only and has no real connections with that jurisdiction;  that the respondent does not trade in New Zealand and is a subsidiary of Consult-Partners which was registered in the UK;  that her meetings with Mr. Wew</w:t>
      </w:r>
      <w:r w:rsidR="0011341C" w:rsidRPr="00A317BE">
        <w:rPr>
          <w:color w:val="000000" w:themeColor="text1"/>
        </w:rPr>
        <w:t>e</w:t>
      </w:r>
      <w:r w:rsidRPr="00A317BE">
        <w:rPr>
          <w:color w:val="000000" w:themeColor="text1"/>
        </w:rPr>
        <w:t xml:space="preserve">ge took place in Ireland; that the beneficial owner Ian Andrews lives in England; that the respondent has only one director in New Zealand who is nominal and in any event recently submitted his resignation, and that the respondent has its sister company in Ireland (EML) which has at various times employed various Irish solicitors to act on its behalf. </w:t>
      </w:r>
      <w:r w:rsidR="00291CDB" w:rsidRPr="00A317BE">
        <w:rPr>
          <w:color w:val="000000" w:themeColor="text1"/>
        </w:rPr>
        <w:t>She also points out that her directorship contract with EML (d</w:t>
      </w:r>
      <w:r w:rsidR="00BE73D3" w:rsidRPr="00A317BE">
        <w:rPr>
          <w:color w:val="000000" w:themeColor="text1"/>
        </w:rPr>
        <w:t xml:space="preserve">ated </w:t>
      </w:r>
      <w:r w:rsidR="00F26376" w:rsidRPr="00A317BE">
        <w:rPr>
          <w:color w:val="000000" w:themeColor="text1"/>
        </w:rPr>
        <w:t xml:space="preserve">the </w:t>
      </w:r>
      <w:r w:rsidR="00BE73D3" w:rsidRPr="00A317BE">
        <w:rPr>
          <w:color w:val="000000" w:themeColor="text1"/>
        </w:rPr>
        <w:t>31 July 2014) provided for</w:t>
      </w:r>
      <w:r w:rsidR="00291CDB" w:rsidRPr="00A317BE">
        <w:rPr>
          <w:color w:val="000000" w:themeColor="text1"/>
        </w:rPr>
        <w:t xml:space="preserve"> non-exclusive jurisdiction of the Irish courts.</w:t>
      </w:r>
      <w:r w:rsidR="004B3AD7" w:rsidRPr="00A317BE">
        <w:rPr>
          <w:color w:val="000000" w:themeColor="text1"/>
        </w:rPr>
        <w:t xml:space="preserve"> She also contends that all of the witnesses would be in </w:t>
      </w:r>
      <w:r w:rsidR="00BE73D3" w:rsidRPr="00A317BE">
        <w:rPr>
          <w:color w:val="000000" w:themeColor="text1"/>
        </w:rPr>
        <w:t>England</w:t>
      </w:r>
      <w:r w:rsidR="004B3AD7" w:rsidRPr="00A317BE">
        <w:rPr>
          <w:color w:val="000000" w:themeColor="text1"/>
        </w:rPr>
        <w:t xml:space="preserve"> apart from Mr. Wewege, who she says is based in Panama. </w:t>
      </w:r>
    </w:p>
    <w:p w14:paraId="7982065F" w14:textId="77777777" w:rsidR="00C14B7C" w:rsidRPr="00A317BE" w:rsidRDefault="00C14B7C" w:rsidP="00A317BE">
      <w:pPr>
        <w:tabs>
          <w:tab w:val="left" w:pos="567"/>
        </w:tabs>
        <w:spacing w:line="480" w:lineRule="auto"/>
        <w:rPr>
          <w:color w:val="000000" w:themeColor="text1"/>
        </w:rPr>
      </w:pPr>
    </w:p>
    <w:p w14:paraId="0C3B659F" w14:textId="367A2AEE" w:rsidR="00C14B7C" w:rsidRPr="00A317BE" w:rsidRDefault="00C14B7C" w:rsidP="00A317BE">
      <w:pPr>
        <w:numPr>
          <w:ilvl w:val="0"/>
          <w:numId w:val="23"/>
        </w:numPr>
        <w:tabs>
          <w:tab w:val="left" w:pos="567"/>
        </w:tabs>
        <w:spacing w:line="480" w:lineRule="auto"/>
        <w:ind w:left="0" w:firstLine="0"/>
        <w:rPr>
          <w:color w:val="000000" w:themeColor="text1"/>
        </w:rPr>
      </w:pPr>
      <w:r w:rsidRPr="00A317BE">
        <w:rPr>
          <w:color w:val="000000" w:themeColor="text1"/>
        </w:rPr>
        <w:t>The appellant submits that the High Court judge erroneously</w:t>
      </w:r>
      <w:r w:rsidR="000E7D8D" w:rsidRPr="00A317BE">
        <w:rPr>
          <w:color w:val="000000" w:themeColor="text1"/>
        </w:rPr>
        <w:t xml:space="preserve"> took the view that the absence of an electronic signature was fatal to the formation of a contract by way of these emails, arguing</w:t>
      </w:r>
      <w:r w:rsidRPr="00A317BE">
        <w:rPr>
          <w:color w:val="000000" w:themeColor="text1"/>
        </w:rPr>
        <w:t xml:space="preserve"> that there is no rule requiring such signature for the formation of a contract in Ireland. She submits that the rules on contract formation are governed by the common law authorities, such as </w:t>
      </w:r>
      <w:r w:rsidRPr="00A317BE">
        <w:rPr>
          <w:i/>
          <w:iCs/>
          <w:color w:val="000000" w:themeColor="text1"/>
        </w:rPr>
        <w:t>Carli</w:t>
      </w:r>
      <w:r w:rsidR="00F26376" w:rsidRPr="00A317BE">
        <w:rPr>
          <w:i/>
          <w:iCs/>
          <w:color w:val="000000" w:themeColor="text1"/>
        </w:rPr>
        <w:t>ll</w:t>
      </w:r>
      <w:r w:rsidRPr="00A317BE">
        <w:rPr>
          <w:i/>
          <w:iCs/>
          <w:color w:val="000000" w:themeColor="text1"/>
        </w:rPr>
        <w:t xml:space="preserve"> v</w:t>
      </w:r>
      <w:r w:rsidR="00F26376" w:rsidRPr="00A317BE">
        <w:rPr>
          <w:i/>
          <w:iCs/>
          <w:color w:val="000000" w:themeColor="text1"/>
        </w:rPr>
        <w:t>.</w:t>
      </w:r>
      <w:r w:rsidRPr="00A317BE">
        <w:rPr>
          <w:i/>
          <w:iCs/>
          <w:color w:val="000000" w:themeColor="text1"/>
        </w:rPr>
        <w:t xml:space="preserve"> Carbolic Smoke Ball Co</w:t>
      </w:r>
      <w:r w:rsidRPr="00A317BE">
        <w:rPr>
          <w:color w:val="000000" w:themeColor="text1"/>
        </w:rPr>
        <w:t>.</w:t>
      </w:r>
      <w:r w:rsidR="00F26376" w:rsidRPr="00A317BE">
        <w:rPr>
          <w:color w:val="000000" w:themeColor="text1"/>
        </w:rPr>
        <w:t xml:space="preserve"> </w:t>
      </w:r>
      <w:r w:rsidR="00AB1F39" w:rsidRPr="00A317BE">
        <w:rPr>
          <w:color w:val="000000" w:themeColor="text1"/>
        </w:rPr>
        <w:t>[1893] 1 QB 256</w:t>
      </w:r>
      <w:r w:rsidRPr="00A317BE">
        <w:rPr>
          <w:color w:val="000000" w:themeColor="text1"/>
        </w:rPr>
        <w:t xml:space="preserve">, and that the essential elements of contract identified therein are present </w:t>
      </w:r>
      <w:r w:rsidR="00AB1F39" w:rsidRPr="00A317BE">
        <w:rPr>
          <w:color w:val="000000" w:themeColor="text1"/>
        </w:rPr>
        <w:t>within the email exchange of 18 August 2014</w:t>
      </w:r>
      <w:r w:rsidRPr="00A317BE">
        <w:rPr>
          <w:color w:val="000000" w:themeColor="text1"/>
        </w:rPr>
        <w:t xml:space="preserve">. She </w:t>
      </w:r>
      <w:r w:rsidR="000959D3" w:rsidRPr="00A317BE">
        <w:rPr>
          <w:color w:val="000000" w:themeColor="text1"/>
        </w:rPr>
        <w:t xml:space="preserve">also </w:t>
      </w:r>
      <w:r w:rsidR="00EF0A26" w:rsidRPr="00A317BE">
        <w:rPr>
          <w:color w:val="000000" w:themeColor="text1"/>
        </w:rPr>
        <w:t>submits</w:t>
      </w:r>
      <w:r w:rsidRPr="00A317BE">
        <w:rPr>
          <w:color w:val="000000" w:themeColor="text1"/>
        </w:rPr>
        <w:t xml:space="preserve"> that </w:t>
      </w:r>
      <w:r w:rsidR="006C4FD4" w:rsidRPr="00A317BE">
        <w:rPr>
          <w:color w:val="000000" w:themeColor="text1"/>
        </w:rPr>
        <w:t xml:space="preserve">it is relevant that </w:t>
      </w:r>
      <w:r w:rsidRPr="00A317BE">
        <w:rPr>
          <w:color w:val="000000" w:themeColor="text1"/>
        </w:rPr>
        <w:t xml:space="preserve">the emails constituting the agreement were in writing and </w:t>
      </w:r>
      <w:r w:rsidR="00F26376" w:rsidRPr="00A317BE">
        <w:rPr>
          <w:color w:val="000000" w:themeColor="text1"/>
        </w:rPr>
        <w:t xml:space="preserve">were </w:t>
      </w:r>
      <w:r w:rsidRPr="00A317BE">
        <w:rPr>
          <w:color w:val="000000" w:themeColor="text1"/>
        </w:rPr>
        <w:t>made between two qualified lawyers.</w:t>
      </w:r>
    </w:p>
    <w:p w14:paraId="5D71C6B9" w14:textId="77777777" w:rsidR="009D0433" w:rsidRPr="00A317BE" w:rsidRDefault="009D0433" w:rsidP="00F26376">
      <w:pPr>
        <w:tabs>
          <w:tab w:val="left" w:pos="567"/>
        </w:tabs>
        <w:spacing w:line="480" w:lineRule="auto"/>
        <w:rPr>
          <w:color w:val="000000" w:themeColor="text1"/>
        </w:rPr>
      </w:pPr>
    </w:p>
    <w:p w14:paraId="004B5C86" w14:textId="50C2118F" w:rsidR="00C14B7C" w:rsidRPr="00A317BE" w:rsidRDefault="00C14B7C" w:rsidP="00A317BE">
      <w:pPr>
        <w:numPr>
          <w:ilvl w:val="0"/>
          <w:numId w:val="23"/>
        </w:numPr>
        <w:tabs>
          <w:tab w:val="left" w:pos="567"/>
        </w:tabs>
        <w:spacing w:line="480" w:lineRule="auto"/>
        <w:ind w:left="0" w:firstLine="0"/>
        <w:rPr>
          <w:color w:val="000000" w:themeColor="text1"/>
        </w:rPr>
      </w:pPr>
      <w:r w:rsidRPr="00A317BE">
        <w:rPr>
          <w:color w:val="000000" w:themeColor="text1"/>
        </w:rPr>
        <w:t>With regard to the interests of justice, the appellant maintains that she cannot afford lawyers to bring a case in New Zealand</w:t>
      </w:r>
      <w:r w:rsidR="004B3AD7" w:rsidRPr="00A317BE">
        <w:rPr>
          <w:color w:val="000000" w:themeColor="text1"/>
        </w:rPr>
        <w:t>, particularly in circumstances where the respondent has indicated that it would seek security for costs if she does so,</w:t>
      </w:r>
      <w:r w:rsidRPr="00A317BE">
        <w:rPr>
          <w:color w:val="000000" w:themeColor="text1"/>
        </w:rPr>
        <w:t xml:space="preserve"> and </w:t>
      </w:r>
      <w:r w:rsidR="004611CC" w:rsidRPr="00A317BE">
        <w:rPr>
          <w:color w:val="000000" w:themeColor="text1"/>
        </w:rPr>
        <w:t>relies on the judgment</w:t>
      </w:r>
      <w:r w:rsidRPr="00A317BE">
        <w:rPr>
          <w:color w:val="000000" w:themeColor="text1"/>
        </w:rPr>
        <w:t xml:space="preserve"> in Ryanair </w:t>
      </w:r>
      <w:r w:rsidR="004611CC" w:rsidRPr="00A317BE">
        <w:rPr>
          <w:color w:val="000000" w:themeColor="text1"/>
        </w:rPr>
        <w:t>for the argument that</w:t>
      </w:r>
      <w:r w:rsidRPr="00A317BE">
        <w:rPr>
          <w:color w:val="000000" w:themeColor="text1"/>
        </w:rPr>
        <w:t xml:space="preserve"> economic disparity is a factor that can be taken into account. She says that in circumstances where the claim involves a failure to pay her for work done, </w:t>
      </w:r>
      <w:r w:rsidRPr="00A317BE">
        <w:rPr>
          <w:color w:val="000000" w:themeColor="text1"/>
        </w:rPr>
        <w:lastRenderedPageBreak/>
        <w:t xml:space="preserve">it would be unconscionable that the respondent be permitted to place to economic barriers in the way of her claim. She </w:t>
      </w:r>
      <w:r w:rsidR="004611CC" w:rsidRPr="00A317BE">
        <w:rPr>
          <w:color w:val="000000" w:themeColor="text1"/>
        </w:rPr>
        <w:t>also s</w:t>
      </w:r>
      <w:r w:rsidRPr="00A317BE">
        <w:rPr>
          <w:color w:val="000000" w:themeColor="text1"/>
        </w:rPr>
        <w:t xml:space="preserve">ubmits that in Ryanair </w:t>
      </w:r>
      <w:r w:rsidR="004611CC" w:rsidRPr="00A317BE">
        <w:rPr>
          <w:color w:val="000000" w:themeColor="text1"/>
        </w:rPr>
        <w:t xml:space="preserve">at </w:t>
      </w:r>
      <w:r w:rsidRPr="00A317BE">
        <w:rPr>
          <w:color w:val="000000" w:themeColor="text1"/>
        </w:rPr>
        <w:t>para</w:t>
      </w:r>
      <w:r w:rsidR="00F26376" w:rsidRPr="00A317BE">
        <w:rPr>
          <w:color w:val="000000" w:themeColor="text1"/>
        </w:rPr>
        <w:t>graph</w:t>
      </w:r>
      <w:r w:rsidRPr="00A317BE">
        <w:rPr>
          <w:color w:val="000000" w:themeColor="text1"/>
        </w:rPr>
        <w:t>s 19-2</w:t>
      </w:r>
      <w:r w:rsidR="004611CC" w:rsidRPr="00A317BE">
        <w:rPr>
          <w:color w:val="000000" w:themeColor="text1"/>
        </w:rPr>
        <w:t xml:space="preserve">1, </w:t>
      </w:r>
      <w:r w:rsidRPr="00A317BE">
        <w:rPr>
          <w:color w:val="000000" w:themeColor="text1"/>
        </w:rPr>
        <w:t xml:space="preserve">the </w:t>
      </w:r>
      <w:r w:rsidR="004611CC" w:rsidRPr="00A317BE">
        <w:rPr>
          <w:color w:val="000000" w:themeColor="text1"/>
        </w:rPr>
        <w:t xml:space="preserve">common law </w:t>
      </w:r>
      <w:r w:rsidRPr="00A317BE">
        <w:rPr>
          <w:color w:val="000000" w:themeColor="text1"/>
        </w:rPr>
        <w:t>principles concerning forum non conveniens were brought in line with Brussels Regulation even in non-Brussels cases</w:t>
      </w:r>
      <w:r w:rsidR="008561D1" w:rsidRPr="00A317BE">
        <w:rPr>
          <w:color w:val="000000" w:themeColor="text1"/>
        </w:rPr>
        <w:t xml:space="preserve"> and that she is therefore entitled to sue a defendant “in the courts for the place of the obligation in question” in matters relating to a contract. </w:t>
      </w:r>
    </w:p>
    <w:p w14:paraId="6844566C" w14:textId="77777777" w:rsidR="00B750FE" w:rsidRPr="00A317BE" w:rsidRDefault="00B750FE" w:rsidP="00A317BE">
      <w:pPr>
        <w:tabs>
          <w:tab w:val="left" w:pos="567"/>
        </w:tabs>
        <w:spacing w:after="160"/>
        <w:rPr>
          <w:color w:val="000000" w:themeColor="text1"/>
        </w:rPr>
      </w:pPr>
    </w:p>
    <w:p w14:paraId="20B45E14" w14:textId="41AFC5EF" w:rsidR="00B750FE" w:rsidRPr="00A317BE" w:rsidRDefault="004B1BEE"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respondent </w:t>
      </w:r>
      <w:r w:rsidR="00B750FE" w:rsidRPr="00A317BE">
        <w:rPr>
          <w:color w:val="000000" w:themeColor="text1"/>
        </w:rPr>
        <w:t xml:space="preserve">points out that there was no reference at all to the emails of </w:t>
      </w:r>
      <w:r w:rsidR="00F26376" w:rsidRPr="00A317BE">
        <w:rPr>
          <w:color w:val="000000" w:themeColor="text1"/>
        </w:rPr>
        <w:t xml:space="preserve">the </w:t>
      </w:r>
      <w:r w:rsidR="00B750FE" w:rsidRPr="00A317BE">
        <w:rPr>
          <w:color w:val="000000" w:themeColor="text1"/>
        </w:rPr>
        <w:t xml:space="preserve">18 August 2014 in the </w:t>
      </w:r>
      <w:r w:rsidR="00F26376" w:rsidRPr="00A317BE">
        <w:rPr>
          <w:color w:val="000000" w:themeColor="text1"/>
        </w:rPr>
        <w:t>S</w:t>
      </w:r>
      <w:r w:rsidR="00B750FE" w:rsidRPr="00A317BE">
        <w:rPr>
          <w:color w:val="000000" w:themeColor="text1"/>
        </w:rPr>
        <w:t xml:space="preserve">tatement of </w:t>
      </w:r>
      <w:r w:rsidR="00F26376" w:rsidRPr="00A317BE">
        <w:rPr>
          <w:color w:val="000000" w:themeColor="text1"/>
        </w:rPr>
        <w:t>C</w:t>
      </w:r>
      <w:r w:rsidR="00B750FE" w:rsidRPr="00A317BE">
        <w:rPr>
          <w:color w:val="000000" w:themeColor="text1"/>
        </w:rPr>
        <w:t>laim</w:t>
      </w:r>
      <w:r w:rsidR="00E6525F" w:rsidRPr="00A317BE">
        <w:rPr>
          <w:color w:val="000000" w:themeColor="text1"/>
        </w:rPr>
        <w:t xml:space="preserve"> or the appellant’s grounding affidavit</w:t>
      </w:r>
      <w:r w:rsidR="00D03E64" w:rsidRPr="00A317BE">
        <w:rPr>
          <w:color w:val="000000" w:themeColor="text1"/>
        </w:rPr>
        <w:t>, and that it</w:t>
      </w:r>
      <w:r w:rsidR="00B750FE" w:rsidRPr="00A317BE">
        <w:rPr>
          <w:color w:val="000000" w:themeColor="text1"/>
        </w:rPr>
        <w:t xml:space="preserve"> was only when </w:t>
      </w:r>
      <w:r w:rsidRPr="00A317BE">
        <w:rPr>
          <w:color w:val="000000" w:themeColor="text1"/>
        </w:rPr>
        <w:t>the respondent</w:t>
      </w:r>
      <w:r w:rsidR="00B750FE" w:rsidRPr="00A317BE">
        <w:rPr>
          <w:color w:val="000000" w:themeColor="text1"/>
        </w:rPr>
        <w:t xml:space="preserve"> issued its </w:t>
      </w:r>
      <w:r w:rsidR="00F26376" w:rsidRPr="00A317BE">
        <w:rPr>
          <w:color w:val="000000" w:themeColor="text1"/>
        </w:rPr>
        <w:t>N</w:t>
      </w:r>
      <w:r w:rsidR="00B750FE" w:rsidRPr="00A317BE">
        <w:rPr>
          <w:color w:val="000000" w:themeColor="text1"/>
        </w:rPr>
        <w:t xml:space="preserve">otice of </w:t>
      </w:r>
      <w:r w:rsidR="00F26376" w:rsidRPr="00A317BE">
        <w:rPr>
          <w:color w:val="000000" w:themeColor="text1"/>
        </w:rPr>
        <w:t>M</w:t>
      </w:r>
      <w:r w:rsidR="00B750FE" w:rsidRPr="00A317BE">
        <w:rPr>
          <w:color w:val="000000" w:themeColor="text1"/>
        </w:rPr>
        <w:t>otion</w:t>
      </w:r>
      <w:r w:rsidR="003215A2" w:rsidRPr="00A317BE">
        <w:rPr>
          <w:color w:val="000000" w:themeColor="text1"/>
        </w:rPr>
        <w:t xml:space="preserve"> and drew attention on affidavit to the contract of December 2014</w:t>
      </w:r>
      <w:r w:rsidR="00B750FE" w:rsidRPr="00A317BE">
        <w:rPr>
          <w:color w:val="000000" w:themeColor="text1"/>
        </w:rPr>
        <w:t xml:space="preserve"> that </w:t>
      </w:r>
      <w:r w:rsidRPr="00A317BE">
        <w:rPr>
          <w:color w:val="000000" w:themeColor="text1"/>
        </w:rPr>
        <w:t>the appellant</w:t>
      </w:r>
      <w:r w:rsidR="00B750FE" w:rsidRPr="00A317BE">
        <w:rPr>
          <w:color w:val="000000" w:themeColor="text1"/>
        </w:rPr>
        <w:t xml:space="preserve"> </w:t>
      </w:r>
      <w:r w:rsidR="008246E8" w:rsidRPr="00A317BE">
        <w:rPr>
          <w:color w:val="000000" w:themeColor="text1"/>
        </w:rPr>
        <w:t xml:space="preserve">suggested in her affidavit of reply, </w:t>
      </w:r>
      <w:r w:rsidR="00B750FE" w:rsidRPr="00A317BE">
        <w:rPr>
          <w:color w:val="000000" w:themeColor="text1"/>
        </w:rPr>
        <w:t>for the first time, t</w:t>
      </w:r>
      <w:r w:rsidRPr="00A317BE">
        <w:rPr>
          <w:color w:val="000000" w:themeColor="text1"/>
        </w:rPr>
        <w:t>hat these emails constituted</w:t>
      </w:r>
      <w:r w:rsidR="00B750FE" w:rsidRPr="00A317BE">
        <w:rPr>
          <w:color w:val="000000" w:themeColor="text1"/>
        </w:rPr>
        <w:t xml:space="preserve"> </w:t>
      </w:r>
      <w:r w:rsidRPr="00A317BE">
        <w:rPr>
          <w:color w:val="000000" w:themeColor="text1"/>
        </w:rPr>
        <w:t>a</w:t>
      </w:r>
      <w:r w:rsidR="00B750FE" w:rsidRPr="00A317BE">
        <w:rPr>
          <w:color w:val="000000" w:themeColor="text1"/>
        </w:rPr>
        <w:t xml:space="preserve"> contract</w:t>
      </w:r>
      <w:r w:rsidRPr="00A317BE">
        <w:rPr>
          <w:color w:val="000000" w:themeColor="text1"/>
        </w:rPr>
        <w:t xml:space="preserve"> governing the Project work to be performed by the appellant</w:t>
      </w:r>
      <w:r w:rsidR="00B750FE" w:rsidRPr="00A317BE">
        <w:rPr>
          <w:color w:val="000000" w:themeColor="text1"/>
        </w:rPr>
        <w:t xml:space="preserve">.  The respondent submits that it is not </w:t>
      </w:r>
      <w:r w:rsidR="002D7825" w:rsidRPr="00A317BE">
        <w:rPr>
          <w:color w:val="000000" w:themeColor="text1"/>
        </w:rPr>
        <w:t xml:space="preserve">at all </w:t>
      </w:r>
      <w:r w:rsidR="00B750FE" w:rsidRPr="00A317BE">
        <w:rPr>
          <w:color w:val="000000" w:themeColor="text1"/>
        </w:rPr>
        <w:t>clear from the emails of August 2014 (or her affidavit)</w:t>
      </w:r>
      <w:r w:rsidR="002D7825" w:rsidRPr="00A317BE">
        <w:rPr>
          <w:color w:val="000000" w:themeColor="text1"/>
        </w:rPr>
        <w:t xml:space="preserve"> with whom</w:t>
      </w:r>
      <w:r w:rsidR="00F26376" w:rsidRPr="00A317BE">
        <w:rPr>
          <w:color w:val="000000" w:themeColor="text1"/>
        </w:rPr>
        <w:t>,</w:t>
      </w:r>
      <w:r w:rsidR="00B750FE" w:rsidRPr="00A317BE">
        <w:rPr>
          <w:color w:val="000000" w:themeColor="text1"/>
        </w:rPr>
        <w:t xml:space="preserve"> </w:t>
      </w:r>
      <w:r w:rsidR="00ED6703" w:rsidRPr="00A317BE">
        <w:rPr>
          <w:color w:val="000000" w:themeColor="text1"/>
        </w:rPr>
        <w:t>or precisely what</w:t>
      </w:r>
      <w:r w:rsidR="00F26376" w:rsidRPr="00A317BE">
        <w:rPr>
          <w:color w:val="000000" w:themeColor="text1"/>
        </w:rPr>
        <w:t>,</w:t>
      </w:r>
      <w:r w:rsidR="00ED6703" w:rsidRPr="00A317BE">
        <w:rPr>
          <w:color w:val="000000" w:themeColor="text1"/>
        </w:rPr>
        <w:t xml:space="preserve"> </w:t>
      </w:r>
      <w:r w:rsidR="00B750FE" w:rsidRPr="00A317BE">
        <w:rPr>
          <w:color w:val="000000" w:themeColor="text1"/>
        </w:rPr>
        <w:t xml:space="preserve">the appellant was </w:t>
      </w:r>
      <w:r w:rsidR="002D7825" w:rsidRPr="00A317BE">
        <w:rPr>
          <w:color w:val="000000" w:themeColor="text1"/>
        </w:rPr>
        <w:t>seeking to agree</w:t>
      </w:r>
      <w:r w:rsidR="00B750FE" w:rsidRPr="00A317BE">
        <w:rPr>
          <w:color w:val="000000" w:themeColor="text1"/>
        </w:rPr>
        <w:t xml:space="preserve"> anything with. Mr. M</w:t>
      </w:r>
      <w:r w:rsidR="00F26376" w:rsidRPr="00A317BE">
        <w:rPr>
          <w:color w:val="000000" w:themeColor="text1"/>
        </w:rPr>
        <w:t>a</w:t>
      </w:r>
      <w:r w:rsidR="00B750FE" w:rsidRPr="00A317BE">
        <w:rPr>
          <w:color w:val="000000" w:themeColor="text1"/>
        </w:rPr>
        <w:t>cLeod</w:t>
      </w:r>
      <w:r w:rsidR="002D7825" w:rsidRPr="00A317BE">
        <w:rPr>
          <w:color w:val="000000" w:themeColor="text1"/>
        </w:rPr>
        <w:t xml:space="preserve">, the other person in the email exchange, </w:t>
      </w:r>
      <w:r w:rsidR="00B750FE" w:rsidRPr="00A317BE">
        <w:rPr>
          <w:color w:val="000000" w:themeColor="text1"/>
        </w:rPr>
        <w:t>was with Consult Partners</w:t>
      </w:r>
      <w:r w:rsidR="00ED6703" w:rsidRPr="00A317BE">
        <w:rPr>
          <w:color w:val="000000" w:themeColor="text1"/>
        </w:rPr>
        <w:t>, a UK company,</w:t>
      </w:r>
      <w:r w:rsidR="002D7825" w:rsidRPr="00A317BE">
        <w:rPr>
          <w:color w:val="000000" w:themeColor="text1"/>
        </w:rPr>
        <w:t xml:space="preserve"> and not the respondent as such</w:t>
      </w:r>
      <w:r w:rsidR="00B750FE" w:rsidRPr="00A317BE">
        <w:rPr>
          <w:color w:val="000000" w:themeColor="text1"/>
        </w:rPr>
        <w:t>. Further, in her email of 15</w:t>
      </w:r>
      <w:r w:rsidR="00F26376" w:rsidRPr="00A317BE">
        <w:rPr>
          <w:color w:val="000000" w:themeColor="text1"/>
        </w:rPr>
        <w:t>:</w:t>
      </w:r>
      <w:r w:rsidR="00B750FE" w:rsidRPr="00A317BE">
        <w:rPr>
          <w:color w:val="000000" w:themeColor="text1"/>
        </w:rPr>
        <w:t xml:space="preserve">32 on the 18 August 2014 </w:t>
      </w:r>
      <w:r w:rsidR="002D7825" w:rsidRPr="00A317BE">
        <w:rPr>
          <w:color w:val="000000" w:themeColor="text1"/>
        </w:rPr>
        <w:t>the appellant appears to agree</w:t>
      </w:r>
      <w:r w:rsidR="00B750FE" w:rsidRPr="00A317BE">
        <w:rPr>
          <w:color w:val="000000" w:themeColor="text1"/>
        </w:rPr>
        <w:t xml:space="preserve"> that they would defer the </w:t>
      </w:r>
      <w:r w:rsidR="002D7825" w:rsidRPr="00A317BE">
        <w:rPr>
          <w:color w:val="000000" w:themeColor="text1"/>
        </w:rPr>
        <w:t>finalising of discussions about</w:t>
      </w:r>
      <w:r w:rsidR="00B750FE" w:rsidRPr="00A317BE">
        <w:rPr>
          <w:color w:val="000000" w:themeColor="text1"/>
        </w:rPr>
        <w:t xml:space="preserve"> fees</w:t>
      </w:r>
      <w:r w:rsidR="002D7825" w:rsidRPr="00A317BE">
        <w:rPr>
          <w:color w:val="000000" w:themeColor="text1"/>
        </w:rPr>
        <w:t xml:space="preserve">. </w:t>
      </w:r>
      <w:r w:rsidR="00D651D9" w:rsidRPr="00A317BE">
        <w:rPr>
          <w:color w:val="000000" w:themeColor="text1"/>
        </w:rPr>
        <w:t>It points out that the</w:t>
      </w:r>
      <w:r w:rsidR="002D7825" w:rsidRPr="00A317BE">
        <w:rPr>
          <w:color w:val="000000" w:themeColor="text1"/>
        </w:rPr>
        <w:t xml:space="preserve"> appellant</w:t>
      </w:r>
      <w:r w:rsidR="00D651D9" w:rsidRPr="00A317BE">
        <w:rPr>
          <w:color w:val="000000" w:themeColor="text1"/>
        </w:rPr>
        <w:t xml:space="preserve"> has</w:t>
      </w:r>
      <w:r w:rsidR="002D7825" w:rsidRPr="00A317BE">
        <w:rPr>
          <w:color w:val="000000" w:themeColor="text1"/>
        </w:rPr>
        <w:t xml:space="preserve"> repeatedly stated </w:t>
      </w:r>
      <w:r w:rsidR="00B750FE" w:rsidRPr="00A317BE">
        <w:rPr>
          <w:color w:val="000000" w:themeColor="text1"/>
        </w:rPr>
        <w:t xml:space="preserve">that she was happy to do the work in the expectation that it would lead to a full-time position. They also point out that at paragraph 2 of her </w:t>
      </w:r>
      <w:r w:rsidR="005A39C0" w:rsidRPr="00A317BE">
        <w:rPr>
          <w:color w:val="000000" w:themeColor="text1"/>
        </w:rPr>
        <w:t xml:space="preserve">replying </w:t>
      </w:r>
      <w:r w:rsidR="00B750FE" w:rsidRPr="00A317BE">
        <w:rPr>
          <w:color w:val="000000" w:themeColor="text1"/>
        </w:rPr>
        <w:t>affidavit, in which she raised the emails of August 2014 for the first time, she asserted that the legal research services were agreed to be paid at the same rate as the rate that applied to her providing services to VML, and that her agreement with VML (dated</w:t>
      </w:r>
      <w:r w:rsidR="00F26376" w:rsidRPr="00A317BE">
        <w:rPr>
          <w:color w:val="000000" w:themeColor="text1"/>
        </w:rPr>
        <w:t xml:space="preserve"> the</w:t>
      </w:r>
      <w:r w:rsidR="00B750FE" w:rsidRPr="00A317BE">
        <w:rPr>
          <w:color w:val="000000" w:themeColor="text1"/>
        </w:rPr>
        <w:t xml:space="preserve"> 31 July 2014) provides a specified fee of €125.00 per calendar month plus expenses</w:t>
      </w:r>
      <w:r w:rsidR="005A39C0" w:rsidRPr="00A317BE">
        <w:rPr>
          <w:color w:val="000000" w:themeColor="text1"/>
        </w:rPr>
        <w:t>, not an hourly rate.</w:t>
      </w:r>
    </w:p>
    <w:p w14:paraId="1F056D09" w14:textId="77777777" w:rsidR="008408A6" w:rsidRPr="00A317BE" w:rsidRDefault="008408A6" w:rsidP="00A317BE">
      <w:pPr>
        <w:tabs>
          <w:tab w:val="left" w:pos="567"/>
        </w:tabs>
        <w:rPr>
          <w:color w:val="000000" w:themeColor="text1"/>
        </w:rPr>
      </w:pPr>
    </w:p>
    <w:p w14:paraId="40775E3A" w14:textId="099C4240" w:rsidR="00B750FE" w:rsidRPr="00A317BE" w:rsidRDefault="004505E7"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respondent </w:t>
      </w:r>
      <w:r w:rsidR="008408A6" w:rsidRPr="00A317BE">
        <w:rPr>
          <w:color w:val="000000" w:themeColor="text1"/>
        </w:rPr>
        <w:t xml:space="preserve">also </w:t>
      </w:r>
      <w:r w:rsidRPr="00A317BE">
        <w:rPr>
          <w:color w:val="000000" w:themeColor="text1"/>
        </w:rPr>
        <w:t>points out</w:t>
      </w:r>
      <w:r w:rsidR="00B750FE" w:rsidRPr="00A317BE">
        <w:rPr>
          <w:color w:val="000000" w:themeColor="text1"/>
        </w:rPr>
        <w:t xml:space="preserve"> that the appellant herself had sought mediation</w:t>
      </w:r>
      <w:r w:rsidRPr="00A317BE">
        <w:rPr>
          <w:color w:val="000000" w:themeColor="text1"/>
        </w:rPr>
        <w:t xml:space="preserve"> in accordance with </w:t>
      </w:r>
      <w:r w:rsidR="00F26376" w:rsidRPr="00A317BE">
        <w:rPr>
          <w:color w:val="000000" w:themeColor="text1"/>
        </w:rPr>
        <w:t>C</w:t>
      </w:r>
      <w:r w:rsidRPr="00A317BE">
        <w:rPr>
          <w:color w:val="000000" w:themeColor="text1"/>
        </w:rPr>
        <w:t>lause 12.2</w:t>
      </w:r>
      <w:r w:rsidR="00D03E64" w:rsidRPr="00A317BE">
        <w:rPr>
          <w:color w:val="000000" w:themeColor="text1"/>
        </w:rPr>
        <w:t xml:space="preserve"> of the December 2014 agreement</w:t>
      </w:r>
      <w:r w:rsidR="00B750FE" w:rsidRPr="00A317BE">
        <w:rPr>
          <w:color w:val="000000" w:themeColor="text1"/>
        </w:rPr>
        <w:t xml:space="preserve"> a</w:t>
      </w:r>
      <w:r w:rsidRPr="00A317BE">
        <w:rPr>
          <w:color w:val="000000" w:themeColor="text1"/>
        </w:rPr>
        <w:t>nd say this is</w:t>
      </w:r>
      <w:r w:rsidR="00B750FE" w:rsidRPr="00A317BE">
        <w:rPr>
          <w:color w:val="000000" w:themeColor="text1"/>
        </w:rPr>
        <w:t xml:space="preserve"> consistent with </w:t>
      </w:r>
      <w:r w:rsidR="00B750FE" w:rsidRPr="00A317BE">
        <w:rPr>
          <w:color w:val="000000" w:themeColor="text1"/>
        </w:rPr>
        <w:lastRenderedPageBreak/>
        <w:t>a belief on her o</w:t>
      </w:r>
      <w:r w:rsidR="00D03E64" w:rsidRPr="00A317BE">
        <w:rPr>
          <w:color w:val="000000" w:themeColor="text1"/>
        </w:rPr>
        <w:t xml:space="preserve">wn part that this </w:t>
      </w:r>
      <w:r w:rsidR="00B750FE" w:rsidRPr="00A317BE">
        <w:rPr>
          <w:color w:val="000000" w:themeColor="text1"/>
        </w:rPr>
        <w:t xml:space="preserve">was the governing agreement. </w:t>
      </w:r>
      <w:r w:rsidRPr="00A317BE">
        <w:rPr>
          <w:color w:val="000000" w:themeColor="text1"/>
        </w:rPr>
        <w:t xml:space="preserve">It draws attention to </w:t>
      </w:r>
      <w:r w:rsidR="00B750FE" w:rsidRPr="00A317BE">
        <w:rPr>
          <w:color w:val="000000" w:themeColor="text1"/>
        </w:rPr>
        <w:t xml:space="preserve">her email of </w:t>
      </w:r>
      <w:r w:rsidR="00F26376" w:rsidRPr="00A317BE">
        <w:rPr>
          <w:color w:val="000000" w:themeColor="text1"/>
        </w:rPr>
        <w:t xml:space="preserve">the </w:t>
      </w:r>
      <w:r w:rsidR="00B750FE" w:rsidRPr="00A317BE">
        <w:rPr>
          <w:color w:val="000000" w:themeColor="text1"/>
        </w:rPr>
        <w:t>16 October 2016</w:t>
      </w:r>
      <w:r w:rsidR="00D03E64" w:rsidRPr="00A317BE">
        <w:rPr>
          <w:color w:val="000000" w:themeColor="text1"/>
        </w:rPr>
        <w:t xml:space="preserve"> (set out above)</w:t>
      </w:r>
      <w:r w:rsidR="00B750FE" w:rsidRPr="00A317BE">
        <w:rPr>
          <w:color w:val="000000" w:themeColor="text1"/>
        </w:rPr>
        <w:t xml:space="preserve"> </w:t>
      </w:r>
      <w:r w:rsidR="004D2A32" w:rsidRPr="00A317BE">
        <w:rPr>
          <w:color w:val="000000" w:themeColor="text1"/>
        </w:rPr>
        <w:t xml:space="preserve">in which </w:t>
      </w:r>
      <w:r w:rsidR="00B750FE" w:rsidRPr="00A317BE">
        <w:rPr>
          <w:color w:val="000000" w:themeColor="text1"/>
        </w:rPr>
        <w:t xml:space="preserve">she said that she was prepared to consent to a variation in the consultancy agreement to facilitate the appointment of a mediator outside New Zealand (such as in Ireland, the UK or the United States) but </w:t>
      </w:r>
      <w:r w:rsidR="00D03E64" w:rsidRPr="00A317BE">
        <w:rPr>
          <w:color w:val="000000" w:themeColor="text1"/>
        </w:rPr>
        <w:t xml:space="preserve">accepts </w:t>
      </w:r>
      <w:r w:rsidR="00B750FE" w:rsidRPr="00A317BE">
        <w:rPr>
          <w:color w:val="000000" w:themeColor="text1"/>
        </w:rPr>
        <w:t xml:space="preserve">that the dispute would continue to be governed by New Zealand law. </w:t>
      </w:r>
    </w:p>
    <w:p w14:paraId="01FBC1B7" w14:textId="67F42D74" w:rsidR="004B1BEE" w:rsidRPr="00A317BE" w:rsidRDefault="004B1BEE" w:rsidP="00A317BE">
      <w:pPr>
        <w:pStyle w:val="ListParagraph"/>
        <w:tabs>
          <w:tab w:val="left" w:pos="567"/>
        </w:tabs>
        <w:spacing w:after="160"/>
        <w:ind w:left="0"/>
        <w:rPr>
          <w:color w:val="000000" w:themeColor="text1"/>
        </w:rPr>
      </w:pPr>
    </w:p>
    <w:p w14:paraId="4C26A7AF" w14:textId="6714CBD6" w:rsidR="004B1BEE" w:rsidRPr="00A317BE" w:rsidRDefault="004B1BEE"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The respondent points that there while the appellant refers to </w:t>
      </w:r>
      <w:r w:rsidRPr="00A317BE">
        <w:rPr>
          <w:i/>
          <w:color w:val="000000" w:themeColor="text1"/>
        </w:rPr>
        <w:t>quantum meruit</w:t>
      </w:r>
      <w:r w:rsidRPr="00A317BE">
        <w:rPr>
          <w:color w:val="000000" w:themeColor="text1"/>
        </w:rPr>
        <w:t xml:space="preserve"> in the body of her </w:t>
      </w:r>
      <w:r w:rsidR="00F26376" w:rsidRPr="00A317BE">
        <w:rPr>
          <w:color w:val="000000" w:themeColor="text1"/>
        </w:rPr>
        <w:t>S</w:t>
      </w:r>
      <w:r w:rsidRPr="00A317BE">
        <w:rPr>
          <w:color w:val="000000" w:themeColor="text1"/>
        </w:rPr>
        <w:t xml:space="preserve">tatement of </w:t>
      </w:r>
      <w:r w:rsidR="00F26376" w:rsidRPr="00A317BE">
        <w:rPr>
          <w:color w:val="000000" w:themeColor="text1"/>
        </w:rPr>
        <w:t>C</w:t>
      </w:r>
      <w:r w:rsidRPr="00A317BE">
        <w:rPr>
          <w:color w:val="000000" w:themeColor="text1"/>
        </w:rPr>
        <w:t>laim, there is no reference to it in the reliefs sought, and that a definitive figure of €36,000 was put forward by her for remuneration</w:t>
      </w:r>
      <w:r w:rsidR="008408A6" w:rsidRPr="00A317BE">
        <w:rPr>
          <w:color w:val="000000" w:themeColor="text1"/>
        </w:rPr>
        <w:t>; further, that this figure is arrived at without any explanation as to how it was calculated</w:t>
      </w:r>
      <w:r w:rsidRPr="00A317BE">
        <w:rPr>
          <w:color w:val="000000" w:themeColor="text1"/>
        </w:rPr>
        <w:t>.</w:t>
      </w:r>
    </w:p>
    <w:p w14:paraId="7C1F76E8" w14:textId="77777777" w:rsidR="00B829FB" w:rsidRPr="00A317BE" w:rsidRDefault="00B829FB" w:rsidP="00A317BE">
      <w:pPr>
        <w:pStyle w:val="ListParagraph"/>
        <w:tabs>
          <w:tab w:val="left" w:pos="567"/>
        </w:tabs>
        <w:ind w:left="0"/>
        <w:rPr>
          <w:color w:val="000000" w:themeColor="text1"/>
        </w:rPr>
      </w:pPr>
    </w:p>
    <w:p w14:paraId="21238EAB" w14:textId="2F06C86A" w:rsidR="005B3ED8" w:rsidRPr="00A317BE" w:rsidRDefault="00B829FB"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The respondent submits that the resignation letter from the respondent is the crux of the dispute between the parties. If it is authentically her own letter, then she is not owed any fees from any source because the letter waived any claims for payment. It follows that the first matter for any court would be to determine that issue. All of this, it submits, falls to be determined under New Zealand law. </w:t>
      </w:r>
    </w:p>
    <w:p w14:paraId="7BA00121" w14:textId="444BCBE6" w:rsidR="00B829FB" w:rsidRPr="00A317BE" w:rsidRDefault="005B3ED8" w:rsidP="00A317BE">
      <w:pPr>
        <w:pStyle w:val="Heading2"/>
        <w:tabs>
          <w:tab w:val="left" w:pos="567"/>
        </w:tabs>
        <w:rPr>
          <w:color w:val="000000" w:themeColor="text1"/>
          <w:sz w:val="26"/>
          <w:szCs w:val="26"/>
        </w:rPr>
      </w:pPr>
      <w:r w:rsidRPr="00A317BE">
        <w:rPr>
          <w:color w:val="000000" w:themeColor="text1"/>
          <w:sz w:val="26"/>
          <w:szCs w:val="26"/>
        </w:rPr>
        <w:t>Decision</w:t>
      </w:r>
      <w:r w:rsidR="00B829FB" w:rsidRPr="00A317BE">
        <w:rPr>
          <w:color w:val="000000" w:themeColor="text1"/>
          <w:sz w:val="26"/>
          <w:szCs w:val="26"/>
        </w:rPr>
        <w:t xml:space="preserve"> on jurisdiction concerning the claim for payment in respect of the legal research work carried out</w:t>
      </w:r>
    </w:p>
    <w:p w14:paraId="42F5556F" w14:textId="77777777" w:rsidR="00B750FE" w:rsidRPr="00A317BE" w:rsidRDefault="00B750FE" w:rsidP="00A317BE">
      <w:pPr>
        <w:tabs>
          <w:tab w:val="left" w:pos="567"/>
        </w:tabs>
        <w:rPr>
          <w:color w:val="000000" w:themeColor="text1"/>
        </w:rPr>
      </w:pPr>
    </w:p>
    <w:p w14:paraId="78911292" w14:textId="5CF3314F" w:rsidR="00B045F2" w:rsidRPr="00A317BE" w:rsidRDefault="0001403A"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I have earlier explained that there are two stages to the analysis in an application such as this: (1) Has the plaintiff/appellant shown that she falls within the relevant category of Order 11(1)? And if so: (2) Should the court exercise its discretion to grant leave to serve out on the basis that Ireland is the appropriate jurisdiction for determining the dispute? </w:t>
      </w:r>
      <w:r w:rsidR="00B829FB" w:rsidRPr="00A317BE">
        <w:rPr>
          <w:color w:val="000000" w:themeColor="text1"/>
        </w:rPr>
        <w:t>In the first stage of analysis,</w:t>
      </w:r>
      <w:r w:rsidR="00B045F2" w:rsidRPr="00A317BE">
        <w:rPr>
          <w:color w:val="000000" w:themeColor="text1"/>
        </w:rPr>
        <w:t xml:space="preserve"> the Court is concerned </w:t>
      </w:r>
      <w:r w:rsidR="00593014" w:rsidRPr="00A317BE">
        <w:rPr>
          <w:color w:val="000000" w:themeColor="text1"/>
        </w:rPr>
        <w:t>solely with</w:t>
      </w:r>
      <w:r w:rsidR="00B045F2" w:rsidRPr="00A317BE">
        <w:rPr>
          <w:color w:val="000000" w:themeColor="text1"/>
        </w:rPr>
        <w:t xml:space="preserve"> whether the case falls within the jurisdictional gateway contained in Order 11(1)(e). </w:t>
      </w:r>
    </w:p>
    <w:p w14:paraId="2E283611" w14:textId="77777777" w:rsidR="00B045F2" w:rsidRPr="00A317BE" w:rsidRDefault="00B045F2" w:rsidP="00F26376">
      <w:pPr>
        <w:tabs>
          <w:tab w:val="left" w:pos="567"/>
        </w:tabs>
        <w:spacing w:line="480" w:lineRule="auto"/>
        <w:rPr>
          <w:color w:val="000000" w:themeColor="text1"/>
        </w:rPr>
      </w:pPr>
    </w:p>
    <w:p w14:paraId="2F2F826A" w14:textId="7F58D88B" w:rsidR="00A91385" w:rsidRPr="00A317BE" w:rsidRDefault="0081749A"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 xml:space="preserve">I agree with the submission of the appellant that the trial judge was in error insofar as she concluded that the emails of </w:t>
      </w:r>
      <w:r w:rsidR="00F26376" w:rsidRPr="00A317BE">
        <w:rPr>
          <w:color w:val="000000" w:themeColor="text1"/>
        </w:rPr>
        <w:t xml:space="preserve">the </w:t>
      </w:r>
      <w:r w:rsidRPr="00A317BE">
        <w:rPr>
          <w:color w:val="000000" w:themeColor="text1"/>
        </w:rPr>
        <w:t xml:space="preserve">18 August 2014 </w:t>
      </w:r>
      <w:r w:rsidR="00B11BB3" w:rsidRPr="00A317BE">
        <w:rPr>
          <w:i/>
          <w:color w:val="000000" w:themeColor="text1"/>
        </w:rPr>
        <w:t>could</w:t>
      </w:r>
      <w:r w:rsidRPr="00A317BE">
        <w:rPr>
          <w:color w:val="000000" w:themeColor="text1"/>
        </w:rPr>
        <w:t xml:space="preserve"> not amount to a concluded contract </w:t>
      </w:r>
      <w:r w:rsidRPr="00A317BE">
        <w:rPr>
          <w:i/>
          <w:color w:val="000000" w:themeColor="text1"/>
        </w:rPr>
        <w:t>because</w:t>
      </w:r>
      <w:r w:rsidRPr="00A317BE">
        <w:rPr>
          <w:color w:val="000000" w:themeColor="text1"/>
        </w:rPr>
        <w:t xml:space="preserve"> there was no electronic signature. </w:t>
      </w:r>
      <w:r w:rsidR="00021D42" w:rsidRPr="00A317BE">
        <w:rPr>
          <w:color w:val="000000" w:themeColor="text1"/>
        </w:rPr>
        <w:t xml:space="preserve">Irish law does not </w:t>
      </w:r>
      <w:r w:rsidR="00AE4987" w:rsidRPr="00A317BE">
        <w:rPr>
          <w:color w:val="000000" w:themeColor="text1"/>
        </w:rPr>
        <w:t xml:space="preserve">require that </w:t>
      </w:r>
      <w:r w:rsidR="00021D42" w:rsidRPr="00A317BE">
        <w:rPr>
          <w:color w:val="000000" w:themeColor="text1"/>
        </w:rPr>
        <w:t xml:space="preserve">this particular formality </w:t>
      </w:r>
      <w:r w:rsidR="00AE4987" w:rsidRPr="00A317BE">
        <w:rPr>
          <w:color w:val="000000" w:themeColor="text1"/>
        </w:rPr>
        <w:t>be observed as a precondition to</w:t>
      </w:r>
      <w:r w:rsidR="00021D42" w:rsidRPr="00A317BE">
        <w:rPr>
          <w:color w:val="000000" w:themeColor="text1"/>
        </w:rPr>
        <w:t xml:space="preserve"> the validity of a contract.</w:t>
      </w:r>
      <w:r w:rsidR="004D7C98" w:rsidRPr="00A317BE">
        <w:rPr>
          <w:color w:val="000000" w:themeColor="text1"/>
        </w:rPr>
        <w:t xml:space="preserve"> However, the question remains as to the nature of the agreement, if any, between the appellant </w:t>
      </w:r>
      <w:r w:rsidR="00B97F2B" w:rsidRPr="00A317BE">
        <w:rPr>
          <w:color w:val="000000" w:themeColor="text1"/>
        </w:rPr>
        <w:t xml:space="preserve">and the respondent concerning her Project work. </w:t>
      </w:r>
    </w:p>
    <w:p w14:paraId="4CAAECC1" w14:textId="77777777" w:rsidR="00A91385" w:rsidRPr="00A317BE" w:rsidRDefault="00A91385" w:rsidP="00A317BE">
      <w:pPr>
        <w:pStyle w:val="ListParagraph"/>
        <w:tabs>
          <w:tab w:val="left" w:pos="567"/>
        </w:tabs>
        <w:ind w:left="0"/>
        <w:rPr>
          <w:color w:val="000000" w:themeColor="text1"/>
        </w:rPr>
      </w:pPr>
    </w:p>
    <w:p w14:paraId="1249A38A" w14:textId="1BBA06C3" w:rsidR="00A91385" w:rsidRPr="00A317BE" w:rsidRDefault="00A91385"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respondent’s position that the contract of </w:t>
      </w:r>
      <w:r w:rsidR="00F26376" w:rsidRPr="00A317BE">
        <w:rPr>
          <w:color w:val="000000" w:themeColor="text1"/>
        </w:rPr>
        <w:t xml:space="preserve">the </w:t>
      </w:r>
      <w:r w:rsidRPr="00A317BE">
        <w:rPr>
          <w:color w:val="000000" w:themeColor="text1"/>
        </w:rPr>
        <w:t>4 December 2014 governed the Project work to be performed by the appellant is in my view problematic. The “services” referred to in that contract</w:t>
      </w:r>
      <w:r w:rsidR="00151DF9" w:rsidRPr="00A317BE">
        <w:rPr>
          <w:color w:val="000000" w:themeColor="text1"/>
        </w:rPr>
        <w:t>,</w:t>
      </w:r>
      <w:r w:rsidRPr="00A317BE">
        <w:rPr>
          <w:color w:val="000000" w:themeColor="text1"/>
        </w:rPr>
        <w:t xml:space="preserve"> i.e. those the appellant is to perform under that contract, are described in the following terms: “</w:t>
      </w:r>
      <w:r w:rsidRPr="00A317BE">
        <w:rPr>
          <w:i/>
          <w:color w:val="000000" w:themeColor="text1"/>
        </w:rPr>
        <w:t>to procure that the company features on comparison websites” and “to secure representative agreements between the company and off-shore company registration agents</w:t>
      </w:r>
      <w:r w:rsidRPr="00A317BE">
        <w:rPr>
          <w:color w:val="000000" w:themeColor="text1"/>
        </w:rPr>
        <w:t xml:space="preserve">….”. Further, the fees are described as commission-based fees (€200 for every month that the respondent features on comparison websites, and €500 for every agreement signed between the respondent and an offshore company registration agent introduced solely by the consultant). To my mind, that does not describe or fit with the type of research work that the appellant has indicated she was being asked to perform on the Project; rather, it sits more naturally with her role as director. </w:t>
      </w:r>
      <w:r w:rsidR="00591516" w:rsidRPr="00A317BE">
        <w:rPr>
          <w:color w:val="000000" w:themeColor="text1"/>
        </w:rPr>
        <w:t xml:space="preserve">It </w:t>
      </w:r>
      <w:r w:rsidR="00D629F4" w:rsidRPr="00A317BE">
        <w:rPr>
          <w:color w:val="000000" w:themeColor="text1"/>
        </w:rPr>
        <w:t>does appear that</w:t>
      </w:r>
      <w:r w:rsidR="00591516" w:rsidRPr="00A317BE">
        <w:rPr>
          <w:color w:val="000000" w:themeColor="text1"/>
        </w:rPr>
        <w:t xml:space="preserve"> the December 2014 agreement was, as the appellant contends, confined to the subject-matter of her directorship and was not intended to apply to her Project work. Therefore, the fact that it says that it supersedes previous agreements and the fact that it contains a clause designating New Zealand as the appropriate jurisdiction becomes irrelevant because it concerns a subject-matter</w:t>
      </w:r>
      <w:r w:rsidR="00974404" w:rsidRPr="00A317BE">
        <w:rPr>
          <w:color w:val="000000" w:themeColor="text1"/>
        </w:rPr>
        <w:t xml:space="preserve"> </w:t>
      </w:r>
      <w:r w:rsidR="001A7C4E" w:rsidRPr="00A317BE">
        <w:rPr>
          <w:color w:val="000000" w:themeColor="text1"/>
        </w:rPr>
        <w:t>(the appellant’s directorship) other than the subject-matter in issue here, namely the claim for remuneration in respect of the appellant’s Project work.</w:t>
      </w:r>
    </w:p>
    <w:p w14:paraId="3108DBAC" w14:textId="77777777" w:rsidR="009E748D" w:rsidRPr="00A317BE" w:rsidRDefault="009E748D" w:rsidP="00F26376">
      <w:pPr>
        <w:tabs>
          <w:tab w:val="left" w:pos="567"/>
        </w:tabs>
        <w:spacing w:line="480" w:lineRule="auto"/>
        <w:rPr>
          <w:color w:val="000000" w:themeColor="text1"/>
        </w:rPr>
      </w:pPr>
    </w:p>
    <w:p w14:paraId="3CF1FA4C" w14:textId="5D3801BE" w:rsidR="000E1ACD" w:rsidRPr="00A317BE" w:rsidRDefault="00384D61"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Putting the December 2014 contract to one side</w:t>
      </w:r>
      <w:r w:rsidR="009E748D" w:rsidRPr="00A317BE">
        <w:rPr>
          <w:color w:val="000000" w:themeColor="text1"/>
        </w:rPr>
        <w:t xml:space="preserve"> does not, however, </w:t>
      </w:r>
      <w:r w:rsidR="00893A87" w:rsidRPr="00A317BE">
        <w:rPr>
          <w:color w:val="000000" w:themeColor="text1"/>
        </w:rPr>
        <w:t>open</w:t>
      </w:r>
      <w:r w:rsidR="009E748D" w:rsidRPr="00A317BE">
        <w:rPr>
          <w:color w:val="000000" w:themeColor="text1"/>
        </w:rPr>
        <w:t xml:space="preserve"> a clear pathway for the appellant </w:t>
      </w:r>
      <w:r w:rsidR="00490128" w:rsidRPr="00A317BE">
        <w:rPr>
          <w:i/>
          <w:color w:val="000000" w:themeColor="text1"/>
        </w:rPr>
        <w:t>via</w:t>
      </w:r>
      <w:r w:rsidR="009E748D" w:rsidRPr="00A317BE">
        <w:rPr>
          <w:color w:val="000000" w:themeColor="text1"/>
        </w:rPr>
        <w:t xml:space="preserve"> Order 11(1)(</w:t>
      </w:r>
      <w:r w:rsidR="001B091D" w:rsidRPr="00A317BE">
        <w:rPr>
          <w:color w:val="000000" w:themeColor="text1"/>
        </w:rPr>
        <w:t>e</w:t>
      </w:r>
      <w:r w:rsidR="009E748D" w:rsidRPr="00A317BE">
        <w:rPr>
          <w:color w:val="000000" w:themeColor="text1"/>
        </w:rPr>
        <w:t xml:space="preserve">). </w:t>
      </w:r>
      <w:r w:rsidR="001B091D" w:rsidRPr="00A317BE">
        <w:rPr>
          <w:color w:val="000000" w:themeColor="text1"/>
        </w:rPr>
        <w:t xml:space="preserve">If we </w:t>
      </w:r>
      <w:r w:rsidR="00444BFC" w:rsidRPr="00A317BE">
        <w:rPr>
          <w:color w:val="000000" w:themeColor="text1"/>
        </w:rPr>
        <w:t>re</w:t>
      </w:r>
      <w:r w:rsidR="001B091D" w:rsidRPr="00A317BE">
        <w:rPr>
          <w:color w:val="000000" w:themeColor="text1"/>
        </w:rPr>
        <w:t xml:space="preserve">turn to the email exchange of </w:t>
      </w:r>
      <w:r w:rsidR="00151DF9" w:rsidRPr="00A317BE">
        <w:rPr>
          <w:color w:val="000000" w:themeColor="text1"/>
        </w:rPr>
        <w:t xml:space="preserve">the </w:t>
      </w:r>
      <w:r w:rsidR="001B091D" w:rsidRPr="00A317BE">
        <w:rPr>
          <w:color w:val="000000" w:themeColor="text1"/>
        </w:rPr>
        <w:t xml:space="preserve">18 August 2014, </w:t>
      </w:r>
      <w:r w:rsidR="00F229D5" w:rsidRPr="00A317BE">
        <w:rPr>
          <w:color w:val="000000" w:themeColor="text1"/>
        </w:rPr>
        <w:t>which the appellant says constitute</w:t>
      </w:r>
      <w:r w:rsidR="00151DF9" w:rsidRPr="00A317BE">
        <w:rPr>
          <w:color w:val="000000" w:themeColor="text1"/>
        </w:rPr>
        <w:t>s</w:t>
      </w:r>
      <w:r w:rsidR="00F229D5" w:rsidRPr="00A317BE">
        <w:rPr>
          <w:color w:val="000000" w:themeColor="text1"/>
        </w:rPr>
        <w:t xml:space="preserve"> a concluded contract, </w:t>
      </w:r>
      <w:r w:rsidR="001B091D" w:rsidRPr="00A317BE">
        <w:rPr>
          <w:color w:val="000000" w:themeColor="text1"/>
        </w:rPr>
        <w:t xml:space="preserve">and consider </w:t>
      </w:r>
      <w:r w:rsidR="00521D91" w:rsidRPr="00A317BE">
        <w:rPr>
          <w:color w:val="000000" w:themeColor="text1"/>
        </w:rPr>
        <w:t xml:space="preserve">it in conjunction with </w:t>
      </w:r>
      <w:r w:rsidR="001B091D" w:rsidRPr="00A317BE">
        <w:rPr>
          <w:color w:val="000000" w:themeColor="text1"/>
        </w:rPr>
        <w:t xml:space="preserve">the appellant’s averments on affidavit, </w:t>
      </w:r>
      <w:r w:rsidR="00154AB2" w:rsidRPr="00A317BE">
        <w:rPr>
          <w:color w:val="000000" w:themeColor="text1"/>
        </w:rPr>
        <w:t xml:space="preserve">various problems arise. </w:t>
      </w:r>
    </w:p>
    <w:p w14:paraId="2A1C10F3" w14:textId="77777777" w:rsidR="000E1ACD" w:rsidRPr="00A317BE" w:rsidRDefault="000E1ACD" w:rsidP="00A317BE">
      <w:pPr>
        <w:pStyle w:val="ListParagraph"/>
        <w:tabs>
          <w:tab w:val="left" w:pos="567"/>
        </w:tabs>
        <w:ind w:left="0"/>
        <w:rPr>
          <w:color w:val="000000" w:themeColor="text1"/>
        </w:rPr>
      </w:pPr>
    </w:p>
    <w:p w14:paraId="36C07CF7" w14:textId="23DCBC7E" w:rsidR="0081749A" w:rsidRPr="00A317BE" w:rsidRDefault="009E1769"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We have seen that in an email </w:t>
      </w:r>
      <w:r w:rsidR="003A2609" w:rsidRPr="00A317BE">
        <w:rPr>
          <w:color w:val="000000" w:themeColor="text1"/>
        </w:rPr>
        <w:t>at 13.16 on the 18 August 2014, the appellant</w:t>
      </w:r>
      <w:r w:rsidR="00151DF9" w:rsidRPr="00A317BE">
        <w:rPr>
          <w:color w:val="000000" w:themeColor="text1"/>
        </w:rPr>
        <w:t>, when</w:t>
      </w:r>
      <w:r w:rsidR="003A2609" w:rsidRPr="00A317BE">
        <w:rPr>
          <w:color w:val="000000" w:themeColor="text1"/>
        </w:rPr>
        <w:t xml:space="preserve"> discuss</w:t>
      </w:r>
      <w:r w:rsidR="00151DF9" w:rsidRPr="00A317BE">
        <w:rPr>
          <w:color w:val="000000" w:themeColor="text1"/>
        </w:rPr>
        <w:t>ing</w:t>
      </w:r>
      <w:r w:rsidR="003A2609" w:rsidRPr="00A317BE">
        <w:rPr>
          <w:color w:val="000000" w:themeColor="text1"/>
        </w:rPr>
        <w:t xml:space="preserve"> fees, expressed the view that a fixed fee would be the appropriate basis for remunerating her, and </w:t>
      </w:r>
      <w:r w:rsidR="00A56CC2" w:rsidRPr="00A317BE">
        <w:rPr>
          <w:color w:val="000000" w:themeColor="text1"/>
        </w:rPr>
        <w:t xml:space="preserve">then </w:t>
      </w:r>
      <w:r w:rsidR="003A2609" w:rsidRPr="00A317BE">
        <w:rPr>
          <w:color w:val="000000" w:themeColor="text1"/>
        </w:rPr>
        <w:t>ask</w:t>
      </w:r>
      <w:r w:rsidR="004B4586" w:rsidRPr="00A317BE">
        <w:rPr>
          <w:color w:val="000000" w:themeColor="text1"/>
        </w:rPr>
        <w:t>ed</w:t>
      </w:r>
      <w:r w:rsidR="003A2609" w:rsidRPr="00A317BE">
        <w:rPr>
          <w:color w:val="000000" w:themeColor="text1"/>
        </w:rPr>
        <w:t xml:space="preserve"> </w:t>
      </w:r>
      <w:r w:rsidR="00800E18" w:rsidRPr="00A317BE">
        <w:rPr>
          <w:color w:val="000000" w:themeColor="text1"/>
        </w:rPr>
        <w:t>Mr. M</w:t>
      </w:r>
      <w:r w:rsidR="00151DF9" w:rsidRPr="00A317BE">
        <w:rPr>
          <w:color w:val="000000" w:themeColor="text1"/>
        </w:rPr>
        <w:t>a</w:t>
      </w:r>
      <w:r w:rsidR="00800E18" w:rsidRPr="00A317BE">
        <w:rPr>
          <w:color w:val="000000" w:themeColor="text1"/>
        </w:rPr>
        <w:t>cLeod</w:t>
      </w:r>
      <w:r w:rsidR="003A2609" w:rsidRPr="00A317BE">
        <w:rPr>
          <w:color w:val="000000" w:themeColor="text1"/>
        </w:rPr>
        <w:t xml:space="preserve"> to “</w:t>
      </w:r>
      <w:r w:rsidR="003A2609" w:rsidRPr="00A317BE">
        <w:rPr>
          <w:i/>
          <w:color w:val="000000" w:themeColor="text1"/>
        </w:rPr>
        <w:t>suggest an appropriate fee</w:t>
      </w:r>
      <w:r w:rsidR="003A2609" w:rsidRPr="00A317BE">
        <w:rPr>
          <w:color w:val="000000" w:themeColor="text1"/>
        </w:rPr>
        <w:t>”. The response was “</w:t>
      </w:r>
      <w:r w:rsidR="003A2609" w:rsidRPr="00A317BE">
        <w:rPr>
          <w:i/>
          <w:color w:val="000000" w:themeColor="text1"/>
        </w:rPr>
        <w:t>the best way to proceed is to discuss fees as and when specific tasks calling for your expertise arise</w:t>
      </w:r>
      <w:r w:rsidR="003A2609" w:rsidRPr="00A317BE">
        <w:rPr>
          <w:color w:val="000000" w:themeColor="text1"/>
        </w:rPr>
        <w:t>”.</w:t>
      </w:r>
      <w:r w:rsidR="00BB08A1" w:rsidRPr="00A317BE">
        <w:rPr>
          <w:color w:val="000000" w:themeColor="text1"/>
        </w:rPr>
        <w:t xml:space="preserve"> This explicitly le</w:t>
      </w:r>
      <w:r w:rsidR="00384041" w:rsidRPr="00A317BE">
        <w:rPr>
          <w:color w:val="000000" w:themeColor="text1"/>
        </w:rPr>
        <w:t>ft</w:t>
      </w:r>
      <w:r w:rsidR="00BB08A1" w:rsidRPr="00A317BE">
        <w:rPr>
          <w:color w:val="000000" w:themeColor="text1"/>
        </w:rPr>
        <w:t xml:space="preserve"> open the question of remuneration for the Project work to be undertaken by the appellant.</w:t>
      </w:r>
      <w:r w:rsidR="00C924D5" w:rsidRPr="00A317BE">
        <w:rPr>
          <w:color w:val="000000" w:themeColor="text1"/>
        </w:rPr>
        <w:t xml:space="preserve"> </w:t>
      </w:r>
      <w:r w:rsidR="00006DB4" w:rsidRPr="00A317BE">
        <w:rPr>
          <w:color w:val="000000" w:themeColor="text1"/>
        </w:rPr>
        <w:t>Another problem is that</w:t>
      </w:r>
      <w:r w:rsidR="00337A45" w:rsidRPr="00A317BE">
        <w:rPr>
          <w:color w:val="000000" w:themeColor="text1"/>
        </w:rPr>
        <w:t xml:space="preserve"> t</w:t>
      </w:r>
      <w:r w:rsidR="003A2609" w:rsidRPr="00A317BE">
        <w:rPr>
          <w:color w:val="000000" w:themeColor="text1"/>
        </w:rPr>
        <w:t>here is some lack of clarity as precisely who any such alleged contract is with, given that she is talking to Mr. M</w:t>
      </w:r>
      <w:r w:rsidR="00151DF9" w:rsidRPr="00A317BE">
        <w:rPr>
          <w:color w:val="000000" w:themeColor="text1"/>
        </w:rPr>
        <w:t>a</w:t>
      </w:r>
      <w:r w:rsidR="003A2609" w:rsidRPr="00A317BE">
        <w:rPr>
          <w:color w:val="000000" w:themeColor="text1"/>
        </w:rPr>
        <w:t>cLeod</w:t>
      </w:r>
      <w:r w:rsidR="009D249A" w:rsidRPr="00A317BE">
        <w:rPr>
          <w:color w:val="000000" w:themeColor="text1"/>
        </w:rPr>
        <w:t xml:space="preserve"> of Consult-Partners</w:t>
      </w:r>
      <w:r w:rsidR="003A2609" w:rsidRPr="00A317BE">
        <w:rPr>
          <w:color w:val="000000" w:themeColor="text1"/>
        </w:rPr>
        <w:t xml:space="preserve"> and not Mr. Wewege, and that several companies are mentioned in the email exchange. </w:t>
      </w:r>
      <w:r w:rsidR="004F5824" w:rsidRPr="00A317BE">
        <w:rPr>
          <w:color w:val="000000" w:themeColor="text1"/>
        </w:rPr>
        <w:t>The email exchange</w:t>
      </w:r>
      <w:r w:rsidR="00BB670A" w:rsidRPr="00A317BE">
        <w:rPr>
          <w:color w:val="000000" w:themeColor="text1"/>
        </w:rPr>
        <w:t xml:space="preserve"> also</w:t>
      </w:r>
      <w:r w:rsidR="00DB4ACC" w:rsidRPr="00A317BE">
        <w:rPr>
          <w:color w:val="000000" w:themeColor="text1"/>
        </w:rPr>
        <w:t xml:space="preserve"> needs to be considered against a background </w:t>
      </w:r>
      <w:r w:rsidR="00201900" w:rsidRPr="00A317BE">
        <w:rPr>
          <w:color w:val="000000" w:themeColor="text1"/>
        </w:rPr>
        <w:t xml:space="preserve">where the appellant herself has variously described the situation as </w:t>
      </w:r>
      <w:r w:rsidR="00BB670A" w:rsidRPr="00A317BE">
        <w:rPr>
          <w:color w:val="000000" w:themeColor="text1"/>
        </w:rPr>
        <w:t xml:space="preserve">(a) </w:t>
      </w:r>
      <w:r w:rsidR="00201900" w:rsidRPr="00A317BE">
        <w:rPr>
          <w:color w:val="000000" w:themeColor="text1"/>
        </w:rPr>
        <w:t xml:space="preserve">one where she </w:t>
      </w:r>
      <w:r w:rsidR="0002247F" w:rsidRPr="00A317BE">
        <w:rPr>
          <w:color w:val="000000" w:themeColor="text1"/>
        </w:rPr>
        <w:t>was entitled to</w:t>
      </w:r>
      <w:r w:rsidR="00201900" w:rsidRPr="00A317BE">
        <w:rPr>
          <w:color w:val="000000" w:themeColor="text1"/>
        </w:rPr>
        <w:t xml:space="preserve"> fees along the lines of her contract with the Irish company (which would be a monthly and commission-based approach);</w:t>
      </w:r>
      <w:r w:rsidR="00BB670A" w:rsidRPr="00A317BE">
        <w:rPr>
          <w:color w:val="000000" w:themeColor="text1"/>
        </w:rPr>
        <w:t xml:space="preserve"> (b)</w:t>
      </w:r>
      <w:r w:rsidR="00201900" w:rsidRPr="00A317BE">
        <w:rPr>
          <w:color w:val="000000" w:themeColor="text1"/>
        </w:rPr>
        <w:t xml:space="preserve"> that she did not expect or ask for any remuneration because she hoped ultimately to obtain a full-time position with the company</w:t>
      </w:r>
      <w:r w:rsidR="00903B0B" w:rsidRPr="00A317BE">
        <w:rPr>
          <w:color w:val="000000" w:themeColor="text1"/>
        </w:rPr>
        <w:t xml:space="preserve"> as reward</w:t>
      </w:r>
      <w:r w:rsidR="00201900" w:rsidRPr="00A317BE">
        <w:rPr>
          <w:color w:val="000000" w:themeColor="text1"/>
        </w:rPr>
        <w:t xml:space="preserve">; </w:t>
      </w:r>
      <w:r w:rsidR="0010505A" w:rsidRPr="00A317BE">
        <w:rPr>
          <w:color w:val="000000" w:themeColor="text1"/>
        </w:rPr>
        <w:t xml:space="preserve">and/or </w:t>
      </w:r>
      <w:r w:rsidR="00BB670A" w:rsidRPr="00A317BE">
        <w:rPr>
          <w:color w:val="000000" w:themeColor="text1"/>
        </w:rPr>
        <w:t xml:space="preserve">(c) </w:t>
      </w:r>
      <w:r w:rsidR="00201900" w:rsidRPr="00A317BE">
        <w:rPr>
          <w:color w:val="000000" w:themeColor="text1"/>
        </w:rPr>
        <w:t xml:space="preserve">that she was entitled to be paid at an  hourly rate which reflected the work done and her level of skill and experience. </w:t>
      </w:r>
      <w:r w:rsidR="00765298" w:rsidRPr="00A317BE">
        <w:rPr>
          <w:color w:val="000000" w:themeColor="text1"/>
        </w:rPr>
        <w:t xml:space="preserve">Also, as will be recalled, she did not </w:t>
      </w:r>
      <w:r w:rsidR="007158D5" w:rsidRPr="00A317BE">
        <w:rPr>
          <w:color w:val="000000" w:themeColor="text1"/>
        </w:rPr>
        <w:t>draw the High Court’s attention to</w:t>
      </w:r>
      <w:r w:rsidR="00765298" w:rsidRPr="00A317BE">
        <w:rPr>
          <w:color w:val="000000" w:themeColor="text1"/>
        </w:rPr>
        <w:t xml:space="preserve"> the emails of August 2014 until rather late in the day, namely in her affidavit of reply on the respondent’s motion </w:t>
      </w:r>
      <w:r w:rsidR="00BD5734" w:rsidRPr="00A317BE">
        <w:rPr>
          <w:color w:val="000000" w:themeColor="text1"/>
        </w:rPr>
        <w:t xml:space="preserve">to </w:t>
      </w:r>
      <w:r w:rsidR="00765298" w:rsidRPr="00A317BE">
        <w:rPr>
          <w:color w:val="000000" w:themeColor="text1"/>
        </w:rPr>
        <w:t>dismiss</w:t>
      </w:r>
      <w:r w:rsidR="0083253A" w:rsidRPr="00A317BE">
        <w:rPr>
          <w:color w:val="000000" w:themeColor="text1"/>
        </w:rPr>
        <w:t xml:space="preserve"> in these proceedings.</w:t>
      </w:r>
      <w:r w:rsidR="00765298" w:rsidRPr="00A317BE">
        <w:rPr>
          <w:color w:val="000000" w:themeColor="text1"/>
        </w:rPr>
        <w:t xml:space="preserve"> </w:t>
      </w:r>
      <w:r w:rsidR="001D6B3F" w:rsidRPr="00A317BE">
        <w:rPr>
          <w:color w:val="000000" w:themeColor="text1"/>
        </w:rPr>
        <w:t xml:space="preserve">Her submissions </w:t>
      </w:r>
      <w:r w:rsidR="00725729" w:rsidRPr="00A317BE">
        <w:rPr>
          <w:color w:val="000000" w:themeColor="text1"/>
        </w:rPr>
        <w:t>appeared to oscillate</w:t>
      </w:r>
      <w:r w:rsidR="001D6B3F" w:rsidRPr="00A317BE">
        <w:rPr>
          <w:color w:val="000000" w:themeColor="text1"/>
        </w:rPr>
        <w:t xml:space="preserve"> between a position which was more in the nature of a </w:t>
      </w:r>
      <w:r w:rsidR="001D6B3F" w:rsidRPr="00A317BE">
        <w:rPr>
          <w:i/>
          <w:color w:val="000000" w:themeColor="text1"/>
        </w:rPr>
        <w:t xml:space="preserve">quantum meruit </w:t>
      </w:r>
      <w:r w:rsidR="001D6B3F" w:rsidRPr="00A317BE">
        <w:rPr>
          <w:color w:val="000000" w:themeColor="text1"/>
        </w:rPr>
        <w:t xml:space="preserve">claim and </w:t>
      </w:r>
      <w:r w:rsidR="00B40AE8" w:rsidRPr="00A317BE">
        <w:rPr>
          <w:color w:val="000000" w:themeColor="text1"/>
        </w:rPr>
        <w:t>a</w:t>
      </w:r>
      <w:r w:rsidR="001D6B3F" w:rsidRPr="00A317BE">
        <w:rPr>
          <w:color w:val="000000" w:themeColor="text1"/>
        </w:rPr>
        <w:t xml:space="preserve"> position</w:t>
      </w:r>
      <w:r w:rsidR="00324E4A" w:rsidRPr="00A317BE">
        <w:rPr>
          <w:color w:val="000000" w:themeColor="text1"/>
        </w:rPr>
        <w:t xml:space="preserve"> (belatedly reached by her)</w:t>
      </w:r>
      <w:r w:rsidR="001D6B3F" w:rsidRPr="00A317BE">
        <w:rPr>
          <w:color w:val="000000" w:themeColor="text1"/>
        </w:rPr>
        <w:t xml:space="preserve"> that the emails of August 2014 constitute a concluded agreement</w:t>
      </w:r>
      <w:r w:rsidR="00D30F08" w:rsidRPr="00A317BE">
        <w:rPr>
          <w:color w:val="000000" w:themeColor="text1"/>
        </w:rPr>
        <w:t xml:space="preserve"> with regard to Project work. </w:t>
      </w:r>
    </w:p>
    <w:p w14:paraId="0BD01FDC" w14:textId="77777777" w:rsidR="00F35830" w:rsidRPr="00A317BE" w:rsidRDefault="00F35830" w:rsidP="00F26376">
      <w:pPr>
        <w:tabs>
          <w:tab w:val="left" w:pos="567"/>
        </w:tabs>
        <w:spacing w:line="480" w:lineRule="auto"/>
        <w:rPr>
          <w:color w:val="000000" w:themeColor="text1"/>
        </w:rPr>
      </w:pPr>
    </w:p>
    <w:p w14:paraId="48582CAB" w14:textId="6637E8E4" w:rsidR="00AF47F8" w:rsidRPr="00A317BE" w:rsidRDefault="00B727FA" w:rsidP="00A317BE">
      <w:pPr>
        <w:numPr>
          <w:ilvl w:val="0"/>
          <w:numId w:val="23"/>
        </w:numPr>
        <w:tabs>
          <w:tab w:val="left" w:pos="567"/>
        </w:tabs>
        <w:spacing w:line="480" w:lineRule="auto"/>
        <w:ind w:left="0" w:firstLine="0"/>
        <w:rPr>
          <w:i/>
          <w:color w:val="000000" w:themeColor="text1"/>
        </w:rPr>
      </w:pPr>
      <w:r w:rsidRPr="00A317BE">
        <w:rPr>
          <w:color w:val="000000" w:themeColor="text1"/>
        </w:rPr>
        <w:t>Even more</w:t>
      </w:r>
      <w:r w:rsidR="00F35830" w:rsidRPr="00A317BE">
        <w:rPr>
          <w:color w:val="000000" w:themeColor="text1"/>
        </w:rPr>
        <w:t xml:space="preserve"> problematic </w:t>
      </w:r>
      <w:r w:rsidR="001E5C8B" w:rsidRPr="00A317BE">
        <w:rPr>
          <w:color w:val="000000" w:themeColor="text1"/>
        </w:rPr>
        <w:t xml:space="preserve">is </w:t>
      </w:r>
      <w:r w:rsidR="00F35830" w:rsidRPr="00A317BE">
        <w:rPr>
          <w:color w:val="000000" w:themeColor="text1"/>
        </w:rPr>
        <w:t xml:space="preserve">that the appellant </w:t>
      </w:r>
      <w:r w:rsidR="00D540F5" w:rsidRPr="00A317BE">
        <w:rPr>
          <w:color w:val="000000" w:themeColor="text1"/>
        </w:rPr>
        <w:t xml:space="preserve">did not address the Court on how the claim, if it were to be characterised as a </w:t>
      </w:r>
      <w:r w:rsidR="00D540F5" w:rsidRPr="00A317BE">
        <w:rPr>
          <w:i/>
          <w:color w:val="000000" w:themeColor="text1"/>
        </w:rPr>
        <w:t xml:space="preserve">quantum meruit </w:t>
      </w:r>
      <w:r w:rsidR="00D540F5" w:rsidRPr="00A317BE">
        <w:rPr>
          <w:color w:val="000000" w:themeColor="text1"/>
        </w:rPr>
        <w:t xml:space="preserve">claim, </w:t>
      </w:r>
      <w:r w:rsidR="00BE4F98" w:rsidRPr="00A317BE">
        <w:rPr>
          <w:color w:val="000000" w:themeColor="text1"/>
        </w:rPr>
        <w:t>would sit with Order 11(1)(e)</w:t>
      </w:r>
      <w:r w:rsidR="009C19EF" w:rsidRPr="00A317BE">
        <w:rPr>
          <w:color w:val="000000" w:themeColor="text1"/>
        </w:rPr>
        <w:t xml:space="preserve"> or Irish law more generally.</w:t>
      </w:r>
      <w:r w:rsidR="00B94AE3" w:rsidRPr="00A317BE">
        <w:rPr>
          <w:color w:val="000000" w:themeColor="text1"/>
        </w:rPr>
        <w:t xml:space="preserve"> The Court was referred to </w:t>
      </w:r>
      <w:r w:rsidR="00B94AE3" w:rsidRPr="00A317BE">
        <w:rPr>
          <w:i/>
          <w:color w:val="000000" w:themeColor="text1"/>
        </w:rPr>
        <w:t>Donnelly v. Woods</w:t>
      </w:r>
      <w:r w:rsidR="00B94AE3" w:rsidRPr="00A317BE">
        <w:rPr>
          <w:color w:val="000000" w:themeColor="text1"/>
        </w:rPr>
        <w:t xml:space="preserve"> [201</w:t>
      </w:r>
      <w:r w:rsidR="00151DF9" w:rsidRPr="00A317BE">
        <w:rPr>
          <w:color w:val="000000" w:themeColor="text1"/>
        </w:rPr>
        <w:t>2</w:t>
      </w:r>
      <w:r w:rsidR="00B94AE3" w:rsidRPr="00A317BE">
        <w:rPr>
          <w:color w:val="000000" w:themeColor="text1"/>
        </w:rPr>
        <w:t xml:space="preserve">] IEHC 26 where Charleton J. </w:t>
      </w:r>
      <w:r w:rsidR="00503108" w:rsidRPr="00A317BE">
        <w:rPr>
          <w:color w:val="000000" w:themeColor="text1"/>
        </w:rPr>
        <w:t xml:space="preserve">discussed the ingredients of a </w:t>
      </w:r>
      <w:r w:rsidR="00503108" w:rsidRPr="00A317BE">
        <w:rPr>
          <w:i/>
          <w:color w:val="000000" w:themeColor="text1"/>
        </w:rPr>
        <w:t xml:space="preserve">quantum meruit </w:t>
      </w:r>
      <w:r w:rsidR="00503108" w:rsidRPr="00A317BE">
        <w:rPr>
          <w:color w:val="000000" w:themeColor="text1"/>
        </w:rPr>
        <w:t xml:space="preserve">claim and </w:t>
      </w:r>
      <w:r w:rsidR="00B94AE3" w:rsidRPr="00A317BE">
        <w:rPr>
          <w:color w:val="000000" w:themeColor="text1"/>
        </w:rPr>
        <w:t xml:space="preserve">dismissed </w:t>
      </w:r>
      <w:r w:rsidR="00503108" w:rsidRPr="00A317BE">
        <w:rPr>
          <w:color w:val="000000" w:themeColor="text1"/>
        </w:rPr>
        <w:t>the claim before him</w:t>
      </w:r>
      <w:r w:rsidR="00B94AE3" w:rsidRPr="00A317BE">
        <w:rPr>
          <w:color w:val="000000" w:themeColor="text1"/>
        </w:rPr>
        <w:t xml:space="preserve"> because it was too vague, but </w:t>
      </w:r>
      <w:r w:rsidR="00DB262C" w:rsidRPr="00A317BE">
        <w:rPr>
          <w:color w:val="000000" w:themeColor="text1"/>
        </w:rPr>
        <w:t>no issue</w:t>
      </w:r>
      <w:r w:rsidR="00AA1C2F" w:rsidRPr="00A317BE">
        <w:rPr>
          <w:color w:val="000000" w:themeColor="text1"/>
        </w:rPr>
        <w:t xml:space="preserve"> relating to</w:t>
      </w:r>
      <w:r w:rsidR="00B94AE3" w:rsidRPr="00A317BE">
        <w:rPr>
          <w:color w:val="000000" w:themeColor="text1"/>
        </w:rPr>
        <w:t xml:space="preserve"> Order 11</w:t>
      </w:r>
      <w:r w:rsidR="00E06787" w:rsidRPr="00A317BE">
        <w:rPr>
          <w:color w:val="000000" w:themeColor="text1"/>
        </w:rPr>
        <w:t xml:space="preserve"> and service out of the jurisdiction</w:t>
      </w:r>
      <w:r w:rsidR="00B94AE3" w:rsidRPr="00A317BE">
        <w:rPr>
          <w:color w:val="000000" w:themeColor="text1"/>
        </w:rPr>
        <w:t xml:space="preserve"> </w:t>
      </w:r>
      <w:r w:rsidR="00DB262C" w:rsidRPr="00A317BE">
        <w:rPr>
          <w:color w:val="000000" w:themeColor="text1"/>
        </w:rPr>
        <w:t>arose</w:t>
      </w:r>
      <w:r w:rsidR="00E06787" w:rsidRPr="00A317BE">
        <w:rPr>
          <w:color w:val="000000" w:themeColor="text1"/>
        </w:rPr>
        <w:t xml:space="preserve"> in that case</w:t>
      </w:r>
      <w:r w:rsidR="00B94AE3" w:rsidRPr="00A317BE">
        <w:rPr>
          <w:color w:val="000000" w:themeColor="text1"/>
        </w:rPr>
        <w:t xml:space="preserve">.  </w:t>
      </w:r>
      <w:r w:rsidR="00DB79ED" w:rsidRPr="00A317BE">
        <w:rPr>
          <w:color w:val="000000" w:themeColor="text1"/>
        </w:rPr>
        <w:t>At first sight, one</w:t>
      </w:r>
      <w:r w:rsidR="008A1B66" w:rsidRPr="00A317BE">
        <w:rPr>
          <w:color w:val="000000" w:themeColor="text1"/>
        </w:rPr>
        <w:t xml:space="preserve"> might think that a </w:t>
      </w:r>
      <w:r w:rsidR="008A1B66" w:rsidRPr="00A317BE">
        <w:rPr>
          <w:i/>
          <w:color w:val="000000" w:themeColor="text1"/>
        </w:rPr>
        <w:t xml:space="preserve">quantum meruit </w:t>
      </w:r>
      <w:r w:rsidR="008A1B66" w:rsidRPr="00A317BE">
        <w:rPr>
          <w:color w:val="000000" w:themeColor="text1"/>
        </w:rPr>
        <w:t xml:space="preserve">claim is simply a quasi-contractual claim which falls within Order 11(1)(e), but I do not think the answer is </w:t>
      </w:r>
      <w:r w:rsidR="00F24B84" w:rsidRPr="00A317BE">
        <w:rPr>
          <w:color w:val="000000" w:themeColor="text1"/>
        </w:rPr>
        <w:t xml:space="preserve">necessarily </w:t>
      </w:r>
      <w:r w:rsidR="008A1B66" w:rsidRPr="00A317BE">
        <w:rPr>
          <w:color w:val="000000" w:themeColor="text1"/>
        </w:rPr>
        <w:t>that simple</w:t>
      </w:r>
      <w:r w:rsidR="00F24B84" w:rsidRPr="00A317BE">
        <w:rPr>
          <w:color w:val="000000" w:themeColor="text1"/>
        </w:rPr>
        <w:t xml:space="preserve">, </w:t>
      </w:r>
      <w:r w:rsidR="00114E1D" w:rsidRPr="00A317BE">
        <w:rPr>
          <w:color w:val="000000" w:themeColor="text1"/>
        </w:rPr>
        <w:t>as I will now briefly address</w:t>
      </w:r>
      <w:r w:rsidR="004209C1" w:rsidRPr="00A317BE">
        <w:rPr>
          <w:color w:val="000000" w:themeColor="text1"/>
        </w:rPr>
        <w:t xml:space="preserve">. </w:t>
      </w:r>
    </w:p>
    <w:p w14:paraId="79B6676C" w14:textId="77777777" w:rsidR="00AF47F8" w:rsidRPr="00A317BE" w:rsidRDefault="00AF47F8" w:rsidP="00A317BE">
      <w:pPr>
        <w:tabs>
          <w:tab w:val="left" w:pos="567"/>
        </w:tabs>
        <w:rPr>
          <w:color w:val="000000" w:themeColor="text1"/>
        </w:rPr>
      </w:pPr>
    </w:p>
    <w:p w14:paraId="77A2DDD6" w14:textId="5DCCD8EB" w:rsidR="004E5D20" w:rsidRPr="00A317BE" w:rsidRDefault="00CF0539" w:rsidP="00A317BE">
      <w:pPr>
        <w:numPr>
          <w:ilvl w:val="0"/>
          <w:numId w:val="23"/>
        </w:numPr>
        <w:tabs>
          <w:tab w:val="left" w:pos="567"/>
        </w:tabs>
        <w:spacing w:line="480" w:lineRule="auto"/>
        <w:ind w:left="0" w:firstLine="0"/>
        <w:rPr>
          <w:i/>
          <w:color w:val="000000" w:themeColor="text1"/>
        </w:rPr>
      </w:pPr>
      <w:r w:rsidRPr="00A317BE">
        <w:rPr>
          <w:color w:val="000000" w:themeColor="text1"/>
        </w:rPr>
        <w:t>It is well-known that the law in relation to unjust enrichment claims</w:t>
      </w:r>
      <w:r w:rsidR="001B0FF6" w:rsidRPr="00A317BE">
        <w:rPr>
          <w:color w:val="000000" w:themeColor="text1"/>
        </w:rPr>
        <w:t xml:space="preserve">, and </w:t>
      </w:r>
      <w:r w:rsidR="00391BA8" w:rsidRPr="00A317BE">
        <w:rPr>
          <w:color w:val="000000" w:themeColor="text1"/>
        </w:rPr>
        <w:t>its</w:t>
      </w:r>
      <w:r w:rsidR="001B0FF6" w:rsidRPr="00A317BE">
        <w:rPr>
          <w:color w:val="000000" w:themeColor="text1"/>
        </w:rPr>
        <w:t xml:space="preserve"> relationship to the law of contract,</w:t>
      </w:r>
      <w:r w:rsidRPr="00A317BE">
        <w:rPr>
          <w:color w:val="000000" w:themeColor="text1"/>
        </w:rPr>
        <w:t xml:space="preserve"> has been in a state of considerable development</w:t>
      </w:r>
      <w:r w:rsidR="0061225D" w:rsidRPr="00A317BE">
        <w:rPr>
          <w:color w:val="000000" w:themeColor="text1"/>
        </w:rPr>
        <w:t xml:space="preserve"> in recent decades</w:t>
      </w:r>
      <w:r w:rsidR="007D51A3" w:rsidRPr="00A317BE">
        <w:rPr>
          <w:color w:val="000000" w:themeColor="text1"/>
        </w:rPr>
        <w:t xml:space="preserve">; </w:t>
      </w:r>
      <w:r w:rsidR="001D0DCD" w:rsidRPr="00A317BE">
        <w:rPr>
          <w:color w:val="000000" w:themeColor="text1"/>
        </w:rPr>
        <w:t xml:space="preserve">see successive editions of Goff and Jones, </w:t>
      </w:r>
      <w:r w:rsidR="009E6B1A" w:rsidRPr="00A317BE">
        <w:rPr>
          <w:i/>
          <w:color w:val="000000" w:themeColor="text1"/>
        </w:rPr>
        <w:t xml:space="preserve">The Law of </w:t>
      </w:r>
      <w:r w:rsidR="001D0DCD" w:rsidRPr="00A317BE">
        <w:rPr>
          <w:i/>
          <w:color w:val="000000" w:themeColor="text1"/>
        </w:rPr>
        <w:t>Restitution</w:t>
      </w:r>
      <w:r w:rsidR="001D0DCD" w:rsidRPr="00A317BE">
        <w:rPr>
          <w:color w:val="000000" w:themeColor="text1"/>
        </w:rPr>
        <w:t xml:space="preserve">, and latterly </w:t>
      </w:r>
      <w:r w:rsidR="009E6B1A" w:rsidRPr="00A317BE">
        <w:rPr>
          <w:i/>
          <w:color w:val="000000" w:themeColor="text1"/>
        </w:rPr>
        <w:t xml:space="preserve">The Law of </w:t>
      </w:r>
      <w:r w:rsidR="001D0DCD" w:rsidRPr="00A317BE">
        <w:rPr>
          <w:i/>
          <w:color w:val="000000" w:themeColor="text1"/>
        </w:rPr>
        <w:t>Unjust Enrichment</w:t>
      </w:r>
      <w:r w:rsidR="00E3180F" w:rsidRPr="00A317BE">
        <w:rPr>
          <w:color w:val="000000" w:themeColor="text1"/>
        </w:rPr>
        <w:t>,</w:t>
      </w:r>
      <w:r w:rsidR="001D0DCD" w:rsidRPr="00A317BE">
        <w:rPr>
          <w:color w:val="000000" w:themeColor="text1"/>
        </w:rPr>
        <w:t xml:space="preserve"> </w:t>
      </w:r>
      <w:r w:rsidR="009E6B1A" w:rsidRPr="00A317BE">
        <w:rPr>
          <w:color w:val="000000" w:themeColor="text1"/>
        </w:rPr>
        <w:t>currently in its 9</w:t>
      </w:r>
      <w:r w:rsidR="009E6B1A" w:rsidRPr="00A317BE">
        <w:rPr>
          <w:color w:val="000000" w:themeColor="text1"/>
          <w:vertAlign w:val="superscript"/>
        </w:rPr>
        <w:t>th</w:t>
      </w:r>
      <w:r w:rsidR="009E6B1A" w:rsidRPr="00A317BE">
        <w:rPr>
          <w:color w:val="000000" w:themeColor="text1"/>
        </w:rPr>
        <w:t xml:space="preserve"> ed</w:t>
      </w:r>
      <w:r w:rsidR="00896CC3" w:rsidRPr="00A317BE">
        <w:rPr>
          <w:color w:val="000000" w:themeColor="text1"/>
        </w:rPr>
        <w:t xml:space="preserve">ition, </w:t>
      </w:r>
      <w:r w:rsidR="009A1339" w:rsidRPr="00A317BE">
        <w:rPr>
          <w:color w:val="000000" w:themeColor="text1"/>
        </w:rPr>
        <w:t>as well as Irish textbooks such as Clarke</w:t>
      </w:r>
      <w:r w:rsidR="004306D0" w:rsidRPr="00A317BE">
        <w:rPr>
          <w:color w:val="000000" w:themeColor="text1"/>
        </w:rPr>
        <w:t xml:space="preserve">, </w:t>
      </w:r>
      <w:r w:rsidR="009A1339" w:rsidRPr="00A317BE">
        <w:rPr>
          <w:i/>
          <w:color w:val="000000" w:themeColor="text1"/>
        </w:rPr>
        <w:t>Contract</w:t>
      </w:r>
      <w:r w:rsidR="004306D0" w:rsidRPr="00A317BE">
        <w:rPr>
          <w:i/>
          <w:color w:val="000000" w:themeColor="text1"/>
        </w:rPr>
        <w:t xml:space="preserve"> Law in Ireland</w:t>
      </w:r>
      <w:r w:rsidR="00457D49" w:rsidRPr="00A317BE">
        <w:rPr>
          <w:color w:val="000000" w:themeColor="text1"/>
        </w:rPr>
        <w:t xml:space="preserve"> (8</w:t>
      </w:r>
      <w:r w:rsidR="00457D49" w:rsidRPr="00A317BE">
        <w:rPr>
          <w:color w:val="000000" w:themeColor="text1"/>
          <w:vertAlign w:val="superscript"/>
        </w:rPr>
        <w:t>th</w:t>
      </w:r>
      <w:r w:rsidR="00457D49" w:rsidRPr="00A317BE">
        <w:rPr>
          <w:color w:val="000000" w:themeColor="text1"/>
        </w:rPr>
        <w:t xml:space="preserve"> edition, 2016)</w:t>
      </w:r>
      <w:r w:rsidR="009A1339" w:rsidRPr="00A317BE">
        <w:rPr>
          <w:color w:val="000000" w:themeColor="text1"/>
        </w:rPr>
        <w:t xml:space="preserve">, or McDermott &amp; McDermott on </w:t>
      </w:r>
      <w:r w:rsidR="009A1339" w:rsidRPr="00A317BE">
        <w:rPr>
          <w:i/>
          <w:color w:val="000000" w:themeColor="text1"/>
        </w:rPr>
        <w:t>Contract</w:t>
      </w:r>
      <w:r w:rsidR="00862B71" w:rsidRPr="00A317BE">
        <w:rPr>
          <w:i/>
          <w:color w:val="000000" w:themeColor="text1"/>
        </w:rPr>
        <w:t xml:space="preserve"> Law</w:t>
      </w:r>
      <w:r w:rsidR="00862B71" w:rsidRPr="00A317BE">
        <w:rPr>
          <w:color w:val="000000" w:themeColor="text1"/>
        </w:rPr>
        <w:t xml:space="preserve"> (2</w:t>
      </w:r>
      <w:r w:rsidR="00862B71" w:rsidRPr="00A317BE">
        <w:rPr>
          <w:color w:val="000000" w:themeColor="text1"/>
          <w:vertAlign w:val="superscript"/>
        </w:rPr>
        <w:t>nd</w:t>
      </w:r>
      <w:r w:rsidR="00862B71" w:rsidRPr="00A317BE">
        <w:rPr>
          <w:color w:val="000000" w:themeColor="text1"/>
        </w:rPr>
        <w:t xml:space="preserve"> edition, 2017)</w:t>
      </w:r>
      <w:r w:rsidR="007D51A3" w:rsidRPr="00A317BE">
        <w:rPr>
          <w:color w:val="000000" w:themeColor="text1"/>
        </w:rPr>
        <w:t xml:space="preserve">. </w:t>
      </w:r>
      <w:r w:rsidR="002D620C" w:rsidRPr="00A317BE">
        <w:rPr>
          <w:color w:val="000000" w:themeColor="text1"/>
        </w:rPr>
        <w:t xml:space="preserve">In particular, concerning </w:t>
      </w:r>
      <w:r w:rsidR="002D620C" w:rsidRPr="00A317BE">
        <w:rPr>
          <w:i/>
          <w:color w:val="000000" w:themeColor="text1"/>
        </w:rPr>
        <w:t xml:space="preserve">quantum meruit </w:t>
      </w:r>
      <w:r w:rsidR="002D620C" w:rsidRPr="00A317BE">
        <w:rPr>
          <w:color w:val="000000" w:themeColor="text1"/>
        </w:rPr>
        <w:t xml:space="preserve">claims </w:t>
      </w:r>
      <w:r w:rsidR="00B7099F" w:rsidRPr="00A317BE">
        <w:rPr>
          <w:color w:val="000000" w:themeColor="text1"/>
        </w:rPr>
        <w:t>by</w:t>
      </w:r>
      <w:r w:rsidR="002D620C" w:rsidRPr="00A317BE">
        <w:rPr>
          <w:color w:val="000000" w:themeColor="text1"/>
        </w:rPr>
        <w:t xml:space="preserve"> professionals</w:t>
      </w:r>
      <w:r w:rsidR="008B69DE" w:rsidRPr="00A317BE">
        <w:rPr>
          <w:color w:val="000000" w:themeColor="text1"/>
        </w:rPr>
        <w:t xml:space="preserve"> suing for </w:t>
      </w:r>
      <w:r w:rsidR="00E115A3" w:rsidRPr="00A317BE">
        <w:rPr>
          <w:color w:val="000000" w:themeColor="text1"/>
        </w:rPr>
        <w:t>payment in respect of services provided</w:t>
      </w:r>
      <w:r w:rsidR="002D620C" w:rsidRPr="00A317BE">
        <w:rPr>
          <w:color w:val="000000" w:themeColor="text1"/>
        </w:rPr>
        <w:t xml:space="preserve">, see paragraphs </w:t>
      </w:r>
      <w:r w:rsidR="00096C2E" w:rsidRPr="00A317BE">
        <w:rPr>
          <w:color w:val="000000" w:themeColor="text1"/>
        </w:rPr>
        <w:t>24.84 and 24.89 of</w:t>
      </w:r>
      <w:r w:rsidR="002D620C" w:rsidRPr="00A317BE">
        <w:rPr>
          <w:color w:val="000000" w:themeColor="text1"/>
        </w:rPr>
        <w:t xml:space="preserve"> McDermott &amp; McDermott</w:t>
      </w:r>
      <w:r w:rsidR="00D30CF5" w:rsidRPr="00A317BE">
        <w:rPr>
          <w:color w:val="000000" w:themeColor="text1"/>
        </w:rPr>
        <w:t xml:space="preserve">, </w:t>
      </w:r>
      <w:r w:rsidR="00D30CF5" w:rsidRPr="00A317BE">
        <w:rPr>
          <w:i/>
          <w:iCs/>
          <w:color w:val="000000" w:themeColor="text1"/>
        </w:rPr>
        <w:t>Contract Law</w:t>
      </w:r>
      <w:r w:rsidR="00AB4CC6" w:rsidRPr="00A317BE">
        <w:rPr>
          <w:color w:val="000000" w:themeColor="text1"/>
        </w:rPr>
        <w:t>; and</w:t>
      </w:r>
      <w:r w:rsidR="005E56E4" w:rsidRPr="00A317BE">
        <w:rPr>
          <w:color w:val="000000" w:themeColor="text1"/>
        </w:rPr>
        <w:t xml:space="preserve"> Chapter 20 of Clarke, </w:t>
      </w:r>
      <w:r w:rsidR="005E56E4" w:rsidRPr="00A317BE">
        <w:rPr>
          <w:i/>
          <w:iCs/>
          <w:color w:val="000000" w:themeColor="text1"/>
        </w:rPr>
        <w:t>Contract Law in Ireland</w:t>
      </w:r>
      <w:r w:rsidR="005E56E4" w:rsidRPr="00A317BE">
        <w:rPr>
          <w:color w:val="000000" w:themeColor="text1"/>
        </w:rPr>
        <w:t xml:space="preserve"> entitled </w:t>
      </w:r>
      <w:r w:rsidR="00151DF9" w:rsidRPr="00A317BE">
        <w:rPr>
          <w:color w:val="000000" w:themeColor="text1"/>
        </w:rPr>
        <w:t>‘</w:t>
      </w:r>
      <w:r w:rsidR="00DF5F1A" w:rsidRPr="00A317BE">
        <w:rPr>
          <w:i/>
          <w:color w:val="000000" w:themeColor="text1"/>
        </w:rPr>
        <w:t>Quasi-Contractual or Restitutionary Relief</w:t>
      </w:r>
      <w:r w:rsidR="00151DF9" w:rsidRPr="00A317BE">
        <w:rPr>
          <w:i/>
          <w:color w:val="000000" w:themeColor="text1"/>
        </w:rPr>
        <w:t>’</w:t>
      </w:r>
      <w:r w:rsidR="001D0DCD" w:rsidRPr="00A317BE">
        <w:rPr>
          <w:color w:val="000000" w:themeColor="text1"/>
        </w:rPr>
        <w:t xml:space="preserve">. </w:t>
      </w:r>
      <w:r w:rsidR="00B00104" w:rsidRPr="00A317BE">
        <w:rPr>
          <w:color w:val="000000" w:themeColor="text1"/>
        </w:rPr>
        <w:t xml:space="preserve">The conceptualisation of </w:t>
      </w:r>
      <w:r w:rsidR="00BE007B" w:rsidRPr="00A317BE">
        <w:rPr>
          <w:i/>
          <w:color w:val="000000" w:themeColor="text1"/>
        </w:rPr>
        <w:t xml:space="preserve">quantum meruit </w:t>
      </w:r>
      <w:r w:rsidR="00BE007B" w:rsidRPr="00A317BE">
        <w:rPr>
          <w:color w:val="000000" w:themeColor="text1"/>
        </w:rPr>
        <w:t>claims</w:t>
      </w:r>
      <w:r w:rsidR="00B00104" w:rsidRPr="00A317BE">
        <w:rPr>
          <w:color w:val="000000" w:themeColor="text1"/>
        </w:rPr>
        <w:t xml:space="preserve"> has been affected by this broader development. </w:t>
      </w:r>
    </w:p>
    <w:p w14:paraId="3E2562F6" w14:textId="77777777" w:rsidR="004E5D20" w:rsidRPr="00A317BE" w:rsidRDefault="004E5D20" w:rsidP="00A317BE">
      <w:pPr>
        <w:pStyle w:val="ListParagraph"/>
        <w:tabs>
          <w:tab w:val="left" w:pos="567"/>
        </w:tabs>
        <w:ind w:left="0"/>
        <w:rPr>
          <w:color w:val="000000" w:themeColor="text1"/>
        </w:rPr>
      </w:pPr>
    </w:p>
    <w:p w14:paraId="723C8778" w14:textId="4C691DA3" w:rsidR="00BE007B" w:rsidRPr="00A317BE" w:rsidRDefault="00B00104" w:rsidP="00A317BE">
      <w:pPr>
        <w:numPr>
          <w:ilvl w:val="0"/>
          <w:numId w:val="23"/>
        </w:numPr>
        <w:tabs>
          <w:tab w:val="left" w:pos="567"/>
        </w:tabs>
        <w:spacing w:line="480" w:lineRule="auto"/>
        <w:ind w:left="0" w:firstLine="0"/>
        <w:rPr>
          <w:i/>
          <w:color w:val="000000" w:themeColor="text1"/>
        </w:rPr>
      </w:pPr>
      <w:r w:rsidRPr="00A317BE">
        <w:rPr>
          <w:color w:val="000000" w:themeColor="text1"/>
        </w:rPr>
        <w:t xml:space="preserve">It has been said that </w:t>
      </w:r>
      <w:r w:rsidRPr="00A317BE">
        <w:rPr>
          <w:i/>
          <w:color w:val="000000" w:themeColor="text1"/>
        </w:rPr>
        <w:t xml:space="preserve">quantum meruit </w:t>
      </w:r>
      <w:r w:rsidRPr="00A317BE">
        <w:rPr>
          <w:color w:val="000000" w:themeColor="text1"/>
        </w:rPr>
        <w:t>claims</w:t>
      </w:r>
      <w:r w:rsidR="00BE007B" w:rsidRPr="00A317BE">
        <w:rPr>
          <w:color w:val="000000" w:themeColor="text1"/>
        </w:rPr>
        <w:t xml:space="preserve"> are of two broad kinds: </w:t>
      </w:r>
    </w:p>
    <w:p w14:paraId="4EC41C5B" w14:textId="77777777" w:rsidR="00946A13" w:rsidRPr="00A317BE" w:rsidRDefault="00946A13" w:rsidP="00A317BE">
      <w:pPr>
        <w:tabs>
          <w:tab w:val="left" w:pos="567"/>
        </w:tabs>
        <w:rPr>
          <w:i/>
          <w:color w:val="000000" w:themeColor="text1"/>
        </w:rPr>
      </w:pPr>
    </w:p>
    <w:p w14:paraId="6FDBDA67" w14:textId="605685E5" w:rsidR="00BF7DF3" w:rsidRPr="00A317BE" w:rsidRDefault="006C31FF" w:rsidP="00A317BE">
      <w:pPr>
        <w:tabs>
          <w:tab w:val="left" w:pos="567"/>
        </w:tabs>
        <w:spacing w:line="480" w:lineRule="auto"/>
        <w:ind w:left="567"/>
        <w:rPr>
          <w:i/>
          <w:color w:val="000000" w:themeColor="text1"/>
        </w:rPr>
      </w:pPr>
      <w:r w:rsidRPr="00A317BE">
        <w:rPr>
          <w:i/>
          <w:color w:val="000000" w:themeColor="text1"/>
        </w:rPr>
        <w:t>“…</w:t>
      </w:r>
      <w:r w:rsidR="00946A13" w:rsidRPr="00A317BE">
        <w:rPr>
          <w:color w:val="000000" w:themeColor="text1"/>
        </w:rPr>
        <w:t xml:space="preserve">there is an important distinction between: (a) the situation where the court has to determine what is a reasonable sum, in a case where a contract either expressly or impliedly provides that a reasonable sum shall be payable; and (b) the situation where </w:t>
      </w:r>
      <w:r w:rsidR="00946A13" w:rsidRPr="00A317BE">
        <w:rPr>
          <w:color w:val="000000" w:themeColor="text1"/>
        </w:rPr>
        <w:lastRenderedPageBreak/>
        <w:t xml:space="preserve">the court is having to assess what is the appropriate figure to award a claimant by way of </w:t>
      </w:r>
      <w:r w:rsidR="00946A13" w:rsidRPr="00A317BE">
        <w:rPr>
          <w:i/>
          <w:color w:val="000000" w:themeColor="text1"/>
        </w:rPr>
        <w:t>quantum meruit,</w:t>
      </w:r>
      <w:r w:rsidR="00946A13" w:rsidRPr="00A317BE">
        <w:rPr>
          <w:color w:val="000000" w:themeColor="text1"/>
        </w:rPr>
        <w:t xml:space="preserve"> in a restitutionary claim for unjust enrichment claim. In the former case, the assessment of such a sum will depend upon all of the circumstances, the objective being to ascertain what the parties to the contract would have considered to have been a reasonable amount. In contrast, the objective in a restitutionary </w:t>
      </w:r>
      <w:r w:rsidR="00946A13" w:rsidRPr="00A317BE">
        <w:rPr>
          <w:i/>
          <w:color w:val="000000" w:themeColor="text1"/>
        </w:rPr>
        <w:t>quantum meruit</w:t>
      </w:r>
      <w:r w:rsidR="00946A13" w:rsidRPr="00A317BE">
        <w:rPr>
          <w:color w:val="000000" w:themeColor="text1"/>
        </w:rPr>
        <w:t xml:space="preserve"> assessment is to reverse the unjust enrichment of a defendant, with the measure of any award reflecting the benefit to that defendant of the services received</w:t>
      </w:r>
      <w:r w:rsidR="003E0F83" w:rsidRPr="00A317BE">
        <w:rPr>
          <w:i/>
          <w:color w:val="000000" w:themeColor="text1"/>
        </w:rPr>
        <w:t>”</w:t>
      </w:r>
      <w:r w:rsidR="00BF7DF3" w:rsidRPr="00A317BE">
        <w:rPr>
          <w:i/>
          <w:color w:val="000000" w:themeColor="text1"/>
        </w:rPr>
        <w:t>.</w:t>
      </w:r>
    </w:p>
    <w:p w14:paraId="05A2B9F2" w14:textId="1CBA445C" w:rsidR="00946A13" w:rsidRPr="00A317BE" w:rsidRDefault="0064492C" w:rsidP="00A317BE">
      <w:pPr>
        <w:tabs>
          <w:tab w:val="left" w:pos="567"/>
        </w:tabs>
        <w:spacing w:line="480" w:lineRule="auto"/>
        <w:rPr>
          <w:color w:val="000000" w:themeColor="text1"/>
          <w:shd w:val="clear" w:color="auto" w:fill="FFFFFF"/>
        </w:rPr>
      </w:pPr>
      <w:r w:rsidRPr="00A317BE">
        <w:rPr>
          <w:i/>
          <w:color w:val="000000" w:themeColor="text1"/>
        </w:rPr>
        <w:t xml:space="preserve">(per </w:t>
      </w:r>
      <w:r w:rsidR="006C31FF" w:rsidRPr="00A317BE">
        <w:rPr>
          <w:color w:val="000000" w:themeColor="text1"/>
        </w:rPr>
        <w:t>Gloster LJ in</w:t>
      </w:r>
      <w:r w:rsidR="006C31FF" w:rsidRPr="00A317BE">
        <w:rPr>
          <w:i/>
          <w:color w:val="000000" w:themeColor="text1"/>
        </w:rPr>
        <w:t xml:space="preserve"> Energy Venture Partners v Malabou Oil and Gas Ltd.  </w:t>
      </w:r>
      <w:r w:rsidR="006C31FF" w:rsidRPr="00A317BE">
        <w:rPr>
          <w:color w:val="000000" w:themeColor="text1"/>
          <w:shd w:val="clear" w:color="auto" w:fill="FFFFFF"/>
        </w:rPr>
        <w:t>[2013] EWHC 2118, at para</w:t>
      </w:r>
      <w:r w:rsidR="00151DF9" w:rsidRPr="00A317BE">
        <w:rPr>
          <w:color w:val="000000" w:themeColor="text1"/>
          <w:shd w:val="clear" w:color="auto" w:fill="FFFFFF"/>
        </w:rPr>
        <w:t>graph</w:t>
      </w:r>
      <w:r w:rsidR="006C31FF" w:rsidRPr="00A317BE">
        <w:rPr>
          <w:color w:val="000000" w:themeColor="text1"/>
          <w:shd w:val="clear" w:color="auto" w:fill="FFFFFF"/>
        </w:rPr>
        <w:t xml:space="preserve"> 281)</w:t>
      </w:r>
    </w:p>
    <w:p w14:paraId="40A4D05F" w14:textId="0DDAB02B" w:rsidR="00134D68" w:rsidRPr="00A317BE" w:rsidRDefault="00134D68" w:rsidP="00A317BE">
      <w:pPr>
        <w:tabs>
          <w:tab w:val="left" w:pos="567"/>
        </w:tabs>
        <w:spacing w:line="480" w:lineRule="auto"/>
        <w:rPr>
          <w:color w:val="000000" w:themeColor="text1"/>
        </w:rPr>
      </w:pPr>
    </w:p>
    <w:p w14:paraId="29B29271" w14:textId="292F963F" w:rsidR="00376F3E" w:rsidRPr="00A317BE" w:rsidRDefault="00297C49" w:rsidP="00A317BE">
      <w:pPr>
        <w:pStyle w:val="ListParagraph"/>
        <w:numPr>
          <w:ilvl w:val="0"/>
          <w:numId w:val="23"/>
        </w:numPr>
        <w:tabs>
          <w:tab w:val="left" w:pos="567"/>
        </w:tabs>
        <w:autoSpaceDE w:val="0"/>
        <w:autoSpaceDN w:val="0"/>
        <w:adjustRightInd w:val="0"/>
        <w:ind w:left="0" w:firstLine="0"/>
        <w:rPr>
          <w:i/>
          <w:color w:val="000000" w:themeColor="text1"/>
        </w:rPr>
      </w:pPr>
      <w:r w:rsidRPr="00A317BE">
        <w:rPr>
          <w:color w:val="000000" w:themeColor="text1"/>
        </w:rPr>
        <w:t xml:space="preserve">The shift in attitude towards </w:t>
      </w:r>
      <w:r w:rsidRPr="00A317BE">
        <w:rPr>
          <w:i/>
          <w:color w:val="000000" w:themeColor="text1"/>
        </w:rPr>
        <w:t xml:space="preserve">quantum meruit </w:t>
      </w:r>
      <w:r w:rsidRPr="00A317BE">
        <w:rPr>
          <w:color w:val="000000" w:themeColor="text1"/>
        </w:rPr>
        <w:t>claims</w:t>
      </w:r>
      <w:r w:rsidR="00134D68" w:rsidRPr="00A317BE">
        <w:rPr>
          <w:color w:val="000000" w:themeColor="text1"/>
        </w:rPr>
        <w:t xml:space="preserve"> was explained by </w:t>
      </w:r>
      <w:r w:rsidR="00376F3E" w:rsidRPr="00A317BE">
        <w:rPr>
          <w:color w:val="000000" w:themeColor="text1"/>
        </w:rPr>
        <w:t xml:space="preserve">Lightman J. said in </w:t>
      </w:r>
      <w:r w:rsidR="00376F3E" w:rsidRPr="00A317BE">
        <w:rPr>
          <w:i/>
          <w:color w:val="000000" w:themeColor="text1"/>
        </w:rPr>
        <w:t>Albon v Naza Motor Trading</w:t>
      </w:r>
      <w:r w:rsidR="00376F3E" w:rsidRPr="00A317BE">
        <w:rPr>
          <w:color w:val="000000" w:themeColor="text1"/>
        </w:rPr>
        <w:t xml:space="preserve"> </w:t>
      </w:r>
      <w:r w:rsidR="00151DF9" w:rsidRPr="00A317BE">
        <w:rPr>
          <w:i/>
          <w:iCs/>
          <w:color w:val="000000" w:themeColor="text1"/>
        </w:rPr>
        <w:t xml:space="preserve">Sdn Bhd </w:t>
      </w:r>
      <w:r w:rsidR="00376F3E" w:rsidRPr="00A317BE">
        <w:rPr>
          <w:color w:val="000000" w:themeColor="text1"/>
        </w:rPr>
        <w:t>[2007] 1 WLR 2489; [2007] EWHC 9 (Ch):-</w:t>
      </w:r>
    </w:p>
    <w:p w14:paraId="42A8BB23" w14:textId="77777777" w:rsidR="00376F3E" w:rsidRPr="00A317BE" w:rsidRDefault="00376F3E" w:rsidP="00A317BE">
      <w:pPr>
        <w:tabs>
          <w:tab w:val="left" w:pos="567"/>
        </w:tabs>
        <w:rPr>
          <w:i/>
          <w:color w:val="000000" w:themeColor="text1"/>
        </w:rPr>
      </w:pPr>
    </w:p>
    <w:p w14:paraId="5E200F7F" w14:textId="09EE58BC" w:rsidR="00376F3E" w:rsidRPr="00A317BE" w:rsidRDefault="00376F3E" w:rsidP="00A317BE">
      <w:pPr>
        <w:tabs>
          <w:tab w:val="left" w:pos="567"/>
        </w:tabs>
        <w:autoSpaceDE w:val="0"/>
        <w:autoSpaceDN w:val="0"/>
        <w:adjustRightInd w:val="0"/>
        <w:spacing w:line="480" w:lineRule="auto"/>
        <w:ind w:left="567"/>
        <w:rPr>
          <w:color w:val="000000" w:themeColor="text1"/>
        </w:rPr>
      </w:pPr>
      <w:r w:rsidRPr="00A317BE">
        <w:rPr>
          <w:color w:val="000000" w:themeColor="text1"/>
        </w:rPr>
        <w:t xml:space="preserve">“Whilst the philosophy held sway for many years that a claim for money had and received or in pursuance of an ineffective contract gave rise to a (quasi) contractual obligation to repay (see e.g. </w:t>
      </w:r>
      <w:r w:rsidRPr="00A317BE">
        <w:rPr>
          <w:i/>
          <w:color w:val="000000" w:themeColor="text1"/>
        </w:rPr>
        <w:t>Sinclair v. Brough</w:t>
      </w:r>
      <w:r w:rsidRPr="00A317BE">
        <w:rPr>
          <w:color w:val="000000" w:themeColor="text1"/>
        </w:rPr>
        <w:t xml:space="preserve">am [1919] AC 398 ) and this view was carried over to and reflected in the construction and application of RSC Ord 11 , the predecessor of CPR 6.20 (see e.g. </w:t>
      </w:r>
      <w:r w:rsidRPr="00A317BE">
        <w:rPr>
          <w:i/>
          <w:color w:val="000000" w:themeColor="text1"/>
        </w:rPr>
        <w:t>Bowling v. Cox</w:t>
      </w:r>
      <w:r w:rsidRPr="00A317BE">
        <w:rPr>
          <w:color w:val="000000" w:themeColor="text1"/>
        </w:rPr>
        <w:t xml:space="preserve"> [1926] AC 751 ) and this is echoed in the 2006 White Book (see Civil Procedure 2006, vol 1, para 6.21.34), with the coming of age of the law of restitution based on the principle of unjust enrichment, that philosophy has now been consigned to history: see e.g. </w:t>
      </w:r>
      <w:r w:rsidRPr="00A317BE">
        <w:rPr>
          <w:i/>
          <w:color w:val="000000" w:themeColor="text1"/>
        </w:rPr>
        <w:t>West Deutsche Landesbank Girozentrale v. Islington London Borough Council</w:t>
      </w:r>
      <w:r w:rsidRPr="00A317BE">
        <w:rPr>
          <w:color w:val="000000" w:themeColor="text1"/>
        </w:rPr>
        <w:t xml:space="preserve"> [1996] AC 669 at 710, 718 and 738 and </w:t>
      </w:r>
      <w:r w:rsidRPr="00A317BE">
        <w:rPr>
          <w:i/>
          <w:color w:val="000000" w:themeColor="text1"/>
        </w:rPr>
        <w:t>Kleinwort Benson Ltd v. Glasgow City Council</w:t>
      </w:r>
      <w:r w:rsidRPr="00A317BE">
        <w:rPr>
          <w:color w:val="000000" w:themeColor="text1"/>
        </w:rPr>
        <w:t xml:space="preserve"> [1999] 1 AC 153 , 167. It is to be noted that there is a separate and distinct gateway for claims in restitution (see CPR 6.20(15) ) …”</w:t>
      </w:r>
      <w:r w:rsidR="00070196" w:rsidRPr="00A317BE">
        <w:rPr>
          <w:color w:val="000000" w:themeColor="text1"/>
        </w:rPr>
        <w:t xml:space="preserve"> (at para</w:t>
      </w:r>
      <w:r w:rsidR="00F26376" w:rsidRPr="00A317BE">
        <w:rPr>
          <w:color w:val="000000" w:themeColor="text1"/>
        </w:rPr>
        <w:t>graph</w:t>
      </w:r>
      <w:r w:rsidR="00070196" w:rsidRPr="00A317BE">
        <w:rPr>
          <w:color w:val="000000" w:themeColor="text1"/>
        </w:rPr>
        <w:t xml:space="preserve"> 25)</w:t>
      </w:r>
    </w:p>
    <w:p w14:paraId="20F03621" w14:textId="77777777" w:rsidR="00851A7F" w:rsidRPr="00420AF7" w:rsidRDefault="00851A7F" w:rsidP="00F26376">
      <w:pPr>
        <w:pStyle w:val="ListParagraph"/>
        <w:tabs>
          <w:tab w:val="left" w:pos="567"/>
        </w:tabs>
        <w:ind w:left="0"/>
        <w:rPr>
          <w:color w:val="000000" w:themeColor="text1"/>
        </w:rPr>
      </w:pPr>
    </w:p>
    <w:p w14:paraId="19A52B6E" w14:textId="4BF848DC" w:rsidR="00134D68" w:rsidRPr="00420AF7" w:rsidRDefault="00851A7F" w:rsidP="00A317BE">
      <w:pPr>
        <w:pStyle w:val="ListParagraph"/>
        <w:numPr>
          <w:ilvl w:val="0"/>
          <w:numId w:val="23"/>
        </w:numPr>
        <w:tabs>
          <w:tab w:val="left" w:pos="567"/>
        </w:tabs>
        <w:ind w:left="0" w:firstLine="0"/>
        <w:rPr>
          <w:color w:val="000000" w:themeColor="text1"/>
        </w:rPr>
      </w:pPr>
      <w:r w:rsidRPr="00A317BE">
        <w:rPr>
          <w:color w:val="000000" w:themeColor="text1"/>
          <w:shd w:val="clear" w:color="auto" w:fill="FFFFFF"/>
        </w:rPr>
        <w:lastRenderedPageBreak/>
        <w:t xml:space="preserve">It was again addressed, for example, by </w:t>
      </w:r>
      <w:r w:rsidR="00134D68" w:rsidRPr="00A317BE">
        <w:rPr>
          <w:color w:val="000000" w:themeColor="text1"/>
          <w:shd w:val="clear" w:color="auto" w:fill="FFFFFF"/>
        </w:rPr>
        <w:t xml:space="preserve">Lord Justice Etherton at paragraph 140 of </w:t>
      </w:r>
      <w:r w:rsidR="00134D68" w:rsidRPr="00420AF7">
        <w:rPr>
          <w:color w:val="000000" w:themeColor="text1"/>
          <w:shd w:val="clear" w:color="auto" w:fill="FFFFFF"/>
        </w:rPr>
        <w:t>the </w:t>
      </w:r>
      <w:hyperlink r:id="rId8" w:history="1">
        <w:r w:rsidR="00134D68" w:rsidRPr="00420AF7">
          <w:rPr>
            <w:rStyle w:val="Hyperlink"/>
            <w:iCs/>
            <w:color w:val="000000" w:themeColor="text1"/>
            <w:u w:val="none"/>
            <w:bdr w:val="none" w:sz="0" w:space="0" w:color="auto" w:frame="1"/>
          </w:rPr>
          <w:t>judgment in</w:t>
        </w:r>
        <w:r w:rsidR="00134D68" w:rsidRPr="00420AF7">
          <w:rPr>
            <w:rStyle w:val="Hyperlink"/>
            <w:i/>
            <w:iCs/>
            <w:color w:val="000000" w:themeColor="text1"/>
            <w:szCs w:val="24"/>
            <w:u w:val="none"/>
            <w:bdr w:val="none" w:sz="0" w:space="0" w:color="auto" w:frame="1"/>
          </w:rPr>
          <w:t xml:space="preserve"> Benedetti v Sawiris [2010] EWCA Civ 1427</w:t>
        </w:r>
      </w:hyperlink>
      <w:r w:rsidR="00134D68" w:rsidRPr="00420AF7">
        <w:rPr>
          <w:i/>
          <w:iCs/>
          <w:color w:val="000000" w:themeColor="text1"/>
          <w:bdr w:val="none" w:sz="0" w:space="0" w:color="auto" w:frame="1"/>
          <w:shd w:val="clear" w:color="auto" w:fill="FFFFFF"/>
        </w:rPr>
        <w:t>-</w:t>
      </w:r>
    </w:p>
    <w:p w14:paraId="1CD66E30" w14:textId="77777777" w:rsidR="00D706C8" w:rsidRPr="00420AF7" w:rsidRDefault="00D706C8" w:rsidP="00F26376">
      <w:pPr>
        <w:pStyle w:val="ListParagraph"/>
        <w:tabs>
          <w:tab w:val="left" w:pos="567"/>
        </w:tabs>
        <w:ind w:left="0"/>
        <w:rPr>
          <w:color w:val="000000" w:themeColor="text1"/>
        </w:rPr>
      </w:pPr>
    </w:p>
    <w:p w14:paraId="574BA822" w14:textId="002081E8" w:rsidR="00CB647F" w:rsidRPr="00A317BE" w:rsidRDefault="00151DF9" w:rsidP="00A317BE">
      <w:pPr>
        <w:pStyle w:val="ListParagraph"/>
        <w:tabs>
          <w:tab w:val="left" w:pos="567"/>
        </w:tabs>
        <w:ind w:left="567"/>
        <w:rPr>
          <w:rFonts w:eastAsia="Times New Roman"/>
          <w:color w:val="000000" w:themeColor="text1"/>
          <w:szCs w:val="24"/>
          <w:lang w:eastAsia="en-IE"/>
        </w:rPr>
      </w:pPr>
      <w:r w:rsidRPr="00A317BE">
        <w:rPr>
          <w:rFonts w:eastAsia="Times New Roman"/>
          <w:color w:val="000000" w:themeColor="text1"/>
          <w:szCs w:val="24"/>
          <w:lang w:eastAsia="en-IE"/>
        </w:rPr>
        <w:t xml:space="preserve">“[141] </w:t>
      </w:r>
      <w:r w:rsidR="00CB647F" w:rsidRPr="00A317BE">
        <w:rPr>
          <w:rFonts w:eastAsia="Times New Roman"/>
          <w:color w:val="000000" w:themeColor="text1"/>
          <w:szCs w:val="24"/>
          <w:lang w:eastAsia="en-IE"/>
        </w:rPr>
        <w:t xml:space="preserve">The common law cause of action for a </w:t>
      </w:r>
      <w:r w:rsidR="00CB647F" w:rsidRPr="00A317BE">
        <w:rPr>
          <w:rFonts w:eastAsia="Times New Roman"/>
          <w:i/>
          <w:color w:val="000000" w:themeColor="text1"/>
          <w:szCs w:val="24"/>
          <w:lang w:eastAsia="en-IE"/>
        </w:rPr>
        <w:t>quantum meruit</w:t>
      </w:r>
      <w:r w:rsidR="00CB647F" w:rsidRPr="00A317BE">
        <w:rPr>
          <w:rFonts w:eastAsia="Times New Roman"/>
          <w:color w:val="000000" w:themeColor="text1"/>
          <w:szCs w:val="24"/>
          <w:lang w:eastAsia="en-IE"/>
        </w:rPr>
        <w:t xml:space="preserve">, like other restitutionary claims, was formerly perceived to rest on the theory of an implied contract. That theory was rejected implicitly in </w:t>
      </w:r>
      <w:r w:rsidR="00CB647F" w:rsidRPr="00A317BE">
        <w:rPr>
          <w:rFonts w:eastAsia="Times New Roman"/>
          <w:i/>
          <w:color w:val="000000" w:themeColor="text1"/>
          <w:szCs w:val="24"/>
          <w:lang w:eastAsia="en-IE"/>
        </w:rPr>
        <w:t>Lipkin Gorman v Karpnale Lt</w:t>
      </w:r>
      <w:r w:rsidR="00CB647F" w:rsidRPr="00A317BE">
        <w:rPr>
          <w:rFonts w:eastAsia="Times New Roman"/>
          <w:color w:val="000000" w:themeColor="text1"/>
          <w:szCs w:val="24"/>
          <w:lang w:eastAsia="en-IE"/>
        </w:rPr>
        <w:t xml:space="preserve">d [1991] AC 548 and expressly in </w:t>
      </w:r>
      <w:r w:rsidR="00CB647F" w:rsidRPr="00A317BE">
        <w:rPr>
          <w:rFonts w:eastAsia="Times New Roman"/>
          <w:i/>
          <w:color w:val="000000" w:themeColor="text1"/>
          <w:szCs w:val="24"/>
          <w:lang w:eastAsia="en-IE"/>
        </w:rPr>
        <w:t>Westdeutsche Landesbank Girozentrale v Islington London Borough Council</w:t>
      </w:r>
      <w:r w:rsidR="00CB647F" w:rsidRPr="00A317BE">
        <w:rPr>
          <w:rFonts w:eastAsia="Times New Roman"/>
          <w:color w:val="000000" w:themeColor="text1"/>
          <w:szCs w:val="24"/>
          <w:lang w:eastAsia="en-IE"/>
        </w:rPr>
        <w:t xml:space="preserve"> [1994] 1 WLR 938. In </w:t>
      </w:r>
      <w:r w:rsidR="00CB647F" w:rsidRPr="00A317BE">
        <w:rPr>
          <w:rFonts w:eastAsia="Times New Roman"/>
          <w:i/>
          <w:color w:val="000000" w:themeColor="text1"/>
          <w:szCs w:val="24"/>
          <w:lang w:eastAsia="en-IE"/>
        </w:rPr>
        <w:t>BP Exploration Co (Libya) Ltd v Hunt (No 2)</w:t>
      </w:r>
      <w:r w:rsidR="00CB647F" w:rsidRPr="00A317BE">
        <w:rPr>
          <w:rFonts w:eastAsia="Times New Roman"/>
          <w:color w:val="000000" w:themeColor="text1"/>
          <w:szCs w:val="24"/>
          <w:lang w:eastAsia="en-IE"/>
        </w:rPr>
        <w:t xml:space="preserve"> [1979] 1 WLR 783 Robert Goff J expressly characterised a </w:t>
      </w:r>
      <w:r w:rsidR="00CB647F" w:rsidRPr="00A317BE">
        <w:rPr>
          <w:rFonts w:eastAsia="Times New Roman"/>
          <w:i/>
          <w:color w:val="000000" w:themeColor="text1"/>
          <w:szCs w:val="24"/>
          <w:lang w:eastAsia="en-IE"/>
        </w:rPr>
        <w:t>quantum meru</w:t>
      </w:r>
      <w:r w:rsidR="00CB647F" w:rsidRPr="00A317BE">
        <w:rPr>
          <w:rFonts w:eastAsia="Times New Roman"/>
          <w:color w:val="000000" w:themeColor="text1"/>
          <w:szCs w:val="24"/>
          <w:lang w:eastAsia="en-IE"/>
        </w:rPr>
        <w:t xml:space="preserve">it claim for services as a claim, founded on the principle of unjust enrichment, which is concerned with restitution in respect of the benefit obtained by the defendant. The historical development and demise of the implied contract theory were described in </w:t>
      </w:r>
      <w:r w:rsidR="00CB647F" w:rsidRPr="00A317BE">
        <w:rPr>
          <w:rFonts w:eastAsia="Times New Roman"/>
          <w:i/>
          <w:color w:val="000000" w:themeColor="text1"/>
          <w:szCs w:val="24"/>
          <w:lang w:eastAsia="en-IE"/>
        </w:rPr>
        <w:t>Sempra Metals Ltd v Inland Revenue Commissioners</w:t>
      </w:r>
      <w:r w:rsidR="00CB647F" w:rsidRPr="00A317BE">
        <w:rPr>
          <w:rFonts w:eastAsia="Times New Roman"/>
          <w:color w:val="000000" w:themeColor="text1"/>
          <w:szCs w:val="24"/>
          <w:lang w:eastAsia="en-IE"/>
        </w:rPr>
        <w:t xml:space="preserve"> [2007] HLUK 34, [2008] 1 AC 561 by Lord Nicholls at paragraphs [105] and [107] and Lord Walker at paragraph [174].</w:t>
      </w:r>
    </w:p>
    <w:p w14:paraId="5D8422C7" w14:textId="77777777" w:rsidR="00151DF9" w:rsidRPr="00A317BE" w:rsidRDefault="00CB647F" w:rsidP="00151DF9">
      <w:pPr>
        <w:pStyle w:val="ListParagraph"/>
        <w:tabs>
          <w:tab w:val="left" w:pos="567"/>
        </w:tabs>
        <w:ind w:left="567"/>
        <w:rPr>
          <w:rFonts w:eastAsia="Times New Roman"/>
          <w:color w:val="000000" w:themeColor="text1"/>
          <w:szCs w:val="24"/>
          <w:lang w:eastAsia="en-IE"/>
        </w:rPr>
      </w:pPr>
      <w:r w:rsidRPr="00A317BE">
        <w:rPr>
          <w:rFonts w:eastAsia="Times New Roman"/>
          <w:color w:val="000000" w:themeColor="text1"/>
          <w:szCs w:val="24"/>
          <w:lang w:eastAsia="en-IE"/>
        </w:rPr>
        <w:t xml:space="preserve">  </w:t>
      </w:r>
    </w:p>
    <w:p w14:paraId="139820C9" w14:textId="179902A6" w:rsidR="00C92D0A" w:rsidRPr="00A317BE" w:rsidRDefault="00151DF9" w:rsidP="00A317BE">
      <w:pPr>
        <w:pStyle w:val="ListParagraph"/>
        <w:tabs>
          <w:tab w:val="left" w:pos="567"/>
        </w:tabs>
        <w:ind w:left="567"/>
        <w:rPr>
          <w:rFonts w:eastAsia="Times New Roman"/>
          <w:color w:val="000000" w:themeColor="text1"/>
          <w:szCs w:val="24"/>
          <w:lang w:eastAsia="en-IE"/>
        </w:rPr>
      </w:pPr>
      <w:r w:rsidRPr="00A317BE">
        <w:rPr>
          <w:rFonts w:eastAsia="Times New Roman"/>
          <w:color w:val="000000" w:themeColor="text1"/>
          <w:szCs w:val="24"/>
          <w:lang w:eastAsia="en-IE"/>
        </w:rPr>
        <w:t xml:space="preserve">[142] </w:t>
      </w:r>
      <w:r w:rsidR="00CB647F" w:rsidRPr="00A317BE">
        <w:rPr>
          <w:rFonts w:eastAsia="Times New Roman"/>
          <w:color w:val="000000" w:themeColor="text1"/>
          <w:szCs w:val="24"/>
          <w:lang w:eastAsia="en-IE"/>
        </w:rPr>
        <w:t xml:space="preserve">In assessing an award of restitution in such a case, it is the defendant's benefit which must be identified and valued. Concentration is on the defendant's benefit rather than the expense, loss or other personal aspect of the claimant's condition: </w:t>
      </w:r>
      <w:r w:rsidR="00CB647F" w:rsidRPr="00A317BE">
        <w:rPr>
          <w:rFonts w:eastAsia="Times New Roman"/>
          <w:i/>
          <w:color w:val="000000" w:themeColor="text1"/>
          <w:szCs w:val="24"/>
          <w:lang w:eastAsia="en-IE"/>
        </w:rPr>
        <w:t>BP</w:t>
      </w:r>
      <w:r w:rsidR="00CB647F" w:rsidRPr="00A317BE">
        <w:rPr>
          <w:rFonts w:eastAsia="Times New Roman"/>
          <w:color w:val="000000" w:themeColor="text1"/>
          <w:szCs w:val="24"/>
          <w:lang w:eastAsia="en-IE"/>
        </w:rPr>
        <w:t xml:space="preserve"> at pp. 839–840. In </w:t>
      </w:r>
      <w:r w:rsidR="00CB647F" w:rsidRPr="00A317BE">
        <w:rPr>
          <w:rFonts w:eastAsia="Times New Roman"/>
          <w:i/>
          <w:color w:val="000000" w:themeColor="text1"/>
          <w:szCs w:val="24"/>
          <w:lang w:eastAsia="en-IE"/>
        </w:rPr>
        <w:t>Sempra</w:t>
      </w:r>
      <w:r w:rsidR="00CB647F" w:rsidRPr="00A317BE">
        <w:rPr>
          <w:rFonts w:eastAsia="Times New Roman"/>
          <w:color w:val="000000" w:themeColor="text1"/>
          <w:szCs w:val="24"/>
          <w:lang w:eastAsia="en-IE"/>
        </w:rPr>
        <w:t xml:space="preserve"> Lord Hope said that, for restitution, it is the gain that needs to be measured, not the loss of the claimant; that the claimant's remedy is the reversal of the defendant's gain; and that the process is one of subtraction, not compensation: [28] [33]. That gain is to be measured objectively, that is to say, what a reasonable person would pay for the benefit in question; and so, where there is a market, by reference to market rates: BP at p. 840; </w:t>
      </w:r>
      <w:r w:rsidR="00CB647F" w:rsidRPr="00A317BE">
        <w:rPr>
          <w:rFonts w:eastAsia="Times New Roman"/>
          <w:i/>
          <w:color w:val="000000" w:themeColor="text1"/>
          <w:szCs w:val="24"/>
          <w:lang w:eastAsia="en-IE"/>
        </w:rPr>
        <w:t>Sempra</w:t>
      </w:r>
      <w:r w:rsidR="00CB647F" w:rsidRPr="00A317BE">
        <w:rPr>
          <w:rFonts w:eastAsia="Times New Roman"/>
          <w:color w:val="000000" w:themeColor="text1"/>
          <w:szCs w:val="24"/>
          <w:lang w:eastAsia="en-IE"/>
        </w:rPr>
        <w:t xml:space="preserve"> at [45] [103], [116].”</w:t>
      </w:r>
    </w:p>
    <w:p w14:paraId="3D059BA4" w14:textId="64076275" w:rsidR="00E3180F" w:rsidRPr="00A317BE" w:rsidRDefault="008C13E2" w:rsidP="00A317BE">
      <w:pPr>
        <w:numPr>
          <w:ilvl w:val="0"/>
          <w:numId w:val="23"/>
        </w:numPr>
        <w:tabs>
          <w:tab w:val="left" w:pos="567"/>
        </w:tabs>
        <w:spacing w:line="480" w:lineRule="auto"/>
        <w:ind w:left="0" w:firstLine="0"/>
        <w:rPr>
          <w:i/>
          <w:color w:val="000000" w:themeColor="text1"/>
        </w:rPr>
      </w:pPr>
      <w:r w:rsidRPr="00A317BE">
        <w:rPr>
          <w:color w:val="000000" w:themeColor="text1"/>
        </w:rPr>
        <w:lastRenderedPageBreak/>
        <w:t xml:space="preserve">In the conflicts of law arena, </w:t>
      </w:r>
      <w:r w:rsidR="00A4168E" w:rsidRPr="00A317BE">
        <w:rPr>
          <w:color w:val="000000" w:themeColor="text1"/>
        </w:rPr>
        <w:t>whether the claim is an unjust enrichment claim for restitution, or a claim based on an implied term of a contract</w:t>
      </w:r>
      <w:r w:rsidR="00507954" w:rsidRPr="00A317BE">
        <w:rPr>
          <w:color w:val="000000" w:themeColor="text1"/>
        </w:rPr>
        <w:t>,</w:t>
      </w:r>
      <w:r w:rsidRPr="00A317BE">
        <w:rPr>
          <w:color w:val="000000" w:themeColor="text1"/>
        </w:rPr>
        <w:t xml:space="preserve"> assumes a more than theoretical </w:t>
      </w:r>
      <w:r w:rsidR="00DD3170" w:rsidRPr="00A317BE">
        <w:rPr>
          <w:color w:val="000000" w:themeColor="text1"/>
        </w:rPr>
        <w:t xml:space="preserve">or academic </w:t>
      </w:r>
      <w:r w:rsidRPr="00A317BE">
        <w:rPr>
          <w:color w:val="000000" w:themeColor="text1"/>
        </w:rPr>
        <w:t>significance</w:t>
      </w:r>
      <w:r w:rsidR="00DD3170" w:rsidRPr="00A317BE">
        <w:rPr>
          <w:color w:val="000000" w:themeColor="text1"/>
        </w:rPr>
        <w:t xml:space="preserve">. </w:t>
      </w:r>
      <w:r w:rsidRPr="00A317BE">
        <w:rPr>
          <w:color w:val="000000" w:themeColor="text1"/>
        </w:rPr>
        <w:t xml:space="preserve"> </w:t>
      </w:r>
      <w:r w:rsidR="00DD3170" w:rsidRPr="00A317BE">
        <w:rPr>
          <w:color w:val="000000" w:themeColor="text1"/>
        </w:rPr>
        <w:t>This is because</w:t>
      </w:r>
      <w:r w:rsidRPr="00A317BE">
        <w:rPr>
          <w:color w:val="000000" w:themeColor="text1"/>
        </w:rPr>
        <w:t xml:space="preserve"> </w:t>
      </w:r>
      <w:r w:rsidR="00767FE6" w:rsidRPr="00A317BE">
        <w:rPr>
          <w:color w:val="000000" w:themeColor="text1"/>
        </w:rPr>
        <w:t xml:space="preserve">the first condition of service out of the jurisdiction under Order 11(1) is </w:t>
      </w:r>
      <w:r w:rsidR="00BB6BB0" w:rsidRPr="00A317BE">
        <w:rPr>
          <w:color w:val="000000" w:themeColor="text1"/>
        </w:rPr>
        <w:t>that</w:t>
      </w:r>
      <w:r w:rsidR="00767FE6" w:rsidRPr="00A317BE">
        <w:rPr>
          <w:color w:val="000000" w:themeColor="text1"/>
        </w:rPr>
        <w:t xml:space="preserve"> the claim</w:t>
      </w:r>
      <w:r w:rsidRPr="00A317BE">
        <w:rPr>
          <w:color w:val="000000" w:themeColor="text1"/>
        </w:rPr>
        <w:t xml:space="preserve"> fall</w:t>
      </w:r>
      <w:r w:rsidR="00767FE6" w:rsidRPr="00A317BE">
        <w:rPr>
          <w:color w:val="000000" w:themeColor="text1"/>
        </w:rPr>
        <w:t>s (to the requisite standard of proof)</w:t>
      </w:r>
      <w:r w:rsidRPr="00A317BE">
        <w:rPr>
          <w:color w:val="000000" w:themeColor="text1"/>
        </w:rPr>
        <w:t xml:space="preserve"> within an appropriate “gateway” for service out of the jurisdiction.  </w:t>
      </w:r>
      <w:r w:rsidR="007C2C85" w:rsidRPr="00A317BE">
        <w:rPr>
          <w:color w:val="000000" w:themeColor="text1"/>
        </w:rPr>
        <w:t>I</w:t>
      </w:r>
      <w:r w:rsidR="00DC377D" w:rsidRPr="00A317BE">
        <w:rPr>
          <w:color w:val="000000" w:themeColor="text1"/>
        </w:rPr>
        <w:t>n the modern law of England and Wales, there are two potential gateways:</w:t>
      </w:r>
      <w:r w:rsidR="00E3180F" w:rsidRPr="00A317BE">
        <w:rPr>
          <w:color w:val="000000" w:themeColor="text1"/>
        </w:rPr>
        <w:t xml:space="preserve"> a “contract” gateway and a “</w:t>
      </w:r>
      <w:r w:rsidR="00767FE6" w:rsidRPr="00A317BE">
        <w:rPr>
          <w:color w:val="000000" w:themeColor="text1"/>
        </w:rPr>
        <w:t>restitutionary</w:t>
      </w:r>
      <w:r w:rsidR="00E3180F" w:rsidRPr="00A317BE">
        <w:rPr>
          <w:color w:val="000000" w:themeColor="text1"/>
        </w:rPr>
        <w:t xml:space="preserve">” gateway. </w:t>
      </w:r>
      <w:r w:rsidR="00767FE6" w:rsidRPr="00A317BE">
        <w:rPr>
          <w:color w:val="000000" w:themeColor="text1"/>
        </w:rPr>
        <w:t xml:space="preserve">It has been held in that jurisdiction that some </w:t>
      </w:r>
      <w:r w:rsidR="00767FE6" w:rsidRPr="00A317BE">
        <w:rPr>
          <w:i/>
          <w:color w:val="000000" w:themeColor="text1"/>
        </w:rPr>
        <w:t xml:space="preserve">quantum meruit </w:t>
      </w:r>
      <w:r w:rsidR="00767FE6" w:rsidRPr="00A317BE">
        <w:rPr>
          <w:color w:val="000000" w:themeColor="text1"/>
        </w:rPr>
        <w:t xml:space="preserve">claims fall within the “contract” gateway while others fall within the “restitutionary” gateway. </w:t>
      </w:r>
      <w:r w:rsidR="007279C4" w:rsidRPr="00A317BE">
        <w:rPr>
          <w:color w:val="000000" w:themeColor="text1"/>
        </w:rPr>
        <w:t>If th</w:t>
      </w:r>
      <w:r w:rsidR="00436540" w:rsidRPr="00A317BE">
        <w:rPr>
          <w:color w:val="000000" w:themeColor="text1"/>
        </w:rPr>
        <w:t xml:space="preserve">e distinction between different kinds of </w:t>
      </w:r>
      <w:r w:rsidR="00436540" w:rsidRPr="00A317BE">
        <w:rPr>
          <w:i/>
          <w:color w:val="000000" w:themeColor="text1"/>
        </w:rPr>
        <w:t xml:space="preserve">quantum meruit </w:t>
      </w:r>
      <w:r w:rsidR="00436540" w:rsidRPr="00A317BE">
        <w:rPr>
          <w:color w:val="000000" w:themeColor="text1"/>
        </w:rPr>
        <w:t>claims holds true</w:t>
      </w:r>
      <w:r w:rsidR="007279C4" w:rsidRPr="00A317BE">
        <w:rPr>
          <w:color w:val="000000" w:themeColor="text1"/>
        </w:rPr>
        <w:t xml:space="preserve"> in Ireland, it creates a </w:t>
      </w:r>
      <w:r w:rsidR="00632709" w:rsidRPr="00A317BE">
        <w:rPr>
          <w:color w:val="000000" w:themeColor="text1"/>
        </w:rPr>
        <w:t>pot</w:t>
      </w:r>
      <w:r w:rsidR="007B244A" w:rsidRPr="00A317BE">
        <w:rPr>
          <w:color w:val="000000" w:themeColor="text1"/>
        </w:rPr>
        <w:t>ential</w:t>
      </w:r>
      <w:r w:rsidR="00632709" w:rsidRPr="00A317BE">
        <w:rPr>
          <w:color w:val="000000" w:themeColor="text1"/>
        </w:rPr>
        <w:t xml:space="preserve"> </w:t>
      </w:r>
      <w:r w:rsidR="007279C4" w:rsidRPr="00A317BE">
        <w:rPr>
          <w:color w:val="000000" w:themeColor="text1"/>
        </w:rPr>
        <w:t xml:space="preserve">problem for </w:t>
      </w:r>
      <w:r w:rsidR="007631B2" w:rsidRPr="00A317BE">
        <w:rPr>
          <w:color w:val="000000" w:themeColor="text1"/>
        </w:rPr>
        <w:t>service out of the jurisdiction in</w:t>
      </w:r>
      <w:r w:rsidR="007279C4" w:rsidRPr="00A317BE">
        <w:rPr>
          <w:color w:val="000000" w:themeColor="text1"/>
        </w:rPr>
        <w:t xml:space="preserve"> non-contract unjust enrichment claims, because there is no Irish “restitutionary” gateway in Order 11(1</w:t>
      </w:r>
      <w:r w:rsidR="00A61A83" w:rsidRPr="00A317BE">
        <w:rPr>
          <w:color w:val="000000" w:themeColor="text1"/>
        </w:rPr>
        <w:t>(</w:t>
      </w:r>
      <w:r w:rsidR="007279C4" w:rsidRPr="00A317BE">
        <w:rPr>
          <w:color w:val="000000" w:themeColor="text1"/>
        </w:rPr>
        <w:t>, only a “contract” one</w:t>
      </w:r>
      <w:r w:rsidR="00A61A83" w:rsidRPr="00A317BE">
        <w:rPr>
          <w:color w:val="000000" w:themeColor="text1"/>
        </w:rPr>
        <w:t xml:space="preserve"> (</w:t>
      </w:r>
      <w:r w:rsidR="00056C4D" w:rsidRPr="00A317BE">
        <w:rPr>
          <w:color w:val="000000" w:themeColor="text1"/>
        </w:rPr>
        <w:t xml:space="preserve">namely, </w:t>
      </w:r>
      <w:r w:rsidR="00A61A83" w:rsidRPr="00A317BE">
        <w:rPr>
          <w:color w:val="000000" w:themeColor="text1"/>
        </w:rPr>
        <w:t>sub-paragraph (e)</w:t>
      </w:r>
      <w:r w:rsidR="00151DF9" w:rsidRPr="00A317BE">
        <w:rPr>
          <w:color w:val="000000" w:themeColor="text1"/>
        </w:rPr>
        <w:t>)</w:t>
      </w:r>
      <w:r w:rsidR="007279C4" w:rsidRPr="00A317BE">
        <w:rPr>
          <w:color w:val="000000" w:themeColor="text1"/>
        </w:rPr>
        <w:t xml:space="preserve">. </w:t>
      </w:r>
    </w:p>
    <w:p w14:paraId="1B30C017" w14:textId="77777777" w:rsidR="00E3180F" w:rsidRPr="00A317BE" w:rsidRDefault="00E3180F" w:rsidP="00A317BE">
      <w:pPr>
        <w:pStyle w:val="ListParagraph"/>
        <w:tabs>
          <w:tab w:val="left" w:pos="567"/>
        </w:tabs>
        <w:ind w:left="0"/>
        <w:rPr>
          <w:color w:val="000000" w:themeColor="text1"/>
        </w:rPr>
      </w:pPr>
    </w:p>
    <w:p w14:paraId="19C43CB4" w14:textId="7BA9C395" w:rsidR="008C0F30" w:rsidRPr="00A317BE" w:rsidRDefault="00C14FF8" w:rsidP="00A317BE">
      <w:pPr>
        <w:numPr>
          <w:ilvl w:val="0"/>
          <w:numId w:val="23"/>
        </w:numPr>
        <w:tabs>
          <w:tab w:val="left" w:pos="567"/>
        </w:tabs>
        <w:spacing w:line="480" w:lineRule="auto"/>
        <w:ind w:left="0" w:firstLine="0"/>
        <w:rPr>
          <w:i/>
          <w:color w:val="000000" w:themeColor="text1"/>
        </w:rPr>
      </w:pPr>
      <w:r w:rsidRPr="00A317BE">
        <w:rPr>
          <w:color w:val="000000" w:themeColor="text1"/>
        </w:rPr>
        <w:t>Th</w:t>
      </w:r>
      <w:r w:rsidR="00752E15" w:rsidRPr="00A317BE">
        <w:rPr>
          <w:color w:val="000000" w:themeColor="text1"/>
        </w:rPr>
        <w:t>e English position</w:t>
      </w:r>
      <w:r w:rsidR="00327C86" w:rsidRPr="00A317BE">
        <w:rPr>
          <w:color w:val="000000" w:themeColor="text1"/>
        </w:rPr>
        <w:t xml:space="preserve"> concerning service out of the jurisdiction in respect of a </w:t>
      </w:r>
      <w:r w:rsidR="00327C86" w:rsidRPr="00A317BE">
        <w:rPr>
          <w:i/>
          <w:color w:val="000000" w:themeColor="text1"/>
        </w:rPr>
        <w:t xml:space="preserve">quantum meruit </w:t>
      </w:r>
      <w:r w:rsidR="00327C86" w:rsidRPr="00A317BE">
        <w:rPr>
          <w:color w:val="000000" w:themeColor="text1"/>
        </w:rPr>
        <w:t>claim</w:t>
      </w:r>
      <w:r w:rsidR="00752E15" w:rsidRPr="00A317BE">
        <w:rPr>
          <w:color w:val="000000" w:themeColor="text1"/>
        </w:rPr>
        <w:t xml:space="preserve"> was</w:t>
      </w:r>
      <w:r w:rsidRPr="00A317BE">
        <w:rPr>
          <w:color w:val="000000" w:themeColor="text1"/>
        </w:rPr>
        <w:t xml:space="preserve"> discussed </w:t>
      </w:r>
      <w:r w:rsidR="00CE1912" w:rsidRPr="00A317BE">
        <w:rPr>
          <w:color w:val="000000" w:themeColor="text1"/>
        </w:rPr>
        <w:t>in</w:t>
      </w:r>
      <w:r w:rsidR="00412269" w:rsidRPr="00A317BE">
        <w:rPr>
          <w:color w:val="000000" w:themeColor="text1"/>
        </w:rPr>
        <w:t xml:space="preserve"> </w:t>
      </w:r>
      <w:r w:rsidR="00151DF9" w:rsidRPr="00A317BE">
        <w:rPr>
          <w:i/>
          <w:color w:val="000000" w:themeColor="text1"/>
        </w:rPr>
        <w:t xml:space="preserve"> Daad Sharab</w:t>
      </w:r>
      <w:r w:rsidR="00AA48AC" w:rsidRPr="00A317BE">
        <w:rPr>
          <w:i/>
          <w:color w:val="000000" w:themeColor="text1"/>
        </w:rPr>
        <w:t xml:space="preserve">  v</w:t>
      </w:r>
      <w:r w:rsidR="00151DF9" w:rsidRPr="00A317BE">
        <w:rPr>
          <w:i/>
          <w:color w:val="000000" w:themeColor="text1"/>
        </w:rPr>
        <w:t>.</w:t>
      </w:r>
      <w:r w:rsidR="00AA48AC" w:rsidRPr="00A317BE">
        <w:rPr>
          <w:i/>
          <w:color w:val="000000" w:themeColor="text1"/>
        </w:rPr>
        <w:t xml:space="preserve"> His Royal Highness Prince Al-Waleed Bin Talal Bin Abdul-Aziz Al-Saud</w:t>
      </w:r>
      <w:r w:rsidR="00412269" w:rsidRPr="00A317BE">
        <w:rPr>
          <w:i/>
          <w:color w:val="000000" w:themeColor="text1"/>
        </w:rPr>
        <w:t xml:space="preserve"> </w:t>
      </w:r>
      <w:r w:rsidR="00D30AAD" w:rsidRPr="00A317BE">
        <w:rPr>
          <w:color w:val="000000" w:themeColor="text1"/>
        </w:rPr>
        <w:t>[2012] EWHC 1798 (Ch)</w:t>
      </w:r>
      <w:r w:rsidR="00412269" w:rsidRPr="00A317BE">
        <w:rPr>
          <w:i/>
          <w:color w:val="000000" w:themeColor="text1"/>
        </w:rPr>
        <w:t>)</w:t>
      </w:r>
      <w:r w:rsidRPr="00A317BE">
        <w:rPr>
          <w:color w:val="000000" w:themeColor="text1"/>
        </w:rPr>
        <w:t xml:space="preserve">, where </w:t>
      </w:r>
      <w:r w:rsidR="00327C86" w:rsidRPr="00A317BE">
        <w:rPr>
          <w:color w:val="000000" w:themeColor="text1"/>
        </w:rPr>
        <w:t>the distinction</w:t>
      </w:r>
      <w:r w:rsidRPr="00A317BE">
        <w:rPr>
          <w:color w:val="000000" w:themeColor="text1"/>
        </w:rPr>
        <w:t xml:space="preserve"> between two different categories of </w:t>
      </w:r>
      <w:r w:rsidRPr="00A317BE">
        <w:rPr>
          <w:i/>
          <w:color w:val="000000" w:themeColor="text1"/>
        </w:rPr>
        <w:t xml:space="preserve">quantum meruit </w:t>
      </w:r>
      <w:r w:rsidRPr="00A317BE">
        <w:rPr>
          <w:color w:val="000000" w:themeColor="text1"/>
        </w:rPr>
        <w:t>claim</w:t>
      </w:r>
      <w:r w:rsidR="00824503" w:rsidRPr="00A317BE">
        <w:rPr>
          <w:color w:val="000000" w:themeColor="text1"/>
        </w:rPr>
        <w:t xml:space="preserve"> was set out</w:t>
      </w:r>
      <w:r w:rsidR="00F55820" w:rsidRPr="00A317BE">
        <w:rPr>
          <w:color w:val="000000" w:themeColor="text1"/>
        </w:rPr>
        <w:t xml:space="preserve"> in the following terms:</w:t>
      </w:r>
    </w:p>
    <w:p w14:paraId="3FA9AEE8" w14:textId="77777777" w:rsidR="008C0F30" w:rsidRPr="00A317BE" w:rsidRDefault="008C0F30" w:rsidP="00A317BE">
      <w:pPr>
        <w:tabs>
          <w:tab w:val="left" w:pos="567"/>
        </w:tabs>
        <w:rPr>
          <w:i/>
          <w:color w:val="000000" w:themeColor="text1"/>
        </w:rPr>
      </w:pPr>
    </w:p>
    <w:p w14:paraId="4A371EE9" w14:textId="7DCD765B" w:rsidR="008C0F30" w:rsidRPr="00A317BE" w:rsidRDefault="00B47156" w:rsidP="00A317BE">
      <w:pPr>
        <w:tabs>
          <w:tab w:val="left" w:pos="567"/>
        </w:tabs>
        <w:spacing w:line="480" w:lineRule="auto"/>
        <w:ind w:left="567"/>
        <w:rPr>
          <w:color w:val="000000" w:themeColor="text1"/>
        </w:rPr>
      </w:pPr>
      <w:r w:rsidRPr="00A317BE">
        <w:rPr>
          <w:color w:val="000000" w:themeColor="text1"/>
        </w:rPr>
        <w:t>“</w:t>
      </w:r>
      <w:r w:rsidR="008C0F30" w:rsidRPr="00A317BE">
        <w:rPr>
          <w:color w:val="000000" w:themeColor="text1"/>
        </w:rPr>
        <w:t xml:space="preserve">Is the claim </w:t>
      </w:r>
      <w:r w:rsidR="00BA0B2D" w:rsidRPr="00A317BE">
        <w:rPr>
          <w:color w:val="000000" w:themeColor="text1"/>
        </w:rPr>
        <w:t>…</w:t>
      </w:r>
      <w:r w:rsidR="008C0F30" w:rsidRPr="00A317BE">
        <w:rPr>
          <w:color w:val="000000" w:themeColor="text1"/>
        </w:rPr>
        <w:t xml:space="preserve"> founded on the existence of a contract, valid in law, under which the claimant is to render certain circumstances in return for a commission where, however, the amount of the commission was not finally agreed …?</w:t>
      </w:r>
      <w:r w:rsidR="00BA0B2D" w:rsidRPr="00A317BE">
        <w:rPr>
          <w:color w:val="000000" w:themeColor="text1"/>
        </w:rPr>
        <w:t xml:space="preserve"> </w:t>
      </w:r>
      <w:r w:rsidR="008C0F30" w:rsidRPr="00A317BE">
        <w:rPr>
          <w:color w:val="000000" w:themeColor="text1"/>
        </w:rPr>
        <w:t>Or is it a claim founded on the conduct of the claimant in rendering services to the defendant at his request in circumstances where it cannot be said that a contract, valid in law, for the provision of those services for a reward came into being? In short, is it in the now accepted terminology a claim in unjust enrichment for restitution to the claimant of the value of her services?</w:t>
      </w:r>
      <w:r w:rsidRPr="00A317BE">
        <w:rPr>
          <w:color w:val="000000" w:themeColor="text1"/>
        </w:rPr>
        <w:t>”</w:t>
      </w:r>
      <w:r w:rsidR="00565FB5" w:rsidRPr="00A317BE">
        <w:rPr>
          <w:color w:val="000000" w:themeColor="text1"/>
        </w:rPr>
        <w:t xml:space="preserve"> (para</w:t>
      </w:r>
      <w:r w:rsidR="00A91C01" w:rsidRPr="00A317BE">
        <w:rPr>
          <w:color w:val="000000" w:themeColor="text1"/>
        </w:rPr>
        <w:t>graph 44</w:t>
      </w:r>
      <w:r w:rsidR="00565FB5" w:rsidRPr="00A317BE">
        <w:rPr>
          <w:color w:val="000000" w:themeColor="text1"/>
        </w:rPr>
        <w:t>)</w:t>
      </w:r>
    </w:p>
    <w:p w14:paraId="18599318" w14:textId="77777777" w:rsidR="008C0F30" w:rsidRPr="00A317BE" w:rsidRDefault="008C0F30" w:rsidP="00A317BE">
      <w:pPr>
        <w:pStyle w:val="ListParagraph"/>
        <w:tabs>
          <w:tab w:val="left" w:pos="567"/>
        </w:tabs>
        <w:ind w:left="567"/>
        <w:rPr>
          <w:color w:val="000000" w:themeColor="text1"/>
        </w:rPr>
      </w:pPr>
    </w:p>
    <w:p w14:paraId="4F2C149D" w14:textId="11F7FCAB" w:rsidR="007251D9" w:rsidRPr="00A317BE" w:rsidRDefault="002C1A4C" w:rsidP="00A317BE">
      <w:pPr>
        <w:pStyle w:val="ListParagraph"/>
        <w:numPr>
          <w:ilvl w:val="0"/>
          <w:numId w:val="23"/>
        </w:numPr>
        <w:tabs>
          <w:tab w:val="left" w:pos="567"/>
        </w:tabs>
        <w:autoSpaceDE w:val="0"/>
        <w:autoSpaceDN w:val="0"/>
        <w:adjustRightInd w:val="0"/>
        <w:ind w:left="0" w:firstLine="0"/>
        <w:rPr>
          <w:rFonts w:ascii="TimesNewRomanPSMT" w:hAnsi="TimesNewRomanPSMT" w:cs="TimesNewRomanPSMT"/>
          <w:color w:val="000000" w:themeColor="text1"/>
          <w:sz w:val="20"/>
          <w:szCs w:val="20"/>
        </w:rPr>
      </w:pPr>
      <w:r w:rsidRPr="00A317BE">
        <w:rPr>
          <w:color w:val="000000" w:themeColor="text1"/>
        </w:rPr>
        <w:t>The</w:t>
      </w:r>
      <w:r w:rsidR="007251D9" w:rsidRPr="00A317BE">
        <w:rPr>
          <w:color w:val="000000" w:themeColor="text1"/>
        </w:rPr>
        <w:t xml:space="preserve"> characterisation of the </w:t>
      </w:r>
      <w:r w:rsidR="007251D9" w:rsidRPr="00A317BE">
        <w:rPr>
          <w:i/>
          <w:color w:val="000000" w:themeColor="text1"/>
        </w:rPr>
        <w:t xml:space="preserve">quantum meruit </w:t>
      </w:r>
      <w:r w:rsidR="007251D9" w:rsidRPr="00A317BE">
        <w:rPr>
          <w:color w:val="000000" w:themeColor="text1"/>
        </w:rPr>
        <w:t xml:space="preserve">claim arose in </w:t>
      </w:r>
      <w:r w:rsidR="007251D9" w:rsidRPr="00A317BE">
        <w:rPr>
          <w:i/>
          <w:color w:val="000000" w:themeColor="text1"/>
        </w:rPr>
        <w:t xml:space="preserve">Sharab </w:t>
      </w:r>
      <w:r w:rsidR="007251D9" w:rsidRPr="00A317BE">
        <w:rPr>
          <w:color w:val="000000" w:themeColor="text1"/>
        </w:rPr>
        <w:t>because it was necessary</w:t>
      </w:r>
      <w:r w:rsidR="007979EE" w:rsidRPr="00A317BE">
        <w:rPr>
          <w:color w:val="000000" w:themeColor="text1"/>
        </w:rPr>
        <w:t xml:space="preserve"> (for procedural reasons which do not concern us here)</w:t>
      </w:r>
      <w:r w:rsidR="007251D9" w:rsidRPr="00A317BE">
        <w:rPr>
          <w:color w:val="000000" w:themeColor="text1"/>
        </w:rPr>
        <w:t xml:space="preserve"> to determine whether the claim fell within the “contract” gateway or the “restitution” gateway in the relevant English provision. </w:t>
      </w:r>
      <w:r w:rsidR="007251D9" w:rsidRPr="00A317BE">
        <w:rPr>
          <w:rFonts w:ascii="TimesNewRomanPSMT" w:hAnsi="TimesNewRomanPSMT" w:cs="TimesNewRomanPSMT"/>
          <w:color w:val="000000" w:themeColor="text1"/>
          <w:szCs w:val="24"/>
        </w:rPr>
        <w:t>The relevant “contract” gateway was, at the time, contained in CPR 6.20 (5)(a), (b) and (c) (since replaced by paragraph 3.1 of Practice Direction) and referred to where:-</w:t>
      </w:r>
    </w:p>
    <w:p w14:paraId="00C39383" w14:textId="77777777" w:rsidR="007251D9" w:rsidRPr="00A317BE" w:rsidRDefault="007251D9" w:rsidP="00A317BE">
      <w:pPr>
        <w:tabs>
          <w:tab w:val="left" w:pos="567"/>
        </w:tabs>
        <w:autoSpaceDE w:val="0"/>
        <w:autoSpaceDN w:val="0"/>
        <w:adjustRightInd w:val="0"/>
        <w:rPr>
          <w:rFonts w:ascii="TimesNewRomanPSMT" w:hAnsi="TimesNewRomanPSMT" w:cs="TimesNewRomanPSMT"/>
          <w:color w:val="000000" w:themeColor="text1"/>
          <w:sz w:val="20"/>
          <w:szCs w:val="20"/>
        </w:rPr>
      </w:pPr>
    </w:p>
    <w:p w14:paraId="691FA28D" w14:textId="77777777" w:rsidR="007251D9" w:rsidRPr="00A317BE" w:rsidRDefault="007251D9" w:rsidP="00A317BE">
      <w:pPr>
        <w:tabs>
          <w:tab w:val="left" w:pos="567"/>
        </w:tabs>
        <w:autoSpaceDE w:val="0"/>
        <w:autoSpaceDN w:val="0"/>
        <w:adjustRightInd w:val="0"/>
        <w:spacing w:line="480" w:lineRule="auto"/>
        <w:ind w:left="567"/>
        <w:rPr>
          <w:rFonts w:ascii="TimesNewRomanPSMT" w:hAnsi="TimesNewRomanPSMT" w:cs="TimesNewRomanPSMT"/>
          <w:color w:val="000000" w:themeColor="text1"/>
        </w:rPr>
      </w:pPr>
      <w:r w:rsidRPr="00A317BE">
        <w:rPr>
          <w:rFonts w:ascii="TimesNewRomanPSMT" w:hAnsi="TimesNewRomanPSMT" w:cs="TimesNewRomanPSMT"/>
          <w:color w:val="000000" w:themeColor="text1"/>
        </w:rPr>
        <w:t>A claim is made in respect of a contract where the contract –</w:t>
      </w:r>
    </w:p>
    <w:p w14:paraId="7DABDB0D" w14:textId="77777777" w:rsidR="007251D9" w:rsidRPr="00A317BE" w:rsidRDefault="007251D9" w:rsidP="00A317BE">
      <w:pPr>
        <w:tabs>
          <w:tab w:val="left" w:pos="567"/>
        </w:tabs>
        <w:autoSpaceDE w:val="0"/>
        <w:autoSpaceDN w:val="0"/>
        <w:adjustRightInd w:val="0"/>
        <w:spacing w:line="480" w:lineRule="auto"/>
        <w:ind w:left="567"/>
        <w:rPr>
          <w:rFonts w:ascii="TimesNewRomanPSMT" w:hAnsi="TimesNewRomanPSMT" w:cs="TimesNewRomanPSMT"/>
          <w:color w:val="000000" w:themeColor="text1"/>
        </w:rPr>
      </w:pPr>
      <w:r w:rsidRPr="00A317BE">
        <w:rPr>
          <w:rFonts w:ascii="TimesNewRomanPSMT" w:hAnsi="TimesNewRomanPSMT" w:cs="TimesNewRomanPSMT"/>
          <w:color w:val="000000" w:themeColor="text1"/>
        </w:rPr>
        <w:t>(a) was made within the jurisdiction;</w:t>
      </w:r>
    </w:p>
    <w:p w14:paraId="44FF8E23" w14:textId="77777777" w:rsidR="007251D9" w:rsidRPr="00A317BE" w:rsidRDefault="007251D9" w:rsidP="00A317BE">
      <w:pPr>
        <w:tabs>
          <w:tab w:val="left" w:pos="567"/>
        </w:tabs>
        <w:autoSpaceDE w:val="0"/>
        <w:autoSpaceDN w:val="0"/>
        <w:adjustRightInd w:val="0"/>
        <w:spacing w:line="480" w:lineRule="auto"/>
        <w:ind w:left="567"/>
        <w:rPr>
          <w:rFonts w:ascii="TimesNewRomanPSMT" w:hAnsi="TimesNewRomanPSMT" w:cs="TimesNewRomanPSMT"/>
          <w:color w:val="000000" w:themeColor="text1"/>
        </w:rPr>
      </w:pPr>
      <w:r w:rsidRPr="00A317BE">
        <w:rPr>
          <w:rFonts w:ascii="TimesNewRomanPSMT" w:hAnsi="TimesNewRomanPSMT" w:cs="TimesNewRomanPSMT"/>
          <w:color w:val="000000" w:themeColor="text1"/>
        </w:rPr>
        <w:t>(b) was made by or through an agent trading or residing within the jurisdiction;</w:t>
      </w:r>
    </w:p>
    <w:p w14:paraId="6D0BB4DF" w14:textId="28B86E23" w:rsidR="007251D9" w:rsidRPr="00A317BE" w:rsidRDefault="007251D9" w:rsidP="00A317BE">
      <w:pPr>
        <w:tabs>
          <w:tab w:val="left" w:pos="567"/>
        </w:tabs>
        <w:autoSpaceDE w:val="0"/>
        <w:autoSpaceDN w:val="0"/>
        <w:adjustRightInd w:val="0"/>
        <w:spacing w:line="480" w:lineRule="auto"/>
        <w:ind w:left="567"/>
        <w:rPr>
          <w:rFonts w:ascii="TimesNewRomanPSMT" w:hAnsi="TimesNewRomanPSMT" w:cs="TimesNewRomanPSMT"/>
          <w:color w:val="000000" w:themeColor="text1"/>
        </w:rPr>
      </w:pPr>
      <w:r w:rsidRPr="00A317BE">
        <w:rPr>
          <w:rFonts w:ascii="TimesNewRomanPSMT" w:hAnsi="TimesNewRomanPSMT" w:cs="TimesNewRomanPSMT"/>
          <w:color w:val="000000" w:themeColor="text1"/>
        </w:rPr>
        <w:t>(c) is governed by English law</w:t>
      </w:r>
      <w:r w:rsidR="00F9387E" w:rsidRPr="00A317BE">
        <w:rPr>
          <w:rFonts w:ascii="TimesNewRomanPSMT" w:hAnsi="TimesNewRomanPSMT" w:cs="TimesNewRomanPSMT"/>
          <w:color w:val="000000" w:themeColor="text1"/>
        </w:rPr>
        <w:t>.</w:t>
      </w:r>
    </w:p>
    <w:p w14:paraId="4665ED36" w14:textId="4F4A08CF" w:rsidR="00F9387E" w:rsidRPr="00A317BE" w:rsidRDefault="00F9387E" w:rsidP="00A317BE">
      <w:pPr>
        <w:tabs>
          <w:tab w:val="left" w:pos="567"/>
        </w:tabs>
        <w:autoSpaceDE w:val="0"/>
        <w:autoSpaceDN w:val="0"/>
        <w:adjustRightInd w:val="0"/>
        <w:spacing w:line="480" w:lineRule="auto"/>
        <w:ind w:left="567"/>
        <w:rPr>
          <w:rFonts w:ascii="TimesNewRomanPSMT" w:hAnsi="TimesNewRomanPSMT" w:cs="TimesNewRomanPSMT"/>
          <w:color w:val="000000" w:themeColor="text1"/>
        </w:rPr>
      </w:pPr>
    </w:p>
    <w:p w14:paraId="75E956FF" w14:textId="521F1115" w:rsidR="00292DA2" w:rsidRPr="00A317BE" w:rsidRDefault="00F9387E" w:rsidP="00A317BE">
      <w:pPr>
        <w:tabs>
          <w:tab w:val="left" w:pos="567"/>
        </w:tabs>
        <w:autoSpaceDE w:val="0"/>
        <w:autoSpaceDN w:val="0"/>
        <w:adjustRightInd w:val="0"/>
        <w:spacing w:line="480" w:lineRule="auto"/>
        <w:rPr>
          <w:rFonts w:ascii="TimesNewRomanPSMT" w:hAnsi="TimesNewRomanPSMT" w:cs="TimesNewRomanPSMT"/>
          <w:color w:val="000000" w:themeColor="text1"/>
        </w:rPr>
      </w:pPr>
      <w:r w:rsidRPr="00A317BE">
        <w:rPr>
          <w:rFonts w:ascii="TimesNewRomanPSMT" w:hAnsi="TimesNewRomanPSMT" w:cs="TimesNewRomanPSMT"/>
          <w:color w:val="000000" w:themeColor="text1"/>
        </w:rPr>
        <w:t>There was a different gateway for restitution claims (</w:t>
      </w:r>
      <w:r w:rsidR="007251D9" w:rsidRPr="00A317BE">
        <w:rPr>
          <w:rFonts w:ascii="TimesNewRomanPSMT" w:hAnsi="TimesNewRomanPSMT" w:cs="TimesNewRomanPSMT"/>
          <w:color w:val="000000" w:themeColor="text1"/>
        </w:rPr>
        <w:t>CPR 6.20 (11) to (15) (</w:t>
      </w:r>
      <w:r w:rsidRPr="00A317BE">
        <w:rPr>
          <w:rFonts w:ascii="TimesNewRomanPSMT" w:hAnsi="TimesNewRomanPSMT" w:cs="TimesNewRomanPSMT"/>
          <w:color w:val="000000" w:themeColor="text1"/>
        </w:rPr>
        <w:t>now in</w:t>
      </w:r>
      <w:r w:rsidR="007251D9" w:rsidRPr="00A317BE">
        <w:rPr>
          <w:rFonts w:ascii="TimesNewRomanPSMT" w:hAnsi="TimesNewRomanPSMT" w:cs="TimesNewRomanPSMT"/>
          <w:color w:val="000000" w:themeColor="text1"/>
        </w:rPr>
        <w:t xml:space="preserve"> paragraphs (12) to (16) of paragraph 3.1 of Practice</w:t>
      </w:r>
      <w:r w:rsidRPr="00A317BE">
        <w:rPr>
          <w:rFonts w:ascii="TimesNewRomanPSMT" w:hAnsi="TimesNewRomanPSMT" w:cs="TimesNewRomanPSMT"/>
          <w:color w:val="000000" w:themeColor="text1"/>
        </w:rPr>
        <w:t xml:space="preserve"> </w:t>
      </w:r>
      <w:r w:rsidR="007251D9" w:rsidRPr="00A317BE">
        <w:rPr>
          <w:rFonts w:ascii="TimesNewRomanPSMT" w:hAnsi="TimesNewRomanPSMT" w:cs="TimesNewRomanPSMT"/>
          <w:color w:val="000000" w:themeColor="text1"/>
        </w:rPr>
        <w:t>Direction 6B).</w:t>
      </w:r>
      <w:r w:rsidRPr="00A317BE">
        <w:rPr>
          <w:rFonts w:ascii="TimesNewRomanPSMT" w:hAnsi="TimesNewRomanPSMT" w:cs="TimesNewRomanPSMT"/>
          <w:color w:val="000000" w:themeColor="text1"/>
        </w:rPr>
        <w:t xml:space="preserve"> </w:t>
      </w:r>
    </w:p>
    <w:p w14:paraId="639AA6C7" w14:textId="77777777" w:rsidR="00292DA2" w:rsidRPr="00A317BE" w:rsidRDefault="00292DA2" w:rsidP="00A317BE">
      <w:pPr>
        <w:tabs>
          <w:tab w:val="left" w:pos="567"/>
        </w:tabs>
        <w:autoSpaceDE w:val="0"/>
        <w:autoSpaceDN w:val="0"/>
        <w:adjustRightInd w:val="0"/>
        <w:spacing w:line="480" w:lineRule="auto"/>
        <w:rPr>
          <w:rFonts w:ascii="TimesNewRomanPSMT" w:hAnsi="TimesNewRomanPSMT" w:cs="TimesNewRomanPSMT"/>
          <w:color w:val="000000" w:themeColor="text1"/>
        </w:rPr>
      </w:pPr>
    </w:p>
    <w:p w14:paraId="15225058" w14:textId="6F8D13AA" w:rsidR="00292DA2" w:rsidRPr="00A317BE" w:rsidRDefault="007A71AA" w:rsidP="00A317BE">
      <w:pPr>
        <w:pStyle w:val="ListParagraph"/>
        <w:numPr>
          <w:ilvl w:val="0"/>
          <w:numId w:val="23"/>
        </w:numPr>
        <w:tabs>
          <w:tab w:val="left" w:pos="567"/>
        </w:tabs>
        <w:autoSpaceDE w:val="0"/>
        <w:autoSpaceDN w:val="0"/>
        <w:adjustRightInd w:val="0"/>
        <w:ind w:left="0" w:firstLine="0"/>
        <w:rPr>
          <w:rFonts w:ascii="TimesNewRomanPSMT" w:hAnsi="TimesNewRomanPSMT" w:cs="TimesNewRomanPSMT"/>
          <w:color w:val="000000" w:themeColor="text1"/>
        </w:rPr>
      </w:pPr>
      <w:r w:rsidRPr="00A317BE">
        <w:rPr>
          <w:rFonts w:ascii="TimesNewRomanPSMT" w:hAnsi="TimesNewRomanPSMT" w:cs="TimesNewRomanPSMT"/>
          <w:color w:val="000000" w:themeColor="text1"/>
        </w:rPr>
        <w:t xml:space="preserve">In </w:t>
      </w:r>
      <w:r w:rsidRPr="00A317BE">
        <w:rPr>
          <w:rFonts w:ascii="TimesNewRomanPSMT" w:hAnsi="TimesNewRomanPSMT" w:cs="TimesNewRomanPSMT"/>
          <w:i/>
          <w:color w:val="000000" w:themeColor="text1"/>
        </w:rPr>
        <w:t xml:space="preserve">Sharab, </w:t>
      </w:r>
      <w:r w:rsidRPr="00A317BE">
        <w:rPr>
          <w:rFonts w:ascii="TimesNewRomanPSMT" w:hAnsi="TimesNewRomanPSMT" w:cs="TimesNewRomanPSMT"/>
          <w:color w:val="000000" w:themeColor="text1"/>
        </w:rPr>
        <w:t xml:space="preserve">it was held that a claim falling within the first category identified (“a </w:t>
      </w:r>
      <w:r w:rsidRPr="00A317BE">
        <w:rPr>
          <w:color w:val="000000" w:themeColor="text1"/>
        </w:rPr>
        <w:t xml:space="preserve">claim …founded on the existence of a contract, valid in law, under which the claimant is to render certain circumstances in return for a commission where, however, the amount of the commission was not finally agreed”) would fall within the “contract” gateway, while a claim falling within the second category (“a claim in unjust enrichment for restitution to the claimant of the value of her services”) did not. The latter claim would fall only under the “restitution” gateway. </w:t>
      </w:r>
      <w:r w:rsidRPr="00A317BE">
        <w:rPr>
          <w:rFonts w:ascii="TimesNewRomanPSMT" w:hAnsi="TimesNewRomanPSMT" w:cs="TimesNewRomanPSMT"/>
          <w:color w:val="000000" w:themeColor="text1"/>
        </w:rPr>
        <w:t>It is important to note that Irish law does not contain any corresponding “restitution” gateway</w:t>
      </w:r>
      <w:r w:rsidR="00265C33" w:rsidRPr="00A317BE">
        <w:rPr>
          <w:rFonts w:ascii="TimesNewRomanPSMT" w:hAnsi="TimesNewRomanPSMT" w:cs="TimesNewRomanPSMT"/>
          <w:color w:val="000000" w:themeColor="text1"/>
        </w:rPr>
        <w:t xml:space="preserve">, so that </w:t>
      </w:r>
      <w:r w:rsidR="00C26A34" w:rsidRPr="00A317BE">
        <w:rPr>
          <w:rFonts w:ascii="TimesNewRomanPSMT" w:hAnsi="TimesNewRomanPSMT" w:cs="TimesNewRomanPSMT"/>
          <w:color w:val="000000" w:themeColor="text1"/>
        </w:rPr>
        <w:t>within the framework of this</w:t>
      </w:r>
      <w:r w:rsidR="00265C33" w:rsidRPr="00A317BE">
        <w:rPr>
          <w:rFonts w:ascii="TimesNewRomanPSMT" w:hAnsi="TimesNewRomanPSMT" w:cs="TimesNewRomanPSMT"/>
          <w:color w:val="000000" w:themeColor="text1"/>
        </w:rPr>
        <w:t xml:space="preserve"> analysis, if the appellant’s </w:t>
      </w:r>
      <w:r w:rsidR="00265C33" w:rsidRPr="00A317BE">
        <w:rPr>
          <w:rFonts w:ascii="TimesNewRomanPSMT" w:hAnsi="TimesNewRomanPSMT" w:cs="TimesNewRomanPSMT"/>
          <w:i/>
          <w:color w:val="000000" w:themeColor="text1"/>
        </w:rPr>
        <w:t xml:space="preserve">quantum meruit </w:t>
      </w:r>
      <w:r w:rsidR="00265C33" w:rsidRPr="00A317BE">
        <w:rPr>
          <w:rFonts w:ascii="TimesNewRomanPSMT" w:hAnsi="TimesNewRomanPSMT" w:cs="TimesNewRomanPSMT"/>
          <w:color w:val="000000" w:themeColor="text1"/>
        </w:rPr>
        <w:t>claim fell outside the “contract” gateway, she would be excluded from Order 11(1) altogether.</w:t>
      </w:r>
    </w:p>
    <w:p w14:paraId="38AE8543" w14:textId="77777777" w:rsidR="00B47156" w:rsidRPr="00A317BE" w:rsidRDefault="00B47156" w:rsidP="00F26376">
      <w:pPr>
        <w:pStyle w:val="ListParagraph"/>
        <w:tabs>
          <w:tab w:val="left" w:pos="567"/>
        </w:tabs>
        <w:autoSpaceDE w:val="0"/>
        <w:autoSpaceDN w:val="0"/>
        <w:adjustRightInd w:val="0"/>
        <w:ind w:left="0"/>
        <w:rPr>
          <w:rFonts w:ascii="TimesNewRomanPSMT" w:hAnsi="TimesNewRomanPSMT" w:cs="TimesNewRomanPSMT"/>
          <w:color w:val="000000" w:themeColor="text1"/>
        </w:rPr>
      </w:pPr>
    </w:p>
    <w:p w14:paraId="247BD1C4" w14:textId="14B84B14" w:rsidR="00D00069" w:rsidRPr="00A317BE" w:rsidRDefault="00E076A7" w:rsidP="00A317BE">
      <w:pPr>
        <w:pStyle w:val="ListParagraph"/>
        <w:numPr>
          <w:ilvl w:val="0"/>
          <w:numId w:val="23"/>
        </w:numPr>
        <w:tabs>
          <w:tab w:val="left" w:pos="567"/>
        </w:tabs>
        <w:ind w:left="0" w:firstLine="0"/>
        <w:rPr>
          <w:rFonts w:ascii="TimesNewRomanPSMT" w:hAnsi="TimesNewRomanPSMT" w:cs="TimesNewRomanPSMT"/>
          <w:color w:val="000000" w:themeColor="text1"/>
        </w:rPr>
      </w:pPr>
      <w:r w:rsidRPr="00A317BE">
        <w:rPr>
          <w:color w:val="000000" w:themeColor="text1"/>
        </w:rPr>
        <w:lastRenderedPageBreak/>
        <w:t xml:space="preserve">  </w:t>
      </w:r>
      <w:r w:rsidR="00776975" w:rsidRPr="00A317BE">
        <w:rPr>
          <w:color w:val="000000" w:themeColor="text1"/>
        </w:rPr>
        <w:t xml:space="preserve">Indeed, one </w:t>
      </w:r>
      <w:r w:rsidR="00073750" w:rsidRPr="00A317BE">
        <w:rPr>
          <w:color w:val="000000" w:themeColor="text1"/>
        </w:rPr>
        <w:t xml:space="preserve">might </w:t>
      </w:r>
      <w:r w:rsidR="00776975" w:rsidRPr="00A317BE">
        <w:rPr>
          <w:color w:val="000000" w:themeColor="text1"/>
        </w:rPr>
        <w:t>even raise the further question</w:t>
      </w:r>
      <w:r w:rsidR="00D00069" w:rsidRPr="00A317BE">
        <w:rPr>
          <w:color w:val="000000" w:themeColor="text1"/>
        </w:rPr>
        <w:t xml:space="preserve"> as to</w:t>
      </w:r>
      <w:r w:rsidR="00776975" w:rsidRPr="00A317BE">
        <w:rPr>
          <w:color w:val="000000" w:themeColor="text1"/>
        </w:rPr>
        <w:t xml:space="preserve"> whether</w:t>
      </w:r>
      <w:r w:rsidR="009E65A8" w:rsidRPr="00A317BE">
        <w:rPr>
          <w:color w:val="000000" w:themeColor="text1"/>
        </w:rPr>
        <w:t xml:space="preserve"> the Irish</w:t>
      </w:r>
      <w:r w:rsidR="00D00069" w:rsidRPr="00A317BE">
        <w:rPr>
          <w:color w:val="000000" w:themeColor="text1"/>
        </w:rPr>
        <w:t xml:space="preserve"> “contract” </w:t>
      </w:r>
      <w:r w:rsidR="009E65A8" w:rsidRPr="00A317BE">
        <w:rPr>
          <w:color w:val="000000" w:themeColor="text1"/>
        </w:rPr>
        <w:t>gateway</w:t>
      </w:r>
      <w:r w:rsidR="00D00069" w:rsidRPr="00A317BE">
        <w:rPr>
          <w:color w:val="000000" w:themeColor="text1"/>
        </w:rPr>
        <w:t xml:space="preserve"> under</w:t>
      </w:r>
      <w:r w:rsidR="00073750" w:rsidRPr="00A317BE">
        <w:rPr>
          <w:color w:val="000000" w:themeColor="text1"/>
        </w:rPr>
        <w:t xml:space="preserve"> Order 11(1)(e)</w:t>
      </w:r>
      <w:r w:rsidR="009E65A8" w:rsidRPr="00A317BE">
        <w:rPr>
          <w:color w:val="000000" w:themeColor="text1"/>
        </w:rPr>
        <w:t xml:space="preserve"> </w:t>
      </w:r>
      <w:r w:rsidR="00776975" w:rsidRPr="00A317BE">
        <w:rPr>
          <w:color w:val="000000" w:themeColor="text1"/>
        </w:rPr>
        <w:t xml:space="preserve">is necessarily as broad as the English “contract” gateway, since </w:t>
      </w:r>
      <w:r w:rsidR="00D00069" w:rsidRPr="00A317BE">
        <w:rPr>
          <w:color w:val="000000" w:themeColor="text1"/>
        </w:rPr>
        <w:t>our provision (unlike the English one) does not use the phrase “</w:t>
      </w:r>
      <w:r w:rsidR="00D00069" w:rsidRPr="00A317BE">
        <w:rPr>
          <w:i/>
          <w:color w:val="000000" w:themeColor="text1"/>
        </w:rPr>
        <w:t>in respect of a contract”</w:t>
      </w:r>
      <w:r w:rsidR="00D00069" w:rsidRPr="00A317BE">
        <w:rPr>
          <w:color w:val="000000" w:themeColor="text1"/>
        </w:rPr>
        <w:t xml:space="preserve">, which </w:t>
      </w:r>
      <w:r w:rsidR="00AD2292" w:rsidRPr="00A317BE">
        <w:rPr>
          <w:color w:val="000000" w:themeColor="text1"/>
        </w:rPr>
        <w:t>is broadly interpreted</w:t>
      </w:r>
      <w:r w:rsidR="00776975" w:rsidRPr="00A317BE">
        <w:rPr>
          <w:color w:val="000000" w:themeColor="text1"/>
        </w:rPr>
        <w:t xml:space="preserve"> in</w:t>
      </w:r>
      <w:r w:rsidR="00BB0807" w:rsidRPr="00A317BE">
        <w:rPr>
          <w:color w:val="000000" w:themeColor="text1"/>
        </w:rPr>
        <w:t xml:space="preserve"> the law of England and Wales.</w:t>
      </w:r>
      <w:r w:rsidR="00D00069" w:rsidRPr="00A317BE">
        <w:rPr>
          <w:color w:val="000000" w:themeColor="text1"/>
        </w:rPr>
        <w:t xml:space="preserve"> </w:t>
      </w:r>
      <w:r w:rsidR="005268CF" w:rsidRPr="00A317BE">
        <w:rPr>
          <w:color w:val="000000" w:themeColor="text1"/>
        </w:rPr>
        <w:t>Our Order 11(1)(e)</w:t>
      </w:r>
      <w:r w:rsidR="009F43D5" w:rsidRPr="00A317BE">
        <w:rPr>
          <w:color w:val="000000" w:themeColor="text1"/>
        </w:rPr>
        <w:t>, as we have seen,</w:t>
      </w:r>
      <w:r w:rsidR="005268CF" w:rsidRPr="00A317BE">
        <w:rPr>
          <w:color w:val="000000" w:themeColor="text1"/>
        </w:rPr>
        <w:t xml:space="preserve"> refers to claims to  “</w:t>
      </w:r>
      <w:r w:rsidR="005268CF" w:rsidRPr="00A317BE">
        <w:rPr>
          <w:i/>
          <w:color w:val="000000" w:themeColor="text1"/>
        </w:rPr>
        <w:t>enforce, rescind, dissolve, annul, or otherwise affect a contract, or to recover damages or other relief for or in respect of the breach of a contract</w:t>
      </w:r>
      <w:r w:rsidR="005268CF" w:rsidRPr="00A317BE">
        <w:rPr>
          <w:color w:val="000000" w:themeColor="text1"/>
        </w:rPr>
        <w:t xml:space="preserve">…”. </w:t>
      </w:r>
      <w:r w:rsidR="001F0896" w:rsidRPr="00A317BE">
        <w:rPr>
          <w:color w:val="000000" w:themeColor="text1"/>
        </w:rPr>
        <w:t>The English provision uses the language of where “</w:t>
      </w:r>
      <w:r w:rsidR="001F0896" w:rsidRPr="00A317BE">
        <w:rPr>
          <w:rFonts w:ascii="TimesNewRomanPSMT" w:hAnsi="TimesNewRomanPSMT" w:cs="TimesNewRomanPSMT"/>
          <w:i/>
          <w:color w:val="000000" w:themeColor="text1"/>
        </w:rPr>
        <w:t>a</w:t>
      </w:r>
      <w:r w:rsidR="001F0896" w:rsidRPr="00A317BE">
        <w:rPr>
          <w:rFonts w:ascii="TimesNewRomanPSMT" w:hAnsi="TimesNewRomanPSMT" w:cs="TimesNewRomanPSMT"/>
          <w:i/>
          <w:color w:val="000000" w:themeColor="text1"/>
          <w:szCs w:val="24"/>
        </w:rPr>
        <w:t xml:space="preserve"> claim is made in respect of a contract</w:t>
      </w:r>
      <w:r w:rsidR="001F0896" w:rsidRPr="00A317BE">
        <w:rPr>
          <w:rFonts w:ascii="TimesNewRomanPSMT" w:hAnsi="TimesNewRomanPSMT" w:cs="TimesNewRomanPSMT"/>
          <w:color w:val="000000" w:themeColor="text1"/>
        </w:rPr>
        <w:t xml:space="preserve">…”. </w:t>
      </w:r>
      <w:r w:rsidR="004048C7" w:rsidRPr="00A317BE">
        <w:rPr>
          <w:rFonts w:ascii="TimesNewRomanPSMT" w:hAnsi="TimesNewRomanPSMT" w:cs="TimesNewRomanPSMT"/>
          <w:color w:val="000000" w:themeColor="text1"/>
        </w:rPr>
        <w:t xml:space="preserve">Arguably the phrase “in respect of a contract” is a significant difference of wording. </w:t>
      </w:r>
      <w:r w:rsidR="005D50FB" w:rsidRPr="00A317BE">
        <w:rPr>
          <w:rFonts w:ascii="TimesNewRomanPSMT" w:hAnsi="TimesNewRomanPSMT" w:cs="TimesNewRomanPSMT"/>
          <w:color w:val="000000" w:themeColor="text1"/>
        </w:rPr>
        <w:t>The difference between them was</w:t>
      </w:r>
      <w:r w:rsidR="00D00069" w:rsidRPr="00A317BE">
        <w:rPr>
          <w:color w:val="000000" w:themeColor="text1"/>
        </w:rPr>
        <w:t xml:space="preserve"> </w:t>
      </w:r>
      <w:r w:rsidR="009100EB" w:rsidRPr="00A317BE">
        <w:rPr>
          <w:color w:val="000000" w:themeColor="text1"/>
        </w:rPr>
        <w:t>discussed</w:t>
      </w:r>
      <w:r w:rsidR="00D00069" w:rsidRPr="00A317BE">
        <w:rPr>
          <w:color w:val="000000" w:themeColor="text1"/>
        </w:rPr>
        <w:t xml:space="preserve"> by Lightman J. in </w:t>
      </w:r>
      <w:r w:rsidR="00D00069" w:rsidRPr="00A317BE">
        <w:rPr>
          <w:i/>
          <w:color w:val="000000" w:themeColor="text1"/>
        </w:rPr>
        <w:t xml:space="preserve">Albon, </w:t>
      </w:r>
      <w:r w:rsidR="00D00069" w:rsidRPr="00A317BE">
        <w:rPr>
          <w:color w:val="000000" w:themeColor="text1"/>
        </w:rPr>
        <w:t>in the following terms:</w:t>
      </w:r>
    </w:p>
    <w:p w14:paraId="3771D951" w14:textId="3EC61D57" w:rsidR="00D00069" w:rsidRPr="00A317BE" w:rsidRDefault="00B47156" w:rsidP="00A317BE">
      <w:pPr>
        <w:tabs>
          <w:tab w:val="left" w:pos="567"/>
        </w:tabs>
        <w:autoSpaceDE w:val="0"/>
        <w:autoSpaceDN w:val="0"/>
        <w:adjustRightInd w:val="0"/>
        <w:spacing w:line="480" w:lineRule="auto"/>
        <w:ind w:left="567"/>
        <w:rPr>
          <w:color w:val="000000" w:themeColor="text1"/>
        </w:rPr>
      </w:pPr>
      <w:r w:rsidRPr="00A317BE">
        <w:rPr>
          <w:color w:val="000000" w:themeColor="text1"/>
        </w:rPr>
        <w:t>“</w:t>
      </w:r>
      <w:r w:rsidR="00EB00D8" w:rsidRPr="00A317BE">
        <w:rPr>
          <w:color w:val="000000" w:themeColor="text1"/>
        </w:rPr>
        <w:t>[</w:t>
      </w:r>
      <w:r w:rsidR="00565FB5" w:rsidRPr="00A317BE">
        <w:rPr>
          <w:color w:val="000000" w:themeColor="text1"/>
        </w:rPr>
        <w:t>26</w:t>
      </w:r>
      <w:r w:rsidR="00EB00D8" w:rsidRPr="00A317BE">
        <w:rPr>
          <w:color w:val="000000" w:themeColor="text1"/>
        </w:rPr>
        <w:t>]</w:t>
      </w:r>
      <w:r w:rsidR="00A91C01" w:rsidRPr="00A317BE">
        <w:rPr>
          <w:color w:val="000000" w:themeColor="text1"/>
        </w:rPr>
        <w:t>.</w:t>
      </w:r>
      <w:r w:rsidR="00565FB5" w:rsidRPr="00A317BE">
        <w:rPr>
          <w:color w:val="000000" w:themeColor="text1"/>
        </w:rPr>
        <w:t xml:space="preserve"> </w:t>
      </w:r>
      <w:r w:rsidR="00D00069" w:rsidRPr="00A317BE">
        <w:rPr>
          <w:color w:val="000000" w:themeColor="text1"/>
        </w:rPr>
        <w:t xml:space="preserve">But in my judgment claims under the gateway in rule 6.20(5) are not confined to claims arising </w:t>
      </w:r>
      <w:r w:rsidR="00D00069" w:rsidRPr="00A317BE">
        <w:rPr>
          <w:i/>
          <w:color w:val="000000" w:themeColor="text1"/>
        </w:rPr>
        <w:t>under a contract</w:t>
      </w:r>
      <w:r w:rsidR="00D00069" w:rsidRPr="00A317BE">
        <w:rPr>
          <w:color w:val="000000" w:themeColor="text1"/>
        </w:rPr>
        <w:t>. It extends to claims made “</w:t>
      </w:r>
      <w:r w:rsidR="00D00069" w:rsidRPr="00A317BE">
        <w:rPr>
          <w:i/>
          <w:color w:val="000000" w:themeColor="text1"/>
        </w:rPr>
        <w:t>in respect of a contract” and the formula “in respect of” (tested by reference to English law) is wider than “under a contract”</w:t>
      </w:r>
      <w:r w:rsidR="00D00069" w:rsidRPr="00A317BE">
        <w:rPr>
          <w:color w:val="000000" w:themeColor="text1"/>
        </w:rPr>
        <w:t xml:space="preserve">: see e.g. </w:t>
      </w:r>
      <w:r w:rsidR="00D00069" w:rsidRPr="00A317BE">
        <w:rPr>
          <w:i/>
          <w:color w:val="000000" w:themeColor="text1"/>
        </w:rPr>
        <w:t>Tatam v. Reeve</w:t>
      </w:r>
      <w:r w:rsidR="00D00069" w:rsidRPr="00A317BE">
        <w:rPr>
          <w:color w:val="000000" w:themeColor="text1"/>
        </w:rPr>
        <w:t xml:space="preserve"> [1893] 1 QB 44 . The provision in the CPR is in this regard </w:t>
      </w:r>
      <w:r w:rsidR="00D00069" w:rsidRPr="00A317BE">
        <w:rPr>
          <w:i/>
          <w:color w:val="000000" w:themeColor="text1"/>
        </w:rPr>
        <w:t>deliberately wider</w:t>
      </w:r>
      <w:r w:rsidR="00D00069" w:rsidRPr="00A317BE">
        <w:rPr>
          <w:color w:val="000000" w:themeColor="text1"/>
        </w:rPr>
        <w:t xml:space="preserve"> </w:t>
      </w:r>
      <w:r w:rsidR="00D00069" w:rsidRPr="00A317BE">
        <w:rPr>
          <w:i/>
          <w:color w:val="000000" w:themeColor="text1"/>
        </w:rPr>
        <w:t>than the provision in its predecessor RSC Order 11</w:t>
      </w:r>
      <w:r w:rsidR="00D00069" w:rsidRPr="00A317BE">
        <w:rPr>
          <w:color w:val="000000" w:themeColor="text1"/>
        </w:rPr>
        <w:t xml:space="preserve"> . In this regard, unlike Mr Nathan (counsel for the defendants) I do not think that any assistance is obtained from the decision in </w:t>
      </w:r>
      <w:r w:rsidR="00D00069" w:rsidRPr="00A317BE">
        <w:rPr>
          <w:i/>
          <w:color w:val="000000" w:themeColor="text1"/>
        </w:rPr>
        <w:t>Kleinwort Benson v. Glasgow City Council</w:t>
      </w:r>
      <w:r w:rsidR="00D00069" w:rsidRPr="00A317BE">
        <w:rPr>
          <w:color w:val="000000" w:themeColor="text1"/>
        </w:rPr>
        <w:t xml:space="preserve"> [1999] 1 AC 153 , 162, 167. In that case the House of Lords was concerned with sections 16 and 17 of the Civil Jurisdiction and Judgments Act 1982 which (subject to certain modifications) incorporated the Brussels Convention on Jurisdiction and Enforcement of Judgments in Civil and Commercial Matters (1968) into the law of the United Kingdom. One modification effected to Title 11 of the Convention was to the following effect: ‘5. A person domiciled in a part of the United Kingdom may, in another part of the United Kingdom, be sued: (1) in matters </w:t>
      </w:r>
      <w:r w:rsidR="00D00069" w:rsidRPr="00A317BE">
        <w:rPr>
          <w:i/>
          <w:color w:val="000000" w:themeColor="text1"/>
        </w:rPr>
        <w:t>relating to a contract</w:t>
      </w:r>
      <w:r w:rsidR="00D00069" w:rsidRPr="00A317BE">
        <w:rPr>
          <w:color w:val="000000" w:themeColor="text1"/>
        </w:rPr>
        <w:t xml:space="preserve">, in the courts for the place of performance of the obligation in question…’ In the context </w:t>
      </w:r>
      <w:r w:rsidR="00D00069" w:rsidRPr="00A317BE">
        <w:rPr>
          <w:color w:val="000000" w:themeColor="text1"/>
        </w:rPr>
        <w:lastRenderedPageBreak/>
        <w:t>of the formula of words there used, and in particular the reference to the place of performance of the obligation in question, there is postulated the existence of a contract giving rise to an obligation of performance in the country whose courts are to have jurisdiction.</w:t>
      </w:r>
    </w:p>
    <w:p w14:paraId="00DAF39B" w14:textId="77777777" w:rsidR="00565FB5" w:rsidRPr="00A317BE" w:rsidRDefault="00565FB5" w:rsidP="00A317BE">
      <w:pPr>
        <w:tabs>
          <w:tab w:val="left" w:pos="567"/>
        </w:tabs>
        <w:autoSpaceDE w:val="0"/>
        <w:autoSpaceDN w:val="0"/>
        <w:adjustRightInd w:val="0"/>
        <w:spacing w:line="480" w:lineRule="auto"/>
        <w:rPr>
          <w:i/>
          <w:color w:val="000000" w:themeColor="text1"/>
        </w:rPr>
      </w:pPr>
    </w:p>
    <w:p w14:paraId="36714673" w14:textId="47AAD79E" w:rsidR="00D00069" w:rsidRPr="00A317BE" w:rsidRDefault="00EB00D8" w:rsidP="00A317BE">
      <w:pPr>
        <w:tabs>
          <w:tab w:val="left" w:pos="567"/>
        </w:tabs>
        <w:autoSpaceDE w:val="0"/>
        <w:autoSpaceDN w:val="0"/>
        <w:adjustRightInd w:val="0"/>
        <w:spacing w:line="480" w:lineRule="auto"/>
        <w:ind w:left="567"/>
        <w:rPr>
          <w:i/>
          <w:color w:val="000000" w:themeColor="text1"/>
        </w:rPr>
      </w:pPr>
      <w:r w:rsidRPr="00A317BE">
        <w:rPr>
          <w:iCs/>
          <w:color w:val="000000" w:themeColor="text1"/>
        </w:rPr>
        <w:t>[</w:t>
      </w:r>
      <w:r w:rsidR="00565FB5" w:rsidRPr="00A317BE">
        <w:rPr>
          <w:iCs/>
          <w:color w:val="000000" w:themeColor="text1"/>
        </w:rPr>
        <w:t>27</w:t>
      </w:r>
      <w:r w:rsidR="00A91C01" w:rsidRPr="00A317BE">
        <w:rPr>
          <w:i/>
          <w:color w:val="000000" w:themeColor="text1"/>
        </w:rPr>
        <w:t>.</w:t>
      </w:r>
      <w:r w:rsidRPr="00A317BE">
        <w:rPr>
          <w:iCs/>
          <w:color w:val="000000" w:themeColor="text1"/>
        </w:rPr>
        <w:t>]</w:t>
      </w:r>
      <w:r w:rsidR="00565FB5" w:rsidRPr="00A317BE">
        <w:rPr>
          <w:i/>
          <w:color w:val="000000" w:themeColor="text1"/>
        </w:rPr>
        <w:t xml:space="preserve"> </w:t>
      </w:r>
      <w:r w:rsidR="00D00069" w:rsidRPr="00A317BE">
        <w:rPr>
          <w:iCs/>
          <w:color w:val="000000" w:themeColor="text1"/>
        </w:rPr>
        <w:t>Accordingly the formula of words in CPR 6.20(5)</w:t>
      </w:r>
      <w:r w:rsidR="00D00069" w:rsidRPr="00A317BE">
        <w:rPr>
          <w:i/>
          <w:color w:val="000000" w:themeColor="text1"/>
        </w:rPr>
        <w:t xml:space="preserve"> “in respect of a contract” does not require that the claim arises under a contract: it requires only that the claim relates to or is connected with the contract</w:t>
      </w:r>
      <w:r w:rsidR="00D00069" w:rsidRPr="00A317BE">
        <w:rPr>
          <w:color w:val="000000" w:themeColor="text1"/>
        </w:rPr>
        <w:t>. That is the clear and unambiguous meaning of the words used. No reference is necessary</w:t>
      </w:r>
      <w:r w:rsidR="001E43FD" w:rsidRPr="00A317BE">
        <w:rPr>
          <w:color w:val="000000" w:themeColor="text1"/>
        </w:rPr>
        <w:t xml:space="preserve"> </w:t>
      </w:r>
      <w:r w:rsidR="00D00069" w:rsidRPr="00A317BE">
        <w:rPr>
          <w:color w:val="000000" w:themeColor="text1"/>
        </w:rPr>
        <w:t xml:space="preserve">for this purpose to authority and none were cited beyond </w:t>
      </w:r>
      <w:r w:rsidR="00D00069" w:rsidRPr="00A317BE">
        <w:rPr>
          <w:i/>
          <w:color w:val="000000" w:themeColor="text1"/>
        </w:rPr>
        <w:t>Tatam v. Reeve</w:t>
      </w:r>
      <w:r w:rsidR="00D00069" w:rsidRPr="00A317BE">
        <w:rPr>
          <w:color w:val="000000" w:themeColor="text1"/>
        </w:rPr>
        <w:t xml:space="preserve"> [1893] 1QB 44 . If such</w:t>
      </w:r>
      <w:r w:rsidR="001E43FD" w:rsidRPr="00A317BE">
        <w:rPr>
          <w:color w:val="000000" w:themeColor="text1"/>
        </w:rPr>
        <w:t xml:space="preserve"> </w:t>
      </w:r>
      <w:r w:rsidR="00D00069" w:rsidRPr="00A317BE">
        <w:rPr>
          <w:color w:val="000000" w:themeColor="text1"/>
        </w:rPr>
        <w:t xml:space="preserve">reference were needed, I would find support in a passage which I found after I had reserved </w:t>
      </w:r>
      <w:r w:rsidR="001E43FD" w:rsidRPr="00A317BE">
        <w:rPr>
          <w:color w:val="000000" w:themeColor="text1"/>
        </w:rPr>
        <w:t xml:space="preserve">judgment </w:t>
      </w:r>
      <w:r w:rsidR="00D00069" w:rsidRPr="00A317BE">
        <w:rPr>
          <w:color w:val="000000" w:themeColor="text1"/>
        </w:rPr>
        <w:t xml:space="preserve">in the judgment of Mann CJ in </w:t>
      </w:r>
      <w:r w:rsidR="00D00069" w:rsidRPr="00A317BE">
        <w:rPr>
          <w:i/>
          <w:color w:val="000000" w:themeColor="text1"/>
        </w:rPr>
        <w:t>Trustees Executors and Agency Co Ltd v Reilly</w:t>
      </w:r>
      <w:r w:rsidR="00D00069" w:rsidRPr="00A317BE">
        <w:rPr>
          <w:color w:val="000000" w:themeColor="text1"/>
        </w:rPr>
        <w:t xml:space="preserve"> [1941] VLR 110</w:t>
      </w:r>
      <w:r w:rsidR="001E43FD" w:rsidRPr="00A317BE">
        <w:rPr>
          <w:color w:val="000000" w:themeColor="text1"/>
        </w:rPr>
        <w:t xml:space="preserve"> </w:t>
      </w:r>
      <w:r w:rsidR="00D00069" w:rsidRPr="00A317BE">
        <w:rPr>
          <w:color w:val="000000" w:themeColor="text1"/>
        </w:rPr>
        <w:t>at 111:‘</w:t>
      </w:r>
      <w:r w:rsidR="00D00069" w:rsidRPr="00A317BE">
        <w:rPr>
          <w:i/>
          <w:color w:val="000000" w:themeColor="text1"/>
        </w:rPr>
        <w:t>The words ‘in respect of’ are difficult of definition, but they have the</w:t>
      </w:r>
      <w:r w:rsidR="001E43FD" w:rsidRPr="00A317BE">
        <w:rPr>
          <w:i/>
          <w:color w:val="000000" w:themeColor="text1"/>
        </w:rPr>
        <w:t xml:space="preserve"> </w:t>
      </w:r>
      <w:r w:rsidR="00D00069" w:rsidRPr="00A317BE">
        <w:rPr>
          <w:i/>
          <w:color w:val="000000" w:themeColor="text1"/>
        </w:rPr>
        <w:t>widest possible meaning</w:t>
      </w:r>
      <w:r w:rsidR="00D00069" w:rsidRPr="00A317BE">
        <w:rPr>
          <w:color w:val="000000" w:themeColor="text1"/>
        </w:rPr>
        <w:t xml:space="preserve"> of any expression intended to convey some</w:t>
      </w:r>
      <w:r w:rsidR="001E43FD" w:rsidRPr="00A317BE">
        <w:rPr>
          <w:color w:val="000000" w:themeColor="text1"/>
        </w:rPr>
        <w:t xml:space="preserve"> </w:t>
      </w:r>
      <w:r w:rsidR="00D00069" w:rsidRPr="00A317BE">
        <w:rPr>
          <w:color w:val="000000" w:themeColor="text1"/>
        </w:rPr>
        <w:t>connection or relation between the two subject-matters to which the</w:t>
      </w:r>
      <w:r w:rsidR="001E43FD" w:rsidRPr="00A317BE">
        <w:rPr>
          <w:color w:val="000000" w:themeColor="text1"/>
        </w:rPr>
        <w:t xml:space="preserve"> </w:t>
      </w:r>
      <w:r w:rsidR="00D00069" w:rsidRPr="00A317BE">
        <w:rPr>
          <w:color w:val="000000" w:themeColor="text1"/>
        </w:rPr>
        <w:t>words refer.’ ”</w:t>
      </w:r>
      <w:r w:rsidR="005A79BB" w:rsidRPr="00A317BE">
        <w:rPr>
          <w:color w:val="000000" w:themeColor="text1"/>
        </w:rPr>
        <w:t>(Emphasis added</w:t>
      </w:r>
      <w:r w:rsidR="005A79BB" w:rsidRPr="00A317BE">
        <w:rPr>
          <w:iCs/>
          <w:color w:val="000000" w:themeColor="text1"/>
        </w:rPr>
        <w:t>)</w:t>
      </w:r>
    </w:p>
    <w:p w14:paraId="4ED1575D" w14:textId="77777777" w:rsidR="00A91C01" w:rsidRPr="00A317BE" w:rsidRDefault="00A91C01" w:rsidP="00A317BE">
      <w:pPr>
        <w:tabs>
          <w:tab w:val="left" w:pos="567"/>
        </w:tabs>
        <w:autoSpaceDE w:val="0"/>
        <w:autoSpaceDN w:val="0"/>
        <w:adjustRightInd w:val="0"/>
        <w:ind w:left="567"/>
        <w:rPr>
          <w:color w:val="000000" w:themeColor="text1"/>
        </w:rPr>
      </w:pPr>
    </w:p>
    <w:p w14:paraId="7FFA7B46" w14:textId="3AC125CA" w:rsidR="00F40621" w:rsidRPr="00A317BE" w:rsidRDefault="00F40621" w:rsidP="00A317BE">
      <w:pPr>
        <w:pStyle w:val="ListParagraph"/>
        <w:numPr>
          <w:ilvl w:val="0"/>
          <w:numId w:val="23"/>
        </w:numPr>
        <w:tabs>
          <w:tab w:val="left" w:pos="567"/>
        </w:tabs>
        <w:autoSpaceDE w:val="0"/>
        <w:autoSpaceDN w:val="0"/>
        <w:adjustRightInd w:val="0"/>
        <w:ind w:left="0" w:firstLine="0"/>
        <w:jc w:val="left"/>
        <w:rPr>
          <w:color w:val="000000" w:themeColor="text1"/>
        </w:rPr>
      </w:pPr>
      <w:r w:rsidRPr="00A317BE">
        <w:rPr>
          <w:color w:val="000000" w:themeColor="text1"/>
        </w:rPr>
        <w:t>The difference in wording as between the Irish and</w:t>
      </w:r>
      <w:r w:rsidR="00E34A7E" w:rsidRPr="00A317BE">
        <w:rPr>
          <w:color w:val="000000" w:themeColor="text1"/>
        </w:rPr>
        <w:t xml:space="preserve"> the (modern)</w:t>
      </w:r>
      <w:r w:rsidRPr="00A317BE">
        <w:rPr>
          <w:color w:val="000000" w:themeColor="text1"/>
        </w:rPr>
        <w:t xml:space="preserve"> English “contract”</w:t>
      </w:r>
      <w:r w:rsidR="00A91C01" w:rsidRPr="00A317BE">
        <w:rPr>
          <w:color w:val="000000" w:themeColor="text1"/>
        </w:rPr>
        <w:t xml:space="preserve"> </w:t>
      </w:r>
      <w:r w:rsidRPr="00A317BE">
        <w:rPr>
          <w:color w:val="000000" w:themeColor="text1"/>
        </w:rPr>
        <w:t>gateways</w:t>
      </w:r>
      <w:r w:rsidR="00E34A7E" w:rsidRPr="00A317BE">
        <w:rPr>
          <w:color w:val="000000" w:themeColor="text1"/>
        </w:rPr>
        <w:t xml:space="preserve"> for service out of the jurisdiction</w:t>
      </w:r>
      <w:r w:rsidR="00A91C01" w:rsidRPr="00A317BE">
        <w:rPr>
          <w:color w:val="000000" w:themeColor="text1"/>
        </w:rPr>
        <w:t xml:space="preserve"> </w:t>
      </w:r>
      <w:r w:rsidR="004D5746" w:rsidRPr="00A317BE">
        <w:rPr>
          <w:color w:val="000000" w:themeColor="text1"/>
        </w:rPr>
        <w:t>was not mentioned</w:t>
      </w:r>
      <w:r w:rsidR="00A91C01" w:rsidRPr="00A317BE">
        <w:rPr>
          <w:color w:val="000000" w:themeColor="text1"/>
        </w:rPr>
        <w:t>,</w:t>
      </w:r>
      <w:r w:rsidR="004D5746" w:rsidRPr="00A317BE">
        <w:rPr>
          <w:color w:val="000000" w:themeColor="text1"/>
        </w:rPr>
        <w:t xml:space="preserve"> let alone </w:t>
      </w:r>
      <w:r w:rsidR="00446B72" w:rsidRPr="00A317BE">
        <w:rPr>
          <w:color w:val="000000" w:themeColor="text1"/>
        </w:rPr>
        <w:t xml:space="preserve">the subject of any </w:t>
      </w:r>
      <w:r w:rsidR="004D5746" w:rsidRPr="00A317BE">
        <w:rPr>
          <w:color w:val="000000" w:themeColor="text1"/>
        </w:rPr>
        <w:t>argu</w:t>
      </w:r>
      <w:r w:rsidR="00446B72" w:rsidRPr="00A317BE">
        <w:rPr>
          <w:color w:val="000000" w:themeColor="text1"/>
        </w:rPr>
        <w:t>ment</w:t>
      </w:r>
      <w:r w:rsidR="004D5746" w:rsidRPr="00A317BE">
        <w:rPr>
          <w:color w:val="000000" w:themeColor="text1"/>
        </w:rPr>
        <w:t xml:space="preserve"> in this case, </w:t>
      </w:r>
      <w:r w:rsidR="0063202D" w:rsidRPr="00A317BE">
        <w:rPr>
          <w:color w:val="000000" w:themeColor="text1"/>
        </w:rPr>
        <w:t xml:space="preserve">and I </w:t>
      </w:r>
      <w:r w:rsidR="002A3CE0" w:rsidRPr="00A317BE">
        <w:rPr>
          <w:color w:val="000000" w:themeColor="text1"/>
        </w:rPr>
        <w:t>merely point out that it is one of a number of issues that might require to be teased out in an a</w:t>
      </w:r>
      <w:r w:rsidR="000B3330" w:rsidRPr="00A317BE">
        <w:rPr>
          <w:color w:val="000000" w:themeColor="text1"/>
        </w:rPr>
        <w:t>nother</w:t>
      </w:r>
      <w:r w:rsidR="002A3CE0" w:rsidRPr="00A317BE">
        <w:rPr>
          <w:color w:val="000000" w:themeColor="text1"/>
        </w:rPr>
        <w:t xml:space="preserve"> case.</w:t>
      </w:r>
    </w:p>
    <w:p w14:paraId="06860DCC" w14:textId="77777777" w:rsidR="00D00069" w:rsidRPr="00A317BE" w:rsidRDefault="00D00069" w:rsidP="00A317BE">
      <w:pPr>
        <w:tabs>
          <w:tab w:val="left" w:pos="567"/>
        </w:tabs>
        <w:autoSpaceDE w:val="0"/>
        <w:autoSpaceDN w:val="0"/>
        <w:adjustRightInd w:val="0"/>
        <w:spacing w:line="480" w:lineRule="auto"/>
        <w:rPr>
          <w:i/>
          <w:color w:val="000000" w:themeColor="text1"/>
        </w:rPr>
      </w:pPr>
    </w:p>
    <w:p w14:paraId="1F96BF0D" w14:textId="1ED37733" w:rsidR="00B64A64" w:rsidRPr="00A317BE" w:rsidRDefault="00902965" w:rsidP="00A317BE">
      <w:pPr>
        <w:pStyle w:val="ListParagraph"/>
        <w:numPr>
          <w:ilvl w:val="0"/>
          <w:numId w:val="23"/>
        </w:numPr>
        <w:tabs>
          <w:tab w:val="left" w:pos="567"/>
        </w:tabs>
        <w:autoSpaceDE w:val="0"/>
        <w:autoSpaceDN w:val="0"/>
        <w:adjustRightInd w:val="0"/>
        <w:ind w:left="0" w:firstLine="0"/>
        <w:rPr>
          <w:color w:val="000000" w:themeColor="text1"/>
        </w:rPr>
      </w:pPr>
      <w:r w:rsidRPr="00A317BE">
        <w:rPr>
          <w:color w:val="000000" w:themeColor="text1"/>
        </w:rPr>
        <w:t>I hope that the</w:t>
      </w:r>
      <w:r w:rsidR="006E4997" w:rsidRPr="00A317BE">
        <w:rPr>
          <w:color w:val="000000" w:themeColor="text1"/>
        </w:rPr>
        <w:t xml:space="preserve"> above discussion is sufficient to show that, even if the appellant has an arguable claim in </w:t>
      </w:r>
      <w:r w:rsidR="006E4997" w:rsidRPr="00A317BE">
        <w:rPr>
          <w:i/>
          <w:color w:val="000000" w:themeColor="text1"/>
        </w:rPr>
        <w:t>quantum meruit</w:t>
      </w:r>
      <w:r w:rsidR="00BD4C50" w:rsidRPr="00A317BE">
        <w:rPr>
          <w:i/>
          <w:color w:val="000000" w:themeColor="text1"/>
        </w:rPr>
        <w:t xml:space="preserve"> </w:t>
      </w:r>
      <w:r w:rsidR="00BD4C50" w:rsidRPr="00A317BE">
        <w:rPr>
          <w:color w:val="000000" w:themeColor="text1"/>
        </w:rPr>
        <w:t>“on the merits”</w:t>
      </w:r>
      <w:r w:rsidR="006E4997" w:rsidRPr="00A317BE">
        <w:rPr>
          <w:i/>
          <w:color w:val="000000" w:themeColor="text1"/>
        </w:rPr>
        <w:t xml:space="preserve">, </w:t>
      </w:r>
      <w:r w:rsidR="006E4997" w:rsidRPr="00A317BE">
        <w:rPr>
          <w:color w:val="000000" w:themeColor="text1"/>
        </w:rPr>
        <w:t xml:space="preserve">the question of whether </w:t>
      </w:r>
      <w:r w:rsidR="00146421" w:rsidRPr="00A317BE">
        <w:rPr>
          <w:color w:val="000000" w:themeColor="text1"/>
        </w:rPr>
        <w:t>this</w:t>
      </w:r>
      <w:r w:rsidR="006E4997" w:rsidRPr="00A317BE">
        <w:rPr>
          <w:color w:val="000000" w:themeColor="text1"/>
        </w:rPr>
        <w:t xml:space="preserve"> claim fits within the Order 11(1)(e) gateway is not at all self-evident. </w:t>
      </w:r>
      <w:r w:rsidR="00B038BA" w:rsidRPr="00A317BE">
        <w:rPr>
          <w:color w:val="000000" w:themeColor="text1"/>
        </w:rPr>
        <w:t>It is unfortunate that neither party to the appeal addressed this issue</w:t>
      </w:r>
      <w:r w:rsidR="00885B12" w:rsidRPr="00A317BE">
        <w:rPr>
          <w:color w:val="000000" w:themeColor="text1"/>
        </w:rPr>
        <w:t xml:space="preserve"> with reference to authority</w:t>
      </w:r>
      <w:r w:rsidR="00B038BA" w:rsidRPr="00A317BE">
        <w:rPr>
          <w:color w:val="000000" w:themeColor="text1"/>
        </w:rPr>
        <w:t xml:space="preserve">. </w:t>
      </w:r>
      <w:r w:rsidR="00992B11" w:rsidRPr="00A317BE">
        <w:rPr>
          <w:color w:val="000000" w:themeColor="text1"/>
        </w:rPr>
        <w:t>I have considerable sympathy for the appellant</w:t>
      </w:r>
      <w:r w:rsidR="00EB00D8" w:rsidRPr="00A317BE">
        <w:rPr>
          <w:color w:val="000000" w:themeColor="text1"/>
        </w:rPr>
        <w:t>,</w:t>
      </w:r>
      <w:r w:rsidR="00992B11" w:rsidRPr="00A317BE">
        <w:rPr>
          <w:color w:val="000000" w:themeColor="text1"/>
        </w:rPr>
        <w:t xml:space="preserve"> who has averred that she carried out a considerable amount of work on the </w:t>
      </w:r>
      <w:r w:rsidR="00992B11" w:rsidRPr="00A317BE">
        <w:rPr>
          <w:color w:val="000000" w:themeColor="text1"/>
        </w:rPr>
        <w:lastRenderedPageBreak/>
        <w:t>Project at the respondent’s request and was never paid for it. These facts were not disputed by the respondent</w:t>
      </w:r>
      <w:r w:rsidR="00551B1D" w:rsidRPr="00A317BE">
        <w:rPr>
          <w:color w:val="000000" w:themeColor="text1"/>
        </w:rPr>
        <w:t xml:space="preserve"> on affidavit</w:t>
      </w:r>
      <w:r w:rsidR="00992B11" w:rsidRPr="00A317BE">
        <w:rPr>
          <w:color w:val="000000" w:themeColor="text1"/>
        </w:rPr>
        <w:t>. However,</w:t>
      </w:r>
      <w:r w:rsidR="00320137" w:rsidRPr="00A317BE">
        <w:rPr>
          <w:color w:val="000000" w:themeColor="text1"/>
        </w:rPr>
        <w:t xml:space="preserve"> we are here dealing only with a jurisdictional issue and the question of service out of the jurisdiction.</w:t>
      </w:r>
      <w:r w:rsidR="00D92984" w:rsidRPr="00A317BE">
        <w:rPr>
          <w:color w:val="000000" w:themeColor="text1"/>
        </w:rPr>
        <w:t xml:space="preserve"> </w:t>
      </w:r>
      <w:r w:rsidR="00251A37" w:rsidRPr="00A317BE">
        <w:rPr>
          <w:color w:val="000000" w:themeColor="text1"/>
        </w:rPr>
        <w:t xml:space="preserve">To my mind, it is clear that no actual </w:t>
      </w:r>
      <w:r w:rsidR="00B36B37" w:rsidRPr="00A317BE">
        <w:rPr>
          <w:color w:val="000000" w:themeColor="text1"/>
        </w:rPr>
        <w:t>amount or method</w:t>
      </w:r>
      <w:r w:rsidR="00251A37" w:rsidRPr="00A317BE">
        <w:rPr>
          <w:color w:val="000000" w:themeColor="text1"/>
        </w:rPr>
        <w:t xml:space="preserve"> of payment was agreed </w:t>
      </w:r>
      <w:r w:rsidR="00EB00D8" w:rsidRPr="00A317BE">
        <w:rPr>
          <w:color w:val="000000" w:themeColor="text1"/>
        </w:rPr>
        <w:t>up</w:t>
      </w:r>
      <w:r w:rsidR="00251A37" w:rsidRPr="00A317BE">
        <w:rPr>
          <w:color w:val="000000" w:themeColor="text1"/>
        </w:rPr>
        <w:t xml:space="preserve">on between the appellant and the respondent </w:t>
      </w:r>
      <w:r w:rsidR="00F77980" w:rsidRPr="00A317BE">
        <w:rPr>
          <w:color w:val="000000" w:themeColor="text1"/>
        </w:rPr>
        <w:t>with regard to</w:t>
      </w:r>
      <w:r w:rsidR="00251A37" w:rsidRPr="00A317BE">
        <w:rPr>
          <w:color w:val="000000" w:themeColor="text1"/>
        </w:rPr>
        <w:t xml:space="preserve"> her Project work; and </w:t>
      </w:r>
      <w:r w:rsidR="004B1940" w:rsidRPr="00A317BE">
        <w:rPr>
          <w:color w:val="000000" w:themeColor="text1"/>
        </w:rPr>
        <w:t>one of the strongest themes in the appellant’s submissions was that she did th</w:t>
      </w:r>
      <w:r w:rsidR="00704F20" w:rsidRPr="00A317BE">
        <w:rPr>
          <w:color w:val="000000" w:themeColor="text1"/>
        </w:rPr>
        <w:t>is</w:t>
      </w:r>
      <w:r w:rsidR="004B1940" w:rsidRPr="00A317BE">
        <w:rPr>
          <w:color w:val="000000" w:themeColor="text1"/>
        </w:rPr>
        <w:t xml:space="preserve"> work in the hope that she might in future receive a full-time position</w:t>
      </w:r>
      <w:r w:rsidR="00251A37" w:rsidRPr="00A317BE">
        <w:rPr>
          <w:color w:val="000000" w:themeColor="text1"/>
        </w:rPr>
        <w:t>. To my</w:t>
      </w:r>
      <w:r w:rsidR="0065272C" w:rsidRPr="00A317BE">
        <w:rPr>
          <w:color w:val="000000" w:themeColor="text1"/>
        </w:rPr>
        <w:t xml:space="preserve"> mind</w:t>
      </w:r>
      <w:r w:rsidR="007B07D8" w:rsidRPr="00A317BE">
        <w:rPr>
          <w:color w:val="000000" w:themeColor="text1"/>
        </w:rPr>
        <w:t>, this</w:t>
      </w:r>
      <w:r w:rsidR="004B1940" w:rsidRPr="00A317BE">
        <w:rPr>
          <w:color w:val="000000" w:themeColor="text1"/>
        </w:rPr>
        <w:t xml:space="preserve"> is in reality an unjust enrichment claim</w:t>
      </w:r>
      <w:r w:rsidR="0065272C" w:rsidRPr="00A317BE">
        <w:rPr>
          <w:color w:val="000000" w:themeColor="text1"/>
        </w:rPr>
        <w:t xml:space="preserve"> rather than a claim derived from a contract.</w:t>
      </w:r>
      <w:r w:rsidR="002825DF" w:rsidRPr="00A317BE">
        <w:rPr>
          <w:color w:val="000000" w:themeColor="text1"/>
        </w:rPr>
        <w:t xml:space="preserve"> If so, there is no obvious gateway available to her under Order 11(1)</w:t>
      </w:r>
      <w:r w:rsidR="00DF036C" w:rsidRPr="00A317BE">
        <w:rPr>
          <w:color w:val="000000" w:themeColor="text1"/>
        </w:rPr>
        <w:t>, and the</w:t>
      </w:r>
      <w:r w:rsidR="0065272C" w:rsidRPr="00A317BE">
        <w:rPr>
          <w:color w:val="000000" w:themeColor="text1"/>
        </w:rPr>
        <w:t xml:space="preserve"> burden </w:t>
      </w:r>
      <w:r w:rsidR="00DF036C" w:rsidRPr="00A317BE">
        <w:rPr>
          <w:color w:val="000000" w:themeColor="text1"/>
        </w:rPr>
        <w:t>falls</w:t>
      </w:r>
      <w:r w:rsidR="0065272C" w:rsidRPr="00A317BE">
        <w:rPr>
          <w:color w:val="000000" w:themeColor="text1"/>
        </w:rPr>
        <w:t xml:space="preserve"> upon the appellant to show a good arguable case that she falls within an Order 11(1) gateway</w:t>
      </w:r>
      <w:r w:rsidR="00B959AB" w:rsidRPr="00A317BE">
        <w:rPr>
          <w:color w:val="000000" w:themeColor="text1"/>
        </w:rPr>
        <w:t>.</w:t>
      </w:r>
    </w:p>
    <w:p w14:paraId="0A765709" w14:textId="77777777" w:rsidR="00B64A64" w:rsidRPr="00A317BE" w:rsidRDefault="00B64A64" w:rsidP="00F26376">
      <w:pPr>
        <w:pStyle w:val="ListParagraph"/>
        <w:tabs>
          <w:tab w:val="left" w:pos="567"/>
        </w:tabs>
        <w:autoSpaceDE w:val="0"/>
        <w:autoSpaceDN w:val="0"/>
        <w:adjustRightInd w:val="0"/>
        <w:ind w:left="0"/>
        <w:rPr>
          <w:color w:val="000000" w:themeColor="text1"/>
        </w:rPr>
      </w:pPr>
    </w:p>
    <w:p w14:paraId="7F9C16FD" w14:textId="0142F77A" w:rsidR="00794FCB" w:rsidRPr="00A317BE" w:rsidRDefault="00B91DED" w:rsidP="00A317BE">
      <w:pPr>
        <w:pStyle w:val="ListParagraph"/>
        <w:numPr>
          <w:ilvl w:val="0"/>
          <w:numId w:val="23"/>
        </w:numPr>
        <w:tabs>
          <w:tab w:val="left" w:pos="567"/>
        </w:tabs>
        <w:autoSpaceDE w:val="0"/>
        <w:autoSpaceDN w:val="0"/>
        <w:adjustRightInd w:val="0"/>
        <w:ind w:left="0" w:firstLine="0"/>
        <w:rPr>
          <w:color w:val="000000" w:themeColor="text1"/>
        </w:rPr>
      </w:pPr>
      <w:r w:rsidRPr="00A317BE">
        <w:rPr>
          <w:color w:val="000000" w:themeColor="text1"/>
        </w:rPr>
        <w:t>As regards the appellant’s claim in respect of payment for the Project work she carried out, I have reached</w:t>
      </w:r>
      <w:r w:rsidR="002F163D" w:rsidRPr="00A317BE">
        <w:rPr>
          <w:color w:val="000000" w:themeColor="text1"/>
        </w:rPr>
        <w:t xml:space="preserve"> the following conclusion</w:t>
      </w:r>
      <w:r w:rsidR="00545E77" w:rsidRPr="00A317BE">
        <w:rPr>
          <w:color w:val="000000" w:themeColor="text1"/>
        </w:rPr>
        <w:t>s</w:t>
      </w:r>
      <w:r w:rsidR="002F163D" w:rsidRPr="00A317BE">
        <w:rPr>
          <w:color w:val="000000" w:themeColor="text1"/>
        </w:rPr>
        <w:t>.</w:t>
      </w:r>
      <w:r w:rsidR="00B64A64" w:rsidRPr="00A317BE">
        <w:rPr>
          <w:color w:val="000000" w:themeColor="text1"/>
        </w:rPr>
        <w:t xml:space="preserve"> </w:t>
      </w:r>
      <w:r w:rsidR="00B959AB" w:rsidRPr="00A317BE">
        <w:rPr>
          <w:color w:val="000000" w:themeColor="text1"/>
        </w:rPr>
        <w:t xml:space="preserve"> </w:t>
      </w:r>
      <w:r w:rsidR="0065272C" w:rsidRPr="00A317BE">
        <w:rPr>
          <w:color w:val="000000" w:themeColor="text1"/>
        </w:rPr>
        <w:t xml:space="preserve"> </w:t>
      </w:r>
      <w:r w:rsidR="0031015C" w:rsidRPr="00A317BE">
        <w:rPr>
          <w:color w:val="000000" w:themeColor="text1"/>
        </w:rPr>
        <w:t>I</w:t>
      </w:r>
      <w:r w:rsidR="00545E77" w:rsidRPr="00A317BE">
        <w:rPr>
          <w:color w:val="000000" w:themeColor="text1"/>
        </w:rPr>
        <w:t>n the first instance,</w:t>
      </w:r>
      <w:r w:rsidR="00245FCD" w:rsidRPr="00A317BE">
        <w:rPr>
          <w:color w:val="000000" w:themeColor="text1"/>
        </w:rPr>
        <w:t xml:space="preserve"> </w:t>
      </w:r>
      <w:r w:rsidR="00545E77" w:rsidRPr="00A317BE">
        <w:rPr>
          <w:color w:val="000000" w:themeColor="text1"/>
        </w:rPr>
        <w:t>I</w:t>
      </w:r>
      <w:r w:rsidR="0031015C" w:rsidRPr="00A317BE">
        <w:rPr>
          <w:color w:val="000000" w:themeColor="text1"/>
        </w:rPr>
        <w:t xml:space="preserve"> am not satisfied that the appellant has</w:t>
      </w:r>
      <w:r w:rsidR="00245FCD" w:rsidRPr="00A317BE">
        <w:rPr>
          <w:color w:val="000000" w:themeColor="text1"/>
        </w:rPr>
        <w:t xml:space="preserve"> reached the threshold required “on the merits” with regard to her claim on the basis of a contract, whether one describes that threshold as “a serious issue to be tried”, or a claim which has “reality in law or in fact” or is “reasonably capable of being proven” or a “good arguable case” (</w:t>
      </w:r>
      <w:r w:rsidR="001C0268" w:rsidRPr="00A317BE">
        <w:rPr>
          <w:color w:val="000000" w:themeColor="text1"/>
        </w:rPr>
        <w:t>being the various descriptions of the threshold set out</w:t>
      </w:r>
      <w:r w:rsidR="00245FCD" w:rsidRPr="00A317BE">
        <w:rPr>
          <w:color w:val="000000" w:themeColor="text1"/>
        </w:rPr>
        <w:t xml:space="preserve"> in </w:t>
      </w:r>
      <w:r w:rsidR="00245FCD" w:rsidRPr="00A317BE">
        <w:rPr>
          <w:i/>
          <w:color w:val="000000" w:themeColor="text1"/>
        </w:rPr>
        <w:t>Analog Devices</w:t>
      </w:r>
      <w:r w:rsidR="00E47692" w:rsidRPr="00A317BE">
        <w:rPr>
          <w:i/>
          <w:color w:val="000000" w:themeColor="text1"/>
        </w:rPr>
        <w:t xml:space="preserve"> </w:t>
      </w:r>
      <w:r w:rsidR="00E47692" w:rsidRPr="00A317BE">
        <w:rPr>
          <w:color w:val="000000" w:themeColor="text1"/>
        </w:rPr>
        <w:t>and</w:t>
      </w:r>
      <w:r w:rsidR="00245FCD" w:rsidRPr="00A317BE">
        <w:rPr>
          <w:i/>
          <w:color w:val="000000" w:themeColor="text1"/>
        </w:rPr>
        <w:t xml:space="preserve"> IBRC v. Quinn, </w:t>
      </w:r>
      <w:r w:rsidR="00245FCD" w:rsidRPr="00A317BE">
        <w:rPr>
          <w:color w:val="000000" w:themeColor="text1"/>
        </w:rPr>
        <w:t>and discussed in</w:t>
      </w:r>
      <w:r w:rsidR="00245FCD" w:rsidRPr="00A317BE">
        <w:rPr>
          <w:i/>
          <w:color w:val="000000" w:themeColor="text1"/>
        </w:rPr>
        <w:t xml:space="preserve"> Microsoft and Trafalgar)</w:t>
      </w:r>
      <w:r w:rsidR="00245FCD" w:rsidRPr="00A317BE">
        <w:rPr>
          <w:color w:val="000000" w:themeColor="text1"/>
        </w:rPr>
        <w:t xml:space="preserve">. </w:t>
      </w:r>
      <w:r w:rsidR="00545E77" w:rsidRPr="00A317BE">
        <w:rPr>
          <w:color w:val="000000" w:themeColor="text1"/>
        </w:rPr>
        <w:t>Secondly, I am not satisfied that the appellant has established a</w:t>
      </w:r>
      <w:r w:rsidR="002825DF" w:rsidRPr="00A317BE">
        <w:rPr>
          <w:color w:val="000000" w:themeColor="text1"/>
        </w:rPr>
        <w:t xml:space="preserve"> good arguable case</w:t>
      </w:r>
      <w:r w:rsidR="0031015C" w:rsidRPr="00A317BE">
        <w:rPr>
          <w:color w:val="000000" w:themeColor="text1"/>
        </w:rPr>
        <w:t xml:space="preserve"> that any claim that she may have in </w:t>
      </w:r>
      <w:r w:rsidR="0031015C" w:rsidRPr="00A317BE">
        <w:rPr>
          <w:i/>
          <w:color w:val="000000" w:themeColor="text1"/>
        </w:rPr>
        <w:t xml:space="preserve">quantum meruit </w:t>
      </w:r>
      <w:r w:rsidR="0031015C" w:rsidRPr="00A317BE">
        <w:rPr>
          <w:color w:val="000000" w:themeColor="text1"/>
        </w:rPr>
        <w:t xml:space="preserve">falls within </w:t>
      </w:r>
      <w:r w:rsidR="0065272C" w:rsidRPr="00A317BE">
        <w:rPr>
          <w:color w:val="000000" w:themeColor="text1"/>
        </w:rPr>
        <w:t xml:space="preserve">the “contract” gateway as set out in </w:t>
      </w:r>
      <w:r w:rsidR="0031015C" w:rsidRPr="00A317BE">
        <w:rPr>
          <w:color w:val="000000" w:themeColor="text1"/>
        </w:rPr>
        <w:t>Order 11(1)(e</w:t>
      </w:r>
      <w:r w:rsidR="008F2FEF" w:rsidRPr="00A317BE">
        <w:rPr>
          <w:color w:val="000000" w:themeColor="text1"/>
        </w:rPr>
        <w:t>)</w:t>
      </w:r>
      <w:r w:rsidR="00D26B40" w:rsidRPr="00A317BE">
        <w:rPr>
          <w:color w:val="000000" w:themeColor="text1"/>
        </w:rPr>
        <w:t>.</w:t>
      </w:r>
      <w:r w:rsidR="003869E8" w:rsidRPr="00A317BE">
        <w:rPr>
          <w:color w:val="000000" w:themeColor="text1"/>
        </w:rPr>
        <w:t xml:space="preserve"> </w:t>
      </w:r>
    </w:p>
    <w:p w14:paraId="223CA45C" w14:textId="77777777" w:rsidR="00685238" w:rsidRPr="00A317BE" w:rsidRDefault="00685238" w:rsidP="00F26376">
      <w:pPr>
        <w:pStyle w:val="ListParagraph"/>
        <w:tabs>
          <w:tab w:val="left" w:pos="567"/>
        </w:tabs>
        <w:autoSpaceDE w:val="0"/>
        <w:autoSpaceDN w:val="0"/>
        <w:adjustRightInd w:val="0"/>
        <w:ind w:left="0"/>
        <w:rPr>
          <w:color w:val="000000" w:themeColor="text1"/>
        </w:rPr>
      </w:pPr>
    </w:p>
    <w:p w14:paraId="2FE72ED1" w14:textId="2165A104" w:rsidR="00247A67" w:rsidRPr="00A317BE" w:rsidRDefault="00247A67" w:rsidP="00A317BE">
      <w:pPr>
        <w:pStyle w:val="ListParagraph"/>
        <w:numPr>
          <w:ilvl w:val="0"/>
          <w:numId w:val="23"/>
        </w:numPr>
        <w:tabs>
          <w:tab w:val="left" w:pos="567"/>
        </w:tabs>
        <w:ind w:left="0" w:firstLine="0"/>
        <w:rPr>
          <w:color w:val="000000" w:themeColor="text1"/>
        </w:rPr>
      </w:pPr>
      <w:r w:rsidRPr="00A317BE">
        <w:rPr>
          <w:color w:val="000000" w:themeColor="text1"/>
        </w:rPr>
        <w:t>There is, additionally, a further problem in any event which, in my view, represents an insuperable obstacle to this jurisdiction b</w:t>
      </w:r>
      <w:r w:rsidR="009C3FC3" w:rsidRPr="00A317BE">
        <w:rPr>
          <w:color w:val="000000" w:themeColor="text1"/>
        </w:rPr>
        <w:t>eing</w:t>
      </w:r>
      <w:r w:rsidRPr="00A317BE">
        <w:rPr>
          <w:color w:val="000000" w:themeColor="text1"/>
        </w:rPr>
        <w:t xml:space="preserve"> the </w:t>
      </w:r>
      <w:r w:rsidRPr="00A317BE">
        <w:rPr>
          <w:i/>
          <w:color w:val="000000" w:themeColor="text1"/>
        </w:rPr>
        <w:t xml:space="preserve">forum conveniens </w:t>
      </w:r>
      <w:r w:rsidRPr="00A317BE">
        <w:rPr>
          <w:color w:val="000000" w:themeColor="text1"/>
        </w:rPr>
        <w:t xml:space="preserve">for the appellant’s claim for payment. The respondent maintains that the appellant resigned and that her resignation letter waived all claims for payment. </w:t>
      </w:r>
      <w:r w:rsidR="00E95C38" w:rsidRPr="00A317BE">
        <w:rPr>
          <w:color w:val="000000" w:themeColor="text1"/>
        </w:rPr>
        <w:t xml:space="preserve"> Even if the appellant could show an arguable case that </w:t>
      </w:r>
      <w:r w:rsidR="00E95C38" w:rsidRPr="00A317BE">
        <w:rPr>
          <w:color w:val="000000" w:themeColor="text1"/>
        </w:rPr>
        <w:lastRenderedPageBreak/>
        <w:t xml:space="preserve">she falls within Order 11(1)(e), contrary to what I have suggested above, </w:t>
      </w:r>
      <w:r w:rsidR="00EB3160" w:rsidRPr="00A317BE">
        <w:rPr>
          <w:color w:val="000000" w:themeColor="text1"/>
        </w:rPr>
        <w:t xml:space="preserve">the Court </w:t>
      </w:r>
      <w:r w:rsidR="000E09EA" w:rsidRPr="00A317BE">
        <w:rPr>
          <w:color w:val="000000" w:themeColor="text1"/>
        </w:rPr>
        <w:t>should in my view</w:t>
      </w:r>
      <w:r w:rsidR="00EB3160" w:rsidRPr="00A317BE">
        <w:rPr>
          <w:color w:val="000000" w:themeColor="text1"/>
        </w:rPr>
        <w:t xml:space="preserve"> exercise its discretion against accepting jurisdiction in circumstances where the ultimate outcome of the case would have to turn on the validity of the disputed resignation letter. </w:t>
      </w:r>
      <w:r w:rsidR="00CF6611" w:rsidRPr="00A317BE">
        <w:rPr>
          <w:color w:val="000000" w:themeColor="text1"/>
        </w:rPr>
        <w:t>On no version of the facts would the validity of her resignation from a New Zealand company be appropriately decided in this jurisdiction; and as that issue is closely linked to the validity of her claim for payment in respect of her Project work, this is not the appropriate jurisdiction for the trial of the dispute</w:t>
      </w:r>
      <w:r w:rsidR="00DB306A" w:rsidRPr="00A317BE">
        <w:rPr>
          <w:color w:val="000000" w:themeColor="text1"/>
        </w:rPr>
        <w:t>, despite the other connections to the jurisdiction such as that the appellant lives here and performed the work in question here</w:t>
      </w:r>
      <w:r w:rsidR="00CF6611" w:rsidRPr="00A317BE">
        <w:rPr>
          <w:color w:val="000000" w:themeColor="text1"/>
        </w:rPr>
        <w:t xml:space="preserve">. </w:t>
      </w:r>
    </w:p>
    <w:p w14:paraId="424030F4" w14:textId="77777777" w:rsidR="00086470" w:rsidRPr="00A317BE" w:rsidRDefault="00086470" w:rsidP="00A317BE">
      <w:pPr>
        <w:pStyle w:val="ListParagraph"/>
        <w:tabs>
          <w:tab w:val="left" w:pos="567"/>
        </w:tabs>
        <w:ind w:left="0"/>
        <w:rPr>
          <w:color w:val="000000" w:themeColor="text1"/>
        </w:rPr>
      </w:pPr>
    </w:p>
    <w:p w14:paraId="15DE8D0E" w14:textId="3D2C0F7C" w:rsidR="00F86DF6" w:rsidRPr="00A317BE" w:rsidRDefault="001919B3" w:rsidP="00A317BE">
      <w:pPr>
        <w:numPr>
          <w:ilvl w:val="0"/>
          <w:numId w:val="23"/>
        </w:numPr>
        <w:tabs>
          <w:tab w:val="left" w:pos="567"/>
        </w:tabs>
        <w:spacing w:line="480" w:lineRule="auto"/>
        <w:ind w:left="0" w:firstLine="0"/>
        <w:rPr>
          <w:color w:val="000000" w:themeColor="text1"/>
        </w:rPr>
      </w:pPr>
      <w:r w:rsidRPr="00A317BE">
        <w:rPr>
          <w:color w:val="000000" w:themeColor="text1"/>
        </w:rPr>
        <w:t>In conclusion</w:t>
      </w:r>
      <w:r w:rsidR="000A1CEF" w:rsidRPr="00A317BE">
        <w:rPr>
          <w:color w:val="000000" w:themeColor="text1"/>
        </w:rPr>
        <w:t xml:space="preserve"> and by way of summary</w:t>
      </w:r>
      <w:r w:rsidR="00C52303" w:rsidRPr="00A317BE">
        <w:rPr>
          <w:color w:val="000000" w:themeColor="text1"/>
        </w:rPr>
        <w:t xml:space="preserve"> in respect of the appellant’s claim for remuneration in respect of the Project work</w:t>
      </w:r>
      <w:r w:rsidRPr="00A317BE">
        <w:rPr>
          <w:color w:val="000000" w:themeColor="text1"/>
        </w:rPr>
        <w:t xml:space="preserve">, I am not satisfied that she has a good arguable case that </w:t>
      </w:r>
      <w:r w:rsidR="00C52303" w:rsidRPr="00A317BE">
        <w:rPr>
          <w:color w:val="000000" w:themeColor="text1"/>
        </w:rPr>
        <w:t xml:space="preserve">any </w:t>
      </w:r>
      <w:r w:rsidR="00C52303" w:rsidRPr="00A317BE">
        <w:rPr>
          <w:i/>
          <w:color w:val="000000" w:themeColor="text1"/>
        </w:rPr>
        <w:t>quantum meruit</w:t>
      </w:r>
      <w:r w:rsidR="00C52303" w:rsidRPr="00A317BE">
        <w:rPr>
          <w:color w:val="000000" w:themeColor="text1"/>
        </w:rPr>
        <w:t xml:space="preserve"> claim she may have </w:t>
      </w:r>
      <w:r w:rsidRPr="00A317BE">
        <w:rPr>
          <w:color w:val="000000" w:themeColor="text1"/>
        </w:rPr>
        <w:t xml:space="preserve"> claim falls within </w:t>
      </w:r>
      <w:r w:rsidR="00C52303" w:rsidRPr="00A317BE">
        <w:rPr>
          <w:color w:val="000000" w:themeColor="text1"/>
        </w:rPr>
        <w:t xml:space="preserve">any category of </w:t>
      </w:r>
      <w:r w:rsidRPr="00A317BE">
        <w:rPr>
          <w:color w:val="000000" w:themeColor="text1"/>
        </w:rPr>
        <w:t xml:space="preserve">Order 11(1)(e) </w:t>
      </w:r>
      <w:r w:rsidR="00C52303" w:rsidRPr="00A317BE">
        <w:rPr>
          <w:color w:val="000000" w:themeColor="text1"/>
        </w:rPr>
        <w:t xml:space="preserve">nor am I satisfied that she has reached the threshold “on the merits” of her contract claim to bring herself </w:t>
      </w:r>
      <w:r w:rsidR="00F67E2F" w:rsidRPr="00A317BE">
        <w:rPr>
          <w:color w:val="000000" w:themeColor="text1"/>
        </w:rPr>
        <w:t>within Order 11(1)(e)</w:t>
      </w:r>
      <w:r w:rsidR="0077461F" w:rsidRPr="00A317BE">
        <w:rPr>
          <w:color w:val="000000" w:themeColor="text1"/>
        </w:rPr>
        <w:t xml:space="preserve">, on any version of that threshold test as described in </w:t>
      </w:r>
      <w:r w:rsidR="0077461F" w:rsidRPr="00A317BE">
        <w:rPr>
          <w:i/>
          <w:color w:val="000000" w:themeColor="text1"/>
        </w:rPr>
        <w:t xml:space="preserve">Analog </w:t>
      </w:r>
      <w:r w:rsidR="0077461F" w:rsidRPr="00A317BE">
        <w:rPr>
          <w:color w:val="000000" w:themeColor="text1"/>
        </w:rPr>
        <w:t xml:space="preserve">or </w:t>
      </w:r>
      <w:r w:rsidR="0077461F" w:rsidRPr="00A317BE">
        <w:rPr>
          <w:i/>
          <w:color w:val="000000" w:themeColor="text1"/>
        </w:rPr>
        <w:t>IBRC v. Quinn</w:t>
      </w:r>
      <w:r w:rsidRPr="00A317BE">
        <w:rPr>
          <w:color w:val="000000" w:themeColor="text1"/>
        </w:rPr>
        <w:t>. In the event that I am wrong about this, I am of the view that Ireland is not</w:t>
      </w:r>
      <w:r w:rsidR="004D559D" w:rsidRPr="00A317BE">
        <w:rPr>
          <w:color w:val="000000" w:themeColor="text1"/>
        </w:rPr>
        <w:t xml:space="preserve"> in any event</w:t>
      </w:r>
      <w:r w:rsidRPr="00A317BE">
        <w:rPr>
          <w:color w:val="000000" w:themeColor="text1"/>
        </w:rPr>
        <w:t xml:space="preserve"> the </w:t>
      </w:r>
      <w:r w:rsidRPr="00A317BE">
        <w:rPr>
          <w:i/>
          <w:color w:val="000000" w:themeColor="text1"/>
        </w:rPr>
        <w:t xml:space="preserve">forum conveniens </w:t>
      </w:r>
      <w:r w:rsidRPr="00A317BE">
        <w:rPr>
          <w:color w:val="000000" w:themeColor="text1"/>
        </w:rPr>
        <w:t>for the determination of this claim</w:t>
      </w:r>
      <w:r w:rsidR="004D559D" w:rsidRPr="00A317BE">
        <w:rPr>
          <w:color w:val="000000" w:themeColor="text1"/>
        </w:rPr>
        <w:t>,</w:t>
      </w:r>
      <w:r w:rsidRPr="00A317BE">
        <w:rPr>
          <w:color w:val="000000" w:themeColor="text1"/>
        </w:rPr>
        <w:t xml:space="preserve"> by reason of the close nexus between this claim and the necessity for a court trying it to adjudicate on the issue of the validity of her resignation from the respondent, a New Zealand company. </w:t>
      </w:r>
      <w:r w:rsidR="00E37DD1" w:rsidRPr="00A317BE">
        <w:rPr>
          <w:color w:val="000000" w:themeColor="text1"/>
        </w:rPr>
        <w:t>I would add that this case points up the absence of any gateway for unjust enrichment or restitutionary claims in Order 11(1) and one might expect that, given the development of the law</w:t>
      </w:r>
      <w:r w:rsidR="00A2633F" w:rsidRPr="00A317BE">
        <w:rPr>
          <w:color w:val="000000" w:themeColor="text1"/>
        </w:rPr>
        <w:t xml:space="preserve"> on unjust enrichment</w:t>
      </w:r>
      <w:r w:rsidR="00E37DD1" w:rsidRPr="00A317BE">
        <w:rPr>
          <w:color w:val="000000" w:themeColor="text1"/>
        </w:rPr>
        <w:t xml:space="preserve"> in recent decades in this regard, t</w:t>
      </w:r>
      <w:r w:rsidR="00A2633F" w:rsidRPr="00A317BE">
        <w:rPr>
          <w:color w:val="000000" w:themeColor="text1"/>
        </w:rPr>
        <w:t xml:space="preserve">his </w:t>
      </w:r>
      <w:r w:rsidR="00A2633F" w:rsidRPr="00A317BE">
        <w:rPr>
          <w:i/>
          <w:color w:val="000000" w:themeColor="text1"/>
        </w:rPr>
        <w:t xml:space="preserve">lacuna </w:t>
      </w:r>
      <w:r w:rsidR="00A2633F" w:rsidRPr="00A317BE">
        <w:rPr>
          <w:color w:val="000000" w:themeColor="text1"/>
        </w:rPr>
        <w:t xml:space="preserve">might be addressed sooner rather than later. </w:t>
      </w:r>
    </w:p>
    <w:p w14:paraId="76C8DC16" w14:textId="77777777" w:rsidR="00F86DF6" w:rsidRPr="00A317BE" w:rsidRDefault="00F86DF6" w:rsidP="00A317BE">
      <w:pPr>
        <w:pStyle w:val="ListParagraph"/>
        <w:tabs>
          <w:tab w:val="left" w:pos="567"/>
        </w:tabs>
        <w:ind w:left="0"/>
        <w:rPr>
          <w:color w:val="000000" w:themeColor="text1"/>
        </w:rPr>
      </w:pPr>
    </w:p>
    <w:p w14:paraId="5417AC08" w14:textId="5B0FAA3F" w:rsidR="008F26BB" w:rsidRPr="00A317BE" w:rsidRDefault="00BC7876" w:rsidP="00A317BE">
      <w:pPr>
        <w:pStyle w:val="Heading2"/>
        <w:tabs>
          <w:tab w:val="left" w:pos="567"/>
        </w:tabs>
        <w:rPr>
          <w:color w:val="000000" w:themeColor="text1"/>
        </w:rPr>
      </w:pPr>
      <w:r w:rsidRPr="00A317BE">
        <w:rPr>
          <w:color w:val="000000" w:themeColor="text1"/>
        </w:rPr>
        <w:t xml:space="preserve">2. </w:t>
      </w:r>
      <w:r w:rsidR="008F26BB" w:rsidRPr="00A317BE">
        <w:rPr>
          <w:color w:val="000000" w:themeColor="text1"/>
        </w:rPr>
        <w:t>The Clai</w:t>
      </w:r>
      <w:r w:rsidR="00135A24" w:rsidRPr="00A317BE">
        <w:rPr>
          <w:color w:val="000000" w:themeColor="text1"/>
        </w:rPr>
        <w:t>m</w:t>
      </w:r>
      <w:r w:rsidR="00923A45" w:rsidRPr="00A317BE">
        <w:rPr>
          <w:color w:val="000000" w:themeColor="text1"/>
        </w:rPr>
        <w:t>s</w:t>
      </w:r>
      <w:r w:rsidR="008F26BB" w:rsidRPr="00A317BE">
        <w:rPr>
          <w:color w:val="000000" w:themeColor="text1"/>
        </w:rPr>
        <w:t xml:space="preserve"> for Defamation</w:t>
      </w:r>
    </w:p>
    <w:p w14:paraId="263576F0" w14:textId="77777777" w:rsidR="009D0433" w:rsidRPr="00A317BE" w:rsidRDefault="009D0433" w:rsidP="00A317BE">
      <w:pPr>
        <w:tabs>
          <w:tab w:val="left" w:pos="567"/>
        </w:tabs>
        <w:rPr>
          <w:color w:val="000000" w:themeColor="text1"/>
        </w:rPr>
      </w:pPr>
    </w:p>
    <w:p w14:paraId="63170CBA" w14:textId="31909793" w:rsidR="00EE3802" w:rsidRPr="00A317BE" w:rsidRDefault="00E47B5D"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lastRenderedPageBreak/>
        <w:t>Under Order 11 r</w:t>
      </w:r>
      <w:r w:rsidR="00EB00D8" w:rsidRPr="00A317BE">
        <w:rPr>
          <w:color w:val="000000" w:themeColor="text1"/>
        </w:rPr>
        <w:t xml:space="preserve">. </w:t>
      </w:r>
      <w:r w:rsidRPr="00A317BE">
        <w:rPr>
          <w:color w:val="000000" w:themeColor="text1"/>
        </w:rPr>
        <w:t xml:space="preserve">1(f), a court may grant leave to serve out of the jurisdiction where “the action is founded on a tort committed within the jurisdiction”. </w:t>
      </w:r>
      <w:r w:rsidR="00D92758" w:rsidRPr="00A317BE">
        <w:rPr>
          <w:color w:val="000000" w:themeColor="text1"/>
        </w:rPr>
        <w:t>The respondent submits that</w:t>
      </w:r>
      <w:r w:rsidR="00C23BA9" w:rsidRPr="00A317BE">
        <w:rPr>
          <w:color w:val="000000" w:themeColor="text1"/>
        </w:rPr>
        <w:t>,</w:t>
      </w:r>
      <w:r w:rsidR="00EE3802" w:rsidRPr="00A317BE">
        <w:rPr>
          <w:color w:val="000000" w:themeColor="text1"/>
        </w:rPr>
        <w:t xml:space="preserve"> with regard to</w:t>
      </w:r>
      <w:r w:rsidR="00C23BA9" w:rsidRPr="00A317BE">
        <w:rPr>
          <w:color w:val="000000" w:themeColor="text1"/>
        </w:rPr>
        <w:t xml:space="preserve"> the tort of defamation</w:t>
      </w:r>
      <w:r w:rsidR="00871061" w:rsidRPr="00A317BE">
        <w:rPr>
          <w:color w:val="000000" w:themeColor="text1"/>
        </w:rPr>
        <w:t xml:space="preserve"> specifically</w:t>
      </w:r>
      <w:r w:rsidR="00C23BA9" w:rsidRPr="00A317BE">
        <w:rPr>
          <w:color w:val="000000" w:themeColor="text1"/>
        </w:rPr>
        <w:t xml:space="preserve">, </w:t>
      </w:r>
      <w:r w:rsidR="00D92758" w:rsidRPr="00A317BE">
        <w:rPr>
          <w:color w:val="000000" w:themeColor="text1"/>
        </w:rPr>
        <w:t xml:space="preserve">the appellant must establish </w:t>
      </w:r>
      <w:r w:rsidR="00EE3802" w:rsidRPr="00A317BE">
        <w:rPr>
          <w:color w:val="000000" w:themeColor="text1"/>
        </w:rPr>
        <w:t xml:space="preserve">to the relevant standard </w:t>
      </w:r>
      <w:r w:rsidR="00D92758" w:rsidRPr="00A317BE">
        <w:rPr>
          <w:color w:val="000000" w:themeColor="text1"/>
        </w:rPr>
        <w:t xml:space="preserve">that </w:t>
      </w:r>
      <w:r w:rsidR="00D92758" w:rsidRPr="00A317BE">
        <w:rPr>
          <w:i/>
          <w:color w:val="000000" w:themeColor="text1"/>
        </w:rPr>
        <w:t>publication</w:t>
      </w:r>
      <w:r w:rsidR="00D92758" w:rsidRPr="00A317BE">
        <w:rPr>
          <w:color w:val="000000" w:themeColor="text1"/>
        </w:rPr>
        <w:t xml:space="preserve"> of a defamatory statement took place within the jurisdiction</w:t>
      </w:r>
      <w:r w:rsidR="00EE3802" w:rsidRPr="00A317BE">
        <w:rPr>
          <w:color w:val="000000" w:themeColor="text1"/>
        </w:rPr>
        <w:t>, and that she has failed to do so.</w:t>
      </w:r>
    </w:p>
    <w:p w14:paraId="60AAD7F3" w14:textId="77777777" w:rsidR="00EE3802" w:rsidRPr="00A317BE" w:rsidRDefault="00EE3802" w:rsidP="00A317BE">
      <w:pPr>
        <w:pStyle w:val="ListParagraph"/>
        <w:tabs>
          <w:tab w:val="left" w:pos="567"/>
        </w:tabs>
        <w:spacing w:after="160"/>
        <w:ind w:left="0"/>
        <w:rPr>
          <w:color w:val="000000" w:themeColor="text1"/>
        </w:rPr>
      </w:pPr>
    </w:p>
    <w:p w14:paraId="4F9A41CB" w14:textId="124DBBD0" w:rsidR="00D93C42" w:rsidRPr="00A317BE" w:rsidRDefault="00EE3802"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 The respondent submits that only one of the six alleged defamations could have any possible link to Ireland, namely the alleged publication by the respondent to EML. </w:t>
      </w:r>
      <w:r w:rsidR="00D93C42" w:rsidRPr="00A317BE">
        <w:rPr>
          <w:color w:val="000000" w:themeColor="text1"/>
        </w:rPr>
        <w:t xml:space="preserve">I accept that submission. </w:t>
      </w:r>
      <w:r w:rsidR="000F0C8B" w:rsidRPr="00A317BE">
        <w:rPr>
          <w:color w:val="000000" w:themeColor="text1"/>
        </w:rPr>
        <w:t>Three of the</w:t>
      </w:r>
      <w:r w:rsidR="00D93C42" w:rsidRPr="00A317BE">
        <w:rPr>
          <w:color w:val="000000" w:themeColor="text1"/>
        </w:rPr>
        <w:t xml:space="preserve"> allegations of defamation concern publication by the respondent to</w:t>
      </w:r>
      <w:r w:rsidR="000F0C8B" w:rsidRPr="00A317BE">
        <w:rPr>
          <w:color w:val="000000" w:themeColor="text1"/>
        </w:rPr>
        <w:t xml:space="preserve"> New Zealand entities (the Privacy Commissioner, Companies Office, and Human Rights Review Tribunal). One is from the management of the respondent to its own Board of Directors. Another is from the respondent to Consult-Partners, a UK company. </w:t>
      </w:r>
      <w:r w:rsidR="00506CC4" w:rsidRPr="00A317BE">
        <w:rPr>
          <w:color w:val="000000" w:themeColor="text1"/>
        </w:rPr>
        <w:t>In truth, the appellant appears to have accepted this insofar as she concentrated her attention in submissions on the alleged defamation as between the respondent and EML, the Irish company.</w:t>
      </w:r>
    </w:p>
    <w:p w14:paraId="6BDAF1B8" w14:textId="77777777" w:rsidR="00D93C42" w:rsidRPr="00A317BE" w:rsidRDefault="00D93C42" w:rsidP="00A317BE">
      <w:pPr>
        <w:pStyle w:val="ListParagraph"/>
        <w:tabs>
          <w:tab w:val="left" w:pos="567"/>
        </w:tabs>
        <w:ind w:left="0"/>
        <w:rPr>
          <w:color w:val="000000" w:themeColor="text1"/>
        </w:rPr>
      </w:pPr>
    </w:p>
    <w:p w14:paraId="065026CC" w14:textId="7665F0FD" w:rsidR="00EE3802" w:rsidRPr="00A317BE" w:rsidRDefault="000F0C8B"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As regard th</w:t>
      </w:r>
      <w:r w:rsidR="00E46385" w:rsidRPr="00A317BE">
        <w:rPr>
          <w:color w:val="000000" w:themeColor="text1"/>
        </w:rPr>
        <w:t>is particular</w:t>
      </w:r>
      <w:r w:rsidRPr="00A317BE">
        <w:rPr>
          <w:color w:val="000000" w:themeColor="text1"/>
        </w:rPr>
        <w:t xml:space="preserve"> alleged defamation</w:t>
      </w:r>
      <w:r w:rsidR="00E46385" w:rsidRPr="00A317BE">
        <w:rPr>
          <w:color w:val="000000" w:themeColor="text1"/>
        </w:rPr>
        <w:t>,</w:t>
      </w:r>
      <w:r w:rsidRPr="00A317BE">
        <w:rPr>
          <w:color w:val="000000" w:themeColor="text1"/>
        </w:rPr>
        <w:t xml:space="preserve"> which is the only one with any possible connection to Ireland, the respondent submits</w:t>
      </w:r>
      <w:r w:rsidR="00EE3802" w:rsidRPr="00A317BE">
        <w:rPr>
          <w:color w:val="000000" w:themeColor="text1"/>
        </w:rPr>
        <w:t xml:space="preserve"> </w:t>
      </w:r>
      <w:r w:rsidR="00AE2122" w:rsidRPr="00A317BE">
        <w:rPr>
          <w:color w:val="000000" w:themeColor="text1"/>
        </w:rPr>
        <w:t xml:space="preserve">that </w:t>
      </w:r>
      <w:r w:rsidR="00EE3802" w:rsidRPr="00A317BE">
        <w:rPr>
          <w:color w:val="000000" w:themeColor="text1"/>
        </w:rPr>
        <w:t>there is no evidence of</w:t>
      </w:r>
      <w:r w:rsidRPr="00A317BE">
        <w:rPr>
          <w:color w:val="000000" w:themeColor="text1"/>
        </w:rPr>
        <w:t xml:space="preserve"> publication within the jurisdiction. </w:t>
      </w:r>
      <w:r w:rsidR="00E46385" w:rsidRPr="00A317BE">
        <w:rPr>
          <w:color w:val="000000" w:themeColor="text1"/>
        </w:rPr>
        <w:t xml:space="preserve">It is necessary to look more closely at this. </w:t>
      </w:r>
      <w:r w:rsidRPr="00A317BE">
        <w:rPr>
          <w:color w:val="000000" w:themeColor="text1"/>
        </w:rPr>
        <w:t xml:space="preserve">The </w:t>
      </w:r>
      <w:r w:rsidR="00AE2122" w:rsidRPr="00A317BE">
        <w:rPr>
          <w:color w:val="000000" w:themeColor="text1"/>
        </w:rPr>
        <w:t>S</w:t>
      </w:r>
      <w:r w:rsidRPr="00A317BE">
        <w:rPr>
          <w:color w:val="000000" w:themeColor="text1"/>
        </w:rPr>
        <w:t xml:space="preserve">tatement of </w:t>
      </w:r>
      <w:r w:rsidR="00AE2122" w:rsidRPr="00A317BE">
        <w:rPr>
          <w:color w:val="000000" w:themeColor="text1"/>
        </w:rPr>
        <w:t>C</w:t>
      </w:r>
      <w:r w:rsidRPr="00A317BE">
        <w:rPr>
          <w:color w:val="000000" w:themeColor="text1"/>
        </w:rPr>
        <w:t>laim pleads that the defamation consists of “the allegation made by [t</w:t>
      </w:r>
      <w:r w:rsidR="00E46385" w:rsidRPr="00A317BE">
        <w:rPr>
          <w:color w:val="000000" w:themeColor="text1"/>
        </w:rPr>
        <w:t>he</w:t>
      </w:r>
      <w:r w:rsidRPr="00A317BE">
        <w:rPr>
          <w:color w:val="000000" w:themeColor="text1"/>
        </w:rPr>
        <w:t xml:space="preserve"> respondent] to Elstree Mortgage Limited to the effect that the [appellant] had manufactured a false allegation of forgery against [the respondent] in order to circumvent the waiver of fees contained in the alleged letter of resignation and thereby extort monies from the company. </w:t>
      </w:r>
      <w:r w:rsidR="00E46385" w:rsidRPr="00A317BE">
        <w:rPr>
          <w:color w:val="000000" w:themeColor="text1"/>
        </w:rPr>
        <w:t>The</w:t>
      </w:r>
      <w:r w:rsidR="00EE3802" w:rsidRPr="00A317BE">
        <w:rPr>
          <w:color w:val="000000" w:themeColor="text1"/>
        </w:rPr>
        <w:t xml:space="preserve"> appellant appears to contend that </w:t>
      </w:r>
      <w:r w:rsidR="00E46385" w:rsidRPr="00A317BE">
        <w:rPr>
          <w:color w:val="000000" w:themeColor="text1"/>
        </w:rPr>
        <w:t>the defamatory communication</w:t>
      </w:r>
      <w:r w:rsidR="00EE3802" w:rsidRPr="00A317BE">
        <w:rPr>
          <w:color w:val="000000" w:themeColor="text1"/>
        </w:rPr>
        <w:t xml:space="preserve"> was made by Mr. M</w:t>
      </w:r>
      <w:r w:rsidR="00AE2122" w:rsidRPr="00A317BE">
        <w:rPr>
          <w:color w:val="000000" w:themeColor="text1"/>
        </w:rPr>
        <w:t>a</w:t>
      </w:r>
      <w:r w:rsidR="00EE3802" w:rsidRPr="00A317BE">
        <w:rPr>
          <w:color w:val="000000" w:themeColor="text1"/>
        </w:rPr>
        <w:t>cLeod of Consult-Partners, an English director of an English company, to Mr. Andrew</w:t>
      </w:r>
      <w:r w:rsidR="00AE2122" w:rsidRPr="00A317BE">
        <w:rPr>
          <w:color w:val="000000" w:themeColor="text1"/>
        </w:rPr>
        <w:t>s</w:t>
      </w:r>
      <w:r w:rsidR="00E46385" w:rsidRPr="00A317BE">
        <w:rPr>
          <w:color w:val="000000" w:themeColor="text1"/>
        </w:rPr>
        <w:t xml:space="preserve">, </w:t>
      </w:r>
      <w:r w:rsidR="00EE3802" w:rsidRPr="00A317BE">
        <w:rPr>
          <w:color w:val="000000" w:themeColor="text1"/>
        </w:rPr>
        <w:t xml:space="preserve">of the Irish company EML. The </w:t>
      </w:r>
      <w:r w:rsidR="00EE3802" w:rsidRPr="00A317BE">
        <w:rPr>
          <w:color w:val="000000" w:themeColor="text1"/>
        </w:rPr>
        <w:lastRenderedPageBreak/>
        <w:t>respondent</w:t>
      </w:r>
      <w:r w:rsidR="00E46385" w:rsidRPr="00A317BE">
        <w:rPr>
          <w:color w:val="000000" w:themeColor="text1"/>
        </w:rPr>
        <w:t xml:space="preserve"> observes</w:t>
      </w:r>
      <w:r w:rsidR="00EE3802" w:rsidRPr="00A317BE">
        <w:rPr>
          <w:color w:val="000000" w:themeColor="text1"/>
        </w:rPr>
        <w:t xml:space="preserve"> that the appellant travelled to London to meet Richard Andrews of EML</w:t>
      </w:r>
      <w:r w:rsidR="0009202C" w:rsidRPr="00A317BE">
        <w:rPr>
          <w:color w:val="000000" w:themeColor="text1"/>
        </w:rPr>
        <w:t xml:space="preserve"> (in the context of the settlement talks)</w:t>
      </w:r>
      <w:r w:rsidR="00EE3802" w:rsidRPr="00A317BE">
        <w:rPr>
          <w:color w:val="000000" w:themeColor="text1"/>
        </w:rPr>
        <w:t xml:space="preserve">, which would support the view that the claim has more connection with England than Ireland. </w:t>
      </w:r>
    </w:p>
    <w:p w14:paraId="4C7A4F1F" w14:textId="77777777" w:rsidR="00E46385" w:rsidRPr="00A317BE" w:rsidRDefault="00E46385" w:rsidP="00F26376">
      <w:pPr>
        <w:pStyle w:val="ListParagraph"/>
        <w:tabs>
          <w:tab w:val="left" w:pos="567"/>
        </w:tabs>
        <w:spacing w:after="160"/>
        <w:ind w:left="0"/>
        <w:rPr>
          <w:color w:val="000000" w:themeColor="text1"/>
        </w:rPr>
      </w:pPr>
    </w:p>
    <w:p w14:paraId="50C98C96" w14:textId="608F528C" w:rsidR="00D92758" w:rsidRPr="00A317BE" w:rsidRDefault="00C23BA9"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In this regard, the respondent relies on </w:t>
      </w:r>
      <w:r w:rsidRPr="00A317BE">
        <w:rPr>
          <w:i/>
          <w:color w:val="000000" w:themeColor="text1"/>
        </w:rPr>
        <w:t>Ryanair v</w:t>
      </w:r>
      <w:r w:rsidR="00AE2122" w:rsidRPr="00A317BE">
        <w:rPr>
          <w:i/>
          <w:color w:val="000000" w:themeColor="text1"/>
        </w:rPr>
        <w:t>.</w:t>
      </w:r>
      <w:r w:rsidRPr="00A317BE">
        <w:rPr>
          <w:i/>
          <w:color w:val="000000" w:themeColor="text1"/>
        </w:rPr>
        <w:t xml:space="preserve"> Fleming</w:t>
      </w:r>
      <w:r w:rsidR="00AE2122" w:rsidRPr="00A317BE">
        <w:rPr>
          <w:i/>
          <w:color w:val="000000" w:themeColor="text1"/>
        </w:rPr>
        <w:t xml:space="preserve"> Ltd. </w:t>
      </w:r>
      <w:r w:rsidRPr="00A317BE">
        <w:rPr>
          <w:color w:val="000000" w:themeColor="text1"/>
        </w:rPr>
        <w:t xml:space="preserve"> [2016] 2 IR 254 where Hogan J. held that there was no evidence of publication in Ireland, with t</w:t>
      </w:r>
      <w:r w:rsidR="00871061" w:rsidRPr="00A317BE">
        <w:rPr>
          <w:color w:val="000000" w:themeColor="text1"/>
        </w:rPr>
        <w:t>he</w:t>
      </w:r>
      <w:r w:rsidRPr="00A317BE">
        <w:rPr>
          <w:color w:val="000000" w:themeColor="text1"/>
        </w:rPr>
        <w:t xml:space="preserve"> result that Ireland lacked jurisdiction</w:t>
      </w:r>
      <w:r w:rsidR="000C5658" w:rsidRPr="00A317BE">
        <w:rPr>
          <w:color w:val="000000" w:themeColor="text1"/>
        </w:rPr>
        <w:t>. In that case, the communication in question consisted of electronic messages posted by the respondent pilot on the internet. Hogan J. said there was no evidence of their having been accessed or downloaded in this jurisdiction and therefore no evidence of publication.</w:t>
      </w:r>
    </w:p>
    <w:p w14:paraId="25DC11B6" w14:textId="77777777" w:rsidR="000C5658" w:rsidRPr="00A317BE" w:rsidRDefault="000C5658" w:rsidP="00F26376">
      <w:pPr>
        <w:pStyle w:val="ListParagraph"/>
        <w:tabs>
          <w:tab w:val="left" w:pos="567"/>
        </w:tabs>
        <w:spacing w:after="160"/>
        <w:ind w:left="0"/>
        <w:rPr>
          <w:color w:val="000000" w:themeColor="text1"/>
        </w:rPr>
      </w:pPr>
    </w:p>
    <w:p w14:paraId="5FB41F76" w14:textId="3FDAFEFD" w:rsidR="004C2C81" w:rsidRPr="00A317BE" w:rsidRDefault="00D114C3"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The appellant maintains that she was “targeted” in Ireland and that this brings her within a category identified by Hogan J. in </w:t>
      </w:r>
      <w:r w:rsidRPr="00A317BE">
        <w:rPr>
          <w:i/>
          <w:color w:val="000000" w:themeColor="text1"/>
        </w:rPr>
        <w:t xml:space="preserve">Ryanair </w:t>
      </w:r>
      <w:r w:rsidRPr="00A317BE">
        <w:rPr>
          <w:color w:val="000000" w:themeColor="text1"/>
        </w:rPr>
        <w:t xml:space="preserve">as an exception to the general rule that </w:t>
      </w:r>
      <w:r w:rsidR="0067344F" w:rsidRPr="00A317BE">
        <w:rPr>
          <w:color w:val="000000" w:themeColor="text1"/>
        </w:rPr>
        <w:t xml:space="preserve">a </w:t>
      </w:r>
      <w:r w:rsidRPr="00A317BE">
        <w:rPr>
          <w:color w:val="000000" w:themeColor="text1"/>
        </w:rPr>
        <w:t xml:space="preserve">defendant should be sued in its place of domicile. </w:t>
      </w:r>
      <w:r w:rsidR="006E4EA0" w:rsidRPr="00A317BE">
        <w:rPr>
          <w:color w:val="000000" w:themeColor="text1"/>
        </w:rPr>
        <w:t xml:space="preserve">She maintains that the “targeting” consisted of </w:t>
      </w:r>
      <w:r w:rsidR="00871061" w:rsidRPr="00A317BE">
        <w:rPr>
          <w:color w:val="000000" w:themeColor="text1"/>
        </w:rPr>
        <w:t xml:space="preserve">the </w:t>
      </w:r>
      <w:r w:rsidR="006E4EA0" w:rsidRPr="00A317BE">
        <w:rPr>
          <w:color w:val="000000" w:themeColor="text1"/>
        </w:rPr>
        <w:t>defamatory allegations being broadcast</w:t>
      </w:r>
      <w:r w:rsidR="00AE2122" w:rsidRPr="00A317BE">
        <w:rPr>
          <w:color w:val="000000" w:themeColor="text1"/>
        </w:rPr>
        <w:t xml:space="preserve">, </w:t>
      </w:r>
      <w:r w:rsidR="006E4EA0" w:rsidRPr="00A317BE">
        <w:rPr>
          <w:color w:val="000000" w:themeColor="text1"/>
        </w:rPr>
        <w:t xml:space="preserve"> not to the world at large</w:t>
      </w:r>
      <w:r w:rsidR="00AE2122" w:rsidRPr="00A317BE">
        <w:rPr>
          <w:color w:val="000000" w:themeColor="text1"/>
        </w:rPr>
        <w:t>,</w:t>
      </w:r>
      <w:r w:rsidR="006E4EA0" w:rsidRPr="00A317BE">
        <w:rPr>
          <w:color w:val="000000" w:themeColor="text1"/>
        </w:rPr>
        <w:t xml:space="preserve"> but to the Irish</w:t>
      </w:r>
      <w:r w:rsidR="00AE2122" w:rsidRPr="00A317BE">
        <w:rPr>
          <w:color w:val="000000" w:themeColor="text1"/>
        </w:rPr>
        <w:t>-</w:t>
      </w:r>
      <w:r w:rsidR="006E4EA0" w:rsidRPr="00A317BE">
        <w:rPr>
          <w:color w:val="000000" w:themeColor="text1"/>
        </w:rPr>
        <w:t xml:space="preserve">registered company for which she worked. </w:t>
      </w:r>
      <w:r w:rsidR="003B079B" w:rsidRPr="00A317BE">
        <w:rPr>
          <w:color w:val="000000" w:themeColor="text1"/>
        </w:rPr>
        <w:t xml:space="preserve">She says it was therefore entirely “predictable” and “foreseeable” that she would issue proceedings in Ireland, </w:t>
      </w:r>
      <w:r w:rsidR="00F00FAF" w:rsidRPr="00A317BE">
        <w:rPr>
          <w:color w:val="000000" w:themeColor="text1"/>
        </w:rPr>
        <w:t xml:space="preserve">falling within </w:t>
      </w:r>
      <w:r w:rsidR="003B079B" w:rsidRPr="00A317BE">
        <w:rPr>
          <w:color w:val="000000" w:themeColor="text1"/>
        </w:rPr>
        <w:t xml:space="preserve">the language of Hogan J. in the </w:t>
      </w:r>
      <w:r w:rsidR="003B079B" w:rsidRPr="00A317BE">
        <w:rPr>
          <w:i/>
          <w:color w:val="000000" w:themeColor="text1"/>
        </w:rPr>
        <w:t xml:space="preserve">Ryanair </w:t>
      </w:r>
      <w:r w:rsidR="003B079B" w:rsidRPr="00A317BE">
        <w:rPr>
          <w:color w:val="000000" w:themeColor="text1"/>
        </w:rPr>
        <w:t xml:space="preserve">judgment. </w:t>
      </w:r>
      <w:r w:rsidR="009C0FC8" w:rsidRPr="00A317BE">
        <w:rPr>
          <w:color w:val="000000" w:themeColor="text1"/>
        </w:rPr>
        <w:t xml:space="preserve">Indeed, </w:t>
      </w:r>
      <w:r w:rsidR="0067344F" w:rsidRPr="00A317BE">
        <w:rPr>
          <w:color w:val="000000" w:themeColor="text1"/>
        </w:rPr>
        <w:t xml:space="preserve">her submissions appeared at times </w:t>
      </w:r>
      <w:r w:rsidR="004352B4" w:rsidRPr="00A317BE">
        <w:rPr>
          <w:color w:val="000000" w:themeColor="text1"/>
        </w:rPr>
        <w:t>to go</w:t>
      </w:r>
      <w:r w:rsidR="009C0FC8" w:rsidRPr="00A317BE">
        <w:rPr>
          <w:color w:val="000000" w:themeColor="text1"/>
        </w:rPr>
        <w:t xml:space="preserve"> so far as to submit that in </w:t>
      </w:r>
      <w:r w:rsidR="009C0FC8" w:rsidRPr="00A317BE">
        <w:rPr>
          <w:i/>
          <w:color w:val="000000" w:themeColor="text1"/>
        </w:rPr>
        <w:t>Ryanair,</w:t>
      </w:r>
      <w:r w:rsidR="009C0FC8" w:rsidRPr="00A317BE">
        <w:rPr>
          <w:color w:val="000000" w:themeColor="text1"/>
        </w:rPr>
        <w:t xml:space="preserve"> the Court established </w:t>
      </w:r>
      <w:r w:rsidR="009C0FC8" w:rsidRPr="00A317BE">
        <w:rPr>
          <w:i/>
          <w:color w:val="000000" w:themeColor="text1"/>
        </w:rPr>
        <w:t>a test</w:t>
      </w:r>
      <w:r w:rsidR="009C0FC8" w:rsidRPr="00A317BE">
        <w:rPr>
          <w:color w:val="000000" w:themeColor="text1"/>
        </w:rPr>
        <w:t xml:space="preserve"> for determining whether a claim may be brought in Ireland of “targeting” and “predictability”.</w:t>
      </w:r>
      <w:r w:rsidR="0010316D" w:rsidRPr="00A317BE">
        <w:rPr>
          <w:color w:val="000000" w:themeColor="text1"/>
        </w:rPr>
        <w:t xml:space="preserve"> </w:t>
      </w:r>
    </w:p>
    <w:p w14:paraId="718E0562" w14:textId="77777777" w:rsidR="00334502" w:rsidRPr="00A317BE" w:rsidRDefault="00334502" w:rsidP="00F26376">
      <w:pPr>
        <w:pStyle w:val="ListParagraph"/>
        <w:tabs>
          <w:tab w:val="left" w:pos="567"/>
        </w:tabs>
        <w:spacing w:after="160"/>
        <w:ind w:left="0"/>
        <w:rPr>
          <w:color w:val="000000" w:themeColor="text1"/>
        </w:rPr>
      </w:pPr>
    </w:p>
    <w:p w14:paraId="4C52011E" w14:textId="315D63D1" w:rsidR="004C727E" w:rsidRPr="00A317BE" w:rsidRDefault="008D1D5D" w:rsidP="00A317BE">
      <w:pPr>
        <w:numPr>
          <w:ilvl w:val="0"/>
          <w:numId w:val="23"/>
        </w:numPr>
        <w:tabs>
          <w:tab w:val="left" w:pos="567"/>
        </w:tabs>
        <w:spacing w:line="480" w:lineRule="auto"/>
        <w:ind w:left="0" w:firstLine="0"/>
        <w:rPr>
          <w:color w:val="000000" w:themeColor="text1"/>
        </w:rPr>
      </w:pPr>
      <w:r w:rsidRPr="00A317BE">
        <w:rPr>
          <w:color w:val="000000" w:themeColor="text1"/>
        </w:rPr>
        <w:t>The appellant submits that where</w:t>
      </w:r>
      <w:r w:rsidR="003C2FEC" w:rsidRPr="00A317BE">
        <w:rPr>
          <w:color w:val="000000" w:themeColor="text1"/>
        </w:rPr>
        <w:t xml:space="preserve"> Mr. Andrews was </w:t>
      </w:r>
      <w:r w:rsidR="000A7DF7" w:rsidRPr="00A317BE">
        <w:rPr>
          <w:color w:val="000000" w:themeColor="text1"/>
        </w:rPr>
        <w:t xml:space="preserve">physically located </w:t>
      </w:r>
      <w:r w:rsidR="003C2FEC" w:rsidRPr="00A317BE">
        <w:rPr>
          <w:color w:val="000000" w:themeColor="text1"/>
        </w:rPr>
        <w:t>when the defamatory statement was made</w:t>
      </w:r>
      <w:r w:rsidRPr="00A317BE">
        <w:rPr>
          <w:color w:val="000000" w:themeColor="text1"/>
        </w:rPr>
        <w:t xml:space="preserve"> to him</w:t>
      </w:r>
      <w:r w:rsidR="003C2FEC" w:rsidRPr="00A317BE">
        <w:rPr>
          <w:color w:val="000000" w:themeColor="text1"/>
        </w:rPr>
        <w:t xml:space="preserve"> is irrelevant. She refers to the doctrine of attribution in the context of company law</w:t>
      </w:r>
      <w:r w:rsidR="000A7DF7" w:rsidRPr="00A317BE">
        <w:rPr>
          <w:color w:val="000000" w:themeColor="text1"/>
        </w:rPr>
        <w:t xml:space="preserve">, citing </w:t>
      </w:r>
      <w:r w:rsidR="000A7DF7" w:rsidRPr="00A317BE">
        <w:rPr>
          <w:i/>
          <w:color w:val="000000" w:themeColor="text1"/>
        </w:rPr>
        <w:t>HL Bolton (Engineering) Co Ltd v. TJ Graham &amp; Sons Ltd</w:t>
      </w:r>
      <w:r w:rsidR="000A7DF7" w:rsidRPr="00A317BE">
        <w:rPr>
          <w:color w:val="000000" w:themeColor="text1"/>
        </w:rPr>
        <w:t xml:space="preserve"> [1957] 1 QB 159, and argues that under this doctrine, the knowledge acquired by the </w:t>
      </w:r>
      <w:r w:rsidR="000A7DF7" w:rsidRPr="00A317BE">
        <w:rPr>
          <w:color w:val="000000" w:themeColor="text1"/>
        </w:rPr>
        <w:lastRenderedPageBreak/>
        <w:t xml:space="preserve">officer of a company is attributed to the company in the location where the company is incorporated. </w:t>
      </w:r>
      <w:r w:rsidR="004C727E" w:rsidRPr="00A317BE">
        <w:rPr>
          <w:color w:val="000000" w:themeColor="text1"/>
        </w:rPr>
        <w:t>Accordingly, she submits, even if Mr. Andrews was in England when he received the defamatory communication, the doctrine of attribution means that the publication simultaneously occurred in Ireland, the location of the company</w:t>
      </w:r>
      <w:r w:rsidR="005F28BE" w:rsidRPr="00A317BE">
        <w:rPr>
          <w:color w:val="000000" w:themeColor="text1"/>
        </w:rPr>
        <w:t>.</w:t>
      </w:r>
    </w:p>
    <w:p w14:paraId="66CB20D1" w14:textId="77777777" w:rsidR="005F28BE" w:rsidRPr="00A317BE" w:rsidRDefault="005F28BE" w:rsidP="00F26376">
      <w:pPr>
        <w:tabs>
          <w:tab w:val="left" w:pos="567"/>
        </w:tabs>
        <w:spacing w:line="480" w:lineRule="auto"/>
        <w:rPr>
          <w:color w:val="000000" w:themeColor="text1"/>
        </w:rPr>
      </w:pPr>
    </w:p>
    <w:p w14:paraId="350EB828" w14:textId="681F66A7" w:rsidR="009C27F2" w:rsidRPr="00A317BE" w:rsidRDefault="004C2C81"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appellant maintains that the </w:t>
      </w:r>
      <w:r w:rsidRPr="00A317BE">
        <w:rPr>
          <w:i/>
          <w:color w:val="000000" w:themeColor="text1"/>
        </w:rPr>
        <w:t xml:space="preserve">Ryanair </w:t>
      </w:r>
      <w:r w:rsidRPr="00A317BE">
        <w:rPr>
          <w:color w:val="000000" w:themeColor="text1"/>
        </w:rPr>
        <w:t xml:space="preserve">judgment brought the common law conflict of law rules on cross-border torts into line with the Brussels Convention; and further, that the principles in Article 7(2) of the Convention and its interpretation in </w:t>
      </w:r>
      <w:r w:rsidRPr="00A317BE">
        <w:rPr>
          <w:i/>
          <w:color w:val="000000" w:themeColor="text1"/>
        </w:rPr>
        <w:t>Bier</w:t>
      </w:r>
      <w:r w:rsidR="00AE2122" w:rsidRPr="00A317BE">
        <w:rPr>
          <w:i/>
          <w:color w:val="000000" w:themeColor="text1"/>
        </w:rPr>
        <w:t xml:space="preserve"> BV</w:t>
      </w:r>
      <w:r w:rsidRPr="00A317BE">
        <w:rPr>
          <w:i/>
          <w:color w:val="000000" w:themeColor="text1"/>
        </w:rPr>
        <w:t xml:space="preserve"> v</w:t>
      </w:r>
      <w:r w:rsidR="00AE2122" w:rsidRPr="00A317BE">
        <w:rPr>
          <w:i/>
          <w:color w:val="000000" w:themeColor="text1"/>
        </w:rPr>
        <w:t>.</w:t>
      </w:r>
      <w:r w:rsidRPr="00A317BE">
        <w:rPr>
          <w:i/>
          <w:color w:val="000000" w:themeColor="text1"/>
        </w:rPr>
        <w:t xml:space="preserve"> Mines de Potasse d’Alsace</w:t>
      </w:r>
      <w:r w:rsidR="0011341C" w:rsidRPr="00A317BE">
        <w:rPr>
          <w:i/>
          <w:color w:val="000000" w:themeColor="text1"/>
        </w:rPr>
        <w:t xml:space="preserve"> </w:t>
      </w:r>
      <w:r w:rsidR="0011341C" w:rsidRPr="00A317BE">
        <w:rPr>
          <w:color w:val="000000" w:themeColor="text1"/>
          <w:shd w:val="clear" w:color="auto" w:fill="FFFFFF"/>
        </w:rPr>
        <w:t>ECLI:EU:C:1976:166</w:t>
      </w:r>
      <w:r w:rsidRPr="00A317BE">
        <w:rPr>
          <w:i/>
          <w:color w:val="000000" w:themeColor="text1"/>
        </w:rPr>
        <w:t xml:space="preserve"> </w:t>
      </w:r>
      <w:r w:rsidRPr="00A317BE">
        <w:rPr>
          <w:color w:val="000000" w:themeColor="text1"/>
        </w:rPr>
        <w:t xml:space="preserve">means that she can legitimately sue both in the place where the damage occurred as well as where the events giving rise to the damage took place. </w:t>
      </w:r>
      <w:r w:rsidR="00641488" w:rsidRPr="00A317BE">
        <w:rPr>
          <w:color w:val="000000" w:themeColor="text1"/>
        </w:rPr>
        <w:t>The appellant also</w:t>
      </w:r>
      <w:r w:rsidR="003C2FEC" w:rsidRPr="00A317BE">
        <w:rPr>
          <w:color w:val="000000" w:themeColor="text1"/>
        </w:rPr>
        <w:t xml:space="preserve"> refers to </w:t>
      </w:r>
      <w:r w:rsidR="003A1CED" w:rsidRPr="00A317BE">
        <w:rPr>
          <w:i/>
          <w:color w:val="000000" w:themeColor="text1"/>
        </w:rPr>
        <w:t xml:space="preserve">e-Date Advertising </w:t>
      </w:r>
      <w:r w:rsidR="006B132A" w:rsidRPr="00A317BE">
        <w:rPr>
          <w:i/>
          <w:color w:val="000000" w:themeColor="text1"/>
        </w:rPr>
        <w:t>GmbH</w:t>
      </w:r>
      <w:r w:rsidR="00AE2122" w:rsidRPr="00A317BE">
        <w:rPr>
          <w:i/>
          <w:color w:val="000000" w:themeColor="text1"/>
        </w:rPr>
        <w:t xml:space="preserve"> v. X and Olivier</w:t>
      </w:r>
      <w:r w:rsidR="004138D0" w:rsidRPr="00A317BE">
        <w:rPr>
          <w:i/>
          <w:color w:val="000000" w:themeColor="text1"/>
        </w:rPr>
        <w:t xml:space="preserve"> </w:t>
      </w:r>
      <w:r w:rsidR="003A1CED" w:rsidRPr="00A317BE">
        <w:rPr>
          <w:i/>
          <w:color w:val="000000" w:themeColor="text1"/>
        </w:rPr>
        <w:t>Martinez</w:t>
      </w:r>
      <w:r w:rsidR="003C2FEC" w:rsidRPr="00A317BE">
        <w:rPr>
          <w:color w:val="000000" w:themeColor="text1"/>
        </w:rPr>
        <w:t xml:space="preserve"> </w:t>
      </w:r>
      <w:r w:rsidR="004138D0" w:rsidRPr="00A317BE">
        <w:rPr>
          <w:color w:val="000000" w:themeColor="text1"/>
        </w:rPr>
        <w:t xml:space="preserve">ECLI:EU:C:2011:685 (a decision of the Grand Chamber of the CJEU in joined Cases C-509/09 and C-161/10) </w:t>
      </w:r>
      <w:r w:rsidR="003C2FEC" w:rsidRPr="00A317BE">
        <w:rPr>
          <w:color w:val="000000" w:themeColor="text1"/>
        </w:rPr>
        <w:t>and submits that the objective of sound administration of justice requires her to submit claim in defamation in Ireland for all the damage because this is where her</w:t>
      </w:r>
      <w:r w:rsidR="00C5488D" w:rsidRPr="00A317BE">
        <w:rPr>
          <w:color w:val="000000" w:themeColor="text1"/>
        </w:rPr>
        <w:t xml:space="preserve"> “</w:t>
      </w:r>
      <w:r w:rsidR="003C2FEC" w:rsidRPr="00A317BE">
        <w:rPr>
          <w:color w:val="000000" w:themeColor="text1"/>
        </w:rPr>
        <w:t>centre of interests</w:t>
      </w:r>
      <w:r w:rsidR="003A1CED" w:rsidRPr="00A317BE">
        <w:rPr>
          <w:color w:val="000000" w:themeColor="text1"/>
        </w:rPr>
        <w:t>”</w:t>
      </w:r>
      <w:r w:rsidR="003C2FEC" w:rsidRPr="00A317BE">
        <w:rPr>
          <w:color w:val="000000" w:themeColor="text1"/>
        </w:rPr>
        <w:t xml:space="preserve"> lie.</w:t>
      </w:r>
      <w:r w:rsidR="009C27F2" w:rsidRPr="00A317BE">
        <w:rPr>
          <w:color w:val="000000" w:themeColor="text1"/>
        </w:rPr>
        <w:t xml:space="preserve"> </w:t>
      </w:r>
    </w:p>
    <w:p w14:paraId="10BBA73B" w14:textId="77777777" w:rsidR="009C27F2" w:rsidRPr="00A317BE" w:rsidRDefault="009C27F2" w:rsidP="00A317BE">
      <w:pPr>
        <w:pStyle w:val="ListParagraph"/>
        <w:tabs>
          <w:tab w:val="left" w:pos="567"/>
        </w:tabs>
        <w:ind w:left="0"/>
        <w:rPr>
          <w:color w:val="000000" w:themeColor="text1"/>
        </w:rPr>
      </w:pPr>
    </w:p>
    <w:p w14:paraId="3D5FF014" w14:textId="28E6D44A" w:rsidR="009C27F2" w:rsidRPr="00A317BE" w:rsidRDefault="009C27F2"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She maintains that the dispute has a close connection with Ireland because it is the place where she resides and works, where she suffered the effects of the defamatory statement, and where the recipient of the defamatory statement was registered as a company. </w:t>
      </w:r>
      <w:r w:rsidR="00862AA6" w:rsidRPr="00A317BE">
        <w:rPr>
          <w:color w:val="000000" w:themeColor="text1"/>
        </w:rPr>
        <w:t xml:space="preserve">She also maintains that it would be most unfair to expect her to sue in New Zealand in circumstances where the respondent has failed to pay her for work done, and relies upon the passage in </w:t>
      </w:r>
      <w:r w:rsidR="00862AA6" w:rsidRPr="00A317BE">
        <w:rPr>
          <w:i/>
          <w:color w:val="000000" w:themeColor="text1"/>
        </w:rPr>
        <w:t xml:space="preserve">Ryanair </w:t>
      </w:r>
      <w:r w:rsidR="00862AA6" w:rsidRPr="00A317BE">
        <w:rPr>
          <w:color w:val="000000" w:themeColor="text1"/>
        </w:rPr>
        <w:t xml:space="preserve">where Hogan J. spoke about the relative financial positions of the parties. </w:t>
      </w:r>
    </w:p>
    <w:p w14:paraId="7AD5CD9C" w14:textId="77777777" w:rsidR="002F35F7" w:rsidRPr="00A317BE" w:rsidRDefault="002F35F7" w:rsidP="00A317BE">
      <w:pPr>
        <w:tabs>
          <w:tab w:val="left" w:pos="567"/>
        </w:tabs>
        <w:spacing w:line="480" w:lineRule="auto"/>
        <w:rPr>
          <w:color w:val="000000" w:themeColor="text1"/>
        </w:rPr>
      </w:pPr>
    </w:p>
    <w:p w14:paraId="372420FC" w14:textId="03470757" w:rsidR="006A06EE" w:rsidRPr="00A317BE" w:rsidRDefault="0010316D"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lastRenderedPageBreak/>
        <w:t xml:space="preserve">The respondents dispute the appropriateness of the appellant’s reliance on the passage concerning the ‘targeting’ of a jurisdiction, as discussed in </w:t>
      </w:r>
      <w:r w:rsidRPr="00A317BE">
        <w:rPr>
          <w:i/>
          <w:color w:val="000000" w:themeColor="text1"/>
        </w:rPr>
        <w:t>Ryanair.</w:t>
      </w:r>
      <w:r w:rsidRPr="00A317BE">
        <w:rPr>
          <w:color w:val="000000" w:themeColor="text1"/>
        </w:rPr>
        <w:t xml:space="preserve"> </w:t>
      </w:r>
      <w:r w:rsidR="00E127BF" w:rsidRPr="00A317BE">
        <w:rPr>
          <w:color w:val="000000" w:themeColor="text1"/>
        </w:rPr>
        <w:t>It also disputes that impecuniosity is a relevant factor</w:t>
      </w:r>
      <w:r w:rsidR="002E2200" w:rsidRPr="00A317BE">
        <w:rPr>
          <w:color w:val="000000" w:themeColor="text1"/>
        </w:rPr>
        <w:t xml:space="preserve">. </w:t>
      </w:r>
    </w:p>
    <w:p w14:paraId="001240FD" w14:textId="77777777" w:rsidR="006A06EE" w:rsidRPr="00A317BE" w:rsidRDefault="006A06EE" w:rsidP="00A317BE">
      <w:pPr>
        <w:pStyle w:val="ListParagraph"/>
        <w:tabs>
          <w:tab w:val="left" w:pos="567"/>
        </w:tabs>
        <w:ind w:left="0"/>
        <w:rPr>
          <w:color w:val="000000" w:themeColor="text1"/>
        </w:rPr>
      </w:pPr>
    </w:p>
    <w:p w14:paraId="2D6B490D" w14:textId="08547847" w:rsidR="006A06EE" w:rsidRPr="00A317BE" w:rsidRDefault="006A06EE" w:rsidP="00A317BE">
      <w:pPr>
        <w:pStyle w:val="ListParagraph"/>
        <w:numPr>
          <w:ilvl w:val="0"/>
          <w:numId w:val="23"/>
        </w:numPr>
        <w:tabs>
          <w:tab w:val="left" w:pos="567"/>
        </w:tabs>
        <w:spacing w:after="160"/>
        <w:ind w:left="0" w:firstLine="0"/>
        <w:rPr>
          <w:color w:val="000000" w:themeColor="text1"/>
        </w:rPr>
      </w:pPr>
      <w:r w:rsidRPr="00A317BE">
        <w:rPr>
          <w:color w:val="000000" w:themeColor="text1"/>
        </w:rPr>
        <w:t xml:space="preserve">The respondent </w:t>
      </w:r>
      <w:r w:rsidR="001F2D94" w:rsidRPr="00A317BE">
        <w:rPr>
          <w:color w:val="000000" w:themeColor="text1"/>
        </w:rPr>
        <w:t xml:space="preserve">cites cases on </w:t>
      </w:r>
      <w:r w:rsidR="001F2D94" w:rsidRPr="00A317BE">
        <w:rPr>
          <w:i/>
          <w:color w:val="000000" w:themeColor="text1"/>
        </w:rPr>
        <w:t xml:space="preserve">forum non conveniens, </w:t>
      </w:r>
      <w:r w:rsidR="001F2D94" w:rsidRPr="00A317BE">
        <w:rPr>
          <w:color w:val="000000" w:themeColor="text1"/>
        </w:rPr>
        <w:t xml:space="preserve">including </w:t>
      </w:r>
      <w:r w:rsidRPr="00A317BE">
        <w:rPr>
          <w:i/>
          <w:color w:val="000000" w:themeColor="text1"/>
        </w:rPr>
        <w:t>Intermetal Group Limited v. Worslade Trading Limited</w:t>
      </w:r>
      <w:r w:rsidRPr="00A317BE">
        <w:rPr>
          <w:color w:val="000000" w:themeColor="text1"/>
        </w:rPr>
        <w:t xml:space="preserve"> [1988] 2 IR 1, </w:t>
      </w:r>
      <w:r w:rsidR="001F2D94" w:rsidRPr="00A317BE">
        <w:rPr>
          <w:i/>
          <w:color w:val="000000" w:themeColor="text1"/>
        </w:rPr>
        <w:t>Abama v. Gama Construction Ireland Ltd and another</w:t>
      </w:r>
      <w:r w:rsidR="001F2D94" w:rsidRPr="00A317BE">
        <w:rPr>
          <w:color w:val="000000" w:themeColor="text1"/>
        </w:rPr>
        <w:t xml:space="preserve"> [2011] IEHC 308, and </w:t>
      </w:r>
      <w:r w:rsidR="001F2D94" w:rsidRPr="00A317BE">
        <w:rPr>
          <w:i/>
          <w:color w:val="000000" w:themeColor="text1"/>
        </w:rPr>
        <w:t>IBRC</w:t>
      </w:r>
      <w:r w:rsidR="00AE2122" w:rsidRPr="00A317BE">
        <w:rPr>
          <w:i/>
          <w:color w:val="000000" w:themeColor="text1"/>
        </w:rPr>
        <w:t xml:space="preserve"> Limited</w:t>
      </w:r>
      <w:r w:rsidR="001F2D94" w:rsidRPr="00A317BE">
        <w:rPr>
          <w:i/>
          <w:color w:val="000000" w:themeColor="text1"/>
        </w:rPr>
        <w:t xml:space="preserve"> v</w:t>
      </w:r>
      <w:r w:rsidR="00AE2122" w:rsidRPr="00A317BE">
        <w:rPr>
          <w:i/>
          <w:color w:val="000000" w:themeColor="text1"/>
        </w:rPr>
        <w:t>.</w:t>
      </w:r>
      <w:r w:rsidR="001F2D94" w:rsidRPr="00A317BE">
        <w:rPr>
          <w:i/>
          <w:color w:val="000000" w:themeColor="text1"/>
        </w:rPr>
        <w:t xml:space="preserve"> Quinn</w:t>
      </w:r>
      <w:r w:rsidR="001F2D94" w:rsidRPr="00A317BE">
        <w:rPr>
          <w:color w:val="000000" w:themeColor="text1"/>
        </w:rPr>
        <w:t xml:space="preserve"> </w:t>
      </w:r>
      <w:r w:rsidR="00AE2122" w:rsidRPr="00A317BE">
        <w:rPr>
          <w:color w:val="000000" w:themeColor="text1"/>
        </w:rPr>
        <w:t xml:space="preserve">[Unreported, </w:t>
      </w:r>
      <w:r w:rsidR="00631E2E">
        <w:rPr>
          <w:color w:val="000000" w:themeColor="text1"/>
        </w:rPr>
        <w:t>28</w:t>
      </w:r>
      <w:r w:rsidR="00631E2E" w:rsidRPr="00DB36A8">
        <w:rPr>
          <w:color w:val="000000" w:themeColor="text1"/>
          <w:vertAlign w:val="superscript"/>
        </w:rPr>
        <w:t>th</w:t>
      </w:r>
      <w:r w:rsidR="00631E2E">
        <w:rPr>
          <w:color w:val="000000" w:themeColor="text1"/>
        </w:rPr>
        <w:t xml:space="preserve"> July 2016</w:t>
      </w:r>
      <w:r w:rsidR="00AE2122" w:rsidRPr="00A317BE">
        <w:rPr>
          <w:color w:val="000000" w:themeColor="text1"/>
        </w:rPr>
        <w:t>]</w:t>
      </w:r>
      <w:r w:rsidR="001F2D94" w:rsidRPr="00A317BE">
        <w:rPr>
          <w:color w:val="000000" w:themeColor="text1"/>
        </w:rPr>
        <w:t>.</w:t>
      </w:r>
      <w:r w:rsidR="001A73CF" w:rsidRPr="00A317BE">
        <w:rPr>
          <w:color w:val="000000" w:themeColor="text1"/>
        </w:rPr>
        <w:t xml:space="preserve"> The respondent cites </w:t>
      </w:r>
      <w:r w:rsidRPr="00A317BE">
        <w:rPr>
          <w:color w:val="000000" w:themeColor="text1"/>
        </w:rPr>
        <w:t>the fact of the respondent being a New Zealand company</w:t>
      </w:r>
      <w:r w:rsidR="001A73CF" w:rsidRPr="00A317BE">
        <w:rPr>
          <w:color w:val="000000" w:themeColor="text1"/>
        </w:rPr>
        <w:t xml:space="preserve"> and asserts that the appellant has failed to show any prejudice. </w:t>
      </w:r>
      <w:r w:rsidRPr="00A317BE">
        <w:rPr>
          <w:color w:val="000000" w:themeColor="text1"/>
        </w:rPr>
        <w:t xml:space="preserve"> </w:t>
      </w:r>
    </w:p>
    <w:p w14:paraId="443ED18F" w14:textId="3A98688C" w:rsidR="00A91C01" w:rsidRPr="00A317BE" w:rsidRDefault="00E02B08" w:rsidP="00A317BE">
      <w:pPr>
        <w:pStyle w:val="Heading3"/>
        <w:tabs>
          <w:tab w:val="left" w:pos="567"/>
        </w:tabs>
        <w:rPr>
          <w:i w:val="0"/>
          <w:iCs/>
          <w:color w:val="000000" w:themeColor="text1"/>
          <w:sz w:val="28"/>
          <w:szCs w:val="28"/>
        </w:rPr>
      </w:pPr>
      <w:r w:rsidRPr="00A317BE">
        <w:rPr>
          <w:i w:val="0"/>
          <w:iCs/>
          <w:color w:val="000000" w:themeColor="text1"/>
          <w:sz w:val="28"/>
          <w:szCs w:val="28"/>
        </w:rPr>
        <w:t>Decision</w:t>
      </w:r>
    </w:p>
    <w:p w14:paraId="75B2BFF2" w14:textId="0A149E26" w:rsidR="003874C8" w:rsidRPr="00A317BE" w:rsidRDefault="002E2200" w:rsidP="00A317BE">
      <w:pPr>
        <w:numPr>
          <w:ilvl w:val="0"/>
          <w:numId w:val="23"/>
        </w:numPr>
        <w:tabs>
          <w:tab w:val="left" w:pos="567"/>
        </w:tabs>
        <w:spacing w:line="480" w:lineRule="auto"/>
        <w:ind w:left="0" w:firstLine="0"/>
        <w:rPr>
          <w:color w:val="000000" w:themeColor="text1"/>
        </w:rPr>
      </w:pPr>
      <w:r w:rsidRPr="00A317BE">
        <w:rPr>
          <w:color w:val="000000" w:themeColor="text1"/>
        </w:rPr>
        <w:t>Again,</w:t>
      </w:r>
      <w:r w:rsidR="00135A24" w:rsidRPr="00A317BE">
        <w:rPr>
          <w:color w:val="000000" w:themeColor="text1"/>
        </w:rPr>
        <w:t xml:space="preserve"> </w:t>
      </w:r>
      <w:r w:rsidR="009778A9" w:rsidRPr="00A317BE">
        <w:rPr>
          <w:color w:val="000000" w:themeColor="text1"/>
        </w:rPr>
        <w:t>the first</w:t>
      </w:r>
      <w:r w:rsidR="00135A24" w:rsidRPr="00A317BE">
        <w:rPr>
          <w:color w:val="000000" w:themeColor="text1"/>
        </w:rPr>
        <w:t xml:space="preserve"> stage of the analysis </w:t>
      </w:r>
      <w:r w:rsidR="009778A9" w:rsidRPr="00A317BE">
        <w:rPr>
          <w:color w:val="000000" w:themeColor="text1"/>
        </w:rPr>
        <w:t>is to address the question of whether the case</w:t>
      </w:r>
      <w:r w:rsidR="00135A24" w:rsidRPr="00A317BE">
        <w:rPr>
          <w:color w:val="000000" w:themeColor="text1"/>
        </w:rPr>
        <w:t xml:space="preserve"> falls within the jurisdictional gateway contained in Order 11(1)(f)</w:t>
      </w:r>
      <w:r w:rsidR="00CA5CB8" w:rsidRPr="00A317BE">
        <w:rPr>
          <w:color w:val="000000" w:themeColor="text1"/>
        </w:rPr>
        <w:t xml:space="preserve">, namely whether the tort was committed within the jurisdiction. </w:t>
      </w:r>
      <w:r w:rsidR="009778A9" w:rsidRPr="00A317BE">
        <w:rPr>
          <w:color w:val="000000" w:themeColor="text1"/>
        </w:rPr>
        <w:t xml:space="preserve">The question of </w:t>
      </w:r>
      <w:r w:rsidR="009778A9" w:rsidRPr="00A317BE">
        <w:rPr>
          <w:i/>
          <w:color w:val="000000" w:themeColor="text1"/>
        </w:rPr>
        <w:t>forum conveniens</w:t>
      </w:r>
      <w:r w:rsidR="009778A9" w:rsidRPr="00A317BE">
        <w:rPr>
          <w:color w:val="000000" w:themeColor="text1"/>
        </w:rPr>
        <w:t xml:space="preserve"> would arise only if the appellant can bring herself within that gateway</w:t>
      </w:r>
      <w:r w:rsidR="003874C8" w:rsidRPr="00A317BE">
        <w:rPr>
          <w:color w:val="000000" w:themeColor="text1"/>
        </w:rPr>
        <w:t xml:space="preserve">. </w:t>
      </w:r>
    </w:p>
    <w:p w14:paraId="2D9519C8" w14:textId="77777777" w:rsidR="003874C8" w:rsidRPr="00A317BE" w:rsidRDefault="003874C8" w:rsidP="00F26376">
      <w:pPr>
        <w:tabs>
          <w:tab w:val="left" w:pos="567"/>
        </w:tabs>
        <w:spacing w:line="480" w:lineRule="auto"/>
        <w:rPr>
          <w:color w:val="000000" w:themeColor="text1"/>
        </w:rPr>
      </w:pPr>
    </w:p>
    <w:p w14:paraId="48391A2C" w14:textId="4B40B517" w:rsidR="00CA5CB8" w:rsidRPr="00A317BE" w:rsidRDefault="00B74F37"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 </w:t>
      </w:r>
      <w:r w:rsidR="003874C8" w:rsidRPr="00A317BE">
        <w:rPr>
          <w:color w:val="000000" w:themeColor="text1"/>
        </w:rPr>
        <w:t>The appellant seeks to rely on cases which are not applicable</w:t>
      </w:r>
      <w:r w:rsidR="00EC7785" w:rsidRPr="00A317BE">
        <w:rPr>
          <w:color w:val="000000" w:themeColor="text1"/>
        </w:rPr>
        <w:t xml:space="preserve"> to her case</w:t>
      </w:r>
      <w:r w:rsidR="003874C8" w:rsidRPr="00A317BE">
        <w:rPr>
          <w:color w:val="000000" w:themeColor="text1"/>
        </w:rPr>
        <w:t xml:space="preserve"> because they are confined to an interpretation of the Regulation (</w:t>
      </w:r>
      <w:r w:rsidR="00AE2122" w:rsidRPr="00A317BE">
        <w:rPr>
          <w:color w:val="000000" w:themeColor="text1"/>
        </w:rPr>
        <w:t xml:space="preserve">i.e. </w:t>
      </w:r>
      <w:r w:rsidR="003874C8" w:rsidRPr="00A317BE">
        <w:rPr>
          <w:color w:val="000000" w:themeColor="text1"/>
        </w:rPr>
        <w:t>Brussels 1 recast)</w:t>
      </w:r>
      <w:r w:rsidR="000805F1" w:rsidRPr="00A317BE">
        <w:rPr>
          <w:color w:val="000000" w:themeColor="text1"/>
        </w:rPr>
        <w:t xml:space="preserve"> </w:t>
      </w:r>
      <w:r w:rsidR="00EC7785" w:rsidRPr="00A317BE">
        <w:rPr>
          <w:color w:val="000000" w:themeColor="text1"/>
        </w:rPr>
        <w:t>in respect of internet publications</w:t>
      </w:r>
      <w:r w:rsidR="002E2200" w:rsidRPr="00A317BE">
        <w:rPr>
          <w:color w:val="000000" w:themeColor="text1"/>
        </w:rPr>
        <w:t>. (</w:t>
      </w:r>
      <w:r w:rsidR="00EC7785" w:rsidRPr="00A317BE">
        <w:rPr>
          <w:color w:val="000000" w:themeColor="text1"/>
        </w:rPr>
        <w:t xml:space="preserve">Non-internet cases continue, even within the Regulation context, to be governed by </w:t>
      </w:r>
      <w:r w:rsidR="00EC7785" w:rsidRPr="00A317BE">
        <w:rPr>
          <w:i/>
          <w:color w:val="000000" w:themeColor="text1"/>
        </w:rPr>
        <w:t xml:space="preserve">Shevill v. Presse Alliance SA </w:t>
      </w:r>
      <w:r w:rsidR="00EC7785" w:rsidRPr="00A317BE">
        <w:rPr>
          <w:iCs/>
          <w:color w:val="000000" w:themeColor="text1"/>
        </w:rPr>
        <w:t>[1995] EUECJ C-68/93.</w:t>
      </w:r>
      <w:r w:rsidR="002E2200" w:rsidRPr="00A317BE">
        <w:rPr>
          <w:color w:val="000000" w:themeColor="text1"/>
        </w:rPr>
        <w:t>)</w:t>
      </w:r>
      <w:r w:rsidR="00431DB8" w:rsidRPr="00A317BE">
        <w:rPr>
          <w:color w:val="000000" w:themeColor="text1"/>
        </w:rPr>
        <w:t xml:space="preserve"> </w:t>
      </w:r>
      <w:r w:rsidR="00EC7785" w:rsidRPr="00A317BE">
        <w:rPr>
          <w:color w:val="000000" w:themeColor="text1"/>
        </w:rPr>
        <w:t>Thus</w:t>
      </w:r>
      <w:r w:rsidR="000C7C00" w:rsidRPr="00A317BE">
        <w:rPr>
          <w:color w:val="000000" w:themeColor="text1"/>
        </w:rPr>
        <w:t>, the appellant’s</w:t>
      </w:r>
      <w:r w:rsidR="00EC7785" w:rsidRPr="00A317BE">
        <w:rPr>
          <w:color w:val="000000" w:themeColor="text1"/>
        </w:rPr>
        <w:t xml:space="preserve"> reliance upon</w:t>
      </w:r>
      <w:r w:rsidR="002E2200" w:rsidRPr="00A317BE">
        <w:rPr>
          <w:color w:val="000000" w:themeColor="text1"/>
        </w:rPr>
        <w:t xml:space="preserve"> EU cases such as</w:t>
      </w:r>
      <w:r w:rsidR="00EC7785" w:rsidRPr="00A317BE">
        <w:rPr>
          <w:color w:val="000000" w:themeColor="text1"/>
        </w:rPr>
        <w:t xml:space="preserve"> </w:t>
      </w:r>
      <w:r w:rsidR="000805F1" w:rsidRPr="00A317BE">
        <w:rPr>
          <w:i/>
          <w:color w:val="000000" w:themeColor="text1"/>
        </w:rPr>
        <w:t>eDate</w:t>
      </w:r>
      <w:r w:rsidR="00C8175A" w:rsidRPr="00A317BE">
        <w:rPr>
          <w:i/>
          <w:color w:val="000000" w:themeColor="text1"/>
        </w:rPr>
        <w:t xml:space="preserve"> </w:t>
      </w:r>
      <w:r w:rsidR="00C8175A" w:rsidRPr="00A317BE">
        <w:rPr>
          <w:color w:val="000000" w:themeColor="text1"/>
        </w:rPr>
        <w:t xml:space="preserve">and </w:t>
      </w:r>
      <w:r w:rsidR="00C8175A" w:rsidRPr="00A317BE">
        <w:rPr>
          <w:i/>
          <w:color w:val="000000" w:themeColor="text1"/>
        </w:rPr>
        <w:t>Martinez</w:t>
      </w:r>
      <w:r w:rsidR="00EC7785" w:rsidRPr="00A317BE">
        <w:rPr>
          <w:i/>
          <w:color w:val="000000" w:themeColor="text1"/>
        </w:rPr>
        <w:t xml:space="preserve">is </w:t>
      </w:r>
      <w:r w:rsidR="00EC7785" w:rsidRPr="00A317BE">
        <w:rPr>
          <w:color w:val="000000" w:themeColor="text1"/>
        </w:rPr>
        <w:t xml:space="preserve">is doubly misplaced; her case </w:t>
      </w:r>
      <w:r w:rsidR="000F22A6" w:rsidRPr="00A317BE">
        <w:rPr>
          <w:color w:val="000000" w:themeColor="text1"/>
        </w:rPr>
        <w:t>is neither</w:t>
      </w:r>
      <w:r w:rsidR="00EC7785" w:rsidRPr="00A317BE">
        <w:rPr>
          <w:color w:val="000000" w:themeColor="text1"/>
        </w:rPr>
        <w:t xml:space="preserve"> a Brussels 1 case nor </w:t>
      </w:r>
      <w:r w:rsidR="000F22A6" w:rsidRPr="00A317BE">
        <w:rPr>
          <w:color w:val="000000" w:themeColor="text1"/>
        </w:rPr>
        <w:t xml:space="preserve">does it involve an </w:t>
      </w:r>
      <w:r w:rsidR="00EC7785" w:rsidRPr="00A317BE">
        <w:rPr>
          <w:color w:val="000000" w:themeColor="text1"/>
        </w:rPr>
        <w:t xml:space="preserve">internet publication. </w:t>
      </w:r>
      <w:r w:rsidR="002E2200" w:rsidRPr="00A317BE">
        <w:rPr>
          <w:color w:val="000000" w:themeColor="text1"/>
        </w:rPr>
        <w:t>Whatever the method of communication of the alleged defamation as between the respondent and EML, it has never been suggested that it was posted on the internet</w:t>
      </w:r>
      <w:r w:rsidR="00C53182" w:rsidRPr="00A317BE">
        <w:rPr>
          <w:color w:val="000000" w:themeColor="text1"/>
        </w:rPr>
        <w:t xml:space="preserve"> to the world at large.</w:t>
      </w:r>
    </w:p>
    <w:p w14:paraId="549B0BD6" w14:textId="77777777" w:rsidR="00CA5CB8" w:rsidRPr="00A317BE" w:rsidRDefault="00CA5CB8" w:rsidP="00A317BE">
      <w:pPr>
        <w:tabs>
          <w:tab w:val="left" w:pos="567"/>
        </w:tabs>
        <w:rPr>
          <w:color w:val="000000" w:themeColor="text1"/>
        </w:rPr>
      </w:pPr>
    </w:p>
    <w:p w14:paraId="59A0C186" w14:textId="78623163" w:rsidR="00EF5BD6" w:rsidRPr="00A317BE" w:rsidRDefault="00C46CFD"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pertinent rules are therefore the common law rules. </w:t>
      </w:r>
      <w:r w:rsidR="00EF5BD6" w:rsidRPr="00A317BE">
        <w:rPr>
          <w:color w:val="000000" w:themeColor="text1"/>
        </w:rPr>
        <w:t>As Cox and McCullough point out at paragraph 13.26 of Defamation Law and Practice (2</w:t>
      </w:r>
      <w:r w:rsidR="00EF5BD6" w:rsidRPr="00A317BE">
        <w:rPr>
          <w:color w:val="000000" w:themeColor="text1"/>
          <w:vertAlign w:val="superscript"/>
        </w:rPr>
        <w:t>nd</w:t>
      </w:r>
      <w:r w:rsidR="00EF5BD6" w:rsidRPr="00A317BE">
        <w:rPr>
          <w:color w:val="000000" w:themeColor="text1"/>
        </w:rPr>
        <w:t xml:space="preserve"> edition):-</w:t>
      </w:r>
    </w:p>
    <w:p w14:paraId="3DF292D5" w14:textId="09AA3A39" w:rsidR="00EF5BD6" w:rsidRPr="00A317BE" w:rsidRDefault="00EF5BD6" w:rsidP="00AE2122">
      <w:pPr>
        <w:tabs>
          <w:tab w:val="left" w:pos="567"/>
        </w:tabs>
        <w:spacing w:line="480" w:lineRule="auto"/>
        <w:ind w:left="567"/>
        <w:rPr>
          <w:color w:val="000000" w:themeColor="text1"/>
        </w:rPr>
      </w:pPr>
      <w:r w:rsidRPr="00A317BE">
        <w:rPr>
          <w:color w:val="000000" w:themeColor="text1"/>
        </w:rPr>
        <w:lastRenderedPageBreak/>
        <w:t xml:space="preserve">“As a matter of Irish law, publication of a statement is deemed to occur at the place and time when it is received rather than when it is sent. Thus, where a cross-jurisdictional publication is at issue, publication occurs in the jurisdiction where the publication </w:t>
      </w:r>
      <w:r w:rsidRPr="00A317BE">
        <w:rPr>
          <w:i/>
          <w:color w:val="000000" w:themeColor="text1"/>
        </w:rPr>
        <w:t>is received</w:t>
      </w:r>
      <w:r w:rsidRPr="00A317BE">
        <w:rPr>
          <w:color w:val="000000" w:themeColor="text1"/>
        </w:rPr>
        <w:t xml:space="preserve"> and not the jurisdiction from which it is sent”. </w:t>
      </w:r>
      <w:r w:rsidR="001B6DDE" w:rsidRPr="00A317BE">
        <w:rPr>
          <w:color w:val="000000" w:themeColor="text1"/>
        </w:rPr>
        <w:t>(emphasis added)</w:t>
      </w:r>
    </w:p>
    <w:p w14:paraId="1E6A5AB8" w14:textId="77777777" w:rsidR="00100211" w:rsidRPr="00A317BE" w:rsidRDefault="00100211" w:rsidP="00A317BE">
      <w:pPr>
        <w:tabs>
          <w:tab w:val="left" w:pos="567"/>
        </w:tabs>
        <w:spacing w:line="480" w:lineRule="auto"/>
        <w:rPr>
          <w:color w:val="000000" w:themeColor="text1"/>
        </w:rPr>
      </w:pPr>
    </w:p>
    <w:p w14:paraId="599ED053" w14:textId="33514193" w:rsidR="00A72A41" w:rsidRPr="00A317BE" w:rsidRDefault="002B7BA0" w:rsidP="00A317BE">
      <w:pPr>
        <w:numPr>
          <w:ilvl w:val="0"/>
          <w:numId w:val="23"/>
        </w:numPr>
        <w:tabs>
          <w:tab w:val="left" w:pos="567"/>
        </w:tabs>
        <w:spacing w:line="480" w:lineRule="auto"/>
        <w:ind w:left="0" w:firstLine="0"/>
        <w:rPr>
          <w:color w:val="000000" w:themeColor="text1"/>
        </w:rPr>
      </w:pPr>
      <w:r w:rsidRPr="00A317BE">
        <w:rPr>
          <w:color w:val="000000" w:themeColor="text1"/>
        </w:rPr>
        <w:t>Th</w:t>
      </w:r>
      <w:r w:rsidR="00100211" w:rsidRPr="00A317BE">
        <w:rPr>
          <w:color w:val="000000" w:themeColor="text1"/>
        </w:rPr>
        <w:t xml:space="preserve">is rule was </w:t>
      </w:r>
      <w:r w:rsidR="00D67D25" w:rsidRPr="00A317BE">
        <w:rPr>
          <w:color w:val="000000" w:themeColor="text1"/>
        </w:rPr>
        <w:t xml:space="preserve">in fact </w:t>
      </w:r>
      <w:r w:rsidR="00100211" w:rsidRPr="00A317BE">
        <w:rPr>
          <w:color w:val="000000" w:themeColor="text1"/>
        </w:rPr>
        <w:t>applied by this Court in</w:t>
      </w:r>
      <w:r w:rsidR="00B74F37" w:rsidRPr="00A317BE">
        <w:rPr>
          <w:color w:val="000000" w:themeColor="text1"/>
        </w:rPr>
        <w:t xml:space="preserve"> </w:t>
      </w:r>
      <w:r w:rsidR="005B1176" w:rsidRPr="00A317BE">
        <w:rPr>
          <w:i/>
          <w:color w:val="000000" w:themeColor="text1"/>
        </w:rPr>
        <w:t xml:space="preserve">Ryanair </w:t>
      </w:r>
      <w:r w:rsidR="00AE2122" w:rsidRPr="00A317BE">
        <w:rPr>
          <w:i/>
          <w:color w:val="000000" w:themeColor="text1"/>
        </w:rPr>
        <w:t xml:space="preserve">Ltd. </w:t>
      </w:r>
      <w:r w:rsidR="005B1176" w:rsidRPr="00A317BE">
        <w:rPr>
          <w:i/>
          <w:color w:val="000000" w:themeColor="text1"/>
        </w:rPr>
        <w:t>v</w:t>
      </w:r>
      <w:r w:rsidR="00AE2122" w:rsidRPr="00A317BE">
        <w:rPr>
          <w:i/>
          <w:color w:val="000000" w:themeColor="text1"/>
        </w:rPr>
        <w:t>.</w:t>
      </w:r>
      <w:r w:rsidR="005B1176" w:rsidRPr="00A317BE">
        <w:rPr>
          <w:i/>
          <w:color w:val="000000" w:themeColor="text1"/>
        </w:rPr>
        <w:t xml:space="preserve"> Fleming </w:t>
      </w:r>
      <w:r w:rsidR="00C8175A" w:rsidRPr="00A317BE">
        <w:rPr>
          <w:color w:val="000000" w:themeColor="text1"/>
        </w:rPr>
        <w:t>[2016</w:t>
      </w:r>
      <w:r w:rsidR="00B74F37" w:rsidRPr="00A317BE">
        <w:rPr>
          <w:color w:val="000000" w:themeColor="text1"/>
        </w:rPr>
        <w:t>]</w:t>
      </w:r>
      <w:r w:rsidR="00C8175A" w:rsidRPr="00A317BE">
        <w:rPr>
          <w:color w:val="000000" w:themeColor="text1"/>
        </w:rPr>
        <w:t xml:space="preserve"> IECA 265</w:t>
      </w:r>
      <w:r w:rsidR="00D67D25" w:rsidRPr="00A317BE">
        <w:rPr>
          <w:color w:val="000000" w:themeColor="text1"/>
        </w:rPr>
        <w:t xml:space="preserve"> which was </w:t>
      </w:r>
      <w:r w:rsidR="00B74F37" w:rsidRPr="00A317BE">
        <w:rPr>
          <w:color w:val="000000" w:themeColor="text1"/>
        </w:rPr>
        <w:t>a non-Brussels</w:t>
      </w:r>
      <w:r w:rsidR="00D67D25" w:rsidRPr="00A317BE">
        <w:rPr>
          <w:color w:val="000000" w:themeColor="text1"/>
        </w:rPr>
        <w:t xml:space="preserve"> I</w:t>
      </w:r>
      <w:r w:rsidR="00B74F37" w:rsidRPr="00A317BE">
        <w:rPr>
          <w:color w:val="000000" w:themeColor="text1"/>
        </w:rPr>
        <w:t xml:space="preserve"> </w:t>
      </w:r>
      <w:r w:rsidR="00AE2122" w:rsidRPr="00A317BE">
        <w:rPr>
          <w:color w:val="000000" w:themeColor="text1"/>
        </w:rPr>
        <w:t xml:space="preserve">recast </w:t>
      </w:r>
      <w:r w:rsidR="00B74F37" w:rsidRPr="00A317BE">
        <w:rPr>
          <w:color w:val="000000" w:themeColor="text1"/>
        </w:rPr>
        <w:t xml:space="preserve">case. </w:t>
      </w:r>
      <w:r w:rsidRPr="00A317BE">
        <w:rPr>
          <w:color w:val="000000" w:themeColor="text1"/>
        </w:rPr>
        <w:t>The plaintiff sued in respect of comments made by the</w:t>
      </w:r>
      <w:r w:rsidR="007B074C" w:rsidRPr="00A317BE">
        <w:rPr>
          <w:color w:val="000000" w:themeColor="text1"/>
        </w:rPr>
        <w:t xml:space="preserve"> defendant</w:t>
      </w:r>
      <w:r w:rsidRPr="00A317BE">
        <w:rPr>
          <w:color w:val="000000" w:themeColor="text1"/>
        </w:rPr>
        <w:t xml:space="preserve">, an Australian pilot who had no connections with Ireland, </w:t>
      </w:r>
      <w:r w:rsidR="007B074C" w:rsidRPr="00A317BE">
        <w:rPr>
          <w:color w:val="000000" w:themeColor="text1"/>
        </w:rPr>
        <w:t>on an internet website operated by a company based in California</w:t>
      </w:r>
      <w:r w:rsidRPr="00A317BE">
        <w:rPr>
          <w:color w:val="000000" w:themeColor="text1"/>
        </w:rPr>
        <w:t xml:space="preserve">. </w:t>
      </w:r>
      <w:r w:rsidR="00691CCA" w:rsidRPr="00A317BE">
        <w:rPr>
          <w:color w:val="000000" w:themeColor="text1"/>
        </w:rPr>
        <w:t>The Court</w:t>
      </w:r>
      <w:r w:rsidR="00CB150C" w:rsidRPr="00A317BE">
        <w:rPr>
          <w:color w:val="000000" w:themeColor="text1"/>
        </w:rPr>
        <w:t xml:space="preserve"> upheld the decision of the High Court </w:t>
      </w:r>
      <w:r w:rsidR="00CB2002" w:rsidRPr="00A317BE">
        <w:rPr>
          <w:color w:val="000000" w:themeColor="text1"/>
        </w:rPr>
        <w:t>setting</w:t>
      </w:r>
      <w:r w:rsidR="00CB150C" w:rsidRPr="00A317BE">
        <w:rPr>
          <w:color w:val="000000" w:themeColor="text1"/>
        </w:rPr>
        <w:t xml:space="preserve"> aside </w:t>
      </w:r>
      <w:r w:rsidR="00CB2002" w:rsidRPr="00A317BE">
        <w:rPr>
          <w:color w:val="000000" w:themeColor="text1"/>
        </w:rPr>
        <w:t>an</w:t>
      </w:r>
      <w:r w:rsidR="00CB150C" w:rsidRPr="00A317BE">
        <w:rPr>
          <w:color w:val="000000" w:themeColor="text1"/>
        </w:rPr>
        <w:t xml:space="preserve"> </w:t>
      </w:r>
      <w:r w:rsidR="00987133" w:rsidRPr="00A317BE">
        <w:rPr>
          <w:color w:val="000000" w:themeColor="text1"/>
        </w:rPr>
        <w:t xml:space="preserve">order authorising service out of the jurisdiction. It held that it was necessary for a plaintiff to prove publication </w:t>
      </w:r>
      <w:r w:rsidR="00CB2002" w:rsidRPr="00A317BE">
        <w:rPr>
          <w:color w:val="000000" w:themeColor="text1"/>
        </w:rPr>
        <w:t xml:space="preserve">via the internet </w:t>
      </w:r>
      <w:r w:rsidR="00987133" w:rsidRPr="00A317BE">
        <w:rPr>
          <w:color w:val="000000" w:themeColor="text1"/>
        </w:rPr>
        <w:t>in the State through evidence that a third party within the jurisdiction had accessed or downloaded the material</w:t>
      </w:r>
      <w:r w:rsidR="00CB2002" w:rsidRPr="00A317BE">
        <w:rPr>
          <w:color w:val="000000" w:themeColor="text1"/>
        </w:rPr>
        <w:t>.</w:t>
      </w:r>
      <w:r w:rsidR="00987133" w:rsidRPr="00A317BE">
        <w:rPr>
          <w:color w:val="000000" w:themeColor="text1"/>
        </w:rPr>
        <w:t xml:space="preserve"> </w:t>
      </w:r>
      <w:r w:rsidR="00D67D25" w:rsidRPr="00A317BE">
        <w:rPr>
          <w:color w:val="000000" w:themeColor="text1"/>
        </w:rPr>
        <w:t xml:space="preserve">Although </w:t>
      </w:r>
      <w:r w:rsidR="001B729B" w:rsidRPr="00A317BE">
        <w:rPr>
          <w:color w:val="000000" w:themeColor="text1"/>
          <w:shd w:val="clear" w:color="auto" w:fill="FFFFFF"/>
        </w:rPr>
        <w:t>Hogan J. made the general comments already adverted to earlier in this judgmen</w:t>
      </w:r>
      <w:r w:rsidR="000C7C00" w:rsidRPr="00A317BE">
        <w:rPr>
          <w:color w:val="000000" w:themeColor="text1"/>
          <w:shd w:val="clear" w:color="auto" w:fill="FFFFFF"/>
        </w:rPr>
        <w:t xml:space="preserve">t, describing the </w:t>
      </w:r>
      <w:r w:rsidR="00296A8D" w:rsidRPr="00A317BE">
        <w:rPr>
          <w:color w:val="000000" w:themeColor="text1"/>
          <w:shd w:val="clear" w:color="auto" w:fill="FFFFFF"/>
        </w:rPr>
        <w:t>general principles underlying the more specific conflicts of laws rules</w:t>
      </w:r>
      <w:r w:rsidR="00D67D25" w:rsidRPr="00A317BE">
        <w:rPr>
          <w:color w:val="000000" w:themeColor="text1"/>
          <w:shd w:val="clear" w:color="auto" w:fill="FFFFFF"/>
        </w:rPr>
        <w:t>, later in his judgment, he held that the</w:t>
      </w:r>
      <w:r w:rsidR="00A67C27" w:rsidRPr="00A317BE">
        <w:rPr>
          <w:color w:val="000000" w:themeColor="text1"/>
          <w:shd w:val="clear" w:color="auto" w:fill="FFFFFF"/>
        </w:rPr>
        <w:t xml:space="preserve"> </w:t>
      </w:r>
      <w:r w:rsidR="00A72A41" w:rsidRPr="00A317BE">
        <w:rPr>
          <w:color w:val="000000" w:themeColor="text1"/>
          <w:shd w:val="clear" w:color="auto" w:fill="FFFFFF"/>
        </w:rPr>
        <w:t xml:space="preserve">absence </w:t>
      </w:r>
      <w:r w:rsidR="00D67D25" w:rsidRPr="00A317BE">
        <w:rPr>
          <w:color w:val="000000" w:themeColor="text1"/>
          <w:shd w:val="clear" w:color="auto" w:fill="FFFFFF"/>
        </w:rPr>
        <w:t xml:space="preserve">of publication within the jurisdiction </w:t>
      </w:r>
      <w:r w:rsidR="00A67C27" w:rsidRPr="00A317BE">
        <w:rPr>
          <w:color w:val="000000" w:themeColor="text1"/>
          <w:shd w:val="clear" w:color="auto" w:fill="FFFFFF"/>
        </w:rPr>
        <w:t>was fatal to the assumption of jurisdiction by the Irish courts</w:t>
      </w:r>
      <w:r w:rsidR="00903E23" w:rsidRPr="00A317BE">
        <w:rPr>
          <w:color w:val="000000" w:themeColor="text1"/>
          <w:shd w:val="clear" w:color="auto" w:fill="FFFFFF"/>
        </w:rPr>
        <w:t>:</w:t>
      </w:r>
    </w:p>
    <w:p w14:paraId="6BCC97E8" w14:textId="26398A36" w:rsidR="00296830" w:rsidRPr="00A317BE" w:rsidRDefault="00A72A41" w:rsidP="00A317BE">
      <w:pPr>
        <w:tabs>
          <w:tab w:val="left" w:pos="567"/>
        </w:tabs>
        <w:spacing w:line="480" w:lineRule="auto"/>
        <w:ind w:left="567"/>
        <w:rPr>
          <w:color w:val="000000" w:themeColor="text1"/>
          <w:shd w:val="clear" w:color="auto" w:fill="FFFFFF"/>
        </w:rPr>
      </w:pPr>
      <w:r w:rsidRPr="00A317BE">
        <w:rPr>
          <w:color w:val="000000" w:themeColor="text1"/>
          <w:shd w:val="clear" w:color="auto" w:fill="FFFFFF"/>
        </w:rPr>
        <w:t>“</w:t>
      </w:r>
      <w:r w:rsidR="00903E23" w:rsidRPr="00A317BE">
        <w:rPr>
          <w:color w:val="000000" w:themeColor="text1"/>
          <w:shd w:val="clear" w:color="auto" w:fill="FFFFFF"/>
        </w:rPr>
        <w:t xml:space="preserve">[24] Quite apart from any other consideration, the plaintiff must, of course, establish publication in this State in order to establish jurisdiction. </w:t>
      </w:r>
      <w:r w:rsidR="009D1B3E" w:rsidRPr="00A317BE">
        <w:rPr>
          <w:color w:val="000000" w:themeColor="text1"/>
          <w:shd w:val="clear" w:color="auto" w:fill="FFFFFF"/>
        </w:rPr>
        <w:t xml:space="preserve">There is, however, no evidence before the court to establish that this post has been seen, accessed or down-loaded by any third party within this jurisdiction. Proof of publication to a third party is, of course, an essential ingredient of the tort: see s. 6(2) of the 2009 Act. There could, of course, be many circumstances where the fact of publication in an on-line version – such as the of a major newspaper - would, as a matter of common sense, lead to the inference that it was so published to a third party. This cannot, however, obscure the </w:t>
      </w:r>
      <w:r w:rsidR="009D1B3E" w:rsidRPr="00A317BE">
        <w:rPr>
          <w:color w:val="000000" w:themeColor="text1"/>
          <w:shd w:val="clear" w:color="auto" w:fill="FFFFFF"/>
        </w:rPr>
        <w:lastRenderedPageBreak/>
        <w:t>fact that the plaintiff is still required to prove that the material was accessed or downloaded by a third party in this jurisdiction.</w:t>
      </w:r>
      <w:r w:rsidRPr="00A317BE">
        <w:rPr>
          <w:color w:val="000000" w:themeColor="text1"/>
          <w:shd w:val="clear" w:color="auto" w:fill="FFFFFF"/>
        </w:rPr>
        <w:t>”</w:t>
      </w:r>
    </w:p>
    <w:p w14:paraId="6A3BE036" w14:textId="77777777" w:rsidR="005913E6" w:rsidRPr="00A317BE" w:rsidRDefault="005913E6" w:rsidP="00A317BE">
      <w:pPr>
        <w:tabs>
          <w:tab w:val="left" w:pos="567"/>
        </w:tabs>
        <w:spacing w:line="480" w:lineRule="auto"/>
        <w:rPr>
          <w:color w:val="000000" w:themeColor="text1"/>
          <w:shd w:val="clear" w:color="auto" w:fill="FFFFFF"/>
        </w:rPr>
      </w:pPr>
    </w:p>
    <w:p w14:paraId="493D4026" w14:textId="63A662C5" w:rsidR="00733DF8" w:rsidRPr="00A317BE" w:rsidRDefault="00733DF8" w:rsidP="00A317BE">
      <w:pPr>
        <w:numPr>
          <w:ilvl w:val="0"/>
          <w:numId w:val="23"/>
        </w:numPr>
        <w:tabs>
          <w:tab w:val="left" w:pos="567"/>
        </w:tabs>
        <w:spacing w:line="480" w:lineRule="auto"/>
        <w:ind w:left="0" w:firstLine="0"/>
        <w:rPr>
          <w:color w:val="000000" w:themeColor="text1"/>
          <w:shd w:val="clear" w:color="auto" w:fill="FFFFFF"/>
        </w:rPr>
      </w:pPr>
      <w:r w:rsidRPr="00A317BE">
        <w:rPr>
          <w:color w:val="000000" w:themeColor="text1"/>
          <w:shd w:val="clear" w:color="auto" w:fill="FFFFFF"/>
        </w:rPr>
        <w:t>H</w:t>
      </w:r>
      <w:r w:rsidR="00173FDC" w:rsidRPr="00A317BE">
        <w:rPr>
          <w:color w:val="000000" w:themeColor="text1"/>
          <w:shd w:val="clear" w:color="auto" w:fill="FFFFFF"/>
        </w:rPr>
        <w:t>ogan J.</w:t>
      </w:r>
      <w:r w:rsidRPr="00A317BE">
        <w:rPr>
          <w:color w:val="000000" w:themeColor="text1"/>
          <w:shd w:val="clear" w:color="auto" w:fill="FFFFFF"/>
        </w:rPr>
        <w:t xml:space="preserve"> also cited </w:t>
      </w:r>
      <w:r w:rsidRPr="00A317BE">
        <w:rPr>
          <w:i/>
          <w:color w:val="000000" w:themeColor="text1"/>
          <w:shd w:val="clear" w:color="auto" w:fill="FFFFFF"/>
        </w:rPr>
        <w:t>Al Almoudi v</w:t>
      </w:r>
      <w:r w:rsidR="00AE2122" w:rsidRPr="00A317BE">
        <w:rPr>
          <w:i/>
          <w:color w:val="000000" w:themeColor="text1"/>
          <w:shd w:val="clear" w:color="auto" w:fill="FFFFFF"/>
        </w:rPr>
        <w:t>.</w:t>
      </w:r>
      <w:r w:rsidRPr="00A317BE">
        <w:rPr>
          <w:i/>
          <w:color w:val="000000" w:themeColor="text1"/>
          <w:shd w:val="clear" w:color="auto" w:fill="FFFFFF"/>
        </w:rPr>
        <w:t xml:space="preserve"> Bri</w:t>
      </w:r>
      <w:r w:rsidRPr="00A317BE">
        <w:rPr>
          <w:color w:val="000000" w:themeColor="text1"/>
          <w:shd w:val="clear" w:color="auto" w:fill="FFFFFF"/>
        </w:rPr>
        <w:t>sard [2006] EWHC 106</w:t>
      </w:r>
      <w:r w:rsidR="00AE2122" w:rsidRPr="00A317BE">
        <w:rPr>
          <w:color w:val="000000" w:themeColor="text1"/>
          <w:shd w:val="clear" w:color="auto" w:fill="FFFFFF"/>
        </w:rPr>
        <w:t>2</w:t>
      </w:r>
      <w:r w:rsidRPr="00A317BE">
        <w:rPr>
          <w:color w:val="000000" w:themeColor="text1"/>
          <w:shd w:val="clear" w:color="auto" w:fill="FFFFFF"/>
        </w:rPr>
        <w:t xml:space="preserve">, [2007] 1 WLR 113, and </w:t>
      </w:r>
      <w:r w:rsidRPr="00A317BE">
        <w:rPr>
          <w:i/>
          <w:color w:val="000000" w:themeColor="text1"/>
          <w:shd w:val="clear" w:color="auto" w:fill="FFFFFF"/>
        </w:rPr>
        <w:t>Coleman v</w:t>
      </w:r>
      <w:r w:rsidR="00AE2122" w:rsidRPr="00A317BE">
        <w:rPr>
          <w:i/>
          <w:color w:val="000000" w:themeColor="text1"/>
          <w:shd w:val="clear" w:color="auto" w:fill="FFFFFF"/>
        </w:rPr>
        <w:t>.</w:t>
      </w:r>
      <w:r w:rsidRPr="00A317BE">
        <w:rPr>
          <w:i/>
          <w:color w:val="000000" w:themeColor="text1"/>
          <w:shd w:val="clear" w:color="auto" w:fill="FFFFFF"/>
        </w:rPr>
        <w:t xml:space="preserve"> MGN Ltd. </w:t>
      </w:r>
      <w:r w:rsidR="00AE2122" w:rsidRPr="00A317BE">
        <w:rPr>
          <w:iCs/>
          <w:color w:val="000000" w:themeColor="text1"/>
          <w:shd w:val="clear" w:color="auto" w:fill="FFFFFF"/>
        </w:rPr>
        <w:t>[</w:t>
      </w:r>
      <w:r w:rsidRPr="00A317BE">
        <w:rPr>
          <w:color w:val="000000" w:themeColor="text1"/>
          <w:shd w:val="clear" w:color="auto" w:fill="FFFFFF"/>
        </w:rPr>
        <w:t xml:space="preserve">2012] IESC 20, a decision of the Supreme Court, in support of the proposition that there must be evidence of publication within the jurisdiction. </w:t>
      </w:r>
      <w:r w:rsidR="00A117E9" w:rsidRPr="00A317BE">
        <w:rPr>
          <w:color w:val="000000" w:themeColor="text1"/>
          <w:shd w:val="clear" w:color="auto" w:fill="FFFFFF"/>
        </w:rPr>
        <w:t>He concluded that “independently of any other consideration, the plaintiff has not demonstrated that the Irish courts have jurisdiction in this matter since, to repeat, there is no actual evidence that a third party located in this jurisdiction has accessed or downloaded the offending post”</w:t>
      </w:r>
      <w:r w:rsidR="00906DB6" w:rsidRPr="00A317BE">
        <w:rPr>
          <w:color w:val="000000" w:themeColor="text1"/>
          <w:shd w:val="clear" w:color="auto" w:fill="FFFFFF"/>
        </w:rPr>
        <w:t xml:space="preserve"> (para</w:t>
      </w:r>
      <w:r w:rsidR="00AE2122" w:rsidRPr="00A317BE">
        <w:rPr>
          <w:color w:val="000000" w:themeColor="text1"/>
          <w:shd w:val="clear" w:color="auto" w:fill="FFFFFF"/>
        </w:rPr>
        <w:t>graph</w:t>
      </w:r>
      <w:r w:rsidR="00906DB6" w:rsidRPr="00A317BE">
        <w:rPr>
          <w:color w:val="000000" w:themeColor="text1"/>
          <w:shd w:val="clear" w:color="auto" w:fill="FFFFFF"/>
        </w:rPr>
        <w:t xml:space="preserve"> 30). </w:t>
      </w:r>
    </w:p>
    <w:p w14:paraId="329BD44F" w14:textId="77777777" w:rsidR="00733DF8" w:rsidRPr="00A317BE" w:rsidRDefault="00733DF8" w:rsidP="00F26376">
      <w:pPr>
        <w:tabs>
          <w:tab w:val="left" w:pos="567"/>
        </w:tabs>
        <w:spacing w:line="480" w:lineRule="auto"/>
        <w:rPr>
          <w:color w:val="000000" w:themeColor="text1"/>
          <w:shd w:val="clear" w:color="auto" w:fill="FFFFFF"/>
        </w:rPr>
      </w:pPr>
    </w:p>
    <w:p w14:paraId="25994D48" w14:textId="6E20D02E" w:rsidR="00322FC3" w:rsidRPr="00A317BE" w:rsidRDefault="00B74F37" w:rsidP="00A317BE">
      <w:pPr>
        <w:numPr>
          <w:ilvl w:val="0"/>
          <w:numId w:val="23"/>
        </w:numPr>
        <w:tabs>
          <w:tab w:val="left" w:pos="567"/>
        </w:tabs>
        <w:spacing w:line="480" w:lineRule="auto"/>
        <w:ind w:left="0" w:firstLine="0"/>
        <w:rPr>
          <w:color w:val="000000" w:themeColor="text1"/>
          <w:shd w:val="clear" w:color="auto" w:fill="FFFFFF"/>
        </w:rPr>
      </w:pPr>
      <w:r w:rsidRPr="00A317BE">
        <w:rPr>
          <w:color w:val="000000" w:themeColor="text1"/>
        </w:rPr>
        <w:t xml:space="preserve">I accept that </w:t>
      </w:r>
      <w:r w:rsidR="00DE683A" w:rsidRPr="00A317BE">
        <w:rPr>
          <w:color w:val="000000" w:themeColor="text1"/>
        </w:rPr>
        <w:t xml:space="preserve">Hogan J. </w:t>
      </w:r>
      <w:r w:rsidR="003756BE" w:rsidRPr="00A317BE">
        <w:rPr>
          <w:color w:val="000000" w:themeColor="text1"/>
        </w:rPr>
        <w:t xml:space="preserve">went on to </w:t>
      </w:r>
      <w:r w:rsidRPr="00A317BE">
        <w:rPr>
          <w:color w:val="000000" w:themeColor="text1"/>
        </w:rPr>
        <w:t>discuss</w:t>
      </w:r>
      <w:r w:rsidR="003756BE" w:rsidRPr="00A317BE">
        <w:rPr>
          <w:color w:val="000000" w:themeColor="text1"/>
        </w:rPr>
        <w:t xml:space="preserve"> </w:t>
      </w:r>
      <w:r w:rsidRPr="00A317BE">
        <w:rPr>
          <w:color w:val="000000" w:themeColor="text1"/>
        </w:rPr>
        <w:t>a number of</w:t>
      </w:r>
      <w:r w:rsidR="003756BE" w:rsidRPr="00A317BE">
        <w:rPr>
          <w:color w:val="000000" w:themeColor="text1"/>
        </w:rPr>
        <w:t xml:space="preserve"> facts </w:t>
      </w:r>
      <w:r w:rsidR="00425883" w:rsidRPr="00A317BE">
        <w:rPr>
          <w:color w:val="000000" w:themeColor="text1"/>
        </w:rPr>
        <w:t>which are distinguishable from the facts of the present case</w:t>
      </w:r>
      <w:r w:rsidRPr="00A317BE">
        <w:rPr>
          <w:color w:val="000000" w:themeColor="text1"/>
        </w:rPr>
        <w:t xml:space="preserve">, but it is clear that </w:t>
      </w:r>
      <w:r w:rsidR="00D6500B" w:rsidRPr="00A317BE">
        <w:rPr>
          <w:color w:val="000000" w:themeColor="text1"/>
        </w:rPr>
        <w:t xml:space="preserve">this </w:t>
      </w:r>
      <w:r w:rsidRPr="00A317BE">
        <w:rPr>
          <w:color w:val="000000" w:themeColor="text1"/>
        </w:rPr>
        <w:t>was in the</w:t>
      </w:r>
      <w:r w:rsidR="00322FC3" w:rsidRPr="00A317BE">
        <w:rPr>
          <w:color w:val="000000" w:themeColor="text1"/>
        </w:rPr>
        <w:t xml:space="preserve"> </w:t>
      </w:r>
      <w:r w:rsidR="003756BE" w:rsidRPr="00A317BE">
        <w:rPr>
          <w:color w:val="000000" w:themeColor="text1"/>
        </w:rPr>
        <w:t xml:space="preserve">context of </w:t>
      </w:r>
      <w:r w:rsidR="00D6500B" w:rsidRPr="00A317BE">
        <w:rPr>
          <w:color w:val="000000" w:themeColor="text1"/>
        </w:rPr>
        <w:t xml:space="preserve">his </w:t>
      </w:r>
      <w:r w:rsidR="001A3016" w:rsidRPr="00A317BE">
        <w:rPr>
          <w:color w:val="000000" w:themeColor="text1"/>
        </w:rPr>
        <w:t xml:space="preserve">subsequent </w:t>
      </w:r>
      <w:r w:rsidR="003756BE" w:rsidRPr="00A317BE">
        <w:rPr>
          <w:color w:val="000000" w:themeColor="text1"/>
        </w:rPr>
        <w:t xml:space="preserve">analysis of </w:t>
      </w:r>
      <w:r w:rsidR="003756BE" w:rsidRPr="00A317BE">
        <w:rPr>
          <w:i/>
          <w:color w:val="000000" w:themeColor="text1"/>
        </w:rPr>
        <w:t>forum non conveniens</w:t>
      </w:r>
      <w:r w:rsidR="003756BE" w:rsidRPr="00A317BE">
        <w:rPr>
          <w:color w:val="000000" w:themeColor="text1"/>
        </w:rPr>
        <w:t xml:space="preserve"> </w:t>
      </w:r>
      <w:r w:rsidR="001A3016" w:rsidRPr="00A317BE">
        <w:rPr>
          <w:color w:val="000000" w:themeColor="text1"/>
        </w:rPr>
        <w:t xml:space="preserve">as an </w:t>
      </w:r>
      <w:r w:rsidR="001A3016" w:rsidRPr="00A317BE">
        <w:rPr>
          <w:i/>
          <w:color w:val="000000" w:themeColor="text1"/>
        </w:rPr>
        <w:t xml:space="preserve">alternative </w:t>
      </w:r>
      <w:r w:rsidR="001A3016" w:rsidRPr="00A317BE">
        <w:rPr>
          <w:color w:val="000000" w:themeColor="text1"/>
        </w:rPr>
        <w:t xml:space="preserve">basis for refusing jurisdiction, </w:t>
      </w:r>
      <w:r w:rsidRPr="00A317BE">
        <w:rPr>
          <w:color w:val="000000" w:themeColor="text1"/>
        </w:rPr>
        <w:t>and that</w:t>
      </w:r>
      <w:r w:rsidR="00322FC3" w:rsidRPr="00A317BE">
        <w:rPr>
          <w:color w:val="000000" w:themeColor="text1"/>
        </w:rPr>
        <w:t xml:space="preserve"> that he considered the absence of publication within the jurisdiction to be fatal</w:t>
      </w:r>
      <w:r w:rsidR="00E11F50" w:rsidRPr="00A317BE">
        <w:rPr>
          <w:color w:val="000000" w:themeColor="text1"/>
        </w:rPr>
        <w:t xml:space="preserve"> in and of itself. </w:t>
      </w:r>
      <w:r w:rsidR="000C6D93" w:rsidRPr="00A317BE">
        <w:rPr>
          <w:color w:val="000000" w:themeColor="text1"/>
        </w:rPr>
        <w:t>This is clear from such comments as</w:t>
      </w:r>
      <w:r w:rsidR="001A3016" w:rsidRPr="00A317BE">
        <w:rPr>
          <w:color w:val="000000" w:themeColor="text1"/>
        </w:rPr>
        <w:t xml:space="preserve"> the following: “</w:t>
      </w:r>
      <w:r w:rsidR="000C6D93" w:rsidRPr="00A317BE">
        <w:rPr>
          <w:i/>
          <w:color w:val="000000" w:themeColor="text1"/>
        </w:rPr>
        <w:t>there is nothing to suggest that [the High Court’s] conclusion that proceedings should be dismissed on forum conveniens grounds was incorrect even if – contrary to my view-the High Court had jurisdiction in this matter”</w:t>
      </w:r>
      <w:r w:rsidR="00D3479E" w:rsidRPr="00A317BE">
        <w:rPr>
          <w:color w:val="000000" w:themeColor="text1"/>
        </w:rPr>
        <w:t xml:space="preserve"> (emphasis added). </w:t>
      </w:r>
      <w:r w:rsidR="004A1B57" w:rsidRPr="00A317BE">
        <w:rPr>
          <w:color w:val="000000" w:themeColor="text1"/>
        </w:rPr>
        <w:t xml:space="preserve">There is nothing in the judgment </w:t>
      </w:r>
      <w:r w:rsidR="001A3016" w:rsidRPr="00A317BE">
        <w:rPr>
          <w:color w:val="000000" w:themeColor="text1"/>
        </w:rPr>
        <w:t>to support the proposition</w:t>
      </w:r>
      <w:r w:rsidR="004A1B57" w:rsidRPr="00A317BE">
        <w:rPr>
          <w:color w:val="000000" w:themeColor="text1"/>
        </w:rPr>
        <w:t xml:space="preserve"> that a court may take jurisdiction over a case on a </w:t>
      </w:r>
      <w:r w:rsidR="004A1B57" w:rsidRPr="00A317BE">
        <w:rPr>
          <w:i/>
          <w:color w:val="000000" w:themeColor="text1"/>
        </w:rPr>
        <w:t>forum conveniens</w:t>
      </w:r>
      <w:r w:rsidR="004A1B57" w:rsidRPr="00A317BE">
        <w:rPr>
          <w:color w:val="000000" w:themeColor="text1"/>
        </w:rPr>
        <w:t xml:space="preserve"> ground despite </w:t>
      </w:r>
      <w:r w:rsidR="007E73C8" w:rsidRPr="00A317BE">
        <w:rPr>
          <w:color w:val="000000" w:themeColor="text1"/>
        </w:rPr>
        <w:t xml:space="preserve">it </w:t>
      </w:r>
      <w:r w:rsidR="004A1B57" w:rsidRPr="00A317BE">
        <w:rPr>
          <w:color w:val="000000" w:themeColor="text1"/>
        </w:rPr>
        <w:t>not falling within one of the Order 11(1) categories</w:t>
      </w:r>
      <w:r w:rsidR="00566067" w:rsidRPr="00A317BE">
        <w:rPr>
          <w:color w:val="000000" w:themeColor="text1"/>
        </w:rPr>
        <w:t>, or more specifically, in a defamation where it is not shown (to the requisite standard on such an application) that publication took place (in the sense of communication received) within the jurisdiction</w:t>
      </w:r>
      <w:r w:rsidR="004A1B57" w:rsidRPr="00A317BE">
        <w:rPr>
          <w:color w:val="000000" w:themeColor="text1"/>
        </w:rPr>
        <w:t xml:space="preserve">. </w:t>
      </w:r>
    </w:p>
    <w:p w14:paraId="72B49B94" w14:textId="77777777" w:rsidR="009D0433" w:rsidRPr="00A317BE" w:rsidRDefault="009D0433" w:rsidP="00F26376">
      <w:pPr>
        <w:tabs>
          <w:tab w:val="left" w:pos="567"/>
        </w:tabs>
        <w:spacing w:line="480" w:lineRule="auto"/>
        <w:rPr>
          <w:color w:val="000000" w:themeColor="text1"/>
        </w:rPr>
      </w:pPr>
    </w:p>
    <w:p w14:paraId="7DF9B74A" w14:textId="4677C319" w:rsidR="007B6C6E" w:rsidRPr="00A317BE" w:rsidRDefault="00F60926"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In the present case,</w:t>
      </w:r>
      <w:r w:rsidR="00C617DE" w:rsidRPr="00A317BE">
        <w:rPr>
          <w:color w:val="000000" w:themeColor="text1"/>
        </w:rPr>
        <w:t xml:space="preserve"> proof of publication within Ireland is entirely absent in respect of five out of the six alleged defamations</w:t>
      </w:r>
      <w:r w:rsidR="004D399A" w:rsidRPr="00A317BE">
        <w:rPr>
          <w:color w:val="000000" w:themeColor="text1"/>
        </w:rPr>
        <w:t>. The high-point of the appellant’s case turns on the alleged</w:t>
      </w:r>
      <w:r w:rsidR="00C617DE" w:rsidRPr="00A317BE">
        <w:rPr>
          <w:color w:val="000000" w:themeColor="text1"/>
        </w:rPr>
        <w:t xml:space="preserve"> defamation as between the respondent and </w:t>
      </w:r>
      <w:r w:rsidR="00481277" w:rsidRPr="00A317BE">
        <w:rPr>
          <w:color w:val="000000" w:themeColor="text1"/>
        </w:rPr>
        <w:t>the Irish company EML.</w:t>
      </w:r>
      <w:r w:rsidR="002F4EE9" w:rsidRPr="00A317BE">
        <w:rPr>
          <w:color w:val="000000" w:themeColor="text1"/>
        </w:rPr>
        <w:t xml:space="preserve"> However, her entire case is based upon an inference she seeks to draw from </w:t>
      </w:r>
      <w:r w:rsidR="00E723E4" w:rsidRPr="00A317BE">
        <w:rPr>
          <w:color w:val="000000" w:themeColor="text1"/>
        </w:rPr>
        <w:t>the letter</w:t>
      </w:r>
      <w:r w:rsidR="006016F3" w:rsidRPr="00A317BE">
        <w:rPr>
          <w:color w:val="000000" w:themeColor="text1"/>
        </w:rPr>
        <w:t xml:space="preserve">/email </w:t>
      </w:r>
      <w:r w:rsidR="00E723E4" w:rsidRPr="00A317BE">
        <w:rPr>
          <w:color w:val="000000" w:themeColor="text1"/>
        </w:rPr>
        <w:t>of Mr. M</w:t>
      </w:r>
      <w:r w:rsidR="00AE2122" w:rsidRPr="00A317BE">
        <w:rPr>
          <w:color w:val="000000" w:themeColor="text1"/>
        </w:rPr>
        <w:t>a</w:t>
      </w:r>
      <w:r w:rsidR="00E723E4" w:rsidRPr="00A317BE">
        <w:rPr>
          <w:color w:val="000000" w:themeColor="text1"/>
        </w:rPr>
        <w:t>cLeod, namely that he “must” have been given the information which she claims to be defamatory of her, given the contents of his letter. However, even assuming that to be so, there</w:t>
      </w:r>
      <w:r w:rsidR="00683194" w:rsidRPr="00A317BE">
        <w:rPr>
          <w:color w:val="000000" w:themeColor="text1"/>
        </w:rPr>
        <w:t xml:space="preserve"> </w:t>
      </w:r>
      <w:r w:rsidR="0034204B" w:rsidRPr="00A317BE">
        <w:rPr>
          <w:color w:val="000000" w:themeColor="text1"/>
        </w:rPr>
        <w:t>is still no information (direct or which can be drawn by way of inference)</w:t>
      </w:r>
      <w:r w:rsidR="00683194" w:rsidRPr="00A317BE">
        <w:rPr>
          <w:color w:val="000000" w:themeColor="text1"/>
        </w:rPr>
        <w:t xml:space="preserve"> </w:t>
      </w:r>
      <w:r w:rsidR="0034204B" w:rsidRPr="00A317BE">
        <w:rPr>
          <w:color w:val="000000" w:themeColor="text1"/>
        </w:rPr>
        <w:t>as</w:t>
      </w:r>
      <w:r w:rsidR="00E723E4" w:rsidRPr="00A317BE">
        <w:rPr>
          <w:i/>
          <w:color w:val="000000" w:themeColor="text1"/>
        </w:rPr>
        <w:t xml:space="preserve"> </w:t>
      </w:r>
      <w:r w:rsidR="00AE2122" w:rsidRPr="00A317BE">
        <w:rPr>
          <w:iCs/>
          <w:color w:val="000000" w:themeColor="text1"/>
        </w:rPr>
        <w:t xml:space="preserve">to </w:t>
      </w:r>
      <w:r w:rsidR="00E723E4" w:rsidRPr="00A317BE">
        <w:rPr>
          <w:i/>
          <w:color w:val="000000" w:themeColor="text1"/>
        </w:rPr>
        <w:t>where</w:t>
      </w:r>
      <w:r w:rsidR="007948C9" w:rsidRPr="00A317BE">
        <w:rPr>
          <w:i/>
          <w:color w:val="000000" w:themeColor="text1"/>
        </w:rPr>
        <w:t xml:space="preserve"> </w:t>
      </w:r>
      <w:r w:rsidR="007948C9" w:rsidRPr="00A317BE">
        <w:rPr>
          <w:color w:val="000000" w:themeColor="text1"/>
        </w:rPr>
        <w:t xml:space="preserve">or </w:t>
      </w:r>
      <w:r w:rsidR="00F44FE8" w:rsidRPr="00A317BE">
        <w:rPr>
          <w:color w:val="000000" w:themeColor="text1"/>
        </w:rPr>
        <w:t xml:space="preserve">even </w:t>
      </w:r>
      <w:r w:rsidR="007948C9" w:rsidRPr="00A317BE">
        <w:rPr>
          <w:color w:val="000000" w:themeColor="text1"/>
        </w:rPr>
        <w:t>by what means</w:t>
      </w:r>
      <w:r w:rsidR="00E723E4" w:rsidRPr="00A317BE">
        <w:rPr>
          <w:color w:val="000000" w:themeColor="text1"/>
        </w:rPr>
        <w:t xml:space="preserve"> any</w:t>
      </w:r>
      <w:r w:rsidR="00AF12D5" w:rsidRPr="00A317BE">
        <w:rPr>
          <w:i/>
          <w:color w:val="000000" w:themeColor="text1"/>
        </w:rPr>
        <w:t xml:space="preserve"> </w:t>
      </w:r>
      <w:r w:rsidR="00683194" w:rsidRPr="00A317BE">
        <w:rPr>
          <w:color w:val="000000" w:themeColor="text1"/>
        </w:rPr>
        <w:t xml:space="preserve">such publication occurred. </w:t>
      </w:r>
      <w:r w:rsidR="00461DD2" w:rsidRPr="00A317BE">
        <w:rPr>
          <w:color w:val="000000" w:themeColor="text1"/>
        </w:rPr>
        <w:t xml:space="preserve">It might have been a phone call, or a face-to-face meeting, or an email. </w:t>
      </w:r>
      <w:r w:rsidR="00F44FE8" w:rsidRPr="00A317BE">
        <w:rPr>
          <w:color w:val="000000" w:themeColor="text1"/>
        </w:rPr>
        <w:t>But in any event, there</w:t>
      </w:r>
      <w:r w:rsidR="00461DD2" w:rsidRPr="00A317BE">
        <w:rPr>
          <w:color w:val="000000" w:themeColor="text1"/>
        </w:rPr>
        <w:t xml:space="preserve"> is no evidence whatsoever that </w:t>
      </w:r>
      <w:r w:rsidR="00683194" w:rsidRPr="00A317BE">
        <w:rPr>
          <w:color w:val="000000" w:themeColor="text1"/>
        </w:rPr>
        <w:t xml:space="preserve">communication took place </w:t>
      </w:r>
      <w:r w:rsidR="00683194" w:rsidRPr="00A317BE">
        <w:rPr>
          <w:i/>
          <w:color w:val="000000" w:themeColor="text1"/>
        </w:rPr>
        <w:t>within the jurisdiction</w:t>
      </w:r>
      <w:r w:rsidR="00461DD2" w:rsidRPr="00A317BE">
        <w:rPr>
          <w:color w:val="000000" w:themeColor="text1"/>
        </w:rPr>
        <w:t xml:space="preserve">. </w:t>
      </w:r>
    </w:p>
    <w:p w14:paraId="6FF99A40" w14:textId="77777777" w:rsidR="007B6C6E" w:rsidRPr="00A317BE" w:rsidRDefault="007B6C6E" w:rsidP="00A317BE">
      <w:pPr>
        <w:pStyle w:val="ListParagraph"/>
        <w:tabs>
          <w:tab w:val="left" w:pos="567"/>
        </w:tabs>
        <w:ind w:left="0"/>
        <w:rPr>
          <w:color w:val="000000" w:themeColor="text1"/>
        </w:rPr>
      </w:pPr>
    </w:p>
    <w:p w14:paraId="6A77FD5D" w14:textId="7B846594" w:rsidR="00687B01" w:rsidRPr="00A317BE" w:rsidRDefault="00461DD2" w:rsidP="00A317BE">
      <w:pPr>
        <w:numPr>
          <w:ilvl w:val="0"/>
          <w:numId w:val="23"/>
        </w:numPr>
        <w:tabs>
          <w:tab w:val="left" w:pos="567"/>
        </w:tabs>
        <w:spacing w:line="480" w:lineRule="auto"/>
        <w:ind w:left="0" w:firstLine="0"/>
        <w:rPr>
          <w:color w:val="000000" w:themeColor="text1"/>
        </w:rPr>
      </w:pPr>
      <w:r w:rsidRPr="00A317BE">
        <w:rPr>
          <w:color w:val="000000" w:themeColor="text1"/>
        </w:rPr>
        <w:t>The</w:t>
      </w:r>
      <w:r w:rsidR="00683194" w:rsidRPr="00A317BE">
        <w:rPr>
          <w:color w:val="000000" w:themeColor="text1"/>
        </w:rPr>
        <w:t xml:space="preserve"> appellant maintains that </w:t>
      </w:r>
      <w:r w:rsidR="002A0E0A" w:rsidRPr="00A317BE">
        <w:rPr>
          <w:color w:val="000000" w:themeColor="text1"/>
        </w:rPr>
        <w:t>it is sufficient that the communication was about her, was to an Irish company of which she was director, and that it had repercussions for her as director of that company</w:t>
      </w:r>
      <w:r w:rsidR="00687B01" w:rsidRPr="00A317BE">
        <w:rPr>
          <w:color w:val="000000" w:themeColor="text1"/>
        </w:rPr>
        <w:t xml:space="preserve">. She </w:t>
      </w:r>
      <w:r w:rsidR="00821AD4" w:rsidRPr="00A317BE">
        <w:rPr>
          <w:color w:val="000000" w:themeColor="text1"/>
        </w:rPr>
        <w:t xml:space="preserve">relies among upon the remark of Hogan J. in </w:t>
      </w:r>
      <w:r w:rsidR="00C36C70" w:rsidRPr="00A317BE">
        <w:rPr>
          <w:i/>
          <w:color w:val="000000" w:themeColor="text1"/>
        </w:rPr>
        <w:t>Ryanair v</w:t>
      </w:r>
      <w:r w:rsidR="00AE2122" w:rsidRPr="00A317BE">
        <w:rPr>
          <w:i/>
          <w:color w:val="000000" w:themeColor="text1"/>
        </w:rPr>
        <w:t>.</w:t>
      </w:r>
      <w:r w:rsidR="00C36C70" w:rsidRPr="00A317BE">
        <w:rPr>
          <w:i/>
          <w:color w:val="000000" w:themeColor="text1"/>
        </w:rPr>
        <w:t xml:space="preserve"> </w:t>
      </w:r>
      <w:r w:rsidR="00821AD4" w:rsidRPr="00A317BE">
        <w:rPr>
          <w:i/>
          <w:color w:val="000000" w:themeColor="text1"/>
        </w:rPr>
        <w:t xml:space="preserve">Fleming, </w:t>
      </w:r>
      <w:r w:rsidR="00821AD4" w:rsidRPr="00A317BE">
        <w:rPr>
          <w:color w:val="000000" w:themeColor="text1"/>
        </w:rPr>
        <w:t xml:space="preserve">set out above, as to the “targeting” of consumers within a jurisdiction, and suggests that she was “targeted” in the same way. </w:t>
      </w:r>
      <w:r w:rsidR="00687B01" w:rsidRPr="00A317BE">
        <w:rPr>
          <w:color w:val="000000" w:themeColor="text1"/>
        </w:rPr>
        <w:t xml:space="preserve">She also relies upon the doctrine of “attribution” in company law to suggest that publication to a director of a company registered in Ireland must be deemed to constitute publication to the company </w:t>
      </w:r>
      <w:r w:rsidR="00687B01" w:rsidRPr="00A317BE">
        <w:rPr>
          <w:i/>
          <w:color w:val="000000" w:themeColor="text1"/>
        </w:rPr>
        <w:t xml:space="preserve">in </w:t>
      </w:r>
      <w:r w:rsidR="00687B01" w:rsidRPr="00A317BE">
        <w:rPr>
          <w:color w:val="000000" w:themeColor="text1"/>
        </w:rPr>
        <w:t>Ireland</w:t>
      </w:r>
      <w:r w:rsidR="00D3100E" w:rsidRPr="00A317BE">
        <w:rPr>
          <w:color w:val="000000" w:themeColor="text1"/>
        </w:rPr>
        <w:t xml:space="preserve">, even if the communication took place outside the jurisdiction. </w:t>
      </w:r>
    </w:p>
    <w:p w14:paraId="183FC0DD" w14:textId="77777777" w:rsidR="00687B01" w:rsidRPr="00A317BE" w:rsidRDefault="00687B01" w:rsidP="00A317BE">
      <w:pPr>
        <w:pStyle w:val="ListParagraph"/>
        <w:tabs>
          <w:tab w:val="left" w:pos="567"/>
        </w:tabs>
        <w:ind w:left="0"/>
        <w:rPr>
          <w:color w:val="000000" w:themeColor="text1"/>
        </w:rPr>
      </w:pPr>
    </w:p>
    <w:p w14:paraId="74CF6638" w14:textId="01280E8A" w:rsidR="001E36F0" w:rsidRPr="00A317BE" w:rsidRDefault="003D7D9B" w:rsidP="00A317BE">
      <w:pPr>
        <w:numPr>
          <w:ilvl w:val="0"/>
          <w:numId w:val="23"/>
        </w:numPr>
        <w:tabs>
          <w:tab w:val="left" w:pos="567"/>
        </w:tabs>
        <w:spacing w:line="480" w:lineRule="auto"/>
        <w:ind w:left="0" w:firstLine="0"/>
        <w:rPr>
          <w:color w:val="000000" w:themeColor="text1"/>
        </w:rPr>
      </w:pPr>
      <w:r w:rsidRPr="00A317BE">
        <w:rPr>
          <w:color w:val="000000" w:themeColor="text1"/>
        </w:rPr>
        <w:t>It seems to me</w:t>
      </w:r>
      <w:r w:rsidR="00821AD4" w:rsidRPr="00A317BE">
        <w:rPr>
          <w:color w:val="000000" w:themeColor="text1"/>
        </w:rPr>
        <w:t xml:space="preserve"> that the context for Hogan J’s use of the word “targeting” was that</w:t>
      </w:r>
      <w:r w:rsidR="002730FA" w:rsidRPr="00A317BE">
        <w:rPr>
          <w:color w:val="000000" w:themeColor="text1"/>
        </w:rPr>
        <w:t xml:space="preserve"> of targeting</w:t>
      </w:r>
      <w:r w:rsidR="00821AD4" w:rsidRPr="00A317BE">
        <w:rPr>
          <w:color w:val="000000" w:themeColor="text1"/>
        </w:rPr>
        <w:t xml:space="preserve"> </w:t>
      </w:r>
      <w:r w:rsidR="00821AD4" w:rsidRPr="00A317BE">
        <w:rPr>
          <w:i/>
          <w:color w:val="000000" w:themeColor="text1"/>
        </w:rPr>
        <w:t>consumers</w:t>
      </w:r>
      <w:r w:rsidR="00821AD4" w:rsidRPr="00A317BE">
        <w:rPr>
          <w:color w:val="000000" w:themeColor="text1"/>
        </w:rPr>
        <w:t xml:space="preserve"> </w:t>
      </w:r>
      <w:r w:rsidR="00617301" w:rsidRPr="00A317BE">
        <w:rPr>
          <w:color w:val="000000" w:themeColor="text1"/>
        </w:rPr>
        <w:t xml:space="preserve">of a newspaper or other such publication </w:t>
      </w:r>
      <w:r w:rsidR="00821AD4" w:rsidRPr="00A317BE">
        <w:rPr>
          <w:color w:val="000000" w:themeColor="text1"/>
        </w:rPr>
        <w:t xml:space="preserve">in a particular jurisdiction </w:t>
      </w:r>
      <w:r w:rsidR="002730FA" w:rsidRPr="00A317BE">
        <w:rPr>
          <w:color w:val="000000" w:themeColor="text1"/>
        </w:rPr>
        <w:t xml:space="preserve">so that they </w:t>
      </w:r>
      <w:r w:rsidR="00821AD4" w:rsidRPr="00A317BE">
        <w:rPr>
          <w:color w:val="000000" w:themeColor="text1"/>
        </w:rPr>
        <w:t>would download the information</w:t>
      </w:r>
      <w:r w:rsidRPr="00A317BE">
        <w:rPr>
          <w:color w:val="000000" w:themeColor="text1"/>
        </w:rPr>
        <w:t xml:space="preserve"> about the defamed person</w:t>
      </w:r>
      <w:r w:rsidR="00821AD4" w:rsidRPr="00A317BE">
        <w:rPr>
          <w:color w:val="000000" w:themeColor="text1"/>
        </w:rPr>
        <w:t xml:space="preserve"> within the </w:t>
      </w:r>
      <w:r w:rsidR="002730FA" w:rsidRPr="00A317BE">
        <w:rPr>
          <w:color w:val="000000" w:themeColor="text1"/>
        </w:rPr>
        <w:t xml:space="preserve">jurisdiction, </w:t>
      </w:r>
      <w:r w:rsidR="00821AD4" w:rsidRPr="00A317BE">
        <w:rPr>
          <w:color w:val="000000" w:themeColor="text1"/>
        </w:rPr>
        <w:t xml:space="preserve">thus </w:t>
      </w:r>
      <w:r w:rsidR="009D0433" w:rsidRPr="00A317BE">
        <w:rPr>
          <w:color w:val="000000" w:themeColor="text1"/>
        </w:rPr>
        <w:t>leading to</w:t>
      </w:r>
      <w:r w:rsidR="00821AD4" w:rsidRPr="00A317BE">
        <w:rPr>
          <w:color w:val="000000" w:themeColor="text1"/>
        </w:rPr>
        <w:t xml:space="preserve"> </w:t>
      </w:r>
      <w:r w:rsidR="00821AD4" w:rsidRPr="00A317BE">
        <w:rPr>
          <w:i/>
          <w:color w:val="000000" w:themeColor="text1"/>
        </w:rPr>
        <w:t>publication</w:t>
      </w:r>
      <w:r w:rsidR="00821AD4" w:rsidRPr="00A317BE">
        <w:rPr>
          <w:color w:val="000000" w:themeColor="text1"/>
        </w:rPr>
        <w:t xml:space="preserve"> within the jurisdiction, not targeting in the </w:t>
      </w:r>
      <w:r w:rsidR="003332B6" w:rsidRPr="00A317BE">
        <w:rPr>
          <w:color w:val="000000" w:themeColor="text1"/>
        </w:rPr>
        <w:t xml:space="preserve">sense of making defamatory comments about </w:t>
      </w:r>
      <w:r w:rsidR="002730FA" w:rsidRPr="00A317BE">
        <w:rPr>
          <w:color w:val="000000" w:themeColor="text1"/>
        </w:rPr>
        <w:t>a</w:t>
      </w:r>
      <w:r w:rsidR="003332B6" w:rsidRPr="00A317BE">
        <w:rPr>
          <w:color w:val="000000" w:themeColor="text1"/>
        </w:rPr>
        <w:t xml:space="preserve"> person</w:t>
      </w:r>
      <w:r w:rsidR="002730FA" w:rsidRPr="00A317BE">
        <w:rPr>
          <w:color w:val="000000" w:themeColor="text1"/>
        </w:rPr>
        <w:t xml:space="preserve"> who is in </w:t>
      </w:r>
      <w:r w:rsidR="005C15E2" w:rsidRPr="00A317BE">
        <w:rPr>
          <w:color w:val="000000" w:themeColor="text1"/>
        </w:rPr>
        <w:t xml:space="preserve">resident in the jurisdiction. </w:t>
      </w:r>
      <w:r w:rsidR="00433BDA" w:rsidRPr="00A317BE">
        <w:rPr>
          <w:color w:val="000000" w:themeColor="text1"/>
        </w:rPr>
        <w:t xml:space="preserve">This passage in </w:t>
      </w:r>
      <w:r w:rsidR="00433BDA" w:rsidRPr="00A317BE">
        <w:rPr>
          <w:color w:val="000000" w:themeColor="text1"/>
        </w:rPr>
        <w:lastRenderedPageBreak/>
        <w:t xml:space="preserve">the judgment in </w:t>
      </w:r>
      <w:r w:rsidR="00433BDA" w:rsidRPr="00A317BE">
        <w:rPr>
          <w:i/>
          <w:color w:val="000000" w:themeColor="text1"/>
        </w:rPr>
        <w:t xml:space="preserve">Ryanair </w:t>
      </w:r>
      <w:r w:rsidR="00F10D9D" w:rsidRPr="00A317BE">
        <w:rPr>
          <w:iCs/>
          <w:color w:val="000000" w:themeColor="text1"/>
        </w:rPr>
        <w:t xml:space="preserve">judgment </w:t>
      </w:r>
      <w:r w:rsidR="00433BDA" w:rsidRPr="00A317BE">
        <w:rPr>
          <w:color w:val="000000" w:themeColor="text1"/>
        </w:rPr>
        <w:t xml:space="preserve">does not appear to me to advance the appellant’s case </w:t>
      </w:r>
      <w:r w:rsidR="000A52C8" w:rsidRPr="00A317BE">
        <w:rPr>
          <w:color w:val="000000" w:themeColor="text1"/>
        </w:rPr>
        <w:t xml:space="preserve">in the absence of proof of publication within the jurisdiction. </w:t>
      </w:r>
      <w:r w:rsidR="00684B5A" w:rsidRPr="00A317BE">
        <w:rPr>
          <w:color w:val="000000" w:themeColor="text1"/>
        </w:rPr>
        <w:t>Further, the appellant’s invocation of the doctrine of “attribution”</w:t>
      </w:r>
      <w:r w:rsidR="0075574A" w:rsidRPr="00A317BE">
        <w:rPr>
          <w:color w:val="000000" w:themeColor="text1"/>
        </w:rPr>
        <w:t xml:space="preserve">, which was developed to ensure personal criminal liability for crimes committed by companies, </w:t>
      </w:r>
      <w:r w:rsidR="00684B5A" w:rsidRPr="00A317BE">
        <w:rPr>
          <w:color w:val="000000" w:themeColor="text1"/>
        </w:rPr>
        <w:t xml:space="preserve"> </w:t>
      </w:r>
      <w:r w:rsidR="00557DFD" w:rsidRPr="00A317BE">
        <w:rPr>
          <w:color w:val="000000" w:themeColor="text1"/>
        </w:rPr>
        <w:t xml:space="preserve">appears to me to be </w:t>
      </w:r>
      <w:r w:rsidR="00684B5A" w:rsidRPr="00A317BE">
        <w:rPr>
          <w:color w:val="000000" w:themeColor="text1"/>
        </w:rPr>
        <w:t>en</w:t>
      </w:r>
      <w:r w:rsidR="00557DFD" w:rsidRPr="00A317BE">
        <w:rPr>
          <w:color w:val="000000" w:themeColor="text1"/>
        </w:rPr>
        <w:t>tirely misplaced</w:t>
      </w:r>
      <w:r w:rsidR="00684B5A" w:rsidRPr="00A317BE">
        <w:rPr>
          <w:color w:val="000000" w:themeColor="text1"/>
        </w:rPr>
        <w:t xml:space="preserve">. </w:t>
      </w:r>
      <w:r w:rsidR="00397AA8" w:rsidRPr="00A317BE">
        <w:rPr>
          <w:color w:val="000000" w:themeColor="text1"/>
        </w:rPr>
        <w:t xml:space="preserve">The reality is that defamation is a tort to which publication has always been central and in respect of which common law (and, for that matter, EU law) rules have been developed to address the fact that </w:t>
      </w:r>
      <w:r w:rsidR="006F19AE" w:rsidRPr="00A317BE">
        <w:rPr>
          <w:color w:val="000000" w:themeColor="text1"/>
        </w:rPr>
        <w:t xml:space="preserve">both </w:t>
      </w:r>
      <w:r w:rsidR="00397AA8" w:rsidRPr="00A317BE">
        <w:rPr>
          <w:color w:val="000000" w:themeColor="text1"/>
        </w:rPr>
        <w:t xml:space="preserve">publication and reputational harm may </w:t>
      </w:r>
      <w:r w:rsidR="006F19AE" w:rsidRPr="00A317BE">
        <w:rPr>
          <w:color w:val="000000" w:themeColor="text1"/>
        </w:rPr>
        <w:t>occur</w:t>
      </w:r>
      <w:r w:rsidR="00397AA8" w:rsidRPr="00A317BE">
        <w:rPr>
          <w:color w:val="000000" w:themeColor="text1"/>
        </w:rPr>
        <w:t xml:space="preserve"> in different jurisdictions. It is a specialised and unique area of law</w:t>
      </w:r>
      <w:r w:rsidR="006F19AE" w:rsidRPr="00A317BE">
        <w:rPr>
          <w:color w:val="000000" w:themeColor="text1"/>
        </w:rPr>
        <w:t xml:space="preserve"> and not one in which a concept, plucked from an entirely different context, may be dropped without any authority for doing so</w:t>
      </w:r>
      <w:r w:rsidR="00397AA8" w:rsidRPr="00A317BE">
        <w:rPr>
          <w:color w:val="000000" w:themeColor="text1"/>
        </w:rPr>
        <w:t xml:space="preserve">. The basic proposition in Irish law is that publication, in the sense of receipt of the communication, must take place, in order to satisfy the test within Order 11(1)(f) </w:t>
      </w:r>
      <w:r w:rsidR="00F10D9D" w:rsidRPr="00A317BE">
        <w:rPr>
          <w:color w:val="000000" w:themeColor="text1"/>
        </w:rPr>
        <w:t>RSC</w:t>
      </w:r>
      <w:r w:rsidR="00397AA8" w:rsidRPr="00A317BE">
        <w:rPr>
          <w:color w:val="000000" w:themeColor="text1"/>
        </w:rPr>
        <w:t xml:space="preserve">. In the present case, this has not been established at all. </w:t>
      </w:r>
    </w:p>
    <w:p w14:paraId="56A17330" w14:textId="77777777" w:rsidR="00AE5661" w:rsidRPr="00A317BE" w:rsidRDefault="00AE5661" w:rsidP="00F26376">
      <w:pPr>
        <w:tabs>
          <w:tab w:val="left" w:pos="567"/>
        </w:tabs>
        <w:spacing w:line="480" w:lineRule="auto"/>
        <w:rPr>
          <w:color w:val="000000" w:themeColor="text1"/>
        </w:rPr>
      </w:pPr>
    </w:p>
    <w:p w14:paraId="5F16488F" w14:textId="14BFF844" w:rsidR="00E11B0B" w:rsidRPr="00A317BE" w:rsidRDefault="00C3214D" w:rsidP="00A317BE">
      <w:pPr>
        <w:numPr>
          <w:ilvl w:val="0"/>
          <w:numId w:val="23"/>
        </w:numPr>
        <w:tabs>
          <w:tab w:val="left" w:pos="567"/>
        </w:tabs>
        <w:spacing w:line="480" w:lineRule="auto"/>
        <w:ind w:left="0" w:firstLine="0"/>
        <w:rPr>
          <w:color w:val="000000" w:themeColor="text1"/>
        </w:rPr>
      </w:pPr>
      <w:r w:rsidRPr="00A317BE">
        <w:rPr>
          <w:color w:val="000000" w:themeColor="text1"/>
        </w:rPr>
        <w:t>Were it not for that fact</w:t>
      </w:r>
      <w:r w:rsidR="00C31CB5" w:rsidRPr="00A317BE">
        <w:rPr>
          <w:color w:val="000000" w:themeColor="text1"/>
        </w:rPr>
        <w:t xml:space="preserve">, the appellant </w:t>
      </w:r>
      <w:r w:rsidR="000A1CBB" w:rsidRPr="00A317BE">
        <w:rPr>
          <w:color w:val="000000" w:themeColor="text1"/>
        </w:rPr>
        <w:t>might</w:t>
      </w:r>
      <w:r w:rsidR="00C31CB5" w:rsidRPr="00A317BE">
        <w:rPr>
          <w:color w:val="000000" w:themeColor="text1"/>
        </w:rPr>
        <w:t xml:space="preserve"> have a good case on the question of connection to this jurisdiction. I</w:t>
      </w:r>
      <w:r w:rsidR="000A1CBB" w:rsidRPr="00A317BE">
        <w:rPr>
          <w:color w:val="000000" w:themeColor="text1"/>
        </w:rPr>
        <w:t>reland</w:t>
      </w:r>
      <w:r w:rsidR="00C31CB5" w:rsidRPr="00A317BE">
        <w:rPr>
          <w:color w:val="000000" w:themeColor="text1"/>
        </w:rPr>
        <w:t xml:space="preserve"> is, as she submits, the place where she lives and works and where she has a reputation. Further, the publication was to a director of an Irish company and (she claims) the communication resulted in her loss of that directorship. However, the Court’s discretion to designate the jurisdiction as the appropriate one in light of the various “connecting” factors does not arise unless the prior jurisdictional gateway</w:t>
      </w:r>
      <w:r w:rsidR="000A1CBB" w:rsidRPr="00A317BE">
        <w:rPr>
          <w:color w:val="000000" w:themeColor="text1"/>
        </w:rPr>
        <w:t xml:space="preserve"> under Order 11(1)</w:t>
      </w:r>
      <w:r w:rsidR="00C31CB5" w:rsidRPr="00A317BE">
        <w:rPr>
          <w:color w:val="000000" w:themeColor="text1"/>
        </w:rPr>
        <w:t xml:space="preserve"> has been </w:t>
      </w:r>
      <w:r w:rsidR="00110012" w:rsidRPr="00A317BE">
        <w:rPr>
          <w:color w:val="000000" w:themeColor="text1"/>
        </w:rPr>
        <w:t xml:space="preserve">accessed </w:t>
      </w:r>
      <w:r w:rsidR="00B532A5" w:rsidRPr="00A317BE">
        <w:rPr>
          <w:color w:val="000000" w:themeColor="text1"/>
        </w:rPr>
        <w:t>by means of</w:t>
      </w:r>
      <w:r w:rsidR="00E11B0B" w:rsidRPr="00A317BE">
        <w:rPr>
          <w:color w:val="000000" w:themeColor="text1"/>
        </w:rPr>
        <w:t xml:space="preserve"> sufficient evidence</w:t>
      </w:r>
      <w:r w:rsidR="00B532A5" w:rsidRPr="00A317BE">
        <w:rPr>
          <w:color w:val="000000" w:themeColor="text1"/>
        </w:rPr>
        <w:t xml:space="preserve"> to the appropriate standard. Again it is my view that, even applying the lowest standard of “good arguable case” to the question of </w:t>
      </w:r>
      <w:r w:rsidR="00E11B0B" w:rsidRPr="00A317BE">
        <w:rPr>
          <w:color w:val="000000" w:themeColor="text1"/>
        </w:rPr>
        <w:t xml:space="preserve">publication within the jurisdiction, </w:t>
      </w:r>
      <w:r w:rsidR="00B532A5" w:rsidRPr="00A317BE">
        <w:rPr>
          <w:color w:val="000000" w:themeColor="text1"/>
        </w:rPr>
        <w:t>the appellant has failed to meet the necessary threshold to show</w:t>
      </w:r>
      <w:r w:rsidR="00E11B0B" w:rsidRPr="00A317BE">
        <w:rPr>
          <w:color w:val="000000" w:themeColor="text1"/>
        </w:rPr>
        <w:t xml:space="preserve"> that the allegedly defamatory material was received by EML within the jurisdiction. </w:t>
      </w:r>
    </w:p>
    <w:p w14:paraId="4983D68D" w14:textId="77777777" w:rsidR="00E11B0B" w:rsidRPr="00A317BE" w:rsidRDefault="00E11B0B" w:rsidP="00F26376">
      <w:pPr>
        <w:tabs>
          <w:tab w:val="left" w:pos="567"/>
        </w:tabs>
        <w:spacing w:line="480" w:lineRule="auto"/>
        <w:rPr>
          <w:color w:val="000000" w:themeColor="text1"/>
        </w:rPr>
      </w:pPr>
    </w:p>
    <w:p w14:paraId="4EF727BF" w14:textId="78C277FB" w:rsidR="00A91C01" w:rsidRPr="00A317BE" w:rsidRDefault="00A82329" w:rsidP="00A317BE">
      <w:pPr>
        <w:numPr>
          <w:ilvl w:val="0"/>
          <w:numId w:val="23"/>
        </w:numPr>
        <w:tabs>
          <w:tab w:val="left" w:pos="567"/>
        </w:tabs>
        <w:spacing w:line="480" w:lineRule="auto"/>
        <w:ind w:left="0" w:firstLine="0"/>
        <w:rPr>
          <w:color w:val="000000" w:themeColor="text1"/>
        </w:rPr>
      </w:pPr>
      <w:r w:rsidRPr="00A317BE">
        <w:rPr>
          <w:color w:val="000000" w:themeColor="text1"/>
        </w:rPr>
        <w:lastRenderedPageBreak/>
        <w:t xml:space="preserve">Accordingly, in my view, </w:t>
      </w:r>
      <w:r w:rsidR="00656E46" w:rsidRPr="00A317BE">
        <w:rPr>
          <w:color w:val="000000" w:themeColor="text1"/>
        </w:rPr>
        <w:t>the appellant has failed to show that any of</w:t>
      </w:r>
      <w:r w:rsidRPr="00A317BE">
        <w:rPr>
          <w:color w:val="000000" w:themeColor="text1"/>
        </w:rPr>
        <w:t xml:space="preserve"> the defamation claims</w:t>
      </w:r>
      <w:r w:rsidR="00656E46" w:rsidRPr="00A317BE">
        <w:rPr>
          <w:color w:val="000000" w:themeColor="text1"/>
        </w:rPr>
        <w:t xml:space="preserve"> falls within Order 11(1)(f), and the question of discretion and/or </w:t>
      </w:r>
      <w:r w:rsidR="00656E46" w:rsidRPr="00A317BE">
        <w:rPr>
          <w:i/>
          <w:color w:val="000000" w:themeColor="text1"/>
        </w:rPr>
        <w:t xml:space="preserve">forum non conveniens </w:t>
      </w:r>
      <w:r w:rsidR="00656E46" w:rsidRPr="00A317BE">
        <w:rPr>
          <w:color w:val="000000" w:themeColor="text1"/>
        </w:rPr>
        <w:t>does not arise.</w:t>
      </w:r>
    </w:p>
    <w:p w14:paraId="2771AC05" w14:textId="2996BF6D" w:rsidR="00334502" w:rsidRPr="00A317BE" w:rsidRDefault="00251D0A" w:rsidP="00A317BE">
      <w:pPr>
        <w:pStyle w:val="Heading2"/>
        <w:tabs>
          <w:tab w:val="left" w:pos="567"/>
        </w:tabs>
        <w:rPr>
          <w:color w:val="000000" w:themeColor="text1"/>
          <w:sz w:val="26"/>
          <w:szCs w:val="26"/>
        </w:rPr>
      </w:pPr>
      <w:r w:rsidRPr="00A317BE">
        <w:rPr>
          <w:color w:val="000000" w:themeColor="text1"/>
          <w:sz w:val="26"/>
          <w:szCs w:val="26"/>
        </w:rPr>
        <w:t xml:space="preserve">3. </w:t>
      </w:r>
      <w:r w:rsidR="00671301" w:rsidRPr="00A317BE">
        <w:rPr>
          <w:color w:val="000000" w:themeColor="text1"/>
          <w:sz w:val="26"/>
          <w:szCs w:val="26"/>
        </w:rPr>
        <w:t xml:space="preserve">The </w:t>
      </w:r>
      <w:r w:rsidR="00BC4CF4" w:rsidRPr="00A317BE">
        <w:rPr>
          <w:color w:val="000000" w:themeColor="text1"/>
          <w:sz w:val="26"/>
          <w:szCs w:val="26"/>
        </w:rPr>
        <w:t>claim for</w:t>
      </w:r>
      <w:r w:rsidR="00F10D9D" w:rsidRPr="00A317BE">
        <w:rPr>
          <w:color w:val="000000" w:themeColor="text1"/>
          <w:sz w:val="26"/>
          <w:szCs w:val="26"/>
        </w:rPr>
        <w:t xml:space="preserve"> “</w:t>
      </w:r>
      <w:r w:rsidR="00BC4CF4" w:rsidRPr="00A317BE">
        <w:rPr>
          <w:color w:val="000000" w:themeColor="text1"/>
          <w:sz w:val="26"/>
          <w:szCs w:val="26"/>
        </w:rPr>
        <w:t xml:space="preserve">intimidation and </w:t>
      </w:r>
      <w:r w:rsidR="00671301" w:rsidRPr="00A317BE">
        <w:rPr>
          <w:color w:val="000000" w:themeColor="text1"/>
          <w:sz w:val="26"/>
          <w:szCs w:val="26"/>
        </w:rPr>
        <w:t>economic duress</w:t>
      </w:r>
      <w:r w:rsidR="00AE71B2" w:rsidRPr="00A317BE">
        <w:rPr>
          <w:color w:val="000000" w:themeColor="text1"/>
          <w:sz w:val="26"/>
          <w:szCs w:val="26"/>
        </w:rPr>
        <w:t>”</w:t>
      </w:r>
    </w:p>
    <w:p w14:paraId="1DDD0A44" w14:textId="77777777" w:rsidR="00334502" w:rsidRPr="00A317BE" w:rsidRDefault="00334502" w:rsidP="00A317BE">
      <w:pPr>
        <w:tabs>
          <w:tab w:val="left" w:pos="567"/>
        </w:tabs>
        <w:rPr>
          <w:color w:val="000000" w:themeColor="text1"/>
        </w:rPr>
      </w:pPr>
    </w:p>
    <w:p w14:paraId="29E1C01D" w14:textId="316D8F36" w:rsidR="00AE71B2" w:rsidRPr="00A317BE" w:rsidRDefault="00671301"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The claim for </w:t>
      </w:r>
      <w:r w:rsidR="00BC4CF4" w:rsidRPr="00A317BE">
        <w:rPr>
          <w:color w:val="000000" w:themeColor="text1"/>
        </w:rPr>
        <w:t xml:space="preserve">“intimidation and </w:t>
      </w:r>
      <w:r w:rsidRPr="00A317BE">
        <w:rPr>
          <w:color w:val="000000" w:themeColor="text1"/>
        </w:rPr>
        <w:t>economic duress</w:t>
      </w:r>
      <w:r w:rsidR="00BC4CF4" w:rsidRPr="00A317BE">
        <w:rPr>
          <w:color w:val="000000" w:themeColor="text1"/>
        </w:rPr>
        <w:t>”</w:t>
      </w:r>
      <w:r w:rsidRPr="00A317BE">
        <w:rPr>
          <w:color w:val="000000" w:themeColor="text1"/>
        </w:rPr>
        <w:t xml:space="preserve"> is based upon the same facts as the defamation claim save that the loss alleged is not reputational loss but the loss of the directorship from EML.</w:t>
      </w:r>
      <w:r w:rsidR="00AE71B2" w:rsidRPr="00A317BE">
        <w:rPr>
          <w:color w:val="000000" w:themeColor="text1"/>
        </w:rPr>
        <w:t xml:space="preserve"> The appellant maintains that she was intimidated and subjected to economic duress in Ireland when she received an email from EML warning her that she must drop her claim against the respondent or have her position with EML terminat</w:t>
      </w:r>
      <w:r w:rsidR="00710398" w:rsidRPr="00A317BE">
        <w:rPr>
          <w:color w:val="000000" w:themeColor="text1"/>
        </w:rPr>
        <w:t>ed</w:t>
      </w:r>
      <w:r w:rsidR="00AE71B2" w:rsidRPr="00A317BE">
        <w:rPr>
          <w:color w:val="000000" w:themeColor="text1"/>
        </w:rPr>
        <w:t>. She describes this as manipulation of EML</w:t>
      </w:r>
      <w:r w:rsidR="00864E73" w:rsidRPr="00A317BE">
        <w:rPr>
          <w:color w:val="000000" w:themeColor="text1"/>
        </w:rPr>
        <w:t xml:space="preserve"> by the respondent to induce her to drop her claim against the respondent. She says that she was in Ireland when she received the email containing the threat; that she was resident and working here at the time;</w:t>
      </w:r>
      <w:r w:rsidR="00F10D9D" w:rsidRPr="00A317BE">
        <w:rPr>
          <w:color w:val="000000" w:themeColor="text1"/>
        </w:rPr>
        <w:t xml:space="preserve"> and</w:t>
      </w:r>
      <w:r w:rsidR="00864E73" w:rsidRPr="00A317BE">
        <w:rPr>
          <w:color w:val="000000" w:themeColor="text1"/>
        </w:rPr>
        <w:t xml:space="preserve"> that the company which was manipulated was an Irish company. </w:t>
      </w:r>
    </w:p>
    <w:p w14:paraId="25E16EA2" w14:textId="77777777" w:rsidR="00AE5661" w:rsidRPr="00A317BE" w:rsidRDefault="00AE5661" w:rsidP="00F26376">
      <w:pPr>
        <w:tabs>
          <w:tab w:val="left" w:pos="567"/>
        </w:tabs>
        <w:spacing w:line="480" w:lineRule="auto"/>
        <w:rPr>
          <w:color w:val="000000" w:themeColor="text1"/>
        </w:rPr>
      </w:pPr>
    </w:p>
    <w:p w14:paraId="38081C9B" w14:textId="1F27EFD4" w:rsidR="008D1B8F" w:rsidRPr="00A317BE" w:rsidRDefault="00864E73"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She argues that it was “foreseeable” and “predictable” that the appellant would issue proceedings in this jurisdiction as she was “targeted” in Ireland and the dispute had a “close connection” to Ireland. She also maintains that “the close alignment of Ireland’s conflict of law rules in the context of cross-border torts with the Brussels Regulation”, the ECJ reasoning in </w:t>
      </w:r>
      <w:r w:rsidRPr="00A317BE">
        <w:rPr>
          <w:i/>
          <w:color w:val="000000" w:themeColor="text1"/>
        </w:rPr>
        <w:t>Bier</w:t>
      </w:r>
      <w:r w:rsidR="00F10D9D" w:rsidRPr="00A317BE">
        <w:rPr>
          <w:i/>
          <w:color w:val="000000" w:themeColor="text1"/>
        </w:rPr>
        <w:t xml:space="preserve"> BV</w:t>
      </w:r>
      <w:r w:rsidRPr="00A317BE">
        <w:rPr>
          <w:i/>
          <w:color w:val="000000" w:themeColor="text1"/>
        </w:rPr>
        <w:t xml:space="preserve"> v. Mines de Potasse</w:t>
      </w:r>
      <w:r w:rsidR="00F10D9D" w:rsidRPr="00A317BE">
        <w:rPr>
          <w:i/>
          <w:color w:val="000000" w:themeColor="text1"/>
        </w:rPr>
        <w:t xml:space="preserve"> d’Alsace SA</w:t>
      </w:r>
      <w:r w:rsidRPr="00A317BE">
        <w:rPr>
          <w:i/>
          <w:color w:val="000000" w:themeColor="text1"/>
        </w:rPr>
        <w:t xml:space="preserve"> </w:t>
      </w:r>
      <w:r w:rsidRPr="00A317BE">
        <w:rPr>
          <w:color w:val="000000" w:themeColor="text1"/>
        </w:rPr>
        <w:t>be adopted, namely that “where the harmful event occurred” must be understood as e</w:t>
      </w:r>
      <w:r w:rsidR="0030544A" w:rsidRPr="00A317BE">
        <w:rPr>
          <w:color w:val="000000" w:themeColor="text1"/>
        </w:rPr>
        <w:t>n</w:t>
      </w:r>
      <w:r w:rsidRPr="00A317BE">
        <w:rPr>
          <w:color w:val="000000" w:themeColor="text1"/>
        </w:rPr>
        <w:t>compassing both the place where the damage occurred and the place of the events giving rise to it.</w:t>
      </w:r>
    </w:p>
    <w:p w14:paraId="785938EA" w14:textId="77777777" w:rsidR="008D1B8F" w:rsidRPr="00A317BE" w:rsidRDefault="008D1B8F" w:rsidP="00F26376">
      <w:pPr>
        <w:tabs>
          <w:tab w:val="left" w:pos="567"/>
        </w:tabs>
        <w:spacing w:line="480" w:lineRule="auto"/>
        <w:rPr>
          <w:color w:val="000000" w:themeColor="text1"/>
        </w:rPr>
      </w:pPr>
    </w:p>
    <w:p w14:paraId="48D461D8" w14:textId="524506D1" w:rsidR="00DD6854" w:rsidRPr="00A317BE" w:rsidRDefault="0030544A" w:rsidP="00A317BE">
      <w:pPr>
        <w:numPr>
          <w:ilvl w:val="0"/>
          <w:numId w:val="23"/>
        </w:numPr>
        <w:tabs>
          <w:tab w:val="left" w:pos="567"/>
        </w:tabs>
        <w:spacing w:line="480" w:lineRule="auto"/>
        <w:ind w:left="0" w:firstLine="0"/>
        <w:rPr>
          <w:color w:val="000000" w:themeColor="text1"/>
        </w:rPr>
      </w:pPr>
      <w:r w:rsidRPr="00A317BE">
        <w:rPr>
          <w:color w:val="000000" w:themeColor="text1"/>
        </w:rPr>
        <w:t>I</w:t>
      </w:r>
      <w:r w:rsidR="00710398" w:rsidRPr="00A317BE">
        <w:rPr>
          <w:color w:val="000000" w:themeColor="text1"/>
        </w:rPr>
        <w:t>nsofar as this may be implied by the appellant’s submissions, I</w:t>
      </w:r>
      <w:r w:rsidRPr="00A317BE">
        <w:rPr>
          <w:color w:val="000000" w:themeColor="text1"/>
        </w:rPr>
        <w:t xml:space="preserve"> do not accept that </w:t>
      </w:r>
      <w:r w:rsidR="00DD6854" w:rsidRPr="00A317BE">
        <w:rPr>
          <w:color w:val="000000" w:themeColor="text1"/>
        </w:rPr>
        <w:t xml:space="preserve">more </w:t>
      </w:r>
      <w:r w:rsidRPr="00A317BE">
        <w:rPr>
          <w:color w:val="000000" w:themeColor="text1"/>
        </w:rPr>
        <w:t xml:space="preserve">tests of “foreseeability” and “targeting” have replaced the common law rules in relation to jurisdiction in relation to cross-border torts. </w:t>
      </w:r>
      <w:r w:rsidR="009A5975" w:rsidRPr="00A317BE">
        <w:rPr>
          <w:color w:val="000000" w:themeColor="text1"/>
        </w:rPr>
        <w:t xml:space="preserve">The categories </w:t>
      </w:r>
      <w:r w:rsidR="00AE5661" w:rsidRPr="00A317BE">
        <w:rPr>
          <w:color w:val="000000" w:themeColor="text1"/>
        </w:rPr>
        <w:t xml:space="preserve">or jurisdictional gateways </w:t>
      </w:r>
      <w:r w:rsidR="009A5975" w:rsidRPr="00A317BE">
        <w:rPr>
          <w:color w:val="000000" w:themeColor="text1"/>
        </w:rPr>
        <w:t xml:space="preserve">set out </w:t>
      </w:r>
      <w:r w:rsidR="009A5975" w:rsidRPr="00A317BE">
        <w:rPr>
          <w:color w:val="000000" w:themeColor="text1"/>
        </w:rPr>
        <w:lastRenderedPageBreak/>
        <w:t>in Order 11</w:t>
      </w:r>
      <w:r w:rsidR="00710398" w:rsidRPr="00A317BE">
        <w:rPr>
          <w:color w:val="000000" w:themeColor="text1"/>
        </w:rPr>
        <w:t>(1)</w:t>
      </w:r>
      <w:r w:rsidR="009A5975" w:rsidRPr="00A317BE">
        <w:rPr>
          <w:color w:val="000000" w:themeColor="text1"/>
        </w:rPr>
        <w:t xml:space="preserve"> continue to apply, and thereafter the court must consider the question of </w:t>
      </w:r>
      <w:r w:rsidR="009A5975" w:rsidRPr="00A317BE">
        <w:rPr>
          <w:i/>
          <w:color w:val="000000" w:themeColor="text1"/>
        </w:rPr>
        <w:t xml:space="preserve">forum conveniens. </w:t>
      </w:r>
      <w:r w:rsidR="009A5975" w:rsidRPr="00A317BE">
        <w:rPr>
          <w:color w:val="000000" w:themeColor="text1"/>
        </w:rPr>
        <w:t xml:space="preserve"> </w:t>
      </w:r>
      <w:r w:rsidR="00D078E5" w:rsidRPr="00A317BE">
        <w:rPr>
          <w:color w:val="000000" w:themeColor="text1"/>
        </w:rPr>
        <w:t xml:space="preserve">The Court is not entitled to simply bypass the jurisdictional categories set out in Order 11 and </w:t>
      </w:r>
      <w:r w:rsidR="00710398" w:rsidRPr="00A317BE">
        <w:rPr>
          <w:color w:val="000000" w:themeColor="text1"/>
        </w:rPr>
        <w:t>apply</w:t>
      </w:r>
      <w:r w:rsidR="00D078E5" w:rsidRPr="00A317BE">
        <w:rPr>
          <w:color w:val="000000" w:themeColor="text1"/>
        </w:rPr>
        <w:t xml:space="preserve"> some kind of loose</w:t>
      </w:r>
      <w:r w:rsidR="00710398" w:rsidRPr="00A317BE">
        <w:rPr>
          <w:color w:val="000000" w:themeColor="text1"/>
        </w:rPr>
        <w:t>r</w:t>
      </w:r>
      <w:r w:rsidR="00D078E5" w:rsidRPr="00A317BE">
        <w:rPr>
          <w:color w:val="000000" w:themeColor="text1"/>
        </w:rPr>
        <w:t xml:space="preserve"> test as to “predictability” or “foreseeability”. </w:t>
      </w:r>
    </w:p>
    <w:p w14:paraId="138DAEE8" w14:textId="77777777" w:rsidR="008D1B8F" w:rsidRPr="00A317BE" w:rsidRDefault="008D1B8F" w:rsidP="00F26376">
      <w:pPr>
        <w:tabs>
          <w:tab w:val="left" w:pos="567"/>
        </w:tabs>
        <w:spacing w:line="480" w:lineRule="auto"/>
        <w:rPr>
          <w:color w:val="000000" w:themeColor="text1"/>
        </w:rPr>
      </w:pPr>
    </w:p>
    <w:p w14:paraId="67E22BE2" w14:textId="3F2B1BC8" w:rsidR="00C15F38" w:rsidRPr="00A317BE" w:rsidRDefault="00710398"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Under </w:t>
      </w:r>
      <w:r w:rsidR="009A5975" w:rsidRPr="00A317BE">
        <w:rPr>
          <w:color w:val="000000" w:themeColor="text1"/>
        </w:rPr>
        <w:t>Order 11 rule 1(f), a court may grant leave to serve out of the jurisdiction where “the action is founded on a tort committed within the jurisdiction”.</w:t>
      </w:r>
      <w:r w:rsidR="00DD6854" w:rsidRPr="00A317BE">
        <w:rPr>
          <w:color w:val="000000" w:themeColor="text1"/>
        </w:rPr>
        <w:t xml:space="preserve"> This was the subject of discussion by the Supreme Court in </w:t>
      </w:r>
      <w:r w:rsidR="00DD6854" w:rsidRPr="00A317BE">
        <w:rPr>
          <w:i/>
          <w:color w:val="000000" w:themeColor="text1"/>
        </w:rPr>
        <w:t>Grehan v. Medical Incorporated</w:t>
      </w:r>
      <w:r w:rsidR="00F10D9D" w:rsidRPr="00A317BE">
        <w:rPr>
          <w:i/>
          <w:color w:val="000000" w:themeColor="text1"/>
        </w:rPr>
        <w:t xml:space="preserve"> and Valley Pine Associates </w:t>
      </w:r>
      <w:r w:rsidR="00827049" w:rsidRPr="00A317BE">
        <w:rPr>
          <w:i/>
          <w:color w:val="000000" w:themeColor="text1"/>
        </w:rPr>
        <w:t xml:space="preserve"> </w:t>
      </w:r>
      <w:r w:rsidR="00907AD9" w:rsidRPr="00A317BE">
        <w:rPr>
          <w:color w:val="000000" w:themeColor="text1"/>
        </w:rPr>
        <w:t>[</w:t>
      </w:r>
      <w:r w:rsidR="005D17B4" w:rsidRPr="00A317BE">
        <w:rPr>
          <w:color w:val="000000" w:themeColor="text1"/>
        </w:rPr>
        <w:t>1986] IR 528</w:t>
      </w:r>
      <w:r w:rsidR="00F10D9D" w:rsidRPr="00A317BE">
        <w:rPr>
          <w:color w:val="000000" w:themeColor="text1"/>
        </w:rPr>
        <w:t>,</w:t>
      </w:r>
      <w:r w:rsidR="00907AD9" w:rsidRPr="00A317BE">
        <w:rPr>
          <w:color w:val="000000" w:themeColor="text1"/>
        </w:rPr>
        <w:t xml:space="preserve"> </w:t>
      </w:r>
      <w:r w:rsidR="00DD6854" w:rsidRPr="00A317BE">
        <w:rPr>
          <w:color w:val="000000" w:themeColor="text1"/>
        </w:rPr>
        <w:t xml:space="preserve">where Walsh J. said that the issues was “not merely a mechanical one” and that “the task of the court is to interpret and apply the rule in a way designed to ensure that justice and common sense prevail”. It was held that if a significant element of the tort had occurred within the jurisdiction, that would be sufficient to come within rule 1(f). </w:t>
      </w:r>
      <w:r w:rsidR="00D65E79" w:rsidRPr="00A317BE">
        <w:rPr>
          <w:color w:val="000000" w:themeColor="text1"/>
        </w:rPr>
        <w:t xml:space="preserve">This did not </w:t>
      </w:r>
      <w:r w:rsidR="006B6D8D" w:rsidRPr="00A317BE">
        <w:rPr>
          <w:color w:val="000000" w:themeColor="text1"/>
        </w:rPr>
        <w:t>necessarily</w:t>
      </w:r>
      <w:r w:rsidR="00D65E79" w:rsidRPr="00A317BE">
        <w:rPr>
          <w:color w:val="000000" w:themeColor="text1"/>
        </w:rPr>
        <w:t xml:space="preserve"> mean that service out of the </w:t>
      </w:r>
      <w:r w:rsidR="009D0433" w:rsidRPr="00A317BE">
        <w:rPr>
          <w:color w:val="000000" w:themeColor="text1"/>
        </w:rPr>
        <w:t>jurisdiction</w:t>
      </w:r>
      <w:r w:rsidR="00D65E79" w:rsidRPr="00A317BE">
        <w:rPr>
          <w:color w:val="000000" w:themeColor="text1"/>
        </w:rPr>
        <w:t xml:space="preserve"> should be granted in all such cases</w:t>
      </w:r>
      <w:r w:rsidRPr="00A317BE">
        <w:rPr>
          <w:color w:val="000000" w:themeColor="text1"/>
        </w:rPr>
        <w:t>,</w:t>
      </w:r>
      <w:r w:rsidR="00D65E79" w:rsidRPr="00A317BE">
        <w:rPr>
          <w:color w:val="000000" w:themeColor="text1"/>
        </w:rPr>
        <w:t xml:space="preserve"> but it did allow </w:t>
      </w:r>
      <w:r w:rsidR="009D0433" w:rsidRPr="00A317BE">
        <w:rPr>
          <w:color w:val="000000" w:themeColor="text1"/>
        </w:rPr>
        <w:t>jurisdiction</w:t>
      </w:r>
      <w:r w:rsidR="00D65E79" w:rsidRPr="00A317BE">
        <w:rPr>
          <w:color w:val="000000" w:themeColor="text1"/>
        </w:rPr>
        <w:t xml:space="preserve"> to be assumed where Ireland was </w:t>
      </w:r>
      <w:r w:rsidRPr="00A317BE">
        <w:rPr>
          <w:color w:val="000000" w:themeColor="text1"/>
        </w:rPr>
        <w:t xml:space="preserve">(also) </w:t>
      </w:r>
      <w:r w:rsidR="00D65E79" w:rsidRPr="00A317BE">
        <w:rPr>
          <w:color w:val="000000" w:themeColor="text1"/>
        </w:rPr>
        <w:t xml:space="preserve">the </w:t>
      </w:r>
      <w:r w:rsidR="009D0433" w:rsidRPr="00A317BE">
        <w:rPr>
          <w:color w:val="000000" w:themeColor="text1"/>
        </w:rPr>
        <w:t>appropriate</w:t>
      </w:r>
      <w:r w:rsidR="00D65E79" w:rsidRPr="00A317BE">
        <w:rPr>
          <w:color w:val="000000" w:themeColor="text1"/>
        </w:rPr>
        <w:t xml:space="preserve"> forum. </w:t>
      </w:r>
    </w:p>
    <w:p w14:paraId="6ABA5B82" w14:textId="77777777" w:rsidR="00C15F38" w:rsidRPr="00A317BE" w:rsidRDefault="00C15F38" w:rsidP="00A317BE">
      <w:pPr>
        <w:pStyle w:val="ListParagraph"/>
        <w:tabs>
          <w:tab w:val="left" w:pos="567"/>
        </w:tabs>
        <w:ind w:left="0"/>
        <w:rPr>
          <w:color w:val="000000" w:themeColor="text1"/>
        </w:rPr>
      </w:pPr>
    </w:p>
    <w:p w14:paraId="481F111C" w14:textId="5237549D" w:rsidR="0030544A" w:rsidRDefault="00D65E79" w:rsidP="00A317BE">
      <w:pPr>
        <w:numPr>
          <w:ilvl w:val="0"/>
          <w:numId w:val="23"/>
        </w:numPr>
        <w:tabs>
          <w:tab w:val="left" w:pos="567"/>
        </w:tabs>
        <w:spacing w:line="480" w:lineRule="auto"/>
        <w:ind w:left="0" w:firstLine="0"/>
        <w:rPr>
          <w:color w:val="000000" w:themeColor="text1"/>
        </w:rPr>
      </w:pPr>
      <w:r w:rsidRPr="00A317BE">
        <w:rPr>
          <w:color w:val="000000" w:themeColor="text1"/>
        </w:rPr>
        <w:t xml:space="preserve">In that case, </w:t>
      </w:r>
      <w:r w:rsidR="003D068C" w:rsidRPr="00A317BE">
        <w:rPr>
          <w:color w:val="000000" w:themeColor="text1"/>
        </w:rPr>
        <w:t>the plaintiff claimed that a heart val</w:t>
      </w:r>
      <w:r w:rsidR="00F10D9D" w:rsidRPr="00A317BE">
        <w:rPr>
          <w:color w:val="000000" w:themeColor="text1"/>
        </w:rPr>
        <w:t>v</w:t>
      </w:r>
      <w:r w:rsidR="003D068C" w:rsidRPr="00A317BE">
        <w:rPr>
          <w:color w:val="000000" w:themeColor="text1"/>
        </w:rPr>
        <w:t xml:space="preserve">e which was inserted in his heart by open heart surgery in a hospital in Dublin was defective and brought a negligence claim.  He applied to join the manufacturers of the valve to the proceedings and to serve notice of the proceedings outside the jurisdiction them. They, the second named </w:t>
      </w:r>
      <w:r w:rsidR="009D0433" w:rsidRPr="00A317BE">
        <w:rPr>
          <w:color w:val="000000" w:themeColor="text1"/>
        </w:rPr>
        <w:t>defendants</w:t>
      </w:r>
      <w:r w:rsidR="003D068C" w:rsidRPr="00A317BE">
        <w:rPr>
          <w:color w:val="000000" w:themeColor="text1"/>
        </w:rPr>
        <w:t>, had manufactured the heart valve in San Diego in California and supplied it to the first-named defendants in the United States of America.</w:t>
      </w:r>
      <w:r w:rsidR="00396F25" w:rsidRPr="00A317BE">
        <w:rPr>
          <w:color w:val="000000" w:themeColor="text1"/>
        </w:rPr>
        <w:t xml:space="preserve">  The </w:t>
      </w:r>
      <w:r w:rsidR="009D0433" w:rsidRPr="00A317BE">
        <w:rPr>
          <w:color w:val="000000" w:themeColor="text1"/>
        </w:rPr>
        <w:t>Supreme</w:t>
      </w:r>
      <w:r w:rsidR="00396F25" w:rsidRPr="00A317BE">
        <w:rPr>
          <w:color w:val="000000" w:themeColor="text1"/>
        </w:rPr>
        <w:t xml:space="preserve"> Court upheld the order for service out of the jurisdiction, finding that a </w:t>
      </w:r>
      <w:r w:rsidR="009D0433" w:rsidRPr="00A317BE">
        <w:rPr>
          <w:color w:val="000000" w:themeColor="text1"/>
        </w:rPr>
        <w:t>significant</w:t>
      </w:r>
      <w:r w:rsidR="00396F25" w:rsidRPr="00A317BE">
        <w:rPr>
          <w:color w:val="000000" w:themeColor="text1"/>
        </w:rPr>
        <w:t xml:space="preserve"> element of the tort had occurred within the </w:t>
      </w:r>
      <w:r w:rsidR="009D0433" w:rsidRPr="00A317BE">
        <w:rPr>
          <w:color w:val="000000" w:themeColor="text1"/>
        </w:rPr>
        <w:t>jurisdiction</w:t>
      </w:r>
      <w:r w:rsidR="00396F25" w:rsidRPr="00A317BE">
        <w:rPr>
          <w:color w:val="000000" w:themeColor="text1"/>
        </w:rPr>
        <w:t xml:space="preserve"> and there was sufficient connection with the jurisdiction by reason of what had occurred here to warrant the assumption of jurisdiction. It may be noted that Walsh J. consider</w:t>
      </w:r>
      <w:r w:rsidR="008D1B8F" w:rsidRPr="00A317BE">
        <w:rPr>
          <w:color w:val="000000" w:themeColor="text1"/>
        </w:rPr>
        <w:t xml:space="preserve">ed authorities from a number </w:t>
      </w:r>
      <w:r w:rsidR="00396F25" w:rsidRPr="00A317BE">
        <w:rPr>
          <w:color w:val="000000" w:themeColor="text1"/>
        </w:rPr>
        <w:t xml:space="preserve">of </w:t>
      </w:r>
      <w:r w:rsidR="008D1B8F" w:rsidRPr="00A317BE">
        <w:rPr>
          <w:color w:val="000000" w:themeColor="text1"/>
        </w:rPr>
        <w:t>jurisdictions</w:t>
      </w:r>
      <w:r w:rsidR="00396F25" w:rsidRPr="00A317BE">
        <w:rPr>
          <w:color w:val="000000" w:themeColor="text1"/>
        </w:rPr>
        <w:t xml:space="preserve"> and also discussed </w:t>
      </w:r>
      <w:r w:rsidR="00396F25" w:rsidRPr="00A317BE">
        <w:rPr>
          <w:i/>
          <w:color w:val="000000" w:themeColor="text1"/>
        </w:rPr>
        <w:t>Bier</w:t>
      </w:r>
      <w:r w:rsidR="00F10D9D" w:rsidRPr="00A317BE">
        <w:rPr>
          <w:i/>
          <w:color w:val="000000" w:themeColor="text1"/>
        </w:rPr>
        <w:t xml:space="preserve"> BV</w:t>
      </w:r>
      <w:r w:rsidR="00396F25" w:rsidRPr="00A317BE">
        <w:rPr>
          <w:i/>
          <w:color w:val="000000" w:themeColor="text1"/>
        </w:rPr>
        <w:t xml:space="preserve"> v. Mines </w:t>
      </w:r>
      <w:r w:rsidR="00396F25" w:rsidRPr="00A317BE">
        <w:rPr>
          <w:i/>
          <w:color w:val="000000" w:themeColor="text1"/>
        </w:rPr>
        <w:lastRenderedPageBreak/>
        <w:t>de Potasse</w:t>
      </w:r>
      <w:r w:rsidR="00396F25" w:rsidRPr="00A317BE">
        <w:rPr>
          <w:color w:val="000000" w:themeColor="text1"/>
        </w:rPr>
        <w:t xml:space="preserve"> as an authority of interest, even though the Brussels </w:t>
      </w:r>
      <w:r w:rsidR="00D904AA" w:rsidRPr="00A317BE">
        <w:rPr>
          <w:color w:val="000000" w:themeColor="text1"/>
        </w:rPr>
        <w:t>Regulation</w:t>
      </w:r>
      <w:r w:rsidR="00396F25" w:rsidRPr="00A317BE">
        <w:rPr>
          <w:color w:val="000000" w:themeColor="text1"/>
        </w:rPr>
        <w:t xml:space="preserve"> was not yet applicable in Ireland at that time. </w:t>
      </w:r>
      <w:r w:rsidR="00827049" w:rsidRPr="00A317BE">
        <w:rPr>
          <w:color w:val="000000" w:themeColor="text1"/>
        </w:rPr>
        <w:t xml:space="preserve">Curiously the </w:t>
      </w:r>
      <w:r w:rsidR="00D904AA" w:rsidRPr="00A317BE">
        <w:rPr>
          <w:color w:val="000000" w:themeColor="text1"/>
        </w:rPr>
        <w:t>decision</w:t>
      </w:r>
      <w:r w:rsidR="00C36C70" w:rsidRPr="00A317BE">
        <w:rPr>
          <w:color w:val="000000" w:themeColor="text1"/>
        </w:rPr>
        <w:t xml:space="preserve"> in </w:t>
      </w:r>
      <w:r w:rsidR="00C36C70" w:rsidRPr="00A317BE">
        <w:rPr>
          <w:i/>
          <w:color w:val="000000" w:themeColor="text1"/>
        </w:rPr>
        <w:t>G</w:t>
      </w:r>
      <w:r w:rsidR="00827049" w:rsidRPr="00A317BE">
        <w:rPr>
          <w:i/>
          <w:color w:val="000000" w:themeColor="text1"/>
        </w:rPr>
        <w:t xml:space="preserve">rehan </w:t>
      </w:r>
      <w:r w:rsidR="00827049" w:rsidRPr="00A317BE">
        <w:rPr>
          <w:color w:val="000000" w:themeColor="text1"/>
        </w:rPr>
        <w:t xml:space="preserve">itself was not cited by either party in the present proceedings. </w:t>
      </w:r>
      <w:r w:rsidR="00F57884">
        <w:rPr>
          <w:color w:val="000000" w:themeColor="text1"/>
        </w:rPr>
        <w:t xml:space="preserve"> </w:t>
      </w:r>
    </w:p>
    <w:p w14:paraId="2FB5F044" w14:textId="77777777" w:rsidR="00901690" w:rsidRDefault="00901690" w:rsidP="00901690">
      <w:pPr>
        <w:tabs>
          <w:tab w:val="left" w:pos="567"/>
        </w:tabs>
        <w:spacing w:line="480" w:lineRule="auto"/>
        <w:rPr>
          <w:color w:val="000000" w:themeColor="text1"/>
        </w:rPr>
      </w:pPr>
    </w:p>
    <w:p w14:paraId="1C4C0108" w14:textId="61C04664" w:rsidR="00AD0A93" w:rsidRPr="00901690" w:rsidRDefault="00901690" w:rsidP="00A86884">
      <w:pPr>
        <w:numPr>
          <w:ilvl w:val="0"/>
          <w:numId w:val="23"/>
        </w:numPr>
        <w:tabs>
          <w:tab w:val="left" w:pos="567"/>
        </w:tabs>
        <w:spacing w:line="480" w:lineRule="auto"/>
        <w:ind w:left="0" w:firstLine="0"/>
        <w:rPr>
          <w:color w:val="000000" w:themeColor="text1"/>
        </w:rPr>
      </w:pPr>
      <w:r w:rsidRPr="00901690">
        <w:rPr>
          <w:color w:val="000000" w:themeColor="text1"/>
        </w:rPr>
        <w:t xml:space="preserve">  </w:t>
      </w:r>
      <w:r w:rsidR="0048464E" w:rsidRPr="00901690">
        <w:rPr>
          <w:color w:val="000000" w:themeColor="text1"/>
        </w:rPr>
        <w:t xml:space="preserve">In my view the </w:t>
      </w:r>
      <w:r w:rsidR="00F11503" w:rsidRPr="00901690">
        <w:rPr>
          <w:color w:val="000000" w:themeColor="text1"/>
        </w:rPr>
        <w:t xml:space="preserve">fundamental </w:t>
      </w:r>
      <w:r w:rsidR="0048464E" w:rsidRPr="00901690">
        <w:rPr>
          <w:color w:val="000000" w:themeColor="text1"/>
        </w:rPr>
        <w:t>difficulty for the appellant here is not so much with</w:t>
      </w:r>
      <w:r w:rsidR="00C15F38" w:rsidRPr="00901690">
        <w:rPr>
          <w:color w:val="000000" w:themeColor="text1"/>
        </w:rPr>
        <w:t xml:space="preserve"> </w:t>
      </w:r>
      <w:r w:rsidR="007B361A" w:rsidRPr="00901690">
        <w:rPr>
          <w:color w:val="000000" w:themeColor="text1"/>
        </w:rPr>
        <w:t>showing a good arguable case that</w:t>
      </w:r>
      <w:r w:rsidR="0048464E" w:rsidRPr="00901690">
        <w:rPr>
          <w:color w:val="000000" w:themeColor="text1"/>
        </w:rPr>
        <w:t xml:space="preserve"> a significant element of a tort occurred within the </w:t>
      </w:r>
      <w:r w:rsidR="00D904AA" w:rsidRPr="00901690">
        <w:rPr>
          <w:color w:val="000000" w:themeColor="text1"/>
        </w:rPr>
        <w:t>jurisdiction</w:t>
      </w:r>
      <w:r w:rsidR="0048464E" w:rsidRPr="00901690">
        <w:rPr>
          <w:color w:val="000000" w:themeColor="text1"/>
        </w:rPr>
        <w:t xml:space="preserve">, but rather </w:t>
      </w:r>
      <w:r w:rsidR="007B361A" w:rsidRPr="00901690">
        <w:rPr>
          <w:color w:val="000000" w:themeColor="text1"/>
        </w:rPr>
        <w:t>with showing</w:t>
      </w:r>
      <w:r w:rsidR="00DD1D43" w:rsidRPr="00901690">
        <w:rPr>
          <w:color w:val="000000" w:themeColor="text1"/>
        </w:rPr>
        <w:t xml:space="preserve"> that </w:t>
      </w:r>
      <w:r w:rsidR="0048464E" w:rsidRPr="00901690">
        <w:rPr>
          <w:i/>
          <w:color w:val="000000" w:themeColor="text1"/>
        </w:rPr>
        <w:t xml:space="preserve">any </w:t>
      </w:r>
      <w:r w:rsidR="0048464E" w:rsidRPr="00901690">
        <w:rPr>
          <w:color w:val="000000" w:themeColor="text1"/>
        </w:rPr>
        <w:t>tort ha</w:t>
      </w:r>
      <w:r w:rsidR="00914C82" w:rsidRPr="00901690">
        <w:rPr>
          <w:color w:val="000000" w:themeColor="text1"/>
        </w:rPr>
        <w:t>s</w:t>
      </w:r>
      <w:r w:rsidR="0048464E" w:rsidRPr="00901690">
        <w:rPr>
          <w:color w:val="000000" w:themeColor="text1"/>
        </w:rPr>
        <w:t xml:space="preserve"> been committed at all</w:t>
      </w:r>
      <w:r w:rsidR="00914C82" w:rsidRPr="00901690">
        <w:rPr>
          <w:color w:val="000000" w:themeColor="text1"/>
        </w:rPr>
        <w:t xml:space="preserve"> (to the relevant standard)</w:t>
      </w:r>
      <w:r w:rsidR="0048464E" w:rsidRPr="00901690">
        <w:rPr>
          <w:color w:val="000000" w:themeColor="text1"/>
        </w:rPr>
        <w:t xml:space="preserve">. </w:t>
      </w:r>
      <w:r w:rsidR="000D7E19" w:rsidRPr="00901690">
        <w:rPr>
          <w:color w:val="000000" w:themeColor="text1"/>
        </w:rPr>
        <w:t xml:space="preserve">The appellant </w:t>
      </w:r>
      <w:r w:rsidR="00D0795A" w:rsidRPr="00901690">
        <w:rPr>
          <w:color w:val="000000" w:themeColor="text1"/>
        </w:rPr>
        <w:t xml:space="preserve">did not seek to explain how the ingredients of the tort of </w:t>
      </w:r>
      <w:r w:rsidR="00C36C70" w:rsidRPr="00901690">
        <w:rPr>
          <w:color w:val="000000" w:themeColor="text1"/>
        </w:rPr>
        <w:t>intimidation</w:t>
      </w:r>
      <w:r w:rsidR="00D0795A" w:rsidRPr="00901690">
        <w:rPr>
          <w:color w:val="000000" w:themeColor="text1"/>
        </w:rPr>
        <w:t xml:space="preserve"> was made out on the facts of her case</w:t>
      </w:r>
      <w:r w:rsidR="00E86B39" w:rsidRPr="00901690">
        <w:rPr>
          <w:color w:val="000000" w:themeColor="text1"/>
        </w:rPr>
        <w:t xml:space="preserve">, even taking those facts to be as she stated them to be at their height. </w:t>
      </w:r>
      <w:r w:rsidR="00316845" w:rsidRPr="00901690">
        <w:rPr>
          <w:color w:val="000000" w:themeColor="text1"/>
        </w:rPr>
        <w:t>Nor did she make clear precisely what she meant by “economic duress”, there being no tort of that name. Perhaps she had in mind the inducement of a breach of contract, or some form of conspiracy. However, there was no attempt to explain to the Court how the precise ingredients of these various torts might be satisfied on the basis of such facts as were established</w:t>
      </w:r>
      <w:r w:rsidR="00F10D9D" w:rsidRPr="00901690">
        <w:rPr>
          <w:color w:val="000000" w:themeColor="text1"/>
        </w:rPr>
        <w:t xml:space="preserve">. </w:t>
      </w:r>
    </w:p>
    <w:p w14:paraId="33A3DCF6" w14:textId="77777777" w:rsidR="00F10D9D" w:rsidRPr="00A317BE" w:rsidRDefault="00F10D9D" w:rsidP="00151DF9">
      <w:pPr>
        <w:tabs>
          <w:tab w:val="left" w:pos="567"/>
        </w:tabs>
        <w:spacing w:line="480" w:lineRule="auto"/>
        <w:rPr>
          <w:color w:val="000000" w:themeColor="text1"/>
        </w:rPr>
      </w:pPr>
    </w:p>
    <w:p w14:paraId="65D32B7B" w14:textId="177F3BC1" w:rsidR="00C722BE" w:rsidRPr="00C722BE" w:rsidRDefault="00316845" w:rsidP="00C722BE">
      <w:pPr>
        <w:pStyle w:val="Heading1"/>
        <w:numPr>
          <w:ilvl w:val="0"/>
          <w:numId w:val="23"/>
        </w:numPr>
        <w:tabs>
          <w:tab w:val="left" w:pos="567"/>
        </w:tabs>
        <w:ind w:left="0" w:firstLine="0"/>
        <w:rPr>
          <w:b w:val="0"/>
          <w:bCs/>
          <w:color w:val="000000" w:themeColor="text1"/>
          <w:sz w:val="24"/>
        </w:rPr>
      </w:pPr>
      <w:r w:rsidRPr="00C722BE">
        <w:rPr>
          <w:b w:val="0"/>
          <w:bCs/>
          <w:color w:val="000000" w:themeColor="text1"/>
          <w:sz w:val="24"/>
        </w:rPr>
        <w:t xml:space="preserve">In my view, given the exceptional nature of the “service out” jurisdiction, </w:t>
      </w:r>
      <w:r w:rsidR="00484EB6" w:rsidRPr="00C722BE">
        <w:rPr>
          <w:b w:val="0"/>
          <w:bCs/>
          <w:color w:val="000000" w:themeColor="text1"/>
          <w:sz w:val="24"/>
        </w:rPr>
        <w:t xml:space="preserve">the courts must be provided with an appropriate level of detail as to the precise claims being made, the facts supporting those claims, and how they connect with the particular jurisdictional category in Order 11(1) being relied upon. With regard to the alleged torts of intimidation and economic duress, this was not done in the present case. </w:t>
      </w:r>
    </w:p>
    <w:p w14:paraId="334234D7" w14:textId="77777777" w:rsidR="00C722BE" w:rsidRDefault="00C722BE" w:rsidP="00A317BE">
      <w:pPr>
        <w:pStyle w:val="Heading1"/>
        <w:tabs>
          <w:tab w:val="left" w:pos="567"/>
        </w:tabs>
        <w:rPr>
          <w:color w:val="000000" w:themeColor="text1"/>
        </w:rPr>
      </w:pPr>
    </w:p>
    <w:p w14:paraId="12CA7CE5" w14:textId="1C4F8F89" w:rsidR="00731A93" w:rsidRPr="00C722BE" w:rsidRDefault="00484EB6" w:rsidP="00A317BE">
      <w:pPr>
        <w:pStyle w:val="Heading1"/>
        <w:tabs>
          <w:tab w:val="left" w:pos="567"/>
        </w:tabs>
        <w:rPr>
          <w:color w:val="000000" w:themeColor="text1"/>
        </w:rPr>
      </w:pPr>
      <w:r w:rsidRPr="00C722BE">
        <w:rPr>
          <w:color w:val="000000" w:themeColor="text1"/>
        </w:rPr>
        <w:t>Conclusion</w:t>
      </w:r>
    </w:p>
    <w:p w14:paraId="19380CF3" w14:textId="16850042" w:rsidR="00484EB6" w:rsidRDefault="00920CBE">
      <w:pPr>
        <w:numPr>
          <w:ilvl w:val="0"/>
          <w:numId w:val="23"/>
        </w:numPr>
        <w:tabs>
          <w:tab w:val="left" w:pos="567"/>
        </w:tabs>
        <w:spacing w:line="480" w:lineRule="auto"/>
        <w:ind w:left="0" w:firstLine="0"/>
        <w:rPr>
          <w:color w:val="000000" w:themeColor="text1"/>
        </w:rPr>
      </w:pPr>
      <w:r w:rsidRPr="00A317BE">
        <w:rPr>
          <w:i/>
          <w:color w:val="000000" w:themeColor="text1"/>
        </w:rPr>
        <w:t xml:space="preserve"> </w:t>
      </w:r>
      <w:r w:rsidRPr="00A317BE">
        <w:rPr>
          <w:color w:val="000000" w:themeColor="text1"/>
        </w:rPr>
        <w:t>I</w:t>
      </w:r>
      <w:r w:rsidR="00731A93" w:rsidRPr="00A317BE">
        <w:rPr>
          <w:color w:val="000000" w:themeColor="text1"/>
        </w:rPr>
        <w:t xml:space="preserve">n view of the above analysis, I </w:t>
      </w:r>
      <w:r w:rsidR="00506971" w:rsidRPr="00A317BE">
        <w:rPr>
          <w:color w:val="000000" w:themeColor="text1"/>
        </w:rPr>
        <w:t>would dismiss</w:t>
      </w:r>
      <w:r w:rsidRPr="00A317BE">
        <w:rPr>
          <w:color w:val="000000" w:themeColor="text1"/>
        </w:rPr>
        <w:t xml:space="preserve"> the appeal</w:t>
      </w:r>
      <w:r w:rsidR="00A148BC" w:rsidRPr="00A317BE">
        <w:rPr>
          <w:color w:val="000000" w:themeColor="text1"/>
        </w:rPr>
        <w:t xml:space="preserve"> and uphold the conclusion of the trial judge, albeit on different grounds</w:t>
      </w:r>
      <w:r w:rsidR="00731A93" w:rsidRPr="00A317BE">
        <w:rPr>
          <w:color w:val="000000" w:themeColor="text1"/>
        </w:rPr>
        <w:t xml:space="preserve"> to those advanced by her.</w:t>
      </w:r>
      <w:r w:rsidR="00C722BE">
        <w:rPr>
          <w:color w:val="000000" w:themeColor="text1"/>
        </w:rPr>
        <w:t xml:space="preserve"> </w:t>
      </w:r>
      <w:r w:rsidR="00C722BE" w:rsidRPr="00DB36A8">
        <w:rPr>
          <w:color w:val="000000" w:themeColor="text1"/>
        </w:rPr>
        <w:t xml:space="preserve">The Court wishes to hear the parties in relation to the issue of costs.  A brief hearing will be arranged and the </w:t>
      </w:r>
      <w:r w:rsidR="00C722BE" w:rsidRPr="00DB36A8">
        <w:rPr>
          <w:color w:val="000000" w:themeColor="text1"/>
        </w:rPr>
        <w:lastRenderedPageBreak/>
        <w:t>office will be in touch with the parties concerning a possible date in this regard</w:t>
      </w:r>
      <w:r w:rsidR="00C722BE">
        <w:rPr>
          <w:color w:val="000000" w:themeColor="text1"/>
        </w:rPr>
        <w:t>.</w:t>
      </w:r>
      <w:r w:rsidR="00731A93" w:rsidRPr="00C722BE">
        <w:rPr>
          <w:color w:val="000000" w:themeColor="text1"/>
        </w:rPr>
        <w:t xml:space="preserve"> </w:t>
      </w:r>
      <w:r w:rsidR="008758A8">
        <w:rPr>
          <w:color w:val="000000" w:themeColor="text1"/>
        </w:rPr>
        <w:t xml:space="preserve">As this judgment is being delivered electronically, my colleagues Donnelly J. and Collins J. have asked me to indicate their agreement with it. </w:t>
      </w:r>
    </w:p>
    <w:p w14:paraId="45F61551" w14:textId="77777777" w:rsidR="00B827ED" w:rsidRDefault="00B827ED" w:rsidP="00A317BE">
      <w:pPr>
        <w:tabs>
          <w:tab w:val="left" w:pos="567"/>
        </w:tabs>
        <w:spacing w:line="480" w:lineRule="auto"/>
        <w:rPr>
          <w:color w:val="000000" w:themeColor="text1"/>
        </w:rPr>
      </w:pPr>
    </w:p>
    <w:p w14:paraId="7C17B4CB" w14:textId="054A0913" w:rsidR="00B827ED" w:rsidRPr="00C722BE" w:rsidRDefault="00B827ED" w:rsidP="00C722BE">
      <w:pPr>
        <w:tabs>
          <w:tab w:val="left" w:pos="567"/>
        </w:tabs>
        <w:rPr>
          <w:color w:val="000000" w:themeColor="text1"/>
        </w:rPr>
      </w:pPr>
    </w:p>
    <w:sectPr w:rsidR="00B827ED" w:rsidRPr="00C722BE">
      <w:headerReference w:type="even" r:id="rId9"/>
      <w:headerReference w:type="default" r:id="rId10"/>
      <w:headerReference w:type="first" r:id="rId11"/>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8197B" w14:textId="77777777" w:rsidR="00F64E74" w:rsidRDefault="00F64E74">
      <w:r>
        <w:separator/>
      </w:r>
    </w:p>
  </w:endnote>
  <w:endnote w:type="continuationSeparator" w:id="0">
    <w:p w14:paraId="681E6AC8" w14:textId="77777777" w:rsidR="00F64E74" w:rsidRDefault="00F6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2B681" w14:textId="77777777" w:rsidR="00F64E74" w:rsidRDefault="00F64E74">
      <w:r>
        <w:separator/>
      </w:r>
    </w:p>
  </w:footnote>
  <w:footnote w:type="continuationSeparator" w:id="0">
    <w:p w14:paraId="07215251" w14:textId="77777777" w:rsidR="00F64E74" w:rsidRDefault="00F64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3FDD" w14:textId="77777777" w:rsidR="00F64E74" w:rsidRDefault="00F64E74" w:rsidP="00816CD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C4C94A" w14:textId="77777777" w:rsidR="00F64E74" w:rsidRDefault="00F64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C706" w14:textId="3DE1E6B4" w:rsidR="00F64E74" w:rsidRDefault="00F64E74" w:rsidP="00ED3C6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1177">
      <w:rPr>
        <w:rStyle w:val="PageNumber"/>
        <w:noProof/>
      </w:rPr>
      <w:t>- 45 -</w:t>
    </w:r>
    <w:r>
      <w:rPr>
        <w:rStyle w:val="PageNumber"/>
      </w:rPr>
      <w:fldChar w:fldCharType="end"/>
    </w:r>
  </w:p>
  <w:p w14:paraId="35A3F30B" w14:textId="77777777" w:rsidR="00F64E74" w:rsidRDefault="00F64E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87CB" w14:textId="595CE2CE" w:rsidR="00F64E74" w:rsidRDefault="00F64E74">
    <w:pPr>
      <w:pStyle w:val="Header"/>
      <w:jc w:val="center"/>
    </w:pPr>
    <w:r>
      <w:rPr>
        <w:noProof/>
      </w:rPr>
      <w:drawing>
        <wp:inline distT="0" distB="0" distL="0" distR="0" wp14:anchorId="2F2A9C77" wp14:editId="7663450C">
          <wp:extent cx="362585" cy="55181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585" cy="551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0AA"/>
    <w:multiLevelType w:val="multilevel"/>
    <w:tmpl w:val="DC3EDA22"/>
    <w:lvl w:ilvl="0">
      <w:start w:val="1"/>
      <w:numFmt w:val="decimal"/>
      <w:lvlText w:val="%1."/>
      <w:lvlJc w:val="left"/>
      <w:pPr>
        <w:tabs>
          <w:tab w:val="num" w:pos="720"/>
        </w:tabs>
        <w:ind w:left="720" w:hanging="720"/>
      </w:pPr>
      <w:rPr>
        <w:rFonts w:hint="default"/>
        <w:b/>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 w15:restartNumberingAfterBreak="0">
    <w:nsid w:val="03074E96"/>
    <w:multiLevelType w:val="hybridMultilevel"/>
    <w:tmpl w:val="7794C7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2A6E57"/>
    <w:multiLevelType w:val="hybridMultilevel"/>
    <w:tmpl w:val="3F96F2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961465"/>
    <w:multiLevelType w:val="hybridMultilevel"/>
    <w:tmpl w:val="46BC0C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5DF733C"/>
    <w:multiLevelType w:val="hybridMultilevel"/>
    <w:tmpl w:val="7EFE5608"/>
    <w:lvl w:ilvl="0" w:tplc="3880D282">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715661C"/>
    <w:multiLevelType w:val="hybridMultilevel"/>
    <w:tmpl w:val="3626A508"/>
    <w:lvl w:ilvl="0" w:tplc="7034FE10">
      <w:start w:val="1"/>
      <w:numFmt w:val="decimal"/>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A534427"/>
    <w:multiLevelType w:val="hybridMultilevel"/>
    <w:tmpl w:val="860CFE46"/>
    <w:lvl w:ilvl="0" w:tplc="766C8D22">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0FDD452F"/>
    <w:multiLevelType w:val="hybridMultilevel"/>
    <w:tmpl w:val="C7545F16"/>
    <w:lvl w:ilvl="0" w:tplc="012C6428">
      <w:start w:val="2"/>
      <w:numFmt w:val="decimal"/>
      <w:lvlText w:val="%1"/>
      <w:lvlJc w:val="left"/>
      <w:pPr>
        <w:ind w:left="1500" w:hanging="360"/>
      </w:pPr>
      <w:rPr>
        <w:rFonts w:hint="default"/>
      </w:r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8" w15:restartNumberingAfterBreak="0">
    <w:nsid w:val="127309EB"/>
    <w:multiLevelType w:val="hybridMultilevel"/>
    <w:tmpl w:val="2C88D876"/>
    <w:lvl w:ilvl="0" w:tplc="65F011BE">
      <w:start w:val="2"/>
      <w:numFmt w:val="lowerRoman"/>
      <w:lvlText w:val="(%1)"/>
      <w:lvlJc w:val="left"/>
      <w:pPr>
        <w:tabs>
          <w:tab w:val="num" w:pos="1440"/>
        </w:tabs>
        <w:ind w:left="1440" w:hanging="720"/>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12D10859"/>
    <w:multiLevelType w:val="hybridMultilevel"/>
    <w:tmpl w:val="DE9CB9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3C76DE7"/>
    <w:multiLevelType w:val="hybridMultilevel"/>
    <w:tmpl w:val="1F1A7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61016FC"/>
    <w:multiLevelType w:val="multilevel"/>
    <w:tmpl w:val="40C66E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hint="default"/>
        <w:b/>
        <w:sz w:val="24"/>
        <w:szCs w:val="24"/>
      </w:rPr>
    </w:lvl>
    <w:lvl w:ilvl="1" w:tplc="91724F8E">
      <w:numFmt w:val="none"/>
      <w:lvlText w:val=""/>
      <w:lvlJc w:val="left"/>
      <w:pPr>
        <w:tabs>
          <w:tab w:val="num" w:pos="360"/>
        </w:tabs>
      </w:pPr>
    </w:lvl>
    <w:lvl w:ilvl="2" w:tplc="88607052">
      <w:numFmt w:val="none"/>
      <w:lvlText w:val=""/>
      <w:lvlJc w:val="left"/>
      <w:pPr>
        <w:tabs>
          <w:tab w:val="num" w:pos="360"/>
        </w:tabs>
      </w:pPr>
    </w:lvl>
    <w:lvl w:ilvl="3" w:tplc="6C3CCF6A">
      <w:numFmt w:val="none"/>
      <w:lvlText w:val=""/>
      <w:lvlJc w:val="left"/>
      <w:pPr>
        <w:tabs>
          <w:tab w:val="num" w:pos="360"/>
        </w:tabs>
      </w:pPr>
    </w:lvl>
    <w:lvl w:ilvl="4" w:tplc="8ED61410">
      <w:numFmt w:val="none"/>
      <w:lvlText w:val=""/>
      <w:lvlJc w:val="left"/>
      <w:pPr>
        <w:tabs>
          <w:tab w:val="num" w:pos="360"/>
        </w:tabs>
      </w:pPr>
    </w:lvl>
    <w:lvl w:ilvl="5" w:tplc="290E7BEA">
      <w:numFmt w:val="none"/>
      <w:lvlText w:val=""/>
      <w:lvlJc w:val="left"/>
      <w:pPr>
        <w:tabs>
          <w:tab w:val="num" w:pos="360"/>
        </w:tabs>
      </w:pPr>
    </w:lvl>
    <w:lvl w:ilvl="6" w:tplc="2E32BFA8">
      <w:numFmt w:val="none"/>
      <w:lvlText w:val=""/>
      <w:lvlJc w:val="left"/>
      <w:pPr>
        <w:tabs>
          <w:tab w:val="num" w:pos="360"/>
        </w:tabs>
      </w:pPr>
    </w:lvl>
    <w:lvl w:ilvl="7" w:tplc="1480D654">
      <w:numFmt w:val="none"/>
      <w:lvlText w:val=""/>
      <w:lvlJc w:val="left"/>
      <w:pPr>
        <w:tabs>
          <w:tab w:val="num" w:pos="360"/>
        </w:tabs>
      </w:pPr>
    </w:lvl>
    <w:lvl w:ilvl="8" w:tplc="E0EE90C6">
      <w:numFmt w:val="none"/>
      <w:lvlText w:val=""/>
      <w:lvlJc w:val="left"/>
      <w:pPr>
        <w:tabs>
          <w:tab w:val="num" w:pos="360"/>
        </w:tabs>
      </w:pPr>
    </w:lvl>
  </w:abstractNum>
  <w:abstractNum w:abstractNumId="13" w15:restartNumberingAfterBreak="0">
    <w:nsid w:val="177D5D9C"/>
    <w:multiLevelType w:val="hybridMultilevel"/>
    <w:tmpl w:val="FF2AA236"/>
    <w:lvl w:ilvl="0" w:tplc="1809000F">
      <w:start w:val="1"/>
      <w:numFmt w:val="decimal"/>
      <w:lvlText w:val="%1."/>
      <w:lvlJc w:val="left"/>
      <w:pPr>
        <w:ind w:left="720" w:hanging="360"/>
      </w:pPr>
    </w:lvl>
    <w:lvl w:ilvl="1" w:tplc="18090013">
      <w:start w:val="1"/>
      <w:numFmt w:val="upp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F2C1FD6"/>
    <w:multiLevelType w:val="multilevel"/>
    <w:tmpl w:val="193EC3F2"/>
    <w:lvl w:ilvl="0">
      <w:start w:val="1"/>
      <w:numFmt w:val="lowerRoman"/>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092384A"/>
    <w:multiLevelType w:val="hybridMultilevel"/>
    <w:tmpl w:val="4EF686BE"/>
    <w:lvl w:ilvl="0" w:tplc="93BC25D4">
      <w:start w:val="1"/>
      <w:numFmt w:val="decimal"/>
      <w:lvlText w:val="%1."/>
      <w:lvlJc w:val="left"/>
      <w:pPr>
        <w:ind w:left="360" w:hanging="360"/>
      </w:pPr>
      <w:rPr>
        <w:b/>
        <w:i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21A006E"/>
    <w:multiLevelType w:val="hybridMultilevel"/>
    <w:tmpl w:val="914EF870"/>
    <w:lvl w:ilvl="0" w:tplc="1809000F">
      <w:start w:val="8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2D4515D"/>
    <w:multiLevelType w:val="hybridMultilevel"/>
    <w:tmpl w:val="34DC52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hint="default"/>
        <w:b/>
        <w:sz w:val="24"/>
        <w:szCs w:val="24"/>
      </w:rPr>
    </w:lvl>
    <w:lvl w:ilvl="1" w:tplc="9568368A">
      <w:numFmt w:val="none"/>
      <w:lvlText w:val=""/>
      <w:lvlJc w:val="left"/>
      <w:pPr>
        <w:tabs>
          <w:tab w:val="num" w:pos="360"/>
        </w:tabs>
      </w:pPr>
    </w:lvl>
    <w:lvl w:ilvl="2" w:tplc="AB22C470">
      <w:numFmt w:val="none"/>
      <w:lvlText w:val=""/>
      <w:lvlJc w:val="left"/>
      <w:pPr>
        <w:tabs>
          <w:tab w:val="num" w:pos="360"/>
        </w:tabs>
      </w:pPr>
    </w:lvl>
    <w:lvl w:ilvl="3" w:tplc="08090001">
      <w:start w:val="1"/>
      <w:numFmt w:val="bullet"/>
      <w:lvlText w:val=""/>
      <w:lvlJc w:val="left"/>
      <w:pPr>
        <w:tabs>
          <w:tab w:val="num" w:pos="360"/>
        </w:tabs>
        <w:ind w:left="360" w:hanging="360"/>
      </w:pPr>
      <w:rPr>
        <w:rFonts w:ascii="Symbol" w:hAnsi="Symbol" w:hint="default"/>
        <w:b/>
        <w:sz w:val="24"/>
        <w:szCs w:val="24"/>
      </w:rPr>
    </w:lvl>
    <w:lvl w:ilvl="4" w:tplc="978EC4A4">
      <w:numFmt w:val="none"/>
      <w:lvlText w:val=""/>
      <w:lvlJc w:val="left"/>
      <w:pPr>
        <w:tabs>
          <w:tab w:val="num" w:pos="360"/>
        </w:tabs>
      </w:pPr>
    </w:lvl>
    <w:lvl w:ilvl="5" w:tplc="724648A0">
      <w:numFmt w:val="none"/>
      <w:lvlText w:val=""/>
      <w:lvlJc w:val="left"/>
      <w:pPr>
        <w:tabs>
          <w:tab w:val="num" w:pos="360"/>
        </w:tabs>
      </w:pPr>
    </w:lvl>
    <w:lvl w:ilvl="6" w:tplc="7618D150">
      <w:numFmt w:val="none"/>
      <w:lvlText w:val=""/>
      <w:lvlJc w:val="left"/>
      <w:pPr>
        <w:tabs>
          <w:tab w:val="num" w:pos="360"/>
        </w:tabs>
      </w:pPr>
    </w:lvl>
    <w:lvl w:ilvl="7" w:tplc="97FABB32">
      <w:numFmt w:val="none"/>
      <w:lvlText w:val=""/>
      <w:lvlJc w:val="left"/>
      <w:pPr>
        <w:tabs>
          <w:tab w:val="num" w:pos="360"/>
        </w:tabs>
      </w:pPr>
    </w:lvl>
    <w:lvl w:ilvl="8" w:tplc="1DA48E56">
      <w:numFmt w:val="none"/>
      <w:lvlText w:val=""/>
      <w:lvlJc w:val="left"/>
      <w:pPr>
        <w:tabs>
          <w:tab w:val="num" w:pos="360"/>
        </w:tabs>
      </w:pPr>
    </w:lvl>
  </w:abstractNum>
  <w:abstractNum w:abstractNumId="20" w15:restartNumberingAfterBreak="0">
    <w:nsid w:val="2A610044"/>
    <w:multiLevelType w:val="multilevel"/>
    <w:tmpl w:val="D0585BBC"/>
    <w:lvl w:ilvl="0">
      <w:start w:val="1"/>
      <w:numFmt w:val="decimal"/>
      <w:lvlText w:val="(%1)"/>
      <w:lvlJc w:val="left"/>
      <w:pPr>
        <w:tabs>
          <w:tab w:val="num" w:pos="1440"/>
        </w:tabs>
        <w:ind w:left="720" w:firstLine="0"/>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F627811"/>
    <w:multiLevelType w:val="hybridMultilevel"/>
    <w:tmpl w:val="E9749F16"/>
    <w:lvl w:ilvl="0" w:tplc="18090001">
      <w:start w:val="1"/>
      <w:numFmt w:val="bullet"/>
      <w:lvlText w:val=""/>
      <w:lvlJc w:val="left"/>
      <w:pPr>
        <w:ind w:left="1290" w:hanging="360"/>
      </w:pPr>
      <w:rPr>
        <w:rFonts w:ascii="Symbol" w:hAnsi="Symbol" w:hint="default"/>
      </w:rPr>
    </w:lvl>
    <w:lvl w:ilvl="1" w:tplc="18090003" w:tentative="1">
      <w:start w:val="1"/>
      <w:numFmt w:val="bullet"/>
      <w:lvlText w:val="o"/>
      <w:lvlJc w:val="left"/>
      <w:pPr>
        <w:ind w:left="2010" w:hanging="360"/>
      </w:pPr>
      <w:rPr>
        <w:rFonts w:ascii="Courier New" w:hAnsi="Courier New" w:cs="Courier New" w:hint="default"/>
      </w:rPr>
    </w:lvl>
    <w:lvl w:ilvl="2" w:tplc="18090005" w:tentative="1">
      <w:start w:val="1"/>
      <w:numFmt w:val="bullet"/>
      <w:lvlText w:val=""/>
      <w:lvlJc w:val="left"/>
      <w:pPr>
        <w:ind w:left="2730" w:hanging="360"/>
      </w:pPr>
      <w:rPr>
        <w:rFonts w:ascii="Wingdings" w:hAnsi="Wingdings" w:hint="default"/>
      </w:rPr>
    </w:lvl>
    <w:lvl w:ilvl="3" w:tplc="18090001" w:tentative="1">
      <w:start w:val="1"/>
      <w:numFmt w:val="bullet"/>
      <w:lvlText w:val=""/>
      <w:lvlJc w:val="left"/>
      <w:pPr>
        <w:ind w:left="3450" w:hanging="360"/>
      </w:pPr>
      <w:rPr>
        <w:rFonts w:ascii="Symbol" w:hAnsi="Symbol" w:hint="default"/>
      </w:rPr>
    </w:lvl>
    <w:lvl w:ilvl="4" w:tplc="18090003" w:tentative="1">
      <w:start w:val="1"/>
      <w:numFmt w:val="bullet"/>
      <w:lvlText w:val="o"/>
      <w:lvlJc w:val="left"/>
      <w:pPr>
        <w:ind w:left="4170" w:hanging="360"/>
      </w:pPr>
      <w:rPr>
        <w:rFonts w:ascii="Courier New" w:hAnsi="Courier New" w:cs="Courier New" w:hint="default"/>
      </w:rPr>
    </w:lvl>
    <w:lvl w:ilvl="5" w:tplc="18090005" w:tentative="1">
      <w:start w:val="1"/>
      <w:numFmt w:val="bullet"/>
      <w:lvlText w:val=""/>
      <w:lvlJc w:val="left"/>
      <w:pPr>
        <w:ind w:left="4890" w:hanging="360"/>
      </w:pPr>
      <w:rPr>
        <w:rFonts w:ascii="Wingdings" w:hAnsi="Wingdings" w:hint="default"/>
      </w:rPr>
    </w:lvl>
    <w:lvl w:ilvl="6" w:tplc="18090001" w:tentative="1">
      <w:start w:val="1"/>
      <w:numFmt w:val="bullet"/>
      <w:lvlText w:val=""/>
      <w:lvlJc w:val="left"/>
      <w:pPr>
        <w:ind w:left="5610" w:hanging="360"/>
      </w:pPr>
      <w:rPr>
        <w:rFonts w:ascii="Symbol" w:hAnsi="Symbol" w:hint="default"/>
      </w:rPr>
    </w:lvl>
    <w:lvl w:ilvl="7" w:tplc="18090003" w:tentative="1">
      <w:start w:val="1"/>
      <w:numFmt w:val="bullet"/>
      <w:lvlText w:val="o"/>
      <w:lvlJc w:val="left"/>
      <w:pPr>
        <w:ind w:left="6330" w:hanging="360"/>
      </w:pPr>
      <w:rPr>
        <w:rFonts w:ascii="Courier New" w:hAnsi="Courier New" w:cs="Courier New" w:hint="default"/>
      </w:rPr>
    </w:lvl>
    <w:lvl w:ilvl="8" w:tplc="18090005" w:tentative="1">
      <w:start w:val="1"/>
      <w:numFmt w:val="bullet"/>
      <w:lvlText w:val=""/>
      <w:lvlJc w:val="left"/>
      <w:pPr>
        <w:ind w:left="7050" w:hanging="360"/>
      </w:pPr>
      <w:rPr>
        <w:rFonts w:ascii="Wingdings" w:hAnsi="Wingdings" w:hint="default"/>
      </w:rPr>
    </w:lvl>
  </w:abstractNum>
  <w:abstractNum w:abstractNumId="22" w15:restartNumberingAfterBreak="0">
    <w:nsid w:val="31635C15"/>
    <w:multiLevelType w:val="hybridMultilevel"/>
    <w:tmpl w:val="D0585BBC"/>
    <w:lvl w:ilvl="0" w:tplc="16AADB20">
      <w:start w:val="1"/>
      <w:numFmt w:val="decimal"/>
      <w:lvlText w:val="(%1)"/>
      <w:lvlJc w:val="left"/>
      <w:pPr>
        <w:tabs>
          <w:tab w:val="num" w:pos="1440"/>
        </w:tabs>
        <w:ind w:left="720" w:firstLine="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1C75016"/>
    <w:multiLevelType w:val="hybridMultilevel"/>
    <w:tmpl w:val="25B61166"/>
    <w:lvl w:ilvl="0" w:tplc="18090001">
      <w:start w:val="1"/>
      <w:numFmt w:val="bullet"/>
      <w:lvlText w:val=""/>
      <w:lvlJc w:val="left"/>
      <w:pPr>
        <w:ind w:left="1179" w:hanging="360"/>
      </w:pPr>
      <w:rPr>
        <w:rFonts w:ascii="Symbol" w:hAnsi="Symbol" w:hint="default"/>
      </w:rPr>
    </w:lvl>
    <w:lvl w:ilvl="1" w:tplc="18090003" w:tentative="1">
      <w:start w:val="1"/>
      <w:numFmt w:val="bullet"/>
      <w:lvlText w:val="o"/>
      <w:lvlJc w:val="left"/>
      <w:pPr>
        <w:ind w:left="1899" w:hanging="360"/>
      </w:pPr>
      <w:rPr>
        <w:rFonts w:ascii="Courier New" w:hAnsi="Courier New" w:cs="Courier New" w:hint="default"/>
      </w:rPr>
    </w:lvl>
    <w:lvl w:ilvl="2" w:tplc="18090005" w:tentative="1">
      <w:start w:val="1"/>
      <w:numFmt w:val="bullet"/>
      <w:lvlText w:val=""/>
      <w:lvlJc w:val="left"/>
      <w:pPr>
        <w:ind w:left="2619" w:hanging="360"/>
      </w:pPr>
      <w:rPr>
        <w:rFonts w:ascii="Wingdings" w:hAnsi="Wingdings" w:hint="default"/>
      </w:rPr>
    </w:lvl>
    <w:lvl w:ilvl="3" w:tplc="18090001" w:tentative="1">
      <w:start w:val="1"/>
      <w:numFmt w:val="bullet"/>
      <w:lvlText w:val=""/>
      <w:lvlJc w:val="left"/>
      <w:pPr>
        <w:ind w:left="3339" w:hanging="360"/>
      </w:pPr>
      <w:rPr>
        <w:rFonts w:ascii="Symbol" w:hAnsi="Symbol" w:hint="default"/>
      </w:rPr>
    </w:lvl>
    <w:lvl w:ilvl="4" w:tplc="18090003" w:tentative="1">
      <w:start w:val="1"/>
      <w:numFmt w:val="bullet"/>
      <w:lvlText w:val="o"/>
      <w:lvlJc w:val="left"/>
      <w:pPr>
        <w:ind w:left="4059" w:hanging="360"/>
      </w:pPr>
      <w:rPr>
        <w:rFonts w:ascii="Courier New" w:hAnsi="Courier New" w:cs="Courier New" w:hint="default"/>
      </w:rPr>
    </w:lvl>
    <w:lvl w:ilvl="5" w:tplc="18090005" w:tentative="1">
      <w:start w:val="1"/>
      <w:numFmt w:val="bullet"/>
      <w:lvlText w:val=""/>
      <w:lvlJc w:val="left"/>
      <w:pPr>
        <w:ind w:left="4779" w:hanging="360"/>
      </w:pPr>
      <w:rPr>
        <w:rFonts w:ascii="Wingdings" w:hAnsi="Wingdings" w:hint="default"/>
      </w:rPr>
    </w:lvl>
    <w:lvl w:ilvl="6" w:tplc="18090001" w:tentative="1">
      <w:start w:val="1"/>
      <w:numFmt w:val="bullet"/>
      <w:lvlText w:val=""/>
      <w:lvlJc w:val="left"/>
      <w:pPr>
        <w:ind w:left="5499" w:hanging="360"/>
      </w:pPr>
      <w:rPr>
        <w:rFonts w:ascii="Symbol" w:hAnsi="Symbol" w:hint="default"/>
      </w:rPr>
    </w:lvl>
    <w:lvl w:ilvl="7" w:tplc="18090003" w:tentative="1">
      <w:start w:val="1"/>
      <w:numFmt w:val="bullet"/>
      <w:lvlText w:val="o"/>
      <w:lvlJc w:val="left"/>
      <w:pPr>
        <w:ind w:left="6219" w:hanging="360"/>
      </w:pPr>
      <w:rPr>
        <w:rFonts w:ascii="Courier New" w:hAnsi="Courier New" w:cs="Courier New" w:hint="default"/>
      </w:rPr>
    </w:lvl>
    <w:lvl w:ilvl="8" w:tplc="18090005" w:tentative="1">
      <w:start w:val="1"/>
      <w:numFmt w:val="bullet"/>
      <w:lvlText w:val=""/>
      <w:lvlJc w:val="left"/>
      <w:pPr>
        <w:ind w:left="6939" w:hanging="360"/>
      </w:pPr>
      <w:rPr>
        <w:rFonts w:ascii="Wingdings" w:hAnsi="Wingdings" w:hint="default"/>
      </w:rPr>
    </w:lvl>
  </w:abstractNum>
  <w:abstractNum w:abstractNumId="24" w15:restartNumberingAfterBreak="0">
    <w:nsid w:val="35541FC6"/>
    <w:multiLevelType w:val="hybridMultilevel"/>
    <w:tmpl w:val="65FCF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23110EA"/>
    <w:multiLevelType w:val="hybridMultilevel"/>
    <w:tmpl w:val="193EC3F2"/>
    <w:lvl w:ilvl="0" w:tplc="EF4AA6E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4D856F8"/>
    <w:multiLevelType w:val="multilevel"/>
    <w:tmpl w:val="962C9BD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8676A4D"/>
    <w:multiLevelType w:val="hybridMultilevel"/>
    <w:tmpl w:val="9B104936"/>
    <w:lvl w:ilvl="0" w:tplc="18090001">
      <w:start w:val="1"/>
      <w:numFmt w:val="bullet"/>
      <w:lvlText w:val=""/>
      <w:lvlJc w:val="left"/>
      <w:pPr>
        <w:ind w:left="2991" w:hanging="360"/>
      </w:pPr>
      <w:rPr>
        <w:rFonts w:ascii="Symbol" w:hAnsi="Symbol" w:hint="default"/>
      </w:rPr>
    </w:lvl>
    <w:lvl w:ilvl="1" w:tplc="18090003">
      <w:start w:val="1"/>
      <w:numFmt w:val="bullet"/>
      <w:lvlText w:val="o"/>
      <w:lvlJc w:val="left"/>
      <w:pPr>
        <w:ind w:left="3711" w:hanging="360"/>
      </w:pPr>
      <w:rPr>
        <w:rFonts w:ascii="Courier New" w:hAnsi="Courier New" w:cs="Courier New" w:hint="default"/>
      </w:rPr>
    </w:lvl>
    <w:lvl w:ilvl="2" w:tplc="18090005" w:tentative="1">
      <w:start w:val="1"/>
      <w:numFmt w:val="bullet"/>
      <w:lvlText w:val=""/>
      <w:lvlJc w:val="left"/>
      <w:pPr>
        <w:ind w:left="4431" w:hanging="360"/>
      </w:pPr>
      <w:rPr>
        <w:rFonts w:ascii="Wingdings" w:hAnsi="Wingdings" w:hint="default"/>
      </w:rPr>
    </w:lvl>
    <w:lvl w:ilvl="3" w:tplc="18090001" w:tentative="1">
      <w:start w:val="1"/>
      <w:numFmt w:val="bullet"/>
      <w:lvlText w:val=""/>
      <w:lvlJc w:val="left"/>
      <w:pPr>
        <w:ind w:left="5151" w:hanging="360"/>
      </w:pPr>
      <w:rPr>
        <w:rFonts w:ascii="Symbol" w:hAnsi="Symbol" w:hint="default"/>
      </w:rPr>
    </w:lvl>
    <w:lvl w:ilvl="4" w:tplc="18090003" w:tentative="1">
      <w:start w:val="1"/>
      <w:numFmt w:val="bullet"/>
      <w:lvlText w:val="o"/>
      <w:lvlJc w:val="left"/>
      <w:pPr>
        <w:ind w:left="5871" w:hanging="360"/>
      </w:pPr>
      <w:rPr>
        <w:rFonts w:ascii="Courier New" w:hAnsi="Courier New" w:cs="Courier New" w:hint="default"/>
      </w:rPr>
    </w:lvl>
    <w:lvl w:ilvl="5" w:tplc="18090005" w:tentative="1">
      <w:start w:val="1"/>
      <w:numFmt w:val="bullet"/>
      <w:lvlText w:val=""/>
      <w:lvlJc w:val="left"/>
      <w:pPr>
        <w:ind w:left="6591" w:hanging="360"/>
      </w:pPr>
      <w:rPr>
        <w:rFonts w:ascii="Wingdings" w:hAnsi="Wingdings" w:hint="default"/>
      </w:rPr>
    </w:lvl>
    <w:lvl w:ilvl="6" w:tplc="18090001" w:tentative="1">
      <w:start w:val="1"/>
      <w:numFmt w:val="bullet"/>
      <w:lvlText w:val=""/>
      <w:lvlJc w:val="left"/>
      <w:pPr>
        <w:ind w:left="7311" w:hanging="360"/>
      </w:pPr>
      <w:rPr>
        <w:rFonts w:ascii="Symbol" w:hAnsi="Symbol" w:hint="default"/>
      </w:rPr>
    </w:lvl>
    <w:lvl w:ilvl="7" w:tplc="18090003" w:tentative="1">
      <w:start w:val="1"/>
      <w:numFmt w:val="bullet"/>
      <w:lvlText w:val="o"/>
      <w:lvlJc w:val="left"/>
      <w:pPr>
        <w:ind w:left="8031" w:hanging="360"/>
      </w:pPr>
      <w:rPr>
        <w:rFonts w:ascii="Courier New" w:hAnsi="Courier New" w:cs="Courier New" w:hint="default"/>
      </w:rPr>
    </w:lvl>
    <w:lvl w:ilvl="8" w:tplc="18090005" w:tentative="1">
      <w:start w:val="1"/>
      <w:numFmt w:val="bullet"/>
      <w:lvlText w:val=""/>
      <w:lvlJc w:val="left"/>
      <w:pPr>
        <w:ind w:left="8751" w:hanging="360"/>
      </w:pPr>
      <w:rPr>
        <w:rFonts w:ascii="Wingdings" w:hAnsi="Wingdings" w:hint="default"/>
      </w:rPr>
    </w:lvl>
  </w:abstractNum>
  <w:abstractNum w:abstractNumId="28" w15:restartNumberingAfterBreak="0">
    <w:nsid w:val="4A416910"/>
    <w:multiLevelType w:val="hybridMultilevel"/>
    <w:tmpl w:val="C458E15E"/>
    <w:lvl w:ilvl="0" w:tplc="0EC29D78">
      <w:start w:val="81"/>
      <w:numFmt w:val="decimal"/>
      <w:lvlText w:val="%1."/>
      <w:lvlJc w:val="left"/>
      <w:pPr>
        <w:ind w:left="720" w:hanging="360"/>
      </w:pPr>
      <w:rPr>
        <w:rFonts w:hint="default"/>
        <w:b/>
        <w:i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CCB3A84"/>
    <w:multiLevelType w:val="hybridMultilevel"/>
    <w:tmpl w:val="1B365540"/>
    <w:lvl w:ilvl="0" w:tplc="1809000F">
      <w:start w:val="1"/>
      <w:numFmt w:val="decimal"/>
      <w:lvlText w:val="%1."/>
      <w:lvlJc w:val="left"/>
      <w:pPr>
        <w:ind w:left="720" w:hanging="360"/>
      </w:p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D0C23B4A">
      <w:start w:val="1"/>
      <w:numFmt w:val="lowerRoman"/>
      <w:lvlText w:val="(%4)"/>
      <w:lvlJc w:val="left"/>
      <w:pPr>
        <w:ind w:left="3240" w:hanging="720"/>
      </w:pPr>
      <w:rPr>
        <w:rFonts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41C786B"/>
    <w:multiLevelType w:val="hybridMultilevel"/>
    <w:tmpl w:val="D3E6DD34"/>
    <w:lvl w:ilvl="0" w:tplc="98F477F4">
      <w:start w:val="1"/>
      <w:numFmt w:val="decimal"/>
      <w:lvlText w:val="%1."/>
      <w:lvlJc w:val="left"/>
      <w:pPr>
        <w:tabs>
          <w:tab w:val="num" w:pos="709"/>
        </w:tabs>
        <w:ind w:left="0" w:firstLine="0"/>
      </w:pPr>
      <w:rPr>
        <w:rFonts w:cs="Times New Roman"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59D20C71"/>
    <w:multiLevelType w:val="hybridMultilevel"/>
    <w:tmpl w:val="346C5C20"/>
    <w:lvl w:ilvl="0" w:tplc="59C8D220">
      <w:start w:val="5"/>
      <w:numFmt w:val="decimal"/>
      <w:lvlText w:val="%1."/>
      <w:lvlJc w:val="left"/>
      <w:pPr>
        <w:tabs>
          <w:tab w:val="num" w:pos="1800"/>
        </w:tabs>
        <w:ind w:left="1800" w:hanging="720"/>
      </w:pPr>
      <w:rPr>
        <w:rFonts w:hint="default"/>
        <w:b/>
      </w:rPr>
    </w:lvl>
    <w:lvl w:ilvl="1" w:tplc="766C8D22">
      <w:start w:val="1"/>
      <w:numFmt w:val="decimal"/>
      <w:lvlText w:val="%2."/>
      <w:lvlJc w:val="left"/>
      <w:pPr>
        <w:tabs>
          <w:tab w:val="num" w:pos="1789"/>
        </w:tabs>
        <w:ind w:left="1080" w:firstLine="0"/>
      </w:pPr>
      <w:rPr>
        <w:rFonts w:cs="Times New Roman" w:hint="default"/>
        <w:b/>
        <w:i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B517583"/>
    <w:multiLevelType w:val="hybridMultilevel"/>
    <w:tmpl w:val="CD769EBE"/>
    <w:lvl w:ilvl="0" w:tplc="377C13F0">
      <w:start w:val="1"/>
      <w:numFmt w:val="decimal"/>
      <w:lvlText w:val="(%1)"/>
      <w:lvlJc w:val="left"/>
      <w:pPr>
        <w:tabs>
          <w:tab w:val="num" w:pos="1440"/>
        </w:tabs>
        <w:ind w:left="1440" w:hanging="720"/>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B8264CE"/>
    <w:multiLevelType w:val="hybridMultilevel"/>
    <w:tmpl w:val="DCC2A1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1484C67"/>
    <w:multiLevelType w:val="hybridMultilevel"/>
    <w:tmpl w:val="8FBA4EDA"/>
    <w:lvl w:ilvl="0" w:tplc="926E143C">
      <w:start w:val="8"/>
      <w:numFmt w:val="decimal"/>
      <w:lvlText w:val="%1."/>
      <w:lvlJc w:val="left"/>
      <w:pPr>
        <w:tabs>
          <w:tab w:val="num" w:pos="1440"/>
        </w:tabs>
        <w:ind w:left="144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45F5059"/>
    <w:multiLevelType w:val="hybridMultilevel"/>
    <w:tmpl w:val="704EF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7200404"/>
    <w:multiLevelType w:val="hybridMultilevel"/>
    <w:tmpl w:val="88A6C802"/>
    <w:lvl w:ilvl="0" w:tplc="56E06554">
      <w:start w:val="1"/>
      <w:numFmt w:val="decimal"/>
      <w:lvlText w:val="%1."/>
      <w:lvlJc w:val="left"/>
      <w:pPr>
        <w:ind w:left="720" w:hanging="360"/>
      </w:pPr>
      <w:rPr>
        <w:rFonts w:ascii="Times New Roman" w:hAnsi="Times New Roman"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922143E"/>
    <w:multiLevelType w:val="hybridMultilevel"/>
    <w:tmpl w:val="9ACC22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E213659"/>
    <w:multiLevelType w:val="hybridMultilevel"/>
    <w:tmpl w:val="6F4AFE2E"/>
    <w:lvl w:ilvl="0" w:tplc="18090001">
      <w:start w:val="1"/>
      <w:numFmt w:val="bullet"/>
      <w:lvlText w:val=""/>
      <w:lvlJc w:val="left"/>
      <w:pPr>
        <w:ind w:left="1290" w:hanging="360"/>
      </w:pPr>
      <w:rPr>
        <w:rFonts w:ascii="Symbol" w:hAnsi="Symbol" w:hint="default"/>
      </w:rPr>
    </w:lvl>
    <w:lvl w:ilvl="1" w:tplc="18090003" w:tentative="1">
      <w:start w:val="1"/>
      <w:numFmt w:val="bullet"/>
      <w:lvlText w:val="o"/>
      <w:lvlJc w:val="left"/>
      <w:pPr>
        <w:ind w:left="2010" w:hanging="360"/>
      </w:pPr>
      <w:rPr>
        <w:rFonts w:ascii="Courier New" w:hAnsi="Courier New" w:cs="Courier New" w:hint="default"/>
      </w:rPr>
    </w:lvl>
    <w:lvl w:ilvl="2" w:tplc="18090005" w:tentative="1">
      <w:start w:val="1"/>
      <w:numFmt w:val="bullet"/>
      <w:lvlText w:val=""/>
      <w:lvlJc w:val="left"/>
      <w:pPr>
        <w:ind w:left="2730" w:hanging="360"/>
      </w:pPr>
      <w:rPr>
        <w:rFonts w:ascii="Wingdings" w:hAnsi="Wingdings" w:hint="default"/>
      </w:rPr>
    </w:lvl>
    <w:lvl w:ilvl="3" w:tplc="18090001" w:tentative="1">
      <w:start w:val="1"/>
      <w:numFmt w:val="bullet"/>
      <w:lvlText w:val=""/>
      <w:lvlJc w:val="left"/>
      <w:pPr>
        <w:ind w:left="3450" w:hanging="360"/>
      </w:pPr>
      <w:rPr>
        <w:rFonts w:ascii="Symbol" w:hAnsi="Symbol" w:hint="default"/>
      </w:rPr>
    </w:lvl>
    <w:lvl w:ilvl="4" w:tplc="18090003" w:tentative="1">
      <w:start w:val="1"/>
      <w:numFmt w:val="bullet"/>
      <w:lvlText w:val="o"/>
      <w:lvlJc w:val="left"/>
      <w:pPr>
        <w:ind w:left="4170" w:hanging="360"/>
      </w:pPr>
      <w:rPr>
        <w:rFonts w:ascii="Courier New" w:hAnsi="Courier New" w:cs="Courier New" w:hint="default"/>
      </w:rPr>
    </w:lvl>
    <w:lvl w:ilvl="5" w:tplc="18090005" w:tentative="1">
      <w:start w:val="1"/>
      <w:numFmt w:val="bullet"/>
      <w:lvlText w:val=""/>
      <w:lvlJc w:val="left"/>
      <w:pPr>
        <w:ind w:left="4890" w:hanging="360"/>
      </w:pPr>
      <w:rPr>
        <w:rFonts w:ascii="Wingdings" w:hAnsi="Wingdings" w:hint="default"/>
      </w:rPr>
    </w:lvl>
    <w:lvl w:ilvl="6" w:tplc="18090001" w:tentative="1">
      <w:start w:val="1"/>
      <w:numFmt w:val="bullet"/>
      <w:lvlText w:val=""/>
      <w:lvlJc w:val="left"/>
      <w:pPr>
        <w:ind w:left="5610" w:hanging="360"/>
      </w:pPr>
      <w:rPr>
        <w:rFonts w:ascii="Symbol" w:hAnsi="Symbol" w:hint="default"/>
      </w:rPr>
    </w:lvl>
    <w:lvl w:ilvl="7" w:tplc="18090003" w:tentative="1">
      <w:start w:val="1"/>
      <w:numFmt w:val="bullet"/>
      <w:lvlText w:val="o"/>
      <w:lvlJc w:val="left"/>
      <w:pPr>
        <w:ind w:left="6330" w:hanging="360"/>
      </w:pPr>
      <w:rPr>
        <w:rFonts w:ascii="Courier New" w:hAnsi="Courier New" w:cs="Courier New" w:hint="default"/>
      </w:rPr>
    </w:lvl>
    <w:lvl w:ilvl="8" w:tplc="18090005" w:tentative="1">
      <w:start w:val="1"/>
      <w:numFmt w:val="bullet"/>
      <w:lvlText w:val=""/>
      <w:lvlJc w:val="left"/>
      <w:pPr>
        <w:ind w:left="7050" w:hanging="360"/>
      </w:pPr>
      <w:rPr>
        <w:rFonts w:ascii="Wingdings" w:hAnsi="Wingdings" w:hint="default"/>
      </w:rPr>
    </w:lvl>
  </w:abstractNum>
  <w:abstractNum w:abstractNumId="39" w15:restartNumberingAfterBreak="0">
    <w:nsid w:val="6E8A6781"/>
    <w:multiLevelType w:val="hybridMultilevel"/>
    <w:tmpl w:val="F2ECD430"/>
    <w:lvl w:ilvl="0" w:tplc="F16A2FBE">
      <w:start w:val="1"/>
      <w:numFmt w:val="decimal"/>
      <w:lvlText w:val="%1."/>
      <w:lvlJc w:val="left"/>
      <w:pPr>
        <w:ind w:left="1920" w:hanging="360"/>
      </w:pPr>
      <w:rPr>
        <w:b/>
        <w:i w:val="0"/>
        <w:sz w:val="24"/>
        <w:szCs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F8A3E0F"/>
    <w:multiLevelType w:val="hybridMultilevel"/>
    <w:tmpl w:val="2D06A3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6FDF1A60"/>
    <w:multiLevelType w:val="hybridMultilevel"/>
    <w:tmpl w:val="5900E432"/>
    <w:lvl w:ilvl="0" w:tplc="766C8D22">
      <w:start w:val="1"/>
      <w:numFmt w:val="decimal"/>
      <w:lvlText w:val="%1."/>
      <w:lvlJc w:val="left"/>
      <w:pPr>
        <w:tabs>
          <w:tab w:val="num" w:pos="709"/>
        </w:tabs>
        <w:ind w:left="0" w:firstLine="0"/>
      </w:pPr>
      <w:rPr>
        <w:rFonts w:cs="Times New Roman" w:hint="default"/>
        <w:b/>
        <w:i w:val="0"/>
      </w:rPr>
    </w:lvl>
    <w:lvl w:ilvl="1" w:tplc="08090001">
      <w:start w:val="1"/>
      <w:numFmt w:val="bullet"/>
      <w:lvlText w:val=""/>
      <w:lvlJc w:val="left"/>
      <w:pPr>
        <w:tabs>
          <w:tab w:val="num" w:pos="1440"/>
        </w:tabs>
        <w:ind w:left="1440" w:hanging="360"/>
      </w:pPr>
      <w:rPr>
        <w:rFonts w:ascii="Symbol" w:hAnsi="Symbol" w:hint="default"/>
        <w:b/>
        <w:i w:val="0"/>
      </w:rPr>
    </w:lvl>
    <w:lvl w:ilvl="2" w:tplc="A984AA0E">
      <w:start w:val="1"/>
      <w:numFmt w:val="lowerRoman"/>
      <w:lvlText w:val="(%3)"/>
      <w:lvlJc w:val="left"/>
      <w:pPr>
        <w:tabs>
          <w:tab w:val="num" w:pos="2700"/>
        </w:tabs>
        <w:ind w:left="2700" w:hanging="72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2" w15:restartNumberingAfterBreak="0">
    <w:nsid w:val="764053AC"/>
    <w:multiLevelType w:val="multilevel"/>
    <w:tmpl w:val="3626A508"/>
    <w:lvl w:ilvl="0">
      <w:start w:val="1"/>
      <w:numFmt w:val="decimal"/>
      <w:lvlText w:val="(%1)"/>
      <w:lvlJc w:val="left"/>
      <w:pPr>
        <w:tabs>
          <w:tab w:val="num" w:pos="1134"/>
        </w:tabs>
        <w:ind w:left="1134" w:hanging="567"/>
      </w:pPr>
      <w:rPr>
        <w:rFonts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B30463C"/>
    <w:multiLevelType w:val="hybridMultilevel"/>
    <w:tmpl w:val="78F24440"/>
    <w:lvl w:ilvl="0" w:tplc="18090011">
      <w:start w:val="1"/>
      <w:numFmt w:val="decimal"/>
      <w:lvlText w:val="%1)"/>
      <w:lvlJc w:val="left"/>
      <w:pPr>
        <w:ind w:left="1290" w:hanging="360"/>
      </w:pPr>
    </w:lvl>
    <w:lvl w:ilvl="1" w:tplc="18090019" w:tentative="1">
      <w:start w:val="1"/>
      <w:numFmt w:val="lowerLetter"/>
      <w:lvlText w:val="%2."/>
      <w:lvlJc w:val="left"/>
      <w:pPr>
        <w:ind w:left="2010" w:hanging="360"/>
      </w:pPr>
    </w:lvl>
    <w:lvl w:ilvl="2" w:tplc="1809001B" w:tentative="1">
      <w:start w:val="1"/>
      <w:numFmt w:val="lowerRoman"/>
      <w:lvlText w:val="%3."/>
      <w:lvlJc w:val="right"/>
      <w:pPr>
        <w:ind w:left="2730" w:hanging="180"/>
      </w:pPr>
    </w:lvl>
    <w:lvl w:ilvl="3" w:tplc="1809000F" w:tentative="1">
      <w:start w:val="1"/>
      <w:numFmt w:val="decimal"/>
      <w:lvlText w:val="%4."/>
      <w:lvlJc w:val="left"/>
      <w:pPr>
        <w:ind w:left="3450" w:hanging="360"/>
      </w:pPr>
    </w:lvl>
    <w:lvl w:ilvl="4" w:tplc="18090019" w:tentative="1">
      <w:start w:val="1"/>
      <w:numFmt w:val="lowerLetter"/>
      <w:lvlText w:val="%5."/>
      <w:lvlJc w:val="left"/>
      <w:pPr>
        <w:ind w:left="4170" w:hanging="360"/>
      </w:pPr>
    </w:lvl>
    <w:lvl w:ilvl="5" w:tplc="1809001B" w:tentative="1">
      <w:start w:val="1"/>
      <w:numFmt w:val="lowerRoman"/>
      <w:lvlText w:val="%6."/>
      <w:lvlJc w:val="right"/>
      <w:pPr>
        <w:ind w:left="4890" w:hanging="180"/>
      </w:pPr>
    </w:lvl>
    <w:lvl w:ilvl="6" w:tplc="1809000F" w:tentative="1">
      <w:start w:val="1"/>
      <w:numFmt w:val="decimal"/>
      <w:lvlText w:val="%7."/>
      <w:lvlJc w:val="left"/>
      <w:pPr>
        <w:ind w:left="5610" w:hanging="360"/>
      </w:pPr>
    </w:lvl>
    <w:lvl w:ilvl="7" w:tplc="18090019" w:tentative="1">
      <w:start w:val="1"/>
      <w:numFmt w:val="lowerLetter"/>
      <w:lvlText w:val="%8."/>
      <w:lvlJc w:val="left"/>
      <w:pPr>
        <w:ind w:left="6330" w:hanging="360"/>
      </w:pPr>
    </w:lvl>
    <w:lvl w:ilvl="8" w:tplc="1809001B" w:tentative="1">
      <w:start w:val="1"/>
      <w:numFmt w:val="lowerRoman"/>
      <w:lvlText w:val="%9."/>
      <w:lvlJc w:val="right"/>
      <w:pPr>
        <w:ind w:left="7050" w:hanging="180"/>
      </w:pPr>
    </w:lvl>
  </w:abstractNum>
  <w:abstractNum w:abstractNumId="44" w15:restartNumberingAfterBreak="0">
    <w:nsid w:val="7ED91291"/>
    <w:multiLevelType w:val="hybridMultilevel"/>
    <w:tmpl w:val="01D0084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19"/>
  </w:num>
  <w:num w:numId="4">
    <w:abstractNumId w:val="26"/>
  </w:num>
  <w:num w:numId="5">
    <w:abstractNumId w:val="11"/>
  </w:num>
  <w:num w:numId="6">
    <w:abstractNumId w:val="30"/>
  </w:num>
  <w:num w:numId="7">
    <w:abstractNumId w:val="6"/>
  </w:num>
  <w:num w:numId="8">
    <w:abstractNumId w:val="41"/>
  </w:num>
  <w:num w:numId="9">
    <w:abstractNumId w:val="8"/>
  </w:num>
  <w:num w:numId="10">
    <w:abstractNumId w:val="25"/>
  </w:num>
  <w:num w:numId="11">
    <w:abstractNumId w:val="15"/>
  </w:num>
  <w:num w:numId="12">
    <w:abstractNumId w:val="5"/>
  </w:num>
  <w:num w:numId="13">
    <w:abstractNumId w:val="42"/>
  </w:num>
  <w:num w:numId="14">
    <w:abstractNumId w:val="22"/>
  </w:num>
  <w:num w:numId="15">
    <w:abstractNumId w:val="20"/>
  </w:num>
  <w:num w:numId="16">
    <w:abstractNumId w:val="32"/>
  </w:num>
  <w:num w:numId="17">
    <w:abstractNumId w:val="34"/>
  </w:num>
  <w:num w:numId="18">
    <w:abstractNumId w:val="31"/>
  </w:num>
  <w:num w:numId="19">
    <w:abstractNumId w:val="14"/>
  </w:num>
  <w:num w:numId="20">
    <w:abstractNumId w:val="1"/>
  </w:num>
  <w:num w:numId="21">
    <w:abstractNumId w:val="24"/>
  </w:num>
  <w:num w:numId="22">
    <w:abstractNumId w:val="40"/>
  </w:num>
  <w:num w:numId="23">
    <w:abstractNumId w:val="39"/>
  </w:num>
  <w:num w:numId="24">
    <w:abstractNumId w:val="3"/>
  </w:num>
  <w:num w:numId="25">
    <w:abstractNumId w:val="18"/>
  </w:num>
  <w:num w:numId="26">
    <w:abstractNumId w:val="33"/>
  </w:num>
  <w:num w:numId="27">
    <w:abstractNumId w:val="9"/>
  </w:num>
  <w:num w:numId="28">
    <w:abstractNumId w:val="37"/>
  </w:num>
  <w:num w:numId="29">
    <w:abstractNumId w:val="35"/>
  </w:num>
  <w:num w:numId="30">
    <w:abstractNumId w:val="13"/>
  </w:num>
  <w:num w:numId="31">
    <w:abstractNumId w:val="29"/>
  </w:num>
  <w:num w:numId="32">
    <w:abstractNumId w:val="36"/>
  </w:num>
  <w:num w:numId="33">
    <w:abstractNumId w:val="27"/>
  </w:num>
  <w:num w:numId="34">
    <w:abstractNumId w:val="21"/>
  </w:num>
  <w:num w:numId="35">
    <w:abstractNumId w:val="43"/>
  </w:num>
  <w:num w:numId="36">
    <w:abstractNumId w:val="4"/>
  </w:num>
  <w:num w:numId="37">
    <w:abstractNumId w:val="44"/>
  </w:num>
  <w:num w:numId="38">
    <w:abstractNumId w:val="28"/>
  </w:num>
  <w:num w:numId="39">
    <w:abstractNumId w:val="17"/>
  </w:num>
  <w:num w:numId="40">
    <w:abstractNumId w:val="23"/>
  </w:num>
  <w:num w:numId="41">
    <w:abstractNumId w:val="16"/>
  </w:num>
  <w:num w:numId="42">
    <w:abstractNumId w:val="2"/>
  </w:num>
  <w:num w:numId="43">
    <w:abstractNumId w:val="7"/>
  </w:num>
  <w:num w:numId="44">
    <w:abstractNumId w:val="38"/>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34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22F"/>
    <w:rsid w:val="0000173B"/>
    <w:rsid w:val="000033C9"/>
    <w:rsid w:val="00003AAD"/>
    <w:rsid w:val="000056A2"/>
    <w:rsid w:val="00006DB4"/>
    <w:rsid w:val="00007C3A"/>
    <w:rsid w:val="00012E6A"/>
    <w:rsid w:val="0001403A"/>
    <w:rsid w:val="00014ED5"/>
    <w:rsid w:val="00015C74"/>
    <w:rsid w:val="00016377"/>
    <w:rsid w:val="00016FDE"/>
    <w:rsid w:val="00017638"/>
    <w:rsid w:val="000178F0"/>
    <w:rsid w:val="00017AFD"/>
    <w:rsid w:val="00021D42"/>
    <w:rsid w:val="0002247F"/>
    <w:rsid w:val="00023A38"/>
    <w:rsid w:val="00024AAE"/>
    <w:rsid w:val="0002522E"/>
    <w:rsid w:val="00025B35"/>
    <w:rsid w:val="00031F7E"/>
    <w:rsid w:val="00032526"/>
    <w:rsid w:val="00033608"/>
    <w:rsid w:val="00037935"/>
    <w:rsid w:val="0004045D"/>
    <w:rsid w:val="00040663"/>
    <w:rsid w:val="000417F3"/>
    <w:rsid w:val="0004522F"/>
    <w:rsid w:val="000452A7"/>
    <w:rsid w:val="0004534E"/>
    <w:rsid w:val="000475C5"/>
    <w:rsid w:val="0005581F"/>
    <w:rsid w:val="000562D3"/>
    <w:rsid w:val="0005695E"/>
    <w:rsid w:val="00056A79"/>
    <w:rsid w:val="00056C4D"/>
    <w:rsid w:val="00057A18"/>
    <w:rsid w:val="00060DCC"/>
    <w:rsid w:val="00061C08"/>
    <w:rsid w:val="00062DE8"/>
    <w:rsid w:val="00064D38"/>
    <w:rsid w:val="0006722C"/>
    <w:rsid w:val="00067ACD"/>
    <w:rsid w:val="00070196"/>
    <w:rsid w:val="00070295"/>
    <w:rsid w:val="0007088E"/>
    <w:rsid w:val="00070F63"/>
    <w:rsid w:val="00071079"/>
    <w:rsid w:val="00071093"/>
    <w:rsid w:val="00072855"/>
    <w:rsid w:val="00072DC3"/>
    <w:rsid w:val="00073750"/>
    <w:rsid w:val="00074273"/>
    <w:rsid w:val="00074608"/>
    <w:rsid w:val="0007512D"/>
    <w:rsid w:val="00075C01"/>
    <w:rsid w:val="000805F1"/>
    <w:rsid w:val="00080850"/>
    <w:rsid w:val="000809BD"/>
    <w:rsid w:val="00086470"/>
    <w:rsid w:val="00090618"/>
    <w:rsid w:val="000913D5"/>
    <w:rsid w:val="00091453"/>
    <w:rsid w:val="00091881"/>
    <w:rsid w:val="0009202C"/>
    <w:rsid w:val="00095828"/>
    <w:rsid w:val="000959D3"/>
    <w:rsid w:val="00096C2E"/>
    <w:rsid w:val="000A1CBB"/>
    <w:rsid w:val="000A1CEF"/>
    <w:rsid w:val="000A26A6"/>
    <w:rsid w:val="000A3931"/>
    <w:rsid w:val="000A52C8"/>
    <w:rsid w:val="000A681F"/>
    <w:rsid w:val="000A7788"/>
    <w:rsid w:val="000A7B1F"/>
    <w:rsid w:val="000A7DF7"/>
    <w:rsid w:val="000B1651"/>
    <w:rsid w:val="000B19F8"/>
    <w:rsid w:val="000B1DD0"/>
    <w:rsid w:val="000B2413"/>
    <w:rsid w:val="000B2FBB"/>
    <w:rsid w:val="000B3330"/>
    <w:rsid w:val="000B341B"/>
    <w:rsid w:val="000B3D54"/>
    <w:rsid w:val="000B60CF"/>
    <w:rsid w:val="000C15FE"/>
    <w:rsid w:val="000C3F8D"/>
    <w:rsid w:val="000C5658"/>
    <w:rsid w:val="000C6D93"/>
    <w:rsid w:val="000C729B"/>
    <w:rsid w:val="000C7323"/>
    <w:rsid w:val="000C74B6"/>
    <w:rsid w:val="000C74EE"/>
    <w:rsid w:val="000C7C00"/>
    <w:rsid w:val="000D0CDD"/>
    <w:rsid w:val="000D2157"/>
    <w:rsid w:val="000D376A"/>
    <w:rsid w:val="000D4844"/>
    <w:rsid w:val="000D4D8D"/>
    <w:rsid w:val="000D6B07"/>
    <w:rsid w:val="000D7E19"/>
    <w:rsid w:val="000E0398"/>
    <w:rsid w:val="000E0940"/>
    <w:rsid w:val="000E09EA"/>
    <w:rsid w:val="000E14B2"/>
    <w:rsid w:val="000E1ACD"/>
    <w:rsid w:val="000E2F22"/>
    <w:rsid w:val="000E444B"/>
    <w:rsid w:val="000E506E"/>
    <w:rsid w:val="000E6DD8"/>
    <w:rsid w:val="000E7982"/>
    <w:rsid w:val="000E7D8D"/>
    <w:rsid w:val="000F0A14"/>
    <w:rsid w:val="000F0C8B"/>
    <w:rsid w:val="000F1CF9"/>
    <w:rsid w:val="000F22A6"/>
    <w:rsid w:val="000F523B"/>
    <w:rsid w:val="000F5D29"/>
    <w:rsid w:val="00100211"/>
    <w:rsid w:val="00100661"/>
    <w:rsid w:val="00101B92"/>
    <w:rsid w:val="0010316D"/>
    <w:rsid w:val="00103FFB"/>
    <w:rsid w:val="0010505A"/>
    <w:rsid w:val="00105579"/>
    <w:rsid w:val="00110012"/>
    <w:rsid w:val="00110EBB"/>
    <w:rsid w:val="001112D2"/>
    <w:rsid w:val="00111611"/>
    <w:rsid w:val="001116AA"/>
    <w:rsid w:val="0011216F"/>
    <w:rsid w:val="0011341C"/>
    <w:rsid w:val="00113524"/>
    <w:rsid w:val="00114E1D"/>
    <w:rsid w:val="00114F80"/>
    <w:rsid w:val="001159EF"/>
    <w:rsid w:val="00117FA4"/>
    <w:rsid w:val="00120958"/>
    <w:rsid w:val="00120C11"/>
    <w:rsid w:val="00121512"/>
    <w:rsid w:val="0012163D"/>
    <w:rsid w:val="00121AEC"/>
    <w:rsid w:val="00125ECE"/>
    <w:rsid w:val="00125F3F"/>
    <w:rsid w:val="00126C0A"/>
    <w:rsid w:val="00131192"/>
    <w:rsid w:val="001312DC"/>
    <w:rsid w:val="00134D68"/>
    <w:rsid w:val="0013506D"/>
    <w:rsid w:val="001352C9"/>
    <w:rsid w:val="0013588C"/>
    <w:rsid w:val="00135A24"/>
    <w:rsid w:val="001369F4"/>
    <w:rsid w:val="001462FC"/>
    <w:rsid w:val="00146421"/>
    <w:rsid w:val="00150964"/>
    <w:rsid w:val="00151AA3"/>
    <w:rsid w:val="00151DF9"/>
    <w:rsid w:val="00152DDC"/>
    <w:rsid w:val="001537F3"/>
    <w:rsid w:val="00153DC4"/>
    <w:rsid w:val="001543A3"/>
    <w:rsid w:val="00154AB2"/>
    <w:rsid w:val="00160B00"/>
    <w:rsid w:val="001612EE"/>
    <w:rsid w:val="00161AC6"/>
    <w:rsid w:val="001620F5"/>
    <w:rsid w:val="001627D8"/>
    <w:rsid w:val="00162CDD"/>
    <w:rsid w:val="00164BE4"/>
    <w:rsid w:val="00164F0B"/>
    <w:rsid w:val="00166CF5"/>
    <w:rsid w:val="001671BA"/>
    <w:rsid w:val="001671C9"/>
    <w:rsid w:val="00171244"/>
    <w:rsid w:val="00173804"/>
    <w:rsid w:val="00173FDC"/>
    <w:rsid w:val="0017442D"/>
    <w:rsid w:val="00177C01"/>
    <w:rsid w:val="00180DD1"/>
    <w:rsid w:val="001832AA"/>
    <w:rsid w:val="00190B9C"/>
    <w:rsid w:val="001919B3"/>
    <w:rsid w:val="00191D09"/>
    <w:rsid w:val="00191DAA"/>
    <w:rsid w:val="001921CA"/>
    <w:rsid w:val="00192543"/>
    <w:rsid w:val="00195ED0"/>
    <w:rsid w:val="00196050"/>
    <w:rsid w:val="00197C26"/>
    <w:rsid w:val="001A2D5A"/>
    <w:rsid w:val="001A3016"/>
    <w:rsid w:val="001A3BB1"/>
    <w:rsid w:val="001A5E82"/>
    <w:rsid w:val="001A73CF"/>
    <w:rsid w:val="001A7C4E"/>
    <w:rsid w:val="001A7F00"/>
    <w:rsid w:val="001B0265"/>
    <w:rsid w:val="001B091D"/>
    <w:rsid w:val="001B0FF6"/>
    <w:rsid w:val="001B2063"/>
    <w:rsid w:val="001B2512"/>
    <w:rsid w:val="001B3E87"/>
    <w:rsid w:val="001B3E9A"/>
    <w:rsid w:val="001B464E"/>
    <w:rsid w:val="001B4BBF"/>
    <w:rsid w:val="001B6DDE"/>
    <w:rsid w:val="001B729B"/>
    <w:rsid w:val="001C0268"/>
    <w:rsid w:val="001C2E35"/>
    <w:rsid w:val="001C3157"/>
    <w:rsid w:val="001C345A"/>
    <w:rsid w:val="001D0DCD"/>
    <w:rsid w:val="001D6233"/>
    <w:rsid w:val="001D6B3F"/>
    <w:rsid w:val="001D6D2B"/>
    <w:rsid w:val="001D6E30"/>
    <w:rsid w:val="001D74BD"/>
    <w:rsid w:val="001D77A6"/>
    <w:rsid w:val="001E182A"/>
    <w:rsid w:val="001E2199"/>
    <w:rsid w:val="001E36F0"/>
    <w:rsid w:val="001E4027"/>
    <w:rsid w:val="001E43FD"/>
    <w:rsid w:val="001E4A0D"/>
    <w:rsid w:val="001E4B48"/>
    <w:rsid w:val="001E56BE"/>
    <w:rsid w:val="001E5C8B"/>
    <w:rsid w:val="001F0896"/>
    <w:rsid w:val="001F0BEB"/>
    <w:rsid w:val="001F1A08"/>
    <w:rsid w:val="001F2BB2"/>
    <w:rsid w:val="001F2D94"/>
    <w:rsid w:val="001F4632"/>
    <w:rsid w:val="001F47AE"/>
    <w:rsid w:val="001F5946"/>
    <w:rsid w:val="001F5F15"/>
    <w:rsid w:val="00201900"/>
    <w:rsid w:val="00202ABC"/>
    <w:rsid w:val="00204E8E"/>
    <w:rsid w:val="00207AB3"/>
    <w:rsid w:val="00211AF6"/>
    <w:rsid w:val="00213DD3"/>
    <w:rsid w:val="0021623A"/>
    <w:rsid w:val="00217DA4"/>
    <w:rsid w:val="00220546"/>
    <w:rsid w:val="002222C5"/>
    <w:rsid w:val="00223D76"/>
    <w:rsid w:val="00225A0E"/>
    <w:rsid w:val="00227B60"/>
    <w:rsid w:val="00230270"/>
    <w:rsid w:val="00232EAD"/>
    <w:rsid w:val="00233CA7"/>
    <w:rsid w:val="0023494E"/>
    <w:rsid w:val="00234C86"/>
    <w:rsid w:val="00236EA3"/>
    <w:rsid w:val="0023707A"/>
    <w:rsid w:val="00245420"/>
    <w:rsid w:val="002459FD"/>
    <w:rsid w:val="00245FCD"/>
    <w:rsid w:val="00247A67"/>
    <w:rsid w:val="002501D6"/>
    <w:rsid w:val="00251663"/>
    <w:rsid w:val="00251A37"/>
    <w:rsid w:val="00251D0A"/>
    <w:rsid w:val="00254FCA"/>
    <w:rsid w:val="002558DA"/>
    <w:rsid w:val="0025591C"/>
    <w:rsid w:val="002565D3"/>
    <w:rsid w:val="002566BF"/>
    <w:rsid w:val="002568A8"/>
    <w:rsid w:val="00260881"/>
    <w:rsid w:val="00260A42"/>
    <w:rsid w:val="00264440"/>
    <w:rsid w:val="0026516A"/>
    <w:rsid w:val="00265C33"/>
    <w:rsid w:val="002706CE"/>
    <w:rsid w:val="0027145D"/>
    <w:rsid w:val="002730FA"/>
    <w:rsid w:val="00276168"/>
    <w:rsid w:val="002761AF"/>
    <w:rsid w:val="00276A2D"/>
    <w:rsid w:val="00277622"/>
    <w:rsid w:val="00277978"/>
    <w:rsid w:val="0028106F"/>
    <w:rsid w:val="002825DF"/>
    <w:rsid w:val="00282C7F"/>
    <w:rsid w:val="0028303B"/>
    <w:rsid w:val="00285531"/>
    <w:rsid w:val="00287EF9"/>
    <w:rsid w:val="00290301"/>
    <w:rsid w:val="00290A5E"/>
    <w:rsid w:val="0029103F"/>
    <w:rsid w:val="00291576"/>
    <w:rsid w:val="00291CDB"/>
    <w:rsid w:val="00292095"/>
    <w:rsid w:val="00292DA2"/>
    <w:rsid w:val="00293076"/>
    <w:rsid w:val="002935AF"/>
    <w:rsid w:val="00293E3C"/>
    <w:rsid w:val="0029550B"/>
    <w:rsid w:val="00296830"/>
    <w:rsid w:val="0029693C"/>
    <w:rsid w:val="00296A8D"/>
    <w:rsid w:val="00296D36"/>
    <w:rsid w:val="0029748C"/>
    <w:rsid w:val="00297C49"/>
    <w:rsid w:val="002A0E0A"/>
    <w:rsid w:val="002A0E1C"/>
    <w:rsid w:val="002A265E"/>
    <w:rsid w:val="002A3A03"/>
    <w:rsid w:val="002A3CE0"/>
    <w:rsid w:val="002A58C0"/>
    <w:rsid w:val="002A6221"/>
    <w:rsid w:val="002A62D0"/>
    <w:rsid w:val="002A6E11"/>
    <w:rsid w:val="002A760B"/>
    <w:rsid w:val="002B05D8"/>
    <w:rsid w:val="002B7BA0"/>
    <w:rsid w:val="002C174D"/>
    <w:rsid w:val="002C1A4C"/>
    <w:rsid w:val="002C1F6E"/>
    <w:rsid w:val="002C2F14"/>
    <w:rsid w:val="002C5E68"/>
    <w:rsid w:val="002C67E2"/>
    <w:rsid w:val="002C7244"/>
    <w:rsid w:val="002D0699"/>
    <w:rsid w:val="002D0F2A"/>
    <w:rsid w:val="002D1918"/>
    <w:rsid w:val="002D5846"/>
    <w:rsid w:val="002D5E30"/>
    <w:rsid w:val="002D620C"/>
    <w:rsid w:val="002D67D1"/>
    <w:rsid w:val="002D7825"/>
    <w:rsid w:val="002D7FF3"/>
    <w:rsid w:val="002E0C20"/>
    <w:rsid w:val="002E1A2D"/>
    <w:rsid w:val="002E2200"/>
    <w:rsid w:val="002E2452"/>
    <w:rsid w:val="002E2BF7"/>
    <w:rsid w:val="002E3C1E"/>
    <w:rsid w:val="002E4154"/>
    <w:rsid w:val="002E4E04"/>
    <w:rsid w:val="002E53B4"/>
    <w:rsid w:val="002E654C"/>
    <w:rsid w:val="002E699A"/>
    <w:rsid w:val="002E76F0"/>
    <w:rsid w:val="002F13F4"/>
    <w:rsid w:val="002F163D"/>
    <w:rsid w:val="002F35F7"/>
    <w:rsid w:val="002F3D10"/>
    <w:rsid w:val="002F4895"/>
    <w:rsid w:val="002F4EE9"/>
    <w:rsid w:val="002F5DEB"/>
    <w:rsid w:val="002F6761"/>
    <w:rsid w:val="002F78EA"/>
    <w:rsid w:val="00300854"/>
    <w:rsid w:val="00303F03"/>
    <w:rsid w:val="003051DE"/>
    <w:rsid w:val="0030544A"/>
    <w:rsid w:val="0031015C"/>
    <w:rsid w:val="003101D9"/>
    <w:rsid w:val="00310F9A"/>
    <w:rsid w:val="00311471"/>
    <w:rsid w:val="00314B14"/>
    <w:rsid w:val="00314DC8"/>
    <w:rsid w:val="00315210"/>
    <w:rsid w:val="00315356"/>
    <w:rsid w:val="003154ED"/>
    <w:rsid w:val="00316845"/>
    <w:rsid w:val="00320137"/>
    <w:rsid w:val="003215A2"/>
    <w:rsid w:val="003223A7"/>
    <w:rsid w:val="00322FC3"/>
    <w:rsid w:val="00324E4A"/>
    <w:rsid w:val="003250F5"/>
    <w:rsid w:val="00326730"/>
    <w:rsid w:val="00327A0E"/>
    <w:rsid w:val="00327C86"/>
    <w:rsid w:val="00331C24"/>
    <w:rsid w:val="00332E61"/>
    <w:rsid w:val="003332B6"/>
    <w:rsid w:val="00333BB8"/>
    <w:rsid w:val="00334502"/>
    <w:rsid w:val="00336F24"/>
    <w:rsid w:val="00337A45"/>
    <w:rsid w:val="00340527"/>
    <w:rsid w:val="00340AA5"/>
    <w:rsid w:val="003415AD"/>
    <w:rsid w:val="0034204B"/>
    <w:rsid w:val="003448C8"/>
    <w:rsid w:val="00345793"/>
    <w:rsid w:val="0034698E"/>
    <w:rsid w:val="00347551"/>
    <w:rsid w:val="003512CB"/>
    <w:rsid w:val="00351CE5"/>
    <w:rsid w:val="003520DC"/>
    <w:rsid w:val="00352AFD"/>
    <w:rsid w:val="003551E5"/>
    <w:rsid w:val="00356055"/>
    <w:rsid w:val="00357797"/>
    <w:rsid w:val="00365847"/>
    <w:rsid w:val="003674E4"/>
    <w:rsid w:val="00371CC2"/>
    <w:rsid w:val="00374ACC"/>
    <w:rsid w:val="003750F1"/>
    <w:rsid w:val="003756BE"/>
    <w:rsid w:val="00376F3E"/>
    <w:rsid w:val="00377574"/>
    <w:rsid w:val="00383BF4"/>
    <w:rsid w:val="00384041"/>
    <w:rsid w:val="003848BF"/>
    <w:rsid w:val="00384D61"/>
    <w:rsid w:val="003869E8"/>
    <w:rsid w:val="003874C8"/>
    <w:rsid w:val="003911E3"/>
    <w:rsid w:val="00391BA8"/>
    <w:rsid w:val="0039252E"/>
    <w:rsid w:val="00393330"/>
    <w:rsid w:val="00396443"/>
    <w:rsid w:val="00396F25"/>
    <w:rsid w:val="00397AA8"/>
    <w:rsid w:val="00397AB6"/>
    <w:rsid w:val="003A050C"/>
    <w:rsid w:val="003A1CED"/>
    <w:rsid w:val="003A2486"/>
    <w:rsid w:val="003A2609"/>
    <w:rsid w:val="003A53A4"/>
    <w:rsid w:val="003A5883"/>
    <w:rsid w:val="003A667A"/>
    <w:rsid w:val="003A7C84"/>
    <w:rsid w:val="003B079B"/>
    <w:rsid w:val="003B25DE"/>
    <w:rsid w:val="003B351E"/>
    <w:rsid w:val="003B5286"/>
    <w:rsid w:val="003B5C73"/>
    <w:rsid w:val="003C092D"/>
    <w:rsid w:val="003C2FEC"/>
    <w:rsid w:val="003C4E3A"/>
    <w:rsid w:val="003C5C57"/>
    <w:rsid w:val="003C765C"/>
    <w:rsid w:val="003D068C"/>
    <w:rsid w:val="003D2EFA"/>
    <w:rsid w:val="003D3345"/>
    <w:rsid w:val="003D43A3"/>
    <w:rsid w:val="003D5393"/>
    <w:rsid w:val="003D57EE"/>
    <w:rsid w:val="003D697B"/>
    <w:rsid w:val="003D7D9B"/>
    <w:rsid w:val="003E0F83"/>
    <w:rsid w:val="003E29B3"/>
    <w:rsid w:val="003E2E6E"/>
    <w:rsid w:val="003E4226"/>
    <w:rsid w:val="003E7D59"/>
    <w:rsid w:val="003E7E98"/>
    <w:rsid w:val="003F0613"/>
    <w:rsid w:val="003F1EF1"/>
    <w:rsid w:val="003F329D"/>
    <w:rsid w:val="003F54E5"/>
    <w:rsid w:val="00400B11"/>
    <w:rsid w:val="00400D58"/>
    <w:rsid w:val="00402399"/>
    <w:rsid w:val="004027F5"/>
    <w:rsid w:val="00402B8B"/>
    <w:rsid w:val="0040424B"/>
    <w:rsid w:val="00404254"/>
    <w:rsid w:val="004048C7"/>
    <w:rsid w:val="00404A2A"/>
    <w:rsid w:val="0040536C"/>
    <w:rsid w:val="00412269"/>
    <w:rsid w:val="004138D0"/>
    <w:rsid w:val="00416026"/>
    <w:rsid w:val="004166BB"/>
    <w:rsid w:val="00416B72"/>
    <w:rsid w:val="004209C1"/>
    <w:rsid w:val="00420AF7"/>
    <w:rsid w:val="00421017"/>
    <w:rsid w:val="00422895"/>
    <w:rsid w:val="0042339D"/>
    <w:rsid w:val="004234C2"/>
    <w:rsid w:val="0042428B"/>
    <w:rsid w:val="00425883"/>
    <w:rsid w:val="00426A99"/>
    <w:rsid w:val="004301EC"/>
    <w:rsid w:val="004306D0"/>
    <w:rsid w:val="00430991"/>
    <w:rsid w:val="00431BDE"/>
    <w:rsid w:val="00431DB8"/>
    <w:rsid w:val="00433BDA"/>
    <w:rsid w:val="00435019"/>
    <w:rsid w:val="004352B4"/>
    <w:rsid w:val="00435B29"/>
    <w:rsid w:val="00435CA3"/>
    <w:rsid w:val="00436540"/>
    <w:rsid w:val="004377BB"/>
    <w:rsid w:val="00437B3B"/>
    <w:rsid w:val="0044006C"/>
    <w:rsid w:val="0044145E"/>
    <w:rsid w:val="0044390D"/>
    <w:rsid w:val="00444BFC"/>
    <w:rsid w:val="004450EB"/>
    <w:rsid w:val="00446972"/>
    <w:rsid w:val="00446B72"/>
    <w:rsid w:val="004505E7"/>
    <w:rsid w:val="004516FC"/>
    <w:rsid w:val="004517B5"/>
    <w:rsid w:val="00451FAE"/>
    <w:rsid w:val="00453A50"/>
    <w:rsid w:val="00456BF5"/>
    <w:rsid w:val="00457091"/>
    <w:rsid w:val="0045799E"/>
    <w:rsid w:val="00457A91"/>
    <w:rsid w:val="00457D49"/>
    <w:rsid w:val="004611CC"/>
    <w:rsid w:val="00461DD2"/>
    <w:rsid w:val="00462440"/>
    <w:rsid w:val="0046378A"/>
    <w:rsid w:val="0046439E"/>
    <w:rsid w:val="00464DFA"/>
    <w:rsid w:val="00464E3A"/>
    <w:rsid w:val="00466569"/>
    <w:rsid w:val="0046721E"/>
    <w:rsid w:val="00470A40"/>
    <w:rsid w:val="00470E67"/>
    <w:rsid w:val="00470F68"/>
    <w:rsid w:val="00470FEE"/>
    <w:rsid w:val="004717A1"/>
    <w:rsid w:val="004727A9"/>
    <w:rsid w:val="00474614"/>
    <w:rsid w:val="00475935"/>
    <w:rsid w:val="00476FC5"/>
    <w:rsid w:val="00481277"/>
    <w:rsid w:val="00483E3A"/>
    <w:rsid w:val="0048464E"/>
    <w:rsid w:val="00484AF6"/>
    <w:rsid w:val="00484EB6"/>
    <w:rsid w:val="00485738"/>
    <w:rsid w:val="00486A7D"/>
    <w:rsid w:val="00487F44"/>
    <w:rsid w:val="00490128"/>
    <w:rsid w:val="00490D65"/>
    <w:rsid w:val="00492620"/>
    <w:rsid w:val="004927BD"/>
    <w:rsid w:val="00495A56"/>
    <w:rsid w:val="00497443"/>
    <w:rsid w:val="00497536"/>
    <w:rsid w:val="004A1B57"/>
    <w:rsid w:val="004A1BF7"/>
    <w:rsid w:val="004A2B2B"/>
    <w:rsid w:val="004A3439"/>
    <w:rsid w:val="004A38AE"/>
    <w:rsid w:val="004B1940"/>
    <w:rsid w:val="004B1BEE"/>
    <w:rsid w:val="004B244A"/>
    <w:rsid w:val="004B3AD7"/>
    <w:rsid w:val="004B441B"/>
    <w:rsid w:val="004B44ED"/>
    <w:rsid w:val="004B4586"/>
    <w:rsid w:val="004B5309"/>
    <w:rsid w:val="004C08FB"/>
    <w:rsid w:val="004C1019"/>
    <w:rsid w:val="004C1DD8"/>
    <w:rsid w:val="004C2C81"/>
    <w:rsid w:val="004C2F06"/>
    <w:rsid w:val="004C3319"/>
    <w:rsid w:val="004C3ED7"/>
    <w:rsid w:val="004C49B5"/>
    <w:rsid w:val="004C5B26"/>
    <w:rsid w:val="004C5D29"/>
    <w:rsid w:val="004C6832"/>
    <w:rsid w:val="004C727E"/>
    <w:rsid w:val="004C78A5"/>
    <w:rsid w:val="004C7F15"/>
    <w:rsid w:val="004D0574"/>
    <w:rsid w:val="004D2A32"/>
    <w:rsid w:val="004D399A"/>
    <w:rsid w:val="004D3AFE"/>
    <w:rsid w:val="004D41F9"/>
    <w:rsid w:val="004D4331"/>
    <w:rsid w:val="004D559D"/>
    <w:rsid w:val="004D5746"/>
    <w:rsid w:val="004D5E32"/>
    <w:rsid w:val="004D6307"/>
    <w:rsid w:val="004D729F"/>
    <w:rsid w:val="004D7562"/>
    <w:rsid w:val="004D773F"/>
    <w:rsid w:val="004D7C98"/>
    <w:rsid w:val="004E0E76"/>
    <w:rsid w:val="004E4BB0"/>
    <w:rsid w:val="004E5D20"/>
    <w:rsid w:val="004E763F"/>
    <w:rsid w:val="004E7929"/>
    <w:rsid w:val="004F0CBB"/>
    <w:rsid w:val="004F4379"/>
    <w:rsid w:val="004F4D1C"/>
    <w:rsid w:val="004F5824"/>
    <w:rsid w:val="004F69C1"/>
    <w:rsid w:val="004F776B"/>
    <w:rsid w:val="004F7871"/>
    <w:rsid w:val="00503108"/>
    <w:rsid w:val="00504034"/>
    <w:rsid w:val="00504374"/>
    <w:rsid w:val="00505A98"/>
    <w:rsid w:val="005065E4"/>
    <w:rsid w:val="00506971"/>
    <w:rsid w:val="00506CC4"/>
    <w:rsid w:val="00507954"/>
    <w:rsid w:val="005117C1"/>
    <w:rsid w:val="00512172"/>
    <w:rsid w:val="00512606"/>
    <w:rsid w:val="00514863"/>
    <w:rsid w:val="00514BA5"/>
    <w:rsid w:val="0051539A"/>
    <w:rsid w:val="00515631"/>
    <w:rsid w:val="00517C03"/>
    <w:rsid w:val="005202D4"/>
    <w:rsid w:val="005207F7"/>
    <w:rsid w:val="00520C51"/>
    <w:rsid w:val="00521D91"/>
    <w:rsid w:val="00522E91"/>
    <w:rsid w:val="00523173"/>
    <w:rsid w:val="005268CF"/>
    <w:rsid w:val="0052796E"/>
    <w:rsid w:val="00527A3D"/>
    <w:rsid w:val="00532BBA"/>
    <w:rsid w:val="00532EC0"/>
    <w:rsid w:val="00536289"/>
    <w:rsid w:val="00536AB3"/>
    <w:rsid w:val="005374AC"/>
    <w:rsid w:val="00537FE7"/>
    <w:rsid w:val="00540DBD"/>
    <w:rsid w:val="005436B1"/>
    <w:rsid w:val="00543DE1"/>
    <w:rsid w:val="00544D40"/>
    <w:rsid w:val="00544D73"/>
    <w:rsid w:val="0054567E"/>
    <w:rsid w:val="00545E77"/>
    <w:rsid w:val="005465C6"/>
    <w:rsid w:val="0054712E"/>
    <w:rsid w:val="00551B1D"/>
    <w:rsid w:val="00555BBD"/>
    <w:rsid w:val="005574BD"/>
    <w:rsid w:val="00557DFD"/>
    <w:rsid w:val="005612F7"/>
    <w:rsid w:val="005641E3"/>
    <w:rsid w:val="00565FB5"/>
    <w:rsid w:val="00566067"/>
    <w:rsid w:val="0056656A"/>
    <w:rsid w:val="00566905"/>
    <w:rsid w:val="00566A70"/>
    <w:rsid w:val="00570D4A"/>
    <w:rsid w:val="00570F3E"/>
    <w:rsid w:val="005710C0"/>
    <w:rsid w:val="00571B99"/>
    <w:rsid w:val="00574000"/>
    <w:rsid w:val="0057558F"/>
    <w:rsid w:val="00576DF9"/>
    <w:rsid w:val="00576FB6"/>
    <w:rsid w:val="00580AE0"/>
    <w:rsid w:val="00586A71"/>
    <w:rsid w:val="0058766D"/>
    <w:rsid w:val="0058777D"/>
    <w:rsid w:val="005877C4"/>
    <w:rsid w:val="00590986"/>
    <w:rsid w:val="005913E6"/>
    <w:rsid w:val="00591516"/>
    <w:rsid w:val="00593014"/>
    <w:rsid w:val="00593FC9"/>
    <w:rsid w:val="00594A4E"/>
    <w:rsid w:val="00595E5A"/>
    <w:rsid w:val="0059629C"/>
    <w:rsid w:val="005966DA"/>
    <w:rsid w:val="005A1699"/>
    <w:rsid w:val="005A39C0"/>
    <w:rsid w:val="005A3EFF"/>
    <w:rsid w:val="005A78C1"/>
    <w:rsid w:val="005A79BB"/>
    <w:rsid w:val="005A7FB3"/>
    <w:rsid w:val="005B05CD"/>
    <w:rsid w:val="005B1176"/>
    <w:rsid w:val="005B1E96"/>
    <w:rsid w:val="005B20CB"/>
    <w:rsid w:val="005B3087"/>
    <w:rsid w:val="005B3ED8"/>
    <w:rsid w:val="005B5385"/>
    <w:rsid w:val="005B55CC"/>
    <w:rsid w:val="005B683E"/>
    <w:rsid w:val="005B73D1"/>
    <w:rsid w:val="005C0578"/>
    <w:rsid w:val="005C15E2"/>
    <w:rsid w:val="005C260B"/>
    <w:rsid w:val="005C3999"/>
    <w:rsid w:val="005C3E99"/>
    <w:rsid w:val="005C4000"/>
    <w:rsid w:val="005C508F"/>
    <w:rsid w:val="005C5872"/>
    <w:rsid w:val="005C6C90"/>
    <w:rsid w:val="005D0819"/>
    <w:rsid w:val="005D17B4"/>
    <w:rsid w:val="005D1964"/>
    <w:rsid w:val="005D1CDC"/>
    <w:rsid w:val="005D4E85"/>
    <w:rsid w:val="005D50FB"/>
    <w:rsid w:val="005D5D5B"/>
    <w:rsid w:val="005D791A"/>
    <w:rsid w:val="005E1C81"/>
    <w:rsid w:val="005E259A"/>
    <w:rsid w:val="005E3DE4"/>
    <w:rsid w:val="005E56E4"/>
    <w:rsid w:val="005E5758"/>
    <w:rsid w:val="005E5A27"/>
    <w:rsid w:val="005E74C4"/>
    <w:rsid w:val="005F18A0"/>
    <w:rsid w:val="005F28BE"/>
    <w:rsid w:val="005F4D1C"/>
    <w:rsid w:val="0060008A"/>
    <w:rsid w:val="00600688"/>
    <w:rsid w:val="006006FE"/>
    <w:rsid w:val="006012BB"/>
    <w:rsid w:val="006016F3"/>
    <w:rsid w:val="00611192"/>
    <w:rsid w:val="0061129C"/>
    <w:rsid w:val="0061225D"/>
    <w:rsid w:val="00612CC3"/>
    <w:rsid w:val="00614533"/>
    <w:rsid w:val="00614625"/>
    <w:rsid w:val="00614660"/>
    <w:rsid w:val="0061624F"/>
    <w:rsid w:val="0061695C"/>
    <w:rsid w:val="006170DA"/>
    <w:rsid w:val="00617301"/>
    <w:rsid w:val="00622A50"/>
    <w:rsid w:val="00623841"/>
    <w:rsid w:val="006240F8"/>
    <w:rsid w:val="00630654"/>
    <w:rsid w:val="00631E2E"/>
    <w:rsid w:val="0063202D"/>
    <w:rsid w:val="00632709"/>
    <w:rsid w:val="00632A29"/>
    <w:rsid w:val="00634B1F"/>
    <w:rsid w:val="006350FB"/>
    <w:rsid w:val="006368BC"/>
    <w:rsid w:val="00640BA1"/>
    <w:rsid w:val="006410AC"/>
    <w:rsid w:val="00641488"/>
    <w:rsid w:val="00641B77"/>
    <w:rsid w:val="006421D5"/>
    <w:rsid w:val="006441D7"/>
    <w:rsid w:val="0064492C"/>
    <w:rsid w:val="00644F5F"/>
    <w:rsid w:val="00645F83"/>
    <w:rsid w:val="0065272C"/>
    <w:rsid w:val="00656606"/>
    <w:rsid w:val="00656E46"/>
    <w:rsid w:val="00662DFD"/>
    <w:rsid w:val="00663367"/>
    <w:rsid w:val="00663BD8"/>
    <w:rsid w:val="00665372"/>
    <w:rsid w:val="00665999"/>
    <w:rsid w:val="00670862"/>
    <w:rsid w:val="00671301"/>
    <w:rsid w:val="00673279"/>
    <w:rsid w:val="0067344F"/>
    <w:rsid w:val="00676558"/>
    <w:rsid w:val="00682B6D"/>
    <w:rsid w:val="00683194"/>
    <w:rsid w:val="006831F3"/>
    <w:rsid w:val="00684B5A"/>
    <w:rsid w:val="00685238"/>
    <w:rsid w:val="00685B0C"/>
    <w:rsid w:val="00687B01"/>
    <w:rsid w:val="006904E5"/>
    <w:rsid w:val="00690AAB"/>
    <w:rsid w:val="00691CCA"/>
    <w:rsid w:val="006968B8"/>
    <w:rsid w:val="006A04EC"/>
    <w:rsid w:val="006A06EE"/>
    <w:rsid w:val="006A1B06"/>
    <w:rsid w:val="006A25BA"/>
    <w:rsid w:val="006A26E0"/>
    <w:rsid w:val="006A2F68"/>
    <w:rsid w:val="006A585B"/>
    <w:rsid w:val="006A5FD0"/>
    <w:rsid w:val="006A6D38"/>
    <w:rsid w:val="006B01AF"/>
    <w:rsid w:val="006B0EF9"/>
    <w:rsid w:val="006B0FA5"/>
    <w:rsid w:val="006B132A"/>
    <w:rsid w:val="006B3F12"/>
    <w:rsid w:val="006B3F46"/>
    <w:rsid w:val="006B5FF3"/>
    <w:rsid w:val="006B672D"/>
    <w:rsid w:val="006B6954"/>
    <w:rsid w:val="006B6D8D"/>
    <w:rsid w:val="006B745F"/>
    <w:rsid w:val="006B7C19"/>
    <w:rsid w:val="006C31FF"/>
    <w:rsid w:val="006C4FD4"/>
    <w:rsid w:val="006C577E"/>
    <w:rsid w:val="006C6572"/>
    <w:rsid w:val="006D319C"/>
    <w:rsid w:val="006D3826"/>
    <w:rsid w:val="006D3F92"/>
    <w:rsid w:val="006D622E"/>
    <w:rsid w:val="006D6A86"/>
    <w:rsid w:val="006E0D70"/>
    <w:rsid w:val="006E209C"/>
    <w:rsid w:val="006E4997"/>
    <w:rsid w:val="006E4EA0"/>
    <w:rsid w:val="006E7270"/>
    <w:rsid w:val="006E7BCB"/>
    <w:rsid w:val="006F03E9"/>
    <w:rsid w:val="006F0CB2"/>
    <w:rsid w:val="006F0F1B"/>
    <w:rsid w:val="006F19AE"/>
    <w:rsid w:val="006F1B91"/>
    <w:rsid w:val="006F34F2"/>
    <w:rsid w:val="006F4CEA"/>
    <w:rsid w:val="006F59FF"/>
    <w:rsid w:val="00702541"/>
    <w:rsid w:val="00703E79"/>
    <w:rsid w:val="00704829"/>
    <w:rsid w:val="00704F20"/>
    <w:rsid w:val="00704FEF"/>
    <w:rsid w:val="00705096"/>
    <w:rsid w:val="00705AB1"/>
    <w:rsid w:val="00707476"/>
    <w:rsid w:val="00710398"/>
    <w:rsid w:val="007137DF"/>
    <w:rsid w:val="007153A3"/>
    <w:rsid w:val="007158D5"/>
    <w:rsid w:val="00720FD0"/>
    <w:rsid w:val="00722323"/>
    <w:rsid w:val="00722A20"/>
    <w:rsid w:val="00722CE9"/>
    <w:rsid w:val="007251D9"/>
    <w:rsid w:val="00725729"/>
    <w:rsid w:val="00725AA2"/>
    <w:rsid w:val="0072695C"/>
    <w:rsid w:val="007269B7"/>
    <w:rsid w:val="00726AD3"/>
    <w:rsid w:val="007279C4"/>
    <w:rsid w:val="00727B20"/>
    <w:rsid w:val="00727BA8"/>
    <w:rsid w:val="00727DF7"/>
    <w:rsid w:val="00730BFF"/>
    <w:rsid w:val="00731448"/>
    <w:rsid w:val="00731A93"/>
    <w:rsid w:val="00731BC4"/>
    <w:rsid w:val="007330C8"/>
    <w:rsid w:val="007339CD"/>
    <w:rsid w:val="00733B3F"/>
    <w:rsid w:val="00733DF8"/>
    <w:rsid w:val="00736C24"/>
    <w:rsid w:val="00736C80"/>
    <w:rsid w:val="0073791B"/>
    <w:rsid w:val="00742FB3"/>
    <w:rsid w:val="00743850"/>
    <w:rsid w:val="007467DB"/>
    <w:rsid w:val="00747DF9"/>
    <w:rsid w:val="00751077"/>
    <w:rsid w:val="00751AC7"/>
    <w:rsid w:val="00752E15"/>
    <w:rsid w:val="00753F5D"/>
    <w:rsid w:val="00754BF0"/>
    <w:rsid w:val="0075574A"/>
    <w:rsid w:val="00755F9D"/>
    <w:rsid w:val="00760E33"/>
    <w:rsid w:val="00760F1B"/>
    <w:rsid w:val="00762ABE"/>
    <w:rsid w:val="007631B2"/>
    <w:rsid w:val="00765298"/>
    <w:rsid w:val="00766718"/>
    <w:rsid w:val="00767FE6"/>
    <w:rsid w:val="0077076C"/>
    <w:rsid w:val="0077236B"/>
    <w:rsid w:val="007733E4"/>
    <w:rsid w:val="0077389D"/>
    <w:rsid w:val="0077461F"/>
    <w:rsid w:val="00775C05"/>
    <w:rsid w:val="00776975"/>
    <w:rsid w:val="007776DC"/>
    <w:rsid w:val="007802FB"/>
    <w:rsid w:val="00784089"/>
    <w:rsid w:val="007858D1"/>
    <w:rsid w:val="00786D97"/>
    <w:rsid w:val="007872A6"/>
    <w:rsid w:val="0079071E"/>
    <w:rsid w:val="00791DF5"/>
    <w:rsid w:val="00793D0C"/>
    <w:rsid w:val="007948C9"/>
    <w:rsid w:val="00794FCB"/>
    <w:rsid w:val="007950B7"/>
    <w:rsid w:val="00795876"/>
    <w:rsid w:val="007979EE"/>
    <w:rsid w:val="007A07B9"/>
    <w:rsid w:val="007A0DDF"/>
    <w:rsid w:val="007A2E71"/>
    <w:rsid w:val="007A2F4C"/>
    <w:rsid w:val="007A3894"/>
    <w:rsid w:val="007A3EEA"/>
    <w:rsid w:val="007A587B"/>
    <w:rsid w:val="007A6340"/>
    <w:rsid w:val="007A6652"/>
    <w:rsid w:val="007A71AA"/>
    <w:rsid w:val="007A77B5"/>
    <w:rsid w:val="007A7BAC"/>
    <w:rsid w:val="007B074C"/>
    <w:rsid w:val="007B07D8"/>
    <w:rsid w:val="007B1CC1"/>
    <w:rsid w:val="007B234F"/>
    <w:rsid w:val="007B244A"/>
    <w:rsid w:val="007B361A"/>
    <w:rsid w:val="007B6AE0"/>
    <w:rsid w:val="007B6C6E"/>
    <w:rsid w:val="007B6DC1"/>
    <w:rsid w:val="007C2C85"/>
    <w:rsid w:val="007C38F0"/>
    <w:rsid w:val="007C78EB"/>
    <w:rsid w:val="007D1723"/>
    <w:rsid w:val="007D2274"/>
    <w:rsid w:val="007D2E87"/>
    <w:rsid w:val="007D45DA"/>
    <w:rsid w:val="007D4758"/>
    <w:rsid w:val="007D51A3"/>
    <w:rsid w:val="007D5D1D"/>
    <w:rsid w:val="007D6FD9"/>
    <w:rsid w:val="007E0421"/>
    <w:rsid w:val="007E2252"/>
    <w:rsid w:val="007E284A"/>
    <w:rsid w:val="007E3BD8"/>
    <w:rsid w:val="007E415F"/>
    <w:rsid w:val="007E42BE"/>
    <w:rsid w:val="007E4CA8"/>
    <w:rsid w:val="007E5B47"/>
    <w:rsid w:val="007E73C8"/>
    <w:rsid w:val="007E7423"/>
    <w:rsid w:val="007F19BC"/>
    <w:rsid w:val="007F23E1"/>
    <w:rsid w:val="007F2705"/>
    <w:rsid w:val="007F3BC4"/>
    <w:rsid w:val="007F46A5"/>
    <w:rsid w:val="007F7B48"/>
    <w:rsid w:val="00800E18"/>
    <w:rsid w:val="008039AD"/>
    <w:rsid w:val="00803C9D"/>
    <w:rsid w:val="00804368"/>
    <w:rsid w:val="00804451"/>
    <w:rsid w:val="00804601"/>
    <w:rsid w:val="00807312"/>
    <w:rsid w:val="00810A66"/>
    <w:rsid w:val="008121BF"/>
    <w:rsid w:val="00814597"/>
    <w:rsid w:val="00814841"/>
    <w:rsid w:val="008163EE"/>
    <w:rsid w:val="00816947"/>
    <w:rsid w:val="00816CD0"/>
    <w:rsid w:val="00816D87"/>
    <w:rsid w:val="0081749A"/>
    <w:rsid w:val="008205A3"/>
    <w:rsid w:val="00821AD4"/>
    <w:rsid w:val="008240C2"/>
    <w:rsid w:val="00824503"/>
    <w:rsid w:val="008246E8"/>
    <w:rsid w:val="00826693"/>
    <w:rsid w:val="00827049"/>
    <w:rsid w:val="00827E91"/>
    <w:rsid w:val="00831945"/>
    <w:rsid w:val="0083253A"/>
    <w:rsid w:val="008326D2"/>
    <w:rsid w:val="0084045E"/>
    <w:rsid w:val="00840519"/>
    <w:rsid w:val="008408A6"/>
    <w:rsid w:val="008463D3"/>
    <w:rsid w:val="00851A7F"/>
    <w:rsid w:val="00852949"/>
    <w:rsid w:val="008530DC"/>
    <w:rsid w:val="00853143"/>
    <w:rsid w:val="00854E9B"/>
    <w:rsid w:val="008561D1"/>
    <w:rsid w:val="0085685C"/>
    <w:rsid w:val="00857099"/>
    <w:rsid w:val="008606A4"/>
    <w:rsid w:val="00860B82"/>
    <w:rsid w:val="008624E7"/>
    <w:rsid w:val="00862AA6"/>
    <w:rsid w:val="00862B71"/>
    <w:rsid w:val="00863C84"/>
    <w:rsid w:val="00864E73"/>
    <w:rsid w:val="0086656A"/>
    <w:rsid w:val="00871061"/>
    <w:rsid w:val="00871A3D"/>
    <w:rsid w:val="00871BC9"/>
    <w:rsid w:val="00872A68"/>
    <w:rsid w:val="008754ED"/>
    <w:rsid w:val="008758A8"/>
    <w:rsid w:val="0088129D"/>
    <w:rsid w:val="00881A8C"/>
    <w:rsid w:val="00881F3B"/>
    <w:rsid w:val="00883F62"/>
    <w:rsid w:val="008848FB"/>
    <w:rsid w:val="00885B12"/>
    <w:rsid w:val="00892F4E"/>
    <w:rsid w:val="00893A87"/>
    <w:rsid w:val="00893E81"/>
    <w:rsid w:val="00893F84"/>
    <w:rsid w:val="00893FE4"/>
    <w:rsid w:val="008965AD"/>
    <w:rsid w:val="00896CC3"/>
    <w:rsid w:val="00897534"/>
    <w:rsid w:val="008A065B"/>
    <w:rsid w:val="008A1B66"/>
    <w:rsid w:val="008A7764"/>
    <w:rsid w:val="008B1C51"/>
    <w:rsid w:val="008B2B0F"/>
    <w:rsid w:val="008B35D1"/>
    <w:rsid w:val="008B3B6E"/>
    <w:rsid w:val="008B42A4"/>
    <w:rsid w:val="008B69DE"/>
    <w:rsid w:val="008B7863"/>
    <w:rsid w:val="008C0F30"/>
    <w:rsid w:val="008C13E2"/>
    <w:rsid w:val="008C3108"/>
    <w:rsid w:val="008C3B38"/>
    <w:rsid w:val="008C60F3"/>
    <w:rsid w:val="008C6FF9"/>
    <w:rsid w:val="008D1B8F"/>
    <w:rsid w:val="008D1D5D"/>
    <w:rsid w:val="008D3293"/>
    <w:rsid w:val="008D3556"/>
    <w:rsid w:val="008D3874"/>
    <w:rsid w:val="008D54AF"/>
    <w:rsid w:val="008D775A"/>
    <w:rsid w:val="008E19F2"/>
    <w:rsid w:val="008E2239"/>
    <w:rsid w:val="008E4009"/>
    <w:rsid w:val="008E4A36"/>
    <w:rsid w:val="008E56C4"/>
    <w:rsid w:val="008F04B9"/>
    <w:rsid w:val="008F26BB"/>
    <w:rsid w:val="008F2FEF"/>
    <w:rsid w:val="008F32FF"/>
    <w:rsid w:val="008F59EB"/>
    <w:rsid w:val="008F7369"/>
    <w:rsid w:val="00901690"/>
    <w:rsid w:val="00901B48"/>
    <w:rsid w:val="00902965"/>
    <w:rsid w:val="00902F7D"/>
    <w:rsid w:val="009037EC"/>
    <w:rsid w:val="00903B0B"/>
    <w:rsid w:val="00903E23"/>
    <w:rsid w:val="00904028"/>
    <w:rsid w:val="00904581"/>
    <w:rsid w:val="009068AA"/>
    <w:rsid w:val="00906DB6"/>
    <w:rsid w:val="009073E5"/>
    <w:rsid w:val="00907AD9"/>
    <w:rsid w:val="009100EB"/>
    <w:rsid w:val="009115A2"/>
    <w:rsid w:val="00913D9E"/>
    <w:rsid w:val="00914BAD"/>
    <w:rsid w:val="00914C82"/>
    <w:rsid w:val="00915335"/>
    <w:rsid w:val="009179F4"/>
    <w:rsid w:val="00920CBE"/>
    <w:rsid w:val="00921446"/>
    <w:rsid w:val="00921736"/>
    <w:rsid w:val="00922DCD"/>
    <w:rsid w:val="0092300E"/>
    <w:rsid w:val="00923A18"/>
    <w:rsid w:val="00923A45"/>
    <w:rsid w:val="00925DE3"/>
    <w:rsid w:val="00931780"/>
    <w:rsid w:val="00931F70"/>
    <w:rsid w:val="00935B68"/>
    <w:rsid w:val="00941660"/>
    <w:rsid w:val="00941A9C"/>
    <w:rsid w:val="00943BC1"/>
    <w:rsid w:val="009455D2"/>
    <w:rsid w:val="00946A13"/>
    <w:rsid w:val="00946B68"/>
    <w:rsid w:val="00947710"/>
    <w:rsid w:val="00951333"/>
    <w:rsid w:val="009521D3"/>
    <w:rsid w:val="00953B5F"/>
    <w:rsid w:val="00954D33"/>
    <w:rsid w:val="009609B8"/>
    <w:rsid w:val="00963A5D"/>
    <w:rsid w:val="00964C8E"/>
    <w:rsid w:val="00964CFF"/>
    <w:rsid w:val="00966FC7"/>
    <w:rsid w:val="00967C2A"/>
    <w:rsid w:val="009718B3"/>
    <w:rsid w:val="00972D41"/>
    <w:rsid w:val="00974404"/>
    <w:rsid w:val="00974705"/>
    <w:rsid w:val="0097589B"/>
    <w:rsid w:val="00976E1A"/>
    <w:rsid w:val="009778A9"/>
    <w:rsid w:val="0098381F"/>
    <w:rsid w:val="00983A71"/>
    <w:rsid w:val="00983E70"/>
    <w:rsid w:val="00984270"/>
    <w:rsid w:val="009843A1"/>
    <w:rsid w:val="009853AC"/>
    <w:rsid w:val="00986FA8"/>
    <w:rsid w:val="00987133"/>
    <w:rsid w:val="00992B11"/>
    <w:rsid w:val="00992B4C"/>
    <w:rsid w:val="00993030"/>
    <w:rsid w:val="009936B0"/>
    <w:rsid w:val="00996CD9"/>
    <w:rsid w:val="009A0502"/>
    <w:rsid w:val="009A09EC"/>
    <w:rsid w:val="009A0F83"/>
    <w:rsid w:val="009A1339"/>
    <w:rsid w:val="009A1D3D"/>
    <w:rsid w:val="009A2AB8"/>
    <w:rsid w:val="009A3F53"/>
    <w:rsid w:val="009A5975"/>
    <w:rsid w:val="009A6C4B"/>
    <w:rsid w:val="009A7D1D"/>
    <w:rsid w:val="009B30BE"/>
    <w:rsid w:val="009B37B5"/>
    <w:rsid w:val="009B46D2"/>
    <w:rsid w:val="009B4919"/>
    <w:rsid w:val="009B66AC"/>
    <w:rsid w:val="009C0FC8"/>
    <w:rsid w:val="009C19EF"/>
    <w:rsid w:val="009C222B"/>
    <w:rsid w:val="009C27F2"/>
    <w:rsid w:val="009C2A9D"/>
    <w:rsid w:val="009C3865"/>
    <w:rsid w:val="009C3FC3"/>
    <w:rsid w:val="009C5162"/>
    <w:rsid w:val="009C63D0"/>
    <w:rsid w:val="009C7D62"/>
    <w:rsid w:val="009D0433"/>
    <w:rsid w:val="009D0C0B"/>
    <w:rsid w:val="009D0F21"/>
    <w:rsid w:val="009D1B3E"/>
    <w:rsid w:val="009D249A"/>
    <w:rsid w:val="009D2DA5"/>
    <w:rsid w:val="009D3ABC"/>
    <w:rsid w:val="009D52AB"/>
    <w:rsid w:val="009D57CA"/>
    <w:rsid w:val="009D6916"/>
    <w:rsid w:val="009D6FFB"/>
    <w:rsid w:val="009E075C"/>
    <w:rsid w:val="009E0E8C"/>
    <w:rsid w:val="009E1769"/>
    <w:rsid w:val="009E1C4F"/>
    <w:rsid w:val="009E263B"/>
    <w:rsid w:val="009E65A8"/>
    <w:rsid w:val="009E6B1A"/>
    <w:rsid w:val="009E73F7"/>
    <w:rsid w:val="009E748D"/>
    <w:rsid w:val="009F0110"/>
    <w:rsid w:val="009F3761"/>
    <w:rsid w:val="009F43D5"/>
    <w:rsid w:val="009F4BBE"/>
    <w:rsid w:val="009F562A"/>
    <w:rsid w:val="009F641B"/>
    <w:rsid w:val="009F69AB"/>
    <w:rsid w:val="00A02C57"/>
    <w:rsid w:val="00A031E7"/>
    <w:rsid w:val="00A03243"/>
    <w:rsid w:val="00A04813"/>
    <w:rsid w:val="00A04EBB"/>
    <w:rsid w:val="00A0557D"/>
    <w:rsid w:val="00A057C5"/>
    <w:rsid w:val="00A06861"/>
    <w:rsid w:val="00A06AB5"/>
    <w:rsid w:val="00A070BA"/>
    <w:rsid w:val="00A10731"/>
    <w:rsid w:val="00A117E9"/>
    <w:rsid w:val="00A12439"/>
    <w:rsid w:val="00A1331F"/>
    <w:rsid w:val="00A148BC"/>
    <w:rsid w:val="00A15099"/>
    <w:rsid w:val="00A17C8C"/>
    <w:rsid w:val="00A17CF5"/>
    <w:rsid w:val="00A212BF"/>
    <w:rsid w:val="00A22D65"/>
    <w:rsid w:val="00A2402F"/>
    <w:rsid w:val="00A2529C"/>
    <w:rsid w:val="00A25536"/>
    <w:rsid w:val="00A2633F"/>
    <w:rsid w:val="00A317BE"/>
    <w:rsid w:val="00A32BF5"/>
    <w:rsid w:val="00A33F86"/>
    <w:rsid w:val="00A35D4E"/>
    <w:rsid w:val="00A361F6"/>
    <w:rsid w:val="00A37DD6"/>
    <w:rsid w:val="00A409ED"/>
    <w:rsid w:val="00A4168E"/>
    <w:rsid w:val="00A41C7E"/>
    <w:rsid w:val="00A42834"/>
    <w:rsid w:val="00A45838"/>
    <w:rsid w:val="00A52870"/>
    <w:rsid w:val="00A56CC2"/>
    <w:rsid w:val="00A57EEF"/>
    <w:rsid w:val="00A6148F"/>
    <w:rsid w:val="00A61A83"/>
    <w:rsid w:val="00A65C72"/>
    <w:rsid w:val="00A67C27"/>
    <w:rsid w:val="00A718F3"/>
    <w:rsid w:val="00A721D3"/>
    <w:rsid w:val="00A72862"/>
    <w:rsid w:val="00A72A41"/>
    <w:rsid w:val="00A72ED7"/>
    <w:rsid w:val="00A73168"/>
    <w:rsid w:val="00A737EE"/>
    <w:rsid w:val="00A73EA2"/>
    <w:rsid w:val="00A82329"/>
    <w:rsid w:val="00A82646"/>
    <w:rsid w:val="00A83FDB"/>
    <w:rsid w:val="00A840C3"/>
    <w:rsid w:val="00A90615"/>
    <w:rsid w:val="00A912F9"/>
    <w:rsid w:val="00A91385"/>
    <w:rsid w:val="00A91C01"/>
    <w:rsid w:val="00A951A8"/>
    <w:rsid w:val="00AA0E3A"/>
    <w:rsid w:val="00AA1C2F"/>
    <w:rsid w:val="00AA3E5B"/>
    <w:rsid w:val="00AA48AC"/>
    <w:rsid w:val="00AA5BD6"/>
    <w:rsid w:val="00AA645B"/>
    <w:rsid w:val="00AA67FD"/>
    <w:rsid w:val="00AA71DD"/>
    <w:rsid w:val="00AB0484"/>
    <w:rsid w:val="00AB08EA"/>
    <w:rsid w:val="00AB1DF1"/>
    <w:rsid w:val="00AB1F39"/>
    <w:rsid w:val="00AB2A98"/>
    <w:rsid w:val="00AB309D"/>
    <w:rsid w:val="00AB4717"/>
    <w:rsid w:val="00AB4CC6"/>
    <w:rsid w:val="00AB4FAC"/>
    <w:rsid w:val="00AB6597"/>
    <w:rsid w:val="00AC2037"/>
    <w:rsid w:val="00AC3813"/>
    <w:rsid w:val="00AC487E"/>
    <w:rsid w:val="00AC6A09"/>
    <w:rsid w:val="00AC7503"/>
    <w:rsid w:val="00AD0A93"/>
    <w:rsid w:val="00AD0D6A"/>
    <w:rsid w:val="00AD14B2"/>
    <w:rsid w:val="00AD1F72"/>
    <w:rsid w:val="00AD2292"/>
    <w:rsid w:val="00AD2DE4"/>
    <w:rsid w:val="00AD4A7E"/>
    <w:rsid w:val="00AD5E12"/>
    <w:rsid w:val="00AE0D01"/>
    <w:rsid w:val="00AE1DD1"/>
    <w:rsid w:val="00AE2122"/>
    <w:rsid w:val="00AE2BE5"/>
    <w:rsid w:val="00AE4987"/>
    <w:rsid w:val="00AE5661"/>
    <w:rsid w:val="00AE5F72"/>
    <w:rsid w:val="00AE69C5"/>
    <w:rsid w:val="00AE71B2"/>
    <w:rsid w:val="00AE7B07"/>
    <w:rsid w:val="00AE7B38"/>
    <w:rsid w:val="00AF0CAE"/>
    <w:rsid w:val="00AF12D5"/>
    <w:rsid w:val="00AF24FA"/>
    <w:rsid w:val="00AF47F8"/>
    <w:rsid w:val="00AF4A5F"/>
    <w:rsid w:val="00AF4C3B"/>
    <w:rsid w:val="00AF5713"/>
    <w:rsid w:val="00B00104"/>
    <w:rsid w:val="00B026DB"/>
    <w:rsid w:val="00B0276C"/>
    <w:rsid w:val="00B02F70"/>
    <w:rsid w:val="00B0303E"/>
    <w:rsid w:val="00B038BA"/>
    <w:rsid w:val="00B04339"/>
    <w:rsid w:val="00B045F2"/>
    <w:rsid w:val="00B052CE"/>
    <w:rsid w:val="00B11279"/>
    <w:rsid w:val="00B11BB3"/>
    <w:rsid w:val="00B15623"/>
    <w:rsid w:val="00B15FBA"/>
    <w:rsid w:val="00B16627"/>
    <w:rsid w:val="00B20071"/>
    <w:rsid w:val="00B203F0"/>
    <w:rsid w:val="00B2118D"/>
    <w:rsid w:val="00B21331"/>
    <w:rsid w:val="00B21A6D"/>
    <w:rsid w:val="00B23C56"/>
    <w:rsid w:val="00B23CD4"/>
    <w:rsid w:val="00B23FBD"/>
    <w:rsid w:val="00B2543A"/>
    <w:rsid w:val="00B264A8"/>
    <w:rsid w:val="00B302B0"/>
    <w:rsid w:val="00B31970"/>
    <w:rsid w:val="00B34017"/>
    <w:rsid w:val="00B35A88"/>
    <w:rsid w:val="00B3660D"/>
    <w:rsid w:val="00B36697"/>
    <w:rsid w:val="00B36B37"/>
    <w:rsid w:val="00B36C37"/>
    <w:rsid w:val="00B374E2"/>
    <w:rsid w:val="00B376BE"/>
    <w:rsid w:val="00B403C1"/>
    <w:rsid w:val="00B40AE8"/>
    <w:rsid w:val="00B41E76"/>
    <w:rsid w:val="00B42C30"/>
    <w:rsid w:val="00B435C0"/>
    <w:rsid w:val="00B453C8"/>
    <w:rsid w:val="00B45A1C"/>
    <w:rsid w:val="00B47156"/>
    <w:rsid w:val="00B532A5"/>
    <w:rsid w:val="00B53509"/>
    <w:rsid w:val="00B538A9"/>
    <w:rsid w:val="00B555A7"/>
    <w:rsid w:val="00B57282"/>
    <w:rsid w:val="00B6171E"/>
    <w:rsid w:val="00B63411"/>
    <w:rsid w:val="00B64A64"/>
    <w:rsid w:val="00B65995"/>
    <w:rsid w:val="00B7080D"/>
    <w:rsid w:val="00B7099F"/>
    <w:rsid w:val="00B71F7A"/>
    <w:rsid w:val="00B727FA"/>
    <w:rsid w:val="00B74F37"/>
    <w:rsid w:val="00B750FE"/>
    <w:rsid w:val="00B751CC"/>
    <w:rsid w:val="00B75F08"/>
    <w:rsid w:val="00B77846"/>
    <w:rsid w:val="00B80161"/>
    <w:rsid w:val="00B81523"/>
    <w:rsid w:val="00B81CE9"/>
    <w:rsid w:val="00B827ED"/>
    <w:rsid w:val="00B829FB"/>
    <w:rsid w:val="00B83572"/>
    <w:rsid w:val="00B8402D"/>
    <w:rsid w:val="00B857EB"/>
    <w:rsid w:val="00B91DED"/>
    <w:rsid w:val="00B92DF6"/>
    <w:rsid w:val="00B9426A"/>
    <w:rsid w:val="00B94A6B"/>
    <w:rsid w:val="00B94AE3"/>
    <w:rsid w:val="00B9596B"/>
    <w:rsid w:val="00B959AB"/>
    <w:rsid w:val="00B95EE0"/>
    <w:rsid w:val="00B97F2B"/>
    <w:rsid w:val="00B97FA9"/>
    <w:rsid w:val="00BA0A31"/>
    <w:rsid w:val="00BA0B2D"/>
    <w:rsid w:val="00BA2B1F"/>
    <w:rsid w:val="00BA3658"/>
    <w:rsid w:val="00BA3CF5"/>
    <w:rsid w:val="00BA6030"/>
    <w:rsid w:val="00BA730B"/>
    <w:rsid w:val="00BA7845"/>
    <w:rsid w:val="00BB0807"/>
    <w:rsid w:val="00BB08A1"/>
    <w:rsid w:val="00BB1C6F"/>
    <w:rsid w:val="00BB213D"/>
    <w:rsid w:val="00BB2B20"/>
    <w:rsid w:val="00BB45A6"/>
    <w:rsid w:val="00BB4DFC"/>
    <w:rsid w:val="00BB509A"/>
    <w:rsid w:val="00BB5679"/>
    <w:rsid w:val="00BB582C"/>
    <w:rsid w:val="00BB670A"/>
    <w:rsid w:val="00BB6BB0"/>
    <w:rsid w:val="00BC099A"/>
    <w:rsid w:val="00BC0EF5"/>
    <w:rsid w:val="00BC3489"/>
    <w:rsid w:val="00BC4CF4"/>
    <w:rsid w:val="00BC7876"/>
    <w:rsid w:val="00BD2527"/>
    <w:rsid w:val="00BD4C50"/>
    <w:rsid w:val="00BD4FCA"/>
    <w:rsid w:val="00BD5141"/>
    <w:rsid w:val="00BD5363"/>
    <w:rsid w:val="00BD5734"/>
    <w:rsid w:val="00BE007B"/>
    <w:rsid w:val="00BE107C"/>
    <w:rsid w:val="00BE2E81"/>
    <w:rsid w:val="00BE32B8"/>
    <w:rsid w:val="00BE460D"/>
    <w:rsid w:val="00BE4F98"/>
    <w:rsid w:val="00BE5F0C"/>
    <w:rsid w:val="00BE5FB6"/>
    <w:rsid w:val="00BE6C6C"/>
    <w:rsid w:val="00BE73D3"/>
    <w:rsid w:val="00BF12B0"/>
    <w:rsid w:val="00BF1575"/>
    <w:rsid w:val="00BF4A9A"/>
    <w:rsid w:val="00BF4E72"/>
    <w:rsid w:val="00BF5846"/>
    <w:rsid w:val="00BF5B6A"/>
    <w:rsid w:val="00BF7DF3"/>
    <w:rsid w:val="00C00880"/>
    <w:rsid w:val="00C008C0"/>
    <w:rsid w:val="00C008C3"/>
    <w:rsid w:val="00C033D5"/>
    <w:rsid w:val="00C04434"/>
    <w:rsid w:val="00C05CAB"/>
    <w:rsid w:val="00C102C0"/>
    <w:rsid w:val="00C14987"/>
    <w:rsid w:val="00C14B7C"/>
    <w:rsid w:val="00C14FF8"/>
    <w:rsid w:val="00C15F38"/>
    <w:rsid w:val="00C16B0F"/>
    <w:rsid w:val="00C20630"/>
    <w:rsid w:val="00C23BA9"/>
    <w:rsid w:val="00C253EC"/>
    <w:rsid w:val="00C26A34"/>
    <w:rsid w:val="00C26E16"/>
    <w:rsid w:val="00C30955"/>
    <w:rsid w:val="00C31CB5"/>
    <w:rsid w:val="00C3214D"/>
    <w:rsid w:val="00C324E5"/>
    <w:rsid w:val="00C328EB"/>
    <w:rsid w:val="00C32D7D"/>
    <w:rsid w:val="00C345D7"/>
    <w:rsid w:val="00C3666D"/>
    <w:rsid w:val="00C36C70"/>
    <w:rsid w:val="00C37681"/>
    <w:rsid w:val="00C37F1E"/>
    <w:rsid w:val="00C45F45"/>
    <w:rsid w:val="00C46336"/>
    <w:rsid w:val="00C46CFD"/>
    <w:rsid w:val="00C47702"/>
    <w:rsid w:val="00C50E1A"/>
    <w:rsid w:val="00C51258"/>
    <w:rsid w:val="00C51A9B"/>
    <w:rsid w:val="00C52303"/>
    <w:rsid w:val="00C53182"/>
    <w:rsid w:val="00C53E2F"/>
    <w:rsid w:val="00C53F4A"/>
    <w:rsid w:val="00C5469D"/>
    <w:rsid w:val="00C5488D"/>
    <w:rsid w:val="00C574F6"/>
    <w:rsid w:val="00C60AE9"/>
    <w:rsid w:val="00C617DE"/>
    <w:rsid w:val="00C67F17"/>
    <w:rsid w:val="00C722BE"/>
    <w:rsid w:val="00C7311E"/>
    <w:rsid w:val="00C73940"/>
    <w:rsid w:val="00C7409D"/>
    <w:rsid w:val="00C741F7"/>
    <w:rsid w:val="00C751F9"/>
    <w:rsid w:val="00C75EF8"/>
    <w:rsid w:val="00C76387"/>
    <w:rsid w:val="00C77CAD"/>
    <w:rsid w:val="00C80A19"/>
    <w:rsid w:val="00C8175A"/>
    <w:rsid w:val="00C84127"/>
    <w:rsid w:val="00C84AB6"/>
    <w:rsid w:val="00C91190"/>
    <w:rsid w:val="00C91ADA"/>
    <w:rsid w:val="00C921AB"/>
    <w:rsid w:val="00C924D5"/>
    <w:rsid w:val="00C92D0A"/>
    <w:rsid w:val="00C9343E"/>
    <w:rsid w:val="00C94E9C"/>
    <w:rsid w:val="00CA4B95"/>
    <w:rsid w:val="00CA5CB8"/>
    <w:rsid w:val="00CB150C"/>
    <w:rsid w:val="00CB1C1C"/>
    <w:rsid w:val="00CB2002"/>
    <w:rsid w:val="00CB4542"/>
    <w:rsid w:val="00CB48DF"/>
    <w:rsid w:val="00CB5470"/>
    <w:rsid w:val="00CB647F"/>
    <w:rsid w:val="00CC331C"/>
    <w:rsid w:val="00CD1FDD"/>
    <w:rsid w:val="00CD4C40"/>
    <w:rsid w:val="00CD6EC4"/>
    <w:rsid w:val="00CD741C"/>
    <w:rsid w:val="00CE0139"/>
    <w:rsid w:val="00CE0EA9"/>
    <w:rsid w:val="00CE11C3"/>
    <w:rsid w:val="00CE13F7"/>
    <w:rsid w:val="00CE1912"/>
    <w:rsid w:val="00CE23B6"/>
    <w:rsid w:val="00CE40C5"/>
    <w:rsid w:val="00CE5CD8"/>
    <w:rsid w:val="00CE6E53"/>
    <w:rsid w:val="00CE6F02"/>
    <w:rsid w:val="00CF0539"/>
    <w:rsid w:val="00CF0D13"/>
    <w:rsid w:val="00CF1D0E"/>
    <w:rsid w:val="00CF2903"/>
    <w:rsid w:val="00CF2EE9"/>
    <w:rsid w:val="00CF5339"/>
    <w:rsid w:val="00CF6275"/>
    <w:rsid w:val="00CF6611"/>
    <w:rsid w:val="00CF73DA"/>
    <w:rsid w:val="00D00069"/>
    <w:rsid w:val="00D005AB"/>
    <w:rsid w:val="00D0080D"/>
    <w:rsid w:val="00D010EB"/>
    <w:rsid w:val="00D017A2"/>
    <w:rsid w:val="00D03E64"/>
    <w:rsid w:val="00D0405B"/>
    <w:rsid w:val="00D05087"/>
    <w:rsid w:val="00D05116"/>
    <w:rsid w:val="00D0764A"/>
    <w:rsid w:val="00D078E5"/>
    <w:rsid w:val="00D0795A"/>
    <w:rsid w:val="00D07D1D"/>
    <w:rsid w:val="00D10869"/>
    <w:rsid w:val="00D114C3"/>
    <w:rsid w:val="00D131FA"/>
    <w:rsid w:val="00D209AA"/>
    <w:rsid w:val="00D22538"/>
    <w:rsid w:val="00D23583"/>
    <w:rsid w:val="00D23808"/>
    <w:rsid w:val="00D238E7"/>
    <w:rsid w:val="00D26B40"/>
    <w:rsid w:val="00D27681"/>
    <w:rsid w:val="00D3087C"/>
    <w:rsid w:val="00D30A6B"/>
    <w:rsid w:val="00D30AAD"/>
    <w:rsid w:val="00D30CF5"/>
    <w:rsid w:val="00D30F08"/>
    <w:rsid w:val="00D3100E"/>
    <w:rsid w:val="00D330AD"/>
    <w:rsid w:val="00D33459"/>
    <w:rsid w:val="00D34081"/>
    <w:rsid w:val="00D3479E"/>
    <w:rsid w:val="00D34E54"/>
    <w:rsid w:val="00D3614B"/>
    <w:rsid w:val="00D36B64"/>
    <w:rsid w:val="00D407A6"/>
    <w:rsid w:val="00D4102D"/>
    <w:rsid w:val="00D41302"/>
    <w:rsid w:val="00D41C14"/>
    <w:rsid w:val="00D46825"/>
    <w:rsid w:val="00D5212F"/>
    <w:rsid w:val="00D540F5"/>
    <w:rsid w:val="00D54CE8"/>
    <w:rsid w:val="00D54CF2"/>
    <w:rsid w:val="00D5609C"/>
    <w:rsid w:val="00D56B59"/>
    <w:rsid w:val="00D611DC"/>
    <w:rsid w:val="00D629F4"/>
    <w:rsid w:val="00D63D12"/>
    <w:rsid w:val="00D6500B"/>
    <w:rsid w:val="00D651D9"/>
    <w:rsid w:val="00D65E79"/>
    <w:rsid w:val="00D67D25"/>
    <w:rsid w:val="00D70407"/>
    <w:rsid w:val="00D706C8"/>
    <w:rsid w:val="00D731D4"/>
    <w:rsid w:val="00D75666"/>
    <w:rsid w:val="00D75A2F"/>
    <w:rsid w:val="00D768AF"/>
    <w:rsid w:val="00D8159D"/>
    <w:rsid w:val="00D82171"/>
    <w:rsid w:val="00D82B7B"/>
    <w:rsid w:val="00D82C86"/>
    <w:rsid w:val="00D84A38"/>
    <w:rsid w:val="00D867B6"/>
    <w:rsid w:val="00D904AA"/>
    <w:rsid w:val="00D92758"/>
    <w:rsid w:val="00D9289B"/>
    <w:rsid w:val="00D92984"/>
    <w:rsid w:val="00D93C42"/>
    <w:rsid w:val="00D9428C"/>
    <w:rsid w:val="00D94B4E"/>
    <w:rsid w:val="00D96BEF"/>
    <w:rsid w:val="00DA0E5C"/>
    <w:rsid w:val="00DA3ABE"/>
    <w:rsid w:val="00DA4E9C"/>
    <w:rsid w:val="00DA4F46"/>
    <w:rsid w:val="00DA7125"/>
    <w:rsid w:val="00DA71EA"/>
    <w:rsid w:val="00DB262C"/>
    <w:rsid w:val="00DB2A12"/>
    <w:rsid w:val="00DB306A"/>
    <w:rsid w:val="00DB36A8"/>
    <w:rsid w:val="00DB4ACC"/>
    <w:rsid w:val="00DB4C6D"/>
    <w:rsid w:val="00DB5170"/>
    <w:rsid w:val="00DB55FC"/>
    <w:rsid w:val="00DB5977"/>
    <w:rsid w:val="00DB6862"/>
    <w:rsid w:val="00DB79A1"/>
    <w:rsid w:val="00DB79ED"/>
    <w:rsid w:val="00DB7E96"/>
    <w:rsid w:val="00DC17B0"/>
    <w:rsid w:val="00DC17F9"/>
    <w:rsid w:val="00DC1E76"/>
    <w:rsid w:val="00DC377D"/>
    <w:rsid w:val="00DC4DAA"/>
    <w:rsid w:val="00DC4F62"/>
    <w:rsid w:val="00DC59E7"/>
    <w:rsid w:val="00DC6F26"/>
    <w:rsid w:val="00DC6FDA"/>
    <w:rsid w:val="00DC76F5"/>
    <w:rsid w:val="00DD1D43"/>
    <w:rsid w:val="00DD1FD0"/>
    <w:rsid w:val="00DD3143"/>
    <w:rsid w:val="00DD3170"/>
    <w:rsid w:val="00DD3816"/>
    <w:rsid w:val="00DD5FAE"/>
    <w:rsid w:val="00DD662C"/>
    <w:rsid w:val="00DD6854"/>
    <w:rsid w:val="00DD7005"/>
    <w:rsid w:val="00DE049C"/>
    <w:rsid w:val="00DE4210"/>
    <w:rsid w:val="00DE5FFD"/>
    <w:rsid w:val="00DE683A"/>
    <w:rsid w:val="00DE7194"/>
    <w:rsid w:val="00DE7A99"/>
    <w:rsid w:val="00DF036C"/>
    <w:rsid w:val="00DF1455"/>
    <w:rsid w:val="00DF4D58"/>
    <w:rsid w:val="00DF553B"/>
    <w:rsid w:val="00DF5F1A"/>
    <w:rsid w:val="00DF76DA"/>
    <w:rsid w:val="00E01010"/>
    <w:rsid w:val="00E02B08"/>
    <w:rsid w:val="00E0572C"/>
    <w:rsid w:val="00E06787"/>
    <w:rsid w:val="00E076A7"/>
    <w:rsid w:val="00E115A3"/>
    <w:rsid w:val="00E11802"/>
    <w:rsid w:val="00E11B0B"/>
    <w:rsid w:val="00E11F50"/>
    <w:rsid w:val="00E12183"/>
    <w:rsid w:val="00E12742"/>
    <w:rsid w:val="00E127BF"/>
    <w:rsid w:val="00E15197"/>
    <w:rsid w:val="00E1596B"/>
    <w:rsid w:val="00E16865"/>
    <w:rsid w:val="00E20C31"/>
    <w:rsid w:val="00E210BC"/>
    <w:rsid w:val="00E2187F"/>
    <w:rsid w:val="00E24837"/>
    <w:rsid w:val="00E26E4E"/>
    <w:rsid w:val="00E3001B"/>
    <w:rsid w:val="00E3180F"/>
    <w:rsid w:val="00E32D4A"/>
    <w:rsid w:val="00E34A7E"/>
    <w:rsid w:val="00E34E5E"/>
    <w:rsid w:val="00E37DD1"/>
    <w:rsid w:val="00E40959"/>
    <w:rsid w:val="00E424DA"/>
    <w:rsid w:val="00E446F5"/>
    <w:rsid w:val="00E4477F"/>
    <w:rsid w:val="00E46385"/>
    <w:rsid w:val="00E469BA"/>
    <w:rsid w:val="00E46ADF"/>
    <w:rsid w:val="00E47692"/>
    <w:rsid w:val="00E47973"/>
    <w:rsid w:val="00E47B5D"/>
    <w:rsid w:val="00E5163E"/>
    <w:rsid w:val="00E53BE3"/>
    <w:rsid w:val="00E57949"/>
    <w:rsid w:val="00E579CC"/>
    <w:rsid w:val="00E60F35"/>
    <w:rsid w:val="00E617C2"/>
    <w:rsid w:val="00E636BE"/>
    <w:rsid w:val="00E6525F"/>
    <w:rsid w:val="00E66D36"/>
    <w:rsid w:val="00E66E36"/>
    <w:rsid w:val="00E70961"/>
    <w:rsid w:val="00E716FE"/>
    <w:rsid w:val="00E7200C"/>
    <w:rsid w:val="00E720F1"/>
    <w:rsid w:val="00E723E4"/>
    <w:rsid w:val="00E72D16"/>
    <w:rsid w:val="00E7311C"/>
    <w:rsid w:val="00E737DA"/>
    <w:rsid w:val="00E74A8F"/>
    <w:rsid w:val="00E753A8"/>
    <w:rsid w:val="00E75798"/>
    <w:rsid w:val="00E75E81"/>
    <w:rsid w:val="00E8089A"/>
    <w:rsid w:val="00E81177"/>
    <w:rsid w:val="00E84A9E"/>
    <w:rsid w:val="00E84F76"/>
    <w:rsid w:val="00E852BF"/>
    <w:rsid w:val="00E86892"/>
    <w:rsid w:val="00E86B39"/>
    <w:rsid w:val="00E901E4"/>
    <w:rsid w:val="00E9061E"/>
    <w:rsid w:val="00E90EC8"/>
    <w:rsid w:val="00E92B96"/>
    <w:rsid w:val="00E931B0"/>
    <w:rsid w:val="00E95C38"/>
    <w:rsid w:val="00E96C2F"/>
    <w:rsid w:val="00E96E9F"/>
    <w:rsid w:val="00EA2B82"/>
    <w:rsid w:val="00EA378D"/>
    <w:rsid w:val="00EA421E"/>
    <w:rsid w:val="00EA667A"/>
    <w:rsid w:val="00EB00D8"/>
    <w:rsid w:val="00EB01B3"/>
    <w:rsid w:val="00EB0513"/>
    <w:rsid w:val="00EB3160"/>
    <w:rsid w:val="00EB316B"/>
    <w:rsid w:val="00EB5D1B"/>
    <w:rsid w:val="00EC151C"/>
    <w:rsid w:val="00EC23C8"/>
    <w:rsid w:val="00EC36C8"/>
    <w:rsid w:val="00EC6737"/>
    <w:rsid w:val="00EC7785"/>
    <w:rsid w:val="00EC7D09"/>
    <w:rsid w:val="00ED0946"/>
    <w:rsid w:val="00ED0CAF"/>
    <w:rsid w:val="00ED0FC2"/>
    <w:rsid w:val="00ED2389"/>
    <w:rsid w:val="00ED2DEC"/>
    <w:rsid w:val="00ED3C64"/>
    <w:rsid w:val="00ED485E"/>
    <w:rsid w:val="00ED491B"/>
    <w:rsid w:val="00ED4C88"/>
    <w:rsid w:val="00ED6703"/>
    <w:rsid w:val="00ED6FFC"/>
    <w:rsid w:val="00ED7549"/>
    <w:rsid w:val="00EE3802"/>
    <w:rsid w:val="00EE4D39"/>
    <w:rsid w:val="00EE5910"/>
    <w:rsid w:val="00EE6AC1"/>
    <w:rsid w:val="00EE6CEB"/>
    <w:rsid w:val="00EE797F"/>
    <w:rsid w:val="00EF047A"/>
    <w:rsid w:val="00EF0A26"/>
    <w:rsid w:val="00EF2E79"/>
    <w:rsid w:val="00EF3F6F"/>
    <w:rsid w:val="00EF441D"/>
    <w:rsid w:val="00EF4D07"/>
    <w:rsid w:val="00EF59F0"/>
    <w:rsid w:val="00EF5BD6"/>
    <w:rsid w:val="00EF68F2"/>
    <w:rsid w:val="00F00320"/>
    <w:rsid w:val="00F00B04"/>
    <w:rsid w:val="00F00B53"/>
    <w:rsid w:val="00F00FAF"/>
    <w:rsid w:val="00F017B0"/>
    <w:rsid w:val="00F032BA"/>
    <w:rsid w:val="00F06862"/>
    <w:rsid w:val="00F06B4E"/>
    <w:rsid w:val="00F07FBD"/>
    <w:rsid w:val="00F10D9D"/>
    <w:rsid w:val="00F112F3"/>
    <w:rsid w:val="00F11503"/>
    <w:rsid w:val="00F147D4"/>
    <w:rsid w:val="00F1669C"/>
    <w:rsid w:val="00F20AF2"/>
    <w:rsid w:val="00F2296A"/>
    <w:rsid w:val="00F229D5"/>
    <w:rsid w:val="00F24B84"/>
    <w:rsid w:val="00F24DB2"/>
    <w:rsid w:val="00F26376"/>
    <w:rsid w:val="00F2723E"/>
    <w:rsid w:val="00F31B31"/>
    <w:rsid w:val="00F320A8"/>
    <w:rsid w:val="00F324E4"/>
    <w:rsid w:val="00F33743"/>
    <w:rsid w:val="00F337B8"/>
    <w:rsid w:val="00F35830"/>
    <w:rsid w:val="00F366F9"/>
    <w:rsid w:val="00F373CC"/>
    <w:rsid w:val="00F37411"/>
    <w:rsid w:val="00F400A8"/>
    <w:rsid w:val="00F40621"/>
    <w:rsid w:val="00F44171"/>
    <w:rsid w:val="00F44FE8"/>
    <w:rsid w:val="00F467F3"/>
    <w:rsid w:val="00F4725F"/>
    <w:rsid w:val="00F47CB9"/>
    <w:rsid w:val="00F514C1"/>
    <w:rsid w:val="00F53511"/>
    <w:rsid w:val="00F553E1"/>
    <w:rsid w:val="00F55820"/>
    <w:rsid w:val="00F5718F"/>
    <w:rsid w:val="00F57884"/>
    <w:rsid w:val="00F60772"/>
    <w:rsid w:val="00F60926"/>
    <w:rsid w:val="00F623FD"/>
    <w:rsid w:val="00F629A8"/>
    <w:rsid w:val="00F63298"/>
    <w:rsid w:val="00F64B2A"/>
    <w:rsid w:val="00F64E74"/>
    <w:rsid w:val="00F64F10"/>
    <w:rsid w:val="00F67E2F"/>
    <w:rsid w:val="00F708E6"/>
    <w:rsid w:val="00F720D0"/>
    <w:rsid w:val="00F75709"/>
    <w:rsid w:val="00F75E5E"/>
    <w:rsid w:val="00F77980"/>
    <w:rsid w:val="00F81316"/>
    <w:rsid w:val="00F82033"/>
    <w:rsid w:val="00F84580"/>
    <w:rsid w:val="00F853C8"/>
    <w:rsid w:val="00F86061"/>
    <w:rsid w:val="00F86DF6"/>
    <w:rsid w:val="00F92B92"/>
    <w:rsid w:val="00F9387E"/>
    <w:rsid w:val="00F96667"/>
    <w:rsid w:val="00F96E83"/>
    <w:rsid w:val="00F96FFC"/>
    <w:rsid w:val="00FA01C4"/>
    <w:rsid w:val="00FA0267"/>
    <w:rsid w:val="00FA0806"/>
    <w:rsid w:val="00FA1306"/>
    <w:rsid w:val="00FA23EF"/>
    <w:rsid w:val="00FA2519"/>
    <w:rsid w:val="00FA4CFC"/>
    <w:rsid w:val="00FA4F62"/>
    <w:rsid w:val="00FA7024"/>
    <w:rsid w:val="00FB0D83"/>
    <w:rsid w:val="00FB1BA9"/>
    <w:rsid w:val="00FB2542"/>
    <w:rsid w:val="00FB2C93"/>
    <w:rsid w:val="00FB42E4"/>
    <w:rsid w:val="00FB4810"/>
    <w:rsid w:val="00FB7002"/>
    <w:rsid w:val="00FC0138"/>
    <w:rsid w:val="00FC64A4"/>
    <w:rsid w:val="00FC717E"/>
    <w:rsid w:val="00FC7754"/>
    <w:rsid w:val="00FD2518"/>
    <w:rsid w:val="00FD3855"/>
    <w:rsid w:val="00FD647E"/>
    <w:rsid w:val="00FD6633"/>
    <w:rsid w:val="00FE588F"/>
    <w:rsid w:val="00FF1417"/>
    <w:rsid w:val="00FF3C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5"/>
    <o:shapelayout v:ext="edit">
      <o:idmap v:ext="edit" data="1"/>
    </o:shapelayout>
  </w:shapeDefaults>
  <w:decimalSymbol w:val="."/>
  <w:listSeparator w:val=","/>
  <w14:docId w14:val="62572F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5999"/>
    <w:pPr>
      <w:jc w:val="both"/>
    </w:pPr>
    <w:rPr>
      <w:sz w:val="24"/>
      <w:szCs w:val="24"/>
    </w:rPr>
  </w:style>
  <w:style w:type="paragraph" w:styleId="Heading1">
    <w:name w:val="heading 1"/>
    <w:basedOn w:val="Normal"/>
    <w:next w:val="Normal"/>
    <w:link w:val="Heading1Char"/>
    <w:qFormat/>
    <w:rsid w:val="00536AB3"/>
    <w:pPr>
      <w:keepNext/>
      <w:spacing w:line="480" w:lineRule="auto"/>
      <w:outlineLvl w:val="0"/>
    </w:pPr>
    <w:rPr>
      <w:b/>
      <w:sz w:val="28"/>
    </w:rPr>
  </w:style>
  <w:style w:type="paragraph" w:styleId="Heading2">
    <w:name w:val="heading 2"/>
    <w:basedOn w:val="Normal"/>
    <w:next w:val="Normal"/>
    <w:link w:val="Heading2Char"/>
    <w:unhideWhenUsed/>
    <w:qFormat/>
    <w:rsid w:val="006D3826"/>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nhideWhenUsed/>
    <w:qFormat/>
    <w:rsid w:val="004C2F06"/>
    <w:pPr>
      <w:keepNext/>
      <w:spacing w:before="240" w:after="60"/>
      <w:outlineLvl w:val="2"/>
    </w:pPr>
    <w:rPr>
      <w:rFonts w:eastAsiaTheme="majorEastAsia"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rp">
    <w:name w:val="Harp"/>
    <w:pPr>
      <w:jc w:val="center"/>
    </w:pPr>
    <w:rPr>
      <w:rFonts w:ascii="Verdana" w:hAnsi="Verdana"/>
      <w:sz w:val="18"/>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character" w:customStyle="1" w:styleId="Heading1Char">
    <w:name w:val="Heading 1 Char"/>
    <w:link w:val="Heading1"/>
    <w:rsid w:val="00536AB3"/>
    <w:rPr>
      <w:b/>
      <w:sz w:val="28"/>
      <w:szCs w:val="24"/>
    </w:rPr>
  </w:style>
  <w:style w:type="paragraph" w:styleId="ListParagraph">
    <w:name w:val="List Paragraph"/>
    <w:basedOn w:val="Normal"/>
    <w:uiPriority w:val="34"/>
    <w:qFormat/>
    <w:rsid w:val="00007C3A"/>
    <w:pPr>
      <w:spacing w:after="200" w:line="480" w:lineRule="auto"/>
      <w:ind w:left="720"/>
      <w:contextualSpacing/>
    </w:pPr>
    <w:rPr>
      <w:rFonts w:eastAsia="Calibri"/>
      <w:szCs w:val="22"/>
      <w:lang w:eastAsia="en-US"/>
    </w:rPr>
  </w:style>
  <w:style w:type="character" w:styleId="SubtleEmphasis">
    <w:name w:val="Subtle Emphasis"/>
    <w:basedOn w:val="DefaultParagraphFont"/>
    <w:uiPriority w:val="19"/>
    <w:qFormat/>
    <w:rsid w:val="00C53F4A"/>
    <w:rPr>
      <w:i/>
      <w:iCs/>
      <w:color w:val="404040" w:themeColor="text1" w:themeTint="BF"/>
    </w:rPr>
  </w:style>
  <w:style w:type="character" w:styleId="Emphasis">
    <w:name w:val="Emphasis"/>
    <w:basedOn w:val="DefaultParagraphFont"/>
    <w:uiPriority w:val="20"/>
    <w:qFormat/>
    <w:rsid w:val="00C53F4A"/>
    <w:rPr>
      <w:i/>
      <w:iCs/>
    </w:rPr>
  </w:style>
  <w:style w:type="character" w:customStyle="1" w:styleId="Heading2Char">
    <w:name w:val="Heading 2 Char"/>
    <w:basedOn w:val="DefaultParagraphFont"/>
    <w:link w:val="Heading2"/>
    <w:rsid w:val="006D3826"/>
    <w:rPr>
      <w:rFonts w:eastAsiaTheme="majorEastAsia" w:cstheme="majorBidi"/>
      <w:b/>
      <w:bCs/>
      <w:i/>
      <w:iCs/>
      <w:sz w:val="28"/>
      <w:szCs w:val="28"/>
    </w:rPr>
  </w:style>
  <w:style w:type="character" w:customStyle="1" w:styleId="CommentTextChar">
    <w:name w:val="Comment Text Char"/>
    <w:link w:val="CommentText"/>
    <w:uiPriority w:val="99"/>
    <w:semiHidden/>
    <w:rsid w:val="00080850"/>
  </w:style>
  <w:style w:type="paragraph" w:customStyle="1" w:styleId="DefaultText">
    <w:name w:val="Default Text"/>
    <w:basedOn w:val="Normal"/>
    <w:rsid w:val="006B0FA5"/>
    <w:pPr>
      <w:autoSpaceDE w:val="0"/>
      <w:autoSpaceDN w:val="0"/>
      <w:adjustRightInd w:val="0"/>
      <w:ind w:firstLine="360"/>
    </w:pPr>
  </w:style>
  <w:style w:type="character" w:customStyle="1" w:styleId="Heading3Char">
    <w:name w:val="Heading 3 Char"/>
    <w:basedOn w:val="DefaultParagraphFont"/>
    <w:link w:val="Heading3"/>
    <w:rsid w:val="004C2F06"/>
    <w:rPr>
      <w:rFonts w:eastAsiaTheme="majorEastAsia" w:cstheme="majorBidi"/>
      <w:b/>
      <w:bCs/>
      <w:i/>
      <w:sz w:val="26"/>
      <w:szCs w:val="26"/>
    </w:rPr>
  </w:style>
  <w:style w:type="paragraph" w:styleId="NormalWeb">
    <w:name w:val="Normal (Web)"/>
    <w:basedOn w:val="Normal"/>
    <w:uiPriority w:val="99"/>
    <w:unhideWhenUsed/>
    <w:rsid w:val="008E4A36"/>
    <w:pPr>
      <w:spacing w:before="100" w:beforeAutospacing="1" w:after="100" w:afterAutospacing="1"/>
      <w:jc w:val="left"/>
    </w:pPr>
  </w:style>
  <w:style w:type="character" w:customStyle="1" w:styleId="para-num">
    <w:name w:val="para-num"/>
    <w:rsid w:val="008E4A36"/>
  </w:style>
  <w:style w:type="character" w:customStyle="1" w:styleId="link-name">
    <w:name w:val="link-name"/>
    <w:rsid w:val="008E4A36"/>
  </w:style>
  <w:style w:type="character" w:customStyle="1" w:styleId="text-highlight">
    <w:name w:val="text-highlight"/>
    <w:rsid w:val="001E36F0"/>
  </w:style>
  <w:style w:type="paragraph" w:styleId="FootnoteText">
    <w:name w:val="footnote text"/>
    <w:basedOn w:val="Normal"/>
    <w:link w:val="FootnoteTextChar"/>
    <w:rsid w:val="00DF553B"/>
    <w:rPr>
      <w:sz w:val="20"/>
      <w:szCs w:val="20"/>
    </w:rPr>
  </w:style>
  <w:style w:type="character" w:customStyle="1" w:styleId="FootnoteTextChar">
    <w:name w:val="Footnote Text Char"/>
    <w:basedOn w:val="DefaultParagraphFont"/>
    <w:link w:val="FootnoteText"/>
    <w:rsid w:val="00DF553B"/>
  </w:style>
  <w:style w:type="character" w:styleId="FootnoteReference">
    <w:name w:val="footnote reference"/>
    <w:basedOn w:val="DefaultParagraphFont"/>
    <w:rsid w:val="00DF553B"/>
    <w:rPr>
      <w:vertAlign w:val="superscript"/>
    </w:rPr>
  </w:style>
  <w:style w:type="character" w:styleId="Hyperlink">
    <w:name w:val="Hyperlink"/>
    <w:basedOn w:val="DefaultParagraphFont"/>
    <w:uiPriority w:val="99"/>
    <w:unhideWhenUsed/>
    <w:rsid w:val="00134D68"/>
    <w:rPr>
      <w:color w:val="0000FF"/>
      <w:u w:val="single"/>
    </w:rPr>
  </w:style>
  <w:style w:type="paragraph" w:styleId="Revision">
    <w:name w:val="Revision"/>
    <w:hidden/>
    <w:uiPriority w:val="99"/>
    <w:semiHidden/>
    <w:rsid w:val="00DB36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2561">
      <w:bodyDiv w:val="1"/>
      <w:marLeft w:val="0"/>
      <w:marRight w:val="0"/>
      <w:marTop w:val="0"/>
      <w:marBottom w:val="0"/>
      <w:divBdr>
        <w:top w:val="none" w:sz="0" w:space="0" w:color="auto"/>
        <w:left w:val="none" w:sz="0" w:space="0" w:color="auto"/>
        <w:bottom w:val="none" w:sz="0" w:space="0" w:color="auto"/>
        <w:right w:val="none" w:sz="0" w:space="0" w:color="auto"/>
      </w:divBdr>
    </w:div>
    <w:div w:id="849031566">
      <w:bodyDiv w:val="1"/>
      <w:marLeft w:val="0"/>
      <w:marRight w:val="0"/>
      <w:marTop w:val="0"/>
      <w:marBottom w:val="0"/>
      <w:divBdr>
        <w:top w:val="none" w:sz="0" w:space="0" w:color="auto"/>
        <w:left w:val="none" w:sz="0" w:space="0" w:color="auto"/>
        <w:bottom w:val="none" w:sz="0" w:space="0" w:color="auto"/>
        <w:right w:val="none" w:sz="0" w:space="0" w:color="auto"/>
      </w:divBdr>
      <w:divsChild>
        <w:div w:id="452288571">
          <w:marLeft w:val="0"/>
          <w:marRight w:val="0"/>
          <w:marTop w:val="0"/>
          <w:marBottom w:val="0"/>
          <w:divBdr>
            <w:top w:val="none" w:sz="0" w:space="0" w:color="auto"/>
            <w:left w:val="none" w:sz="0" w:space="0" w:color="auto"/>
            <w:bottom w:val="none" w:sz="0" w:space="0" w:color="auto"/>
            <w:right w:val="none" w:sz="0" w:space="0" w:color="auto"/>
          </w:divBdr>
        </w:div>
        <w:div w:id="1731003830">
          <w:marLeft w:val="0"/>
          <w:marRight w:val="0"/>
          <w:marTop w:val="0"/>
          <w:marBottom w:val="0"/>
          <w:divBdr>
            <w:top w:val="none" w:sz="0" w:space="0" w:color="auto"/>
            <w:left w:val="none" w:sz="0" w:space="0" w:color="auto"/>
            <w:bottom w:val="none" w:sz="0" w:space="0" w:color="auto"/>
            <w:right w:val="none" w:sz="0" w:space="0" w:color="auto"/>
          </w:divBdr>
        </w:div>
        <w:div w:id="730464488">
          <w:marLeft w:val="0"/>
          <w:marRight w:val="0"/>
          <w:marTop w:val="0"/>
          <w:marBottom w:val="0"/>
          <w:divBdr>
            <w:top w:val="none" w:sz="0" w:space="0" w:color="auto"/>
            <w:left w:val="none" w:sz="0" w:space="0" w:color="auto"/>
            <w:bottom w:val="none" w:sz="0" w:space="0" w:color="auto"/>
            <w:right w:val="none" w:sz="0" w:space="0" w:color="auto"/>
          </w:divBdr>
        </w:div>
        <w:div w:id="965308255">
          <w:marLeft w:val="0"/>
          <w:marRight w:val="0"/>
          <w:marTop w:val="0"/>
          <w:marBottom w:val="0"/>
          <w:divBdr>
            <w:top w:val="none" w:sz="0" w:space="0" w:color="auto"/>
            <w:left w:val="none" w:sz="0" w:space="0" w:color="auto"/>
            <w:bottom w:val="none" w:sz="0" w:space="0" w:color="auto"/>
            <w:right w:val="none" w:sz="0" w:space="0" w:color="auto"/>
          </w:divBdr>
        </w:div>
        <w:div w:id="1057700481">
          <w:marLeft w:val="0"/>
          <w:marRight w:val="0"/>
          <w:marTop w:val="0"/>
          <w:marBottom w:val="0"/>
          <w:divBdr>
            <w:top w:val="none" w:sz="0" w:space="0" w:color="auto"/>
            <w:left w:val="none" w:sz="0" w:space="0" w:color="auto"/>
            <w:bottom w:val="none" w:sz="0" w:space="0" w:color="auto"/>
            <w:right w:val="none" w:sz="0" w:space="0" w:color="auto"/>
          </w:divBdr>
        </w:div>
        <w:div w:id="86197866">
          <w:marLeft w:val="0"/>
          <w:marRight w:val="0"/>
          <w:marTop w:val="0"/>
          <w:marBottom w:val="0"/>
          <w:divBdr>
            <w:top w:val="none" w:sz="0" w:space="0" w:color="auto"/>
            <w:left w:val="none" w:sz="0" w:space="0" w:color="auto"/>
            <w:bottom w:val="none" w:sz="0" w:space="0" w:color="auto"/>
            <w:right w:val="none" w:sz="0" w:space="0" w:color="auto"/>
          </w:divBdr>
        </w:div>
        <w:div w:id="1835223725">
          <w:marLeft w:val="0"/>
          <w:marRight w:val="0"/>
          <w:marTop w:val="0"/>
          <w:marBottom w:val="0"/>
          <w:divBdr>
            <w:top w:val="none" w:sz="0" w:space="0" w:color="auto"/>
            <w:left w:val="none" w:sz="0" w:space="0" w:color="auto"/>
            <w:bottom w:val="none" w:sz="0" w:space="0" w:color="auto"/>
            <w:right w:val="none" w:sz="0" w:space="0" w:color="auto"/>
          </w:divBdr>
        </w:div>
        <w:div w:id="1978024087">
          <w:marLeft w:val="0"/>
          <w:marRight w:val="0"/>
          <w:marTop w:val="0"/>
          <w:marBottom w:val="0"/>
          <w:divBdr>
            <w:top w:val="none" w:sz="0" w:space="0" w:color="auto"/>
            <w:left w:val="none" w:sz="0" w:space="0" w:color="auto"/>
            <w:bottom w:val="none" w:sz="0" w:space="0" w:color="auto"/>
            <w:right w:val="none" w:sz="0" w:space="0" w:color="auto"/>
          </w:divBdr>
        </w:div>
        <w:div w:id="144585846">
          <w:marLeft w:val="0"/>
          <w:marRight w:val="0"/>
          <w:marTop w:val="0"/>
          <w:marBottom w:val="0"/>
          <w:divBdr>
            <w:top w:val="none" w:sz="0" w:space="0" w:color="auto"/>
            <w:left w:val="none" w:sz="0" w:space="0" w:color="auto"/>
            <w:bottom w:val="none" w:sz="0" w:space="0" w:color="auto"/>
            <w:right w:val="none" w:sz="0" w:space="0" w:color="auto"/>
          </w:divBdr>
        </w:div>
        <w:div w:id="476653262">
          <w:marLeft w:val="0"/>
          <w:marRight w:val="0"/>
          <w:marTop w:val="0"/>
          <w:marBottom w:val="0"/>
          <w:divBdr>
            <w:top w:val="none" w:sz="0" w:space="0" w:color="auto"/>
            <w:left w:val="none" w:sz="0" w:space="0" w:color="auto"/>
            <w:bottom w:val="none" w:sz="0" w:space="0" w:color="auto"/>
            <w:right w:val="none" w:sz="0" w:space="0" w:color="auto"/>
          </w:divBdr>
        </w:div>
        <w:div w:id="1316567569">
          <w:marLeft w:val="0"/>
          <w:marRight w:val="0"/>
          <w:marTop w:val="0"/>
          <w:marBottom w:val="0"/>
          <w:divBdr>
            <w:top w:val="none" w:sz="0" w:space="0" w:color="auto"/>
            <w:left w:val="none" w:sz="0" w:space="0" w:color="auto"/>
            <w:bottom w:val="none" w:sz="0" w:space="0" w:color="auto"/>
            <w:right w:val="none" w:sz="0" w:space="0" w:color="auto"/>
          </w:divBdr>
        </w:div>
      </w:divsChild>
    </w:div>
    <w:div w:id="895818869">
      <w:bodyDiv w:val="1"/>
      <w:marLeft w:val="0"/>
      <w:marRight w:val="0"/>
      <w:marTop w:val="0"/>
      <w:marBottom w:val="0"/>
      <w:divBdr>
        <w:top w:val="none" w:sz="0" w:space="0" w:color="auto"/>
        <w:left w:val="none" w:sz="0" w:space="0" w:color="auto"/>
        <w:bottom w:val="none" w:sz="0" w:space="0" w:color="auto"/>
        <w:right w:val="none" w:sz="0" w:space="0" w:color="auto"/>
      </w:divBdr>
      <w:divsChild>
        <w:div w:id="1475639665">
          <w:marLeft w:val="0"/>
          <w:marRight w:val="0"/>
          <w:marTop w:val="0"/>
          <w:marBottom w:val="0"/>
          <w:divBdr>
            <w:top w:val="none" w:sz="0" w:space="0" w:color="auto"/>
            <w:left w:val="none" w:sz="0" w:space="0" w:color="auto"/>
            <w:bottom w:val="none" w:sz="0" w:space="0" w:color="auto"/>
            <w:right w:val="none" w:sz="0" w:space="0" w:color="auto"/>
          </w:divBdr>
        </w:div>
        <w:div w:id="155415788">
          <w:marLeft w:val="0"/>
          <w:marRight w:val="0"/>
          <w:marTop w:val="0"/>
          <w:marBottom w:val="0"/>
          <w:divBdr>
            <w:top w:val="none" w:sz="0" w:space="0" w:color="auto"/>
            <w:left w:val="none" w:sz="0" w:space="0" w:color="auto"/>
            <w:bottom w:val="none" w:sz="0" w:space="0" w:color="auto"/>
            <w:right w:val="none" w:sz="0" w:space="0" w:color="auto"/>
          </w:divBdr>
        </w:div>
        <w:div w:id="933516451">
          <w:marLeft w:val="0"/>
          <w:marRight w:val="0"/>
          <w:marTop w:val="0"/>
          <w:marBottom w:val="0"/>
          <w:divBdr>
            <w:top w:val="none" w:sz="0" w:space="0" w:color="auto"/>
            <w:left w:val="none" w:sz="0" w:space="0" w:color="auto"/>
            <w:bottom w:val="none" w:sz="0" w:space="0" w:color="auto"/>
            <w:right w:val="none" w:sz="0" w:space="0" w:color="auto"/>
          </w:divBdr>
        </w:div>
        <w:div w:id="260918348">
          <w:marLeft w:val="0"/>
          <w:marRight w:val="0"/>
          <w:marTop w:val="0"/>
          <w:marBottom w:val="0"/>
          <w:divBdr>
            <w:top w:val="none" w:sz="0" w:space="0" w:color="auto"/>
            <w:left w:val="none" w:sz="0" w:space="0" w:color="auto"/>
            <w:bottom w:val="none" w:sz="0" w:space="0" w:color="auto"/>
            <w:right w:val="none" w:sz="0" w:space="0" w:color="auto"/>
          </w:divBdr>
        </w:div>
        <w:div w:id="363603628">
          <w:marLeft w:val="0"/>
          <w:marRight w:val="0"/>
          <w:marTop w:val="0"/>
          <w:marBottom w:val="0"/>
          <w:divBdr>
            <w:top w:val="none" w:sz="0" w:space="0" w:color="auto"/>
            <w:left w:val="none" w:sz="0" w:space="0" w:color="auto"/>
            <w:bottom w:val="none" w:sz="0" w:space="0" w:color="auto"/>
            <w:right w:val="none" w:sz="0" w:space="0" w:color="auto"/>
          </w:divBdr>
        </w:div>
        <w:div w:id="770509678">
          <w:marLeft w:val="0"/>
          <w:marRight w:val="0"/>
          <w:marTop w:val="0"/>
          <w:marBottom w:val="0"/>
          <w:divBdr>
            <w:top w:val="none" w:sz="0" w:space="0" w:color="auto"/>
            <w:left w:val="none" w:sz="0" w:space="0" w:color="auto"/>
            <w:bottom w:val="none" w:sz="0" w:space="0" w:color="auto"/>
            <w:right w:val="none" w:sz="0" w:space="0" w:color="auto"/>
          </w:divBdr>
        </w:div>
        <w:div w:id="34936658">
          <w:marLeft w:val="0"/>
          <w:marRight w:val="0"/>
          <w:marTop w:val="0"/>
          <w:marBottom w:val="0"/>
          <w:divBdr>
            <w:top w:val="none" w:sz="0" w:space="0" w:color="auto"/>
            <w:left w:val="none" w:sz="0" w:space="0" w:color="auto"/>
            <w:bottom w:val="none" w:sz="0" w:space="0" w:color="auto"/>
            <w:right w:val="none" w:sz="0" w:space="0" w:color="auto"/>
          </w:divBdr>
        </w:div>
        <w:div w:id="895623711">
          <w:marLeft w:val="0"/>
          <w:marRight w:val="0"/>
          <w:marTop w:val="0"/>
          <w:marBottom w:val="0"/>
          <w:divBdr>
            <w:top w:val="none" w:sz="0" w:space="0" w:color="auto"/>
            <w:left w:val="none" w:sz="0" w:space="0" w:color="auto"/>
            <w:bottom w:val="none" w:sz="0" w:space="0" w:color="auto"/>
            <w:right w:val="none" w:sz="0" w:space="0" w:color="auto"/>
          </w:divBdr>
        </w:div>
        <w:div w:id="2142459032">
          <w:marLeft w:val="0"/>
          <w:marRight w:val="0"/>
          <w:marTop w:val="0"/>
          <w:marBottom w:val="0"/>
          <w:divBdr>
            <w:top w:val="none" w:sz="0" w:space="0" w:color="auto"/>
            <w:left w:val="none" w:sz="0" w:space="0" w:color="auto"/>
            <w:bottom w:val="none" w:sz="0" w:space="0" w:color="auto"/>
            <w:right w:val="none" w:sz="0" w:space="0" w:color="auto"/>
          </w:divBdr>
        </w:div>
        <w:div w:id="1575048658">
          <w:marLeft w:val="0"/>
          <w:marRight w:val="0"/>
          <w:marTop w:val="0"/>
          <w:marBottom w:val="0"/>
          <w:divBdr>
            <w:top w:val="none" w:sz="0" w:space="0" w:color="auto"/>
            <w:left w:val="none" w:sz="0" w:space="0" w:color="auto"/>
            <w:bottom w:val="none" w:sz="0" w:space="0" w:color="auto"/>
            <w:right w:val="none" w:sz="0" w:space="0" w:color="auto"/>
          </w:divBdr>
        </w:div>
        <w:div w:id="1913155527">
          <w:marLeft w:val="0"/>
          <w:marRight w:val="0"/>
          <w:marTop w:val="0"/>
          <w:marBottom w:val="0"/>
          <w:divBdr>
            <w:top w:val="none" w:sz="0" w:space="0" w:color="auto"/>
            <w:left w:val="none" w:sz="0" w:space="0" w:color="auto"/>
            <w:bottom w:val="none" w:sz="0" w:space="0" w:color="auto"/>
            <w:right w:val="none" w:sz="0" w:space="0" w:color="auto"/>
          </w:divBdr>
        </w:div>
        <w:div w:id="1346325959">
          <w:marLeft w:val="0"/>
          <w:marRight w:val="0"/>
          <w:marTop w:val="0"/>
          <w:marBottom w:val="0"/>
          <w:divBdr>
            <w:top w:val="none" w:sz="0" w:space="0" w:color="auto"/>
            <w:left w:val="none" w:sz="0" w:space="0" w:color="auto"/>
            <w:bottom w:val="none" w:sz="0" w:space="0" w:color="auto"/>
            <w:right w:val="none" w:sz="0" w:space="0" w:color="auto"/>
          </w:divBdr>
        </w:div>
        <w:div w:id="1616522691">
          <w:marLeft w:val="0"/>
          <w:marRight w:val="0"/>
          <w:marTop w:val="0"/>
          <w:marBottom w:val="0"/>
          <w:divBdr>
            <w:top w:val="none" w:sz="0" w:space="0" w:color="auto"/>
            <w:left w:val="none" w:sz="0" w:space="0" w:color="auto"/>
            <w:bottom w:val="none" w:sz="0" w:space="0" w:color="auto"/>
            <w:right w:val="none" w:sz="0" w:space="0" w:color="auto"/>
          </w:divBdr>
        </w:div>
        <w:div w:id="743142400">
          <w:marLeft w:val="0"/>
          <w:marRight w:val="0"/>
          <w:marTop w:val="0"/>
          <w:marBottom w:val="0"/>
          <w:divBdr>
            <w:top w:val="none" w:sz="0" w:space="0" w:color="auto"/>
            <w:left w:val="none" w:sz="0" w:space="0" w:color="auto"/>
            <w:bottom w:val="none" w:sz="0" w:space="0" w:color="auto"/>
            <w:right w:val="none" w:sz="0" w:space="0" w:color="auto"/>
          </w:divBdr>
        </w:div>
        <w:div w:id="1147091307">
          <w:marLeft w:val="0"/>
          <w:marRight w:val="0"/>
          <w:marTop w:val="0"/>
          <w:marBottom w:val="0"/>
          <w:divBdr>
            <w:top w:val="none" w:sz="0" w:space="0" w:color="auto"/>
            <w:left w:val="none" w:sz="0" w:space="0" w:color="auto"/>
            <w:bottom w:val="none" w:sz="0" w:space="0" w:color="auto"/>
            <w:right w:val="none" w:sz="0" w:space="0" w:color="auto"/>
          </w:divBdr>
        </w:div>
        <w:div w:id="1729761911">
          <w:marLeft w:val="0"/>
          <w:marRight w:val="0"/>
          <w:marTop w:val="0"/>
          <w:marBottom w:val="0"/>
          <w:divBdr>
            <w:top w:val="none" w:sz="0" w:space="0" w:color="auto"/>
            <w:left w:val="none" w:sz="0" w:space="0" w:color="auto"/>
            <w:bottom w:val="none" w:sz="0" w:space="0" w:color="auto"/>
            <w:right w:val="none" w:sz="0" w:space="0" w:color="auto"/>
          </w:divBdr>
        </w:div>
        <w:div w:id="1808039705">
          <w:marLeft w:val="0"/>
          <w:marRight w:val="0"/>
          <w:marTop w:val="0"/>
          <w:marBottom w:val="0"/>
          <w:divBdr>
            <w:top w:val="none" w:sz="0" w:space="0" w:color="auto"/>
            <w:left w:val="none" w:sz="0" w:space="0" w:color="auto"/>
            <w:bottom w:val="none" w:sz="0" w:space="0" w:color="auto"/>
            <w:right w:val="none" w:sz="0" w:space="0" w:color="auto"/>
          </w:divBdr>
        </w:div>
        <w:div w:id="327631705">
          <w:marLeft w:val="0"/>
          <w:marRight w:val="0"/>
          <w:marTop w:val="0"/>
          <w:marBottom w:val="0"/>
          <w:divBdr>
            <w:top w:val="none" w:sz="0" w:space="0" w:color="auto"/>
            <w:left w:val="none" w:sz="0" w:space="0" w:color="auto"/>
            <w:bottom w:val="none" w:sz="0" w:space="0" w:color="auto"/>
            <w:right w:val="none" w:sz="0" w:space="0" w:color="auto"/>
          </w:divBdr>
        </w:div>
        <w:div w:id="1021738423">
          <w:marLeft w:val="0"/>
          <w:marRight w:val="0"/>
          <w:marTop w:val="0"/>
          <w:marBottom w:val="0"/>
          <w:divBdr>
            <w:top w:val="none" w:sz="0" w:space="0" w:color="auto"/>
            <w:left w:val="none" w:sz="0" w:space="0" w:color="auto"/>
            <w:bottom w:val="none" w:sz="0" w:space="0" w:color="auto"/>
            <w:right w:val="none" w:sz="0" w:space="0" w:color="auto"/>
          </w:divBdr>
        </w:div>
        <w:div w:id="2058116341">
          <w:marLeft w:val="0"/>
          <w:marRight w:val="0"/>
          <w:marTop w:val="0"/>
          <w:marBottom w:val="0"/>
          <w:divBdr>
            <w:top w:val="none" w:sz="0" w:space="0" w:color="auto"/>
            <w:left w:val="none" w:sz="0" w:space="0" w:color="auto"/>
            <w:bottom w:val="none" w:sz="0" w:space="0" w:color="auto"/>
            <w:right w:val="none" w:sz="0" w:space="0" w:color="auto"/>
          </w:divBdr>
        </w:div>
        <w:div w:id="1324504946">
          <w:marLeft w:val="0"/>
          <w:marRight w:val="0"/>
          <w:marTop w:val="0"/>
          <w:marBottom w:val="0"/>
          <w:divBdr>
            <w:top w:val="none" w:sz="0" w:space="0" w:color="auto"/>
            <w:left w:val="none" w:sz="0" w:space="0" w:color="auto"/>
            <w:bottom w:val="none" w:sz="0" w:space="0" w:color="auto"/>
            <w:right w:val="none" w:sz="0" w:space="0" w:color="auto"/>
          </w:divBdr>
        </w:div>
        <w:div w:id="1174536408">
          <w:marLeft w:val="0"/>
          <w:marRight w:val="0"/>
          <w:marTop w:val="0"/>
          <w:marBottom w:val="0"/>
          <w:divBdr>
            <w:top w:val="none" w:sz="0" w:space="0" w:color="auto"/>
            <w:left w:val="none" w:sz="0" w:space="0" w:color="auto"/>
            <w:bottom w:val="none" w:sz="0" w:space="0" w:color="auto"/>
            <w:right w:val="none" w:sz="0" w:space="0" w:color="auto"/>
          </w:divBdr>
        </w:div>
        <w:div w:id="1807507521">
          <w:marLeft w:val="0"/>
          <w:marRight w:val="0"/>
          <w:marTop w:val="0"/>
          <w:marBottom w:val="0"/>
          <w:divBdr>
            <w:top w:val="none" w:sz="0" w:space="0" w:color="auto"/>
            <w:left w:val="none" w:sz="0" w:space="0" w:color="auto"/>
            <w:bottom w:val="none" w:sz="0" w:space="0" w:color="auto"/>
            <w:right w:val="none" w:sz="0" w:space="0" w:color="auto"/>
          </w:divBdr>
        </w:div>
        <w:div w:id="1301417849">
          <w:marLeft w:val="0"/>
          <w:marRight w:val="0"/>
          <w:marTop w:val="0"/>
          <w:marBottom w:val="0"/>
          <w:divBdr>
            <w:top w:val="none" w:sz="0" w:space="0" w:color="auto"/>
            <w:left w:val="none" w:sz="0" w:space="0" w:color="auto"/>
            <w:bottom w:val="none" w:sz="0" w:space="0" w:color="auto"/>
            <w:right w:val="none" w:sz="0" w:space="0" w:color="auto"/>
          </w:divBdr>
        </w:div>
        <w:div w:id="740372719">
          <w:marLeft w:val="0"/>
          <w:marRight w:val="0"/>
          <w:marTop w:val="0"/>
          <w:marBottom w:val="0"/>
          <w:divBdr>
            <w:top w:val="none" w:sz="0" w:space="0" w:color="auto"/>
            <w:left w:val="none" w:sz="0" w:space="0" w:color="auto"/>
            <w:bottom w:val="none" w:sz="0" w:space="0" w:color="auto"/>
            <w:right w:val="none" w:sz="0" w:space="0" w:color="auto"/>
          </w:divBdr>
        </w:div>
        <w:div w:id="1207570039">
          <w:marLeft w:val="0"/>
          <w:marRight w:val="0"/>
          <w:marTop w:val="0"/>
          <w:marBottom w:val="0"/>
          <w:divBdr>
            <w:top w:val="none" w:sz="0" w:space="0" w:color="auto"/>
            <w:left w:val="none" w:sz="0" w:space="0" w:color="auto"/>
            <w:bottom w:val="none" w:sz="0" w:space="0" w:color="auto"/>
            <w:right w:val="none" w:sz="0" w:space="0" w:color="auto"/>
          </w:divBdr>
        </w:div>
        <w:div w:id="170874015">
          <w:marLeft w:val="0"/>
          <w:marRight w:val="0"/>
          <w:marTop w:val="0"/>
          <w:marBottom w:val="0"/>
          <w:divBdr>
            <w:top w:val="none" w:sz="0" w:space="0" w:color="auto"/>
            <w:left w:val="none" w:sz="0" w:space="0" w:color="auto"/>
            <w:bottom w:val="none" w:sz="0" w:space="0" w:color="auto"/>
            <w:right w:val="none" w:sz="0" w:space="0" w:color="auto"/>
          </w:divBdr>
        </w:div>
        <w:div w:id="1946376073">
          <w:marLeft w:val="0"/>
          <w:marRight w:val="0"/>
          <w:marTop w:val="0"/>
          <w:marBottom w:val="0"/>
          <w:divBdr>
            <w:top w:val="none" w:sz="0" w:space="0" w:color="auto"/>
            <w:left w:val="none" w:sz="0" w:space="0" w:color="auto"/>
            <w:bottom w:val="none" w:sz="0" w:space="0" w:color="auto"/>
            <w:right w:val="none" w:sz="0" w:space="0" w:color="auto"/>
          </w:divBdr>
        </w:div>
        <w:div w:id="1069232637">
          <w:marLeft w:val="0"/>
          <w:marRight w:val="0"/>
          <w:marTop w:val="0"/>
          <w:marBottom w:val="0"/>
          <w:divBdr>
            <w:top w:val="none" w:sz="0" w:space="0" w:color="auto"/>
            <w:left w:val="none" w:sz="0" w:space="0" w:color="auto"/>
            <w:bottom w:val="none" w:sz="0" w:space="0" w:color="auto"/>
            <w:right w:val="none" w:sz="0" w:space="0" w:color="auto"/>
          </w:divBdr>
        </w:div>
        <w:div w:id="1395205565">
          <w:marLeft w:val="0"/>
          <w:marRight w:val="0"/>
          <w:marTop w:val="0"/>
          <w:marBottom w:val="0"/>
          <w:divBdr>
            <w:top w:val="none" w:sz="0" w:space="0" w:color="auto"/>
            <w:left w:val="none" w:sz="0" w:space="0" w:color="auto"/>
            <w:bottom w:val="none" w:sz="0" w:space="0" w:color="auto"/>
            <w:right w:val="none" w:sz="0" w:space="0" w:color="auto"/>
          </w:divBdr>
        </w:div>
        <w:div w:id="1690132994">
          <w:marLeft w:val="0"/>
          <w:marRight w:val="0"/>
          <w:marTop w:val="0"/>
          <w:marBottom w:val="0"/>
          <w:divBdr>
            <w:top w:val="none" w:sz="0" w:space="0" w:color="auto"/>
            <w:left w:val="none" w:sz="0" w:space="0" w:color="auto"/>
            <w:bottom w:val="none" w:sz="0" w:space="0" w:color="auto"/>
            <w:right w:val="none" w:sz="0" w:space="0" w:color="auto"/>
          </w:divBdr>
        </w:div>
        <w:div w:id="2144425190">
          <w:marLeft w:val="0"/>
          <w:marRight w:val="0"/>
          <w:marTop w:val="0"/>
          <w:marBottom w:val="0"/>
          <w:divBdr>
            <w:top w:val="none" w:sz="0" w:space="0" w:color="auto"/>
            <w:left w:val="none" w:sz="0" w:space="0" w:color="auto"/>
            <w:bottom w:val="none" w:sz="0" w:space="0" w:color="auto"/>
            <w:right w:val="none" w:sz="0" w:space="0" w:color="auto"/>
          </w:divBdr>
        </w:div>
        <w:div w:id="193664470">
          <w:marLeft w:val="0"/>
          <w:marRight w:val="0"/>
          <w:marTop w:val="0"/>
          <w:marBottom w:val="0"/>
          <w:divBdr>
            <w:top w:val="none" w:sz="0" w:space="0" w:color="auto"/>
            <w:left w:val="none" w:sz="0" w:space="0" w:color="auto"/>
            <w:bottom w:val="none" w:sz="0" w:space="0" w:color="auto"/>
            <w:right w:val="none" w:sz="0" w:space="0" w:color="auto"/>
          </w:divBdr>
        </w:div>
      </w:divsChild>
    </w:div>
    <w:div w:id="1194923872">
      <w:bodyDiv w:val="1"/>
      <w:marLeft w:val="0"/>
      <w:marRight w:val="0"/>
      <w:marTop w:val="0"/>
      <w:marBottom w:val="0"/>
      <w:divBdr>
        <w:top w:val="none" w:sz="0" w:space="0" w:color="auto"/>
        <w:left w:val="none" w:sz="0" w:space="0" w:color="auto"/>
        <w:bottom w:val="none" w:sz="0" w:space="0" w:color="auto"/>
        <w:right w:val="none" w:sz="0" w:space="0" w:color="auto"/>
      </w:divBdr>
      <w:divsChild>
        <w:div w:id="367876264">
          <w:marLeft w:val="0"/>
          <w:marRight w:val="0"/>
          <w:marTop w:val="0"/>
          <w:marBottom w:val="0"/>
          <w:divBdr>
            <w:top w:val="none" w:sz="0" w:space="0" w:color="auto"/>
            <w:left w:val="none" w:sz="0" w:space="0" w:color="auto"/>
            <w:bottom w:val="none" w:sz="0" w:space="0" w:color="auto"/>
            <w:right w:val="none" w:sz="0" w:space="0" w:color="auto"/>
          </w:divBdr>
        </w:div>
        <w:div w:id="1505706451">
          <w:marLeft w:val="0"/>
          <w:marRight w:val="0"/>
          <w:marTop w:val="0"/>
          <w:marBottom w:val="0"/>
          <w:divBdr>
            <w:top w:val="none" w:sz="0" w:space="0" w:color="auto"/>
            <w:left w:val="none" w:sz="0" w:space="0" w:color="auto"/>
            <w:bottom w:val="none" w:sz="0" w:space="0" w:color="auto"/>
            <w:right w:val="none" w:sz="0" w:space="0" w:color="auto"/>
          </w:divBdr>
        </w:div>
        <w:div w:id="1410620507">
          <w:marLeft w:val="0"/>
          <w:marRight w:val="0"/>
          <w:marTop w:val="0"/>
          <w:marBottom w:val="0"/>
          <w:divBdr>
            <w:top w:val="none" w:sz="0" w:space="0" w:color="auto"/>
            <w:left w:val="none" w:sz="0" w:space="0" w:color="auto"/>
            <w:bottom w:val="none" w:sz="0" w:space="0" w:color="auto"/>
            <w:right w:val="none" w:sz="0" w:space="0" w:color="auto"/>
          </w:divBdr>
        </w:div>
        <w:div w:id="587737188">
          <w:marLeft w:val="0"/>
          <w:marRight w:val="0"/>
          <w:marTop w:val="0"/>
          <w:marBottom w:val="0"/>
          <w:divBdr>
            <w:top w:val="none" w:sz="0" w:space="0" w:color="auto"/>
            <w:left w:val="none" w:sz="0" w:space="0" w:color="auto"/>
            <w:bottom w:val="none" w:sz="0" w:space="0" w:color="auto"/>
            <w:right w:val="none" w:sz="0" w:space="0" w:color="auto"/>
          </w:divBdr>
        </w:div>
        <w:div w:id="138570948">
          <w:marLeft w:val="0"/>
          <w:marRight w:val="0"/>
          <w:marTop w:val="0"/>
          <w:marBottom w:val="0"/>
          <w:divBdr>
            <w:top w:val="none" w:sz="0" w:space="0" w:color="auto"/>
            <w:left w:val="none" w:sz="0" w:space="0" w:color="auto"/>
            <w:bottom w:val="none" w:sz="0" w:space="0" w:color="auto"/>
            <w:right w:val="none" w:sz="0" w:space="0" w:color="auto"/>
          </w:divBdr>
        </w:div>
        <w:div w:id="1004162349">
          <w:marLeft w:val="0"/>
          <w:marRight w:val="0"/>
          <w:marTop w:val="0"/>
          <w:marBottom w:val="0"/>
          <w:divBdr>
            <w:top w:val="none" w:sz="0" w:space="0" w:color="auto"/>
            <w:left w:val="none" w:sz="0" w:space="0" w:color="auto"/>
            <w:bottom w:val="none" w:sz="0" w:space="0" w:color="auto"/>
            <w:right w:val="none" w:sz="0" w:space="0" w:color="auto"/>
          </w:divBdr>
        </w:div>
        <w:div w:id="1742680640">
          <w:marLeft w:val="0"/>
          <w:marRight w:val="0"/>
          <w:marTop w:val="0"/>
          <w:marBottom w:val="0"/>
          <w:divBdr>
            <w:top w:val="none" w:sz="0" w:space="0" w:color="auto"/>
            <w:left w:val="none" w:sz="0" w:space="0" w:color="auto"/>
            <w:bottom w:val="none" w:sz="0" w:space="0" w:color="auto"/>
            <w:right w:val="none" w:sz="0" w:space="0" w:color="auto"/>
          </w:divBdr>
        </w:div>
        <w:div w:id="1554122001">
          <w:marLeft w:val="0"/>
          <w:marRight w:val="0"/>
          <w:marTop w:val="0"/>
          <w:marBottom w:val="0"/>
          <w:divBdr>
            <w:top w:val="none" w:sz="0" w:space="0" w:color="auto"/>
            <w:left w:val="none" w:sz="0" w:space="0" w:color="auto"/>
            <w:bottom w:val="none" w:sz="0" w:space="0" w:color="auto"/>
            <w:right w:val="none" w:sz="0" w:space="0" w:color="auto"/>
          </w:divBdr>
        </w:div>
        <w:div w:id="1564218505">
          <w:marLeft w:val="0"/>
          <w:marRight w:val="0"/>
          <w:marTop w:val="0"/>
          <w:marBottom w:val="0"/>
          <w:divBdr>
            <w:top w:val="none" w:sz="0" w:space="0" w:color="auto"/>
            <w:left w:val="none" w:sz="0" w:space="0" w:color="auto"/>
            <w:bottom w:val="none" w:sz="0" w:space="0" w:color="auto"/>
            <w:right w:val="none" w:sz="0" w:space="0" w:color="auto"/>
          </w:divBdr>
        </w:div>
        <w:div w:id="1457917081">
          <w:marLeft w:val="0"/>
          <w:marRight w:val="0"/>
          <w:marTop w:val="0"/>
          <w:marBottom w:val="0"/>
          <w:divBdr>
            <w:top w:val="none" w:sz="0" w:space="0" w:color="auto"/>
            <w:left w:val="none" w:sz="0" w:space="0" w:color="auto"/>
            <w:bottom w:val="none" w:sz="0" w:space="0" w:color="auto"/>
            <w:right w:val="none" w:sz="0" w:space="0" w:color="auto"/>
          </w:divBdr>
        </w:div>
        <w:div w:id="1331565444">
          <w:marLeft w:val="0"/>
          <w:marRight w:val="0"/>
          <w:marTop w:val="0"/>
          <w:marBottom w:val="0"/>
          <w:divBdr>
            <w:top w:val="none" w:sz="0" w:space="0" w:color="auto"/>
            <w:left w:val="none" w:sz="0" w:space="0" w:color="auto"/>
            <w:bottom w:val="none" w:sz="0" w:space="0" w:color="auto"/>
            <w:right w:val="none" w:sz="0" w:space="0" w:color="auto"/>
          </w:divBdr>
        </w:div>
      </w:divsChild>
    </w:div>
    <w:div w:id="1292059083">
      <w:bodyDiv w:val="1"/>
      <w:marLeft w:val="0"/>
      <w:marRight w:val="0"/>
      <w:marTop w:val="0"/>
      <w:marBottom w:val="0"/>
      <w:divBdr>
        <w:top w:val="none" w:sz="0" w:space="0" w:color="auto"/>
        <w:left w:val="none" w:sz="0" w:space="0" w:color="auto"/>
        <w:bottom w:val="none" w:sz="0" w:space="0" w:color="auto"/>
        <w:right w:val="none" w:sz="0" w:space="0" w:color="auto"/>
      </w:divBdr>
    </w:div>
    <w:div w:id="1464929968">
      <w:bodyDiv w:val="1"/>
      <w:marLeft w:val="0"/>
      <w:marRight w:val="0"/>
      <w:marTop w:val="0"/>
      <w:marBottom w:val="0"/>
      <w:divBdr>
        <w:top w:val="none" w:sz="0" w:space="0" w:color="auto"/>
        <w:left w:val="none" w:sz="0" w:space="0" w:color="auto"/>
        <w:bottom w:val="none" w:sz="0" w:space="0" w:color="auto"/>
        <w:right w:val="none" w:sz="0" w:space="0" w:color="auto"/>
      </w:divBdr>
    </w:div>
    <w:div w:id="1501653486">
      <w:bodyDiv w:val="1"/>
      <w:marLeft w:val="0"/>
      <w:marRight w:val="0"/>
      <w:marTop w:val="0"/>
      <w:marBottom w:val="0"/>
      <w:divBdr>
        <w:top w:val="none" w:sz="0" w:space="0" w:color="auto"/>
        <w:left w:val="none" w:sz="0" w:space="0" w:color="auto"/>
        <w:bottom w:val="none" w:sz="0" w:space="0" w:color="auto"/>
        <w:right w:val="none" w:sz="0" w:space="0" w:color="auto"/>
      </w:divBdr>
      <w:divsChild>
        <w:div w:id="2088771115">
          <w:marLeft w:val="0"/>
          <w:marRight w:val="0"/>
          <w:marTop w:val="0"/>
          <w:marBottom w:val="150"/>
          <w:divBdr>
            <w:top w:val="none" w:sz="0" w:space="0" w:color="auto"/>
            <w:left w:val="none" w:sz="0" w:space="0" w:color="auto"/>
            <w:bottom w:val="none" w:sz="0" w:space="0" w:color="auto"/>
            <w:right w:val="none" w:sz="0" w:space="0" w:color="auto"/>
          </w:divBdr>
        </w:div>
        <w:div w:id="1805732991">
          <w:marLeft w:val="0"/>
          <w:marRight w:val="0"/>
          <w:marTop w:val="0"/>
          <w:marBottom w:val="150"/>
          <w:divBdr>
            <w:top w:val="none" w:sz="0" w:space="0" w:color="auto"/>
            <w:left w:val="none" w:sz="0" w:space="0" w:color="auto"/>
            <w:bottom w:val="none" w:sz="0" w:space="0" w:color="auto"/>
            <w:right w:val="none" w:sz="0" w:space="0" w:color="auto"/>
          </w:divBdr>
        </w:div>
        <w:div w:id="953755797">
          <w:marLeft w:val="0"/>
          <w:marRight w:val="0"/>
          <w:marTop w:val="0"/>
          <w:marBottom w:val="150"/>
          <w:divBdr>
            <w:top w:val="none" w:sz="0" w:space="0" w:color="auto"/>
            <w:left w:val="none" w:sz="0" w:space="0" w:color="auto"/>
            <w:bottom w:val="none" w:sz="0" w:space="0" w:color="auto"/>
            <w:right w:val="none" w:sz="0" w:space="0" w:color="auto"/>
          </w:divBdr>
        </w:div>
        <w:div w:id="1814255855">
          <w:marLeft w:val="0"/>
          <w:marRight w:val="0"/>
          <w:marTop w:val="0"/>
          <w:marBottom w:val="150"/>
          <w:divBdr>
            <w:top w:val="none" w:sz="0" w:space="0" w:color="auto"/>
            <w:left w:val="none" w:sz="0" w:space="0" w:color="auto"/>
            <w:bottom w:val="none" w:sz="0" w:space="0" w:color="auto"/>
            <w:right w:val="none" w:sz="0" w:space="0" w:color="auto"/>
          </w:divBdr>
        </w:div>
      </w:divsChild>
    </w:div>
    <w:div w:id="2112045989">
      <w:bodyDiv w:val="1"/>
      <w:marLeft w:val="0"/>
      <w:marRight w:val="0"/>
      <w:marTop w:val="0"/>
      <w:marBottom w:val="0"/>
      <w:divBdr>
        <w:top w:val="none" w:sz="0" w:space="0" w:color="auto"/>
        <w:left w:val="none" w:sz="0" w:space="0" w:color="auto"/>
        <w:bottom w:val="none" w:sz="0" w:space="0" w:color="auto"/>
        <w:right w:val="none" w:sz="0" w:space="0" w:color="auto"/>
      </w:divBdr>
      <w:divsChild>
        <w:div w:id="149522318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estlaw.com/Document/I8302DEC0097211E0A1A2A52486332DAD/View/FullText.html?originationContext=document&amp;transitionType=DocumentItem&amp;ppcid=4c12d2f47aff433a9ef316010275af2a&amp;contextData=(sc.Sear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A5BF-7BDD-4919-A192-E26D276D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16955</Words>
  <Characters>96650</Characters>
  <Application>Microsoft Office Word</Application>
  <DocSecurity>0</DocSecurity>
  <Lines>805</Lines>
  <Paragraphs>226</Paragraphs>
  <ScaleCrop>false</ScaleCrop>
  <Company/>
  <LinksUpToDate>false</LinksUpToDate>
  <CharactersWithSpaces>113379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2022-05-06T13:05:00Z</dcterms:created>
  <dcterms:modified xsi:type="dcterms:W3CDTF">2022-05-06T13:05:00Z</dcterms:modified>
</cp:coreProperties>
</file>