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4D374" w14:textId="77777777" w:rsidR="001E030C" w:rsidRPr="00113B28" w:rsidRDefault="001E030C" w:rsidP="001E030C">
      <w:pPr>
        <w:spacing w:after="0" w:line="240" w:lineRule="auto"/>
        <w:jc w:val="center"/>
        <w:rPr>
          <w:rFonts w:ascii="Times New Roman" w:eastAsia="Times New Roman" w:hAnsi="Times New Roman" w:cs="Times New Roman"/>
          <w:b/>
          <w:sz w:val="32"/>
          <w:szCs w:val="32"/>
          <w:lang w:eastAsia="en-IE"/>
        </w:rPr>
      </w:pPr>
      <w:r w:rsidRPr="00113B28">
        <w:rPr>
          <w:rFonts w:ascii="Times New Roman" w:eastAsia="Times New Roman" w:hAnsi="Times New Roman" w:cs="Times New Roman"/>
          <w:b/>
          <w:sz w:val="32"/>
          <w:szCs w:val="32"/>
          <w:lang w:eastAsia="en-IE"/>
        </w:rPr>
        <w:t>THE COURT OF APPEAL</w:t>
      </w:r>
    </w:p>
    <w:p w14:paraId="1170F3B1" w14:textId="77777777" w:rsidR="001E030C" w:rsidRPr="00113B28" w:rsidRDefault="001E030C" w:rsidP="001E030C">
      <w:pPr>
        <w:spacing w:after="0" w:line="240" w:lineRule="auto"/>
        <w:jc w:val="center"/>
        <w:rPr>
          <w:rFonts w:ascii="Times New Roman" w:eastAsia="Times New Roman" w:hAnsi="Times New Roman" w:cs="Times New Roman"/>
          <w:b/>
          <w:sz w:val="32"/>
          <w:szCs w:val="32"/>
          <w:lang w:eastAsia="en-IE"/>
        </w:rPr>
      </w:pPr>
      <w:r w:rsidRPr="00113B28">
        <w:rPr>
          <w:rFonts w:ascii="Times New Roman" w:eastAsia="Times New Roman" w:hAnsi="Times New Roman" w:cs="Times New Roman"/>
          <w:b/>
          <w:sz w:val="32"/>
          <w:szCs w:val="32"/>
          <w:lang w:eastAsia="en-IE"/>
        </w:rPr>
        <w:t xml:space="preserve">CIVIL </w:t>
      </w:r>
    </w:p>
    <w:p w14:paraId="35418C04" w14:textId="77777777" w:rsidR="001E030C" w:rsidRDefault="001E030C" w:rsidP="001E030C">
      <w:pPr>
        <w:spacing w:after="0" w:line="240" w:lineRule="auto"/>
        <w:rPr>
          <w:rFonts w:ascii="Times New Roman" w:eastAsia="Times New Roman" w:hAnsi="Times New Roman" w:cs="Times New Roman"/>
          <w:b/>
          <w:sz w:val="24"/>
          <w:szCs w:val="24"/>
          <w:lang w:eastAsia="en-IE"/>
        </w:rPr>
      </w:pPr>
    </w:p>
    <w:p w14:paraId="2EA55091" w14:textId="77777777" w:rsidR="004E0659" w:rsidRDefault="004E0659" w:rsidP="001E030C">
      <w:pPr>
        <w:spacing w:after="0" w:line="240" w:lineRule="auto"/>
        <w:rPr>
          <w:rFonts w:ascii="Times New Roman" w:eastAsia="Times New Roman" w:hAnsi="Times New Roman" w:cs="Times New Roman"/>
          <w:b/>
          <w:sz w:val="24"/>
          <w:szCs w:val="24"/>
          <w:lang w:eastAsia="en-IE"/>
        </w:rPr>
      </w:pPr>
    </w:p>
    <w:p w14:paraId="17109FB9" w14:textId="77777777" w:rsidR="004E0659" w:rsidRPr="00357E4A" w:rsidRDefault="004E0659" w:rsidP="001E030C">
      <w:pPr>
        <w:spacing w:after="0" w:line="240" w:lineRule="auto"/>
        <w:rPr>
          <w:rFonts w:ascii="Times New Roman" w:eastAsia="Times New Roman" w:hAnsi="Times New Roman" w:cs="Times New Roman"/>
          <w:b/>
          <w:sz w:val="24"/>
          <w:szCs w:val="24"/>
          <w:lang w:eastAsia="en-IE"/>
        </w:rPr>
      </w:pPr>
    </w:p>
    <w:p w14:paraId="73CC35E6" w14:textId="77777777" w:rsidR="001E030C" w:rsidRPr="00357E4A" w:rsidRDefault="001E030C" w:rsidP="001E030C">
      <w:pPr>
        <w:spacing w:after="0" w:line="240" w:lineRule="auto"/>
        <w:jc w:val="right"/>
        <w:rPr>
          <w:rFonts w:ascii="Times New Roman" w:eastAsia="Times New Roman" w:hAnsi="Times New Roman" w:cs="Times New Roman"/>
          <w:b/>
          <w:sz w:val="24"/>
          <w:szCs w:val="24"/>
          <w:lang w:eastAsia="en-IE"/>
        </w:rPr>
      </w:pPr>
    </w:p>
    <w:p w14:paraId="7C3CB382" w14:textId="77777777" w:rsidR="001E030C" w:rsidRPr="00357E4A" w:rsidRDefault="001E030C" w:rsidP="001E030C">
      <w:pPr>
        <w:spacing w:after="0" w:line="240" w:lineRule="auto"/>
        <w:jc w:val="right"/>
        <w:rPr>
          <w:rFonts w:ascii="Times New Roman" w:eastAsia="Times New Roman" w:hAnsi="Times New Roman" w:cs="Times New Roman"/>
          <w:b/>
          <w:sz w:val="24"/>
          <w:szCs w:val="24"/>
          <w:lang w:eastAsia="en-IE"/>
        </w:rPr>
      </w:pPr>
      <w:r w:rsidRPr="00357E4A">
        <w:rPr>
          <w:rFonts w:ascii="Times New Roman" w:eastAsia="Times New Roman" w:hAnsi="Times New Roman" w:cs="Times New Roman"/>
          <w:b/>
          <w:sz w:val="24"/>
          <w:szCs w:val="24"/>
          <w:lang w:eastAsia="en-IE"/>
        </w:rPr>
        <w:t xml:space="preserve">Court of Appeal Record No. </w:t>
      </w:r>
      <w:r>
        <w:rPr>
          <w:rFonts w:ascii="Times New Roman" w:eastAsia="Times New Roman" w:hAnsi="Times New Roman" w:cs="Times New Roman"/>
          <w:b/>
          <w:sz w:val="24"/>
          <w:szCs w:val="24"/>
          <w:lang w:eastAsia="en-IE"/>
        </w:rPr>
        <w:t>2020/52</w:t>
      </w:r>
    </w:p>
    <w:p w14:paraId="3FBF8547" w14:textId="77777777" w:rsidR="001E030C" w:rsidRPr="00357E4A" w:rsidRDefault="001E030C" w:rsidP="001E030C">
      <w:pPr>
        <w:spacing w:after="0" w:line="240" w:lineRule="auto"/>
        <w:jc w:val="right"/>
        <w:rPr>
          <w:rFonts w:ascii="Times New Roman" w:eastAsia="Times New Roman" w:hAnsi="Times New Roman" w:cs="Times New Roman"/>
          <w:b/>
          <w:sz w:val="24"/>
          <w:szCs w:val="24"/>
          <w:lang w:eastAsia="en-IE"/>
        </w:rPr>
      </w:pPr>
      <w:r w:rsidRPr="00357E4A">
        <w:rPr>
          <w:rFonts w:ascii="Times New Roman" w:eastAsia="Times New Roman" w:hAnsi="Times New Roman" w:cs="Times New Roman"/>
          <w:b/>
          <w:sz w:val="24"/>
          <w:szCs w:val="24"/>
          <w:lang w:eastAsia="en-IE"/>
        </w:rPr>
        <w:t>High Court Record No.</w:t>
      </w:r>
      <w:r>
        <w:rPr>
          <w:rFonts w:ascii="Times New Roman" w:eastAsia="Times New Roman" w:hAnsi="Times New Roman" w:cs="Times New Roman"/>
          <w:b/>
          <w:sz w:val="24"/>
          <w:szCs w:val="24"/>
          <w:lang w:eastAsia="en-IE"/>
        </w:rPr>
        <w:t xml:space="preserve"> 2018/1080 JR</w:t>
      </w:r>
      <w:r w:rsidRPr="00357E4A">
        <w:rPr>
          <w:rFonts w:ascii="Times New Roman" w:eastAsia="Times New Roman" w:hAnsi="Times New Roman" w:cs="Times New Roman"/>
          <w:b/>
          <w:sz w:val="24"/>
          <w:szCs w:val="24"/>
          <w:lang w:eastAsia="en-IE"/>
        </w:rPr>
        <w:t xml:space="preserve"> </w:t>
      </w:r>
    </w:p>
    <w:p w14:paraId="3168C2CB" w14:textId="55103D08" w:rsidR="001E030C" w:rsidRPr="00357E4A" w:rsidRDefault="008F2E03" w:rsidP="001E030C">
      <w:pPr>
        <w:spacing w:after="0" w:line="240" w:lineRule="auto"/>
        <w:jc w:val="right"/>
        <w:rPr>
          <w:rFonts w:ascii="Times New Roman" w:eastAsia="Times New Roman" w:hAnsi="Times New Roman" w:cs="Times New Roman"/>
          <w:b/>
          <w:sz w:val="24"/>
          <w:szCs w:val="24"/>
          <w:lang w:eastAsia="en-IE"/>
        </w:rPr>
      </w:pPr>
      <w:r>
        <w:rPr>
          <w:rFonts w:ascii="Times New Roman" w:eastAsia="Times New Roman" w:hAnsi="Times New Roman" w:cs="Times New Roman"/>
          <w:b/>
          <w:sz w:val="24"/>
          <w:szCs w:val="24"/>
          <w:lang w:eastAsia="en-IE"/>
        </w:rPr>
        <w:t xml:space="preserve">Neutral Citation No. [2022] IECA </w:t>
      </w:r>
      <w:r w:rsidR="00697DE9">
        <w:rPr>
          <w:rFonts w:ascii="Times New Roman" w:eastAsia="Times New Roman" w:hAnsi="Times New Roman" w:cs="Times New Roman"/>
          <w:b/>
          <w:sz w:val="24"/>
          <w:szCs w:val="24"/>
          <w:lang w:eastAsia="en-IE"/>
        </w:rPr>
        <w:t>109</w:t>
      </w:r>
    </w:p>
    <w:p w14:paraId="1B05C2F6" w14:textId="77777777" w:rsidR="001E030C" w:rsidRPr="00357E4A" w:rsidRDefault="001E030C" w:rsidP="001E030C">
      <w:pPr>
        <w:spacing w:after="0" w:line="240" w:lineRule="auto"/>
        <w:rPr>
          <w:rFonts w:ascii="Times New Roman" w:eastAsia="Times New Roman" w:hAnsi="Times New Roman" w:cs="Times New Roman"/>
          <w:b/>
          <w:sz w:val="28"/>
          <w:szCs w:val="28"/>
          <w:u w:val="single"/>
          <w:lang w:eastAsia="en-IE"/>
        </w:rPr>
      </w:pPr>
    </w:p>
    <w:p w14:paraId="47150958" w14:textId="77777777" w:rsidR="001E030C" w:rsidRPr="00357E4A" w:rsidRDefault="001E030C" w:rsidP="001E030C">
      <w:pPr>
        <w:spacing w:after="0" w:line="240" w:lineRule="auto"/>
        <w:rPr>
          <w:rFonts w:ascii="Times New Roman" w:eastAsia="Times New Roman" w:hAnsi="Times New Roman" w:cs="Times New Roman"/>
          <w:b/>
          <w:sz w:val="28"/>
          <w:szCs w:val="28"/>
          <w:u w:val="single"/>
          <w:lang w:eastAsia="en-IE"/>
        </w:rPr>
      </w:pPr>
      <w:bookmarkStart w:id="0" w:name="_Hlk102743581"/>
      <w:r w:rsidRPr="00357E4A">
        <w:rPr>
          <w:rFonts w:ascii="Times New Roman" w:eastAsia="Times New Roman" w:hAnsi="Times New Roman" w:cs="Times New Roman"/>
          <w:b/>
          <w:sz w:val="28"/>
          <w:szCs w:val="28"/>
          <w:u w:val="single"/>
          <w:lang w:eastAsia="en-IE"/>
        </w:rPr>
        <w:t>UNAPPROVED</w:t>
      </w:r>
    </w:p>
    <w:p w14:paraId="0D1454BB" w14:textId="77777777" w:rsidR="001E030C" w:rsidRPr="00357E4A" w:rsidRDefault="001E030C" w:rsidP="001E030C">
      <w:pPr>
        <w:spacing w:after="0" w:line="240" w:lineRule="auto"/>
        <w:rPr>
          <w:rFonts w:ascii="Times New Roman" w:eastAsia="Times New Roman" w:hAnsi="Times New Roman" w:cs="Times New Roman"/>
          <w:b/>
          <w:sz w:val="28"/>
          <w:szCs w:val="28"/>
          <w:u w:val="single"/>
          <w:lang w:eastAsia="en-IE"/>
        </w:rPr>
      </w:pPr>
      <w:r w:rsidRPr="00357E4A">
        <w:rPr>
          <w:rFonts w:ascii="Times New Roman" w:eastAsia="Times New Roman" w:hAnsi="Times New Roman" w:cs="Times New Roman"/>
          <w:b/>
          <w:sz w:val="28"/>
          <w:szCs w:val="28"/>
          <w:u w:val="single"/>
          <w:lang w:eastAsia="en-IE"/>
        </w:rPr>
        <w:t>NO REDACTION NEEDED</w:t>
      </w:r>
    </w:p>
    <w:bookmarkEnd w:id="0"/>
    <w:p w14:paraId="600342A7" w14:textId="77777777" w:rsidR="001E030C" w:rsidRPr="00357E4A" w:rsidRDefault="001E030C" w:rsidP="001E030C">
      <w:pPr>
        <w:spacing w:after="0" w:line="240" w:lineRule="auto"/>
        <w:rPr>
          <w:rFonts w:ascii="Times New Roman" w:eastAsia="Times New Roman" w:hAnsi="Times New Roman" w:cs="Times New Roman"/>
          <w:b/>
          <w:sz w:val="28"/>
          <w:szCs w:val="28"/>
          <w:u w:val="single"/>
          <w:lang w:eastAsia="en-IE"/>
        </w:rPr>
      </w:pPr>
    </w:p>
    <w:p w14:paraId="7820EDC3" w14:textId="77777777" w:rsidR="001E030C" w:rsidRDefault="001E030C" w:rsidP="001E030C">
      <w:pPr>
        <w:spacing w:after="0" w:line="240" w:lineRule="auto"/>
        <w:rPr>
          <w:rFonts w:ascii="Times New Roman" w:eastAsia="Times New Roman" w:hAnsi="Times New Roman" w:cs="Times New Roman"/>
          <w:b/>
          <w:sz w:val="24"/>
          <w:szCs w:val="24"/>
          <w:lang w:eastAsia="en-IE"/>
        </w:rPr>
      </w:pPr>
    </w:p>
    <w:p w14:paraId="224E3DAA" w14:textId="77777777" w:rsidR="001E030C" w:rsidRPr="00357E4A" w:rsidRDefault="001E030C" w:rsidP="001E030C">
      <w:pPr>
        <w:spacing w:after="0" w:line="240" w:lineRule="auto"/>
        <w:rPr>
          <w:rFonts w:ascii="Times New Roman" w:eastAsia="Times New Roman" w:hAnsi="Times New Roman" w:cs="Times New Roman"/>
          <w:b/>
          <w:sz w:val="24"/>
          <w:szCs w:val="24"/>
          <w:lang w:eastAsia="en-IE"/>
        </w:rPr>
      </w:pPr>
      <w:r>
        <w:rPr>
          <w:rFonts w:ascii="Times New Roman" w:eastAsia="Times New Roman" w:hAnsi="Times New Roman" w:cs="Times New Roman"/>
          <w:b/>
          <w:sz w:val="24"/>
          <w:szCs w:val="24"/>
          <w:lang w:eastAsia="en-IE"/>
        </w:rPr>
        <w:t>Murray</w:t>
      </w:r>
      <w:r w:rsidRPr="00357E4A">
        <w:rPr>
          <w:rFonts w:ascii="Times New Roman" w:eastAsia="Times New Roman" w:hAnsi="Times New Roman" w:cs="Times New Roman"/>
          <w:b/>
          <w:sz w:val="24"/>
          <w:szCs w:val="24"/>
          <w:lang w:eastAsia="en-IE"/>
        </w:rPr>
        <w:t xml:space="preserve"> J. </w:t>
      </w:r>
    </w:p>
    <w:p w14:paraId="2EA064EC" w14:textId="77777777" w:rsidR="001E030C" w:rsidRDefault="001E030C" w:rsidP="001E030C">
      <w:pPr>
        <w:spacing w:after="0" w:line="240" w:lineRule="auto"/>
        <w:rPr>
          <w:rFonts w:ascii="Times New Roman" w:eastAsia="Times New Roman" w:hAnsi="Times New Roman" w:cs="Times New Roman"/>
          <w:b/>
          <w:sz w:val="24"/>
          <w:szCs w:val="24"/>
          <w:lang w:eastAsia="en-IE"/>
        </w:rPr>
      </w:pPr>
      <w:r>
        <w:rPr>
          <w:rFonts w:ascii="Times New Roman" w:eastAsia="Times New Roman" w:hAnsi="Times New Roman" w:cs="Times New Roman"/>
          <w:b/>
          <w:sz w:val="24"/>
          <w:szCs w:val="24"/>
          <w:lang w:eastAsia="en-IE"/>
        </w:rPr>
        <w:t xml:space="preserve">Costello J. </w:t>
      </w:r>
    </w:p>
    <w:p w14:paraId="5A4C741F" w14:textId="77777777" w:rsidR="001E030C" w:rsidRDefault="001E030C" w:rsidP="001E030C">
      <w:pPr>
        <w:spacing w:after="0" w:line="240" w:lineRule="auto"/>
        <w:rPr>
          <w:rFonts w:ascii="Times New Roman" w:eastAsia="Times New Roman" w:hAnsi="Times New Roman" w:cs="Times New Roman"/>
          <w:b/>
          <w:sz w:val="24"/>
          <w:szCs w:val="24"/>
          <w:lang w:eastAsia="en-IE"/>
        </w:rPr>
      </w:pPr>
      <w:r>
        <w:rPr>
          <w:rFonts w:ascii="Times New Roman" w:eastAsia="Times New Roman" w:hAnsi="Times New Roman" w:cs="Times New Roman"/>
          <w:b/>
          <w:sz w:val="24"/>
          <w:szCs w:val="24"/>
          <w:lang w:eastAsia="en-IE"/>
        </w:rPr>
        <w:t>Haughton J.</w:t>
      </w:r>
    </w:p>
    <w:p w14:paraId="420FA08E" w14:textId="77777777" w:rsidR="001E030C" w:rsidRPr="00357E4A" w:rsidRDefault="001E030C" w:rsidP="001E030C">
      <w:pPr>
        <w:spacing w:after="0" w:line="240" w:lineRule="auto"/>
        <w:jc w:val="center"/>
        <w:rPr>
          <w:rFonts w:ascii="Times New Roman" w:eastAsia="Times New Roman" w:hAnsi="Times New Roman" w:cs="Times New Roman"/>
          <w:b/>
          <w:sz w:val="24"/>
          <w:szCs w:val="24"/>
          <w:lang w:eastAsia="en-IE"/>
        </w:rPr>
      </w:pPr>
    </w:p>
    <w:p w14:paraId="6C8F3283" w14:textId="77777777" w:rsidR="001E030C" w:rsidRDefault="001E030C" w:rsidP="001E030C">
      <w:pPr>
        <w:spacing w:after="0" w:line="240" w:lineRule="auto"/>
        <w:rPr>
          <w:rFonts w:ascii="Times New Roman" w:eastAsia="Times New Roman" w:hAnsi="Times New Roman" w:cs="Times New Roman"/>
          <w:b/>
          <w:sz w:val="24"/>
          <w:szCs w:val="24"/>
          <w:lang w:eastAsia="en-IE"/>
        </w:rPr>
      </w:pPr>
    </w:p>
    <w:p w14:paraId="4C91BE01" w14:textId="77777777" w:rsidR="004E0659" w:rsidRDefault="004E0659" w:rsidP="001E030C">
      <w:pPr>
        <w:spacing w:after="0" w:line="240" w:lineRule="auto"/>
        <w:rPr>
          <w:rFonts w:ascii="Times New Roman" w:eastAsia="Times New Roman" w:hAnsi="Times New Roman" w:cs="Times New Roman"/>
          <w:b/>
          <w:sz w:val="24"/>
          <w:szCs w:val="24"/>
          <w:lang w:eastAsia="en-IE"/>
        </w:rPr>
      </w:pPr>
    </w:p>
    <w:p w14:paraId="0E33144B" w14:textId="77777777" w:rsidR="001E030C" w:rsidRDefault="001E030C" w:rsidP="001E030C">
      <w:pPr>
        <w:spacing w:after="0" w:line="240" w:lineRule="auto"/>
        <w:rPr>
          <w:rFonts w:ascii="Times New Roman" w:eastAsia="Times New Roman" w:hAnsi="Times New Roman" w:cs="Times New Roman"/>
          <w:b/>
          <w:sz w:val="24"/>
          <w:szCs w:val="24"/>
          <w:lang w:eastAsia="en-IE"/>
        </w:rPr>
      </w:pPr>
    </w:p>
    <w:p w14:paraId="589E323F" w14:textId="77777777" w:rsidR="001E030C" w:rsidRDefault="001E030C" w:rsidP="001E030C">
      <w:pPr>
        <w:spacing w:after="0" w:line="240" w:lineRule="auto"/>
        <w:rPr>
          <w:rFonts w:ascii="Times New Roman" w:eastAsia="Times New Roman" w:hAnsi="Times New Roman" w:cs="Times New Roman"/>
          <w:b/>
          <w:sz w:val="24"/>
          <w:szCs w:val="24"/>
          <w:lang w:eastAsia="en-IE"/>
        </w:rPr>
      </w:pPr>
      <w:r w:rsidRPr="00357E4A">
        <w:rPr>
          <w:rFonts w:ascii="Times New Roman" w:eastAsia="Times New Roman" w:hAnsi="Times New Roman" w:cs="Times New Roman"/>
          <w:b/>
          <w:sz w:val="24"/>
          <w:szCs w:val="24"/>
          <w:lang w:eastAsia="en-IE"/>
        </w:rPr>
        <w:t>BETWEEN</w:t>
      </w:r>
    </w:p>
    <w:p w14:paraId="47FA9325" w14:textId="77777777" w:rsidR="001E030C" w:rsidRDefault="001E030C" w:rsidP="001E030C">
      <w:pPr>
        <w:spacing w:after="0" w:line="240" w:lineRule="auto"/>
        <w:rPr>
          <w:rFonts w:ascii="Times New Roman" w:eastAsia="Times New Roman" w:hAnsi="Times New Roman" w:cs="Times New Roman"/>
          <w:b/>
          <w:sz w:val="24"/>
          <w:szCs w:val="24"/>
          <w:lang w:eastAsia="en-IE"/>
        </w:rPr>
      </w:pPr>
    </w:p>
    <w:p w14:paraId="72EBE0BC" w14:textId="77777777" w:rsidR="001E030C" w:rsidRDefault="001E030C" w:rsidP="001E030C">
      <w:pPr>
        <w:spacing w:after="0" w:line="240" w:lineRule="auto"/>
        <w:jc w:val="center"/>
        <w:rPr>
          <w:rFonts w:ascii="Times New Roman" w:eastAsia="Times New Roman" w:hAnsi="Times New Roman" w:cs="Times New Roman"/>
          <w:b/>
          <w:bCs/>
          <w:sz w:val="24"/>
          <w:szCs w:val="24"/>
          <w:lang w:val="en-US" w:eastAsia="en-IE"/>
        </w:rPr>
      </w:pPr>
      <w:r w:rsidRPr="001E030C">
        <w:rPr>
          <w:rFonts w:ascii="Times New Roman" w:eastAsia="Times New Roman" w:hAnsi="Times New Roman" w:cs="Times New Roman"/>
          <w:b/>
          <w:bCs/>
          <w:sz w:val="24"/>
          <w:szCs w:val="24"/>
          <w:lang w:val="en-US" w:eastAsia="en-IE"/>
        </w:rPr>
        <w:t>ARTHROPHARM (EUROPE) LIMITED</w:t>
      </w:r>
    </w:p>
    <w:p w14:paraId="5E197485" w14:textId="77777777" w:rsidR="001E030C" w:rsidRPr="001E030C" w:rsidRDefault="001E030C" w:rsidP="001E030C">
      <w:pPr>
        <w:spacing w:after="0" w:line="240" w:lineRule="auto"/>
        <w:jc w:val="center"/>
        <w:rPr>
          <w:rFonts w:ascii="Times New Roman" w:eastAsia="Times New Roman" w:hAnsi="Times New Roman" w:cs="Times New Roman"/>
          <w:b/>
          <w:bCs/>
          <w:sz w:val="24"/>
          <w:szCs w:val="24"/>
          <w:lang w:val="en-US" w:eastAsia="en-IE"/>
        </w:rPr>
      </w:pPr>
    </w:p>
    <w:p w14:paraId="119805A2" w14:textId="77777777" w:rsidR="001E030C" w:rsidRPr="001E030C" w:rsidRDefault="001E030C" w:rsidP="001E030C">
      <w:pPr>
        <w:spacing w:after="0" w:line="240" w:lineRule="auto"/>
        <w:jc w:val="right"/>
        <w:rPr>
          <w:rFonts w:ascii="Times New Roman" w:eastAsia="Times New Roman" w:hAnsi="Times New Roman" w:cs="Times New Roman"/>
          <w:b/>
          <w:bCs/>
          <w:sz w:val="24"/>
          <w:szCs w:val="24"/>
          <w:lang w:val="en-US" w:eastAsia="en-IE"/>
        </w:rPr>
      </w:pPr>
      <w:r>
        <w:rPr>
          <w:rFonts w:ascii="Times New Roman" w:eastAsia="Times New Roman" w:hAnsi="Times New Roman" w:cs="Times New Roman"/>
          <w:b/>
          <w:bCs/>
          <w:sz w:val="24"/>
          <w:szCs w:val="24"/>
          <w:lang w:val="en-US" w:eastAsia="en-IE"/>
        </w:rPr>
        <w:t>APPLICANT/</w:t>
      </w:r>
      <w:r w:rsidRPr="001E030C">
        <w:rPr>
          <w:rFonts w:ascii="Times New Roman" w:eastAsia="Times New Roman" w:hAnsi="Times New Roman" w:cs="Times New Roman"/>
          <w:b/>
          <w:bCs/>
          <w:sz w:val="24"/>
          <w:szCs w:val="24"/>
          <w:lang w:val="en-US" w:eastAsia="en-IE"/>
        </w:rPr>
        <w:t>APPELLANT</w:t>
      </w:r>
    </w:p>
    <w:p w14:paraId="101CE03C" w14:textId="77777777" w:rsidR="001E030C" w:rsidRPr="001E030C" w:rsidRDefault="001E030C" w:rsidP="001E030C">
      <w:pPr>
        <w:spacing w:after="0" w:line="240" w:lineRule="auto"/>
        <w:jc w:val="center"/>
        <w:rPr>
          <w:rFonts w:ascii="Times New Roman" w:eastAsia="Times New Roman" w:hAnsi="Times New Roman" w:cs="Times New Roman"/>
          <w:b/>
          <w:bCs/>
          <w:sz w:val="24"/>
          <w:szCs w:val="24"/>
          <w:lang w:val="en-US" w:eastAsia="en-IE"/>
        </w:rPr>
      </w:pPr>
      <w:r>
        <w:rPr>
          <w:rFonts w:ascii="Times New Roman" w:eastAsia="Times New Roman" w:hAnsi="Times New Roman" w:cs="Times New Roman"/>
          <w:b/>
          <w:bCs/>
          <w:sz w:val="24"/>
          <w:szCs w:val="24"/>
          <w:lang w:val="en-US" w:eastAsia="en-IE"/>
        </w:rPr>
        <w:t xml:space="preserve">- </w:t>
      </w:r>
      <w:r w:rsidRPr="001E030C">
        <w:rPr>
          <w:rFonts w:ascii="Times New Roman" w:eastAsia="Times New Roman" w:hAnsi="Times New Roman" w:cs="Times New Roman"/>
          <w:b/>
          <w:bCs/>
          <w:sz w:val="24"/>
          <w:szCs w:val="24"/>
          <w:lang w:val="en-US" w:eastAsia="en-IE"/>
        </w:rPr>
        <w:t>AND</w:t>
      </w:r>
      <w:r>
        <w:rPr>
          <w:rFonts w:ascii="Times New Roman" w:eastAsia="Times New Roman" w:hAnsi="Times New Roman" w:cs="Times New Roman"/>
          <w:b/>
          <w:bCs/>
          <w:sz w:val="24"/>
          <w:szCs w:val="24"/>
          <w:lang w:val="en-US" w:eastAsia="en-IE"/>
        </w:rPr>
        <w:t xml:space="preserve"> -</w:t>
      </w:r>
    </w:p>
    <w:p w14:paraId="3ED3231B" w14:textId="77777777" w:rsidR="001E030C" w:rsidRPr="001E030C" w:rsidRDefault="001E030C" w:rsidP="001E030C">
      <w:pPr>
        <w:spacing w:after="0" w:line="240" w:lineRule="auto"/>
        <w:rPr>
          <w:rFonts w:ascii="Times New Roman" w:eastAsia="Times New Roman" w:hAnsi="Times New Roman" w:cs="Times New Roman"/>
          <w:b/>
          <w:bCs/>
          <w:sz w:val="24"/>
          <w:szCs w:val="24"/>
          <w:lang w:val="en-US" w:eastAsia="en-IE"/>
        </w:rPr>
      </w:pPr>
    </w:p>
    <w:p w14:paraId="44F69D52" w14:textId="77777777" w:rsidR="001E030C" w:rsidRDefault="001E030C" w:rsidP="001E030C">
      <w:pPr>
        <w:spacing w:after="0" w:line="240" w:lineRule="auto"/>
        <w:jc w:val="center"/>
        <w:rPr>
          <w:rFonts w:ascii="Times New Roman" w:eastAsia="Times New Roman" w:hAnsi="Times New Roman" w:cs="Times New Roman"/>
          <w:b/>
          <w:bCs/>
          <w:sz w:val="24"/>
          <w:szCs w:val="24"/>
          <w:lang w:val="en-US" w:eastAsia="en-IE"/>
        </w:rPr>
      </w:pPr>
      <w:r w:rsidRPr="001E030C">
        <w:rPr>
          <w:rFonts w:ascii="Times New Roman" w:eastAsia="Times New Roman" w:hAnsi="Times New Roman" w:cs="Times New Roman"/>
          <w:b/>
          <w:bCs/>
          <w:sz w:val="24"/>
          <w:szCs w:val="24"/>
          <w:lang w:val="en-US" w:eastAsia="en-IE"/>
        </w:rPr>
        <w:t>THE HEALTH PRODUCTS REGULATORY AUTHORITY</w:t>
      </w:r>
    </w:p>
    <w:p w14:paraId="43FE3CD0" w14:textId="77777777" w:rsidR="001E030C" w:rsidRPr="001E030C" w:rsidRDefault="001E030C" w:rsidP="001E030C">
      <w:pPr>
        <w:spacing w:after="0" w:line="240" w:lineRule="auto"/>
        <w:jc w:val="center"/>
        <w:rPr>
          <w:rFonts w:ascii="Times New Roman" w:eastAsia="Times New Roman" w:hAnsi="Times New Roman" w:cs="Times New Roman"/>
          <w:b/>
          <w:bCs/>
          <w:sz w:val="24"/>
          <w:szCs w:val="24"/>
          <w:lang w:val="en-US" w:eastAsia="en-IE"/>
        </w:rPr>
      </w:pPr>
    </w:p>
    <w:p w14:paraId="0B6FD23B" w14:textId="77777777" w:rsidR="001E030C" w:rsidRPr="001E030C" w:rsidRDefault="001E030C" w:rsidP="001E030C">
      <w:pPr>
        <w:spacing w:after="0" w:line="240" w:lineRule="auto"/>
        <w:jc w:val="right"/>
        <w:rPr>
          <w:rFonts w:ascii="Times New Roman" w:eastAsia="Times New Roman" w:hAnsi="Times New Roman" w:cs="Times New Roman"/>
          <w:b/>
          <w:bCs/>
          <w:sz w:val="24"/>
          <w:szCs w:val="24"/>
          <w:lang w:val="en-US" w:eastAsia="en-IE"/>
        </w:rPr>
      </w:pPr>
      <w:r w:rsidRPr="001E030C">
        <w:rPr>
          <w:rFonts w:ascii="Times New Roman" w:eastAsia="Times New Roman" w:hAnsi="Times New Roman" w:cs="Times New Roman"/>
          <w:b/>
          <w:bCs/>
          <w:sz w:val="24"/>
          <w:szCs w:val="24"/>
          <w:lang w:val="en-US" w:eastAsia="en-IE"/>
        </w:rPr>
        <w:t>RESPONDENT</w:t>
      </w:r>
    </w:p>
    <w:p w14:paraId="5BE0CCAA" w14:textId="77777777" w:rsidR="001E030C" w:rsidRDefault="001E030C" w:rsidP="001E030C">
      <w:pPr>
        <w:spacing w:after="0" w:line="240" w:lineRule="auto"/>
        <w:jc w:val="center"/>
        <w:rPr>
          <w:rFonts w:ascii="Times New Roman" w:eastAsia="Times New Roman" w:hAnsi="Times New Roman" w:cs="Times New Roman"/>
          <w:b/>
          <w:bCs/>
          <w:sz w:val="24"/>
          <w:szCs w:val="24"/>
          <w:lang w:val="en-US" w:eastAsia="en-IE"/>
        </w:rPr>
      </w:pPr>
      <w:r>
        <w:rPr>
          <w:rFonts w:ascii="Times New Roman" w:eastAsia="Times New Roman" w:hAnsi="Times New Roman" w:cs="Times New Roman"/>
          <w:b/>
          <w:bCs/>
          <w:sz w:val="24"/>
          <w:szCs w:val="24"/>
          <w:lang w:val="en-US" w:eastAsia="en-IE"/>
        </w:rPr>
        <w:t xml:space="preserve">- </w:t>
      </w:r>
      <w:r w:rsidRPr="001E030C">
        <w:rPr>
          <w:rFonts w:ascii="Times New Roman" w:eastAsia="Times New Roman" w:hAnsi="Times New Roman" w:cs="Times New Roman"/>
          <w:b/>
          <w:bCs/>
          <w:sz w:val="24"/>
          <w:szCs w:val="24"/>
          <w:lang w:val="en-US" w:eastAsia="en-IE"/>
        </w:rPr>
        <w:t>AND</w:t>
      </w:r>
      <w:r>
        <w:rPr>
          <w:rFonts w:ascii="Times New Roman" w:eastAsia="Times New Roman" w:hAnsi="Times New Roman" w:cs="Times New Roman"/>
          <w:b/>
          <w:bCs/>
          <w:sz w:val="24"/>
          <w:szCs w:val="24"/>
          <w:lang w:val="en-US" w:eastAsia="en-IE"/>
        </w:rPr>
        <w:t xml:space="preserve"> -</w:t>
      </w:r>
    </w:p>
    <w:p w14:paraId="5A188E8A" w14:textId="77777777" w:rsidR="001E030C" w:rsidRPr="001E030C" w:rsidRDefault="001E030C" w:rsidP="001E030C">
      <w:pPr>
        <w:spacing w:after="0" w:line="240" w:lineRule="auto"/>
        <w:jc w:val="center"/>
        <w:rPr>
          <w:rFonts w:ascii="Times New Roman" w:eastAsia="Times New Roman" w:hAnsi="Times New Roman" w:cs="Times New Roman"/>
          <w:b/>
          <w:bCs/>
          <w:sz w:val="24"/>
          <w:szCs w:val="24"/>
          <w:lang w:val="en-US" w:eastAsia="en-IE"/>
        </w:rPr>
      </w:pPr>
    </w:p>
    <w:p w14:paraId="7B213CD7" w14:textId="77777777" w:rsidR="001E030C" w:rsidRDefault="001E030C" w:rsidP="001E030C">
      <w:pPr>
        <w:spacing w:after="0" w:line="240" w:lineRule="auto"/>
        <w:jc w:val="center"/>
        <w:rPr>
          <w:rFonts w:ascii="Times New Roman" w:eastAsia="Times New Roman" w:hAnsi="Times New Roman" w:cs="Times New Roman"/>
          <w:b/>
          <w:bCs/>
          <w:sz w:val="24"/>
          <w:szCs w:val="24"/>
          <w:lang w:val="en-US" w:eastAsia="en-IE"/>
        </w:rPr>
      </w:pPr>
      <w:r w:rsidRPr="001E030C">
        <w:rPr>
          <w:rFonts w:ascii="Times New Roman" w:eastAsia="Times New Roman" w:hAnsi="Times New Roman" w:cs="Times New Roman"/>
          <w:b/>
          <w:bCs/>
          <w:sz w:val="24"/>
          <w:szCs w:val="24"/>
          <w:lang w:val="en-US" w:eastAsia="en-IE"/>
        </w:rPr>
        <w:t>CHANELLE PHARMACEUTICALS MANUFACTURING LIMITED</w:t>
      </w:r>
    </w:p>
    <w:p w14:paraId="4527F5D9" w14:textId="77777777" w:rsidR="001E030C" w:rsidRPr="001E030C" w:rsidRDefault="001E030C" w:rsidP="001E030C">
      <w:pPr>
        <w:spacing w:after="0" w:line="240" w:lineRule="auto"/>
        <w:jc w:val="center"/>
        <w:rPr>
          <w:rFonts w:ascii="Times New Roman" w:eastAsia="Times New Roman" w:hAnsi="Times New Roman" w:cs="Times New Roman"/>
          <w:b/>
          <w:bCs/>
          <w:sz w:val="24"/>
          <w:szCs w:val="24"/>
          <w:lang w:val="en-US" w:eastAsia="en-IE"/>
        </w:rPr>
      </w:pPr>
    </w:p>
    <w:p w14:paraId="290F557C" w14:textId="77777777" w:rsidR="001E030C" w:rsidRDefault="001E030C" w:rsidP="001E030C">
      <w:pPr>
        <w:spacing w:after="0" w:line="240" w:lineRule="auto"/>
        <w:jc w:val="right"/>
        <w:rPr>
          <w:rFonts w:ascii="Times New Roman" w:eastAsia="Times New Roman" w:hAnsi="Times New Roman" w:cs="Times New Roman"/>
          <w:b/>
          <w:bCs/>
          <w:sz w:val="24"/>
          <w:szCs w:val="24"/>
          <w:lang w:val="en-US" w:eastAsia="en-IE"/>
        </w:rPr>
      </w:pPr>
      <w:r w:rsidRPr="001E030C">
        <w:rPr>
          <w:rFonts w:ascii="Times New Roman" w:eastAsia="Times New Roman" w:hAnsi="Times New Roman" w:cs="Times New Roman"/>
          <w:b/>
          <w:bCs/>
          <w:sz w:val="24"/>
          <w:szCs w:val="24"/>
          <w:lang w:val="en-US" w:eastAsia="en-IE"/>
        </w:rPr>
        <w:t>NOTICE PARTY</w:t>
      </w:r>
    </w:p>
    <w:p w14:paraId="4C4F2CBE" w14:textId="77777777" w:rsidR="001E030C" w:rsidRPr="001E030C" w:rsidRDefault="001E030C" w:rsidP="001E030C">
      <w:pPr>
        <w:spacing w:after="0" w:line="240" w:lineRule="auto"/>
        <w:jc w:val="right"/>
        <w:rPr>
          <w:rFonts w:ascii="Times New Roman" w:eastAsia="Times New Roman" w:hAnsi="Times New Roman" w:cs="Times New Roman"/>
          <w:b/>
          <w:bCs/>
          <w:sz w:val="24"/>
          <w:szCs w:val="24"/>
          <w:lang w:val="en-US" w:eastAsia="en-IE"/>
        </w:rPr>
      </w:pPr>
    </w:p>
    <w:p w14:paraId="147465CB" w14:textId="77777777" w:rsidR="001E030C" w:rsidRPr="00357E4A" w:rsidRDefault="001E030C" w:rsidP="001E030C">
      <w:pPr>
        <w:spacing w:after="0" w:line="240" w:lineRule="auto"/>
        <w:rPr>
          <w:rFonts w:ascii="Times New Roman" w:eastAsia="Times New Roman" w:hAnsi="Times New Roman" w:cs="Times New Roman"/>
          <w:b/>
          <w:sz w:val="24"/>
          <w:szCs w:val="24"/>
          <w:lang w:eastAsia="en-IE"/>
        </w:rPr>
      </w:pPr>
    </w:p>
    <w:p w14:paraId="5071DE62" w14:textId="77777777" w:rsidR="004E0659" w:rsidRDefault="004E0659" w:rsidP="001E030C">
      <w:pPr>
        <w:jc w:val="center"/>
        <w:rPr>
          <w:rFonts w:ascii="Times New Roman" w:eastAsia="Times New Roman" w:hAnsi="Times New Roman" w:cs="Times New Roman"/>
          <w:b/>
          <w:sz w:val="24"/>
          <w:szCs w:val="24"/>
          <w:u w:val="single"/>
          <w:lang w:eastAsia="en-IE"/>
        </w:rPr>
      </w:pPr>
    </w:p>
    <w:p w14:paraId="3B6D33F0" w14:textId="77777777" w:rsidR="004E0659" w:rsidRDefault="004E0659" w:rsidP="001E030C">
      <w:pPr>
        <w:jc w:val="center"/>
        <w:rPr>
          <w:rFonts w:ascii="Times New Roman" w:eastAsia="Times New Roman" w:hAnsi="Times New Roman" w:cs="Times New Roman"/>
          <w:b/>
          <w:sz w:val="24"/>
          <w:szCs w:val="24"/>
          <w:u w:val="single"/>
          <w:lang w:eastAsia="en-IE"/>
        </w:rPr>
      </w:pPr>
    </w:p>
    <w:p w14:paraId="676E4BF6" w14:textId="77777777" w:rsidR="004E0659" w:rsidRDefault="004E0659" w:rsidP="001E030C">
      <w:pPr>
        <w:jc w:val="center"/>
        <w:rPr>
          <w:rFonts w:ascii="Times New Roman" w:eastAsia="Times New Roman" w:hAnsi="Times New Roman" w:cs="Times New Roman"/>
          <w:b/>
          <w:sz w:val="24"/>
          <w:szCs w:val="24"/>
          <w:u w:val="single"/>
          <w:lang w:eastAsia="en-IE"/>
        </w:rPr>
      </w:pPr>
    </w:p>
    <w:p w14:paraId="0D650B0A" w14:textId="1798D3C9" w:rsidR="001E030C" w:rsidRDefault="001E030C" w:rsidP="001E030C">
      <w:pPr>
        <w:jc w:val="center"/>
        <w:rPr>
          <w:rFonts w:ascii="Times New Roman" w:eastAsia="Times New Roman" w:hAnsi="Times New Roman" w:cs="Times New Roman"/>
          <w:b/>
          <w:sz w:val="24"/>
          <w:szCs w:val="24"/>
          <w:u w:val="single"/>
          <w:lang w:eastAsia="en-IE"/>
        </w:rPr>
      </w:pPr>
      <w:r w:rsidRPr="00357E4A">
        <w:rPr>
          <w:rFonts w:ascii="Times New Roman" w:eastAsia="Times New Roman" w:hAnsi="Times New Roman" w:cs="Times New Roman"/>
          <w:b/>
          <w:sz w:val="24"/>
          <w:szCs w:val="24"/>
          <w:u w:val="single"/>
          <w:lang w:eastAsia="en-IE"/>
        </w:rPr>
        <w:t xml:space="preserve">JUDGMENT of Mr. Justice Murray delivered on the </w:t>
      </w:r>
      <w:r w:rsidR="001F7721">
        <w:rPr>
          <w:rFonts w:ascii="Times New Roman" w:eastAsia="Times New Roman" w:hAnsi="Times New Roman" w:cs="Times New Roman"/>
          <w:b/>
          <w:sz w:val="24"/>
          <w:szCs w:val="24"/>
          <w:u w:val="single"/>
          <w:lang w:eastAsia="en-IE"/>
        </w:rPr>
        <w:t>10</w:t>
      </w:r>
      <w:r w:rsidR="001F7721" w:rsidRPr="001F7721">
        <w:rPr>
          <w:rFonts w:ascii="Times New Roman" w:eastAsia="Times New Roman" w:hAnsi="Times New Roman" w:cs="Times New Roman"/>
          <w:b/>
          <w:sz w:val="24"/>
          <w:szCs w:val="24"/>
          <w:u w:val="single"/>
          <w:vertAlign w:val="superscript"/>
          <w:lang w:eastAsia="en-IE"/>
        </w:rPr>
        <w:t>th</w:t>
      </w:r>
      <w:r w:rsidR="001F7721">
        <w:rPr>
          <w:rFonts w:ascii="Times New Roman" w:eastAsia="Times New Roman" w:hAnsi="Times New Roman" w:cs="Times New Roman"/>
          <w:b/>
          <w:sz w:val="24"/>
          <w:szCs w:val="24"/>
          <w:u w:val="single"/>
          <w:lang w:eastAsia="en-IE"/>
        </w:rPr>
        <w:t xml:space="preserve"> </w:t>
      </w:r>
      <w:r>
        <w:rPr>
          <w:rFonts w:ascii="Times New Roman" w:eastAsia="Times New Roman" w:hAnsi="Times New Roman" w:cs="Times New Roman"/>
          <w:b/>
          <w:sz w:val="24"/>
          <w:szCs w:val="24"/>
          <w:u w:val="single"/>
          <w:lang w:eastAsia="en-IE"/>
        </w:rPr>
        <w:t xml:space="preserve"> day</w:t>
      </w:r>
      <w:r w:rsidRPr="00357E4A">
        <w:rPr>
          <w:rFonts w:ascii="Times New Roman" w:eastAsia="Times New Roman" w:hAnsi="Times New Roman" w:cs="Times New Roman"/>
          <w:b/>
          <w:sz w:val="24"/>
          <w:szCs w:val="24"/>
          <w:u w:val="single"/>
          <w:lang w:eastAsia="en-IE"/>
        </w:rPr>
        <w:t xml:space="preserve"> of</w:t>
      </w:r>
      <w:r w:rsidR="00931AD3">
        <w:rPr>
          <w:rFonts w:ascii="Times New Roman" w:eastAsia="Times New Roman" w:hAnsi="Times New Roman" w:cs="Times New Roman"/>
          <w:b/>
          <w:sz w:val="24"/>
          <w:szCs w:val="24"/>
          <w:u w:val="single"/>
          <w:lang w:eastAsia="en-IE"/>
        </w:rPr>
        <w:t xml:space="preserve"> </w:t>
      </w:r>
      <w:r w:rsidR="000763E9">
        <w:rPr>
          <w:rFonts w:ascii="Times New Roman" w:eastAsia="Times New Roman" w:hAnsi="Times New Roman" w:cs="Times New Roman"/>
          <w:b/>
          <w:sz w:val="24"/>
          <w:szCs w:val="24"/>
          <w:u w:val="single"/>
          <w:lang w:eastAsia="en-IE"/>
        </w:rPr>
        <w:t>May</w:t>
      </w:r>
      <w:r w:rsidRPr="00357E4A">
        <w:rPr>
          <w:rFonts w:ascii="Times New Roman" w:eastAsia="Times New Roman" w:hAnsi="Times New Roman" w:cs="Times New Roman"/>
          <w:b/>
          <w:sz w:val="24"/>
          <w:szCs w:val="24"/>
          <w:u w:val="single"/>
          <w:lang w:eastAsia="en-IE"/>
        </w:rPr>
        <w:t xml:space="preserve"> 2022</w:t>
      </w:r>
    </w:p>
    <w:p w14:paraId="78653CF8" w14:textId="77777777" w:rsidR="00ED64A5" w:rsidRDefault="00ED64A5"/>
    <w:p w14:paraId="5EE0FB17" w14:textId="77777777" w:rsidR="001E030C" w:rsidRDefault="001E030C"/>
    <w:p w14:paraId="780D8B14" w14:textId="77777777" w:rsidR="001E030C" w:rsidRPr="004E0659" w:rsidRDefault="001E030C">
      <w:pPr>
        <w:rPr>
          <w:b/>
          <w:i/>
        </w:rPr>
      </w:pPr>
    </w:p>
    <w:p w14:paraId="3A9D636B" w14:textId="77777777" w:rsidR="001E030C" w:rsidRDefault="004E0659" w:rsidP="004E3C0E">
      <w:pPr>
        <w:ind w:left="66" w:firstLine="720"/>
        <w:jc w:val="both"/>
        <w:rPr>
          <w:rFonts w:ascii="Times New Roman" w:hAnsi="Times New Roman" w:cs="Times New Roman"/>
          <w:b/>
          <w:sz w:val="24"/>
          <w:szCs w:val="24"/>
        </w:rPr>
      </w:pPr>
      <w:r>
        <w:rPr>
          <w:rFonts w:ascii="Times New Roman" w:hAnsi="Times New Roman" w:cs="Times New Roman"/>
          <w:b/>
          <w:i/>
          <w:sz w:val="24"/>
          <w:szCs w:val="24"/>
        </w:rPr>
        <w:t xml:space="preserve">The </w:t>
      </w:r>
      <w:r w:rsidR="001F275D">
        <w:rPr>
          <w:rFonts w:ascii="Times New Roman" w:hAnsi="Times New Roman" w:cs="Times New Roman"/>
          <w:b/>
          <w:i/>
          <w:sz w:val="24"/>
          <w:szCs w:val="24"/>
        </w:rPr>
        <w:t>basic</w:t>
      </w:r>
      <w:r>
        <w:rPr>
          <w:rFonts w:ascii="Times New Roman" w:hAnsi="Times New Roman" w:cs="Times New Roman"/>
          <w:b/>
          <w:i/>
          <w:sz w:val="24"/>
          <w:szCs w:val="24"/>
        </w:rPr>
        <w:t xml:space="preserve"> facts</w:t>
      </w:r>
    </w:p>
    <w:p w14:paraId="42FBE21A" w14:textId="77777777" w:rsidR="004E0659" w:rsidRDefault="004E0659" w:rsidP="004E0659">
      <w:pPr>
        <w:jc w:val="both"/>
        <w:rPr>
          <w:rFonts w:ascii="Times New Roman" w:hAnsi="Times New Roman" w:cs="Times New Roman"/>
          <w:b/>
          <w:sz w:val="24"/>
          <w:szCs w:val="24"/>
        </w:rPr>
      </w:pPr>
    </w:p>
    <w:p w14:paraId="541DDE4E" w14:textId="4D001997" w:rsidR="002331B9" w:rsidRPr="002331B9" w:rsidRDefault="004E0659" w:rsidP="00247C2E">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sz w:val="24"/>
          <w:szCs w:val="24"/>
        </w:rPr>
        <w:t>Cartrophen Vet 100 mg/ml solution for injection (‘Cartrophen’) is a veterinary medicinal product</w:t>
      </w:r>
      <w:r w:rsidR="00C261BB">
        <w:rPr>
          <w:rFonts w:ascii="Times New Roman" w:hAnsi="Times New Roman" w:cs="Times New Roman"/>
          <w:sz w:val="24"/>
          <w:szCs w:val="24"/>
        </w:rPr>
        <w:t xml:space="preserve">.  It is </w:t>
      </w:r>
      <w:r w:rsidR="004E3C0E">
        <w:rPr>
          <w:rFonts w:ascii="Times New Roman" w:hAnsi="Times New Roman" w:cs="Times New Roman"/>
          <w:sz w:val="24"/>
          <w:szCs w:val="24"/>
        </w:rPr>
        <w:t xml:space="preserve">used in </w:t>
      </w:r>
      <w:r w:rsidR="00C261BB">
        <w:rPr>
          <w:rFonts w:ascii="Times New Roman" w:hAnsi="Times New Roman" w:cs="Times New Roman"/>
          <w:sz w:val="24"/>
          <w:szCs w:val="24"/>
        </w:rPr>
        <w:t>the treatment of osteoarthritis</w:t>
      </w:r>
      <w:r w:rsidR="004E3C0E">
        <w:rPr>
          <w:rFonts w:ascii="Times New Roman" w:hAnsi="Times New Roman" w:cs="Times New Roman"/>
          <w:sz w:val="24"/>
          <w:szCs w:val="24"/>
        </w:rPr>
        <w:t xml:space="preserve"> in dogs</w:t>
      </w:r>
      <w:r w:rsidR="00C261BB">
        <w:rPr>
          <w:rFonts w:ascii="Times New Roman" w:hAnsi="Times New Roman" w:cs="Times New Roman"/>
          <w:sz w:val="24"/>
          <w:szCs w:val="24"/>
        </w:rPr>
        <w:t xml:space="preserve">. </w:t>
      </w:r>
      <w:r>
        <w:rPr>
          <w:rFonts w:ascii="Times New Roman" w:hAnsi="Times New Roman" w:cs="Times New Roman"/>
          <w:sz w:val="24"/>
          <w:szCs w:val="24"/>
        </w:rPr>
        <w:t xml:space="preserve"> </w:t>
      </w:r>
      <w:r w:rsidR="000F4BF2">
        <w:rPr>
          <w:rFonts w:ascii="Times New Roman" w:hAnsi="Times New Roman" w:cs="Times New Roman"/>
          <w:sz w:val="24"/>
          <w:szCs w:val="24"/>
        </w:rPr>
        <w:t>As a medicinal product, it can only be placed on the market in an EU Member State if</w:t>
      </w:r>
      <w:r w:rsidR="00DB550E">
        <w:rPr>
          <w:rFonts w:ascii="Times New Roman" w:hAnsi="Times New Roman" w:cs="Times New Roman"/>
          <w:sz w:val="24"/>
          <w:szCs w:val="24"/>
        </w:rPr>
        <w:t xml:space="preserve"> it is</w:t>
      </w:r>
      <w:r w:rsidR="000F4BF2">
        <w:rPr>
          <w:rFonts w:ascii="Times New Roman" w:hAnsi="Times New Roman" w:cs="Times New Roman"/>
          <w:sz w:val="24"/>
          <w:szCs w:val="24"/>
        </w:rPr>
        <w:t xml:space="preserve"> </w:t>
      </w:r>
      <w:r w:rsidR="00655696">
        <w:rPr>
          <w:rFonts w:ascii="Times New Roman" w:hAnsi="Times New Roman" w:cs="Times New Roman"/>
          <w:sz w:val="24"/>
          <w:szCs w:val="24"/>
        </w:rPr>
        <w:t xml:space="preserve">the subject of </w:t>
      </w:r>
      <w:r w:rsidR="000F4BF2">
        <w:rPr>
          <w:rFonts w:ascii="Times New Roman" w:hAnsi="Times New Roman" w:cs="Times New Roman"/>
          <w:sz w:val="24"/>
          <w:szCs w:val="24"/>
        </w:rPr>
        <w:t xml:space="preserve">a marketing authorisation. </w:t>
      </w:r>
      <w:r w:rsidR="00247C2E" w:rsidRPr="00247C2E">
        <w:rPr>
          <w:rFonts w:ascii="Times New Roman" w:hAnsi="Times New Roman" w:cs="Times New Roman"/>
          <w:sz w:val="24"/>
          <w:szCs w:val="24"/>
        </w:rPr>
        <w:t xml:space="preserve">The respondent (‘HPRA’) is the competent authority responsible for the grant in the State of </w:t>
      </w:r>
      <w:r w:rsidR="002331B9">
        <w:rPr>
          <w:rFonts w:ascii="Times New Roman" w:hAnsi="Times New Roman" w:cs="Times New Roman"/>
          <w:sz w:val="24"/>
          <w:szCs w:val="24"/>
        </w:rPr>
        <w:t xml:space="preserve">such </w:t>
      </w:r>
      <w:r w:rsidR="00247C2E" w:rsidRPr="00247C2E">
        <w:rPr>
          <w:rFonts w:ascii="Times New Roman" w:hAnsi="Times New Roman" w:cs="Times New Roman"/>
          <w:sz w:val="24"/>
          <w:szCs w:val="24"/>
        </w:rPr>
        <w:t>authorisations.  I</w:t>
      </w:r>
      <w:r w:rsidR="00655696" w:rsidRPr="00247C2E">
        <w:rPr>
          <w:rFonts w:ascii="Times New Roman" w:hAnsi="Times New Roman" w:cs="Times New Roman"/>
          <w:sz w:val="24"/>
          <w:szCs w:val="24"/>
        </w:rPr>
        <w:t xml:space="preserve">n October 1991 </w:t>
      </w:r>
      <w:r w:rsidR="00247C2E" w:rsidRPr="00247C2E">
        <w:rPr>
          <w:rFonts w:ascii="Times New Roman" w:hAnsi="Times New Roman" w:cs="Times New Roman"/>
          <w:sz w:val="24"/>
          <w:szCs w:val="24"/>
        </w:rPr>
        <w:t>HPRA</w:t>
      </w:r>
      <w:r w:rsidR="00247C2E">
        <w:rPr>
          <w:rStyle w:val="FootnoteReference"/>
          <w:rFonts w:ascii="Times New Roman" w:hAnsi="Times New Roman" w:cs="Times New Roman"/>
          <w:sz w:val="24"/>
          <w:szCs w:val="24"/>
        </w:rPr>
        <w:footnoteReference w:id="1"/>
      </w:r>
      <w:r w:rsidR="00247C2E" w:rsidRPr="00247C2E">
        <w:rPr>
          <w:rFonts w:ascii="Times New Roman" w:hAnsi="Times New Roman" w:cs="Times New Roman"/>
          <w:sz w:val="24"/>
          <w:szCs w:val="24"/>
        </w:rPr>
        <w:t xml:space="preserve"> granted </w:t>
      </w:r>
      <w:r w:rsidR="00655696" w:rsidRPr="00247C2E">
        <w:rPr>
          <w:rFonts w:ascii="Times New Roman" w:hAnsi="Times New Roman" w:cs="Times New Roman"/>
          <w:sz w:val="24"/>
          <w:szCs w:val="24"/>
        </w:rPr>
        <w:t>the applicant (‘Arthropharm’</w:t>
      </w:r>
      <w:r w:rsidR="00247C2E" w:rsidRPr="00247C2E">
        <w:rPr>
          <w:rFonts w:ascii="Times New Roman" w:hAnsi="Times New Roman" w:cs="Times New Roman"/>
          <w:sz w:val="24"/>
          <w:szCs w:val="24"/>
        </w:rPr>
        <w:t xml:space="preserve">) </w:t>
      </w:r>
      <w:r w:rsidR="002331B9">
        <w:rPr>
          <w:rFonts w:ascii="Times New Roman" w:hAnsi="Times New Roman" w:cs="Times New Roman"/>
          <w:sz w:val="24"/>
          <w:szCs w:val="24"/>
        </w:rPr>
        <w:t xml:space="preserve">a </w:t>
      </w:r>
      <w:r w:rsidR="006C3287">
        <w:rPr>
          <w:rFonts w:ascii="Times New Roman" w:hAnsi="Times New Roman" w:cs="Times New Roman"/>
          <w:sz w:val="24"/>
          <w:szCs w:val="24"/>
        </w:rPr>
        <w:t xml:space="preserve">relevant </w:t>
      </w:r>
      <w:r w:rsidR="00655696" w:rsidRPr="00247C2E">
        <w:rPr>
          <w:rFonts w:ascii="Times New Roman" w:hAnsi="Times New Roman" w:cs="Times New Roman"/>
          <w:sz w:val="24"/>
          <w:szCs w:val="24"/>
        </w:rPr>
        <w:t xml:space="preserve">authorisation </w:t>
      </w:r>
      <w:r w:rsidR="00247C2E" w:rsidRPr="00247C2E">
        <w:rPr>
          <w:rFonts w:ascii="Times New Roman" w:hAnsi="Times New Roman" w:cs="Times New Roman"/>
          <w:sz w:val="24"/>
          <w:szCs w:val="24"/>
        </w:rPr>
        <w:t xml:space="preserve">in respect of </w:t>
      </w:r>
      <w:r w:rsidR="00655696" w:rsidRPr="00247C2E">
        <w:rPr>
          <w:rFonts w:ascii="Times New Roman" w:hAnsi="Times New Roman" w:cs="Times New Roman"/>
          <w:sz w:val="24"/>
          <w:szCs w:val="24"/>
        </w:rPr>
        <w:t>Cartrophen.</w:t>
      </w:r>
      <w:r w:rsidR="002331B9">
        <w:rPr>
          <w:rFonts w:ascii="Times New Roman" w:hAnsi="Times New Roman" w:cs="Times New Roman"/>
          <w:sz w:val="24"/>
          <w:szCs w:val="24"/>
        </w:rPr>
        <w:t xml:space="preserve"> </w:t>
      </w:r>
    </w:p>
    <w:p w14:paraId="18E62E87" w14:textId="77777777" w:rsidR="002331B9" w:rsidRPr="002331B9" w:rsidRDefault="002331B9" w:rsidP="002331B9">
      <w:pPr>
        <w:pStyle w:val="ListParagraph"/>
        <w:spacing w:line="480" w:lineRule="auto"/>
        <w:ind w:left="786"/>
        <w:jc w:val="both"/>
        <w:rPr>
          <w:rFonts w:ascii="Times New Roman" w:hAnsi="Times New Roman" w:cs="Times New Roman"/>
          <w:b/>
          <w:sz w:val="24"/>
          <w:szCs w:val="24"/>
        </w:rPr>
      </w:pPr>
      <w:r>
        <w:rPr>
          <w:rFonts w:ascii="Times New Roman" w:hAnsi="Times New Roman" w:cs="Times New Roman"/>
          <w:sz w:val="24"/>
          <w:szCs w:val="24"/>
        </w:rPr>
        <w:t xml:space="preserve">  </w:t>
      </w:r>
    </w:p>
    <w:p w14:paraId="5193C2DD" w14:textId="686B04AC" w:rsidR="002331B9" w:rsidRPr="002331B9" w:rsidRDefault="002331B9" w:rsidP="00247C2E">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sz w:val="24"/>
          <w:szCs w:val="24"/>
        </w:rPr>
        <w:t>The legal regime governing such authorisation is now found in the provisions of the European Communities (Animal Remedies) (No. 2) Regulations 2007 (SI No. 786 of 2007) (‘the 2007 Regulations’) as amended.  The 2007 Regulations transposed into domestic law Directive 2001/82/EC of the European Parliament and of the Council of 6 November 2001 on the Community code relating to veterinary medicinal products (‘the 2001 Directive’).</w:t>
      </w:r>
      <w:r w:rsidR="00373BC7">
        <w:rPr>
          <w:rStyle w:val="FootnoteReference"/>
          <w:rFonts w:ascii="Times New Roman" w:hAnsi="Times New Roman" w:cs="Times New Roman"/>
          <w:sz w:val="24"/>
          <w:szCs w:val="24"/>
        </w:rPr>
        <w:footnoteReference w:id="2"/>
      </w:r>
    </w:p>
    <w:p w14:paraId="2CA77F9D" w14:textId="77777777" w:rsidR="002331B9" w:rsidRPr="002331B9" w:rsidRDefault="002331B9" w:rsidP="002331B9">
      <w:pPr>
        <w:pStyle w:val="ListParagraph"/>
        <w:rPr>
          <w:rFonts w:ascii="Times New Roman" w:hAnsi="Times New Roman" w:cs="Times New Roman"/>
          <w:sz w:val="24"/>
          <w:szCs w:val="24"/>
        </w:rPr>
      </w:pPr>
    </w:p>
    <w:p w14:paraId="30D77005" w14:textId="23278C74" w:rsidR="002331B9" w:rsidRPr="002331B9" w:rsidRDefault="008476B1" w:rsidP="00247C2E">
      <w:pPr>
        <w:pStyle w:val="ListParagraph"/>
        <w:numPr>
          <w:ilvl w:val="0"/>
          <w:numId w:val="1"/>
        </w:numPr>
        <w:spacing w:line="480" w:lineRule="auto"/>
        <w:jc w:val="both"/>
        <w:rPr>
          <w:rFonts w:ascii="Times New Roman" w:hAnsi="Times New Roman" w:cs="Times New Roman"/>
          <w:b/>
          <w:sz w:val="24"/>
          <w:szCs w:val="24"/>
        </w:rPr>
      </w:pPr>
      <w:r w:rsidRPr="00247C2E">
        <w:rPr>
          <w:rFonts w:ascii="Times New Roman" w:hAnsi="Times New Roman" w:cs="Times New Roman"/>
          <w:sz w:val="24"/>
          <w:szCs w:val="24"/>
        </w:rPr>
        <w:t>On 20 July 2018 HP</w:t>
      </w:r>
      <w:r w:rsidR="00894D61" w:rsidRPr="00247C2E">
        <w:rPr>
          <w:rFonts w:ascii="Times New Roman" w:hAnsi="Times New Roman" w:cs="Times New Roman"/>
          <w:sz w:val="24"/>
          <w:szCs w:val="24"/>
        </w:rPr>
        <w:t>R</w:t>
      </w:r>
      <w:r w:rsidRPr="00247C2E">
        <w:rPr>
          <w:rFonts w:ascii="Times New Roman" w:hAnsi="Times New Roman" w:cs="Times New Roman"/>
          <w:sz w:val="24"/>
          <w:szCs w:val="24"/>
        </w:rPr>
        <w:t>A</w:t>
      </w:r>
      <w:r w:rsidR="002331B9">
        <w:rPr>
          <w:rFonts w:ascii="Times New Roman" w:hAnsi="Times New Roman" w:cs="Times New Roman"/>
          <w:sz w:val="24"/>
          <w:szCs w:val="24"/>
        </w:rPr>
        <w:t xml:space="preserve"> </w:t>
      </w:r>
      <w:r w:rsidRPr="00247C2E">
        <w:rPr>
          <w:rFonts w:ascii="Times New Roman" w:hAnsi="Times New Roman" w:cs="Times New Roman"/>
          <w:sz w:val="24"/>
          <w:szCs w:val="24"/>
        </w:rPr>
        <w:t xml:space="preserve">granted a </w:t>
      </w:r>
      <w:r w:rsidR="002331B9">
        <w:rPr>
          <w:rFonts w:ascii="Times New Roman" w:hAnsi="Times New Roman" w:cs="Times New Roman"/>
          <w:sz w:val="24"/>
          <w:szCs w:val="24"/>
        </w:rPr>
        <w:t xml:space="preserve">marketing </w:t>
      </w:r>
      <w:r w:rsidRPr="00247C2E">
        <w:rPr>
          <w:rFonts w:ascii="Times New Roman" w:hAnsi="Times New Roman" w:cs="Times New Roman"/>
          <w:sz w:val="24"/>
          <w:szCs w:val="24"/>
        </w:rPr>
        <w:t>authorisation</w:t>
      </w:r>
      <w:r w:rsidR="00BF345C">
        <w:rPr>
          <w:rStyle w:val="FootnoteReference"/>
          <w:rFonts w:ascii="Times New Roman" w:hAnsi="Times New Roman" w:cs="Times New Roman"/>
          <w:sz w:val="24"/>
          <w:szCs w:val="24"/>
        </w:rPr>
        <w:footnoteReference w:id="3"/>
      </w:r>
      <w:r w:rsidRPr="00247C2E">
        <w:rPr>
          <w:rFonts w:ascii="Times New Roman" w:hAnsi="Times New Roman" w:cs="Times New Roman"/>
          <w:sz w:val="24"/>
          <w:szCs w:val="24"/>
        </w:rPr>
        <w:t xml:space="preserve"> to Chanelle</w:t>
      </w:r>
      <w:r w:rsidR="00703B29" w:rsidRPr="00247C2E">
        <w:rPr>
          <w:rFonts w:ascii="Times New Roman" w:hAnsi="Times New Roman" w:cs="Times New Roman"/>
          <w:sz w:val="24"/>
          <w:szCs w:val="24"/>
        </w:rPr>
        <w:t xml:space="preserve"> </w:t>
      </w:r>
      <w:r w:rsidR="00DE25C3" w:rsidRPr="00247C2E">
        <w:rPr>
          <w:rFonts w:ascii="Times New Roman" w:hAnsi="Times New Roman" w:cs="Times New Roman"/>
          <w:sz w:val="24"/>
          <w:szCs w:val="24"/>
        </w:rPr>
        <w:t xml:space="preserve">in respect of Osteopen 100 mg/ml </w:t>
      </w:r>
      <w:r w:rsidR="00CA5DD6">
        <w:rPr>
          <w:rFonts w:ascii="Times New Roman" w:hAnsi="Times New Roman" w:cs="Times New Roman"/>
          <w:sz w:val="24"/>
          <w:szCs w:val="24"/>
        </w:rPr>
        <w:t>s</w:t>
      </w:r>
      <w:r w:rsidR="00DE25C3" w:rsidRPr="00247C2E">
        <w:rPr>
          <w:rFonts w:ascii="Times New Roman" w:hAnsi="Times New Roman" w:cs="Times New Roman"/>
          <w:sz w:val="24"/>
          <w:szCs w:val="24"/>
        </w:rPr>
        <w:t>olution for injection (‘Osteopen’)</w:t>
      </w:r>
      <w:r w:rsidR="00B32CFA" w:rsidRPr="00247C2E">
        <w:rPr>
          <w:rFonts w:ascii="Times New Roman" w:hAnsi="Times New Roman" w:cs="Times New Roman"/>
          <w:sz w:val="24"/>
          <w:szCs w:val="24"/>
        </w:rPr>
        <w:t>.</w:t>
      </w:r>
      <w:r w:rsidR="00DE25C3" w:rsidRPr="00247C2E">
        <w:rPr>
          <w:rFonts w:ascii="Times New Roman" w:hAnsi="Times New Roman" w:cs="Times New Roman"/>
          <w:sz w:val="24"/>
          <w:szCs w:val="24"/>
        </w:rPr>
        <w:t xml:space="preserve">  </w:t>
      </w:r>
      <w:r w:rsidR="00CE03BB">
        <w:rPr>
          <w:rFonts w:ascii="Times New Roman" w:hAnsi="Times New Roman" w:cs="Times New Roman"/>
          <w:sz w:val="24"/>
          <w:szCs w:val="24"/>
        </w:rPr>
        <w:t xml:space="preserve">This </w:t>
      </w:r>
      <w:r w:rsidR="005B56E1">
        <w:rPr>
          <w:rFonts w:ascii="Times New Roman" w:hAnsi="Times New Roman" w:cs="Times New Roman"/>
          <w:sz w:val="24"/>
          <w:szCs w:val="24"/>
        </w:rPr>
        <w:t xml:space="preserve">product </w:t>
      </w:r>
      <w:r w:rsidR="00CE03BB">
        <w:rPr>
          <w:rFonts w:ascii="Times New Roman" w:hAnsi="Times New Roman" w:cs="Times New Roman"/>
          <w:sz w:val="24"/>
          <w:szCs w:val="24"/>
        </w:rPr>
        <w:t xml:space="preserve">is also used in the treatment of musculoskeletal disorders in dogs.  </w:t>
      </w:r>
      <w:r w:rsidR="00DE25C3" w:rsidRPr="00247C2E">
        <w:rPr>
          <w:rFonts w:ascii="Times New Roman" w:hAnsi="Times New Roman" w:cs="Times New Roman"/>
          <w:sz w:val="24"/>
          <w:szCs w:val="24"/>
        </w:rPr>
        <w:t>That authorisation was granted on the basis that Osteopen was a generic of Cartrophen.</w:t>
      </w:r>
      <w:r w:rsidR="008E78A2" w:rsidRPr="00247C2E">
        <w:rPr>
          <w:rFonts w:ascii="Times New Roman" w:hAnsi="Times New Roman" w:cs="Times New Roman"/>
          <w:sz w:val="24"/>
          <w:szCs w:val="24"/>
        </w:rPr>
        <w:t xml:space="preserve"> </w:t>
      </w:r>
      <w:r w:rsidR="008C57BC" w:rsidRPr="00247C2E">
        <w:rPr>
          <w:rFonts w:ascii="Times New Roman" w:hAnsi="Times New Roman" w:cs="Times New Roman"/>
          <w:sz w:val="24"/>
          <w:szCs w:val="24"/>
        </w:rPr>
        <w:t xml:space="preserve">The 2007 Regulations and 2001 </w:t>
      </w:r>
      <w:r w:rsidR="008C57BC" w:rsidRPr="00247C2E">
        <w:rPr>
          <w:rFonts w:ascii="Times New Roman" w:hAnsi="Times New Roman" w:cs="Times New Roman"/>
          <w:sz w:val="24"/>
          <w:szCs w:val="24"/>
        </w:rPr>
        <w:lastRenderedPageBreak/>
        <w:t xml:space="preserve">Directive provide that a ‘generic’ medicinal product is one that has the same qualitative and quantitative composition and active substances in the same pharmaceutical form as a reference product that has been previously authorised.  </w:t>
      </w:r>
    </w:p>
    <w:p w14:paraId="53F13C51" w14:textId="77777777" w:rsidR="002331B9" w:rsidRPr="002331B9" w:rsidRDefault="002331B9" w:rsidP="002331B9">
      <w:pPr>
        <w:pStyle w:val="ListParagraph"/>
        <w:rPr>
          <w:rFonts w:ascii="Times New Roman" w:hAnsi="Times New Roman" w:cs="Times New Roman"/>
          <w:sz w:val="24"/>
          <w:szCs w:val="24"/>
        </w:rPr>
      </w:pPr>
    </w:p>
    <w:p w14:paraId="68A3DAB9" w14:textId="7BC5A1B9" w:rsidR="002331B9" w:rsidRPr="002331B9" w:rsidRDefault="00414D5F" w:rsidP="00247C2E">
      <w:pPr>
        <w:pStyle w:val="ListParagraph"/>
        <w:numPr>
          <w:ilvl w:val="0"/>
          <w:numId w:val="1"/>
        </w:numPr>
        <w:spacing w:line="480" w:lineRule="auto"/>
        <w:jc w:val="both"/>
        <w:rPr>
          <w:rFonts w:ascii="Times New Roman" w:hAnsi="Times New Roman" w:cs="Times New Roman"/>
          <w:b/>
          <w:sz w:val="24"/>
          <w:szCs w:val="24"/>
        </w:rPr>
      </w:pPr>
      <w:r w:rsidRPr="00247C2E">
        <w:rPr>
          <w:rFonts w:ascii="Times New Roman" w:hAnsi="Times New Roman" w:cs="Times New Roman"/>
          <w:sz w:val="24"/>
          <w:szCs w:val="24"/>
        </w:rPr>
        <w:t>Because HP</w:t>
      </w:r>
      <w:r w:rsidR="00894D61" w:rsidRPr="00247C2E">
        <w:rPr>
          <w:rFonts w:ascii="Times New Roman" w:hAnsi="Times New Roman" w:cs="Times New Roman"/>
          <w:sz w:val="24"/>
          <w:szCs w:val="24"/>
        </w:rPr>
        <w:t>R</w:t>
      </w:r>
      <w:r w:rsidRPr="00247C2E">
        <w:rPr>
          <w:rFonts w:ascii="Times New Roman" w:hAnsi="Times New Roman" w:cs="Times New Roman"/>
          <w:sz w:val="24"/>
          <w:szCs w:val="24"/>
        </w:rPr>
        <w:t xml:space="preserve">A was satisfied that Osteopen was a generic </w:t>
      </w:r>
      <w:r w:rsidR="00036B41" w:rsidRPr="00247C2E">
        <w:rPr>
          <w:rFonts w:ascii="Times New Roman" w:hAnsi="Times New Roman" w:cs="Times New Roman"/>
          <w:sz w:val="24"/>
          <w:szCs w:val="24"/>
        </w:rPr>
        <w:t>of Cartrophen</w:t>
      </w:r>
      <w:r w:rsidRPr="00247C2E">
        <w:rPr>
          <w:rFonts w:ascii="Times New Roman" w:hAnsi="Times New Roman" w:cs="Times New Roman"/>
          <w:sz w:val="24"/>
          <w:szCs w:val="24"/>
        </w:rPr>
        <w:t xml:space="preserve">, </w:t>
      </w:r>
      <w:r w:rsidR="00892602" w:rsidRPr="00247C2E">
        <w:rPr>
          <w:rFonts w:ascii="Times New Roman" w:hAnsi="Times New Roman" w:cs="Times New Roman"/>
          <w:sz w:val="24"/>
          <w:szCs w:val="24"/>
        </w:rPr>
        <w:t xml:space="preserve">and because Cartrophen had </w:t>
      </w:r>
      <w:r w:rsidR="00DE4C70" w:rsidRPr="00247C2E">
        <w:rPr>
          <w:rFonts w:ascii="Times New Roman" w:hAnsi="Times New Roman" w:cs="Times New Roman"/>
          <w:sz w:val="24"/>
          <w:szCs w:val="24"/>
        </w:rPr>
        <w:t xml:space="preserve">at the time of the application made by Chanelle </w:t>
      </w:r>
      <w:r w:rsidR="00892602" w:rsidRPr="00247C2E">
        <w:rPr>
          <w:rFonts w:ascii="Times New Roman" w:hAnsi="Times New Roman" w:cs="Times New Roman"/>
          <w:sz w:val="24"/>
          <w:szCs w:val="24"/>
        </w:rPr>
        <w:t xml:space="preserve">been authorised for not less than eight years in a Member State of the European Union, </w:t>
      </w:r>
      <w:r w:rsidR="00760960" w:rsidRPr="00247C2E">
        <w:rPr>
          <w:rFonts w:ascii="Times New Roman" w:hAnsi="Times New Roman" w:cs="Times New Roman"/>
          <w:sz w:val="24"/>
          <w:szCs w:val="24"/>
        </w:rPr>
        <w:t xml:space="preserve">the </w:t>
      </w:r>
      <w:r w:rsidR="008A31E9">
        <w:rPr>
          <w:rFonts w:ascii="Times New Roman" w:hAnsi="Times New Roman" w:cs="Times New Roman"/>
          <w:sz w:val="24"/>
          <w:szCs w:val="24"/>
        </w:rPr>
        <w:t xml:space="preserve">relevant </w:t>
      </w:r>
      <w:r w:rsidR="00760960" w:rsidRPr="00247C2E">
        <w:rPr>
          <w:rFonts w:ascii="Times New Roman" w:hAnsi="Times New Roman" w:cs="Times New Roman"/>
          <w:sz w:val="24"/>
          <w:szCs w:val="24"/>
        </w:rPr>
        <w:t xml:space="preserve">regulatory regime provided that </w:t>
      </w:r>
      <w:r w:rsidRPr="00247C2E">
        <w:rPr>
          <w:rFonts w:ascii="Times New Roman" w:hAnsi="Times New Roman" w:cs="Times New Roman"/>
          <w:sz w:val="24"/>
          <w:szCs w:val="24"/>
        </w:rPr>
        <w:t>t</w:t>
      </w:r>
      <w:r w:rsidR="008476B1" w:rsidRPr="00247C2E">
        <w:rPr>
          <w:rFonts w:ascii="Times New Roman" w:hAnsi="Times New Roman" w:cs="Times New Roman"/>
          <w:sz w:val="24"/>
          <w:szCs w:val="24"/>
        </w:rPr>
        <w:t xml:space="preserve">o obtain the authorisation Chanelle did not </w:t>
      </w:r>
      <w:r w:rsidR="00B32CFA" w:rsidRPr="00247C2E">
        <w:rPr>
          <w:rFonts w:ascii="Times New Roman" w:hAnsi="Times New Roman" w:cs="Times New Roman"/>
          <w:sz w:val="24"/>
          <w:szCs w:val="24"/>
        </w:rPr>
        <w:t xml:space="preserve">- </w:t>
      </w:r>
      <w:r w:rsidRPr="00247C2E">
        <w:rPr>
          <w:rFonts w:ascii="Times New Roman" w:hAnsi="Times New Roman" w:cs="Times New Roman"/>
          <w:sz w:val="24"/>
          <w:szCs w:val="24"/>
        </w:rPr>
        <w:t>as it would otherwise have been required to do</w:t>
      </w:r>
      <w:r w:rsidR="00B32CFA" w:rsidRPr="00247C2E">
        <w:rPr>
          <w:rFonts w:ascii="Times New Roman" w:hAnsi="Times New Roman" w:cs="Times New Roman"/>
          <w:sz w:val="24"/>
          <w:szCs w:val="24"/>
        </w:rPr>
        <w:t xml:space="preserve"> -</w:t>
      </w:r>
      <w:r w:rsidRPr="00247C2E">
        <w:rPr>
          <w:rFonts w:ascii="Times New Roman" w:hAnsi="Times New Roman" w:cs="Times New Roman"/>
          <w:sz w:val="24"/>
          <w:szCs w:val="24"/>
        </w:rPr>
        <w:t xml:space="preserve"> </w:t>
      </w:r>
      <w:r w:rsidR="008476B1" w:rsidRPr="00247C2E">
        <w:rPr>
          <w:rFonts w:ascii="Times New Roman" w:hAnsi="Times New Roman" w:cs="Times New Roman"/>
          <w:sz w:val="24"/>
          <w:szCs w:val="24"/>
        </w:rPr>
        <w:t>have to provide the results of safety and residue tests or of pre-clinical and clinical trials in respect of the product.</w:t>
      </w:r>
      <w:r w:rsidR="00373BC7">
        <w:rPr>
          <w:rStyle w:val="FootnoteReference"/>
          <w:rFonts w:ascii="Times New Roman" w:hAnsi="Times New Roman" w:cs="Times New Roman"/>
          <w:sz w:val="24"/>
          <w:szCs w:val="24"/>
        </w:rPr>
        <w:footnoteReference w:id="4"/>
      </w:r>
      <w:r w:rsidR="008476B1" w:rsidRPr="00247C2E">
        <w:rPr>
          <w:rFonts w:ascii="Times New Roman" w:hAnsi="Times New Roman" w:cs="Times New Roman"/>
          <w:sz w:val="24"/>
          <w:szCs w:val="24"/>
        </w:rPr>
        <w:t xml:space="preserve">  Instead, Chanelle was able to ‘piggyback’ on the earlier authorisation </w:t>
      </w:r>
      <w:r w:rsidR="00703B29" w:rsidRPr="00247C2E">
        <w:rPr>
          <w:rFonts w:ascii="Times New Roman" w:hAnsi="Times New Roman" w:cs="Times New Roman"/>
          <w:sz w:val="24"/>
          <w:szCs w:val="24"/>
        </w:rPr>
        <w:t>granted in respect of</w:t>
      </w:r>
      <w:r w:rsidR="008476B1" w:rsidRPr="00247C2E">
        <w:rPr>
          <w:rFonts w:ascii="Times New Roman" w:hAnsi="Times New Roman" w:cs="Times New Roman"/>
          <w:sz w:val="24"/>
          <w:szCs w:val="24"/>
        </w:rPr>
        <w:t xml:space="preserve"> Cartrophen.</w:t>
      </w:r>
      <w:r w:rsidR="00247C2E" w:rsidRPr="00247C2E">
        <w:rPr>
          <w:rFonts w:ascii="Times New Roman" w:hAnsi="Times New Roman" w:cs="Times New Roman"/>
          <w:sz w:val="24"/>
          <w:szCs w:val="24"/>
        </w:rPr>
        <w:t xml:space="preserve">  </w:t>
      </w:r>
    </w:p>
    <w:p w14:paraId="710AC93D" w14:textId="77777777" w:rsidR="002331B9" w:rsidRPr="002331B9" w:rsidRDefault="002331B9" w:rsidP="002331B9">
      <w:pPr>
        <w:pStyle w:val="ListParagraph"/>
        <w:rPr>
          <w:rFonts w:ascii="Times New Roman" w:hAnsi="Times New Roman" w:cs="Times New Roman"/>
          <w:sz w:val="24"/>
          <w:szCs w:val="24"/>
        </w:rPr>
      </w:pPr>
    </w:p>
    <w:p w14:paraId="45D727CA" w14:textId="7D5149EA" w:rsidR="002331B9" w:rsidRPr="002331B9" w:rsidRDefault="00B02D34" w:rsidP="00247C2E">
      <w:pPr>
        <w:pStyle w:val="ListParagraph"/>
        <w:numPr>
          <w:ilvl w:val="0"/>
          <w:numId w:val="1"/>
        </w:numPr>
        <w:spacing w:line="480" w:lineRule="auto"/>
        <w:jc w:val="both"/>
        <w:rPr>
          <w:rFonts w:ascii="Times New Roman" w:hAnsi="Times New Roman" w:cs="Times New Roman"/>
          <w:b/>
          <w:sz w:val="24"/>
          <w:szCs w:val="24"/>
        </w:rPr>
      </w:pPr>
      <w:r w:rsidRPr="00247C2E">
        <w:rPr>
          <w:rFonts w:ascii="Times New Roman" w:hAnsi="Times New Roman" w:cs="Times New Roman"/>
          <w:sz w:val="24"/>
          <w:szCs w:val="24"/>
        </w:rPr>
        <w:t>Arthropharm was not aware that Chanelle was seeking a</w:t>
      </w:r>
      <w:r w:rsidR="00452037" w:rsidRPr="00247C2E">
        <w:rPr>
          <w:rFonts w:ascii="Times New Roman" w:hAnsi="Times New Roman" w:cs="Times New Roman"/>
          <w:sz w:val="24"/>
          <w:szCs w:val="24"/>
        </w:rPr>
        <w:t>n authorisation of this kind</w:t>
      </w:r>
      <w:r w:rsidRPr="00247C2E">
        <w:rPr>
          <w:rFonts w:ascii="Times New Roman" w:hAnsi="Times New Roman" w:cs="Times New Roman"/>
          <w:sz w:val="24"/>
          <w:szCs w:val="24"/>
        </w:rPr>
        <w:t xml:space="preserve">, and </w:t>
      </w:r>
      <w:r w:rsidR="00760960" w:rsidRPr="00247C2E">
        <w:rPr>
          <w:rFonts w:ascii="Times New Roman" w:hAnsi="Times New Roman" w:cs="Times New Roman"/>
          <w:sz w:val="24"/>
          <w:szCs w:val="24"/>
        </w:rPr>
        <w:t xml:space="preserve">neither the 2001 Directive nor the 2007 Regulations </w:t>
      </w:r>
      <w:r w:rsidRPr="00247C2E">
        <w:rPr>
          <w:rFonts w:ascii="Times New Roman" w:hAnsi="Times New Roman" w:cs="Times New Roman"/>
          <w:sz w:val="24"/>
          <w:szCs w:val="24"/>
        </w:rPr>
        <w:t>ma</w:t>
      </w:r>
      <w:r w:rsidR="002331B9">
        <w:rPr>
          <w:rFonts w:ascii="Times New Roman" w:hAnsi="Times New Roman" w:cs="Times New Roman"/>
          <w:sz w:val="24"/>
          <w:szCs w:val="24"/>
        </w:rPr>
        <w:t>d</w:t>
      </w:r>
      <w:r w:rsidRPr="00247C2E">
        <w:rPr>
          <w:rFonts w:ascii="Times New Roman" w:hAnsi="Times New Roman" w:cs="Times New Roman"/>
          <w:sz w:val="24"/>
          <w:szCs w:val="24"/>
        </w:rPr>
        <w:t xml:space="preserve">e provision for </w:t>
      </w:r>
      <w:r w:rsidR="00C93565">
        <w:rPr>
          <w:rFonts w:ascii="Times New Roman" w:hAnsi="Times New Roman" w:cs="Times New Roman"/>
          <w:sz w:val="24"/>
          <w:szCs w:val="24"/>
        </w:rPr>
        <w:t>Arthropharm</w:t>
      </w:r>
      <w:r w:rsidRPr="00247C2E">
        <w:rPr>
          <w:rFonts w:ascii="Times New Roman" w:hAnsi="Times New Roman" w:cs="Times New Roman"/>
          <w:sz w:val="24"/>
          <w:szCs w:val="24"/>
        </w:rPr>
        <w:t xml:space="preserve"> </w:t>
      </w:r>
      <w:r w:rsidR="008A31E9">
        <w:rPr>
          <w:rFonts w:ascii="Times New Roman" w:hAnsi="Times New Roman" w:cs="Times New Roman"/>
          <w:sz w:val="24"/>
          <w:szCs w:val="24"/>
        </w:rPr>
        <w:t xml:space="preserve">to </w:t>
      </w:r>
      <w:r w:rsidRPr="00247C2E">
        <w:rPr>
          <w:rFonts w:ascii="Times New Roman" w:hAnsi="Times New Roman" w:cs="Times New Roman"/>
          <w:sz w:val="24"/>
          <w:szCs w:val="24"/>
        </w:rPr>
        <w:t>be advised that</w:t>
      </w:r>
      <w:r w:rsidR="00F97B9C" w:rsidRPr="00247C2E">
        <w:rPr>
          <w:rFonts w:ascii="Times New Roman" w:hAnsi="Times New Roman" w:cs="Times New Roman"/>
          <w:sz w:val="24"/>
          <w:szCs w:val="24"/>
        </w:rPr>
        <w:t xml:space="preserve"> </w:t>
      </w:r>
      <w:r w:rsidRPr="00247C2E">
        <w:rPr>
          <w:rFonts w:ascii="Times New Roman" w:hAnsi="Times New Roman" w:cs="Times New Roman"/>
          <w:sz w:val="24"/>
          <w:szCs w:val="24"/>
        </w:rPr>
        <w:t xml:space="preserve">a process </w:t>
      </w:r>
      <w:r w:rsidR="00F97B9C" w:rsidRPr="00247C2E">
        <w:rPr>
          <w:rFonts w:ascii="Times New Roman" w:hAnsi="Times New Roman" w:cs="Times New Roman"/>
          <w:sz w:val="24"/>
          <w:szCs w:val="24"/>
        </w:rPr>
        <w:t xml:space="preserve">to obtain authorisation as a generic </w:t>
      </w:r>
      <w:r w:rsidR="00931AD3" w:rsidRPr="00247C2E">
        <w:rPr>
          <w:rFonts w:ascii="Times New Roman" w:hAnsi="Times New Roman" w:cs="Times New Roman"/>
          <w:sz w:val="24"/>
          <w:szCs w:val="24"/>
        </w:rPr>
        <w:t xml:space="preserve">by reference to </w:t>
      </w:r>
      <w:r w:rsidR="00F97B9C" w:rsidRPr="00247C2E">
        <w:rPr>
          <w:rFonts w:ascii="Times New Roman" w:hAnsi="Times New Roman" w:cs="Times New Roman"/>
          <w:sz w:val="24"/>
          <w:szCs w:val="24"/>
        </w:rPr>
        <w:t xml:space="preserve">one of its products </w:t>
      </w:r>
      <w:r w:rsidRPr="00247C2E">
        <w:rPr>
          <w:rFonts w:ascii="Times New Roman" w:hAnsi="Times New Roman" w:cs="Times New Roman"/>
          <w:sz w:val="24"/>
          <w:szCs w:val="24"/>
        </w:rPr>
        <w:t xml:space="preserve">was in train.  </w:t>
      </w:r>
      <w:r w:rsidR="00137F8F" w:rsidRPr="00247C2E">
        <w:rPr>
          <w:rFonts w:ascii="Times New Roman" w:hAnsi="Times New Roman" w:cs="Times New Roman"/>
          <w:sz w:val="24"/>
          <w:szCs w:val="24"/>
        </w:rPr>
        <w:t>Nor is there provision for the holder of a</w:t>
      </w:r>
      <w:r w:rsidR="007577D9" w:rsidRPr="00247C2E">
        <w:rPr>
          <w:rFonts w:ascii="Times New Roman" w:hAnsi="Times New Roman" w:cs="Times New Roman"/>
          <w:sz w:val="24"/>
          <w:szCs w:val="24"/>
        </w:rPr>
        <w:t xml:space="preserve">n authorisation </w:t>
      </w:r>
      <w:r w:rsidR="00137F8F" w:rsidRPr="00247C2E">
        <w:rPr>
          <w:rFonts w:ascii="Times New Roman" w:hAnsi="Times New Roman" w:cs="Times New Roman"/>
          <w:sz w:val="24"/>
          <w:szCs w:val="24"/>
        </w:rPr>
        <w:t xml:space="preserve">in respect of </w:t>
      </w:r>
      <w:r w:rsidR="00CE03BB">
        <w:rPr>
          <w:rFonts w:ascii="Times New Roman" w:hAnsi="Times New Roman" w:cs="Times New Roman"/>
          <w:sz w:val="24"/>
          <w:szCs w:val="24"/>
        </w:rPr>
        <w:t>a</w:t>
      </w:r>
      <w:r w:rsidR="00137F8F" w:rsidRPr="00247C2E">
        <w:rPr>
          <w:rFonts w:ascii="Times New Roman" w:hAnsi="Times New Roman" w:cs="Times New Roman"/>
          <w:sz w:val="24"/>
          <w:szCs w:val="24"/>
        </w:rPr>
        <w:t xml:space="preserve"> reference product to be advised of the fact of the grant of a generic marketing authorisation.  </w:t>
      </w:r>
    </w:p>
    <w:p w14:paraId="6A1E4952" w14:textId="77777777" w:rsidR="002331B9" w:rsidRPr="002331B9" w:rsidRDefault="002331B9" w:rsidP="002331B9">
      <w:pPr>
        <w:pStyle w:val="ListParagraph"/>
        <w:rPr>
          <w:rFonts w:ascii="Times New Roman" w:hAnsi="Times New Roman" w:cs="Times New Roman"/>
          <w:sz w:val="24"/>
          <w:szCs w:val="24"/>
        </w:rPr>
      </w:pPr>
    </w:p>
    <w:p w14:paraId="26EFBFEF" w14:textId="2D386805" w:rsidR="002331B9" w:rsidRPr="002331B9" w:rsidRDefault="00B02D34" w:rsidP="00247C2E">
      <w:pPr>
        <w:pStyle w:val="ListParagraph"/>
        <w:numPr>
          <w:ilvl w:val="0"/>
          <w:numId w:val="1"/>
        </w:numPr>
        <w:spacing w:line="480" w:lineRule="auto"/>
        <w:jc w:val="both"/>
        <w:rPr>
          <w:rFonts w:ascii="Times New Roman" w:hAnsi="Times New Roman" w:cs="Times New Roman"/>
          <w:b/>
          <w:sz w:val="24"/>
          <w:szCs w:val="24"/>
        </w:rPr>
      </w:pPr>
      <w:r w:rsidRPr="00247C2E">
        <w:rPr>
          <w:rFonts w:ascii="Times New Roman" w:hAnsi="Times New Roman" w:cs="Times New Roman"/>
          <w:sz w:val="24"/>
          <w:szCs w:val="24"/>
        </w:rPr>
        <w:t xml:space="preserve">Three days after </w:t>
      </w:r>
      <w:r w:rsidR="002331B9">
        <w:rPr>
          <w:rFonts w:ascii="Times New Roman" w:hAnsi="Times New Roman" w:cs="Times New Roman"/>
          <w:sz w:val="24"/>
          <w:szCs w:val="24"/>
        </w:rPr>
        <w:t xml:space="preserve">it was made </w:t>
      </w:r>
      <w:r w:rsidR="00137F8F" w:rsidRPr="00247C2E">
        <w:rPr>
          <w:rFonts w:ascii="Times New Roman" w:hAnsi="Times New Roman" w:cs="Times New Roman"/>
          <w:sz w:val="24"/>
          <w:szCs w:val="24"/>
        </w:rPr>
        <w:t>(23 July 2018)</w:t>
      </w:r>
      <w:r w:rsidRPr="00247C2E">
        <w:rPr>
          <w:rFonts w:ascii="Times New Roman" w:hAnsi="Times New Roman" w:cs="Times New Roman"/>
          <w:sz w:val="24"/>
          <w:szCs w:val="24"/>
        </w:rPr>
        <w:t xml:space="preserve">, the </w:t>
      </w:r>
      <w:r w:rsidR="00137F8F" w:rsidRPr="00247C2E">
        <w:rPr>
          <w:rFonts w:ascii="Times New Roman" w:hAnsi="Times New Roman" w:cs="Times New Roman"/>
          <w:sz w:val="24"/>
          <w:szCs w:val="24"/>
        </w:rPr>
        <w:t xml:space="preserve">decision to grant the marketing authorisation </w:t>
      </w:r>
      <w:r w:rsidR="00484E58">
        <w:rPr>
          <w:rFonts w:ascii="Times New Roman" w:hAnsi="Times New Roman" w:cs="Times New Roman"/>
          <w:sz w:val="24"/>
          <w:szCs w:val="24"/>
        </w:rPr>
        <w:t xml:space="preserve">in respect of </w:t>
      </w:r>
      <w:r w:rsidR="00CA5DD6">
        <w:rPr>
          <w:rFonts w:ascii="Times New Roman" w:hAnsi="Times New Roman" w:cs="Times New Roman"/>
          <w:sz w:val="24"/>
          <w:szCs w:val="24"/>
        </w:rPr>
        <w:t>Osteop</w:t>
      </w:r>
      <w:r w:rsidR="00484E58">
        <w:rPr>
          <w:rFonts w:ascii="Times New Roman" w:hAnsi="Times New Roman" w:cs="Times New Roman"/>
          <w:sz w:val="24"/>
          <w:szCs w:val="24"/>
        </w:rPr>
        <w:t xml:space="preserve">en </w:t>
      </w:r>
      <w:r w:rsidR="00137F8F" w:rsidRPr="00247C2E">
        <w:rPr>
          <w:rFonts w:ascii="Times New Roman" w:hAnsi="Times New Roman" w:cs="Times New Roman"/>
          <w:sz w:val="24"/>
          <w:szCs w:val="24"/>
        </w:rPr>
        <w:t>was published by the HP</w:t>
      </w:r>
      <w:r w:rsidR="00894D61" w:rsidRPr="00247C2E">
        <w:rPr>
          <w:rFonts w:ascii="Times New Roman" w:hAnsi="Times New Roman" w:cs="Times New Roman"/>
          <w:sz w:val="24"/>
          <w:szCs w:val="24"/>
        </w:rPr>
        <w:t>R</w:t>
      </w:r>
      <w:r w:rsidR="00137F8F" w:rsidRPr="00247C2E">
        <w:rPr>
          <w:rFonts w:ascii="Times New Roman" w:hAnsi="Times New Roman" w:cs="Times New Roman"/>
          <w:sz w:val="24"/>
          <w:szCs w:val="24"/>
        </w:rPr>
        <w:t xml:space="preserve">A on its website. </w:t>
      </w:r>
      <w:r w:rsidR="00D03D52" w:rsidRPr="00247C2E">
        <w:rPr>
          <w:rFonts w:ascii="Times New Roman" w:hAnsi="Times New Roman" w:cs="Times New Roman"/>
          <w:sz w:val="24"/>
          <w:szCs w:val="24"/>
        </w:rPr>
        <w:t>At the same time</w:t>
      </w:r>
      <w:r w:rsidR="005E6B99" w:rsidRPr="00247C2E">
        <w:rPr>
          <w:rFonts w:ascii="Times New Roman" w:hAnsi="Times New Roman" w:cs="Times New Roman"/>
          <w:sz w:val="24"/>
          <w:szCs w:val="24"/>
        </w:rPr>
        <w:t xml:space="preserve"> a number of documents related to the decision were published</w:t>
      </w:r>
      <w:r w:rsidR="00447276" w:rsidRPr="00247C2E">
        <w:rPr>
          <w:rFonts w:ascii="Times New Roman" w:hAnsi="Times New Roman" w:cs="Times New Roman"/>
          <w:sz w:val="24"/>
          <w:szCs w:val="24"/>
        </w:rPr>
        <w:t xml:space="preserve"> in the same way</w:t>
      </w:r>
      <w:r w:rsidR="00DE25C3" w:rsidRPr="00247C2E">
        <w:rPr>
          <w:rFonts w:ascii="Times New Roman" w:hAnsi="Times New Roman" w:cs="Times New Roman"/>
          <w:sz w:val="24"/>
          <w:szCs w:val="24"/>
        </w:rPr>
        <w:t>.  These i</w:t>
      </w:r>
      <w:r w:rsidR="005E6B99" w:rsidRPr="00247C2E">
        <w:rPr>
          <w:rFonts w:ascii="Times New Roman" w:hAnsi="Times New Roman" w:cs="Times New Roman"/>
          <w:sz w:val="24"/>
          <w:szCs w:val="24"/>
        </w:rPr>
        <w:t>nclud</w:t>
      </w:r>
      <w:r w:rsidR="00DE25C3" w:rsidRPr="00247C2E">
        <w:rPr>
          <w:rFonts w:ascii="Times New Roman" w:hAnsi="Times New Roman" w:cs="Times New Roman"/>
          <w:sz w:val="24"/>
          <w:szCs w:val="24"/>
        </w:rPr>
        <w:t>ed</w:t>
      </w:r>
      <w:r w:rsidR="005E6B99" w:rsidRPr="00247C2E">
        <w:rPr>
          <w:rFonts w:ascii="Times New Roman" w:hAnsi="Times New Roman" w:cs="Times New Roman"/>
          <w:sz w:val="24"/>
          <w:szCs w:val="24"/>
        </w:rPr>
        <w:t xml:space="preserve"> a product authorisation assessment.</w:t>
      </w:r>
      <w:r w:rsidR="00137F8F" w:rsidRPr="00247C2E">
        <w:rPr>
          <w:rFonts w:ascii="Times New Roman" w:hAnsi="Times New Roman" w:cs="Times New Roman"/>
          <w:sz w:val="24"/>
          <w:szCs w:val="24"/>
        </w:rPr>
        <w:t xml:space="preserve"> </w:t>
      </w:r>
      <w:r w:rsidR="001F7721">
        <w:rPr>
          <w:rFonts w:ascii="Times New Roman" w:hAnsi="Times New Roman" w:cs="Times New Roman"/>
          <w:sz w:val="24"/>
          <w:szCs w:val="24"/>
        </w:rPr>
        <w:t>One</w:t>
      </w:r>
      <w:r w:rsidR="00137F8F" w:rsidRPr="00247C2E">
        <w:rPr>
          <w:rFonts w:ascii="Times New Roman" w:hAnsi="Times New Roman" w:cs="Times New Roman"/>
          <w:sz w:val="24"/>
          <w:szCs w:val="24"/>
        </w:rPr>
        <w:t xml:space="preserve"> month after th</w:t>
      </w:r>
      <w:r w:rsidR="004B5CDE" w:rsidRPr="00247C2E">
        <w:rPr>
          <w:rFonts w:ascii="Times New Roman" w:hAnsi="Times New Roman" w:cs="Times New Roman"/>
          <w:sz w:val="24"/>
          <w:szCs w:val="24"/>
        </w:rPr>
        <w:t xml:space="preserve">is </w:t>
      </w:r>
      <w:r w:rsidR="004B5CDE" w:rsidRPr="00247C2E">
        <w:rPr>
          <w:rFonts w:ascii="Times New Roman" w:hAnsi="Times New Roman" w:cs="Times New Roman"/>
          <w:sz w:val="24"/>
          <w:szCs w:val="24"/>
        </w:rPr>
        <w:lastRenderedPageBreak/>
        <w:t>publication</w:t>
      </w:r>
      <w:r w:rsidR="00137F8F" w:rsidRPr="00247C2E">
        <w:rPr>
          <w:rFonts w:ascii="Times New Roman" w:hAnsi="Times New Roman" w:cs="Times New Roman"/>
          <w:sz w:val="24"/>
          <w:szCs w:val="24"/>
        </w:rPr>
        <w:t xml:space="preserve"> (23 August 2018) Arthropharm learnt of the grant of that authorisation to Chanelle</w:t>
      </w:r>
      <w:r w:rsidR="00036B41" w:rsidRPr="00247C2E">
        <w:rPr>
          <w:rFonts w:ascii="Times New Roman" w:hAnsi="Times New Roman" w:cs="Times New Roman"/>
          <w:sz w:val="24"/>
          <w:szCs w:val="24"/>
        </w:rPr>
        <w:t xml:space="preserve">.  It </w:t>
      </w:r>
      <w:r w:rsidR="000A7193" w:rsidRPr="00247C2E">
        <w:rPr>
          <w:rFonts w:ascii="Times New Roman" w:hAnsi="Times New Roman" w:cs="Times New Roman"/>
          <w:sz w:val="24"/>
          <w:szCs w:val="24"/>
        </w:rPr>
        <w:t>was so informed by its United Kingdom distributor.</w:t>
      </w:r>
      <w:r w:rsidR="00137F8F" w:rsidRPr="00247C2E">
        <w:rPr>
          <w:rFonts w:ascii="Times New Roman" w:hAnsi="Times New Roman" w:cs="Times New Roman"/>
          <w:sz w:val="24"/>
          <w:szCs w:val="24"/>
        </w:rPr>
        <w:t xml:space="preserve"> </w:t>
      </w:r>
    </w:p>
    <w:p w14:paraId="56A2F1F0" w14:textId="77777777" w:rsidR="002331B9" w:rsidRPr="002331B9" w:rsidRDefault="002331B9" w:rsidP="002331B9">
      <w:pPr>
        <w:pStyle w:val="ListParagraph"/>
        <w:rPr>
          <w:rFonts w:ascii="Times New Roman" w:hAnsi="Times New Roman" w:cs="Times New Roman"/>
          <w:sz w:val="24"/>
          <w:szCs w:val="24"/>
        </w:rPr>
      </w:pPr>
    </w:p>
    <w:p w14:paraId="44287448" w14:textId="77777777" w:rsidR="002331B9" w:rsidRPr="002331B9" w:rsidRDefault="00137F8F" w:rsidP="00247C2E">
      <w:pPr>
        <w:pStyle w:val="ListParagraph"/>
        <w:numPr>
          <w:ilvl w:val="0"/>
          <w:numId w:val="1"/>
        </w:numPr>
        <w:spacing w:line="480" w:lineRule="auto"/>
        <w:jc w:val="both"/>
        <w:rPr>
          <w:rFonts w:ascii="Times New Roman" w:hAnsi="Times New Roman" w:cs="Times New Roman"/>
          <w:b/>
          <w:sz w:val="24"/>
          <w:szCs w:val="24"/>
        </w:rPr>
      </w:pPr>
      <w:r w:rsidRPr="00247C2E">
        <w:rPr>
          <w:rFonts w:ascii="Times New Roman" w:hAnsi="Times New Roman" w:cs="Times New Roman"/>
          <w:sz w:val="24"/>
          <w:szCs w:val="24"/>
        </w:rPr>
        <w:t xml:space="preserve">On 20 December 2018 an </w:t>
      </w:r>
      <w:r w:rsidRPr="00247C2E">
        <w:rPr>
          <w:rFonts w:ascii="Times New Roman" w:hAnsi="Times New Roman" w:cs="Times New Roman"/>
          <w:i/>
          <w:sz w:val="24"/>
          <w:szCs w:val="24"/>
        </w:rPr>
        <w:t xml:space="preserve">ex parte </w:t>
      </w:r>
      <w:r w:rsidRPr="00247C2E">
        <w:rPr>
          <w:rFonts w:ascii="Times New Roman" w:hAnsi="Times New Roman" w:cs="Times New Roman"/>
          <w:sz w:val="24"/>
          <w:szCs w:val="24"/>
        </w:rPr>
        <w:t xml:space="preserve">application was brought by Arthropharm for leave to </w:t>
      </w:r>
      <w:r w:rsidR="000F0BC9" w:rsidRPr="00247C2E">
        <w:rPr>
          <w:rFonts w:ascii="Times New Roman" w:hAnsi="Times New Roman" w:cs="Times New Roman"/>
          <w:sz w:val="24"/>
          <w:szCs w:val="24"/>
        </w:rPr>
        <w:t>apply for</w:t>
      </w:r>
      <w:r w:rsidRPr="00247C2E">
        <w:rPr>
          <w:rFonts w:ascii="Times New Roman" w:hAnsi="Times New Roman" w:cs="Times New Roman"/>
          <w:sz w:val="24"/>
          <w:szCs w:val="24"/>
        </w:rPr>
        <w:t xml:space="preserve"> judicial review of the decision of the HP</w:t>
      </w:r>
      <w:r w:rsidR="00894D61" w:rsidRPr="00247C2E">
        <w:rPr>
          <w:rFonts w:ascii="Times New Roman" w:hAnsi="Times New Roman" w:cs="Times New Roman"/>
          <w:sz w:val="24"/>
          <w:szCs w:val="24"/>
        </w:rPr>
        <w:t>R</w:t>
      </w:r>
      <w:r w:rsidRPr="00247C2E">
        <w:rPr>
          <w:rFonts w:ascii="Times New Roman" w:hAnsi="Times New Roman" w:cs="Times New Roman"/>
          <w:sz w:val="24"/>
          <w:szCs w:val="24"/>
        </w:rPr>
        <w:t xml:space="preserve">A to grant </w:t>
      </w:r>
      <w:r w:rsidR="00484E58">
        <w:rPr>
          <w:rFonts w:ascii="Times New Roman" w:hAnsi="Times New Roman" w:cs="Times New Roman"/>
          <w:sz w:val="24"/>
          <w:szCs w:val="24"/>
        </w:rPr>
        <w:t xml:space="preserve">the </w:t>
      </w:r>
      <w:r w:rsidRPr="00247C2E">
        <w:rPr>
          <w:rFonts w:ascii="Times New Roman" w:hAnsi="Times New Roman" w:cs="Times New Roman"/>
          <w:sz w:val="24"/>
          <w:szCs w:val="24"/>
        </w:rPr>
        <w:t>marketing authorisation to Chanelle</w:t>
      </w:r>
      <w:r w:rsidR="00036B41" w:rsidRPr="00247C2E">
        <w:rPr>
          <w:rFonts w:ascii="Times New Roman" w:hAnsi="Times New Roman" w:cs="Times New Roman"/>
          <w:sz w:val="24"/>
          <w:szCs w:val="24"/>
        </w:rPr>
        <w:t>.  T</w:t>
      </w:r>
      <w:r w:rsidRPr="00247C2E">
        <w:rPr>
          <w:rFonts w:ascii="Times New Roman" w:hAnsi="Times New Roman" w:cs="Times New Roman"/>
          <w:sz w:val="24"/>
          <w:szCs w:val="24"/>
        </w:rPr>
        <w:t xml:space="preserve">hat application was </w:t>
      </w:r>
      <w:r w:rsidR="00484E58">
        <w:rPr>
          <w:rFonts w:ascii="Times New Roman" w:hAnsi="Times New Roman" w:cs="Times New Roman"/>
          <w:sz w:val="24"/>
          <w:szCs w:val="24"/>
        </w:rPr>
        <w:t xml:space="preserve">acceded to </w:t>
      </w:r>
      <w:r w:rsidR="00036B41" w:rsidRPr="00247C2E">
        <w:rPr>
          <w:rFonts w:ascii="Times New Roman" w:hAnsi="Times New Roman" w:cs="Times New Roman"/>
          <w:sz w:val="24"/>
          <w:szCs w:val="24"/>
        </w:rPr>
        <w:t>and leave was granted on that date.</w:t>
      </w:r>
      <w:r w:rsidR="00247C2E" w:rsidRPr="00247C2E">
        <w:rPr>
          <w:rFonts w:ascii="Times New Roman" w:hAnsi="Times New Roman" w:cs="Times New Roman"/>
          <w:sz w:val="24"/>
          <w:szCs w:val="24"/>
        </w:rPr>
        <w:t xml:space="preserve"> </w:t>
      </w:r>
    </w:p>
    <w:p w14:paraId="5F01BDCE" w14:textId="77777777" w:rsidR="002331B9" w:rsidRPr="002331B9" w:rsidRDefault="002331B9" w:rsidP="002331B9">
      <w:pPr>
        <w:pStyle w:val="ListParagraph"/>
        <w:rPr>
          <w:rFonts w:ascii="Times New Roman" w:hAnsi="Times New Roman" w:cs="Times New Roman"/>
          <w:sz w:val="24"/>
          <w:szCs w:val="24"/>
        </w:rPr>
      </w:pPr>
    </w:p>
    <w:p w14:paraId="60DB64E5" w14:textId="32400E4F" w:rsidR="002331B9" w:rsidRPr="002331B9" w:rsidRDefault="00653031" w:rsidP="00247C2E">
      <w:pPr>
        <w:pStyle w:val="ListParagraph"/>
        <w:numPr>
          <w:ilvl w:val="0"/>
          <w:numId w:val="1"/>
        </w:numPr>
        <w:spacing w:line="480" w:lineRule="auto"/>
        <w:jc w:val="both"/>
        <w:rPr>
          <w:rFonts w:ascii="Times New Roman" w:hAnsi="Times New Roman" w:cs="Times New Roman"/>
          <w:b/>
          <w:sz w:val="24"/>
          <w:szCs w:val="24"/>
        </w:rPr>
      </w:pPr>
      <w:r w:rsidRPr="00247C2E">
        <w:rPr>
          <w:rFonts w:ascii="Times New Roman" w:hAnsi="Times New Roman" w:cs="Times New Roman"/>
          <w:sz w:val="24"/>
          <w:szCs w:val="24"/>
        </w:rPr>
        <w:t>While there are a large number of complaints made in the proceedings, central to the action is the claim made by Arthropharm that Osteopen is not properly viewed as a generic of Cartrophen</w:t>
      </w:r>
      <w:r w:rsidR="00036B41" w:rsidRPr="00247C2E">
        <w:rPr>
          <w:rFonts w:ascii="Times New Roman" w:hAnsi="Times New Roman" w:cs="Times New Roman"/>
          <w:sz w:val="24"/>
          <w:szCs w:val="24"/>
        </w:rPr>
        <w:t xml:space="preserve">.  </w:t>
      </w:r>
      <w:r w:rsidR="00484E58">
        <w:rPr>
          <w:rFonts w:ascii="Times New Roman" w:hAnsi="Times New Roman" w:cs="Times New Roman"/>
          <w:sz w:val="24"/>
          <w:szCs w:val="24"/>
        </w:rPr>
        <w:t xml:space="preserve">It makes three </w:t>
      </w:r>
      <w:r w:rsidR="00777B7E">
        <w:rPr>
          <w:rFonts w:ascii="Times New Roman" w:hAnsi="Times New Roman" w:cs="Times New Roman"/>
          <w:sz w:val="24"/>
          <w:szCs w:val="24"/>
        </w:rPr>
        <w:t xml:space="preserve">essential </w:t>
      </w:r>
      <w:r w:rsidR="00484E58">
        <w:rPr>
          <w:rFonts w:ascii="Times New Roman" w:hAnsi="Times New Roman" w:cs="Times New Roman"/>
          <w:sz w:val="24"/>
          <w:szCs w:val="24"/>
        </w:rPr>
        <w:t xml:space="preserve">points.  First, </w:t>
      </w:r>
      <w:r w:rsidR="00036B41" w:rsidRPr="00247C2E">
        <w:rPr>
          <w:rFonts w:ascii="Times New Roman" w:hAnsi="Times New Roman" w:cs="Times New Roman"/>
          <w:sz w:val="24"/>
          <w:szCs w:val="24"/>
        </w:rPr>
        <w:t>Arthropharm says that</w:t>
      </w:r>
      <w:r w:rsidRPr="00247C2E">
        <w:rPr>
          <w:rFonts w:ascii="Times New Roman" w:hAnsi="Times New Roman" w:cs="Times New Roman"/>
          <w:sz w:val="24"/>
          <w:szCs w:val="24"/>
        </w:rPr>
        <w:t xml:space="preserve"> the </w:t>
      </w:r>
      <w:r w:rsidR="00484E58">
        <w:rPr>
          <w:rFonts w:ascii="Times New Roman" w:hAnsi="Times New Roman" w:cs="Times New Roman"/>
          <w:sz w:val="24"/>
          <w:szCs w:val="24"/>
        </w:rPr>
        <w:t>quantitative and qualitative composition of the two products are not the same.  Second, it contends that HPRA erred in accepting</w:t>
      </w:r>
      <w:r w:rsidR="00CA5DD6">
        <w:rPr>
          <w:rFonts w:ascii="Times New Roman" w:hAnsi="Times New Roman" w:cs="Times New Roman"/>
          <w:sz w:val="24"/>
          <w:szCs w:val="24"/>
        </w:rPr>
        <w:t>,</w:t>
      </w:r>
      <w:r w:rsidR="00484E58">
        <w:rPr>
          <w:rFonts w:ascii="Times New Roman" w:hAnsi="Times New Roman" w:cs="Times New Roman"/>
          <w:sz w:val="24"/>
          <w:szCs w:val="24"/>
        </w:rPr>
        <w:t xml:space="preserve"> in the course of the process</w:t>
      </w:r>
      <w:r w:rsidR="00CA5DD6">
        <w:rPr>
          <w:rFonts w:ascii="Times New Roman" w:hAnsi="Times New Roman" w:cs="Times New Roman"/>
          <w:sz w:val="24"/>
          <w:szCs w:val="24"/>
        </w:rPr>
        <w:t>,</w:t>
      </w:r>
      <w:r w:rsidR="00484E58">
        <w:rPr>
          <w:rFonts w:ascii="Times New Roman" w:hAnsi="Times New Roman" w:cs="Times New Roman"/>
          <w:sz w:val="24"/>
          <w:szCs w:val="24"/>
        </w:rPr>
        <w:t xml:space="preserve"> the omission of bioequivalence data in circumstances where the active substance in </w:t>
      </w:r>
      <w:r w:rsidR="00C93565">
        <w:rPr>
          <w:rFonts w:ascii="Times New Roman" w:hAnsi="Times New Roman" w:cs="Times New Roman"/>
          <w:sz w:val="24"/>
          <w:szCs w:val="24"/>
        </w:rPr>
        <w:t xml:space="preserve">the </w:t>
      </w:r>
      <w:r w:rsidRPr="00247C2E">
        <w:rPr>
          <w:rFonts w:ascii="Times New Roman" w:hAnsi="Times New Roman" w:cs="Times New Roman"/>
          <w:sz w:val="24"/>
          <w:szCs w:val="24"/>
        </w:rPr>
        <w:t>manufacturing processes for the two products are not the same</w:t>
      </w:r>
      <w:r w:rsidR="00484E58">
        <w:rPr>
          <w:rFonts w:ascii="Times New Roman" w:hAnsi="Times New Roman" w:cs="Times New Roman"/>
          <w:sz w:val="24"/>
          <w:szCs w:val="24"/>
        </w:rPr>
        <w:t xml:space="preserve">.  </w:t>
      </w:r>
      <w:r w:rsidR="0090049B">
        <w:rPr>
          <w:rFonts w:ascii="Times New Roman" w:hAnsi="Times New Roman" w:cs="Times New Roman"/>
          <w:sz w:val="24"/>
          <w:szCs w:val="24"/>
        </w:rPr>
        <w:t xml:space="preserve">Third, it </w:t>
      </w:r>
      <w:r w:rsidR="00535337" w:rsidRPr="00247C2E">
        <w:rPr>
          <w:rFonts w:ascii="Times New Roman" w:hAnsi="Times New Roman" w:cs="Times New Roman"/>
          <w:sz w:val="24"/>
          <w:szCs w:val="24"/>
        </w:rPr>
        <w:t xml:space="preserve">complains that </w:t>
      </w:r>
      <w:r w:rsidR="0090049B">
        <w:rPr>
          <w:rFonts w:ascii="Times New Roman" w:hAnsi="Times New Roman" w:cs="Times New Roman"/>
          <w:sz w:val="24"/>
          <w:szCs w:val="24"/>
        </w:rPr>
        <w:t>the active ingredient is a biological substance and that Osteopen ought to have been assessed in accordance with Article 13(4) of the Directive</w:t>
      </w:r>
      <w:r w:rsidR="00DD11A0">
        <w:rPr>
          <w:rFonts w:ascii="Times New Roman" w:hAnsi="Times New Roman" w:cs="Times New Roman"/>
          <w:sz w:val="24"/>
          <w:szCs w:val="24"/>
        </w:rPr>
        <w:t xml:space="preserve">.  This </w:t>
      </w:r>
      <w:r w:rsidR="0090049B">
        <w:rPr>
          <w:rFonts w:ascii="Times New Roman" w:hAnsi="Times New Roman" w:cs="Times New Roman"/>
          <w:sz w:val="24"/>
          <w:szCs w:val="24"/>
        </w:rPr>
        <w:t>requires HPRA to take account of differences relating to raw materials or in</w:t>
      </w:r>
      <w:r w:rsidR="00C93565">
        <w:rPr>
          <w:rFonts w:ascii="Times New Roman" w:hAnsi="Times New Roman" w:cs="Times New Roman"/>
          <w:sz w:val="24"/>
          <w:szCs w:val="24"/>
        </w:rPr>
        <w:t xml:space="preserve"> the</w:t>
      </w:r>
      <w:r w:rsidR="0090049B">
        <w:rPr>
          <w:rFonts w:ascii="Times New Roman" w:hAnsi="Times New Roman" w:cs="Times New Roman"/>
          <w:sz w:val="24"/>
          <w:szCs w:val="24"/>
        </w:rPr>
        <w:t xml:space="preserve"> manufacturing processes of the two products.  It says that </w:t>
      </w:r>
      <w:r w:rsidR="00DD11A0">
        <w:rPr>
          <w:rFonts w:ascii="Times New Roman" w:hAnsi="Times New Roman" w:cs="Times New Roman"/>
          <w:sz w:val="24"/>
          <w:szCs w:val="24"/>
        </w:rPr>
        <w:t xml:space="preserve">variations </w:t>
      </w:r>
      <w:r w:rsidR="0090049B">
        <w:rPr>
          <w:rFonts w:ascii="Times New Roman" w:hAnsi="Times New Roman" w:cs="Times New Roman"/>
          <w:sz w:val="24"/>
          <w:szCs w:val="24"/>
        </w:rPr>
        <w:t>in the manufacturing processes of the active substance used in Osteopen and Cartrophen result in significant differences between the two products.</w:t>
      </w:r>
    </w:p>
    <w:p w14:paraId="5BBA95F5" w14:textId="77777777" w:rsidR="002331B9" w:rsidRPr="002331B9" w:rsidRDefault="002331B9" w:rsidP="002331B9">
      <w:pPr>
        <w:pStyle w:val="ListParagraph"/>
        <w:rPr>
          <w:rFonts w:ascii="Times New Roman" w:hAnsi="Times New Roman" w:cs="Times New Roman"/>
          <w:sz w:val="24"/>
          <w:szCs w:val="24"/>
        </w:rPr>
      </w:pPr>
    </w:p>
    <w:p w14:paraId="2017C002" w14:textId="118D18F3" w:rsidR="00B02D34" w:rsidRPr="00247C2E" w:rsidRDefault="00660502" w:rsidP="00247C2E">
      <w:pPr>
        <w:pStyle w:val="ListParagraph"/>
        <w:numPr>
          <w:ilvl w:val="0"/>
          <w:numId w:val="1"/>
        </w:numPr>
        <w:spacing w:line="480" w:lineRule="auto"/>
        <w:jc w:val="both"/>
        <w:rPr>
          <w:rFonts w:ascii="Times New Roman" w:hAnsi="Times New Roman" w:cs="Times New Roman"/>
          <w:b/>
          <w:sz w:val="24"/>
          <w:szCs w:val="24"/>
        </w:rPr>
      </w:pPr>
      <w:r w:rsidRPr="00247C2E">
        <w:rPr>
          <w:rFonts w:ascii="Times New Roman" w:hAnsi="Times New Roman" w:cs="Times New Roman"/>
          <w:sz w:val="24"/>
          <w:szCs w:val="24"/>
        </w:rPr>
        <w:t>At the time leave was sought and granted</w:t>
      </w:r>
      <w:r w:rsidR="00894D61" w:rsidRPr="00247C2E">
        <w:rPr>
          <w:rFonts w:ascii="Times New Roman" w:hAnsi="Times New Roman" w:cs="Times New Roman"/>
          <w:sz w:val="24"/>
          <w:szCs w:val="24"/>
        </w:rPr>
        <w:t xml:space="preserve"> </w:t>
      </w:r>
      <w:r w:rsidRPr="00247C2E">
        <w:rPr>
          <w:rFonts w:ascii="Times New Roman" w:hAnsi="Times New Roman" w:cs="Times New Roman"/>
          <w:sz w:val="24"/>
          <w:szCs w:val="24"/>
        </w:rPr>
        <w:t>HP</w:t>
      </w:r>
      <w:r w:rsidR="00894D61" w:rsidRPr="00247C2E">
        <w:rPr>
          <w:rFonts w:ascii="Times New Roman" w:hAnsi="Times New Roman" w:cs="Times New Roman"/>
          <w:sz w:val="24"/>
          <w:szCs w:val="24"/>
        </w:rPr>
        <w:t>R</w:t>
      </w:r>
      <w:r w:rsidRPr="00247C2E">
        <w:rPr>
          <w:rFonts w:ascii="Times New Roman" w:hAnsi="Times New Roman" w:cs="Times New Roman"/>
          <w:sz w:val="24"/>
          <w:szCs w:val="24"/>
        </w:rPr>
        <w:t xml:space="preserve">A had not complied with the statutory obligation imposed upon it by Regulation 46 of the 2007 Regulations to publish notice of the grant of a veterinary product authorisation in </w:t>
      </w:r>
      <w:r w:rsidR="00C93565">
        <w:rPr>
          <w:rFonts w:ascii="Times New Roman" w:hAnsi="Times New Roman" w:cs="Times New Roman"/>
          <w:sz w:val="24"/>
          <w:szCs w:val="24"/>
        </w:rPr>
        <w:t>Iris Oifigiúil</w:t>
      </w:r>
      <w:r w:rsidRPr="00247C2E">
        <w:rPr>
          <w:rFonts w:ascii="Times New Roman" w:hAnsi="Times New Roman" w:cs="Times New Roman"/>
          <w:sz w:val="24"/>
          <w:szCs w:val="24"/>
        </w:rPr>
        <w:t xml:space="preserve">.  </w:t>
      </w:r>
      <w:r w:rsidR="00447276" w:rsidRPr="00247C2E">
        <w:rPr>
          <w:rFonts w:ascii="Times New Roman" w:hAnsi="Times New Roman" w:cs="Times New Roman"/>
          <w:sz w:val="24"/>
          <w:szCs w:val="24"/>
        </w:rPr>
        <w:t>HP</w:t>
      </w:r>
      <w:r w:rsidR="00894D61" w:rsidRPr="00247C2E">
        <w:rPr>
          <w:rFonts w:ascii="Times New Roman" w:hAnsi="Times New Roman" w:cs="Times New Roman"/>
          <w:sz w:val="24"/>
          <w:szCs w:val="24"/>
        </w:rPr>
        <w:t>R</w:t>
      </w:r>
      <w:r w:rsidR="00447276" w:rsidRPr="00247C2E">
        <w:rPr>
          <w:rFonts w:ascii="Times New Roman" w:hAnsi="Times New Roman" w:cs="Times New Roman"/>
          <w:sz w:val="24"/>
          <w:szCs w:val="24"/>
        </w:rPr>
        <w:t xml:space="preserve">A </w:t>
      </w:r>
      <w:r w:rsidRPr="00247C2E">
        <w:rPr>
          <w:rFonts w:ascii="Times New Roman" w:hAnsi="Times New Roman" w:cs="Times New Roman"/>
          <w:sz w:val="24"/>
          <w:szCs w:val="24"/>
        </w:rPr>
        <w:t xml:space="preserve">did not do this until </w:t>
      </w:r>
      <w:r w:rsidR="00831D67">
        <w:rPr>
          <w:rFonts w:ascii="Times New Roman" w:hAnsi="Times New Roman" w:cs="Times New Roman"/>
          <w:sz w:val="24"/>
          <w:szCs w:val="24"/>
        </w:rPr>
        <w:t xml:space="preserve">8 </w:t>
      </w:r>
      <w:r w:rsidRPr="00247C2E">
        <w:rPr>
          <w:rFonts w:ascii="Times New Roman" w:hAnsi="Times New Roman" w:cs="Times New Roman"/>
          <w:sz w:val="24"/>
          <w:szCs w:val="24"/>
        </w:rPr>
        <w:t>January 2019.</w:t>
      </w:r>
    </w:p>
    <w:p w14:paraId="4A2DC4B3" w14:textId="77777777" w:rsidR="001F275D" w:rsidRPr="001F275D" w:rsidRDefault="001F275D" w:rsidP="001F275D">
      <w:pPr>
        <w:pStyle w:val="ListParagraph"/>
        <w:rPr>
          <w:rFonts w:ascii="Times New Roman" w:hAnsi="Times New Roman" w:cs="Times New Roman"/>
          <w:b/>
          <w:sz w:val="24"/>
          <w:szCs w:val="24"/>
        </w:rPr>
      </w:pPr>
    </w:p>
    <w:p w14:paraId="58DFD4CD" w14:textId="77777777" w:rsidR="001F275D" w:rsidRPr="001F275D" w:rsidRDefault="001F275D" w:rsidP="004E3C0E">
      <w:pPr>
        <w:pStyle w:val="ListParagraph"/>
        <w:spacing w:line="480" w:lineRule="auto"/>
        <w:ind w:firstLine="66"/>
        <w:jc w:val="both"/>
        <w:rPr>
          <w:rFonts w:ascii="Times New Roman" w:hAnsi="Times New Roman" w:cs="Times New Roman"/>
          <w:b/>
          <w:i/>
          <w:sz w:val="24"/>
          <w:szCs w:val="24"/>
        </w:rPr>
      </w:pPr>
      <w:r>
        <w:rPr>
          <w:rFonts w:ascii="Times New Roman" w:hAnsi="Times New Roman" w:cs="Times New Roman"/>
          <w:b/>
          <w:i/>
          <w:sz w:val="24"/>
          <w:szCs w:val="24"/>
        </w:rPr>
        <w:lastRenderedPageBreak/>
        <w:t>The issues</w:t>
      </w:r>
    </w:p>
    <w:p w14:paraId="1DF3AB25" w14:textId="77777777" w:rsidR="00137F8F" w:rsidRPr="00137F8F" w:rsidRDefault="00137F8F" w:rsidP="00137F8F">
      <w:pPr>
        <w:pStyle w:val="ListParagraph"/>
        <w:rPr>
          <w:rFonts w:ascii="Times New Roman" w:hAnsi="Times New Roman" w:cs="Times New Roman"/>
          <w:b/>
          <w:sz w:val="24"/>
          <w:szCs w:val="24"/>
        </w:rPr>
      </w:pPr>
    </w:p>
    <w:p w14:paraId="27F968C9" w14:textId="77777777" w:rsidR="00137F8F" w:rsidRPr="001F275D" w:rsidRDefault="006C6A95" w:rsidP="004E0659">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sz w:val="24"/>
          <w:szCs w:val="24"/>
        </w:rPr>
        <w:t>On its face, th</w:t>
      </w:r>
      <w:r w:rsidR="00805B53">
        <w:rPr>
          <w:rFonts w:ascii="Times New Roman" w:hAnsi="Times New Roman" w:cs="Times New Roman"/>
          <w:sz w:val="24"/>
          <w:szCs w:val="24"/>
        </w:rPr>
        <w:t xml:space="preserve">e timing of all of this </w:t>
      </w:r>
      <w:r w:rsidR="00F71683">
        <w:rPr>
          <w:rFonts w:ascii="Times New Roman" w:hAnsi="Times New Roman" w:cs="Times New Roman"/>
          <w:sz w:val="24"/>
          <w:szCs w:val="24"/>
        </w:rPr>
        <w:t>gave rise to an issue</w:t>
      </w:r>
      <w:r w:rsidR="004B5307">
        <w:rPr>
          <w:rFonts w:ascii="Times New Roman" w:hAnsi="Times New Roman" w:cs="Times New Roman"/>
          <w:sz w:val="24"/>
          <w:szCs w:val="24"/>
        </w:rPr>
        <w:t xml:space="preserve">.  </w:t>
      </w:r>
      <w:r>
        <w:rPr>
          <w:rFonts w:ascii="Times New Roman" w:hAnsi="Times New Roman" w:cs="Times New Roman"/>
          <w:sz w:val="24"/>
          <w:szCs w:val="24"/>
        </w:rPr>
        <w:t>Order 84 Rule 21</w:t>
      </w:r>
      <w:r w:rsidR="000F0BC9">
        <w:rPr>
          <w:rFonts w:ascii="Times New Roman" w:hAnsi="Times New Roman" w:cs="Times New Roman"/>
          <w:sz w:val="24"/>
          <w:szCs w:val="24"/>
        </w:rPr>
        <w:t>(1) of the Rules of the Superior Courts (‘RSC’) provides that an application for leave to apply for judicial review shall be made ‘</w:t>
      </w:r>
      <w:r w:rsidR="000F0BC9">
        <w:rPr>
          <w:rFonts w:ascii="Times New Roman" w:hAnsi="Times New Roman" w:cs="Times New Roman"/>
          <w:i/>
          <w:sz w:val="24"/>
          <w:szCs w:val="24"/>
        </w:rPr>
        <w:t>within three months from the date when grounds for the application first arose’</w:t>
      </w:r>
      <w:r w:rsidR="000F0BC9">
        <w:rPr>
          <w:rFonts w:ascii="Times New Roman" w:hAnsi="Times New Roman" w:cs="Times New Roman"/>
          <w:sz w:val="24"/>
          <w:szCs w:val="24"/>
        </w:rPr>
        <w:t xml:space="preserve">. </w:t>
      </w:r>
      <w:r w:rsidR="004B5CDE">
        <w:rPr>
          <w:rFonts w:ascii="Times New Roman" w:hAnsi="Times New Roman" w:cs="Times New Roman"/>
          <w:sz w:val="24"/>
          <w:szCs w:val="24"/>
        </w:rPr>
        <w:t xml:space="preserve"> The court is empowered under certain conditions to extend this time.</w:t>
      </w:r>
      <w:r w:rsidR="000F0BC9">
        <w:rPr>
          <w:rFonts w:ascii="Times New Roman" w:hAnsi="Times New Roman" w:cs="Times New Roman"/>
          <w:sz w:val="24"/>
          <w:szCs w:val="24"/>
        </w:rPr>
        <w:t xml:space="preserve"> The application for leave was moved five months after the decision to grant the </w:t>
      </w:r>
      <w:r w:rsidR="00B54131">
        <w:rPr>
          <w:rFonts w:ascii="Times New Roman" w:hAnsi="Times New Roman" w:cs="Times New Roman"/>
          <w:sz w:val="24"/>
          <w:szCs w:val="24"/>
        </w:rPr>
        <w:t xml:space="preserve">marketing </w:t>
      </w:r>
      <w:r w:rsidR="000F0BC9">
        <w:rPr>
          <w:rFonts w:ascii="Times New Roman" w:hAnsi="Times New Roman" w:cs="Times New Roman"/>
          <w:sz w:val="24"/>
          <w:szCs w:val="24"/>
        </w:rPr>
        <w:t>authorisation was made and published to the world at large, and four months after A</w:t>
      </w:r>
      <w:r w:rsidR="00AC3578">
        <w:rPr>
          <w:rFonts w:ascii="Times New Roman" w:hAnsi="Times New Roman" w:cs="Times New Roman"/>
          <w:sz w:val="24"/>
          <w:szCs w:val="24"/>
        </w:rPr>
        <w:t>r</w:t>
      </w:r>
      <w:r w:rsidR="000F0BC9">
        <w:rPr>
          <w:rFonts w:ascii="Times New Roman" w:hAnsi="Times New Roman" w:cs="Times New Roman"/>
          <w:sz w:val="24"/>
          <w:szCs w:val="24"/>
        </w:rPr>
        <w:t>thropharm became aware of it.</w:t>
      </w:r>
      <w:r w:rsidR="00E466BC">
        <w:rPr>
          <w:rFonts w:ascii="Times New Roman" w:hAnsi="Times New Roman" w:cs="Times New Roman"/>
          <w:sz w:val="24"/>
          <w:szCs w:val="24"/>
        </w:rPr>
        <w:t xml:space="preserve">  In their opposition papers HPRA and Chanelle asserted that Arthropharm was out of time to </w:t>
      </w:r>
      <w:r w:rsidR="00ED6FA9">
        <w:rPr>
          <w:rFonts w:ascii="Times New Roman" w:hAnsi="Times New Roman" w:cs="Times New Roman"/>
          <w:sz w:val="24"/>
          <w:szCs w:val="24"/>
        </w:rPr>
        <w:t>seek the relief it claimed.</w:t>
      </w:r>
    </w:p>
    <w:p w14:paraId="26359F4B" w14:textId="77777777" w:rsidR="001F275D" w:rsidRPr="001F275D" w:rsidRDefault="001F275D" w:rsidP="001F275D">
      <w:pPr>
        <w:pStyle w:val="ListParagraph"/>
        <w:rPr>
          <w:rFonts w:ascii="Times New Roman" w:hAnsi="Times New Roman" w:cs="Times New Roman"/>
          <w:b/>
          <w:sz w:val="24"/>
          <w:szCs w:val="24"/>
        </w:rPr>
      </w:pPr>
    </w:p>
    <w:p w14:paraId="722CC387" w14:textId="11129A8A" w:rsidR="001F275D" w:rsidRPr="00660502" w:rsidRDefault="000A230E" w:rsidP="004E0659">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When granting leave to apply for judicial </w:t>
      </w:r>
      <w:r w:rsidR="00386E78">
        <w:rPr>
          <w:rFonts w:ascii="Times New Roman" w:hAnsi="Times New Roman" w:cs="Times New Roman"/>
          <w:sz w:val="24"/>
          <w:szCs w:val="24"/>
        </w:rPr>
        <w:t>re</w:t>
      </w:r>
      <w:r>
        <w:rPr>
          <w:rFonts w:ascii="Times New Roman" w:hAnsi="Times New Roman" w:cs="Times New Roman"/>
          <w:sz w:val="24"/>
          <w:szCs w:val="24"/>
        </w:rPr>
        <w:t>view the High Court directed that any</w:t>
      </w:r>
      <w:r w:rsidR="0062629D">
        <w:rPr>
          <w:rFonts w:ascii="Times New Roman" w:hAnsi="Times New Roman" w:cs="Times New Roman"/>
          <w:sz w:val="24"/>
          <w:szCs w:val="24"/>
        </w:rPr>
        <w:t xml:space="preserve"> </w:t>
      </w:r>
      <w:r>
        <w:rPr>
          <w:rFonts w:ascii="Times New Roman" w:hAnsi="Times New Roman" w:cs="Times New Roman"/>
          <w:sz w:val="24"/>
          <w:szCs w:val="24"/>
        </w:rPr>
        <w:t>questions as to whether it was necessary to extend time for seeking such relief and</w:t>
      </w:r>
      <w:r w:rsidR="00C93565">
        <w:rPr>
          <w:rFonts w:ascii="Times New Roman" w:hAnsi="Times New Roman" w:cs="Times New Roman"/>
          <w:sz w:val="24"/>
          <w:szCs w:val="24"/>
        </w:rPr>
        <w:t>,</w:t>
      </w:r>
      <w:r>
        <w:rPr>
          <w:rFonts w:ascii="Times New Roman" w:hAnsi="Times New Roman" w:cs="Times New Roman"/>
          <w:sz w:val="24"/>
          <w:szCs w:val="24"/>
        </w:rPr>
        <w:t xml:space="preserve"> if so</w:t>
      </w:r>
      <w:r w:rsidR="00C93565">
        <w:rPr>
          <w:rFonts w:ascii="Times New Roman" w:hAnsi="Times New Roman" w:cs="Times New Roman"/>
          <w:sz w:val="24"/>
          <w:szCs w:val="24"/>
        </w:rPr>
        <w:t>,</w:t>
      </w:r>
      <w:r>
        <w:rPr>
          <w:rFonts w:ascii="Times New Roman" w:hAnsi="Times New Roman" w:cs="Times New Roman"/>
          <w:sz w:val="24"/>
          <w:szCs w:val="24"/>
        </w:rPr>
        <w:t xml:space="preserve"> whether such an extension should be granted</w:t>
      </w:r>
      <w:r w:rsidR="00C93565">
        <w:rPr>
          <w:rFonts w:ascii="Times New Roman" w:hAnsi="Times New Roman" w:cs="Times New Roman"/>
          <w:sz w:val="24"/>
          <w:szCs w:val="24"/>
        </w:rPr>
        <w:t>,</w:t>
      </w:r>
      <w:r>
        <w:rPr>
          <w:rFonts w:ascii="Times New Roman" w:hAnsi="Times New Roman" w:cs="Times New Roman"/>
          <w:sz w:val="24"/>
          <w:szCs w:val="24"/>
        </w:rPr>
        <w:t xml:space="preserve"> should be left to the trial judge.  </w:t>
      </w:r>
      <w:r w:rsidR="002A031A">
        <w:rPr>
          <w:rFonts w:ascii="Times New Roman" w:hAnsi="Times New Roman" w:cs="Times New Roman"/>
          <w:sz w:val="24"/>
          <w:szCs w:val="24"/>
        </w:rPr>
        <w:t xml:space="preserve">Shortly before the full action was due to come on for trial, the </w:t>
      </w:r>
      <w:r w:rsidR="001F275D">
        <w:rPr>
          <w:rFonts w:ascii="Times New Roman" w:hAnsi="Times New Roman" w:cs="Times New Roman"/>
          <w:sz w:val="24"/>
          <w:szCs w:val="24"/>
        </w:rPr>
        <w:t>High Court judge</w:t>
      </w:r>
      <w:r w:rsidR="002A031A">
        <w:rPr>
          <w:rFonts w:ascii="Times New Roman" w:hAnsi="Times New Roman" w:cs="Times New Roman"/>
          <w:sz w:val="24"/>
          <w:szCs w:val="24"/>
        </w:rPr>
        <w:t xml:space="preserve"> managing the </w:t>
      </w:r>
      <w:r w:rsidR="00F71683">
        <w:rPr>
          <w:rFonts w:ascii="Times New Roman" w:hAnsi="Times New Roman" w:cs="Times New Roman"/>
          <w:sz w:val="24"/>
          <w:szCs w:val="24"/>
        </w:rPr>
        <w:t>j</w:t>
      </w:r>
      <w:r w:rsidR="002A031A">
        <w:rPr>
          <w:rFonts w:ascii="Times New Roman" w:hAnsi="Times New Roman" w:cs="Times New Roman"/>
          <w:sz w:val="24"/>
          <w:szCs w:val="24"/>
        </w:rPr>
        <w:t xml:space="preserve">udicial </w:t>
      </w:r>
      <w:r w:rsidR="00F71683">
        <w:rPr>
          <w:rFonts w:ascii="Times New Roman" w:hAnsi="Times New Roman" w:cs="Times New Roman"/>
          <w:sz w:val="24"/>
          <w:szCs w:val="24"/>
        </w:rPr>
        <w:t>r</w:t>
      </w:r>
      <w:r w:rsidR="002A031A">
        <w:rPr>
          <w:rFonts w:ascii="Times New Roman" w:hAnsi="Times New Roman" w:cs="Times New Roman"/>
          <w:sz w:val="24"/>
          <w:szCs w:val="24"/>
        </w:rPr>
        <w:t xml:space="preserve">eview list </w:t>
      </w:r>
      <w:r w:rsidR="001F275D">
        <w:rPr>
          <w:rFonts w:ascii="Times New Roman" w:hAnsi="Times New Roman" w:cs="Times New Roman"/>
          <w:sz w:val="24"/>
          <w:szCs w:val="24"/>
        </w:rPr>
        <w:t xml:space="preserve">directed the trial of an issue as to </w:t>
      </w:r>
      <w:r w:rsidR="009929EC">
        <w:rPr>
          <w:rFonts w:ascii="Times New Roman" w:hAnsi="Times New Roman" w:cs="Times New Roman"/>
          <w:sz w:val="24"/>
          <w:szCs w:val="24"/>
        </w:rPr>
        <w:t xml:space="preserve">whether the proceedings had been brought within the period specified in Order 84 Rule 21(1) and, if not, whether time should be extended </w:t>
      </w:r>
      <w:r w:rsidR="004B5CDE">
        <w:rPr>
          <w:rFonts w:ascii="Times New Roman" w:hAnsi="Times New Roman" w:cs="Times New Roman"/>
          <w:sz w:val="24"/>
          <w:szCs w:val="24"/>
        </w:rPr>
        <w:t>(as enabled by</w:t>
      </w:r>
      <w:r w:rsidR="00B54131">
        <w:rPr>
          <w:rFonts w:ascii="Times New Roman" w:hAnsi="Times New Roman" w:cs="Times New Roman"/>
          <w:sz w:val="24"/>
          <w:szCs w:val="24"/>
        </w:rPr>
        <w:t xml:space="preserve"> </w:t>
      </w:r>
      <w:r w:rsidR="009929EC">
        <w:rPr>
          <w:rFonts w:ascii="Times New Roman" w:hAnsi="Times New Roman" w:cs="Times New Roman"/>
          <w:sz w:val="24"/>
          <w:szCs w:val="24"/>
        </w:rPr>
        <w:t>Order 84 Rule 21(3)</w:t>
      </w:r>
      <w:r w:rsidR="004B5CDE">
        <w:rPr>
          <w:rFonts w:ascii="Times New Roman" w:hAnsi="Times New Roman" w:cs="Times New Roman"/>
          <w:sz w:val="24"/>
          <w:szCs w:val="24"/>
        </w:rPr>
        <w:t>)</w:t>
      </w:r>
      <w:r w:rsidR="009929EC">
        <w:rPr>
          <w:rFonts w:ascii="Times New Roman" w:hAnsi="Times New Roman" w:cs="Times New Roman"/>
          <w:sz w:val="24"/>
          <w:szCs w:val="24"/>
        </w:rPr>
        <w:t xml:space="preserve">.  </w:t>
      </w:r>
      <w:r w:rsidR="00CB05F5">
        <w:rPr>
          <w:rFonts w:ascii="Times New Roman" w:hAnsi="Times New Roman" w:cs="Times New Roman"/>
          <w:sz w:val="24"/>
          <w:szCs w:val="24"/>
        </w:rPr>
        <w:t>T</w:t>
      </w:r>
      <w:r w:rsidR="003873FE">
        <w:rPr>
          <w:rFonts w:ascii="Times New Roman" w:hAnsi="Times New Roman" w:cs="Times New Roman"/>
          <w:sz w:val="24"/>
          <w:szCs w:val="24"/>
        </w:rPr>
        <w:t>h</w:t>
      </w:r>
      <w:r w:rsidR="00CB05F5">
        <w:rPr>
          <w:rFonts w:ascii="Times New Roman" w:hAnsi="Times New Roman" w:cs="Times New Roman"/>
          <w:sz w:val="24"/>
          <w:szCs w:val="24"/>
        </w:rPr>
        <w:t xml:space="preserve">e trial of that issue came before Simons J.  </w:t>
      </w:r>
      <w:r w:rsidR="009929EC">
        <w:rPr>
          <w:rFonts w:ascii="Times New Roman" w:hAnsi="Times New Roman" w:cs="Times New Roman"/>
          <w:sz w:val="24"/>
          <w:szCs w:val="24"/>
        </w:rPr>
        <w:t>Fo</w:t>
      </w:r>
      <w:r w:rsidR="004369E8">
        <w:rPr>
          <w:rFonts w:ascii="Times New Roman" w:hAnsi="Times New Roman" w:cs="Times New Roman"/>
          <w:sz w:val="24"/>
          <w:szCs w:val="24"/>
        </w:rPr>
        <w:t>r reasons</w:t>
      </w:r>
      <w:r w:rsidR="000248FA">
        <w:rPr>
          <w:rFonts w:ascii="Times New Roman" w:hAnsi="Times New Roman" w:cs="Times New Roman"/>
          <w:sz w:val="24"/>
          <w:szCs w:val="24"/>
        </w:rPr>
        <w:t xml:space="preserve"> </w:t>
      </w:r>
      <w:r w:rsidR="004369E8">
        <w:rPr>
          <w:rFonts w:ascii="Times New Roman" w:hAnsi="Times New Roman" w:cs="Times New Roman"/>
          <w:sz w:val="24"/>
          <w:szCs w:val="24"/>
        </w:rPr>
        <w:t>explained in a</w:t>
      </w:r>
      <w:r w:rsidR="009929EC">
        <w:rPr>
          <w:rFonts w:ascii="Times New Roman" w:hAnsi="Times New Roman" w:cs="Times New Roman"/>
          <w:sz w:val="24"/>
          <w:szCs w:val="24"/>
        </w:rPr>
        <w:t xml:space="preserve"> detailed and careful reserved judgment,</w:t>
      </w:r>
      <w:r w:rsidR="00CB05F5">
        <w:rPr>
          <w:rFonts w:ascii="Times New Roman" w:hAnsi="Times New Roman" w:cs="Times New Roman"/>
          <w:sz w:val="24"/>
          <w:szCs w:val="24"/>
        </w:rPr>
        <w:t xml:space="preserve"> </w:t>
      </w:r>
      <w:r w:rsidR="009929EC">
        <w:rPr>
          <w:rFonts w:ascii="Times New Roman" w:hAnsi="Times New Roman" w:cs="Times New Roman"/>
          <w:sz w:val="24"/>
          <w:szCs w:val="24"/>
        </w:rPr>
        <w:t xml:space="preserve">([2020] IEHC 16) </w:t>
      </w:r>
      <w:r w:rsidR="00CB05F5">
        <w:rPr>
          <w:rFonts w:ascii="Times New Roman" w:hAnsi="Times New Roman" w:cs="Times New Roman"/>
          <w:sz w:val="24"/>
          <w:szCs w:val="24"/>
        </w:rPr>
        <w:t xml:space="preserve">he </w:t>
      </w:r>
      <w:r w:rsidR="009929EC">
        <w:rPr>
          <w:rFonts w:ascii="Times New Roman" w:hAnsi="Times New Roman" w:cs="Times New Roman"/>
          <w:sz w:val="24"/>
          <w:szCs w:val="24"/>
        </w:rPr>
        <w:t>answered both of these questions in the negative.</w:t>
      </w:r>
      <w:r w:rsidR="00E07338">
        <w:rPr>
          <w:rFonts w:ascii="Times New Roman" w:hAnsi="Times New Roman" w:cs="Times New Roman"/>
          <w:sz w:val="24"/>
          <w:szCs w:val="24"/>
        </w:rPr>
        <w:t xml:space="preserve">  In this appeal from that decision, </w:t>
      </w:r>
      <w:r w:rsidR="00660502">
        <w:rPr>
          <w:rFonts w:ascii="Times New Roman" w:hAnsi="Times New Roman" w:cs="Times New Roman"/>
          <w:sz w:val="24"/>
          <w:szCs w:val="24"/>
        </w:rPr>
        <w:t>the following issues arise:</w:t>
      </w:r>
    </w:p>
    <w:p w14:paraId="3A561697" w14:textId="77777777" w:rsidR="00660502" w:rsidRPr="00660502" w:rsidRDefault="00660502" w:rsidP="00660502">
      <w:pPr>
        <w:pStyle w:val="ListParagraph"/>
        <w:rPr>
          <w:rFonts w:ascii="Times New Roman" w:hAnsi="Times New Roman" w:cs="Times New Roman"/>
          <w:b/>
          <w:sz w:val="24"/>
          <w:szCs w:val="24"/>
        </w:rPr>
      </w:pPr>
    </w:p>
    <w:p w14:paraId="13AD8523" w14:textId="5A63D32E" w:rsidR="00660502" w:rsidRPr="00734417" w:rsidRDefault="00660502" w:rsidP="00660502">
      <w:pPr>
        <w:pStyle w:val="ListParagraph"/>
        <w:numPr>
          <w:ilvl w:val="0"/>
          <w:numId w:val="2"/>
        </w:numPr>
        <w:spacing w:line="480" w:lineRule="auto"/>
        <w:jc w:val="both"/>
        <w:rPr>
          <w:rFonts w:ascii="Times New Roman" w:hAnsi="Times New Roman" w:cs="Times New Roman"/>
          <w:b/>
          <w:sz w:val="24"/>
          <w:szCs w:val="24"/>
        </w:rPr>
      </w:pPr>
      <w:r>
        <w:rPr>
          <w:rFonts w:ascii="Times New Roman" w:hAnsi="Times New Roman" w:cs="Times New Roman"/>
          <w:sz w:val="24"/>
          <w:szCs w:val="24"/>
        </w:rPr>
        <w:t>Whether the trial judge erred in finding that the date from which the three month period ran is 23 July 2018 (as HP</w:t>
      </w:r>
      <w:r w:rsidR="00894D61">
        <w:rPr>
          <w:rFonts w:ascii="Times New Roman" w:hAnsi="Times New Roman" w:cs="Times New Roman"/>
          <w:sz w:val="24"/>
          <w:szCs w:val="24"/>
        </w:rPr>
        <w:t>R</w:t>
      </w:r>
      <w:r>
        <w:rPr>
          <w:rFonts w:ascii="Times New Roman" w:hAnsi="Times New Roman" w:cs="Times New Roman"/>
          <w:sz w:val="24"/>
          <w:szCs w:val="24"/>
        </w:rPr>
        <w:t xml:space="preserve">A contended) or whether (as Arthropharm argued) it ran </w:t>
      </w:r>
      <w:r w:rsidR="000A7193">
        <w:rPr>
          <w:rFonts w:ascii="Times New Roman" w:hAnsi="Times New Roman" w:cs="Times New Roman"/>
          <w:sz w:val="24"/>
          <w:szCs w:val="24"/>
        </w:rPr>
        <w:t xml:space="preserve">either (a) </w:t>
      </w:r>
      <w:r>
        <w:rPr>
          <w:rFonts w:ascii="Times New Roman" w:hAnsi="Times New Roman" w:cs="Times New Roman"/>
          <w:sz w:val="24"/>
          <w:szCs w:val="24"/>
        </w:rPr>
        <w:t>from the point at which HP</w:t>
      </w:r>
      <w:r w:rsidR="00894D61">
        <w:rPr>
          <w:rFonts w:ascii="Times New Roman" w:hAnsi="Times New Roman" w:cs="Times New Roman"/>
          <w:sz w:val="24"/>
          <w:szCs w:val="24"/>
        </w:rPr>
        <w:t>R</w:t>
      </w:r>
      <w:r>
        <w:rPr>
          <w:rFonts w:ascii="Times New Roman" w:hAnsi="Times New Roman" w:cs="Times New Roman"/>
          <w:sz w:val="24"/>
          <w:szCs w:val="24"/>
        </w:rPr>
        <w:t xml:space="preserve">A complied with its statutory obligation to publish notice of the grant of the licence in Iris </w:t>
      </w:r>
      <w:r w:rsidR="00C93565">
        <w:rPr>
          <w:rFonts w:ascii="Times New Roman" w:hAnsi="Times New Roman" w:cs="Times New Roman"/>
          <w:sz w:val="24"/>
          <w:szCs w:val="24"/>
        </w:rPr>
        <w:t>Oifigiúil</w:t>
      </w:r>
      <w:r w:rsidR="000A7193">
        <w:rPr>
          <w:rFonts w:ascii="Times New Roman" w:hAnsi="Times New Roman" w:cs="Times New Roman"/>
          <w:sz w:val="24"/>
          <w:szCs w:val="24"/>
        </w:rPr>
        <w:t xml:space="preserve">, or (b) from </w:t>
      </w:r>
      <w:r w:rsidR="00232ADF">
        <w:rPr>
          <w:rFonts w:ascii="Times New Roman" w:hAnsi="Times New Roman" w:cs="Times New Roman"/>
          <w:sz w:val="24"/>
          <w:szCs w:val="24"/>
        </w:rPr>
        <w:t xml:space="preserve">30 </w:t>
      </w:r>
      <w:r w:rsidR="000A7193">
        <w:rPr>
          <w:rFonts w:ascii="Times New Roman" w:hAnsi="Times New Roman" w:cs="Times New Roman"/>
          <w:sz w:val="24"/>
          <w:szCs w:val="24"/>
        </w:rPr>
        <w:t>October 2018, this being the point at which HP</w:t>
      </w:r>
      <w:r w:rsidR="00894D61">
        <w:rPr>
          <w:rFonts w:ascii="Times New Roman" w:hAnsi="Times New Roman" w:cs="Times New Roman"/>
          <w:sz w:val="24"/>
          <w:szCs w:val="24"/>
        </w:rPr>
        <w:t>R</w:t>
      </w:r>
      <w:r w:rsidR="000A7193">
        <w:rPr>
          <w:rFonts w:ascii="Times New Roman" w:hAnsi="Times New Roman" w:cs="Times New Roman"/>
          <w:sz w:val="24"/>
          <w:szCs w:val="24"/>
        </w:rPr>
        <w:t xml:space="preserve">A responded to </w:t>
      </w:r>
      <w:r w:rsidR="000A7193">
        <w:rPr>
          <w:rFonts w:ascii="Times New Roman" w:hAnsi="Times New Roman" w:cs="Times New Roman"/>
          <w:sz w:val="24"/>
          <w:szCs w:val="24"/>
        </w:rPr>
        <w:lastRenderedPageBreak/>
        <w:t>a</w:t>
      </w:r>
      <w:r w:rsidR="00D27D07">
        <w:rPr>
          <w:rFonts w:ascii="Times New Roman" w:hAnsi="Times New Roman" w:cs="Times New Roman"/>
          <w:sz w:val="24"/>
          <w:szCs w:val="24"/>
        </w:rPr>
        <w:t>n</w:t>
      </w:r>
      <w:r w:rsidR="00B04B81">
        <w:rPr>
          <w:rFonts w:ascii="Times New Roman" w:hAnsi="Times New Roman" w:cs="Times New Roman"/>
          <w:sz w:val="24"/>
          <w:szCs w:val="24"/>
        </w:rPr>
        <w:t xml:space="preserve"> ‘objection’ to the registration made by </w:t>
      </w:r>
      <w:r w:rsidR="000A7193">
        <w:rPr>
          <w:rFonts w:ascii="Times New Roman" w:hAnsi="Times New Roman" w:cs="Times New Roman"/>
          <w:sz w:val="24"/>
          <w:szCs w:val="24"/>
        </w:rPr>
        <w:t>Arthropharm</w:t>
      </w:r>
      <w:r w:rsidR="00B04B81">
        <w:rPr>
          <w:rFonts w:ascii="Times New Roman" w:hAnsi="Times New Roman" w:cs="Times New Roman"/>
          <w:sz w:val="24"/>
          <w:szCs w:val="24"/>
        </w:rPr>
        <w:t xml:space="preserve"> </w:t>
      </w:r>
      <w:r w:rsidR="00931AD3">
        <w:rPr>
          <w:rFonts w:ascii="Times New Roman" w:hAnsi="Times New Roman" w:cs="Times New Roman"/>
          <w:sz w:val="24"/>
          <w:szCs w:val="24"/>
        </w:rPr>
        <w:t xml:space="preserve">on </w:t>
      </w:r>
      <w:r w:rsidR="00232ADF">
        <w:rPr>
          <w:rFonts w:ascii="Times New Roman" w:hAnsi="Times New Roman" w:cs="Times New Roman"/>
          <w:sz w:val="24"/>
          <w:szCs w:val="24"/>
        </w:rPr>
        <w:t xml:space="preserve">12 </w:t>
      </w:r>
      <w:r w:rsidR="00931AD3">
        <w:rPr>
          <w:rFonts w:ascii="Times New Roman" w:hAnsi="Times New Roman" w:cs="Times New Roman"/>
          <w:sz w:val="24"/>
          <w:szCs w:val="24"/>
        </w:rPr>
        <w:t>October</w:t>
      </w:r>
      <w:r w:rsidR="00CA5DD6">
        <w:rPr>
          <w:rFonts w:ascii="Times New Roman" w:hAnsi="Times New Roman" w:cs="Times New Roman"/>
          <w:sz w:val="24"/>
          <w:szCs w:val="24"/>
        </w:rPr>
        <w:t xml:space="preserve"> 2018</w:t>
      </w:r>
      <w:r w:rsidR="00931AD3">
        <w:rPr>
          <w:rStyle w:val="FootnoteReference"/>
          <w:rFonts w:ascii="Times New Roman" w:hAnsi="Times New Roman" w:cs="Times New Roman"/>
          <w:sz w:val="24"/>
          <w:szCs w:val="24"/>
        </w:rPr>
        <w:footnoteReference w:id="5"/>
      </w:r>
      <w:r w:rsidR="00931AD3">
        <w:rPr>
          <w:rFonts w:ascii="Times New Roman" w:hAnsi="Times New Roman" w:cs="Times New Roman"/>
          <w:sz w:val="24"/>
          <w:szCs w:val="24"/>
        </w:rPr>
        <w:t xml:space="preserve"> </w:t>
      </w:r>
      <w:r w:rsidR="00B04B81">
        <w:rPr>
          <w:rFonts w:ascii="Times New Roman" w:hAnsi="Times New Roman" w:cs="Times New Roman"/>
          <w:sz w:val="24"/>
          <w:szCs w:val="24"/>
        </w:rPr>
        <w:t xml:space="preserve">which, </w:t>
      </w:r>
      <w:r w:rsidR="00B04B81">
        <w:rPr>
          <w:rFonts w:ascii="Times New Roman" w:hAnsi="Times New Roman" w:cs="Times New Roman"/>
          <w:i/>
          <w:sz w:val="24"/>
          <w:szCs w:val="24"/>
        </w:rPr>
        <w:t xml:space="preserve">inter alia </w:t>
      </w:r>
      <w:r w:rsidR="00BF345C">
        <w:rPr>
          <w:rFonts w:ascii="Times New Roman" w:hAnsi="Times New Roman" w:cs="Times New Roman"/>
          <w:sz w:val="24"/>
          <w:szCs w:val="24"/>
        </w:rPr>
        <w:t xml:space="preserve">requested HPRA to suspend </w:t>
      </w:r>
      <w:r w:rsidR="000A7193">
        <w:rPr>
          <w:rFonts w:ascii="Times New Roman" w:hAnsi="Times New Roman" w:cs="Times New Roman"/>
          <w:sz w:val="24"/>
          <w:szCs w:val="24"/>
        </w:rPr>
        <w:t>the authorisation.</w:t>
      </w:r>
    </w:p>
    <w:p w14:paraId="02D940DF" w14:textId="77777777" w:rsidR="00734417" w:rsidRDefault="00734417" w:rsidP="00734417">
      <w:pPr>
        <w:pStyle w:val="ListParagraph"/>
        <w:spacing w:line="480" w:lineRule="auto"/>
        <w:ind w:left="1440"/>
        <w:jc w:val="both"/>
        <w:rPr>
          <w:rFonts w:ascii="Times New Roman" w:hAnsi="Times New Roman" w:cs="Times New Roman"/>
          <w:b/>
          <w:sz w:val="24"/>
          <w:szCs w:val="24"/>
        </w:rPr>
      </w:pPr>
      <w:r>
        <w:rPr>
          <w:rFonts w:ascii="Times New Roman" w:hAnsi="Times New Roman" w:cs="Times New Roman"/>
          <w:b/>
          <w:sz w:val="24"/>
          <w:szCs w:val="24"/>
        </w:rPr>
        <w:t xml:space="preserve">  </w:t>
      </w:r>
    </w:p>
    <w:p w14:paraId="639A647B" w14:textId="5F164C88" w:rsidR="00734417" w:rsidRPr="00734417" w:rsidRDefault="00734417" w:rsidP="00660502">
      <w:pPr>
        <w:pStyle w:val="ListParagraph"/>
        <w:numPr>
          <w:ilvl w:val="0"/>
          <w:numId w:val="2"/>
        </w:numPr>
        <w:spacing w:line="480" w:lineRule="auto"/>
        <w:jc w:val="both"/>
        <w:rPr>
          <w:rFonts w:ascii="Times New Roman" w:hAnsi="Times New Roman" w:cs="Times New Roman"/>
          <w:b/>
          <w:sz w:val="24"/>
          <w:szCs w:val="24"/>
        </w:rPr>
      </w:pPr>
      <w:r>
        <w:rPr>
          <w:rFonts w:ascii="Times New Roman" w:hAnsi="Times New Roman" w:cs="Times New Roman"/>
          <w:sz w:val="24"/>
          <w:szCs w:val="24"/>
        </w:rPr>
        <w:t>If the answer to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is in the negative, whether the trial judge erred in refusing to extend the time for bringing the application for leave having regard </w:t>
      </w:r>
      <w:r w:rsidR="00F71683">
        <w:rPr>
          <w:rFonts w:ascii="Times New Roman" w:hAnsi="Times New Roman" w:cs="Times New Roman"/>
          <w:sz w:val="24"/>
          <w:szCs w:val="24"/>
        </w:rPr>
        <w:t xml:space="preserve">to </w:t>
      </w:r>
      <w:r>
        <w:rPr>
          <w:rFonts w:ascii="Times New Roman" w:hAnsi="Times New Roman" w:cs="Times New Roman"/>
          <w:sz w:val="24"/>
          <w:szCs w:val="24"/>
        </w:rPr>
        <w:t xml:space="preserve">(a) the fact that Arthropharm did not learn of the decision until 23 August 2018, (b) the </w:t>
      </w:r>
      <w:r w:rsidR="00F71683">
        <w:rPr>
          <w:rFonts w:ascii="Times New Roman" w:hAnsi="Times New Roman" w:cs="Times New Roman"/>
          <w:sz w:val="24"/>
          <w:szCs w:val="24"/>
        </w:rPr>
        <w:t xml:space="preserve">claim made by Arthropharm </w:t>
      </w:r>
      <w:r>
        <w:rPr>
          <w:rFonts w:ascii="Times New Roman" w:hAnsi="Times New Roman" w:cs="Times New Roman"/>
          <w:sz w:val="24"/>
          <w:szCs w:val="24"/>
        </w:rPr>
        <w:t xml:space="preserve">that even then the information available about </w:t>
      </w:r>
      <w:r w:rsidR="00F71683">
        <w:rPr>
          <w:rFonts w:ascii="Times New Roman" w:hAnsi="Times New Roman" w:cs="Times New Roman"/>
          <w:sz w:val="24"/>
          <w:szCs w:val="24"/>
        </w:rPr>
        <w:t xml:space="preserve">Osteopen </w:t>
      </w:r>
      <w:r>
        <w:rPr>
          <w:rFonts w:ascii="Times New Roman" w:hAnsi="Times New Roman" w:cs="Times New Roman"/>
          <w:sz w:val="24"/>
          <w:szCs w:val="24"/>
        </w:rPr>
        <w:t xml:space="preserve">was </w:t>
      </w:r>
      <w:r w:rsidR="00AD434A">
        <w:rPr>
          <w:rFonts w:ascii="Times New Roman" w:hAnsi="Times New Roman" w:cs="Times New Roman"/>
          <w:sz w:val="24"/>
          <w:szCs w:val="24"/>
        </w:rPr>
        <w:t xml:space="preserve">(it claims) </w:t>
      </w:r>
      <w:r>
        <w:rPr>
          <w:rFonts w:ascii="Times New Roman" w:hAnsi="Times New Roman" w:cs="Times New Roman"/>
          <w:sz w:val="24"/>
          <w:szCs w:val="24"/>
        </w:rPr>
        <w:t xml:space="preserve">limited, (c) the </w:t>
      </w:r>
      <w:r w:rsidR="00F71683">
        <w:rPr>
          <w:rFonts w:ascii="Times New Roman" w:hAnsi="Times New Roman" w:cs="Times New Roman"/>
          <w:sz w:val="24"/>
          <w:szCs w:val="24"/>
        </w:rPr>
        <w:t xml:space="preserve">contention </w:t>
      </w:r>
      <w:r>
        <w:rPr>
          <w:rFonts w:ascii="Times New Roman" w:hAnsi="Times New Roman" w:cs="Times New Roman"/>
          <w:sz w:val="24"/>
          <w:szCs w:val="24"/>
        </w:rPr>
        <w:t>that it was only after the launch of Osteopen on the market on 8 November 2018 that Arthropharm was in a position to obtain a sample of the product for comparative analysis, (d)</w:t>
      </w:r>
      <w:r w:rsidR="00F71683">
        <w:rPr>
          <w:rFonts w:ascii="Times New Roman" w:hAnsi="Times New Roman" w:cs="Times New Roman"/>
          <w:sz w:val="24"/>
          <w:szCs w:val="24"/>
        </w:rPr>
        <w:t xml:space="preserve"> </w:t>
      </w:r>
      <w:r w:rsidR="00E07CBB">
        <w:rPr>
          <w:rFonts w:ascii="Times New Roman" w:hAnsi="Times New Roman" w:cs="Times New Roman"/>
          <w:sz w:val="24"/>
          <w:szCs w:val="24"/>
        </w:rPr>
        <w:t xml:space="preserve">that </w:t>
      </w:r>
      <w:r>
        <w:rPr>
          <w:rFonts w:ascii="Times New Roman" w:hAnsi="Times New Roman" w:cs="Times New Roman"/>
          <w:sz w:val="24"/>
          <w:szCs w:val="24"/>
        </w:rPr>
        <w:t>correspondence from HP</w:t>
      </w:r>
      <w:r w:rsidR="00894D61">
        <w:rPr>
          <w:rFonts w:ascii="Times New Roman" w:hAnsi="Times New Roman" w:cs="Times New Roman"/>
          <w:sz w:val="24"/>
          <w:szCs w:val="24"/>
        </w:rPr>
        <w:t>R</w:t>
      </w:r>
      <w:r>
        <w:rPr>
          <w:rFonts w:ascii="Times New Roman" w:hAnsi="Times New Roman" w:cs="Times New Roman"/>
          <w:sz w:val="24"/>
          <w:szCs w:val="24"/>
        </w:rPr>
        <w:t xml:space="preserve">A responding to complaints from Arthropharm did not come to the latter’s attention until 14 December 2018, (e) </w:t>
      </w:r>
      <w:r w:rsidR="00F71683">
        <w:rPr>
          <w:rFonts w:ascii="Times New Roman" w:hAnsi="Times New Roman" w:cs="Times New Roman"/>
          <w:sz w:val="24"/>
          <w:szCs w:val="24"/>
        </w:rPr>
        <w:t xml:space="preserve">the fact </w:t>
      </w:r>
      <w:r>
        <w:rPr>
          <w:rFonts w:ascii="Times New Roman" w:hAnsi="Times New Roman" w:cs="Times New Roman"/>
          <w:sz w:val="24"/>
          <w:szCs w:val="24"/>
        </w:rPr>
        <w:t xml:space="preserve">that there were ongoing exchanges between the parties as of the date of the application for leave to seek judicial review and (f) the fact that the decision had not been published in Iris </w:t>
      </w:r>
      <w:r w:rsidR="00C93565">
        <w:rPr>
          <w:rFonts w:ascii="Times New Roman" w:hAnsi="Times New Roman" w:cs="Times New Roman"/>
          <w:sz w:val="24"/>
          <w:szCs w:val="24"/>
        </w:rPr>
        <w:t>Oifigiúil</w:t>
      </w:r>
      <w:r>
        <w:rPr>
          <w:rFonts w:ascii="Times New Roman" w:hAnsi="Times New Roman" w:cs="Times New Roman"/>
          <w:sz w:val="24"/>
          <w:szCs w:val="24"/>
        </w:rPr>
        <w:t xml:space="preserve"> as of the date of that application.</w:t>
      </w:r>
    </w:p>
    <w:p w14:paraId="350DA8BD" w14:textId="77777777" w:rsidR="00734417" w:rsidRPr="00734417" w:rsidRDefault="00734417" w:rsidP="00734417">
      <w:pPr>
        <w:pStyle w:val="ListParagraph"/>
        <w:rPr>
          <w:rFonts w:ascii="Times New Roman" w:hAnsi="Times New Roman" w:cs="Times New Roman"/>
          <w:b/>
          <w:sz w:val="24"/>
          <w:szCs w:val="24"/>
        </w:rPr>
      </w:pPr>
    </w:p>
    <w:p w14:paraId="680F3446" w14:textId="0A94A8B2" w:rsidR="00734417" w:rsidRPr="000A0EC7" w:rsidRDefault="00734417" w:rsidP="00660502">
      <w:pPr>
        <w:pStyle w:val="ListParagraph"/>
        <w:numPr>
          <w:ilvl w:val="0"/>
          <w:numId w:val="2"/>
        </w:num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Irrespective of the answer to the first two of these questions, whether a fresh decision was made by </w:t>
      </w:r>
      <w:r w:rsidR="0038460A">
        <w:rPr>
          <w:rFonts w:ascii="Times New Roman" w:hAnsi="Times New Roman" w:cs="Times New Roman"/>
          <w:sz w:val="24"/>
          <w:szCs w:val="24"/>
        </w:rPr>
        <w:t>HP</w:t>
      </w:r>
      <w:r w:rsidR="00894D61">
        <w:rPr>
          <w:rFonts w:ascii="Times New Roman" w:hAnsi="Times New Roman" w:cs="Times New Roman"/>
          <w:sz w:val="24"/>
          <w:szCs w:val="24"/>
        </w:rPr>
        <w:t>R</w:t>
      </w:r>
      <w:r w:rsidR="0038460A">
        <w:rPr>
          <w:rFonts w:ascii="Times New Roman" w:hAnsi="Times New Roman" w:cs="Times New Roman"/>
          <w:sz w:val="24"/>
          <w:szCs w:val="24"/>
        </w:rPr>
        <w:t xml:space="preserve">A when, by letter dated </w:t>
      </w:r>
      <w:r w:rsidR="00831D67">
        <w:rPr>
          <w:rFonts w:ascii="Times New Roman" w:hAnsi="Times New Roman" w:cs="Times New Roman"/>
          <w:sz w:val="24"/>
          <w:szCs w:val="24"/>
        </w:rPr>
        <w:t xml:space="preserve">6 </w:t>
      </w:r>
      <w:r w:rsidR="0038460A">
        <w:rPr>
          <w:rFonts w:ascii="Times New Roman" w:hAnsi="Times New Roman" w:cs="Times New Roman"/>
          <w:sz w:val="24"/>
          <w:szCs w:val="24"/>
        </w:rPr>
        <w:t>March 2019, it refused to accede to Arthropharm’s request that it withdraw or suspend the product licence.</w:t>
      </w:r>
    </w:p>
    <w:p w14:paraId="2A554490" w14:textId="77777777" w:rsidR="000A0EC7" w:rsidRPr="000A0EC7" w:rsidRDefault="000A0EC7" w:rsidP="000A0EC7">
      <w:pPr>
        <w:pStyle w:val="ListParagraph"/>
        <w:rPr>
          <w:rFonts w:ascii="Times New Roman" w:hAnsi="Times New Roman" w:cs="Times New Roman"/>
          <w:b/>
          <w:sz w:val="24"/>
          <w:szCs w:val="24"/>
        </w:rPr>
      </w:pPr>
    </w:p>
    <w:p w14:paraId="243407B4" w14:textId="77777777" w:rsidR="00660502" w:rsidRPr="00660502" w:rsidRDefault="00660502" w:rsidP="00660502">
      <w:pPr>
        <w:pStyle w:val="ListParagraph"/>
        <w:rPr>
          <w:rFonts w:ascii="Times New Roman" w:hAnsi="Times New Roman" w:cs="Times New Roman"/>
          <w:b/>
          <w:sz w:val="24"/>
          <w:szCs w:val="24"/>
        </w:rPr>
      </w:pPr>
    </w:p>
    <w:p w14:paraId="7B18517D" w14:textId="77777777" w:rsidR="00330C54" w:rsidRPr="004E3C0E" w:rsidRDefault="00330C54" w:rsidP="004E3C0E">
      <w:pPr>
        <w:spacing w:line="480" w:lineRule="auto"/>
        <w:ind w:firstLine="720"/>
        <w:jc w:val="both"/>
        <w:rPr>
          <w:rFonts w:ascii="Times New Roman" w:hAnsi="Times New Roman" w:cs="Times New Roman"/>
          <w:b/>
          <w:i/>
          <w:sz w:val="24"/>
          <w:szCs w:val="24"/>
        </w:rPr>
      </w:pPr>
      <w:r w:rsidRPr="004E3C0E">
        <w:rPr>
          <w:rFonts w:ascii="Times New Roman" w:hAnsi="Times New Roman" w:cs="Times New Roman"/>
          <w:b/>
          <w:i/>
          <w:sz w:val="24"/>
          <w:szCs w:val="24"/>
        </w:rPr>
        <w:t>The point from which time began to run</w:t>
      </w:r>
      <w:r w:rsidR="00E61682" w:rsidRPr="004E3C0E">
        <w:rPr>
          <w:rFonts w:ascii="Times New Roman" w:hAnsi="Times New Roman" w:cs="Times New Roman"/>
          <w:b/>
          <w:i/>
          <w:sz w:val="24"/>
          <w:szCs w:val="24"/>
        </w:rPr>
        <w:t xml:space="preserve"> under Order 84 Rule 21(1)</w:t>
      </w:r>
    </w:p>
    <w:p w14:paraId="6EFB2517" w14:textId="77777777" w:rsidR="001B6D79" w:rsidRDefault="001B6D79" w:rsidP="00330C54">
      <w:pPr>
        <w:pStyle w:val="ListParagraph"/>
        <w:spacing w:line="480" w:lineRule="auto"/>
        <w:jc w:val="both"/>
        <w:rPr>
          <w:rFonts w:ascii="Times New Roman" w:hAnsi="Times New Roman" w:cs="Times New Roman"/>
          <w:b/>
          <w:i/>
          <w:sz w:val="24"/>
          <w:szCs w:val="24"/>
        </w:rPr>
      </w:pPr>
    </w:p>
    <w:p w14:paraId="33CAC6C9" w14:textId="77777777" w:rsidR="001B6D79" w:rsidRPr="001B6D79" w:rsidRDefault="001B6D79" w:rsidP="001B6D79">
      <w:pPr>
        <w:pStyle w:val="ListParagraph"/>
        <w:numPr>
          <w:ilvl w:val="0"/>
          <w:numId w:val="3"/>
        </w:numPr>
        <w:spacing w:line="480" w:lineRule="auto"/>
        <w:jc w:val="both"/>
        <w:rPr>
          <w:rFonts w:ascii="Times New Roman" w:hAnsi="Times New Roman" w:cs="Times New Roman"/>
          <w:i/>
          <w:sz w:val="24"/>
          <w:szCs w:val="24"/>
        </w:rPr>
      </w:pPr>
      <w:r>
        <w:rPr>
          <w:rFonts w:ascii="Times New Roman" w:hAnsi="Times New Roman" w:cs="Times New Roman"/>
          <w:i/>
          <w:sz w:val="24"/>
          <w:szCs w:val="24"/>
        </w:rPr>
        <w:lastRenderedPageBreak/>
        <w:t>The provisions governing publication of the decision.</w:t>
      </w:r>
    </w:p>
    <w:p w14:paraId="0538E85C" w14:textId="77777777" w:rsidR="00660502" w:rsidRPr="00330C54" w:rsidRDefault="00330C54" w:rsidP="00330C54">
      <w:pPr>
        <w:pStyle w:val="ListParagraph"/>
        <w:spacing w:line="480" w:lineRule="auto"/>
        <w:jc w:val="both"/>
        <w:rPr>
          <w:rFonts w:ascii="Times New Roman" w:hAnsi="Times New Roman" w:cs="Times New Roman"/>
          <w:b/>
          <w:i/>
          <w:sz w:val="24"/>
          <w:szCs w:val="24"/>
        </w:rPr>
      </w:pPr>
      <w:r w:rsidRPr="00330C54">
        <w:rPr>
          <w:rFonts w:ascii="Times New Roman" w:hAnsi="Times New Roman" w:cs="Times New Roman"/>
          <w:b/>
          <w:sz w:val="24"/>
          <w:szCs w:val="24"/>
        </w:rPr>
        <w:t xml:space="preserve">  </w:t>
      </w:r>
    </w:p>
    <w:p w14:paraId="7336D501" w14:textId="27C8D22D" w:rsidR="00AE6703" w:rsidRPr="00AE6703" w:rsidRDefault="005E6B99" w:rsidP="000C234B">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In </w:t>
      </w:r>
      <w:r w:rsidR="00AE6703">
        <w:rPr>
          <w:rFonts w:ascii="Times New Roman" w:hAnsi="Times New Roman" w:cs="Times New Roman"/>
          <w:sz w:val="24"/>
          <w:szCs w:val="24"/>
        </w:rPr>
        <w:t>the High Court</w:t>
      </w:r>
      <w:r w:rsidR="007F54B7">
        <w:rPr>
          <w:rFonts w:ascii="Times New Roman" w:hAnsi="Times New Roman" w:cs="Times New Roman"/>
          <w:sz w:val="24"/>
          <w:szCs w:val="24"/>
        </w:rPr>
        <w:t>,</w:t>
      </w:r>
      <w:r>
        <w:rPr>
          <w:rFonts w:ascii="Times New Roman" w:hAnsi="Times New Roman" w:cs="Times New Roman"/>
          <w:sz w:val="24"/>
          <w:szCs w:val="24"/>
        </w:rPr>
        <w:t xml:space="preserve"> </w:t>
      </w:r>
      <w:r w:rsidR="004B5307">
        <w:rPr>
          <w:rFonts w:ascii="Times New Roman" w:hAnsi="Times New Roman" w:cs="Times New Roman"/>
          <w:sz w:val="24"/>
          <w:szCs w:val="24"/>
        </w:rPr>
        <w:t xml:space="preserve">much of the argument around </w:t>
      </w:r>
      <w:r w:rsidR="00AE6703">
        <w:rPr>
          <w:rFonts w:ascii="Times New Roman" w:hAnsi="Times New Roman" w:cs="Times New Roman"/>
          <w:sz w:val="24"/>
          <w:szCs w:val="24"/>
        </w:rPr>
        <w:t xml:space="preserve">when time began to run for the bringing of a challenge </w:t>
      </w:r>
      <w:r w:rsidR="004B5307">
        <w:rPr>
          <w:rFonts w:ascii="Times New Roman" w:hAnsi="Times New Roman" w:cs="Times New Roman"/>
          <w:sz w:val="24"/>
          <w:szCs w:val="24"/>
        </w:rPr>
        <w:t xml:space="preserve">became meshed with </w:t>
      </w:r>
      <w:r w:rsidR="00AE6703">
        <w:rPr>
          <w:rFonts w:ascii="Times New Roman" w:hAnsi="Times New Roman" w:cs="Times New Roman"/>
          <w:sz w:val="24"/>
          <w:szCs w:val="24"/>
        </w:rPr>
        <w:t>the issue of when and how the decision of HP</w:t>
      </w:r>
      <w:r w:rsidR="00AC3578">
        <w:rPr>
          <w:rFonts w:ascii="Times New Roman" w:hAnsi="Times New Roman" w:cs="Times New Roman"/>
          <w:sz w:val="24"/>
          <w:szCs w:val="24"/>
        </w:rPr>
        <w:t>R</w:t>
      </w:r>
      <w:r w:rsidR="00AE6703">
        <w:rPr>
          <w:rFonts w:ascii="Times New Roman" w:hAnsi="Times New Roman" w:cs="Times New Roman"/>
          <w:sz w:val="24"/>
          <w:szCs w:val="24"/>
        </w:rPr>
        <w:t>A was and ought to have been published</w:t>
      </w:r>
      <w:r w:rsidR="00E6437D">
        <w:rPr>
          <w:rFonts w:ascii="Times New Roman" w:hAnsi="Times New Roman" w:cs="Times New Roman"/>
          <w:sz w:val="24"/>
          <w:szCs w:val="24"/>
        </w:rPr>
        <w:t xml:space="preserve">; </w:t>
      </w:r>
      <w:r w:rsidR="0031265B">
        <w:rPr>
          <w:rFonts w:ascii="Times New Roman" w:hAnsi="Times New Roman" w:cs="Times New Roman"/>
          <w:sz w:val="24"/>
          <w:szCs w:val="24"/>
        </w:rPr>
        <w:t>indeed Arthropharm argued that</w:t>
      </w:r>
      <w:r w:rsidR="000248FA">
        <w:rPr>
          <w:rFonts w:ascii="Times New Roman" w:hAnsi="Times New Roman" w:cs="Times New Roman"/>
          <w:sz w:val="24"/>
          <w:szCs w:val="24"/>
        </w:rPr>
        <w:t xml:space="preserve"> when leave was sought </w:t>
      </w:r>
      <w:r w:rsidR="0031265B">
        <w:rPr>
          <w:rFonts w:ascii="Times New Roman" w:hAnsi="Times New Roman" w:cs="Times New Roman"/>
          <w:sz w:val="24"/>
          <w:szCs w:val="24"/>
        </w:rPr>
        <w:t xml:space="preserve">time had not started to run at all by reason of the failure of HPRA to publish the decision in Iris </w:t>
      </w:r>
      <w:r w:rsidR="00C93565">
        <w:rPr>
          <w:rFonts w:ascii="Times New Roman" w:hAnsi="Times New Roman" w:cs="Times New Roman"/>
          <w:sz w:val="24"/>
          <w:szCs w:val="24"/>
        </w:rPr>
        <w:t>Oifigiúil</w:t>
      </w:r>
      <w:r w:rsidR="0031265B">
        <w:rPr>
          <w:rFonts w:ascii="Times New Roman" w:hAnsi="Times New Roman" w:cs="Times New Roman"/>
          <w:sz w:val="24"/>
          <w:szCs w:val="24"/>
        </w:rPr>
        <w:t xml:space="preserve"> until </w:t>
      </w:r>
      <w:r w:rsidR="009D3326">
        <w:rPr>
          <w:rFonts w:ascii="Times New Roman" w:hAnsi="Times New Roman" w:cs="Times New Roman"/>
          <w:sz w:val="24"/>
          <w:szCs w:val="24"/>
        </w:rPr>
        <w:t xml:space="preserve">8 </w:t>
      </w:r>
      <w:r w:rsidR="0031265B">
        <w:rPr>
          <w:rFonts w:ascii="Times New Roman" w:hAnsi="Times New Roman" w:cs="Times New Roman"/>
          <w:sz w:val="24"/>
          <w:szCs w:val="24"/>
        </w:rPr>
        <w:t>January</w:t>
      </w:r>
      <w:r w:rsidR="00CA5DD6">
        <w:rPr>
          <w:rFonts w:ascii="Times New Roman" w:hAnsi="Times New Roman" w:cs="Times New Roman"/>
          <w:sz w:val="24"/>
          <w:szCs w:val="24"/>
        </w:rPr>
        <w:t xml:space="preserve"> 2019</w:t>
      </w:r>
      <w:r w:rsidR="0031265B">
        <w:rPr>
          <w:rFonts w:ascii="Times New Roman" w:hAnsi="Times New Roman" w:cs="Times New Roman"/>
          <w:sz w:val="24"/>
          <w:szCs w:val="24"/>
        </w:rPr>
        <w:t>.</w:t>
      </w:r>
    </w:p>
    <w:p w14:paraId="1996816D" w14:textId="77777777" w:rsidR="00AE6703" w:rsidRDefault="00AE6703" w:rsidP="00AE6703">
      <w:pPr>
        <w:pStyle w:val="ListParagraph"/>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14:paraId="3DEFE207" w14:textId="110F5874" w:rsidR="00AE6703" w:rsidRPr="00B0681B" w:rsidRDefault="001B6D79" w:rsidP="00B0681B">
      <w:pPr>
        <w:pStyle w:val="ListParagraph"/>
        <w:numPr>
          <w:ilvl w:val="0"/>
          <w:numId w:val="1"/>
        </w:numPr>
        <w:spacing w:before="240" w:line="480" w:lineRule="auto"/>
        <w:jc w:val="both"/>
        <w:rPr>
          <w:rFonts w:ascii="Times New Roman" w:hAnsi="Times New Roman" w:cs="Times New Roman"/>
          <w:b/>
          <w:sz w:val="24"/>
          <w:szCs w:val="24"/>
        </w:rPr>
      </w:pPr>
      <w:r>
        <w:rPr>
          <w:rFonts w:ascii="Times New Roman" w:hAnsi="Times New Roman" w:cs="Times New Roman"/>
          <w:sz w:val="24"/>
          <w:szCs w:val="24"/>
        </w:rPr>
        <w:t xml:space="preserve">At least some of the difficulty </w:t>
      </w:r>
      <w:r w:rsidR="00AE6703">
        <w:rPr>
          <w:rFonts w:ascii="Times New Roman" w:hAnsi="Times New Roman" w:cs="Times New Roman"/>
          <w:sz w:val="24"/>
          <w:szCs w:val="24"/>
        </w:rPr>
        <w:t>ar</w:t>
      </w:r>
      <w:r>
        <w:rPr>
          <w:rFonts w:ascii="Times New Roman" w:hAnsi="Times New Roman" w:cs="Times New Roman"/>
          <w:sz w:val="24"/>
          <w:szCs w:val="24"/>
        </w:rPr>
        <w:t>ose</w:t>
      </w:r>
      <w:r w:rsidR="00AE6703">
        <w:rPr>
          <w:rFonts w:ascii="Times New Roman" w:hAnsi="Times New Roman" w:cs="Times New Roman"/>
          <w:sz w:val="24"/>
          <w:szCs w:val="24"/>
        </w:rPr>
        <w:t xml:space="preserve"> from th</w:t>
      </w:r>
      <w:r w:rsidR="00EB5EDF">
        <w:rPr>
          <w:rFonts w:ascii="Times New Roman" w:hAnsi="Times New Roman" w:cs="Times New Roman"/>
          <w:sz w:val="24"/>
          <w:szCs w:val="24"/>
        </w:rPr>
        <w:t>e fac</w:t>
      </w:r>
      <w:r w:rsidR="00D27D07">
        <w:rPr>
          <w:rFonts w:ascii="Times New Roman" w:hAnsi="Times New Roman" w:cs="Times New Roman"/>
          <w:sz w:val="24"/>
          <w:szCs w:val="24"/>
        </w:rPr>
        <w:t xml:space="preserve">t </w:t>
      </w:r>
      <w:r w:rsidR="003014E9">
        <w:rPr>
          <w:rFonts w:ascii="Times New Roman" w:hAnsi="Times New Roman" w:cs="Times New Roman"/>
          <w:sz w:val="24"/>
          <w:szCs w:val="24"/>
        </w:rPr>
        <w:t xml:space="preserve">– to which I have referred earlier - </w:t>
      </w:r>
      <w:r w:rsidR="00AE6703">
        <w:rPr>
          <w:rFonts w:ascii="Times New Roman" w:hAnsi="Times New Roman" w:cs="Times New Roman"/>
          <w:sz w:val="24"/>
          <w:szCs w:val="24"/>
        </w:rPr>
        <w:t xml:space="preserve">that the </w:t>
      </w:r>
      <w:r w:rsidR="00AE6703" w:rsidRPr="007235DA">
        <w:rPr>
          <w:rFonts w:ascii="Times New Roman" w:hAnsi="Times New Roman" w:cs="Times New Roman"/>
          <w:sz w:val="24"/>
          <w:szCs w:val="24"/>
        </w:rPr>
        <w:t xml:space="preserve">regulatory scheme governing the grant of authorisations of this kind </w:t>
      </w:r>
      <w:r w:rsidR="00AE6703">
        <w:rPr>
          <w:rFonts w:ascii="Times New Roman" w:hAnsi="Times New Roman" w:cs="Times New Roman"/>
          <w:sz w:val="24"/>
          <w:szCs w:val="24"/>
        </w:rPr>
        <w:t xml:space="preserve">does not envisage </w:t>
      </w:r>
      <w:r w:rsidR="00AE6703" w:rsidRPr="007235DA">
        <w:rPr>
          <w:rFonts w:ascii="Times New Roman" w:hAnsi="Times New Roman" w:cs="Times New Roman"/>
          <w:sz w:val="24"/>
          <w:szCs w:val="24"/>
        </w:rPr>
        <w:t>the holder of the authorisation for the reference p</w:t>
      </w:r>
      <w:r w:rsidR="00AE6703">
        <w:rPr>
          <w:rFonts w:ascii="Times New Roman" w:hAnsi="Times New Roman" w:cs="Times New Roman"/>
          <w:sz w:val="24"/>
          <w:szCs w:val="24"/>
        </w:rPr>
        <w:t xml:space="preserve">roduct being either </w:t>
      </w:r>
      <w:r w:rsidR="00AE6703" w:rsidRPr="007235DA">
        <w:rPr>
          <w:rFonts w:ascii="Times New Roman" w:hAnsi="Times New Roman" w:cs="Times New Roman"/>
          <w:sz w:val="24"/>
          <w:szCs w:val="24"/>
        </w:rPr>
        <w:t xml:space="preserve">advised of or involved in the process leading to the grant of a generic </w:t>
      </w:r>
      <w:r w:rsidR="005B56E1">
        <w:rPr>
          <w:rFonts w:ascii="Times New Roman" w:hAnsi="Times New Roman" w:cs="Times New Roman"/>
          <w:sz w:val="24"/>
          <w:szCs w:val="24"/>
        </w:rPr>
        <w:t xml:space="preserve">marketing </w:t>
      </w:r>
      <w:r w:rsidR="00AE6703" w:rsidRPr="007235DA">
        <w:rPr>
          <w:rFonts w:ascii="Times New Roman" w:hAnsi="Times New Roman" w:cs="Times New Roman"/>
          <w:sz w:val="24"/>
          <w:szCs w:val="24"/>
        </w:rPr>
        <w:t>authorisation, a</w:t>
      </w:r>
      <w:r w:rsidR="00B0681B">
        <w:rPr>
          <w:rFonts w:ascii="Times New Roman" w:hAnsi="Times New Roman" w:cs="Times New Roman"/>
          <w:sz w:val="24"/>
          <w:szCs w:val="24"/>
        </w:rPr>
        <w:t xml:space="preserve">s well as from </w:t>
      </w:r>
      <w:r>
        <w:rPr>
          <w:rFonts w:ascii="Times New Roman" w:hAnsi="Times New Roman" w:cs="Times New Roman"/>
          <w:sz w:val="24"/>
          <w:szCs w:val="24"/>
        </w:rPr>
        <w:t xml:space="preserve">the fact </w:t>
      </w:r>
      <w:r w:rsidR="00AE6703" w:rsidRPr="007235DA">
        <w:rPr>
          <w:rFonts w:ascii="Times New Roman" w:hAnsi="Times New Roman" w:cs="Times New Roman"/>
          <w:sz w:val="24"/>
          <w:szCs w:val="24"/>
        </w:rPr>
        <w:t xml:space="preserve">that no provision is made for informing them </w:t>
      </w:r>
      <w:r w:rsidR="00B0681B">
        <w:rPr>
          <w:rFonts w:ascii="Times New Roman" w:hAnsi="Times New Roman" w:cs="Times New Roman"/>
          <w:sz w:val="24"/>
          <w:szCs w:val="24"/>
        </w:rPr>
        <w:t xml:space="preserve">of </w:t>
      </w:r>
      <w:r w:rsidR="00AE6703" w:rsidRPr="007235DA">
        <w:rPr>
          <w:rFonts w:ascii="Times New Roman" w:hAnsi="Times New Roman" w:cs="Times New Roman"/>
          <w:sz w:val="24"/>
          <w:szCs w:val="24"/>
        </w:rPr>
        <w:t xml:space="preserve">an authorisation once granted.  Instead, the assumption </w:t>
      </w:r>
      <w:r w:rsidR="006A4C17">
        <w:rPr>
          <w:rFonts w:ascii="Times New Roman" w:hAnsi="Times New Roman" w:cs="Times New Roman"/>
          <w:sz w:val="24"/>
          <w:szCs w:val="24"/>
        </w:rPr>
        <w:t>appears to be</w:t>
      </w:r>
      <w:r w:rsidR="00AE6703" w:rsidRPr="007235DA">
        <w:rPr>
          <w:rFonts w:ascii="Times New Roman" w:hAnsi="Times New Roman" w:cs="Times New Roman"/>
          <w:sz w:val="24"/>
          <w:szCs w:val="24"/>
        </w:rPr>
        <w:t xml:space="preserve"> that the holder of th</w:t>
      </w:r>
      <w:r w:rsidR="00B0681B">
        <w:rPr>
          <w:rFonts w:ascii="Times New Roman" w:hAnsi="Times New Roman" w:cs="Times New Roman"/>
          <w:sz w:val="24"/>
          <w:szCs w:val="24"/>
        </w:rPr>
        <w:t>e</w:t>
      </w:r>
      <w:r w:rsidR="00AE6703" w:rsidRPr="007235DA">
        <w:rPr>
          <w:rFonts w:ascii="Times New Roman" w:hAnsi="Times New Roman" w:cs="Times New Roman"/>
          <w:sz w:val="24"/>
          <w:szCs w:val="24"/>
        </w:rPr>
        <w:t xml:space="preserve"> authorisation </w:t>
      </w:r>
      <w:r w:rsidR="00B0681B">
        <w:rPr>
          <w:rFonts w:ascii="Times New Roman" w:hAnsi="Times New Roman" w:cs="Times New Roman"/>
          <w:sz w:val="24"/>
          <w:szCs w:val="24"/>
        </w:rPr>
        <w:t xml:space="preserve">for the reference product </w:t>
      </w:r>
      <w:r w:rsidR="00AE6703" w:rsidRPr="007235DA">
        <w:rPr>
          <w:rFonts w:ascii="Times New Roman" w:hAnsi="Times New Roman" w:cs="Times New Roman"/>
          <w:sz w:val="24"/>
          <w:szCs w:val="24"/>
        </w:rPr>
        <w:t xml:space="preserve">will learn of the grant of the generic </w:t>
      </w:r>
      <w:r w:rsidR="005B56E1">
        <w:rPr>
          <w:rFonts w:ascii="Times New Roman" w:hAnsi="Times New Roman" w:cs="Times New Roman"/>
          <w:sz w:val="24"/>
          <w:szCs w:val="24"/>
        </w:rPr>
        <w:t xml:space="preserve">marketing </w:t>
      </w:r>
      <w:r w:rsidR="00AE6703" w:rsidRPr="007235DA">
        <w:rPr>
          <w:rFonts w:ascii="Times New Roman" w:hAnsi="Times New Roman" w:cs="Times New Roman"/>
          <w:sz w:val="24"/>
          <w:szCs w:val="24"/>
        </w:rPr>
        <w:t>authorisation through public notification</w:t>
      </w:r>
      <w:r w:rsidR="00DF6BFF">
        <w:rPr>
          <w:rFonts w:ascii="Times New Roman" w:hAnsi="Times New Roman" w:cs="Times New Roman"/>
          <w:sz w:val="24"/>
          <w:szCs w:val="24"/>
        </w:rPr>
        <w:t xml:space="preserve"> of such a decision once made</w:t>
      </w:r>
      <w:r w:rsidR="00AE6703" w:rsidRPr="007235DA">
        <w:rPr>
          <w:rFonts w:ascii="Times New Roman" w:hAnsi="Times New Roman" w:cs="Times New Roman"/>
          <w:sz w:val="24"/>
          <w:szCs w:val="24"/>
        </w:rPr>
        <w:t>.</w:t>
      </w:r>
      <w:r w:rsidR="00E8477E">
        <w:rPr>
          <w:rFonts w:ascii="Times New Roman" w:hAnsi="Times New Roman" w:cs="Times New Roman"/>
          <w:sz w:val="24"/>
          <w:szCs w:val="24"/>
        </w:rPr>
        <w:t xml:space="preserve">  This </w:t>
      </w:r>
      <w:r w:rsidR="00B0681B">
        <w:rPr>
          <w:rFonts w:ascii="Times New Roman" w:hAnsi="Times New Roman" w:cs="Times New Roman"/>
          <w:sz w:val="24"/>
          <w:szCs w:val="24"/>
        </w:rPr>
        <w:t>wa</w:t>
      </w:r>
      <w:r w:rsidR="00E8477E">
        <w:rPr>
          <w:rFonts w:ascii="Times New Roman" w:hAnsi="Times New Roman" w:cs="Times New Roman"/>
          <w:sz w:val="24"/>
          <w:szCs w:val="24"/>
        </w:rPr>
        <w:t xml:space="preserve">s, Simons J. </w:t>
      </w:r>
      <w:r w:rsidR="00B0681B">
        <w:rPr>
          <w:rFonts w:ascii="Times New Roman" w:hAnsi="Times New Roman" w:cs="Times New Roman"/>
          <w:sz w:val="24"/>
          <w:szCs w:val="24"/>
        </w:rPr>
        <w:t>believed</w:t>
      </w:r>
      <w:r w:rsidR="00E8477E" w:rsidRPr="00B0681B">
        <w:rPr>
          <w:rFonts w:ascii="Times New Roman" w:hAnsi="Times New Roman" w:cs="Times New Roman"/>
          <w:sz w:val="24"/>
          <w:szCs w:val="24"/>
        </w:rPr>
        <w:t>, a ‘</w:t>
      </w:r>
      <w:r w:rsidR="00E8477E" w:rsidRPr="00B0681B">
        <w:rPr>
          <w:rFonts w:ascii="Times New Roman" w:hAnsi="Times New Roman" w:cs="Times New Roman"/>
          <w:i/>
          <w:sz w:val="24"/>
          <w:szCs w:val="24"/>
        </w:rPr>
        <w:t>surprising feature of the legislative regime’</w:t>
      </w:r>
      <w:r w:rsidR="006A4C17" w:rsidRPr="00B0681B">
        <w:rPr>
          <w:rFonts w:ascii="Times New Roman" w:hAnsi="Times New Roman" w:cs="Times New Roman"/>
          <w:sz w:val="24"/>
          <w:szCs w:val="24"/>
        </w:rPr>
        <w:t xml:space="preserve"> (at para. 9).</w:t>
      </w:r>
    </w:p>
    <w:p w14:paraId="36BEFF8F" w14:textId="77777777" w:rsidR="00AE6703" w:rsidRDefault="00AE6703" w:rsidP="00AE6703">
      <w:pPr>
        <w:pStyle w:val="ListParagraph"/>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14:paraId="585EE2B2" w14:textId="42FEB75A" w:rsidR="00AE6703" w:rsidRPr="00283EEB" w:rsidRDefault="00AE6703" w:rsidP="00AE6703">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sz w:val="24"/>
          <w:szCs w:val="24"/>
        </w:rPr>
        <w:t>The Directive addresses</w:t>
      </w:r>
      <w:r w:rsidR="0066225B">
        <w:rPr>
          <w:rFonts w:ascii="Times New Roman" w:hAnsi="Times New Roman" w:cs="Times New Roman"/>
          <w:sz w:val="24"/>
          <w:szCs w:val="24"/>
        </w:rPr>
        <w:t xml:space="preserve"> </w:t>
      </w:r>
      <w:r w:rsidR="00B54131">
        <w:rPr>
          <w:rFonts w:ascii="Times New Roman" w:hAnsi="Times New Roman" w:cs="Times New Roman"/>
          <w:sz w:val="24"/>
          <w:szCs w:val="24"/>
        </w:rPr>
        <w:t xml:space="preserve">public </w:t>
      </w:r>
      <w:r>
        <w:rPr>
          <w:rFonts w:ascii="Times New Roman" w:hAnsi="Times New Roman" w:cs="Times New Roman"/>
          <w:sz w:val="24"/>
          <w:szCs w:val="24"/>
        </w:rPr>
        <w:t xml:space="preserve">notification </w:t>
      </w:r>
      <w:r w:rsidR="00D02CF5">
        <w:rPr>
          <w:rFonts w:ascii="Times New Roman" w:hAnsi="Times New Roman" w:cs="Times New Roman"/>
          <w:sz w:val="24"/>
          <w:szCs w:val="24"/>
        </w:rPr>
        <w:t xml:space="preserve">in </w:t>
      </w:r>
      <w:r>
        <w:rPr>
          <w:rFonts w:ascii="Times New Roman" w:hAnsi="Times New Roman" w:cs="Times New Roman"/>
          <w:sz w:val="24"/>
          <w:szCs w:val="24"/>
        </w:rPr>
        <w:t xml:space="preserve">two provisions, Article 25 and Article 94.  </w:t>
      </w:r>
      <w:r w:rsidR="00D02CF5">
        <w:rPr>
          <w:rFonts w:ascii="Times New Roman" w:hAnsi="Times New Roman" w:cs="Times New Roman"/>
          <w:sz w:val="24"/>
          <w:szCs w:val="24"/>
        </w:rPr>
        <w:t xml:space="preserve">Article 25(3) provides </w:t>
      </w:r>
      <w:r>
        <w:rPr>
          <w:rFonts w:ascii="Times New Roman" w:hAnsi="Times New Roman" w:cs="Times New Roman"/>
          <w:sz w:val="24"/>
          <w:szCs w:val="24"/>
        </w:rPr>
        <w:t>(emphasis added):</w:t>
      </w:r>
    </w:p>
    <w:p w14:paraId="4B2BA706" w14:textId="77777777" w:rsidR="00AE6703" w:rsidRPr="00283EEB" w:rsidRDefault="00AE6703" w:rsidP="00AE6703">
      <w:pPr>
        <w:pStyle w:val="ListParagraph"/>
        <w:rPr>
          <w:rFonts w:ascii="Times New Roman" w:hAnsi="Times New Roman" w:cs="Times New Roman"/>
          <w:b/>
          <w:sz w:val="24"/>
          <w:szCs w:val="24"/>
        </w:rPr>
      </w:pPr>
    </w:p>
    <w:p w14:paraId="64B35B48" w14:textId="77777777" w:rsidR="00AE6703" w:rsidRDefault="00AE6703" w:rsidP="00AE6703">
      <w:pPr>
        <w:pStyle w:val="ListParagraph"/>
        <w:spacing w:line="480" w:lineRule="auto"/>
        <w:ind w:left="1440"/>
        <w:jc w:val="both"/>
        <w:rPr>
          <w:rFonts w:ascii="Times New Roman" w:hAnsi="Times New Roman" w:cs="Times New Roman"/>
          <w:b/>
          <w:sz w:val="24"/>
          <w:szCs w:val="24"/>
        </w:rPr>
      </w:pPr>
      <w:r>
        <w:rPr>
          <w:rFonts w:ascii="Times New Roman" w:hAnsi="Times New Roman" w:cs="Times New Roman"/>
          <w:b/>
          <w:sz w:val="24"/>
          <w:szCs w:val="24"/>
        </w:rPr>
        <w:t>‘</w:t>
      </w:r>
      <w:r>
        <w:rPr>
          <w:rFonts w:ascii="Times New Roman" w:hAnsi="Times New Roman" w:cs="Times New Roman"/>
          <w:i/>
          <w:sz w:val="24"/>
          <w:szCs w:val="24"/>
        </w:rPr>
        <w:t xml:space="preserve">The competent authority shall make the marketing authorisation </w:t>
      </w:r>
      <w:r w:rsidRPr="00283EEB">
        <w:rPr>
          <w:rFonts w:ascii="Times New Roman" w:hAnsi="Times New Roman" w:cs="Times New Roman"/>
          <w:b/>
          <w:i/>
          <w:sz w:val="24"/>
          <w:szCs w:val="24"/>
        </w:rPr>
        <w:t>publicly available without delay,</w:t>
      </w:r>
      <w:r>
        <w:rPr>
          <w:rFonts w:ascii="Times New Roman" w:hAnsi="Times New Roman" w:cs="Times New Roman"/>
          <w:i/>
          <w:sz w:val="24"/>
          <w:szCs w:val="24"/>
        </w:rPr>
        <w:t xml:space="preserve"> together with the summary of product characteristics for each veterinary medicinal product that it has authorised.’</w:t>
      </w:r>
      <w:r>
        <w:rPr>
          <w:rFonts w:ascii="Times New Roman" w:hAnsi="Times New Roman" w:cs="Times New Roman"/>
          <w:b/>
          <w:sz w:val="24"/>
          <w:szCs w:val="24"/>
        </w:rPr>
        <w:t xml:space="preserve">  </w:t>
      </w:r>
    </w:p>
    <w:p w14:paraId="4FC1CBA5" w14:textId="77777777" w:rsidR="00AE6703" w:rsidRPr="00283EEB" w:rsidRDefault="00AE6703" w:rsidP="00AE6703">
      <w:pPr>
        <w:pStyle w:val="ListParagraph"/>
        <w:rPr>
          <w:rFonts w:ascii="Times New Roman" w:hAnsi="Times New Roman" w:cs="Times New Roman"/>
          <w:b/>
          <w:sz w:val="24"/>
          <w:szCs w:val="24"/>
        </w:rPr>
      </w:pPr>
    </w:p>
    <w:p w14:paraId="58AE67C2" w14:textId="40CCC8D8" w:rsidR="00AE6703" w:rsidRPr="00D02CF5" w:rsidRDefault="00AE6703" w:rsidP="00D02CF5">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sz w:val="24"/>
          <w:szCs w:val="24"/>
        </w:rPr>
        <w:lastRenderedPageBreak/>
        <w:t>Article 25</w:t>
      </w:r>
      <w:r w:rsidR="00D02CF5">
        <w:rPr>
          <w:rFonts w:ascii="Times New Roman" w:hAnsi="Times New Roman" w:cs="Times New Roman"/>
          <w:sz w:val="24"/>
          <w:szCs w:val="24"/>
        </w:rPr>
        <w:t>(4)</w:t>
      </w:r>
      <w:r>
        <w:rPr>
          <w:rFonts w:ascii="Times New Roman" w:hAnsi="Times New Roman" w:cs="Times New Roman"/>
          <w:sz w:val="24"/>
          <w:szCs w:val="24"/>
        </w:rPr>
        <w:t xml:space="preserve"> makes it clear that the relevant obligation is not limited to publication of the authorisation, but that it also extends to the assessment report</w:t>
      </w:r>
      <w:r w:rsidR="00D02CF5">
        <w:rPr>
          <w:rFonts w:ascii="Times New Roman" w:hAnsi="Times New Roman" w:cs="Times New Roman"/>
          <w:sz w:val="24"/>
          <w:szCs w:val="24"/>
        </w:rPr>
        <w:t xml:space="preserve">.  This is a report regarding the results of the pharmaceutical, safety and residue tests and the pre-clinical and clinical trials of the veterinary medicinal product concerned.  Article 25(4) states </w:t>
      </w:r>
      <w:r w:rsidR="00D02CF5">
        <w:rPr>
          <w:rFonts w:ascii="Times New Roman" w:hAnsi="Times New Roman" w:cs="Times New Roman"/>
          <w:i/>
          <w:sz w:val="24"/>
          <w:szCs w:val="24"/>
        </w:rPr>
        <w:t>inter alia</w:t>
      </w:r>
      <w:r w:rsidR="00D02CF5">
        <w:rPr>
          <w:rFonts w:ascii="Times New Roman" w:hAnsi="Times New Roman" w:cs="Times New Roman"/>
          <w:sz w:val="24"/>
          <w:szCs w:val="24"/>
        </w:rPr>
        <w:t>:</w:t>
      </w:r>
    </w:p>
    <w:p w14:paraId="35CF701E" w14:textId="77777777" w:rsidR="00D02CF5" w:rsidRDefault="00D02CF5" w:rsidP="00D02CF5">
      <w:pPr>
        <w:pStyle w:val="ListParagraph"/>
        <w:spacing w:line="480" w:lineRule="auto"/>
        <w:jc w:val="both"/>
        <w:rPr>
          <w:rFonts w:ascii="Times New Roman" w:hAnsi="Times New Roman" w:cs="Times New Roman"/>
          <w:b/>
          <w:sz w:val="24"/>
          <w:szCs w:val="24"/>
        </w:rPr>
      </w:pPr>
    </w:p>
    <w:p w14:paraId="720D054A" w14:textId="77777777" w:rsidR="00D02CF5" w:rsidRPr="00D02CF5" w:rsidRDefault="00D02CF5" w:rsidP="00D02CF5">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i/>
          <w:sz w:val="24"/>
          <w:szCs w:val="24"/>
        </w:rPr>
        <w:t>The competent authority shall make the assessment report and</w:t>
      </w:r>
      <w:r w:rsidR="00D273AE">
        <w:rPr>
          <w:rFonts w:ascii="Times New Roman" w:hAnsi="Times New Roman" w:cs="Times New Roman"/>
          <w:i/>
          <w:sz w:val="24"/>
          <w:szCs w:val="24"/>
        </w:rPr>
        <w:t xml:space="preserve"> </w:t>
      </w:r>
      <w:r>
        <w:rPr>
          <w:rFonts w:ascii="Times New Roman" w:hAnsi="Times New Roman" w:cs="Times New Roman"/>
          <w:i/>
          <w:sz w:val="24"/>
          <w:szCs w:val="24"/>
        </w:rPr>
        <w:t>its reasons for the opinion publicly available without delay, after deleting any information of a commercially confidential nature.’</w:t>
      </w:r>
    </w:p>
    <w:p w14:paraId="7890D247" w14:textId="77777777" w:rsidR="00AE6703" w:rsidRPr="000C1DFD" w:rsidRDefault="00AE6703" w:rsidP="00AE6703">
      <w:pPr>
        <w:pStyle w:val="ListParagraph"/>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  </w:t>
      </w:r>
    </w:p>
    <w:p w14:paraId="66DFEB4C" w14:textId="0B41D572" w:rsidR="00AE6703" w:rsidRPr="00283EEB" w:rsidRDefault="00AE6703" w:rsidP="00AE6703">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sz w:val="24"/>
          <w:szCs w:val="24"/>
        </w:rPr>
        <w:t>Article 94 imposes an overlapping obligation:</w:t>
      </w:r>
    </w:p>
    <w:p w14:paraId="3752A60A" w14:textId="77777777" w:rsidR="00AE6703" w:rsidRDefault="00AE6703" w:rsidP="00AE6703">
      <w:pPr>
        <w:pStyle w:val="ListParagraph"/>
        <w:spacing w:line="480" w:lineRule="auto"/>
        <w:jc w:val="both"/>
        <w:rPr>
          <w:rFonts w:ascii="Times New Roman" w:hAnsi="Times New Roman" w:cs="Times New Roman"/>
          <w:b/>
          <w:sz w:val="24"/>
          <w:szCs w:val="24"/>
        </w:rPr>
      </w:pPr>
    </w:p>
    <w:p w14:paraId="78B8A8E4" w14:textId="77777777" w:rsidR="00AE6703" w:rsidRDefault="00AE6703" w:rsidP="00AE6703">
      <w:pPr>
        <w:pStyle w:val="ListParagraph"/>
        <w:spacing w:line="480" w:lineRule="auto"/>
        <w:ind w:left="1440"/>
        <w:jc w:val="both"/>
        <w:rPr>
          <w:rFonts w:ascii="Times New Roman" w:hAnsi="Times New Roman" w:cs="Times New Roman"/>
          <w:i/>
          <w:sz w:val="24"/>
          <w:szCs w:val="24"/>
        </w:rPr>
      </w:pPr>
      <w:r>
        <w:rPr>
          <w:rFonts w:ascii="Times New Roman" w:hAnsi="Times New Roman" w:cs="Times New Roman"/>
          <w:b/>
          <w:sz w:val="24"/>
          <w:szCs w:val="24"/>
        </w:rPr>
        <w:t>‘</w:t>
      </w:r>
      <w:r>
        <w:rPr>
          <w:rFonts w:ascii="Times New Roman" w:hAnsi="Times New Roman" w:cs="Times New Roman"/>
          <w:i/>
          <w:sz w:val="24"/>
          <w:szCs w:val="24"/>
        </w:rPr>
        <w:t>Any decision referred to in this Directive, taken by the competent authorities of the Member States, may only be taken on the grounds set out in this Directive and shall state in detail the reasons on which it is based.</w:t>
      </w:r>
    </w:p>
    <w:p w14:paraId="5F343C2C" w14:textId="77777777" w:rsidR="00AE6703" w:rsidRDefault="00AE6703" w:rsidP="00AE6703">
      <w:pPr>
        <w:pStyle w:val="ListParagraph"/>
        <w:spacing w:line="480" w:lineRule="auto"/>
        <w:ind w:left="1440"/>
        <w:jc w:val="both"/>
        <w:rPr>
          <w:rFonts w:ascii="Times New Roman" w:hAnsi="Times New Roman" w:cs="Times New Roman"/>
          <w:i/>
          <w:sz w:val="24"/>
          <w:szCs w:val="24"/>
        </w:rPr>
      </w:pPr>
    </w:p>
    <w:p w14:paraId="71F53BDF" w14:textId="77777777" w:rsidR="00AE6703" w:rsidRDefault="00AE6703" w:rsidP="00AE6703">
      <w:pPr>
        <w:pStyle w:val="ListParagraph"/>
        <w:spacing w:line="480" w:lineRule="auto"/>
        <w:ind w:left="1440"/>
        <w:jc w:val="both"/>
        <w:rPr>
          <w:rFonts w:ascii="Times New Roman" w:hAnsi="Times New Roman" w:cs="Times New Roman"/>
          <w:i/>
          <w:sz w:val="24"/>
          <w:szCs w:val="24"/>
        </w:rPr>
      </w:pPr>
      <w:r>
        <w:rPr>
          <w:rFonts w:ascii="Times New Roman" w:hAnsi="Times New Roman" w:cs="Times New Roman"/>
          <w:i/>
          <w:sz w:val="24"/>
          <w:szCs w:val="24"/>
        </w:rPr>
        <w:t>Such a decision shall be notified to the party concerned who shall at the same time be informed of the remedies available to him under current legislation and the time allowed for seeking such remedies.</w:t>
      </w:r>
      <w:r w:rsidR="009D3326">
        <w:rPr>
          <w:rFonts w:ascii="Times New Roman" w:hAnsi="Times New Roman" w:cs="Times New Roman"/>
          <w:i/>
          <w:sz w:val="24"/>
          <w:szCs w:val="24"/>
        </w:rPr>
        <w:t>’</w:t>
      </w:r>
    </w:p>
    <w:p w14:paraId="6806DCAF" w14:textId="77777777" w:rsidR="00AE6703" w:rsidRDefault="00AE6703" w:rsidP="00AE6703">
      <w:pPr>
        <w:pStyle w:val="ListParagraph"/>
        <w:spacing w:line="480" w:lineRule="auto"/>
        <w:ind w:left="1440"/>
        <w:jc w:val="both"/>
        <w:rPr>
          <w:rFonts w:ascii="Times New Roman" w:hAnsi="Times New Roman" w:cs="Times New Roman"/>
          <w:i/>
          <w:sz w:val="24"/>
          <w:szCs w:val="24"/>
        </w:rPr>
      </w:pPr>
    </w:p>
    <w:p w14:paraId="6A4D1D62" w14:textId="77777777" w:rsidR="00AE6703" w:rsidRDefault="00AE6703" w:rsidP="00AE6703">
      <w:pPr>
        <w:pStyle w:val="ListParagraph"/>
        <w:spacing w:line="480" w:lineRule="auto"/>
        <w:ind w:left="1440"/>
        <w:jc w:val="both"/>
        <w:rPr>
          <w:rFonts w:ascii="Times New Roman" w:hAnsi="Times New Roman" w:cs="Times New Roman"/>
          <w:sz w:val="24"/>
          <w:szCs w:val="24"/>
        </w:rPr>
      </w:pPr>
      <w:r w:rsidRPr="00283EEB">
        <w:rPr>
          <w:rFonts w:ascii="Times New Roman" w:hAnsi="Times New Roman" w:cs="Times New Roman"/>
          <w:b/>
          <w:i/>
          <w:sz w:val="24"/>
          <w:szCs w:val="24"/>
        </w:rPr>
        <w:t>Decisions to grant or revoke a marketing authorisation shall be made publicly available</w:t>
      </w:r>
      <w:r>
        <w:rPr>
          <w:rFonts w:ascii="Times New Roman" w:hAnsi="Times New Roman" w:cs="Times New Roman"/>
          <w:i/>
          <w:sz w:val="24"/>
          <w:szCs w:val="24"/>
        </w:rPr>
        <w:t>.’</w:t>
      </w:r>
    </w:p>
    <w:p w14:paraId="2B6D2373" w14:textId="77777777" w:rsidR="00AE6703" w:rsidRDefault="00AE6703" w:rsidP="00AE6703">
      <w:pPr>
        <w:pStyle w:val="ListParagraph"/>
        <w:spacing w:line="480" w:lineRule="auto"/>
        <w:ind w:left="1440"/>
        <w:jc w:val="both"/>
        <w:rPr>
          <w:rFonts w:ascii="Times New Roman" w:hAnsi="Times New Roman" w:cs="Times New Roman"/>
          <w:sz w:val="24"/>
          <w:szCs w:val="24"/>
        </w:rPr>
      </w:pPr>
    </w:p>
    <w:p w14:paraId="14F5CD5E" w14:textId="77777777" w:rsidR="00AE6703" w:rsidRPr="00283EEB" w:rsidRDefault="00AE6703" w:rsidP="00AE6703">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(Emphasis added).</w:t>
      </w:r>
    </w:p>
    <w:p w14:paraId="34D459C7" w14:textId="77777777" w:rsidR="00AE6703" w:rsidRPr="000C234B" w:rsidRDefault="00AE6703" w:rsidP="00AE6703">
      <w:pPr>
        <w:pStyle w:val="ListParagraph"/>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  </w:t>
      </w:r>
    </w:p>
    <w:p w14:paraId="5184FDD6" w14:textId="77A63B1F" w:rsidR="00AE6703" w:rsidRPr="002C4DAC" w:rsidRDefault="00AE6703" w:rsidP="00AE6703">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sz w:val="24"/>
          <w:szCs w:val="24"/>
        </w:rPr>
        <w:lastRenderedPageBreak/>
        <w:t>These provisions are given effect to in the 2007 Regulations in a somewhat indirect way.  Regulation 9(4) states:</w:t>
      </w:r>
    </w:p>
    <w:p w14:paraId="760ACCB6" w14:textId="77777777" w:rsidR="00AE6703" w:rsidRDefault="00AE6703" w:rsidP="00AE6703">
      <w:pPr>
        <w:pStyle w:val="ListParagraph"/>
        <w:spacing w:line="480" w:lineRule="auto"/>
        <w:jc w:val="both"/>
        <w:rPr>
          <w:rFonts w:ascii="Times New Roman" w:hAnsi="Times New Roman" w:cs="Times New Roman"/>
          <w:b/>
          <w:sz w:val="24"/>
          <w:szCs w:val="24"/>
        </w:rPr>
      </w:pPr>
    </w:p>
    <w:p w14:paraId="175C5762" w14:textId="77777777" w:rsidR="00AE6703" w:rsidRDefault="00AE6703" w:rsidP="00AE6703">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i/>
          <w:sz w:val="24"/>
          <w:szCs w:val="24"/>
        </w:rPr>
        <w:t xml:space="preserve">[The HPRA] except in the case of a homeopathic animal remedy referred to in Regulation 7(2), shall </w:t>
      </w:r>
      <w:r w:rsidRPr="00C87BB9">
        <w:rPr>
          <w:rFonts w:ascii="Times New Roman" w:hAnsi="Times New Roman" w:cs="Times New Roman"/>
          <w:b/>
          <w:i/>
          <w:sz w:val="24"/>
          <w:szCs w:val="24"/>
        </w:rPr>
        <w:t>have regard to</w:t>
      </w:r>
      <w:r>
        <w:rPr>
          <w:rFonts w:ascii="Times New Roman" w:hAnsi="Times New Roman" w:cs="Times New Roman"/>
          <w:i/>
          <w:sz w:val="24"/>
          <w:szCs w:val="24"/>
        </w:rPr>
        <w:t xml:space="preserve"> Article 25 of the Directive.’</w:t>
      </w:r>
    </w:p>
    <w:p w14:paraId="4C91086B" w14:textId="77777777" w:rsidR="00C87BB9" w:rsidRDefault="00C87BB9" w:rsidP="00AE6703">
      <w:pPr>
        <w:pStyle w:val="ListParagraph"/>
        <w:spacing w:line="480" w:lineRule="auto"/>
        <w:ind w:left="1440"/>
        <w:jc w:val="both"/>
        <w:rPr>
          <w:rFonts w:ascii="Times New Roman" w:hAnsi="Times New Roman" w:cs="Times New Roman"/>
          <w:sz w:val="24"/>
          <w:szCs w:val="24"/>
        </w:rPr>
      </w:pPr>
    </w:p>
    <w:p w14:paraId="72FCC516" w14:textId="77777777" w:rsidR="00C87BB9" w:rsidRPr="00C87BB9" w:rsidRDefault="00C87BB9" w:rsidP="00AE6703">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(Emphasis added)</w:t>
      </w:r>
    </w:p>
    <w:p w14:paraId="6621E37D" w14:textId="77777777" w:rsidR="00AE6703" w:rsidRPr="002C4DAC" w:rsidRDefault="00AE6703" w:rsidP="00AE6703">
      <w:pPr>
        <w:pStyle w:val="ListParagraph"/>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  </w:t>
      </w:r>
    </w:p>
    <w:p w14:paraId="3D210E0C" w14:textId="3F3703C1" w:rsidR="00AE6703" w:rsidRPr="00216445" w:rsidRDefault="00AE6703" w:rsidP="00AE6703">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sz w:val="24"/>
          <w:szCs w:val="24"/>
        </w:rPr>
        <w:t>Regulation 46 states:</w:t>
      </w:r>
    </w:p>
    <w:p w14:paraId="3824C1D2" w14:textId="77777777" w:rsidR="00216445" w:rsidRPr="002C4DAC" w:rsidRDefault="00216445" w:rsidP="00216445">
      <w:pPr>
        <w:pStyle w:val="ListParagraph"/>
        <w:spacing w:line="480" w:lineRule="auto"/>
        <w:jc w:val="both"/>
        <w:rPr>
          <w:rFonts w:ascii="Times New Roman" w:hAnsi="Times New Roman" w:cs="Times New Roman"/>
          <w:b/>
          <w:sz w:val="24"/>
          <w:szCs w:val="24"/>
        </w:rPr>
      </w:pPr>
    </w:p>
    <w:p w14:paraId="752C587F" w14:textId="35E69759" w:rsidR="00AE6703" w:rsidRDefault="00AE6703" w:rsidP="00AE6703">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 xml:space="preserve">[The HPRA] shall publish notice of the grant or revocation of a veterinary product authorisation in Iris </w:t>
      </w:r>
      <w:r w:rsidR="00C93565">
        <w:rPr>
          <w:rFonts w:ascii="Times New Roman" w:hAnsi="Times New Roman" w:cs="Times New Roman"/>
          <w:i/>
          <w:sz w:val="24"/>
          <w:szCs w:val="24"/>
        </w:rPr>
        <w:t>Oifigiúil</w:t>
      </w:r>
      <w:r>
        <w:rPr>
          <w:rFonts w:ascii="Times New Roman" w:hAnsi="Times New Roman" w:cs="Times New Roman"/>
          <w:i/>
          <w:sz w:val="24"/>
          <w:szCs w:val="24"/>
        </w:rPr>
        <w:t>’</w:t>
      </w:r>
    </w:p>
    <w:p w14:paraId="414BFDB7" w14:textId="77777777" w:rsidR="00AE6703" w:rsidRPr="002C4DAC" w:rsidRDefault="00AE6703" w:rsidP="00AE6703">
      <w:pPr>
        <w:pStyle w:val="ListParagraph"/>
        <w:spacing w:line="480" w:lineRule="auto"/>
        <w:ind w:left="1440"/>
        <w:jc w:val="both"/>
        <w:rPr>
          <w:rFonts w:ascii="Times New Roman" w:hAnsi="Times New Roman" w:cs="Times New Roman"/>
          <w:b/>
          <w:sz w:val="24"/>
          <w:szCs w:val="24"/>
        </w:rPr>
      </w:pPr>
      <w:r>
        <w:rPr>
          <w:rFonts w:ascii="Times New Roman" w:hAnsi="Times New Roman" w:cs="Times New Roman"/>
          <w:sz w:val="24"/>
          <w:szCs w:val="24"/>
        </w:rPr>
        <w:t xml:space="preserve">  </w:t>
      </w:r>
    </w:p>
    <w:p w14:paraId="1B513FCE" w14:textId="2CD8BCB5" w:rsidR="00AC57CC" w:rsidRPr="00AC57CC" w:rsidRDefault="00AC57CC" w:rsidP="00AE6703">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Regulation 47 then addresses notification obligations </w:t>
      </w:r>
      <w:r w:rsidR="009D3326">
        <w:rPr>
          <w:rFonts w:ascii="Times New Roman" w:hAnsi="Times New Roman" w:cs="Times New Roman"/>
          <w:i/>
          <w:sz w:val="24"/>
          <w:szCs w:val="24"/>
        </w:rPr>
        <w:t>vis-á-vis</w:t>
      </w:r>
      <w:r>
        <w:rPr>
          <w:rFonts w:ascii="Times New Roman" w:hAnsi="Times New Roman" w:cs="Times New Roman"/>
          <w:i/>
          <w:sz w:val="24"/>
          <w:szCs w:val="24"/>
        </w:rPr>
        <w:t xml:space="preserve"> </w:t>
      </w:r>
      <w:r>
        <w:rPr>
          <w:rFonts w:ascii="Times New Roman" w:hAnsi="Times New Roman" w:cs="Times New Roman"/>
          <w:sz w:val="24"/>
          <w:szCs w:val="24"/>
        </w:rPr>
        <w:t>the European Medicines Agency (referred to throughout the Regulations as ‘</w:t>
      </w:r>
      <w:r>
        <w:rPr>
          <w:rFonts w:ascii="Times New Roman" w:hAnsi="Times New Roman" w:cs="Times New Roman"/>
          <w:i/>
          <w:sz w:val="24"/>
          <w:szCs w:val="24"/>
        </w:rPr>
        <w:t xml:space="preserve">the </w:t>
      </w:r>
      <w:r w:rsidRPr="00AC57CC">
        <w:rPr>
          <w:rFonts w:ascii="Times New Roman" w:hAnsi="Times New Roman" w:cs="Times New Roman"/>
          <w:i/>
          <w:sz w:val="24"/>
          <w:szCs w:val="24"/>
        </w:rPr>
        <w:t>Agency</w:t>
      </w:r>
      <w:r w:rsidRPr="00AC57CC">
        <w:rPr>
          <w:rFonts w:ascii="Times New Roman" w:hAnsi="Times New Roman" w:cs="Times New Roman"/>
          <w:sz w:val="24"/>
          <w:szCs w:val="24"/>
        </w:rPr>
        <w:t>’</w:t>
      </w:r>
      <w:r>
        <w:rPr>
          <w:rFonts w:ascii="Times New Roman" w:hAnsi="Times New Roman" w:cs="Times New Roman"/>
          <w:sz w:val="24"/>
          <w:szCs w:val="24"/>
        </w:rPr>
        <w:t>)</w:t>
      </w:r>
      <w:r>
        <w:t>:</w:t>
      </w:r>
    </w:p>
    <w:p w14:paraId="17099203" w14:textId="77777777" w:rsidR="00AC57CC" w:rsidRDefault="00AC57CC" w:rsidP="00AC57CC">
      <w:pPr>
        <w:pStyle w:val="ListParagraph"/>
        <w:spacing w:line="480" w:lineRule="auto"/>
        <w:jc w:val="both"/>
      </w:pPr>
    </w:p>
    <w:p w14:paraId="65333E33" w14:textId="77777777" w:rsidR="00AC57CC" w:rsidRPr="00587C70" w:rsidRDefault="00587C70" w:rsidP="00AC57CC">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The Board shall inform the Agency of a decision to grant, refuse, suspend or revoke a veterinary product authorisation or a manufacturer’s licence, or to prohibit the sale or supply, or to recall an animal remedy and the reasons for the decision.’</w:t>
      </w:r>
    </w:p>
    <w:p w14:paraId="79E624CF" w14:textId="77777777" w:rsidR="00AC57CC" w:rsidRPr="00AC57CC" w:rsidRDefault="00AC57CC" w:rsidP="00AC57CC">
      <w:pPr>
        <w:pStyle w:val="ListParagraph"/>
        <w:spacing w:line="480" w:lineRule="auto"/>
        <w:jc w:val="both"/>
        <w:rPr>
          <w:rFonts w:ascii="Times New Roman" w:hAnsi="Times New Roman" w:cs="Times New Roman"/>
          <w:b/>
          <w:sz w:val="24"/>
          <w:szCs w:val="24"/>
        </w:rPr>
      </w:pPr>
      <w:r>
        <w:t xml:space="preserve">  </w:t>
      </w:r>
    </w:p>
    <w:p w14:paraId="0D1F03D3" w14:textId="14C10D8B" w:rsidR="00191985" w:rsidRPr="00DF2831" w:rsidRDefault="00AC57CC" w:rsidP="00AE6703">
      <w:pPr>
        <w:pStyle w:val="ListParagraph"/>
        <w:numPr>
          <w:ilvl w:val="0"/>
          <w:numId w:val="1"/>
        </w:numPr>
        <w:spacing w:line="480" w:lineRule="auto"/>
        <w:jc w:val="both"/>
        <w:rPr>
          <w:rFonts w:ascii="Times New Roman" w:hAnsi="Times New Roman" w:cs="Times New Roman"/>
          <w:b/>
          <w:sz w:val="24"/>
          <w:szCs w:val="24"/>
        </w:rPr>
      </w:pPr>
      <w:r>
        <w:t xml:space="preserve"> </w:t>
      </w:r>
      <w:r>
        <w:rPr>
          <w:rFonts w:ascii="Times New Roman" w:hAnsi="Times New Roman" w:cs="Times New Roman"/>
          <w:sz w:val="24"/>
          <w:szCs w:val="24"/>
        </w:rPr>
        <w:t xml:space="preserve">It will </w:t>
      </w:r>
      <w:r w:rsidR="00AE6703">
        <w:rPr>
          <w:rFonts w:ascii="Times New Roman" w:hAnsi="Times New Roman" w:cs="Times New Roman"/>
          <w:sz w:val="24"/>
          <w:szCs w:val="24"/>
        </w:rPr>
        <w:t>be noticed that the provision prescribing the form of publication (Regulation 46) imposes n</w:t>
      </w:r>
      <w:r w:rsidR="00191985">
        <w:rPr>
          <w:rFonts w:ascii="Times New Roman" w:hAnsi="Times New Roman" w:cs="Times New Roman"/>
          <w:sz w:val="24"/>
          <w:szCs w:val="24"/>
        </w:rPr>
        <w:t>either a</w:t>
      </w:r>
      <w:r w:rsidR="00AE6703">
        <w:rPr>
          <w:rFonts w:ascii="Times New Roman" w:hAnsi="Times New Roman" w:cs="Times New Roman"/>
          <w:sz w:val="24"/>
          <w:szCs w:val="24"/>
        </w:rPr>
        <w:t xml:space="preserve"> requirement that the publication occur ‘</w:t>
      </w:r>
      <w:r w:rsidR="00AE6703">
        <w:rPr>
          <w:rFonts w:ascii="Times New Roman" w:hAnsi="Times New Roman" w:cs="Times New Roman"/>
          <w:i/>
          <w:sz w:val="24"/>
          <w:szCs w:val="24"/>
        </w:rPr>
        <w:t xml:space="preserve">without delay’ </w:t>
      </w:r>
      <w:r w:rsidR="00AE6703">
        <w:rPr>
          <w:rFonts w:ascii="Times New Roman" w:hAnsi="Times New Roman" w:cs="Times New Roman"/>
          <w:sz w:val="24"/>
          <w:szCs w:val="24"/>
        </w:rPr>
        <w:t xml:space="preserve">as required by Article 25 of the Directive, </w:t>
      </w:r>
      <w:r w:rsidR="00191985">
        <w:rPr>
          <w:rFonts w:ascii="Times New Roman" w:hAnsi="Times New Roman" w:cs="Times New Roman"/>
          <w:sz w:val="24"/>
          <w:szCs w:val="24"/>
        </w:rPr>
        <w:t xml:space="preserve">nor does it comply with the obligation under Article 25 to publish the assessment report.  The </w:t>
      </w:r>
      <w:r w:rsidR="00AE6703">
        <w:rPr>
          <w:rFonts w:ascii="Times New Roman" w:hAnsi="Times New Roman" w:cs="Times New Roman"/>
          <w:sz w:val="24"/>
          <w:szCs w:val="24"/>
        </w:rPr>
        <w:t xml:space="preserve">provision that </w:t>
      </w:r>
      <w:r w:rsidR="00191985">
        <w:rPr>
          <w:rFonts w:ascii="Times New Roman" w:hAnsi="Times New Roman" w:cs="Times New Roman"/>
          <w:sz w:val="24"/>
          <w:szCs w:val="24"/>
        </w:rPr>
        <w:t xml:space="preserve">does specifically </w:t>
      </w:r>
      <w:r w:rsidR="00AE6703">
        <w:rPr>
          <w:rFonts w:ascii="Times New Roman" w:hAnsi="Times New Roman" w:cs="Times New Roman"/>
          <w:sz w:val="24"/>
          <w:szCs w:val="24"/>
        </w:rPr>
        <w:t xml:space="preserve">refer </w:t>
      </w:r>
      <w:r w:rsidR="00AE6703">
        <w:rPr>
          <w:rFonts w:ascii="Times New Roman" w:hAnsi="Times New Roman" w:cs="Times New Roman"/>
          <w:sz w:val="24"/>
          <w:szCs w:val="24"/>
        </w:rPr>
        <w:lastRenderedPageBreak/>
        <w:t>to Article 25 (Regulation 9(4)) appears to view it as something to be taken into account (‘</w:t>
      </w:r>
      <w:r w:rsidR="00AE6703">
        <w:rPr>
          <w:rFonts w:ascii="Times New Roman" w:hAnsi="Times New Roman" w:cs="Times New Roman"/>
          <w:i/>
          <w:sz w:val="24"/>
          <w:szCs w:val="24"/>
        </w:rPr>
        <w:t xml:space="preserve">have regard </w:t>
      </w:r>
      <w:r w:rsidR="00AE6703" w:rsidRPr="00CA5DD6">
        <w:rPr>
          <w:rFonts w:ascii="Times New Roman" w:hAnsi="Times New Roman" w:cs="Times New Roman"/>
          <w:i/>
          <w:sz w:val="24"/>
          <w:szCs w:val="24"/>
        </w:rPr>
        <w:t>to</w:t>
      </w:r>
      <w:r w:rsidR="00AE6703" w:rsidRPr="00B55F43">
        <w:rPr>
          <w:rFonts w:ascii="Times New Roman" w:hAnsi="Times New Roman" w:cs="Times New Roman"/>
          <w:sz w:val="24"/>
          <w:szCs w:val="24"/>
        </w:rPr>
        <w:t>’</w:t>
      </w:r>
      <w:r w:rsidR="00AE6703">
        <w:rPr>
          <w:rFonts w:ascii="Times New Roman" w:hAnsi="Times New Roman" w:cs="Times New Roman"/>
          <w:sz w:val="24"/>
          <w:szCs w:val="24"/>
        </w:rPr>
        <w:t>)</w:t>
      </w:r>
      <w:r w:rsidR="005B56E1">
        <w:rPr>
          <w:rFonts w:ascii="Times New Roman" w:hAnsi="Times New Roman" w:cs="Times New Roman"/>
          <w:sz w:val="24"/>
          <w:szCs w:val="24"/>
        </w:rPr>
        <w:t>)</w:t>
      </w:r>
      <w:r w:rsidR="00AE6703">
        <w:rPr>
          <w:rFonts w:ascii="Times New Roman" w:hAnsi="Times New Roman" w:cs="Times New Roman"/>
          <w:sz w:val="24"/>
          <w:szCs w:val="24"/>
        </w:rPr>
        <w:t xml:space="preserve"> rather than as generating a clear and binding obligation.  </w:t>
      </w:r>
      <w:r w:rsidR="00B2544C">
        <w:rPr>
          <w:rFonts w:ascii="Times New Roman" w:hAnsi="Times New Roman" w:cs="Times New Roman"/>
          <w:sz w:val="24"/>
          <w:szCs w:val="24"/>
        </w:rPr>
        <w:t xml:space="preserve">That provision does not prescribe how the obligation it imposes will be complied with, and </w:t>
      </w:r>
      <w:r w:rsidR="00931AD3">
        <w:rPr>
          <w:rFonts w:ascii="Times New Roman" w:hAnsi="Times New Roman" w:cs="Times New Roman"/>
          <w:sz w:val="24"/>
          <w:szCs w:val="24"/>
        </w:rPr>
        <w:t xml:space="preserve">indeed </w:t>
      </w:r>
      <w:r w:rsidR="006070D0">
        <w:rPr>
          <w:rFonts w:ascii="Times New Roman" w:hAnsi="Times New Roman" w:cs="Times New Roman"/>
          <w:sz w:val="24"/>
          <w:szCs w:val="24"/>
        </w:rPr>
        <w:t xml:space="preserve">Regulation 9(4) refers to the </w:t>
      </w:r>
      <w:r w:rsidR="006070D0">
        <w:rPr>
          <w:rFonts w:ascii="Times New Roman" w:hAnsi="Times New Roman" w:cs="Times New Roman"/>
          <w:i/>
          <w:sz w:val="24"/>
          <w:szCs w:val="24"/>
        </w:rPr>
        <w:t>entirety</w:t>
      </w:r>
      <w:r w:rsidR="006070D0">
        <w:rPr>
          <w:rFonts w:ascii="Times New Roman" w:hAnsi="Times New Roman" w:cs="Times New Roman"/>
          <w:sz w:val="24"/>
          <w:szCs w:val="24"/>
        </w:rPr>
        <w:t xml:space="preserve"> of Article 25</w:t>
      </w:r>
      <w:r w:rsidR="005444B1">
        <w:rPr>
          <w:rFonts w:ascii="Times New Roman" w:hAnsi="Times New Roman" w:cs="Times New Roman"/>
          <w:sz w:val="24"/>
          <w:szCs w:val="24"/>
        </w:rPr>
        <w:t>, not just to the mandatory obligation provided for in Article 25(4).</w:t>
      </w:r>
    </w:p>
    <w:p w14:paraId="79E27B68" w14:textId="77777777" w:rsidR="00DF2831" w:rsidRDefault="00DF2831" w:rsidP="00DF2831">
      <w:pPr>
        <w:pStyle w:val="ListParagraph"/>
        <w:spacing w:line="480" w:lineRule="auto"/>
        <w:ind w:left="786"/>
        <w:jc w:val="both"/>
        <w:rPr>
          <w:rFonts w:ascii="Times New Roman" w:hAnsi="Times New Roman" w:cs="Times New Roman"/>
          <w:b/>
          <w:sz w:val="24"/>
          <w:szCs w:val="24"/>
        </w:rPr>
      </w:pPr>
      <w:r>
        <w:rPr>
          <w:rFonts w:ascii="Times New Roman" w:hAnsi="Times New Roman" w:cs="Times New Roman"/>
          <w:b/>
          <w:sz w:val="24"/>
          <w:szCs w:val="24"/>
        </w:rPr>
        <w:t xml:space="preserve">  </w:t>
      </w:r>
    </w:p>
    <w:p w14:paraId="351C0187" w14:textId="0B65C731" w:rsidR="00860B0D" w:rsidRPr="00860B0D" w:rsidRDefault="00DF2831" w:rsidP="00DF2831">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These provisions should be viewed in the light of the broader regulatory context.  </w:t>
      </w:r>
      <w:r w:rsidRPr="00DF2831">
        <w:rPr>
          <w:rFonts w:ascii="Times New Roman" w:hAnsi="Times New Roman" w:cs="Times New Roman"/>
          <w:sz w:val="24"/>
          <w:szCs w:val="24"/>
        </w:rPr>
        <w:t>The overall effect of th</w:t>
      </w:r>
      <w:r>
        <w:rPr>
          <w:rFonts w:ascii="Times New Roman" w:hAnsi="Times New Roman" w:cs="Times New Roman"/>
          <w:sz w:val="24"/>
          <w:szCs w:val="24"/>
        </w:rPr>
        <w:t>at</w:t>
      </w:r>
      <w:r w:rsidRPr="00DF2831">
        <w:rPr>
          <w:rFonts w:ascii="Times New Roman" w:hAnsi="Times New Roman" w:cs="Times New Roman"/>
          <w:sz w:val="24"/>
          <w:szCs w:val="24"/>
        </w:rPr>
        <w:t xml:space="preserve"> regime is that authorisation for certain types of drugs can be sought and granted centrally by the European Commission, or in other cases by the regulatory authority in a member state.  In the former situation, the authorisation is valid throughout the European Union</w:t>
      </w:r>
      <w:r w:rsidR="00A35A74">
        <w:rPr>
          <w:rFonts w:ascii="Times New Roman" w:hAnsi="Times New Roman" w:cs="Times New Roman"/>
          <w:sz w:val="24"/>
          <w:szCs w:val="24"/>
        </w:rPr>
        <w:t>.  T</w:t>
      </w:r>
      <w:r w:rsidRPr="00DF2831">
        <w:rPr>
          <w:rFonts w:ascii="Times New Roman" w:hAnsi="Times New Roman" w:cs="Times New Roman"/>
          <w:sz w:val="24"/>
          <w:szCs w:val="24"/>
        </w:rPr>
        <w:t>he latter is administered by the authorities of one member state (the Reference Member State or ‘RMS’)</w:t>
      </w:r>
      <w:r w:rsidR="00A35A74">
        <w:rPr>
          <w:rFonts w:ascii="Times New Roman" w:hAnsi="Times New Roman" w:cs="Times New Roman"/>
          <w:sz w:val="24"/>
          <w:szCs w:val="24"/>
        </w:rPr>
        <w:t>, an application being made to use either the mutual recognition procedure (</w:t>
      </w:r>
      <w:r w:rsidR="00CE03BB">
        <w:rPr>
          <w:rFonts w:ascii="Times New Roman" w:hAnsi="Times New Roman" w:cs="Times New Roman"/>
          <w:sz w:val="24"/>
          <w:szCs w:val="24"/>
        </w:rPr>
        <w:t xml:space="preserve">in which </w:t>
      </w:r>
      <w:r w:rsidR="00A35A74">
        <w:rPr>
          <w:rFonts w:ascii="Times New Roman" w:hAnsi="Times New Roman" w:cs="Times New Roman"/>
          <w:sz w:val="24"/>
          <w:szCs w:val="24"/>
        </w:rPr>
        <w:t xml:space="preserve">the relevant authorities of other concerned states </w:t>
      </w:r>
      <w:r w:rsidR="00CE03BB">
        <w:rPr>
          <w:rFonts w:ascii="Times New Roman" w:hAnsi="Times New Roman" w:cs="Times New Roman"/>
          <w:sz w:val="24"/>
          <w:szCs w:val="24"/>
        </w:rPr>
        <w:t xml:space="preserve">are requested </w:t>
      </w:r>
      <w:r w:rsidR="00A35A74">
        <w:rPr>
          <w:rFonts w:ascii="Times New Roman" w:hAnsi="Times New Roman" w:cs="Times New Roman"/>
          <w:sz w:val="24"/>
          <w:szCs w:val="24"/>
        </w:rPr>
        <w:t>to mutually recognise an authorisation granted by the RMS of another State) or a decentralised procedure (appropriate where a marketing authorisation has not been granted for the product in any member state).  In the case of the decentralised procedure (which was the procedure in issue here) the</w:t>
      </w:r>
      <w:r w:rsidRPr="00DF2831">
        <w:rPr>
          <w:rFonts w:ascii="Times New Roman" w:hAnsi="Times New Roman" w:cs="Times New Roman"/>
          <w:sz w:val="24"/>
          <w:szCs w:val="24"/>
        </w:rPr>
        <w:t xml:space="preserve"> applicant for an authorisation requests the RMS to act as such, </w:t>
      </w:r>
      <w:r w:rsidR="00A35A74">
        <w:rPr>
          <w:rFonts w:ascii="Times New Roman" w:hAnsi="Times New Roman" w:cs="Times New Roman"/>
          <w:sz w:val="24"/>
          <w:szCs w:val="24"/>
        </w:rPr>
        <w:t xml:space="preserve">submitting an application to it and, simultaneously, to all member states involved.  The </w:t>
      </w:r>
      <w:r w:rsidRPr="00DF2831">
        <w:rPr>
          <w:rFonts w:ascii="Times New Roman" w:hAnsi="Times New Roman" w:cs="Times New Roman"/>
          <w:sz w:val="24"/>
          <w:szCs w:val="24"/>
        </w:rPr>
        <w:t>authority</w:t>
      </w:r>
      <w:r w:rsidR="00A35A74">
        <w:rPr>
          <w:rFonts w:ascii="Times New Roman" w:hAnsi="Times New Roman" w:cs="Times New Roman"/>
          <w:sz w:val="24"/>
          <w:szCs w:val="24"/>
        </w:rPr>
        <w:t xml:space="preserve"> in the RMS</w:t>
      </w:r>
      <w:r w:rsidRPr="00DF2831">
        <w:rPr>
          <w:rFonts w:ascii="Times New Roman" w:hAnsi="Times New Roman" w:cs="Times New Roman"/>
          <w:sz w:val="24"/>
          <w:szCs w:val="24"/>
        </w:rPr>
        <w:t xml:space="preserve"> takes the lead in the running of the procedure and assessment of the application with the relevant authorities in those states having consultative and supporting roles in the process of assessment.  </w:t>
      </w:r>
    </w:p>
    <w:p w14:paraId="7123F8CA" w14:textId="0C0C599E" w:rsidR="00860B0D" w:rsidRPr="00860B0D" w:rsidRDefault="00860B0D" w:rsidP="00860B0D">
      <w:pPr>
        <w:pStyle w:val="ListParagraph"/>
        <w:spacing w:line="480" w:lineRule="auto"/>
        <w:ind w:left="786"/>
        <w:jc w:val="both"/>
        <w:rPr>
          <w:rFonts w:ascii="Times New Roman" w:hAnsi="Times New Roman" w:cs="Times New Roman"/>
          <w:b/>
          <w:sz w:val="24"/>
          <w:szCs w:val="24"/>
        </w:rPr>
      </w:pPr>
      <w:r>
        <w:rPr>
          <w:rFonts w:ascii="Times New Roman" w:hAnsi="Times New Roman" w:cs="Times New Roman"/>
          <w:sz w:val="24"/>
          <w:szCs w:val="24"/>
        </w:rPr>
        <w:t xml:space="preserve">  </w:t>
      </w:r>
    </w:p>
    <w:p w14:paraId="00A5491C" w14:textId="03F49B9D" w:rsidR="00DF2831" w:rsidRPr="00DF2831" w:rsidRDefault="00DF2831" w:rsidP="00DF2831">
      <w:pPr>
        <w:pStyle w:val="ListParagraph"/>
        <w:numPr>
          <w:ilvl w:val="0"/>
          <w:numId w:val="1"/>
        </w:numPr>
        <w:spacing w:line="480" w:lineRule="auto"/>
        <w:jc w:val="both"/>
        <w:rPr>
          <w:rFonts w:ascii="Times New Roman" w:hAnsi="Times New Roman" w:cs="Times New Roman"/>
          <w:b/>
          <w:sz w:val="24"/>
          <w:szCs w:val="24"/>
        </w:rPr>
      </w:pPr>
      <w:r w:rsidRPr="00DF2831">
        <w:rPr>
          <w:rFonts w:ascii="Times New Roman" w:hAnsi="Times New Roman" w:cs="Times New Roman"/>
          <w:sz w:val="24"/>
          <w:szCs w:val="24"/>
        </w:rPr>
        <w:t>Essentially, the RMS represents the other concerned states in making the detailed assessment</w:t>
      </w:r>
      <w:r w:rsidR="00E8708E">
        <w:rPr>
          <w:rFonts w:ascii="Times New Roman" w:hAnsi="Times New Roman" w:cs="Times New Roman"/>
          <w:sz w:val="24"/>
          <w:szCs w:val="24"/>
        </w:rPr>
        <w:t xml:space="preserve"> and operates in conjunction with the</w:t>
      </w:r>
      <w:r w:rsidR="00030C10">
        <w:rPr>
          <w:rFonts w:ascii="Times New Roman" w:hAnsi="Times New Roman" w:cs="Times New Roman"/>
          <w:sz w:val="24"/>
          <w:szCs w:val="24"/>
        </w:rPr>
        <w:t>m:</w:t>
      </w:r>
      <w:r w:rsidR="0084679F">
        <w:rPr>
          <w:rFonts w:ascii="Times New Roman" w:hAnsi="Times New Roman" w:cs="Times New Roman"/>
          <w:sz w:val="24"/>
          <w:szCs w:val="24"/>
        </w:rPr>
        <w:t xml:space="preserve"> while </w:t>
      </w:r>
      <w:r w:rsidR="00631CDB">
        <w:rPr>
          <w:rFonts w:ascii="Times New Roman" w:hAnsi="Times New Roman" w:cs="Times New Roman"/>
          <w:sz w:val="24"/>
          <w:szCs w:val="24"/>
        </w:rPr>
        <w:t xml:space="preserve">in one sense </w:t>
      </w:r>
      <w:r w:rsidR="0084679F">
        <w:rPr>
          <w:rFonts w:ascii="Times New Roman" w:hAnsi="Times New Roman" w:cs="Times New Roman"/>
          <w:sz w:val="24"/>
          <w:szCs w:val="24"/>
        </w:rPr>
        <w:t xml:space="preserve">all of the </w:t>
      </w:r>
      <w:r w:rsidR="0084679F">
        <w:rPr>
          <w:rFonts w:ascii="Times New Roman" w:hAnsi="Times New Roman" w:cs="Times New Roman"/>
          <w:sz w:val="24"/>
          <w:szCs w:val="24"/>
        </w:rPr>
        <w:lastRenderedPageBreak/>
        <w:t xml:space="preserve">member states act independently they use their best endeavours to reach a common position and, if a point is reached such that a concerned member state cannot approve an application, the matter is referred to a body called the Co-ordination Group for Mutual Recognition and Decentralised Procedures.  </w:t>
      </w:r>
      <w:r w:rsidRPr="00DF2831">
        <w:rPr>
          <w:rFonts w:ascii="Times New Roman" w:hAnsi="Times New Roman" w:cs="Times New Roman"/>
          <w:sz w:val="24"/>
          <w:szCs w:val="24"/>
        </w:rPr>
        <w:t xml:space="preserve">If the RMS grants the authorisation, it is then granted in other states. </w:t>
      </w:r>
      <w:r>
        <w:rPr>
          <w:rFonts w:ascii="Times New Roman" w:hAnsi="Times New Roman" w:cs="Times New Roman"/>
          <w:sz w:val="24"/>
          <w:szCs w:val="24"/>
        </w:rPr>
        <w:t xml:space="preserve"> Here, the application was made to Ireland as</w:t>
      </w:r>
      <w:r w:rsidR="00E21DAB">
        <w:rPr>
          <w:rFonts w:ascii="Times New Roman" w:hAnsi="Times New Roman" w:cs="Times New Roman"/>
          <w:sz w:val="24"/>
          <w:szCs w:val="24"/>
        </w:rPr>
        <w:t xml:space="preserve"> the</w:t>
      </w:r>
      <w:r>
        <w:rPr>
          <w:rFonts w:ascii="Times New Roman" w:hAnsi="Times New Roman" w:cs="Times New Roman"/>
          <w:sz w:val="24"/>
          <w:szCs w:val="24"/>
        </w:rPr>
        <w:t xml:space="preserve"> RMS, and it was in that context that HPRA assumed the function of granting the authorisation.  </w:t>
      </w:r>
      <w:r w:rsidR="00CE03BB">
        <w:rPr>
          <w:rFonts w:ascii="Times New Roman" w:hAnsi="Times New Roman" w:cs="Times New Roman"/>
          <w:sz w:val="24"/>
          <w:szCs w:val="24"/>
        </w:rPr>
        <w:t>The point is that</w:t>
      </w:r>
      <w:r>
        <w:rPr>
          <w:rFonts w:ascii="Times New Roman" w:hAnsi="Times New Roman" w:cs="Times New Roman"/>
          <w:sz w:val="24"/>
          <w:szCs w:val="24"/>
        </w:rPr>
        <w:t xml:space="preserve"> </w:t>
      </w:r>
      <w:r w:rsidR="00C81931">
        <w:rPr>
          <w:rFonts w:ascii="Times New Roman" w:hAnsi="Times New Roman" w:cs="Times New Roman"/>
          <w:sz w:val="24"/>
          <w:szCs w:val="24"/>
        </w:rPr>
        <w:t xml:space="preserve">the </w:t>
      </w:r>
      <w:r w:rsidR="00774574">
        <w:rPr>
          <w:rFonts w:ascii="Times New Roman" w:hAnsi="Times New Roman" w:cs="Times New Roman"/>
          <w:sz w:val="24"/>
          <w:szCs w:val="24"/>
        </w:rPr>
        <w:t>decentralised procedure availed of by Arthropharm involved the expert regulators of twelve other member states</w:t>
      </w:r>
      <w:r w:rsidR="00860B0D">
        <w:rPr>
          <w:rFonts w:ascii="Times New Roman" w:hAnsi="Times New Roman" w:cs="Times New Roman"/>
          <w:sz w:val="24"/>
          <w:szCs w:val="24"/>
        </w:rPr>
        <w:t xml:space="preserve"> (each of whom concluded that Osteopen was a generic of Cartrophen)</w:t>
      </w:r>
      <w:r w:rsidR="00774574">
        <w:rPr>
          <w:rFonts w:ascii="Times New Roman" w:hAnsi="Times New Roman" w:cs="Times New Roman"/>
          <w:sz w:val="24"/>
          <w:szCs w:val="24"/>
        </w:rPr>
        <w:t xml:space="preserve"> and the grant of the authorisation by HPRA </w:t>
      </w:r>
      <w:r>
        <w:rPr>
          <w:rFonts w:ascii="Times New Roman" w:hAnsi="Times New Roman" w:cs="Times New Roman"/>
          <w:sz w:val="24"/>
          <w:szCs w:val="24"/>
        </w:rPr>
        <w:t xml:space="preserve">had an important consequence in </w:t>
      </w:r>
      <w:r w:rsidR="001F2BAE">
        <w:rPr>
          <w:rFonts w:ascii="Times New Roman" w:hAnsi="Times New Roman" w:cs="Times New Roman"/>
          <w:sz w:val="24"/>
          <w:szCs w:val="24"/>
        </w:rPr>
        <w:t xml:space="preserve">those </w:t>
      </w:r>
      <w:r>
        <w:rPr>
          <w:rFonts w:ascii="Times New Roman" w:hAnsi="Times New Roman" w:cs="Times New Roman"/>
          <w:sz w:val="24"/>
          <w:szCs w:val="24"/>
        </w:rPr>
        <w:t>other concerned jurisdictions.</w:t>
      </w:r>
    </w:p>
    <w:p w14:paraId="5FF26241" w14:textId="77777777" w:rsidR="00DF2831" w:rsidRPr="00DF2831" w:rsidRDefault="00DF2831" w:rsidP="00DF2831">
      <w:pPr>
        <w:pStyle w:val="ListParagraph"/>
        <w:spacing w:line="480" w:lineRule="auto"/>
        <w:ind w:left="786"/>
        <w:jc w:val="both"/>
        <w:rPr>
          <w:rFonts w:ascii="Times New Roman" w:hAnsi="Times New Roman" w:cs="Times New Roman"/>
          <w:b/>
          <w:sz w:val="24"/>
          <w:szCs w:val="24"/>
        </w:rPr>
      </w:pPr>
      <w:r>
        <w:rPr>
          <w:rFonts w:ascii="Times New Roman" w:hAnsi="Times New Roman" w:cs="Times New Roman"/>
          <w:sz w:val="24"/>
          <w:szCs w:val="24"/>
        </w:rPr>
        <w:t xml:space="preserve">  </w:t>
      </w:r>
    </w:p>
    <w:p w14:paraId="70B04276" w14:textId="5817AE00" w:rsidR="0045372B" w:rsidRPr="00DF2831" w:rsidRDefault="00481B85" w:rsidP="00DF2831">
      <w:pPr>
        <w:pStyle w:val="ListParagraph"/>
        <w:numPr>
          <w:ilvl w:val="0"/>
          <w:numId w:val="1"/>
        </w:numPr>
        <w:spacing w:line="480" w:lineRule="auto"/>
        <w:jc w:val="both"/>
        <w:rPr>
          <w:rFonts w:ascii="Times New Roman" w:hAnsi="Times New Roman" w:cs="Times New Roman"/>
          <w:b/>
          <w:sz w:val="24"/>
          <w:szCs w:val="24"/>
        </w:rPr>
      </w:pPr>
      <w:r w:rsidRPr="00DF2831">
        <w:rPr>
          <w:rFonts w:ascii="Times New Roman" w:hAnsi="Times New Roman" w:cs="Times New Roman"/>
          <w:sz w:val="24"/>
          <w:szCs w:val="24"/>
        </w:rPr>
        <w:t>HP</w:t>
      </w:r>
      <w:r w:rsidR="00545E77" w:rsidRPr="00DF2831">
        <w:rPr>
          <w:rFonts w:ascii="Times New Roman" w:hAnsi="Times New Roman" w:cs="Times New Roman"/>
          <w:sz w:val="24"/>
          <w:szCs w:val="24"/>
        </w:rPr>
        <w:t>R</w:t>
      </w:r>
      <w:r w:rsidRPr="00DF2831">
        <w:rPr>
          <w:rFonts w:ascii="Times New Roman" w:hAnsi="Times New Roman" w:cs="Times New Roman"/>
          <w:sz w:val="24"/>
          <w:szCs w:val="24"/>
        </w:rPr>
        <w:t xml:space="preserve">A </w:t>
      </w:r>
      <w:r w:rsidR="00ED6CC7" w:rsidRPr="00DF2831">
        <w:rPr>
          <w:rFonts w:ascii="Times New Roman" w:hAnsi="Times New Roman" w:cs="Times New Roman"/>
          <w:sz w:val="24"/>
          <w:szCs w:val="24"/>
        </w:rPr>
        <w:t xml:space="preserve">determined to effect immediate publication </w:t>
      </w:r>
      <w:r w:rsidRPr="00DF2831">
        <w:rPr>
          <w:rFonts w:ascii="Times New Roman" w:hAnsi="Times New Roman" w:cs="Times New Roman"/>
          <w:sz w:val="24"/>
          <w:szCs w:val="24"/>
        </w:rPr>
        <w:t xml:space="preserve">in what the trial judge described as an </w:t>
      </w:r>
      <w:r w:rsidR="004B5307" w:rsidRPr="00DF2831">
        <w:rPr>
          <w:rFonts w:ascii="Times New Roman" w:hAnsi="Times New Roman" w:cs="Times New Roman"/>
          <w:sz w:val="24"/>
          <w:szCs w:val="24"/>
        </w:rPr>
        <w:t>‘</w:t>
      </w:r>
      <w:r w:rsidRPr="00DF2831">
        <w:rPr>
          <w:rFonts w:ascii="Times New Roman" w:hAnsi="Times New Roman" w:cs="Times New Roman"/>
          <w:i/>
          <w:sz w:val="24"/>
          <w:szCs w:val="24"/>
        </w:rPr>
        <w:t>ad hoc</w:t>
      </w:r>
      <w:r w:rsidR="004B5307" w:rsidRPr="00DF2831">
        <w:rPr>
          <w:rFonts w:ascii="Times New Roman" w:hAnsi="Times New Roman" w:cs="Times New Roman"/>
          <w:i/>
          <w:sz w:val="24"/>
          <w:szCs w:val="24"/>
        </w:rPr>
        <w:t>’</w:t>
      </w:r>
      <w:r w:rsidRPr="00DF2831">
        <w:rPr>
          <w:rFonts w:ascii="Times New Roman" w:hAnsi="Times New Roman" w:cs="Times New Roman"/>
          <w:sz w:val="24"/>
          <w:szCs w:val="24"/>
        </w:rPr>
        <w:t xml:space="preserve"> </w:t>
      </w:r>
      <w:r w:rsidR="00191985" w:rsidRPr="00DF2831">
        <w:rPr>
          <w:rFonts w:ascii="Times New Roman" w:hAnsi="Times New Roman" w:cs="Times New Roman"/>
          <w:sz w:val="24"/>
          <w:szCs w:val="24"/>
        </w:rPr>
        <w:t>and ‘</w:t>
      </w:r>
      <w:r w:rsidR="00191985" w:rsidRPr="00DF2831">
        <w:rPr>
          <w:rFonts w:ascii="Times New Roman" w:hAnsi="Times New Roman" w:cs="Times New Roman"/>
          <w:i/>
          <w:sz w:val="24"/>
          <w:szCs w:val="24"/>
        </w:rPr>
        <w:t xml:space="preserve">pragmatic’ </w:t>
      </w:r>
      <w:r w:rsidRPr="00DF2831">
        <w:rPr>
          <w:rFonts w:ascii="Times New Roman" w:hAnsi="Times New Roman" w:cs="Times New Roman"/>
          <w:sz w:val="24"/>
          <w:szCs w:val="24"/>
        </w:rPr>
        <w:t xml:space="preserve">way by publishing the </w:t>
      </w:r>
      <w:r w:rsidR="00371E31" w:rsidRPr="00DF2831">
        <w:rPr>
          <w:rFonts w:ascii="Times New Roman" w:hAnsi="Times New Roman" w:cs="Times New Roman"/>
          <w:sz w:val="24"/>
          <w:szCs w:val="24"/>
        </w:rPr>
        <w:t>decision</w:t>
      </w:r>
      <w:r w:rsidR="00191985" w:rsidRPr="00DF2831">
        <w:rPr>
          <w:rFonts w:ascii="Times New Roman" w:hAnsi="Times New Roman" w:cs="Times New Roman"/>
          <w:sz w:val="24"/>
          <w:szCs w:val="24"/>
        </w:rPr>
        <w:t xml:space="preserve"> and associated documentation</w:t>
      </w:r>
      <w:r w:rsidR="00371E31" w:rsidRPr="00DF2831">
        <w:rPr>
          <w:rFonts w:ascii="Times New Roman" w:hAnsi="Times New Roman" w:cs="Times New Roman"/>
          <w:sz w:val="24"/>
          <w:szCs w:val="24"/>
        </w:rPr>
        <w:t xml:space="preserve"> on its website (a form of publication for which no legal provision is made anywhere), and by doing so </w:t>
      </w:r>
      <w:r w:rsidR="008A33E5" w:rsidRPr="00DF2831">
        <w:rPr>
          <w:rFonts w:ascii="Times New Roman" w:hAnsi="Times New Roman" w:cs="Times New Roman"/>
          <w:sz w:val="24"/>
          <w:szCs w:val="24"/>
        </w:rPr>
        <w:t xml:space="preserve">three days after the making of </w:t>
      </w:r>
      <w:r w:rsidR="00371E31" w:rsidRPr="00DF2831">
        <w:rPr>
          <w:rFonts w:ascii="Times New Roman" w:hAnsi="Times New Roman" w:cs="Times New Roman"/>
          <w:sz w:val="24"/>
          <w:szCs w:val="24"/>
        </w:rPr>
        <w:t xml:space="preserve">the decision. </w:t>
      </w:r>
      <w:r w:rsidR="00C72679" w:rsidRPr="00DF2831">
        <w:rPr>
          <w:rFonts w:ascii="Times New Roman" w:hAnsi="Times New Roman" w:cs="Times New Roman"/>
          <w:sz w:val="24"/>
          <w:szCs w:val="24"/>
        </w:rPr>
        <w:t xml:space="preserve"> That publication comprised the summary of product characteristics and public assessment report for the product.  </w:t>
      </w:r>
      <w:r w:rsidR="00F84DFB" w:rsidRPr="00DF2831">
        <w:rPr>
          <w:rFonts w:ascii="Times New Roman" w:hAnsi="Times New Roman" w:cs="Times New Roman"/>
          <w:sz w:val="24"/>
          <w:szCs w:val="24"/>
        </w:rPr>
        <w:t xml:space="preserve">On the date it made its decision, it </w:t>
      </w:r>
      <w:r w:rsidR="00DF2831">
        <w:rPr>
          <w:rFonts w:ascii="Times New Roman" w:hAnsi="Times New Roman" w:cs="Times New Roman"/>
          <w:sz w:val="24"/>
          <w:szCs w:val="24"/>
        </w:rPr>
        <w:t xml:space="preserve">also </w:t>
      </w:r>
      <w:r w:rsidR="00F84DFB" w:rsidRPr="00DF2831">
        <w:rPr>
          <w:rFonts w:ascii="Times New Roman" w:hAnsi="Times New Roman" w:cs="Times New Roman"/>
          <w:sz w:val="24"/>
          <w:szCs w:val="24"/>
        </w:rPr>
        <w:t xml:space="preserve">notified the communications and tracking system used by national competent authorities involved in the licensing of human and veterinary products. The summary of product characteristics and public assessment report for Osteopen were </w:t>
      </w:r>
      <w:r w:rsidR="00E8708E">
        <w:rPr>
          <w:rFonts w:ascii="Times New Roman" w:hAnsi="Times New Roman" w:cs="Times New Roman"/>
          <w:sz w:val="24"/>
          <w:szCs w:val="24"/>
        </w:rPr>
        <w:t xml:space="preserve">then </w:t>
      </w:r>
      <w:r w:rsidR="00F84DFB" w:rsidRPr="00DF2831">
        <w:rPr>
          <w:rFonts w:ascii="Times New Roman" w:hAnsi="Times New Roman" w:cs="Times New Roman"/>
          <w:sz w:val="24"/>
          <w:szCs w:val="24"/>
        </w:rPr>
        <w:t>published on the product index maintained by the Heads of Medicines Agencies (the VMRI).  Th</w:t>
      </w:r>
      <w:r w:rsidR="00AC3578" w:rsidRPr="00DF2831">
        <w:rPr>
          <w:rFonts w:ascii="Times New Roman" w:hAnsi="Times New Roman" w:cs="Times New Roman"/>
          <w:sz w:val="24"/>
          <w:szCs w:val="24"/>
        </w:rPr>
        <w:t>e</w:t>
      </w:r>
      <w:r w:rsidR="00F84DFB" w:rsidRPr="00DF2831">
        <w:rPr>
          <w:rFonts w:ascii="Times New Roman" w:hAnsi="Times New Roman" w:cs="Times New Roman"/>
          <w:sz w:val="24"/>
          <w:szCs w:val="24"/>
        </w:rPr>
        <w:t xml:space="preserve"> VMRI contains information on veterinary products authorised under the mutual recognition an</w:t>
      </w:r>
      <w:r w:rsidR="00AC3578" w:rsidRPr="00DF2831">
        <w:rPr>
          <w:rFonts w:ascii="Times New Roman" w:hAnsi="Times New Roman" w:cs="Times New Roman"/>
          <w:sz w:val="24"/>
          <w:szCs w:val="24"/>
        </w:rPr>
        <w:t>d</w:t>
      </w:r>
      <w:r w:rsidR="00F84DFB" w:rsidRPr="00DF2831">
        <w:rPr>
          <w:rFonts w:ascii="Times New Roman" w:hAnsi="Times New Roman" w:cs="Times New Roman"/>
          <w:sz w:val="24"/>
          <w:szCs w:val="24"/>
        </w:rPr>
        <w:t xml:space="preserve"> decentralised procedures provided for in the 2001 Directive and is publicly available on the Heads of Medicines Agencies websites.  An RSS web-feed </w:t>
      </w:r>
      <w:r w:rsidR="00F84DFB" w:rsidRPr="00DF2831">
        <w:rPr>
          <w:rFonts w:ascii="Times New Roman" w:hAnsi="Times New Roman" w:cs="Times New Roman"/>
          <w:sz w:val="24"/>
          <w:szCs w:val="24"/>
        </w:rPr>
        <w:lastRenderedPageBreak/>
        <w:t xml:space="preserve">of the latest products added or changed on the VMRI may be subscribed to without charge.  </w:t>
      </w:r>
      <w:r w:rsidR="00C72679" w:rsidRPr="00DF2831">
        <w:rPr>
          <w:rFonts w:ascii="Times New Roman" w:hAnsi="Times New Roman" w:cs="Times New Roman"/>
          <w:sz w:val="24"/>
          <w:szCs w:val="24"/>
        </w:rPr>
        <w:t>On 16 August, HPRA published on its website a list of updates made to authorised veterinary products</w:t>
      </w:r>
      <w:r w:rsidR="00D27D07">
        <w:rPr>
          <w:rFonts w:ascii="Times New Roman" w:hAnsi="Times New Roman" w:cs="Times New Roman"/>
          <w:sz w:val="24"/>
          <w:szCs w:val="24"/>
        </w:rPr>
        <w:t xml:space="preserve"> during</w:t>
      </w:r>
      <w:r w:rsidR="00C72679" w:rsidRPr="00DF2831">
        <w:rPr>
          <w:rFonts w:ascii="Times New Roman" w:hAnsi="Times New Roman" w:cs="Times New Roman"/>
          <w:sz w:val="24"/>
          <w:szCs w:val="24"/>
        </w:rPr>
        <w:t xml:space="preserve"> the previous month</w:t>
      </w:r>
      <w:r w:rsidR="00D27D07">
        <w:rPr>
          <w:rFonts w:ascii="Times New Roman" w:hAnsi="Times New Roman" w:cs="Times New Roman"/>
          <w:sz w:val="24"/>
          <w:szCs w:val="24"/>
        </w:rPr>
        <w:t>.</w:t>
      </w:r>
      <w:r w:rsidR="00C72679" w:rsidRPr="00DF2831">
        <w:rPr>
          <w:rFonts w:ascii="Times New Roman" w:hAnsi="Times New Roman" w:cs="Times New Roman"/>
          <w:sz w:val="24"/>
          <w:szCs w:val="24"/>
        </w:rPr>
        <w:t xml:space="preserve"> That </w:t>
      </w:r>
      <w:r w:rsidR="00D27D07">
        <w:rPr>
          <w:rFonts w:ascii="Times New Roman" w:hAnsi="Times New Roman" w:cs="Times New Roman"/>
          <w:sz w:val="24"/>
          <w:szCs w:val="24"/>
        </w:rPr>
        <w:t xml:space="preserve">update </w:t>
      </w:r>
      <w:r w:rsidR="00C72679" w:rsidRPr="00DF2831">
        <w:rPr>
          <w:rFonts w:ascii="Times New Roman" w:hAnsi="Times New Roman" w:cs="Times New Roman"/>
          <w:sz w:val="24"/>
          <w:szCs w:val="24"/>
        </w:rPr>
        <w:t xml:space="preserve">included </w:t>
      </w:r>
      <w:r w:rsidR="00D27D07">
        <w:rPr>
          <w:rFonts w:ascii="Times New Roman" w:hAnsi="Times New Roman" w:cs="Times New Roman"/>
          <w:sz w:val="24"/>
          <w:szCs w:val="24"/>
        </w:rPr>
        <w:t xml:space="preserve">the marketing authorisation granted in respect of </w:t>
      </w:r>
      <w:r w:rsidR="00C72679" w:rsidRPr="00DF2831">
        <w:rPr>
          <w:rFonts w:ascii="Times New Roman" w:hAnsi="Times New Roman" w:cs="Times New Roman"/>
          <w:sz w:val="24"/>
          <w:szCs w:val="24"/>
        </w:rPr>
        <w:t>Osteopen.</w:t>
      </w:r>
    </w:p>
    <w:p w14:paraId="34F28EEC" w14:textId="77777777" w:rsidR="0045372B" w:rsidRDefault="0045372B" w:rsidP="0045372B">
      <w:pPr>
        <w:pStyle w:val="ListParagraph"/>
        <w:spacing w:line="480" w:lineRule="auto"/>
        <w:ind w:left="1800"/>
        <w:jc w:val="both"/>
        <w:rPr>
          <w:rFonts w:ascii="Times New Roman" w:hAnsi="Times New Roman" w:cs="Times New Roman"/>
          <w:i/>
          <w:sz w:val="24"/>
          <w:szCs w:val="24"/>
        </w:rPr>
      </w:pPr>
    </w:p>
    <w:p w14:paraId="5861B67F" w14:textId="77777777" w:rsidR="007A650E" w:rsidRPr="00A37E8D" w:rsidRDefault="00A37E8D" w:rsidP="00A37E8D">
      <w:pPr>
        <w:pStyle w:val="ListParagraph"/>
        <w:numPr>
          <w:ilvl w:val="0"/>
          <w:numId w:val="3"/>
        </w:numPr>
        <w:spacing w:line="480" w:lineRule="auto"/>
        <w:jc w:val="both"/>
        <w:rPr>
          <w:rFonts w:ascii="Times New Roman" w:hAnsi="Times New Roman" w:cs="Times New Roman"/>
          <w:i/>
          <w:sz w:val="24"/>
          <w:szCs w:val="24"/>
        </w:rPr>
      </w:pPr>
      <w:r w:rsidRPr="00A37E8D">
        <w:rPr>
          <w:rFonts w:ascii="Times New Roman" w:hAnsi="Times New Roman" w:cs="Times New Roman"/>
          <w:i/>
          <w:sz w:val="24"/>
          <w:szCs w:val="24"/>
        </w:rPr>
        <w:t xml:space="preserve">The decision of the trial judge </w:t>
      </w:r>
      <w:r w:rsidR="00A35B68">
        <w:rPr>
          <w:rFonts w:ascii="Times New Roman" w:hAnsi="Times New Roman" w:cs="Times New Roman"/>
          <w:i/>
          <w:sz w:val="24"/>
          <w:szCs w:val="24"/>
        </w:rPr>
        <w:t>as to</w:t>
      </w:r>
      <w:r w:rsidRPr="00A37E8D">
        <w:rPr>
          <w:rFonts w:ascii="Times New Roman" w:hAnsi="Times New Roman" w:cs="Times New Roman"/>
          <w:i/>
          <w:sz w:val="24"/>
          <w:szCs w:val="24"/>
        </w:rPr>
        <w:t xml:space="preserve"> the running of time  </w:t>
      </w:r>
    </w:p>
    <w:p w14:paraId="37A2F9E8" w14:textId="77777777" w:rsidR="00A37E8D" w:rsidRPr="00A37E8D" w:rsidRDefault="00A37E8D" w:rsidP="00A37E8D">
      <w:pPr>
        <w:pStyle w:val="ListParagraph"/>
        <w:rPr>
          <w:rFonts w:ascii="Times New Roman" w:hAnsi="Times New Roman" w:cs="Times New Roman"/>
          <w:b/>
          <w:sz w:val="24"/>
          <w:szCs w:val="24"/>
        </w:rPr>
      </w:pPr>
    </w:p>
    <w:p w14:paraId="025A15F9" w14:textId="271A533F" w:rsidR="00A37E8D" w:rsidRPr="00A376F3" w:rsidRDefault="00A37E8D" w:rsidP="00A37E8D">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sz w:val="24"/>
          <w:szCs w:val="24"/>
        </w:rPr>
        <w:t>Simons J. shortly rejected the suggestion that the time period specified in Order 84 Rule 21(1) ran from the date of the impugned decision.  He explained (at para. 53):</w:t>
      </w:r>
    </w:p>
    <w:p w14:paraId="55099905" w14:textId="77777777" w:rsidR="00A37E8D" w:rsidRPr="00A376F3" w:rsidRDefault="00A37E8D" w:rsidP="00A37E8D">
      <w:pPr>
        <w:pStyle w:val="ListParagraph"/>
        <w:rPr>
          <w:rFonts w:ascii="Times New Roman" w:hAnsi="Times New Roman" w:cs="Times New Roman"/>
          <w:sz w:val="24"/>
          <w:szCs w:val="24"/>
        </w:rPr>
      </w:pPr>
    </w:p>
    <w:p w14:paraId="6C402B0F" w14:textId="77777777" w:rsidR="00A37E8D" w:rsidRPr="00A376F3" w:rsidRDefault="00136093" w:rsidP="00A37E8D">
      <w:pPr>
        <w:pStyle w:val="ListParagraph"/>
        <w:spacing w:line="480" w:lineRule="auto"/>
        <w:ind w:left="1440"/>
        <w:jc w:val="both"/>
        <w:rPr>
          <w:rFonts w:ascii="Times New Roman" w:hAnsi="Times New Roman" w:cs="Times New Roman"/>
          <w:b/>
          <w:i/>
          <w:sz w:val="24"/>
          <w:szCs w:val="24"/>
        </w:rPr>
      </w:pPr>
      <w:r>
        <w:rPr>
          <w:rFonts w:ascii="Times New Roman" w:hAnsi="Times New Roman" w:cs="Times New Roman"/>
          <w:i/>
          <w:sz w:val="24"/>
          <w:szCs w:val="24"/>
        </w:rPr>
        <w:t>‘</w:t>
      </w:r>
      <w:r w:rsidR="00A37E8D" w:rsidRPr="00A376F3">
        <w:rPr>
          <w:rFonts w:ascii="Times New Roman" w:hAnsi="Times New Roman" w:cs="Times New Roman"/>
          <w:i/>
          <w:sz w:val="24"/>
          <w:szCs w:val="24"/>
        </w:rPr>
        <w:t>It would undermine the purpose of the requirement for public notification and the right to effective judicial protection were the three month time-limit under Order 84, rule 2</w:t>
      </w:r>
      <w:r w:rsidR="00A37E8D">
        <w:rPr>
          <w:rFonts w:ascii="Times New Roman" w:hAnsi="Times New Roman" w:cs="Times New Roman"/>
          <w:i/>
          <w:sz w:val="24"/>
          <w:szCs w:val="24"/>
        </w:rPr>
        <w:t>1</w:t>
      </w:r>
      <w:r w:rsidR="00A37E8D" w:rsidRPr="00A376F3">
        <w:rPr>
          <w:rFonts w:ascii="Times New Roman" w:hAnsi="Times New Roman" w:cs="Times New Roman"/>
          <w:i/>
          <w:sz w:val="24"/>
          <w:szCs w:val="24"/>
        </w:rPr>
        <w:t>(1) to begin to run prior to the date of the publication of the decision.  To interpret the rule otherwise could produce a scenario whereby the time-limit for judicial review proceedings would have already expired before the public were notified of the decision.</w:t>
      </w:r>
      <w:r>
        <w:rPr>
          <w:rFonts w:ascii="Times New Roman" w:hAnsi="Times New Roman" w:cs="Times New Roman"/>
          <w:i/>
          <w:sz w:val="24"/>
          <w:szCs w:val="24"/>
        </w:rPr>
        <w:t>’</w:t>
      </w:r>
    </w:p>
    <w:p w14:paraId="74C0D1E9" w14:textId="77777777" w:rsidR="00A37E8D" w:rsidRPr="00A376F3" w:rsidRDefault="00A37E8D" w:rsidP="00A37E8D">
      <w:pPr>
        <w:pStyle w:val="ListParagraph"/>
        <w:rPr>
          <w:rFonts w:ascii="Times New Roman" w:hAnsi="Times New Roman" w:cs="Times New Roman"/>
          <w:sz w:val="24"/>
          <w:szCs w:val="24"/>
        </w:rPr>
      </w:pPr>
    </w:p>
    <w:p w14:paraId="2441D467" w14:textId="129E5888" w:rsidR="00A37E8D" w:rsidRPr="00FC090D" w:rsidRDefault="00A37E8D" w:rsidP="00A37E8D">
      <w:pPr>
        <w:pStyle w:val="ListParagraph"/>
        <w:numPr>
          <w:ilvl w:val="0"/>
          <w:numId w:val="1"/>
        </w:numPr>
        <w:spacing w:before="240" w:line="480" w:lineRule="auto"/>
        <w:jc w:val="both"/>
        <w:rPr>
          <w:rFonts w:ascii="Times New Roman" w:hAnsi="Times New Roman" w:cs="Times New Roman"/>
          <w:b/>
          <w:sz w:val="24"/>
          <w:szCs w:val="24"/>
        </w:rPr>
      </w:pPr>
      <w:r>
        <w:rPr>
          <w:rFonts w:ascii="Times New Roman" w:hAnsi="Times New Roman" w:cs="Times New Roman"/>
          <w:sz w:val="24"/>
          <w:szCs w:val="24"/>
        </w:rPr>
        <w:t>Having so concluded, Simons J. noted the restriction on the constitutional right of access to the courts entailed by Orde</w:t>
      </w:r>
      <w:r w:rsidR="00F971BC">
        <w:rPr>
          <w:rFonts w:ascii="Times New Roman" w:hAnsi="Times New Roman" w:cs="Times New Roman"/>
          <w:sz w:val="24"/>
          <w:szCs w:val="24"/>
        </w:rPr>
        <w:t>r</w:t>
      </w:r>
      <w:r>
        <w:rPr>
          <w:rFonts w:ascii="Times New Roman" w:hAnsi="Times New Roman" w:cs="Times New Roman"/>
          <w:sz w:val="24"/>
          <w:szCs w:val="24"/>
        </w:rPr>
        <w:t xml:space="preserve"> 84 R</w:t>
      </w:r>
      <w:r w:rsidR="00335271">
        <w:rPr>
          <w:rFonts w:ascii="Times New Roman" w:hAnsi="Times New Roman" w:cs="Times New Roman"/>
          <w:sz w:val="24"/>
          <w:szCs w:val="24"/>
        </w:rPr>
        <w:t>ule</w:t>
      </w:r>
      <w:r>
        <w:rPr>
          <w:rFonts w:ascii="Times New Roman" w:hAnsi="Times New Roman" w:cs="Times New Roman"/>
          <w:sz w:val="24"/>
          <w:szCs w:val="24"/>
        </w:rPr>
        <w:t xml:space="preserve"> 21, observing that it was arguable that the time limits should be construed in strict accordance with the relevant statutory regime, and that this contention – if well placed – would suggest that time only began to run from the date that the relevant decision had been published in the prescribed form (i</w:t>
      </w:r>
      <w:r w:rsidR="00136093">
        <w:rPr>
          <w:rFonts w:ascii="Times New Roman" w:hAnsi="Times New Roman" w:cs="Times New Roman"/>
          <w:sz w:val="24"/>
          <w:szCs w:val="24"/>
        </w:rPr>
        <w:t>.</w:t>
      </w:r>
      <w:r>
        <w:rPr>
          <w:rFonts w:ascii="Times New Roman" w:hAnsi="Times New Roman" w:cs="Times New Roman"/>
          <w:sz w:val="24"/>
          <w:szCs w:val="24"/>
        </w:rPr>
        <w:t>e</w:t>
      </w:r>
      <w:r w:rsidR="00136093">
        <w:rPr>
          <w:rFonts w:ascii="Times New Roman" w:hAnsi="Times New Roman" w:cs="Times New Roman"/>
          <w:sz w:val="24"/>
          <w:szCs w:val="24"/>
        </w:rPr>
        <w:t>.</w:t>
      </w:r>
      <w:r>
        <w:rPr>
          <w:rFonts w:ascii="Times New Roman" w:hAnsi="Times New Roman" w:cs="Times New Roman"/>
          <w:sz w:val="24"/>
          <w:szCs w:val="24"/>
        </w:rPr>
        <w:t xml:space="preserve"> in Iris </w:t>
      </w:r>
      <w:r w:rsidR="00C93565">
        <w:rPr>
          <w:rFonts w:ascii="Times New Roman" w:hAnsi="Times New Roman" w:cs="Times New Roman"/>
          <w:sz w:val="24"/>
          <w:szCs w:val="24"/>
        </w:rPr>
        <w:t>Oifigiúil</w:t>
      </w:r>
      <w:r>
        <w:rPr>
          <w:rFonts w:ascii="Times New Roman" w:hAnsi="Times New Roman" w:cs="Times New Roman"/>
          <w:sz w:val="24"/>
          <w:szCs w:val="24"/>
        </w:rPr>
        <w:t xml:space="preserve">).  Ultimately, he rejected this conclusion, preferring to find that time should instead be calculated from the date of the </w:t>
      </w:r>
      <w:r>
        <w:rPr>
          <w:rFonts w:ascii="Times New Roman" w:hAnsi="Times New Roman" w:cs="Times New Roman"/>
          <w:i/>
          <w:sz w:val="24"/>
          <w:szCs w:val="24"/>
        </w:rPr>
        <w:t>ad hoc</w:t>
      </w:r>
      <w:r>
        <w:rPr>
          <w:rFonts w:ascii="Times New Roman" w:hAnsi="Times New Roman" w:cs="Times New Roman"/>
          <w:sz w:val="24"/>
          <w:szCs w:val="24"/>
        </w:rPr>
        <w:t xml:space="preserve"> posting of the decision on the </w:t>
      </w:r>
      <w:r w:rsidR="00F160A6">
        <w:rPr>
          <w:rFonts w:ascii="Times New Roman" w:hAnsi="Times New Roman" w:cs="Times New Roman"/>
          <w:sz w:val="24"/>
          <w:szCs w:val="24"/>
        </w:rPr>
        <w:t>HPRA</w:t>
      </w:r>
      <w:r>
        <w:rPr>
          <w:rFonts w:ascii="Times New Roman" w:hAnsi="Times New Roman" w:cs="Times New Roman"/>
          <w:sz w:val="24"/>
          <w:szCs w:val="24"/>
        </w:rPr>
        <w:t xml:space="preserve"> website.  He explained </w:t>
      </w:r>
      <w:r w:rsidR="008B4CCB">
        <w:rPr>
          <w:rFonts w:ascii="Times New Roman" w:hAnsi="Times New Roman" w:cs="Times New Roman"/>
          <w:sz w:val="24"/>
          <w:szCs w:val="24"/>
        </w:rPr>
        <w:t xml:space="preserve">this </w:t>
      </w:r>
      <w:r>
        <w:rPr>
          <w:rFonts w:ascii="Times New Roman" w:hAnsi="Times New Roman" w:cs="Times New Roman"/>
          <w:sz w:val="24"/>
          <w:szCs w:val="24"/>
        </w:rPr>
        <w:t>(at paras. 57 and 58), as follows:</w:t>
      </w:r>
    </w:p>
    <w:p w14:paraId="0C7E3788" w14:textId="77777777" w:rsidR="00A37E8D" w:rsidRDefault="00A37E8D" w:rsidP="00A37E8D">
      <w:pPr>
        <w:pStyle w:val="ListParagraph"/>
        <w:spacing w:before="240" w:line="480" w:lineRule="auto"/>
        <w:jc w:val="both"/>
        <w:rPr>
          <w:rFonts w:ascii="Times New Roman" w:hAnsi="Times New Roman" w:cs="Times New Roman"/>
          <w:b/>
          <w:sz w:val="24"/>
          <w:szCs w:val="24"/>
        </w:rPr>
      </w:pPr>
    </w:p>
    <w:p w14:paraId="61251427" w14:textId="77777777" w:rsidR="00A37E8D" w:rsidRDefault="003D6923" w:rsidP="00A37E8D">
      <w:pPr>
        <w:pStyle w:val="ListParagraph"/>
        <w:spacing w:before="240" w:line="480" w:lineRule="auto"/>
        <w:ind w:left="1440"/>
        <w:jc w:val="both"/>
        <w:rPr>
          <w:rFonts w:ascii="Times New Roman" w:hAnsi="Times New Roman" w:cs="Times New Roman"/>
          <w:i/>
          <w:sz w:val="24"/>
          <w:szCs w:val="24"/>
        </w:rPr>
      </w:pPr>
      <w:r>
        <w:rPr>
          <w:rFonts w:ascii="Times New Roman" w:hAnsi="Times New Roman" w:cs="Times New Roman"/>
          <w:i/>
          <w:sz w:val="24"/>
          <w:szCs w:val="24"/>
        </w:rPr>
        <w:lastRenderedPageBreak/>
        <w:t>‘</w:t>
      </w:r>
      <w:r w:rsidR="00A37E8D" w:rsidRPr="00FC090D">
        <w:rPr>
          <w:rFonts w:ascii="Times New Roman" w:hAnsi="Times New Roman" w:cs="Times New Roman"/>
          <w:i/>
          <w:sz w:val="24"/>
          <w:szCs w:val="24"/>
        </w:rPr>
        <w:t>This conclusion is reached on the basis that the posting of the decision and associated documentation on the website represents an effective form of public notification, and that the wording of regulation 9(4) of the 2007 Regulations is flexible enough to authorise this form of public notification.  The Directive mandates that the reasoned decision and assessment report be made publicly available without delay.  The Authority is obliged, under regulation 9(4), to have regard to these requirements, and this obligation is satisfied by publication on the website.  The formal publication of the decision alone in Iris Oifigiúil provides less rather than more information, and it would seem pedantic to defer the running of the time-limit until the date of this publication.</w:t>
      </w:r>
    </w:p>
    <w:p w14:paraId="6682FB66" w14:textId="77777777" w:rsidR="00A37E8D" w:rsidRPr="00FC090D" w:rsidRDefault="00A37E8D" w:rsidP="00A37E8D">
      <w:pPr>
        <w:pStyle w:val="ListParagraph"/>
        <w:spacing w:before="240" w:line="480" w:lineRule="auto"/>
        <w:ind w:left="1440"/>
        <w:jc w:val="both"/>
        <w:rPr>
          <w:rFonts w:ascii="Times New Roman" w:hAnsi="Times New Roman" w:cs="Times New Roman"/>
          <w:i/>
          <w:sz w:val="24"/>
          <w:szCs w:val="24"/>
        </w:rPr>
      </w:pPr>
      <w:r w:rsidRPr="00FC090D">
        <w:rPr>
          <w:rFonts w:ascii="Times New Roman" w:hAnsi="Times New Roman" w:cs="Times New Roman"/>
          <w:i/>
          <w:sz w:val="24"/>
          <w:szCs w:val="24"/>
        </w:rPr>
        <w:t xml:space="preserve"> </w:t>
      </w:r>
    </w:p>
    <w:p w14:paraId="49F37316" w14:textId="77777777" w:rsidR="00A37E8D" w:rsidRPr="00FC090D" w:rsidRDefault="00A37E8D" w:rsidP="00A37E8D">
      <w:pPr>
        <w:pStyle w:val="ListParagraph"/>
        <w:spacing w:before="240" w:line="480" w:lineRule="auto"/>
        <w:ind w:left="1440"/>
        <w:jc w:val="both"/>
        <w:rPr>
          <w:rFonts w:ascii="Times New Roman" w:hAnsi="Times New Roman" w:cs="Times New Roman"/>
          <w:i/>
          <w:sz w:val="24"/>
          <w:szCs w:val="24"/>
        </w:rPr>
      </w:pPr>
      <w:r w:rsidRPr="00FC090D">
        <w:rPr>
          <w:rFonts w:ascii="Times New Roman" w:hAnsi="Times New Roman" w:cs="Times New Roman"/>
          <w:i/>
          <w:sz w:val="24"/>
          <w:szCs w:val="24"/>
        </w:rPr>
        <w:t>My conclusion is informed, in part at least, by the particular circumstances of this case whereby the Objector had actual knowledge of the making of the decision by 23 August 2018, i.e. well within three months of the date of the posting of the decision on the website.  Given its actual knowledge, it is difficult for the Objector to argue convincingly that the running of time should have been postponed until the date of the subsequent publication in Iris Oifigiúil (8 January 2019).  This is especially so where there is no suggestion that the Objector or its officers ever examined Iris Oifigiúil or relied on same as a source of information.</w:t>
      </w:r>
      <w:r w:rsidR="003D6923">
        <w:rPr>
          <w:rFonts w:ascii="Times New Roman" w:hAnsi="Times New Roman" w:cs="Times New Roman"/>
          <w:i/>
          <w:sz w:val="24"/>
          <w:szCs w:val="24"/>
        </w:rPr>
        <w:t>’</w:t>
      </w:r>
    </w:p>
    <w:p w14:paraId="1B92F693" w14:textId="77777777" w:rsidR="00A37E8D" w:rsidRPr="00774B24" w:rsidRDefault="00A37E8D" w:rsidP="00A37E8D">
      <w:pPr>
        <w:pStyle w:val="ListParagraph"/>
        <w:spacing w:before="240" w:line="480" w:lineRule="auto"/>
        <w:jc w:val="both"/>
        <w:rPr>
          <w:rFonts w:ascii="Times New Roman" w:hAnsi="Times New Roman" w:cs="Times New Roman"/>
          <w:b/>
          <w:sz w:val="24"/>
          <w:szCs w:val="24"/>
        </w:rPr>
      </w:pPr>
      <w:r>
        <w:rPr>
          <w:rFonts w:ascii="Times New Roman" w:hAnsi="Times New Roman" w:cs="Times New Roman"/>
          <w:sz w:val="24"/>
          <w:szCs w:val="24"/>
        </w:rPr>
        <w:t xml:space="preserve">  </w:t>
      </w:r>
    </w:p>
    <w:p w14:paraId="700A283C" w14:textId="0C3F6E3C" w:rsidR="00335271" w:rsidRPr="00335271" w:rsidRDefault="00A37E8D" w:rsidP="00335271">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Simons J. rejected the contention advanced by </w:t>
      </w:r>
      <w:r w:rsidR="003D6923">
        <w:rPr>
          <w:rFonts w:ascii="Times New Roman" w:hAnsi="Times New Roman" w:cs="Times New Roman"/>
          <w:sz w:val="24"/>
          <w:szCs w:val="24"/>
        </w:rPr>
        <w:t>Arthropharm</w:t>
      </w:r>
      <w:r>
        <w:rPr>
          <w:rFonts w:ascii="Times New Roman" w:hAnsi="Times New Roman" w:cs="Times New Roman"/>
          <w:sz w:val="24"/>
          <w:szCs w:val="24"/>
        </w:rPr>
        <w:t xml:space="preserve"> that time ran from the point at which HP</w:t>
      </w:r>
      <w:r w:rsidR="003959AE">
        <w:rPr>
          <w:rFonts w:ascii="Times New Roman" w:hAnsi="Times New Roman" w:cs="Times New Roman"/>
          <w:sz w:val="24"/>
          <w:szCs w:val="24"/>
        </w:rPr>
        <w:t>R</w:t>
      </w:r>
      <w:r>
        <w:rPr>
          <w:rFonts w:ascii="Times New Roman" w:hAnsi="Times New Roman" w:cs="Times New Roman"/>
          <w:sz w:val="24"/>
          <w:szCs w:val="24"/>
        </w:rPr>
        <w:t>A delivered its response on 30 October 2018.</w:t>
      </w:r>
      <w:r w:rsidR="00335271">
        <w:rPr>
          <w:rFonts w:ascii="Times New Roman" w:hAnsi="Times New Roman" w:cs="Times New Roman"/>
          <w:sz w:val="24"/>
          <w:szCs w:val="24"/>
        </w:rPr>
        <w:t xml:space="preserve">  He explained (at para. 59):</w:t>
      </w:r>
    </w:p>
    <w:p w14:paraId="50B686E6" w14:textId="77777777" w:rsidR="00335271" w:rsidRDefault="00335271" w:rsidP="00335271">
      <w:pPr>
        <w:pStyle w:val="ListParagraph"/>
        <w:spacing w:line="480" w:lineRule="auto"/>
        <w:jc w:val="both"/>
        <w:rPr>
          <w:rFonts w:ascii="Times New Roman" w:hAnsi="Times New Roman" w:cs="Times New Roman"/>
          <w:b/>
          <w:sz w:val="24"/>
          <w:szCs w:val="24"/>
        </w:rPr>
      </w:pPr>
    </w:p>
    <w:p w14:paraId="0561FE33" w14:textId="77777777" w:rsidR="00335271" w:rsidRPr="00335271" w:rsidRDefault="003D6923" w:rsidP="00335271">
      <w:pPr>
        <w:pStyle w:val="ListParagraph"/>
        <w:spacing w:line="480" w:lineRule="auto"/>
        <w:ind w:left="1440"/>
        <w:jc w:val="both"/>
        <w:rPr>
          <w:rFonts w:ascii="Times New Roman" w:hAnsi="Times New Roman" w:cs="Times New Roman"/>
          <w:i/>
          <w:sz w:val="24"/>
          <w:szCs w:val="24"/>
        </w:rPr>
      </w:pPr>
      <w:r>
        <w:rPr>
          <w:rFonts w:ascii="Times New Roman" w:hAnsi="Times New Roman" w:cs="Times New Roman"/>
          <w:i/>
          <w:sz w:val="24"/>
          <w:szCs w:val="24"/>
        </w:rPr>
        <w:lastRenderedPageBreak/>
        <w:t>‘</w:t>
      </w:r>
      <w:r w:rsidR="00335271" w:rsidRPr="00335271">
        <w:rPr>
          <w:rFonts w:ascii="Times New Roman" w:hAnsi="Times New Roman" w:cs="Times New Roman"/>
          <w:i/>
          <w:sz w:val="24"/>
          <w:szCs w:val="24"/>
        </w:rPr>
        <w:t>The nature and extent of the information which must be made publicly available is set out at article 25 of the Directive.  On the facts of the present case, the requisite information was made available on the Authority’s website on 23 July 2018.  Once the legislative requirements had been complied with, time began to run.  If and insofar as the Objector wishes to argue that further information was required in order to allow it to institute judicial review proceedings, this is a matter which goes towards the separate question of an extension of time.  It does not affect the date upon which time begins to run.</w:t>
      </w:r>
      <w:r>
        <w:rPr>
          <w:rFonts w:ascii="Times New Roman" w:hAnsi="Times New Roman" w:cs="Times New Roman"/>
          <w:i/>
          <w:sz w:val="24"/>
          <w:szCs w:val="24"/>
        </w:rPr>
        <w:t>’</w:t>
      </w:r>
      <w:r w:rsidR="00335271" w:rsidRPr="00335271">
        <w:rPr>
          <w:rFonts w:ascii="Times New Roman" w:hAnsi="Times New Roman" w:cs="Times New Roman"/>
          <w:i/>
          <w:sz w:val="24"/>
          <w:szCs w:val="24"/>
        </w:rPr>
        <w:t xml:space="preserve"> </w:t>
      </w:r>
      <w:r w:rsidR="00335271" w:rsidRPr="00335271">
        <w:rPr>
          <w:rFonts w:ascii="Times New Roman" w:hAnsi="Times New Roman" w:cs="Times New Roman"/>
          <w:b/>
          <w:sz w:val="24"/>
          <w:szCs w:val="24"/>
        </w:rPr>
        <w:t xml:space="preserve">  </w:t>
      </w:r>
    </w:p>
    <w:p w14:paraId="1B61996F" w14:textId="77777777" w:rsidR="00335271" w:rsidRDefault="00335271" w:rsidP="00335271">
      <w:pPr>
        <w:pStyle w:val="ListParagraph"/>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14:paraId="0A4805ED" w14:textId="7874A865" w:rsidR="00335271" w:rsidRPr="00335271" w:rsidRDefault="00335271" w:rsidP="00335271">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He </w:t>
      </w:r>
      <w:r w:rsidR="00DF1787">
        <w:rPr>
          <w:rFonts w:ascii="Times New Roman" w:hAnsi="Times New Roman" w:cs="Times New Roman"/>
          <w:sz w:val="24"/>
          <w:szCs w:val="24"/>
        </w:rPr>
        <w:t>expressed</w:t>
      </w:r>
      <w:r>
        <w:rPr>
          <w:rFonts w:ascii="Times New Roman" w:hAnsi="Times New Roman" w:cs="Times New Roman"/>
          <w:sz w:val="24"/>
          <w:szCs w:val="24"/>
        </w:rPr>
        <w:t xml:space="preserve"> his conclusion as follows (at paras. 60 and 61</w:t>
      </w:r>
      <w:r w:rsidR="00445BA5">
        <w:rPr>
          <w:rFonts w:ascii="Times New Roman" w:hAnsi="Times New Roman" w:cs="Times New Roman"/>
          <w:sz w:val="24"/>
          <w:szCs w:val="24"/>
        </w:rPr>
        <w:t>)</w:t>
      </w:r>
      <w:r>
        <w:rPr>
          <w:rFonts w:ascii="Times New Roman" w:hAnsi="Times New Roman" w:cs="Times New Roman"/>
          <w:sz w:val="24"/>
          <w:szCs w:val="24"/>
        </w:rPr>
        <w:t>:</w:t>
      </w:r>
    </w:p>
    <w:p w14:paraId="08181D55" w14:textId="77777777" w:rsidR="00335271" w:rsidRDefault="00335271" w:rsidP="00335271">
      <w:pPr>
        <w:pStyle w:val="ListParagraph"/>
        <w:spacing w:line="480" w:lineRule="auto"/>
        <w:jc w:val="both"/>
        <w:rPr>
          <w:rFonts w:ascii="Times New Roman" w:hAnsi="Times New Roman" w:cs="Times New Roman"/>
          <w:b/>
          <w:sz w:val="24"/>
          <w:szCs w:val="24"/>
        </w:rPr>
      </w:pPr>
    </w:p>
    <w:p w14:paraId="2029FD41" w14:textId="77777777" w:rsidR="005E6241" w:rsidRDefault="003D6923" w:rsidP="00335271">
      <w:pPr>
        <w:pStyle w:val="ListParagraph"/>
        <w:spacing w:line="480" w:lineRule="auto"/>
        <w:ind w:left="1440"/>
        <w:jc w:val="both"/>
        <w:rPr>
          <w:rFonts w:ascii="Times New Roman" w:hAnsi="Times New Roman" w:cs="Times New Roman"/>
          <w:i/>
          <w:sz w:val="24"/>
          <w:szCs w:val="24"/>
        </w:rPr>
      </w:pPr>
      <w:r>
        <w:rPr>
          <w:rFonts w:ascii="Times New Roman" w:hAnsi="Times New Roman" w:cs="Times New Roman"/>
          <w:i/>
          <w:sz w:val="24"/>
          <w:szCs w:val="24"/>
        </w:rPr>
        <w:t>‘</w:t>
      </w:r>
      <w:r w:rsidR="00445BA5">
        <w:rPr>
          <w:rFonts w:ascii="Times New Roman" w:hAnsi="Times New Roman" w:cs="Times New Roman"/>
          <w:i/>
          <w:sz w:val="24"/>
          <w:szCs w:val="24"/>
        </w:rPr>
        <w:t xml:space="preserve">… </w:t>
      </w:r>
      <w:r w:rsidR="00335271" w:rsidRPr="00335271">
        <w:rPr>
          <w:rFonts w:ascii="Times New Roman" w:hAnsi="Times New Roman" w:cs="Times New Roman"/>
          <w:i/>
          <w:sz w:val="24"/>
          <w:szCs w:val="24"/>
        </w:rPr>
        <w:t>I have concluded that the time-limit for the purposes of Order 84, rule 21 began to run from the date upon which the decision and associated documentation was first published on the Authority’s website, i.e. 23 July 2018.  This was the date upon which compliance with the requirements of articles 25 and 94 of the Directive had been achieved.  The decision to grant a marketing authorisation had been published, together with a copy of the assessment report.  A person inspecting the website would thus be aware of the nature of the decision, i.e. a decision to grant marketing authorisation, and would also understand the basis upon which the decision had been reached.</w:t>
      </w:r>
    </w:p>
    <w:p w14:paraId="05E56302" w14:textId="77777777" w:rsidR="00335271" w:rsidRPr="00335271" w:rsidRDefault="00335271" w:rsidP="00335271">
      <w:pPr>
        <w:pStyle w:val="ListParagraph"/>
        <w:spacing w:line="480" w:lineRule="auto"/>
        <w:ind w:left="1440"/>
        <w:jc w:val="both"/>
        <w:rPr>
          <w:rFonts w:ascii="Times New Roman" w:hAnsi="Times New Roman" w:cs="Times New Roman"/>
          <w:i/>
          <w:sz w:val="24"/>
          <w:szCs w:val="24"/>
        </w:rPr>
      </w:pPr>
      <w:r w:rsidRPr="00335271">
        <w:rPr>
          <w:rFonts w:ascii="Times New Roman" w:hAnsi="Times New Roman" w:cs="Times New Roman"/>
          <w:i/>
          <w:sz w:val="24"/>
          <w:szCs w:val="24"/>
        </w:rPr>
        <w:t xml:space="preserve">   </w:t>
      </w:r>
    </w:p>
    <w:p w14:paraId="4C1406A3" w14:textId="77777777" w:rsidR="00335271" w:rsidRPr="00572A89" w:rsidRDefault="00335271" w:rsidP="00572A89">
      <w:pPr>
        <w:pStyle w:val="ListParagraph"/>
        <w:spacing w:line="480" w:lineRule="auto"/>
        <w:ind w:left="1440"/>
        <w:jc w:val="both"/>
        <w:rPr>
          <w:rFonts w:ascii="Times New Roman" w:hAnsi="Times New Roman" w:cs="Times New Roman"/>
          <w:i/>
          <w:sz w:val="24"/>
          <w:szCs w:val="24"/>
        </w:rPr>
      </w:pPr>
      <w:r w:rsidRPr="00335271">
        <w:rPr>
          <w:rFonts w:ascii="Times New Roman" w:hAnsi="Times New Roman" w:cs="Times New Roman"/>
          <w:i/>
          <w:sz w:val="24"/>
          <w:szCs w:val="24"/>
        </w:rPr>
        <w:t xml:space="preserve">Whereas the hypothetical person inspecting the website might wish to argue that more expansive reasons should have been provided, or that certain information which had been omitted on the grounds of its “commercially confidential nature” by reference to article 25(4), should have been published, that person </w:t>
      </w:r>
      <w:r w:rsidRPr="00335271">
        <w:rPr>
          <w:rFonts w:ascii="Times New Roman" w:hAnsi="Times New Roman" w:cs="Times New Roman"/>
          <w:i/>
          <w:sz w:val="24"/>
          <w:szCs w:val="24"/>
        </w:rPr>
        <w:lastRenderedPageBreak/>
        <w:t>would nevertheless already be armed with sufficient material to allow proceedings to be prepared and drafted.  This is borne out by the facts of the present case where, of course, the Objector had been in a position to put together a detailed objection to the decision by reference to the materials available as of 23 July 2018.  It will be recalled that the detailed objection of 12 October 2018 had been prepared without any necessity for an analysis of a sample of the generic product.</w:t>
      </w:r>
      <w:r w:rsidR="003D6923">
        <w:rPr>
          <w:rFonts w:ascii="Times New Roman" w:hAnsi="Times New Roman" w:cs="Times New Roman"/>
          <w:i/>
          <w:sz w:val="24"/>
          <w:szCs w:val="24"/>
        </w:rPr>
        <w:t>’</w:t>
      </w:r>
    </w:p>
    <w:p w14:paraId="374F7CEC" w14:textId="77777777" w:rsidR="00335271" w:rsidRDefault="00572A89" w:rsidP="00572A89">
      <w:pPr>
        <w:pStyle w:val="ListParagraph"/>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14:paraId="7F783E2D" w14:textId="0A3B9128" w:rsidR="00572A89" w:rsidRPr="00445BA5" w:rsidRDefault="00445BA5" w:rsidP="00335271">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sz w:val="24"/>
          <w:szCs w:val="24"/>
        </w:rPr>
        <w:t>To summarise</w:t>
      </w:r>
      <w:r w:rsidR="00631CDB">
        <w:rPr>
          <w:rFonts w:ascii="Times New Roman" w:hAnsi="Times New Roman" w:cs="Times New Roman"/>
          <w:sz w:val="24"/>
          <w:szCs w:val="24"/>
        </w:rPr>
        <w:t xml:space="preserve"> and repeat</w:t>
      </w:r>
      <w:r>
        <w:rPr>
          <w:rFonts w:ascii="Times New Roman" w:hAnsi="Times New Roman" w:cs="Times New Roman"/>
          <w:sz w:val="24"/>
          <w:szCs w:val="24"/>
        </w:rPr>
        <w:t xml:space="preserve"> </w:t>
      </w:r>
      <w:r w:rsidR="00C544DD">
        <w:rPr>
          <w:rFonts w:ascii="Times New Roman" w:hAnsi="Times New Roman" w:cs="Times New Roman"/>
          <w:sz w:val="24"/>
          <w:szCs w:val="24"/>
        </w:rPr>
        <w:t xml:space="preserve">the trial judge’s reasoning and conclusions </w:t>
      </w:r>
      <w:r w:rsidR="007F5473">
        <w:rPr>
          <w:rFonts w:ascii="Times New Roman" w:hAnsi="Times New Roman" w:cs="Times New Roman"/>
          <w:sz w:val="24"/>
          <w:szCs w:val="24"/>
        </w:rPr>
        <w:t>on this issue</w:t>
      </w:r>
      <w:r>
        <w:rPr>
          <w:rFonts w:ascii="Times New Roman" w:hAnsi="Times New Roman" w:cs="Times New Roman"/>
          <w:sz w:val="24"/>
          <w:szCs w:val="24"/>
        </w:rPr>
        <w:t>:</w:t>
      </w:r>
    </w:p>
    <w:p w14:paraId="42F63963" w14:textId="77777777" w:rsidR="00445BA5" w:rsidRDefault="00445BA5" w:rsidP="00445BA5">
      <w:pPr>
        <w:pStyle w:val="ListParagraph"/>
        <w:spacing w:line="480" w:lineRule="auto"/>
        <w:jc w:val="both"/>
        <w:rPr>
          <w:rFonts w:ascii="Times New Roman" w:hAnsi="Times New Roman" w:cs="Times New Roman"/>
          <w:b/>
          <w:sz w:val="24"/>
          <w:szCs w:val="24"/>
        </w:rPr>
      </w:pPr>
    </w:p>
    <w:p w14:paraId="7B045A50" w14:textId="2A44C545" w:rsidR="00445BA5" w:rsidRDefault="00445BA5" w:rsidP="00445BA5">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the view of the trial </w:t>
      </w:r>
      <w:r w:rsidR="00615939">
        <w:rPr>
          <w:rFonts w:ascii="Times New Roman" w:hAnsi="Times New Roman" w:cs="Times New Roman"/>
          <w:sz w:val="24"/>
          <w:szCs w:val="24"/>
        </w:rPr>
        <w:t>j</w:t>
      </w:r>
      <w:r>
        <w:rPr>
          <w:rFonts w:ascii="Times New Roman" w:hAnsi="Times New Roman" w:cs="Times New Roman"/>
          <w:sz w:val="24"/>
          <w:szCs w:val="24"/>
        </w:rPr>
        <w:t>udge to hold that time would begin to run from a point that pre-dated the publication to the world at large of the decision in question would potentially breach principles of effective judicial protection.</w:t>
      </w:r>
    </w:p>
    <w:p w14:paraId="7109969C" w14:textId="77777777" w:rsidR="00445BA5" w:rsidRPr="00445BA5" w:rsidRDefault="00445BA5" w:rsidP="00445BA5">
      <w:pPr>
        <w:pStyle w:val="ListParagraph"/>
        <w:spacing w:line="480" w:lineRule="auto"/>
        <w:ind w:left="2160"/>
        <w:jc w:val="both"/>
        <w:rPr>
          <w:rFonts w:ascii="Times New Roman" w:hAnsi="Times New Roman" w:cs="Times New Roman"/>
          <w:sz w:val="24"/>
          <w:szCs w:val="24"/>
        </w:rPr>
      </w:pPr>
      <w:r w:rsidRPr="00445BA5">
        <w:rPr>
          <w:rFonts w:ascii="Times New Roman" w:hAnsi="Times New Roman" w:cs="Times New Roman"/>
          <w:sz w:val="24"/>
          <w:szCs w:val="24"/>
        </w:rPr>
        <w:t xml:space="preserve">  </w:t>
      </w:r>
    </w:p>
    <w:p w14:paraId="17E3E013" w14:textId="6F66F788" w:rsidR="00445BA5" w:rsidRDefault="00445BA5" w:rsidP="00445BA5">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Therefore, the commencement of time should depend upon the publication of the decision</w:t>
      </w:r>
      <w:r w:rsidR="00EF71AC">
        <w:rPr>
          <w:rFonts w:ascii="Times New Roman" w:hAnsi="Times New Roman" w:cs="Times New Roman"/>
          <w:sz w:val="24"/>
          <w:szCs w:val="24"/>
        </w:rPr>
        <w:t xml:space="preserve"> </w:t>
      </w:r>
      <w:r w:rsidR="00CA5DD6">
        <w:rPr>
          <w:rFonts w:ascii="Times New Roman" w:hAnsi="Times New Roman" w:cs="Times New Roman"/>
          <w:sz w:val="24"/>
          <w:szCs w:val="24"/>
        </w:rPr>
        <w:t xml:space="preserve">in </w:t>
      </w:r>
      <w:r w:rsidR="00EF71AC">
        <w:rPr>
          <w:rFonts w:ascii="Times New Roman" w:hAnsi="Times New Roman" w:cs="Times New Roman"/>
          <w:sz w:val="24"/>
          <w:szCs w:val="24"/>
        </w:rPr>
        <w:t>accordance with the applicable regulatory regime</w:t>
      </w:r>
      <w:r>
        <w:rPr>
          <w:rFonts w:ascii="Times New Roman" w:hAnsi="Times New Roman" w:cs="Times New Roman"/>
          <w:sz w:val="24"/>
          <w:szCs w:val="24"/>
        </w:rPr>
        <w:t>.</w:t>
      </w:r>
    </w:p>
    <w:p w14:paraId="1C18070E" w14:textId="77777777" w:rsidR="00445BA5" w:rsidRPr="00445BA5" w:rsidRDefault="00445BA5" w:rsidP="00445BA5">
      <w:pPr>
        <w:pStyle w:val="ListParagraph"/>
        <w:rPr>
          <w:rFonts w:ascii="Times New Roman" w:hAnsi="Times New Roman" w:cs="Times New Roman"/>
          <w:sz w:val="24"/>
          <w:szCs w:val="24"/>
        </w:rPr>
      </w:pPr>
    </w:p>
    <w:p w14:paraId="60D368DE" w14:textId="2B50C2E2" w:rsidR="00445BA5" w:rsidRDefault="00445BA5" w:rsidP="00445BA5">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The identification of that point was therefore related to when publication in accordance with the requirements of the 2007 Regulation occurre</w:t>
      </w:r>
      <w:r w:rsidR="00B86E18">
        <w:rPr>
          <w:rFonts w:ascii="Times New Roman" w:hAnsi="Times New Roman" w:cs="Times New Roman"/>
          <w:sz w:val="24"/>
          <w:szCs w:val="24"/>
        </w:rPr>
        <w:t>d: ‘</w:t>
      </w:r>
      <w:r w:rsidR="00B86E18">
        <w:rPr>
          <w:rFonts w:ascii="Times New Roman" w:hAnsi="Times New Roman" w:cs="Times New Roman"/>
          <w:i/>
          <w:sz w:val="24"/>
          <w:szCs w:val="24"/>
        </w:rPr>
        <w:t>[o]</w:t>
      </w:r>
      <w:proofErr w:type="spellStart"/>
      <w:r w:rsidR="00B86E18">
        <w:rPr>
          <w:rFonts w:ascii="Times New Roman" w:hAnsi="Times New Roman" w:cs="Times New Roman"/>
          <w:i/>
          <w:sz w:val="24"/>
          <w:szCs w:val="24"/>
        </w:rPr>
        <w:t>nce</w:t>
      </w:r>
      <w:proofErr w:type="spellEnd"/>
      <w:r w:rsidR="00B86E18">
        <w:rPr>
          <w:rFonts w:ascii="Times New Roman" w:hAnsi="Times New Roman" w:cs="Times New Roman"/>
          <w:i/>
          <w:sz w:val="24"/>
          <w:szCs w:val="24"/>
        </w:rPr>
        <w:t xml:space="preserve"> the legislative requirements had been complied with time began to run’</w:t>
      </w:r>
      <w:r w:rsidR="003D6923">
        <w:rPr>
          <w:rFonts w:ascii="Times New Roman" w:hAnsi="Times New Roman" w:cs="Times New Roman"/>
          <w:i/>
          <w:sz w:val="24"/>
          <w:szCs w:val="24"/>
        </w:rPr>
        <w:t xml:space="preserve"> </w:t>
      </w:r>
      <w:r w:rsidR="003D6923">
        <w:rPr>
          <w:rFonts w:ascii="Times New Roman" w:hAnsi="Times New Roman" w:cs="Times New Roman"/>
          <w:iCs/>
          <w:sz w:val="24"/>
          <w:szCs w:val="24"/>
        </w:rPr>
        <w:t>(at para. 59)</w:t>
      </w:r>
      <w:r w:rsidR="00B86E18">
        <w:rPr>
          <w:rFonts w:ascii="Times New Roman" w:hAnsi="Times New Roman" w:cs="Times New Roman"/>
          <w:sz w:val="24"/>
          <w:szCs w:val="24"/>
        </w:rPr>
        <w:t>.</w:t>
      </w:r>
    </w:p>
    <w:p w14:paraId="296B031D" w14:textId="77777777" w:rsidR="00445BA5" w:rsidRPr="00445BA5" w:rsidRDefault="00445BA5" w:rsidP="00445BA5">
      <w:pPr>
        <w:pStyle w:val="ListParagraph"/>
        <w:rPr>
          <w:rFonts w:ascii="Times New Roman" w:hAnsi="Times New Roman" w:cs="Times New Roman"/>
          <w:sz w:val="24"/>
          <w:szCs w:val="24"/>
        </w:rPr>
      </w:pPr>
    </w:p>
    <w:p w14:paraId="096329AF" w14:textId="4510749C" w:rsidR="00445BA5" w:rsidRDefault="00445BA5" w:rsidP="00445BA5">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Publication in accordance with the 2007 Regulations occurred on</w:t>
      </w:r>
      <w:r w:rsidR="00615939">
        <w:rPr>
          <w:rFonts w:ascii="Times New Roman" w:hAnsi="Times New Roman" w:cs="Times New Roman"/>
          <w:sz w:val="24"/>
          <w:szCs w:val="24"/>
        </w:rPr>
        <w:t xml:space="preserve"> 23</w:t>
      </w:r>
      <w:r>
        <w:rPr>
          <w:rFonts w:ascii="Times New Roman" w:hAnsi="Times New Roman" w:cs="Times New Roman"/>
          <w:sz w:val="24"/>
          <w:szCs w:val="24"/>
        </w:rPr>
        <w:t xml:space="preserve"> July 2018 as the posting of the decision and associated documentation on the </w:t>
      </w:r>
      <w:r w:rsidR="00F160A6">
        <w:rPr>
          <w:rFonts w:ascii="Times New Roman" w:hAnsi="Times New Roman" w:cs="Times New Roman"/>
          <w:sz w:val="24"/>
          <w:szCs w:val="24"/>
        </w:rPr>
        <w:t>HPRA</w:t>
      </w:r>
      <w:r>
        <w:rPr>
          <w:rFonts w:ascii="Times New Roman" w:hAnsi="Times New Roman" w:cs="Times New Roman"/>
          <w:sz w:val="24"/>
          <w:szCs w:val="24"/>
        </w:rPr>
        <w:t xml:space="preserve"> website was authorised by Regulation 9(4).</w:t>
      </w:r>
    </w:p>
    <w:p w14:paraId="3C42D041" w14:textId="77777777" w:rsidR="00445BA5" w:rsidRPr="00445BA5" w:rsidRDefault="00445BA5" w:rsidP="00445BA5">
      <w:pPr>
        <w:pStyle w:val="ListParagraph"/>
        <w:rPr>
          <w:rFonts w:ascii="Times New Roman" w:hAnsi="Times New Roman" w:cs="Times New Roman"/>
          <w:sz w:val="24"/>
          <w:szCs w:val="24"/>
        </w:rPr>
      </w:pPr>
    </w:p>
    <w:p w14:paraId="6A3C117F" w14:textId="54B5D76D" w:rsidR="00445BA5" w:rsidRDefault="00445BA5" w:rsidP="00445BA5">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To run time from the point at which publication occurred in Iris </w:t>
      </w:r>
      <w:r w:rsidR="00C93565">
        <w:rPr>
          <w:rFonts w:ascii="Times New Roman" w:hAnsi="Times New Roman" w:cs="Times New Roman"/>
          <w:sz w:val="24"/>
          <w:szCs w:val="24"/>
        </w:rPr>
        <w:t>Oifigiúil</w:t>
      </w:r>
      <w:r>
        <w:rPr>
          <w:rFonts w:ascii="Times New Roman" w:hAnsi="Times New Roman" w:cs="Times New Roman"/>
          <w:sz w:val="24"/>
          <w:szCs w:val="24"/>
        </w:rPr>
        <w:t xml:space="preserve"> would be pedantic</w:t>
      </w:r>
      <w:r w:rsidR="005E6241">
        <w:rPr>
          <w:rFonts w:ascii="Times New Roman" w:hAnsi="Times New Roman" w:cs="Times New Roman"/>
          <w:sz w:val="24"/>
          <w:szCs w:val="24"/>
        </w:rPr>
        <w:t xml:space="preserve"> </w:t>
      </w:r>
      <w:r>
        <w:rPr>
          <w:rFonts w:ascii="Times New Roman" w:hAnsi="Times New Roman" w:cs="Times New Roman"/>
          <w:sz w:val="24"/>
          <w:szCs w:val="24"/>
        </w:rPr>
        <w:t>and involved the provision of less rather than more information.</w:t>
      </w:r>
    </w:p>
    <w:p w14:paraId="1D7824B5" w14:textId="77777777" w:rsidR="00445BA5" w:rsidRPr="00445BA5" w:rsidRDefault="00445BA5" w:rsidP="00445BA5">
      <w:pPr>
        <w:pStyle w:val="ListParagraph"/>
        <w:rPr>
          <w:rFonts w:ascii="Times New Roman" w:hAnsi="Times New Roman" w:cs="Times New Roman"/>
          <w:sz w:val="24"/>
          <w:szCs w:val="24"/>
        </w:rPr>
      </w:pPr>
    </w:p>
    <w:p w14:paraId="2524F8FD" w14:textId="4271E4E7" w:rsidR="00445BA5" w:rsidRDefault="00826522" w:rsidP="00445BA5">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The fact that A</w:t>
      </w:r>
      <w:r w:rsidR="00432BFC">
        <w:rPr>
          <w:rFonts w:ascii="Times New Roman" w:hAnsi="Times New Roman" w:cs="Times New Roman"/>
          <w:sz w:val="24"/>
          <w:szCs w:val="24"/>
        </w:rPr>
        <w:t>r</w:t>
      </w:r>
      <w:r>
        <w:rPr>
          <w:rFonts w:ascii="Times New Roman" w:hAnsi="Times New Roman" w:cs="Times New Roman"/>
          <w:sz w:val="24"/>
          <w:szCs w:val="24"/>
        </w:rPr>
        <w:t xml:space="preserve">thropharm was aware of the decision by </w:t>
      </w:r>
      <w:r w:rsidR="005E6241">
        <w:rPr>
          <w:rFonts w:ascii="Times New Roman" w:hAnsi="Times New Roman" w:cs="Times New Roman"/>
          <w:sz w:val="24"/>
          <w:szCs w:val="24"/>
        </w:rPr>
        <w:t xml:space="preserve">23 </w:t>
      </w:r>
      <w:r>
        <w:rPr>
          <w:rFonts w:ascii="Times New Roman" w:hAnsi="Times New Roman" w:cs="Times New Roman"/>
          <w:sz w:val="24"/>
          <w:szCs w:val="24"/>
        </w:rPr>
        <w:t xml:space="preserve">August 2018 was relevant to this conclusion, and that knowledge made it difficult for </w:t>
      </w:r>
      <w:r w:rsidR="005E6241">
        <w:rPr>
          <w:rFonts w:ascii="Times New Roman" w:hAnsi="Times New Roman" w:cs="Times New Roman"/>
          <w:sz w:val="24"/>
          <w:szCs w:val="24"/>
        </w:rPr>
        <w:t>A</w:t>
      </w:r>
      <w:r w:rsidR="00432BFC">
        <w:rPr>
          <w:rFonts w:ascii="Times New Roman" w:hAnsi="Times New Roman" w:cs="Times New Roman"/>
          <w:sz w:val="24"/>
          <w:szCs w:val="24"/>
        </w:rPr>
        <w:t>r</w:t>
      </w:r>
      <w:r w:rsidR="00B86E18">
        <w:rPr>
          <w:rFonts w:ascii="Times New Roman" w:hAnsi="Times New Roman" w:cs="Times New Roman"/>
          <w:sz w:val="24"/>
          <w:szCs w:val="24"/>
        </w:rPr>
        <w:t xml:space="preserve">thropharm to contend that the running of time ought to have been postponed until the date of subsequent publication in Iris </w:t>
      </w:r>
      <w:r w:rsidR="00C93565">
        <w:rPr>
          <w:rFonts w:ascii="Times New Roman" w:hAnsi="Times New Roman" w:cs="Times New Roman"/>
          <w:sz w:val="24"/>
          <w:szCs w:val="24"/>
        </w:rPr>
        <w:t>Oifigiúil</w:t>
      </w:r>
      <w:r w:rsidR="00B86E18">
        <w:rPr>
          <w:rFonts w:ascii="Times New Roman" w:hAnsi="Times New Roman" w:cs="Times New Roman"/>
          <w:sz w:val="24"/>
          <w:szCs w:val="24"/>
        </w:rPr>
        <w:t>.</w:t>
      </w:r>
    </w:p>
    <w:p w14:paraId="1670D575" w14:textId="77777777" w:rsidR="00B86E18" w:rsidRPr="00B86E18" w:rsidRDefault="00B86E18" w:rsidP="00B86E18">
      <w:pPr>
        <w:pStyle w:val="ListParagraph"/>
        <w:rPr>
          <w:rFonts w:ascii="Times New Roman" w:hAnsi="Times New Roman" w:cs="Times New Roman"/>
          <w:sz w:val="24"/>
          <w:szCs w:val="24"/>
        </w:rPr>
      </w:pPr>
    </w:p>
    <w:p w14:paraId="01B9B14A" w14:textId="3F327570" w:rsidR="00B86E18" w:rsidRDefault="00205D44" w:rsidP="00445BA5">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T</w:t>
      </w:r>
      <w:r w:rsidR="00432BFC">
        <w:rPr>
          <w:rFonts w:ascii="Times New Roman" w:hAnsi="Times New Roman" w:cs="Times New Roman"/>
          <w:sz w:val="24"/>
          <w:szCs w:val="24"/>
        </w:rPr>
        <w:t>he request made by Arthr</w:t>
      </w:r>
      <w:r w:rsidR="009C5556">
        <w:rPr>
          <w:rFonts w:ascii="Times New Roman" w:hAnsi="Times New Roman" w:cs="Times New Roman"/>
          <w:sz w:val="24"/>
          <w:szCs w:val="24"/>
        </w:rPr>
        <w:t>o</w:t>
      </w:r>
      <w:r w:rsidR="00432BFC">
        <w:rPr>
          <w:rFonts w:ascii="Times New Roman" w:hAnsi="Times New Roman" w:cs="Times New Roman"/>
          <w:sz w:val="24"/>
          <w:szCs w:val="24"/>
        </w:rPr>
        <w:t xml:space="preserve">pharm on </w:t>
      </w:r>
      <w:r w:rsidR="003D6923">
        <w:rPr>
          <w:rFonts w:ascii="Times New Roman" w:hAnsi="Times New Roman" w:cs="Times New Roman"/>
          <w:sz w:val="24"/>
          <w:szCs w:val="24"/>
        </w:rPr>
        <w:t xml:space="preserve">12 </w:t>
      </w:r>
      <w:r w:rsidR="00432BFC">
        <w:rPr>
          <w:rFonts w:ascii="Times New Roman" w:hAnsi="Times New Roman" w:cs="Times New Roman"/>
          <w:sz w:val="24"/>
          <w:szCs w:val="24"/>
        </w:rPr>
        <w:t>October that HP</w:t>
      </w:r>
      <w:r w:rsidR="005D64D5">
        <w:rPr>
          <w:rFonts w:ascii="Times New Roman" w:hAnsi="Times New Roman" w:cs="Times New Roman"/>
          <w:sz w:val="24"/>
          <w:szCs w:val="24"/>
        </w:rPr>
        <w:t>R</w:t>
      </w:r>
      <w:r w:rsidR="00432BFC">
        <w:rPr>
          <w:rFonts w:ascii="Times New Roman" w:hAnsi="Times New Roman" w:cs="Times New Roman"/>
          <w:sz w:val="24"/>
          <w:szCs w:val="24"/>
        </w:rPr>
        <w:t xml:space="preserve">A suspend the authorisation was not relevant to the running of time having regard to the fact that the decision was made publicly available in accordance with Article 25 of the Directive before this.  Insofar as </w:t>
      </w:r>
      <w:r w:rsidR="00615939">
        <w:rPr>
          <w:rFonts w:ascii="Times New Roman" w:hAnsi="Times New Roman" w:cs="Times New Roman"/>
          <w:sz w:val="24"/>
          <w:szCs w:val="24"/>
        </w:rPr>
        <w:t xml:space="preserve">is </w:t>
      </w:r>
      <w:r w:rsidR="00432BFC">
        <w:rPr>
          <w:rFonts w:ascii="Times New Roman" w:hAnsi="Times New Roman" w:cs="Times New Roman"/>
          <w:sz w:val="24"/>
          <w:szCs w:val="24"/>
        </w:rPr>
        <w:t>relevant, this went to discretion to extend time rather than to the point at which time began to run.</w:t>
      </w:r>
    </w:p>
    <w:p w14:paraId="4BD317CF" w14:textId="77777777" w:rsidR="0073383C" w:rsidRPr="0073383C" w:rsidRDefault="0073383C" w:rsidP="0073383C">
      <w:pPr>
        <w:pStyle w:val="ListParagraph"/>
        <w:rPr>
          <w:rFonts w:ascii="Times New Roman" w:hAnsi="Times New Roman" w:cs="Times New Roman"/>
          <w:sz w:val="24"/>
          <w:szCs w:val="24"/>
        </w:rPr>
      </w:pPr>
    </w:p>
    <w:p w14:paraId="7C453551" w14:textId="1BDFFD75" w:rsidR="0073383C" w:rsidRPr="0073383C" w:rsidRDefault="0073383C" w:rsidP="0073383C">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sz w:val="24"/>
          <w:szCs w:val="24"/>
        </w:rPr>
        <w:t>As I explain, I agree with the essential conclusion reached by the trial judge that Arthropharm had a period of three months from the date of publication of the decision to grant the marketing authorisation</w:t>
      </w:r>
      <w:r w:rsidR="00426824">
        <w:rPr>
          <w:rFonts w:ascii="Times New Roman" w:hAnsi="Times New Roman" w:cs="Times New Roman"/>
          <w:sz w:val="24"/>
          <w:szCs w:val="24"/>
        </w:rPr>
        <w:t>,</w:t>
      </w:r>
      <w:r>
        <w:rPr>
          <w:rFonts w:ascii="Times New Roman" w:hAnsi="Times New Roman" w:cs="Times New Roman"/>
          <w:sz w:val="24"/>
          <w:szCs w:val="24"/>
        </w:rPr>
        <w:t xml:space="preserve"> within which to bring its challenge.  However, I have reached that conclusion for </w:t>
      </w:r>
      <w:r w:rsidR="008076ED">
        <w:rPr>
          <w:rFonts w:ascii="Times New Roman" w:hAnsi="Times New Roman" w:cs="Times New Roman"/>
          <w:sz w:val="24"/>
          <w:szCs w:val="24"/>
        </w:rPr>
        <w:t xml:space="preserve">reasons that differ from those adopted by the trial judge.  </w:t>
      </w:r>
      <w:r w:rsidR="00E87F49">
        <w:rPr>
          <w:rFonts w:ascii="Times New Roman" w:hAnsi="Times New Roman" w:cs="Times New Roman"/>
          <w:sz w:val="24"/>
          <w:szCs w:val="24"/>
        </w:rPr>
        <w:t xml:space="preserve">While the difference between the trial judge’s reasons and mine may </w:t>
      </w:r>
      <w:r w:rsidR="00A226FF">
        <w:rPr>
          <w:rFonts w:ascii="Times New Roman" w:hAnsi="Times New Roman" w:cs="Times New Roman"/>
          <w:sz w:val="24"/>
          <w:szCs w:val="24"/>
        </w:rPr>
        <w:t xml:space="preserve">itself </w:t>
      </w:r>
      <w:r w:rsidR="00E87F49">
        <w:rPr>
          <w:rFonts w:ascii="Times New Roman" w:hAnsi="Times New Roman" w:cs="Times New Roman"/>
          <w:sz w:val="24"/>
          <w:szCs w:val="24"/>
        </w:rPr>
        <w:t xml:space="preserve">appear </w:t>
      </w:r>
      <w:r w:rsidR="00844F24">
        <w:rPr>
          <w:rFonts w:ascii="Times New Roman" w:hAnsi="Times New Roman" w:cs="Times New Roman"/>
          <w:sz w:val="24"/>
          <w:szCs w:val="24"/>
        </w:rPr>
        <w:t>pedantic</w:t>
      </w:r>
      <w:r w:rsidR="00E87F49">
        <w:rPr>
          <w:rFonts w:ascii="Times New Roman" w:hAnsi="Times New Roman" w:cs="Times New Roman"/>
          <w:sz w:val="24"/>
          <w:szCs w:val="24"/>
        </w:rPr>
        <w:t>, h</w:t>
      </w:r>
      <w:r w:rsidR="00B32242">
        <w:rPr>
          <w:rFonts w:ascii="Times New Roman" w:hAnsi="Times New Roman" w:cs="Times New Roman"/>
          <w:sz w:val="24"/>
          <w:szCs w:val="24"/>
        </w:rPr>
        <w:t xml:space="preserve">aving regard to the arguments advanced by Arthropharm </w:t>
      </w:r>
      <w:r w:rsidR="00463F7C">
        <w:rPr>
          <w:rFonts w:ascii="Times New Roman" w:hAnsi="Times New Roman" w:cs="Times New Roman"/>
          <w:sz w:val="24"/>
          <w:szCs w:val="24"/>
        </w:rPr>
        <w:t>i</w:t>
      </w:r>
      <w:r w:rsidR="00B32242">
        <w:rPr>
          <w:rFonts w:ascii="Times New Roman" w:hAnsi="Times New Roman" w:cs="Times New Roman"/>
          <w:sz w:val="24"/>
          <w:szCs w:val="24"/>
        </w:rPr>
        <w:t xml:space="preserve">n this appeal </w:t>
      </w:r>
      <w:r w:rsidR="00FE04FD">
        <w:rPr>
          <w:rFonts w:ascii="Times New Roman" w:hAnsi="Times New Roman" w:cs="Times New Roman"/>
          <w:sz w:val="24"/>
          <w:szCs w:val="24"/>
        </w:rPr>
        <w:t xml:space="preserve">as to the point </w:t>
      </w:r>
      <w:r w:rsidR="00463F7C">
        <w:rPr>
          <w:rFonts w:ascii="Times New Roman" w:hAnsi="Times New Roman" w:cs="Times New Roman"/>
          <w:sz w:val="24"/>
          <w:szCs w:val="24"/>
        </w:rPr>
        <w:t>from</w:t>
      </w:r>
      <w:r w:rsidR="00FE04FD">
        <w:rPr>
          <w:rFonts w:ascii="Times New Roman" w:hAnsi="Times New Roman" w:cs="Times New Roman"/>
          <w:sz w:val="24"/>
          <w:szCs w:val="24"/>
        </w:rPr>
        <w:t xml:space="preserve"> which time ran </w:t>
      </w:r>
      <w:r w:rsidR="00B32242">
        <w:rPr>
          <w:rFonts w:ascii="Times New Roman" w:hAnsi="Times New Roman" w:cs="Times New Roman"/>
          <w:sz w:val="24"/>
          <w:szCs w:val="24"/>
        </w:rPr>
        <w:t>it is necessary to outline in some detail</w:t>
      </w:r>
      <w:r w:rsidR="00FE04FD">
        <w:rPr>
          <w:rFonts w:ascii="Times New Roman" w:hAnsi="Times New Roman" w:cs="Times New Roman"/>
          <w:sz w:val="24"/>
          <w:szCs w:val="24"/>
        </w:rPr>
        <w:t xml:space="preserve"> what </w:t>
      </w:r>
      <w:r w:rsidR="00FE04FD">
        <w:rPr>
          <w:rFonts w:ascii="Times New Roman" w:hAnsi="Times New Roman" w:cs="Times New Roman"/>
          <w:sz w:val="24"/>
          <w:szCs w:val="24"/>
        </w:rPr>
        <w:lastRenderedPageBreak/>
        <w:t xml:space="preserve">I believe to be the correct analysis of the relationship between the date of the decision, the date of </w:t>
      </w:r>
      <w:r w:rsidR="00527AF0">
        <w:rPr>
          <w:rFonts w:ascii="Times New Roman" w:hAnsi="Times New Roman" w:cs="Times New Roman"/>
          <w:sz w:val="24"/>
          <w:szCs w:val="24"/>
        </w:rPr>
        <w:t xml:space="preserve">actual </w:t>
      </w:r>
      <w:r w:rsidR="00FE04FD">
        <w:rPr>
          <w:rFonts w:ascii="Times New Roman" w:hAnsi="Times New Roman" w:cs="Times New Roman"/>
          <w:sz w:val="24"/>
          <w:szCs w:val="24"/>
        </w:rPr>
        <w:t xml:space="preserve">publication, the </w:t>
      </w:r>
      <w:r w:rsidR="006A37E6">
        <w:rPr>
          <w:rFonts w:ascii="Times New Roman" w:hAnsi="Times New Roman" w:cs="Times New Roman"/>
          <w:sz w:val="24"/>
          <w:szCs w:val="24"/>
        </w:rPr>
        <w:t xml:space="preserve">date on which Arthropharm actually learnt of the grant, the </w:t>
      </w:r>
      <w:r w:rsidR="00FE04FD">
        <w:rPr>
          <w:rFonts w:ascii="Times New Roman" w:hAnsi="Times New Roman" w:cs="Times New Roman"/>
          <w:sz w:val="24"/>
          <w:szCs w:val="24"/>
        </w:rPr>
        <w:t>terms of Order 84 R</w:t>
      </w:r>
      <w:r w:rsidR="00326D47">
        <w:rPr>
          <w:rFonts w:ascii="Times New Roman" w:hAnsi="Times New Roman" w:cs="Times New Roman"/>
          <w:sz w:val="24"/>
          <w:szCs w:val="24"/>
        </w:rPr>
        <w:t>ule</w:t>
      </w:r>
      <w:r w:rsidR="00FE04FD">
        <w:rPr>
          <w:rFonts w:ascii="Times New Roman" w:hAnsi="Times New Roman" w:cs="Times New Roman"/>
          <w:sz w:val="24"/>
          <w:szCs w:val="24"/>
        </w:rPr>
        <w:t xml:space="preserve"> 21(1) and the provisions of the Directive and Regulation mandating publication of decisions to grant marketing authorisations.</w:t>
      </w:r>
    </w:p>
    <w:p w14:paraId="061B6276" w14:textId="77777777" w:rsidR="00AE6703" w:rsidRDefault="00AE6703" w:rsidP="00B83C27">
      <w:pPr>
        <w:pStyle w:val="ListParagraph"/>
        <w:spacing w:line="480" w:lineRule="auto"/>
        <w:jc w:val="both"/>
        <w:rPr>
          <w:rFonts w:ascii="Times New Roman" w:hAnsi="Times New Roman" w:cs="Times New Roman"/>
          <w:b/>
          <w:sz w:val="24"/>
          <w:szCs w:val="24"/>
        </w:rPr>
      </w:pPr>
    </w:p>
    <w:p w14:paraId="639CEA0F" w14:textId="77777777" w:rsidR="00A133D2" w:rsidRPr="00A133D2" w:rsidRDefault="00A133D2" w:rsidP="00A133D2">
      <w:pPr>
        <w:pStyle w:val="ListParagraph"/>
        <w:numPr>
          <w:ilvl w:val="0"/>
          <w:numId w:val="3"/>
        </w:numPr>
        <w:spacing w:before="240" w:line="480" w:lineRule="auto"/>
        <w:jc w:val="both"/>
        <w:rPr>
          <w:rFonts w:ascii="Times New Roman" w:hAnsi="Times New Roman" w:cs="Times New Roman"/>
          <w:i/>
          <w:sz w:val="24"/>
          <w:szCs w:val="24"/>
        </w:rPr>
      </w:pPr>
      <w:r w:rsidRPr="00A133D2">
        <w:rPr>
          <w:rFonts w:ascii="Times New Roman" w:hAnsi="Times New Roman" w:cs="Times New Roman"/>
          <w:i/>
          <w:sz w:val="24"/>
          <w:szCs w:val="24"/>
        </w:rPr>
        <w:t xml:space="preserve">The legal characterisation of Arthropharm’s interest in the impugned decision.  </w:t>
      </w:r>
    </w:p>
    <w:p w14:paraId="15CC2D33" w14:textId="77777777" w:rsidR="00A133D2" w:rsidRPr="006E42FF" w:rsidRDefault="00A133D2" w:rsidP="00A133D2">
      <w:pPr>
        <w:pStyle w:val="ListParagraph"/>
        <w:rPr>
          <w:rFonts w:ascii="Times New Roman" w:hAnsi="Times New Roman" w:cs="Times New Roman"/>
          <w:b/>
          <w:sz w:val="24"/>
          <w:szCs w:val="24"/>
        </w:rPr>
      </w:pPr>
    </w:p>
    <w:p w14:paraId="54EEB8A5" w14:textId="6BE81683" w:rsidR="00A133D2" w:rsidRPr="00974E8C" w:rsidRDefault="00A22263" w:rsidP="00974E8C">
      <w:pPr>
        <w:pStyle w:val="ListParagraph"/>
        <w:numPr>
          <w:ilvl w:val="0"/>
          <w:numId w:val="1"/>
        </w:numPr>
        <w:spacing w:before="240" w:line="480" w:lineRule="auto"/>
        <w:jc w:val="both"/>
        <w:rPr>
          <w:rFonts w:ascii="Times New Roman" w:hAnsi="Times New Roman" w:cs="Times New Roman"/>
          <w:b/>
          <w:sz w:val="24"/>
          <w:szCs w:val="24"/>
        </w:rPr>
      </w:pPr>
      <w:r>
        <w:rPr>
          <w:rFonts w:ascii="Times New Roman" w:hAnsi="Times New Roman" w:cs="Times New Roman"/>
          <w:sz w:val="24"/>
          <w:szCs w:val="24"/>
        </w:rPr>
        <w:t>It is impossible to address these issues without making some reference to the nature (and source) of Arthropharm’s right to bring the action at all.  T</w:t>
      </w:r>
      <w:r w:rsidR="00A133D2">
        <w:rPr>
          <w:rFonts w:ascii="Times New Roman" w:hAnsi="Times New Roman" w:cs="Times New Roman"/>
          <w:sz w:val="24"/>
          <w:szCs w:val="24"/>
        </w:rPr>
        <w:t xml:space="preserve">he </w:t>
      </w:r>
      <w:r w:rsidR="008B3D25">
        <w:rPr>
          <w:rFonts w:ascii="Times New Roman" w:hAnsi="Times New Roman" w:cs="Times New Roman"/>
          <w:sz w:val="24"/>
          <w:szCs w:val="24"/>
        </w:rPr>
        <w:t xml:space="preserve">invocation </w:t>
      </w:r>
      <w:r w:rsidR="00D734AF">
        <w:rPr>
          <w:rFonts w:ascii="Times New Roman" w:hAnsi="Times New Roman" w:cs="Times New Roman"/>
          <w:sz w:val="24"/>
          <w:szCs w:val="24"/>
        </w:rPr>
        <w:t xml:space="preserve">by the trial judge </w:t>
      </w:r>
      <w:r w:rsidR="008B3D25">
        <w:rPr>
          <w:rFonts w:ascii="Times New Roman" w:hAnsi="Times New Roman" w:cs="Times New Roman"/>
          <w:sz w:val="24"/>
          <w:szCs w:val="24"/>
        </w:rPr>
        <w:t xml:space="preserve">of </w:t>
      </w:r>
      <w:r w:rsidR="00D734AF">
        <w:rPr>
          <w:rFonts w:ascii="Times New Roman" w:hAnsi="Times New Roman" w:cs="Times New Roman"/>
          <w:sz w:val="24"/>
          <w:szCs w:val="24"/>
        </w:rPr>
        <w:t>principles of effective judicial protection suggest a conclusion on his part that Arthropharm enjoyed rights in European law to challenge the impugned decision</w:t>
      </w:r>
      <w:r w:rsidR="00F86250">
        <w:rPr>
          <w:rFonts w:ascii="Times New Roman" w:hAnsi="Times New Roman" w:cs="Times New Roman"/>
          <w:sz w:val="24"/>
          <w:szCs w:val="24"/>
        </w:rPr>
        <w:t xml:space="preserve">, and indeed </w:t>
      </w:r>
      <w:r w:rsidR="00652133">
        <w:rPr>
          <w:rFonts w:ascii="Times New Roman" w:hAnsi="Times New Roman" w:cs="Times New Roman"/>
          <w:sz w:val="24"/>
          <w:szCs w:val="24"/>
        </w:rPr>
        <w:t>at one point he observed that a decision to grant a marketing authorisation was in principle justiciable (at para. 52).</w:t>
      </w:r>
      <w:r w:rsidR="00D734AF">
        <w:rPr>
          <w:rFonts w:ascii="Times New Roman" w:hAnsi="Times New Roman" w:cs="Times New Roman"/>
          <w:sz w:val="24"/>
          <w:szCs w:val="24"/>
        </w:rPr>
        <w:t xml:space="preserve">  For reasons I will shortly explain, I have decided that it would not be appropriate</w:t>
      </w:r>
      <w:r w:rsidR="00FD2BDF">
        <w:rPr>
          <w:rFonts w:ascii="Times New Roman" w:hAnsi="Times New Roman" w:cs="Times New Roman"/>
          <w:sz w:val="24"/>
          <w:szCs w:val="24"/>
        </w:rPr>
        <w:t xml:space="preserve"> </w:t>
      </w:r>
      <w:r w:rsidR="00D734AF">
        <w:rPr>
          <w:rFonts w:ascii="Times New Roman" w:hAnsi="Times New Roman" w:cs="Times New Roman"/>
          <w:sz w:val="24"/>
          <w:szCs w:val="24"/>
        </w:rPr>
        <w:t>to de</w:t>
      </w:r>
      <w:r w:rsidR="00FD2BDF">
        <w:rPr>
          <w:rFonts w:ascii="Times New Roman" w:hAnsi="Times New Roman" w:cs="Times New Roman"/>
          <w:sz w:val="24"/>
          <w:szCs w:val="24"/>
        </w:rPr>
        <w:t>termine finally</w:t>
      </w:r>
      <w:r w:rsidR="00D734AF">
        <w:rPr>
          <w:rFonts w:ascii="Times New Roman" w:hAnsi="Times New Roman" w:cs="Times New Roman"/>
          <w:sz w:val="24"/>
          <w:szCs w:val="24"/>
        </w:rPr>
        <w:t xml:space="preserve"> </w:t>
      </w:r>
      <w:r w:rsidR="002C3E0A">
        <w:rPr>
          <w:rFonts w:ascii="Times New Roman" w:hAnsi="Times New Roman" w:cs="Times New Roman"/>
          <w:sz w:val="24"/>
          <w:szCs w:val="24"/>
        </w:rPr>
        <w:t xml:space="preserve">in this application </w:t>
      </w:r>
      <w:r w:rsidR="00D734AF">
        <w:rPr>
          <w:rFonts w:ascii="Times New Roman" w:hAnsi="Times New Roman" w:cs="Times New Roman"/>
          <w:sz w:val="24"/>
          <w:szCs w:val="24"/>
        </w:rPr>
        <w:t xml:space="preserve">whether </w:t>
      </w:r>
      <w:r w:rsidR="00326D47">
        <w:rPr>
          <w:rFonts w:ascii="Times New Roman" w:hAnsi="Times New Roman" w:cs="Times New Roman"/>
          <w:sz w:val="24"/>
          <w:szCs w:val="24"/>
        </w:rPr>
        <w:t>Arthropharm</w:t>
      </w:r>
      <w:r w:rsidR="00652133">
        <w:rPr>
          <w:rFonts w:ascii="Times New Roman" w:hAnsi="Times New Roman" w:cs="Times New Roman"/>
          <w:sz w:val="24"/>
          <w:szCs w:val="24"/>
        </w:rPr>
        <w:t xml:space="preserve"> </w:t>
      </w:r>
      <w:r w:rsidR="00D734AF">
        <w:rPr>
          <w:rFonts w:ascii="Times New Roman" w:hAnsi="Times New Roman" w:cs="Times New Roman"/>
          <w:sz w:val="24"/>
          <w:szCs w:val="24"/>
        </w:rPr>
        <w:t>enjoyed such a right.  Nonetheless, in explaining my approach to the point at which time should be viewed as beginning to run, it is necessary to say something about th</w:t>
      </w:r>
      <w:r w:rsidR="00CD7A2A">
        <w:rPr>
          <w:rFonts w:ascii="Times New Roman" w:hAnsi="Times New Roman" w:cs="Times New Roman"/>
          <w:sz w:val="24"/>
          <w:szCs w:val="24"/>
        </w:rPr>
        <w:t>e question</w:t>
      </w:r>
      <w:r w:rsidR="00974E8C">
        <w:rPr>
          <w:rFonts w:ascii="Times New Roman" w:hAnsi="Times New Roman" w:cs="Times New Roman"/>
          <w:sz w:val="24"/>
          <w:szCs w:val="24"/>
        </w:rPr>
        <w:t xml:space="preserve">.  </w:t>
      </w:r>
      <w:r w:rsidR="00A133D2" w:rsidRPr="00974E8C">
        <w:rPr>
          <w:rFonts w:ascii="Times New Roman" w:hAnsi="Times New Roman" w:cs="Times New Roman"/>
          <w:sz w:val="24"/>
          <w:szCs w:val="24"/>
        </w:rPr>
        <w:t xml:space="preserve">The Directive makes no reference of any kind to such an interest, and neither it nor the </w:t>
      </w:r>
      <w:r w:rsidR="00CA5DD6">
        <w:rPr>
          <w:rFonts w:ascii="Times New Roman" w:hAnsi="Times New Roman" w:cs="Times New Roman"/>
          <w:sz w:val="24"/>
          <w:szCs w:val="24"/>
        </w:rPr>
        <w:t xml:space="preserve">2007 </w:t>
      </w:r>
      <w:r w:rsidR="00A133D2" w:rsidRPr="00974E8C">
        <w:rPr>
          <w:rFonts w:ascii="Times New Roman" w:hAnsi="Times New Roman" w:cs="Times New Roman"/>
          <w:sz w:val="24"/>
          <w:szCs w:val="24"/>
        </w:rPr>
        <w:t xml:space="preserve">Regulations make any provision for the holder of a marketing authorisation to participate in the procedure by which a generic marketing authorisation is granted, </w:t>
      </w:r>
      <w:r w:rsidR="00D90389" w:rsidRPr="00974E8C">
        <w:rPr>
          <w:rFonts w:ascii="Times New Roman" w:hAnsi="Times New Roman" w:cs="Times New Roman"/>
          <w:sz w:val="24"/>
          <w:szCs w:val="24"/>
        </w:rPr>
        <w:t>to be advised of such a decision if</w:t>
      </w:r>
      <w:r w:rsidR="00326D47">
        <w:rPr>
          <w:rFonts w:ascii="Times New Roman" w:hAnsi="Times New Roman" w:cs="Times New Roman"/>
          <w:sz w:val="24"/>
          <w:szCs w:val="24"/>
        </w:rPr>
        <w:t xml:space="preserve"> it is</w:t>
      </w:r>
      <w:r w:rsidR="00D90389" w:rsidRPr="00974E8C">
        <w:rPr>
          <w:rFonts w:ascii="Times New Roman" w:hAnsi="Times New Roman" w:cs="Times New Roman"/>
          <w:sz w:val="24"/>
          <w:szCs w:val="24"/>
        </w:rPr>
        <w:t xml:space="preserve"> made, </w:t>
      </w:r>
      <w:r w:rsidR="00A133D2" w:rsidRPr="00974E8C">
        <w:rPr>
          <w:rFonts w:ascii="Times New Roman" w:hAnsi="Times New Roman" w:cs="Times New Roman"/>
          <w:sz w:val="24"/>
          <w:szCs w:val="24"/>
        </w:rPr>
        <w:t>nor t</w:t>
      </w:r>
      <w:r w:rsidR="00D90389" w:rsidRPr="00974E8C">
        <w:rPr>
          <w:rFonts w:ascii="Times New Roman" w:hAnsi="Times New Roman" w:cs="Times New Roman"/>
          <w:sz w:val="24"/>
          <w:szCs w:val="24"/>
        </w:rPr>
        <w:t>o</w:t>
      </w:r>
      <w:r w:rsidR="00A133D2" w:rsidRPr="00974E8C">
        <w:rPr>
          <w:rFonts w:ascii="Times New Roman" w:hAnsi="Times New Roman" w:cs="Times New Roman"/>
          <w:sz w:val="24"/>
          <w:szCs w:val="24"/>
        </w:rPr>
        <w:t xml:space="preserve"> challenge such a decision when made.</w:t>
      </w:r>
      <w:r w:rsidR="00515B51">
        <w:rPr>
          <w:rFonts w:ascii="Times New Roman" w:hAnsi="Times New Roman" w:cs="Times New Roman"/>
          <w:sz w:val="24"/>
          <w:szCs w:val="24"/>
        </w:rPr>
        <w:t xml:space="preserve">  Instead it envisages what all parties accept to be a bilateral procedure involving HPRA and the applicant for the authorisation.</w:t>
      </w:r>
      <w:r w:rsidR="00E7306D">
        <w:rPr>
          <w:rFonts w:ascii="Times New Roman" w:hAnsi="Times New Roman" w:cs="Times New Roman"/>
          <w:sz w:val="24"/>
          <w:szCs w:val="24"/>
        </w:rPr>
        <w:t xml:space="preserve">  Here I should stress that it was </w:t>
      </w:r>
      <w:r w:rsidR="00E7306D">
        <w:rPr>
          <w:rFonts w:ascii="Times New Roman" w:hAnsi="Times New Roman" w:cs="Times New Roman"/>
          <w:i/>
          <w:sz w:val="24"/>
          <w:szCs w:val="24"/>
        </w:rPr>
        <w:t>not</w:t>
      </w:r>
      <w:r w:rsidR="00E7306D">
        <w:rPr>
          <w:rFonts w:ascii="Times New Roman" w:hAnsi="Times New Roman" w:cs="Times New Roman"/>
          <w:sz w:val="24"/>
          <w:szCs w:val="24"/>
        </w:rPr>
        <w:t xml:space="preserve"> part of the case advanced by Arthropharm that it had any implied right to have the grant of the marketing authorisation reviewed </w:t>
      </w:r>
      <w:r w:rsidR="00E7306D">
        <w:rPr>
          <w:rFonts w:ascii="Times New Roman" w:hAnsi="Times New Roman" w:cs="Times New Roman"/>
          <w:i/>
          <w:sz w:val="24"/>
          <w:szCs w:val="24"/>
        </w:rPr>
        <w:t>de novo</w:t>
      </w:r>
      <w:r w:rsidR="00E7306D">
        <w:rPr>
          <w:rFonts w:ascii="Times New Roman" w:hAnsi="Times New Roman" w:cs="Times New Roman"/>
          <w:sz w:val="24"/>
          <w:szCs w:val="24"/>
        </w:rPr>
        <w:t xml:space="preserve"> and, having regard to the terms of the Directive and indeed the </w:t>
      </w:r>
      <w:r w:rsidR="00651AE6">
        <w:rPr>
          <w:rFonts w:ascii="Times New Roman" w:hAnsi="Times New Roman" w:cs="Times New Roman"/>
          <w:sz w:val="24"/>
          <w:szCs w:val="24"/>
        </w:rPr>
        <w:t xml:space="preserve">CJEU case law to </w:t>
      </w:r>
      <w:r w:rsidR="00651AE6">
        <w:rPr>
          <w:rFonts w:ascii="Times New Roman" w:hAnsi="Times New Roman" w:cs="Times New Roman"/>
          <w:sz w:val="24"/>
          <w:szCs w:val="24"/>
        </w:rPr>
        <w:lastRenderedPageBreak/>
        <w:t>which I will shortly refer,</w:t>
      </w:r>
      <w:r w:rsidR="00E7306D">
        <w:rPr>
          <w:rFonts w:ascii="Times New Roman" w:hAnsi="Times New Roman" w:cs="Times New Roman"/>
          <w:sz w:val="24"/>
          <w:szCs w:val="24"/>
        </w:rPr>
        <w:t xml:space="preserve"> it is hard to see how such a contention – had it been advanced – could have been sustained.</w:t>
      </w:r>
    </w:p>
    <w:p w14:paraId="652E77D8" w14:textId="77777777" w:rsidR="00A133D2" w:rsidRPr="007A793F" w:rsidRDefault="00A133D2" w:rsidP="00A133D2">
      <w:pPr>
        <w:pStyle w:val="ListParagraph"/>
        <w:spacing w:before="240" w:line="480" w:lineRule="auto"/>
        <w:jc w:val="both"/>
        <w:rPr>
          <w:rFonts w:ascii="Times New Roman" w:hAnsi="Times New Roman" w:cs="Times New Roman"/>
          <w:b/>
          <w:sz w:val="24"/>
          <w:szCs w:val="24"/>
        </w:rPr>
      </w:pPr>
      <w:r>
        <w:rPr>
          <w:rFonts w:ascii="Times New Roman" w:hAnsi="Times New Roman" w:cs="Times New Roman"/>
          <w:sz w:val="24"/>
          <w:szCs w:val="24"/>
        </w:rPr>
        <w:t xml:space="preserve">  </w:t>
      </w:r>
    </w:p>
    <w:p w14:paraId="42B87482" w14:textId="52ED3716" w:rsidR="00A133D2" w:rsidRPr="00353E06" w:rsidRDefault="005462BA" w:rsidP="00A133D2">
      <w:pPr>
        <w:pStyle w:val="ListParagraph"/>
        <w:numPr>
          <w:ilvl w:val="0"/>
          <w:numId w:val="1"/>
        </w:numPr>
        <w:spacing w:before="240" w:line="480" w:lineRule="auto"/>
        <w:jc w:val="both"/>
        <w:rPr>
          <w:rFonts w:ascii="Times New Roman" w:hAnsi="Times New Roman" w:cs="Times New Roman"/>
          <w:b/>
          <w:sz w:val="24"/>
          <w:szCs w:val="24"/>
        </w:rPr>
      </w:pPr>
      <w:r>
        <w:rPr>
          <w:rFonts w:ascii="Times New Roman" w:hAnsi="Times New Roman" w:cs="Times New Roman"/>
          <w:sz w:val="24"/>
          <w:szCs w:val="24"/>
        </w:rPr>
        <w:t xml:space="preserve">In any event, </w:t>
      </w:r>
      <w:r w:rsidR="00A133D2">
        <w:rPr>
          <w:rFonts w:ascii="Times New Roman" w:hAnsi="Times New Roman" w:cs="Times New Roman"/>
          <w:sz w:val="24"/>
          <w:szCs w:val="24"/>
        </w:rPr>
        <w:t xml:space="preserve">the </w:t>
      </w:r>
      <w:r w:rsidR="005D64D5">
        <w:rPr>
          <w:rFonts w:ascii="Times New Roman" w:hAnsi="Times New Roman" w:cs="Times New Roman"/>
          <w:sz w:val="24"/>
          <w:szCs w:val="24"/>
        </w:rPr>
        <w:t xml:space="preserve">2001 </w:t>
      </w:r>
      <w:r w:rsidR="00A133D2">
        <w:rPr>
          <w:rFonts w:ascii="Times New Roman" w:hAnsi="Times New Roman" w:cs="Times New Roman"/>
          <w:sz w:val="24"/>
          <w:szCs w:val="24"/>
        </w:rPr>
        <w:t xml:space="preserve">Directive proceeds on the basis that where a market authorisation is granted in respect of a veterinary medicinal product, a generic veterinary medicinal product shall not be placed on the market until a period of ten years have elapsed from the initial authorisation of the reference product (Article 13(1)).  </w:t>
      </w:r>
      <w:r w:rsidR="00D90389">
        <w:rPr>
          <w:rFonts w:ascii="Times New Roman" w:hAnsi="Times New Roman" w:cs="Times New Roman"/>
          <w:sz w:val="24"/>
          <w:szCs w:val="24"/>
        </w:rPr>
        <w:t xml:space="preserve">The </w:t>
      </w:r>
      <w:r w:rsidR="00A133D2">
        <w:rPr>
          <w:rFonts w:ascii="Times New Roman" w:hAnsi="Times New Roman" w:cs="Times New Roman"/>
          <w:sz w:val="24"/>
          <w:szCs w:val="24"/>
        </w:rPr>
        <w:t xml:space="preserve">reference product must have been authorised for at least eight years in a member state or in the European Union before it can be relied upon in the generic authorisation process. </w:t>
      </w:r>
      <w:r w:rsidR="00D90389">
        <w:rPr>
          <w:rFonts w:ascii="Times New Roman" w:hAnsi="Times New Roman" w:cs="Times New Roman"/>
          <w:sz w:val="24"/>
          <w:szCs w:val="24"/>
        </w:rPr>
        <w:t xml:space="preserve"> These </w:t>
      </w:r>
      <w:r w:rsidR="00EE4B3B">
        <w:rPr>
          <w:rFonts w:ascii="Times New Roman" w:hAnsi="Times New Roman" w:cs="Times New Roman"/>
          <w:sz w:val="24"/>
          <w:szCs w:val="24"/>
        </w:rPr>
        <w:t xml:space="preserve">provisions </w:t>
      </w:r>
      <w:r>
        <w:rPr>
          <w:rFonts w:ascii="Times New Roman" w:hAnsi="Times New Roman" w:cs="Times New Roman"/>
          <w:sz w:val="24"/>
          <w:szCs w:val="24"/>
        </w:rPr>
        <w:t xml:space="preserve">thus </w:t>
      </w:r>
      <w:r w:rsidR="00EE4B3B">
        <w:rPr>
          <w:rFonts w:ascii="Times New Roman" w:hAnsi="Times New Roman" w:cs="Times New Roman"/>
          <w:sz w:val="24"/>
          <w:szCs w:val="24"/>
        </w:rPr>
        <w:t>afford</w:t>
      </w:r>
      <w:r w:rsidR="00D90389">
        <w:rPr>
          <w:rFonts w:ascii="Times New Roman" w:hAnsi="Times New Roman" w:cs="Times New Roman"/>
          <w:sz w:val="24"/>
          <w:szCs w:val="24"/>
        </w:rPr>
        <w:t xml:space="preserve"> the holder of the authorisation a period of data exclusivity of eight years, and ten years of market protection.  </w:t>
      </w:r>
      <w:r w:rsidR="00A133D2">
        <w:rPr>
          <w:rFonts w:ascii="Times New Roman" w:hAnsi="Times New Roman" w:cs="Times New Roman"/>
          <w:sz w:val="24"/>
          <w:szCs w:val="24"/>
        </w:rPr>
        <w:t>After the expiry of th</w:t>
      </w:r>
      <w:r w:rsidR="00D90389">
        <w:rPr>
          <w:rFonts w:ascii="Times New Roman" w:hAnsi="Times New Roman" w:cs="Times New Roman"/>
          <w:sz w:val="24"/>
          <w:szCs w:val="24"/>
        </w:rPr>
        <w:t xml:space="preserve">ese </w:t>
      </w:r>
      <w:r w:rsidR="00A133D2">
        <w:rPr>
          <w:rFonts w:ascii="Times New Roman" w:hAnsi="Times New Roman" w:cs="Times New Roman"/>
          <w:sz w:val="24"/>
          <w:szCs w:val="24"/>
        </w:rPr>
        <w:t>period</w:t>
      </w:r>
      <w:r w:rsidR="00D90389">
        <w:rPr>
          <w:rFonts w:ascii="Times New Roman" w:hAnsi="Times New Roman" w:cs="Times New Roman"/>
          <w:sz w:val="24"/>
          <w:szCs w:val="24"/>
        </w:rPr>
        <w:t>s</w:t>
      </w:r>
      <w:r w:rsidR="00A133D2">
        <w:rPr>
          <w:rFonts w:ascii="Times New Roman" w:hAnsi="Times New Roman" w:cs="Times New Roman"/>
          <w:sz w:val="24"/>
          <w:szCs w:val="24"/>
        </w:rPr>
        <w:t xml:space="preserve">, the holder of that authorisation </w:t>
      </w:r>
      <w:r w:rsidR="00201ED5">
        <w:rPr>
          <w:rFonts w:ascii="Times New Roman" w:hAnsi="Times New Roman" w:cs="Times New Roman"/>
          <w:sz w:val="24"/>
          <w:szCs w:val="24"/>
        </w:rPr>
        <w:t xml:space="preserve">can </w:t>
      </w:r>
      <w:r w:rsidR="00A133D2">
        <w:rPr>
          <w:rFonts w:ascii="Times New Roman" w:hAnsi="Times New Roman" w:cs="Times New Roman"/>
          <w:sz w:val="24"/>
          <w:szCs w:val="24"/>
        </w:rPr>
        <w:t>ha</w:t>
      </w:r>
      <w:r w:rsidR="00201ED5">
        <w:rPr>
          <w:rFonts w:ascii="Times New Roman" w:hAnsi="Times New Roman" w:cs="Times New Roman"/>
          <w:sz w:val="24"/>
          <w:szCs w:val="24"/>
        </w:rPr>
        <w:t>ve</w:t>
      </w:r>
      <w:r w:rsidR="00A133D2">
        <w:rPr>
          <w:rFonts w:ascii="Times New Roman" w:hAnsi="Times New Roman" w:cs="Times New Roman"/>
          <w:sz w:val="24"/>
          <w:szCs w:val="24"/>
        </w:rPr>
        <w:t xml:space="preserve"> no expectation of exclusivity. In this case Arthropharm has enjoyed a period of twenty seven years of </w:t>
      </w:r>
      <w:r w:rsidR="00D90389">
        <w:rPr>
          <w:rFonts w:ascii="Times New Roman" w:hAnsi="Times New Roman" w:cs="Times New Roman"/>
          <w:sz w:val="24"/>
          <w:szCs w:val="24"/>
        </w:rPr>
        <w:t>market exclusivity</w:t>
      </w:r>
      <w:r w:rsidR="00A133D2">
        <w:rPr>
          <w:rFonts w:ascii="Times New Roman" w:hAnsi="Times New Roman" w:cs="Times New Roman"/>
          <w:sz w:val="24"/>
          <w:szCs w:val="24"/>
        </w:rPr>
        <w:t xml:space="preserve"> prior to the placing on the market of a competing generic product.</w:t>
      </w:r>
    </w:p>
    <w:p w14:paraId="395A6D4D" w14:textId="77777777" w:rsidR="00A133D2" w:rsidRDefault="00A133D2" w:rsidP="00A133D2">
      <w:pPr>
        <w:pStyle w:val="ListParagraph"/>
        <w:spacing w:before="24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14:paraId="25928AA3" w14:textId="7C29C95D" w:rsidR="005B4E3C" w:rsidRPr="005B4E3C" w:rsidRDefault="00A133D2" w:rsidP="00A133D2">
      <w:pPr>
        <w:pStyle w:val="ListParagraph"/>
        <w:numPr>
          <w:ilvl w:val="0"/>
          <w:numId w:val="1"/>
        </w:numPr>
        <w:spacing w:before="240" w:line="480" w:lineRule="auto"/>
        <w:jc w:val="both"/>
        <w:rPr>
          <w:rFonts w:ascii="Times New Roman" w:hAnsi="Times New Roman" w:cs="Times New Roman"/>
          <w:b/>
          <w:sz w:val="24"/>
          <w:szCs w:val="24"/>
        </w:rPr>
      </w:pPr>
      <w:r>
        <w:rPr>
          <w:rFonts w:ascii="Times New Roman" w:hAnsi="Times New Roman" w:cs="Times New Roman"/>
          <w:sz w:val="24"/>
          <w:szCs w:val="24"/>
        </w:rPr>
        <w:t>In addressing the legal interest of Arthropharm in the process of authorisation of the generic product, its counsel referred the court to the decision of the CJEU in</w:t>
      </w:r>
      <w:r w:rsidR="00326D47">
        <w:rPr>
          <w:rFonts w:ascii="Times New Roman" w:hAnsi="Times New Roman" w:cs="Times New Roman"/>
          <w:sz w:val="24"/>
          <w:szCs w:val="24"/>
        </w:rPr>
        <w:t xml:space="preserve"> </w:t>
      </w:r>
      <w:r w:rsidR="00326D47" w:rsidRPr="00326D47">
        <w:rPr>
          <w:rFonts w:ascii="Times New Roman" w:hAnsi="Times New Roman" w:cs="Times New Roman"/>
          <w:sz w:val="24"/>
          <w:szCs w:val="24"/>
        </w:rPr>
        <w:t>Case C-104/13.</w:t>
      </w:r>
      <w:r w:rsidR="00651AE6">
        <w:rPr>
          <w:rFonts w:ascii="Times New Roman" w:hAnsi="Times New Roman" w:cs="Times New Roman"/>
          <w:sz w:val="24"/>
          <w:szCs w:val="24"/>
        </w:rPr>
        <w:t xml:space="preserve"> </w:t>
      </w:r>
      <w:r w:rsidR="00326D47">
        <w:rPr>
          <w:rFonts w:ascii="Times New Roman" w:hAnsi="Times New Roman" w:cs="Times New Roman"/>
          <w:i/>
          <w:iCs/>
          <w:sz w:val="24"/>
          <w:szCs w:val="24"/>
        </w:rPr>
        <w:t>Olainfarm</w:t>
      </w:r>
      <w:r>
        <w:rPr>
          <w:rFonts w:ascii="Times New Roman" w:hAnsi="Times New Roman" w:cs="Times New Roman"/>
          <w:i/>
          <w:sz w:val="24"/>
          <w:szCs w:val="24"/>
        </w:rPr>
        <w:t xml:space="preserve"> AS v. </w:t>
      </w:r>
      <w:proofErr w:type="spellStart"/>
      <w:r>
        <w:rPr>
          <w:rFonts w:ascii="Times New Roman" w:hAnsi="Times New Roman" w:cs="Times New Roman"/>
          <w:i/>
          <w:sz w:val="24"/>
          <w:szCs w:val="24"/>
        </w:rPr>
        <w:t>Latvijas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Republikas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Veselibas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ministrija</w:t>
      </w:r>
      <w:proofErr w:type="spellEnd"/>
      <w:r>
        <w:rPr>
          <w:rFonts w:ascii="Times New Roman" w:hAnsi="Times New Roman" w:cs="Times New Roman"/>
          <w:i/>
          <w:sz w:val="24"/>
          <w:szCs w:val="24"/>
        </w:rPr>
        <w:t xml:space="preserve"> </w:t>
      </w:r>
      <w:r w:rsidR="00326D47" w:rsidRPr="00326D47">
        <w:rPr>
          <w:rFonts w:ascii="Times New Roman" w:hAnsi="Times New Roman" w:cs="Times New Roman"/>
          <w:iCs/>
          <w:sz w:val="24"/>
          <w:szCs w:val="24"/>
        </w:rPr>
        <w:t>ECLI:EU:C:2014:2316</w:t>
      </w:r>
      <w:r w:rsidR="00651AE6">
        <w:rPr>
          <w:rFonts w:ascii="Times New Roman" w:hAnsi="Times New Roman" w:cs="Times New Roman"/>
          <w:sz w:val="24"/>
          <w:szCs w:val="24"/>
        </w:rPr>
        <w:t>, contending that in t</w:t>
      </w:r>
      <w:r w:rsidR="005462BA">
        <w:rPr>
          <w:rFonts w:ascii="Times New Roman" w:hAnsi="Times New Roman" w:cs="Times New Roman"/>
          <w:sz w:val="24"/>
          <w:szCs w:val="24"/>
        </w:rPr>
        <w:t>hat</w:t>
      </w:r>
      <w:r w:rsidR="00651AE6">
        <w:rPr>
          <w:rFonts w:ascii="Times New Roman" w:hAnsi="Times New Roman" w:cs="Times New Roman"/>
          <w:sz w:val="24"/>
          <w:szCs w:val="24"/>
        </w:rPr>
        <w:t xml:space="preserve"> case the court</w:t>
      </w:r>
      <w:r w:rsidR="005B4E3C">
        <w:rPr>
          <w:rFonts w:ascii="Times New Roman" w:hAnsi="Times New Roman" w:cs="Times New Roman"/>
          <w:sz w:val="24"/>
          <w:szCs w:val="24"/>
        </w:rPr>
        <w:t xml:space="preserve"> recognised a right on the part of </w:t>
      </w:r>
      <w:r w:rsidR="005462BA">
        <w:rPr>
          <w:rFonts w:ascii="Times New Roman" w:hAnsi="Times New Roman" w:cs="Times New Roman"/>
          <w:sz w:val="24"/>
          <w:szCs w:val="24"/>
        </w:rPr>
        <w:t xml:space="preserve">a party in the position of </w:t>
      </w:r>
      <w:r w:rsidR="005B4E3C">
        <w:rPr>
          <w:rFonts w:ascii="Times New Roman" w:hAnsi="Times New Roman" w:cs="Times New Roman"/>
          <w:sz w:val="24"/>
          <w:szCs w:val="24"/>
        </w:rPr>
        <w:t xml:space="preserve">Arthropharm to challenge the marketing authorisation.  This may be, but is not necessarily, correct.  It is certainly </w:t>
      </w:r>
      <w:r w:rsidR="005B4E3C">
        <w:rPr>
          <w:rFonts w:ascii="Times New Roman" w:hAnsi="Times New Roman" w:cs="Times New Roman"/>
          <w:i/>
          <w:sz w:val="24"/>
          <w:szCs w:val="24"/>
        </w:rPr>
        <w:t>not</w:t>
      </w:r>
      <w:r w:rsidR="005B4E3C">
        <w:rPr>
          <w:rFonts w:ascii="Times New Roman" w:hAnsi="Times New Roman" w:cs="Times New Roman"/>
          <w:sz w:val="24"/>
          <w:szCs w:val="24"/>
        </w:rPr>
        <w:t xml:space="preserve"> </w:t>
      </w:r>
      <w:r w:rsidR="004B1181">
        <w:rPr>
          <w:rFonts w:ascii="Times New Roman" w:hAnsi="Times New Roman" w:cs="Times New Roman"/>
          <w:sz w:val="24"/>
          <w:szCs w:val="24"/>
        </w:rPr>
        <w:t>accurate</w:t>
      </w:r>
      <w:r w:rsidR="005B4E3C">
        <w:rPr>
          <w:rFonts w:ascii="Times New Roman" w:hAnsi="Times New Roman" w:cs="Times New Roman"/>
          <w:sz w:val="24"/>
          <w:szCs w:val="24"/>
        </w:rPr>
        <w:t xml:space="preserve"> to assert, as counsel did, that the case law was ‘</w:t>
      </w:r>
      <w:r w:rsidR="005B4E3C">
        <w:rPr>
          <w:rFonts w:ascii="Times New Roman" w:hAnsi="Times New Roman" w:cs="Times New Roman"/>
          <w:i/>
          <w:sz w:val="24"/>
          <w:szCs w:val="24"/>
        </w:rPr>
        <w:t>clear’</w:t>
      </w:r>
      <w:r w:rsidR="004B1181">
        <w:rPr>
          <w:rFonts w:ascii="Times New Roman" w:hAnsi="Times New Roman" w:cs="Times New Roman"/>
          <w:sz w:val="24"/>
          <w:szCs w:val="24"/>
        </w:rPr>
        <w:t>.</w:t>
      </w:r>
    </w:p>
    <w:p w14:paraId="01DD6649" w14:textId="77777777" w:rsidR="005B4E3C" w:rsidRPr="005B4E3C" w:rsidRDefault="005B4E3C" w:rsidP="005B4E3C">
      <w:pPr>
        <w:pStyle w:val="ListParagraph"/>
        <w:rPr>
          <w:rFonts w:ascii="Times New Roman" w:hAnsi="Times New Roman" w:cs="Times New Roman"/>
          <w:sz w:val="24"/>
          <w:szCs w:val="24"/>
        </w:rPr>
      </w:pPr>
    </w:p>
    <w:p w14:paraId="5D200726" w14:textId="7D19D7E9" w:rsidR="00A133D2" w:rsidRPr="000F0975" w:rsidRDefault="005B4E3C" w:rsidP="00A133D2">
      <w:pPr>
        <w:pStyle w:val="ListParagraph"/>
        <w:numPr>
          <w:ilvl w:val="0"/>
          <w:numId w:val="1"/>
        </w:numPr>
        <w:spacing w:before="240" w:line="48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i/>
          <w:sz w:val="24"/>
          <w:szCs w:val="24"/>
        </w:rPr>
        <w:t xml:space="preserve">Olainfarm </w:t>
      </w:r>
      <w:r w:rsidR="00A133D2">
        <w:rPr>
          <w:rFonts w:ascii="Times New Roman" w:hAnsi="Times New Roman" w:cs="Times New Roman"/>
          <w:sz w:val="24"/>
          <w:szCs w:val="24"/>
        </w:rPr>
        <w:t xml:space="preserve">concerned not the </w:t>
      </w:r>
      <w:r w:rsidR="005D64D5">
        <w:rPr>
          <w:rFonts w:ascii="Times New Roman" w:hAnsi="Times New Roman" w:cs="Times New Roman"/>
          <w:sz w:val="24"/>
          <w:szCs w:val="24"/>
        </w:rPr>
        <w:t xml:space="preserve">2001 </w:t>
      </w:r>
      <w:r w:rsidR="00A133D2">
        <w:rPr>
          <w:rFonts w:ascii="Times New Roman" w:hAnsi="Times New Roman" w:cs="Times New Roman"/>
          <w:sz w:val="24"/>
          <w:szCs w:val="24"/>
        </w:rPr>
        <w:t xml:space="preserve">Directive, but Directive 2001/83/EC of the European Parliament and of the Council of 6 November 2001 on the Community code relating to medicinal products for human use (‘Directive 2001/83’).  Nonetheless, it is </w:t>
      </w:r>
      <w:r w:rsidR="00A133D2">
        <w:rPr>
          <w:rFonts w:ascii="Times New Roman" w:hAnsi="Times New Roman" w:cs="Times New Roman"/>
          <w:sz w:val="24"/>
          <w:szCs w:val="24"/>
        </w:rPr>
        <w:lastRenderedPageBreak/>
        <w:t xml:space="preserve">of relevance here as Article 10 of Directive 2001/83 similarly enabled by way of derogation from </w:t>
      </w:r>
      <w:r w:rsidR="00326D47">
        <w:rPr>
          <w:rFonts w:ascii="Times New Roman" w:hAnsi="Times New Roman" w:cs="Times New Roman"/>
          <w:sz w:val="24"/>
          <w:szCs w:val="24"/>
        </w:rPr>
        <w:t>some</w:t>
      </w:r>
      <w:r w:rsidR="00A133D2">
        <w:rPr>
          <w:rFonts w:ascii="Times New Roman" w:hAnsi="Times New Roman" w:cs="Times New Roman"/>
          <w:sz w:val="24"/>
          <w:szCs w:val="24"/>
        </w:rPr>
        <w:t xml:space="preserve"> of the requirements normally imposed on an applicant for such authorisation, the grant of a marketing authorisation in respect of a generic product where there is an authorised reference product.  As with the </w:t>
      </w:r>
      <w:r w:rsidR="001879C9">
        <w:rPr>
          <w:rFonts w:ascii="Times New Roman" w:hAnsi="Times New Roman" w:cs="Times New Roman"/>
          <w:sz w:val="24"/>
          <w:szCs w:val="24"/>
        </w:rPr>
        <w:t xml:space="preserve">2001 </w:t>
      </w:r>
      <w:r w:rsidR="00A133D2">
        <w:rPr>
          <w:rFonts w:ascii="Times New Roman" w:hAnsi="Times New Roman" w:cs="Times New Roman"/>
          <w:sz w:val="24"/>
          <w:szCs w:val="24"/>
        </w:rPr>
        <w:t>Directive</w:t>
      </w:r>
      <w:r w:rsidR="001879C9">
        <w:rPr>
          <w:rFonts w:ascii="Times New Roman" w:hAnsi="Times New Roman" w:cs="Times New Roman"/>
          <w:sz w:val="24"/>
          <w:szCs w:val="24"/>
        </w:rPr>
        <w:t xml:space="preserve">, </w:t>
      </w:r>
      <w:r w:rsidR="00A133D2">
        <w:rPr>
          <w:rFonts w:ascii="Times New Roman" w:hAnsi="Times New Roman" w:cs="Times New Roman"/>
          <w:sz w:val="24"/>
          <w:szCs w:val="24"/>
        </w:rPr>
        <w:t>this c</w:t>
      </w:r>
      <w:r w:rsidR="001879C9">
        <w:rPr>
          <w:rFonts w:ascii="Times New Roman" w:hAnsi="Times New Roman" w:cs="Times New Roman"/>
          <w:sz w:val="24"/>
          <w:szCs w:val="24"/>
        </w:rPr>
        <w:t>ould</w:t>
      </w:r>
      <w:r w:rsidR="00A133D2">
        <w:rPr>
          <w:rFonts w:ascii="Times New Roman" w:hAnsi="Times New Roman" w:cs="Times New Roman"/>
          <w:sz w:val="24"/>
          <w:szCs w:val="24"/>
        </w:rPr>
        <w:t xml:space="preserve"> only be done where the reference product ha</w:t>
      </w:r>
      <w:r w:rsidR="001879C9">
        <w:rPr>
          <w:rFonts w:ascii="Times New Roman" w:hAnsi="Times New Roman" w:cs="Times New Roman"/>
          <w:sz w:val="24"/>
          <w:szCs w:val="24"/>
        </w:rPr>
        <w:t>d</w:t>
      </w:r>
      <w:r w:rsidR="00A133D2">
        <w:rPr>
          <w:rFonts w:ascii="Times New Roman" w:hAnsi="Times New Roman" w:cs="Times New Roman"/>
          <w:sz w:val="24"/>
          <w:szCs w:val="24"/>
        </w:rPr>
        <w:t xml:space="preserve"> been authorised for not less than eight years,</w:t>
      </w:r>
      <w:r w:rsidR="00B61B64">
        <w:rPr>
          <w:rFonts w:ascii="Times New Roman" w:hAnsi="Times New Roman" w:cs="Times New Roman"/>
          <w:sz w:val="24"/>
          <w:szCs w:val="24"/>
        </w:rPr>
        <w:t xml:space="preserve"> it being permissible to place</w:t>
      </w:r>
      <w:r w:rsidR="00A133D2">
        <w:rPr>
          <w:rFonts w:ascii="Times New Roman" w:hAnsi="Times New Roman" w:cs="Times New Roman"/>
          <w:sz w:val="24"/>
          <w:szCs w:val="24"/>
        </w:rPr>
        <w:t xml:space="preserve"> the generic product on the market only when ten years ha</w:t>
      </w:r>
      <w:r w:rsidR="001879C9">
        <w:rPr>
          <w:rFonts w:ascii="Times New Roman" w:hAnsi="Times New Roman" w:cs="Times New Roman"/>
          <w:sz w:val="24"/>
          <w:szCs w:val="24"/>
        </w:rPr>
        <w:t>d</w:t>
      </w:r>
      <w:r w:rsidR="00A133D2">
        <w:rPr>
          <w:rFonts w:ascii="Times New Roman" w:hAnsi="Times New Roman" w:cs="Times New Roman"/>
          <w:sz w:val="24"/>
          <w:szCs w:val="24"/>
        </w:rPr>
        <w:t xml:space="preserve"> elapsed from the initial authorisation of the reference product.</w:t>
      </w:r>
    </w:p>
    <w:p w14:paraId="30BF3763" w14:textId="77777777" w:rsidR="00A133D2" w:rsidRPr="000F0975" w:rsidRDefault="00A133D2" w:rsidP="00A133D2">
      <w:pPr>
        <w:pStyle w:val="ListParagraph"/>
        <w:rPr>
          <w:rFonts w:ascii="Times New Roman" w:hAnsi="Times New Roman" w:cs="Times New Roman"/>
          <w:sz w:val="24"/>
          <w:szCs w:val="24"/>
        </w:rPr>
      </w:pPr>
    </w:p>
    <w:p w14:paraId="32BCB119" w14:textId="344A2212" w:rsidR="00A133D2" w:rsidRPr="00AD00B5" w:rsidRDefault="00A133D2" w:rsidP="00A133D2">
      <w:pPr>
        <w:pStyle w:val="ListParagraph"/>
        <w:numPr>
          <w:ilvl w:val="0"/>
          <w:numId w:val="1"/>
        </w:numPr>
        <w:spacing w:before="240" w:line="480" w:lineRule="auto"/>
        <w:jc w:val="both"/>
        <w:rPr>
          <w:rFonts w:ascii="Times New Roman" w:hAnsi="Times New Roman" w:cs="Times New Roman"/>
          <w:b/>
          <w:sz w:val="24"/>
          <w:szCs w:val="24"/>
        </w:rPr>
      </w:pPr>
      <w:r>
        <w:rPr>
          <w:rFonts w:ascii="Times New Roman" w:hAnsi="Times New Roman" w:cs="Times New Roman"/>
          <w:sz w:val="24"/>
          <w:szCs w:val="24"/>
        </w:rPr>
        <w:t xml:space="preserve">Article 10a of Directive 2001/83 contained another derogation from certain requirements normally imposed upon an applicant for a marketing authorisation, introducing a similar simplified authorisation procedure.  It operated to exempt an applicant for such an authorisation from the obligation otherwise arising to provide the results of pre-clinical tests or clinical trials if </w:t>
      </w:r>
      <w:r w:rsidR="00B61B64">
        <w:rPr>
          <w:rFonts w:ascii="Times New Roman" w:hAnsi="Times New Roman" w:cs="Times New Roman"/>
          <w:sz w:val="24"/>
          <w:szCs w:val="24"/>
        </w:rPr>
        <w:t>it</w:t>
      </w:r>
      <w:r>
        <w:rPr>
          <w:rFonts w:ascii="Times New Roman" w:hAnsi="Times New Roman" w:cs="Times New Roman"/>
          <w:sz w:val="24"/>
          <w:szCs w:val="24"/>
        </w:rPr>
        <w:t xml:space="preserve"> could demonstrate that the active substances of the medicinal product ha</w:t>
      </w:r>
      <w:r w:rsidR="001879C9">
        <w:rPr>
          <w:rFonts w:ascii="Times New Roman" w:hAnsi="Times New Roman" w:cs="Times New Roman"/>
          <w:sz w:val="24"/>
          <w:szCs w:val="24"/>
        </w:rPr>
        <w:t>d</w:t>
      </w:r>
      <w:r>
        <w:rPr>
          <w:rFonts w:ascii="Times New Roman" w:hAnsi="Times New Roman" w:cs="Times New Roman"/>
          <w:sz w:val="24"/>
          <w:szCs w:val="24"/>
        </w:rPr>
        <w:t xml:space="preserve"> been – subject to certain conditions - in </w:t>
      </w:r>
      <w:r w:rsidR="00326D47">
        <w:rPr>
          <w:rFonts w:ascii="Times New Roman" w:hAnsi="Times New Roman" w:cs="Times New Roman"/>
          <w:sz w:val="24"/>
          <w:szCs w:val="24"/>
        </w:rPr>
        <w:t>well-established</w:t>
      </w:r>
      <w:r>
        <w:rPr>
          <w:rFonts w:ascii="Times New Roman" w:hAnsi="Times New Roman" w:cs="Times New Roman"/>
          <w:sz w:val="24"/>
          <w:szCs w:val="24"/>
        </w:rPr>
        <w:t xml:space="preserve"> medicinal use within the Community within ten years.</w:t>
      </w:r>
      <w:r w:rsidR="00757173">
        <w:rPr>
          <w:rStyle w:val="FootnoteReference"/>
          <w:rFonts w:ascii="Times New Roman" w:hAnsi="Times New Roman" w:cs="Times New Roman"/>
          <w:sz w:val="24"/>
          <w:szCs w:val="24"/>
        </w:rPr>
        <w:footnoteReference w:id="6"/>
      </w:r>
      <w:r>
        <w:rPr>
          <w:rFonts w:ascii="Times New Roman" w:hAnsi="Times New Roman" w:cs="Times New Roman"/>
          <w:sz w:val="24"/>
          <w:szCs w:val="24"/>
        </w:rPr>
        <w:t xml:space="preserve"> </w:t>
      </w:r>
    </w:p>
    <w:p w14:paraId="0BE2E7A6" w14:textId="77777777" w:rsidR="00A133D2" w:rsidRPr="00AD00B5" w:rsidRDefault="00A133D2" w:rsidP="00A133D2">
      <w:pPr>
        <w:pStyle w:val="ListParagraph"/>
        <w:rPr>
          <w:rFonts w:ascii="Times New Roman" w:hAnsi="Times New Roman" w:cs="Times New Roman"/>
          <w:b/>
          <w:sz w:val="24"/>
          <w:szCs w:val="24"/>
        </w:rPr>
      </w:pPr>
    </w:p>
    <w:p w14:paraId="1ADD7D6F" w14:textId="374F57EC" w:rsidR="00A133D2" w:rsidRPr="00FB5589" w:rsidRDefault="00A133D2" w:rsidP="00A133D2">
      <w:pPr>
        <w:pStyle w:val="ListParagraph"/>
        <w:numPr>
          <w:ilvl w:val="0"/>
          <w:numId w:val="1"/>
        </w:numPr>
        <w:spacing w:before="24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In 2008 </w:t>
      </w:r>
      <w:r w:rsidR="00326D47">
        <w:rPr>
          <w:rFonts w:ascii="Times New Roman" w:hAnsi="Times New Roman" w:cs="Times New Roman"/>
          <w:sz w:val="24"/>
          <w:szCs w:val="24"/>
        </w:rPr>
        <w:t>Olainfarm</w:t>
      </w:r>
      <w:r w:rsidR="00B0465B">
        <w:rPr>
          <w:rFonts w:ascii="Times New Roman" w:hAnsi="Times New Roman" w:cs="Times New Roman"/>
          <w:sz w:val="24"/>
          <w:szCs w:val="24"/>
        </w:rPr>
        <w:t xml:space="preserve"> </w:t>
      </w:r>
      <w:r>
        <w:rPr>
          <w:rFonts w:ascii="Times New Roman" w:hAnsi="Times New Roman" w:cs="Times New Roman"/>
          <w:sz w:val="24"/>
          <w:szCs w:val="24"/>
        </w:rPr>
        <w:t>obtained a marketing authorisation in Latvia for a product called NEIROMIDIN.  It did so in accordance with Article 10a of Directive 2001/83, having demonstrated that the active substances of the product had been in well</w:t>
      </w:r>
      <w:r w:rsidR="00974E8C">
        <w:rPr>
          <w:rFonts w:ascii="Times New Roman" w:hAnsi="Times New Roman" w:cs="Times New Roman"/>
          <w:sz w:val="24"/>
          <w:szCs w:val="24"/>
        </w:rPr>
        <w:t>-</w:t>
      </w:r>
      <w:r>
        <w:rPr>
          <w:rFonts w:ascii="Times New Roman" w:hAnsi="Times New Roman" w:cs="Times New Roman"/>
          <w:sz w:val="24"/>
          <w:szCs w:val="24"/>
        </w:rPr>
        <w:t xml:space="preserve">established medicinal use within the Community for at least ten years. In 2011, another pharmaceutical company, </w:t>
      </w:r>
      <w:proofErr w:type="spellStart"/>
      <w:r>
        <w:rPr>
          <w:rFonts w:ascii="Times New Roman" w:hAnsi="Times New Roman" w:cs="Times New Roman"/>
          <w:sz w:val="24"/>
          <w:szCs w:val="24"/>
        </w:rPr>
        <w:t>Grindeks</w:t>
      </w:r>
      <w:proofErr w:type="spellEnd"/>
      <w:r>
        <w:rPr>
          <w:rFonts w:ascii="Times New Roman" w:hAnsi="Times New Roman" w:cs="Times New Roman"/>
          <w:sz w:val="24"/>
          <w:szCs w:val="24"/>
        </w:rPr>
        <w:t xml:space="preserve"> AS</w:t>
      </w:r>
      <w:r w:rsidR="00974E8C">
        <w:rPr>
          <w:rFonts w:ascii="Times New Roman" w:hAnsi="Times New Roman" w:cs="Times New Roman"/>
          <w:sz w:val="24"/>
          <w:szCs w:val="24"/>
        </w:rPr>
        <w:t>,</w:t>
      </w:r>
      <w:r>
        <w:rPr>
          <w:rFonts w:ascii="Times New Roman" w:hAnsi="Times New Roman" w:cs="Times New Roman"/>
          <w:sz w:val="24"/>
          <w:szCs w:val="24"/>
        </w:rPr>
        <w:t xml:space="preserve"> obtained a generic marketing authorisation under Article 10 of Directive 2001/83.  It did so purporting to use NEIROMIDIN as its reference product.  </w:t>
      </w:r>
      <w:r w:rsidR="00B0465B">
        <w:rPr>
          <w:rFonts w:ascii="Times New Roman" w:hAnsi="Times New Roman" w:cs="Times New Roman"/>
          <w:sz w:val="24"/>
          <w:szCs w:val="24"/>
        </w:rPr>
        <w:t xml:space="preserve">Olainfarm </w:t>
      </w:r>
      <w:r>
        <w:rPr>
          <w:rFonts w:ascii="Times New Roman" w:hAnsi="Times New Roman" w:cs="Times New Roman"/>
          <w:sz w:val="24"/>
          <w:szCs w:val="24"/>
        </w:rPr>
        <w:t>sought to challenge the grant of the generic product authorisation</w:t>
      </w:r>
      <w:r w:rsidR="00B61B64">
        <w:rPr>
          <w:rFonts w:ascii="Times New Roman" w:hAnsi="Times New Roman" w:cs="Times New Roman"/>
          <w:sz w:val="24"/>
          <w:szCs w:val="24"/>
        </w:rPr>
        <w:t xml:space="preserve"> by application brought before the relevant authority in Latvia</w:t>
      </w:r>
      <w:r>
        <w:rPr>
          <w:rFonts w:ascii="Times New Roman" w:hAnsi="Times New Roman" w:cs="Times New Roman"/>
          <w:sz w:val="24"/>
          <w:szCs w:val="24"/>
        </w:rPr>
        <w:t xml:space="preserve">.  Its case was that that the documents submitted for registration of the reference product did not </w:t>
      </w:r>
      <w:r>
        <w:rPr>
          <w:rFonts w:ascii="Times New Roman" w:hAnsi="Times New Roman" w:cs="Times New Roman"/>
          <w:sz w:val="24"/>
          <w:szCs w:val="24"/>
        </w:rPr>
        <w:lastRenderedPageBreak/>
        <w:t xml:space="preserve">comply with EU law requirements for generic medicinal products.  The complaint was rejected on the basis that the holder of a marketing authorisation did not enjoy an individual right to challenge an authorisation granted for a generic of the reference product. </w:t>
      </w:r>
    </w:p>
    <w:p w14:paraId="3E21D2A8" w14:textId="77777777" w:rsidR="00A133D2" w:rsidRPr="00FB5589" w:rsidRDefault="00A133D2" w:rsidP="00A133D2">
      <w:pPr>
        <w:pStyle w:val="ListParagraph"/>
        <w:rPr>
          <w:rFonts w:ascii="Times New Roman" w:hAnsi="Times New Roman" w:cs="Times New Roman"/>
          <w:sz w:val="24"/>
          <w:szCs w:val="24"/>
        </w:rPr>
      </w:pPr>
    </w:p>
    <w:p w14:paraId="329B4DE0" w14:textId="66F4A972" w:rsidR="00A133D2" w:rsidRPr="00FB5589" w:rsidRDefault="00A133D2" w:rsidP="00A133D2">
      <w:pPr>
        <w:pStyle w:val="ListParagraph"/>
        <w:numPr>
          <w:ilvl w:val="0"/>
          <w:numId w:val="1"/>
        </w:numPr>
        <w:spacing w:before="240" w:line="480" w:lineRule="auto"/>
        <w:jc w:val="both"/>
        <w:rPr>
          <w:rFonts w:ascii="Times New Roman" w:hAnsi="Times New Roman" w:cs="Times New Roman"/>
          <w:b/>
          <w:sz w:val="24"/>
          <w:szCs w:val="24"/>
        </w:rPr>
      </w:pPr>
      <w:r>
        <w:rPr>
          <w:rFonts w:ascii="Times New Roman" w:hAnsi="Times New Roman" w:cs="Times New Roman"/>
          <w:sz w:val="24"/>
          <w:szCs w:val="24"/>
        </w:rPr>
        <w:t xml:space="preserve">That decision was challenged in annulment proceedings, Olainfarm contending that as the manufacturer of the reference product it enjoyed an individual right to challenge what it claimed was the unjustified advantage which, it contended, had been granted to </w:t>
      </w:r>
      <w:proofErr w:type="spellStart"/>
      <w:r>
        <w:rPr>
          <w:rFonts w:ascii="Times New Roman" w:hAnsi="Times New Roman" w:cs="Times New Roman"/>
          <w:sz w:val="24"/>
          <w:szCs w:val="24"/>
        </w:rPr>
        <w:t>Grindek</w:t>
      </w:r>
      <w:r w:rsidR="00D711A0">
        <w:rPr>
          <w:rFonts w:ascii="Times New Roman" w:hAnsi="Times New Roman" w:cs="Times New Roman"/>
          <w:sz w:val="24"/>
          <w:szCs w:val="24"/>
        </w:rPr>
        <w:t>s</w:t>
      </w:r>
      <w:proofErr w:type="spellEnd"/>
      <w:r>
        <w:rPr>
          <w:rFonts w:ascii="Times New Roman" w:hAnsi="Times New Roman" w:cs="Times New Roman"/>
          <w:sz w:val="24"/>
          <w:szCs w:val="24"/>
        </w:rPr>
        <w:t xml:space="preserve">.  Its substantive case was that a medicinal product for which a marketing authorisation had been granted in accordance with Article 10a did not constitute a reference medicinal product for the purposes of Article 10.  The Senate of the </w:t>
      </w:r>
      <w:r w:rsidR="00B61B64">
        <w:rPr>
          <w:rFonts w:ascii="Times New Roman" w:hAnsi="Times New Roman" w:cs="Times New Roman"/>
          <w:sz w:val="24"/>
          <w:szCs w:val="24"/>
        </w:rPr>
        <w:t xml:space="preserve">Latvian </w:t>
      </w:r>
      <w:r>
        <w:rPr>
          <w:rFonts w:ascii="Times New Roman" w:hAnsi="Times New Roman" w:cs="Times New Roman"/>
          <w:sz w:val="24"/>
          <w:szCs w:val="24"/>
        </w:rPr>
        <w:t>Supreme Court referred two questions to</w:t>
      </w:r>
      <w:r w:rsidR="00B0465B">
        <w:rPr>
          <w:rFonts w:ascii="Times New Roman" w:hAnsi="Times New Roman" w:cs="Times New Roman"/>
          <w:sz w:val="24"/>
          <w:szCs w:val="24"/>
        </w:rPr>
        <w:t xml:space="preserve"> the</w:t>
      </w:r>
      <w:r>
        <w:rPr>
          <w:rFonts w:ascii="Times New Roman" w:hAnsi="Times New Roman" w:cs="Times New Roman"/>
          <w:sz w:val="24"/>
          <w:szCs w:val="24"/>
        </w:rPr>
        <w:t xml:space="preserve"> CJEU by way of </w:t>
      </w:r>
      <w:r w:rsidR="00515B51">
        <w:rPr>
          <w:rFonts w:ascii="Times New Roman" w:hAnsi="Times New Roman" w:cs="Times New Roman"/>
          <w:sz w:val="24"/>
          <w:szCs w:val="24"/>
        </w:rPr>
        <w:t xml:space="preserve">an application for a </w:t>
      </w:r>
      <w:r>
        <w:rPr>
          <w:rFonts w:ascii="Times New Roman" w:hAnsi="Times New Roman" w:cs="Times New Roman"/>
          <w:sz w:val="24"/>
          <w:szCs w:val="24"/>
        </w:rPr>
        <w:t xml:space="preserve">preliminary ruling.  One of these was as to the substantive issue regarding the use of Article 10 in respect of a product authorised in accordance with Article 10a. The other was as to whether the manufacturer of a reference medicinal product enjoys an individual right to bring an action challenging the decision of a competent authority by which a generic medicinal product of another manufacturer of medicinal products was registered, using as a reference </w:t>
      </w:r>
      <w:r w:rsidR="00CD7A2A">
        <w:rPr>
          <w:rFonts w:ascii="Times New Roman" w:hAnsi="Times New Roman" w:cs="Times New Roman"/>
          <w:sz w:val="24"/>
          <w:szCs w:val="24"/>
        </w:rPr>
        <w:t>the registration of its product.</w:t>
      </w:r>
    </w:p>
    <w:p w14:paraId="0B0751DC" w14:textId="77777777" w:rsidR="00A133D2" w:rsidRPr="00FB5589" w:rsidRDefault="00A133D2" w:rsidP="00A133D2">
      <w:pPr>
        <w:pStyle w:val="ListParagraph"/>
        <w:rPr>
          <w:rFonts w:ascii="Times New Roman" w:hAnsi="Times New Roman" w:cs="Times New Roman"/>
          <w:b/>
          <w:sz w:val="24"/>
          <w:szCs w:val="24"/>
        </w:rPr>
      </w:pPr>
    </w:p>
    <w:p w14:paraId="32DC2357" w14:textId="4601E5A6" w:rsidR="00A133D2" w:rsidRPr="00E576C7" w:rsidRDefault="00A133D2" w:rsidP="00A133D2">
      <w:pPr>
        <w:pStyle w:val="ListParagraph"/>
        <w:numPr>
          <w:ilvl w:val="0"/>
          <w:numId w:val="1"/>
        </w:numPr>
        <w:spacing w:before="240" w:line="480" w:lineRule="auto"/>
        <w:jc w:val="both"/>
        <w:rPr>
          <w:rFonts w:ascii="Times New Roman" w:hAnsi="Times New Roman" w:cs="Times New Roman"/>
          <w:b/>
          <w:sz w:val="24"/>
          <w:szCs w:val="24"/>
        </w:rPr>
      </w:pPr>
      <w:r>
        <w:rPr>
          <w:rFonts w:ascii="Times New Roman" w:hAnsi="Times New Roman" w:cs="Times New Roman"/>
          <w:sz w:val="24"/>
          <w:szCs w:val="24"/>
        </w:rPr>
        <w:t xml:space="preserve">In </w:t>
      </w:r>
      <w:r w:rsidR="00515B51">
        <w:rPr>
          <w:rFonts w:ascii="Times New Roman" w:hAnsi="Times New Roman" w:cs="Times New Roman"/>
          <w:sz w:val="24"/>
          <w:szCs w:val="24"/>
        </w:rPr>
        <w:t xml:space="preserve">addressing </w:t>
      </w:r>
      <w:r>
        <w:rPr>
          <w:rFonts w:ascii="Times New Roman" w:hAnsi="Times New Roman" w:cs="Times New Roman"/>
          <w:sz w:val="24"/>
          <w:szCs w:val="24"/>
        </w:rPr>
        <w:t xml:space="preserve">the second of these questions, Advocate General Wahl drew a distinction between two situations.  One was where it was arguable that the effect of the decision granting </w:t>
      </w:r>
      <w:r w:rsidR="00515B51">
        <w:rPr>
          <w:rFonts w:ascii="Times New Roman" w:hAnsi="Times New Roman" w:cs="Times New Roman"/>
          <w:sz w:val="24"/>
          <w:szCs w:val="24"/>
        </w:rPr>
        <w:t xml:space="preserve">the </w:t>
      </w:r>
      <w:r w:rsidR="00B0465B">
        <w:rPr>
          <w:rFonts w:ascii="Times New Roman" w:hAnsi="Times New Roman" w:cs="Times New Roman"/>
          <w:sz w:val="24"/>
          <w:szCs w:val="24"/>
        </w:rPr>
        <w:t xml:space="preserve">marketing </w:t>
      </w:r>
      <w:r>
        <w:rPr>
          <w:rFonts w:ascii="Times New Roman" w:hAnsi="Times New Roman" w:cs="Times New Roman"/>
          <w:sz w:val="24"/>
          <w:szCs w:val="24"/>
        </w:rPr>
        <w:t xml:space="preserve">authorisation which it was sought to challenge would be to allow the manufacturer of the generic product to market a competing product within the period of exclusivity envisaged by the Directive (which was ten, or in certain circumstances eleven, years).  In that situation, he said, if the holder did not have the right to challenge that decision this would run counter to the objective of ensuring that </w:t>
      </w:r>
      <w:r>
        <w:rPr>
          <w:rFonts w:ascii="Times New Roman" w:hAnsi="Times New Roman" w:cs="Times New Roman"/>
          <w:sz w:val="24"/>
          <w:szCs w:val="24"/>
        </w:rPr>
        <w:lastRenderedPageBreak/>
        <w:t xml:space="preserve">no competing generics are placed on the market during the ten year protection period.  However, he could not read into the Directive any more far reaching right that would extend beyond that period of time.  He said (at para. </w:t>
      </w:r>
      <w:r w:rsidR="00B0465B">
        <w:rPr>
          <w:rFonts w:ascii="Times New Roman" w:hAnsi="Times New Roman" w:cs="Times New Roman"/>
          <w:sz w:val="24"/>
          <w:szCs w:val="24"/>
        </w:rPr>
        <w:t>50</w:t>
      </w:r>
      <w:r>
        <w:rPr>
          <w:rFonts w:ascii="Times New Roman" w:hAnsi="Times New Roman" w:cs="Times New Roman"/>
          <w:sz w:val="24"/>
          <w:szCs w:val="24"/>
        </w:rPr>
        <w:t>):</w:t>
      </w:r>
    </w:p>
    <w:p w14:paraId="42447FD8" w14:textId="77777777" w:rsidR="00A133D2" w:rsidRPr="00E576C7" w:rsidRDefault="00A133D2" w:rsidP="00A133D2">
      <w:pPr>
        <w:pStyle w:val="ListParagraph"/>
        <w:rPr>
          <w:rFonts w:ascii="Times New Roman" w:hAnsi="Times New Roman" w:cs="Times New Roman"/>
          <w:b/>
          <w:sz w:val="24"/>
          <w:szCs w:val="24"/>
        </w:rPr>
      </w:pPr>
    </w:p>
    <w:p w14:paraId="58E966FF" w14:textId="77777777" w:rsidR="00A133D2" w:rsidRDefault="00A133D2" w:rsidP="00A133D2">
      <w:pPr>
        <w:pStyle w:val="ListParagraph"/>
        <w:spacing w:before="240" w:line="480" w:lineRule="auto"/>
        <w:ind w:left="1440"/>
        <w:jc w:val="both"/>
        <w:rPr>
          <w:rFonts w:ascii="Times New Roman" w:hAnsi="Times New Roman" w:cs="Times New Roman"/>
          <w:b/>
          <w:sz w:val="24"/>
          <w:szCs w:val="24"/>
        </w:rPr>
      </w:pPr>
      <w:r>
        <w:rPr>
          <w:rFonts w:ascii="Times New Roman" w:hAnsi="Times New Roman" w:cs="Times New Roman"/>
          <w:sz w:val="24"/>
          <w:szCs w:val="24"/>
        </w:rPr>
        <w:t>‘</w:t>
      </w:r>
      <w:r>
        <w:rPr>
          <w:rFonts w:ascii="Times New Roman" w:hAnsi="Times New Roman" w:cs="Times New Roman"/>
          <w:i/>
          <w:sz w:val="24"/>
          <w:szCs w:val="24"/>
        </w:rPr>
        <w:t>Once the ten year protection period has expired, the holder no longer enjoys market exclusivity and is, accordingly, in the same position as any other third party.  In fact, extending the right to challenge a decision to grant a marketing authorisation for a generic beyond the ten year period expressly provided for in Article 10 of the directive would enable the holder to block the entry into the market of competitors by restricting the use of information already in the public domain.’</w:t>
      </w:r>
      <w:r>
        <w:rPr>
          <w:rFonts w:ascii="Times New Roman" w:hAnsi="Times New Roman" w:cs="Times New Roman"/>
          <w:b/>
          <w:sz w:val="24"/>
          <w:szCs w:val="24"/>
        </w:rPr>
        <w:t xml:space="preserve">  </w:t>
      </w:r>
    </w:p>
    <w:p w14:paraId="0D212333" w14:textId="77777777" w:rsidR="00A133D2" w:rsidRPr="00E576C7" w:rsidRDefault="00A133D2" w:rsidP="00A133D2">
      <w:pPr>
        <w:pStyle w:val="ListParagraph"/>
        <w:rPr>
          <w:rFonts w:ascii="Times New Roman" w:hAnsi="Times New Roman" w:cs="Times New Roman"/>
          <w:b/>
          <w:sz w:val="24"/>
          <w:szCs w:val="24"/>
        </w:rPr>
      </w:pPr>
    </w:p>
    <w:p w14:paraId="4B5017D8" w14:textId="22AA86E8" w:rsidR="00A133D2" w:rsidRPr="006019A7" w:rsidRDefault="00A133D2" w:rsidP="00A133D2">
      <w:pPr>
        <w:pStyle w:val="ListParagraph"/>
        <w:numPr>
          <w:ilvl w:val="0"/>
          <w:numId w:val="1"/>
        </w:numPr>
        <w:spacing w:before="240" w:line="480" w:lineRule="auto"/>
        <w:jc w:val="both"/>
        <w:rPr>
          <w:rFonts w:ascii="Times New Roman" w:hAnsi="Times New Roman" w:cs="Times New Roman"/>
          <w:b/>
          <w:sz w:val="24"/>
          <w:szCs w:val="24"/>
        </w:rPr>
      </w:pPr>
      <w:r>
        <w:rPr>
          <w:rFonts w:ascii="Times New Roman" w:hAnsi="Times New Roman" w:cs="Times New Roman"/>
          <w:sz w:val="24"/>
          <w:szCs w:val="24"/>
        </w:rPr>
        <w:t>It is arguable that</w:t>
      </w:r>
      <w:r w:rsidR="00B0465B">
        <w:rPr>
          <w:rFonts w:ascii="Times New Roman" w:hAnsi="Times New Roman" w:cs="Times New Roman"/>
          <w:sz w:val="24"/>
          <w:szCs w:val="24"/>
        </w:rPr>
        <w:t xml:space="preserve"> the</w:t>
      </w:r>
      <w:r>
        <w:rPr>
          <w:rFonts w:ascii="Times New Roman" w:hAnsi="Times New Roman" w:cs="Times New Roman"/>
          <w:sz w:val="24"/>
          <w:szCs w:val="24"/>
        </w:rPr>
        <w:t xml:space="preserve"> CJEU formulated a broader entitlement on the part of the holder of the marketing authorisation </w:t>
      </w:r>
      <w:r w:rsidR="00515B51">
        <w:rPr>
          <w:rFonts w:ascii="Times New Roman" w:hAnsi="Times New Roman" w:cs="Times New Roman"/>
          <w:sz w:val="24"/>
          <w:szCs w:val="24"/>
        </w:rPr>
        <w:t xml:space="preserve">in respect of </w:t>
      </w:r>
      <w:r>
        <w:rPr>
          <w:rFonts w:ascii="Times New Roman" w:hAnsi="Times New Roman" w:cs="Times New Roman"/>
          <w:sz w:val="24"/>
          <w:szCs w:val="24"/>
        </w:rPr>
        <w:t xml:space="preserve">the reference product.  Noting that the procedure for the grant of a marketing authorisation under Directive 2001/83 was conceived as bilateral and did not contain an express provision to the effect that a judicial remedy was available to the holder of a marketing authorisation whose reference product was used to avail of the authorisation procedure for a generic, the court observed the effect of Article 47 of the Charter of Fundamental Rights of the European Union </w:t>
      </w:r>
      <w:r w:rsidR="001879C9">
        <w:rPr>
          <w:rFonts w:ascii="Times New Roman" w:hAnsi="Times New Roman" w:cs="Times New Roman"/>
          <w:sz w:val="24"/>
          <w:szCs w:val="24"/>
        </w:rPr>
        <w:t xml:space="preserve">(‘the Charter’) </w:t>
      </w:r>
      <w:r>
        <w:rPr>
          <w:rFonts w:ascii="Times New Roman" w:hAnsi="Times New Roman" w:cs="Times New Roman"/>
          <w:sz w:val="24"/>
          <w:szCs w:val="24"/>
        </w:rPr>
        <w:t>and consequent right to a judicial remedy for any person whose rights as guaranteed by the law of the European Union were violated.</w:t>
      </w:r>
    </w:p>
    <w:p w14:paraId="5AAF9BC6" w14:textId="77777777" w:rsidR="00A133D2" w:rsidRDefault="00A133D2" w:rsidP="00A133D2">
      <w:pPr>
        <w:pStyle w:val="ListParagraph"/>
        <w:spacing w:before="24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14:paraId="1DF7E0C2" w14:textId="030626A9" w:rsidR="00A133D2" w:rsidRPr="006019A7" w:rsidRDefault="00A133D2" w:rsidP="00A133D2">
      <w:pPr>
        <w:pStyle w:val="ListParagraph"/>
        <w:numPr>
          <w:ilvl w:val="0"/>
          <w:numId w:val="1"/>
        </w:numPr>
        <w:spacing w:before="240" w:line="480" w:lineRule="auto"/>
        <w:jc w:val="both"/>
        <w:rPr>
          <w:rFonts w:ascii="Times New Roman" w:hAnsi="Times New Roman" w:cs="Times New Roman"/>
          <w:b/>
          <w:sz w:val="24"/>
          <w:szCs w:val="24"/>
        </w:rPr>
      </w:pPr>
      <w:r>
        <w:rPr>
          <w:rFonts w:ascii="Times New Roman" w:hAnsi="Times New Roman" w:cs="Times New Roman"/>
          <w:sz w:val="24"/>
          <w:szCs w:val="24"/>
        </w:rPr>
        <w:t xml:space="preserve">In </w:t>
      </w:r>
      <w:r w:rsidR="004E3C0E">
        <w:rPr>
          <w:rFonts w:ascii="Times New Roman" w:hAnsi="Times New Roman" w:cs="Times New Roman"/>
          <w:sz w:val="24"/>
          <w:szCs w:val="24"/>
        </w:rPr>
        <w:t>stating</w:t>
      </w:r>
      <w:r>
        <w:rPr>
          <w:rFonts w:ascii="Times New Roman" w:hAnsi="Times New Roman" w:cs="Times New Roman"/>
          <w:sz w:val="24"/>
          <w:szCs w:val="24"/>
        </w:rPr>
        <w:t xml:space="preserve"> – without </w:t>
      </w:r>
      <w:r w:rsidR="004E3C0E">
        <w:rPr>
          <w:rFonts w:ascii="Times New Roman" w:hAnsi="Times New Roman" w:cs="Times New Roman"/>
          <w:sz w:val="24"/>
          <w:szCs w:val="24"/>
        </w:rPr>
        <w:t xml:space="preserve">apparent </w:t>
      </w:r>
      <w:r>
        <w:rPr>
          <w:rFonts w:ascii="Times New Roman" w:hAnsi="Times New Roman" w:cs="Times New Roman"/>
          <w:sz w:val="24"/>
          <w:szCs w:val="24"/>
        </w:rPr>
        <w:t>qualification – that the holder of a market authorisation did enjoy the right to such a remedy, the court proceeded on the basis that the holder of th</w:t>
      </w:r>
      <w:r w:rsidR="001F4166">
        <w:rPr>
          <w:rFonts w:ascii="Times New Roman" w:hAnsi="Times New Roman" w:cs="Times New Roman"/>
          <w:sz w:val="24"/>
          <w:szCs w:val="24"/>
        </w:rPr>
        <w:t>at</w:t>
      </w:r>
      <w:r>
        <w:rPr>
          <w:rFonts w:ascii="Times New Roman" w:hAnsi="Times New Roman" w:cs="Times New Roman"/>
          <w:sz w:val="24"/>
          <w:szCs w:val="24"/>
        </w:rPr>
        <w:t xml:space="preserve"> authorisation was obliged to accept that the manufacturer of another medicinal product was entitled to refer to the results of pre-clinical tests and clinical trials </w:t>
      </w:r>
      <w:r>
        <w:rPr>
          <w:rFonts w:ascii="Times New Roman" w:hAnsi="Times New Roman" w:cs="Times New Roman"/>
          <w:sz w:val="24"/>
          <w:szCs w:val="24"/>
        </w:rPr>
        <w:lastRenderedPageBreak/>
        <w:t>contained in the dossier relating to the application for the marketing authorisation for the former product rather than to perform those tests or trials himself for the purposes of obtaining an authorisation for the other medicinal product.  It was that obligation, the court held, which gave rise to the entitlement to a judicial remedy (at para. 37):</w:t>
      </w:r>
    </w:p>
    <w:p w14:paraId="4976468C" w14:textId="77777777" w:rsidR="00A133D2" w:rsidRPr="006019A7" w:rsidRDefault="00A133D2" w:rsidP="00A133D2">
      <w:pPr>
        <w:pStyle w:val="ListParagraph"/>
        <w:rPr>
          <w:rFonts w:ascii="Times New Roman" w:hAnsi="Times New Roman" w:cs="Times New Roman"/>
          <w:b/>
          <w:sz w:val="24"/>
          <w:szCs w:val="24"/>
        </w:rPr>
      </w:pPr>
    </w:p>
    <w:p w14:paraId="597D3B0E" w14:textId="77777777" w:rsidR="00A133D2" w:rsidRDefault="00A133D2" w:rsidP="00A133D2">
      <w:pPr>
        <w:pStyle w:val="ListParagraph"/>
        <w:spacing w:before="240" w:line="480" w:lineRule="auto"/>
        <w:ind w:left="1440"/>
        <w:jc w:val="both"/>
        <w:rPr>
          <w:rFonts w:ascii="Times New Roman" w:hAnsi="Times New Roman" w:cs="Times New Roman"/>
          <w:b/>
          <w:sz w:val="24"/>
          <w:szCs w:val="24"/>
        </w:rPr>
      </w:pPr>
      <w:r>
        <w:rPr>
          <w:rFonts w:ascii="Times New Roman" w:hAnsi="Times New Roman" w:cs="Times New Roman"/>
          <w:sz w:val="24"/>
          <w:szCs w:val="24"/>
        </w:rPr>
        <w:t>‘</w:t>
      </w:r>
      <w:r>
        <w:rPr>
          <w:rFonts w:ascii="Times New Roman" w:hAnsi="Times New Roman" w:cs="Times New Roman"/>
          <w:i/>
          <w:sz w:val="24"/>
          <w:szCs w:val="24"/>
        </w:rPr>
        <w:t>It is apparent that that provision confers a concomitant right on the holder of the MA for the former medicinal product to demand that the rights attaching to him by virtue of those conditions are observed’</w:t>
      </w:r>
      <w:r>
        <w:rPr>
          <w:rFonts w:ascii="Times New Roman" w:hAnsi="Times New Roman" w:cs="Times New Roman"/>
          <w:sz w:val="24"/>
          <w:szCs w:val="24"/>
        </w:rPr>
        <w:t>.</w:t>
      </w:r>
      <w:r>
        <w:rPr>
          <w:rFonts w:ascii="Times New Roman" w:hAnsi="Times New Roman" w:cs="Times New Roman"/>
          <w:b/>
          <w:sz w:val="24"/>
          <w:szCs w:val="24"/>
        </w:rPr>
        <w:t xml:space="preserve">  </w:t>
      </w:r>
    </w:p>
    <w:p w14:paraId="344F6BE4" w14:textId="77777777" w:rsidR="00A133D2" w:rsidRPr="006019A7" w:rsidRDefault="00A133D2" w:rsidP="00A133D2">
      <w:pPr>
        <w:pStyle w:val="ListParagraph"/>
        <w:rPr>
          <w:rFonts w:ascii="Times New Roman" w:hAnsi="Times New Roman" w:cs="Times New Roman"/>
          <w:b/>
          <w:sz w:val="24"/>
          <w:szCs w:val="24"/>
        </w:rPr>
      </w:pPr>
    </w:p>
    <w:p w14:paraId="65EAE191" w14:textId="77777777" w:rsidR="00A133D2" w:rsidRPr="006019A7" w:rsidRDefault="00D20C21" w:rsidP="00A133D2">
      <w:pPr>
        <w:pStyle w:val="ListParagraph"/>
        <w:numPr>
          <w:ilvl w:val="0"/>
          <w:numId w:val="1"/>
        </w:numPr>
        <w:spacing w:before="240" w:line="480" w:lineRule="auto"/>
        <w:jc w:val="both"/>
        <w:rPr>
          <w:rFonts w:ascii="Times New Roman" w:hAnsi="Times New Roman" w:cs="Times New Roman"/>
          <w:b/>
          <w:sz w:val="24"/>
          <w:szCs w:val="24"/>
        </w:rPr>
      </w:pPr>
      <w:r>
        <w:rPr>
          <w:rFonts w:ascii="Times New Roman" w:hAnsi="Times New Roman" w:cs="Times New Roman"/>
          <w:sz w:val="24"/>
          <w:szCs w:val="24"/>
        </w:rPr>
        <w:t xml:space="preserve">It is arguable that at paragraph 38 of its judgment the court identified two </w:t>
      </w:r>
      <w:r w:rsidR="001879C9">
        <w:rPr>
          <w:rFonts w:ascii="Times New Roman" w:hAnsi="Times New Roman" w:cs="Times New Roman"/>
          <w:sz w:val="24"/>
          <w:szCs w:val="24"/>
        </w:rPr>
        <w:t xml:space="preserve">distinct </w:t>
      </w:r>
      <w:r>
        <w:rPr>
          <w:rFonts w:ascii="Times New Roman" w:hAnsi="Times New Roman" w:cs="Times New Roman"/>
          <w:sz w:val="24"/>
          <w:szCs w:val="24"/>
        </w:rPr>
        <w:t>circumstances in which the holder might have such a right.  The first was phrased thus:</w:t>
      </w:r>
    </w:p>
    <w:p w14:paraId="7EDC6C69" w14:textId="77777777" w:rsidR="00A133D2" w:rsidRPr="006019A7" w:rsidRDefault="00A133D2" w:rsidP="00A133D2">
      <w:pPr>
        <w:pStyle w:val="ListParagraph"/>
        <w:spacing w:before="240" w:line="480" w:lineRule="auto"/>
        <w:jc w:val="both"/>
        <w:rPr>
          <w:rFonts w:ascii="Times New Roman" w:hAnsi="Times New Roman" w:cs="Times New Roman"/>
          <w:b/>
          <w:sz w:val="24"/>
          <w:szCs w:val="24"/>
        </w:rPr>
      </w:pPr>
    </w:p>
    <w:p w14:paraId="6937F832" w14:textId="77777777" w:rsidR="00D20C21" w:rsidRDefault="00A133D2" w:rsidP="00D20C21">
      <w:pPr>
        <w:spacing w:after="0" w:line="480" w:lineRule="auto"/>
        <w:ind w:left="1440"/>
        <w:jc w:val="both"/>
        <w:rPr>
          <w:rFonts w:ascii="Times New Roman" w:eastAsia="Times New Roman" w:hAnsi="Times New Roman" w:cs="Times New Roman"/>
          <w:i/>
          <w:color w:val="000000"/>
          <w:sz w:val="24"/>
          <w:szCs w:val="24"/>
          <w:shd w:val="clear" w:color="auto" w:fill="FFFFFF"/>
        </w:rPr>
      </w:pPr>
      <w:r>
        <w:rPr>
          <w:rFonts w:ascii="Times New Roman" w:eastAsia="Times New Roman" w:hAnsi="Times New Roman" w:cs="Times New Roman"/>
          <w:i/>
          <w:color w:val="000000"/>
          <w:sz w:val="24"/>
          <w:szCs w:val="24"/>
          <w:shd w:val="clear" w:color="auto" w:fill="FFFFFF"/>
        </w:rPr>
        <w:t xml:space="preserve">‘… </w:t>
      </w:r>
      <w:r w:rsidRPr="006019A7">
        <w:rPr>
          <w:rFonts w:ascii="Times New Roman" w:eastAsia="Times New Roman" w:hAnsi="Times New Roman" w:cs="Times New Roman"/>
          <w:i/>
          <w:color w:val="000000"/>
          <w:sz w:val="24"/>
          <w:szCs w:val="24"/>
          <w:shd w:val="clear" w:color="auto" w:fill="FFFFFF"/>
        </w:rPr>
        <w:t>the holder of a MA for a medicinal product has the right to demand, pursuant to the second and fifth subparagraphs of Article 10(1) of Directive 2001/83, that that medicinal product is not to be used as a reference product for the purpose of authorising the placing on the market of a medicinal product of another manufacturer until a period of 8 years has elapsed from the date on which that MA was granted, or to demand that a medicinal product authorised to be placed on the market on the basis of Article 10 is not to be marketed until a period of 10 years — which may be extended, where appropriate, to 11 — has elapsed from the date on which that MA was granted.</w:t>
      </w:r>
      <w:r w:rsidR="000F060F">
        <w:rPr>
          <w:rFonts w:ascii="Times New Roman" w:eastAsia="Times New Roman" w:hAnsi="Times New Roman" w:cs="Times New Roman"/>
          <w:i/>
          <w:color w:val="000000"/>
          <w:sz w:val="24"/>
          <w:szCs w:val="24"/>
          <w:shd w:val="clear" w:color="auto" w:fill="FFFFFF"/>
        </w:rPr>
        <w:t>’</w:t>
      </w:r>
      <w:r w:rsidRPr="006019A7">
        <w:rPr>
          <w:rFonts w:ascii="Times New Roman" w:eastAsia="Times New Roman" w:hAnsi="Times New Roman" w:cs="Times New Roman"/>
          <w:i/>
          <w:color w:val="000000"/>
          <w:sz w:val="24"/>
          <w:szCs w:val="24"/>
          <w:shd w:val="clear" w:color="auto" w:fill="FFFFFF"/>
        </w:rPr>
        <w:t xml:space="preserve"> </w:t>
      </w:r>
    </w:p>
    <w:p w14:paraId="23398057" w14:textId="77777777" w:rsidR="00D20C21" w:rsidRDefault="00D20C21" w:rsidP="00D20C21">
      <w:pPr>
        <w:spacing w:after="0" w:line="480" w:lineRule="auto"/>
        <w:jc w:val="both"/>
        <w:rPr>
          <w:rFonts w:ascii="Times New Roman" w:eastAsia="Times New Roman" w:hAnsi="Times New Roman" w:cs="Times New Roman"/>
          <w:i/>
          <w:color w:val="000000"/>
          <w:sz w:val="24"/>
          <w:szCs w:val="24"/>
          <w:shd w:val="clear" w:color="auto" w:fill="FFFFFF"/>
        </w:rPr>
      </w:pPr>
    </w:p>
    <w:p w14:paraId="6FFD4BD7" w14:textId="3583D572" w:rsidR="00D20C21" w:rsidRPr="00D20C21" w:rsidRDefault="00D20C21" w:rsidP="00D20C21">
      <w:pPr>
        <w:pStyle w:val="ListParagraph"/>
        <w:numPr>
          <w:ilvl w:val="0"/>
          <w:numId w:val="1"/>
        </w:numPr>
        <w:spacing w:after="0" w:line="480" w:lineRule="auto"/>
        <w:jc w:val="both"/>
        <w:rPr>
          <w:rFonts w:ascii="Times New Roman" w:eastAsia="Times New Roman" w:hAnsi="Times New Roman" w:cs="Times New Roman"/>
          <w:b/>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The second was</w:t>
      </w:r>
      <w:r w:rsidR="002955F5">
        <w:rPr>
          <w:rFonts w:ascii="Times New Roman" w:eastAsia="Times New Roman" w:hAnsi="Times New Roman" w:cs="Times New Roman"/>
          <w:color w:val="000000"/>
          <w:sz w:val="24"/>
          <w:szCs w:val="24"/>
          <w:shd w:val="clear" w:color="auto" w:fill="FFFFFF"/>
        </w:rPr>
        <w:t>, it might be</w:t>
      </w:r>
      <w:r w:rsidR="00515B51">
        <w:rPr>
          <w:rFonts w:ascii="Times New Roman" w:eastAsia="Times New Roman" w:hAnsi="Times New Roman" w:cs="Times New Roman"/>
          <w:color w:val="000000"/>
          <w:sz w:val="24"/>
          <w:szCs w:val="24"/>
          <w:shd w:val="clear" w:color="auto" w:fill="FFFFFF"/>
        </w:rPr>
        <w:t xml:space="preserve"> said</w:t>
      </w:r>
      <w:r w:rsidR="002955F5">
        <w:rPr>
          <w:rFonts w:ascii="Times New Roman" w:eastAsia="Times New Roman" w:hAnsi="Times New Roman" w:cs="Times New Roman"/>
          <w:color w:val="000000"/>
          <w:sz w:val="24"/>
          <w:szCs w:val="24"/>
          <w:shd w:val="clear" w:color="auto" w:fill="FFFFFF"/>
        </w:rPr>
        <w:t xml:space="preserve">, </w:t>
      </w:r>
      <w:r>
        <w:rPr>
          <w:rFonts w:ascii="Times New Roman" w:eastAsia="Times New Roman" w:hAnsi="Times New Roman" w:cs="Times New Roman"/>
          <w:color w:val="000000"/>
          <w:sz w:val="24"/>
          <w:szCs w:val="24"/>
          <w:shd w:val="clear" w:color="auto" w:fill="FFFFFF"/>
        </w:rPr>
        <w:t>broader:</w:t>
      </w:r>
    </w:p>
    <w:p w14:paraId="635366D2" w14:textId="77777777" w:rsidR="00D20C21" w:rsidRDefault="00D20C21" w:rsidP="00D20C21">
      <w:pPr>
        <w:spacing w:after="0" w:line="480" w:lineRule="auto"/>
        <w:jc w:val="both"/>
        <w:rPr>
          <w:rFonts w:ascii="Times New Roman" w:eastAsia="Times New Roman" w:hAnsi="Times New Roman" w:cs="Times New Roman"/>
          <w:i/>
          <w:color w:val="000000"/>
          <w:sz w:val="24"/>
          <w:szCs w:val="24"/>
          <w:shd w:val="clear" w:color="auto" w:fill="FFFFFF"/>
        </w:rPr>
      </w:pPr>
    </w:p>
    <w:p w14:paraId="119C7FE7" w14:textId="77777777" w:rsidR="00A133D2" w:rsidRPr="00D20C21" w:rsidRDefault="000F060F" w:rsidP="00D20C21">
      <w:pPr>
        <w:spacing w:after="0" w:line="480" w:lineRule="auto"/>
        <w:ind w:left="1440"/>
        <w:jc w:val="both"/>
        <w:rPr>
          <w:rFonts w:ascii="Times New Roman" w:eastAsia="Times New Roman" w:hAnsi="Times New Roman" w:cs="Times New Roman"/>
          <w:i/>
          <w:color w:val="000000"/>
          <w:sz w:val="24"/>
          <w:szCs w:val="24"/>
          <w:shd w:val="clear" w:color="auto" w:fill="FFFFFF"/>
        </w:rPr>
      </w:pPr>
      <w:r>
        <w:rPr>
          <w:rFonts w:ascii="Times New Roman" w:eastAsia="Times New Roman" w:hAnsi="Times New Roman" w:cs="Times New Roman"/>
          <w:i/>
          <w:color w:val="000000"/>
          <w:sz w:val="24"/>
          <w:szCs w:val="24"/>
          <w:shd w:val="clear" w:color="auto" w:fill="FFFFFF"/>
        </w:rPr>
        <w:t>‘</w:t>
      </w:r>
      <w:r w:rsidR="00A133D2" w:rsidRPr="006019A7">
        <w:rPr>
          <w:rFonts w:ascii="Times New Roman" w:eastAsia="Times New Roman" w:hAnsi="Times New Roman" w:cs="Times New Roman"/>
          <w:i/>
          <w:color w:val="000000"/>
          <w:sz w:val="24"/>
          <w:szCs w:val="24"/>
          <w:shd w:val="clear" w:color="auto" w:fill="FFFFFF"/>
        </w:rPr>
        <w:t xml:space="preserve">Similarly, that holder may demand that his medicinal product is not to be used for the purpose of obtaining, under Article 10, a MA for another medicinal </w:t>
      </w:r>
      <w:r w:rsidR="00A133D2" w:rsidRPr="006019A7">
        <w:rPr>
          <w:rFonts w:ascii="Times New Roman" w:eastAsia="Times New Roman" w:hAnsi="Times New Roman" w:cs="Times New Roman"/>
          <w:i/>
          <w:color w:val="000000"/>
          <w:sz w:val="24"/>
          <w:szCs w:val="24"/>
          <w:shd w:val="clear" w:color="auto" w:fill="FFFFFF"/>
        </w:rPr>
        <w:lastRenderedPageBreak/>
        <w:t>product in relation to which his own product cannot be regarded as a reference product within the meaning of Article 10(2)(a), as contended by Olainfarm before the referring court, or for a product which does not fulfil the requirement, laid down in Article 10(2)(b) of the directive, that it should be similar to the reference product in terms of its composition in active substances and pharmaceutical form.</w:t>
      </w:r>
      <w:r w:rsidR="00A133D2">
        <w:rPr>
          <w:rFonts w:ascii="Times New Roman" w:eastAsia="Times New Roman" w:hAnsi="Times New Roman" w:cs="Times New Roman"/>
          <w:i/>
          <w:color w:val="000000"/>
          <w:sz w:val="24"/>
          <w:szCs w:val="24"/>
          <w:shd w:val="clear" w:color="auto" w:fill="FFFFFF"/>
        </w:rPr>
        <w:t>’</w:t>
      </w:r>
      <w:r w:rsidR="00A133D2" w:rsidRPr="006019A7">
        <w:rPr>
          <w:rFonts w:ascii="Times New Roman" w:hAnsi="Times New Roman" w:cs="Times New Roman"/>
          <w:b/>
          <w:sz w:val="24"/>
          <w:szCs w:val="24"/>
        </w:rPr>
        <w:t xml:space="preserve">  </w:t>
      </w:r>
    </w:p>
    <w:p w14:paraId="3BE36CD4" w14:textId="1DA03F79" w:rsidR="00A133D2" w:rsidRPr="007174F7" w:rsidRDefault="00A133D2" w:rsidP="00A133D2">
      <w:pPr>
        <w:pStyle w:val="ListParagraph"/>
        <w:numPr>
          <w:ilvl w:val="0"/>
          <w:numId w:val="1"/>
        </w:numPr>
        <w:spacing w:before="240" w:line="480" w:lineRule="auto"/>
        <w:jc w:val="both"/>
        <w:rPr>
          <w:rFonts w:ascii="Times New Roman" w:hAnsi="Times New Roman" w:cs="Times New Roman"/>
          <w:b/>
          <w:sz w:val="24"/>
          <w:szCs w:val="24"/>
        </w:rPr>
      </w:pPr>
      <w:r>
        <w:rPr>
          <w:rFonts w:ascii="Times New Roman" w:hAnsi="Times New Roman" w:cs="Times New Roman"/>
          <w:sz w:val="24"/>
          <w:szCs w:val="24"/>
        </w:rPr>
        <w:t>Some aspects of the submissions of HP</w:t>
      </w:r>
      <w:r w:rsidR="008C6C6F">
        <w:rPr>
          <w:rFonts w:ascii="Times New Roman" w:hAnsi="Times New Roman" w:cs="Times New Roman"/>
          <w:sz w:val="24"/>
          <w:szCs w:val="24"/>
        </w:rPr>
        <w:t>R</w:t>
      </w:r>
      <w:r>
        <w:rPr>
          <w:rFonts w:ascii="Times New Roman" w:hAnsi="Times New Roman" w:cs="Times New Roman"/>
          <w:sz w:val="24"/>
          <w:szCs w:val="24"/>
        </w:rPr>
        <w:t xml:space="preserve">A and Chanelle suggested that the rationale of the CJEU’s judgment in </w:t>
      </w:r>
      <w:r>
        <w:rPr>
          <w:rFonts w:ascii="Times New Roman" w:hAnsi="Times New Roman" w:cs="Times New Roman"/>
          <w:i/>
          <w:sz w:val="24"/>
          <w:szCs w:val="24"/>
        </w:rPr>
        <w:t>Olainfarm</w:t>
      </w:r>
      <w:r>
        <w:rPr>
          <w:rFonts w:ascii="Times New Roman" w:hAnsi="Times New Roman" w:cs="Times New Roman"/>
          <w:sz w:val="24"/>
          <w:szCs w:val="24"/>
        </w:rPr>
        <w:t xml:space="preserve"> was limited to challenges which were, or might arguably have been, derived from the exclusive right of the holder of the manufacturing licence within the ten year period of exclusivity (and each has maintained a challenge to the </w:t>
      </w:r>
      <w:r>
        <w:rPr>
          <w:rFonts w:ascii="Times New Roman" w:hAnsi="Times New Roman" w:cs="Times New Roman"/>
          <w:i/>
          <w:sz w:val="24"/>
          <w:szCs w:val="24"/>
        </w:rPr>
        <w:t>locus standi</w:t>
      </w:r>
      <w:r>
        <w:rPr>
          <w:rFonts w:ascii="Times New Roman" w:hAnsi="Times New Roman" w:cs="Times New Roman"/>
          <w:sz w:val="24"/>
          <w:szCs w:val="24"/>
        </w:rPr>
        <w:t xml:space="preserve"> of Arthropharm to challenge the decision to grant the authorisation).  If that were correct, this would have </w:t>
      </w:r>
      <w:r w:rsidR="001F4166">
        <w:rPr>
          <w:rFonts w:ascii="Times New Roman" w:hAnsi="Times New Roman" w:cs="Times New Roman"/>
          <w:sz w:val="24"/>
          <w:szCs w:val="24"/>
        </w:rPr>
        <w:t xml:space="preserve">consequences </w:t>
      </w:r>
      <w:r>
        <w:rPr>
          <w:rFonts w:ascii="Times New Roman" w:hAnsi="Times New Roman" w:cs="Times New Roman"/>
          <w:sz w:val="24"/>
          <w:szCs w:val="24"/>
        </w:rPr>
        <w:t xml:space="preserve">not merely for Arthropharm’s standing (although it would not necessarily deprive it of standing, which it might </w:t>
      </w:r>
      <w:r w:rsidR="0048469E">
        <w:rPr>
          <w:rFonts w:ascii="Times New Roman" w:hAnsi="Times New Roman" w:cs="Times New Roman"/>
          <w:sz w:val="24"/>
          <w:szCs w:val="24"/>
        </w:rPr>
        <w:t xml:space="preserve">independently </w:t>
      </w:r>
      <w:r>
        <w:rPr>
          <w:rFonts w:ascii="Times New Roman" w:hAnsi="Times New Roman" w:cs="Times New Roman"/>
          <w:sz w:val="24"/>
          <w:szCs w:val="24"/>
        </w:rPr>
        <w:t>enjoy under domestic law</w:t>
      </w:r>
      <w:r w:rsidR="0048469E">
        <w:rPr>
          <w:rFonts w:ascii="Times New Roman" w:hAnsi="Times New Roman" w:cs="Times New Roman"/>
          <w:sz w:val="24"/>
          <w:szCs w:val="24"/>
        </w:rPr>
        <w:t xml:space="preserve"> </w:t>
      </w:r>
      <w:r w:rsidR="00245094">
        <w:rPr>
          <w:rFonts w:ascii="Times New Roman" w:hAnsi="Times New Roman" w:cs="Times New Roman"/>
          <w:sz w:val="24"/>
          <w:szCs w:val="24"/>
        </w:rPr>
        <w:t xml:space="preserve">– see for example </w:t>
      </w:r>
      <w:r w:rsidR="000F060F">
        <w:rPr>
          <w:rFonts w:ascii="Times New Roman" w:hAnsi="Times New Roman" w:cs="Times New Roman"/>
          <w:i/>
          <w:sz w:val="24"/>
          <w:szCs w:val="24"/>
        </w:rPr>
        <w:t>Scotia</w:t>
      </w:r>
      <w:r w:rsidR="00245094">
        <w:rPr>
          <w:rFonts w:ascii="Times New Roman" w:hAnsi="Times New Roman" w:cs="Times New Roman"/>
          <w:i/>
          <w:sz w:val="24"/>
          <w:szCs w:val="24"/>
        </w:rPr>
        <w:t xml:space="preserve"> Pharmaceuticals Ltd. v. National Drugs Advisory Board and </w:t>
      </w:r>
      <w:proofErr w:type="spellStart"/>
      <w:r w:rsidR="00245094">
        <w:rPr>
          <w:rFonts w:ascii="Times New Roman" w:hAnsi="Times New Roman" w:cs="Times New Roman"/>
          <w:i/>
          <w:sz w:val="24"/>
          <w:szCs w:val="24"/>
        </w:rPr>
        <w:t>anor</w:t>
      </w:r>
      <w:proofErr w:type="spellEnd"/>
      <w:r w:rsidR="00245094">
        <w:rPr>
          <w:rFonts w:ascii="Times New Roman" w:hAnsi="Times New Roman" w:cs="Times New Roman"/>
          <w:i/>
          <w:sz w:val="24"/>
          <w:szCs w:val="24"/>
        </w:rPr>
        <w:t xml:space="preserve"> </w:t>
      </w:r>
      <w:r w:rsidR="000F060F">
        <w:rPr>
          <w:rFonts w:ascii="Times New Roman" w:hAnsi="Times New Roman" w:cs="Times New Roman"/>
          <w:iCs/>
          <w:sz w:val="24"/>
          <w:szCs w:val="24"/>
        </w:rPr>
        <w:t>(</w:t>
      </w:r>
      <w:r w:rsidR="00245094">
        <w:rPr>
          <w:rFonts w:ascii="Times New Roman" w:hAnsi="Times New Roman" w:cs="Times New Roman"/>
          <w:sz w:val="24"/>
          <w:szCs w:val="24"/>
        </w:rPr>
        <w:t>Unreported</w:t>
      </w:r>
      <w:r w:rsidR="000F060F">
        <w:rPr>
          <w:rFonts w:ascii="Times New Roman" w:hAnsi="Times New Roman" w:cs="Times New Roman"/>
          <w:sz w:val="24"/>
          <w:szCs w:val="24"/>
        </w:rPr>
        <w:t>,</w:t>
      </w:r>
      <w:r w:rsidR="00245094">
        <w:rPr>
          <w:rFonts w:ascii="Times New Roman" w:hAnsi="Times New Roman" w:cs="Times New Roman"/>
          <w:sz w:val="24"/>
          <w:szCs w:val="24"/>
        </w:rPr>
        <w:t xml:space="preserve"> High Court</w:t>
      </w:r>
      <w:r w:rsidR="000F060F">
        <w:rPr>
          <w:rFonts w:ascii="Times New Roman" w:hAnsi="Times New Roman" w:cs="Times New Roman"/>
          <w:sz w:val="24"/>
          <w:szCs w:val="24"/>
        </w:rPr>
        <w:t>,</w:t>
      </w:r>
      <w:r w:rsidR="00245094">
        <w:rPr>
          <w:rFonts w:ascii="Times New Roman" w:hAnsi="Times New Roman" w:cs="Times New Roman"/>
          <w:sz w:val="24"/>
          <w:szCs w:val="24"/>
        </w:rPr>
        <w:t xml:space="preserve"> 30 June 1995</w:t>
      </w:r>
      <w:r w:rsidR="00E26579">
        <w:rPr>
          <w:rFonts w:ascii="Times New Roman" w:hAnsi="Times New Roman" w:cs="Times New Roman"/>
          <w:sz w:val="24"/>
          <w:szCs w:val="24"/>
        </w:rPr>
        <w:t>, Barron J.</w:t>
      </w:r>
      <w:r>
        <w:rPr>
          <w:rFonts w:ascii="Times New Roman" w:hAnsi="Times New Roman" w:cs="Times New Roman"/>
          <w:sz w:val="24"/>
          <w:szCs w:val="24"/>
        </w:rPr>
        <w:t xml:space="preserve">), but it would also have a potential implication for its position in extending time, as it would enjoy no </w:t>
      </w:r>
      <w:r>
        <w:rPr>
          <w:rFonts w:ascii="Times New Roman" w:hAnsi="Times New Roman" w:cs="Times New Roman"/>
          <w:i/>
          <w:sz w:val="24"/>
          <w:szCs w:val="24"/>
        </w:rPr>
        <w:t xml:space="preserve">right </w:t>
      </w:r>
      <w:r>
        <w:rPr>
          <w:rFonts w:ascii="Times New Roman" w:hAnsi="Times New Roman" w:cs="Times New Roman"/>
          <w:sz w:val="24"/>
          <w:szCs w:val="24"/>
        </w:rPr>
        <w:t xml:space="preserve">under European law to bring the action. </w:t>
      </w:r>
      <w:r w:rsidR="0017453A">
        <w:rPr>
          <w:rFonts w:ascii="Times New Roman" w:hAnsi="Times New Roman" w:cs="Times New Roman"/>
          <w:sz w:val="24"/>
          <w:szCs w:val="24"/>
        </w:rPr>
        <w:t>The interpretation suggested by HP</w:t>
      </w:r>
      <w:r w:rsidR="008C6C6F">
        <w:rPr>
          <w:rFonts w:ascii="Times New Roman" w:hAnsi="Times New Roman" w:cs="Times New Roman"/>
          <w:sz w:val="24"/>
          <w:szCs w:val="24"/>
        </w:rPr>
        <w:t>R</w:t>
      </w:r>
      <w:r w:rsidR="0017453A">
        <w:rPr>
          <w:rFonts w:ascii="Times New Roman" w:hAnsi="Times New Roman" w:cs="Times New Roman"/>
          <w:sz w:val="24"/>
          <w:szCs w:val="24"/>
        </w:rPr>
        <w:t xml:space="preserve">A and Chanelle is supported by the approach of the Advocate General in </w:t>
      </w:r>
      <w:r w:rsidR="0017453A">
        <w:rPr>
          <w:rFonts w:ascii="Times New Roman" w:hAnsi="Times New Roman" w:cs="Times New Roman"/>
          <w:i/>
          <w:sz w:val="24"/>
          <w:szCs w:val="24"/>
        </w:rPr>
        <w:t>Olainfarm</w:t>
      </w:r>
      <w:r w:rsidR="0017453A">
        <w:rPr>
          <w:rFonts w:ascii="Times New Roman" w:hAnsi="Times New Roman" w:cs="Times New Roman"/>
          <w:sz w:val="24"/>
          <w:szCs w:val="24"/>
        </w:rPr>
        <w:t>.</w:t>
      </w:r>
    </w:p>
    <w:p w14:paraId="1ED2C56D" w14:textId="77777777" w:rsidR="00A133D2" w:rsidRPr="007174F7" w:rsidRDefault="00A133D2" w:rsidP="00A133D2">
      <w:pPr>
        <w:pStyle w:val="ListParagraph"/>
        <w:spacing w:before="240" w:line="480" w:lineRule="auto"/>
        <w:jc w:val="both"/>
        <w:rPr>
          <w:rFonts w:ascii="Times New Roman" w:hAnsi="Times New Roman" w:cs="Times New Roman"/>
          <w:b/>
          <w:sz w:val="24"/>
          <w:szCs w:val="24"/>
        </w:rPr>
      </w:pPr>
      <w:r>
        <w:rPr>
          <w:rFonts w:ascii="Times New Roman" w:hAnsi="Times New Roman" w:cs="Times New Roman"/>
          <w:sz w:val="24"/>
          <w:szCs w:val="24"/>
        </w:rPr>
        <w:t xml:space="preserve">  </w:t>
      </w:r>
    </w:p>
    <w:p w14:paraId="16ECBA38" w14:textId="0B2374AB" w:rsidR="00A133D2" w:rsidRPr="00E26987" w:rsidRDefault="00515B51" w:rsidP="00A133D2">
      <w:pPr>
        <w:pStyle w:val="ListParagraph"/>
        <w:numPr>
          <w:ilvl w:val="0"/>
          <w:numId w:val="1"/>
        </w:numPr>
        <w:spacing w:before="240" w:line="480" w:lineRule="auto"/>
        <w:jc w:val="both"/>
        <w:rPr>
          <w:rFonts w:ascii="Times New Roman" w:hAnsi="Times New Roman" w:cs="Times New Roman"/>
          <w:b/>
          <w:sz w:val="24"/>
          <w:szCs w:val="24"/>
        </w:rPr>
      </w:pPr>
      <w:r>
        <w:rPr>
          <w:rFonts w:ascii="Times New Roman" w:hAnsi="Times New Roman" w:cs="Times New Roman"/>
          <w:sz w:val="24"/>
          <w:szCs w:val="24"/>
        </w:rPr>
        <w:t>However, as I have noted, t</w:t>
      </w:r>
      <w:r w:rsidR="00A133D2">
        <w:rPr>
          <w:rFonts w:ascii="Times New Roman" w:hAnsi="Times New Roman" w:cs="Times New Roman"/>
          <w:sz w:val="24"/>
          <w:szCs w:val="24"/>
        </w:rPr>
        <w:t xml:space="preserve">he language of </w:t>
      </w:r>
      <w:r w:rsidR="00C2685B">
        <w:rPr>
          <w:rFonts w:ascii="Times New Roman" w:hAnsi="Times New Roman" w:cs="Times New Roman"/>
          <w:sz w:val="24"/>
          <w:szCs w:val="24"/>
        </w:rPr>
        <w:t xml:space="preserve">the second part of </w:t>
      </w:r>
      <w:r w:rsidR="00A133D2">
        <w:rPr>
          <w:rFonts w:ascii="Times New Roman" w:hAnsi="Times New Roman" w:cs="Times New Roman"/>
          <w:sz w:val="24"/>
          <w:szCs w:val="24"/>
        </w:rPr>
        <w:t xml:space="preserve">paragraph 38 of the CJEU judgment in </w:t>
      </w:r>
      <w:r w:rsidR="00A133D2">
        <w:rPr>
          <w:rFonts w:ascii="Times New Roman" w:hAnsi="Times New Roman" w:cs="Times New Roman"/>
          <w:i/>
          <w:sz w:val="24"/>
          <w:szCs w:val="24"/>
        </w:rPr>
        <w:t xml:space="preserve">Olainfarm </w:t>
      </w:r>
      <w:r w:rsidR="0009581C">
        <w:rPr>
          <w:rFonts w:ascii="Times New Roman" w:hAnsi="Times New Roman" w:cs="Times New Roman"/>
          <w:sz w:val="24"/>
          <w:szCs w:val="24"/>
        </w:rPr>
        <w:t xml:space="preserve">might </w:t>
      </w:r>
      <w:r w:rsidR="00A133D2">
        <w:rPr>
          <w:rFonts w:ascii="Times New Roman" w:hAnsi="Times New Roman" w:cs="Times New Roman"/>
          <w:sz w:val="24"/>
          <w:szCs w:val="24"/>
        </w:rPr>
        <w:t>suggest</w:t>
      </w:r>
      <w:r w:rsidR="00201ED5">
        <w:rPr>
          <w:rFonts w:ascii="Times New Roman" w:hAnsi="Times New Roman" w:cs="Times New Roman"/>
          <w:sz w:val="24"/>
          <w:szCs w:val="24"/>
        </w:rPr>
        <w:t xml:space="preserve">, </w:t>
      </w:r>
      <w:r w:rsidR="00A133D2">
        <w:rPr>
          <w:rFonts w:ascii="Times New Roman" w:hAnsi="Times New Roman" w:cs="Times New Roman"/>
          <w:sz w:val="24"/>
          <w:szCs w:val="24"/>
        </w:rPr>
        <w:t>in its second part</w:t>
      </w:r>
      <w:r w:rsidR="00201ED5">
        <w:rPr>
          <w:rFonts w:ascii="Times New Roman" w:hAnsi="Times New Roman" w:cs="Times New Roman"/>
          <w:sz w:val="24"/>
          <w:szCs w:val="24"/>
        </w:rPr>
        <w:t>,</w:t>
      </w:r>
      <w:r w:rsidR="00A133D2">
        <w:rPr>
          <w:rFonts w:ascii="Times New Roman" w:hAnsi="Times New Roman" w:cs="Times New Roman"/>
          <w:sz w:val="24"/>
          <w:szCs w:val="24"/>
        </w:rPr>
        <w:t xml:space="preserve"> a broader right.  Moreover, </w:t>
      </w:r>
      <w:r w:rsidR="00FD2BDF">
        <w:rPr>
          <w:rFonts w:ascii="Times New Roman" w:hAnsi="Times New Roman" w:cs="Times New Roman"/>
          <w:sz w:val="24"/>
          <w:szCs w:val="24"/>
        </w:rPr>
        <w:t xml:space="preserve">it might be said that </w:t>
      </w:r>
      <w:r w:rsidR="00A133D2">
        <w:rPr>
          <w:rFonts w:ascii="Times New Roman" w:hAnsi="Times New Roman" w:cs="Times New Roman"/>
          <w:sz w:val="24"/>
          <w:szCs w:val="24"/>
        </w:rPr>
        <w:t xml:space="preserve">the rationale for the right to challenge identified by the court invites a more extensive entitlement than was adopted by the Advocate General.  </w:t>
      </w:r>
      <w:r w:rsidR="00C2685B">
        <w:rPr>
          <w:rFonts w:ascii="Times New Roman" w:hAnsi="Times New Roman" w:cs="Times New Roman"/>
          <w:sz w:val="24"/>
          <w:szCs w:val="24"/>
        </w:rPr>
        <w:t>Arguably, t</w:t>
      </w:r>
      <w:r w:rsidR="00A133D2">
        <w:rPr>
          <w:rFonts w:ascii="Times New Roman" w:hAnsi="Times New Roman" w:cs="Times New Roman"/>
          <w:sz w:val="24"/>
          <w:szCs w:val="24"/>
        </w:rPr>
        <w:t xml:space="preserve">he rationale is not rooted in the rights of the holder of the product authorisation to </w:t>
      </w:r>
      <w:r w:rsidR="00A133D2">
        <w:rPr>
          <w:rFonts w:ascii="Times New Roman" w:hAnsi="Times New Roman" w:cs="Times New Roman"/>
          <w:sz w:val="24"/>
          <w:szCs w:val="24"/>
        </w:rPr>
        <w:lastRenderedPageBreak/>
        <w:t>exclusivity</w:t>
      </w:r>
      <w:r>
        <w:rPr>
          <w:rFonts w:ascii="Times New Roman" w:hAnsi="Times New Roman" w:cs="Times New Roman"/>
          <w:sz w:val="24"/>
          <w:szCs w:val="24"/>
        </w:rPr>
        <w:t xml:space="preserve"> </w:t>
      </w:r>
      <w:r w:rsidR="00A133D2">
        <w:rPr>
          <w:rFonts w:ascii="Times New Roman" w:hAnsi="Times New Roman" w:cs="Times New Roman"/>
          <w:sz w:val="24"/>
          <w:szCs w:val="24"/>
        </w:rPr>
        <w:t xml:space="preserve">but is presented as a consequence of the obligation imposed by Article 10.  That </w:t>
      </w:r>
      <w:r w:rsidR="004D5484">
        <w:rPr>
          <w:rFonts w:ascii="Times New Roman" w:hAnsi="Times New Roman" w:cs="Times New Roman"/>
          <w:sz w:val="24"/>
          <w:szCs w:val="24"/>
        </w:rPr>
        <w:t xml:space="preserve">might be thought to have been </w:t>
      </w:r>
      <w:r w:rsidR="00A133D2">
        <w:rPr>
          <w:rFonts w:ascii="Times New Roman" w:hAnsi="Times New Roman" w:cs="Times New Roman"/>
          <w:sz w:val="24"/>
          <w:szCs w:val="24"/>
        </w:rPr>
        <w:t>reflected in the unqualified terms of the answer provided by the court to the first question asked of it (at para. 40):</w:t>
      </w:r>
    </w:p>
    <w:p w14:paraId="12B0C519" w14:textId="77777777" w:rsidR="00A133D2" w:rsidRPr="00E26987" w:rsidRDefault="00A133D2" w:rsidP="00A133D2">
      <w:pPr>
        <w:pStyle w:val="ListParagraph"/>
        <w:spacing w:before="240" w:line="480" w:lineRule="auto"/>
        <w:jc w:val="both"/>
        <w:rPr>
          <w:rFonts w:ascii="Times New Roman" w:hAnsi="Times New Roman" w:cs="Times New Roman"/>
          <w:b/>
          <w:sz w:val="24"/>
          <w:szCs w:val="24"/>
        </w:rPr>
      </w:pPr>
    </w:p>
    <w:p w14:paraId="2285FFE3" w14:textId="77777777" w:rsidR="00AD6584" w:rsidRDefault="00A133D2" w:rsidP="00E57213">
      <w:pPr>
        <w:spacing w:after="0" w:line="480" w:lineRule="auto"/>
        <w:ind w:left="1440"/>
        <w:jc w:val="both"/>
        <w:rPr>
          <w:rFonts w:ascii="Times New Roman" w:eastAsia="Times New Roman" w:hAnsi="Times New Roman" w:cs="Times New Roman"/>
          <w:i/>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w:t>
      </w:r>
      <w:r>
        <w:rPr>
          <w:rFonts w:ascii="Times New Roman" w:eastAsia="Times New Roman" w:hAnsi="Times New Roman" w:cs="Times New Roman"/>
          <w:i/>
          <w:color w:val="000000"/>
          <w:sz w:val="24"/>
          <w:szCs w:val="24"/>
          <w:shd w:val="clear" w:color="auto" w:fill="FFFFFF"/>
        </w:rPr>
        <w:t>…</w:t>
      </w:r>
      <w:r w:rsidRPr="00EA296D">
        <w:rPr>
          <w:rFonts w:ascii="Times New Roman" w:eastAsia="Times New Roman" w:hAnsi="Times New Roman" w:cs="Times New Roman"/>
          <w:i/>
          <w:color w:val="000000"/>
          <w:sz w:val="24"/>
          <w:szCs w:val="24"/>
          <w:shd w:val="clear" w:color="auto" w:fill="FFFFFF"/>
        </w:rPr>
        <w:t>on a proper construction of Article 10 of Directive 2001/83, read in conjunction with Article 47 of the Charter, the holder of a MA for a medicinal product used as a reference product in an application for a MA under Article 10 of the directive for a generic product of another manufacturer has the right to a judicial remedy enabling him to challenge the decision of the competent authority which granted the MA for the generic product, provided that that holder is seeking judicial protection of a right conferred on him by Article 10. Such a judicial remedy exists, inter alia, where the holder demands that his medicinal product is not to be used for the purpose of obtaining, under Article 10, a MA for another medicinal product in relation to which his own product cannot be regarded as a reference product within the meaning of Article 10(2)(a) of the directive.</w:t>
      </w:r>
      <w:r>
        <w:rPr>
          <w:rFonts w:ascii="Times New Roman" w:eastAsia="Times New Roman" w:hAnsi="Times New Roman" w:cs="Times New Roman"/>
          <w:i/>
          <w:color w:val="000000"/>
          <w:sz w:val="24"/>
          <w:szCs w:val="24"/>
          <w:shd w:val="clear" w:color="auto" w:fill="FFFFFF"/>
        </w:rPr>
        <w:t>’</w:t>
      </w:r>
    </w:p>
    <w:p w14:paraId="09B67CF6" w14:textId="77777777" w:rsidR="00AD6584" w:rsidRPr="00AD6584" w:rsidRDefault="00AD6584" w:rsidP="00E57213">
      <w:pPr>
        <w:spacing w:after="0" w:line="480" w:lineRule="auto"/>
        <w:ind w:left="1440"/>
        <w:jc w:val="both"/>
        <w:rPr>
          <w:rFonts w:ascii="Times New Roman" w:eastAsia="Times New Roman" w:hAnsi="Times New Roman" w:cs="Times New Roman"/>
          <w:i/>
          <w:color w:val="000000"/>
          <w:sz w:val="24"/>
          <w:szCs w:val="24"/>
          <w:shd w:val="clear" w:color="auto" w:fill="FFFFFF"/>
        </w:rPr>
      </w:pPr>
    </w:p>
    <w:p w14:paraId="2FACFD8D" w14:textId="674AB993" w:rsidR="004D5484" w:rsidRPr="004D5484" w:rsidRDefault="004D5484" w:rsidP="00E57213">
      <w:pPr>
        <w:pStyle w:val="ListParagraph"/>
        <w:numPr>
          <w:ilvl w:val="0"/>
          <w:numId w:val="1"/>
        </w:numPr>
        <w:spacing w:after="0" w:line="480" w:lineRule="auto"/>
        <w:jc w:val="both"/>
        <w:rPr>
          <w:rFonts w:ascii="Times New Roman" w:hAnsi="Times New Roman" w:cs="Times New Roman"/>
          <w:b/>
          <w:sz w:val="24"/>
          <w:szCs w:val="24"/>
        </w:rPr>
      </w:pPr>
      <w:r>
        <w:rPr>
          <w:rFonts w:ascii="Times New Roman" w:hAnsi="Times New Roman" w:cs="Times New Roman"/>
          <w:sz w:val="24"/>
          <w:szCs w:val="24"/>
        </w:rPr>
        <w:t xml:space="preserve">That said, the CJEU in </w:t>
      </w:r>
      <w:r>
        <w:rPr>
          <w:rFonts w:ascii="Times New Roman" w:hAnsi="Times New Roman" w:cs="Times New Roman"/>
          <w:i/>
          <w:sz w:val="24"/>
          <w:szCs w:val="24"/>
        </w:rPr>
        <w:t xml:space="preserve">Olainfarm </w:t>
      </w:r>
      <w:r>
        <w:rPr>
          <w:rFonts w:ascii="Times New Roman" w:hAnsi="Times New Roman" w:cs="Times New Roman"/>
          <w:sz w:val="24"/>
          <w:szCs w:val="24"/>
        </w:rPr>
        <w:t>was concerned with a case in which the period of exclusivity was engaged, and it is quite possible that insofar as it referred to Article 10 in the second part of paragraph 38, it was addressing only a right to such exclusivity, and not any broader right vested in the holder of the reference product authorisation</w:t>
      </w:r>
      <w:r w:rsidR="00252172">
        <w:rPr>
          <w:rFonts w:ascii="Times New Roman" w:hAnsi="Times New Roman" w:cs="Times New Roman"/>
          <w:sz w:val="24"/>
          <w:szCs w:val="24"/>
        </w:rPr>
        <w:t xml:space="preserve"> (this, certainly as I read his judgment, being the interpretation suggested by Lewis J. in </w:t>
      </w:r>
      <w:r w:rsidR="00252172">
        <w:rPr>
          <w:rFonts w:ascii="Times New Roman" w:hAnsi="Times New Roman" w:cs="Times New Roman"/>
          <w:i/>
          <w:sz w:val="24"/>
          <w:szCs w:val="24"/>
        </w:rPr>
        <w:t>Orion Corporatio</w:t>
      </w:r>
      <w:r w:rsidR="00C53402">
        <w:rPr>
          <w:rFonts w:ascii="Times New Roman" w:hAnsi="Times New Roman" w:cs="Times New Roman"/>
          <w:i/>
          <w:sz w:val="24"/>
          <w:szCs w:val="24"/>
        </w:rPr>
        <w:t>n v. Secretary of State for Health and Social Care</w:t>
      </w:r>
      <w:r w:rsidR="00C53402">
        <w:rPr>
          <w:rFonts w:ascii="Times New Roman" w:hAnsi="Times New Roman" w:cs="Times New Roman"/>
          <w:sz w:val="24"/>
          <w:szCs w:val="24"/>
        </w:rPr>
        <w:t xml:space="preserve"> [2019] EWHC 689 (Admin.) at para. 13).</w:t>
      </w:r>
    </w:p>
    <w:p w14:paraId="3AB6C4B4" w14:textId="77777777" w:rsidR="004D5484" w:rsidRPr="004D5484" w:rsidRDefault="004D5484" w:rsidP="004D5484">
      <w:pPr>
        <w:pStyle w:val="ListParagraph"/>
        <w:spacing w:after="0" w:line="480" w:lineRule="auto"/>
        <w:ind w:left="786"/>
        <w:jc w:val="both"/>
        <w:rPr>
          <w:rFonts w:ascii="Times New Roman" w:hAnsi="Times New Roman" w:cs="Times New Roman"/>
          <w:b/>
          <w:sz w:val="24"/>
          <w:szCs w:val="24"/>
        </w:rPr>
      </w:pPr>
      <w:r>
        <w:rPr>
          <w:rFonts w:ascii="Times New Roman" w:hAnsi="Times New Roman" w:cs="Times New Roman"/>
          <w:sz w:val="24"/>
          <w:szCs w:val="24"/>
        </w:rPr>
        <w:t xml:space="preserve"> </w:t>
      </w:r>
    </w:p>
    <w:p w14:paraId="5CC18772" w14:textId="124212E9" w:rsidR="00F84C05" w:rsidRPr="00F84C05" w:rsidRDefault="00A133D2" w:rsidP="00E57213">
      <w:pPr>
        <w:pStyle w:val="ListParagraph"/>
        <w:numPr>
          <w:ilvl w:val="0"/>
          <w:numId w:val="1"/>
        </w:numPr>
        <w:spacing w:after="0" w:line="480" w:lineRule="auto"/>
        <w:jc w:val="both"/>
        <w:rPr>
          <w:rFonts w:ascii="Times New Roman" w:hAnsi="Times New Roman" w:cs="Times New Roman"/>
          <w:b/>
          <w:sz w:val="24"/>
          <w:szCs w:val="24"/>
        </w:rPr>
      </w:pPr>
      <w:r>
        <w:rPr>
          <w:rFonts w:ascii="Times New Roman" w:hAnsi="Times New Roman" w:cs="Times New Roman"/>
          <w:sz w:val="24"/>
          <w:szCs w:val="24"/>
        </w:rPr>
        <w:lastRenderedPageBreak/>
        <w:t xml:space="preserve">The parties did not </w:t>
      </w:r>
      <w:r w:rsidR="00352D3C">
        <w:rPr>
          <w:rFonts w:ascii="Times New Roman" w:hAnsi="Times New Roman" w:cs="Times New Roman"/>
          <w:sz w:val="24"/>
          <w:szCs w:val="24"/>
        </w:rPr>
        <w:t xml:space="preserve">in terms </w:t>
      </w:r>
      <w:r>
        <w:rPr>
          <w:rFonts w:ascii="Times New Roman" w:hAnsi="Times New Roman" w:cs="Times New Roman"/>
          <w:sz w:val="24"/>
          <w:szCs w:val="24"/>
        </w:rPr>
        <w:t xml:space="preserve">request the court to determine conclusively the issue of whether in the circumstances of this case </w:t>
      </w:r>
      <w:r w:rsidR="006655C7">
        <w:rPr>
          <w:rFonts w:ascii="Times New Roman" w:hAnsi="Times New Roman" w:cs="Times New Roman"/>
          <w:sz w:val="24"/>
          <w:szCs w:val="24"/>
        </w:rPr>
        <w:t xml:space="preserve">Arthropharm </w:t>
      </w:r>
      <w:r>
        <w:rPr>
          <w:rFonts w:ascii="Times New Roman" w:hAnsi="Times New Roman" w:cs="Times New Roman"/>
          <w:sz w:val="24"/>
          <w:szCs w:val="24"/>
        </w:rPr>
        <w:t>had a right under Article 47 of the Charter to b</w:t>
      </w:r>
      <w:r w:rsidR="005462BA">
        <w:rPr>
          <w:rFonts w:ascii="Times New Roman" w:hAnsi="Times New Roman" w:cs="Times New Roman"/>
          <w:sz w:val="24"/>
          <w:szCs w:val="24"/>
        </w:rPr>
        <w:t>r</w:t>
      </w:r>
      <w:r>
        <w:rPr>
          <w:rFonts w:ascii="Times New Roman" w:hAnsi="Times New Roman" w:cs="Times New Roman"/>
          <w:sz w:val="24"/>
          <w:szCs w:val="24"/>
        </w:rPr>
        <w:t>ing a challenge of the kind in issue</w:t>
      </w:r>
      <w:r w:rsidR="00352D3C">
        <w:rPr>
          <w:rFonts w:ascii="Times New Roman" w:hAnsi="Times New Roman" w:cs="Times New Roman"/>
          <w:sz w:val="24"/>
          <w:szCs w:val="24"/>
        </w:rPr>
        <w:t xml:space="preserve"> </w:t>
      </w:r>
      <w:r w:rsidR="005462BA">
        <w:rPr>
          <w:rFonts w:ascii="Times New Roman" w:hAnsi="Times New Roman" w:cs="Times New Roman"/>
          <w:sz w:val="24"/>
          <w:szCs w:val="24"/>
        </w:rPr>
        <w:t xml:space="preserve">here </w:t>
      </w:r>
      <w:r w:rsidR="00352D3C">
        <w:rPr>
          <w:rFonts w:ascii="Times New Roman" w:hAnsi="Times New Roman" w:cs="Times New Roman"/>
          <w:sz w:val="24"/>
          <w:szCs w:val="24"/>
        </w:rPr>
        <w:t xml:space="preserve">(although counsel for Arthropharm did focus in some detail on the decision in </w:t>
      </w:r>
      <w:r w:rsidR="00352D3C">
        <w:rPr>
          <w:rFonts w:ascii="Times New Roman" w:hAnsi="Times New Roman" w:cs="Times New Roman"/>
          <w:i/>
          <w:sz w:val="24"/>
          <w:szCs w:val="24"/>
        </w:rPr>
        <w:t>Olainfarm</w:t>
      </w:r>
      <w:r w:rsidR="00352D3C">
        <w:rPr>
          <w:rFonts w:ascii="Times New Roman" w:hAnsi="Times New Roman" w:cs="Times New Roman"/>
          <w:sz w:val="24"/>
          <w:szCs w:val="24"/>
        </w:rPr>
        <w:t xml:space="preserve"> in the course of his reply)</w:t>
      </w:r>
      <w:r>
        <w:rPr>
          <w:rFonts w:ascii="Times New Roman" w:hAnsi="Times New Roman" w:cs="Times New Roman"/>
          <w:sz w:val="24"/>
          <w:szCs w:val="24"/>
        </w:rPr>
        <w:t>.  I believe it would be wrong to de</w:t>
      </w:r>
      <w:r w:rsidR="008012C3">
        <w:rPr>
          <w:rFonts w:ascii="Times New Roman" w:hAnsi="Times New Roman" w:cs="Times New Roman"/>
          <w:sz w:val="24"/>
          <w:szCs w:val="24"/>
        </w:rPr>
        <w:t>cid</w:t>
      </w:r>
      <w:r>
        <w:rPr>
          <w:rFonts w:ascii="Times New Roman" w:hAnsi="Times New Roman" w:cs="Times New Roman"/>
          <w:sz w:val="24"/>
          <w:szCs w:val="24"/>
        </w:rPr>
        <w:t xml:space="preserve">e the issue on this application to extend time under Order 84 Rule 21(3), not least of all in circumstances where it would involve determining by way of </w:t>
      </w:r>
      <w:r w:rsidR="00EB2647">
        <w:rPr>
          <w:rFonts w:ascii="Times New Roman" w:hAnsi="Times New Roman" w:cs="Times New Roman"/>
          <w:sz w:val="24"/>
          <w:szCs w:val="24"/>
        </w:rPr>
        <w:t xml:space="preserve">a </w:t>
      </w:r>
      <w:r>
        <w:rPr>
          <w:rFonts w:ascii="Times New Roman" w:hAnsi="Times New Roman" w:cs="Times New Roman"/>
          <w:sz w:val="24"/>
          <w:szCs w:val="24"/>
        </w:rPr>
        <w:t xml:space="preserve">preliminary issue </w:t>
      </w:r>
      <w:r w:rsidR="00EB2647">
        <w:rPr>
          <w:rFonts w:ascii="Times New Roman" w:hAnsi="Times New Roman" w:cs="Times New Roman"/>
          <w:sz w:val="24"/>
          <w:szCs w:val="24"/>
        </w:rPr>
        <w:t xml:space="preserve">around timing </w:t>
      </w:r>
      <w:r>
        <w:rPr>
          <w:rFonts w:ascii="Times New Roman" w:hAnsi="Times New Roman" w:cs="Times New Roman"/>
          <w:sz w:val="24"/>
          <w:szCs w:val="24"/>
        </w:rPr>
        <w:t xml:space="preserve">a matter going to the merits of the case that </w:t>
      </w:r>
      <w:r w:rsidR="00EB2647">
        <w:rPr>
          <w:rFonts w:ascii="Times New Roman" w:hAnsi="Times New Roman" w:cs="Times New Roman"/>
          <w:sz w:val="24"/>
          <w:szCs w:val="24"/>
        </w:rPr>
        <w:t>is not usually appropriate when addressing the application of Order 84 R</w:t>
      </w:r>
      <w:r w:rsidR="00201ED5">
        <w:rPr>
          <w:rFonts w:ascii="Times New Roman" w:hAnsi="Times New Roman" w:cs="Times New Roman"/>
          <w:sz w:val="24"/>
          <w:szCs w:val="24"/>
        </w:rPr>
        <w:t>ule</w:t>
      </w:r>
      <w:r w:rsidR="00EB2647">
        <w:rPr>
          <w:rFonts w:ascii="Times New Roman" w:hAnsi="Times New Roman" w:cs="Times New Roman"/>
          <w:sz w:val="24"/>
          <w:szCs w:val="24"/>
        </w:rPr>
        <w:t>. 21</w:t>
      </w:r>
      <w:r w:rsidR="000C3020">
        <w:rPr>
          <w:rFonts w:ascii="Times New Roman" w:hAnsi="Times New Roman" w:cs="Times New Roman"/>
          <w:sz w:val="24"/>
          <w:szCs w:val="24"/>
        </w:rPr>
        <w:t>.  This was not</w:t>
      </w:r>
      <w:r w:rsidR="00EB2647">
        <w:rPr>
          <w:rFonts w:ascii="Times New Roman" w:hAnsi="Times New Roman" w:cs="Times New Roman"/>
          <w:sz w:val="24"/>
          <w:szCs w:val="24"/>
        </w:rPr>
        <w:t xml:space="preserve"> </w:t>
      </w:r>
      <w:r>
        <w:rPr>
          <w:rFonts w:ascii="Times New Roman" w:hAnsi="Times New Roman" w:cs="Times New Roman"/>
          <w:sz w:val="24"/>
          <w:szCs w:val="24"/>
        </w:rPr>
        <w:t xml:space="preserve">obviously envisaged by the High Court when the issue was fixed. </w:t>
      </w:r>
      <w:r w:rsidR="00EB2647">
        <w:rPr>
          <w:rFonts w:ascii="Times New Roman" w:hAnsi="Times New Roman" w:cs="Times New Roman"/>
          <w:sz w:val="24"/>
          <w:szCs w:val="24"/>
        </w:rPr>
        <w:t xml:space="preserve"> Moreover, determining this issue finally might require a reference to the CJEU (a</w:t>
      </w:r>
      <w:r w:rsidR="000C3020">
        <w:rPr>
          <w:rFonts w:ascii="Times New Roman" w:hAnsi="Times New Roman" w:cs="Times New Roman"/>
          <w:sz w:val="24"/>
          <w:szCs w:val="24"/>
        </w:rPr>
        <w:t xml:space="preserve"> possibility</w:t>
      </w:r>
      <w:r w:rsidR="00EB2647">
        <w:rPr>
          <w:rFonts w:ascii="Times New Roman" w:hAnsi="Times New Roman" w:cs="Times New Roman"/>
          <w:sz w:val="24"/>
          <w:szCs w:val="24"/>
        </w:rPr>
        <w:t>, I should say, on which I am not expressing a final view</w:t>
      </w:r>
      <w:r w:rsidR="000C3020">
        <w:rPr>
          <w:rFonts w:ascii="Times New Roman" w:hAnsi="Times New Roman" w:cs="Times New Roman"/>
          <w:sz w:val="24"/>
          <w:szCs w:val="24"/>
        </w:rPr>
        <w:t>)</w:t>
      </w:r>
      <w:r w:rsidR="00EB2647">
        <w:rPr>
          <w:rFonts w:ascii="Times New Roman" w:hAnsi="Times New Roman" w:cs="Times New Roman"/>
          <w:sz w:val="24"/>
          <w:szCs w:val="24"/>
        </w:rPr>
        <w:t>.  However, the question cannot simply be ignored, as the issue of whether Arthropharm enjoys a right under EU law to bring this challenge has implications for how the court approaches the operation of the time limits in Order 84 RSC.</w:t>
      </w:r>
      <w:r>
        <w:rPr>
          <w:rFonts w:ascii="Times New Roman" w:hAnsi="Times New Roman" w:cs="Times New Roman"/>
          <w:sz w:val="24"/>
          <w:szCs w:val="24"/>
        </w:rPr>
        <w:t xml:space="preserve"> </w:t>
      </w:r>
    </w:p>
    <w:p w14:paraId="0776075F" w14:textId="77777777" w:rsidR="00F84C05" w:rsidRPr="00F84C05" w:rsidRDefault="00F84C05" w:rsidP="00F84C05">
      <w:pPr>
        <w:pStyle w:val="ListParagraph"/>
        <w:rPr>
          <w:rFonts w:ascii="Times New Roman" w:hAnsi="Times New Roman" w:cs="Times New Roman"/>
          <w:sz w:val="24"/>
          <w:szCs w:val="24"/>
        </w:rPr>
      </w:pPr>
    </w:p>
    <w:p w14:paraId="38E4A682" w14:textId="335DECB4" w:rsidR="00A133D2" w:rsidRPr="00303F01" w:rsidRDefault="00A133D2" w:rsidP="00E57213">
      <w:pPr>
        <w:pStyle w:val="ListParagraph"/>
        <w:numPr>
          <w:ilvl w:val="0"/>
          <w:numId w:val="1"/>
        </w:numPr>
        <w:spacing w:after="0" w:line="480" w:lineRule="auto"/>
        <w:jc w:val="both"/>
        <w:rPr>
          <w:rFonts w:ascii="Times New Roman" w:hAnsi="Times New Roman" w:cs="Times New Roman"/>
          <w:b/>
          <w:sz w:val="24"/>
          <w:szCs w:val="24"/>
        </w:rPr>
      </w:pPr>
      <w:r w:rsidRPr="00303F01">
        <w:rPr>
          <w:rFonts w:ascii="Times New Roman" w:hAnsi="Times New Roman" w:cs="Times New Roman"/>
          <w:sz w:val="24"/>
          <w:szCs w:val="24"/>
        </w:rPr>
        <w:t xml:space="preserve">The </w:t>
      </w:r>
      <w:r w:rsidR="00303F01" w:rsidRPr="00303F01">
        <w:rPr>
          <w:rFonts w:ascii="Times New Roman" w:hAnsi="Times New Roman" w:cs="Times New Roman"/>
          <w:sz w:val="24"/>
          <w:szCs w:val="24"/>
        </w:rPr>
        <w:t>proper</w:t>
      </w:r>
      <w:r w:rsidRPr="00303F01">
        <w:rPr>
          <w:rFonts w:ascii="Times New Roman" w:hAnsi="Times New Roman" w:cs="Times New Roman"/>
          <w:sz w:val="24"/>
          <w:szCs w:val="24"/>
        </w:rPr>
        <w:t xml:space="preserve"> way to proceed, it appears to me, is to note that </w:t>
      </w:r>
      <w:r w:rsidR="00F84C05">
        <w:rPr>
          <w:rFonts w:ascii="Times New Roman" w:hAnsi="Times New Roman" w:cs="Times New Roman"/>
          <w:sz w:val="24"/>
          <w:szCs w:val="24"/>
        </w:rPr>
        <w:t xml:space="preserve">having regard to the manner in which the CJEU expressed itself in </w:t>
      </w:r>
      <w:r w:rsidR="00F84C05">
        <w:rPr>
          <w:rFonts w:ascii="Times New Roman" w:hAnsi="Times New Roman" w:cs="Times New Roman"/>
          <w:i/>
          <w:sz w:val="24"/>
          <w:szCs w:val="24"/>
        </w:rPr>
        <w:t xml:space="preserve">Olainfarm, </w:t>
      </w:r>
      <w:r w:rsidRPr="00303F01">
        <w:rPr>
          <w:rFonts w:ascii="Times New Roman" w:hAnsi="Times New Roman" w:cs="Times New Roman"/>
          <w:sz w:val="24"/>
          <w:szCs w:val="24"/>
        </w:rPr>
        <w:t>it is arguable that there is such a right</w:t>
      </w:r>
      <w:r w:rsidR="00EB2647">
        <w:rPr>
          <w:rFonts w:ascii="Times New Roman" w:hAnsi="Times New Roman" w:cs="Times New Roman"/>
          <w:sz w:val="24"/>
          <w:szCs w:val="24"/>
        </w:rPr>
        <w:t xml:space="preserve">, and </w:t>
      </w:r>
      <w:r w:rsidR="008C6C6F" w:rsidRPr="00303F01">
        <w:rPr>
          <w:rFonts w:ascii="Times New Roman" w:hAnsi="Times New Roman" w:cs="Times New Roman"/>
          <w:sz w:val="24"/>
          <w:szCs w:val="24"/>
        </w:rPr>
        <w:t xml:space="preserve">that </w:t>
      </w:r>
      <w:r w:rsidR="00F84C05">
        <w:rPr>
          <w:rFonts w:ascii="Times New Roman" w:hAnsi="Times New Roman" w:cs="Times New Roman"/>
          <w:sz w:val="24"/>
          <w:szCs w:val="24"/>
        </w:rPr>
        <w:t>having regard to the actual facts of that case</w:t>
      </w:r>
      <w:r w:rsidR="00EB2647">
        <w:rPr>
          <w:rFonts w:ascii="Times New Roman" w:hAnsi="Times New Roman" w:cs="Times New Roman"/>
          <w:sz w:val="24"/>
          <w:szCs w:val="24"/>
        </w:rPr>
        <w:t xml:space="preserve"> and for the reasons explained by the Advocate General</w:t>
      </w:r>
      <w:r w:rsidR="00F84C05">
        <w:rPr>
          <w:rFonts w:ascii="Times New Roman" w:hAnsi="Times New Roman" w:cs="Times New Roman"/>
          <w:sz w:val="24"/>
          <w:szCs w:val="24"/>
        </w:rPr>
        <w:t xml:space="preserve">, </w:t>
      </w:r>
      <w:r w:rsidR="008C6C6F" w:rsidRPr="00303F01">
        <w:rPr>
          <w:rFonts w:ascii="Times New Roman" w:hAnsi="Times New Roman" w:cs="Times New Roman"/>
          <w:sz w:val="24"/>
          <w:szCs w:val="24"/>
        </w:rPr>
        <w:t>it is arguable that there is not</w:t>
      </w:r>
      <w:r w:rsidR="00EB2647">
        <w:rPr>
          <w:rFonts w:ascii="Times New Roman" w:hAnsi="Times New Roman" w:cs="Times New Roman"/>
          <w:sz w:val="24"/>
          <w:szCs w:val="24"/>
        </w:rPr>
        <w:t xml:space="preserve">.  However, to assume that there is no such right could operate unjustly to Arthropharm’s detriment as the rules governing time in a challenge in an EU law right may well be more generous than those applicable in the case of a purely domestic remedy. To assume that there is such a right does not result in prejudice </w:t>
      </w:r>
      <w:r w:rsidR="000C3020">
        <w:rPr>
          <w:rFonts w:ascii="Times New Roman" w:hAnsi="Times New Roman" w:cs="Times New Roman"/>
          <w:sz w:val="24"/>
          <w:szCs w:val="24"/>
        </w:rPr>
        <w:t xml:space="preserve">of the same degree </w:t>
      </w:r>
      <w:r w:rsidR="00EB2647">
        <w:rPr>
          <w:rFonts w:ascii="Times New Roman" w:hAnsi="Times New Roman" w:cs="Times New Roman"/>
          <w:sz w:val="24"/>
          <w:szCs w:val="24"/>
        </w:rPr>
        <w:t xml:space="preserve">to HPRA and Chanelle, as they remain free at the trial to agitate the question of Arthropharm’s standing to bring the case.  Therefore, I will </w:t>
      </w:r>
      <w:r w:rsidR="005462BA">
        <w:rPr>
          <w:rFonts w:ascii="Times New Roman" w:hAnsi="Times New Roman" w:cs="Times New Roman"/>
          <w:sz w:val="24"/>
          <w:szCs w:val="24"/>
        </w:rPr>
        <w:t>determine this</w:t>
      </w:r>
      <w:r w:rsidRPr="00303F01">
        <w:rPr>
          <w:rFonts w:ascii="Times New Roman" w:hAnsi="Times New Roman" w:cs="Times New Roman"/>
          <w:sz w:val="24"/>
          <w:szCs w:val="24"/>
        </w:rPr>
        <w:t xml:space="preserve"> application on the assumption that such </w:t>
      </w:r>
      <w:r w:rsidR="00201ED5">
        <w:rPr>
          <w:rFonts w:ascii="Times New Roman" w:hAnsi="Times New Roman" w:cs="Times New Roman"/>
          <w:sz w:val="24"/>
          <w:szCs w:val="24"/>
        </w:rPr>
        <w:t xml:space="preserve">a </w:t>
      </w:r>
      <w:r w:rsidRPr="00303F01">
        <w:rPr>
          <w:rFonts w:ascii="Times New Roman" w:hAnsi="Times New Roman" w:cs="Times New Roman"/>
          <w:sz w:val="24"/>
          <w:szCs w:val="24"/>
        </w:rPr>
        <w:t xml:space="preserve">right is </w:t>
      </w:r>
      <w:r w:rsidR="000370C2" w:rsidRPr="00303F01">
        <w:rPr>
          <w:rFonts w:ascii="Times New Roman" w:hAnsi="Times New Roman" w:cs="Times New Roman"/>
          <w:sz w:val="24"/>
          <w:szCs w:val="24"/>
        </w:rPr>
        <w:t xml:space="preserve">indeed enjoyed by </w:t>
      </w:r>
      <w:r w:rsidR="003C76A2">
        <w:rPr>
          <w:rFonts w:ascii="Times New Roman" w:hAnsi="Times New Roman" w:cs="Times New Roman"/>
          <w:sz w:val="24"/>
          <w:szCs w:val="24"/>
        </w:rPr>
        <w:t>Arthropharm</w:t>
      </w:r>
      <w:r w:rsidRPr="00303F01">
        <w:rPr>
          <w:rFonts w:ascii="Times New Roman" w:hAnsi="Times New Roman" w:cs="Times New Roman"/>
          <w:sz w:val="24"/>
          <w:szCs w:val="24"/>
        </w:rPr>
        <w:t xml:space="preserve">. </w:t>
      </w:r>
      <w:r w:rsidR="00886A90">
        <w:rPr>
          <w:rFonts w:ascii="Times New Roman" w:hAnsi="Times New Roman" w:cs="Times New Roman"/>
          <w:sz w:val="24"/>
          <w:szCs w:val="24"/>
        </w:rPr>
        <w:t>This does, as I explain, have</w:t>
      </w:r>
      <w:r w:rsidR="00C2685B">
        <w:rPr>
          <w:rFonts w:ascii="Times New Roman" w:hAnsi="Times New Roman" w:cs="Times New Roman"/>
          <w:sz w:val="24"/>
          <w:szCs w:val="24"/>
        </w:rPr>
        <w:t xml:space="preserve"> </w:t>
      </w:r>
      <w:r w:rsidR="00886A90">
        <w:rPr>
          <w:rFonts w:ascii="Times New Roman" w:hAnsi="Times New Roman" w:cs="Times New Roman"/>
          <w:sz w:val="24"/>
          <w:szCs w:val="24"/>
        </w:rPr>
        <w:t xml:space="preserve">implications for how </w:t>
      </w:r>
      <w:r w:rsidR="00886A90">
        <w:rPr>
          <w:rFonts w:ascii="Times New Roman" w:hAnsi="Times New Roman" w:cs="Times New Roman"/>
          <w:sz w:val="24"/>
          <w:szCs w:val="24"/>
        </w:rPr>
        <w:lastRenderedPageBreak/>
        <w:t xml:space="preserve">the issue of an extension of time should be approached. </w:t>
      </w:r>
      <w:r w:rsidRPr="00303F01">
        <w:rPr>
          <w:rFonts w:ascii="Times New Roman" w:hAnsi="Times New Roman" w:cs="Times New Roman"/>
          <w:sz w:val="24"/>
          <w:szCs w:val="24"/>
        </w:rPr>
        <w:t xml:space="preserve">However, I stress, this is not to determine </w:t>
      </w:r>
      <w:r w:rsidR="00CD7A2A">
        <w:rPr>
          <w:rFonts w:ascii="Times New Roman" w:hAnsi="Times New Roman" w:cs="Times New Roman"/>
          <w:sz w:val="24"/>
          <w:szCs w:val="24"/>
        </w:rPr>
        <w:t xml:space="preserve">finally the </w:t>
      </w:r>
      <w:r w:rsidR="005462BA">
        <w:rPr>
          <w:rFonts w:ascii="Times New Roman" w:hAnsi="Times New Roman" w:cs="Times New Roman"/>
          <w:sz w:val="24"/>
          <w:szCs w:val="24"/>
        </w:rPr>
        <w:t xml:space="preserve">question </w:t>
      </w:r>
      <w:r w:rsidR="00CD7A2A">
        <w:rPr>
          <w:rFonts w:ascii="Times New Roman" w:hAnsi="Times New Roman" w:cs="Times New Roman"/>
          <w:sz w:val="24"/>
          <w:szCs w:val="24"/>
        </w:rPr>
        <w:t>of whether Arthropharm had a right under Article 47 of the Charter to bring this claim.</w:t>
      </w:r>
    </w:p>
    <w:p w14:paraId="36D4AB75" w14:textId="77777777" w:rsidR="0017453A" w:rsidRPr="0017453A" w:rsidRDefault="0017453A" w:rsidP="0017453A">
      <w:pPr>
        <w:pStyle w:val="ListParagraph"/>
        <w:spacing w:before="240" w:line="480" w:lineRule="auto"/>
        <w:jc w:val="both"/>
        <w:rPr>
          <w:rFonts w:ascii="Times New Roman" w:hAnsi="Times New Roman" w:cs="Times New Roman"/>
          <w:b/>
          <w:sz w:val="24"/>
          <w:szCs w:val="24"/>
        </w:rPr>
      </w:pPr>
    </w:p>
    <w:p w14:paraId="17C2865E" w14:textId="77777777" w:rsidR="00B83C27" w:rsidRPr="00B83C27" w:rsidRDefault="00B83C27" w:rsidP="00B83C27">
      <w:pPr>
        <w:pStyle w:val="ListParagraph"/>
        <w:numPr>
          <w:ilvl w:val="0"/>
          <w:numId w:val="3"/>
        </w:numPr>
        <w:spacing w:line="480" w:lineRule="auto"/>
        <w:jc w:val="both"/>
        <w:rPr>
          <w:rFonts w:ascii="Times New Roman" w:hAnsi="Times New Roman" w:cs="Times New Roman"/>
          <w:i/>
          <w:sz w:val="24"/>
          <w:szCs w:val="24"/>
        </w:rPr>
      </w:pPr>
      <w:r>
        <w:rPr>
          <w:rFonts w:ascii="Times New Roman" w:hAnsi="Times New Roman" w:cs="Times New Roman"/>
          <w:i/>
          <w:sz w:val="24"/>
          <w:szCs w:val="24"/>
        </w:rPr>
        <w:t>Order 84 Rule 2</w:t>
      </w:r>
      <w:r w:rsidR="00D903F2">
        <w:rPr>
          <w:rFonts w:ascii="Times New Roman" w:hAnsi="Times New Roman" w:cs="Times New Roman"/>
          <w:i/>
          <w:sz w:val="24"/>
          <w:szCs w:val="24"/>
        </w:rPr>
        <w:t>1</w:t>
      </w:r>
      <w:r>
        <w:rPr>
          <w:rFonts w:ascii="Times New Roman" w:hAnsi="Times New Roman" w:cs="Times New Roman"/>
          <w:i/>
          <w:sz w:val="24"/>
          <w:szCs w:val="24"/>
        </w:rPr>
        <w:t>(1)</w:t>
      </w:r>
    </w:p>
    <w:p w14:paraId="1CA975FA" w14:textId="77777777" w:rsidR="00AE6703" w:rsidRPr="00AE6703" w:rsidRDefault="00AE6703" w:rsidP="00AE6703">
      <w:pPr>
        <w:pStyle w:val="ListParagraph"/>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  </w:t>
      </w:r>
    </w:p>
    <w:p w14:paraId="2C1FC9A5" w14:textId="77777777" w:rsidR="000963FA" w:rsidRPr="000963FA" w:rsidRDefault="00432BFC" w:rsidP="00432BFC">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sz w:val="24"/>
          <w:szCs w:val="24"/>
        </w:rPr>
        <w:t>The first conclusion reached by Simons J. has an obvious initial appeal – it seems counterintuitive that time would run against a person seeking to challenge the legal validity of a decision before they might reasonably know of it and, indeed, that that time could in theory expire before they</w:t>
      </w:r>
      <w:r w:rsidR="00E721F9">
        <w:rPr>
          <w:rFonts w:ascii="Times New Roman" w:hAnsi="Times New Roman" w:cs="Times New Roman"/>
          <w:sz w:val="24"/>
          <w:szCs w:val="24"/>
        </w:rPr>
        <w:t xml:space="preserve"> </w:t>
      </w:r>
      <w:r>
        <w:rPr>
          <w:rFonts w:ascii="Times New Roman" w:hAnsi="Times New Roman" w:cs="Times New Roman"/>
          <w:sz w:val="24"/>
          <w:szCs w:val="24"/>
        </w:rPr>
        <w:t xml:space="preserve">knew </w:t>
      </w:r>
      <w:r w:rsidR="008B4E21">
        <w:rPr>
          <w:rFonts w:ascii="Times New Roman" w:hAnsi="Times New Roman" w:cs="Times New Roman"/>
          <w:sz w:val="24"/>
          <w:szCs w:val="24"/>
        </w:rPr>
        <w:t xml:space="preserve">or could reasonably have known that </w:t>
      </w:r>
      <w:r>
        <w:rPr>
          <w:rFonts w:ascii="Times New Roman" w:hAnsi="Times New Roman" w:cs="Times New Roman"/>
          <w:sz w:val="24"/>
          <w:szCs w:val="24"/>
        </w:rPr>
        <w:t xml:space="preserve">the decision had been made. </w:t>
      </w:r>
      <w:r w:rsidR="00C861AF">
        <w:rPr>
          <w:rFonts w:ascii="Times New Roman" w:hAnsi="Times New Roman" w:cs="Times New Roman"/>
          <w:sz w:val="24"/>
          <w:szCs w:val="24"/>
        </w:rPr>
        <w:t xml:space="preserve"> However, it is my view that this conclusion was mistaken</w:t>
      </w:r>
      <w:r w:rsidR="006655C7">
        <w:rPr>
          <w:rFonts w:ascii="Times New Roman" w:hAnsi="Times New Roman" w:cs="Times New Roman"/>
          <w:sz w:val="24"/>
          <w:szCs w:val="24"/>
        </w:rPr>
        <w:t xml:space="preserve"> -</w:t>
      </w:r>
      <w:r w:rsidR="00C861AF">
        <w:rPr>
          <w:rFonts w:ascii="Times New Roman" w:hAnsi="Times New Roman" w:cs="Times New Roman"/>
          <w:sz w:val="24"/>
          <w:szCs w:val="24"/>
        </w:rPr>
        <w:t xml:space="preserve"> at least in the way it was expressed.  Ultimately, as I </w:t>
      </w:r>
      <w:r w:rsidR="00B32242">
        <w:rPr>
          <w:rFonts w:ascii="Times New Roman" w:hAnsi="Times New Roman" w:cs="Times New Roman"/>
          <w:sz w:val="24"/>
          <w:szCs w:val="24"/>
        </w:rPr>
        <w:t xml:space="preserve">have earlier suggested, </w:t>
      </w:r>
      <w:r w:rsidR="00C861AF">
        <w:rPr>
          <w:rFonts w:ascii="Times New Roman" w:hAnsi="Times New Roman" w:cs="Times New Roman"/>
          <w:sz w:val="24"/>
          <w:szCs w:val="24"/>
        </w:rPr>
        <w:t xml:space="preserve">the error is </w:t>
      </w:r>
      <w:r w:rsidR="004E3C0E">
        <w:rPr>
          <w:rFonts w:ascii="Times New Roman" w:hAnsi="Times New Roman" w:cs="Times New Roman"/>
          <w:sz w:val="24"/>
          <w:szCs w:val="24"/>
        </w:rPr>
        <w:t xml:space="preserve">at least to some extent </w:t>
      </w:r>
      <w:r w:rsidR="00C861AF">
        <w:rPr>
          <w:rFonts w:ascii="Times New Roman" w:hAnsi="Times New Roman" w:cs="Times New Roman"/>
          <w:i/>
          <w:sz w:val="24"/>
          <w:szCs w:val="24"/>
        </w:rPr>
        <w:t xml:space="preserve">nihil ad rem </w:t>
      </w:r>
      <w:r w:rsidR="00C861AF">
        <w:rPr>
          <w:rFonts w:ascii="Times New Roman" w:hAnsi="Times New Roman" w:cs="Times New Roman"/>
          <w:sz w:val="24"/>
          <w:szCs w:val="24"/>
        </w:rPr>
        <w:t xml:space="preserve">as on the facts here the court must in this case exercise its discretion to extend time so that Arthropharm is afforded a period of three months from the point at which it knew or ought to have known of the decision to bring its challenge – and indeed it may well be that this is what Simons J. intended. </w:t>
      </w:r>
      <w:r w:rsidR="00125843">
        <w:rPr>
          <w:rFonts w:ascii="Times New Roman" w:hAnsi="Times New Roman" w:cs="Times New Roman"/>
          <w:sz w:val="24"/>
          <w:szCs w:val="24"/>
        </w:rPr>
        <w:t xml:space="preserve"> However, as I have already noted, it is important to explain the precise basis on which I have reached this conclusion.</w:t>
      </w:r>
    </w:p>
    <w:p w14:paraId="5A877FE7" w14:textId="77777777" w:rsidR="000963FA" w:rsidRPr="000963FA" w:rsidRDefault="000963FA" w:rsidP="000963FA">
      <w:pPr>
        <w:pStyle w:val="ListParagraph"/>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  </w:t>
      </w:r>
    </w:p>
    <w:p w14:paraId="1B42AD44" w14:textId="77777777" w:rsidR="00A10419" w:rsidRPr="00A10419" w:rsidRDefault="002C2D6C" w:rsidP="00A10419">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sz w:val="24"/>
          <w:szCs w:val="24"/>
        </w:rPr>
        <w:t>In this regard, f</w:t>
      </w:r>
      <w:r w:rsidR="00A10419">
        <w:rPr>
          <w:rFonts w:ascii="Times New Roman" w:hAnsi="Times New Roman" w:cs="Times New Roman"/>
          <w:sz w:val="24"/>
          <w:szCs w:val="24"/>
        </w:rPr>
        <w:t xml:space="preserve">our </w:t>
      </w:r>
      <w:r w:rsidR="00432BFC" w:rsidRPr="00432BFC">
        <w:rPr>
          <w:rFonts w:ascii="Times New Roman" w:hAnsi="Times New Roman" w:cs="Times New Roman"/>
          <w:sz w:val="24"/>
          <w:szCs w:val="24"/>
        </w:rPr>
        <w:t>points should be</w:t>
      </w:r>
      <w:r w:rsidR="00E02B4F">
        <w:rPr>
          <w:rFonts w:ascii="Times New Roman" w:hAnsi="Times New Roman" w:cs="Times New Roman"/>
          <w:sz w:val="24"/>
          <w:szCs w:val="24"/>
        </w:rPr>
        <w:t xml:space="preserve"> </w:t>
      </w:r>
      <w:r w:rsidR="005E6241">
        <w:rPr>
          <w:rFonts w:ascii="Times New Roman" w:hAnsi="Times New Roman" w:cs="Times New Roman"/>
          <w:sz w:val="24"/>
          <w:szCs w:val="24"/>
        </w:rPr>
        <w:t>noticed</w:t>
      </w:r>
      <w:r w:rsidR="00C861AF">
        <w:rPr>
          <w:rFonts w:ascii="Times New Roman" w:hAnsi="Times New Roman" w:cs="Times New Roman"/>
          <w:sz w:val="24"/>
          <w:szCs w:val="24"/>
        </w:rPr>
        <w:t xml:space="preserve"> at the outset</w:t>
      </w:r>
      <w:r w:rsidR="00432BFC" w:rsidRPr="00432BFC">
        <w:rPr>
          <w:rFonts w:ascii="Times New Roman" w:hAnsi="Times New Roman" w:cs="Times New Roman"/>
          <w:sz w:val="24"/>
          <w:szCs w:val="24"/>
        </w:rPr>
        <w:t>. First,</w:t>
      </w:r>
      <w:r w:rsidR="005E6241">
        <w:rPr>
          <w:rFonts w:ascii="Times New Roman" w:hAnsi="Times New Roman" w:cs="Times New Roman"/>
          <w:sz w:val="24"/>
          <w:szCs w:val="24"/>
        </w:rPr>
        <w:t xml:space="preserve"> albeit most obviously,</w:t>
      </w:r>
      <w:r w:rsidR="00432BFC" w:rsidRPr="00432BFC">
        <w:rPr>
          <w:rFonts w:ascii="Times New Roman" w:hAnsi="Times New Roman" w:cs="Times New Roman"/>
          <w:sz w:val="24"/>
          <w:szCs w:val="24"/>
        </w:rPr>
        <w:t xml:space="preserve"> if time is not fixed to run from the point a decision is made or takes effect, any alternative needs to be accommodated within the language of the relevant rule.  Second, </w:t>
      </w:r>
      <w:r w:rsidR="000306C5">
        <w:rPr>
          <w:rFonts w:ascii="Times New Roman" w:hAnsi="Times New Roman" w:cs="Times New Roman"/>
          <w:sz w:val="24"/>
          <w:szCs w:val="24"/>
        </w:rPr>
        <w:t xml:space="preserve">and related to this, if publication is to be the </w:t>
      </w:r>
      <w:r w:rsidR="00A10419">
        <w:rPr>
          <w:rFonts w:ascii="Times New Roman" w:hAnsi="Times New Roman" w:cs="Times New Roman"/>
          <w:sz w:val="24"/>
          <w:szCs w:val="24"/>
        </w:rPr>
        <w:t xml:space="preserve">trigger for the running of time, there </w:t>
      </w:r>
      <w:r w:rsidR="00B36687">
        <w:rPr>
          <w:rFonts w:ascii="Times New Roman" w:hAnsi="Times New Roman" w:cs="Times New Roman"/>
          <w:sz w:val="24"/>
          <w:szCs w:val="24"/>
        </w:rPr>
        <w:t xml:space="preserve">must </w:t>
      </w:r>
      <w:r w:rsidR="00A10419">
        <w:rPr>
          <w:rFonts w:ascii="Times New Roman" w:hAnsi="Times New Roman" w:cs="Times New Roman"/>
          <w:sz w:val="24"/>
          <w:szCs w:val="24"/>
        </w:rPr>
        <w:t>be some basis</w:t>
      </w:r>
      <w:r w:rsidR="00655FDA">
        <w:rPr>
          <w:rFonts w:ascii="Times New Roman" w:hAnsi="Times New Roman" w:cs="Times New Roman"/>
          <w:sz w:val="24"/>
          <w:szCs w:val="24"/>
        </w:rPr>
        <w:t>,</w:t>
      </w:r>
      <w:r w:rsidR="00A10419">
        <w:rPr>
          <w:rFonts w:ascii="Times New Roman" w:hAnsi="Times New Roman" w:cs="Times New Roman"/>
          <w:sz w:val="24"/>
          <w:szCs w:val="24"/>
        </w:rPr>
        <w:t xml:space="preserve"> i</w:t>
      </w:r>
      <w:r w:rsidR="00D57117">
        <w:rPr>
          <w:rFonts w:ascii="Times New Roman" w:hAnsi="Times New Roman" w:cs="Times New Roman"/>
          <w:sz w:val="24"/>
          <w:szCs w:val="24"/>
        </w:rPr>
        <w:t>f not in</w:t>
      </w:r>
      <w:r w:rsidR="00A10419">
        <w:rPr>
          <w:rFonts w:ascii="Times New Roman" w:hAnsi="Times New Roman" w:cs="Times New Roman"/>
          <w:sz w:val="24"/>
          <w:szCs w:val="24"/>
        </w:rPr>
        <w:t xml:space="preserve"> Order 84</w:t>
      </w:r>
      <w:r w:rsidR="00655FDA">
        <w:rPr>
          <w:rFonts w:ascii="Times New Roman" w:hAnsi="Times New Roman" w:cs="Times New Roman"/>
          <w:sz w:val="24"/>
          <w:szCs w:val="24"/>
        </w:rPr>
        <w:t>,</w:t>
      </w:r>
      <w:r w:rsidR="00A10419">
        <w:rPr>
          <w:rFonts w:ascii="Times New Roman" w:hAnsi="Times New Roman" w:cs="Times New Roman"/>
          <w:sz w:val="24"/>
          <w:szCs w:val="24"/>
        </w:rPr>
        <w:t xml:space="preserve"> </w:t>
      </w:r>
      <w:r w:rsidR="00D57117">
        <w:rPr>
          <w:rFonts w:ascii="Times New Roman" w:hAnsi="Times New Roman" w:cs="Times New Roman"/>
          <w:sz w:val="24"/>
          <w:szCs w:val="24"/>
        </w:rPr>
        <w:t xml:space="preserve">then in </w:t>
      </w:r>
      <w:r w:rsidR="00A10419">
        <w:rPr>
          <w:rFonts w:ascii="Times New Roman" w:hAnsi="Times New Roman" w:cs="Times New Roman"/>
          <w:sz w:val="24"/>
          <w:szCs w:val="24"/>
        </w:rPr>
        <w:t xml:space="preserve">the particular regulatory regime governing the decision in question for concluding not merely that publication but also </w:t>
      </w:r>
      <w:r w:rsidR="00A10419">
        <w:rPr>
          <w:rFonts w:ascii="Times New Roman" w:hAnsi="Times New Roman" w:cs="Times New Roman"/>
          <w:sz w:val="24"/>
          <w:szCs w:val="24"/>
        </w:rPr>
        <w:lastRenderedPageBreak/>
        <w:t xml:space="preserve">the particular mode of publication relied upon, has this effect.  Third, </w:t>
      </w:r>
      <w:r w:rsidR="00E721F9" w:rsidRPr="00A10419">
        <w:rPr>
          <w:rFonts w:ascii="Times New Roman" w:hAnsi="Times New Roman" w:cs="Times New Roman"/>
          <w:sz w:val="24"/>
          <w:szCs w:val="24"/>
        </w:rPr>
        <w:t xml:space="preserve">it is to be borne in mind that irrespective of when time begins to run, the court has a discretion to extend time which, one would expect, would be </w:t>
      </w:r>
      <w:r w:rsidR="00B2544C">
        <w:rPr>
          <w:rFonts w:ascii="Times New Roman" w:hAnsi="Times New Roman" w:cs="Times New Roman"/>
          <w:sz w:val="24"/>
          <w:szCs w:val="24"/>
        </w:rPr>
        <w:t>exercised in such a manner as to take account of th</w:t>
      </w:r>
      <w:r>
        <w:rPr>
          <w:rFonts w:ascii="Times New Roman" w:hAnsi="Times New Roman" w:cs="Times New Roman"/>
          <w:sz w:val="24"/>
          <w:szCs w:val="24"/>
        </w:rPr>
        <w:t>e fact (where the issue arises) that the applicant neither knew nor could have known of the impugned decision when it was made.</w:t>
      </w:r>
    </w:p>
    <w:p w14:paraId="67FDD634" w14:textId="77777777" w:rsidR="00A10419" w:rsidRPr="00A10419" w:rsidRDefault="00A10419" w:rsidP="00A10419">
      <w:pPr>
        <w:pStyle w:val="ListParagraph"/>
        <w:rPr>
          <w:rFonts w:ascii="Times New Roman" w:hAnsi="Times New Roman" w:cs="Times New Roman"/>
          <w:sz w:val="24"/>
          <w:szCs w:val="24"/>
        </w:rPr>
      </w:pPr>
    </w:p>
    <w:p w14:paraId="100F7431" w14:textId="056758FE" w:rsidR="003C76A2" w:rsidRPr="003C76A2" w:rsidRDefault="00A10419" w:rsidP="003C76A2">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sz w:val="24"/>
          <w:szCs w:val="24"/>
        </w:rPr>
        <w:t>Fourth</w:t>
      </w:r>
      <w:r w:rsidR="00E721F9" w:rsidRPr="00A10419">
        <w:rPr>
          <w:rFonts w:ascii="Times New Roman" w:hAnsi="Times New Roman" w:cs="Times New Roman"/>
          <w:sz w:val="24"/>
          <w:szCs w:val="24"/>
        </w:rPr>
        <w:t>, if public administration is properly, fairly and transparently conducted, there should not often be a divergence between the point at which a person having a legitimate interest in challenging the decision of a statutory body becomes</w:t>
      </w:r>
      <w:r w:rsidR="00201ED5">
        <w:rPr>
          <w:rFonts w:ascii="Times New Roman" w:hAnsi="Times New Roman" w:cs="Times New Roman"/>
          <w:sz w:val="24"/>
          <w:szCs w:val="24"/>
        </w:rPr>
        <w:t>,</w:t>
      </w:r>
      <w:r w:rsidR="00E721F9" w:rsidRPr="00A10419">
        <w:rPr>
          <w:rFonts w:ascii="Times New Roman" w:hAnsi="Times New Roman" w:cs="Times New Roman"/>
          <w:sz w:val="24"/>
          <w:szCs w:val="24"/>
        </w:rPr>
        <w:t xml:space="preserve"> or ought reasonably become aware of that decision, and the date of that decision taking effect.  </w:t>
      </w:r>
      <w:r w:rsidR="008D26C9">
        <w:rPr>
          <w:rFonts w:ascii="Times New Roman" w:hAnsi="Times New Roman" w:cs="Times New Roman"/>
          <w:sz w:val="24"/>
          <w:szCs w:val="24"/>
        </w:rPr>
        <w:t>Often</w:t>
      </w:r>
      <w:r w:rsidR="00E721F9" w:rsidRPr="00A10419">
        <w:rPr>
          <w:rFonts w:ascii="Times New Roman" w:hAnsi="Times New Roman" w:cs="Times New Roman"/>
          <w:sz w:val="24"/>
          <w:szCs w:val="24"/>
        </w:rPr>
        <w:t>, persons directly affected by the decision of a statutory body will have participated in the process leading to the decision and will in the course of that process be notified of the decision when it takes effect.  Where this is not the case the law should - and usually does - clearly prescribe a method of publication to which those interested in the decision can be expected to refer so that they can be reasonably taken to have been in a position to appraise themselves of it</w:t>
      </w:r>
      <w:r w:rsidR="009E3ADB">
        <w:rPr>
          <w:rFonts w:ascii="Times New Roman" w:hAnsi="Times New Roman" w:cs="Times New Roman"/>
          <w:sz w:val="24"/>
          <w:szCs w:val="24"/>
        </w:rPr>
        <w:t xml:space="preserve"> (whether or not they actually do so)</w:t>
      </w:r>
      <w:r w:rsidR="00E721F9" w:rsidRPr="00A10419">
        <w:rPr>
          <w:rFonts w:ascii="Times New Roman" w:hAnsi="Times New Roman" w:cs="Times New Roman"/>
          <w:sz w:val="24"/>
          <w:szCs w:val="24"/>
        </w:rPr>
        <w:t>.</w:t>
      </w:r>
      <w:r w:rsidR="0073219D" w:rsidRPr="00A10419">
        <w:rPr>
          <w:rFonts w:ascii="Times New Roman" w:hAnsi="Times New Roman" w:cs="Times New Roman"/>
          <w:sz w:val="24"/>
          <w:szCs w:val="24"/>
        </w:rPr>
        <w:t xml:space="preserve">  This case is thus less than usual: Arthropharm had the right to market the reference product, but no right to be advised when a generic sought to ‘piggyback’ on </w:t>
      </w:r>
      <w:r w:rsidR="005E6241">
        <w:rPr>
          <w:rFonts w:ascii="Times New Roman" w:hAnsi="Times New Roman" w:cs="Times New Roman"/>
          <w:sz w:val="24"/>
          <w:szCs w:val="24"/>
        </w:rPr>
        <w:t>that</w:t>
      </w:r>
      <w:r w:rsidR="0073219D" w:rsidRPr="00A10419">
        <w:rPr>
          <w:rFonts w:ascii="Times New Roman" w:hAnsi="Times New Roman" w:cs="Times New Roman"/>
          <w:sz w:val="24"/>
          <w:szCs w:val="24"/>
        </w:rPr>
        <w:t xml:space="preserve"> product so as to enter the market to compete with it</w:t>
      </w:r>
      <w:r w:rsidR="000963FA" w:rsidRPr="00A10419">
        <w:rPr>
          <w:rFonts w:ascii="Times New Roman" w:hAnsi="Times New Roman" w:cs="Times New Roman"/>
          <w:sz w:val="24"/>
          <w:szCs w:val="24"/>
        </w:rPr>
        <w:t>.  It was th</w:t>
      </w:r>
      <w:r w:rsidR="009E3ADB">
        <w:rPr>
          <w:rFonts w:ascii="Times New Roman" w:hAnsi="Times New Roman" w:cs="Times New Roman"/>
          <w:sz w:val="24"/>
          <w:szCs w:val="24"/>
        </w:rPr>
        <w:t>erefore</w:t>
      </w:r>
      <w:r w:rsidR="000963FA" w:rsidRPr="00A10419">
        <w:rPr>
          <w:rFonts w:ascii="Times New Roman" w:hAnsi="Times New Roman" w:cs="Times New Roman"/>
          <w:sz w:val="24"/>
          <w:szCs w:val="24"/>
        </w:rPr>
        <w:t xml:space="preserve"> neither aware of the process, nor the decision when</w:t>
      </w:r>
      <w:r w:rsidR="004F3621">
        <w:rPr>
          <w:rFonts w:ascii="Times New Roman" w:hAnsi="Times New Roman" w:cs="Times New Roman"/>
          <w:sz w:val="24"/>
          <w:szCs w:val="24"/>
        </w:rPr>
        <w:t xml:space="preserve"> it was</w:t>
      </w:r>
      <w:r w:rsidR="000963FA" w:rsidRPr="00A10419">
        <w:rPr>
          <w:rFonts w:ascii="Times New Roman" w:hAnsi="Times New Roman" w:cs="Times New Roman"/>
          <w:sz w:val="24"/>
          <w:szCs w:val="24"/>
        </w:rPr>
        <w:t xml:space="preserve"> made.  The law prescribes a method of publication</w:t>
      </w:r>
      <w:r w:rsidR="00B36687">
        <w:rPr>
          <w:rFonts w:ascii="Times New Roman" w:hAnsi="Times New Roman" w:cs="Times New Roman"/>
          <w:sz w:val="24"/>
          <w:szCs w:val="24"/>
        </w:rPr>
        <w:t xml:space="preserve"> of the decision (but neither the reasons therefor nor the assessment report)</w:t>
      </w:r>
      <w:r w:rsidR="000963FA" w:rsidRPr="00A10419">
        <w:rPr>
          <w:rFonts w:ascii="Times New Roman" w:hAnsi="Times New Roman" w:cs="Times New Roman"/>
          <w:sz w:val="24"/>
          <w:szCs w:val="24"/>
        </w:rPr>
        <w:t xml:space="preserve"> in Iris </w:t>
      </w:r>
      <w:r w:rsidR="00C93565">
        <w:rPr>
          <w:rFonts w:ascii="Times New Roman" w:hAnsi="Times New Roman" w:cs="Times New Roman"/>
          <w:sz w:val="24"/>
          <w:szCs w:val="24"/>
        </w:rPr>
        <w:t>Oifigiúil</w:t>
      </w:r>
      <w:r w:rsidR="002C2D6C">
        <w:rPr>
          <w:rFonts w:ascii="Times New Roman" w:hAnsi="Times New Roman" w:cs="Times New Roman"/>
          <w:sz w:val="24"/>
          <w:szCs w:val="24"/>
        </w:rPr>
        <w:t xml:space="preserve">, </w:t>
      </w:r>
      <w:r w:rsidR="000963FA" w:rsidRPr="00A10419">
        <w:rPr>
          <w:rFonts w:ascii="Times New Roman" w:hAnsi="Times New Roman" w:cs="Times New Roman"/>
          <w:sz w:val="24"/>
          <w:szCs w:val="24"/>
        </w:rPr>
        <w:t>but HP</w:t>
      </w:r>
      <w:r w:rsidR="004475C6">
        <w:rPr>
          <w:rFonts w:ascii="Times New Roman" w:hAnsi="Times New Roman" w:cs="Times New Roman"/>
          <w:sz w:val="24"/>
          <w:szCs w:val="24"/>
        </w:rPr>
        <w:t>R</w:t>
      </w:r>
      <w:r w:rsidR="000963FA" w:rsidRPr="00A10419">
        <w:rPr>
          <w:rFonts w:ascii="Times New Roman" w:hAnsi="Times New Roman" w:cs="Times New Roman"/>
          <w:sz w:val="24"/>
          <w:szCs w:val="24"/>
        </w:rPr>
        <w:t xml:space="preserve">A postponed complying with that </w:t>
      </w:r>
      <w:r w:rsidR="005E6241">
        <w:rPr>
          <w:rFonts w:ascii="Times New Roman" w:hAnsi="Times New Roman" w:cs="Times New Roman"/>
          <w:sz w:val="24"/>
          <w:szCs w:val="24"/>
        </w:rPr>
        <w:t xml:space="preserve">requirement </w:t>
      </w:r>
      <w:r w:rsidR="000963FA" w:rsidRPr="00A10419">
        <w:rPr>
          <w:rFonts w:ascii="Times New Roman" w:hAnsi="Times New Roman" w:cs="Times New Roman"/>
          <w:sz w:val="24"/>
          <w:szCs w:val="24"/>
        </w:rPr>
        <w:t>in favour of a different form of immediate publication</w:t>
      </w:r>
      <w:r w:rsidR="00B36687">
        <w:rPr>
          <w:rFonts w:ascii="Times New Roman" w:hAnsi="Times New Roman" w:cs="Times New Roman"/>
          <w:sz w:val="24"/>
          <w:szCs w:val="24"/>
        </w:rPr>
        <w:t xml:space="preserve"> which did include the assessment report</w:t>
      </w:r>
      <w:r w:rsidR="000963FA" w:rsidRPr="00A10419">
        <w:rPr>
          <w:rFonts w:ascii="Times New Roman" w:hAnsi="Times New Roman" w:cs="Times New Roman"/>
          <w:sz w:val="24"/>
          <w:szCs w:val="24"/>
        </w:rPr>
        <w:t>.</w:t>
      </w:r>
      <w:r w:rsidR="009E3ADB">
        <w:rPr>
          <w:rFonts w:ascii="Times New Roman" w:hAnsi="Times New Roman" w:cs="Times New Roman"/>
          <w:sz w:val="24"/>
          <w:szCs w:val="24"/>
        </w:rPr>
        <w:t xml:space="preserve"> Nowhere was it </w:t>
      </w:r>
      <w:r w:rsidR="00223B97">
        <w:rPr>
          <w:rFonts w:ascii="Times New Roman" w:hAnsi="Times New Roman" w:cs="Times New Roman"/>
          <w:sz w:val="24"/>
          <w:szCs w:val="24"/>
        </w:rPr>
        <w:t xml:space="preserve">provided by law </w:t>
      </w:r>
      <w:r w:rsidR="009E3ADB">
        <w:rPr>
          <w:rFonts w:ascii="Times New Roman" w:hAnsi="Times New Roman" w:cs="Times New Roman"/>
          <w:sz w:val="24"/>
          <w:szCs w:val="24"/>
        </w:rPr>
        <w:t>that this was how such decisions would be publicised.</w:t>
      </w:r>
      <w:r w:rsidR="003C76A2">
        <w:rPr>
          <w:rFonts w:ascii="Times New Roman" w:hAnsi="Times New Roman" w:cs="Times New Roman"/>
          <w:sz w:val="24"/>
          <w:szCs w:val="24"/>
        </w:rPr>
        <w:t xml:space="preserve">  I</w:t>
      </w:r>
      <w:r w:rsidR="004E3C0E">
        <w:rPr>
          <w:rFonts w:ascii="Times New Roman" w:hAnsi="Times New Roman" w:cs="Times New Roman"/>
          <w:sz w:val="24"/>
          <w:szCs w:val="24"/>
        </w:rPr>
        <w:t xml:space="preserve"> should state – albeit obviously – that i</w:t>
      </w:r>
      <w:r w:rsidR="003C76A2">
        <w:rPr>
          <w:rFonts w:ascii="Times New Roman" w:hAnsi="Times New Roman" w:cs="Times New Roman"/>
          <w:sz w:val="24"/>
          <w:szCs w:val="24"/>
        </w:rPr>
        <w:t xml:space="preserve">f Arthropharm had no right to challenge the </w:t>
      </w:r>
      <w:r w:rsidR="003C76A2">
        <w:rPr>
          <w:rFonts w:ascii="Times New Roman" w:hAnsi="Times New Roman" w:cs="Times New Roman"/>
          <w:sz w:val="24"/>
          <w:szCs w:val="24"/>
        </w:rPr>
        <w:lastRenderedPageBreak/>
        <w:t xml:space="preserve">decision, all of this would be academic and the omissions I have identified </w:t>
      </w:r>
      <w:r w:rsidR="004E3C0E">
        <w:rPr>
          <w:rFonts w:ascii="Times New Roman" w:hAnsi="Times New Roman" w:cs="Times New Roman"/>
          <w:sz w:val="24"/>
          <w:szCs w:val="24"/>
        </w:rPr>
        <w:t>would not present any particular difficulty</w:t>
      </w:r>
      <w:r w:rsidR="003C76A2">
        <w:rPr>
          <w:rFonts w:ascii="Times New Roman" w:hAnsi="Times New Roman" w:cs="Times New Roman"/>
          <w:sz w:val="24"/>
          <w:szCs w:val="24"/>
        </w:rPr>
        <w:t xml:space="preserve">. </w:t>
      </w:r>
    </w:p>
    <w:p w14:paraId="3BE93379" w14:textId="77777777" w:rsidR="00432BFC" w:rsidRPr="00432BFC" w:rsidRDefault="00432BFC" w:rsidP="00432BFC">
      <w:pPr>
        <w:pStyle w:val="ListParagraph"/>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  </w:t>
      </w:r>
    </w:p>
    <w:p w14:paraId="7C688138" w14:textId="4C1D72FA" w:rsidR="00B32242" w:rsidRPr="00B32242" w:rsidRDefault="00415F06" w:rsidP="00B32242">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The starting point </w:t>
      </w:r>
      <w:r w:rsidR="00AF54F3">
        <w:rPr>
          <w:rFonts w:ascii="Times New Roman" w:hAnsi="Times New Roman" w:cs="Times New Roman"/>
          <w:sz w:val="24"/>
          <w:szCs w:val="24"/>
        </w:rPr>
        <w:t>in</w:t>
      </w:r>
      <w:r w:rsidR="00824FA2">
        <w:rPr>
          <w:rFonts w:ascii="Times New Roman" w:hAnsi="Times New Roman" w:cs="Times New Roman"/>
          <w:sz w:val="24"/>
          <w:szCs w:val="24"/>
        </w:rPr>
        <w:t xml:space="preserve"> resolving these various </w:t>
      </w:r>
      <w:r w:rsidR="004D5484">
        <w:rPr>
          <w:rFonts w:ascii="Times New Roman" w:hAnsi="Times New Roman" w:cs="Times New Roman"/>
          <w:sz w:val="24"/>
          <w:szCs w:val="24"/>
        </w:rPr>
        <w:t>questions</w:t>
      </w:r>
      <w:r w:rsidR="00824FA2">
        <w:rPr>
          <w:rFonts w:ascii="Times New Roman" w:hAnsi="Times New Roman" w:cs="Times New Roman"/>
          <w:sz w:val="24"/>
          <w:szCs w:val="24"/>
        </w:rPr>
        <w:t xml:space="preserve"> </w:t>
      </w:r>
      <w:r>
        <w:rPr>
          <w:rFonts w:ascii="Times New Roman" w:hAnsi="Times New Roman" w:cs="Times New Roman"/>
          <w:sz w:val="24"/>
          <w:szCs w:val="24"/>
        </w:rPr>
        <w:t xml:space="preserve">is the </w:t>
      </w:r>
      <w:r w:rsidR="00197E19">
        <w:rPr>
          <w:rFonts w:ascii="Times New Roman" w:hAnsi="Times New Roman" w:cs="Times New Roman"/>
          <w:sz w:val="24"/>
          <w:szCs w:val="24"/>
        </w:rPr>
        <w:t>background</w:t>
      </w:r>
      <w:r>
        <w:rPr>
          <w:rFonts w:ascii="Times New Roman" w:hAnsi="Times New Roman" w:cs="Times New Roman"/>
          <w:sz w:val="24"/>
          <w:szCs w:val="24"/>
        </w:rPr>
        <w:t xml:space="preserve"> to and language of the relevant rule.  The </w:t>
      </w:r>
      <w:r w:rsidR="00560C4E">
        <w:rPr>
          <w:rFonts w:ascii="Times New Roman" w:hAnsi="Times New Roman" w:cs="Times New Roman"/>
          <w:sz w:val="24"/>
          <w:szCs w:val="24"/>
        </w:rPr>
        <w:t xml:space="preserve">first generally applicable requirement that proceedings by way of judicial review be commenced within specific time periods was introduced by the 1986 Rules of the Superior Courts.  </w:t>
      </w:r>
      <w:r w:rsidR="00CD0258">
        <w:rPr>
          <w:rFonts w:ascii="Times New Roman" w:hAnsi="Times New Roman" w:cs="Times New Roman"/>
          <w:sz w:val="24"/>
          <w:szCs w:val="24"/>
        </w:rPr>
        <w:t xml:space="preserve">Prior to the overhaul of the procedure for obtaining relief </w:t>
      </w:r>
      <w:r w:rsidR="00D903F2">
        <w:rPr>
          <w:rFonts w:ascii="Times New Roman" w:hAnsi="Times New Roman" w:cs="Times New Roman"/>
          <w:sz w:val="24"/>
          <w:szCs w:val="24"/>
        </w:rPr>
        <w:t xml:space="preserve">by way of judicial review </w:t>
      </w:r>
      <w:r w:rsidR="00CD0258">
        <w:rPr>
          <w:rFonts w:ascii="Times New Roman" w:hAnsi="Times New Roman" w:cs="Times New Roman"/>
          <w:sz w:val="24"/>
          <w:szCs w:val="24"/>
        </w:rPr>
        <w:t>effected by Order 84 of those Rules, the o</w:t>
      </w:r>
      <w:r w:rsidR="0032357F">
        <w:rPr>
          <w:rFonts w:ascii="Times New Roman" w:hAnsi="Times New Roman" w:cs="Times New Roman"/>
          <w:sz w:val="24"/>
          <w:szCs w:val="24"/>
        </w:rPr>
        <w:t xml:space="preserve">nly such requirement </w:t>
      </w:r>
      <w:r w:rsidR="00B5196D">
        <w:rPr>
          <w:rFonts w:ascii="Times New Roman" w:hAnsi="Times New Roman" w:cs="Times New Roman"/>
          <w:sz w:val="24"/>
          <w:szCs w:val="24"/>
        </w:rPr>
        <w:t xml:space="preserve">applicable to the old state side orders </w:t>
      </w:r>
      <w:r w:rsidR="0032357F">
        <w:rPr>
          <w:rFonts w:ascii="Times New Roman" w:hAnsi="Times New Roman" w:cs="Times New Roman"/>
          <w:sz w:val="24"/>
          <w:szCs w:val="24"/>
        </w:rPr>
        <w:t xml:space="preserve">arose in relation to </w:t>
      </w:r>
      <w:r w:rsidR="003B25BF">
        <w:rPr>
          <w:rFonts w:ascii="Times New Roman" w:hAnsi="Times New Roman" w:cs="Times New Roman"/>
          <w:sz w:val="24"/>
          <w:szCs w:val="24"/>
        </w:rPr>
        <w:t xml:space="preserve">applications for orders </w:t>
      </w:r>
      <w:r w:rsidR="0032357F">
        <w:rPr>
          <w:rFonts w:ascii="Times New Roman" w:hAnsi="Times New Roman" w:cs="Times New Roman"/>
          <w:sz w:val="24"/>
          <w:szCs w:val="24"/>
        </w:rPr>
        <w:t xml:space="preserve">of </w:t>
      </w:r>
      <w:r w:rsidR="0032357F">
        <w:rPr>
          <w:rFonts w:ascii="Times New Roman" w:hAnsi="Times New Roman" w:cs="Times New Roman"/>
          <w:i/>
          <w:sz w:val="24"/>
          <w:szCs w:val="24"/>
        </w:rPr>
        <w:t xml:space="preserve">certiorari </w:t>
      </w:r>
      <w:r w:rsidR="0032357F">
        <w:rPr>
          <w:rFonts w:ascii="Times New Roman" w:hAnsi="Times New Roman" w:cs="Times New Roman"/>
          <w:sz w:val="24"/>
          <w:szCs w:val="24"/>
        </w:rPr>
        <w:t xml:space="preserve">of </w:t>
      </w:r>
      <w:r w:rsidR="00606DA2">
        <w:rPr>
          <w:rFonts w:ascii="Times New Roman" w:hAnsi="Times New Roman" w:cs="Times New Roman"/>
          <w:sz w:val="24"/>
          <w:szCs w:val="24"/>
        </w:rPr>
        <w:t xml:space="preserve">certain </w:t>
      </w:r>
      <w:r w:rsidR="0032357F">
        <w:rPr>
          <w:rFonts w:ascii="Times New Roman" w:hAnsi="Times New Roman" w:cs="Times New Roman"/>
          <w:sz w:val="24"/>
          <w:szCs w:val="24"/>
        </w:rPr>
        <w:t>decisions of the District and Circuit Court</w:t>
      </w:r>
      <w:r w:rsidR="00213646">
        <w:rPr>
          <w:rFonts w:ascii="Times New Roman" w:hAnsi="Times New Roman" w:cs="Times New Roman"/>
          <w:sz w:val="24"/>
          <w:szCs w:val="24"/>
        </w:rPr>
        <w:t>, with Order 84 R</w:t>
      </w:r>
      <w:r w:rsidR="00655FDA">
        <w:rPr>
          <w:rFonts w:ascii="Times New Roman" w:hAnsi="Times New Roman" w:cs="Times New Roman"/>
          <w:sz w:val="24"/>
          <w:szCs w:val="24"/>
        </w:rPr>
        <w:t xml:space="preserve">ule </w:t>
      </w:r>
      <w:r w:rsidR="00213646">
        <w:rPr>
          <w:rFonts w:ascii="Times New Roman" w:hAnsi="Times New Roman" w:cs="Times New Roman"/>
          <w:sz w:val="24"/>
          <w:szCs w:val="24"/>
        </w:rPr>
        <w:t>10 of the 1962 Rules of the Superior Courts imposing a period of six months for the bringing of such applications</w:t>
      </w:r>
      <w:r w:rsidR="00A753A1">
        <w:rPr>
          <w:rFonts w:ascii="Times New Roman" w:hAnsi="Times New Roman" w:cs="Times New Roman"/>
          <w:sz w:val="24"/>
          <w:szCs w:val="24"/>
        </w:rPr>
        <w:t>,</w:t>
      </w:r>
      <w:r w:rsidR="003C76A2">
        <w:rPr>
          <w:rFonts w:ascii="Times New Roman" w:hAnsi="Times New Roman" w:cs="Times New Roman"/>
          <w:sz w:val="24"/>
          <w:szCs w:val="24"/>
        </w:rPr>
        <w:t xml:space="preserve"> and the court having a general power in an appropriate case to extend that time.</w:t>
      </w:r>
      <w:r w:rsidR="00C624BB">
        <w:rPr>
          <w:rFonts w:ascii="Times New Roman" w:hAnsi="Times New Roman" w:cs="Times New Roman"/>
          <w:sz w:val="24"/>
          <w:szCs w:val="24"/>
        </w:rPr>
        <w:t xml:space="preserve">  Delay in the bringing of other</w:t>
      </w:r>
      <w:r w:rsidR="00D903F2">
        <w:rPr>
          <w:rFonts w:ascii="Times New Roman" w:hAnsi="Times New Roman" w:cs="Times New Roman"/>
          <w:sz w:val="24"/>
          <w:szCs w:val="24"/>
        </w:rPr>
        <w:t xml:space="preserve"> s</w:t>
      </w:r>
      <w:r w:rsidR="00C624BB">
        <w:rPr>
          <w:rFonts w:ascii="Times New Roman" w:hAnsi="Times New Roman" w:cs="Times New Roman"/>
          <w:sz w:val="24"/>
          <w:szCs w:val="24"/>
        </w:rPr>
        <w:t xml:space="preserve">tate </w:t>
      </w:r>
      <w:r w:rsidR="00D903F2">
        <w:rPr>
          <w:rFonts w:ascii="Times New Roman" w:hAnsi="Times New Roman" w:cs="Times New Roman"/>
          <w:sz w:val="24"/>
          <w:szCs w:val="24"/>
        </w:rPr>
        <w:t>s</w:t>
      </w:r>
      <w:r w:rsidR="00C624BB">
        <w:rPr>
          <w:rFonts w:ascii="Times New Roman" w:hAnsi="Times New Roman" w:cs="Times New Roman"/>
          <w:sz w:val="24"/>
          <w:szCs w:val="24"/>
        </w:rPr>
        <w:t>ide applications was addressed under the umbrella of the court’s power to withhold relief on discretionary grounds</w:t>
      </w:r>
      <w:r w:rsidR="001678ED">
        <w:rPr>
          <w:rFonts w:ascii="Times New Roman" w:hAnsi="Times New Roman" w:cs="Times New Roman"/>
          <w:sz w:val="24"/>
          <w:szCs w:val="24"/>
        </w:rPr>
        <w:t xml:space="preserve"> (see, in particular, </w:t>
      </w:r>
      <w:r w:rsidR="001678ED">
        <w:rPr>
          <w:rFonts w:ascii="Times New Roman" w:hAnsi="Times New Roman" w:cs="Times New Roman"/>
          <w:i/>
          <w:sz w:val="24"/>
          <w:szCs w:val="24"/>
        </w:rPr>
        <w:t>State</w:t>
      </w:r>
      <w:r w:rsidR="00D36FBE">
        <w:rPr>
          <w:rFonts w:ascii="Times New Roman" w:hAnsi="Times New Roman" w:cs="Times New Roman"/>
          <w:i/>
          <w:sz w:val="24"/>
          <w:szCs w:val="24"/>
        </w:rPr>
        <w:t xml:space="preserve"> </w:t>
      </w:r>
      <w:r w:rsidR="001678ED">
        <w:rPr>
          <w:rFonts w:ascii="Times New Roman" w:hAnsi="Times New Roman" w:cs="Times New Roman"/>
          <w:i/>
          <w:sz w:val="24"/>
          <w:szCs w:val="24"/>
        </w:rPr>
        <w:t>(</w:t>
      </w:r>
      <w:proofErr w:type="spellStart"/>
      <w:r w:rsidR="001678ED">
        <w:rPr>
          <w:rFonts w:ascii="Times New Roman" w:hAnsi="Times New Roman" w:cs="Times New Roman"/>
          <w:i/>
          <w:sz w:val="24"/>
          <w:szCs w:val="24"/>
        </w:rPr>
        <w:t>Furey</w:t>
      </w:r>
      <w:proofErr w:type="spellEnd"/>
      <w:r w:rsidR="001678ED">
        <w:rPr>
          <w:rFonts w:ascii="Times New Roman" w:hAnsi="Times New Roman" w:cs="Times New Roman"/>
          <w:i/>
          <w:sz w:val="24"/>
          <w:szCs w:val="24"/>
        </w:rPr>
        <w:t>) v. Minister for Defence</w:t>
      </w:r>
      <w:r w:rsidR="001678ED">
        <w:rPr>
          <w:rFonts w:ascii="Times New Roman" w:hAnsi="Times New Roman" w:cs="Times New Roman"/>
          <w:sz w:val="24"/>
          <w:szCs w:val="24"/>
        </w:rPr>
        <w:t xml:space="preserve"> [1988] ILRM 89 at p.</w:t>
      </w:r>
      <w:r w:rsidR="00655FDA">
        <w:rPr>
          <w:rFonts w:ascii="Times New Roman" w:hAnsi="Times New Roman" w:cs="Times New Roman"/>
          <w:sz w:val="24"/>
          <w:szCs w:val="24"/>
        </w:rPr>
        <w:t xml:space="preserve"> </w:t>
      </w:r>
      <w:r w:rsidR="001678ED">
        <w:rPr>
          <w:rFonts w:ascii="Times New Roman" w:hAnsi="Times New Roman" w:cs="Times New Roman"/>
          <w:sz w:val="24"/>
          <w:szCs w:val="24"/>
        </w:rPr>
        <w:t>93</w:t>
      </w:r>
      <w:r w:rsidR="00655FDA">
        <w:rPr>
          <w:rFonts w:ascii="Times New Roman" w:hAnsi="Times New Roman" w:cs="Times New Roman"/>
          <w:sz w:val="24"/>
          <w:szCs w:val="24"/>
        </w:rPr>
        <w:t xml:space="preserve"> to </w:t>
      </w:r>
      <w:r w:rsidR="001678ED">
        <w:rPr>
          <w:rFonts w:ascii="Times New Roman" w:hAnsi="Times New Roman" w:cs="Times New Roman"/>
          <w:sz w:val="24"/>
          <w:szCs w:val="24"/>
        </w:rPr>
        <w:t>94 (per Griffin J.)</w:t>
      </w:r>
      <w:r w:rsidR="005462BA">
        <w:rPr>
          <w:rFonts w:ascii="Times New Roman" w:hAnsi="Times New Roman" w:cs="Times New Roman"/>
          <w:sz w:val="24"/>
          <w:szCs w:val="24"/>
        </w:rPr>
        <w:t>)</w:t>
      </w:r>
      <w:r w:rsidR="001678ED">
        <w:rPr>
          <w:rFonts w:ascii="Times New Roman" w:hAnsi="Times New Roman" w:cs="Times New Roman"/>
          <w:sz w:val="24"/>
          <w:szCs w:val="24"/>
        </w:rPr>
        <w:t>.</w:t>
      </w:r>
      <w:r w:rsidR="002C2D6C">
        <w:rPr>
          <w:rFonts w:ascii="Times New Roman" w:hAnsi="Times New Roman" w:cs="Times New Roman"/>
          <w:sz w:val="24"/>
          <w:szCs w:val="24"/>
        </w:rPr>
        <w:t xml:space="preserve">  It is not unimportant that the 1962 Rules specifically provided that in those cases in which the stipulated time limit did arise, time ran from the date of making of the relevant order, not from its publication.</w:t>
      </w:r>
    </w:p>
    <w:p w14:paraId="5032407F" w14:textId="77777777" w:rsidR="006D5C74" w:rsidRPr="00B32242" w:rsidRDefault="006D5C74" w:rsidP="00B32242">
      <w:pPr>
        <w:pStyle w:val="ListParagraph"/>
        <w:spacing w:line="480" w:lineRule="auto"/>
        <w:ind w:left="786"/>
        <w:jc w:val="both"/>
        <w:rPr>
          <w:rFonts w:ascii="Times New Roman" w:hAnsi="Times New Roman" w:cs="Times New Roman"/>
          <w:b/>
          <w:sz w:val="24"/>
          <w:szCs w:val="24"/>
        </w:rPr>
      </w:pPr>
      <w:r w:rsidRPr="00B32242">
        <w:rPr>
          <w:rFonts w:ascii="Times New Roman" w:hAnsi="Times New Roman" w:cs="Times New Roman"/>
          <w:sz w:val="24"/>
          <w:szCs w:val="24"/>
        </w:rPr>
        <w:t xml:space="preserve">  </w:t>
      </w:r>
    </w:p>
    <w:p w14:paraId="32E12B6B" w14:textId="02B2D6C5" w:rsidR="006C435E" w:rsidRPr="006C435E" w:rsidRDefault="006D5C74" w:rsidP="000C234B">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sz w:val="24"/>
          <w:szCs w:val="24"/>
        </w:rPr>
        <w:t>The language used by the rule-maker in</w:t>
      </w:r>
      <w:r w:rsidR="003F4D1E">
        <w:rPr>
          <w:rFonts w:ascii="Times New Roman" w:hAnsi="Times New Roman" w:cs="Times New Roman"/>
          <w:sz w:val="24"/>
          <w:szCs w:val="24"/>
        </w:rPr>
        <w:t xml:space="preserve"> the 1986 iteration of</w:t>
      </w:r>
      <w:r>
        <w:rPr>
          <w:rFonts w:ascii="Times New Roman" w:hAnsi="Times New Roman" w:cs="Times New Roman"/>
          <w:sz w:val="24"/>
          <w:szCs w:val="24"/>
        </w:rPr>
        <w:t xml:space="preserve"> Order 84 Rule 21(1) </w:t>
      </w:r>
      <w:r w:rsidR="006C435E">
        <w:rPr>
          <w:rFonts w:ascii="Times New Roman" w:hAnsi="Times New Roman" w:cs="Times New Roman"/>
          <w:sz w:val="24"/>
          <w:szCs w:val="24"/>
        </w:rPr>
        <w:t xml:space="preserve">mirrored that appearing in the similar reforms to judicial review procedure introduced in England and Wales in </w:t>
      </w:r>
      <w:r w:rsidR="00D36FBE">
        <w:rPr>
          <w:rFonts w:ascii="Times New Roman" w:hAnsi="Times New Roman" w:cs="Times New Roman"/>
          <w:sz w:val="24"/>
          <w:szCs w:val="24"/>
        </w:rPr>
        <w:t xml:space="preserve">Order 53 of the Rules of the Supreme Court in </w:t>
      </w:r>
      <w:r w:rsidR="006C435E">
        <w:rPr>
          <w:rFonts w:ascii="Times New Roman" w:hAnsi="Times New Roman" w:cs="Times New Roman"/>
          <w:sz w:val="24"/>
          <w:szCs w:val="24"/>
        </w:rPr>
        <w:t>19</w:t>
      </w:r>
      <w:r w:rsidR="00AF2D69">
        <w:rPr>
          <w:rFonts w:ascii="Times New Roman" w:hAnsi="Times New Roman" w:cs="Times New Roman"/>
          <w:sz w:val="24"/>
          <w:szCs w:val="24"/>
        </w:rPr>
        <w:t>80</w:t>
      </w:r>
      <w:r w:rsidR="006C435E">
        <w:rPr>
          <w:rFonts w:ascii="Times New Roman" w:hAnsi="Times New Roman" w:cs="Times New Roman"/>
          <w:sz w:val="24"/>
          <w:szCs w:val="24"/>
        </w:rPr>
        <w:t>:</w:t>
      </w:r>
    </w:p>
    <w:p w14:paraId="034B7533" w14:textId="77777777" w:rsidR="006C435E" w:rsidRPr="006C435E" w:rsidRDefault="006C435E" w:rsidP="006C435E">
      <w:pPr>
        <w:pStyle w:val="ListParagraph"/>
        <w:rPr>
          <w:rFonts w:ascii="Times New Roman" w:hAnsi="Times New Roman" w:cs="Times New Roman"/>
          <w:sz w:val="24"/>
          <w:szCs w:val="24"/>
        </w:rPr>
      </w:pPr>
    </w:p>
    <w:p w14:paraId="00DBEA64" w14:textId="6B4B9CD4" w:rsidR="006C435E" w:rsidRPr="00ED64A5" w:rsidRDefault="006C435E" w:rsidP="006C435E">
      <w:pPr>
        <w:pStyle w:val="ListParagraph"/>
        <w:spacing w:line="480" w:lineRule="auto"/>
        <w:ind w:left="1440"/>
        <w:jc w:val="both"/>
        <w:rPr>
          <w:rFonts w:ascii="Times New Roman" w:hAnsi="Times New Roman" w:cs="Times New Roman"/>
          <w:b/>
          <w:sz w:val="24"/>
          <w:szCs w:val="24"/>
        </w:rPr>
      </w:pPr>
      <w:r>
        <w:rPr>
          <w:rFonts w:ascii="Times New Roman" w:hAnsi="Times New Roman" w:cs="Times New Roman"/>
          <w:sz w:val="24"/>
          <w:szCs w:val="24"/>
        </w:rPr>
        <w:t>‘</w:t>
      </w:r>
      <w:r>
        <w:rPr>
          <w:rFonts w:ascii="Times New Roman" w:hAnsi="Times New Roman" w:cs="Times New Roman"/>
          <w:i/>
          <w:sz w:val="24"/>
          <w:szCs w:val="24"/>
        </w:rPr>
        <w:t xml:space="preserve">An application for leave to apply for judicial review shall be made </w:t>
      </w:r>
      <w:r w:rsidR="00ED64A5">
        <w:rPr>
          <w:rFonts w:ascii="Times New Roman" w:hAnsi="Times New Roman" w:cs="Times New Roman"/>
          <w:i/>
          <w:sz w:val="24"/>
          <w:szCs w:val="24"/>
        </w:rPr>
        <w:t xml:space="preserve">promptly and in any event </w:t>
      </w:r>
      <w:r>
        <w:rPr>
          <w:rFonts w:ascii="Times New Roman" w:hAnsi="Times New Roman" w:cs="Times New Roman"/>
          <w:i/>
          <w:sz w:val="24"/>
          <w:szCs w:val="24"/>
        </w:rPr>
        <w:t xml:space="preserve">within three months from the date when grounds for the </w:t>
      </w:r>
      <w:r>
        <w:rPr>
          <w:rFonts w:ascii="Times New Roman" w:hAnsi="Times New Roman" w:cs="Times New Roman"/>
          <w:i/>
          <w:sz w:val="24"/>
          <w:szCs w:val="24"/>
        </w:rPr>
        <w:lastRenderedPageBreak/>
        <w:t>application first aros</w:t>
      </w:r>
      <w:r w:rsidR="00ED64A5">
        <w:rPr>
          <w:rFonts w:ascii="Times New Roman" w:hAnsi="Times New Roman" w:cs="Times New Roman"/>
          <w:i/>
          <w:sz w:val="24"/>
          <w:szCs w:val="24"/>
        </w:rPr>
        <w:t>e, or six months where the relief sought is certiorari</w:t>
      </w:r>
      <w:r w:rsidR="0081537A">
        <w:rPr>
          <w:rFonts w:ascii="Times New Roman" w:hAnsi="Times New Roman" w:cs="Times New Roman"/>
          <w:i/>
          <w:sz w:val="24"/>
          <w:szCs w:val="24"/>
        </w:rPr>
        <w:t xml:space="preserve"> unless the court considers that there </w:t>
      </w:r>
      <w:r w:rsidR="00655FDA">
        <w:rPr>
          <w:rFonts w:ascii="Times New Roman" w:hAnsi="Times New Roman" w:cs="Times New Roman"/>
          <w:i/>
          <w:sz w:val="24"/>
          <w:szCs w:val="24"/>
        </w:rPr>
        <w:t>is</w:t>
      </w:r>
      <w:r w:rsidR="0081537A">
        <w:rPr>
          <w:rFonts w:ascii="Times New Roman" w:hAnsi="Times New Roman" w:cs="Times New Roman"/>
          <w:i/>
          <w:sz w:val="24"/>
          <w:szCs w:val="24"/>
        </w:rPr>
        <w:t xml:space="preserve"> good reason for extending the period within which the application shall be made.</w:t>
      </w:r>
      <w:r w:rsidR="00ED64A5">
        <w:rPr>
          <w:rFonts w:ascii="Times New Roman" w:hAnsi="Times New Roman" w:cs="Times New Roman"/>
          <w:i/>
          <w:sz w:val="24"/>
          <w:szCs w:val="24"/>
        </w:rPr>
        <w:t>’</w:t>
      </w:r>
    </w:p>
    <w:p w14:paraId="0FBBAF0A" w14:textId="77777777" w:rsidR="006C435E" w:rsidRPr="006C435E" w:rsidRDefault="006C435E" w:rsidP="006C435E">
      <w:pPr>
        <w:pStyle w:val="ListParagraph"/>
        <w:rPr>
          <w:rFonts w:ascii="Times New Roman" w:hAnsi="Times New Roman" w:cs="Times New Roman"/>
          <w:sz w:val="24"/>
          <w:szCs w:val="24"/>
        </w:rPr>
      </w:pPr>
    </w:p>
    <w:p w14:paraId="2E36B94B" w14:textId="2BCCE581" w:rsidR="00A376F3" w:rsidRPr="00752FE4" w:rsidRDefault="006C435E" w:rsidP="000C234B">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From the introduction </w:t>
      </w:r>
      <w:r w:rsidR="00F6079C">
        <w:rPr>
          <w:rFonts w:ascii="Times New Roman" w:hAnsi="Times New Roman" w:cs="Times New Roman"/>
          <w:sz w:val="24"/>
          <w:szCs w:val="24"/>
        </w:rPr>
        <w:t xml:space="preserve">of </w:t>
      </w:r>
      <w:r>
        <w:rPr>
          <w:rFonts w:ascii="Times New Roman" w:hAnsi="Times New Roman" w:cs="Times New Roman"/>
          <w:sz w:val="24"/>
          <w:szCs w:val="24"/>
        </w:rPr>
        <w:t>the identically worded provision in the English Rules, the courts in that jurisdiction concluded that the r</w:t>
      </w:r>
      <w:r w:rsidR="00752FE4">
        <w:rPr>
          <w:rFonts w:ascii="Times New Roman" w:hAnsi="Times New Roman" w:cs="Times New Roman"/>
          <w:sz w:val="24"/>
          <w:szCs w:val="24"/>
        </w:rPr>
        <w:t xml:space="preserve">ule </w:t>
      </w:r>
      <w:r>
        <w:rPr>
          <w:rFonts w:ascii="Times New Roman" w:hAnsi="Times New Roman" w:cs="Times New Roman"/>
          <w:sz w:val="24"/>
          <w:szCs w:val="24"/>
        </w:rPr>
        <w:t xml:space="preserve">meant exactly what it said.  </w:t>
      </w:r>
      <w:r w:rsidR="00D66F4D">
        <w:rPr>
          <w:rFonts w:ascii="Times New Roman" w:hAnsi="Times New Roman" w:cs="Times New Roman"/>
          <w:sz w:val="24"/>
          <w:szCs w:val="24"/>
        </w:rPr>
        <w:t>Time ran from the point at which grounds for the application first arose, and the grounds for seeking judicial review of an administrative decision arise when the decision is made</w:t>
      </w:r>
      <w:r w:rsidR="00752FE4">
        <w:rPr>
          <w:rFonts w:ascii="Times New Roman" w:hAnsi="Times New Roman" w:cs="Times New Roman"/>
          <w:sz w:val="24"/>
          <w:szCs w:val="24"/>
        </w:rPr>
        <w:t xml:space="preserve"> and takes legal effect</w:t>
      </w:r>
      <w:r w:rsidR="00D66F4D">
        <w:rPr>
          <w:rFonts w:ascii="Times New Roman" w:hAnsi="Times New Roman" w:cs="Times New Roman"/>
          <w:sz w:val="24"/>
          <w:szCs w:val="24"/>
        </w:rPr>
        <w:t>, not when the applicant learns of it or when it had sufficient information to bring a claim (</w:t>
      </w:r>
      <w:r w:rsidR="00D66F4D">
        <w:rPr>
          <w:rFonts w:ascii="Times New Roman" w:hAnsi="Times New Roman" w:cs="Times New Roman"/>
          <w:i/>
          <w:sz w:val="24"/>
          <w:szCs w:val="24"/>
        </w:rPr>
        <w:t xml:space="preserve">R v. Secretary of State for Transport Ex </w:t>
      </w:r>
      <w:proofErr w:type="spellStart"/>
      <w:r w:rsidR="00D66F4D">
        <w:rPr>
          <w:rFonts w:ascii="Times New Roman" w:hAnsi="Times New Roman" w:cs="Times New Roman"/>
          <w:i/>
          <w:sz w:val="24"/>
          <w:szCs w:val="24"/>
        </w:rPr>
        <w:t>Parte</w:t>
      </w:r>
      <w:proofErr w:type="spellEnd"/>
      <w:r w:rsidR="00D66F4D">
        <w:rPr>
          <w:rFonts w:ascii="Times New Roman" w:hAnsi="Times New Roman" w:cs="Times New Roman"/>
          <w:i/>
          <w:sz w:val="24"/>
          <w:szCs w:val="24"/>
        </w:rPr>
        <w:t xml:space="preserve"> </w:t>
      </w:r>
      <w:proofErr w:type="spellStart"/>
      <w:r w:rsidR="00D66F4D">
        <w:rPr>
          <w:rFonts w:ascii="Times New Roman" w:hAnsi="Times New Roman" w:cs="Times New Roman"/>
          <w:i/>
          <w:sz w:val="24"/>
          <w:szCs w:val="24"/>
        </w:rPr>
        <w:t>Presvac</w:t>
      </w:r>
      <w:proofErr w:type="spellEnd"/>
      <w:r w:rsidR="00D66F4D">
        <w:rPr>
          <w:rFonts w:ascii="Times New Roman" w:hAnsi="Times New Roman" w:cs="Times New Roman"/>
          <w:i/>
          <w:sz w:val="24"/>
          <w:szCs w:val="24"/>
        </w:rPr>
        <w:t xml:space="preserve"> Engineering Ltd. </w:t>
      </w:r>
      <w:r w:rsidR="00D66F4D">
        <w:rPr>
          <w:rFonts w:ascii="Times New Roman" w:hAnsi="Times New Roman" w:cs="Times New Roman"/>
          <w:sz w:val="24"/>
          <w:szCs w:val="24"/>
        </w:rPr>
        <w:t>(</w:t>
      </w:r>
      <w:r w:rsidR="00FB27C8">
        <w:rPr>
          <w:rFonts w:ascii="Times New Roman" w:hAnsi="Times New Roman" w:cs="Times New Roman"/>
          <w:sz w:val="24"/>
          <w:szCs w:val="24"/>
        </w:rPr>
        <w:t>1992</w:t>
      </w:r>
      <w:r w:rsidR="00D66F4D">
        <w:rPr>
          <w:rFonts w:ascii="Times New Roman" w:hAnsi="Times New Roman" w:cs="Times New Roman"/>
          <w:sz w:val="24"/>
          <w:szCs w:val="24"/>
        </w:rPr>
        <w:t xml:space="preserve">) 4 Admin </w:t>
      </w:r>
      <w:proofErr w:type="spellStart"/>
      <w:r w:rsidR="00D66F4D">
        <w:rPr>
          <w:rFonts w:ascii="Times New Roman" w:hAnsi="Times New Roman" w:cs="Times New Roman"/>
          <w:sz w:val="24"/>
          <w:szCs w:val="24"/>
        </w:rPr>
        <w:t>L.Rep</w:t>
      </w:r>
      <w:proofErr w:type="spellEnd"/>
      <w:r w:rsidR="00D66F4D">
        <w:rPr>
          <w:rFonts w:ascii="Times New Roman" w:hAnsi="Times New Roman" w:cs="Times New Roman"/>
          <w:sz w:val="24"/>
          <w:szCs w:val="24"/>
        </w:rPr>
        <w:t>. 121 at pp. 133</w:t>
      </w:r>
      <w:r w:rsidR="00FB27C8">
        <w:rPr>
          <w:rFonts w:ascii="Times New Roman" w:hAnsi="Times New Roman" w:cs="Times New Roman"/>
          <w:sz w:val="24"/>
          <w:szCs w:val="24"/>
        </w:rPr>
        <w:t xml:space="preserve"> to </w:t>
      </w:r>
      <w:r w:rsidR="00D66F4D">
        <w:rPr>
          <w:rFonts w:ascii="Times New Roman" w:hAnsi="Times New Roman" w:cs="Times New Roman"/>
          <w:sz w:val="24"/>
          <w:szCs w:val="24"/>
        </w:rPr>
        <w:t>134).  This position has been consistently reiterated in that jurisdiction (</w:t>
      </w:r>
      <w:r w:rsidR="00D66F4D">
        <w:rPr>
          <w:rFonts w:ascii="Times New Roman" w:hAnsi="Times New Roman" w:cs="Times New Roman"/>
          <w:i/>
          <w:sz w:val="24"/>
          <w:szCs w:val="24"/>
        </w:rPr>
        <w:t xml:space="preserve">R v. Cotswold District Council ex parte Barrington Parish Council </w:t>
      </w:r>
      <w:r w:rsidR="00D66F4D">
        <w:rPr>
          <w:rFonts w:ascii="Times New Roman" w:hAnsi="Times New Roman" w:cs="Times New Roman"/>
          <w:sz w:val="24"/>
          <w:szCs w:val="24"/>
        </w:rPr>
        <w:t xml:space="preserve">(1998) 75 P&amp;CR 515 at p. 523; </w:t>
      </w:r>
      <w:r w:rsidR="00D66F4D">
        <w:rPr>
          <w:rFonts w:ascii="Times New Roman" w:hAnsi="Times New Roman" w:cs="Times New Roman"/>
          <w:i/>
          <w:sz w:val="24"/>
          <w:szCs w:val="24"/>
        </w:rPr>
        <w:t xml:space="preserve">Springer v. University Hospitals of Leicester NHS Trust </w:t>
      </w:r>
      <w:r w:rsidR="00D66F4D">
        <w:rPr>
          <w:rFonts w:ascii="Times New Roman" w:hAnsi="Times New Roman" w:cs="Times New Roman"/>
          <w:sz w:val="24"/>
          <w:szCs w:val="24"/>
        </w:rPr>
        <w:t xml:space="preserve">[2018] EWCA Civ. </w:t>
      </w:r>
      <w:r w:rsidR="00A376F3">
        <w:rPr>
          <w:rFonts w:ascii="Times New Roman" w:hAnsi="Times New Roman" w:cs="Times New Roman"/>
          <w:sz w:val="24"/>
          <w:szCs w:val="24"/>
        </w:rPr>
        <w:t>436 at para. 52</w:t>
      </w:r>
      <w:r w:rsidR="002E0812">
        <w:rPr>
          <w:rFonts w:ascii="Times New Roman" w:hAnsi="Times New Roman" w:cs="Times New Roman"/>
          <w:sz w:val="24"/>
          <w:szCs w:val="24"/>
        </w:rPr>
        <w:t>)</w:t>
      </w:r>
      <w:r w:rsidR="00752FE4">
        <w:rPr>
          <w:rFonts w:ascii="Times New Roman" w:hAnsi="Times New Roman" w:cs="Times New Roman"/>
          <w:sz w:val="24"/>
          <w:szCs w:val="24"/>
        </w:rPr>
        <w:t>.  The law</w:t>
      </w:r>
      <w:r w:rsidR="002E0812">
        <w:rPr>
          <w:rFonts w:ascii="Times New Roman" w:hAnsi="Times New Roman" w:cs="Times New Roman"/>
          <w:sz w:val="24"/>
          <w:szCs w:val="24"/>
        </w:rPr>
        <w:t xml:space="preserve"> </w:t>
      </w:r>
      <w:r w:rsidR="00D36FBE">
        <w:rPr>
          <w:rFonts w:ascii="Times New Roman" w:hAnsi="Times New Roman" w:cs="Times New Roman"/>
          <w:sz w:val="24"/>
          <w:szCs w:val="24"/>
        </w:rPr>
        <w:t>in England</w:t>
      </w:r>
      <w:r w:rsidR="009A7F3D">
        <w:rPr>
          <w:rFonts w:ascii="Times New Roman" w:hAnsi="Times New Roman" w:cs="Times New Roman"/>
          <w:sz w:val="24"/>
          <w:szCs w:val="24"/>
        </w:rPr>
        <w:t xml:space="preserve"> </w:t>
      </w:r>
      <w:r w:rsidR="00752FE4">
        <w:rPr>
          <w:rFonts w:ascii="Times New Roman" w:hAnsi="Times New Roman" w:cs="Times New Roman"/>
          <w:sz w:val="24"/>
          <w:szCs w:val="24"/>
        </w:rPr>
        <w:t xml:space="preserve">is </w:t>
      </w:r>
      <w:r w:rsidR="00D36FBE">
        <w:rPr>
          <w:rFonts w:ascii="Times New Roman" w:hAnsi="Times New Roman" w:cs="Times New Roman"/>
          <w:sz w:val="24"/>
          <w:szCs w:val="24"/>
        </w:rPr>
        <w:t xml:space="preserve">authoritatively </w:t>
      </w:r>
      <w:r w:rsidR="00752FE4">
        <w:rPr>
          <w:rFonts w:ascii="Times New Roman" w:hAnsi="Times New Roman" w:cs="Times New Roman"/>
          <w:sz w:val="24"/>
          <w:szCs w:val="24"/>
        </w:rPr>
        <w:t xml:space="preserve">summarised in Lewis </w:t>
      </w:r>
      <w:r w:rsidR="00FB27C8">
        <w:rPr>
          <w:rFonts w:ascii="Times New Roman" w:hAnsi="Times New Roman" w:cs="Times New Roman"/>
          <w:sz w:val="24"/>
          <w:szCs w:val="24"/>
        </w:rPr>
        <w:t>‘</w:t>
      </w:r>
      <w:r w:rsidR="00752FE4">
        <w:rPr>
          <w:rFonts w:ascii="Times New Roman" w:hAnsi="Times New Roman" w:cs="Times New Roman"/>
          <w:i/>
          <w:sz w:val="24"/>
          <w:szCs w:val="24"/>
        </w:rPr>
        <w:t>Judicial Remedies in Public Law</w:t>
      </w:r>
      <w:r w:rsidR="00FB27C8">
        <w:rPr>
          <w:rFonts w:ascii="Times New Roman" w:hAnsi="Times New Roman" w:cs="Times New Roman"/>
          <w:i/>
          <w:sz w:val="24"/>
          <w:szCs w:val="24"/>
        </w:rPr>
        <w:t>’</w:t>
      </w:r>
      <w:r w:rsidR="00752FE4">
        <w:rPr>
          <w:rFonts w:ascii="Times New Roman" w:hAnsi="Times New Roman" w:cs="Times New Roman"/>
          <w:i/>
          <w:sz w:val="24"/>
          <w:szCs w:val="24"/>
        </w:rPr>
        <w:t xml:space="preserve"> </w:t>
      </w:r>
      <w:r w:rsidR="00FB27C8">
        <w:rPr>
          <w:rFonts w:ascii="Times New Roman" w:hAnsi="Times New Roman" w:cs="Times New Roman"/>
          <w:iCs/>
          <w:sz w:val="24"/>
          <w:szCs w:val="24"/>
        </w:rPr>
        <w:t>(</w:t>
      </w:r>
      <w:r w:rsidR="00752FE4">
        <w:rPr>
          <w:rFonts w:ascii="Times New Roman" w:hAnsi="Times New Roman" w:cs="Times New Roman"/>
          <w:sz w:val="24"/>
          <w:szCs w:val="24"/>
        </w:rPr>
        <w:t>6</w:t>
      </w:r>
      <w:r w:rsidR="00752FE4" w:rsidRPr="00752FE4">
        <w:rPr>
          <w:rFonts w:ascii="Times New Roman" w:hAnsi="Times New Roman" w:cs="Times New Roman"/>
          <w:sz w:val="24"/>
          <w:szCs w:val="24"/>
          <w:vertAlign w:val="superscript"/>
        </w:rPr>
        <w:t>th</w:t>
      </w:r>
      <w:r w:rsidR="00752FE4">
        <w:rPr>
          <w:rFonts w:ascii="Times New Roman" w:hAnsi="Times New Roman" w:cs="Times New Roman"/>
          <w:sz w:val="24"/>
          <w:szCs w:val="24"/>
        </w:rPr>
        <w:t xml:space="preserve"> Ed, 2021</w:t>
      </w:r>
      <w:r w:rsidR="00FB27C8">
        <w:rPr>
          <w:rFonts w:ascii="Times New Roman" w:hAnsi="Times New Roman" w:cs="Times New Roman"/>
          <w:sz w:val="24"/>
          <w:szCs w:val="24"/>
        </w:rPr>
        <w:t>)</w:t>
      </w:r>
      <w:r w:rsidR="00752FE4">
        <w:rPr>
          <w:rFonts w:ascii="Times New Roman" w:hAnsi="Times New Roman" w:cs="Times New Roman"/>
          <w:sz w:val="24"/>
          <w:szCs w:val="24"/>
        </w:rPr>
        <w:t xml:space="preserve"> at para. 9-016:</w:t>
      </w:r>
    </w:p>
    <w:p w14:paraId="046F2E79" w14:textId="77777777" w:rsidR="00752FE4" w:rsidRDefault="00752FE4" w:rsidP="00752FE4">
      <w:pPr>
        <w:pStyle w:val="ListParagraph"/>
        <w:spacing w:line="480" w:lineRule="auto"/>
        <w:jc w:val="both"/>
        <w:rPr>
          <w:rFonts w:ascii="Times New Roman" w:hAnsi="Times New Roman" w:cs="Times New Roman"/>
          <w:b/>
          <w:sz w:val="24"/>
          <w:szCs w:val="24"/>
        </w:rPr>
      </w:pPr>
    </w:p>
    <w:p w14:paraId="385694CD" w14:textId="77777777" w:rsidR="00752FE4" w:rsidRPr="00752FE4" w:rsidRDefault="00752FE4" w:rsidP="00752FE4">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The time-limit runs from the date when the grounds of challenge arose and not from the date when the claimant first learned of the decision or action under challenge nor from the date when the claimant considered that he had sufficient information or evidence to apply for judicial review, although these matters, together with all the other facts, will be relevant to the question of whether there is good reason for extending the time-limit.’</w:t>
      </w:r>
    </w:p>
    <w:p w14:paraId="6C9742D4" w14:textId="77777777" w:rsidR="00A376F3" w:rsidRPr="00A376F3" w:rsidRDefault="00A376F3" w:rsidP="00A376F3">
      <w:pPr>
        <w:pStyle w:val="ListParagraph"/>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  </w:t>
      </w:r>
    </w:p>
    <w:p w14:paraId="01EBAE5D" w14:textId="6CB86116" w:rsidR="00681384" w:rsidRPr="00681384" w:rsidRDefault="00A376F3" w:rsidP="005F59EE">
      <w:pPr>
        <w:pStyle w:val="ListParagraph"/>
        <w:numPr>
          <w:ilvl w:val="0"/>
          <w:numId w:val="1"/>
        </w:numPr>
        <w:spacing w:before="240" w:line="480" w:lineRule="auto"/>
        <w:jc w:val="both"/>
        <w:rPr>
          <w:rFonts w:ascii="Times New Roman" w:hAnsi="Times New Roman" w:cs="Times New Roman"/>
          <w:b/>
          <w:sz w:val="24"/>
          <w:szCs w:val="24"/>
        </w:rPr>
      </w:pPr>
      <w:r>
        <w:rPr>
          <w:rFonts w:ascii="Times New Roman" w:hAnsi="Times New Roman" w:cs="Times New Roman"/>
          <w:sz w:val="24"/>
          <w:szCs w:val="24"/>
        </w:rPr>
        <w:t>I</w:t>
      </w:r>
      <w:r w:rsidR="000B3E44">
        <w:rPr>
          <w:rFonts w:ascii="Times New Roman" w:hAnsi="Times New Roman" w:cs="Times New Roman"/>
          <w:sz w:val="24"/>
          <w:szCs w:val="24"/>
        </w:rPr>
        <w:t xml:space="preserve"> mention the </w:t>
      </w:r>
      <w:r w:rsidR="00D36FBE">
        <w:rPr>
          <w:rFonts w:ascii="Times New Roman" w:hAnsi="Times New Roman" w:cs="Times New Roman"/>
          <w:sz w:val="24"/>
          <w:szCs w:val="24"/>
        </w:rPr>
        <w:t>English</w:t>
      </w:r>
      <w:r w:rsidR="00C30A28">
        <w:rPr>
          <w:rFonts w:ascii="Times New Roman" w:hAnsi="Times New Roman" w:cs="Times New Roman"/>
          <w:sz w:val="24"/>
          <w:szCs w:val="24"/>
        </w:rPr>
        <w:t xml:space="preserve"> decisions</w:t>
      </w:r>
      <w:r w:rsidR="000B3E44">
        <w:rPr>
          <w:rFonts w:ascii="Times New Roman" w:hAnsi="Times New Roman" w:cs="Times New Roman"/>
          <w:sz w:val="24"/>
          <w:szCs w:val="24"/>
        </w:rPr>
        <w:t xml:space="preserve"> because the</w:t>
      </w:r>
      <w:r w:rsidR="006D0BEC">
        <w:rPr>
          <w:rFonts w:ascii="Times New Roman" w:hAnsi="Times New Roman" w:cs="Times New Roman"/>
          <w:sz w:val="24"/>
          <w:szCs w:val="24"/>
        </w:rPr>
        <w:t xml:space="preserve"> </w:t>
      </w:r>
      <w:r w:rsidR="00ED1F6B">
        <w:rPr>
          <w:rFonts w:ascii="Times New Roman" w:hAnsi="Times New Roman" w:cs="Times New Roman"/>
          <w:sz w:val="24"/>
          <w:szCs w:val="24"/>
        </w:rPr>
        <w:t xml:space="preserve">case </w:t>
      </w:r>
      <w:r w:rsidR="006D0BEC">
        <w:rPr>
          <w:rFonts w:ascii="Times New Roman" w:hAnsi="Times New Roman" w:cs="Times New Roman"/>
          <w:sz w:val="24"/>
          <w:szCs w:val="24"/>
        </w:rPr>
        <w:t>law in that jurisdiction</w:t>
      </w:r>
      <w:r w:rsidR="000B3E44">
        <w:rPr>
          <w:rFonts w:ascii="Times New Roman" w:hAnsi="Times New Roman" w:cs="Times New Roman"/>
          <w:sz w:val="24"/>
          <w:szCs w:val="24"/>
        </w:rPr>
        <w:t xml:space="preserve"> w</w:t>
      </w:r>
      <w:r w:rsidR="00ED1F6B">
        <w:rPr>
          <w:rFonts w:ascii="Times New Roman" w:hAnsi="Times New Roman" w:cs="Times New Roman"/>
          <w:sz w:val="24"/>
          <w:szCs w:val="24"/>
        </w:rPr>
        <w:t>as</w:t>
      </w:r>
      <w:r w:rsidR="000B3E44">
        <w:rPr>
          <w:rFonts w:ascii="Times New Roman" w:hAnsi="Times New Roman" w:cs="Times New Roman"/>
          <w:sz w:val="24"/>
          <w:szCs w:val="24"/>
        </w:rPr>
        <w:t xml:space="preserve"> </w:t>
      </w:r>
      <w:r w:rsidR="006D0BEC">
        <w:rPr>
          <w:rFonts w:ascii="Times New Roman" w:hAnsi="Times New Roman" w:cs="Times New Roman"/>
          <w:sz w:val="24"/>
          <w:szCs w:val="24"/>
        </w:rPr>
        <w:t xml:space="preserve">relied upon by </w:t>
      </w:r>
      <w:r>
        <w:rPr>
          <w:rFonts w:ascii="Times New Roman" w:hAnsi="Times New Roman" w:cs="Times New Roman"/>
          <w:sz w:val="24"/>
          <w:szCs w:val="24"/>
        </w:rPr>
        <w:t>Clarke J.</w:t>
      </w:r>
      <w:r w:rsidR="0065365E">
        <w:rPr>
          <w:rFonts w:ascii="Times New Roman" w:hAnsi="Times New Roman" w:cs="Times New Roman"/>
          <w:sz w:val="24"/>
          <w:szCs w:val="24"/>
        </w:rPr>
        <w:t xml:space="preserve"> (as he then was)</w:t>
      </w:r>
      <w:r>
        <w:rPr>
          <w:rFonts w:ascii="Times New Roman" w:hAnsi="Times New Roman" w:cs="Times New Roman"/>
          <w:sz w:val="24"/>
          <w:szCs w:val="24"/>
        </w:rPr>
        <w:t xml:space="preserve"> in </w:t>
      </w:r>
      <w:r w:rsidR="005F59EE">
        <w:rPr>
          <w:rFonts w:ascii="Times New Roman" w:hAnsi="Times New Roman" w:cs="Times New Roman"/>
          <w:i/>
          <w:sz w:val="24"/>
          <w:szCs w:val="24"/>
        </w:rPr>
        <w:t xml:space="preserve">Veolia Water UK plc v. Fingal County Council </w:t>
      </w:r>
      <w:r w:rsidR="005F59EE" w:rsidRPr="005F59EE">
        <w:rPr>
          <w:rFonts w:ascii="Times New Roman" w:hAnsi="Times New Roman" w:cs="Times New Roman"/>
          <w:i/>
          <w:sz w:val="24"/>
          <w:szCs w:val="24"/>
        </w:rPr>
        <w:lastRenderedPageBreak/>
        <w:t xml:space="preserve">(No. 1) </w:t>
      </w:r>
      <w:r w:rsidR="005F59EE">
        <w:rPr>
          <w:rFonts w:ascii="Times New Roman" w:hAnsi="Times New Roman" w:cs="Times New Roman"/>
          <w:sz w:val="24"/>
          <w:szCs w:val="24"/>
        </w:rPr>
        <w:t>[2007] 1 IR 690 (‘</w:t>
      </w:r>
      <w:r w:rsidR="005F59EE">
        <w:rPr>
          <w:rFonts w:ascii="Times New Roman" w:hAnsi="Times New Roman" w:cs="Times New Roman"/>
          <w:i/>
          <w:sz w:val="24"/>
          <w:szCs w:val="24"/>
        </w:rPr>
        <w:t>Veolia’</w:t>
      </w:r>
      <w:r w:rsidR="005F59EE">
        <w:rPr>
          <w:rFonts w:ascii="Times New Roman" w:hAnsi="Times New Roman" w:cs="Times New Roman"/>
          <w:sz w:val="24"/>
          <w:szCs w:val="24"/>
        </w:rPr>
        <w:t xml:space="preserve">). While </w:t>
      </w:r>
      <w:r w:rsidR="005F59EE">
        <w:rPr>
          <w:rFonts w:ascii="Times New Roman" w:hAnsi="Times New Roman" w:cs="Times New Roman"/>
          <w:i/>
          <w:sz w:val="24"/>
          <w:szCs w:val="24"/>
        </w:rPr>
        <w:t xml:space="preserve">Veolia </w:t>
      </w:r>
      <w:r w:rsidR="005F59EE">
        <w:rPr>
          <w:rFonts w:ascii="Times New Roman" w:hAnsi="Times New Roman" w:cs="Times New Roman"/>
          <w:sz w:val="24"/>
          <w:szCs w:val="24"/>
        </w:rPr>
        <w:t xml:space="preserve">was a public procurement case, and thus concerned a decision within a category </w:t>
      </w:r>
      <w:r w:rsidR="0041255E">
        <w:rPr>
          <w:rFonts w:ascii="Times New Roman" w:hAnsi="Times New Roman" w:cs="Times New Roman"/>
          <w:sz w:val="24"/>
          <w:szCs w:val="24"/>
        </w:rPr>
        <w:t xml:space="preserve">of proceeding </w:t>
      </w:r>
      <w:r w:rsidR="005F59EE">
        <w:rPr>
          <w:rFonts w:ascii="Times New Roman" w:hAnsi="Times New Roman" w:cs="Times New Roman"/>
          <w:sz w:val="24"/>
          <w:szCs w:val="24"/>
        </w:rPr>
        <w:t>long recognised as requiring</w:t>
      </w:r>
      <w:r w:rsidR="0041255E">
        <w:rPr>
          <w:rFonts w:ascii="Times New Roman" w:hAnsi="Times New Roman" w:cs="Times New Roman"/>
          <w:sz w:val="24"/>
          <w:szCs w:val="24"/>
        </w:rPr>
        <w:t xml:space="preserve"> particular rapidity</w:t>
      </w:r>
      <w:r w:rsidR="005F59EE">
        <w:rPr>
          <w:rFonts w:ascii="Times New Roman" w:hAnsi="Times New Roman" w:cs="Times New Roman"/>
          <w:sz w:val="24"/>
          <w:szCs w:val="24"/>
        </w:rPr>
        <w:t xml:space="preserve">, the applicable time limit was defined in </w:t>
      </w:r>
      <w:r w:rsidR="005E6241">
        <w:rPr>
          <w:rFonts w:ascii="Times New Roman" w:hAnsi="Times New Roman" w:cs="Times New Roman"/>
          <w:sz w:val="24"/>
          <w:szCs w:val="24"/>
        </w:rPr>
        <w:t xml:space="preserve">similar </w:t>
      </w:r>
      <w:r w:rsidR="005F59EE">
        <w:rPr>
          <w:rFonts w:ascii="Times New Roman" w:hAnsi="Times New Roman" w:cs="Times New Roman"/>
          <w:sz w:val="24"/>
          <w:szCs w:val="24"/>
        </w:rPr>
        <w:t xml:space="preserve">terms to those now appearing in Order 84 Rule 21(1), Order 84A </w:t>
      </w:r>
      <w:r w:rsidR="00AA64C6">
        <w:rPr>
          <w:rFonts w:ascii="Times New Roman" w:hAnsi="Times New Roman" w:cs="Times New Roman"/>
          <w:sz w:val="24"/>
          <w:szCs w:val="24"/>
        </w:rPr>
        <w:t>Rule</w:t>
      </w:r>
      <w:r w:rsidR="005F59EE">
        <w:rPr>
          <w:rFonts w:ascii="Times New Roman" w:hAnsi="Times New Roman" w:cs="Times New Roman"/>
          <w:sz w:val="24"/>
          <w:szCs w:val="24"/>
        </w:rPr>
        <w:t xml:space="preserve"> 4 RSC fixing the obligation to commence such proceedings ‘</w:t>
      </w:r>
      <w:r w:rsidR="004475C6">
        <w:rPr>
          <w:rFonts w:ascii="Times New Roman" w:hAnsi="Times New Roman" w:cs="Times New Roman"/>
          <w:i/>
          <w:sz w:val="24"/>
          <w:szCs w:val="24"/>
        </w:rPr>
        <w:t>at the earliest opportunity</w:t>
      </w:r>
      <w:r w:rsidR="00AA64C6">
        <w:rPr>
          <w:rFonts w:ascii="Times New Roman" w:hAnsi="Times New Roman" w:cs="Times New Roman"/>
          <w:i/>
          <w:sz w:val="24"/>
          <w:szCs w:val="24"/>
        </w:rPr>
        <w:t>,</w:t>
      </w:r>
      <w:r w:rsidR="004475C6">
        <w:rPr>
          <w:rFonts w:ascii="Times New Roman" w:hAnsi="Times New Roman" w:cs="Times New Roman"/>
          <w:i/>
          <w:sz w:val="24"/>
          <w:szCs w:val="24"/>
        </w:rPr>
        <w:t xml:space="preserve"> and in any event </w:t>
      </w:r>
      <w:r w:rsidR="005F59EE">
        <w:rPr>
          <w:rFonts w:ascii="Times New Roman" w:hAnsi="Times New Roman" w:cs="Times New Roman"/>
          <w:i/>
          <w:sz w:val="24"/>
          <w:szCs w:val="24"/>
        </w:rPr>
        <w:t xml:space="preserve">within three months of the date when grounds for the application first arose’.  </w:t>
      </w:r>
      <w:r w:rsidR="009023CE">
        <w:rPr>
          <w:rFonts w:ascii="Times New Roman" w:hAnsi="Times New Roman" w:cs="Times New Roman"/>
          <w:sz w:val="24"/>
          <w:szCs w:val="24"/>
        </w:rPr>
        <w:t xml:space="preserve">There, the proceedings were brought four and a half months after the </w:t>
      </w:r>
      <w:r w:rsidR="00681384">
        <w:rPr>
          <w:rFonts w:ascii="Times New Roman" w:hAnsi="Times New Roman" w:cs="Times New Roman"/>
          <w:sz w:val="24"/>
          <w:szCs w:val="24"/>
        </w:rPr>
        <w:t>applicants learnt that they had been unsuccessful in the procurement process they sought to challenge but they said that they had acted within three months of their learning of the alleged deficiencies in that process of which they sought to complain in their proceedings.  The respondent contended that the rule meant that the proceedings had to be brought within three months of the decision irrespective of knowledge (while acknowledging that knowledge was relevant to an extension of that time)</w:t>
      </w:r>
      <w:r w:rsidR="000D46D3">
        <w:rPr>
          <w:rFonts w:ascii="Times New Roman" w:hAnsi="Times New Roman" w:cs="Times New Roman"/>
          <w:sz w:val="24"/>
          <w:szCs w:val="24"/>
        </w:rPr>
        <w:t xml:space="preserve">: </w:t>
      </w:r>
      <w:r w:rsidR="00681384">
        <w:rPr>
          <w:rFonts w:ascii="Times New Roman" w:hAnsi="Times New Roman" w:cs="Times New Roman"/>
          <w:sz w:val="24"/>
          <w:szCs w:val="24"/>
        </w:rPr>
        <w:t xml:space="preserve">the applicants said that such a construction of the rule would be </w:t>
      </w:r>
      <w:r w:rsidR="000D46D3">
        <w:rPr>
          <w:rFonts w:ascii="Times New Roman" w:hAnsi="Times New Roman" w:cs="Times New Roman"/>
          <w:i/>
          <w:sz w:val="24"/>
          <w:szCs w:val="24"/>
        </w:rPr>
        <w:t xml:space="preserve">inter alia </w:t>
      </w:r>
      <w:r w:rsidR="00681384">
        <w:rPr>
          <w:rFonts w:ascii="Times New Roman" w:hAnsi="Times New Roman" w:cs="Times New Roman"/>
          <w:sz w:val="24"/>
          <w:szCs w:val="24"/>
        </w:rPr>
        <w:t>contrary to European law.</w:t>
      </w:r>
    </w:p>
    <w:p w14:paraId="498CD643" w14:textId="77777777" w:rsidR="00681384" w:rsidRPr="00681384" w:rsidRDefault="00681384" w:rsidP="00681384">
      <w:pPr>
        <w:pStyle w:val="ListParagraph"/>
        <w:spacing w:before="240" w:line="480" w:lineRule="auto"/>
        <w:jc w:val="both"/>
        <w:rPr>
          <w:rFonts w:ascii="Times New Roman" w:hAnsi="Times New Roman" w:cs="Times New Roman"/>
          <w:b/>
          <w:sz w:val="24"/>
          <w:szCs w:val="24"/>
        </w:rPr>
      </w:pPr>
      <w:r>
        <w:rPr>
          <w:rFonts w:ascii="Times New Roman" w:hAnsi="Times New Roman" w:cs="Times New Roman"/>
          <w:sz w:val="24"/>
          <w:szCs w:val="24"/>
        </w:rPr>
        <w:t xml:space="preserve">  </w:t>
      </w:r>
    </w:p>
    <w:p w14:paraId="3B04B630" w14:textId="3CEDAD23" w:rsidR="00BA6500" w:rsidRPr="00BA6500" w:rsidRDefault="005F59EE" w:rsidP="005F59EE">
      <w:pPr>
        <w:pStyle w:val="ListParagraph"/>
        <w:numPr>
          <w:ilvl w:val="0"/>
          <w:numId w:val="1"/>
        </w:numPr>
        <w:spacing w:before="240" w:line="480" w:lineRule="auto"/>
        <w:jc w:val="both"/>
        <w:rPr>
          <w:rFonts w:ascii="Times New Roman" w:hAnsi="Times New Roman" w:cs="Times New Roman"/>
          <w:b/>
          <w:sz w:val="24"/>
          <w:szCs w:val="24"/>
        </w:rPr>
      </w:pPr>
      <w:r>
        <w:rPr>
          <w:rFonts w:ascii="Times New Roman" w:hAnsi="Times New Roman" w:cs="Times New Roman"/>
          <w:sz w:val="24"/>
          <w:szCs w:val="24"/>
        </w:rPr>
        <w:t>Following an analysis of English case law addressing similarly worded requirements in the applicable legislation in that jurisdiction</w:t>
      </w:r>
      <w:r w:rsidR="00BA6500">
        <w:rPr>
          <w:rFonts w:ascii="Times New Roman" w:hAnsi="Times New Roman" w:cs="Times New Roman"/>
          <w:sz w:val="24"/>
          <w:szCs w:val="24"/>
        </w:rPr>
        <w:t xml:space="preserve">, Clarke J. concluded that </w:t>
      </w:r>
      <w:r w:rsidR="003B07C8">
        <w:rPr>
          <w:rFonts w:ascii="Times New Roman" w:hAnsi="Times New Roman" w:cs="Times New Roman"/>
          <w:sz w:val="24"/>
          <w:szCs w:val="24"/>
        </w:rPr>
        <w:t xml:space="preserve">the language of </w:t>
      </w:r>
      <w:r w:rsidR="00BA6500">
        <w:rPr>
          <w:rFonts w:ascii="Times New Roman" w:hAnsi="Times New Roman" w:cs="Times New Roman"/>
          <w:sz w:val="24"/>
          <w:szCs w:val="24"/>
        </w:rPr>
        <w:t>Order 84A ‘</w:t>
      </w:r>
      <w:r w:rsidR="00BA6500">
        <w:rPr>
          <w:rFonts w:ascii="Times New Roman" w:hAnsi="Times New Roman" w:cs="Times New Roman"/>
          <w:i/>
          <w:sz w:val="24"/>
          <w:szCs w:val="24"/>
        </w:rPr>
        <w:t>requires that time begins to run in relation to the making of an application for judicial review when the events giving rise to the grounds upon which the challenge is intended to be brought occur’</w:t>
      </w:r>
      <w:r w:rsidR="00BA6500">
        <w:rPr>
          <w:rFonts w:ascii="Times New Roman" w:hAnsi="Times New Roman" w:cs="Times New Roman"/>
          <w:sz w:val="24"/>
          <w:szCs w:val="24"/>
        </w:rPr>
        <w:t xml:space="preserve"> (at para. 48).  He continued:</w:t>
      </w:r>
    </w:p>
    <w:p w14:paraId="3ECE24DB" w14:textId="77777777" w:rsidR="00BA6500" w:rsidRDefault="00BA6500" w:rsidP="00BA6500">
      <w:pPr>
        <w:pStyle w:val="ListParagraph"/>
        <w:spacing w:before="240" w:line="480" w:lineRule="auto"/>
        <w:jc w:val="both"/>
        <w:rPr>
          <w:rFonts w:ascii="Times New Roman" w:hAnsi="Times New Roman" w:cs="Times New Roman"/>
          <w:sz w:val="24"/>
          <w:szCs w:val="24"/>
        </w:rPr>
      </w:pPr>
    </w:p>
    <w:p w14:paraId="0568C219" w14:textId="77777777" w:rsidR="00BA6500" w:rsidRPr="007739FD" w:rsidRDefault="00BA6500" w:rsidP="00BA6500">
      <w:pPr>
        <w:pStyle w:val="ListParagraph"/>
        <w:spacing w:before="240" w:line="480" w:lineRule="auto"/>
        <w:ind w:left="144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 xml:space="preserve">Those events may be said to have occurred when any formal adverse consequence has crystallised to the extent of a formal step in the process being taken adverse to the interests of the </w:t>
      </w:r>
      <w:r w:rsidR="007739FD">
        <w:rPr>
          <w:rFonts w:ascii="Times New Roman" w:hAnsi="Times New Roman" w:cs="Times New Roman"/>
          <w:i/>
          <w:sz w:val="24"/>
          <w:szCs w:val="24"/>
        </w:rPr>
        <w:t>applicant concerned.’</w:t>
      </w:r>
    </w:p>
    <w:p w14:paraId="1EEAF913" w14:textId="77777777" w:rsidR="00BA6500" w:rsidRPr="00BA6500" w:rsidRDefault="00BA6500" w:rsidP="00BA6500">
      <w:pPr>
        <w:pStyle w:val="ListParagraph"/>
        <w:spacing w:before="240" w:line="480" w:lineRule="auto"/>
        <w:jc w:val="both"/>
        <w:rPr>
          <w:rFonts w:ascii="Times New Roman" w:hAnsi="Times New Roman" w:cs="Times New Roman"/>
          <w:b/>
          <w:sz w:val="24"/>
          <w:szCs w:val="24"/>
        </w:rPr>
      </w:pPr>
      <w:r>
        <w:rPr>
          <w:rFonts w:ascii="Times New Roman" w:hAnsi="Times New Roman" w:cs="Times New Roman"/>
          <w:sz w:val="24"/>
          <w:szCs w:val="24"/>
        </w:rPr>
        <w:t xml:space="preserve">  </w:t>
      </w:r>
    </w:p>
    <w:p w14:paraId="37620606" w14:textId="61C3F664" w:rsidR="0097714B" w:rsidRPr="00B3079F" w:rsidRDefault="007739FD" w:rsidP="0097714B">
      <w:pPr>
        <w:pStyle w:val="ListParagraph"/>
        <w:numPr>
          <w:ilvl w:val="0"/>
          <w:numId w:val="1"/>
        </w:numPr>
        <w:spacing w:before="240" w:line="480" w:lineRule="auto"/>
        <w:jc w:val="both"/>
        <w:rPr>
          <w:rFonts w:ascii="Times New Roman" w:hAnsi="Times New Roman" w:cs="Times New Roman"/>
          <w:b/>
          <w:sz w:val="24"/>
          <w:szCs w:val="24"/>
        </w:rPr>
      </w:pPr>
      <w:r>
        <w:rPr>
          <w:rFonts w:ascii="Times New Roman" w:hAnsi="Times New Roman" w:cs="Times New Roman"/>
          <w:sz w:val="24"/>
          <w:szCs w:val="24"/>
        </w:rPr>
        <w:lastRenderedPageBreak/>
        <w:t xml:space="preserve">It is of some importance that while </w:t>
      </w:r>
      <w:r>
        <w:rPr>
          <w:rFonts w:ascii="Times New Roman" w:hAnsi="Times New Roman" w:cs="Times New Roman"/>
          <w:i/>
          <w:sz w:val="24"/>
          <w:szCs w:val="24"/>
        </w:rPr>
        <w:t xml:space="preserve">Veolia </w:t>
      </w:r>
      <w:r>
        <w:rPr>
          <w:rFonts w:ascii="Times New Roman" w:hAnsi="Times New Roman" w:cs="Times New Roman"/>
          <w:sz w:val="24"/>
          <w:szCs w:val="24"/>
        </w:rPr>
        <w:t xml:space="preserve">was, as I have observed, a public procurement case to which particular requirements of urgency have always applied, it was also – for that </w:t>
      </w:r>
      <w:r w:rsidR="00256816">
        <w:rPr>
          <w:rFonts w:ascii="Times New Roman" w:hAnsi="Times New Roman" w:cs="Times New Roman"/>
          <w:sz w:val="24"/>
          <w:szCs w:val="24"/>
        </w:rPr>
        <w:t>same</w:t>
      </w:r>
      <w:r w:rsidR="00B36687">
        <w:rPr>
          <w:rFonts w:ascii="Times New Roman" w:hAnsi="Times New Roman" w:cs="Times New Roman"/>
          <w:sz w:val="24"/>
          <w:szCs w:val="24"/>
        </w:rPr>
        <w:t xml:space="preserve"> </w:t>
      </w:r>
      <w:r>
        <w:rPr>
          <w:rFonts w:ascii="Times New Roman" w:hAnsi="Times New Roman" w:cs="Times New Roman"/>
          <w:sz w:val="24"/>
          <w:szCs w:val="24"/>
        </w:rPr>
        <w:t>reason – a decision reached in the context of domestic legislation implementing EU law.  Clarke J. found that neither that fact, nor the implications of the constitutional right to litigate, affected the conclusion reached by the court as to when time began to run.  Potential unfairness arising where a litigant found that time began running before they were or could have been aware of a decision affecting their rights were mitigated by the power of the court in an appropriate case to extend time.</w:t>
      </w:r>
      <w:r w:rsidR="0097714B">
        <w:rPr>
          <w:rFonts w:ascii="Times New Roman" w:hAnsi="Times New Roman" w:cs="Times New Roman"/>
          <w:sz w:val="24"/>
          <w:szCs w:val="24"/>
        </w:rPr>
        <w:t xml:space="preserve">  He explained (at p.</w:t>
      </w:r>
      <w:r w:rsidR="00AA64C6">
        <w:rPr>
          <w:rFonts w:ascii="Times New Roman" w:hAnsi="Times New Roman" w:cs="Times New Roman"/>
          <w:sz w:val="24"/>
          <w:szCs w:val="24"/>
        </w:rPr>
        <w:t xml:space="preserve"> </w:t>
      </w:r>
      <w:r w:rsidR="0097714B">
        <w:rPr>
          <w:rFonts w:ascii="Times New Roman" w:hAnsi="Times New Roman" w:cs="Times New Roman"/>
          <w:sz w:val="24"/>
          <w:szCs w:val="24"/>
        </w:rPr>
        <w:t>707):</w:t>
      </w:r>
    </w:p>
    <w:p w14:paraId="468DEFE4" w14:textId="77777777" w:rsidR="0097714B" w:rsidRDefault="0097714B" w:rsidP="0097714B">
      <w:pPr>
        <w:pStyle w:val="ListParagraph"/>
        <w:spacing w:before="240" w:line="480" w:lineRule="auto"/>
        <w:jc w:val="both"/>
        <w:rPr>
          <w:rFonts w:ascii="Times New Roman" w:hAnsi="Times New Roman" w:cs="Times New Roman"/>
          <w:b/>
          <w:sz w:val="24"/>
          <w:szCs w:val="24"/>
        </w:rPr>
      </w:pPr>
    </w:p>
    <w:p w14:paraId="4E38E441" w14:textId="0517F54E" w:rsidR="0097714B" w:rsidRPr="00B3079F" w:rsidRDefault="0097714B" w:rsidP="0097714B">
      <w:pPr>
        <w:pStyle w:val="ListParagraph"/>
        <w:spacing w:before="240" w:line="480" w:lineRule="auto"/>
        <w:ind w:left="1440"/>
        <w:jc w:val="both"/>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i/>
          <w:sz w:val="24"/>
          <w:szCs w:val="24"/>
        </w:rPr>
        <w:t xml:space="preserve">amongst the matters that must properly be taken into account by the court in considering whether to </w:t>
      </w:r>
      <w:r w:rsidR="00A12C7D">
        <w:rPr>
          <w:rFonts w:ascii="Times New Roman" w:hAnsi="Times New Roman" w:cs="Times New Roman"/>
          <w:i/>
          <w:sz w:val="24"/>
          <w:szCs w:val="24"/>
        </w:rPr>
        <w:t>extend</w:t>
      </w:r>
      <w:r>
        <w:rPr>
          <w:rFonts w:ascii="Times New Roman" w:hAnsi="Times New Roman" w:cs="Times New Roman"/>
          <w:i/>
          <w:sz w:val="24"/>
          <w:szCs w:val="24"/>
        </w:rPr>
        <w:t xml:space="preserve"> time is to ensure that time will be extended in any case where a refusal to extend time could be said to establish a breach of the principle of effectiveness.’</w:t>
      </w:r>
    </w:p>
    <w:p w14:paraId="77997710" w14:textId="77777777" w:rsidR="0097714B" w:rsidRDefault="0097714B" w:rsidP="0097714B">
      <w:pPr>
        <w:pStyle w:val="ListParagraph"/>
        <w:spacing w:before="24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14:paraId="55799EC4" w14:textId="7D27C1EA" w:rsidR="006E7EEB" w:rsidRPr="0097714B" w:rsidRDefault="007235DA" w:rsidP="0097714B">
      <w:pPr>
        <w:pStyle w:val="ListParagraph"/>
        <w:numPr>
          <w:ilvl w:val="0"/>
          <w:numId w:val="1"/>
        </w:numPr>
        <w:spacing w:before="240" w:line="480" w:lineRule="auto"/>
        <w:jc w:val="both"/>
        <w:rPr>
          <w:rFonts w:ascii="Times New Roman" w:hAnsi="Times New Roman" w:cs="Times New Roman"/>
          <w:b/>
          <w:sz w:val="24"/>
          <w:szCs w:val="24"/>
        </w:rPr>
      </w:pPr>
      <w:r w:rsidRPr="0097714B">
        <w:rPr>
          <w:rFonts w:ascii="Times New Roman" w:hAnsi="Times New Roman" w:cs="Times New Roman"/>
          <w:sz w:val="24"/>
          <w:szCs w:val="24"/>
        </w:rPr>
        <w:t xml:space="preserve">The </w:t>
      </w:r>
      <w:r w:rsidR="0097714B">
        <w:rPr>
          <w:rFonts w:ascii="Times New Roman" w:hAnsi="Times New Roman" w:cs="Times New Roman"/>
          <w:sz w:val="24"/>
          <w:szCs w:val="24"/>
        </w:rPr>
        <w:t xml:space="preserve">underlying </w:t>
      </w:r>
      <w:r w:rsidRPr="0097714B">
        <w:rPr>
          <w:rFonts w:ascii="Times New Roman" w:hAnsi="Times New Roman" w:cs="Times New Roman"/>
          <w:sz w:val="24"/>
          <w:szCs w:val="24"/>
        </w:rPr>
        <w:t xml:space="preserve">test formulated by Clarke J. - whether a formal adverse consequence has crystallised to the extent of a formal step in the process being taken adverse to the interests of the applicant – has been applied since </w:t>
      </w:r>
      <w:r w:rsidR="00A76C90" w:rsidRPr="0097714B">
        <w:rPr>
          <w:rFonts w:ascii="Times New Roman" w:hAnsi="Times New Roman" w:cs="Times New Roman"/>
          <w:sz w:val="24"/>
          <w:szCs w:val="24"/>
        </w:rPr>
        <w:t xml:space="preserve">outside the specific context of procurement challenges </w:t>
      </w:r>
      <w:r w:rsidRPr="0097714B">
        <w:rPr>
          <w:rFonts w:ascii="Times New Roman" w:hAnsi="Times New Roman" w:cs="Times New Roman"/>
          <w:sz w:val="24"/>
          <w:szCs w:val="24"/>
        </w:rPr>
        <w:t>(</w:t>
      </w:r>
      <w:r w:rsidR="00A76C90" w:rsidRPr="0097714B">
        <w:rPr>
          <w:rFonts w:ascii="Times New Roman" w:hAnsi="Times New Roman" w:cs="Times New Roman"/>
          <w:i/>
          <w:sz w:val="24"/>
          <w:szCs w:val="24"/>
        </w:rPr>
        <w:t xml:space="preserve">O’Rourke v. Department of Education and Skills </w:t>
      </w:r>
      <w:r w:rsidR="00A76C90" w:rsidRPr="0097714B">
        <w:rPr>
          <w:rFonts w:ascii="Times New Roman" w:hAnsi="Times New Roman" w:cs="Times New Roman"/>
          <w:sz w:val="24"/>
          <w:szCs w:val="24"/>
        </w:rPr>
        <w:t>[2019] IEHC 938 at para. 25)</w:t>
      </w:r>
      <w:r w:rsidR="00C5499F" w:rsidRPr="0097714B">
        <w:rPr>
          <w:rFonts w:ascii="Times New Roman" w:hAnsi="Times New Roman" w:cs="Times New Roman"/>
          <w:sz w:val="24"/>
          <w:szCs w:val="24"/>
        </w:rPr>
        <w:t xml:space="preserve"> and is acknowledged as the applicable analysis in the texts (see Hogan and Morgan </w:t>
      </w:r>
      <w:r w:rsidR="00D273A2">
        <w:rPr>
          <w:rFonts w:ascii="Times New Roman" w:hAnsi="Times New Roman" w:cs="Times New Roman"/>
          <w:sz w:val="24"/>
          <w:szCs w:val="24"/>
        </w:rPr>
        <w:t>‘</w:t>
      </w:r>
      <w:r w:rsidR="00C5499F" w:rsidRPr="0097714B">
        <w:rPr>
          <w:rFonts w:ascii="Times New Roman" w:hAnsi="Times New Roman" w:cs="Times New Roman"/>
          <w:i/>
          <w:sz w:val="24"/>
          <w:szCs w:val="24"/>
        </w:rPr>
        <w:t>Administrative Law in Ireland</w:t>
      </w:r>
      <w:r w:rsidR="00D273A2">
        <w:rPr>
          <w:rFonts w:ascii="Times New Roman" w:hAnsi="Times New Roman" w:cs="Times New Roman"/>
          <w:i/>
          <w:sz w:val="24"/>
          <w:szCs w:val="24"/>
        </w:rPr>
        <w:t>’</w:t>
      </w:r>
      <w:r w:rsidR="00C5499F" w:rsidRPr="0097714B">
        <w:rPr>
          <w:rFonts w:ascii="Times New Roman" w:hAnsi="Times New Roman" w:cs="Times New Roman"/>
          <w:i/>
          <w:sz w:val="24"/>
          <w:szCs w:val="24"/>
        </w:rPr>
        <w:t xml:space="preserve"> </w:t>
      </w:r>
      <w:r w:rsidR="00C5499F" w:rsidRPr="0097714B">
        <w:rPr>
          <w:rFonts w:ascii="Times New Roman" w:hAnsi="Times New Roman" w:cs="Times New Roman"/>
          <w:sz w:val="24"/>
          <w:szCs w:val="24"/>
        </w:rPr>
        <w:t>(5</w:t>
      </w:r>
      <w:r w:rsidR="00C5499F" w:rsidRPr="0097714B">
        <w:rPr>
          <w:rFonts w:ascii="Times New Roman" w:hAnsi="Times New Roman" w:cs="Times New Roman"/>
          <w:sz w:val="24"/>
          <w:szCs w:val="24"/>
          <w:vertAlign w:val="superscript"/>
        </w:rPr>
        <w:t>th</w:t>
      </w:r>
      <w:r w:rsidR="00C5499F" w:rsidRPr="0097714B">
        <w:rPr>
          <w:rFonts w:ascii="Times New Roman" w:hAnsi="Times New Roman" w:cs="Times New Roman"/>
          <w:sz w:val="24"/>
          <w:szCs w:val="24"/>
        </w:rPr>
        <w:t xml:space="preserve"> Ed. 2019) at para. 18-161 fn. 401</w:t>
      </w:r>
      <w:r w:rsidR="00D273A2">
        <w:rPr>
          <w:rFonts w:ascii="Times New Roman" w:hAnsi="Times New Roman" w:cs="Times New Roman"/>
          <w:sz w:val="24"/>
          <w:szCs w:val="24"/>
        </w:rPr>
        <w:t>;</w:t>
      </w:r>
      <w:r w:rsidR="00207C50" w:rsidRPr="0097714B">
        <w:rPr>
          <w:rFonts w:ascii="Times New Roman" w:hAnsi="Times New Roman" w:cs="Times New Roman"/>
          <w:sz w:val="24"/>
          <w:szCs w:val="24"/>
        </w:rPr>
        <w:t xml:space="preserve"> De </w:t>
      </w:r>
      <w:proofErr w:type="spellStart"/>
      <w:r w:rsidR="00207C50" w:rsidRPr="0097714B">
        <w:rPr>
          <w:rFonts w:ascii="Times New Roman" w:hAnsi="Times New Roman" w:cs="Times New Roman"/>
          <w:sz w:val="24"/>
          <w:szCs w:val="24"/>
        </w:rPr>
        <w:t>Blacam</w:t>
      </w:r>
      <w:proofErr w:type="spellEnd"/>
      <w:r w:rsidR="00207C50" w:rsidRPr="0097714B">
        <w:rPr>
          <w:rFonts w:ascii="Times New Roman" w:hAnsi="Times New Roman" w:cs="Times New Roman"/>
          <w:sz w:val="24"/>
          <w:szCs w:val="24"/>
        </w:rPr>
        <w:t xml:space="preserve"> </w:t>
      </w:r>
      <w:r w:rsidR="00D273A2">
        <w:rPr>
          <w:rFonts w:ascii="Times New Roman" w:hAnsi="Times New Roman" w:cs="Times New Roman"/>
          <w:sz w:val="24"/>
          <w:szCs w:val="24"/>
        </w:rPr>
        <w:t>‘</w:t>
      </w:r>
      <w:r w:rsidR="00207C50" w:rsidRPr="0097714B">
        <w:rPr>
          <w:rFonts w:ascii="Times New Roman" w:hAnsi="Times New Roman" w:cs="Times New Roman"/>
          <w:i/>
          <w:sz w:val="24"/>
          <w:szCs w:val="24"/>
        </w:rPr>
        <w:t>Judicial Review</w:t>
      </w:r>
      <w:r w:rsidR="00D273A2">
        <w:rPr>
          <w:rFonts w:ascii="Times New Roman" w:hAnsi="Times New Roman" w:cs="Times New Roman"/>
          <w:i/>
          <w:sz w:val="24"/>
          <w:szCs w:val="24"/>
        </w:rPr>
        <w:t>’</w:t>
      </w:r>
      <w:r w:rsidR="00207C50" w:rsidRPr="0097714B">
        <w:rPr>
          <w:rFonts w:ascii="Times New Roman" w:hAnsi="Times New Roman" w:cs="Times New Roman"/>
          <w:i/>
          <w:sz w:val="24"/>
          <w:szCs w:val="24"/>
        </w:rPr>
        <w:t xml:space="preserve"> </w:t>
      </w:r>
      <w:r w:rsidR="00207C50" w:rsidRPr="0097714B">
        <w:rPr>
          <w:rFonts w:ascii="Times New Roman" w:hAnsi="Times New Roman" w:cs="Times New Roman"/>
          <w:sz w:val="24"/>
          <w:szCs w:val="24"/>
        </w:rPr>
        <w:t>(3</w:t>
      </w:r>
      <w:r w:rsidR="00207C50" w:rsidRPr="0097714B">
        <w:rPr>
          <w:rFonts w:ascii="Times New Roman" w:hAnsi="Times New Roman" w:cs="Times New Roman"/>
          <w:sz w:val="24"/>
          <w:szCs w:val="24"/>
          <w:vertAlign w:val="superscript"/>
        </w:rPr>
        <w:t>rd</w:t>
      </w:r>
      <w:r w:rsidR="00207C50" w:rsidRPr="0097714B">
        <w:rPr>
          <w:rFonts w:ascii="Times New Roman" w:hAnsi="Times New Roman" w:cs="Times New Roman"/>
          <w:sz w:val="24"/>
          <w:szCs w:val="24"/>
        </w:rPr>
        <w:t xml:space="preserve"> Ed. 2017</w:t>
      </w:r>
      <w:r w:rsidR="007B7101" w:rsidRPr="0097714B">
        <w:rPr>
          <w:rFonts w:ascii="Times New Roman" w:hAnsi="Times New Roman" w:cs="Times New Roman"/>
          <w:sz w:val="24"/>
          <w:szCs w:val="24"/>
        </w:rPr>
        <w:t>)</w:t>
      </w:r>
      <w:r w:rsidR="00207C50" w:rsidRPr="0097714B">
        <w:rPr>
          <w:rFonts w:ascii="Times New Roman" w:hAnsi="Times New Roman" w:cs="Times New Roman"/>
          <w:sz w:val="24"/>
          <w:szCs w:val="24"/>
        </w:rPr>
        <w:t xml:space="preserve"> at para.</w:t>
      </w:r>
      <w:r w:rsidR="00D273A2">
        <w:rPr>
          <w:rFonts w:ascii="Times New Roman" w:hAnsi="Times New Roman" w:cs="Times New Roman"/>
          <w:sz w:val="24"/>
          <w:szCs w:val="24"/>
        </w:rPr>
        <w:t xml:space="preserve"> </w:t>
      </w:r>
      <w:r w:rsidR="00207C50" w:rsidRPr="0097714B">
        <w:rPr>
          <w:rFonts w:ascii="Times New Roman" w:hAnsi="Times New Roman" w:cs="Times New Roman"/>
          <w:sz w:val="24"/>
          <w:szCs w:val="24"/>
        </w:rPr>
        <w:t>36.15</w:t>
      </w:r>
      <w:r w:rsidR="00AC440F" w:rsidRPr="0097714B">
        <w:rPr>
          <w:rFonts w:ascii="Times New Roman" w:hAnsi="Times New Roman" w:cs="Times New Roman"/>
          <w:sz w:val="24"/>
          <w:szCs w:val="24"/>
        </w:rPr>
        <w:t xml:space="preserve">; </w:t>
      </w:r>
      <w:proofErr w:type="spellStart"/>
      <w:r w:rsidR="00B36687" w:rsidRPr="0097714B">
        <w:rPr>
          <w:rFonts w:ascii="Times New Roman" w:hAnsi="Times New Roman" w:cs="Times New Roman"/>
          <w:sz w:val="24"/>
          <w:szCs w:val="24"/>
        </w:rPr>
        <w:t>Biehler</w:t>
      </w:r>
      <w:proofErr w:type="spellEnd"/>
      <w:r w:rsidR="00B36687" w:rsidRPr="0097714B">
        <w:rPr>
          <w:rFonts w:ascii="Times New Roman" w:hAnsi="Times New Roman" w:cs="Times New Roman"/>
          <w:sz w:val="24"/>
          <w:szCs w:val="24"/>
        </w:rPr>
        <w:t xml:space="preserve"> et al </w:t>
      </w:r>
      <w:r w:rsidR="00D273A2">
        <w:rPr>
          <w:rFonts w:ascii="Times New Roman" w:hAnsi="Times New Roman" w:cs="Times New Roman"/>
          <w:sz w:val="24"/>
          <w:szCs w:val="24"/>
        </w:rPr>
        <w:t>‘</w:t>
      </w:r>
      <w:r w:rsidR="00AC440F" w:rsidRPr="0097714B">
        <w:rPr>
          <w:rFonts w:ascii="Times New Roman" w:hAnsi="Times New Roman" w:cs="Times New Roman"/>
          <w:i/>
          <w:sz w:val="24"/>
          <w:szCs w:val="24"/>
        </w:rPr>
        <w:t>Delaney and McGrath</w:t>
      </w:r>
      <w:r w:rsidR="00AC440F" w:rsidRPr="0097714B">
        <w:rPr>
          <w:rFonts w:ascii="Times New Roman" w:hAnsi="Times New Roman" w:cs="Times New Roman"/>
          <w:sz w:val="24"/>
          <w:szCs w:val="24"/>
        </w:rPr>
        <w:t xml:space="preserve"> </w:t>
      </w:r>
      <w:r w:rsidR="00AC440F" w:rsidRPr="0097714B">
        <w:rPr>
          <w:rFonts w:ascii="Times New Roman" w:hAnsi="Times New Roman" w:cs="Times New Roman"/>
          <w:i/>
          <w:sz w:val="24"/>
          <w:szCs w:val="24"/>
        </w:rPr>
        <w:t>Civil Procedure</w:t>
      </w:r>
      <w:r w:rsidR="00D273A2">
        <w:rPr>
          <w:rFonts w:ascii="Times New Roman" w:hAnsi="Times New Roman" w:cs="Times New Roman"/>
          <w:i/>
          <w:sz w:val="24"/>
          <w:szCs w:val="24"/>
        </w:rPr>
        <w:t>’</w:t>
      </w:r>
      <w:r w:rsidR="00AC440F" w:rsidRPr="0097714B">
        <w:rPr>
          <w:rFonts w:ascii="Times New Roman" w:hAnsi="Times New Roman" w:cs="Times New Roman"/>
          <w:i/>
          <w:sz w:val="24"/>
          <w:szCs w:val="24"/>
        </w:rPr>
        <w:t xml:space="preserve"> </w:t>
      </w:r>
      <w:r w:rsidR="00D273A2">
        <w:rPr>
          <w:rFonts w:ascii="Times New Roman" w:hAnsi="Times New Roman" w:cs="Times New Roman"/>
          <w:iCs/>
          <w:sz w:val="24"/>
          <w:szCs w:val="24"/>
        </w:rPr>
        <w:t>(</w:t>
      </w:r>
      <w:r w:rsidR="00AC440F" w:rsidRPr="0097714B">
        <w:rPr>
          <w:rFonts w:ascii="Times New Roman" w:hAnsi="Times New Roman" w:cs="Times New Roman"/>
          <w:sz w:val="24"/>
          <w:szCs w:val="24"/>
        </w:rPr>
        <w:t>4</w:t>
      </w:r>
      <w:r w:rsidR="00AC440F" w:rsidRPr="0097714B">
        <w:rPr>
          <w:rFonts w:ascii="Times New Roman" w:hAnsi="Times New Roman" w:cs="Times New Roman"/>
          <w:sz w:val="24"/>
          <w:szCs w:val="24"/>
          <w:vertAlign w:val="superscript"/>
        </w:rPr>
        <w:t>th</w:t>
      </w:r>
      <w:r w:rsidR="00AC440F" w:rsidRPr="0097714B">
        <w:rPr>
          <w:rFonts w:ascii="Times New Roman" w:hAnsi="Times New Roman" w:cs="Times New Roman"/>
          <w:sz w:val="24"/>
          <w:szCs w:val="24"/>
        </w:rPr>
        <w:t xml:space="preserve"> Ed. 2018</w:t>
      </w:r>
      <w:r w:rsidR="00D273A2">
        <w:rPr>
          <w:rFonts w:ascii="Times New Roman" w:hAnsi="Times New Roman" w:cs="Times New Roman"/>
          <w:sz w:val="24"/>
          <w:szCs w:val="24"/>
        </w:rPr>
        <w:t>)</w:t>
      </w:r>
      <w:r w:rsidR="00AC440F" w:rsidRPr="0097714B">
        <w:rPr>
          <w:rFonts w:ascii="Times New Roman" w:hAnsi="Times New Roman" w:cs="Times New Roman"/>
          <w:sz w:val="24"/>
          <w:szCs w:val="24"/>
        </w:rPr>
        <w:t xml:space="preserve"> at para</w:t>
      </w:r>
      <w:r w:rsidR="00D273A2">
        <w:rPr>
          <w:rFonts w:ascii="Times New Roman" w:hAnsi="Times New Roman" w:cs="Times New Roman"/>
          <w:sz w:val="24"/>
          <w:szCs w:val="24"/>
        </w:rPr>
        <w:t>s</w:t>
      </w:r>
      <w:r w:rsidR="00AC440F" w:rsidRPr="0097714B">
        <w:rPr>
          <w:rFonts w:ascii="Times New Roman" w:hAnsi="Times New Roman" w:cs="Times New Roman"/>
          <w:sz w:val="24"/>
          <w:szCs w:val="24"/>
        </w:rPr>
        <w:t>. 31-76 and 77 and fn</w:t>
      </w:r>
      <w:r w:rsidR="00D273A2">
        <w:rPr>
          <w:rFonts w:ascii="Times New Roman" w:hAnsi="Times New Roman" w:cs="Times New Roman"/>
          <w:sz w:val="24"/>
          <w:szCs w:val="24"/>
        </w:rPr>
        <w:t>.</w:t>
      </w:r>
      <w:r w:rsidR="00AC440F" w:rsidRPr="0097714B">
        <w:rPr>
          <w:rFonts w:ascii="Times New Roman" w:hAnsi="Times New Roman" w:cs="Times New Roman"/>
          <w:sz w:val="24"/>
          <w:szCs w:val="24"/>
        </w:rPr>
        <w:t xml:space="preserve"> 188)</w:t>
      </w:r>
      <w:r w:rsidR="00A76C90" w:rsidRPr="0097714B">
        <w:rPr>
          <w:rFonts w:ascii="Times New Roman" w:hAnsi="Times New Roman" w:cs="Times New Roman"/>
          <w:sz w:val="24"/>
          <w:szCs w:val="24"/>
        </w:rPr>
        <w:t xml:space="preserve">.  </w:t>
      </w:r>
      <w:r w:rsidR="00AC440F" w:rsidRPr="0097714B">
        <w:rPr>
          <w:rFonts w:ascii="Times New Roman" w:hAnsi="Times New Roman" w:cs="Times New Roman"/>
          <w:sz w:val="24"/>
          <w:szCs w:val="24"/>
        </w:rPr>
        <w:t>This also reflects the intendment of O</w:t>
      </w:r>
      <w:r w:rsidR="00D273A2">
        <w:rPr>
          <w:rFonts w:ascii="Times New Roman" w:hAnsi="Times New Roman" w:cs="Times New Roman"/>
          <w:sz w:val="24"/>
          <w:szCs w:val="24"/>
        </w:rPr>
        <w:t>rder</w:t>
      </w:r>
      <w:r w:rsidR="00AC440F" w:rsidRPr="0097714B">
        <w:rPr>
          <w:rFonts w:ascii="Times New Roman" w:hAnsi="Times New Roman" w:cs="Times New Roman"/>
          <w:sz w:val="24"/>
          <w:szCs w:val="24"/>
        </w:rPr>
        <w:t xml:space="preserve"> 84 Rule 21(2), which provides that where relief is sought by way of </w:t>
      </w:r>
      <w:r w:rsidR="00AC440F" w:rsidRPr="0097714B">
        <w:rPr>
          <w:rFonts w:ascii="Times New Roman" w:hAnsi="Times New Roman" w:cs="Times New Roman"/>
          <w:i/>
          <w:sz w:val="24"/>
          <w:szCs w:val="24"/>
        </w:rPr>
        <w:t xml:space="preserve">certiorari </w:t>
      </w:r>
      <w:r w:rsidR="00AC440F" w:rsidRPr="0097714B">
        <w:rPr>
          <w:rFonts w:ascii="Times New Roman" w:hAnsi="Times New Roman" w:cs="Times New Roman"/>
          <w:sz w:val="24"/>
          <w:szCs w:val="24"/>
        </w:rPr>
        <w:t xml:space="preserve">in respect of </w:t>
      </w:r>
      <w:r w:rsidR="00AC440F" w:rsidRPr="0097714B">
        <w:rPr>
          <w:rFonts w:ascii="Times New Roman" w:hAnsi="Times New Roman" w:cs="Times New Roman"/>
          <w:i/>
          <w:sz w:val="24"/>
          <w:szCs w:val="24"/>
        </w:rPr>
        <w:t xml:space="preserve">inter alia </w:t>
      </w:r>
      <w:r w:rsidR="00AC440F" w:rsidRPr="0097714B">
        <w:rPr>
          <w:rFonts w:ascii="Times New Roman" w:hAnsi="Times New Roman" w:cs="Times New Roman"/>
          <w:sz w:val="24"/>
          <w:szCs w:val="24"/>
        </w:rPr>
        <w:t>‘</w:t>
      </w:r>
      <w:r w:rsidR="00AC440F" w:rsidRPr="0097714B">
        <w:rPr>
          <w:rFonts w:ascii="Times New Roman" w:hAnsi="Times New Roman" w:cs="Times New Roman"/>
          <w:i/>
          <w:sz w:val="24"/>
          <w:szCs w:val="24"/>
        </w:rPr>
        <w:t xml:space="preserve">any proceeding’ </w:t>
      </w:r>
      <w:r w:rsidR="00AC440F" w:rsidRPr="0097714B">
        <w:rPr>
          <w:rFonts w:ascii="Times New Roman" w:hAnsi="Times New Roman" w:cs="Times New Roman"/>
          <w:sz w:val="24"/>
          <w:szCs w:val="24"/>
        </w:rPr>
        <w:t xml:space="preserve">the date when </w:t>
      </w:r>
      <w:r w:rsidR="00AC440F" w:rsidRPr="0097714B">
        <w:rPr>
          <w:rFonts w:ascii="Times New Roman" w:hAnsi="Times New Roman" w:cs="Times New Roman"/>
          <w:sz w:val="24"/>
          <w:szCs w:val="24"/>
        </w:rPr>
        <w:lastRenderedPageBreak/>
        <w:t>grounds for the application first arose shall be taken to be the date of that proceeding</w:t>
      </w:r>
      <w:r w:rsidR="007E0642" w:rsidRPr="0097714B">
        <w:rPr>
          <w:rFonts w:ascii="Times New Roman" w:hAnsi="Times New Roman" w:cs="Times New Roman"/>
          <w:sz w:val="24"/>
          <w:szCs w:val="24"/>
        </w:rPr>
        <w:t>.  It is unsurprising therefore that there are many authorities in which the courts have stressed that time for seeking judicial review runs from the date of the decision and not from the date on which the applicant first becomes aware of or fully understands the substance of the relevant decision (</w:t>
      </w:r>
      <w:r w:rsidR="00810955">
        <w:rPr>
          <w:rFonts w:ascii="Times New Roman" w:hAnsi="Times New Roman" w:cs="Times New Roman"/>
          <w:i/>
          <w:sz w:val="24"/>
          <w:szCs w:val="24"/>
        </w:rPr>
        <w:t xml:space="preserve">Irish Skydiving Club Ltd. v. An Bord </w:t>
      </w:r>
      <w:r w:rsidR="00D273A2">
        <w:rPr>
          <w:rFonts w:ascii="Times New Roman" w:hAnsi="Times New Roman" w:cs="Times New Roman"/>
          <w:i/>
          <w:sz w:val="24"/>
          <w:szCs w:val="24"/>
        </w:rPr>
        <w:t>Pleanála</w:t>
      </w:r>
      <w:r w:rsidR="00810955">
        <w:rPr>
          <w:rFonts w:ascii="Times New Roman" w:hAnsi="Times New Roman" w:cs="Times New Roman"/>
          <w:i/>
          <w:sz w:val="24"/>
          <w:szCs w:val="24"/>
        </w:rPr>
        <w:t xml:space="preserve"> </w:t>
      </w:r>
      <w:r w:rsidR="00810955">
        <w:rPr>
          <w:rFonts w:ascii="Times New Roman" w:hAnsi="Times New Roman" w:cs="Times New Roman"/>
          <w:sz w:val="24"/>
          <w:szCs w:val="24"/>
        </w:rPr>
        <w:t>[2016] IEHC 448 at para. 50</w:t>
      </w:r>
      <w:r w:rsidR="00BC1C33">
        <w:rPr>
          <w:rFonts w:ascii="Times New Roman" w:hAnsi="Times New Roman" w:cs="Times New Roman"/>
          <w:sz w:val="24"/>
          <w:szCs w:val="24"/>
        </w:rPr>
        <w:t>;</w:t>
      </w:r>
      <w:r w:rsidR="00810955">
        <w:rPr>
          <w:rFonts w:ascii="Times New Roman" w:hAnsi="Times New Roman" w:cs="Times New Roman"/>
          <w:sz w:val="24"/>
          <w:szCs w:val="24"/>
        </w:rPr>
        <w:t xml:space="preserve"> </w:t>
      </w:r>
      <w:r w:rsidR="007E0642" w:rsidRPr="0097714B">
        <w:rPr>
          <w:rFonts w:ascii="Times New Roman" w:hAnsi="Times New Roman" w:cs="Times New Roman"/>
          <w:i/>
          <w:sz w:val="24"/>
          <w:szCs w:val="24"/>
        </w:rPr>
        <w:t xml:space="preserve">SC SYM </w:t>
      </w:r>
      <w:proofErr w:type="spellStart"/>
      <w:r w:rsidR="007E0642" w:rsidRPr="0097714B">
        <w:rPr>
          <w:rFonts w:ascii="Times New Roman" w:hAnsi="Times New Roman" w:cs="Times New Roman"/>
          <w:i/>
          <w:sz w:val="24"/>
          <w:szCs w:val="24"/>
        </w:rPr>
        <w:t>Fotovoltaic</w:t>
      </w:r>
      <w:proofErr w:type="spellEnd"/>
      <w:r w:rsidR="007E0642" w:rsidRPr="0097714B">
        <w:rPr>
          <w:rFonts w:ascii="Times New Roman" w:hAnsi="Times New Roman" w:cs="Times New Roman"/>
          <w:i/>
          <w:sz w:val="24"/>
          <w:szCs w:val="24"/>
        </w:rPr>
        <w:t xml:space="preserve"> Energy SRL v. Mayo County Council </w:t>
      </w:r>
      <w:r w:rsidR="007E0642" w:rsidRPr="0097714B">
        <w:rPr>
          <w:rFonts w:ascii="Times New Roman" w:hAnsi="Times New Roman" w:cs="Times New Roman"/>
          <w:sz w:val="24"/>
          <w:szCs w:val="24"/>
        </w:rPr>
        <w:t>[2018] IEHC 20 at para. 72(4)</w:t>
      </w:r>
      <w:r w:rsidR="008012C3">
        <w:rPr>
          <w:rFonts w:ascii="Times New Roman" w:hAnsi="Times New Roman" w:cs="Times New Roman"/>
          <w:sz w:val="24"/>
          <w:szCs w:val="24"/>
        </w:rPr>
        <w:t>).</w:t>
      </w:r>
      <w:r w:rsidR="007E0642" w:rsidRPr="0097714B">
        <w:rPr>
          <w:rFonts w:ascii="Times New Roman" w:hAnsi="Times New Roman" w:cs="Times New Roman"/>
          <w:sz w:val="24"/>
          <w:szCs w:val="24"/>
        </w:rPr>
        <w:t xml:space="preserve"> </w:t>
      </w:r>
    </w:p>
    <w:p w14:paraId="35CCAC15" w14:textId="77777777" w:rsidR="006E7EEB" w:rsidRPr="006E7EEB" w:rsidRDefault="006E7EEB" w:rsidP="006E7EEB">
      <w:pPr>
        <w:pStyle w:val="ListParagraph"/>
        <w:spacing w:before="240" w:line="480" w:lineRule="auto"/>
        <w:jc w:val="both"/>
        <w:rPr>
          <w:rFonts w:ascii="Times New Roman" w:hAnsi="Times New Roman" w:cs="Times New Roman"/>
          <w:b/>
          <w:sz w:val="24"/>
          <w:szCs w:val="24"/>
        </w:rPr>
      </w:pPr>
    </w:p>
    <w:p w14:paraId="07F2642B" w14:textId="7582F8BC" w:rsidR="007B7101" w:rsidRPr="00DA7437" w:rsidRDefault="00D14BED" w:rsidP="00DA7437">
      <w:pPr>
        <w:pStyle w:val="ListParagraph"/>
        <w:numPr>
          <w:ilvl w:val="0"/>
          <w:numId w:val="1"/>
        </w:numPr>
        <w:spacing w:before="240" w:line="480" w:lineRule="auto"/>
        <w:jc w:val="both"/>
        <w:rPr>
          <w:rFonts w:ascii="Times New Roman" w:hAnsi="Times New Roman" w:cs="Times New Roman"/>
          <w:b/>
          <w:sz w:val="24"/>
          <w:szCs w:val="24"/>
        </w:rPr>
      </w:pPr>
      <w:r w:rsidRPr="00DA7437">
        <w:rPr>
          <w:rFonts w:ascii="Times New Roman" w:hAnsi="Times New Roman" w:cs="Times New Roman"/>
          <w:sz w:val="24"/>
          <w:szCs w:val="24"/>
        </w:rPr>
        <w:t>This case shows the difficulty of using any other starting point.  O</w:t>
      </w:r>
      <w:r w:rsidR="00AE6703" w:rsidRPr="00DA7437">
        <w:rPr>
          <w:rFonts w:ascii="Times New Roman" w:hAnsi="Times New Roman" w:cs="Times New Roman"/>
          <w:sz w:val="24"/>
          <w:szCs w:val="24"/>
        </w:rPr>
        <w:t>nce</w:t>
      </w:r>
      <w:r w:rsidR="001B66A2" w:rsidRPr="00DA7437">
        <w:rPr>
          <w:rFonts w:ascii="Times New Roman" w:hAnsi="Times New Roman" w:cs="Times New Roman"/>
          <w:sz w:val="24"/>
          <w:szCs w:val="24"/>
        </w:rPr>
        <w:t xml:space="preserve"> </w:t>
      </w:r>
      <w:r w:rsidR="00AE6703" w:rsidRPr="00DA7437">
        <w:rPr>
          <w:rFonts w:ascii="Times New Roman" w:hAnsi="Times New Roman" w:cs="Times New Roman"/>
          <w:sz w:val="24"/>
          <w:szCs w:val="24"/>
        </w:rPr>
        <w:t>Simons J.</w:t>
      </w:r>
      <w:r w:rsidR="001B66A2" w:rsidRPr="00DA7437">
        <w:rPr>
          <w:rFonts w:ascii="Times New Roman" w:hAnsi="Times New Roman" w:cs="Times New Roman"/>
          <w:sz w:val="24"/>
          <w:szCs w:val="24"/>
        </w:rPr>
        <w:t xml:space="preserve"> decided that because Order 84 R</w:t>
      </w:r>
      <w:r w:rsidR="00D273A2">
        <w:rPr>
          <w:rFonts w:ascii="Times New Roman" w:hAnsi="Times New Roman" w:cs="Times New Roman"/>
          <w:sz w:val="24"/>
          <w:szCs w:val="24"/>
        </w:rPr>
        <w:t>ule</w:t>
      </w:r>
      <w:r w:rsidR="001B66A2" w:rsidRPr="00DA7437">
        <w:rPr>
          <w:rFonts w:ascii="Times New Roman" w:hAnsi="Times New Roman" w:cs="Times New Roman"/>
          <w:sz w:val="24"/>
          <w:szCs w:val="24"/>
        </w:rPr>
        <w:t xml:space="preserve"> 21(1) could not be interpreted so that time began to run before ‘</w:t>
      </w:r>
      <w:r w:rsidR="001B66A2" w:rsidRPr="00DA7437">
        <w:rPr>
          <w:rFonts w:ascii="Times New Roman" w:hAnsi="Times New Roman" w:cs="Times New Roman"/>
          <w:i/>
          <w:sz w:val="24"/>
          <w:szCs w:val="24"/>
        </w:rPr>
        <w:t xml:space="preserve">the public were notified of the decision’ </w:t>
      </w:r>
      <w:r w:rsidR="001B66A2" w:rsidRPr="00DA7437">
        <w:rPr>
          <w:rFonts w:ascii="Times New Roman" w:hAnsi="Times New Roman" w:cs="Times New Roman"/>
          <w:sz w:val="24"/>
          <w:szCs w:val="24"/>
        </w:rPr>
        <w:t xml:space="preserve">it followed that the options were (a) the point at which an </w:t>
      </w:r>
      <w:r w:rsidR="001B66A2" w:rsidRPr="00DA7437">
        <w:rPr>
          <w:rFonts w:ascii="Times New Roman" w:hAnsi="Times New Roman" w:cs="Times New Roman"/>
          <w:i/>
          <w:sz w:val="24"/>
          <w:szCs w:val="24"/>
        </w:rPr>
        <w:t xml:space="preserve">ad hoc </w:t>
      </w:r>
      <w:r w:rsidR="001B66A2" w:rsidRPr="00DA7437">
        <w:rPr>
          <w:rFonts w:ascii="Times New Roman" w:hAnsi="Times New Roman" w:cs="Times New Roman"/>
          <w:sz w:val="24"/>
          <w:szCs w:val="24"/>
        </w:rPr>
        <w:t xml:space="preserve">notification was posted on the </w:t>
      </w:r>
      <w:r w:rsidR="00F160A6">
        <w:rPr>
          <w:rFonts w:ascii="Times New Roman" w:hAnsi="Times New Roman" w:cs="Times New Roman"/>
          <w:sz w:val="24"/>
          <w:szCs w:val="24"/>
        </w:rPr>
        <w:t>HPRA</w:t>
      </w:r>
      <w:r w:rsidR="001B66A2" w:rsidRPr="00DA7437">
        <w:rPr>
          <w:rFonts w:ascii="Times New Roman" w:hAnsi="Times New Roman" w:cs="Times New Roman"/>
          <w:sz w:val="24"/>
          <w:szCs w:val="24"/>
        </w:rPr>
        <w:t xml:space="preserve"> website or (b) the point at which the notification was published in Iris </w:t>
      </w:r>
      <w:r w:rsidR="00C93565">
        <w:rPr>
          <w:rFonts w:ascii="Times New Roman" w:hAnsi="Times New Roman" w:cs="Times New Roman"/>
          <w:sz w:val="24"/>
          <w:szCs w:val="24"/>
        </w:rPr>
        <w:t>Oifigiúil</w:t>
      </w:r>
      <w:r w:rsidR="001B66A2" w:rsidRPr="00DA7437">
        <w:rPr>
          <w:rFonts w:ascii="Times New Roman" w:hAnsi="Times New Roman" w:cs="Times New Roman"/>
          <w:sz w:val="24"/>
          <w:szCs w:val="24"/>
        </w:rPr>
        <w:t xml:space="preserve">. </w:t>
      </w:r>
      <w:r w:rsidRPr="00DA7437">
        <w:rPr>
          <w:rFonts w:ascii="Times New Roman" w:hAnsi="Times New Roman" w:cs="Times New Roman"/>
          <w:sz w:val="24"/>
          <w:szCs w:val="24"/>
        </w:rPr>
        <w:t xml:space="preserve"> </w:t>
      </w:r>
      <w:r w:rsidR="007B7101" w:rsidRPr="00DA7437">
        <w:rPr>
          <w:rFonts w:ascii="Times New Roman" w:hAnsi="Times New Roman" w:cs="Times New Roman"/>
          <w:sz w:val="24"/>
          <w:szCs w:val="24"/>
        </w:rPr>
        <w:t>He chose the former because that publication ‘</w:t>
      </w:r>
      <w:r w:rsidR="007B7101" w:rsidRPr="00DA7437">
        <w:rPr>
          <w:rFonts w:ascii="Times New Roman" w:hAnsi="Times New Roman" w:cs="Times New Roman"/>
          <w:i/>
          <w:sz w:val="24"/>
          <w:szCs w:val="24"/>
        </w:rPr>
        <w:t xml:space="preserve">represents an effective form of public notification’ </w:t>
      </w:r>
      <w:r w:rsidR="007B7101" w:rsidRPr="00DA7437">
        <w:rPr>
          <w:rFonts w:ascii="Times New Roman" w:hAnsi="Times New Roman" w:cs="Times New Roman"/>
          <w:sz w:val="24"/>
          <w:szCs w:val="24"/>
        </w:rPr>
        <w:t>and because the language of the applicable domestic regulation was ‘</w:t>
      </w:r>
      <w:r w:rsidR="007B7101" w:rsidRPr="00DA7437">
        <w:rPr>
          <w:rFonts w:ascii="Times New Roman" w:hAnsi="Times New Roman" w:cs="Times New Roman"/>
          <w:i/>
          <w:sz w:val="24"/>
          <w:szCs w:val="24"/>
        </w:rPr>
        <w:t xml:space="preserve">flexible enough to authorise this form of public notification’.  </w:t>
      </w:r>
    </w:p>
    <w:p w14:paraId="78F9847C" w14:textId="77777777" w:rsidR="00B839ED" w:rsidRPr="007B7101" w:rsidRDefault="00B839ED" w:rsidP="00B839ED">
      <w:pPr>
        <w:pStyle w:val="ListParagraph"/>
        <w:spacing w:before="240" w:line="480" w:lineRule="auto"/>
        <w:jc w:val="both"/>
        <w:rPr>
          <w:rFonts w:ascii="Times New Roman" w:hAnsi="Times New Roman" w:cs="Times New Roman"/>
          <w:sz w:val="24"/>
          <w:szCs w:val="24"/>
        </w:rPr>
      </w:pPr>
    </w:p>
    <w:p w14:paraId="175C7219" w14:textId="64435937" w:rsidR="00F21414" w:rsidRPr="00F21414" w:rsidRDefault="00F21414" w:rsidP="00F21414">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sz w:val="24"/>
          <w:szCs w:val="24"/>
        </w:rPr>
        <w:t>While fully accepting the sense of this conclusion, it could only be correct if one of two things were true – either that Order 84 R</w:t>
      </w:r>
      <w:r w:rsidR="000A5C86">
        <w:rPr>
          <w:rFonts w:ascii="Times New Roman" w:hAnsi="Times New Roman" w:cs="Times New Roman"/>
          <w:sz w:val="24"/>
          <w:szCs w:val="24"/>
        </w:rPr>
        <w:t xml:space="preserve">ule </w:t>
      </w:r>
      <w:r>
        <w:rPr>
          <w:rFonts w:ascii="Times New Roman" w:hAnsi="Times New Roman" w:cs="Times New Roman"/>
          <w:sz w:val="24"/>
          <w:szCs w:val="24"/>
        </w:rPr>
        <w:t>21(1) does not mean what it says (‘</w:t>
      </w:r>
      <w:r>
        <w:rPr>
          <w:rFonts w:ascii="Times New Roman" w:hAnsi="Times New Roman" w:cs="Times New Roman"/>
          <w:i/>
          <w:sz w:val="24"/>
          <w:szCs w:val="24"/>
        </w:rPr>
        <w:t>grounds first arose’</w:t>
      </w:r>
      <w:r>
        <w:rPr>
          <w:rFonts w:ascii="Times New Roman" w:hAnsi="Times New Roman" w:cs="Times New Roman"/>
          <w:sz w:val="24"/>
          <w:szCs w:val="24"/>
        </w:rPr>
        <w:t>)</w:t>
      </w:r>
      <w:r w:rsidR="0027040B">
        <w:rPr>
          <w:rFonts w:ascii="Times New Roman" w:hAnsi="Times New Roman" w:cs="Times New Roman"/>
          <w:sz w:val="24"/>
          <w:szCs w:val="24"/>
        </w:rPr>
        <w:t>, instead running time from the point where there has been ‘</w:t>
      </w:r>
      <w:r w:rsidR="0027040B" w:rsidRPr="00D14BED">
        <w:rPr>
          <w:rFonts w:ascii="Times New Roman" w:hAnsi="Times New Roman" w:cs="Times New Roman"/>
          <w:i/>
          <w:sz w:val="24"/>
          <w:szCs w:val="24"/>
        </w:rPr>
        <w:t>an effective form of public notification’</w:t>
      </w:r>
      <w:r>
        <w:rPr>
          <w:rFonts w:ascii="Times New Roman" w:hAnsi="Times New Roman" w:cs="Times New Roman"/>
          <w:sz w:val="24"/>
          <w:szCs w:val="24"/>
        </w:rPr>
        <w:t xml:space="preserve">, or because it was publication of the decision rather than the making of it that resulted in what Clarke J. described in </w:t>
      </w:r>
      <w:r>
        <w:rPr>
          <w:rFonts w:ascii="Times New Roman" w:hAnsi="Times New Roman" w:cs="Times New Roman"/>
          <w:i/>
          <w:sz w:val="24"/>
          <w:szCs w:val="24"/>
        </w:rPr>
        <w:t xml:space="preserve">Veolia </w:t>
      </w:r>
      <w:r>
        <w:rPr>
          <w:rFonts w:ascii="Times New Roman" w:hAnsi="Times New Roman" w:cs="Times New Roman"/>
          <w:sz w:val="24"/>
          <w:szCs w:val="24"/>
        </w:rPr>
        <w:t>as a</w:t>
      </w:r>
      <w:r w:rsidRPr="007235DA">
        <w:rPr>
          <w:rFonts w:ascii="Times New Roman" w:hAnsi="Times New Roman" w:cs="Times New Roman"/>
          <w:sz w:val="24"/>
          <w:szCs w:val="24"/>
        </w:rPr>
        <w:t xml:space="preserve"> formal consequence </w:t>
      </w:r>
      <w:r>
        <w:rPr>
          <w:rFonts w:ascii="Times New Roman" w:hAnsi="Times New Roman" w:cs="Times New Roman"/>
          <w:sz w:val="24"/>
          <w:szCs w:val="24"/>
        </w:rPr>
        <w:t xml:space="preserve">adverse </w:t>
      </w:r>
      <w:r w:rsidRPr="007235DA">
        <w:rPr>
          <w:rFonts w:ascii="Times New Roman" w:hAnsi="Times New Roman" w:cs="Times New Roman"/>
          <w:sz w:val="24"/>
          <w:szCs w:val="24"/>
        </w:rPr>
        <w:t>to the interests of the applicant</w:t>
      </w:r>
      <w:r>
        <w:rPr>
          <w:rFonts w:ascii="Times New Roman" w:hAnsi="Times New Roman" w:cs="Times New Roman"/>
          <w:sz w:val="24"/>
          <w:szCs w:val="24"/>
        </w:rPr>
        <w:t xml:space="preserve">. </w:t>
      </w:r>
      <w:r w:rsidR="0027040B">
        <w:rPr>
          <w:rFonts w:ascii="Times New Roman" w:hAnsi="Times New Roman" w:cs="Times New Roman"/>
          <w:sz w:val="24"/>
          <w:szCs w:val="24"/>
        </w:rPr>
        <w:t xml:space="preserve">For reasons I have explained, the first is not correct.  </w:t>
      </w:r>
      <w:r>
        <w:rPr>
          <w:rFonts w:ascii="Times New Roman" w:hAnsi="Times New Roman" w:cs="Times New Roman"/>
          <w:sz w:val="24"/>
          <w:szCs w:val="24"/>
        </w:rPr>
        <w:t>Th</w:t>
      </w:r>
      <w:r w:rsidR="0027040B">
        <w:rPr>
          <w:rFonts w:ascii="Times New Roman" w:hAnsi="Times New Roman" w:cs="Times New Roman"/>
          <w:sz w:val="24"/>
          <w:szCs w:val="24"/>
        </w:rPr>
        <w:t>e second could only be so</w:t>
      </w:r>
      <w:r>
        <w:rPr>
          <w:rFonts w:ascii="Times New Roman" w:hAnsi="Times New Roman" w:cs="Times New Roman"/>
          <w:sz w:val="24"/>
          <w:szCs w:val="24"/>
        </w:rPr>
        <w:t xml:space="preserve"> </w:t>
      </w:r>
      <w:r w:rsidR="001678ED">
        <w:rPr>
          <w:rFonts w:ascii="Times New Roman" w:hAnsi="Times New Roman" w:cs="Times New Roman"/>
          <w:sz w:val="24"/>
          <w:szCs w:val="24"/>
        </w:rPr>
        <w:t xml:space="preserve">(a) </w:t>
      </w:r>
      <w:r>
        <w:rPr>
          <w:rFonts w:ascii="Times New Roman" w:hAnsi="Times New Roman" w:cs="Times New Roman"/>
          <w:sz w:val="24"/>
          <w:szCs w:val="24"/>
        </w:rPr>
        <w:t xml:space="preserve">if the decision did </w:t>
      </w:r>
      <w:r>
        <w:rPr>
          <w:rFonts w:ascii="Times New Roman" w:hAnsi="Times New Roman" w:cs="Times New Roman"/>
          <w:sz w:val="24"/>
          <w:szCs w:val="24"/>
        </w:rPr>
        <w:lastRenderedPageBreak/>
        <w:t>not take legal effect until it was published</w:t>
      </w:r>
      <w:r w:rsidR="001678ED">
        <w:rPr>
          <w:rFonts w:ascii="Times New Roman" w:hAnsi="Times New Roman" w:cs="Times New Roman"/>
          <w:sz w:val="24"/>
          <w:szCs w:val="24"/>
        </w:rPr>
        <w:t xml:space="preserve"> and (b) that publication in a form that is referred to nowhere in the 2007 Regulations was the trigger for its </w:t>
      </w:r>
      <w:r w:rsidR="0027040B">
        <w:rPr>
          <w:rFonts w:ascii="Times New Roman" w:hAnsi="Times New Roman" w:cs="Times New Roman"/>
          <w:sz w:val="24"/>
          <w:szCs w:val="24"/>
        </w:rPr>
        <w:t xml:space="preserve">legal </w:t>
      </w:r>
      <w:r w:rsidR="001678ED">
        <w:rPr>
          <w:rFonts w:ascii="Times New Roman" w:hAnsi="Times New Roman" w:cs="Times New Roman"/>
          <w:sz w:val="24"/>
          <w:szCs w:val="24"/>
        </w:rPr>
        <w:t>efficacy.</w:t>
      </w:r>
      <w:r w:rsidR="00037A15">
        <w:rPr>
          <w:rFonts w:ascii="Times New Roman" w:hAnsi="Times New Roman" w:cs="Times New Roman"/>
          <w:sz w:val="24"/>
          <w:szCs w:val="24"/>
        </w:rPr>
        <w:t xml:space="preserve"> </w:t>
      </w:r>
    </w:p>
    <w:p w14:paraId="5091F608" w14:textId="77777777" w:rsidR="0027040B" w:rsidRDefault="0027040B" w:rsidP="0027040B">
      <w:pPr>
        <w:pStyle w:val="ListParagraph"/>
        <w:spacing w:before="240" w:line="480" w:lineRule="auto"/>
        <w:ind w:left="1800"/>
        <w:jc w:val="both"/>
        <w:rPr>
          <w:rFonts w:ascii="Times New Roman" w:hAnsi="Times New Roman" w:cs="Times New Roman"/>
          <w:i/>
          <w:sz w:val="24"/>
          <w:szCs w:val="24"/>
        </w:rPr>
      </w:pPr>
    </w:p>
    <w:p w14:paraId="0A987FA7" w14:textId="77777777" w:rsidR="00D03B87" w:rsidRPr="00D03B87" w:rsidRDefault="00EC1524" w:rsidP="00D03B87">
      <w:pPr>
        <w:pStyle w:val="ListParagraph"/>
        <w:numPr>
          <w:ilvl w:val="0"/>
          <w:numId w:val="3"/>
        </w:numPr>
        <w:spacing w:before="240" w:line="480" w:lineRule="auto"/>
        <w:jc w:val="both"/>
        <w:rPr>
          <w:rFonts w:ascii="Times New Roman" w:hAnsi="Times New Roman" w:cs="Times New Roman"/>
          <w:i/>
          <w:sz w:val="24"/>
          <w:szCs w:val="24"/>
        </w:rPr>
      </w:pPr>
      <w:r>
        <w:rPr>
          <w:rFonts w:ascii="Times New Roman" w:hAnsi="Times New Roman" w:cs="Times New Roman"/>
          <w:i/>
          <w:sz w:val="24"/>
          <w:szCs w:val="24"/>
        </w:rPr>
        <w:t>Publication</w:t>
      </w:r>
    </w:p>
    <w:p w14:paraId="1765EEFB" w14:textId="77777777" w:rsidR="00AE6703" w:rsidRPr="00D03B87" w:rsidRDefault="00D03B87" w:rsidP="00D03B87">
      <w:pPr>
        <w:pStyle w:val="ListParagraph"/>
        <w:spacing w:before="240" w:line="480" w:lineRule="auto"/>
        <w:jc w:val="both"/>
        <w:rPr>
          <w:rFonts w:ascii="Times New Roman" w:hAnsi="Times New Roman" w:cs="Times New Roman"/>
          <w:b/>
          <w:sz w:val="24"/>
          <w:szCs w:val="24"/>
        </w:rPr>
      </w:pPr>
      <w:r>
        <w:rPr>
          <w:rFonts w:ascii="Times New Roman" w:hAnsi="Times New Roman" w:cs="Times New Roman"/>
          <w:sz w:val="24"/>
          <w:szCs w:val="24"/>
        </w:rPr>
        <w:t xml:space="preserve">  </w:t>
      </w:r>
    </w:p>
    <w:p w14:paraId="3C8DC756" w14:textId="1F3EBA1D" w:rsidR="00D03B87" w:rsidRPr="009424ED" w:rsidRDefault="00331D20" w:rsidP="00D03B87">
      <w:pPr>
        <w:pStyle w:val="ListParagraph"/>
        <w:numPr>
          <w:ilvl w:val="0"/>
          <w:numId w:val="1"/>
        </w:numPr>
        <w:spacing w:before="240" w:line="480" w:lineRule="auto"/>
        <w:jc w:val="both"/>
        <w:rPr>
          <w:rFonts w:ascii="Times New Roman" w:hAnsi="Times New Roman" w:cs="Times New Roman"/>
          <w:b/>
          <w:sz w:val="24"/>
          <w:szCs w:val="24"/>
        </w:rPr>
      </w:pPr>
      <w:r>
        <w:rPr>
          <w:rFonts w:ascii="Times New Roman" w:hAnsi="Times New Roman" w:cs="Times New Roman"/>
          <w:sz w:val="24"/>
          <w:szCs w:val="24"/>
        </w:rPr>
        <w:t xml:space="preserve">It </w:t>
      </w:r>
      <w:r w:rsidR="0027040B">
        <w:rPr>
          <w:rFonts w:ascii="Times New Roman" w:hAnsi="Times New Roman" w:cs="Times New Roman"/>
          <w:sz w:val="24"/>
          <w:szCs w:val="24"/>
        </w:rPr>
        <w:t xml:space="preserve">is obviously </w:t>
      </w:r>
      <w:r w:rsidR="00D03B87">
        <w:rPr>
          <w:rFonts w:ascii="Times New Roman" w:hAnsi="Times New Roman" w:cs="Times New Roman"/>
          <w:sz w:val="24"/>
          <w:szCs w:val="24"/>
        </w:rPr>
        <w:t>open to the Oireachtas or, in the case of rules provided for by Statutory Instrument</w:t>
      </w:r>
      <w:r w:rsidR="00201ED5">
        <w:rPr>
          <w:rFonts w:ascii="Times New Roman" w:hAnsi="Times New Roman" w:cs="Times New Roman"/>
          <w:sz w:val="24"/>
          <w:szCs w:val="24"/>
        </w:rPr>
        <w:t>,</w:t>
      </w:r>
      <w:r w:rsidR="00D03B87">
        <w:rPr>
          <w:rFonts w:ascii="Times New Roman" w:hAnsi="Times New Roman" w:cs="Times New Roman"/>
          <w:sz w:val="24"/>
          <w:szCs w:val="24"/>
        </w:rPr>
        <w:t xml:space="preserve"> the relevant Minister, to predicate the legal efficacy of a decision on its publication to the world at large or, for that matter, delivery to specific persons.  Where that occurs, the </w:t>
      </w:r>
      <w:r w:rsidR="00265B05">
        <w:rPr>
          <w:rFonts w:ascii="Times New Roman" w:hAnsi="Times New Roman" w:cs="Times New Roman"/>
          <w:sz w:val="24"/>
          <w:szCs w:val="24"/>
        </w:rPr>
        <w:t xml:space="preserve">point at which time runs for the purposes of Order 84 and the publication of the decision will be </w:t>
      </w:r>
      <w:r w:rsidR="000A5C86">
        <w:rPr>
          <w:rFonts w:ascii="Times New Roman" w:hAnsi="Times New Roman" w:cs="Times New Roman"/>
          <w:sz w:val="24"/>
          <w:szCs w:val="24"/>
        </w:rPr>
        <w:t>coincident</w:t>
      </w:r>
      <w:r w:rsidR="00265B05">
        <w:rPr>
          <w:rFonts w:ascii="Times New Roman" w:hAnsi="Times New Roman" w:cs="Times New Roman"/>
          <w:sz w:val="24"/>
          <w:szCs w:val="24"/>
        </w:rPr>
        <w:t xml:space="preserve"> because it is only upon such publication that there is a decision impacting adversely on the applicant’s interests. </w:t>
      </w:r>
      <w:r w:rsidR="00ED3485">
        <w:rPr>
          <w:rFonts w:ascii="Times New Roman" w:hAnsi="Times New Roman" w:cs="Times New Roman"/>
          <w:sz w:val="24"/>
          <w:szCs w:val="24"/>
        </w:rPr>
        <w:t xml:space="preserve"> Where there is no such connection </w:t>
      </w:r>
      <w:r w:rsidR="009424ED">
        <w:rPr>
          <w:rFonts w:ascii="Times New Roman" w:hAnsi="Times New Roman" w:cs="Times New Roman"/>
          <w:sz w:val="24"/>
          <w:szCs w:val="24"/>
        </w:rPr>
        <w:t>publication is irrelevant to the running of time – although, again, it will be potentially relevant to the extension of that time.</w:t>
      </w:r>
    </w:p>
    <w:p w14:paraId="2624F1E8" w14:textId="77777777" w:rsidR="009424ED" w:rsidRDefault="009424ED" w:rsidP="009424ED">
      <w:pPr>
        <w:pStyle w:val="ListParagraph"/>
        <w:spacing w:before="24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14:paraId="72610594" w14:textId="32D5B123" w:rsidR="00C85F9A" w:rsidRPr="00C85F9A" w:rsidRDefault="009424ED" w:rsidP="00C85F9A">
      <w:pPr>
        <w:pStyle w:val="ListParagraph"/>
        <w:numPr>
          <w:ilvl w:val="0"/>
          <w:numId w:val="1"/>
        </w:numPr>
        <w:spacing w:before="240" w:line="480" w:lineRule="auto"/>
        <w:jc w:val="both"/>
        <w:rPr>
          <w:rFonts w:ascii="Times New Roman" w:hAnsi="Times New Roman" w:cs="Times New Roman"/>
          <w:b/>
          <w:sz w:val="24"/>
          <w:szCs w:val="24"/>
        </w:rPr>
      </w:pPr>
      <w:r>
        <w:rPr>
          <w:rFonts w:ascii="Times New Roman" w:hAnsi="Times New Roman" w:cs="Times New Roman"/>
          <w:sz w:val="24"/>
          <w:szCs w:val="24"/>
        </w:rPr>
        <w:t>In the absence of an express provision rendering the legal effect of a decision depend</w:t>
      </w:r>
      <w:r w:rsidR="003E51A4">
        <w:rPr>
          <w:rFonts w:ascii="Times New Roman" w:hAnsi="Times New Roman" w:cs="Times New Roman"/>
          <w:sz w:val="24"/>
          <w:szCs w:val="24"/>
        </w:rPr>
        <w:t>e</w:t>
      </w:r>
      <w:r>
        <w:rPr>
          <w:rFonts w:ascii="Times New Roman" w:hAnsi="Times New Roman" w:cs="Times New Roman"/>
          <w:sz w:val="24"/>
          <w:szCs w:val="24"/>
        </w:rPr>
        <w:t xml:space="preserve">nt upon its publication or delivery, the issue of whether there is a connection between the two will depend on the proper construction of the legal instrument providing for publication.  </w:t>
      </w:r>
      <w:r w:rsidR="00CC379C">
        <w:rPr>
          <w:rFonts w:ascii="Times New Roman" w:hAnsi="Times New Roman" w:cs="Times New Roman"/>
          <w:sz w:val="24"/>
          <w:szCs w:val="24"/>
        </w:rPr>
        <w:t>In some cases</w:t>
      </w:r>
      <w:r w:rsidR="00D316AA">
        <w:rPr>
          <w:rFonts w:ascii="Times New Roman" w:hAnsi="Times New Roman" w:cs="Times New Roman"/>
          <w:sz w:val="24"/>
          <w:szCs w:val="24"/>
        </w:rPr>
        <w:t>,</w:t>
      </w:r>
      <w:r w:rsidR="00CC379C">
        <w:rPr>
          <w:rFonts w:ascii="Times New Roman" w:hAnsi="Times New Roman" w:cs="Times New Roman"/>
          <w:sz w:val="24"/>
          <w:szCs w:val="24"/>
        </w:rPr>
        <w:t xml:space="preserve"> it may be that publication obligations are conditions precedent to the validity of subsequent steps so that </w:t>
      </w:r>
      <w:r w:rsidR="00534B11">
        <w:rPr>
          <w:rFonts w:ascii="Times New Roman" w:hAnsi="Times New Roman" w:cs="Times New Roman"/>
          <w:sz w:val="24"/>
          <w:szCs w:val="24"/>
        </w:rPr>
        <w:t>a failure to publish may vitiate a decision (</w:t>
      </w:r>
      <w:r w:rsidR="00534B11">
        <w:rPr>
          <w:rFonts w:ascii="Times New Roman" w:hAnsi="Times New Roman" w:cs="Times New Roman"/>
          <w:i/>
          <w:sz w:val="24"/>
          <w:szCs w:val="24"/>
        </w:rPr>
        <w:t>Keogh v. Galway Corporation</w:t>
      </w:r>
      <w:r w:rsidR="00534B11">
        <w:rPr>
          <w:rFonts w:ascii="Times New Roman" w:hAnsi="Times New Roman" w:cs="Times New Roman"/>
          <w:sz w:val="24"/>
          <w:szCs w:val="24"/>
        </w:rPr>
        <w:t xml:space="preserve"> [1995] 3 IR 457).  However, the authorities confirm the common-sense consideration that generally if the Oireachtas has not expressly related publication to validity, a failure to comply with an obligation to publish will only invalidate a </w:t>
      </w:r>
      <w:r w:rsidR="0027040B">
        <w:rPr>
          <w:rFonts w:ascii="Times New Roman" w:hAnsi="Times New Roman" w:cs="Times New Roman"/>
          <w:sz w:val="24"/>
          <w:szCs w:val="24"/>
        </w:rPr>
        <w:t xml:space="preserve">prior </w:t>
      </w:r>
      <w:r w:rsidR="00534B11">
        <w:rPr>
          <w:rFonts w:ascii="Times New Roman" w:hAnsi="Times New Roman" w:cs="Times New Roman"/>
          <w:sz w:val="24"/>
          <w:szCs w:val="24"/>
        </w:rPr>
        <w:t xml:space="preserve">decision if the purpose of that obligation is in some way referable to the efficacy of the decision (see </w:t>
      </w:r>
      <w:r w:rsidR="00B60420">
        <w:rPr>
          <w:rFonts w:ascii="Times New Roman" w:hAnsi="Times New Roman" w:cs="Times New Roman"/>
          <w:sz w:val="24"/>
          <w:szCs w:val="24"/>
        </w:rPr>
        <w:t xml:space="preserve">for an example of an analysis to that effect </w:t>
      </w:r>
      <w:r>
        <w:rPr>
          <w:rFonts w:ascii="Times New Roman" w:hAnsi="Times New Roman" w:cs="Times New Roman"/>
          <w:i/>
          <w:sz w:val="24"/>
          <w:szCs w:val="24"/>
        </w:rPr>
        <w:t xml:space="preserve">Casey v. Minister for Housing, Planning and Local Government and </w:t>
      </w:r>
      <w:r>
        <w:rPr>
          <w:rFonts w:ascii="Times New Roman" w:hAnsi="Times New Roman" w:cs="Times New Roman"/>
          <w:i/>
          <w:sz w:val="24"/>
          <w:szCs w:val="24"/>
        </w:rPr>
        <w:lastRenderedPageBreak/>
        <w:t>others</w:t>
      </w:r>
      <w:r>
        <w:rPr>
          <w:rFonts w:ascii="Times New Roman" w:hAnsi="Times New Roman" w:cs="Times New Roman"/>
          <w:sz w:val="24"/>
          <w:szCs w:val="24"/>
        </w:rPr>
        <w:t xml:space="preserve"> [2021] IESC 42</w:t>
      </w:r>
      <w:r w:rsidR="00534B11">
        <w:rPr>
          <w:rFonts w:ascii="Times New Roman" w:hAnsi="Times New Roman" w:cs="Times New Roman"/>
          <w:sz w:val="24"/>
          <w:szCs w:val="24"/>
        </w:rPr>
        <w:t>).  This might arise</w:t>
      </w:r>
      <w:r w:rsidR="004F78E8">
        <w:rPr>
          <w:rFonts w:ascii="Times New Roman" w:hAnsi="Times New Roman" w:cs="Times New Roman"/>
          <w:sz w:val="24"/>
          <w:szCs w:val="24"/>
        </w:rPr>
        <w:t>, for example,</w:t>
      </w:r>
      <w:r w:rsidR="00534B11">
        <w:rPr>
          <w:rFonts w:ascii="Times New Roman" w:hAnsi="Times New Roman" w:cs="Times New Roman"/>
          <w:sz w:val="24"/>
          <w:szCs w:val="24"/>
        </w:rPr>
        <w:t xml:space="preserve"> where the legislation precludes the taking of steps on foot of the decision in advance of publication.  </w:t>
      </w:r>
    </w:p>
    <w:p w14:paraId="0F1FF6BB" w14:textId="77777777" w:rsidR="00C85F9A" w:rsidRPr="00C85F9A" w:rsidRDefault="00C85F9A" w:rsidP="00C85F9A">
      <w:pPr>
        <w:pStyle w:val="ListParagraph"/>
        <w:rPr>
          <w:rFonts w:ascii="Times New Roman" w:hAnsi="Times New Roman" w:cs="Times New Roman"/>
          <w:sz w:val="24"/>
          <w:szCs w:val="24"/>
        </w:rPr>
      </w:pPr>
    </w:p>
    <w:p w14:paraId="58491011" w14:textId="160C6DA3" w:rsidR="00A82C4C" w:rsidRPr="00F25ADC" w:rsidRDefault="00534B11" w:rsidP="00A82C4C">
      <w:pPr>
        <w:pStyle w:val="ListParagraph"/>
        <w:numPr>
          <w:ilvl w:val="0"/>
          <w:numId w:val="1"/>
        </w:numPr>
        <w:spacing w:before="240" w:line="480" w:lineRule="auto"/>
        <w:jc w:val="both"/>
        <w:rPr>
          <w:rFonts w:ascii="Times New Roman" w:hAnsi="Times New Roman" w:cs="Times New Roman"/>
          <w:b/>
          <w:sz w:val="24"/>
          <w:szCs w:val="24"/>
        </w:rPr>
      </w:pPr>
      <w:r w:rsidRPr="00C85F9A">
        <w:rPr>
          <w:rFonts w:ascii="Times New Roman" w:hAnsi="Times New Roman" w:cs="Times New Roman"/>
          <w:sz w:val="24"/>
          <w:szCs w:val="24"/>
        </w:rPr>
        <w:t>There is nothing of that kind in th</w:t>
      </w:r>
      <w:r w:rsidR="005E6241" w:rsidRPr="00C85F9A">
        <w:rPr>
          <w:rFonts w:ascii="Times New Roman" w:hAnsi="Times New Roman" w:cs="Times New Roman"/>
          <w:sz w:val="24"/>
          <w:szCs w:val="24"/>
        </w:rPr>
        <w:t>e regulatory</w:t>
      </w:r>
      <w:r w:rsidRPr="00C85F9A">
        <w:rPr>
          <w:rFonts w:ascii="Times New Roman" w:hAnsi="Times New Roman" w:cs="Times New Roman"/>
          <w:sz w:val="24"/>
          <w:szCs w:val="24"/>
        </w:rPr>
        <w:t xml:space="preserve"> scheme</w:t>
      </w:r>
      <w:r w:rsidR="005E6241" w:rsidRPr="00C85F9A">
        <w:rPr>
          <w:rFonts w:ascii="Times New Roman" w:hAnsi="Times New Roman" w:cs="Times New Roman"/>
          <w:sz w:val="24"/>
          <w:szCs w:val="24"/>
        </w:rPr>
        <w:t xml:space="preserve"> in issue in this case</w:t>
      </w:r>
      <w:r w:rsidR="00256816">
        <w:rPr>
          <w:rFonts w:ascii="Times New Roman" w:hAnsi="Times New Roman" w:cs="Times New Roman"/>
          <w:sz w:val="24"/>
          <w:szCs w:val="24"/>
        </w:rPr>
        <w:t xml:space="preserve">, and indeed it was accepted by counsel for Arthropharm in oral argument before this court that publication was not required for the authorisation to have legal effect.  </w:t>
      </w:r>
      <w:r w:rsidR="0027040B" w:rsidRPr="00C85F9A">
        <w:rPr>
          <w:rFonts w:ascii="Times New Roman" w:hAnsi="Times New Roman" w:cs="Times New Roman"/>
          <w:sz w:val="24"/>
          <w:szCs w:val="24"/>
        </w:rPr>
        <w:t xml:space="preserve">Certainly, the Directive is clear in mandating </w:t>
      </w:r>
      <w:r w:rsidR="00417507" w:rsidRPr="00C85F9A">
        <w:rPr>
          <w:rFonts w:ascii="Times New Roman" w:hAnsi="Times New Roman" w:cs="Times New Roman"/>
          <w:sz w:val="24"/>
          <w:szCs w:val="24"/>
        </w:rPr>
        <w:t>that the authorisation and reasons for the opinion publicly available ‘</w:t>
      </w:r>
      <w:r w:rsidR="00417507" w:rsidRPr="00C85F9A">
        <w:rPr>
          <w:rFonts w:ascii="Times New Roman" w:hAnsi="Times New Roman" w:cs="Times New Roman"/>
          <w:i/>
          <w:sz w:val="24"/>
          <w:szCs w:val="24"/>
        </w:rPr>
        <w:t>without delay’</w:t>
      </w:r>
      <w:r w:rsidR="00417507" w:rsidRPr="00C85F9A">
        <w:rPr>
          <w:rFonts w:ascii="Times New Roman" w:hAnsi="Times New Roman" w:cs="Times New Roman"/>
          <w:sz w:val="24"/>
          <w:szCs w:val="24"/>
        </w:rPr>
        <w:t xml:space="preserve">, and it is equally clear that this serves the purpose of ensuring that the public generally are aware of the fact of the authorisation and reasons for it.  It also enables the holder of an authorisation for a reference product to know where a generic has been authorised, and to equip it with the basic information required to challenge the legality of the decision to grant the authorisation.  To hold, however, that a failure to comply with that obligation meant that the authorisation was legally ineffective would require clear words, not least of all because of the impact on the </w:t>
      </w:r>
      <w:r w:rsidR="005D7A3A">
        <w:rPr>
          <w:rFonts w:ascii="Times New Roman" w:hAnsi="Times New Roman" w:cs="Times New Roman"/>
          <w:sz w:val="24"/>
          <w:szCs w:val="24"/>
        </w:rPr>
        <w:t xml:space="preserve">entity </w:t>
      </w:r>
      <w:r w:rsidR="00417507" w:rsidRPr="00C85F9A">
        <w:rPr>
          <w:rFonts w:ascii="Times New Roman" w:hAnsi="Times New Roman" w:cs="Times New Roman"/>
          <w:sz w:val="24"/>
          <w:szCs w:val="24"/>
        </w:rPr>
        <w:t>to wh</w:t>
      </w:r>
      <w:r w:rsidR="005D7A3A">
        <w:rPr>
          <w:rFonts w:ascii="Times New Roman" w:hAnsi="Times New Roman" w:cs="Times New Roman"/>
          <w:sz w:val="24"/>
          <w:szCs w:val="24"/>
        </w:rPr>
        <w:t>ich</w:t>
      </w:r>
      <w:r w:rsidR="00417507" w:rsidRPr="00C85F9A">
        <w:rPr>
          <w:rFonts w:ascii="Times New Roman" w:hAnsi="Times New Roman" w:cs="Times New Roman"/>
          <w:sz w:val="24"/>
          <w:szCs w:val="24"/>
        </w:rPr>
        <w:t xml:space="preserve"> the authorisation has been granted.  </w:t>
      </w:r>
      <w:r w:rsidR="00A82C4C">
        <w:rPr>
          <w:rFonts w:ascii="Times New Roman" w:hAnsi="Times New Roman" w:cs="Times New Roman"/>
          <w:sz w:val="24"/>
          <w:szCs w:val="24"/>
        </w:rPr>
        <w:t xml:space="preserve">Far from </w:t>
      </w:r>
      <w:r w:rsidR="0017463D">
        <w:rPr>
          <w:rFonts w:ascii="Times New Roman" w:hAnsi="Times New Roman" w:cs="Times New Roman"/>
          <w:sz w:val="24"/>
          <w:szCs w:val="24"/>
        </w:rPr>
        <w:t xml:space="preserve">containing such a clear stipulation, </w:t>
      </w:r>
      <w:r w:rsidR="00A82C4C">
        <w:rPr>
          <w:rFonts w:ascii="Times New Roman" w:hAnsi="Times New Roman" w:cs="Times New Roman"/>
          <w:sz w:val="24"/>
          <w:szCs w:val="24"/>
        </w:rPr>
        <w:t>Regulation 10(1) of the 2007 Regulations strongly suggests that the intention was that the decision takes effect when it is made:</w:t>
      </w:r>
    </w:p>
    <w:p w14:paraId="05FA357F" w14:textId="77777777" w:rsidR="00A82C4C" w:rsidRPr="00F25ADC" w:rsidRDefault="00A82C4C" w:rsidP="00A82C4C">
      <w:pPr>
        <w:pStyle w:val="ListParagraph"/>
        <w:rPr>
          <w:rFonts w:ascii="Times New Roman" w:hAnsi="Times New Roman" w:cs="Times New Roman"/>
          <w:sz w:val="24"/>
          <w:szCs w:val="24"/>
        </w:rPr>
      </w:pPr>
    </w:p>
    <w:p w14:paraId="6AE2EA07" w14:textId="77777777" w:rsidR="00A82C4C" w:rsidRDefault="00A82C4C" w:rsidP="00A82C4C">
      <w:pPr>
        <w:pStyle w:val="ListParagraph"/>
        <w:spacing w:before="240" w:line="480" w:lineRule="auto"/>
        <w:ind w:left="144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Without prejudice to Regulations 9(3) and 11, a veterinary product authorisation is, unless previously revoked, valid for five years,</w:t>
      </w:r>
      <w:r w:rsidRPr="00F25ADC">
        <w:rPr>
          <w:rFonts w:ascii="Times New Roman" w:hAnsi="Times New Roman" w:cs="Times New Roman"/>
          <w:b/>
          <w:i/>
          <w:sz w:val="24"/>
          <w:szCs w:val="24"/>
        </w:rPr>
        <w:t xml:space="preserve"> commencing on the date of the grant of the authorisation.’</w:t>
      </w:r>
      <w:r>
        <w:rPr>
          <w:rFonts w:ascii="Times New Roman" w:hAnsi="Times New Roman" w:cs="Times New Roman"/>
          <w:sz w:val="24"/>
          <w:szCs w:val="24"/>
        </w:rPr>
        <w:t xml:space="preserve">  </w:t>
      </w:r>
    </w:p>
    <w:p w14:paraId="1E3904C8" w14:textId="77777777" w:rsidR="00A82C4C" w:rsidRDefault="00A82C4C" w:rsidP="00A82C4C">
      <w:pPr>
        <w:pStyle w:val="ListParagraph"/>
        <w:spacing w:before="240" w:line="480" w:lineRule="auto"/>
        <w:ind w:left="1440"/>
        <w:jc w:val="both"/>
        <w:rPr>
          <w:rFonts w:ascii="Times New Roman" w:hAnsi="Times New Roman" w:cs="Times New Roman"/>
          <w:b/>
          <w:sz w:val="24"/>
          <w:szCs w:val="24"/>
        </w:rPr>
      </w:pPr>
    </w:p>
    <w:p w14:paraId="0C79386A" w14:textId="77777777" w:rsidR="00A82C4C" w:rsidRDefault="00A82C4C" w:rsidP="00A82C4C">
      <w:pPr>
        <w:pStyle w:val="ListParagraph"/>
        <w:spacing w:before="240" w:line="480" w:lineRule="auto"/>
        <w:ind w:left="1440"/>
        <w:jc w:val="both"/>
        <w:rPr>
          <w:rFonts w:ascii="Times New Roman" w:hAnsi="Times New Roman" w:cs="Times New Roman"/>
          <w:sz w:val="24"/>
          <w:szCs w:val="24"/>
        </w:rPr>
      </w:pPr>
      <w:r>
        <w:rPr>
          <w:rFonts w:ascii="Times New Roman" w:hAnsi="Times New Roman" w:cs="Times New Roman"/>
          <w:sz w:val="24"/>
          <w:szCs w:val="24"/>
        </w:rPr>
        <w:t>(Emphasis added)</w:t>
      </w:r>
    </w:p>
    <w:p w14:paraId="2175E020" w14:textId="77777777" w:rsidR="00A82C4C" w:rsidRPr="00A82C4C" w:rsidRDefault="00A82C4C" w:rsidP="00A82C4C">
      <w:pPr>
        <w:pStyle w:val="ListParagraph"/>
        <w:spacing w:before="240" w:line="480" w:lineRule="auto"/>
        <w:ind w:left="1440"/>
        <w:jc w:val="both"/>
        <w:rPr>
          <w:rFonts w:ascii="Times New Roman" w:hAnsi="Times New Roman" w:cs="Times New Roman"/>
          <w:sz w:val="24"/>
          <w:szCs w:val="24"/>
        </w:rPr>
      </w:pPr>
    </w:p>
    <w:p w14:paraId="4223E625" w14:textId="44769A90" w:rsidR="00417507" w:rsidRPr="003E44C1" w:rsidRDefault="00A82C4C" w:rsidP="00C85F9A">
      <w:pPr>
        <w:pStyle w:val="ListParagraph"/>
        <w:numPr>
          <w:ilvl w:val="0"/>
          <w:numId w:val="1"/>
        </w:numPr>
        <w:spacing w:before="240" w:line="480" w:lineRule="auto"/>
        <w:jc w:val="both"/>
        <w:rPr>
          <w:rFonts w:ascii="Times New Roman" w:hAnsi="Times New Roman" w:cs="Times New Roman"/>
          <w:b/>
          <w:sz w:val="24"/>
          <w:szCs w:val="24"/>
        </w:rPr>
      </w:pPr>
      <w:r>
        <w:rPr>
          <w:rFonts w:ascii="Times New Roman" w:hAnsi="Times New Roman" w:cs="Times New Roman"/>
          <w:sz w:val="24"/>
          <w:szCs w:val="24"/>
        </w:rPr>
        <w:t>For this reason</w:t>
      </w:r>
      <w:r w:rsidR="00201ED5">
        <w:rPr>
          <w:rFonts w:ascii="Times New Roman" w:hAnsi="Times New Roman" w:cs="Times New Roman"/>
          <w:sz w:val="24"/>
          <w:szCs w:val="24"/>
        </w:rPr>
        <w:t>,</w:t>
      </w:r>
      <w:r>
        <w:rPr>
          <w:rFonts w:ascii="Times New Roman" w:hAnsi="Times New Roman" w:cs="Times New Roman"/>
          <w:sz w:val="24"/>
          <w:szCs w:val="24"/>
        </w:rPr>
        <w:t xml:space="preserve"> </w:t>
      </w:r>
      <w:r w:rsidR="00417507" w:rsidRPr="00C85F9A">
        <w:rPr>
          <w:rFonts w:ascii="Times New Roman" w:hAnsi="Times New Roman" w:cs="Times New Roman"/>
          <w:sz w:val="24"/>
          <w:szCs w:val="24"/>
        </w:rPr>
        <w:t xml:space="preserve">I cannot accept that </w:t>
      </w:r>
      <w:r>
        <w:rPr>
          <w:rFonts w:ascii="Times New Roman" w:hAnsi="Times New Roman" w:cs="Times New Roman"/>
          <w:sz w:val="24"/>
          <w:szCs w:val="24"/>
        </w:rPr>
        <w:t xml:space="preserve">it </w:t>
      </w:r>
      <w:r w:rsidR="00417507" w:rsidRPr="00C85F9A">
        <w:rPr>
          <w:rFonts w:ascii="Times New Roman" w:hAnsi="Times New Roman" w:cs="Times New Roman"/>
          <w:sz w:val="24"/>
          <w:szCs w:val="24"/>
        </w:rPr>
        <w:t>was the intention of either the Directive or implementing Regulations</w:t>
      </w:r>
      <w:r>
        <w:rPr>
          <w:rFonts w:ascii="Times New Roman" w:hAnsi="Times New Roman" w:cs="Times New Roman"/>
          <w:sz w:val="24"/>
          <w:szCs w:val="24"/>
        </w:rPr>
        <w:t xml:space="preserve"> that the decision would be effective only upon publication</w:t>
      </w:r>
      <w:r w:rsidR="00614152">
        <w:rPr>
          <w:rFonts w:ascii="Times New Roman" w:hAnsi="Times New Roman" w:cs="Times New Roman"/>
          <w:sz w:val="24"/>
          <w:szCs w:val="24"/>
        </w:rPr>
        <w:t xml:space="preserve">.  </w:t>
      </w:r>
      <w:r w:rsidR="00614152">
        <w:rPr>
          <w:rFonts w:ascii="Times New Roman" w:hAnsi="Times New Roman" w:cs="Times New Roman"/>
          <w:sz w:val="24"/>
          <w:szCs w:val="24"/>
        </w:rPr>
        <w:lastRenderedPageBreak/>
        <w:t>The decision takes effect when made, not when it is published, and publication is therefore irrelevant to the point at which the ‘</w:t>
      </w:r>
      <w:r w:rsidR="00614152">
        <w:rPr>
          <w:rFonts w:ascii="Times New Roman" w:hAnsi="Times New Roman" w:cs="Times New Roman"/>
          <w:i/>
          <w:sz w:val="24"/>
          <w:szCs w:val="24"/>
        </w:rPr>
        <w:t xml:space="preserve">grounds’ </w:t>
      </w:r>
      <w:r w:rsidR="00614152">
        <w:rPr>
          <w:rFonts w:ascii="Times New Roman" w:hAnsi="Times New Roman" w:cs="Times New Roman"/>
          <w:sz w:val="24"/>
          <w:szCs w:val="24"/>
        </w:rPr>
        <w:t>for an application to review the decision ‘</w:t>
      </w:r>
      <w:r w:rsidR="00614152">
        <w:rPr>
          <w:rFonts w:ascii="Times New Roman" w:hAnsi="Times New Roman" w:cs="Times New Roman"/>
          <w:i/>
          <w:sz w:val="24"/>
          <w:szCs w:val="24"/>
        </w:rPr>
        <w:t>first arose’</w:t>
      </w:r>
      <w:r w:rsidR="00614152">
        <w:rPr>
          <w:rFonts w:ascii="Times New Roman" w:hAnsi="Times New Roman" w:cs="Times New Roman"/>
          <w:sz w:val="24"/>
          <w:szCs w:val="24"/>
        </w:rPr>
        <w:t xml:space="preserve">.  If </w:t>
      </w:r>
      <w:r>
        <w:rPr>
          <w:rFonts w:ascii="Times New Roman" w:hAnsi="Times New Roman" w:cs="Times New Roman"/>
          <w:sz w:val="24"/>
          <w:szCs w:val="24"/>
        </w:rPr>
        <w:t>that is correct, the language of Order 84 R</w:t>
      </w:r>
      <w:r w:rsidR="004159BE">
        <w:rPr>
          <w:rFonts w:ascii="Times New Roman" w:hAnsi="Times New Roman" w:cs="Times New Roman"/>
          <w:sz w:val="24"/>
          <w:szCs w:val="24"/>
        </w:rPr>
        <w:t xml:space="preserve">ule </w:t>
      </w:r>
      <w:r>
        <w:rPr>
          <w:rFonts w:ascii="Times New Roman" w:hAnsi="Times New Roman" w:cs="Times New Roman"/>
          <w:sz w:val="24"/>
          <w:szCs w:val="24"/>
        </w:rPr>
        <w:t>21(1) precludes time running from th</w:t>
      </w:r>
      <w:r w:rsidR="00614152">
        <w:rPr>
          <w:rFonts w:ascii="Times New Roman" w:hAnsi="Times New Roman" w:cs="Times New Roman"/>
          <w:sz w:val="24"/>
          <w:szCs w:val="24"/>
        </w:rPr>
        <w:t>e point of publication.</w:t>
      </w:r>
    </w:p>
    <w:p w14:paraId="7640EDF5" w14:textId="77777777" w:rsidR="003E44C1" w:rsidRDefault="003E44C1" w:rsidP="003E44C1">
      <w:pPr>
        <w:pStyle w:val="ListParagraph"/>
        <w:spacing w:before="240" w:line="480" w:lineRule="auto"/>
        <w:jc w:val="both"/>
        <w:rPr>
          <w:rFonts w:ascii="Times New Roman" w:hAnsi="Times New Roman" w:cs="Times New Roman"/>
          <w:b/>
          <w:sz w:val="24"/>
          <w:szCs w:val="24"/>
        </w:rPr>
      </w:pPr>
    </w:p>
    <w:p w14:paraId="33F5CC03" w14:textId="77777777" w:rsidR="003E44C1" w:rsidRPr="003E44C1" w:rsidRDefault="003E44C1" w:rsidP="003E44C1">
      <w:pPr>
        <w:pStyle w:val="ListParagraph"/>
        <w:numPr>
          <w:ilvl w:val="0"/>
          <w:numId w:val="3"/>
        </w:numPr>
        <w:spacing w:before="240" w:line="480" w:lineRule="auto"/>
        <w:jc w:val="both"/>
        <w:rPr>
          <w:rFonts w:ascii="Times New Roman" w:hAnsi="Times New Roman" w:cs="Times New Roman"/>
          <w:i/>
          <w:sz w:val="24"/>
          <w:szCs w:val="24"/>
        </w:rPr>
      </w:pPr>
      <w:r>
        <w:rPr>
          <w:rFonts w:ascii="Times New Roman" w:hAnsi="Times New Roman" w:cs="Times New Roman"/>
          <w:i/>
          <w:sz w:val="24"/>
          <w:szCs w:val="24"/>
        </w:rPr>
        <w:t>The decisions in Uniplex and Commission v. Ireland</w:t>
      </w:r>
    </w:p>
    <w:p w14:paraId="77A05A3D" w14:textId="77777777" w:rsidR="003E44C1" w:rsidRDefault="003E44C1" w:rsidP="003E44C1">
      <w:pPr>
        <w:pStyle w:val="ListParagraph"/>
        <w:spacing w:before="24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14:paraId="5DB2DD7B" w14:textId="600599F1" w:rsidR="0077725B" w:rsidRPr="0077725B" w:rsidRDefault="003E44C1" w:rsidP="0077725B">
      <w:pPr>
        <w:pStyle w:val="ListParagraph"/>
        <w:numPr>
          <w:ilvl w:val="0"/>
          <w:numId w:val="1"/>
        </w:numPr>
        <w:spacing w:before="240" w:line="480" w:lineRule="auto"/>
        <w:jc w:val="both"/>
        <w:rPr>
          <w:rFonts w:ascii="Times New Roman" w:hAnsi="Times New Roman" w:cs="Times New Roman"/>
          <w:b/>
          <w:sz w:val="24"/>
          <w:szCs w:val="24"/>
        </w:rPr>
      </w:pPr>
      <w:r>
        <w:rPr>
          <w:rFonts w:ascii="Times New Roman" w:hAnsi="Times New Roman" w:cs="Times New Roman"/>
          <w:sz w:val="24"/>
          <w:szCs w:val="24"/>
        </w:rPr>
        <w:t xml:space="preserve">I have already noted that in </w:t>
      </w:r>
      <w:r>
        <w:rPr>
          <w:rFonts w:ascii="Times New Roman" w:hAnsi="Times New Roman" w:cs="Times New Roman"/>
          <w:i/>
          <w:sz w:val="24"/>
          <w:szCs w:val="24"/>
        </w:rPr>
        <w:t>Veolia</w:t>
      </w:r>
      <w:r>
        <w:rPr>
          <w:rFonts w:ascii="Times New Roman" w:hAnsi="Times New Roman" w:cs="Times New Roman"/>
          <w:sz w:val="24"/>
          <w:szCs w:val="24"/>
        </w:rPr>
        <w:t xml:space="preserve">, Clarke J. rejected the contention advanced in that case that for time to run before a party became aware of a decision would be contrary to principles of effectiveness because the court retained a discretion to extend time.  In two </w:t>
      </w:r>
      <w:r w:rsidR="00A0772F">
        <w:rPr>
          <w:rFonts w:ascii="Times New Roman" w:hAnsi="Times New Roman" w:cs="Times New Roman"/>
          <w:sz w:val="24"/>
          <w:szCs w:val="24"/>
        </w:rPr>
        <w:t xml:space="preserve">public </w:t>
      </w:r>
      <w:r>
        <w:rPr>
          <w:rFonts w:ascii="Times New Roman" w:hAnsi="Times New Roman" w:cs="Times New Roman"/>
          <w:sz w:val="24"/>
          <w:szCs w:val="24"/>
        </w:rPr>
        <w:t xml:space="preserve">procurement cases </w:t>
      </w:r>
      <w:r w:rsidR="000F27A4">
        <w:rPr>
          <w:rFonts w:ascii="Times New Roman" w:hAnsi="Times New Roman" w:cs="Times New Roman"/>
          <w:sz w:val="24"/>
          <w:szCs w:val="24"/>
        </w:rPr>
        <w:t xml:space="preserve">judgment in which was </w:t>
      </w:r>
      <w:r>
        <w:rPr>
          <w:rFonts w:ascii="Times New Roman" w:hAnsi="Times New Roman" w:cs="Times New Roman"/>
          <w:sz w:val="24"/>
          <w:szCs w:val="24"/>
        </w:rPr>
        <w:t>delivered</w:t>
      </w:r>
      <w:r w:rsidR="000F27A4">
        <w:rPr>
          <w:rFonts w:ascii="Times New Roman" w:hAnsi="Times New Roman" w:cs="Times New Roman"/>
          <w:sz w:val="24"/>
          <w:szCs w:val="24"/>
        </w:rPr>
        <w:t xml:space="preserve"> </w:t>
      </w:r>
      <w:r>
        <w:rPr>
          <w:rFonts w:ascii="Times New Roman" w:hAnsi="Times New Roman" w:cs="Times New Roman"/>
          <w:sz w:val="24"/>
          <w:szCs w:val="24"/>
        </w:rPr>
        <w:t xml:space="preserve">subsequent to that </w:t>
      </w:r>
      <w:r w:rsidR="000F27A4">
        <w:rPr>
          <w:rFonts w:ascii="Times New Roman" w:hAnsi="Times New Roman" w:cs="Times New Roman"/>
          <w:sz w:val="24"/>
          <w:szCs w:val="24"/>
        </w:rPr>
        <w:t xml:space="preserve">decision, the CJEU considered the compatibility </w:t>
      </w:r>
      <w:r w:rsidR="00465273">
        <w:rPr>
          <w:rFonts w:ascii="Times New Roman" w:hAnsi="Times New Roman" w:cs="Times New Roman"/>
          <w:sz w:val="24"/>
          <w:szCs w:val="24"/>
        </w:rPr>
        <w:t xml:space="preserve">with particular rules of EU law </w:t>
      </w:r>
      <w:r w:rsidR="000F27A4">
        <w:rPr>
          <w:rFonts w:ascii="Times New Roman" w:hAnsi="Times New Roman" w:cs="Times New Roman"/>
          <w:sz w:val="24"/>
          <w:szCs w:val="24"/>
        </w:rPr>
        <w:t>of the Irish Order 84A (</w:t>
      </w:r>
      <w:r w:rsidR="004159BE" w:rsidRPr="004159BE">
        <w:rPr>
          <w:rFonts w:ascii="Times New Roman" w:hAnsi="Times New Roman" w:cs="Times New Roman"/>
          <w:sz w:val="24"/>
          <w:szCs w:val="24"/>
        </w:rPr>
        <w:t>Case C-456/08</w:t>
      </w:r>
      <w:r w:rsidR="004159BE">
        <w:rPr>
          <w:rFonts w:ascii="Times New Roman" w:hAnsi="Times New Roman" w:cs="Times New Roman"/>
          <w:sz w:val="24"/>
          <w:szCs w:val="24"/>
        </w:rPr>
        <w:t xml:space="preserve"> </w:t>
      </w:r>
      <w:r w:rsidR="000F27A4">
        <w:rPr>
          <w:rFonts w:ascii="Times New Roman" w:hAnsi="Times New Roman" w:cs="Times New Roman"/>
          <w:i/>
          <w:sz w:val="24"/>
          <w:szCs w:val="24"/>
        </w:rPr>
        <w:t>Commission v. Ireland</w:t>
      </w:r>
      <w:r w:rsidR="004159BE">
        <w:rPr>
          <w:rFonts w:ascii="Times New Roman" w:hAnsi="Times New Roman" w:cs="Times New Roman"/>
          <w:i/>
          <w:sz w:val="24"/>
          <w:szCs w:val="24"/>
        </w:rPr>
        <w:t xml:space="preserve"> </w:t>
      </w:r>
      <w:r w:rsidR="004159BE" w:rsidRPr="004159BE">
        <w:rPr>
          <w:rFonts w:ascii="Times New Roman" w:hAnsi="Times New Roman" w:cs="Times New Roman"/>
          <w:iCs/>
          <w:sz w:val="24"/>
          <w:szCs w:val="24"/>
        </w:rPr>
        <w:t>ECLI:EU:C:2010:46</w:t>
      </w:r>
      <w:r w:rsidR="000F27A4">
        <w:rPr>
          <w:rFonts w:ascii="Times New Roman" w:hAnsi="Times New Roman" w:cs="Times New Roman"/>
          <w:sz w:val="24"/>
          <w:szCs w:val="24"/>
        </w:rPr>
        <w:t>) and the similarly worded English equivalent (</w:t>
      </w:r>
      <w:r w:rsidR="004159BE" w:rsidRPr="004159BE">
        <w:rPr>
          <w:rFonts w:ascii="Times New Roman" w:hAnsi="Times New Roman" w:cs="Times New Roman"/>
          <w:sz w:val="24"/>
          <w:szCs w:val="24"/>
        </w:rPr>
        <w:t xml:space="preserve">Case C-406/08 </w:t>
      </w:r>
      <w:r w:rsidR="000F27A4">
        <w:rPr>
          <w:rFonts w:ascii="Times New Roman" w:hAnsi="Times New Roman" w:cs="Times New Roman"/>
          <w:i/>
          <w:sz w:val="24"/>
          <w:szCs w:val="24"/>
        </w:rPr>
        <w:t>Uniplex (UK) Ltd v. NHS Business Services Authority</w:t>
      </w:r>
      <w:r w:rsidR="004159BE">
        <w:rPr>
          <w:rFonts w:ascii="Times New Roman" w:hAnsi="Times New Roman" w:cs="Times New Roman"/>
          <w:i/>
          <w:sz w:val="24"/>
          <w:szCs w:val="24"/>
        </w:rPr>
        <w:t xml:space="preserve"> </w:t>
      </w:r>
      <w:r w:rsidR="004159BE" w:rsidRPr="004159BE">
        <w:rPr>
          <w:rFonts w:ascii="Times New Roman" w:hAnsi="Times New Roman" w:cs="Times New Roman"/>
          <w:sz w:val="24"/>
          <w:szCs w:val="24"/>
        </w:rPr>
        <w:t>ECLI:EU:C:2010:45</w:t>
      </w:r>
      <w:r w:rsidR="004159BE">
        <w:rPr>
          <w:rFonts w:ascii="Times New Roman" w:hAnsi="Times New Roman" w:cs="Times New Roman"/>
          <w:b/>
          <w:bCs/>
          <w:sz w:val="24"/>
          <w:szCs w:val="24"/>
        </w:rPr>
        <w:t xml:space="preserve"> </w:t>
      </w:r>
      <w:r w:rsidR="0077725B">
        <w:rPr>
          <w:rFonts w:ascii="Times New Roman" w:hAnsi="Times New Roman" w:cs="Times New Roman"/>
          <w:sz w:val="24"/>
          <w:szCs w:val="24"/>
        </w:rPr>
        <w:t>(‘</w:t>
      </w:r>
      <w:r w:rsidR="0077725B" w:rsidRPr="0077725B">
        <w:rPr>
          <w:rFonts w:ascii="Times New Roman" w:hAnsi="Times New Roman" w:cs="Times New Roman"/>
          <w:i/>
          <w:sz w:val="24"/>
          <w:szCs w:val="24"/>
        </w:rPr>
        <w:t>Uniplex’</w:t>
      </w:r>
      <w:r w:rsidR="0077725B">
        <w:rPr>
          <w:rFonts w:ascii="Times New Roman" w:hAnsi="Times New Roman" w:cs="Times New Roman"/>
          <w:sz w:val="24"/>
          <w:szCs w:val="24"/>
        </w:rPr>
        <w:t>)</w:t>
      </w:r>
      <w:r w:rsidR="000F27A4">
        <w:rPr>
          <w:rFonts w:ascii="Times New Roman" w:hAnsi="Times New Roman" w:cs="Times New Roman"/>
          <w:sz w:val="24"/>
          <w:szCs w:val="24"/>
        </w:rPr>
        <w:t xml:space="preserve">).  In each of these judgments, </w:t>
      </w:r>
      <w:r w:rsidR="00A0772F">
        <w:rPr>
          <w:rFonts w:ascii="Times New Roman" w:hAnsi="Times New Roman" w:cs="Times New Roman"/>
          <w:sz w:val="24"/>
          <w:szCs w:val="24"/>
        </w:rPr>
        <w:t xml:space="preserve">the </w:t>
      </w:r>
      <w:r w:rsidR="000F27A4">
        <w:rPr>
          <w:rFonts w:ascii="Times New Roman" w:hAnsi="Times New Roman" w:cs="Times New Roman"/>
          <w:sz w:val="24"/>
          <w:szCs w:val="24"/>
        </w:rPr>
        <w:t xml:space="preserve">CJEU stressed the importance of legal certainty in the imposition of time limits for the bringing of legal challenges.  In </w:t>
      </w:r>
      <w:r w:rsidR="000F27A4">
        <w:rPr>
          <w:rFonts w:ascii="Times New Roman" w:hAnsi="Times New Roman" w:cs="Times New Roman"/>
          <w:i/>
          <w:sz w:val="24"/>
          <w:szCs w:val="24"/>
        </w:rPr>
        <w:t>Commission v. Ireland</w:t>
      </w:r>
      <w:r w:rsidR="000F27A4">
        <w:rPr>
          <w:rFonts w:ascii="Times New Roman" w:hAnsi="Times New Roman" w:cs="Times New Roman"/>
          <w:sz w:val="24"/>
          <w:szCs w:val="24"/>
        </w:rPr>
        <w:t xml:space="preserve"> </w:t>
      </w:r>
      <w:r w:rsidR="005B19C6">
        <w:rPr>
          <w:rFonts w:ascii="Times New Roman" w:hAnsi="Times New Roman" w:cs="Times New Roman"/>
          <w:sz w:val="24"/>
          <w:szCs w:val="24"/>
        </w:rPr>
        <w:t xml:space="preserve">(to which counsel for Chanelle referred in the course of her submissions) </w:t>
      </w:r>
      <w:r w:rsidR="00A0772F">
        <w:rPr>
          <w:rFonts w:ascii="Times New Roman" w:hAnsi="Times New Roman" w:cs="Times New Roman"/>
          <w:sz w:val="24"/>
          <w:szCs w:val="24"/>
        </w:rPr>
        <w:t xml:space="preserve">the </w:t>
      </w:r>
      <w:r w:rsidR="005B19C6">
        <w:rPr>
          <w:rFonts w:ascii="Times New Roman" w:hAnsi="Times New Roman" w:cs="Times New Roman"/>
          <w:sz w:val="24"/>
          <w:szCs w:val="24"/>
        </w:rPr>
        <w:t xml:space="preserve">CJEU </w:t>
      </w:r>
      <w:r w:rsidR="000F27A4">
        <w:rPr>
          <w:rFonts w:ascii="Times New Roman" w:hAnsi="Times New Roman" w:cs="Times New Roman"/>
          <w:sz w:val="24"/>
          <w:szCs w:val="24"/>
        </w:rPr>
        <w:t>found that the original version of Order 84A (which required that legal proceedings challenging a decision reached in the course of a procurement process be brought ‘</w:t>
      </w:r>
      <w:r w:rsidR="000F27A4">
        <w:rPr>
          <w:rFonts w:ascii="Times New Roman" w:hAnsi="Times New Roman" w:cs="Times New Roman"/>
          <w:i/>
          <w:sz w:val="24"/>
          <w:szCs w:val="24"/>
        </w:rPr>
        <w:t>at the earliest opportunity and in any event within three months’</w:t>
      </w:r>
      <w:r w:rsidR="00613F5C">
        <w:rPr>
          <w:rFonts w:ascii="Times New Roman" w:hAnsi="Times New Roman" w:cs="Times New Roman"/>
          <w:sz w:val="24"/>
          <w:szCs w:val="24"/>
        </w:rPr>
        <w:t>)</w:t>
      </w:r>
      <w:r w:rsidR="000F27A4">
        <w:rPr>
          <w:rFonts w:ascii="Times New Roman" w:hAnsi="Times New Roman" w:cs="Times New Roman"/>
          <w:sz w:val="24"/>
          <w:szCs w:val="24"/>
        </w:rPr>
        <w:t xml:space="preserve"> was contrary to the applicable public procurement directives as it meant that legal proceedings could become barred before the expiry of the three month period if not brought ‘</w:t>
      </w:r>
      <w:r w:rsidR="000F27A4">
        <w:rPr>
          <w:rFonts w:ascii="Times New Roman" w:hAnsi="Times New Roman" w:cs="Times New Roman"/>
          <w:i/>
          <w:sz w:val="24"/>
          <w:szCs w:val="24"/>
        </w:rPr>
        <w:t>at the earliest opportunity’</w:t>
      </w:r>
      <w:r w:rsidR="000F27A4">
        <w:rPr>
          <w:rFonts w:ascii="Times New Roman" w:hAnsi="Times New Roman" w:cs="Times New Roman"/>
          <w:sz w:val="24"/>
          <w:szCs w:val="24"/>
        </w:rPr>
        <w:t xml:space="preserve"> and because the effect of the language used was to render it impossible for parties to predict what the limitation period would be if this were left to the discretion of the </w:t>
      </w:r>
      <w:r w:rsidR="000F27A4">
        <w:rPr>
          <w:rFonts w:ascii="Times New Roman" w:hAnsi="Times New Roman" w:cs="Times New Roman"/>
          <w:sz w:val="24"/>
          <w:szCs w:val="24"/>
        </w:rPr>
        <w:lastRenderedPageBreak/>
        <w:t>competent court (at para. 74).  Insofar as Ireland had relied upon the power of the courts under Order 84A to extend this time</w:t>
      </w:r>
      <w:r w:rsidR="0077725B">
        <w:rPr>
          <w:rFonts w:ascii="Times New Roman" w:hAnsi="Times New Roman" w:cs="Times New Roman"/>
          <w:sz w:val="24"/>
          <w:szCs w:val="24"/>
        </w:rPr>
        <w:t xml:space="preserve"> where there was ‘</w:t>
      </w:r>
      <w:r w:rsidR="0077725B">
        <w:rPr>
          <w:rFonts w:ascii="Times New Roman" w:hAnsi="Times New Roman" w:cs="Times New Roman"/>
          <w:i/>
          <w:sz w:val="24"/>
          <w:szCs w:val="24"/>
        </w:rPr>
        <w:t xml:space="preserve">good reason’ </w:t>
      </w:r>
      <w:r w:rsidR="0077725B">
        <w:rPr>
          <w:rFonts w:ascii="Times New Roman" w:hAnsi="Times New Roman" w:cs="Times New Roman"/>
          <w:sz w:val="24"/>
          <w:szCs w:val="24"/>
        </w:rPr>
        <w:t>for so doing, the CJEU refused to accept that this remedied the difficulty arising from the uncertainty introduced by the term ‘</w:t>
      </w:r>
      <w:r w:rsidR="0077725B">
        <w:rPr>
          <w:rFonts w:ascii="Times New Roman" w:hAnsi="Times New Roman" w:cs="Times New Roman"/>
          <w:i/>
          <w:sz w:val="24"/>
          <w:szCs w:val="24"/>
        </w:rPr>
        <w:t xml:space="preserve">at the earliest opportunity’.  </w:t>
      </w:r>
      <w:r w:rsidR="0077725B">
        <w:rPr>
          <w:rFonts w:ascii="Times New Roman" w:hAnsi="Times New Roman" w:cs="Times New Roman"/>
          <w:sz w:val="24"/>
          <w:szCs w:val="24"/>
        </w:rPr>
        <w:t>It explained (at para. 81):</w:t>
      </w:r>
    </w:p>
    <w:p w14:paraId="31E79352" w14:textId="77777777" w:rsidR="0077725B" w:rsidRDefault="0077725B" w:rsidP="0077725B">
      <w:pPr>
        <w:pStyle w:val="ListParagraph"/>
        <w:spacing w:before="240" w:line="480" w:lineRule="auto"/>
        <w:jc w:val="both"/>
        <w:rPr>
          <w:rFonts w:ascii="Times New Roman" w:hAnsi="Times New Roman" w:cs="Times New Roman"/>
          <w:b/>
          <w:sz w:val="24"/>
          <w:szCs w:val="24"/>
        </w:rPr>
      </w:pPr>
    </w:p>
    <w:p w14:paraId="1C0B9040" w14:textId="77777777" w:rsidR="0077725B" w:rsidRDefault="0077725B" w:rsidP="0077725B">
      <w:pPr>
        <w:pStyle w:val="ListParagraph"/>
        <w:spacing w:before="240" w:line="480" w:lineRule="auto"/>
        <w:ind w:left="144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 xml:space="preserve">… the possibility for national courts to extend periods for bringing actions as provided for in Order 84A(4) of the RSC, is not such as to compensate for the shortcomings in that provision, having regard to the clarity and precision which Directive 89/665 requires in respect of the system of limitation periods.  Even if the candidate or tenderer concerned takes into account the possibility that periods may be extended, </w:t>
      </w:r>
      <w:r w:rsidRPr="0077725B">
        <w:rPr>
          <w:rFonts w:ascii="Times New Roman" w:hAnsi="Times New Roman" w:cs="Times New Roman"/>
          <w:b/>
          <w:i/>
          <w:sz w:val="24"/>
          <w:szCs w:val="24"/>
        </w:rPr>
        <w:t>it will still not be able to predict with certainty which period will be accorded to it for the purpose of bringing proceedings,</w:t>
      </w:r>
      <w:r>
        <w:rPr>
          <w:rFonts w:ascii="Times New Roman" w:hAnsi="Times New Roman" w:cs="Times New Roman"/>
          <w:i/>
          <w:sz w:val="24"/>
          <w:szCs w:val="24"/>
        </w:rPr>
        <w:t xml:space="preserve"> in view of the reference to the obligation to bring an action at the earliest opportunity’</w:t>
      </w:r>
      <w:r>
        <w:rPr>
          <w:rFonts w:ascii="Times New Roman" w:hAnsi="Times New Roman" w:cs="Times New Roman"/>
          <w:sz w:val="24"/>
          <w:szCs w:val="24"/>
        </w:rPr>
        <w:t>.</w:t>
      </w:r>
    </w:p>
    <w:p w14:paraId="02A9AA77" w14:textId="77777777" w:rsidR="0077725B" w:rsidRDefault="0077725B" w:rsidP="0077725B">
      <w:pPr>
        <w:pStyle w:val="ListParagraph"/>
        <w:spacing w:before="240" w:line="480" w:lineRule="auto"/>
        <w:ind w:left="1440"/>
        <w:jc w:val="both"/>
        <w:rPr>
          <w:rFonts w:ascii="Times New Roman" w:hAnsi="Times New Roman" w:cs="Times New Roman"/>
          <w:sz w:val="24"/>
          <w:szCs w:val="24"/>
        </w:rPr>
      </w:pPr>
    </w:p>
    <w:p w14:paraId="41FD4815" w14:textId="77777777" w:rsidR="0077725B" w:rsidRDefault="0077725B" w:rsidP="0077725B">
      <w:pPr>
        <w:pStyle w:val="ListParagraph"/>
        <w:spacing w:before="240" w:line="480" w:lineRule="auto"/>
        <w:ind w:left="1440"/>
        <w:jc w:val="both"/>
        <w:rPr>
          <w:rFonts w:ascii="Times New Roman" w:hAnsi="Times New Roman" w:cs="Times New Roman"/>
          <w:sz w:val="24"/>
          <w:szCs w:val="24"/>
        </w:rPr>
      </w:pPr>
      <w:r>
        <w:rPr>
          <w:rFonts w:ascii="Times New Roman" w:hAnsi="Times New Roman" w:cs="Times New Roman"/>
          <w:sz w:val="24"/>
          <w:szCs w:val="24"/>
        </w:rPr>
        <w:t>(Emphasis added).</w:t>
      </w:r>
    </w:p>
    <w:p w14:paraId="2CC337F5" w14:textId="77777777" w:rsidR="0077725B" w:rsidRDefault="0077725B" w:rsidP="0077725B">
      <w:pPr>
        <w:pStyle w:val="ListParagraph"/>
        <w:spacing w:before="24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14:paraId="584672D1" w14:textId="78718BAA" w:rsidR="0077725B" w:rsidRPr="00CB54CF" w:rsidRDefault="0077725B" w:rsidP="0077725B">
      <w:pPr>
        <w:pStyle w:val="ListParagraph"/>
        <w:numPr>
          <w:ilvl w:val="0"/>
          <w:numId w:val="1"/>
        </w:numPr>
        <w:spacing w:before="240" w:line="480" w:lineRule="auto"/>
        <w:jc w:val="both"/>
        <w:rPr>
          <w:rFonts w:ascii="Times New Roman" w:hAnsi="Times New Roman" w:cs="Times New Roman"/>
          <w:b/>
          <w:sz w:val="24"/>
          <w:szCs w:val="24"/>
        </w:rPr>
      </w:pPr>
      <w:r>
        <w:rPr>
          <w:rFonts w:ascii="Times New Roman" w:hAnsi="Times New Roman" w:cs="Times New Roman"/>
          <w:sz w:val="24"/>
          <w:szCs w:val="24"/>
        </w:rPr>
        <w:t xml:space="preserve">In </w:t>
      </w:r>
      <w:r>
        <w:rPr>
          <w:rFonts w:ascii="Times New Roman" w:hAnsi="Times New Roman" w:cs="Times New Roman"/>
          <w:i/>
          <w:sz w:val="24"/>
          <w:szCs w:val="24"/>
        </w:rPr>
        <w:t>Uniplex</w:t>
      </w:r>
      <w:r w:rsidR="00ED1F6B">
        <w:rPr>
          <w:rFonts w:ascii="Times New Roman" w:hAnsi="Times New Roman" w:cs="Times New Roman"/>
          <w:i/>
          <w:sz w:val="24"/>
          <w:szCs w:val="24"/>
        </w:rPr>
        <w:t xml:space="preserve"> </w:t>
      </w:r>
      <w:r w:rsidR="00ED1F6B">
        <w:rPr>
          <w:rFonts w:ascii="Times New Roman" w:hAnsi="Times New Roman" w:cs="Times New Roman"/>
          <w:sz w:val="24"/>
          <w:szCs w:val="24"/>
        </w:rPr>
        <w:t>(to which attention was drawn during the hearing of this appeal)</w:t>
      </w:r>
      <w:r>
        <w:rPr>
          <w:rFonts w:ascii="Times New Roman" w:hAnsi="Times New Roman" w:cs="Times New Roman"/>
          <w:i/>
          <w:sz w:val="24"/>
          <w:szCs w:val="24"/>
        </w:rPr>
        <w:t xml:space="preserve"> </w:t>
      </w:r>
      <w:r>
        <w:rPr>
          <w:rFonts w:ascii="Times New Roman" w:hAnsi="Times New Roman" w:cs="Times New Roman"/>
          <w:sz w:val="24"/>
          <w:szCs w:val="24"/>
        </w:rPr>
        <w:t xml:space="preserve">the question before the CJEU was framed in an Article 267 Reference issued by the English High Court in proceedings brought to challenge the rejection of a tender by the applicant.  An issue under the time bar arose because while the proceedings were brought within three months of </w:t>
      </w:r>
      <w:r w:rsidR="00CB54CF">
        <w:rPr>
          <w:rFonts w:ascii="Times New Roman" w:hAnsi="Times New Roman" w:cs="Times New Roman"/>
          <w:sz w:val="24"/>
          <w:szCs w:val="24"/>
        </w:rPr>
        <w:t xml:space="preserve">the provision to the applicant of reasons for its exclusion, the application was brought more than there months after it had been advised of that exclusion.  In determining whether, as </w:t>
      </w:r>
      <w:r w:rsidR="00F72787">
        <w:rPr>
          <w:rFonts w:ascii="Times New Roman" w:hAnsi="Times New Roman" w:cs="Times New Roman"/>
          <w:sz w:val="24"/>
          <w:szCs w:val="24"/>
        </w:rPr>
        <w:t xml:space="preserve">the </w:t>
      </w:r>
      <w:r w:rsidR="00CB54CF">
        <w:rPr>
          <w:rFonts w:ascii="Times New Roman" w:hAnsi="Times New Roman" w:cs="Times New Roman"/>
          <w:sz w:val="24"/>
          <w:szCs w:val="24"/>
        </w:rPr>
        <w:t xml:space="preserve">CJEU had been asked in the reference, the English time bar was consistent with EU law principles of effective </w:t>
      </w:r>
      <w:r w:rsidR="003E51A4">
        <w:rPr>
          <w:rFonts w:ascii="Times New Roman" w:hAnsi="Times New Roman" w:cs="Times New Roman"/>
          <w:sz w:val="24"/>
          <w:szCs w:val="24"/>
        </w:rPr>
        <w:t>judicial</w:t>
      </w:r>
      <w:r w:rsidR="00CB54CF">
        <w:rPr>
          <w:rFonts w:ascii="Times New Roman" w:hAnsi="Times New Roman" w:cs="Times New Roman"/>
          <w:sz w:val="24"/>
          <w:szCs w:val="24"/>
        </w:rPr>
        <w:t xml:space="preserve"> protection, the court noted that it was only once a concerned candidate or </w:t>
      </w:r>
      <w:r w:rsidR="00CB54CF">
        <w:rPr>
          <w:rFonts w:ascii="Times New Roman" w:hAnsi="Times New Roman" w:cs="Times New Roman"/>
          <w:sz w:val="24"/>
          <w:szCs w:val="24"/>
        </w:rPr>
        <w:lastRenderedPageBreak/>
        <w:t>tenderer has been informed of the reasons for its elimination from the public procurement procedure that it could come to an informed view as to whether there had been an infringement of the applicable provisions and as to the appropriateness of bringing proceedings.  It continued (at para. 32):</w:t>
      </w:r>
    </w:p>
    <w:p w14:paraId="21AF9A56" w14:textId="77777777" w:rsidR="00CB54CF" w:rsidRDefault="00CB54CF" w:rsidP="00CB54CF">
      <w:pPr>
        <w:pStyle w:val="ListParagraph"/>
        <w:spacing w:before="240" w:line="480" w:lineRule="auto"/>
        <w:jc w:val="both"/>
        <w:rPr>
          <w:rFonts w:ascii="Times New Roman" w:hAnsi="Times New Roman" w:cs="Times New Roman"/>
          <w:b/>
          <w:sz w:val="24"/>
          <w:szCs w:val="24"/>
        </w:rPr>
      </w:pPr>
    </w:p>
    <w:p w14:paraId="68C0A9FC" w14:textId="77777777" w:rsidR="00CB54CF" w:rsidRPr="00CB54CF" w:rsidRDefault="00CB54CF" w:rsidP="00CB54CF">
      <w:pPr>
        <w:pStyle w:val="ListParagraph"/>
        <w:spacing w:before="240" w:line="480" w:lineRule="auto"/>
        <w:ind w:left="1440"/>
        <w:jc w:val="both"/>
        <w:rPr>
          <w:rFonts w:ascii="Times New Roman" w:hAnsi="Times New Roman" w:cs="Times New Roman"/>
          <w:sz w:val="24"/>
          <w:szCs w:val="24"/>
        </w:rPr>
      </w:pPr>
      <w:r>
        <w:rPr>
          <w:rFonts w:ascii="Times New Roman" w:hAnsi="Times New Roman" w:cs="Times New Roman"/>
          <w:sz w:val="24"/>
          <w:szCs w:val="24"/>
        </w:rPr>
        <w:t>‘</w:t>
      </w:r>
      <w:r w:rsidR="00F72787">
        <w:rPr>
          <w:rFonts w:ascii="Times New Roman" w:hAnsi="Times New Roman" w:cs="Times New Roman"/>
          <w:sz w:val="24"/>
          <w:szCs w:val="24"/>
        </w:rPr>
        <w:t>…</w:t>
      </w:r>
      <w:r>
        <w:rPr>
          <w:rFonts w:ascii="Times New Roman" w:hAnsi="Times New Roman" w:cs="Times New Roman"/>
          <w:i/>
          <w:sz w:val="24"/>
          <w:szCs w:val="24"/>
        </w:rPr>
        <w:t>the objective laid down in Article 1(1) of Directive 89/665 of guaranteeing effective procedures for review of infringements of the provisions applicable in the field of public procurement can be realised only if the periods laid down for bringing such proceedings start to run only from the date on which the claimant knew, or ought to have known, of the alleged infringement of the provisions applicable in the field of public procurement’</w:t>
      </w:r>
      <w:r w:rsidR="00F72787">
        <w:rPr>
          <w:rFonts w:ascii="Times New Roman" w:hAnsi="Times New Roman" w:cs="Times New Roman"/>
          <w:i/>
          <w:sz w:val="24"/>
          <w:szCs w:val="24"/>
        </w:rPr>
        <w:t>.</w:t>
      </w:r>
    </w:p>
    <w:p w14:paraId="42461318" w14:textId="77777777" w:rsidR="00CB54CF" w:rsidRDefault="00CB54CF" w:rsidP="00CB54CF">
      <w:pPr>
        <w:pStyle w:val="ListParagraph"/>
        <w:spacing w:before="24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14:paraId="155764CD" w14:textId="6D76AF2C" w:rsidR="00CB54CF" w:rsidRPr="006D51EC" w:rsidRDefault="006D51EC" w:rsidP="0077725B">
      <w:pPr>
        <w:pStyle w:val="ListParagraph"/>
        <w:numPr>
          <w:ilvl w:val="0"/>
          <w:numId w:val="1"/>
        </w:numPr>
        <w:spacing w:before="240" w:line="480" w:lineRule="auto"/>
        <w:jc w:val="both"/>
        <w:rPr>
          <w:rFonts w:ascii="Times New Roman" w:hAnsi="Times New Roman" w:cs="Times New Roman"/>
          <w:b/>
          <w:sz w:val="24"/>
          <w:szCs w:val="24"/>
        </w:rPr>
      </w:pPr>
      <w:r>
        <w:rPr>
          <w:rFonts w:ascii="Times New Roman" w:hAnsi="Times New Roman" w:cs="Times New Roman"/>
          <w:sz w:val="24"/>
          <w:szCs w:val="24"/>
        </w:rPr>
        <w:t>The court observe</w:t>
      </w:r>
      <w:r w:rsidR="005B19C6">
        <w:rPr>
          <w:rFonts w:ascii="Times New Roman" w:hAnsi="Times New Roman" w:cs="Times New Roman"/>
          <w:sz w:val="24"/>
          <w:szCs w:val="24"/>
        </w:rPr>
        <w:t>d</w:t>
      </w:r>
      <w:r>
        <w:rPr>
          <w:rFonts w:ascii="Times New Roman" w:hAnsi="Times New Roman" w:cs="Times New Roman"/>
          <w:sz w:val="24"/>
          <w:szCs w:val="24"/>
        </w:rPr>
        <w:t xml:space="preserve"> that it was incumbent on the national court to interpret the domestic time limit so as to accord with this mandate of European law.  It continued (at para. 48):</w:t>
      </w:r>
    </w:p>
    <w:p w14:paraId="54C2C139" w14:textId="77777777" w:rsidR="006D51EC" w:rsidRDefault="006D51EC" w:rsidP="006D51EC">
      <w:pPr>
        <w:pStyle w:val="ListParagraph"/>
        <w:spacing w:before="240" w:line="480" w:lineRule="auto"/>
        <w:jc w:val="both"/>
        <w:rPr>
          <w:rFonts w:ascii="Times New Roman" w:hAnsi="Times New Roman" w:cs="Times New Roman"/>
          <w:b/>
          <w:sz w:val="24"/>
          <w:szCs w:val="24"/>
        </w:rPr>
      </w:pPr>
    </w:p>
    <w:p w14:paraId="4E7B7CC0" w14:textId="543DC89D" w:rsidR="006D51EC" w:rsidRDefault="006D51EC" w:rsidP="006D51EC">
      <w:pPr>
        <w:pStyle w:val="ListParagraph"/>
        <w:spacing w:before="240" w:line="480" w:lineRule="auto"/>
        <w:ind w:left="144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 xml:space="preserve">If the national provisions at issue do not lend themselves to such an interpretation, that court is bound, in exercise of the discretion conferred on it, </w:t>
      </w:r>
      <w:r w:rsidRPr="006320ED">
        <w:rPr>
          <w:rFonts w:ascii="Times New Roman" w:hAnsi="Times New Roman" w:cs="Times New Roman"/>
          <w:b/>
          <w:i/>
          <w:sz w:val="24"/>
          <w:szCs w:val="24"/>
        </w:rPr>
        <w:t>to extend the period for bringing proceedings in such a manner as to ensure that the claimant had a period equivalent to that which it would have had if the period provided for by the applicable national legislation had run from the date on which the claimant knew</w:t>
      </w:r>
      <w:r w:rsidR="00F72787" w:rsidRPr="006320ED">
        <w:rPr>
          <w:rFonts w:ascii="Times New Roman" w:hAnsi="Times New Roman" w:cs="Times New Roman"/>
          <w:b/>
          <w:i/>
          <w:sz w:val="24"/>
          <w:szCs w:val="24"/>
        </w:rPr>
        <w:t>,</w:t>
      </w:r>
      <w:r w:rsidRPr="006320ED">
        <w:rPr>
          <w:rFonts w:ascii="Times New Roman" w:hAnsi="Times New Roman" w:cs="Times New Roman"/>
          <w:b/>
          <w:i/>
          <w:sz w:val="24"/>
          <w:szCs w:val="24"/>
        </w:rPr>
        <w:t xml:space="preserve"> or ought to have known</w:t>
      </w:r>
      <w:r w:rsidR="00F72787" w:rsidRPr="006320ED">
        <w:rPr>
          <w:rFonts w:ascii="Times New Roman" w:hAnsi="Times New Roman" w:cs="Times New Roman"/>
          <w:b/>
          <w:i/>
          <w:sz w:val="24"/>
          <w:szCs w:val="24"/>
        </w:rPr>
        <w:t>,</w:t>
      </w:r>
      <w:r w:rsidRPr="006320ED">
        <w:rPr>
          <w:rFonts w:ascii="Times New Roman" w:hAnsi="Times New Roman" w:cs="Times New Roman"/>
          <w:b/>
          <w:i/>
          <w:sz w:val="24"/>
          <w:szCs w:val="24"/>
        </w:rPr>
        <w:t xml:space="preserve"> of the infringement</w:t>
      </w:r>
      <w:r>
        <w:rPr>
          <w:rFonts w:ascii="Times New Roman" w:hAnsi="Times New Roman" w:cs="Times New Roman"/>
          <w:i/>
          <w:sz w:val="24"/>
          <w:szCs w:val="24"/>
        </w:rPr>
        <w:t xml:space="preserve"> of the public procurement rules’</w:t>
      </w:r>
    </w:p>
    <w:p w14:paraId="61461C94" w14:textId="59C34908" w:rsidR="006320ED" w:rsidRDefault="006320ED" w:rsidP="006D51EC">
      <w:pPr>
        <w:pStyle w:val="ListParagraph"/>
        <w:spacing w:before="240" w:line="480" w:lineRule="auto"/>
        <w:ind w:left="1440"/>
        <w:jc w:val="both"/>
        <w:rPr>
          <w:rFonts w:ascii="Times New Roman" w:hAnsi="Times New Roman" w:cs="Times New Roman"/>
          <w:sz w:val="24"/>
          <w:szCs w:val="24"/>
        </w:rPr>
      </w:pPr>
    </w:p>
    <w:p w14:paraId="33D5ADFF" w14:textId="78A20B6F" w:rsidR="006320ED" w:rsidRPr="006320ED" w:rsidRDefault="006320ED" w:rsidP="006D51EC">
      <w:pPr>
        <w:pStyle w:val="ListParagraph"/>
        <w:spacing w:before="240" w:line="480" w:lineRule="auto"/>
        <w:ind w:left="1440"/>
        <w:jc w:val="both"/>
        <w:rPr>
          <w:rFonts w:ascii="Times New Roman" w:hAnsi="Times New Roman" w:cs="Times New Roman"/>
          <w:sz w:val="24"/>
          <w:szCs w:val="24"/>
        </w:rPr>
      </w:pPr>
      <w:r>
        <w:rPr>
          <w:rFonts w:ascii="Times New Roman" w:hAnsi="Times New Roman" w:cs="Times New Roman"/>
          <w:sz w:val="24"/>
          <w:szCs w:val="24"/>
        </w:rPr>
        <w:t>(Emphasis added)</w:t>
      </w:r>
    </w:p>
    <w:p w14:paraId="726DB1CE" w14:textId="77777777" w:rsidR="006D51EC" w:rsidRDefault="006D51EC" w:rsidP="006D51EC">
      <w:pPr>
        <w:pStyle w:val="ListParagraph"/>
        <w:spacing w:before="240"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w:t>
      </w:r>
    </w:p>
    <w:p w14:paraId="23BE8844" w14:textId="3F98CDB7" w:rsidR="00F33AAF" w:rsidRPr="00CA6DAA" w:rsidRDefault="006D51EC" w:rsidP="00CA6DAA">
      <w:pPr>
        <w:pStyle w:val="ListParagraph"/>
        <w:numPr>
          <w:ilvl w:val="0"/>
          <w:numId w:val="1"/>
        </w:numPr>
        <w:spacing w:before="240" w:line="480" w:lineRule="auto"/>
        <w:jc w:val="both"/>
        <w:rPr>
          <w:rFonts w:ascii="Times New Roman" w:hAnsi="Times New Roman" w:cs="Times New Roman"/>
          <w:b/>
          <w:sz w:val="24"/>
          <w:szCs w:val="24"/>
        </w:rPr>
      </w:pPr>
      <w:r w:rsidRPr="000F1F8E">
        <w:rPr>
          <w:rFonts w:ascii="Times New Roman" w:hAnsi="Times New Roman" w:cs="Times New Roman"/>
          <w:sz w:val="24"/>
          <w:szCs w:val="24"/>
        </w:rPr>
        <w:t>I</w:t>
      </w:r>
      <w:r w:rsidR="0016565B" w:rsidRPr="000F1F8E">
        <w:rPr>
          <w:rFonts w:ascii="Times New Roman" w:hAnsi="Times New Roman" w:cs="Times New Roman"/>
          <w:sz w:val="24"/>
          <w:szCs w:val="24"/>
        </w:rPr>
        <w:t xml:space="preserve">n other words, where an EU law right is engaged the court </w:t>
      </w:r>
      <w:r w:rsidR="0016565B" w:rsidRPr="000F1F8E">
        <w:rPr>
          <w:rFonts w:ascii="Times New Roman" w:hAnsi="Times New Roman" w:cs="Times New Roman"/>
          <w:i/>
          <w:sz w:val="24"/>
          <w:szCs w:val="24"/>
        </w:rPr>
        <w:t>must</w:t>
      </w:r>
      <w:r w:rsidR="0016565B" w:rsidRPr="000F1F8E">
        <w:rPr>
          <w:rFonts w:ascii="Times New Roman" w:hAnsi="Times New Roman" w:cs="Times New Roman"/>
          <w:sz w:val="24"/>
          <w:szCs w:val="24"/>
        </w:rPr>
        <w:t xml:space="preserve"> exercise its discretion so as to allow the applicant three months from the point at which it knew or ought to have known of the decision in question.  I</w:t>
      </w:r>
      <w:r w:rsidRPr="000F1F8E">
        <w:rPr>
          <w:rFonts w:ascii="Times New Roman" w:hAnsi="Times New Roman" w:cs="Times New Roman"/>
          <w:sz w:val="24"/>
          <w:szCs w:val="24"/>
        </w:rPr>
        <w:t xml:space="preserve"> do not think there can be any doubt but that this principle applies not merely to EU public procurement challenges, but to any case engaging rights </w:t>
      </w:r>
      <w:r w:rsidR="00897EC7" w:rsidRPr="000F1F8E">
        <w:rPr>
          <w:rFonts w:ascii="Times New Roman" w:hAnsi="Times New Roman" w:cs="Times New Roman"/>
          <w:sz w:val="24"/>
          <w:szCs w:val="24"/>
        </w:rPr>
        <w:t>of an applicant protected by</w:t>
      </w:r>
      <w:r w:rsidRPr="000F1F8E">
        <w:rPr>
          <w:rFonts w:ascii="Times New Roman" w:hAnsi="Times New Roman" w:cs="Times New Roman"/>
          <w:sz w:val="24"/>
          <w:szCs w:val="24"/>
        </w:rPr>
        <w:t xml:space="preserve"> EU law</w:t>
      </w:r>
      <w:r w:rsidR="00E038B3" w:rsidRPr="000F1F8E">
        <w:rPr>
          <w:rFonts w:ascii="Times New Roman" w:hAnsi="Times New Roman" w:cs="Times New Roman"/>
          <w:sz w:val="24"/>
          <w:szCs w:val="24"/>
        </w:rPr>
        <w:t xml:space="preserve"> </w:t>
      </w:r>
      <w:r w:rsidR="000F1F8E">
        <w:rPr>
          <w:rFonts w:ascii="Times New Roman" w:hAnsi="Times New Roman" w:cs="Times New Roman"/>
          <w:sz w:val="24"/>
          <w:szCs w:val="24"/>
        </w:rPr>
        <w:t xml:space="preserve">(in this case, the right I am assuming to vest in Arthropharm under Article 13 of the 2001 Directive) </w:t>
      </w:r>
      <w:r w:rsidR="00E038B3" w:rsidRPr="000F1F8E">
        <w:rPr>
          <w:rFonts w:ascii="Times New Roman" w:hAnsi="Times New Roman" w:cs="Times New Roman"/>
          <w:sz w:val="24"/>
          <w:szCs w:val="24"/>
        </w:rPr>
        <w:t xml:space="preserve">and I note that this reflects the view adopted in the leading texts (see in particular De Smith </w:t>
      </w:r>
      <w:r w:rsidR="00206923" w:rsidRPr="000F1F8E">
        <w:rPr>
          <w:rFonts w:ascii="Times New Roman" w:hAnsi="Times New Roman" w:cs="Times New Roman"/>
          <w:sz w:val="24"/>
          <w:szCs w:val="24"/>
        </w:rPr>
        <w:t>‘</w:t>
      </w:r>
      <w:r w:rsidR="00E038B3" w:rsidRPr="000F1F8E">
        <w:rPr>
          <w:rFonts w:ascii="Times New Roman" w:hAnsi="Times New Roman" w:cs="Times New Roman"/>
          <w:i/>
          <w:sz w:val="24"/>
          <w:szCs w:val="24"/>
        </w:rPr>
        <w:t>Judicial Review</w:t>
      </w:r>
      <w:r w:rsidR="00206923" w:rsidRPr="000F1F8E">
        <w:rPr>
          <w:rFonts w:ascii="Times New Roman" w:hAnsi="Times New Roman" w:cs="Times New Roman"/>
          <w:i/>
          <w:sz w:val="24"/>
          <w:szCs w:val="24"/>
        </w:rPr>
        <w:t>’</w:t>
      </w:r>
      <w:r w:rsidR="00E038B3" w:rsidRPr="000F1F8E">
        <w:rPr>
          <w:rFonts w:ascii="Times New Roman" w:hAnsi="Times New Roman" w:cs="Times New Roman"/>
          <w:i/>
          <w:sz w:val="24"/>
          <w:szCs w:val="24"/>
        </w:rPr>
        <w:t xml:space="preserve"> </w:t>
      </w:r>
      <w:r w:rsidR="00E038B3" w:rsidRPr="000F1F8E">
        <w:rPr>
          <w:rFonts w:ascii="Times New Roman" w:hAnsi="Times New Roman" w:cs="Times New Roman"/>
          <w:sz w:val="24"/>
          <w:szCs w:val="24"/>
        </w:rPr>
        <w:t>(8</w:t>
      </w:r>
      <w:r w:rsidR="00E038B3" w:rsidRPr="000F1F8E">
        <w:rPr>
          <w:rFonts w:ascii="Times New Roman" w:hAnsi="Times New Roman" w:cs="Times New Roman"/>
          <w:sz w:val="24"/>
          <w:szCs w:val="24"/>
          <w:vertAlign w:val="superscript"/>
        </w:rPr>
        <w:t>th</w:t>
      </w:r>
      <w:r w:rsidR="00E038B3" w:rsidRPr="000F1F8E">
        <w:rPr>
          <w:rFonts w:ascii="Times New Roman" w:hAnsi="Times New Roman" w:cs="Times New Roman"/>
          <w:sz w:val="24"/>
          <w:szCs w:val="24"/>
        </w:rPr>
        <w:t xml:space="preserve"> Ed. 2018) </w:t>
      </w:r>
      <w:r w:rsidR="00206923" w:rsidRPr="000F1F8E">
        <w:rPr>
          <w:rFonts w:ascii="Times New Roman" w:hAnsi="Times New Roman" w:cs="Times New Roman"/>
          <w:sz w:val="24"/>
          <w:szCs w:val="24"/>
        </w:rPr>
        <w:t xml:space="preserve">at </w:t>
      </w:r>
      <w:r w:rsidR="00E038B3" w:rsidRPr="000F1F8E">
        <w:rPr>
          <w:rFonts w:ascii="Times New Roman" w:hAnsi="Times New Roman" w:cs="Times New Roman"/>
          <w:sz w:val="24"/>
          <w:szCs w:val="24"/>
        </w:rPr>
        <w:t>para. 16-056</w:t>
      </w:r>
      <w:r w:rsidR="00D45B5B">
        <w:rPr>
          <w:rFonts w:ascii="Times New Roman" w:hAnsi="Times New Roman" w:cs="Times New Roman"/>
          <w:sz w:val="24"/>
          <w:szCs w:val="24"/>
        </w:rPr>
        <w:t>;  Lewis ‘</w:t>
      </w:r>
      <w:r w:rsidR="00BC1C33">
        <w:rPr>
          <w:rFonts w:ascii="Times New Roman" w:hAnsi="Times New Roman" w:cs="Times New Roman"/>
          <w:i/>
          <w:sz w:val="24"/>
          <w:szCs w:val="24"/>
        </w:rPr>
        <w:t xml:space="preserve">Judicial Remedies in Public Law’ </w:t>
      </w:r>
      <w:r w:rsidR="00BC1C33">
        <w:rPr>
          <w:rFonts w:ascii="Times New Roman" w:hAnsi="Times New Roman" w:cs="Times New Roman"/>
          <w:sz w:val="24"/>
          <w:szCs w:val="24"/>
        </w:rPr>
        <w:t>(6</w:t>
      </w:r>
      <w:r w:rsidR="00BC1C33" w:rsidRPr="00BC1C33">
        <w:rPr>
          <w:rFonts w:ascii="Times New Roman" w:hAnsi="Times New Roman" w:cs="Times New Roman"/>
          <w:sz w:val="24"/>
          <w:szCs w:val="24"/>
          <w:vertAlign w:val="superscript"/>
        </w:rPr>
        <w:t>th</w:t>
      </w:r>
      <w:r w:rsidR="00BC1C33">
        <w:rPr>
          <w:rFonts w:ascii="Times New Roman" w:hAnsi="Times New Roman" w:cs="Times New Roman"/>
          <w:sz w:val="24"/>
          <w:szCs w:val="24"/>
        </w:rPr>
        <w:t xml:space="preserve"> Ed. 2021) at para. 9-019</w:t>
      </w:r>
      <w:r w:rsidR="00121DA8">
        <w:rPr>
          <w:rFonts w:ascii="Times New Roman" w:hAnsi="Times New Roman" w:cs="Times New Roman"/>
          <w:sz w:val="24"/>
          <w:szCs w:val="24"/>
        </w:rPr>
        <w:t>)</w:t>
      </w:r>
      <w:r w:rsidR="00CA6DAA">
        <w:rPr>
          <w:rFonts w:ascii="Times New Roman" w:hAnsi="Times New Roman" w:cs="Times New Roman"/>
          <w:sz w:val="24"/>
          <w:szCs w:val="24"/>
        </w:rPr>
        <w:t>.</w:t>
      </w:r>
      <w:r w:rsidR="00E40FD9">
        <w:rPr>
          <w:rStyle w:val="FootnoteReference"/>
          <w:rFonts w:ascii="Times New Roman" w:hAnsi="Times New Roman" w:cs="Times New Roman"/>
          <w:sz w:val="24"/>
          <w:szCs w:val="24"/>
        </w:rPr>
        <w:footnoteReference w:id="7"/>
      </w:r>
      <w:r w:rsidR="00E40FD9" w:rsidRPr="001D5615">
        <w:rPr>
          <w:rFonts w:ascii="Times New Roman" w:hAnsi="Times New Roman" w:cs="Times New Roman"/>
          <w:sz w:val="24"/>
          <w:szCs w:val="24"/>
        </w:rPr>
        <w:t xml:space="preserve"> </w:t>
      </w:r>
      <w:r w:rsidR="00D121B9">
        <w:rPr>
          <w:rFonts w:ascii="Times New Roman" w:hAnsi="Times New Roman" w:cs="Times New Roman"/>
          <w:sz w:val="24"/>
          <w:szCs w:val="24"/>
        </w:rPr>
        <w:t xml:space="preserve"> </w:t>
      </w:r>
      <w:r w:rsidRPr="00CA6DAA">
        <w:rPr>
          <w:rFonts w:ascii="Times New Roman" w:hAnsi="Times New Roman" w:cs="Times New Roman"/>
          <w:sz w:val="24"/>
          <w:szCs w:val="24"/>
        </w:rPr>
        <w:t>Nor do I believe that the interpretation of the time limits so mandated by the CJEU can be imposed on Order 84 R</w:t>
      </w:r>
      <w:r w:rsidR="00206923" w:rsidRPr="00CA6DAA">
        <w:rPr>
          <w:rFonts w:ascii="Times New Roman" w:hAnsi="Times New Roman" w:cs="Times New Roman"/>
          <w:sz w:val="24"/>
          <w:szCs w:val="24"/>
        </w:rPr>
        <w:t xml:space="preserve">ule </w:t>
      </w:r>
      <w:r w:rsidRPr="00CA6DAA">
        <w:rPr>
          <w:rFonts w:ascii="Times New Roman" w:hAnsi="Times New Roman" w:cs="Times New Roman"/>
          <w:sz w:val="24"/>
          <w:szCs w:val="24"/>
        </w:rPr>
        <w:t>21(1) without re-writing the provision:</w:t>
      </w:r>
      <w:r w:rsidR="003E51A4" w:rsidRPr="00CA6DAA">
        <w:rPr>
          <w:rFonts w:ascii="Times New Roman" w:hAnsi="Times New Roman" w:cs="Times New Roman"/>
          <w:sz w:val="24"/>
          <w:szCs w:val="24"/>
        </w:rPr>
        <w:t xml:space="preserve"> as I have explained earlier</w:t>
      </w:r>
      <w:r w:rsidRPr="00CA6DAA">
        <w:rPr>
          <w:rFonts w:ascii="Times New Roman" w:hAnsi="Times New Roman" w:cs="Times New Roman"/>
          <w:sz w:val="24"/>
          <w:szCs w:val="24"/>
        </w:rPr>
        <w:t xml:space="preserve"> the rule envisages the running of time from the point at which grounds first arose, not from the point at which an applicant might have become aware of them.  Therefore, the EU case law does not </w:t>
      </w:r>
      <w:r w:rsidR="00C255E2" w:rsidRPr="00CA6DAA">
        <w:rPr>
          <w:rFonts w:ascii="Times New Roman" w:hAnsi="Times New Roman" w:cs="Times New Roman"/>
          <w:sz w:val="24"/>
          <w:szCs w:val="24"/>
        </w:rPr>
        <w:t xml:space="preserve">strictly speaking </w:t>
      </w:r>
      <w:r w:rsidRPr="00CA6DAA">
        <w:rPr>
          <w:rFonts w:ascii="Times New Roman" w:hAnsi="Times New Roman" w:cs="Times New Roman"/>
          <w:sz w:val="24"/>
          <w:szCs w:val="24"/>
        </w:rPr>
        <w:t>affect the point at which time starts</w:t>
      </w:r>
      <w:r w:rsidR="00C255E2" w:rsidRPr="00CA6DAA">
        <w:rPr>
          <w:rFonts w:ascii="Times New Roman" w:hAnsi="Times New Roman" w:cs="Times New Roman"/>
          <w:sz w:val="24"/>
          <w:szCs w:val="24"/>
        </w:rPr>
        <w:t xml:space="preserve"> under Order 84 R</w:t>
      </w:r>
      <w:r w:rsidR="00206923" w:rsidRPr="00CA6DAA">
        <w:rPr>
          <w:rFonts w:ascii="Times New Roman" w:hAnsi="Times New Roman" w:cs="Times New Roman"/>
          <w:sz w:val="24"/>
          <w:szCs w:val="24"/>
        </w:rPr>
        <w:t>ule</w:t>
      </w:r>
      <w:r w:rsidR="00C255E2" w:rsidRPr="00CA6DAA">
        <w:rPr>
          <w:rFonts w:ascii="Times New Roman" w:hAnsi="Times New Roman" w:cs="Times New Roman"/>
          <w:sz w:val="24"/>
          <w:szCs w:val="24"/>
        </w:rPr>
        <w:t xml:space="preserve"> 21(1)</w:t>
      </w:r>
      <w:r w:rsidRPr="00CA6DAA">
        <w:rPr>
          <w:rFonts w:ascii="Times New Roman" w:hAnsi="Times New Roman" w:cs="Times New Roman"/>
          <w:sz w:val="24"/>
          <w:szCs w:val="24"/>
        </w:rPr>
        <w:t>.</w:t>
      </w:r>
    </w:p>
    <w:p w14:paraId="685DCB5D" w14:textId="596F73E9" w:rsidR="001D5615" w:rsidRPr="001D5615" w:rsidRDefault="006D51EC" w:rsidP="00F33AAF">
      <w:pPr>
        <w:pStyle w:val="ListParagraph"/>
        <w:spacing w:before="240" w:line="480" w:lineRule="auto"/>
        <w:ind w:left="786"/>
        <w:jc w:val="both"/>
        <w:rPr>
          <w:rFonts w:ascii="Times New Roman" w:hAnsi="Times New Roman" w:cs="Times New Roman"/>
          <w:b/>
          <w:sz w:val="24"/>
          <w:szCs w:val="24"/>
        </w:rPr>
      </w:pPr>
      <w:r>
        <w:rPr>
          <w:rFonts w:ascii="Times New Roman" w:hAnsi="Times New Roman" w:cs="Times New Roman"/>
          <w:sz w:val="24"/>
          <w:szCs w:val="24"/>
        </w:rPr>
        <w:t xml:space="preserve"> </w:t>
      </w:r>
    </w:p>
    <w:p w14:paraId="53956E53" w14:textId="1225D8B4" w:rsidR="00894D61" w:rsidRPr="001D5615" w:rsidRDefault="006D51EC" w:rsidP="001D5615">
      <w:pPr>
        <w:pStyle w:val="ListParagraph"/>
        <w:numPr>
          <w:ilvl w:val="0"/>
          <w:numId w:val="1"/>
        </w:numPr>
        <w:spacing w:before="240" w:line="480" w:lineRule="auto"/>
        <w:jc w:val="both"/>
        <w:rPr>
          <w:rFonts w:ascii="Times New Roman" w:hAnsi="Times New Roman" w:cs="Times New Roman"/>
          <w:b/>
          <w:sz w:val="24"/>
          <w:szCs w:val="24"/>
        </w:rPr>
      </w:pPr>
      <w:r w:rsidRPr="001D5615">
        <w:rPr>
          <w:rFonts w:ascii="Times New Roman" w:hAnsi="Times New Roman" w:cs="Times New Roman"/>
          <w:sz w:val="24"/>
          <w:szCs w:val="24"/>
        </w:rPr>
        <w:t>What it does do, however, is to mandate the court to extend time under Order 84 R</w:t>
      </w:r>
      <w:r w:rsidR="00206923" w:rsidRPr="001D5615">
        <w:rPr>
          <w:rFonts w:ascii="Times New Roman" w:hAnsi="Times New Roman" w:cs="Times New Roman"/>
          <w:sz w:val="24"/>
          <w:szCs w:val="24"/>
        </w:rPr>
        <w:t>ule</w:t>
      </w:r>
      <w:r w:rsidRPr="001D5615">
        <w:rPr>
          <w:rFonts w:ascii="Times New Roman" w:hAnsi="Times New Roman" w:cs="Times New Roman"/>
          <w:sz w:val="24"/>
          <w:szCs w:val="24"/>
        </w:rPr>
        <w:t xml:space="preserve"> 21(3) so as to give effect to the requirement that time should run from the point at which the applicant knew or ought to have known of the decision it seeks to challenge.</w:t>
      </w:r>
      <w:r w:rsidR="008C7ADC" w:rsidRPr="001D5615">
        <w:rPr>
          <w:rFonts w:ascii="Times New Roman" w:hAnsi="Times New Roman" w:cs="Times New Roman"/>
          <w:sz w:val="24"/>
          <w:szCs w:val="24"/>
        </w:rPr>
        <w:t xml:space="preserve">  </w:t>
      </w:r>
      <w:r w:rsidR="008C7ADC" w:rsidRPr="001D5615">
        <w:rPr>
          <w:rFonts w:ascii="Times New Roman" w:hAnsi="Times New Roman" w:cs="Times New Roman"/>
          <w:sz w:val="24"/>
          <w:szCs w:val="24"/>
        </w:rPr>
        <w:lastRenderedPageBreak/>
        <w:t xml:space="preserve">That is the same essential conclusion reached by Simons J., </w:t>
      </w:r>
      <w:r w:rsidR="00D316AA" w:rsidRPr="001D5615">
        <w:rPr>
          <w:rFonts w:ascii="Times New Roman" w:hAnsi="Times New Roman" w:cs="Times New Roman"/>
          <w:sz w:val="24"/>
          <w:szCs w:val="24"/>
        </w:rPr>
        <w:t xml:space="preserve">and as I have noted it might be thought that the difference between our respective analysis is pedantic. That said, </w:t>
      </w:r>
      <w:r w:rsidR="008C7ADC" w:rsidRPr="001D5615">
        <w:rPr>
          <w:rFonts w:ascii="Times New Roman" w:hAnsi="Times New Roman" w:cs="Times New Roman"/>
          <w:sz w:val="24"/>
          <w:szCs w:val="24"/>
        </w:rPr>
        <w:t xml:space="preserve">I have felt compelled to explain why I have reached this conclusion at </w:t>
      </w:r>
      <w:r w:rsidR="00201ED5">
        <w:rPr>
          <w:rFonts w:ascii="Times New Roman" w:hAnsi="Times New Roman" w:cs="Times New Roman"/>
          <w:sz w:val="24"/>
          <w:szCs w:val="24"/>
        </w:rPr>
        <w:t xml:space="preserve">some </w:t>
      </w:r>
      <w:r w:rsidR="008C7ADC" w:rsidRPr="001D5615">
        <w:rPr>
          <w:rFonts w:ascii="Times New Roman" w:hAnsi="Times New Roman" w:cs="Times New Roman"/>
          <w:sz w:val="24"/>
          <w:szCs w:val="24"/>
        </w:rPr>
        <w:t>length</w:t>
      </w:r>
      <w:r w:rsidR="008772D8" w:rsidRPr="001D5615">
        <w:rPr>
          <w:rFonts w:ascii="Times New Roman" w:hAnsi="Times New Roman" w:cs="Times New Roman"/>
          <w:sz w:val="24"/>
          <w:szCs w:val="24"/>
        </w:rPr>
        <w:t>.  First, it is for this reason that the contention advanced by A</w:t>
      </w:r>
      <w:r w:rsidR="0048469E" w:rsidRPr="001D5615">
        <w:rPr>
          <w:rFonts w:ascii="Times New Roman" w:hAnsi="Times New Roman" w:cs="Times New Roman"/>
          <w:sz w:val="24"/>
          <w:szCs w:val="24"/>
        </w:rPr>
        <w:t>r</w:t>
      </w:r>
      <w:r w:rsidR="008772D8" w:rsidRPr="001D5615">
        <w:rPr>
          <w:rFonts w:ascii="Times New Roman" w:hAnsi="Times New Roman" w:cs="Times New Roman"/>
          <w:sz w:val="24"/>
          <w:szCs w:val="24"/>
        </w:rPr>
        <w:t xml:space="preserve">thropharm that time ran </w:t>
      </w:r>
      <w:r w:rsidR="006860E8">
        <w:rPr>
          <w:rFonts w:ascii="Times New Roman" w:hAnsi="Times New Roman" w:cs="Times New Roman"/>
          <w:sz w:val="24"/>
          <w:szCs w:val="24"/>
        </w:rPr>
        <w:t>from</w:t>
      </w:r>
      <w:r w:rsidR="008772D8" w:rsidRPr="001D5615">
        <w:rPr>
          <w:rFonts w:ascii="Times New Roman" w:hAnsi="Times New Roman" w:cs="Times New Roman"/>
          <w:sz w:val="24"/>
          <w:szCs w:val="24"/>
        </w:rPr>
        <w:t xml:space="preserve"> </w:t>
      </w:r>
      <w:r w:rsidR="00206923" w:rsidRPr="001D5615">
        <w:rPr>
          <w:rFonts w:ascii="Times New Roman" w:hAnsi="Times New Roman" w:cs="Times New Roman"/>
          <w:sz w:val="24"/>
          <w:szCs w:val="24"/>
        </w:rPr>
        <w:t xml:space="preserve">12 </w:t>
      </w:r>
      <w:r w:rsidR="008772D8" w:rsidRPr="001D5615">
        <w:rPr>
          <w:rFonts w:ascii="Times New Roman" w:hAnsi="Times New Roman" w:cs="Times New Roman"/>
          <w:sz w:val="24"/>
          <w:szCs w:val="24"/>
        </w:rPr>
        <w:t xml:space="preserve">October </w:t>
      </w:r>
      <w:r w:rsidR="006860E8">
        <w:rPr>
          <w:rFonts w:ascii="Times New Roman" w:hAnsi="Times New Roman" w:cs="Times New Roman"/>
          <w:sz w:val="24"/>
          <w:szCs w:val="24"/>
        </w:rPr>
        <w:t xml:space="preserve">2018 </w:t>
      </w:r>
      <w:r w:rsidR="008772D8" w:rsidRPr="001D5615">
        <w:rPr>
          <w:rFonts w:ascii="Times New Roman" w:hAnsi="Times New Roman" w:cs="Times New Roman"/>
          <w:sz w:val="24"/>
          <w:szCs w:val="24"/>
        </w:rPr>
        <w:t xml:space="preserve">or </w:t>
      </w:r>
      <w:r w:rsidR="00206923" w:rsidRPr="001D5615">
        <w:rPr>
          <w:rFonts w:ascii="Times New Roman" w:hAnsi="Times New Roman" w:cs="Times New Roman"/>
          <w:sz w:val="24"/>
          <w:szCs w:val="24"/>
        </w:rPr>
        <w:t xml:space="preserve">8 </w:t>
      </w:r>
      <w:r w:rsidR="008772D8" w:rsidRPr="001D5615">
        <w:rPr>
          <w:rFonts w:ascii="Times New Roman" w:hAnsi="Times New Roman" w:cs="Times New Roman"/>
          <w:sz w:val="24"/>
          <w:szCs w:val="24"/>
        </w:rPr>
        <w:t xml:space="preserve">January </w:t>
      </w:r>
      <w:r w:rsidR="006860E8">
        <w:rPr>
          <w:rFonts w:ascii="Times New Roman" w:hAnsi="Times New Roman" w:cs="Times New Roman"/>
          <w:sz w:val="24"/>
          <w:szCs w:val="24"/>
        </w:rPr>
        <w:t xml:space="preserve">2019 </w:t>
      </w:r>
      <w:r w:rsidR="008772D8" w:rsidRPr="001D5615">
        <w:rPr>
          <w:rFonts w:ascii="Times New Roman" w:hAnsi="Times New Roman" w:cs="Times New Roman"/>
          <w:sz w:val="24"/>
          <w:szCs w:val="24"/>
        </w:rPr>
        <w:t xml:space="preserve">cannot be correct.  Second, the explanation </w:t>
      </w:r>
      <w:r w:rsidR="00676BF0" w:rsidRPr="001D5615">
        <w:rPr>
          <w:rFonts w:ascii="Times New Roman" w:hAnsi="Times New Roman" w:cs="Times New Roman"/>
          <w:sz w:val="24"/>
          <w:szCs w:val="24"/>
        </w:rPr>
        <w:t xml:space="preserve">gives </w:t>
      </w:r>
      <w:r w:rsidR="003E51A4" w:rsidRPr="001D5615">
        <w:rPr>
          <w:rFonts w:ascii="Times New Roman" w:hAnsi="Times New Roman" w:cs="Times New Roman"/>
          <w:sz w:val="24"/>
          <w:szCs w:val="24"/>
        </w:rPr>
        <w:t xml:space="preserve">important </w:t>
      </w:r>
      <w:r w:rsidR="00676BF0" w:rsidRPr="001D5615">
        <w:rPr>
          <w:rFonts w:ascii="Times New Roman" w:hAnsi="Times New Roman" w:cs="Times New Roman"/>
          <w:sz w:val="24"/>
          <w:szCs w:val="24"/>
        </w:rPr>
        <w:t>context to the limb of the test ‘</w:t>
      </w:r>
      <w:r w:rsidR="00676BF0" w:rsidRPr="001D5615">
        <w:rPr>
          <w:rFonts w:ascii="Times New Roman" w:hAnsi="Times New Roman" w:cs="Times New Roman"/>
          <w:i/>
          <w:sz w:val="24"/>
          <w:szCs w:val="24"/>
        </w:rPr>
        <w:t>or ought to have known’</w:t>
      </w:r>
      <w:r w:rsidR="00676BF0" w:rsidRPr="001D5615">
        <w:rPr>
          <w:rFonts w:ascii="Times New Roman" w:hAnsi="Times New Roman" w:cs="Times New Roman"/>
          <w:sz w:val="24"/>
          <w:szCs w:val="24"/>
        </w:rPr>
        <w:t xml:space="preserve">.  </w:t>
      </w:r>
      <w:r w:rsidR="00D316AA" w:rsidRPr="001D5615">
        <w:rPr>
          <w:rFonts w:ascii="Times New Roman" w:hAnsi="Times New Roman" w:cs="Times New Roman"/>
          <w:sz w:val="24"/>
          <w:szCs w:val="24"/>
        </w:rPr>
        <w:t xml:space="preserve">This, rather than whether a form of publication is authorised by statute, defines the legal test.  </w:t>
      </w:r>
      <w:r w:rsidR="002319FF" w:rsidRPr="001D5615">
        <w:rPr>
          <w:rFonts w:ascii="Times New Roman" w:hAnsi="Times New Roman" w:cs="Times New Roman"/>
          <w:sz w:val="24"/>
          <w:szCs w:val="24"/>
        </w:rPr>
        <w:t xml:space="preserve">The two will, of course, </w:t>
      </w:r>
      <w:r w:rsidR="00817BF5" w:rsidRPr="001D5615">
        <w:rPr>
          <w:rFonts w:ascii="Times New Roman" w:hAnsi="Times New Roman" w:cs="Times New Roman"/>
          <w:sz w:val="24"/>
          <w:szCs w:val="24"/>
        </w:rPr>
        <w:t>coincide in many cases: a person ought to know of a decision when it is published in accordance with a governing statutory regime.  That will not always, however, be the earliest point at which knowledge of the decision should be imputed</w:t>
      </w:r>
      <w:r w:rsidR="00F33AAF">
        <w:rPr>
          <w:rFonts w:ascii="Times New Roman" w:hAnsi="Times New Roman" w:cs="Times New Roman"/>
          <w:sz w:val="24"/>
          <w:szCs w:val="24"/>
        </w:rPr>
        <w:t xml:space="preserve"> and, obviously, if a party learns of a decision before publication they cannot contend that time should only be computed from the point of publication</w:t>
      </w:r>
      <w:r w:rsidR="00817BF5" w:rsidRPr="001D5615">
        <w:rPr>
          <w:rFonts w:ascii="Times New Roman" w:hAnsi="Times New Roman" w:cs="Times New Roman"/>
          <w:sz w:val="24"/>
          <w:szCs w:val="24"/>
        </w:rPr>
        <w:t>.</w:t>
      </w:r>
    </w:p>
    <w:p w14:paraId="26B6435D" w14:textId="77777777" w:rsidR="000F1CC5" w:rsidRPr="00894D61" w:rsidRDefault="000F1CC5" w:rsidP="00894D61">
      <w:pPr>
        <w:pStyle w:val="ListParagraph"/>
        <w:spacing w:before="240" w:line="480" w:lineRule="auto"/>
        <w:jc w:val="both"/>
        <w:rPr>
          <w:rFonts w:ascii="Times New Roman" w:hAnsi="Times New Roman" w:cs="Times New Roman"/>
          <w:b/>
          <w:sz w:val="24"/>
          <w:szCs w:val="24"/>
        </w:rPr>
      </w:pPr>
      <w:r w:rsidRPr="00894D61">
        <w:rPr>
          <w:rFonts w:ascii="Times New Roman" w:hAnsi="Times New Roman" w:cs="Times New Roman"/>
          <w:sz w:val="24"/>
          <w:szCs w:val="24"/>
        </w:rPr>
        <w:t xml:space="preserve">  </w:t>
      </w:r>
    </w:p>
    <w:p w14:paraId="39431F20" w14:textId="77777777" w:rsidR="000F1CC5" w:rsidRPr="000F1CC5" w:rsidRDefault="000F1CC5" w:rsidP="000F1CC5">
      <w:pPr>
        <w:pStyle w:val="ListParagraph"/>
        <w:numPr>
          <w:ilvl w:val="0"/>
          <w:numId w:val="3"/>
        </w:numPr>
        <w:spacing w:before="240" w:line="480" w:lineRule="auto"/>
        <w:jc w:val="both"/>
        <w:rPr>
          <w:rFonts w:ascii="Times New Roman" w:hAnsi="Times New Roman" w:cs="Times New Roman"/>
          <w:i/>
          <w:sz w:val="24"/>
          <w:szCs w:val="24"/>
        </w:rPr>
      </w:pPr>
      <w:r>
        <w:rPr>
          <w:rFonts w:ascii="Times New Roman" w:hAnsi="Times New Roman" w:cs="Times New Roman"/>
          <w:i/>
          <w:sz w:val="24"/>
          <w:szCs w:val="24"/>
        </w:rPr>
        <w:t xml:space="preserve"> Conclusion on the running of time</w:t>
      </w:r>
    </w:p>
    <w:p w14:paraId="5F0DEE62" w14:textId="77777777" w:rsidR="000F1CC5" w:rsidRPr="000F1CC5" w:rsidRDefault="000F1CC5" w:rsidP="000F1CC5">
      <w:pPr>
        <w:pStyle w:val="ListParagraph"/>
        <w:spacing w:before="240" w:line="480" w:lineRule="auto"/>
        <w:jc w:val="both"/>
        <w:rPr>
          <w:rFonts w:ascii="Times New Roman" w:hAnsi="Times New Roman" w:cs="Times New Roman"/>
          <w:b/>
          <w:sz w:val="24"/>
          <w:szCs w:val="24"/>
        </w:rPr>
      </w:pPr>
      <w:r>
        <w:rPr>
          <w:rFonts w:ascii="Times New Roman" w:hAnsi="Times New Roman" w:cs="Times New Roman"/>
          <w:sz w:val="24"/>
          <w:szCs w:val="24"/>
        </w:rPr>
        <w:t xml:space="preserve">  </w:t>
      </w:r>
    </w:p>
    <w:p w14:paraId="347F04B0" w14:textId="71005BC5" w:rsidR="005444B1" w:rsidRPr="000F1CC5" w:rsidRDefault="005444B1" w:rsidP="000F1CC5">
      <w:pPr>
        <w:pStyle w:val="ListParagraph"/>
        <w:numPr>
          <w:ilvl w:val="0"/>
          <w:numId w:val="1"/>
        </w:numPr>
        <w:spacing w:before="240" w:line="480" w:lineRule="auto"/>
        <w:jc w:val="both"/>
        <w:rPr>
          <w:rFonts w:ascii="Times New Roman" w:hAnsi="Times New Roman" w:cs="Times New Roman"/>
          <w:b/>
          <w:sz w:val="24"/>
          <w:szCs w:val="24"/>
        </w:rPr>
      </w:pPr>
      <w:r w:rsidRPr="000F1CC5">
        <w:rPr>
          <w:rFonts w:ascii="Times New Roman" w:hAnsi="Times New Roman" w:cs="Times New Roman"/>
          <w:sz w:val="24"/>
          <w:szCs w:val="24"/>
        </w:rPr>
        <w:t>In summary:</w:t>
      </w:r>
    </w:p>
    <w:p w14:paraId="07E39AAC" w14:textId="77777777" w:rsidR="005444B1" w:rsidRPr="005444B1" w:rsidRDefault="005444B1" w:rsidP="005444B1">
      <w:pPr>
        <w:pStyle w:val="ListParagraph"/>
        <w:rPr>
          <w:rFonts w:ascii="Times New Roman" w:hAnsi="Times New Roman" w:cs="Times New Roman"/>
          <w:sz w:val="24"/>
          <w:szCs w:val="24"/>
        </w:rPr>
      </w:pPr>
    </w:p>
    <w:p w14:paraId="41B17DF1" w14:textId="35CD7932" w:rsidR="005444B1" w:rsidRPr="005444B1" w:rsidRDefault="005444B1" w:rsidP="005444B1">
      <w:pPr>
        <w:pStyle w:val="ListParagraph"/>
        <w:numPr>
          <w:ilvl w:val="0"/>
          <w:numId w:val="10"/>
        </w:numPr>
        <w:spacing w:before="240" w:line="480" w:lineRule="auto"/>
        <w:jc w:val="both"/>
        <w:rPr>
          <w:rFonts w:ascii="Times New Roman" w:hAnsi="Times New Roman" w:cs="Times New Roman"/>
          <w:b/>
          <w:sz w:val="24"/>
          <w:szCs w:val="24"/>
        </w:rPr>
      </w:pPr>
      <w:r>
        <w:rPr>
          <w:rFonts w:ascii="Times New Roman" w:hAnsi="Times New Roman" w:cs="Times New Roman"/>
          <w:sz w:val="24"/>
          <w:szCs w:val="24"/>
        </w:rPr>
        <w:t>Time runs for the purposes of Order 84 Rule 21(1) from the point at which</w:t>
      </w:r>
      <w:r w:rsidR="000F1CC5">
        <w:rPr>
          <w:rFonts w:ascii="Times New Roman" w:hAnsi="Times New Roman" w:cs="Times New Roman"/>
          <w:sz w:val="24"/>
          <w:szCs w:val="24"/>
        </w:rPr>
        <w:t xml:space="preserve"> there is a</w:t>
      </w:r>
      <w:r w:rsidR="000F1CC5" w:rsidRPr="007235DA">
        <w:rPr>
          <w:rFonts w:ascii="Times New Roman" w:hAnsi="Times New Roman" w:cs="Times New Roman"/>
          <w:sz w:val="24"/>
          <w:szCs w:val="24"/>
        </w:rPr>
        <w:t xml:space="preserve"> formal consequence </w:t>
      </w:r>
      <w:r w:rsidR="000F1CC5">
        <w:rPr>
          <w:rFonts w:ascii="Times New Roman" w:hAnsi="Times New Roman" w:cs="Times New Roman"/>
          <w:sz w:val="24"/>
          <w:szCs w:val="24"/>
        </w:rPr>
        <w:t xml:space="preserve">adverse </w:t>
      </w:r>
      <w:r w:rsidR="000F1CC5" w:rsidRPr="007235DA">
        <w:rPr>
          <w:rFonts w:ascii="Times New Roman" w:hAnsi="Times New Roman" w:cs="Times New Roman"/>
          <w:sz w:val="24"/>
          <w:szCs w:val="24"/>
        </w:rPr>
        <w:t>to the interests of the applicant</w:t>
      </w:r>
      <w:r w:rsidR="000F1CC5">
        <w:rPr>
          <w:rFonts w:ascii="Times New Roman" w:hAnsi="Times New Roman" w:cs="Times New Roman"/>
          <w:sz w:val="24"/>
          <w:szCs w:val="24"/>
        </w:rPr>
        <w:t>, this being</w:t>
      </w:r>
      <w:r w:rsidR="00206923">
        <w:rPr>
          <w:rFonts w:ascii="Times New Roman" w:hAnsi="Times New Roman" w:cs="Times New Roman"/>
          <w:sz w:val="24"/>
          <w:szCs w:val="24"/>
        </w:rPr>
        <w:t>,</w:t>
      </w:r>
      <w:r w:rsidR="000F1CC5">
        <w:rPr>
          <w:rFonts w:ascii="Times New Roman" w:hAnsi="Times New Roman" w:cs="Times New Roman"/>
          <w:sz w:val="24"/>
          <w:szCs w:val="24"/>
        </w:rPr>
        <w:t xml:space="preserve"> in this case</w:t>
      </w:r>
      <w:r w:rsidR="00206923">
        <w:rPr>
          <w:rFonts w:ascii="Times New Roman" w:hAnsi="Times New Roman" w:cs="Times New Roman"/>
          <w:sz w:val="24"/>
          <w:szCs w:val="24"/>
        </w:rPr>
        <w:t>,</w:t>
      </w:r>
      <w:r w:rsidR="000F1CC5">
        <w:rPr>
          <w:rFonts w:ascii="Times New Roman" w:hAnsi="Times New Roman" w:cs="Times New Roman"/>
          <w:sz w:val="24"/>
          <w:szCs w:val="24"/>
        </w:rPr>
        <w:t xml:space="preserve"> when a </w:t>
      </w:r>
      <w:r>
        <w:rPr>
          <w:rFonts w:ascii="Times New Roman" w:hAnsi="Times New Roman" w:cs="Times New Roman"/>
          <w:sz w:val="24"/>
          <w:szCs w:val="24"/>
        </w:rPr>
        <w:t>decision having legal effect is made.  That may coincide with the date of the publication of the decision if the relevant legal provisions have this effect, expressly or by necessary implication.</w:t>
      </w:r>
    </w:p>
    <w:p w14:paraId="51396F00" w14:textId="77777777" w:rsidR="005444B1" w:rsidRPr="005444B1" w:rsidRDefault="005444B1" w:rsidP="005444B1">
      <w:pPr>
        <w:pStyle w:val="ListParagraph"/>
        <w:spacing w:before="240" w:line="480" w:lineRule="auto"/>
        <w:ind w:left="1440"/>
        <w:jc w:val="both"/>
        <w:rPr>
          <w:rFonts w:ascii="Times New Roman" w:hAnsi="Times New Roman" w:cs="Times New Roman"/>
          <w:b/>
          <w:sz w:val="24"/>
          <w:szCs w:val="24"/>
        </w:rPr>
      </w:pPr>
      <w:r>
        <w:rPr>
          <w:rFonts w:ascii="Times New Roman" w:hAnsi="Times New Roman" w:cs="Times New Roman"/>
          <w:sz w:val="24"/>
          <w:szCs w:val="24"/>
        </w:rPr>
        <w:t xml:space="preserve">  </w:t>
      </w:r>
    </w:p>
    <w:p w14:paraId="236434C9" w14:textId="3A1A5147" w:rsidR="005444B1" w:rsidRPr="005444B1" w:rsidRDefault="005444B1" w:rsidP="005444B1">
      <w:pPr>
        <w:pStyle w:val="ListParagraph"/>
        <w:numPr>
          <w:ilvl w:val="0"/>
          <w:numId w:val="10"/>
        </w:numPr>
        <w:spacing w:before="240" w:line="480" w:lineRule="auto"/>
        <w:jc w:val="both"/>
        <w:rPr>
          <w:rFonts w:ascii="Times New Roman" w:hAnsi="Times New Roman" w:cs="Times New Roman"/>
          <w:b/>
          <w:sz w:val="24"/>
          <w:szCs w:val="24"/>
        </w:rPr>
      </w:pPr>
      <w:r>
        <w:rPr>
          <w:rFonts w:ascii="Times New Roman" w:hAnsi="Times New Roman" w:cs="Times New Roman"/>
          <w:sz w:val="24"/>
          <w:szCs w:val="24"/>
        </w:rPr>
        <w:t xml:space="preserve">There is nothing in the provisions of the Directive or in the </w:t>
      </w:r>
      <w:r w:rsidR="00201ED5">
        <w:rPr>
          <w:rFonts w:ascii="Times New Roman" w:hAnsi="Times New Roman" w:cs="Times New Roman"/>
          <w:sz w:val="24"/>
          <w:szCs w:val="24"/>
        </w:rPr>
        <w:t xml:space="preserve">2007 </w:t>
      </w:r>
      <w:r>
        <w:rPr>
          <w:rFonts w:ascii="Times New Roman" w:hAnsi="Times New Roman" w:cs="Times New Roman"/>
          <w:sz w:val="24"/>
          <w:szCs w:val="24"/>
        </w:rPr>
        <w:t xml:space="preserve">Regulations that postpones the legal efficacy of a decision granting a market authorisation </w:t>
      </w:r>
      <w:r>
        <w:rPr>
          <w:rFonts w:ascii="Times New Roman" w:hAnsi="Times New Roman" w:cs="Times New Roman"/>
          <w:sz w:val="24"/>
          <w:szCs w:val="24"/>
        </w:rPr>
        <w:lastRenderedPageBreak/>
        <w:t>to the point at which that decision is published in accordance with Article 25(4) of the Directive.</w:t>
      </w:r>
    </w:p>
    <w:p w14:paraId="5649B811" w14:textId="77777777" w:rsidR="005444B1" w:rsidRPr="005444B1" w:rsidRDefault="005444B1" w:rsidP="005444B1">
      <w:pPr>
        <w:pStyle w:val="ListParagraph"/>
        <w:rPr>
          <w:rFonts w:ascii="Times New Roman" w:hAnsi="Times New Roman" w:cs="Times New Roman"/>
          <w:b/>
          <w:sz w:val="24"/>
          <w:szCs w:val="24"/>
        </w:rPr>
      </w:pPr>
    </w:p>
    <w:p w14:paraId="65275517" w14:textId="26AF4AE8" w:rsidR="005444B1" w:rsidRPr="00B862E6" w:rsidRDefault="000F1CC5" w:rsidP="005444B1">
      <w:pPr>
        <w:pStyle w:val="ListParagraph"/>
        <w:numPr>
          <w:ilvl w:val="0"/>
          <w:numId w:val="10"/>
        </w:numPr>
        <w:spacing w:before="240" w:line="480" w:lineRule="auto"/>
        <w:jc w:val="both"/>
        <w:rPr>
          <w:rFonts w:ascii="Times New Roman" w:hAnsi="Times New Roman" w:cs="Times New Roman"/>
          <w:b/>
          <w:sz w:val="24"/>
          <w:szCs w:val="24"/>
        </w:rPr>
      </w:pPr>
      <w:r>
        <w:rPr>
          <w:rFonts w:ascii="Times New Roman" w:hAnsi="Times New Roman" w:cs="Times New Roman"/>
          <w:sz w:val="24"/>
          <w:szCs w:val="24"/>
        </w:rPr>
        <w:t>It follows that publication of the decision did not affect the running of time under Order 84 R</w:t>
      </w:r>
      <w:r w:rsidR="00206923">
        <w:rPr>
          <w:rFonts w:ascii="Times New Roman" w:hAnsi="Times New Roman" w:cs="Times New Roman"/>
          <w:sz w:val="24"/>
          <w:szCs w:val="24"/>
        </w:rPr>
        <w:t>ule</w:t>
      </w:r>
      <w:r>
        <w:rPr>
          <w:rFonts w:ascii="Times New Roman" w:hAnsi="Times New Roman" w:cs="Times New Roman"/>
          <w:sz w:val="24"/>
          <w:szCs w:val="24"/>
        </w:rPr>
        <w:t xml:space="preserve"> 21(1)</w:t>
      </w:r>
      <w:r w:rsidR="00F351D5">
        <w:rPr>
          <w:rFonts w:ascii="Times New Roman" w:hAnsi="Times New Roman" w:cs="Times New Roman"/>
          <w:sz w:val="24"/>
          <w:szCs w:val="24"/>
        </w:rPr>
        <w:t>.</w:t>
      </w:r>
    </w:p>
    <w:p w14:paraId="30F8494B" w14:textId="77777777" w:rsidR="00B862E6" w:rsidRPr="00B862E6" w:rsidRDefault="00B862E6" w:rsidP="00B862E6">
      <w:pPr>
        <w:pStyle w:val="ListParagraph"/>
        <w:rPr>
          <w:rFonts w:ascii="Times New Roman" w:hAnsi="Times New Roman" w:cs="Times New Roman"/>
          <w:b/>
          <w:sz w:val="24"/>
          <w:szCs w:val="24"/>
        </w:rPr>
      </w:pPr>
    </w:p>
    <w:p w14:paraId="40209857" w14:textId="2DD974A8" w:rsidR="002A7369" w:rsidRPr="007B0EC2" w:rsidRDefault="00B862E6" w:rsidP="007B0EC2">
      <w:pPr>
        <w:pStyle w:val="ListParagraph"/>
        <w:numPr>
          <w:ilvl w:val="0"/>
          <w:numId w:val="10"/>
        </w:numPr>
        <w:spacing w:before="240" w:line="480" w:lineRule="auto"/>
        <w:jc w:val="both"/>
        <w:rPr>
          <w:rFonts w:ascii="Times New Roman" w:hAnsi="Times New Roman" w:cs="Times New Roman"/>
          <w:b/>
          <w:sz w:val="24"/>
          <w:szCs w:val="24"/>
        </w:rPr>
      </w:pPr>
      <w:r>
        <w:rPr>
          <w:rFonts w:ascii="Times New Roman" w:hAnsi="Times New Roman" w:cs="Times New Roman"/>
          <w:sz w:val="24"/>
          <w:szCs w:val="24"/>
        </w:rPr>
        <w:t xml:space="preserve">However, because (for the reasons I have outlined earlier) I am approaching this case on the basis (but without finally so deciding) that Arthropharm enjoyed a right under Article 47 of the Charter to challenge the decision to grant a marketing authorisation the court must, following the decision of </w:t>
      </w:r>
      <w:r w:rsidR="00206923">
        <w:rPr>
          <w:rFonts w:ascii="Times New Roman" w:hAnsi="Times New Roman" w:cs="Times New Roman"/>
          <w:sz w:val="24"/>
          <w:szCs w:val="24"/>
        </w:rPr>
        <w:t xml:space="preserve">the </w:t>
      </w:r>
      <w:r>
        <w:rPr>
          <w:rFonts w:ascii="Times New Roman" w:hAnsi="Times New Roman" w:cs="Times New Roman"/>
          <w:sz w:val="24"/>
          <w:szCs w:val="24"/>
        </w:rPr>
        <w:t xml:space="preserve">CJEU in </w:t>
      </w:r>
      <w:r>
        <w:rPr>
          <w:rFonts w:ascii="Times New Roman" w:hAnsi="Times New Roman" w:cs="Times New Roman"/>
          <w:i/>
          <w:sz w:val="24"/>
          <w:szCs w:val="24"/>
        </w:rPr>
        <w:t>Uniplex</w:t>
      </w:r>
      <w:r w:rsidR="00206923">
        <w:rPr>
          <w:rFonts w:ascii="Times New Roman" w:hAnsi="Times New Roman" w:cs="Times New Roman"/>
          <w:i/>
          <w:sz w:val="24"/>
          <w:szCs w:val="24"/>
        </w:rPr>
        <w:t>,</w:t>
      </w:r>
      <w:r>
        <w:rPr>
          <w:rFonts w:ascii="Times New Roman" w:hAnsi="Times New Roman" w:cs="Times New Roman"/>
          <w:sz w:val="24"/>
          <w:szCs w:val="24"/>
        </w:rPr>
        <w:t xml:space="preserve"> operate its discretion so that Arthropharm is given a three month period from the point at which it either knew or ‘</w:t>
      </w:r>
      <w:r>
        <w:rPr>
          <w:rFonts w:ascii="Times New Roman" w:hAnsi="Times New Roman" w:cs="Times New Roman"/>
          <w:i/>
          <w:sz w:val="24"/>
          <w:szCs w:val="24"/>
        </w:rPr>
        <w:t>ought to have known’</w:t>
      </w:r>
      <w:r>
        <w:rPr>
          <w:rFonts w:ascii="Times New Roman" w:hAnsi="Times New Roman" w:cs="Times New Roman"/>
          <w:sz w:val="24"/>
          <w:szCs w:val="24"/>
        </w:rPr>
        <w:t xml:space="preserve"> of that decision.</w:t>
      </w:r>
    </w:p>
    <w:p w14:paraId="3D811021" w14:textId="77777777" w:rsidR="007B0EC2" w:rsidRPr="007B0EC2" w:rsidRDefault="007B0EC2" w:rsidP="007B0EC2">
      <w:pPr>
        <w:pStyle w:val="ListParagraph"/>
        <w:rPr>
          <w:rFonts w:ascii="Times New Roman" w:hAnsi="Times New Roman" w:cs="Times New Roman"/>
          <w:b/>
          <w:sz w:val="24"/>
          <w:szCs w:val="24"/>
        </w:rPr>
      </w:pPr>
    </w:p>
    <w:p w14:paraId="19FBCDE5" w14:textId="77777777" w:rsidR="002A7369" w:rsidRPr="002A7369" w:rsidRDefault="002A7369" w:rsidP="002A7369">
      <w:pPr>
        <w:pStyle w:val="ListParagraph"/>
        <w:spacing w:before="240" w:line="480" w:lineRule="auto"/>
        <w:ind w:left="1440"/>
        <w:jc w:val="both"/>
        <w:rPr>
          <w:rFonts w:ascii="Times New Roman" w:hAnsi="Times New Roman" w:cs="Times New Roman"/>
          <w:b/>
          <w:sz w:val="24"/>
          <w:szCs w:val="24"/>
        </w:rPr>
      </w:pPr>
    </w:p>
    <w:p w14:paraId="6C168635" w14:textId="3BA2CE2B" w:rsidR="00534B11" w:rsidRDefault="00534B11" w:rsidP="00534B11">
      <w:pPr>
        <w:pStyle w:val="ListParagraph"/>
        <w:spacing w:before="240" w:line="480" w:lineRule="auto"/>
        <w:jc w:val="both"/>
        <w:rPr>
          <w:rFonts w:ascii="Times New Roman" w:hAnsi="Times New Roman" w:cs="Times New Roman"/>
          <w:sz w:val="24"/>
          <w:szCs w:val="24"/>
        </w:rPr>
      </w:pPr>
      <w:r>
        <w:rPr>
          <w:rFonts w:ascii="Times New Roman" w:hAnsi="Times New Roman" w:cs="Times New Roman"/>
          <w:b/>
          <w:i/>
          <w:sz w:val="24"/>
          <w:szCs w:val="24"/>
        </w:rPr>
        <w:t>Extending time</w:t>
      </w:r>
      <w:r w:rsidR="006E42FF">
        <w:rPr>
          <w:rFonts w:ascii="Times New Roman" w:hAnsi="Times New Roman" w:cs="Times New Roman"/>
          <w:b/>
          <w:i/>
          <w:sz w:val="24"/>
          <w:szCs w:val="24"/>
        </w:rPr>
        <w:t>:</w:t>
      </w:r>
      <w:r w:rsidR="00E82647">
        <w:rPr>
          <w:rFonts w:ascii="Times New Roman" w:hAnsi="Times New Roman" w:cs="Times New Roman"/>
          <w:b/>
          <w:i/>
          <w:sz w:val="24"/>
          <w:szCs w:val="24"/>
        </w:rPr>
        <w:t xml:space="preserve"> </w:t>
      </w:r>
      <w:r w:rsidR="006E42FF">
        <w:rPr>
          <w:rFonts w:ascii="Times New Roman" w:hAnsi="Times New Roman" w:cs="Times New Roman"/>
          <w:b/>
          <w:i/>
          <w:sz w:val="24"/>
          <w:szCs w:val="24"/>
        </w:rPr>
        <w:t>some general considerations</w:t>
      </w:r>
    </w:p>
    <w:p w14:paraId="37278C0D" w14:textId="77777777" w:rsidR="00E038B3" w:rsidRPr="00E038B3" w:rsidRDefault="00E038B3" w:rsidP="00E038B3">
      <w:pPr>
        <w:pStyle w:val="ListParagraph"/>
        <w:rPr>
          <w:rFonts w:ascii="Times New Roman" w:hAnsi="Times New Roman" w:cs="Times New Roman"/>
          <w:b/>
          <w:sz w:val="24"/>
          <w:szCs w:val="24"/>
        </w:rPr>
      </w:pPr>
    </w:p>
    <w:p w14:paraId="03349EAD" w14:textId="77777777" w:rsidR="00E038B3" w:rsidRPr="00E038B3" w:rsidRDefault="00E038B3" w:rsidP="00E038B3">
      <w:pPr>
        <w:pStyle w:val="ListParagraph"/>
        <w:spacing w:before="240" w:line="480" w:lineRule="auto"/>
        <w:jc w:val="both"/>
        <w:rPr>
          <w:rFonts w:ascii="Times New Roman" w:hAnsi="Times New Roman" w:cs="Times New Roman"/>
          <w:b/>
          <w:sz w:val="24"/>
          <w:szCs w:val="24"/>
        </w:rPr>
      </w:pPr>
    </w:p>
    <w:p w14:paraId="14B7FF0F" w14:textId="77777777" w:rsidR="0017496E" w:rsidRPr="00785FE2" w:rsidRDefault="0017496E" w:rsidP="00785FE2">
      <w:pPr>
        <w:pStyle w:val="ListParagraph"/>
        <w:numPr>
          <w:ilvl w:val="0"/>
          <w:numId w:val="22"/>
        </w:numPr>
        <w:spacing w:before="240" w:line="480" w:lineRule="auto"/>
        <w:jc w:val="both"/>
        <w:rPr>
          <w:rFonts w:ascii="Times New Roman" w:hAnsi="Times New Roman" w:cs="Times New Roman"/>
          <w:i/>
          <w:sz w:val="24"/>
          <w:szCs w:val="24"/>
        </w:rPr>
      </w:pPr>
      <w:r w:rsidRPr="00785FE2">
        <w:rPr>
          <w:rFonts w:ascii="Times New Roman" w:hAnsi="Times New Roman" w:cs="Times New Roman"/>
          <w:i/>
          <w:sz w:val="24"/>
          <w:szCs w:val="24"/>
        </w:rPr>
        <w:t>The proceedings.</w:t>
      </w:r>
    </w:p>
    <w:p w14:paraId="71C09C5E" w14:textId="77777777" w:rsidR="00537AF9" w:rsidRPr="003B3B43" w:rsidRDefault="0017496E" w:rsidP="003B3B43">
      <w:pPr>
        <w:pStyle w:val="ListParagraph"/>
        <w:spacing w:before="240" w:line="48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00537AF9" w:rsidRPr="003B3B43">
        <w:rPr>
          <w:rFonts w:ascii="Times New Roman" w:hAnsi="Times New Roman" w:cs="Times New Roman"/>
          <w:b/>
          <w:sz w:val="24"/>
          <w:szCs w:val="24"/>
        </w:rPr>
        <w:t xml:space="preserve">  </w:t>
      </w:r>
    </w:p>
    <w:p w14:paraId="79978755" w14:textId="60C1049C" w:rsidR="0094497A" w:rsidRPr="00784798" w:rsidRDefault="00CA6DAA" w:rsidP="0071398E">
      <w:pPr>
        <w:pStyle w:val="ListParagraph"/>
        <w:numPr>
          <w:ilvl w:val="0"/>
          <w:numId w:val="1"/>
        </w:numPr>
        <w:spacing w:before="240" w:line="480" w:lineRule="auto"/>
        <w:jc w:val="both"/>
        <w:rPr>
          <w:rFonts w:ascii="Times New Roman" w:hAnsi="Times New Roman" w:cs="Times New Roman"/>
          <w:b/>
          <w:sz w:val="24"/>
          <w:szCs w:val="24"/>
        </w:rPr>
      </w:pPr>
      <w:r>
        <w:rPr>
          <w:rFonts w:ascii="Times New Roman" w:hAnsi="Times New Roman" w:cs="Times New Roman"/>
          <w:sz w:val="24"/>
          <w:szCs w:val="24"/>
        </w:rPr>
        <w:t>Critical</w:t>
      </w:r>
      <w:r w:rsidR="0094497A">
        <w:rPr>
          <w:rFonts w:ascii="Times New Roman" w:hAnsi="Times New Roman" w:cs="Times New Roman"/>
          <w:sz w:val="24"/>
          <w:szCs w:val="24"/>
        </w:rPr>
        <w:t xml:space="preserve"> to Arthropharm’s challenge is the </w:t>
      </w:r>
      <w:r w:rsidR="00784798">
        <w:rPr>
          <w:rFonts w:ascii="Times New Roman" w:hAnsi="Times New Roman" w:cs="Times New Roman"/>
          <w:sz w:val="24"/>
          <w:szCs w:val="24"/>
        </w:rPr>
        <w:t xml:space="preserve">meaning </w:t>
      </w:r>
      <w:r w:rsidR="0094497A">
        <w:rPr>
          <w:rFonts w:ascii="Times New Roman" w:hAnsi="Times New Roman" w:cs="Times New Roman"/>
          <w:sz w:val="24"/>
          <w:szCs w:val="24"/>
        </w:rPr>
        <w:t>of ‘</w:t>
      </w:r>
      <w:r w:rsidR="0094497A">
        <w:rPr>
          <w:rFonts w:ascii="Times New Roman" w:hAnsi="Times New Roman" w:cs="Times New Roman"/>
          <w:i/>
          <w:sz w:val="24"/>
          <w:szCs w:val="24"/>
        </w:rPr>
        <w:t>generic medicinal produ</w:t>
      </w:r>
      <w:r w:rsidR="00784798">
        <w:rPr>
          <w:rFonts w:ascii="Times New Roman" w:hAnsi="Times New Roman" w:cs="Times New Roman"/>
          <w:i/>
          <w:sz w:val="24"/>
          <w:szCs w:val="24"/>
        </w:rPr>
        <w:t xml:space="preserve">ct’.  </w:t>
      </w:r>
      <w:r w:rsidR="00784798">
        <w:rPr>
          <w:rFonts w:ascii="Times New Roman" w:hAnsi="Times New Roman" w:cs="Times New Roman"/>
          <w:sz w:val="24"/>
          <w:szCs w:val="24"/>
        </w:rPr>
        <w:t xml:space="preserve">This defines the precondition to the use of the procedure provided for by Article 13.  </w:t>
      </w:r>
      <w:r w:rsidR="00AD69DE">
        <w:rPr>
          <w:rFonts w:ascii="Times New Roman" w:hAnsi="Times New Roman" w:cs="Times New Roman"/>
          <w:sz w:val="24"/>
          <w:szCs w:val="24"/>
        </w:rPr>
        <w:t xml:space="preserve">Article 13(2)(b) </w:t>
      </w:r>
      <w:r w:rsidR="00784798">
        <w:rPr>
          <w:rFonts w:ascii="Times New Roman" w:hAnsi="Times New Roman" w:cs="Times New Roman"/>
          <w:sz w:val="24"/>
          <w:szCs w:val="24"/>
        </w:rPr>
        <w:t>is as follows:</w:t>
      </w:r>
    </w:p>
    <w:p w14:paraId="1BA5AE98" w14:textId="3E27BF28" w:rsidR="00784798" w:rsidRDefault="00784798" w:rsidP="00784798">
      <w:pPr>
        <w:pStyle w:val="ListParagraph"/>
        <w:spacing w:before="240" w:line="480" w:lineRule="auto"/>
        <w:ind w:left="786"/>
        <w:jc w:val="both"/>
        <w:rPr>
          <w:rFonts w:ascii="Times New Roman" w:hAnsi="Times New Roman" w:cs="Times New Roman"/>
          <w:b/>
          <w:sz w:val="24"/>
          <w:szCs w:val="24"/>
        </w:rPr>
      </w:pPr>
    </w:p>
    <w:p w14:paraId="15DD3561" w14:textId="77D5D107" w:rsidR="00784798" w:rsidRPr="00784798" w:rsidRDefault="00784798" w:rsidP="00784798">
      <w:pPr>
        <w:pStyle w:val="ListParagraph"/>
        <w:spacing w:before="240" w:line="480" w:lineRule="auto"/>
        <w:ind w:left="1440"/>
        <w:jc w:val="both"/>
        <w:rPr>
          <w:rFonts w:ascii="Times New Roman" w:hAnsi="Times New Roman" w:cs="Times New Roman"/>
          <w:i/>
          <w:sz w:val="24"/>
          <w:szCs w:val="24"/>
        </w:rPr>
      </w:pPr>
      <w:r>
        <w:rPr>
          <w:rFonts w:ascii="Times New Roman" w:hAnsi="Times New Roman" w:cs="Times New Roman"/>
          <w:i/>
          <w:sz w:val="24"/>
          <w:szCs w:val="24"/>
        </w:rPr>
        <w:t xml:space="preserve">‘generic medicinal product shall mean a medicinal product which had the same qualitative and quantitative composition in active substances and the same pharmaceutical form as the reference medicinal product, and whose bioequivalence with the reference medicinal product </w:t>
      </w:r>
      <w:r w:rsidR="00FD7FF7">
        <w:rPr>
          <w:rFonts w:ascii="Times New Roman" w:hAnsi="Times New Roman" w:cs="Times New Roman"/>
          <w:i/>
          <w:sz w:val="24"/>
          <w:szCs w:val="24"/>
        </w:rPr>
        <w:t xml:space="preserve">has been demonstrated by </w:t>
      </w:r>
      <w:r w:rsidR="00FD7FF7">
        <w:rPr>
          <w:rFonts w:ascii="Times New Roman" w:hAnsi="Times New Roman" w:cs="Times New Roman"/>
          <w:i/>
          <w:sz w:val="24"/>
          <w:szCs w:val="24"/>
        </w:rPr>
        <w:lastRenderedPageBreak/>
        <w:t xml:space="preserve">appropriate bioavailability </w:t>
      </w:r>
      <w:r w:rsidR="00416A4E">
        <w:rPr>
          <w:rFonts w:ascii="Times New Roman" w:hAnsi="Times New Roman" w:cs="Times New Roman"/>
          <w:i/>
          <w:sz w:val="24"/>
          <w:szCs w:val="24"/>
        </w:rPr>
        <w:t xml:space="preserve">studies.  The different salts, esters, </w:t>
      </w:r>
      <w:r w:rsidR="00B54C83">
        <w:rPr>
          <w:rFonts w:ascii="Times New Roman" w:hAnsi="Times New Roman" w:cs="Times New Roman"/>
          <w:i/>
          <w:sz w:val="24"/>
          <w:szCs w:val="24"/>
        </w:rPr>
        <w:t>e</w:t>
      </w:r>
      <w:r w:rsidR="00416A4E">
        <w:rPr>
          <w:rFonts w:ascii="Times New Roman" w:hAnsi="Times New Roman" w:cs="Times New Roman"/>
          <w:i/>
          <w:sz w:val="24"/>
          <w:szCs w:val="24"/>
        </w:rPr>
        <w:t xml:space="preserve">thers, isomers, mixtures of isomers, complexes, or derivatives of an active substance shall be considered to be the same active substance unless they differ significantly in properties with regard to safety and/or efficacy </w:t>
      </w:r>
      <w:r w:rsidR="00B54C83">
        <w:rPr>
          <w:rFonts w:ascii="Times New Roman" w:hAnsi="Times New Roman" w:cs="Times New Roman"/>
          <w:i/>
          <w:sz w:val="24"/>
          <w:szCs w:val="24"/>
        </w:rPr>
        <w:t>…</w:t>
      </w:r>
      <w:r w:rsidR="00416A4E">
        <w:rPr>
          <w:rFonts w:ascii="Times New Roman" w:hAnsi="Times New Roman" w:cs="Times New Roman"/>
          <w:i/>
          <w:sz w:val="24"/>
          <w:szCs w:val="24"/>
        </w:rPr>
        <w:t xml:space="preserve"> </w:t>
      </w:r>
      <w:r w:rsidR="00E82647">
        <w:rPr>
          <w:rFonts w:ascii="Times New Roman" w:hAnsi="Times New Roman" w:cs="Times New Roman"/>
          <w:i/>
          <w:sz w:val="24"/>
          <w:szCs w:val="24"/>
        </w:rPr>
        <w:t>Bioavailability</w:t>
      </w:r>
      <w:r w:rsidR="00416A4E">
        <w:rPr>
          <w:rFonts w:ascii="Times New Roman" w:hAnsi="Times New Roman" w:cs="Times New Roman"/>
          <w:i/>
          <w:sz w:val="24"/>
          <w:szCs w:val="24"/>
        </w:rPr>
        <w:t xml:space="preserve"> studies need not be required of the applicant if he can demonstrate that the generic medicinal product meets the relevant criteria as defined in the appropriate detailed guidelines.‘</w:t>
      </w:r>
    </w:p>
    <w:p w14:paraId="07C9A49B" w14:textId="77777777" w:rsidR="0094497A" w:rsidRPr="0094497A" w:rsidRDefault="0094497A" w:rsidP="0094497A">
      <w:pPr>
        <w:pStyle w:val="ListParagraph"/>
        <w:spacing w:before="240" w:line="480" w:lineRule="auto"/>
        <w:ind w:left="786"/>
        <w:jc w:val="both"/>
        <w:rPr>
          <w:rFonts w:ascii="Times New Roman" w:hAnsi="Times New Roman" w:cs="Times New Roman"/>
          <w:b/>
          <w:sz w:val="24"/>
          <w:szCs w:val="24"/>
        </w:rPr>
      </w:pPr>
      <w:r>
        <w:rPr>
          <w:rFonts w:ascii="Times New Roman" w:hAnsi="Times New Roman" w:cs="Times New Roman"/>
          <w:sz w:val="24"/>
          <w:szCs w:val="24"/>
        </w:rPr>
        <w:t xml:space="preserve">  </w:t>
      </w:r>
    </w:p>
    <w:p w14:paraId="68011A7B" w14:textId="1492724D" w:rsidR="00C207B5" w:rsidRPr="00C207B5" w:rsidRDefault="00950096" w:rsidP="0071398E">
      <w:pPr>
        <w:pStyle w:val="ListParagraph"/>
        <w:numPr>
          <w:ilvl w:val="0"/>
          <w:numId w:val="1"/>
        </w:numPr>
        <w:spacing w:before="240" w:line="480" w:lineRule="auto"/>
        <w:jc w:val="both"/>
        <w:rPr>
          <w:rFonts w:ascii="Times New Roman" w:hAnsi="Times New Roman" w:cs="Times New Roman"/>
          <w:b/>
          <w:sz w:val="24"/>
          <w:szCs w:val="24"/>
        </w:rPr>
      </w:pPr>
      <w:r>
        <w:rPr>
          <w:rFonts w:ascii="Times New Roman" w:hAnsi="Times New Roman" w:cs="Times New Roman"/>
          <w:sz w:val="24"/>
          <w:szCs w:val="24"/>
        </w:rPr>
        <w:t xml:space="preserve">Article 13(3) then provides that where a veterinary medicinal product does not fall under the definition of a generic medicinal product as defined in para. 2(b) </w:t>
      </w:r>
      <w:r>
        <w:rPr>
          <w:rFonts w:ascii="Times New Roman" w:hAnsi="Times New Roman" w:cs="Times New Roman"/>
          <w:i/>
          <w:sz w:val="24"/>
          <w:szCs w:val="24"/>
        </w:rPr>
        <w:t xml:space="preserve">or </w:t>
      </w:r>
      <w:r>
        <w:rPr>
          <w:rFonts w:ascii="Times New Roman" w:hAnsi="Times New Roman" w:cs="Times New Roman"/>
          <w:sz w:val="24"/>
          <w:szCs w:val="24"/>
        </w:rPr>
        <w:t>where bioequivalence cannot be demonstrated through bioavailability studies or in the case of changes to the active substance, therapeutic indications</w:t>
      </w:r>
      <w:r w:rsidR="00C207B5">
        <w:rPr>
          <w:rFonts w:ascii="Times New Roman" w:hAnsi="Times New Roman" w:cs="Times New Roman"/>
          <w:sz w:val="24"/>
          <w:szCs w:val="24"/>
        </w:rPr>
        <w:t xml:space="preserve">, strength, pharmaceutical form or route of administration </w:t>
      </w:r>
      <w:r w:rsidR="00C207B5">
        <w:rPr>
          <w:rFonts w:ascii="Times New Roman" w:hAnsi="Times New Roman" w:cs="Times New Roman"/>
          <w:i/>
          <w:sz w:val="24"/>
          <w:szCs w:val="24"/>
        </w:rPr>
        <w:t>vis</w:t>
      </w:r>
      <w:r w:rsidR="00E82647">
        <w:rPr>
          <w:rFonts w:ascii="Times New Roman" w:hAnsi="Times New Roman" w:cs="Times New Roman"/>
          <w:i/>
          <w:sz w:val="24"/>
          <w:szCs w:val="24"/>
        </w:rPr>
        <w:t>-á-</w:t>
      </w:r>
      <w:r w:rsidR="00C207B5">
        <w:rPr>
          <w:rFonts w:ascii="Times New Roman" w:hAnsi="Times New Roman" w:cs="Times New Roman"/>
          <w:i/>
          <w:sz w:val="24"/>
          <w:szCs w:val="24"/>
        </w:rPr>
        <w:t>vis</w:t>
      </w:r>
      <w:r w:rsidR="00C207B5">
        <w:rPr>
          <w:rFonts w:ascii="Times New Roman" w:hAnsi="Times New Roman" w:cs="Times New Roman"/>
          <w:sz w:val="24"/>
          <w:szCs w:val="24"/>
        </w:rPr>
        <w:t xml:space="preserve"> the reference product, the results of the appropriate safety and residue tests and pre-clinical tests or clinical trials shall be provided.</w:t>
      </w:r>
      <w:r w:rsidR="00537AF9">
        <w:rPr>
          <w:rFonts w:ascii="Times New Roman" w:hAnsi="Times New Roman" w:cs="Times New Roman"/>
          <w:sz w:val="24"/>
          <w:szCs w:val="24"/>
        </w:rPr>
        <w:t xml:space="preserve">  </w:t>
      </w:r>
    </w:p>
    <w:p w14:paraId="3774BA8B" w14:textId="77777777" w:rsidR="00C207B5" w:rsidRPr="00C207B5" w:rsidRDefault="00C207B5" w:rsidP="00C207B5">
      <w:pPr>
        <w:pStyle w:val="ListParagraph"/>
        <w:spacing w:before="240" w:line="480" w:lineRule="auto"/>
        <w:ind w:left="786"/>
        <w:jc w:val="both"/>
        <w:rPr>
          <w:rFonts w:ascii="Times New Roman" w:hAnsi="Times New Roman" w:cs="Times New Roman"/>
          <w:b/>
          <w:sz w:val="24"/>
          <w:szCs w:val="24"/>
        </w:rPr>
      </w:pPr>
      <w:r>
        <w:rPr>
          <w:rFonts w:ascii="Times New Roman" w:hAnsi="Times New Roman" w:cs="Times New Roman"/>
          <w:sz w:val="24"/>
          <w:szCs w:val="24"/>
        </w:rPr>
        <w:t xml:space="preserve">  </w:t>
      </w:r>
    </w:p>
    <w:p w14:paraId="053BC2A8" w14:textId="5627DD76" w:rsidR="0071398E" w:rsidRPr="00416A4E" w:rsidRDefault="00615A57" w:rsidP="0071398E">
      <w:pPr>
        <w:pStyle w:val="ListParagraph"/>
        <w:numPr>
          <w:ilvl w:val="0"/>
          <w:numId w:val="1"/>
        </w:numPr>
        <w:spacing w:before="240" w:line="480" w:lineRule="auto"/>
        <w:jc w:val="both"/>
        <w:rPr>
          <w:rFonts w:ascii="Times New Roman" w:hAnsi="Times New Roman" w:cs="Times New Roman"/>
          <w:b/>
          <w:sz w:val="24"/>
          <w:szCs w:val="24"/>
        </w:rPr>
      </w:pPr>
      <w:r>
        <w:rPr>
          <w:rFonts w:ascii="Times New Roman" w:hAnsi="Times New Roman" w:cs="Times New Roman"/>
          <w:sz w:val="24"/>
          <w:szCs w:val="24"/>
        </w:rPr>
        <w:t xml:space="preserve">Article 13(4) of the Directive </w:t>
      </w:r>
      <w:r w:rsidR="00A35A41">
        <w:rPr>
          <w:rFonts w:ascii="Times New Roman" w:hAnsi="Times New Roman" w:cs="Times New Roman"/>
          <w:sz w:val="24"/>
          <w:szCs w:val="24"/>
        </w:rPr>
        <w:t xml:space="preserve">essentially provides that </w:t>
      </w:r>
      <w:r>
        <w:rPr>
          <w:rFonts w:ascii="Times New Roman" w:hAnsi="Times New Roman" w:cs="Times New Roman"/>
          <w:sz w:val="24"/>
          <w:szCs w:val="24"/>
        </w:rPr>
        <w:t xml:space="preserve">if the active ingredient of the product is a biological substance, the assessment must </w:t>
      </w:r>
      <w:r w:rsidR="00416A4E">
        <w:rPr>
          <w:rFonts w:ascii="Times New Roman" w:hAnsi="Times New Roman" w:cs="Times New Roman"/>
          <w:sz w:val="24"/>
          <w:szCs w:val="24"/>
        </w:rPr>
        <w:t xml:space="preserve">in certain circumstances </w:t>
      </w:r>
      <w:r>
        <w:rPr>
          <w:rFonts w:ascii="Times New Roman" w:hAnsi="Times New Roman" w:cs="Times New Roman"/>
          <w:sz w:val="24"/>
          <w:szCs w:val="24"/>
        </w:rPr>
        <w:t>take account of ‘</w:t>
      </w:r>
      <w:r>
        <w:rPr>
          <w:rFonts w:ascii="Times New Roman" w:hAnsi="Times New Roman" w:cs="Times New Roman"/>
          <w:i/>
          <w:sz w:val="24"/>
          <w:szCs w:val="24"/>
        </w:rPr>
        <w:t xml:space="preserve">differences relating to raw materials or in manufacturing processes’ </w:t>
      </w:r>
      <w:r>
        <w:rPr>
          <w:rFonts w:ascii="Times New Roman" w:hAnsi="Times New Roman" w:cs="Times New Roman"/>
          <w:sz w:val="24"/>
          <w:szCs w:val="24"/>
        </w:rPr>
        <w:t>of the two products</w:t>
      </w:r>
      <w:r w:rsidR="00416A4E">
        <w:rPr>
          <w:rFonts w:ascii="Times New Roman" w:hAnsi="Times New Roman" w:cs="Times New Roman"/>
          <w:sz w:val="24"/>
          <w:szCs w:val="24"/>
        </w:rPr>
        <w:t>:</w:t>
      </w:r>
    </w:p>
    <w:p w14:paraId="6EDABEF4" w14:textId="58DC9AF6" w:rsidR="00416A4E" w:rsidRDefault="00416A4E" w:rsidP="00416A4E">
      <w:pPr>
        <w:pStyle w:val="ListParagraph"/>
        <w:spacing w:before="240" w:line="480" w:lineRule="auto"/>
        <w:ind w:left="786"/>
        <w:jc w:val="both"/>
        <w:rPr>
          <w:rFonts w:ascii="Times New Roman" w:hAnsi="Times New Roman" w:cs="Times New Roman"/>
          <w:b/>
          <w:sz w:val="24"/>
          <w:szCs w:val="24"/>
        </w:rPr>
      </w:pPr>
    </w:p>
    <w:p w14:paraId="2231C72E" w14:textId="15632166" w:rsidR="00416A4E" w:rsidRPr="00416A4E" w:rsidRDefault="00416A4E" w:rsidP="00416A4E">
      <w:pPr>
        <w:pStyle w:val="ListParagraph"/>
        <w:spacing w:before="240" w:line="480" w:lineRule="auto"/>
        <w:ind w:left="144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 xml:space="preserve">Where a biological veterinary medicinal product which is similar to a reference biological veterinary medicinal product does not meet the conditions in the definition of generic medicinal products owing to, in particular, differences related to raw materials or in manufacturing processes of the </w:t>
      </w:r>
      <w:r>
        <w:rPr>
          <w:rFonts w:ascii="Times New Roman" w:hAnsi="Times New Roman" w:cs="Times New Roman"/>
          <w:i/>
          <w:sz w:val="24"/>
          <w:szCs w:val="24"/>
        </w:rPr>
        <w:lastRenderedPageBreak/>
        <w:t>biological veterinary medicinal product, the results of appropriate pre-clinical tests or clinical trials relating to those conditions must be provided ….’</w:t>
      </w:r>
    </w:p>
    <w:p w14:paraId="60A747EC" w14:textId="77777777" w:rsidR="00271DE1" w:rsidRPr="0071398E" w:rsidRDefault="00271DE1" w:rsidP="00271DE1">
      <w:pPr>
        <w:pStyle w:val="ListParagraph"/>
        <w:spacing w:before="240" w:line="480" w:lineRule="auto"/>
        <w:jc w:val="both"/>
        <w:rPr>
          <w:rFonts w:ascii="Times New Roman" w:hAnsi="Times New Roman" w:cs="Times New Roman"/>
          <w:b/>
          <w:sz w:val="24"/>
          <w:szCs w:val="24"/>
        </w:rPr>
      </w:pPr>
    </w:p>
    <w:p w14:paraId="1996F67B" w14:textId="0B60EC33" w:rsidR="00767CEC" w:rsidRPr="00767CEC" w:rsidRDefault="00537AF9" w:rsidP="0071398E">
      <w:pPr>
        <w:pStyle w:val="ListParagraph"/>
        <w:numPr>
          <w:ilvl w:val="0"/>
          <w:numId w:val="1"/>
        </w:numPr>
        <w:spacing w:before="240" w:line="480" w:lineRule="auto"/>
        <w:jc w:val="both"/>
        <w:rPr>
          <w:rFonts w:ascii="Times New Roman" w:hAnsi="Times New Roman" w:cs="Times New Roman"/>
          <w:b/>
          <w:sz w:val="24"/>
          <w:szCs w:val="24"/>
        </w:rPr>
      </w:pPr>
      <w:r w:rsidRPr="0071398E">
        <w:rPr>
          <w:rFonts w:ascii="Times New Roman" w:hAnsi="Times New Roman" w:cs="Times New Roman"/>
          <w:sz w:val="24"/>
          <w:szCs w:val="24"/>
        </w:rPr>
        <w:t xml:space="preserve">These </w:t>
      </w:r>
      <w:r w:rsidR="00A35A41">
        <w:rPr>
          <w:rFonts w:ascii="Times New Roman" w:hAnsi="Times New Roman" w:cs="Times New Roman"/>
          <w:sz w:val="24"/>
          <w:szCs w:val="24"/>
        </w:rPr>
        <w:t xml:space="preserve">provisions </w:t>
      </w:r>
      <w:r w:rsidRPr="0071398E">
        <w:rPr>
          <w:rFonts w:ascii="Times New Roman" w:hAnsi="Times New Roman" w:cs="Times New Roman"/>
          <w:sz w:val="24"/>
          <w:szCs w:val="24"/>
        </w:rPr>
        <w:t xml:space="preserve">define the objection Arthropharm has to the use by </w:t>
      </w:r>
      <w:r w:rsidR="00F33AAF">
        <w:rPr>
          <w:rFonts w:ascii="Times New Roman" w:hAnsi="Times New Roman" w:cs="Times New Roman"/>
          <w:sz w:val="24"/>
          <w:szCs w:val="24"/>
        </w:rPr>
        <w:t xml:space="preserve">HPRA and </w:t>
      </w:r>
      <w:r w:rsidRPr="0071398E">
        <w:rPr>
          <w:rFonts w:ascii="Times New Roman" w:hAnsi="Times New Roman" w:cs="Times New Roman"/>
          <w:sz w:val="24"/>
          <w:szCs w:val="24"/>
        </w:rPr>
        <w:t xml:space="preserve">Chanelle of </w:t>
      </w:r>
      <w:r w:rsidR="004C138A" w:rsidRPr="0071398E">
        <w:rPr>
          <w:rFonts w:ascii="Times New Roman" w:hAnsi="Times New Roman" w:cs="Times New Roman"/>
          <w:sz w:val="24"/>
          <w:szCs w:val="24"/>
        </w:rPr>
        <w:t>Cartrophen</w:t>
      </w:r>
      <w:r w:rsidRPr="0071398E">
        <w:rPr>
          <w:rFonts w:ascii="Times New Roman" w:hAnsi="Times New Roman" w:cs="Times New Roman"/>
          <w:sz w:val="24"/>
          <w:szCs w:val="24"/>
        </w:rPr>
        <w:t xml:space="preserve"> as a reference product for Osteopen. </w:t>
      </w:r>
      <w:r w:rsidR="00934BBF">
        <w:rPr>
          <w:rFonts w:ascii="Times New Roman" w:hAnsi="Times New Roman" w:cs="Times New Roman"/>
          <w:sz w:val="24"/>
          <w:szCs w:val="24"/>
        </w:rPr>
        <w:t xml:space="preserve">As is clear from the </w:t>
      </w:r>
      <w:r w:rsidR="00767CEC">
        <w:rPr>
          <w:rFonts w:ascii="Times New Roman" w:hAnsi="Times New Roman" w:cs="Times New Roman"/>
          <w:sz w:val="24"/>
          <w:szCs w:val="24"/>
        </w:rPr>
        <w:t>assessment report</w:t>
      </w:r>
      <w:r w:rsidR="00121DA8">
        <w:rPr>
          <w:rFonts w:ascii="Times New Roman" w:hAnsi="Times New Roman" w:cs="Times New Roman"/>
          <w:sz w:val="24"/>
          <w:szCs w:val="24"/>
        </w:rPr>
        <w:t>,</w:t>
      </w:r>
      <w:r w:rsidR="00767CEC">
        <w:rPr>
          <w:rFonts w:ascii="Times New Roman" w:hAnsi="Times New Roman" w:cs="Times New Roman"/>
          <w:sz w:val="24"/>
          <w:szCs w:val="24"/>
        </w:rPr>
        <w:t xml:space="preserve"> HPRA accepted the omission of in-vivo bioequivalence data based upon the essential similarity between the generic and reference product formulations, and </w:t>
      </w:r>
      <w:r w:rsidR="00CA6DAA">
        <w:rPr>
          <w:rFonts w:ascii="Times New Roman" w:hAnsi="Times New Roman" w:cs="Times New Roman"/>
          <w:sz w:val="24"/>
          <w:szCs w:val="24"/>
        </w:rPr>
        <w:t xml:space="preserve">in particular </w:t>
      </w:r>
      <w:r w:rsidR="00767CEC">
        <w:rPr>
          <w:rFonts w:ascii="Times New Roman" w:hAnsi="Times New Roman" w:cs="Times New Roman"/>
          <w:sz w:val="24"/>
          <w:szCs w:val="24"/>
        </w:rPr>
        <w:t>because the application was a generic application pursuant to Article 13 of the 2001 Directive and bioequivalence with the reference product had been accepted by HPRA, a number of tests, data and studies were not required.</w:t>
      </w:r>
      <w:r w:rsidRPr="0071398E">
        <w:rPr>
          <w:rFonts w:ascii="Times New Roman" w:hAnsi="Times New Roman" w:cs="Times New Roman"/>
          <w:sz w:val="24"/>
          <w:szCs w:val="24"/>
        </w:rPr>
        <w:t xml:space="preserve"> </w:t>
      </w:r>
      <w:r w:rsidR="00767CEC">
        <w:rPr>
          <w:rFonts w:ascii="Times New Roman" w:hAnsi="Times New Roman" w:cs="Times New Roman"/>
          <w:sz w:val="24"/>
          <w:szCs w:val="24"/>
        </w:rPr>
        <w:t xml:space="preserve">  The report records that it was accepted ‘</w:t>
      </w:r>
      <w:r w:rsidR="00767CEC">
        <w:rPr>
          <w:rFonts w:ascii="Times New Roman" w:hAnsi="Times New Roman" w:cs="Times New Roman"/>
          <w:i/>
          <w:sz w:val="24"/>
          <w:szCs w:val="24"/>
        </w:rPr>
        <w:t xml:space="preserve">based upon satisfactory demonstration of essential similarity between the generic and reference product formulations’ </w:t>
      </w:r>
      <w:r w:rsidR="00767CEC">
        <w:rPr>
          <w:rFonts w:ascii="Times New Roman" w:hAnsi="Times New Roman" w:cs="Times New Roman"/>
          <w:sz w:val="24"/>
          <w:szCs w:val="24"/>
        </w:rPr>
        <w:t>that no difference in terms of safety for the user is anticipated between Osteopen and Cartrophen.</w:t>
      </w:r>
      <w:r w:rsidR="00C207B5">
        <w:rPr>
          <w:rFonts w:ascii="Times New Roman" w:hAnsi="Times New Roman" w:cs="Times New Roman"/>
          <w:sz w:val="24"/>
          <w:szCs w:val="24"/>
        </w:rPr>
        <w:t xml:space="preserve">  It also makes clear that a user safety assessment was provided in the course of the application process.</w:t>
      </w:r>
    </w:p>
    <w:p w14:paraId="7002E290" w14:textId="77777777" w:rsidR="00767CEC" w:rsidRPr="00767CEC" w:rsidRDefault="00767CEC" w:rsidP="00767CEC">
      <w:pPr>
        <w:pStyle w:val="ListParagraph"/>
        <w:spacing w:before="240" w:line="480" w:lineRule="auto"/>
        <w:ind w:left="786"/>
        <w:jc w:val="both"/>
        <w:rPr>
          <w:rFonts w:ascii="Times New Roman" w:hAnsi="Times New Roman" w:cs="Times New Roman"/>
          <w:b/>
          <w:sz w:val="24"/>
          <w:szCs w:val="24"/>
        </w:rPr>
      </w:pPr>
      <w:r>
        <w:rPr>
          <w:rFonts w:ascii="Times New Roman" w:hAnsi="Times New Roman" w:cs="Times New Roman"/>
          <w:sz w:val="24"/>
          <w:szCs w:val="24"/>
        </w:rPr>
        <w:t xml:space="preserve"> </w:t>
      </w:r>
    </w:p>
    <w:p w14:paraId="0C7F1EFA" w14:textId="779A2824" w:rsidR="0071398E" w:rsidRPr="0071398E" w:rsidRDefault="003B3B43" w:rsidP="0071398E">
      <w:pPr>
        <w:pStyle w:val="ListParagraph"/>
        <w:numPr>
          <w:ilvl w:val="0"/>
          <w:numId w:val="1"/>
        </w:numPr>
        <w:spacing w:before="240" w:line="480" w:lineRule="auto"/>
        <w:jc w:val="both"/>
        <w:rPr>
          <w:rFonts w:ascii="Times New Roman" w:hAnsi="Times New Roman" w:cs="Times New Roman"/>
          <w:b/>
          <w:sz w:val="24"/>
          <w:szCs w:val="24"/>
        </w:rPr>
      </w:pPr>
      <w:r w:rsidRPr="0071398E">
        <w:rPr>
          <w:rFonts w:ascii="Times New Roman" w:hAnsi="Times New Roman" w:cs="Times New Roman"/>
          <w:sz w:val="24"/>
          <w:szCs w:val="24"/>
        </w:rPr>
        <w:t xml:space="preserve">In seeking orders quashing the decision of </w:t>
      </w:r>
      <w:r w:rsidR="00F160A6">
        <w:rPr>
          <w:rFonts w:ascii="Times New Roman" w:hAnsi="Times New Roman" w:cs="Times New Roman"/>
          <w:sz w:val="24"/>
          <w:szCs w:val="24"/>
        </w:rPr>
        <w:t>HPRA</w:t>
      </w:r>
      <w:r w:rsidRPr="0071398E">
        <w:rPr>
          <w:rFonts w:ascii="Times New Roman" w:hAnsi="Times New Roman" w:cs="Times New Roman"/>
          <w:sz w:val="24"/>
          <w:szCs w:val="24"/>
        </w:rPr>
        <w:t xml:space="preserve"> that Osteopen is a generic of </w:t>
      </w:r>
      <w:r w:rsidR="004C138A" w:rsidRPr="0071398E">
        <w:rPr>
          <w:rFonts w:ascii="Times New Roman" w:hAnsi="Times New Roman" w:cs="Times New Roman"/>
          <w:sz w:val="24"/>
          <w:szCs w:val="24"/>
        </w:rPr>
        <w:t>Cartrophen</w:t>
      </w:r>
      <w:r w:rsidRPr="0071398E">
        <w:rPr>
          <w:rFonts w:ascii="Times New Roman" w:hAnsi="Times New Roman" w:cs="Times New Roman"/>
          <w:sz w:val="24"/>
          <w:szCs w:val="24"/>
        </w:rPr>
        <w:t xml:space="preserve"> and of the authorisation granted by </w:t>
      </w:r>
      <w:r w:rsidR="00F160A6">
        <w:rPr>
          <w:rFonts w:ascii="Times New Roman" w:hAnsi="Times New Roman" w:cs="Times New Roman"/>
          <w:sz w:val="24"/>
          <w:szCs w:val="24"/>
        </w:rPr>
        <w:t>HPRA</w:t>
      </w:r>
      <w:r w:rsidRPr="0071398E">
        <w:rPr>
          <w:rFonts w:ascii="Times New Roman" w:hAnsi="Times New Roman" w:cs="Times New Roman"/>
          <w:sz w:val="24"/>
          <w:szCs w:val="24"/>
        </w:rPr>
        <w:t xml:space="preserve">, </w:t>
      </w:r>
      <w:r w:rsidR="00537AF9" w:rsidRPr="0071398E">
        <w:rPr>
          <w:rFonts w:ascii="Times New Roman" w:hAnsi="Times New Roman" w:cs="Times New Roman"/>
          <w:sz w:val="24"/>
          <w:szCs w:val="24"/>
        </w:rPr>
        <w:t xml:space="preserve">Arthropharm </w:t>
      </w:r>
      <w:r w:rsidR="0071398E" w:rsidRPr="0071398E">
        <w:rPr>
          <w:rFonts w:ascii="Times New Roman" w:hAnsi="Times New Roman" w:cs="Times New Roman"/>
          <w:sz w:val="24"/>
          <w:szCs w:val="24"/>
        </w:rPr>
        <w:t xml:space="preserve">presents some general complaints that </w:t>
      </w:r>
      <w:r w:rsidR="00F160A6">
        <w:rPr>
          <w:rFonts w:ascii="Times New Roman" w:hAnsi="Times New Roman" w:cs="Times New Roman"/>
          <w:sz w:val="24"/>
          <w:szCs w:val="24"/>
        </w:rPr>
        <w:t>HPRA</w:t>
      </w:r>
      <w:r w:rsidR="0071398E" w:rsidRPr="0071398E">
        <w:rPr>
          <w:rFonts w:ascii="Times New Roman" w:hAnsi="Times New Roman" w:cs="Times New Roman"/>
          <w:sz w:val="24"/>
          <w:szCs w:val="24"/>
        </w:rPr>
        <w:t xml:space="preserve"> failed to take material considerations into account and failed to give reasons for its decision</w:t>
      </w:r>
      <w:r w:rsidR="001F5B8F">
        <w:rPr>
          <w:rFonts w:ascii="Times New Roman" w:hAnsi="Times New Roman" w:cs="Times New Roman"/>
          <w:sz w:val="24"/>
          <w:szCs w:val="24"/>
        </w:rPr>
        <w:t xml:space="preserve"> </w:t>
      </w:r>
      <w:r w:rsidR="0071398E">
        <w:rPr>
          <w:rFonts w:ascii="Times New Roman" w:hAnsi="Times New Roman" w:cs="Times New Roman"/>
          <w:sz w:val="24"/>
          <w:szCs w:val="24"/>
        </w:rPr>
        <w:t xml:space="preserve">but </w:t>
      </w:r>
      <w:r w:rsidRPr="0071398E">
        <w:rPr>
          <w:rFonts w:ascii="Times New Roman" w:hAnsi="Times New Roman" w:cs="Times New Roman"/>
          <w:sz w:val="24"/>
          <w:szCs w:val="24"/>
        </w:rPr>
        <w:t xml:space="preserve">makes three </w:t>
      </w:r>
      <w:r w:rsidR="0071398E">
        <w:rPr>
          <w:rFonts w:ascii="Times New Roman" w:hAnsi="Times New Roman" w:cs="Times New Roman"/>
          <w:sz w:val="24"/>
          <w:szCs w:val="24"/>
        </w:rPr>
        <w:t xml:space="preserve">core </w:t>
      </w:r>
      <w:r w:rsidRPr="0071398E">
        <w:rPr>
          <w:rFonts w:ascii="Times New Roman" w:hAnsi="Times New Roman" w:cs="Times New Roman"/>
          <w:sz w:val="24"/>
          <w:szCs w:val="24"/>
        </w:rPr>
        <w:t xml:space="preserve">points.  It </w:t>
      </w:r>
      <w:r w:rsidR="00537AF9" w:rsidRPr="0071398E">
        <w:rPr>
          <w:rFonts w:ascii="Times New Roman" w:hAnsi="Times New Roman" w:cs="Times New Roman"/>
          <w:sz w:val="24"/>
          <w:szCs w:val="24"/>
        </w:rPr>
        <w:t>says</w:t>
      </w:r>
      <w:r w:rsidR="004C138A">
        <w:rPr>
          <w:rFonts w:ascii="Times New Roman" w:hAnsi="Times New Roman" w:cs="Times New Roman"/>
          <w:sz w:val="24"/>
          <w:szCs w:val="24"/>
        </w:rPr>
        <w:t>:</w:t>
      </w:r>
      <w:r w:rsidR="00537AF9" w:rsidRPr="0071398E">
        <w:rPr>
          <w:rFonts w:ascii="Times New Roman" w:hAnsi="Times New Roman" w:cs="Times New Roman"/>
          <w:sz w:val="24"/>
          <w:szCs w:val="24"/>
        </w:rPr>
        <w:t xml:space="preserve"> </w:t>
      </w:r>
    </w:p>
    <w:p w14:paraId="03D40210" w14:textId="77777777" w:rsidR="0071398E" w:rsidRPr="0071398E" w:rsidRDefault="0071398E" w:rsidP="0071398E">
      <w:pPr>
        <w:pStyle w:val="ListParagraph"/>
        <w:rPr>
          <w:rFonts w:ascii="Times New Roman" w:hAnsi="Times New Roman" w:cs="Times New Roman"/>
          <w:sz w:val="24"/>
          <w:szCs w:val="24"/>
        </w:rPr>
      </w:pPr>
    </w:p>
    <w:p w14:paraId="775FDDDA" w14:textId="507FD438" w:rsidR="0071398E" w:rsidRDefault="00AE0A16" w:rsidP="0071398E">
      <w:pPr>
        <w:pStyle w:val="ListParagraph"/>
        <w:numPr>
          <w:ilvl w:val="0"/>
          <w:numId w:val="16"/>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T</w:t>
      </w:r>
      <w:r w:rsidR="00537AF9">
        <w:rPr>
          <w:rFonts w:ascii="Times New Roman" w:hAnsi="Times New Roman" w:cs="Times New Roman"/>
          <w:sz w:val="24"/>
          <w:szCs w:val="24"/>
        </w:rPr>
        <w:t xml:space="preserve">hat </w:t>
      </w:r>
      <w:r w:rsidR="00615A57">
        <w:rPr>
          <w:rFonts w:ascii="Times New Roman" w:hAnsi="Times New Roman" w:cs="Times New Roman"/>
          <w:sz w:val="24"/>
          <w:szCs w:val="24"/>
        </w:rPr>
        <w:t>the quantitative and qualitative composition of the two products are not the same</w:t>
      </w:r>
      <w:r w:rsidR="00D07985">
        <w:rPr>
          <w:rFonts w:ascii="Times New Roman" w:hAnsi="Times New Roman" w:cs="Times New Roman"/>
          <w:sz w:val="24"/>
          <w:szCs w:val="24"/>
        </w:rPr>
        <w:t xml:space="preserve">.  </w:t>
      </w:r>
      <w:r>
        <w:rPr>
          <w:rFonts w:ascii="Times New Roman" w:hAnsi="Times New Roman" w:cs="Times New Roman"/>
          <w:sz w:val="24"/>
          <w:szCs w:val="24"/>
        </w:rPr>
        <w:t>There are, it claims clear structural and molecular weight differences between the active substance in the two products, those differences relating to both the content and the arrangement of key active chemical groups.</w:t>
      </w:r>
    </w:p>
    <w:p w14:paraId="33CEDD52" w14:textId="77777777" w:rsidR="0071398E" w:rsidRDefault="0071398E" w:rsidP="0071398E">
      <w:pPr>
        <w:pStyle w:val="ListParagraph"/>
        <w:spacing w:before="240" w:line="480" w:lineRule="auto"/>
        <w:ind w:left="216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220D66A3" w14:textId="23778655" w:rsidR="0071398E" w:rsidRDefault="00AE0A16" w:rsidP="0071398E">
      <w:pPr>
        <w:pStyle w:val="ListParagraph"/>
        <w:numPr>
          <w:ilvl w:val="0"/>
          <w:numId w:val="16"/>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T</w:t>
      </w:r>
      <w:r w:rsidR="00615A57" w:rsidRPr="0071398E">
        <w:rPr>
          <w:rFonts w:ascii="Times New Roman" w:hAnsi="Times New Roman" w:cs="Times New Roman"/>
          <w:sz w:val="24"/>
          <w:szCs w:val="24"/>
        </w:rPr>
        <w:t xml:space="preserve">hat the </w:t>
      </w:r>
      <w:r w:rsidR="0071398E" w:rsidRPr="0071398E">
        <w:rPr>
          <w:rFonts w:ascii="Times New Roman" w:hAnsi="Times New Roman" w:cs="Times New Roman"/>
          <w:sz w:val="24"/>
          <w:szCs w:val="24"/>
        </w:rPr>
        <w:t xml:space="preserve">manufacturing process for the </w:t>
      </w:r>
      <w:r w:rsidR="00615A57" w:rsidRPr="0071398E">
        <w:rPr>
          <w:rFonts w:ascii="Times New Roman" w:hAnsi="Times New Roman" w:cs="Times New Roman"/>
          <w:sz w:val="24"/>
          <w:szCs w:val="24"/>
        </w:rPr>
        <w:t>active substance in each (Pentosan Polysulfate Sodium (‘PPS’)</w:t>
      </w:r>
      <w:r w:rsidR="00D329C5">
        <w:rPr>
          <w:rFonts w:ascii="Times New Roman" w:hAnsi="Times New Roman" w:cs="Times New Roman"/>
          <w:sz w:val="24"/>
          <w:szCs w:val="24"/>
        </w:rPr>
        <w:t>)</w:t>
      </w:r>
      <w:r w:rsidR="00615A57" w:rsidRPr="0071398E">
        <w:rPr>
          <w:rFonts w:ascii="Times New Roman" w:hAnsi="Times New Roman" w:cs="Times New Roman"/>
          <w:sz w:val="24"/>
          <w:szCs w:val="24"/>
        </w:rPr>
        <w:t xml:space="preserve"> are not identical</w:t>
      </w:r>
      <w:r w:rsidR="0071398E" w:rsidRPr="0071398E">
        <w:rPr>
          <w:rFonts w:ascii="Times New Roman" w:hAnsi="Times New Roman" w:cs="Times New Roman"/>
          <w:sz w:val="24"/>
          <w:szCs w:val="24"/>
        </w:rPr>
        <w:t xml:space="preserve"> so that there are varying toxicity and potency levels in the PPS used by </w:t>
      </w:r>
      <w:r w:rsidR="004C138A" w:rsidRPr="0071398E">
        <w:rPr>
          <w:rFonts w:ascii="Times New Roman" w:hAnsi="Times New Roman" w:cs="Times New Roman"/>
          <w:sz w:val="24"/>
          <w:szCs w:val="24"/>
        </w:rPr>
        <w:t>Arthropharm</w:t>
      </w:r>
      <w:r w:rsidR="00F30A9A" w:rsidRPr="0071398E">
        <w:rPr>
          <w:rFonts w:ascii="Times New Roman" w:hAnsi="Times New Roman" w:cs="Times New Roman"/>
          <w:sz w:val="24"/>
          <w:szCs w:val="24"/>
        </w:rPr>
        <w:t xml:space="preserve"> </w:t>
      </w:r>
      <w:r w:rsidR="0071398E" w:rsidRPr="0071398E">
        <w:rPr>
          <w:rFonts w:ascii="Times New Roman" w:hAnsi="Times New Roman" w:cs="Times New Roman"/>
          <w:sz w:val="24"/>
          <w:szCs w:val="24"/>
        </w:rPr>
        <w:t xml:space="preserve">when compared with that in </w:t>
      </w:r>
      <w:r w:rsidR="00B54C83">
        <w:rPr>
          <w:rFonts w:ascii="Times New Roman" w:hAnsi="Times New Roman" w:cs="Times New Roman"/>
          <w:sz w:val="24"/>
          <w:szCs w:val="24"/>
        </w:rPr>
        <w:t>Osteop</w:t>
      </w:r>
      <w:r w:rsidR="004C138A" w:rsidRPr="0071398E">
        <w:rPr>
          <w:rFonts w:ascii="Times New Roman" w:hAnsi="Times New Roman" w:cs="Times New Roman"/>
          <w:sz w:val="24"/>
          <w:szCs w:val="24"/>
        </w:rPr>
        <w:t>en</w:t>
      </w:r>
      <w:r w:rsidR="0071398E">
        <w:rPr>
          <w:rFonts w:ascii="Times New Roman" w:hAnsi="Times New Roman" w:cs="Times New Roman"/>
          <w:sz w:val="24"/>
          <w:szCs w:val="24"/>
        </w:rPr>
        <w:t xml:space="preserve">. </w:t>
      </w:r>
      <w:r w:rsidR="000728A7">
        <w:rPr>
          <w:rFonts w:ascii="Times New Roman" w:hAnsi="Times New Roman" w:cs="Times New Roman"/>
          <w:sz w:val="24"/>
          <w:szCs w:val="24"/>
        </w:rPr>
        <w:t>So, because of the</w:t>
      </w:r>
      <w:r w:rsidR="00416A4E">
        <w:rPr>
          <w:rFonts w:ascii="Times New Roman" w:hAnsi="Times New Roman" w:cs="Times New Roman"/>
          <w:sz w:val="24"/>
          <w:szCs w:val="24"/>
        </w:rPr>
        <w:t>se</w:t>
      </w:r>
      <w:r w:rsidR="000728A7">
        <w:rPr>
          <w:rFonts w:ascii="Times New Roman" w:hAnsi="Times New Roman" w:cs="Times New Roman"/>
          <w:sz w:val="24"/>
          <w:szCs w:val="24"/>
        </w:rPr>
        <w:t xml:space="preserve"> differences in the manufacturing processes of PPS as between the two products, Osteopen was not a bioequivalent of Cartrophen.  </w:t>
      </w:r>
      <w:r w:rsidR="0071398E">
        <w:rPr>
          <w:rFonts w:ascii="Times New Roman" w:hAnsi="Times New Roman" w:cs="Times New Roman"/>
          <w:sz w:val="24"/>
          <w:szCs w:val="24"/>
        </w:rPr>
        <w:t xml:space="preserve">Therefore, it is said, </w:t>
      </w:r>
      <w:r w:rsidR="00615A57" w:rsidRPr="0071398E">
        <w:rPr>
          <w:rFonts w:ascii="Times New Roman" w:hAnsi="Times New Roman" w:cs="Times New Roman"/>
          <w:sz w:val="24"/>
          <w:szCs w:val="24"/>
        </w:rPr>
        <w:t>HP</w:t>
      </w:r>
      <w:r w:rsidR="00D329C5">
        <w:rPr>
          <w:rFonts w:ascii="Times New Roman" w:hAnsi="Times New Roman" w:cs="Times New Roman"/>
          <w:sz w:val="24"/>
          <w:szCs w:val="24"/>
        </w:rPr>
        <w:t>R</w:t>
      </w:r>
      <w:r w:rsidR="00615A57" w:rsidRPr="0071398E">
        <w:rPr>
          <w:rFonts w:ascii="Times New Roman" w:hAnsi="Times New Roman" w:cs="Times New Roman"/>
          <w:sz w:val="24"/>
          <w:szCs w:val="24"/>
        </w:rPr>
        <w:t>A ought not to have accepted the omission of bioequivalence data in respect of the alleged generic</w:t>
      </w:r>
      <w:r w:rsidR="0071398E">
        <w:rPr>
          <w:rFonts w:ascii="Times New Roman" w:hAnsi="Times New Roman" w:cs="Times New Roman"/>
          <w:sz w:val="24"/>
          <w:szCs w:val="24"/>
        </w:rPr>
        <w:t>,</w:t>
      </w:r>
      <w:r w:rsidR="00615A57" w:rsidRPr="0071398E">
        <w:rPr>
          <w:rFonts w:ascii="Times New Roman" w:hAnsi="Times New Roman" w:cs="Times New Roman"/>
          <w:sz w:val="24"/>
          <w:szCs w:val="24"/>
        </w:rPr>
        <w:t xml:space="preserve"> and</w:t>
      </w:r>
      <w:r w:rsidR="004C138A">
        <w:rPr>
          <w:rFonts w:ascii="Times New Roman" w:hAnsi="Times New Roman" w:cs="Times New Roman"/>
          <w:sz w:val="24"/>
          <w:szCs w:val="24"/>
        </w:rPr>
        <w:t>;</w:t>
      </w:r>
      <w:r w:rsidR="0071398E">
        <w:rPr>
          <w:rFonts w:ascii="Times New Roman" w:hAnsi="Times New Roman" w:cs="Times New Roman"/>
          <w:sz w:val="24"/>
          <w:szCs w:val="24"/>
        </w:rPr>
        <w:t xml:space="preserve"> </w:t>
      </w:r>
    </w:p>
    <w:p w14:paraId="77273881" w14:textId="77777777" w:rsidR="0071398E" w:rsidRPr="0071398E" w:rsidRDefault="0071398E" w:rsidP="0071398E">
      <w:pPr>
        <w:pStyle w:val="ListParagraph"/>
        <w:rPr>
          <w:rFonts w:ascii="Times New Roman" w:hAnsi="Times New Roman" w:cs="Times New Roman"/>
          <w:sz w:val="24"/>
          <w:szCs w:val="24"/>
        </w:rPr>
      </w:pPr>
    </w:p>
    <w:p w14:paraId="36AF9D08" w14:textId="3FB4E594" w:rsidR="0071398E" w:rsidRDefault="00AE0A16" w:rsidP="0071398E">
      <w:pPr>
        <w:pStyle w:val="ListParagraph"/>
        <w:numPr>
          <w:ilvl w:val="0"/>
          <w:numId w:val="16"/>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T</w:t>
      </w:r>
      <w:r w:rsidR="00615A57" w:rsidRPr="0071398E">
        <w:rPr>
          <w:rFonts w:ascii="Times New Roman" w:hAnsi="Times New Roman" w:cs="Times New Roman"/>
          <w:sz w:val="24"/>
          <w:szCs w:val="24"/>
        </w:rPr>
        <w:t xml:space="preserve">hat PPS is a biological substance which ought to have been (but was not) assessed in accordance with Article 13(4).  </w:t>
      </w:r>
    </w:p>
    <w:p w14:paraId="0A28129A" w14:textId="77777777" w:rsidR="0071398E" w:rsidRPr="0071398E" w:rsidRDefault="0071398E" w:rsidP="0071398E">
      <w:pPr>
        <w:pStyle w:val="ListParagraph"/>
        <w:rPr>
          <w:rFonts w:ascii="Times New Roman" w:hAnsi="Times New Roman" w:cs="Times New Roman"/>
          <w:sz w:val="24"/>
          <w:szCs w:val="24"/>
        </w:rPr>
      </w:pPr>
    </w:p>
    <w:p w14:paraId="3E5E577E" w14:textId="77777777" w:rsidR="0071398E" w:rsidRPr="0071398E" w:rsidRDefault="0071398E" w:rsidP="0071398E">
      <w:pPr>
        <w:pStyle w:val="ListParagraph"/>
        <w:rPr>
          <w:rFonts w:ascii="Times New Roman" w:hAnsi="Times New Roman" w:cs="Times New Roman"/>
          <w:b/>
          <w:sz w:val="24"/>
          <w:szCs w:val="24"/>
        </w:rPr>
      </w:pPr>
    </w:p>
    <w:p w14:paraId="5434A02E" w14:textId="4E16A795" w:rsidR="00767CEC" w:rsidRPr="00767CEC" w:rsidRDefault="000728A7" w:rsidP="002632D1">
      <w:pPr>
        <w:pStyle w:val="ListParagraph"/>
        <w:numPr>
          <w:ilvl w:val="0"/>
          <w:numId w:val="1"/>
        </w:numPr>
        <w:spacing w:before="240" w:line="480" w:lineRule="auto"/>
        <w:jc w:val="both"/>
        <w:rPr>
          <w:rFonts w:ascii="Times New Roman" w:hAnsi="Times New Roman" w:cs="Times New Roman"/>
          <w:b/>
          <w:sz w:val="24"/>
          <w:szCs w:val="24"/>
        </w:rPr>
      </w:pPr>
      <w:r>
        <w:rPr>
          <w:rFonts w:ascii="Times New Roman" w:hAnsi="Times New Roman" w:cs="Times New Roman"/>
          <w:sz w:val="24"/>
          <w:szCs w:val="24"/>
        </w:rPr>
        <w:t xml:space="preserve">Insofar as the first of these contentions is concerned, it is to be noted that the claim that the products did not have the same qualitative and quantitative composition is rooted in the different manufacturing processes used for PPS.  </w:t>
      </w:r>
      <w:r w:rsidR="00767CEC">
        <w:rPr>
          <w:rFonts w:ascii="Times New Roman" w:hAnsi="Times New Roman" w:cs="Times New Roman"/>
          <w:sz w:val="24"/>
          <w:szCs w:val="24"/>
        </w:rPr>
        <w:t>The essential point is made at paragraph 10 of the Amended Statement of Grounds, as follows:</w:t>
      </w:r>
    </w:p>
    <w:p w14:paraId="44D28AF8" w14:textId="77777777" w:rsidR="00767CEC" w:rsidRDefault="00767CEC" w:rsidP="00767CEC">
      <w:pPr>
        <w:pStyle w:val="ListParagraph"/>
        <w:spacing w:before="240" w:line="480" w:lineRule="auto"/>
        <w:ind w:left="786"/>
        <w:jc w:val="both"/>
        <w:rPr>
          <w:rFonts w:ascii="Times New Roman" w:hAnsi="Times New Roman" w:cs="Times New Roman"/>
          <w:sz w:val="24"/>
          <w:szCs w:val="24"/>
        </w:rPr>
      </w:pPr>
    </w:p>
    <w:p w14:paraId="59D29E6A" w14:textId="45A934FF" w:rsidR="00767CEC" w:rsidRPr="00767CEC" w:rsidRDefault="00767CEC" w:rsidP="00767CEC">
      <w:pPr>
        <w:pStyle w:val="ListParagraph"/>
        <w:spacing w:before="240" w:line="480" w:lineRule="auto"/>
        <w:ind w:left="144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Osteopen is not a generic of Cartrophen in circumstances where the manufacturing processes for the active ingredient in both products … [PPS] are different and this difference in the manufacturing process results in a product that may have similar chemical compounds, but has varying toxicity/potency levels.  This gives rise to safety issues and may also impact on the efficacy of Osteopen’</w:t>
      </w:r>
      <w:r>
        <w:rPr>
          <w:rFonts w:ascii="Times New Roman" w:hAnsi="Times New Roman" w:cs="Times New Roman"/>
          <w:sz w:val="24"/>
          <w:szCs w:val="24"/>
        </w:rPr>
        <w:t>.</w:t>
      </w:r>
    </w:p>
    <w:p w14:paraId="5E64F237" w14:textId="5C2A3225" w:rsidR="00767CEC" w:rsidRPr="00767CEC" w:rsidRDefault="00767CEC" w:rsidP="00767CEC">
      <w:pPr>
        <w:pStyle w:val="ListParagraph"/>
        <w:spacing w:before="240" w:line="480" w:lineRule="auto"/>
        <w:ind w:left="786"/>
        <w:jc w:val="both"/>
        <w:rPr>
          <w:rFonts w:ascii="Times New Roman" w:hAnsi="Times New Roman" w:cs="Times New Roman"/>
          <w:b/>
          <w:sz w:val="24"/>
          <w:szCs w:val="24"/>
        </w:rPr>
      </w:pPr>
      <w:r>
        <w:rPr>
          <w:rFonts w:ascii="Times New Roman" w:hAnsi="Times New Roman" w:cs="Times New Roman"/>
          <w:sz w:val="24"/>
          <w:szCs w:val="24"/>
        </w:rPr>
        <w:t xml:space="preserve">  </w:t>
      </w:r>
    </w:p>
    <w:p w14:paraId="1CBDBC4B" w14:textId="73ACFA99" w:rsidR="000728A7" w:rsidRPr="000728A7" w:rsidRDefault="000728A7" w:rsidP="002632D1">
      <w:pPr>
        <w:pStyle w:val="ListParagraph"/>
        <w:numPr>
          <w:ilvl w:val="0"/>
          <w:numId w:val="1"/>
        </w:numPr>
        <w:spacing w:before="240" w:line="480" w:lineRule="auto"/>
        <w:jc w:val="both"/>
        <w:rPr>
          <w:rFonts w:ascii="Times New Roman" w:hAnsi="Times New Roman" w:cs="Times New Roman"/>
          <w:b/>
          <w:sz w:val="24"/>
          <w:szCs w:val="24"/>
        </w:rPr>
      </w:pPr>
      <w:r>
        <w:rPr>
          <w:rFonts w:ascii="Times New Roman" w:hAnsi="Times New Roman" w:cs="Times New Roman"/>
          <w:sz w:val="24"/>
          <w:szCs w:val="24"/>
        </w:rPr>
        <w:t>Paragraph 29 of the Amended Statement of Grounds puts the matter thus:</w:t>
      </w:r>
    </w:p>
    <w:p w14:paraId="214386D0" w14:textId="77777777" w:rsidR="000728A7" w:rsidRDefault="000728A7" w:rsidP="000728A7">
      <w:pPr>
        <w:pStyle w:val="ListParagraph"/>
        <w:spacing w:before="240" w:line="480" w:lineRule="auto"/>
        <w:ind w:left="786"/>
        <w:jc w:val="both"/>
        <w:rPr>
          <w:rFonts w:ascii="Times New Roman" w:hAnsi="Times New Roman" w:cs="Times New Roman"/>
          <w:sz w:val="24"/>
          <w:szCs w:val="24"/>
        </w:rPr>
      </w:pPr>
    </w:p>
    <w:p w14:paraId="7246650E" w14:textId="2CDB49DA" w:rsidR="000728A7" w:rsidRPr="000728A7" w:rsidRDefault="000728A7" w:rsidP="000728A7">
      <w:pPr>
        <w:pStyle w:val="ListParagraph"/>
        <w:spacing w:before="240" w:line="480" w:lineRule="auto"/>
        <w:ind w:left="144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 xml:space="preserve">Osteopen does not have the same qualitative and quantitative composition in active substances as Cartrophen.  The effect of the difference in the manufacturing process of the active ingredient, PPS, is such that Osteopen is not a bioequivalent of Cartrophen. The difference in the manufacturing process of PPS has the result that Osteopen and </w:t>
      </w:r>
      <w:r w:rsidR="00E82647">
        <w:rPr>
          <w:rFonts w:ascii="Times New Roman" w:hAnsi="Times New Roman" w:cs="Times New Roman"/>
          <w:i/>
          <w:sz w:val="24"/>
          <w:szCs w:val="24"/>
        </w:rPr>
        <w:t>Cartrophen</w:t>
      </w:r>
      <w:r>
        <w:rPr>
          <w:rFonts w:ascii="Times New Roman" w:hAnsi="Times New Roman" w:cs="Times New Roman"/>
          <w:i/>
          <w:sz w:val="24"/>
          <w:szCs w:val="24"/>
        </w:rPr>
        <w:t xml:space="preserve"> have different potency and toxicity’</w:t>
      </w:r>
    </w:p>
    <w:p w14:paraId="76B0D23D" w14:textId="3697A29E" w:rsidR="000728A7" w:rsidRPr="000728A7" w:rsidRDefault="000728A7" w:rsidP="000728A7">
      <w:pPr>
        <w:pStyle w:val="ListParagraph"/>
        <w:spacing w:before="240" w:line="480" w:lineRule="auto"/>
        <w:ind w:left="786"/>
        <w:jc w:val="both"/>
        <w:rPr>
          <w:rFonts w:ascii="Times New Roman" w:hAnsi="Times New Roman" w:cs="Times New Roman"/>
          <w:b/>
          <w:sz w:val="24"/>
          <w:szCs w:val="24"/>
        </w:rPr>
      </w:pPr>
      <w:r>
        <w:rPr>
          <w:rFonts w:ascii="Times New Roman" w:hAnsi="Times New Roman" w:cs="Times New Roman"/>
          <w:sz w:val="24"/>
          <w:szCs w:val="24"/>
        </w:rPr>
        <w:t xml:space="preserve">  </w:t>
      </w:r>
    </w:p>
    <w:p w14:paraId="17082432" w14:textId="24368AD6" w:rsidR="00AF6015" w:rsidRPr="00AF6015" w:rsidRDefault="000A3F18" w:rsidP="00AF6015">
      <w:pPr>
        <w:pStyle w:val="ListParagraph"/>
        <w:numPr>
          <w:ilvl w:val="0"/>
          <w:numId w:val="1"/>
        </w:numPr>
        <w:spacing w:before="240" w:line="480" w:lineRule="auto"/>
        <w:jc w:val="both"/>
        <w:rPr>
          <w:rFonts w:ascii="Times New Roman" w:hAnsi="Times New Roman" w:cs="Times New Roman"/>
          <w:b/>
          <w:sz w:val="24"/>
          <w:szCs w:val="24"/>
        </w:rPr>
      </w:pPr>
      <w:r>
        <w:rPr>
          <w:rFonts w:ascii="Times New Roman" w:hAnsi="Times New Roman" w:cs="Times New Roman"/>
          <w:sz w:val="24"/>
          <w:szCs w:val="24"/>
        </w:rPr>
        <w:t>It is clear from the remainder of the Statement of Grounds that all references to differences in the manufacturing processes are concerned with the active ingredient (</w:t>
      </w:r>
      <w:r w:rsidR="00E82647">
        <w:rPr>
          <w:rFonts w:ascii="Times New Roman" w:hAnsi="Times New Roman" w:cs="Times New Roman"/>
          <w:sz w:val="24"/>
          <w:szCs w:val="24"/>
        </w:rPr>
        <w:t xml:space="preserve">at </w:t>
      </w:r>
      <w:r>
        <w:rPr>
          <w:rFonts w:ascii="Times New Roman" w:hAnsi="Times New Roman" w:cs="Times New Roman"/>
          <w:sz w:val="24"/>
          <w:szCs w:val="24"/>
        </w:rPr>
        <w:t xml:space="preserve">paras. 39, 46 and 53).  </w:t>
      </w:r>
      <w:r w:rsidR="002632D1">
        <w:rPr>
          <w:rFonts w:ascii="Times New Roman" w:hAnsi="Times New Roman" w:cs="Times New Roman"/>
          <w:sz w:val="24"/>
          <w:szCs w:val="24"/>
        </w:rPr>
        <w:t xml:space="preserve">Based upon </w:t>
      </w:r>
      <w:r w:rsidR="0071398E">
        <w:rPr>
          <w:rFonts w:ascii="Times New Roman" w:hAnsi="Times New Roman" w:cs="Times New Roman"/>
          <w:sz w:val="24"/>
          <w:szCs w:val="24"/>
        </w:rPr>
        <w:t xml:space="preserve">these core contentions, Arthropharm </w:t>
      </w:r>
      <w:r w:rsidR="002632D1">
        <w:rPr>
          <w:rFonts w:ascii="Times New Roman" w:hAnsi="Times New Roman" w:cs="Times New Roman"/>
          <w:sz w:val="24"/>
          <w:szCs w:val="24"/>
        </w:rPr>
        <w:t>contends that HP</w:t>
      </w:r>
      <w:r w:rsidR="00D329C5">
        <w:rPr>
          <w:rFonts w:ascii="Times New Roman" w:hAnsi="Times New Roman" w:cs="Times New Roman"/>
          <w:sz w:val="24"/>
          <w:szCs w:val="24"/>
        </w:rPr>
        <w:t>R</w:t>
      </w:r>
      <w:r w:rsidR="002632D1">
        <w:rPr>
          <w:rFonts w:ascii="Times New Roman" w:hAnsi="Times New Roman" w:cs="Times New Roman"/>
          <w:sz w:val="24"/>
          <w:szCs w:val="24"/>
        </w:rPr>
        <w:t>A did not have the power to grant the authorisati</w:t>
      </w:r>
      <w:r w:rsidR="000728A7">
        <w:rPr>
          <w:rFonts w:ascii="Times New Roman" w:hAnsi="Times New Roman" w:cs="Times New Roman"/>
          <w:sz w:val="24"/>
          <w:szCs w:val="24"/>
        </w:rPr>
        <w:t>on in accordance with Article 13(1)</w:t>
      </w:r>
      <w:r w:rsidR="002632D1">
        <w:rPr>
          <w:rFonts w:ascii="Times New Roman" w:hAnsi="Times New Roman" w:cs="Times New Roman"/>
          <w:sz w:val="24"/>
          <w:szCs w:val="24"/>
        </w:rPr>
        <w:t xml:space="preserve">, and that in concluding that Osteopen is a generic medicinal product of </w:t>
      </w:r>
      <w:r w:rsidR="004C138A">
        <w:rPr>
          <w:rFonts w:ascii="Times New Roman" w:hAnsi="Times New Roman" w:cs="Times New Roman"/>
          <w:sz w:val="24"/>
          <w:szCs w:val="24"/>
        </w:rPr>
        <w:t>Cartrophen</w:t>
      </w:r>
      <w:r w:rsidR="002632D1">
        <w:rPr>
          <w:rFonts w:ascii="Times New Roman" w:hAnsi="Times New Roman" w:cs="Times New Roman"/>
          <w:sz w:val="24"/>
          <w:szCs w:val="24"/>
        </w:rPr>
        <w:t>, HP</w:t>
      </w:r>
      <w:r w:rsidR="007E6BDD">
        <w:rPr>
          <w:rFonts w:ascii="Times New Roman" w:hAnsi="Times New Roman" w:cs="Times New Roman"/>
          <w:sz w:val="24"/>
          <w:szCs w:val="24"/>
        </w:rPr>
        <w:t>R</w:t>
      </w:r>
      <w:r w:rsidR="002632D1">
        <w:rPr>
          <w:rFonts w:ascii="Times New Roman" w:hAnsi="Times New Roman" w:cs="Times New Roman"/>
          <w:sz w:val="24"/>
          <w:szCs w:val="24"/>
        </w:rPr>
        <w:t>A effected an error on the face of the record.</w:t>
      </w:r>
      <w:r w:rsidR="00AF6015">
        <w:rPr>
          <w:rFonts w:ascii="Times New Roman" w:hAnsi="Times New Roman" w:cs="Times New Roman"/>
          <w:b/>
          <w:sz w:val="24"/>
          <w:szCs w:val="24"/>
        </w:rPr>
        <w:t xml:space="preserve">  </w:t>
      </w:r>
      <w:r w:rsidR="00AF6015">
        <w:rPr>
          <w:rFonts w:ascii="Times New Roman" w:hAnsi="Times New Roman" w:cs="Times New Roman"/>
          <w:sz w:val="24"/>
          <w:szCs w:val="24"/>
        </w:rPr>
        <w:t xml:space="preserve">It seeks an order of </w:t>
      </w:r>
      <w:r w:rsidR="00AF6015">
        <w:rPr>
          <w:rFonts w:ascii="Times New Roman" w:hAnsi="Times New Roman" w:cs="Times New Roman"/>
          <w:i/>
          <w:sz w:val="24"/>
          <w:szCs w:val="24"/>
        </w:rPr>
        <w:t xml:space="preserve">certiorari </w:t>
      </w:r>
      <w:r w:rsidR="00AF6015">
        <w:rPr>
          <w:rFonts w:ascii="Times New Roman" w:hAnsi="Times New Roman" w:cs="Times New Roman"/>
          <w:sz w:val="24"/>
          <w:szCs w:val="24"/>
        </w:rPr>
        <w:t>quashing the authorisation and four declaratory orders to the effect that (</w:t>
      </w:r>
      <w:proofErr w:type="spellStart"/>
      <w:r w:rsidR="00AF6015">
        <w:rPr>
          <w:rFonts w:ascii="Times New Roman" w:hAnsi="Times New Roman" w:cs="Times New Roman"/>
          <w:sz w:val="24"/>
          <w:szCs w:val="24"/>
        </w:rPr>
        <w:t>i</w:t>
      </w:r>
      <w:proofErr w:type="spellEnd"/>
      <w:r w:rsidR="00AF6015">
        <w:rPr>
          <w:rFonts w:ascii="Times New Roman" w:hAnsi="Times New Roman" w:cs="Times New Roman"/>
          <w:sz w:val="24"/>
          <w:szCs w:val="24"/>
        </w:rPr>
        <w:t>) the grant of the authorisation on the basis that Osteopen was a generic of Cartrophen was null, void and of no effect, (ii) in determining the application for that authorisation HPRA failed to comply with the 2001 Directive and 2007 Regulations, (iii) that HPRA failed to take into account relevant considerations in deciding to grant the authorisation and, (</w:t>
      </w:r>
      <w:r w:rsidR="001331D5">
        <w:rPr>
          <w:rFonts w:ascii="Times New Roman" w:hAnsi="Times New Roman" w:cs="Times New Roman"/>
          <w:sz w:val="24"/>
          <w:szCs w:val="24"/>
        </w:rPr>
        <w:t>iv</w:t>
      </w:r>
      <w:r w:rsidR="00AF6015">
        <w:rPr>
          <w:rFonts w:ascii="Times New Roman" w:hAnsi="Times New Roman" w:cs="Times New Roman"/>
          <w:sz w:val="24"/>
          <w:szCs w:val="24"/>
        </w:rPr>
        <w:t>) that HPRA erred:</w:t>
      </w:r>
    </w:p>
    <w:p w14:paraId="6F6597D2" w14:textId="277E3479" w:rsidR="00AF6015" w:rsidRDefault="00AF6015" w:rsidP="00AF6015">
      <w:pPr>
        <w:pStyle w:val="ListParagraph"/>
        <w:spacing w:before="240" w:line="480" w:lineRule="auto"/>
        <w:ind w:left="786"/>
        <w:jc w:val="both"/>
        <w:rPr>
          <w:rFonts w:ascii="Times New Roman" w:hAnsi="Times New Roman" w:cs="Times New Roman"/>
          <w:b/>
          <w:sz w:val="24"/>
          <w:szCs w:val="24"/>
        </w:rPr>
      </w:pPr>
    </w:p>
    <w:p w14:paraId="2FAFD010" w14:textId="55F86513" w:rsidR="00AF6015" w:rsidRPr="00AF6015" w:rsidRDefault="00AF6015" w:rsidP="00AF6015">
      <w:pPr>
        <w:pStyle w:val="ListParagraph"/>
        <w:spacing w:before="240" w:line="480" w:lineRule="auto"/>
        <w:ind w:left="1440"/>
        <w:jc w:val="both"/>
        <w:rPr>
          <w:rFonts w:ascii="Times New Roman" w:hAnsi="Times New Roman" w:cs="Times New Roman"/>
          <w:sz w:val="24"/>
          <w:szCs w:val="24"/>
        </w:rPr>
      </w:pPr>
      <w:r>
        <w:rPr>
          <w:rFonts w:ascii="Times New Roman" w:hAnsi="Times New Roman" w:cs="Times New Roman"/>
          <w:i/>
          <w:sz w:val="24"/>
          <w:szCs w:val="24"/>
        </w:rPr>
        <w:t>‘ … in failing to suspend or withdraw the veterinary product authorisation on the 6</w:t>
      </w:r>
      <w:r w:rsidRPr="00AF6015">
        <w:rPr>
          <w:rFonts w:ascii="Times New Roman" w:hAnsi="Times New Roman" w:cs="Times New Roman"/>
          <w:i/>
          <w:sz w:val="24"/>
          <w:szCs w:val="24"/>
          <w:vertAlign w:val="superscript"/>
        </w:rPr>
        <w:t>th</w:t>
      </w:r>
      <w:r>
        <w:rPr>
          <w:rFonts w:ascii="Times New Roman" w:hAnsi="Times New Roman" w:cs="Times New Roman"/>
          <w:i/>
          <w:sz w:val="24"/>
          <w:szCs w:val="24"/>
        </w:rPr>
        <w:t xml:space="preserve"> day of March 2019 granted … in respect of Osteopen on becoming aware that the qualitative and quantitative composition of a product is not as stated </w:t>
      </w:r>
      <w:r>
        <w:rPr>
          <w:rFonts w:ascii="Times New Roman" w:hAnsi="Times New Roman" w:cs="Times New Roman"/>
          <w:i/>
          <w:sz w:val="24"/>
          <w:szCs w:val="24"/>
        </w:rPr>
        <w:lastRenderedPageBreak/>
        <w:t>and/or that the risk-benefit assessment of the veterinary medicinal product is unfavourable’</w:t>
      </w:r>
    </w:p>
    <w:p w14:paraId="2FDAB7D1" w14:textId="77777777" w:rsidR="002632D1" w:rsidRDefault="002632D1" w:rsidP="002632D1">
      <w:pPr>
        <w:pStyle w:val="ListParagraph"/>
        <w:spacing w:before="240" w:line="480" w:lineRule="auto"/>
        <w:jc w:val="both"/>
        <w:rPr>
          <w:rFonts w:ascii="Times New Roman" w:hAnsi="Times New Roman" w:cs="Times New Roman"/>
          <w:b/>
          <w:sz w:val="24"/>
          <w:szCs w:val="24"/>
        </w:rPr>
      </w:pPr>
    </w:p>
    <w:p w14:paraId="74CA9321" w14:textId="77777777" w:rsidR="002632D1" w:rsidRPr="002632D1" w:rsidRDefault="002632D1" w:rsidP="00785FE2">
      <w:pPr>
        <w:pStyle w:val="ListParagraph"/>
        <w:numPr>
          <w:ilvl w:val="0"/>
          <w:numId w:val="22"/>
        </w:numPr>
        <w:spacing w:before="240" w:line="480" w:lineRule="auto"/>
        <w:jc w:val="both"/>
        <w:rPr>
          <w:rFonts w:ascii="Times New Roman" w:hAnsi="Times New Roman" w:cs="Times New Roman"/>
          <w:i/>
          <w:sz w:val="24"/>
          <w:szCs w:val="24"/>
        </w:rPr>
      </w:pPr>
      <w:r>
        <w:rPr>
          <w:rFonts w:ascii="Times New Roman" w:hAnsi="Times New Roman" w:cs="Times New Roman"/>
          <w:i/>
          <w:sz w:val="24"/>
          <w:szCs w:val="24"/>
        </w:rPr>
        <w:t>The pre-action correspondence</w:t>
      </w:r>
    </w:p>
    <w:p w14:paraId="1A7B60C3" w14:textId="77777777" w:rsidR="002632D1" w:rsidRDefault="002632D1" w:rsidP="002632D1">
      <w:pPr>
        <w:pStyle w:val="ListParagraph"/>
        <w:spacing w:before="24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14:paraId="38DFDDAC" w14:textId="5B78EB0A" w:rsidR="00666F80" w:rsidRPr="00666F80" w:rsidRDefault="00FF7489" w:rsidP="0073298F">
      <w:pPr>
        <w:pStyle w:val="ListParagraph"/>
        <w:numPr>
          <w:ilvl w:val="0"/>
          <w:numId w:val="1"/>
        </w:numPr>
        <w:spacing w:before="240" w:line="480" w:lineRule="auto"/>
        <w:jc w:val="both"/>
        <w:rPr>
          <w:rFonts w:ascii="Times New Roman" w:hAnsi="Times New Roman" w:cs="Times New Roman"/>
          <w:b/>
          <w:sz w:val="24"/>
          <w:szCs w:val="24"/>
        </w:rPr>
      </w:pPr>
      <w:r>
        <w:rPr>
          <w:rFonts w:ascii="Times New Roman" w:hAnsi="Times New Roman" w:cs="Times New Roman"/>
          <w:sz w:val="24"/>
          <w:szCs w:val="24"/>
        </w:rPr>
        <w:t xml:space="preserve">What Arthropharm knew </w:t>
      </w:r>
      <w:r w:rsidR="00666F80">
        <w:rPr>
          <w:rFonts w:ascii="Times New Roman" w:hAnsi="Times New Roman" w:cs="Times New Roman"/>
          <w:sz w:val="24"/>
          <w:szCs w:val="24"/>
        </w:rPr>
        <w:t xml:space="preserve">about this claim, and when it knew it, </w:t>
      </w:r>
      <w:r w:rsidR="00F33AAF">
        <w:rPr>
          <w:rFonts w:ascii="Times New Roman" w:hAnsi="Times New Roman" w:cs="Times New Roman"/>
          <w:sz w:val="24"/>
          <w:szCs w:val="24"/>
        </w:rPr>
        <w:t xml:space="preserve">is </w:t>
      </w:r>
      <w:r w:rsidR="00666F80">
        <w:rPr>
          <w:rFonts w:ascii="Times New Roman" w:hAnsi="Times New Roman" w:cs="Times New Roman"/>
          <w:sz w:val="24"/>
          <w:szCs w:val="24"/>
        </w:rPr>
        <w:t xml:space="preserve">critical to the application for an extension of time, and it is thus convenient to compare this pleaded case with what went before.  </w:t>
      </w:r>
      <w:r w:rsidR="002C3D36">
        <w:rPr>
          <w:rFonts w:ascii="Times New Roman" w:hAnsi="Times New Roman" w:cs="Times New Roman"/>
          <w:sz w:val="24"/>
          <w:szCs w:val="24"/>
        </w:rPr>
        <w:t xml:space="preserve">On </w:t>
      </w:r>
      <w:r w:rsidR="00232ADF">
        <w:rPr>
          <w:rFonts w:ascii="Times New Roman" w:hAnsi="Times New Roman" w:cs="Times New Roman"/>
          <w:sz w:val="24"/>
          <w:szCs w:val="24"/>
        </w:rPr>
        <w:t>1</w:t>
      </w:r>
      <w:r w:rsidR="00386E78">
        <w:rPr>
          <w:rFonts w:ascii="Times New Roman" w:hAnsi="Times New Roman" w:cs="Times New Roman"/>
          <w:sz w:val="24"/>
          <w:szCs w:val="24"/>
        </w:rPr>
        <w:t>2</w:t>
      </w:r>
      <w:r w:rsidR="00232ADF">
        <w:rPr>
          <w:rFonts w:ascii="Times New Roman" w:hAnsi="Times New Roman" w:cs="Times New Roman"/>
          <w:sz w:val="24"/>
          <w:szCs w:val="24"/>
        </w:rPr>
        <w:t xml:space="preserve"> </w:t>
      </w:r>
      <w:r w:rsidR="002C3D36">
        <w:rPr>
          <w:rFonts w:ascii="Times New Roman" w:hAnsi="Times New Roman" w:cs="Times New Roman"/>
          <w:sz w:val="24"/>
          <w:szCs w:val="24"/>
        </w:rPr>
        <w:t xml:space="preserve">October 2018 </w:t>
      </w:r>
      <w:r w:rsidR="00C34270">
        <w:rPr>
          <w:rFonts w:ascii="Times New Roman" w:hAnsi="Times New Roman" w:cs="Times New Roman"/>
          <w:sz w:val="24"/>
          <w:szCs w:val="24"/>
        </w:rPr>
        <w:t>Dr. David Cullis-Hill, a director of Arthropharm, wrote to HP</w:t>
      </w:r>
      <w:r w:rsidR="00473071">
        <w:rPr>
          <w:rFonts w:ascii="Times New Roman" w:hAnsi="Times New Roman" w:cs="Times New Roman"/>
          <w:sz w:val="24"/>
          <w:szCs w:val="24"/>
        </w:rPr>
        <w:t>R</w:t>
      </w:r>
      <w:r w:rsidR="00C34270">
        <w:rPr>
          <w:rFonts w:ascii="Times New Roman" w:hAnsi="Times New Roman" w:cs="Times New Roman"/>
          <w:sz w:val="24"/>
          <w:szCs w:val="24"/>
        </w:rPr>
        <w:t>A recording what the letter described as an ‘</w:t>
      </w:r>
      <w:r w:rsidR="00C34270">
        <w:rPr>
          <w:rFonts w:ascii="Times New Roman" w:hAnsi="Times New Roman" w:cs="Times New Roman"/>
          <w:i/>
          <w:sz w:val="24"/>
          <w:szCs w:val="24"/>
        </w:rPr>
        <w:t>objection’</w:t>
      </w:r>
      <w:r w:rsidR="00C34270">
        <w:rPr>
          <w:rFonts w:ascii="Times New Roman" w:hAnsi="Times New Roman" w:cs="Times New Roman"/>
          <w:sz w:val="24"/>
          <w:szCs w:val="24"/>
        </w:rPr>
        <w:t xml:space="preserve"> to the generic registration of Osteopen ‘</w:t>
      </w:r>
      <w:r w:rsidR="00C34270">
        <w:rPr>
          <w:rFonts w:ascii="Times New Roman" w:hAnsi="Times New Roman" w:cs="Times New Roman"/>
          <w:i/>
          <w:sz w:val="24"/>
          <w:szCs w:val="24"/>
        </w:rPr>
        <w:t>due to procedural omissions and deviations’</w:t>
      </w:r>
      <w:r w:rsidR="00C34270">
        <w:rPr>
          <w:rFonts w:ascii="Times New Roman" w:hAnsi="Times New Roman" w:cs="Times New Roman"/>
          <w:sz w:val="24"/>
          <w:szCs w:val="24"/>
        </w:rPr>
        <w:t xml:space="preserve">.  </w:t>
      </w:r>
      <w:r w:rsidR="00666F80">
        <w:rPr>
          <w:rFonts w:ascii="Times New Roman" w:hAnsi="Times New Roman" w:cs="Times New Roman"/>
          <w:sz w:val="24"/>
          <w:szCs w:val="24"/>
        </w:rPr>
        <w:t>Neither the 2001 Directive nor the 2007 Regulation make any provision for an ‘</w:t>
      </w:r>
      <w:r w:rsidR="00666F80">
        <w:rPr>
          <w:rFonts w:ascii="Times New Roman" w:hAnsi="Times New Roman" w:cs="Times New Roman"/>
          <w:i/>
          <w:sz w:val="24"/>
          <w:szCs w:val="24"/>
        </w:rPr>
        <w:t xml:space="preserve">objection’ </w:t>
      </w:r>
      <w:r w:rsidR="00666F80">
        <w:rPr>
          <w:rFonts w:ascii="Times New Roman" w:hAnsi="Times New Roman" w:cs="Times New Roman"/>
          <w:sz w:val="24"/>
          <w:szCs w:val="24"/>
        </w:rPr>
        <w:t>of this kind: the decision had by this time been made and the authorisation granted. The letter – which appears to have been prepared before Arthropharm had obtained legal advi</w:t>
      </w:r>
      <w:r w:rsidR="00FD770F">
        <w:rPr>
          <w:rFonts w:ascii="Times New Roman" w:hAnsi="Times New Roman" w:cs="Times New Roman"/>
          <w:sz w:val="24"/>
          <w:szCs w:val="24"/>
        </w:rPr>
        <w:t>c</w:t>
      </w:r>
      <w:r w:rsidR="00666F80">
        <w:rPr>
          <w:rFonts w:ascii="Times New Roman" w:hAnsi="Times New Roman" w:cs="Times New Roman"/>
          <w:sz w:val="24"/>
          <w:szCs w:val="24"/>
        </w:rPr>
        <w:t>e (at least in Ireland) –</w:t>
      </w:r>
      <w:r w:rsidR="00121DA8">
        <w:rPr>
          <w:rFonts w:ascii="Times New Roman" w:hAnsi="Times New Roman" w:cs="Times New Roman"/>
          <w:sz w:val="24"/>
          <w:szCs w:val="24"/>
        </w:rPr>
        <w:t xml:space="preserve"> </w:t>
      </w:r>
      <w:r w:rsidR="00666F80">
        <w:rPr>
          <w:rFonts w:ascii="Times New Roman" w:hAnsi="Times New Roman" w:cs="Times New Roman"/>
          <w:sz w:val="24"/>
          <w:szCs w:val="24"/>
        </w:rPr>
        <w:t>assume</w:t>
      </w:r>
      <w:r w:rsidR="00121DA8">
        <w:rPr>
          <w:rFonts w:ascii="Times New Roman" w:hAnsi="Times New Roman" w:cs="Times New Roman"/>
          <w:sz w:val="24"/>
          <w:szCs w:val="24"/>
        </w:rPr>
        <w:t>s</w:t>
      </w:r>
      <w:r w:rsidR="00666F80">
        <w:rPr>
          <w:rFonts w:ascii="Times New Roman" w:hAnsi="Times New Roman" w:cs="Times New Roman"/>
          <w:sz w:val="24"/>
          <w:szCs w:val="24"/>
        </w:rPr>
        <w:t xml:space="preserve"> otherwise, and proceed</w:t>
      </w:r>
      <w:r w:rsidR="00121DA8">
        <w:rPr>
          <w:rFonts w:ascii="Times New Roman" w:hAnsi="Times New Roman" w:cs="Times New Roman"/>
          <w:sz w:val="24"/>
          <w:szCs w:val="24"/>
        </w:rPr>
        <w:t xml:space="preserve">s </w:t>
      </w:r>
      <w:r w:rsidR="00666F80">
        <w:rPr>
          <w:rFonts w:ascii="Times New Roman" w:hAnsi="Times New Roman" w:cs="Times New Roman"/>
          <w:sz w:val="24"/>
          <w:szCs w:val="24"/>
        </w:rPr>
        <w:t xml:space="preserve">on the basis that Arthropharm had a right to a </w:t>
      </w:r>
      <w:r w:rsidR="00666F80">
        <w:rPr>
          <w:rFonts w:ascii="Times New Roman" w:hAnsi="Times New Roman" w:cs="Times New Roman"/>
          <w:i/>
          <w:sz w:val="24"/>
          <w:szCs w:val="24"/>
        </w:rPr>
        <w:t xml:space="preserve">de novo </w:t>
      </w:r>
      <w:r w:rsidR="00666F80">
        <w:rPr>
          <w:rFonts w:ascii="Times New Roman" w:hAnsi="Times New Roman" w:cs="Times New Roman"/>
          <w:sz w:val="24"/>
          <w:szCs w:val="24"/>
        </w:rPr>
        <w:t>determination based upon representations it wished to make in respect of the grant.</w:t>
      </w:r>
    </w:p>
    <w:p w14:paraId="654A5605" w14:textId="77777777" w:rsidR="00666F80" w:rsidRPr="00666F80" w:rsidRDefault="00666F80" w:rsidP="00666F80">
      <w:pPr>
        <w:pStyle w:val="ListParagraph"/>
        <w:spacing w:before="240" w:line="480" w:lineRule="auto"/>
        <w:ind w:left="786"/>
        <w:jc w:val="both"/>
        <w:rPr>
          <w:rFonts w:ascii="Times New Roman" w:hAnsi="Times New Roman" w:cs="Times New Roman"/>
          <w:b/>
          <w:sz w:val="24"/>
          <w:szCs w:val="24"/>
        </w:rPr>
      </w:pPr>
      <w:r>
        <w:rPr>
          <w:rFonts w:ascii="Times New Roman" w:hAnsi="Times New Roman" w:cs="Times New Roman"/>
          <w:sz w:val="24"/>
          <w:szCs w:val="24"/>
        </w:rPr>
        <w:t xml:space="preserve">  </w:t>
      </w:r>
    </w:p>
    <w:p w14:paraId="0A3BD16A" w14:textId="2883D9E1" w:rsidR="0073298F" w:rsidRPr="006A4C17" w:rsidRDefault="0073298F" w:rsidP="0073298F">
      <w:pPr>
        <w:pStyle w:val="ListParagraph"/>
        <w:numPr>
          <w:ilvl w:val="0"/>
          <w:numId w:val="1"/>
        </w:numPr>
        <w:spacing w:before="240" w:line="480" w:lineRule="auto"/>
        <w:jc w:val="both"/>
        <w:rPr>
          <w:rFonts w:ascii="Times New Roman" w:hAnsi="Times New Roman" w:cs="Times New Roman"/>
          <w:b/>
          <w:sz w:val="24"/>
          <w:szCs w:val="24"/>
        </w:rPr>
      </w:pPr>
      <w:r>
        <w:rPr>
          <w:rFonts w:ascii="Times New Roman" w:hAnsi="Times New Roman" w:cs="Times New Roman"/>
          <w:sz w:val="24"/>
          <w:szCs w:val="24"/>
        </w:rPr>
        <w:t>The e-mail with which the letter was sent summarised and attached a detailed objection to the marketing authorisation.  It sought ‘</w:t>
      </w:r>
      <w:r>
        <w:rPr>
          <w:rFonts w:ascii="Times New Roman" w:hAnsi="Times New Roman" w:cs="Times New Roman"/>
          <w:i/>
          <w:sz w:val="24"/>
          <w:szCs w:val="24"/>
        </w:rPr>
        <w:t xml:space="preserve">a review of the registration process’, </w:t>
      </w:r>
      <w:r>
        <w:rPr>
          <w:rFonts w:ascii="Times New Roman" w:hAnsi="Times New Roman" w:cs="Times New Roman"/>
          <w:sz w:val="24"/>
          <w:szCs w:val="24"/>
        </w:rPr>
        <w:t>observing:</w:t>
      </w:r>
    </w:p>
    <w:p w14:paraId="33DD884E" w14:textId="77777777" w:rsidR="0073298F" w:rsidRDefault="0073298F" w:rsidP="0073298F">
      <w:pPr>
        <w:pStyle w:val="ListParagraph"/>
        <w:spacing w:before="240" w:line="480" w:lineRule="auto"/>
        <w:jc w:val="both"/>
        <w:rPr>
          <w:rFonts w:ascii="Times New Roman" w:hAnsi="Times New Roman" w:cs="Times New Roman"/>
          <w:b/>
          <w:sz w:val="24"/>
          <w:szCs w:val="24"/>
        </w:rPr>
      </w:pPr>
    </w:p>
    <w:p w14:paraId="54C2E609" w14:textId="77777777" w:rsidR="0073298F" w:rsidRDefault="0073298F" w:rsidP="0073298F">
      <w:pPr>
        <w:pStyle w:val="ListParagraph"/>
        <w:numPr>
          <w:ilvl w:val="0"/>
          <w:numId w:val="6"/>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A generic product registration had been approved for a country where the comparator product was not registered;</w:t>
      </w:r>
    </w:p>
    <w:p w14:paraId="53FFCEF8" w14:textId="77777777" w:rsidR="00AC0501" w:rsidRDefault="00AC0501" w:rsidP="00AC0501">
      <w:pPr>
        <w:pStyle w:val="ListParagraph"/>
        <w:spacing w:before="240" w:line="480" w:lineRule="auto"/>
        <w:ind w:left="2160"/>
        <w:jc w:val="both"/>
        <w:rPr>
          <w:rFonts w:ascii="Times New Roman" w:hAnsi="Times New Roman" w:cs="Times New Roman"/>
          <w:sz w:val="24"/>
          <w:szCs w:val="24"/>
        </w:rPr>
      </w:pPr>
    </w:p>
    <w:p w14:paraId="17B3E8EC" w14:textId="552BCFC5" w:rsidR="00AC0501" w:rsidRDefault="0073298F" w:rsidP="00AC0501">
      <w:pPr>
        <w:pStyle w:val="ListParagraph"/>
        <w:numPr>
          <w:ilvl w:val="0"/>
          <w:numId w:val="6"/>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Differences in manufacturing processes for the </w:t>
      </w:r>
      <w:r w:rsidR="00BD4CC7">
        <w:rPr>
          <w:rFonts w:ascii="Times New Roman" w:hAnsi="Times New Roman" w:cs="Times New Roman"/>
          <w:sz w:val="24"/>
          <w:szCs w:val="24"/>
        </w:rPr>
        <w:t xml:space="preserve">active substance </w:t>
      </w:r>
      <w:r w:rsidR="00E574AE">
        <w:rPr>
          <w:rFonts w:ascii="Times New Roman" w:hAnsi="Times New Roman" w:cs="Times New Roman"/>
          <w:sz w:val="24"/>
          <w:szCs w:val="24"/>
        </w:rPr>
        <w:t>(</w:t>
      </w:r>
      <w:r w:rsidR="00BD4CC7">
        <w:rPr>
          <w:rFonts w:ascii="Times New Roman" w:hAnsi="Times New Roman" w:cs="Times New Roman"/>
          <w:sz w:val="24"/>
          <w:szCs w:val="24"/>
        </w:rPr>
        <w:t xml:space="preserve">or </w:t>
      </w:r>
      <w:r w:rsidR="00E574AE">
        <w:rPr>
          <w:rFonts w:ascii="Times New Roman" w:hAnsi="Times New Roman" w:cs="Times New Roman"/>
          <w:sz w:val="24"/>
          <w:szCs w:val="24"/>
        </w:rPr>
        <w:t>‘</w:t>
      </w:r>
      <w:r w:rsidR="00BD4CC7">
        <w:rPr>
          <w:rFonts w:ascii="Times New Roman" w:hAnsi="Times New Roman" w:cs="Times New Roman"/>
          <w:sz w:val="24"/>
          <w:szCs w:val="24"/>
        </w:rPr>
        <w:t>API</w:t>
      </w:r>
      <w:r w:rsidR="00E574AE">
        <w:rPr>
          <w:rFonts w:ascii="Times New Roman" w:hAnsi="Times New Roman" w:cs="Times New Roman"/>
          <w:sz w:val="24"/>
          <w:szCs w:val="24"/>
        </w:rPr>
        <w:t>’)</w:t>
      </w:r>
      <w:r w:rsidR="00BD4CC7">
        <w:rPr>
          <w:rFonts w:ascii="Times New Roman" w:hAnsi="Times New Roman" w:cs="Times New Roman"/>
          <w:sz w:val="24"/>
          <w:szCs w:val="24"/>
        </w:rPr>
        <w:t xml:space="preserve"> </w:t>
      </w:r>
      <w:r>
        <w:rPr>
          <w:rFonts w:ascii="Times New Roman" w:hAnsi="Times New Roman" w:cs="Times New Roman"/>
          <w:sz w:val="24"/>
          <w:szCs w:val="24"/>
        </w:rPr>
        <w:t>were not taken into account</w:t>
      </w:r>
      <w:r w:rsidR="00AC0501">
        <w:rPr>
          <w:rFonts w:ascii="Times New Roman" w:hAnsi="Times New Roman" w:cs="Times New Roman"/>
          <w:sz w:val="24"/>
          <w:szCs w:val="24"/>
        </w:rPr>
        <w:t>;</w:t>
      </w:r>
    </w:p>
    <w:p w14:paraId="6BFB5DA1" w14:textId="77777777" w:rsidR="00AC0501" w:rsidRPr="00AC0501" w:rsidRDefault="00AC0501" w:rsidP="00AC0501">
      <w:pPr>
        <w:pStyle w:val="ListParagraph"/>
        <w:rPr>
          <w:rFonts w:ascii="Times New Roman" w:hAnsi="Times New Roman" w:cs="Times New Roman"/>
          <w:sz w:val="24"/>
          <w:szCs w:val="24"/>
        </w:rPr>
      </w:pPr>
    </w:p>
    <w:p w14:paraId="2543D6A9" w14:textId="75CDBE5C" w:rsidR="00AC0501" w:rsidRDefault="0073298F" w:rsidP="00AC0501">
      <w:pPr>
        <w:pStyle w:val="ListParagraph"/>
        <w:numPr>
          <w:ilvl w:val="0"/>
          <w:numId w:val="6"/>
        </w:numPr>
        <w:spacing w:before="240" w:line="480" w:lineRule="auto"/>
        <w:jc w:val="both"/>
        <w:rPr>
          <w:rFonts w:ascii="Times New Roman" w:hAnsi="Times New Roman" w:cs="Times New Roman"/>
          <w:sz w:val="24"/>
          <w:szCs w:val="24"/>
        </w:rPr>
      </w:pPr>
      <w:r w:rsidRPr="00AC0501">
        <w:rPr>
          <w:rFonts w:ascii="Times New Roman" w:hAnsi="Times New Roman" w:cs="Times New Roman"/>
          <w:sz w:val="24"/>
          <w:szCs w:val="24"/>
        </w:rPr>
        <w:t>The API from different manufacturers is known to have wide</w:t>
      </w:r>
      <w:r w:rsidR="001331D5">
        <w:rPr>
          <w:rFonts w:ascii="Times New Roman" w:hAnsi="Times New Roman" w:cs="Times New Roman"/>
          <w:sz w:val="24"/>
          <w:szCs w:val="24"/>
        </w:rPr>
        <w:t>ly</w:t>
      </w:r>
      <w:r w:rsidRPr="00AC0501">
        <w:rPr>
          <w:rFonts w:ascii="Times New Roman" w:hAnsi="Times New Roman" w:cs="Times New Roman"/>
          <w:sz w:val="24"/>
          <w:szCs w:val="24"/>
        </w:rPr>
        <w:t xml:space="preserve"> varying biological activity and potency. In this regard it is said that the active ingredient in Osteopen (PPS) was produced in a different factory and by a different process from that used for </w:t>
      </w:r>
      <w:r w:rsidR="004C138A" w:rsidRPr="00AC0501">
        <w:rPr>
          <w:rFonts w:ascii="Times New Roman" w:hAnsi="Times New Roman" w:cs="Times New Roman"/>
          <w:sz w:val="24"/>
          <w:szCs w:val="24"/>
        </w:rPr>
        <w:t>Cartrophen</w:t>
      </w:r>
      <w:r w:rsidRPr="00AC0501">
        <w:rPr>
          <w:rFonts w:ascii="Times New Roman" w:hAnsi="Times New Roman" w:cs="Times New Roman"/>
          <w:sz w:val="24"/>
          <w:szCs w:val="24"/>
        </w:rPr>
        <w:t>.  PPS batches from different manufacturing facilities were, it was contended, demonstrably not structurally identical and hence each batch may have very different biological properties.</w:t>
      </w:r>
    </w:p>
    <w:p w14:paraId="368EDDE6" w14:textId="77777777" w:rsidR="00AC0501" w:rsidRPr="00AC0501" w:rsidRDefault="00AC0501" w:rsidP="00AC0501">
      <w:pPr>
        <w:pStyle w:val="ListParagraph"/>
        <w:rPr>
          <w:rFonts w:ascii="Times New Roman" w:hAnsi="Times New Roman" w:cs="Times New Roman"/>
          <w:sz w:val="24"/>
          <w:szCs w:val="24"/>
        </w:rPr>
      </w:pPr>
    </w:p>
    <w:p w14:paraId="21E3857E" w14:textId="77777777" w:rsidR="0073298F" w:rsidRPr="00AC0501" w:rsidRDefault="0073298F" w:rsidP="00AC0501">
      <w:pPr>
        <w:pStyle w:val="ListParagraph"/>
        <w:numPr>
          <w:ilvl w:val="0"/>
          <w:numId w:val="6"/>
        </w:numPr>
        <w:spacing w:before="240" w:line="480" w:lineRule="auto"/>
        <w:jc w:val="both"/>
        <w:rPr>
          <w:rFonts w:ascii="Times New Roman" w:hAnsi="Times New Roman" w:cs="Times New Roman"/>
          <w:sz w:val="24"/>
          <w:szCs w:val="24"/>
        </w:rPr>
      </w:pPr>
      <w:r w:rsidRPr="00AC0501">
        <w:rPr>
          <w:rFonts w:ascii="Times New Roman" w:hAnsi="Times New Roman" w:cs="Times New Roman"/>
          <w:sz w:val="24"/>
          <w:szCs w:val="24"/>
        </w:rPr>
        <w:t>Consideration to different structures and molecular weights and sulfation patterns from different manufacturing processes was not evaluated.</w:t>
      </w:r>
    </w:p>
    <w:p w14:paraId="3084EA72" w14:textId="77777777" w:rsidR="0073298F" w:rsidRPr="0073298F" w:rsidRDefault="0073298F" w:rsidP="0073298F">
      <w:pPr>
        <w:pStyle w:val="ListParagraph"/>
        <w:spacing w:before="240" w:line="480" w:lineRule="auto"/>
        <w:ind w:left="786"/>
        <w:jc w:val="both"/>
        <w:rPr>
          <w:rFonts w:ascii="Times New Roman" w:hAnsi="Times New Roman" w:cs="Times New Roman"/>
          <w:b/>
          <w:sz w:val="24"/>
          <w:szCs w:val="24"/>
        </w:rPr>
      </w:pPr>
      <w:r>
        <w:rPr>
          <w:rFonts w:ascii="Times New Roman" w:hAnsi="Times New Roman" w:cs="Times New Roman"/>
          <w:sz w:val="24"/>
          <w:szCs w:val="24"/>
        </w:rPr>
        <w:t xml:space="preserve">  </w:t>
      </w:r>
    </w:p>
    <w:p w14:paraId="7622EFAD" w14:textId="08C5F7DC" w:rsidR="002632D1" w:rsidRPr="00C34270" w:rsidRDefault="00C34270" w:rsidP="002632D1">
      <w:pPr>
        <w:pStyle w:val="ListParagraph"/>
        <w:numPr>
          <w:ilvl w:val="0"/>
          <w:numId w:val="1"/>
        </w:numPr>
        <w:spacing w:before="240" w:line="480" w:lineRule="auto"/>
        <w:jc w:val="both"/>
        <w:rPr>
          <w:rFonts w:ascii="Times New Roman" w:hAnsi="Times New Roman" w:cs="Times New Roman"/>
          <w:b/>
          <w:sz w:val="24"/>
          <w:szCs w:val="24"/>
        </w:rPr>
      </w:pPr>
      <w:r>
        <w:rPr>
          <w:rFonts w:ascii="Times New Roman" w:hAnsi="Times New Roman" w:cs="Times New Roman"/>
          <w:sz w:val="24"/>
          <w:szCs w:val="24"/>
        </w:rPr>
        <w:t xml:space="preserve">The letter </w:t>
      </w:r>
      <w:r w:rsidR="0073298F">
        <w:rPr>
          <w:rFonts w:ascii="Times New Roman" w:hAnsi="Times New Roman" w:cs="Times New Roman"/>
          <w:sz w:val="24"/>
          <w:szCs w:val="24"/>
        </w:rPr>
        <w:t xml:space="preserve">itself </w:t>
      </w:r>
      <w:r>
        <w:rPr>
          <w:rFonts w:ascii="Times New Roman" w:hAnsi="Times New Roman" w:cs="Times New Roman"/>
          <w:sz w:val="24"/>
          <w:szCs w:val="24"/>
        </w:rPr>
        <w:t xml:space="preserve">was detailed.  </w:t>
      </w:r>
      <w:r w:rsidR="004F6689">
        <w:rPr>
          <w:rFonts w:ascii="Times New Roman" w:hAnsi="Times New Roman" w:cs="Times New Roman"/>
          <w:sz w:val="24"/>
          <w:szCs w:val="24"/>
        </w:rPr>
        <w:t xml:space="preserve">It </w:t>
      </w:r>
      <w:r>
        <w:rPr>
          <w:rFonts w:ascii="Times New Roman" w:hAnsi="Times New Roman" w:cs="Times New Roman"/>
          <w:sz w:val="24"/>
          <w:szCs w:val="24"/>
        </w:rPr>
        <w:t xml:space="preserve">included the following </w:t>
      </w:r>
      <w:r w:rsidR="004F6689">
        <w:rPr>
          <w:rFonts w:ascii="Times New Roman" w:hAnsi="Times New Roman" w:cs="Times New Roman"/>
          <w:sz w:val="24"/>
          <w:szCs w:val="24"/>
        </w:rPr>
        <w:t>assertions</w:t>
      </w:r>
      <w:r>
        <w:rPr>
          <w:rFonts w:ascii="Times New Roman" w:hAnsi="Times New Roman" w:cs="Times New Roman"/>
          <w:sz w:val="24"/>
          <w:szCs w:val="24"/>
        </w:rPr>
        <w:t>:</w:t>
      </w:r>
    </w:p>
    <w:p w14:paraId="3551BF00" w14:textId="77777777" w:rsidR="00C34270" w:rsidRDefault="00C34270" w:rsidP="00C34270">
      <w:pPr>
        <w:pStyle w:val="ListParagraph"/>
        <w:spacing w:before="240" w:line="480" w:lineRule="auto"/>
        <w:jc w:val="both"/>
        <w:rPr>
          <w:rFonts w:ascii="Times New Roman" w:hAnsi="Times New Roman" w:cs="Times New Roman"/>
          <w:b/>
          <w:sz w:val="24"/>
          <w:szCs w:val="24"/>
        </w:rPr>
      </w:pPr>
    </w:p>
    <w:p w14:paraId="1C194648" w14:textId="77777777" w:rsidR="00C34270" w:rsidRDefault="00C34270" w:rsidP="00C34270">
      <w:pPr>
        <w:pStyle w:val="ListParagraph"/>
        <w:numPr>
          <w:ilvl w:val="0"/>
          <w:numId w:val="17"/>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The active ingredient PPS in Osteopen was produced in a different factory to the active PPS in Cartrophen and was produced by a different process;</w:t>
      </w:r>
    </w:p>
    <w:p w14:paraId="10AA057C" w14:textId="77777777" w:rsidR="00C34270" w:rsidRDefault="00C34270" w:rsidP="00C34270">
      <w:pPr>
        <w:pStyle w:val="ListParagraph"/>
        <w:spacing w:before="240" w:line="48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  </w:t>
      </w:r>
    </w:p>
    <w:p w14:paraId="65A12AE7" w14:textId="77777777" w:rsidR="00C34270" w:rsidRDefault="00C34270" w:rsidP="00C34270">
      <w:pPr>
        <w:pStyle w:val="ListParagraph"/>
        <w:numPr>
          <w:ilvl w:val="0"/>
          <w:numId w:val="17"/>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The process did not reference details in the Arthropharm Vet file for the raw material and finished specification and stability studies for ‘biological activity’ as presented for PPS;</w:t>
      </w:r>
    </w:p>
    <w:p w14:paraId="72F7DD58" w14:textId="77777777" w:rsidR="00C34270" w:rsidRPr="00C34270" w:rsidRDefault="00C34270" w:rsidP="00C34270">
      <w:pPr>
        <w:pStyle w:val="ListParagraph"/>
        <w:rPr>
          <w:rFonts w:ascii="Times New Roman" w:hAnsi="Times New Roman" w:cs="Times New Roman"/>
          <w:sz w:val="24"/>
          <w:szCs w:val="24"/>
        </w:rPr>
      </w:pPr>
    </w:p>
    <w:p w14:paraId="29F37BB8" w14:textId="49F10753" w:rsidR="00C34270" w:rsidRDefault="00C34270" w:rsidP="00C34270">
      <w:pPr>
        <w:pStyle w:val="ListParagraph"/>
        <w:numPr>
          <w:ilvl w:val="0"/>
          <w:numId w:val="17"/>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The applicant did not appear to have taken account </w:t>
      </w:r>
      <w:r w:rsidR="001D32A5">
        <w:rPr>
          <w:rFonts w:ascii="Times New Roman" w:hAnsi="Times New Roman" w:cs="Times New Roman"/>
          <w:sz w:val="24"/>
          <w:szCs w:val="24"/>
        </w:rPr>
        <w:t xml:space="preserve">of </w:t>
      </w:r>
      <w:r>
        <w:rPr>
          <w:rFonts w:ascii="Times New Roman" w:hAnsi="Times New Roman" w:cs="Times New Roman"/>
          <w:sz w:val="24"/>
          <w:szCs w:val="24"/>
        </w:rPr>
        <w:t xml:space="preserve">a recent similar or identical application for an active ingredient PPS which had been ruled </w:t>
      </w:r>
      <w:r>
        <w:rPr>
          <w:rFonts w:ascii="Times New Roman" w:hAnsi="Times New Roman" w:cs="Times New Roman"/>
          <w:sz w:val="24"/>
          <w:szCs w:val="24"/>
        </w:rPr>
        <w:lastRenderedPageBreak/>
        <w:t>deficient both by the FDA and E</w:t>
      </w:r>
      <w:r w:rsidR="000C0159">
        <w:rPr>
          <w:rFonts w:ascii="Times New Roman" w:hAnsi="Times New Roman" w:cs="Times New Roman"/>
          <w:sz w:val="24"/>
          <w:szCs w:val="24"/>
        </w:rPr>
        <w:t>U</w:t>
      </w:r>
      <w:r>
        <w:rPr>
          <w:rFonts w:ascii="Times New Roman" w:hAnsi="Times New Roman" w:cs="Times New Roman"/>
          <w:sz w:val="24"/>
          <w:szCs w:val="24"/>
        </w:rPr>
        <w:t xml:space="preserve"> authorities.  </w:t>
      </w:r>
      <w:r w:rsidR="007E0B1D">
        <w:rPr>
          <w:rFonts w:ascii="Times New Roman" w:hAnsi="Times New Roman" w:cs="Times New Roman"/>
          <w:sz w:val="24"/>
          <w:szCs w:val="24"/>
        </w:rPr>
        <w:t>It said that a generic application should not short cut this refusal to grant an application of a similar or identical substance.</w:t>
      </w:r>
    </w:p>
    <w:p w14:paraId="7CDE1A55" w14:textId="77777777" w:rsidR="007E0B1D" w:rsidRPr="007E0B1D" w:rsidRDefault="007E0B1D" w:rsidP="007E0B1D">
      <w:pPr>
        <w:pStyle w:val="ListParagraph"/>
        <w:rPr>
          <w:rFonts w:ascii="Times New Roman" w:hAnsi="Times New Roman" w:cs="Times New Roman"/>
          <w:sz w:val="24"/>
          <w:szCs w:val="24"/>
        </w:rPr>
      </w:pPr>
    </w:p>
    <w:p w14:paraId="6FA51C92" w14:textId="77777777" w:rsidR="007E0B1D" w:rsidRDefault="007E0B1D" w:rsidP="00C34270">
      <w:pPr>
        <w:pStyle w:val="ListParagraph"/>
        <w:numPr>
          <w:ilvl w:val="0"/>
          <w:numId w:val="17"/>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Different suppliers of PPS had different profile</w:t>
      </w:r>
      <w:r w:rsidR="000C0159">
        <w:rPr>
          <w:rFonts w:ascii="Times New Roman" w:hAnsi="Times New Roman" w:cs="Times New Roman"/>
          <w:sz w:val="24"/>
          <w:szCs w:val="24"/>
        </w:rPr>
        <w:t>s</w:t>
      </w:r>
      <w:r>
        <w:rPr>
          <w:rFonts w:ascii="Times New Roman" w:hAnsi="Times New Roman" w:cs="Times New Roman"/>
          <w:sz w:val="24"/>
          <w:szCs w:val="24"/>
        </w:rPr>
        <w:t xml:space="preserve"> of structures and different biological potency.</w:t>
      </w:r>
    </w:p>
    <w:p w14:paraId="2C460A3F" w14:textId="77777777" w:rsidR="007E0B1D" w:rsidRPr="007E0B1D" w:rsidRDefault="007E0B1D" w:rsidP="007E0B1D">
      <w:pPr>
        <w:pStyle w:val="ListParagraph"/>
        <w:rPr>
          <w:rFonts w:ascii="Times New Roman" w:hAnsi="Times New Roman" w:cs="Times New Roman"/>
          <w:sz w:val="24"/>
          <w:szCs w:val="24"/>
        </w:rPr>
      </w:pPr>
    </w:p>
    <w:p w14:paraId="1603DA72" w14:textId="77777777" w:rsidR="007E0B1D" w:rsidRDefault="007E0B1D" w:rsidP="00C34270">
      <w:pPr>
        <w:pStyle w:val="ListParagraph"/>
        <w:numPr>
          <w:ilvl w:val="0"/>
          <w:numId w:val="17"/>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Published studies indicated a dose window for efficacy, with higher and lower doses or potencies being less effective.</w:t>
      </w:r>
    </w:p>
    <w:p w14:paraId="2CE00CCD" w14:textId="77777777" w:rsidR="007E0B1D" w:rsidRPr="007E0B1D" w:rsidRDefault="007E0B1D" w:rsidP="007E0B1D">
      <w:pPr>
        <w:pStyle w:val="ListParagraph"/>
        <w:rPr>
          <w:rFonts w:ascii="Times New Roman" w:hAnsi="Times New Roman" w:cs="Times New Roman"/>
          <w:sz w:val="24"/>
          <w:szCs w:val="24"/>
        </w:rPr>
      </w:pPr>
    </w:p>
    <w:p w14:paraId="2A57CF98" w14:textId="77777777" w:rsidR="00C34270" w:rsidRPr="007E0B1D" w:rsidRDefault="007E0B1D" w:rsidP="007E0B1D">
      <w:pPr>
        <w:pStyle w:val="ListParagraph"/>
        <w:numPr>
          <w:ilvl w:val="0"/>
          <w:numId w:val="17"/>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Well studied data on heparin, said to be a closely related pharmaceutical family to PPS, support the concept of different manufacturers producing products of different structure and potency ha</w:t>
      </w:r>
      <w:r w:rsidR="004F6689">
        <w:rPr>
          <w:rFonts w:ascii="Times New Roman" w:hAnsi="Times New Roman" w:cs="Times New Roman"/>
          <w:sz w:val="24"/>
          <w:szCs w:val="24"/>
        </w:rPr>
        <w:t>v</w:t>
      </w:r>
      <w:r>
        <w:rPr>
          <w:rFonts w:ascii="Times New Roman" w:hAnsi="Times New Roman" w:cs="Times New Roman"/>
          <w:sz w:val="24"/>
          <w:szCs w:val="24"/>
        </w:rPr>
        <w:t>ing distinctly different potency and safety.</w:t>
      </w:r>
      <w:r w:rsidR="00C34270" w:rsidRPr="007E0B1D">
        <w:rPr>
          <w:rFonts w:ascii="Times New Roman" w:hAnsi="Times New Roman" w:cs="Times New Roman"/>
          <w:b/>
          <w:sz w:val="24"/>
          <w:szCs w:val="24"/>
        </w:rPr>
        <w:t xml:space="preserve">  </w:t>
      </w:r>
    </w:p>
    <w:p w14:paraId="05C3B9C3" w14:textId="77777777" w:rsidR="00C34270" w:rsidRDefault="007E0B1D" w:rsidP="007E0B1D">
      <w:pPr>
        <w:pStyle w:val="ListParagraph"/>
        <w:spacing w:before="24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14:paraId="40BA2284" w14:textId="3B69435F" w:rsidR="0040231D" w:rsidRPr="009F0DE4" w:rsidRDefault="007E0B1D" w:rsidP="0040231D">
      <w:pPr>
        <w:pStyle w:val="ListParagraph"/>
        <w:numPr>
          <w:ilvl w:val="0"/>
          <w:numId w:val="1"/>
        </w:numPr>
        <w:spacing w:before="240" w:line="480" w:lineRule="auto"/>
        <w:jc w:val="both"/>
        <w:rPr>
          <w:rFonts w:ascii="Times New Roman" w:hAnsi="Times New Roman" w:cs="Times New Roman"/>
          <w:b/>
          <w:sz w:val="24"/>
          <w:szCs w:val="24"/>
        </w:rPr>
      </w:pPr>
      <w:r>
        <w:rPr>
          <w:rFonts w:ascii="Times New Roman" w:hAnsi="Times New Roman" w:cs="Times New Roman"/>
          <w:sz w:val="24"/>
          <w:szCs w:val="24"/>
        </w:rPr>
        <w:t xml:space="preserve">The letter supported these propositions with a lengthy </w:t>
      </w:r>
      <w:r w:rsidR="0040231D">
        <w:rPr>
          <w:rFonts w:ascii="Times New Roman" w:hAnsi="Times New Roman" w:cs="Times New Roman"/>
          <w:sz w:val="24"/>
          <w:szCs w:val="24"/>
        </w:rPr>
        <w:t xml:space="preserve">list of references from the relevant literature and specifically elaborated by reference to that review on the proposition that not all PPS are the same, noting that if the PPS preparation used is more potent than that used in </w:t>
      </w:r>
      <w:r w:rsidR="000C0159">
        <w:rPr>
          <w:rFonts w:ascii="Times New Roman" w:hAnsi="Times New Roman" w:cs="Times New Roman"/>
          <w:sz w:val="24"/>
          <w:szCs w:val="24"/>
        </w:rPr>
        <w:t>Cartrophen</w:t>
      </w:r>
      <w:r w:rsidR="0040231D">
        <w:rPr>
          <w:rFonts w:ascii="Times New Roman" w:hAnsi="Times New Roman" w:cs="Times New Roman"/>
          <w:sz w:val="24"/>
          <w:szCs w:val="24"/>
        </w:rPr>
        <w:t xml:space="preserve"> there is a risk of toxicity and a higher incidence of side effects, while if it is less potent this could be ineffective for the treated condition.</w:t>
      </w:r>
      <w:r w:rsidR="00D22319">
        <w:rPr>
          <w:rFonts w:ascii="Times New Roman" w:hAnsi="Times New Roman" w:cs="Times New Roman"/>
          <w:sz w:val="24"/>
          <w:szCs w:val="24"/>
        </w:rPr>
        <w:t xml:space="preserve">  An objection in the same terms was sent </w:t>
      </w:r>
      <w:r w:rsidR="00ED6FA9">
        <w:rPr>
          <w:rFonts w:ascii="Times New Roman" w:hAnsi="Times New Roman" w:cs="Times New Roman"/>
          <w:sz w:val="24"/>
          <w:szCs w:val="24"/>
        </w:rPr>
        <w:t xml:space="preserve">at the same time </w:t>
      </w:r>
      <w:r w:rsidR="00D22319">
        <w:rPr>
          <w:rFonts w:ascii="Times New Roman" w:hAnsi="Times New Roman" w:cs="Times New Roman"/>
          <w:sz w:val="24"/>
          <w:szCs w:val="24"/>
        </w:rPr>
        <w:t>to the relevant authorities in the United Kingdom, France, Germany and Spain</w:t>
      </w:r>
      <w:r w:rsidR="00F33AAF">
        <w:rPr>
          <w:rFonts w:ascii="Times New Roman" w:hAnsi="Times New Roman" w:cs="Times New Roman"/>
          <w:sz w:val="24"/>
          <w:szCs w:val="24"/>
        </w:rPr>
        <w:t xml:space="preserve"> in which</w:t>
      </w:r>
      <w:r w:rsidR="00121DA8">
        <w:rPr>
          <w:rFonts w:ascii="Times New Roman" w:hAnsi="Times New Roman" w:cs="Times New Roman"/>
          <w:sz w:val="24"/>
          <w:szCs w:val="24"/>
        </w:rPr>
        <w:t xml:space="preserve"> jurisdictions</w:t>
      </w:r>
      <w:r w:rsidR="00F33AAF">
        <w:rPr>
          <w:rFonts w:ascii="Times New Roman" w:hAnsi="Times New Roman" w:cs="Times New Roman"/>
          <w:sz w:val="24"/>
          <w:szCs w:val="24"/>
        </w:rPr>
        <w:t xml:space="preserve">, as a result of the authorisation </w:t>
      </w:r>
      <w:r w:rsidR="00374F55">
        <w:rPr>
          <w:rFonts w:ascii="Times New Roman" w:hAnsi="Times New Roman" w:cs="Times New Roman"/>
          <w:sz w:val="24"/>
          <w:szCs w:val="24"/>
        </w:rPr>
        <w:t xml:space="preserve">of Osteopen in this </w:t>
      </w:r>
      <w:r w:rsidR="00121DA8">
        <w:rPr>
          <w:rFonts w:ascii="Times New Roman" w:hAnsi="Times New Roman" w:cs="Times New Roman"/>
          <w:sz w:val="24"/>
          <w:szCs w:val="24"/>
        </w:rPr>
        <w:t>country</w:t>
      </w:r>
      <w:r w:rsidR="00374F55">
        <w:rPr>
          <w:rFonts w:ascii="Times New Roman" w:hAnsi="Times New Roman" w:cs="Times New Roman"/>
          <w:sz w:val="24"/>
          <w:szCs w:val="24"/>
        </w:rPr>
        <w:t>,</w:t>
      </w:r>
      <w:r w:rsidR="00F33AAF">
        <w:rPr>
          <w:rFonts w:ascii="Times New Roman" w:hAnsi="Times New Roman" w:cs="Times New Roman"/>
          <w:sz w:val="24"/>
          <w:szCs w:val="24"/>
        </w:rPr>
        <w:t xml:space="preserve"> </w:t>
      </w:r>
      <w:r w:rsidR="00302E4C">
        <w:rPr>
          <w:rFonts w:ascii="Times New Roman" w:hAnsi="Times New Roman" w:cs="Times New Roman"/>
          <w:sz w:val="24"/>
          <w:szCs w:val="24"/>
        </w:rPr>
        <w:t>marketing authorisation</w:t>
      </w:r>
      <w:r w:rsidR="00F33AAF">
        <w:rPr>
          <w:rFonts w:ascii="Times New Roman" w:hAnsi="Times New Roman" w:cs="Times New Roman"/>
          <w:sz w:val="24"/>
          <w:szCs w:val="24"/>
        </w:rPr>
        <w:t>s had also been granted.</w:t>
      </w:r>
      <w:r w:rsidR="00302E4C">
        <w:rPr>
          <w:rFonts w:ascii="Times New Roman" w:hAnsi="Times New Roman" w:cs="Times New Roman"/>
          <w:sz w:val="24"/>
          <w:szCs w:val="24"/>
        </w:rPr>
        <w:t xml:space="preserve">  </w:t>
      </w:r>
      <w:r w:rsidR="00ED6FA9">
        <w:rPr>
          <w:rFonts w:ascii="Times New Roman" w:hAnsi="Times New Roman" w:cs="Times New Roman"/>
          <w:sz w:val="24"/>
          <w:szCs w:val="24"/>
        </w:rPr>
        <w:t>Those authorities were also asked to suspend the</w:t>
      </w:r>
      <w:r w:rsidR="00302E4C">
        <w:rPr>
          <w:rFonts w:ascii="Times New Roman" w:hAnsi="Times New Roman" w:cs="Times New Roman"/>
          <w:sz w:val="24"/>
          <w:szCs w:val="24"/>
        </w:rPr>
        <w:t>se</w:t>
      </w:r>
      <w:r w:rsidR="00ED6FA9">
        <w:rPr>
          <w:rFonts w:ascii="Times New Roman" w:hAnsi="Times New Roman" w:cs="Times New Roman"/>
          <w:sz w:val="24"/>
          <w:szCs w:val="24"/>
        </w:rPr>
        <w:t xml:space="preserve"> authorisations</w:t>
      </w:r>
      <w:r w:rsidR="00302E4C">
        <w:rPr>
          <w:rFonts w:ascii="Times New Roman" w:hAnsi="Times New Roman" w:cs="Times New Roman"/>
          <w:sz w:val="24"/>
          <w:szCs w:val="24"/>
        </w:rPr>
        <w:t xml:space="preserve">, </w:t>
      </w:r>
      <w:r w:rsidR="00ED6FA9">
        <w:rPr>
          <w:rFonts w:ascii="Times New Roman" w:hAnsi="Times New Roman" w:cs="Times New Roman"/>
          <w:sz w:val="24"/>
          <w:szCs w:val="24"/>
        </w:rPr>
        <w:t>and to review same.</w:t>
      </w:r>
    </w:p>
    <w:p w14:paraId="3FCAF007" w14:textId="77777777" w:rsidR="009F0DE4" w:rsidRDefault="009F0DE4" w:rsidP="009F0DE4">
      <w:pPr>
        <w:pStyle w:val="ListParagraph"/>
        <w:spacing w:before="24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14:paraId="676720B8" w14:textId="4FB44468" w:rsidR="009F0DE4" w:rsidRPr="00D22319" w:rsidRDefault="009F0DE4" w:rsidP="009F0DE4">
      <w:pPr>
        <w:pStyle w:val="ListParagraph"/>
        <w:numPr>
          <w:ilvl w:val="0"/>
          <w:numId w:val="1"/>
        </w:numPr>
        <w:spacing w:before="240" w:line="480" w:lineRule="auto"/>
        <w:jc w:val="both"/>
        <w:rPr>
          <w:rFonts w:ascii="Times New Roman" w:hAnsi="Times New Roman" w:cs="Times New Roman"/>
          <w:b/>
          <w:sz w:val="24"/>
          <w:szCs w:val="24"/>
        </w:rPr>
      </w:pPr>
      <w:r>
        <w:rPr>
          <w:rFonts w:ascii="Times New Roman" w:hAnsi="Times New Roman" w:cs="Times New Roman"/>
          <w:sz w:val="24"/>
          <w:szCs w:val="24"/>
        </w:rPr>
        <w:lastRenderedPageBreak/>
        <w:t xml:space="preserve">On </w:t>
      </w:r>
      <w:r w:rsidR="00232ADF">
        <w:rPr>
          <w:rFonts w:ascii="Times New Roman" w:hAnsi="Times New Roman" w:cs="Times New Roman"/>
          <w:sz w:val="24"/>
          <w:szCs w:val="24"/>
        </w:rPr>
        <w:t xml:space="preserve">16 </w:t>
      </w:r>
      <w:r>
        <w:rPr>
          <w:rFonts w:ascii="Times New Roman" w:hAnsi="Times New Roman" w:cs="Times New Roman"/>
          <w:sz w:val="24"/>
          <w:szCs w:val="24"/>
        </w:rPr>
        <w:t>October</w:t>
      </w:r>
      <w:r w:rsidR="00B54C83">
        <w:rPr>
          <w:rFonts w:ascii="Times New Roman" w:hAnsi="Times New Roman" w:cs="Times New Roman"/>
          <w:sz w:val="24"/>
          <w:szCs w:val="24"/>
        </w:rPr>
        <w:t xml:space="preserve"> 2018</w:t>
      </w:r>
      <w:r>
        <w:rPr>
          <w:rFonts w:ascii="Times New Roman" w:hAnsi="Times New Roman" w:cs="Times New Roman"/>
          <w:sz w:val="24"/>
          <w:szCs w:val="24"/>
        </w:rPr>
        <w:t>, HP</w:t>
      </w:r>
      <w:r w:rsidR="007E6BDD">
        <w:rPr>
          <w:rFonts w:ascii="Times New Roman" w:hAnsi="Times New Roman" w:cs="Times New Roman"/>
          <w:sz w:val="24"/>
          <w:szCs w:val="24"/>
        </w:rPr>
        <w:t>R</w:t>
      </w:r>
      <w:r>
        <w:rPr>
          <w:rFonts w:ascii="Times New Roman" w:hAnsi="Times New Roman" w:cs="Times New Roman"/>
          <w:sz w:val="24"/>
          <w:szCs w:val="24"/>
        </w:rPr>
        <w:t>A sent an email acknowledging receipt of the email of 12 October</w:t>
      </w:r>
      <w:r w:rsidR="00B54C83">
        <w:rPr>
          <w:rFonts w:ascii="Times New Roman" w:hAnsi="Times New Roman" w:cs="Times New Roman"/>
          <w:sz w:val="24"/>
          <w:szCs w:val="24"/>
        </w:rPr>
        <w:t xml:space="preserve"> 2018</w:t>
      </w:r>
      <w:r>
        <w:rPr>
          <w:rFonts w:ascii="Times New Roman" w:hAnsi="Times New Roman" w:cs="Times New Roman"/>
          <w:sz w:val="24"/>
          <w:szCs w:val="24"/>
        </w:rPr>
        <w:t>.  That mail recorded that HP</w:t>
      </w:r>
      <w:r w:rsidR="007E6BDD">
        <w:rPr>
          <w:rFonts w:ascii="Times New Roman" w:hAnsi="Times New Roman" w:cs="Times New Roman"/>
          <w:sz w:val="24"/>
          <w:szCs w:val="24"/>
        </w:rPr>
        <w:t>R</w:t>
      </w:r>
      <w:r>
        <w:rPr>
          <w:rFonts w:ascii="Times New Roman" w:hAnsi="Times New Roman" w:cs="Times New Roman"/>
          <w:sz w:val="24"/>
          <w:szCs w:val="24"/>
        </w:rPr>
        <w:t xml:space="preserve">A would respond as soon as possible.  On </w:t>
      </w:r>
      <w:r w:rsidR="00232ADF">
        <w:rPr>
          <w:rFonts w:ascii="Times New Roman" w:hAnsi="Times New Roman" w:cs="Times New Roman"/>
          <w:sz w:val="24"/>
          <w:szCs w:val="24"/>
        </w:rPr>
        <w:t xml:space="preserve">30 </w:t>
      </w:r>
      <w:r>
        <w:rPr>
          <w:rFonts w:ascii="Times New Roman" w:hAnsi="Times New Roman" w:cs="Times New Roman"/>
          <w:sz w:val="24"/>
          <w:szCs w:val="24"/>
        </w:rPr>
        <w:t>October</w:t>
      </w:r>
      <w:r w:rsidR="00B54C83">
        <w:rPr>
          <w:rFonts w:ascii="Times New Roman" w:hAnsi="Times New Roman" w:cs="Times New Roman"/>
          <w:sz w:val="24"/>
          <w:szCs w:val="24"/>
        </w:rPr>
        <w:t xml:space="preserve"> 2018</w:t>
      </w:r>
      <w:r>
        <w:rPr>
          <w:rFonts w:ascii="Times New Roman" w:hAnsi="Times New Roman" w:cs="Times New Roman"/>
          <w:sz w:val="24"/>
          <w:szCs w:val="24"/>
        </w:rPr>
        <w:t xml:space="preserve"> it sent a detailed substantive response. </w:t>
      </w:r>
      <w:r w:rsidR="00D22319">
        <w:rPr>
          <w:rFonts w:ascii="Times New Roman" w:hAnsi="Times New Roman" w:cs="Times New Roman"/>
          <w:sz w:val="24"/>
          <w:szCs w:val="24"/>
        </w:rPr>
        <w:t xml:space="preserve"> T</w:t>
      </w:r>
      <w:r>
        <w:rPr>
          <w:rFonts w:ascii="Times New Roman" w:hAnsi="Times New Roman" w:cs="Times New Roman"/>
          <w:sz w:val="24"/>
          <w:szCs w:val="24"/>
        </w:rPr>
        <w:t xml:space="preserve">hat response (which was </w:t>
      </w:r>
      <w:r w:rsidR="00FD770F">
        <w:rPr>
          <w:rFonts w:ascii="Times New Roman" w:hAnsi="Times New Roman" w:cs="Times New Roman"/>
          <w:sz w:val="24"/>
          <w:szCs w:val="24"/>
        </w:rPr>
        <w:t xml:space="preserve">also </w:t>
      </w:r>
      <w:r>
        <w:rPr>
          <w:rFonts w:ascii="Times New Roman" w:hAnsi="Times New Roman" w:cs="Times New Roman"/>
          <w:sz w:val="24"/>
          <w:szCs w:val="24"/>
        </w:rPr>
        <w:t>sent by e-mail) was deleted by a junior staff member in Arthropharm with the result that Arthropharm was under the impression that no response had been received.</w:t>
      </w:r>
      <w:r w:rsidR="00D22319">
        <w:rPr>
          <w:rFonts w:ascii="Times New Roman" w:hAnsi="Times New Roman" w:cs="Times New Roman"/>
          <w:sz w:val="24"/>
          <w:szCs w:val="24"/>
        </w:rPr>
        <w:t xml:space="preserve">  However, on </w:t>
      </w:r>
      <w:r w:rsidR="00232ADF">
        <w:rPr>
          <w:rFonts w:ascii="Times New Roman" w:hAnsi="Times New Roman" w:cs="Times New Roman"/>
          <w:sz w:val="24"/>
          <w:szCs w:val="24"/>
        </w:rPr>
        <w:t xml:space="preserve">26 </w:t>
      </w:r>
      <w:r w:rsidR="00D22319">
        <w:rPr>
          <w:rFonts w:ascii="Times New Roman" w:hAnsi="Times New Roman" w:cs="Times New Roman"/>
          <w:sz w:val="24"/>
          <w:szCs w:val="24"/>
        </w:rPr>
        <w:t xml:space="preserve">October </w:t>
      </w:r>
      <w:r w:rsidR="00B54C83">
        <w:rPr>
          <w:rFonts w:ascii="Times New Roman" w:hAnsi="Times New Roman" w:cs="Times New Roman"/>
          <w:sz w:val="24"/>
          <w:szCs w:val="24"/>
        </w:rPr>
        <w:t xml:space="preserve">2018 </w:t>
      </w:r>
      <w:r w:rsidR="00D22319">
        <w:rPr>
          <w:rFonts w:ascii="Times New Roman" w:hAnsi="Times New Roman" w:cs="Times New Roman"/>
          <w:sz w:val="24"/>
          <w:szCs w:val="24"/>
        </w:rPr>
        <w:t xml:space="preserve">the United Kingdom authority responded to the objection submitted to it, </w:t>
      </w:r>
      <w:r w:rsidR="00D22319">
        <w:rPr>
          <w:rFonts w:ascii="Times New Roman" w:hAnsi="Times New Roman" w:cs="Times New Roman"/>
          <w:i/>
          <w:sz w:val="24"/>
          <w:szCs w:val="24"/>
        </w:rPr>
        <w:t xml:space="preserve">inter alia </w:t>
      </w:r>
      <w:r w:rsidR="00D22319">
        <w:rPr>
          <w:rFonts w:ascii="Times New Roman" w:hAnsi="Times New Roman" w:cs="Times New Roman"/>
          <w:sz w:val="24"/>
          <w:szCs w:val="24"/>
        </w:rPr>
        <w:t xml:space="preserve">referring Arthropharm to the more detailed response that would be received from </w:t>
      </w:r>
      <w:r w:rsidR="00F160A6">
        <w:rPr>
          <w:rFonts w:ascii="Times New Roman" w:hAnsi="Times New Roman" w:cs="Times New Roman"/>
          <w:sz w:val="24"/>
          <w:szCs w:val="24"/>
        </w:rPr>
        <w:t>HPRA</w:t>
      </w:r>
      <w:r w:rsidR="00D22319">
        <w:rPr>
          <w:rFonts w:ascii="Times New Roman" w:hAnsi="Times New Roman" w:cs="Times New Roman"/>
          <w:sz w:val="24"/>
          <w:szCs w:val="24"/>
        </w:rPr>
        <w:t xml:space="preserve">. </w:t>
      </w:r>
      <w:r w:rsidR="003A6670">
        <w:rPr>
          <w:rFonts w:ascii="Times New Roman" w:hAnsi="Times New Roman" w:cs="Times New Roman"/>
          <w:sz w:val="24"/>
          <w:szCs w:val="24"/>
        </w:rPr>
        <w:t xml:space="preserve">On </w:t>
      </w:r>
      <w:r w:rsidR="00232ADF">
        <w:rPr>
          <w:rFonts w:ascii="Times New Roman" w:hAnsi="Times New Roman" w:cs="Times New Roman"/>
          <w:sz w:val="24"/>
          <w:szCs w:val="24"/>
        </w:rPr>
        <w:t xml:space="preserve">2 </w:t>
      </w:r>
      <w:r w:rsidR="00D22319">
        <w:rPr>
          <w:rFonts w:ascii="Times New Roman" w:hAnsi="Times New Roman" w:cs="Times New Roman"/>
          <w:sz w:val="24"/>
          <w:szCs w:val="24"/>
        </w:rPr>
        <w:t xml:space="preserve">November 2018 the German </w:t>
      </w:r>
      <w:r w:rsidR="00CD62AD">
        <w:rPr>
          <w:rFonts w:ascii="Times New Roman" w:hAnsi="Times New Roman" w:cs="Times New Roman"/>
          <w:sz w:val="24"/>
          <w:szCs w:val="24"/>
        </w:rPr>
        <w:t>a</w:t>
      </w:r>
      <w:r w:rsidR="00D22319">
        <w:rPr>
          <w:rFonts w:ascii="Times New Roman" w:hAnsi="Times New Roman" w:cs="Times New Roman"/>
          <w:sz w:val="24"/>
          <w:szCs w:val="24"/>
        </w:rPr>
        <w:t xml:space="preserve">uthority responded to the objection it had received, referencing that it had been in touch with </w:t>
      </w:r>
      <w:r w:rsidR="00C34A06">
        <w:rPr>
          <w:rFonts w:ascii="Times New Roman" w:hAnsi="Times New Roman" w:cs="Times New Roman"/>
          <w:sz w:val="24"/>
          <w:szCs w:val="24"/>
        </w:rPr>
        <w:t xml:space="preserve">HPRA, and </w:t>
      </w:r>
      <w:r w:rsidR="00D22319">
        <w:rPr>
          <w:rFonts w:ascii="Times New Roman" w:hAnsi="Times New Roman" w:cs="Times New Roman"/>
          <w:sz w:val="24"/>
          <w:szCs w:val="24"/>
        </w:rPr>
        <w:t>stating:</w:t>
      </w:r>
    </w:p>
    <w:p w14:paraId="7A5F2D6C" w14:textId="77777777" w:rsidR="00D22319" w:rsidRPr="00D22319" w:rsidRDefault="00D22319" w:rsidP="00D22319">
      <w:pPr>
        <w:pStyle w:val="ListParagraph"/>
        <w:rPr>
          <w:rFonts w:ascii="Times New Roman" w:hAnsi="Times New Roman" w:cs="Times New Roman"/>
          <w:b/>
          <w:sz w:val="24"/>
          <w:szCs w:val="24"/>
        </w:rPr>
      </w:pPr>
    </w:p>
    <w:p w14:paraId="305E8EBB" w14:textId="15232BC1" w:rsidR="00D22319" w:rsidRPr="00C34A06" w:rsidRDefault="00D22319" w:rsidP="00D22319">
      <w:pPr>
        <w:pStyle w:val="ListParagraph"/>
        <w:spacing w:before="240" w:line="480" w:lineRule="auto"/>
        <w:ind w:left="1440"/>
        <w:jc w:val="both"/>
        <w:rPr>
          <w:rFonts w:ascii="Times New Roman" w:hAnsi="Times New Roman" w:cs="Times New Roman"/>
          <w:sz w:val="24"/>
          <w:szCs w:val="24"/>
        </w:rPr>
      </w:pPr>
      <w:r>
        <w:rPr>
          <w:rFonts w:ascii="Times New Roman" w:hAnsi="Times New Roman" w:cs="Times New Roman"/>
          <w:i/>
          <w:sz w:val="24"/>
          <w:szCs w:val="24"/>
        </w:rPr>
        <w:t>‘</w:t>
      </w:r>
      <w:r w:rsidR="00C34A06">
        <w:rPr>
          <w:rFonts w:ascii="Times New Roman" w:hAnsi="Times New Roman" w:cs="Times New Roman"/>
          <w:i/>
          <w:sz w:val="24"/>
          <w:szCs w:val="24"/>
        </w:rPr>
        <w:t>We have been informed by the RMS (Ireland) that you have addressed your questions also to the RMS and that you have already received an answer regarding your objection to the registration of Osteopen MA.’</w:t>
      </w:r>
    </w:p>
    <w:p w14:paraId="36967792" w14:textId="77777777" w:rsidR="009F0DE4" w:rsidRDefault="009F0DE4" w:rsidP="009F0DE4">
      <w:pPr>
        <w:pStyle w:val="ListParagraph"/>
        <w:spacing w:before="24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14:paraId="4575FB7F" w14:textId="5B1AE7F7" w:rsidR="009F0DE4" w:rsidRPr="005B47C6" w:rsidRDefault="00CA6DAA" w:rsidP="009F0DE4">
      <w:pPr>
        <w:pStyle w:val="ListParagraph"/>
        <w:numPr>
          <w:ilvl w:val="0"/>
          <w:numId w:val="1"/>
        </w:numPr>
        <w:spacing w:before="240" w:line="480" w:lineRule="auto"/>
        <w:jc w:val="both"/>
        <w:rPr>
          <w:rFonts w:ascii="Times New Roman" w:hAnsi="Times New Roman" w:cs="Times New Roman"/>
          <w:b/>
          <w:sz w:val="24"/>
          <w:szCs w:val="24"/>
        </w:rPr>
      </w:pPr>
      <w:r>
        <w:rPr>
          <w:rFonts w:ascii="Times New Roman" w:hAnsi="Times New Roman" w:cs="Times New Roman"/>
          <w:sz w:val="24"/>
          <w:szCs w:val="24"/>
        </w:rPr>
        <w:t>Thereafter</w:t>
      </w:r>
      <w:r w:rsidR="009F0DE4">
        <w:rPr>
          <w:rFonts w:ascii="Times New Roman" w:hAnsi="Times New Roman" w:cs="Times New Roman"/>
          <w:sz w:val="24"/>
          <w:szCs w:val="24"/>
        </w:rPr>
        <w:t xml:space="preserve">, Osteopen was placed on the market on </w:t>
      </w:r>
      <w:r w:rsidR="00232ADF">
        <w:rPr>
          <w:rFonts w:ascii="Times New Roman" w:hAnsi="Times New Roman" w:cs="Times New Roman"/>
          <w:sz w:val="24"/>
          <w:szCs w:val="24"/>
        </w:rPr>
        <w:t xml:space="preserve">8 </w:t>
      </w:r>
      <w:r w:rsidR="009F0DE4">
        <w:rPr>
          <w:rFonts w:ascii="Times New Roman" w:hAnsi="Times New Roman" w:cs="Times New Roman"/>
          <w:sz w:val="24"/>
          <w:szCs w:val="24"/>
        </w:rPr>
        <w:t xml:space="preserve">November 2018, following which Arthropharm obtained a sample of the product and arranged for comparative testing to be carried out.  It obtained the results of this on 9 December 2018.  </w:t>
      </w:r>
      <w:r w:rsidR="00FE5F2E">
        <w:rPr>
          <w:rFonts w:ascii="Times New Roman" w:hAnsi="Times New Roman" w:cs="Times New Roman"/>
          <w:sz w:val="24"/>
          <w:szCs w:val="24"/>
        </w:rPr>
        <w:t xml:space="preserve">On </w:t>
      </w:r>
      <w:r w:rsidR="00020A30">
        <w:rPr>
          <w:rFonts w:ascii="Times New Roman" w:hAnsi="Times New Roman" w:cs="Times New Roman"/>
          <w:sz w:val="24"/>
          <w:szCs w:val="24"/>
        </w:rPr>
        <w:t xml:space="preserve">13 </w:t>
      </w:r>
      <w:r w:rsidR="009F0DE4">
        <w:rPr>
          <w:rFonts w:ascii="Times New Roman" w:hAnsi="Times New Roman" w:cs="Times New Roman"/>
          <w:sz w:val="24"/>
          <w:szCs w:val="24"/>
        </w:rPr>
        <w:t>December</w:t>
      </w:r>
      <w:r w:rsidR="00FE5F2E">
        <w:rPr>
          <w:rFonts w:ascii="Times New Roman" w:hAnsi="Times New Roman" w:cs="Times New Roman"/>
          <w:sz w:val="24"/>
          <w:szCs w:val="24"/>
        </w:rPr>
        <w:t xml:space="preserve"> </w:t>
      </w:r>
      <w:r w:rsidR="00B54C83">
        <w:rPr>
          <w:rFonts w:ascii="Times New Roman" w:hAnsi="Times New Roman" w:cs="Times New Roman"/>
          <w:sz w:val="24"/>
          <w:szCs w:val="24"/>
        </w:rPr>
        <w:t xml:space="preserve">2018 </w:t>
      </w:r>
      <w:r w:rsidR="009F0DE4">
        <w:rPr>
          <w:rFonts w:ascii="Times New Roman" w:hAnsi="Times New Roman" w:cs="Times New Roman"/>
          <w:sz w:val="24"/>
          <w:szCs w:val="24"/>
        </w:rPr>
        <w:t>a firm of solicitors acting on its behalf wrote to HP</w:t>
      </w:r>
      <w:r w:rsidR="007E6BDD">
        <w:rPr>
          <w:rFonts w:ascii="Times New Roman" w:hAnsi="Times New Roman" w:cs="Times New Roman"/>
          <w:sz w:val="24"/>
          <w:szCs w:val="24"/>
        </w:rPr>
        <w:t>R</w:t>
      </w:r>
      <w:r w:rsidR="009F0DE4">
        <w:rPr>
          <w:rFonts w:ascii="Times New Roman" w:hAnsi="Times New Roman" w:cs="Times New Roman"/>
          <w:sz w:val="24"/>
          <w:szCs w:val="24"/>
        </w:rPr>
        <w:t>A.  That letter referred to the objection of 12 October</w:t>
      </w:r>
      <w:r w:rsidR="00E574AE">
        <w:rPr>
          <w:rFonts w:ascii="Times New Roman" w:hAnsi="Times New Roman" w:cs="Times New Roman"/>
          <w:sz w:val="24"/>
          <w:szCs w:val="24"/>
        </w:rPr>
        <w:t xml:space="preserve"> </w:t>
      </w:r>
      <w:r w:rsidR="00B54C83">
        <w:rPr>
          <w:rFonts w:ascii="Times New Roman" w:hAnsi="Times New Roman" w:cs="Times New Roman"/>
          <w:sz w:val="24"/>
          <w:szCs w:val="24"/>
        </w:rPr>
        <w:t xml:space="preserve">2018 </w:t>
      </w:r>
      <w:r w:rsidR="009F0DE4">
        <w:rPr>
          <w:rFonts w:ascii="Times New Roman" w:hAnsi="Times New Roman" w:cs="Times New Roman"/>
          <w:sz w:val="24"/>
          <w:szCs w:val="24"/>
        </w:rPr>
        <w:t>and said that A</w:t>
      </w:r>
      <w:r w:rsidR="00441D54">
        <w:rPr>
          <w:rFonts w:ascii="Times New Roman" w:hAnsi="Times New Roman" w:cs="Times New Roman"/>
          <w:sz w:val="24"/>
          <w:szCs w:val="24"/>
        </w:rPr>
        <w:t>r</w:t>
      </w:r>
      <w:r w:rsidR="009F0DE4">
        <w:rPr>
          <w:rFonts w:ascii="Times New Roman" w:hAnsi="Times New Roman" w:cs="Times New Roman"/>
          <w:sz w:val="24"/>
          <w:szCs w:val="24"/>
        </w:rPr>
        <w:t xml:space="preserve">thropharm had now obtained a sample of Osteopen and contended that there were major structural differences between it and </w:t>
      </w:r>
      <w:r w:rsidR="005670F6">
        <w:rPr>
          <w:rFonts w:ascii="Times New Roman" w:hAnsi="Times New Roman" w:cs="Times New Roman"/>
          <w:sz w:val="24"/>
          <w:szCs w:val="24"/>
        </w:rPr>
        <w:t>Cartrophen</w:t>
      </w:r>
      <w:r w:rsidR="009F0DE4">
        <w:rPr>
          <w:rFonts w:ascii="Times New Roman" w:hAnsi="Times New Roman" w:cs="Times New Roman"/>
          <w:sz w:val="24"/>
          <w:szCs w:val="24"/>
        </w:rPr>
        <w:t>.</w:t>
      </w:r>
      <w:r w:rsidR="00FE5F2E">
        <w:rPr>
          <w:rFonts w:ascii="Times New Roman" w:hAnsi="Times New Roman" w:cs="Times New Roman"/>
          <w:sz w:val="24"/>
          <w:szCs w:val="24"/>
        </w:rPr>
        <w:t xml:space="preserve">  The comparative analysis was enclosed with that letter.</w:t>
      </w:r>
    </w:p>
    <w:p w14:paraId="5A3E20B6" w14:textId="77777777" w:rsidR="009F0DE4" w:rsidRPr="005B47C6" w:rsidRDefault="009F0DE4" w:rsidP="009F0DE4">
      <w:pPr>
        <w:pStyle w:val="ListParagraph"/>
        <w:rPr>
          <w:rFonts w:ascii="Times New Roman" w:hAnsi="Times New Roman" w:cs="Times New Roman"/>
          <w:b/>
          <w:sz w:val="24"/>
          <w:szCs w:val="24"/>
        </w:rPr>
      </w:pPr>
    </w:p>
    <w:p w14:paraId="1C79BD56" w14:textId="708ED619" w:rsidR="001D32A5" w:rsidRPr="001D32A5" w:rsidRDefault="009F0DE4" w:rsidP="001D32A5">
      <w:pPr>
        <w:pStyle w:val="ListParagraph"/>
        <w:numPr>
          <w:ilvl w:val="0"/>
          <w:numId w:val="1"/>
        </w:numPr>
        <w:spacing w:before="240" w:line="480" w:lineRule="auto"/>
        <w:jc w:val="both"/>
        <w:rPr>
          <w:rFonts w:ascii="Times New Roman" w:hAnsi="Times New Roman" w:cs="Times New Roman"/>
          <w:b/>
          <w:sz w:val="24"/>
          <w:szCs w:val="24"/>
        </w:rPr>
      </w:pPr>
      <w:r>
        <w:rPr>
          <w:rFonts w:ascii="Times New Roman" w:hAnsi="Times New Roman" w:cs="Times New Roman"/>
          <w:sz w:val="24"/>
          <w:szCs w:val="24"/>
        </w:rPr>
        <w:t>HP</w:t>
      </w:r>
      <w:r w:rsidR="00FE5F2E">
        <w:rPr>
          <w:rFonts w:ascii="Times New Roman" w:hAnsi="Times New Roman" w:cs="Times New Roman"/>
          <w:sz w:val="24"/>
          <w:szCs w:val="24"/>
        </w:rPr>
        <w:t>R</w:t>
      </w:r>
      <w:r>
        <w:rPr>
          <w:rFonts w:ascii="Times New Roman" w:hAnsi="Times New Roman" w:cs="Times New Roman"/>
          <w:sz w:val="24"/>
          <w:szCs w:val="24"/>
        </w:rPr>
        <w:t xml:space="preserve">A responded on 14 December </w:t>
      </w:r>
      <w:r w:rsidR="002100E5">
        <w:rPr>
          <w:rFonts w:ascii="Times New Roman" w:hAnsi="Times New Roman" w:cs="Times New Roman"/>
          <w:sz w:val="24"/>
          <w:szCs w:val="24"/>
        </w:rPr>
        <w:t xml:space="preserve">2018 </w:t>
      </w:r>
      <w:r>
        <w:rPr>
          <w:rFonts w:ascii="Times New Roman" w:hAnsi="Times New Roman" w:cs="Times New Roman"/>
          <w:sz w:val="24"/>
          <w:szCs w:val="24"/>
        </w:rPr>
        <w:t xml:space="preserve">pointing out that a substantive response had been sent on </w:t>
      </w:r>
      <w:r w:rsidR="00232ADF">
        <w:rPr>
          <w:rFonts w:ascii="Times New Roman" w:hAnsi="Times New Roman" w:cs="Times New Roman"/>
          <w:sz w:val="24"/>
          <w:szCs w:val="24"/>
        </w:rPr>
        <w:t xml:space="preserve">30 </w:t>
      </w:r>
      <w:r>
        <w:rPr>
          <w:rFonts w:ascii="Times New Roman" w:hAnsi="Times New Roman" w:cs="Times New Roman"/>
          <w:sz w:val="24"/>
          <w:szCs w:val="24"/>
        </w:rPr>
        <w:t>October</w:t>
      </w:r>
      <w:r w:rsidR="002100E5">
        <w:rPr>
          <w:rFonts w:ascii="Times New Roman" w:hAnsi="Times New Roman" w:cs="Times New Roman"/>
          <w:sz w:val="24"/>
          <w:szCs w:val="24"/>
        </w:rPr>
        <w:t xml:space="preserve"> 2018</w:t>
      </w:r>
      <w:r>
        <w:rPr>
          <w:rFonts w:ascii="Times New Roman" w:hAnsi="Times New Roman" w:cs="Times New Roman"/>
          <w:sz w:val="24"/>
          <w:szCs w:val="24"/>
        </w:rPr>
        <w:t>.</w:t>
      </w:r>
      <w:r w:rsidR="005B0F53">
        <w:rPr>
          <w:rFonts w:ascii="Times New Roman" w:hAnsi="Times New Roman" w:cs="Times New Roman"/>
          <w:sz w:val="24"/>
          <w:szCs w:val="24"/>
        </w:rPr>
        <w:t xml:space="preserve"> </w:t>
      </w:r>
      <w:r>
        <w:rPr>
          <w:rFonts w:ascii="Times New Roman" w:hAnsi="Times New Roman" w:cs="Times New Roman"/>
          <w:sz w:val="24"/>
          <w:szCs w:val="24"/>
        </w:rPr>
        <w:t>Arthropharm’s solicitors replied to the effect that that correspondence had not been received, and asking for a copy of it.  Th</w:t>
      </w:r>
      <w:r w:rsidR="00CA6DAA">
        <w:rPr>
          <w:rFonts w:ascii="Times New Roman" w:hAnsi="Times New Roman" w:cs="Times New Roman"/>
          <w:sz w:val="24"/>
          <w:szCs w:val="24"/>
        </w:rPr>
        <w:t xml:space="preserve">e response was </w:t>
      </w:r>
      <w:r w:rsidR="00CA6DAA">
        <w:rPr>
          <w:rFonts w:ascii="Times New Roman" w:hAnsi="Times New Roman" w:cs="Times New Roman"/>
          <w:sz w:val="24"/>
          <w:szCs w:val="24"/>
        </w:rPr>
        <w:lastRenderedPageBreak/>
        <w:t>resent</w:t>
      </w:r>
      <w:r>
        <w:rPr>
          <w:rFonts w:ascii="Times New Roman" w:hAnsi="Times New Roman" w:cs="Times New Roman"/>
          <w:sz w:val="24"/>
          <w:szCs w:val="24"/>
        </w:rPr>
        <w:t xml:space="preserve"> </w:t>
      </w:r>
      <w:r w:rsidR="00FE5F2E">
        <w:rPr>
          <w:rFonts w:ascii="Times New Roman" w:hAnsi="Times New Roman" w:cs="Times New Roman"/>
          <w:sz w:val="24"/>
          <w:szCs w:val="24"/>
        </w:rPr>
        <w:t xml:space="preserve">by HPRA </w:t>
      </w:r>
      <w:r>
        <w:rPr>
          <w:rFonts w:ascii="Times New Roman" w:hAnsi="Times New Roman" w:cs="Times New Roman"/>
          <w:sz w:val="24"/>
          <w:szCs w:val="24"/>
        </w:rPr>
        <w:t>on 17 December</w:t>
      </w:r>
      <w:r w:rsidR="002100E5">
        <w:rPr>
          <w:rFonts w:ascii="Times New Roman" w:hAnsi="Times New Roman" w:cs="Times New Roman"/>
          <w:sz w:val="24"/>
          <w:szCs w:val="24"/>
        </w:rPr>
        <w:t xml:space="preserve"> 2018</w:t>
      </w:r>
      <w:r>
        <w:rPr>
          <w:rFonts w:ascii="Times New Roman" w:hAnsi="Times New Roman" w:cs="Times New Roman"/>
          <w:sz w:val="24"/>
          <w:szCs w:val="24"/>
        </w:rPr>
        <w:t>.  On 18 December</w:t>
      </w:r>
      <w:r w:rsidR="002100E5">
        <w:rPr>
          <w:rFonts w:ascii="Times New Roman" w:hAnsi="Times New Roman" w:cs="Times New Roman"/>
          <w:sz w:val="24"/>
          <w:szCs w:val="24"/>
        </w:rPr>
        <w:t xml:space="preserve"> 2018</w:t>
      </w:r>
      <w:r>
        <w:rPr>
          <w:rFonts w:ascii="Times New Roman" w:hAnsi="Times New Roman" w:cs="Times New Roman"/>
          <w:sz w:val="24"/>
          <w:szCs w:val="24"/>
        </w:rPr>
        <w:t xml:space="preserve">, Arthropharm’s solicitors indicated that </w:t>
      </w:r>
      <w:r w:rsidR="00FD770F">
        <w:rPr>
          <w:rFonts w:ascii="Times New Roman" w:hAnsi="Times New Roman" w:cs="Times New Roman"/>
          <w:sz w:val="24"/>
          <w:szCs w:val="24"/>
        </w:rPr>
        <w:t xml:space="preserve">they </w:t>
      </w:r>
      <w:r>
        <w:rPr>
          <w:rFonts w:ascii="Times New Roman" w:hAnsi="Times New Roman" w:cs="Times New Roman"/>
          <w:sz w:val="24"/>
          <w:szCs w:val="24"/>
        </w:rPr>
        <w:t xml:space="preserve">wished to consider the email of 30 October </w:t>
      </w:r>
      <w:r w:rsidR="002100E5">
        <w:rPr>
          <w:rFonts w:ascii="Times New Roman" w:hAnsi="Times New Roman" w:cs="Times New Roman"/>
          <w:sz w:val="24"/>
          <w:szCs w:val="24"/>
        </w:rPr>
        <w:t xml:space="preserve">2018 </w:t>
      </w:r>
      <w:r>
        <w:rPr>
          <w:rFonts w:ascii="Times New Roman" w:hAnsi="Times New Roman" w:cs="Times New Roman"/>
          <w:sz w:val="24"/>
          <w:szCs w:val="24"/>
        </w:rPr>
        <w:t>and to re</w:t>
      </w:r>
      <w:r w:rsidR="00CA6DAA">
        <w:rPr>
          <w:rFonts w:ascii="Times New Roman" w:hAnsi="Times New Roman" w:cs="Times New Roman"/>
          <w:sz w:val="24"/>
          <w:szCs w:val="24"/>
        </w:rPr>
        <w:t>ply</w:t>
      </w:r>
      <w:r>
        <w:rPr>
          <w:rFonts w:ascii="Times New Roman" w:hAnsi="Times New Roman" w:cs="Times New Roman"/>
          <w:sz w:val="24"/>
          <w:szCs w:val="24"/>
        </w:rPr>
        <w:t xml:space="preserve"> to it, and the following day the solicitors for HP</w:t>
      </w:r>
      <w:r w:rsidR="00FE5F2E">
        <w:rPr>
          <w:rFonts w:ascii="Times New Roman" w:hAnsi="Times New Roman" w:cs="Times New Roman"/>
          <w:sz w:val="24"/>
          <w:szCs w:val="24"/>
        </w:rPr>
        <w:t>R</w:t>
      </w:r>
      <w:r>
        <w:rPr>
          <w:rFonts w:ascii="Times New Roman" w:hAnsi="Times New Roman" w:cs="Times New Roman"/>
          <w:sz w:val="24"/>
          <w:szCs w:val="24"/>
        </w:rPr>
        <w:t>A recorded that HP</w:t>
      </w:r>
      <w:r w:rsidR="00FE5F2E">
        <w:rPr>
          <w:rFonts w:ascii="Times New Roman" w:hAnsi="Times New Roman" w:cs="Times New Roman"/>
          <w:sz w:val="24"/>
          <w:szCs w:val="24"/>
        </w:rPr>
        <w:t>R</w:t>
      </w:r>
      <w:r>
        <w:rPr>
          <w:rFonts w:ascii="Times New Roman" w:hAnsi="Times New Roman" w:cs="Times New Roman"/>
          <w:sz w:val="24"/>
          <w:szCs w:val="24"/>
        </w:rPr>
        <w:t xml:space="preserve">A was happy to consider any response from Arthropharm to the email of 30 October </w:t>
      </w:r>
      <w:r w:rsidR="002100E5">
        <w:rPr>
          <w:rFonts w:ascii="Times New Roman" w:hAnsi="Times New Roman" w:cs="Times New Roman"/>
          <w:sz w:val="24"/>
          <w:szCs w:val="24"/>
        </w:rPr>
        <w:t xml:space="preserve">2018 </w:t>
      </w:r>
      <w:r>
        <w:rPr>
          <w:rFonts w:ascii="Times New Roman" w:hAnsi="Times New Roman" w:cs="Times New Roman"/>
          <w:sz w:val="24"/>
          <w:szCs w:val="24"/>
        </w:rPr>
        <w:t xml:space="preserve">and confirmed that they would respond to the letter dated 13 December </w:t>
      </w:r>
      <w:r w:rsidR="002100E5">
        <w:rPr>
          <w:rFonts w:ascii="Times New Roman" w:hAnsi="Times New Roman" w:cs="Times New Roman"/>
          <w:sz w:val="24"/>
          <w:szCs w:val="24"/>
        </w:rPr>
        <w:t xml:space="preserve">2018 </w:t>
      </w:r>
      <w:r>
        <w:rPr>
          <w:rFonts w:ascii="Times New Roman" w:hAnsi="Times New Roman" w:cs="Times New Roman"/>
          <w:sz w:val="24"/>
          <w:szCs w:val="24"/>
        </w:rPr>
        <w:t>by 21 December</w:t>
      </w:r>
      <w:r w:rsidR="002100E5">
        <w:rPr>
          <w:rFonts w:ascii="Times New Roman" w:hAnsi="Times New Roman" w:cs="Times New Roman"/>
          <w:sz w:val="24"/>
          <w:szCs w:val="24"/>
        </w:rPr>
        <w:t xml:space="preserve"> 2018</w:t>
      </w:r>
      <w:r>
        <w:rPr>
          <w:rFonts w:ascii="Times New Roman" w:hAnsi="Times New Roman" w:cs="Times New Roman"/>
          <w:sz w:val="24"/>
          <w:szCs w:val="24"/>
        </w:rPr>
        <w:t xml:space="preserve">. </w:t>
      </w:r>
      <w:r w:rsidR="00C44B90">
        <w:rPr>
          <w:rFonts w:ascii="Times New Roman" w:hAnsi="Times New Roman" w:cs="Times New Roman"/>
          <w:sz w:val="24"/>
          <w:szCs w:val="24"/>
        </w:rPr>
        <w:t xml:space="preserve"> In circumstances in which HPRA m</w:t>
      </w:r>
      <w:r w:rsidR="00441D54">
        <w:rPr>
          <w:rFonts w:ascii="Times New Roman" w:hAnsi="Times New Roman" w:cs="Times New Roman"/>
          <w:sz w:val="24"/>
          <w:szCs w:val="24"/>
        </w:rPr>
        <w:t>ad</w:t>
      </w:r>
      <w:r w:rsidR="00C44B90">
        <w:rPr>
          <w:rFonts w:ascii="Times New Roman" w:hAnsi="Times New Roman" w:cs="Times New Roman"/>
          <w:sz w:val="24"/>
          <w:szCs w:val="24"/>
        </w:rPr>
        <w:t>e it clear that it would take what Arthropharm characterised as ‘</w:t>
      </w:r>
      <w:r w:rsidR="00C44B90">
        <w:rPr>
          <w:rFonts w:ascii="Times New Roman" w:hAnsi="Times New Roman" w:cs="Times New Roman"/>
          <w:i/>
          <w:sz w:val="24"/>
          <w:szCs w:val="24"/>
        </w:rPr>
        <w:t xml:space="preserve">a delay point’, </w:t>
      </w:r>
      <w:r w:rsidR="00C44B90">
        <w:rPr>
          <w:rFonts w:ascii="Times New Roman" w:hAnsi="Times New Roman" w:cs="Times New Roman"/>
          <w:sz w:val="24"/>
          <w:szCs w:val="24"/>
        </w:rPr>
        <w:t>t</w:t>
      </w:r>
      <w:r>
        <w:rPr>
          <w:rFonts w:ascii="Times New Roman" w:hAnsi="Times New Roman" w:cs="Times New Roman"/>
          <w:sz w:val="24"/>
          <w:szCs w:val="24"/>
        </w:rPr>
        <w:t xml:space="preserve">he application for leave was moved on </w:t>
      </w:r>
      <w:r w:rsidR="00020A30">
        <w:rPr>
          <w:rFonts w:ascii="Times New Roman" w:hAnsi="Times New Roman" w:cs="Times New Roman"/>
          <w:sz w:val="24"/>
          <w:szCs w:val="24"/>
        </w:rPr>
        <w:t xml:space="preserve">20 </w:t>
      </w:r>
      <w:r>
        <w:rPr>
          <w:rFonts w:ascii="Times New Roman" w:hAnsi="Times New Roman" w:cs="Times New Roman"/>
          <w:sz w:val="24"/>
          <w:szCs w:val="24"/>
        </w:rPr>
        <w:t>December</w:t>
      </w:r>
      <w:r w:rsidR="002100E5">
        <w:rPr>
          <w:rFonts w:ascii="Times New Roman" w:hAnsi="Times New Roman" w:cs="Times New Roman"/>
          <w:sz w:val="24"/>
          <w:szCs w:val="24"/>
        </w:rPr>
        <w:t xml:space="preserve"> 2018</w:t>
      </w:r>
      <w:r w:rsidR="00C44B90">
        <w:rPr>
          <w:rFonts w:ascii="Times New Roman" w:hAnsi="Times New Roman" w:cs="Times New Roman"/>
          <w:sz w:val="24"/>
          <w:szCs w:val="24"/>
        </w:rPr>
        <w:t>, although there remained at that point correspondence outstanding from HP</w:t>
      </w:r>
      <w:r w:rsidR="00E81834">
        <w:rPr>
          <w:rFonts w:ascii="Times New Roman" w:hAnsi="Times New Roman" w:cs="Times New Roman"/>
          <w:sz w:val="24"/>
          <w:szCs w:val="24"/>
        </w:rPr>
        <w:t>R</w:t>
      </w:r>
      <w:r w:rsidR="00C44B90">
        <w:rPr>
          <w:rFonts w:ascii="Times New Roman" w:hAnsi="Times New Roman" w:cs="Times New Roman"/>
          <w:sz w:val="24"/>
          <w:szCs w:val="24"/>
        </w:rPr>
        <w:t>A.</w:t>
      </w:r>
    </w:p>
    <w:p w14:paraId="05615035" w14:textId="77777777" w:rsidR="001D32A5" w:rsidRPr="001D32A5" w:rsidRDefault="001D32A5" w:rsidP="001D32A5">
      <w:pPr>
        <w:pStyle w:val="ListParagraph"/>
        <w:rPr>
          <w:rFonts w:ascii="Times New Roman" w:hAnsi="Times New Roman" w:cs="Times New Roman"/>
          <w:b/>
          <w:sz w:val="24"/>
          <w:szCs w:val="24"/>
        </w:rPr>
      </w:pPr>
    </w:p>
    <w:p w14:paraId="014EAB11" w14:textId="77777777" w:rsidR="001D32A5" w:rsidRPr="001D32A5" w:rsidRDefault="001D32A5" w:rsidP="001D32A5">
      <w:pPr>
        <w:pStyle w:val="ListParagraph"/>
        <w:spacing w:before="240" w:line="480" w:lineRule="auto"/>
        <w:ind w:left="786"/>
        <w:jc w:val="both"/>
        <w:rPr>
          <w:rFonts w:ascii="Times New Roman" w:hAnsi="Times New Roman" w:cs="Times New Roman"/>
          <w:b/>
          <w:sz w:val="24"/>
          <w:szCs w:val="24"/>
        </w:rPr>
      </w:pPr>
    </w:p>
    <w:p w14:paraId="42056C4A" w14:textId="77777777" w:rsidR="0081537A" w:rsidRPr="00EA4E36" w:rsidRDefault="00EA4E36" w:rsidP="00EA4E36">
      <w:pPr>
        <w:pStyle w:val="ListParagraph"/>
        <w:numPr>
          <w:ilvl w:val="0"/>
          <w:numId w:val="22"/>
        </w:numPr>
        <w:spacing w:before="240" w:line="480" w:lineRule="auto"/>
        <w:jc w:val="both"/>
        <w:rPr>
          <w:rFonts w:ascii="Times New Roman" w:hAnsi="Times New Roman" w:cs="Times New Roman"/>
          <w:i/>
          <w:sz w:val="24"/>
          <w:szCs w:val="24"/>
        </w:rPr>
      </w:pPr>
      <w:r>
        <w:rPr>
          <w:rFonts w:ascii="Times New Roman" w:hAnsi="Times New Roman" w:cs="Times New Roman"/>
          <w:i/>
          <w:sz w:val="24"/>
          <w:szCs w:val="24"/>
        </w:rPr>
        <w:t xml:space="preserve"> </w:t>
      </w:r>
      <w:r w:rsidR="0081537A" w:rsidRPr="00EA4E36">
        <w:rPr>
          <w:rFonts w:ascii="Times New Roman" w:hAnsi="Times New Roman" w:cs="Times New Roman"/>
          <w:i/>
          <w:sz w:val="24"/>
          <w:szCs w:val="24"/>
        </w:rPr>
        <w:t xml:space="preserve">The </w:t>
      </w:r>
      <w:r w:rsidR="00396538">
        <w:rPr>
          <w:rFonts w:ascii="Times New Roman" w:hAnsi="Times New Roman" w:cs="Times New Roman"/>
          <w:i/>
          <w:sz w:val="24"/>
          <w:szCs w:val="24"/>
        </w:rPr>
        <w:t>R</w:t>
      </w:r>
      <w:r w:rsidR="0081537A" w:rsidRPr="00EA4E36">
        <w:rPr>
          <w:rFonts w:ascii="Times New Roman" w:hAnsi="Times New Roman" w:cs="Times New Roman"/>
          <w:i/>
          <w:sz w:val="24"/>
          <w:szCs w:val="24"/>
        </w:rPr>
        <w:t>ule</w:t>
      </w:r>
    </w:p>
    <w:p w14:paraId="651826CD" w14:textId="77777777" w:rsidR="0040231D" w:rsidRPr="0040231D" w:rsidRDefault="0040231D" w:rsidP="0040231D">
      <w:pPr>
        <w:pStyle w:val="ListParagraph"/>
        <w:spacing w:before="240" w:line="480" w:lineRule="auto"/>
        <w:jc w:val="both"/>
        <w:rPr>
          <w:rFonts w:ascii="Times New Roman" w:hAnsi="Times New Roman" w:cs="Times New Roman"/>
          <w:b/>
          <w:sz w:val="24"/>
          <w:szCs w:val="24"/>
        </w:rPr>
      </w:pPr>
      <w:r w:rsidRPr="0040231D">
        <w:rPr>
          <w:rFonts w:ascii="Times New Roman" w:hAnsi="Times New Roman" w:cs="Times New Roman"/>
          <w:sz w:val="24"/>
          <w:szCs w:val="24"/>
        </w:rPr>
        <w:t xml:space="preserve">  </w:t>
      </w:r>
    </w:p>
    <w:p w14:paraId="6A957C8F" w14:textId="48DDBA6B" w:rsidR="008422BA" w:rsidRPr="008422BA" w:rsidRDefault="0081537A" w:rsidP="00D86EF4">
      <w:pPr>
        <w:pStyle w:val="ListParagraph"/>
        <w:numPr>
          <w:ilvl w:val="0"/>
          <w:numId w:val="1"/>
        </w:numPr>
        <w:spacing w:before="240" w:line="480" w:lineRule="auto"/>
        <w:jc w:val="both"/>
        <w:rPr>
          <w:rFonts w:ascii="Times New Roman" w:hAnsi="Times New Roman" w:cs="Times New Roman"/>
          <w:b/>
          <w:sz w:val="24"/>
          <w:szCs w:val="24"/>
        </w:rPr>
      </w:pPr>
      <w:r>
        <w:rPr>
          <w:rFonts w:ascii="Times New Roman" w:hAnsi="Times New Roman" w:cs="Times New Roman"/>
          <w:sz w:val="24"/>
          <w:szCs w:val="24"/>
        </w:rPr>
        <w:t>I have earlier</w:t>
      </w:r>
      <w:r w:rsidR="009541E4">
        <w:rPr>
          <w:rFonts w:ascii="Times New Roman" w:hAnsi="Times New Roman" w:cs="Times New Roman"/>
          <w:sz w:val="24"/>
          <w:szCs w:val="24"/>
        </w:rPr>
        <w:t xml:space="preserve"> q</w:t>
      </w:r>
      <w:r>
        <w:rPr>
          <w:rFonts w:ascii="Times New Roman" w:hAnsi="Times New Roman" w:cs="Times New Roman"/>
          <w:sz w:val="24"/>
          <w:szCs w:val="24"/>
        </w:rPr>
        <w:t xml:space="preserve">uoted the </w:t>
      </w:r>
      <w:r w:rsidR="003C6417">
        <w:rPr>
          <w:rFonts w:ascii="Times New Roman" w:hAnsi="Times New Roman" w:cs="Times New Roman"/>
          <w:sz w:val="24"/>
          <w:szCs w:val="24"/>
        </w:rPr>
        <w:t>original incarnation</w:t>
      </w:r>
      <w:r>
        <w:rPr>
          <w:rFonts w:ascii="Times New Roman" w:hAnsi="Times New Roman" w:cs="Times New Roman"/>
          <w:sz w:val="24"/>
          <w:szCs w:val="24"/>
        </w:rPr>
        <w:t xml:space="preserve"> of </w:t>
      </w:r>
      <w:r w:rsidR="003C6417">
        <w:rPr>
          <w:rFonts w:ascii="Times New Roman" w:hAnsi="Times New Roman" w:cs="Times New Roman"/>
          <w:sz w:val="24"/>
          <w:szCs w:val="24"/>
        </w:rPr>
        <w:t>Order 84 R</w:t>
      </w:r>
      <w:r w:rsidR="005670F6">
        <w:rPr>
          <w:rFonts w:ascii="Times New Roman" w:hAnsi="Times New Roman" w:cs="Times New Roman"/>
          <w:sz w:val="24"/>
          <w:szCs w:val="24"/>
        </w:rPr>
        <w:t>ule</w:t>
      </w:r>
      <w:r w:rsidR="003C6417">
        <w:rPr>
          <w:rFonts w:ascii="Times New Roman" w:hAnsi="Times New Roman" w:cs="Times New Roman"/>
          <w:sz w:val="24"/>
          <w:szCs w:val="24"/>
        </w:rPr>
        <w:t xml:space="preserve"> 21(1)</w:t>
      </w:r>
      <w:r>
        <w:rPr>
          <w:rFonts w:ascii="Times New Roman" w:hAnsi="Times New Roman" w:cs="Times New Roman"/>
          <w:sz w:val="24"/>
          <w:szCs w:val="24"/>
        </w:rPr>
        <w:t xml:space="preserve">. It notably </w:t>
      </w:r>
      <w:r w:rsidR="003C6417">
        <w:rPr>
          <w:rFonts w:ascii="Times New Roman" w:hAnsi="Times New Roman" w:cs="Times New Roman"/>
          <w:sz w:val="24"/>
          <w:szCs w:val="24"/>
        </w:rPr>
        <w:t xml:space="preserve"> provided</w:t>
      </w:r>
      <w:r w:rsidR="00D86EF4">
        <w:rPr>
          <w:rFonts w:ascii="Times New Roman" w:hAnsi="Times New Roman" w:cs="Times New Roman"/>
          <w:sz w:val="24"/>
          <w:szCs w:val="24"/>
        </w:rPr>
        <w:t xml:space="preserve"> – in addition to the requirement that leave to seek judicial review be sought within a specified period of the grounds first arising – that proceedings be brought ‘</w:t>
      </w:r>
      <w:r w:rsidR="00D86EF4">
        <w:rPr>
          <w:rFonts w:ascii="Times New Roman" w:hAnsi="Times New Roman" w:cs="Times New Roman"/>
          <w:i/>
          <w:sz w:val="24"/>
          <w:szCs w:val="24"/>
        </w:rPr>
        <w:t>promptly’</w:t>
      </w:r>
      <w:r>
        <w:rPr>
          <w:rFonts w:ascii="Times New Roman" w:hAnsi="Times New Roman" w:cs="Times New Roman"/>
          <w:sz w:val="24"/>
          <w:szCs w:val="24"/>
        </w:rPr>
        <w:t>, providing in general terms that the court could, if satisfied that there were good reasons for doing so, extend the period within which the relief could be sought.</w:t>
      </w:r>
      <w:r w:rsidR="00D86EF4">
        <w:rPr>
          <w:rFonts w:ascii="Times New Roman" w:hAnsi="Times New Roman" w:cs="Times New Roman"/>
          <w:sz w:val="24"/>
          <w:szCs w:val="24"/>
        </w:rPr>
        <w:t xml:space="preserve"> In 2011 the Rules were amended, first by the deletion of the requirement that the proceedings be initiated promptly, </w:t>
      </w:r>
      <w:r>
        <w:rPr>
          <w:rFonts w:ascii="Times New Roman" w:hAnsi="Times New Roman" w:cs="Times New Roman"/>
          <w:sz w:val="24"/>
          <w:szCs w:val="24"/>
        </w:rPr>
        <w:t xml:space="preserve">second by the removal from Order 84 Rule 21(1) of any reference to a power to extend time, third, by the relocation of that power in a new rule, and finally by </w:t>
      </w:r>
      <w:r w:rsidR="00D86EF4">
        <w:rPr>
          <w:rFonts w:ascii="Times New Roman" w:hAnsi="Times New Roman" w:cs="Times New Roman"/>
          <w:sz w:val="24"/>
          <w:szCs w:val="24"/>
        </w:rPr>
        <w:t xml:space="preserve">the addition of </w:t>
      </w:r>
      <w:r>
        <w:rPr>
          <w:rFonts w:ascii="Times New Roman" w:hAnsi="Times New Roman" w:cs="Times New Roman"/>
          <w:sz w:val="24"/>
          <w:szCs w:val="24"/>
        </w:rPr>
        <w:t xml:space="preserve">new </w:t>
      </w:r>
      <w:r w:rsidR="00D86EF4">
        <w:rPr>
          <w:rFonts w:ascii="Times New Roman" w:hAnsi="Times New Roman" w:cs="Times New Roman"/>
          <w:sz w:val="24"/>
          <w:szCs w:val="24"/>
        </w:rPr>
        <w:t xml:space="preserve">requirements </w:t>
      </w:r>
      <w:r>
        <w:rPr>
          <w:rFonts w:ascii="Times New Roman" w:hAnsi="Times New Roman" w:cs="Times New Roman"/>
          <w:sz w:val="24"/>
          <w:szCs w:val="24"/>
        </w:rPr>
        <w:t xml:space="preserve">for the grant of such an extension.  </w:t>
      </w:r>
      <w:r w:rsidR="008422BA">
        <w:rPr>
          <w:rFonts w:ascii="Times New Roman" w:hAnsi="Times New Roman" w:cs="Times New Roman"/>
          <w:sz w:val="24"/>
          <w:szCs w:val="24"/>
        </w:rPr>
        <w:t xml:space="preserve">The first of these changes was made to eliminate </w:t>
      </w:r>
      <w:r w:rsidR="00CA3DF5">
        <w:rPr>
          <w:rFonts w:ascii="Times New Roman" w:hAnsi="Times New Roman" w:cs="Times New Roman"/>
          <w:sz w:val="24"/>
          <w:szCs w:val="24"/>
        </w:rPr>
        <w:t>any</w:t>
      </w:r>
      <w:r w:rsidR="008422BA">
        <w:rPr>
          <w:rFonts w:ascii="Times New Roman" w:hAnsi="Times New Roman" w:cs="Times New Roman"/>
          <w:sz w:val="24"/>
          <w:szCs w:val="24"/>
        </w:rPr>
        <w:t xml:space="preserve"> uncertainty perceived as attending the over-riding requirement that the proceedings be brought promptly</w:t>
      </w:r>
      <w:r w:rsidR="003E74E4">
        <w:rPr>
          <w:rFonts w:ascii="Times New Roman" w:hAnsi="Times New Roman" w:cs="Times New Roman"/>
          <w:sz w:val="24"/>
          <w:szCs w:val="24"/>
        </w:rPr>
        <w:t xml:space="preserve"> and to give effect to the decision in </w:t>
      </w:r>
      <w:r w:rsidR="003E74E4">
        <w:rPr>
          <w:rFonts w:ascii="Times New Roman" w:hAnsi="Times New Roman" w:cs="Times New Roman"/>
          <w:i/>
          <w:sz w:val="24"/>
          <w:szCs w:val="24"/>
        </w:rPr>
        <w:t>Commission v. Ireland,</w:t>
      </w:r>
      <w:r w:rsidR="00507C6A">
        <w:rPr>
          <w:rFonts w:ascii="Times New Roman" w:hAnsi="Times New Roman" w:cs="Times New Roman"/>
          <w:i/>
          <w:sz w:val="24"/>
          <w:szCs w:val="24"/>
        </w:rPr>
        <w:t xml:space="preserve"> </w:t>
      </w:r>
      <w:r w:rsidR="008422BA">
        <w:rPr>
          <w:rFonts w:ascii="Times New Roman" w:hAnsi="Times New Roman" w:cs="Times New Roman"/>
          <w:sz w:val="24"/>
          <w:szCs w:val="24"/>
        </w:rPr>
        <w:t>while the others reflect an intention to tighten the conditions under which time will be extended.</w:t>
      </w:r>
    </w:p>
    <w:p w14:paraId="03D85DFC" w14:textId="77777777" w:rsidR="008422BA" w:rsidRPr="008422BA" w:rsidRDefault="008422BA" w:rsidP="008422BA">
      <w:pPr>
        <w:pStyle w:val="ListParagraph"/>
        <w:spacing w:before="240" w:line="480" w:lineRule="auto"/>
        <w:jc w:val="both"/>
        <w:rPr>
          <w:rFonts w:ascii="Times New Roman" w:hAnsi="Times New Roman" w:cs="Times New Roman"/>
          <w:b/>
          <w:sz w:val="24"/>
          <w:szCs w:val="24"/>
        </w:rPr>
      </w:pPr>
      <w:r>
        <w:rPr>
          <w:rFonts w:ascii="Times New Roman" w:hAnsi="Times New Roman" w:cs="Times New Roman"/>
          <w:sz w:val="24"/>
          <w:szCs w:val="24"/>
        </w:rPr>
        <w:lastRenderedPageBreak/>
        <w:t xml:space="preserve">  </w:t>
      </w:r>
    </w:p>
    <w:p w14:paraId="1E9A2C78" w14:textId="138ECCC2" w:rsidR="00614019" w:rsidRPr="00D86EF4" w:rsidRDefault="0081537A" w:rsidP="00D86EF4">
      <w:pPr>
        <w:pStyle w:val="ListParagraph"/>
        <w:numPr>
          <w:ilvl w:val="0"/>
          <w:numId w:val="1"/>
        </w:numPr>
        <w:spacing w:before="240" w:line="480" w:lineRule="auto"/>
        <w:jc w:val="both"/>
        <w:rPr>
          <w:rFonts w:ascii="Times New Roman" w:hAnsi="Times New Roman" w:cs="Times New Roman"/>
          <w:b/>
          <w:sz w:val="24"/>
          <w:szCs w:val="24"/>
        </w:rPr>
      </w:pPr>
      <w:r>
        <w:rPr>
          <w:rFonts w:ascii="Times New Roman" w:hAnsi="Times New Roman" w:cs="Times New Roman"/>
          <w:sz w:val="24"/>
          <w:szCs w:val="24"/>
        </w:rPr>
        <w:t>The</w:t>
      </w:r>
      <w:r w:rsidR="008422BA">
        <w:rPr>
          <w:rFonts w:ascii="Times New Roman" w:hAnsi="Times New Roman" w:cs="Times New Roman"/>
          <w:sz w:val="24"/>
          <w:szCs w:val="24"/>
        </w:rPr>
        <w:t xml:space="preserve"> new provisions</w:t>
      </w:r>
      <w:r>
        <w:rPr>
          <w:rFonts w:ascii="Times New Roman" w:hAnsi="Times New Roman" w:cs="Times New Roman"/>
          <w:sz w:val="24"/>
          <w:szCs w:val="24"/>
        </w:rPr>
        <w:t xml:space="preserve"> appear </w:t>
      </w:r>
      <w:r w:rsidR="00D86EF4">
        <w:rPr>
          <w:rFonts w:ascii="Times New Roman" w:hAnsi="Times New Roman" w:cs="Times New Roman"/>
          <w:sz w:val="24"/>
          <w:szCs w:val="24"/>
        </w:rPr>
        <w:t xml:space="preserve">in </w:t>
      </w:r>
      <w:r w:rsidR="00614019" w:rsidRPr="00D86EF4">
        <w:rPr>
          <w:rFonts w:ascii="Times New Roman" w:hAnsi="Times New Roman" w:cs="Times New Roman"/>
          <w:sz w:val="24"/>
          <w:szCs w:val="24"/>
        </w:rPr>
        <w:t>Order 84 Rule 21(3)</w:t>
      </w:r>
      <w:r w:rsidR="005670F6">
        <w:rPr>
          <w:rFonts w:ascii="Times New Roman" w:hAnsi="Times New Roman" w:cs="Times New Roman"/>
          <w:sz w:val="24"/>
          <w:szCs w:val="24"/>
        </w:rPr>
        <w:t xml:space="preserve"> to </w:t>
      </w:r>
      <w:r w:rsidR="00614019" w:rsidRPr="00D86EF4">
        <w:rPr>
          <w:rFonts w:ascii="Times New Roman" w:hAnsi="Times New Roman" w:cs="Times New Roman"/>
          <w:sz w:val="24"/>
          <w:szCs w:val="24"/>
        </w:rPr>
        <w:t>(</w:t>
      </w:r>
      <w:r>
        <w:rPr>
          <w:rFonts w:ascii="Times New Roman" w:hAnsi="Times New Roman" w:cs="Times New Roman"/>
          <w:sz w:val="24"/>
          <w:szCs w:val="24"/>
        </w:rPr>
        <w:t>6</w:t>
      </w:r>
      <w:r w:rsidR="00614019" w:rsidRPr="00D86EF4">
        <w:rPr>
          <w:rFonts w:ascii="Times New Roman" w:hAnsi="Times New Roman" w:cs="Times New Roman"/>
          <w:sz w:val="24"/>
          <w:szCs w:val="24"/>
        </w:rPr>
        <w:t>)</w:t>
      </w:r>
      <w:r w:rsidR="00D86EF4">
        <w:rPr>
          <w:rFonts w:ascii="Times New Roman" w:hAnsi="Times New Roman" w:cs="Times New Roman"/>
          <w:sz w:val="24"/>
          <w:szCs w:val="24"/>
        </w:rPr>
        <w:t xml:space="preserve">, </w:t>
      </w:r>
      <w:r w:rsidR="00614019" w:rsidRPr="00D86EF4">
        <w:rPr>
          <w:rFonts w:ascii="Times New Roman" w:hAnsi="Times New Roman" w:cs="Times New Roman"/>
          <w:sz w:val="24"/>
          <w:szCs w:val="24"/>
        </w:rPr>
        <w:t>as follows:</w:t>
      </w:r>
    </w:p>
    <w:p w14:paraId="1BA8B99C" w14:textId="77777777" w:rsidR="00614019" w:rsidRDefault="00614019" w:rsidP="00614019">
      <w:pPr>
        <w:pStyle w:val="ListParagraph"/>
        <w:spacing w:before="240" w:line="480" w:lineRule="auto"/>
        <w:jc w:val="both"/>
        <w:rPr>
          <w:rFonts w:ascii="Times New Roman" w:hAnsi="Times New Roman" w:cs="Times New Roman"/>
          <w:sz w:val="24"/>
          <w:szCs w:val="24"/>
        </w:rPr>
      </w:pPr>
    </w:p>
    <w:p w14:paraId="32E54A1F" w14:textId="77777777" w:rsidR="00614019" w:rsidRDefault="00614019" w:rsidP="00614019">
      <w:pPr>
        <w:pStyle w:val="ListParagraph"/>
        <w:spacing w:before="240" w:line="480" w:lineRule="auto"/>
        <w:ind w:left="1440"/>
        <w:jc w:val="both"/>
        <w:rPr>
          <w:rFonts w:ascii="Times New Roman" w:hAnsi="Times New Roman" w:cs="Times New Roman"/>
          <w:i/>
          <w:sz w:val="24"/>
          <w:szCs w:val="24"/>
        </w:rPr>
      </w:pPr>
      <w:r w:rsidRPr="00614019">
        <w:rPr>
          <w:rFonts w:ascii="Times New Roman" w:hAnsi="Times New Roman" w:cs="Times New Roman"/>
          <w:i/>
          <w:sz w:val="24"/>
          <w:szCs w:val="24"/>
        </w:rPr>
        <w:t xml:space="preserve">(3) Notwithstanding sub-rule (1), the Court may, on an application for that purpose, extend the period within which an application for leave to apply for judicial review may be made, but the Court shall only extend such period if it is satisfied that: </w:t>
      </w:r>
    </w:p>
    <w:p w14:paraId="215966CC" w14:textId="77777777" w:rsidR="00614019" w:rsidRPr="00614019" w:rsidRDefault="00614019" w:rsidP="00614019">
      <w:pPr>
        <w:pStyle w:val="ListParagraph"/>
        <w:spacing w:before="240" w:line="480" w:lineRule="auto"/>
        <w:ind w:left="1440"/>
        <w:jc w:val="both"/>
        <w:rPr>
          <w:rFonts w:ascii="Times New Roman" w:hAnsi="Times New Roman" w:cs="Times New Roman"/>
          <w:i/>
          <w:sz w:val="24"/>
          <w:szCs w:val="24"/>
        </w:rPr>
      </w:pPr>
    </w:p>
    <w:p w14:paraId="7DC96A49" w14:textId="77777777" w:rsidR="00DE3A3D" w:rsidRDefault="00614019" w:rsidP="00614019">
      <w:pPr>
        <w:pStyle w:val="ListParagraph"/>
        <w:numPr>
          <w:ilvl w:val="0"/>
          <w:numId w:val="5"/>
        </w:numPr>
        <w:spacing w:before="240" w:line="480" w:lineRule="auto"/>
        <w:jc w:val="both"/>
        <w:rPr>
          <w:rFonts w:ascii="Times New Roman" w:hAnsi="Times New Roman" w:cs="Times New Roman"/>
          <w:i/>
          <w:sz w:val="24"/>
          <w:szCs w:val="24"/>
        </w:rPr>
      </w:pPr>
      <w:r w:rsidRPr="00614019">
        <w:rPr>
          <w:rFonts w:ascii="Times New Roman" w:hAnsi="Times New Roman" w:cs="Times New Roman"/>
          <w:i/>
          <w:sz w:val="24"/>
          <w:szCs w:val="24"/>
        </w:rPr>
        <w:t xml:space="preserve">there is good and sufficient reason for doing so, and </w:t>
      </w:r>
    </w:p>
    <w:p w14:paraId="32FF6BFB" w14:textId="77777777" w:rsidR="00DE3A3D" w:rsidRDefault="00DE3A3D" w:rsidP="00DE3A3D">
      <w:pPr>
        <w:pStyle w:val="ListParagraph"/>
        <w:spacing w:before="240" w:line="480" w:lineRule="auto"/>
        <w:ind w:left="1800"/>
        <w:jc w:val="both"/>
        <w:rPr>
          <w:rFonts w:ascii="Times New Roman" w:hAnsi="Times New Roman" w:cs="Times New Roman"/>
          <w:i/>
          <w:sz w:val="24"/>
          <w:szCs w:val="24"/>
        </w:rPr>
      </w:pPr>
    </w:p>
    <w:p w14:paraId="0BDE4099" w14:textId="77777777" w:rsidR="00614019" w:rsidRDefault="00614019" w:rsidP="00614019">
      <w:pPr>
        <w:pStyle w:val="ListParagraph"/>
        <w:numPr>
          <w:ilvl w:val="0"/>
          <w:numId w:val="5"/>
        </w:numPr>
        <w:spacing w:before="240" w:line="480" w:lineRule="auto"/>
        <w:jc w:val="both"/>
        <w:rPr>
          <w:rFonts w:ascii="Times New Roman" w:hAnsi="Times New Roman" w:cs="Times New Roman"/>
          <w:i/>
          <w:sz w:val="24"/>
          <w:szCs w:val="24"/>
        </w:rPr>
      </w:pPr>
      <w:r w:rsidRPr="00614019">
        <w:rPr>
          <w:rFonts w:ascii="Times New Roman" w:hAnsi="Times New Roman" w:cs="Times New Roman"/>
          <w:i/>
          <w:sz w:val="24"/>
          <w:szCs w:val="24"/>
        </w:rPr>
        <w:t xml:space="preserve">the circumstances that resulted in the failure to make the application for leave within the period mentioned in sub-rule (1) either: </w:t>
      </w:r>
    </w:p>
    <w:p w14:paraId="6860DAD6" w14:textId="77777777" w:rsidR="00614019" w:rsidRPr="00614019" w:rsidRDefault="00614019" w:rsidP="00614019">
      <w:pPr>
        <w:pStyle w:val="ListParagraph"/>
        <w:spacing w:before="240" w:line="480" w:lineRule="auto"/>
        <w:ind w:left="1800"/>
        <w:jc w:val="both"/>
        <w:rPr>
          <w:rFonts w:ascii="Times New Roman" w:hAnsi="Times New Roman" w:cs="Times New Roman"/>
          <w:i/>
          <w:sz w:val="24"/>
          <w:szCs w:val="24"/>
        </w:rPr>
      </w:pPr>
    </w:p>
    <w:p w14:paraId="66B838DA" w14:textId="77777777" w:rsidR="00DE3A3D" w:rsidRDefault="00614019" w:rsidP="00415F06">
      <w:pPr>
        <w:pStyle w:val="ListParagraph"/>
        <w:numPr>
          <w:ilvl w:val="0"/>
          <w:numId w:val="8"/>
        </w:numPr>
        <w:spacing w:before="240" w:line="480" w:lineRule="auto"/>
        <w:jc w:val="both"/>
        <w:rPr>
          <w:rFonts w:ascii="Times New Roman" w:hAnsi="Times New Roman" w:cs="Times New Roman"/>
          <w:i/>
          <w:sz w:val="24"/>
          <w:szCs w:val="24"/>
        </w:rPr>
      </w:pPr>
      <w:r w:rsidRPr="00614019">
        <w:rPr>
          <w:rFonts w:ascii="Times New Roman" w:hAnsi="Times New Roman" w:cs="Times New Roman"/>
          <w:i/>
          <w:sz w:val="24"/>
          <w:szCs w:val="24"/>
        </w:rPr>
        <w:t xml:space="preserve">were outside the control of, or </w:t>
      </w:r>
    </w:p>
    <w:p w14:paraId="4469FFBA" w14:textId="77777777" w:rsidR="00DE3A3D" w:rsidRDefault="00DE3A3D" w:rsidP="00DE3A3D">
      <w:pPr>
        <w:pStyle w:val="ListParagraph"/>
        <w:spacing w:before="240" w:line="480" w:lineRule="auto"/>
        <w:ind w:left="2160"/>
        <w:jc w:val="both"/>
        <w:rPr>
          <w:rFonts w:ascii="Times New Roman" w:hAnsi="Times New Roman" w:cs="Times New Roman"/>
          <w:i/>
          <w:sz w:val="24"/>
          <w:szCs w:val="24"/>
        </w:rPr>
      </w:pPr>
    </w:p>
    <w:p w14:paraId="31845811" w14:textId="77777777" w:rsidR="00614019" w:rsidRDefault="00614019" w:rsidP="00415F06">
      <w:pPr>
        <w:pStyle w:val="ListParagraph"/>
        <w:numPr>
          <w:ilvl w:val="0"/>
          <w:numId w:val="8"/>
        </w:numPr>
        <w:spacing w:before="240" w:line="480" w:lineRule="auto"/>
        <w:jc w:val="both"/>
        <w:rPr>
          <w:rFonts w:ascii="Times New Roman" w:hAnsi="Times New Roman" w:cs="Times New Roman"/>
          <w:i/>
          <w:sz w:val="24"/>
          <w:szCs w:val="24"/>
        </w:rPr>
      </w:pPr>
      <w:r w:rsidRPr="00614019">
        <w:rPr>
          <w:rFonts w:ascii="Times New Roman" w:hAnsi="Times New Roman" w:cs="Times New Roman"/>
          <w:i/>
          <w:sz w:val="24"/>
          <w:szCs w:val="24"/>
        </w:rPr>
        <w:t>could not reasonably have been anticipated by the applicant for such extension.</w:t>
      </w:r>
    </w:p>
    <w:p w14:paraId="3D334151" w14:textId="77777777" w:rsidR="00415F06" w:rsidRPr="00614019" w:rsidRDefault="00415F06" w:rsidP="00415F06">
      <w:pPr>
        <w:pStyle w:val="ListParagraph"/>
        <w:spacing w:before="240" w:line="480" w:lineRule="auto"/>
        <w:ind w:left="2160"/>
        <w:jc w:val="both"/>
        <w:rPr>
          <w:rFonts w:ascii="Times New Roman" w:hAnsi="Times New Roman" w:cs="Times New Roman"/>
          <w:i/>
          <w:sz w:val="24"/>
          <w:szCs w:val="24"/>
        </w:rPr>
      </w:pPr>
    </w:p>
    <w:p w14:paraId="725DA2A7" w14:textId="77777777" w:rsidR="00614019" w:rsidRDefault="00614019" w:rsidP="00614019">
      <w:pPr>
        <w:pStyle w:val="ListParagraph"/>
        <w:spacing w:before="240" w:line="480" w:lineRule="auto"/>
        <w:ind w:left="1440"/>
        <w:jc w:val="both"/>
        <w:rPr>
          <w:rFonts w:ascii="Times New Roman" w:hAnsi="Times New Roman" w:cs="Times New Roman"/>
          <w:i/>
          <w:sz w:val="24"/>
          <w:szCs w:val="24"/>
        </w:rPr>
      </w:pPr>
      <w:r w:rsidRPr="00614019">
        <w:rPr>
          <w:rFonts w:ascii="Times New Roman" w:hAnsi="Times New Roman" w:cs="Times New Roman"/>
          <w:i/>
          <w:sz w:val="24"/>
          <w:szCs w:val="24"/>
        </w:rPr>
        <w:t>(4) In considering whether good and sufficient reason exists for the purposes of sub</w:t>
      </w:r>
      <w:r w:rsidR="00DF1585">
        <w:rPr>
          <w:rFonts w:ascii="Times New Roman" w:hAnsi="Times New Roman" w:cs="Times New Roman"/>
          <w:i/>
          <w:sz w:val="24"/>
          <w:szCs w:val="24"/>
        </w:rPr>
        <w:t>-</w:t>
      </w:r>
      <w:r w:rsidRPr="00614019">
        <w:rPr>
          <w:rFonts w:ascii="Times New Roman" w:hAnsi="Times New Roman" w:cs="Times New Roman"/>
          <w:i/>
          <w:sz w:val="24"/>
          <w:szCs w:val="24"/>
        </w:rPr>
        <w:t>rule (3), the court may have regard to the effect which an extension of the period referred to in that sub-rule might have on a respondent or third party.</w:t>
      </w:r>
    </w:p>
    <w:p w14:paraId="0D35E5E5" w14:textId="77777777" w:rsidR="00614019" w:rsidRPr="00614019" w:rsidRDefault="00614019" w:rsidP="00614019">
      <w:pPr>
        <w:pStyle w:val="ListParagraph"/>
        <w:spacing w:before="240" w:line="480" w:lineRule="auto"/>
        <w:ind w:left="1440"/>
        <w:jc w:val="both"/>
        <w:rPr>
          <w:rFonts w:ascii="Times New Roman" w:hAnsi="Times New Roman" w:cs="Times New Roman"/>
          <w:i/>
          <w:sz w:val="24"/>
          <w:szCs w:val="24"/>
        </w:rPr>
      </w:pPr>
      <w:r w:rsidRPr="00614019">
        <w:rPr>
          <w:rFonts w:ascii="Times New Roman" w:hAnsi="Times New Roman" w:cs="Times New Roman"/>
          <w:i/>
          <w:sz w:val="24"/>
          <w:szCs w:val="24"/>
        </w:rPr>
        <w:t xml:space="preserve"> </w:t>
      </w:r>
    </w:p>
    <w:p w14:paraId="67C1342B" w14:textId="77777777" w:rsidR="00614019" w:rsidRDefault="00614019" w:rsidP="00614019">
      <w:pPr>
        <w:pStyle w:val="ListParagraph"/>
        <w:spacing w:before="240" w:line="480" w:lineRule="auto"/>
        <w:ind w:left="1440"/>
        <w:jc w:val="both"/>
        <w:rPr>
          <w:rFonts w:ascii="Times New Roman" w:hAnsi="Times New Roman" w:cs="Times New Roman"/>
          <w:i/>
          <w:sz w:val="24"/>
          <w:szCs w:val="24"/>
        </w:rPr>
      </w:pPr>
      <w:r w:rsidRPr="00614019">
        <w:rPr>
          <w:rFonts w:ascii="Times New Roman" w:hAnsi="Times New Roman" w:cs="Times New Roman"/>
          <w:i/>
          <w:sz w:val="24"/>
          <w:szCs w:val="24"/>
        </w:rPr>
        <w:t xml:space="preserve">(5) An application for an extension referred to in sub-rule (3) shall be grounded upon an affidavit sworn by or on behalf of the applicant which shall set out the reasons for the applicant’s failure to make the application for leave within the </w:t>
      </w:r>
      <w:r w:rsidRPr="00614019">
        <w:rPr>
          <w:rFonts w:ascii="Times New Roman" w:hAnsi="Times New Roman" w:cs="Times New Roman"/>
          <w:i/>
          <w:sz w:val="24"/>
          <w:szCs w:val="24"/>
        </w:rPr>
        <w:lastRenderedPageBreak/>
        <w:t>period prescribed by sub-rule (1) and shall verify any facts relied on in support of those reason</w:t>
      </w:r>
      <w:r w:rsidR="0081537A">
        <w:rPr>
          <w:rFonts w:ascii="Times New Roman" w:hAnsi="Times New Roman" w:cs="Times New Roman"/>
          <w:i/>
          <w:sz w:val="24"/>
          <w:szCs w:val="24"/>
        </w:rPr>
        <w:t>s.</w:t>
      </w:r>
    </w:p>
    <w:p w14:paraId="79FB3560" w14:textId="77777777" w:rsidR="0081537A" w:rsidRDefault="0081537A" w:rsidP="00614019">
      <w:pPr>
        <w:pStyle w:val="ListParagraph"/>
        <w:spacing w:before="240" w:line="480" w:lineRule="auto"/>
        <w:ind w:left="1440"/>
        <w:jc w:val="both"/>
        <w:rPr>
          <w:rFonts w:ascii="Times New Roman" w:hAnsi="Times New Roman" w:cs="Times New Roman"/>
          <w:sz w:val="24"/>
          <w:szCs w:val="24"/>
        </w:rPr>
      </w:pPr>
    </w:p>
    <w:p w14:paraId="353BA953" w14:textId="77777777" w:rsidR="00DE3A3D" w:rsidRDefault="0081537A" w:rsidP="00DE3A3D">
      <w:pPr>
        <w:pStyle w:val="ListParagraph"/>
        <w:spacing w:before="240" w:line="480" w:lineRule="auto"/>
        <w:ind w:left="1440"/>
        <w:jc w:val="both"/>
        <w:rPr>
          <w:rFonts w:ascii="Times New Roman" w:hAnsi="Times New Roman" w:cs="Times New Roman"/>
          <w:i/>
          <w:sz w:val="24"/>
          <w:szCs w:val="24"/>
        </w:rPr>
      </w:pPr>
      <w:r>
        <w:rPr>
          <w:rFonts w:ascii="Times New Roman" w:hAnsi="Times New Roman" w:cs="Times New Roman"/>
          <w:i/>
          <w:sz w:val="24"/>
          <w:szCs w:val="24"/>
        </w:rPr>
        <w:t>(6)</w:t>
      </w:r>
      <w:r w:rsidR="00DF1585">
        <w:rPr>
          <w:rFonts w:ascii="Times New Roman" w:hAnsi="Times New Roman" w:cs="Times New Roman"/>
          <w:i/>
          <w:sz w:val="24"/>
          <w:szCs w:val="24"/>
        </w:rPr>
        <w:t xml:space="preserve"> </w:t>
      </w:r>
      <w:r>
        <w:rPr>
          <w:rFonts w:ascii="Times New Roman" w:hAnsi="Times New Roman" w:cs="Times New Roman"/>
          <w:i/>
          <w:sz w:val="24"/>
          <w:szCs w:val="24"/>
        </w:rPr>
        <w:t>Nothing in sub-rules (1), (3), or (4) shall prevent the Court dismissing the application for judicial review on the ground that the applicant’s delay in applying for leave to apply for judicial review (even if otherwise within the period prescribed by sub-rule (1) or within an extended period allowed by an order made in accordance with sub-rule (3) has caused or is likely to cause prejudice to a respondent or third party’</w:t>
      </w:r>
      <w:r w:rsidR="001E0F99">
        <w:rPr>
          <w:rFonts w:ascii="Times New Roman" w:hAnsi="Times New Roman" w:cs="Times New Roman"/>
          <w:i/>
          <w:sz w:val="24"/>
          <w:szCs w:val="24"/>
        </w:rPr>
        <w:t>.</w:t>
      </w:r>
    </w:p>
    <w:p w14:paraId="4CDB9BF6" w14:textId="77777777" w:rsidR="00DE3A3D" w:rsidRPr="00DE3A3D" w:rsidRDefault="00DE3A3D" w:rsidP="00DE3A3D">
      <w:pPr>
        <w:pStyle w:val="ListParagraph"/>
        <w:spacing w:before="240" w:line="480" w:lineRule="auto"/>
        <w:ind w:left="1440"/>
        <w:jc w:val="both"/>
        <w:rPr>
          <w:rFonts w:ascii="Times New Roman" w:hAnsi="Times New Roman" w:cs="Times New Roman"/>
          <w:i/>
          <w:sz w:val="24"/>
          <w:szCs w:val="24"/>
        </w:rPr>
      </w:pPr>
    </w:p>
    <w:p w14:paraId="1FFAF8CC" w14:textId="374AA4FD" w:rsidR="00506392" w:rsidRPr="00506392" w:rsidRDefault="00DE3A3D" w:rsidP="002177BA">
      <w:pPr>
        <w:pStyle w:val="ListParagraph"/>
        <w:numPr>
          <w:ilvl w:val="0"/>
          <w:numId w:val="1"/>
        </w:numPr>
        <w:spacing w:before="240" w:line="480" w:lineRule="auto"/>
        <w:jc w:val="both"/>
        <w:rPr>
          <w:rFonts w:ascii="Times New Roman" w:hAnsi="Times New Roman" w:cs="Times New Roman"/>
          <w:b/>
          <w:sz w:val="24"/>
          <w:szCs w:val="24"/>
        </w:rPr>
      </w:pPr>
      <w:r>
        <w:rPr>
          <w:rFonts w:ascii="Times New Roman" w:hAnsi="Times New Roman" w:cs="Times New Roman"/>
          <w:sz w:val="24"/>
          <w:szCs w:val="24"/>
        </w:rPr>
        <w:t>While there is a substantial body of case law addressing the application of the power conferred by the 1986 version of Order 84 R</w:t>
      </w:r>
      <w:r w:rsidR="001E0F99">
        <w:rPr>
          <w:rFonts w:ascii="Times New Roman" w:hAnsi="Times New Roman" w:cs="Times New Roman"/>
          <w:sz w:val="24"/>
          <w:szCs w:val="24"/>
        </w:rPr>
        <w:t>ule</w:t>
      </w:r>
      <w:r>
        <w:rPr>
          <w:rFonts w:ascii="Times New Roman" w:hAnsi="Times New Roman" w:cs="Times New Roman"/>
          <w:sz w:val="24"/>
          <w:szCs w:val="24"/>
        </w:rPr>
        <w:t xml:space="preserve"> 21(1), the </w:t>
      </w:r>
      <w:r w:rsidR="00B13D0B" w:rsidRPr="005A5F29">
        <w:rPr>
          <w:rFonts w:ascii="Times New Roman" w:hAnsi="Times New Roman" w:cs="Times New Roman"/>
          <w:sz w:val="24"/>
          <w:szCs w:val="24"/>
        </w:rPr>
        <w:t xml:space="preserve">judgment of Finlay Geoghegan J. </w:t>
      </w:r>
      <w:r w:rsidR="00377428" w:rsidRPr="005A5F29">
        <w:rPr>
          <w:rFonts w:ascii="Times New Roman" w:hAnsi="Times New Roman" w:cs="Times New Roman"/>
          <w:sz w:val="24"/>
          <w:szCs w:val="24"/>
        </w:rPr>
        <w:t xml:space="preserve">(with whom MacMenamin and O’Malley JJ agreed: O’Donnell and Irvine JJ diss.) in </w:t>
      </w:r>
      <w:r w:rsidR="00571129">
        <w:rPr>
          <w:rFonts w:ascii="Times New Roman" w:hAnsi="Times New Roman" w:cs="Times New Roman"/>
          <w:i/>
          <w:sz w:val="24"/>
          <w:szCs w:val="24"/>
        </w:rPr>
        <w:t>MO</w:t>
      </w:r>
      <w:r w:rsidR="00B13D0B" w:rsidRPr="005A5F29">
        <w:rPr>
          <w:rFonts w:ascii="Times New Roman" w:hAnsi="Times New Roman" w:cs="Times New Roman"/>
          <w:i/>
          <w:sz w:val="24"/>
          <w:szCs w:val="24"/>
        </w:rPr>
        <w:t xml:space="preserve">’S v. The Residential Institutions Redress Board </w:t>
      </w:r>
      <w:r w:rsidR="00B13D0B" w:rsidRPr="005A5F29">
        <w:rPr>
          <w:rFonts w:ascii="Times New Roman" w:hAnsi="Times New Roman" w:cs="Times New Roman"/>
          <w:sz w:val="24"/>
          <w:szCs w:val="24"/>
        </w:rPr>
        <w:t>[2018] IESC 61</w:t>
      </w:r>
      <w:r w:rsidR="001E0F99">
        <w:rPr>
          <w:rFonts w:ascii="Times New Roman" w:hAnsi="Times New Roman" w:cs="Times New Roman"/>
          <w:sz w:val="24"/>
          <w:szCs w:val="24"/>
        </w:rPr>
        <w:t>,</w:t>
      </w:r>
      <w:r w:rsidR="00B13D0B" w:rsidRPr="005A5F29">
        <w:rPr>
          <w:rFonts w:ascii="Times New Roman" w:hAnsi="Times New Roman" w:cs="Times New Roman"/>
          <w:sz w:val="24"/>
          <w:szCs w:val="24"/>
        </w:rPr>
        <w:t xml:space="preserve"> [2019] 1 </w:t>
      </w:r>
      <w:r w:rsidR="001E0F99">
        <w:rPr>
          <w:rFonts w:ascii="Times New Roman" w:hAnsi="Times New Roman" w:cs="Times New Roman"/>
          <w:sz w:val="24"/>
          <w:szCs w:val="24"/>
        </w:rPr>
        <w:t xml:space="preserve">ILRM </w:t>
      </w:r>
      <w:r w:rsidR="00B13D0B" w:rsidRPr="005A5F29">
        <w:rPr>
          <w:rFonts w:ascii="Times New Roman" w:hAnsi="Times New Roman" w:cs="Times New Roman"/>
          <w:sz w:val="24"/>
          <w:szCs w:val="24"/>
        </w:rPr>
        <w:t>149</w:t>
      </w:r>
      <w:r w:rsidR="00377428" w:rsidRPr="005A5F29">
        <w:rPr>
          <w:rFonts w:ascii="Times New Roman" w:hAnsi="Times New Roman" w:cs="Times New Roman"/>
          <w:sz w:val="24"/>
          <w:szCs w:val="24"/>
        </w:rPr>
        <w:t xml:space="preserve"> </w:t>
      </w:r>
      <w:r w:rsidR="00271DE1">
        <w:rPr>
          <w:rFonts w:ascii="Times New Roman" w:hAnsi="Times New Roman" w:cs="Times New Roman"/>
          <w:sz w:val="24"/>
          <w:szCs w:val="24"/>
        </w:rPr>
        <w:t>(</w:t>
      </w:r>
      <w:r w:rsidR="00271DE1" w:rsidRPr="00271DE1">
        <w:rPr>
          <w:rFonts w:ascii="Times New Roman" w:hAnsi="Times New Roman" w:cs="Times New Roman"/>
          <w:i/>
          <w:sz w:val="24"/>
          <w:szCs w:val="24"/>
        </w:rPr>
        <w:t>‘MO’S’</w:t>
      </w:r>
      <w:r w:rsidR="00271DE1">
        <w:rPr>
          <w:rFonts w:ascii="Times New Roman" w:hAnsi="Times New Roman" w:cs="Times New Roman"/>
          <w:sz w:val="24"/>
          <w:szCs w:val="24"/>
        </w:rPr>
        <w:t>)</w:t>
      </w:r>
      <w:r w:rsidR="000305DE">
        <w:rPr>
          <w:rFonts w:ascii="Times New Roman" w:hAnsi="Times New Roman" w:cs="Times New Roman"/>
          <w:sz w:val="24"/>
          <w:szCs w:val="24"/>
        </w:rPr>
        <w:t xml:space="preserve"> </w:t>
      </w:r>
      <w:r w:rsidRPr="00271DE1">
        <w:rPr>
          <w:rFonts w:ascii="Times New Roman" w:hAnsi="Times New Roman" w:cs="Times New Roman"/>
          <w:sz w:val="24"/>
          <w:szCs w:val="24"/>
        </w:rPr>
        <w:t>was</w:t>
      </w:r>
      <w:r>
        <w:rPr>
          <w:rFonts w:ascii="Times New Roman" w:hAnsi="Times New Roman" w:cs="Times New Roman"/>
          <w:sz w:val="24"/>
          <w:szCs w:val="24"/>
        </w:rPr>
        <w:t xml:space="preserve"> the first occasion on which the Supreme Court </w:t>
      </w:r>
      <w:r w:rsidR="00571129">
        <w:rPr>
          <w:rFonts w:ascii="Times New Roman" w:hAnsi="Times New Roman" w:cs="Times New Roman"/>
          <w:sz w:val="24"/>
          <w:szCs w:val="24"/>
        </w:rPr>
        <w:t xml:space="preserve">addressed the new rule.  In her judgment Finlay Geoghegan J. </w:t>
      </w:r>
      <w:r w:rsidR="001D6F01">
        <w:rPr>
          <w:rFonts w:ascii="Times New Roman" w:hAnsi="Times New Roman" w:cs="Times New Roman"/>
          <w:sz w:val="24"/>
          <w:szCs w:val="24"/>
        </w:rPr>
        <w:t>iterated</w:t>
      </w:r>
      <w:r w:rsidR="00571129">
        <w:rPr>
          <w:rFonts w:ascii="Times New Roman" w:hAnsi="Times New Roman" w:cs="Times New Roman"/>
          <w:sz w:val="24"/>
          <w:szCs w:val="24"/>
        </w:rPr>
        <w:t xml:space="preserve"> the changes introduced in 2011 (at para. 35): (a) the addition of the requirement that the reason given be ‘</w:t>
      </w:r>
      <w:r w:rsidR="00571129">
        <w:rPr>
          <w:rFonts w:ascii="Times New Roman" w:hAnsi="Times New Roman" w:cs="Times New Roman"/>
          <w:i/>
          <w:sz w:val="24"/>
          <w:szCs w:val="24"/>
        </w:rPr>
        <w:t xml:space="preserve">sufficient’ </w:t>
      </w:r>
      <w:r w:rsidR="00571129">
        <w:rPr>
          <w:rFonts w:ascii="Times New Roman" w:hAnsi="Times New Roman" w:cs="Times New Roman"/>
          <w:sz w:val="24"/>
          <w:szCs w:val="24"/>
        </w:rPr>
        <w:t>as well as ‘</w:t>
      </w:r>
      <w:r w:rsidR="00571129" w:rsidRPr="00CA3DF5">
        <w:rPr>
          <w:rFonts w:ascii="Times New Roman" w:hAnsi="Times New Roman" w:cs="Times New Roman"/>
          <w:i/>
          <w:iCs/>
          <w:sz w:val="24"/>
          <w:szCs w:val="24"/>
        </w:rPr>
        <w:t>good</w:t>
      </w:r>
      <w:r w:rsidR="00571129" w:rsidRPr="00571129">
        <w:rPr>
          <w:rFonts w:ascii="Times New Roman" w:hAnsi="Times New Roman" w:cs="Times New Roman"/>
          <w:sz w:val="24"/>
          <w:szCs w:val="24"/>
        </w:rPr>
        <w:t>’</w:t>
      </w:r>
      <w:r w:rsidR="00571129">
        <w:rPr>
          <w:rFonts w:ascii="Times New Roman" w:hAnsi="Times New Roman" w:cs="Times New Roman"/>
          <w:sz w:val="24"/>
          <w:szCs w:val="24"/>
        </w:rPr>
        <w:t>, (b) the specific requirements of O</w:t>
      </w:r>
      <w:r w:rsidR="001E0F99">
        <w:rPr>
          <w:rFonts w:ascii="Times New Roman" w:hAnsi="Times New Roman" w:cs="Times New Roman"/>
          <w:sz w:val="24"/>
          <w:szCs w:val="24"/>
        </w:rPr>
        <w:t>rder</w:t>
      </w:r>
      <w:r w:rsidR="00571129">
        <w:rPr>
          <w:rFonts w:ascii="Times New Roman" w:hAnsi="Times New Roman" w:cs="Times New Roman"/>
          <w:sz w:val="24"/>
          <w:szCs w:val="24"/>
        </w:rPr>
        <w:t xml:space="preserve"> 84 R</w:t>
      </w:r>
      <w:r w:rsidR="001E0F99">
        <w:rPr>
          <w:rFonts w:ascii="Times New Roman" w:hAnsi="Times New Roman" w:cs="Times New Roman"/>
          <w:sz w:val="24"/>
          <w:szCs w:val="24"/>
        </w:rPr>
        <w:t xml:space="preserve">ule </w:t>
      </w:r>
      <w:r w:rsidR="00571129">
        <w:rPr>
          <w:rFonts w:ascii="Times New Roman" w:hAnsi="Times New Roman" w:cs="Times New Roman"/>
          <w:sz w:val="24"/>
          <w:szCs w:val="24"/>
        </w:rPr>
        <w:t>21</w:t>
      </w:r>
      <w:r w:rsidR="001E0F99">
        <w:rPr>
          <w:rFonts w:ascii="Times New Roman" w:hAnsi="Times New Roman" w:cs="Times New Roman"/>
          <w:sz w:val="24"/>
          <w:szCs w:val="24"/>
        </w:rPr>
        <w:t xml:space="preserve"> </w:t>
      </w:r>
      <w:r w:rsidR="00571129">
        <w:rPr>
          <w:rFonts w:ascii="Times New Roman" w:hAnsi="Times New Roman" w:cs="Times New Roman"/>
          <w:sz w:val="24"/>
          <w:szCs w:val="24"/>
        </w:rPr>
        <w:t>(3)(b)(</w:t>
      </w:r>
      <w:proofErr w:type="spellStart"/>
      <w:r w:rsidR="00571129">
        <w:rPr>
          <w:rFonts w:ascii="Times New Roman" w:hAnsi="Times New Roman" w:cs="Times New Roman"/>
          <w:sz w:val="24"/>
          <w:szCs w:val="24"/>
        </w:rPr>
        <w:t>i</w:t>
      </w:r>
      <w:proofErr w:type="spellEnd"/>
      <w:r w:rsidR="00571129">
        <w:rPr>
          <w:rFonts w:ascii="Times New Roman" w:hAnsi="Times New Roman" w:cs="Times New Roman"/>
          <w:sz w:val="24"/>
          <w:szCs w:val="24"/>
        </w:rPr>
        <w:t xml:space="preserve">) and (ii), (c), the power of the court to take account of the effect an extension of time may have on the respondent or a third party, and (d) the obligation now imposed upon an applicant where seeking an extension of time to specifically aver as to the reason for its failure to make the application for leave within the specified period. The </w:t>
      </w:r>
      <w:r w:rsidR="00A85CE2">
        <w:rPr>
          <w:rFonts w:ascii="Times New Roman" w:hAnsi="Times New Roman" w:cs="Times New Roman"/>
          <w:sz w:val="24"/>
          <w:szCs w:val="24"/>
        </w:rPr>
        <w:t xml:space="preserve">new </w:t>
      </w:r>
      <w:r w:rsidR="00571129">
        <w:rPr>
          <w:rFonts w:ascii="Times New Roman" w:hAnsi="Times New Roman" w:cs="Times New Roman"/>
          <w:sz w:val="24"/>
          <w:szCs w:val="24"/>
        </w:rPr>
        <w:t xml:space="preserve">rule </w:t>
      </w:r>
      <w:r w:rsidR="00A85CE2">
        <w:rPr>
          <w:rFonts w:ascii="Times New Roman" w:hAnsi="Times New Roman" w:cs="Times New Roman"/>
          <w:sz w:val="24"/>
          <w:szCs w:val="24"/>
        </w:rPr>
        <w:t xml:space="preserve">had earlier been considered by this court in </w:t>
      </w:r>
      <w:proofErr w:type="spellStart"/>
      <w:r w:rsidR="00A85CE2">
        <w:rPr>
          <w:rFonts w:ascii="Times New Roman" w:hAnsi="Times New Roman" w:cs="Times New Roman"/>
          <w:i/>
          <w:sz w:val="24"/>
          <w:szCs w:val="24"/>
        </w:rPr>
        <w:t>Heaphy</w:t>
      </w:r>
      <w:proofErr w:type="spellEnd"/>
      <w:r w:rsidR="00A85CE2">
        <w:rPr>
          <w:rFonts w:ascii="Times New Roman" w:hAnsi="Times New Roman" w:cs="Times New Roman"/>
          <w:i/>
          <w:sz w:val="24"/>
          <w:szCs w:val="24"/>
        </w:rPr>
        <w:t xml:space="preserve"> v. </w:t>
      </w:r>
      <w:r w:rsidR="0065365E">
        <w:rPr>
          <w:rFonts w:ascii="Times New Roman" w:hAnsi="Times New Roman" w:cs="Times New Roman"/>
          <w:i/>
          <w:sz w:val="24"/>
          <w:szCs w:val="24"/>
        </w:rPr>
        <w:t>Governor of Cork Prison</w:t>
      </w:r>
      <w:r w:rsidR="00A85CE2">
        <w:rPr>
          <w:rFonts w:ascii="Times New Roman" w:hAnsi="Times New Roman" w:cs="Times New Roman"/>
          <w:i/>
          <w:sz w:val="24"/>
          <w:szCs w:val="24"/>
        </w:rPr>
        <w:t xml:space="preserve"> </w:t>
      </w:r>
      <w:r w:rsidR="00A85CE2">
        <w:rPr>
          <w:rFonts w:ascii="Times New Roman" w:hAnsi="Times New Roman" w:cs="Times New Roman"/>
          <w:sz w:val="24"/>
          <w:szCs w:val="24"/>
        </w:rPr>
        <w:t xml:space="preserve">[2018] IECA 125, and was </w:t>
      </w:r>
      <w:r w:rsidR="00571129">
        <w:rPr>
          <w:rFonts w:ascii="Times New Roman" w:hAnsi="Times New Roman" w:cs="Times New Roman"/>
          <w:sz w:val="24"/>
          <w:szCs w:val="24"/>
        </w:rPr>
        <w:t xml:space="preserve">subsequently addressed in in </w:t>
      </w:r>
      <w:r w:rsidR="00571129">
        <w:rPr>
          <w:rFonts w:ascii="Times New Roman" w:hAnsi="Times New Roman" w:cs="Times New Roman"/>
          <w:i/>
          <w:sz w:val="24"/>
          <w:szCs w:val="24"/>
        </w:rPr>
        <w:t xml:space="preserve">AB v. XY </w:t>
      </w:r>
      <w:r w:rsidR="00571129">
        <w:rPr>
          <w:rFonts w:ascii="Times New Roman" w:hAnsi="Times New Roman" w:cs="Times New Roman"/>
          <w:sz w:val="24"/>
          <w:szCs w:val="24"/>
        </w:rPr>
        <w:t>[20</w:t>
      </w:r>
      <w:r w:rsidR="004C7EC5">
        <w:rPr>
          <w:rFonts w:ascii="Times New Roman" w:hAnsi="Times New Roman" w:cs="Times New Roman"/>
          <w:sz w:val="24"/>
          <w:szCs w:val="24"/>
        </w:rPr>
        <w:t>19</w:t>
      </w:r>
      <w:r w:rsidR="00571129">
        <w:rPr>
          <w:rFonts w:ascii="Times New Roman" w:hAnsi="Times New Roman" w:cs="Times New Roman"/>
          <w:sz w:val="24"/>
          <w:szCs w:val="24"/>
        </w:rPr>
        <w:t xml:space="preserve">] </w:t>
      </w:r>
      <w:r w:rsidR="004C7EC5">
        <w:rPr>
          <w:rFonts w:ascii="Times New Roman" w:hAnsi="Times New Roman" w:cs="Times New Roman"/>
          <w:sz w:val="24"/>
          <w:szCs w:val="24"/>
        </w:rPr>
        <w:t>IECA 326</w:t>
      </w:r>
      <w:r w:rsidR="002E4877">
        <w:rPr>
          <w:rFonts w:ascii="Times New Roman" w:hAnsi="Times New Roman" w:cs="Times New Roman"/>
          <w:sz w:val="24"/>
          <w:szCs w:val="24"/>
        </w:rPr>
        <w:t xml:space="preserve"> </w:t>
      </w:r>
      <w:r w:rsidR="00A85CE2">
        <w:rPr>
          <w:rFonts w:ascii="Times New Roman" w:hAnsi="Times New Roman" w:cs="Times New Roman"/>
          <w:sz w:val="24"/>
          <w:szCs w:val="24"/>
        </w:rPr>
        <w:t xml:space="preserve">and </w:t>
      </w:r>
      <w:r w:rsidR="00A85CE2">
        <w:rPr>
          <w:rFonts w:ascii="Times New Roman" w:hAnsi="Times New Roman" w:cs="Times New Roman"/>
          <w:i/>
          <w:sz w:val="24"/>
          <w:szCs w:val="24"/>
        </w:rPr>
        <w:t xml:space="preserve">Nugent v. PSRA </w:t>
      </w:r>
      <w:r w:rsidR="00A85CE2">
        <w:rPr>
          <w:rFonts w:ascii="Times New Roman" w:hAnsi="Times New Roman" w:cs="Times New Roman"/>
          <w:sz w:val="24"/>
          <w:szCs w:val="24"/>
        </w:rPr>
        <w:t xml:space="preserve">[2021] IECA 250.  It was also </w:t>
      </w:r>
      <w:r w:rsidR="002E4877">
        <w:rPr>
          <w:rFonts w:ascii="Times New Roman" w:hAnsi="Times New Roman" w:cs="Times New Roman"/>
          <w:sz w:val="24"/>
          <w:szCs w:val="24"/>
        </w:rPr>
        <w:t xml:space="preserve">considered in some detail by </w:t>
      </w:r>
      <w:r w:rsidR="002E4877">
        <w:rPr>
          <w:rFonts w:ascii="Times New Roman" w:hAnsi="Times New Roman" w:cs="Times New Roman"/>
          <w:sz w:val="24"/>
          <w:szCs w:val="24"/>
        </w:rPr>
        <w:lastRenderedPageBreak/>
        <w:t>Barn</w:t>
      </w:r>
      <w:r w:rsidR="005B0F53">
        <w:rPr>
          <w:rFonts w:ascii="Times New Roman" w:hAnsi="Times New Roman" w:cs="Times New Roman"/>
          <w:sz w:val="24"/>
          <w:szCs w:val="24"/>
        </w:rPr>
        <w:t>i</w:t>
      </w:r>
      <w:r w:rsidR="002E4877">
        <w:rPr>
          <w:rFonts w:ascii="Times New Roman" w:hAnsi="Times New Roman" w:cs="Times New Roman"/>
          <w:sz w:val="24"/>
          <w:szCs w:val="24"/>
        </w:rPr>
        <w:t xml:space="preserve">ville J. in </w:t>
      </w:r>
      <w:r w:rsidR="002E4877">
        <w:rPr>
          <w:rFonts w:ascii="Times New Roman" w:hAnsi="Times New Roman" w:cs="Times New Roman"/>
          <w:i/>
          <w:sz w:val="24"/>
          <w:szCs w:val="24"/>
        </w:rPr>
        <w:t xml:space="preserve">SC SYM </w:t>
      </w:r>
      <w:proofErr w:type="spellStart"/>
      <w:r w:rsidR="002E4877">
        <w:rPr>
          <w:rFonts w:ascii="Times New Roman" w:hAnsi="Times New Roman" w:cs="Times New Roman"/>
          <w:i/>
          <w:sz w:val="24"/>
          <w:szCs w:val="24"/>
        </w:rPr>
        <w:t>Fotovoltaic</w:t>
      </w:r>
      <w:proofErr w:type="spellEnd"/>
      <w:r w:rsidR="002E4877">
        <w:rPr>
          <w:rFonts w:ascii="Times New Roman" w:hAnsi="Times New Roman" w:cs="Times New Roman"/>
          <w:i/>
          <w:sz w:val="24"/>
          <w:szCs w:val="24"/>
        </w:rPr>
        <w:t xml:space="preserve"> Energy SRL v</w:t>
      </w:r>
      <w:r w:rsidR="00831D67">
        <w:rPr>
          <w:rFonts w:ascii="Times New Roman" w:hAnsi="Times New Roman" w:cs="Times New Roman"/>
          <w:i/>
          <w:sz w:val="24"/>
          <w:szCs w:val="24"/>
        </w:rPr>
        <w:t>.</w:t>
      </w:r>
      <w:r w:rsidR="002E4877">
        <w:rPr>
          <w:rFonts w:ascii="Times New Roman" w:hAnsi="Times New Roman" w:cs="Times New Roman"/>
          <w:i/>
          <w:sz w:val="24"/>
          <w:szCs w:val="24"/>
        </w:rPr>
        <w:t xml:space="preserve"> Mayo County Council </w:t>
      </w:r>
      <w:r w:rsidR="002E4877">
        <w:rPr>
          <w:rFonts w:ascii="Times New Roman" w:hAnsi="Times New Roman" w:cs="Times New Roman"/>
          <w:sz w:val="24"/>
          <w:szCs w:val="24"/>
        </w:rPr>
        <w:t xml:space="preserve">[2018] IEHC 20.  </w:t>
      </w:r>
    </w:p>
    <w:p w14:paraId="7A276812" w14:textId="77777777" w:rsidR="00506392" w:rsidRPr="00506392" w:rsidRDefault="00506392" w:rsidP="00506392">
      <w:pPr>
        <w:pStyle w:val="ListParagraph"/>
        <w:spacing w:before="240" w:line="480" w:lineRule="auto"/>
        <w:ind w:left="786"/>
        <w:jc w:val="both"/>
        <w:rPr>
          <w:rFonts w:ascii="Times New Roman" w:hAnsi="Times New Roman" w:cs="Times New Roman"/>
          <w:b/>
          <w:sz w:val="24"/>
          <w:szCs w:val="24"/>
        </w:rPr>
      </w:pPr>
      <w:r>
        <w:rPr>
          <w:rFonts w:ascii="Times New Roman" w:hAnsi="Times New Roman" w:cs="Times New Roman"/>
          <w:sz w:val="24"/>
          <w:szCs w:val="24"/>
        </w:rPr>
        <w:t xml:space="preserve">  </w:t>
      </w:r>
    </w:p>
    <w:p w14:paraId="54D0830F" w14:textId="0B7BBE3F" w:rsidR="002E4877" w:rsidRPr="00271DE1" w:rsidRDefault="002E4877" w:rsidP="002177BA">
      <w:pPr>
        <w:pStyle w:val="ListParagraph"/>
        <w:numPr>
          <w:ilvl w:val="0"/>
          <w:numId w:val="1"/>
        </w:numPr>
        <w:spacing w:before="240" w:line="480" w:lineRule="auto"/>
        <w:jc w:val="both"/>
        <w:rPr>
          <w:rFonts w:ascii="Times New Roman" w:hAnsi="Times New Roman" w:cs="Times New Roman"/>
          <w:b/>
          <w:sz w:val="24"/>
          <w:szCs w:val="24"/>
        </w:rPr>
      </w:pPr>
      <w:r>
        <w:rPr>
          <w:rFonts w:ascii="Times New Roman" w:hAnsi="Times New Roman" w:cs="Times New Roman"/>
          <w:sz w:val="24"/>
          <w:szCs w:val="24"/>
        </w:rPr>
        <w:t>The text of the rule when viewed in the light of those decisions and the law as it developed around the original form of Order 84 Ru</w:t>
      </w:r>
      <w:r w:rsidR="00271DE1">
        <w:rPr>
          <w:rFonts w:ascii="Times New Roman" w:hAnsi="Times New Roman" w:cs="Times New Roman"/>
          <w:sz w:val="24"/>
          <w:szCs w:val="24"/>
        </w:rPr>
        <w:t>le</w:t>
      </w:r>
      <w:r>
        <w:rPr>
          <w:rFonts w:ascii="Times New Roman" w:hAnsi="Times New Roman" w:cs="Times New Roman"/>
          <w:sz w:val="24"/>
          <w:szCs w:val="24"/>
        </w:rPr>
        <w:t xml:space="preserve"> 21(1) suggests</w:t>
      </w:r>
      <w:r w:rsidR="006E5F4F">
        <w:rPr>
          <w:rFonts w:ascii="Times New Roman" w:hAnsi="Times New Roman" w:cs="Times New Roman"/>
          <w:sz w:val="24"/>
          <w:szCs w:val="24"/>
        </w:rPr>
        <w:t xml:space="preserve"> that</w:t>
      </w:r>
      <w:r>
        <w:rPr>
          <w:rFonts w:ascii="Times New Roman" w:hAnsi="Times New Roman" w:cs="Times New Roman"/>
          <w:sz w:val="24"/>
          <w:szCs w:val="24"/>
        </w:rPr>
        <w:t xml:space="preserve"> the following</w:t>
      </w:r>
      <w:r w:rsidR="00507C6A">
        <w:rPr>
          <w:rFonts w:ascii="Times New Roman" w:hAnsi="Times New Roman" w:cs="Times New Roman"/>
          <w:sz w:val="24"/>
          <w:szCs w:val="24"/>
        </w:rPr>
        <w:t xml:space="preserve"> </w:t>
      </w:r>
      <w:r w:rsidR="006E5F4F">
        <w:rPr>
          <w:rFonts w:ascii="Times New Roman" w:hAnsi="Times New Roman" w:cs="Times New Roman"/>
          <w:sz w:val="24"/>
          <w:szCs w:val="24"/>
        </w:rPr>
        <w:t xml:space="preserve">are </w:t>
      </w:r>
      <w:r w:rsidR="00CA6DAA">
        <w:rPr>
          <w:rFonts w:ascii="Times New Roman" w:hAnsi="Times New Roman" w:cs="Times New Roman"/>
          <w:sz w:val="24"/>
          <w:szCs w:val="24"/>
        </w:rPr>
        <w:t xml:space="preserve">now </w:t>
      </w:r>
      <w:r w:rsidR="00507C6A">
        <w:rPr>
          <w:rFonts w:ascii="Times New Roman" w:hAnsi="Times New Roman" w:cs="Times New Roman"/>
          <w:sz w:val="24"/>
          <w:szCs w:val="24"/>
        </w:rPr>
        <w:t>clear</w:t>
      </w:r>
      <w:r w:rsidR="00271DE1">
        <w:rPr>
          <w:rFonts w:ascii="Times New Roman" w:hAnsi="Times New Roman" w:cs="Times New Roman"/>
          <w:sz w:val="24"/>
          <w:szCs w:val="24"/>
        </w:rPr>
        <w:t>:</w:t>
      </w:r>
    </w:p>
    <w:p w14:paraId="5E40AE7D" w14:textId="77777777" w:rsidR="00271DE1" w:rsidRDefault="00271DE1" w:rsidP="00271DE1">
      <w:pPr>
        <w:pStyle w:val="ListParagraph"/>
        <w:spacing w:before="240" w:line="480" w:lineRule="auto"/>
        <w:jc w:val="both"/>
        <w:rPr>
          <w:rFonts w:ascii="Times New Roman" w:hAnsi="Times New Roman" w:cs="Times New Roman"/>
          <w:b/>
          <w:sz w:val="24"/>
          <w:szCs w:val="24"/>
        </w:rPr>
      </w:pPr>
    </w:p>
    <w:p w14:paraId="7272DBA8" w14:textId="55881185" w:rsidR="00E51770" w:rsidRDefault="00E51770" w:rsidP="00271DE1">
      <w:pPr>
        <w:pStyle w:val="ListParagraph"/>
        <w:numPr>
          <w:ilvl w:val="0"/>
          <w:numId w:val="20"/>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The period fixed by Order 84 R</w:t>
      </w:r>
      <w:r w:rsidR="001E0F99">
        <w:rPr>
          <w:rFonts w:ascii="Times New Roman" w:hAnsi="Times New Roman" w:cs="Times New Roman"/>
          <w:sz w:val="24"/>
          <w:szCs w:val="24"/>
        </w:rPr>
        <w:t>ule</w:t>
      </w:r>
      <w:r>
        <w:rPr>
          <w:rFonts w:ascii="Times New Roman" w:hAnsi="Times New Roman" w:cs="Times New Roman"/>
          <w:sz w:val="24"/>
          <w:szCs w:val="24"/>
        </w:rPr>
        <w:t xml:space="preserve"> 21(1) is not</w:t>
      </w:r>
      <w:r w:rsidR="001E0F99">
        <w:rPr>
          <w:rFonts w:ascii="Times New Roman" w:hAnsi="Times New Roman" w:cs="Times New Roman"/>
          <w:sz w:val="24"/>
          <w:szCs w:val="24"/>
        </w:rPr>
        <w:t xml:space="preserve"> a</w:t>
      </w:r>
      <w:r>
        <w:rPr>
          <w:rFonts w:ascii="Times New Roman" w:hAnsi="Times New Roman" w:cs="Times New Roman"/>
          <w:sz w:val="24"/>
          <w:szCs w:val="24"/>
        </w:rPr>
        <w:t xml:space="preserve"> limitation period</w:t>
      </w:r>
      <w:r w:rsidR="002D7FD0">
        <w:rPr>
          <w:rFonts w:ascii="Times New Roman" w:hAnsi="Times New Roman" w:cs="Times New Roman"/>
          <w:sz w:val="24"/>
          <w:szCs w:val="24"/>
        </w:rPr>
        <w:t xml:space="preserve"> properly so called (</w:t>
      </w:r>
      <w:r w:rsidR="002D7FD0">
        <w:rPr>
          <w:rFonts w:ascii="Times New Roman" w:hAnsi="Times New Roman" w:cs="Times New Roman"/>
          <w:i/>
          <w:sz w:val="24"/>
          <w:szCs w:val="24"/>
        </w:rPr>
        <w:t>Sfar v. Revenue Commissioners</w:t>
      </w:r>
      <w:r w:rsidR="002D7FD0">
        <w:rPr>
          <w:rFonts w:ascii="Times New Roman" w:hAnsi="Times New Roman" w:cs="Times New Roman"/>
          <w:sz w:val="24"/>
          <w:szCs w:val="24"/>
        </w:rPr>
        <w:t xml:space="preserve"> [2016] IESC 15 at para. 19 (per McKechnie J</w:t>
      </w:r>
      <w:r w:rsidR="001E0F99">
        <w:rPr>
          <w:rFonts w:ascii="Times New Roman" w:hAnsi="Times New Roman" w:cs="Times New Roman"/>
          <w:sz w:val="24"/>
          <w:szCs w:val="24"/>
        </w:rPr>
        <w:t>.</w:t>
      </w:r>
      <w:r w:rsidR="002D7FD0">
        <w:rPr>
          <w:rFonts w:ascii="Times New Roman" w:hAnsi="Times New Roman" w:cs="Times New Roman"/>
          <w:sz w:val="24"/>
          <w:szCs w:val="24"/>
        </w:rPr>
        <w:t>)</w:t>
      </w:r>
      <w:r w:rsidR="007F4A0B">
        <w:rPr>
          <w:rFonts w:ascii="Times New Roman" w:hAnsi="Times New Roman" w:cs="Times New Roman"/>
          <w:sz w:val="24"/>
          <w:szCs w:val="24"/>
        </w:rPr>
        <w:t>)</w:t>
      </w:r>
      <w:r w:rsidR="002D7FD0">
        <w:rPr>
          <w:rFonts w:ascii="Times New Roman" w:hAnsi="Times New Roman" w:cs="Times New Roman"/>
          <w:sz w:val="24"/>
          <w:szCs w:val="24"/>
        </w:rPr>
        <w:t xml:space="preserve">.  The requirement to proceed within that time instead derives from </w:t>
      </w:r>
      <w:r>
        <w:rPr>
          <w:rFonts w:ascii="Times New Roman" w:hAnsi="Times New Roman" w:cs="Times New Roman"/>
          <w:sz w:val="24"/>
          <w:szCs w:val="24"/>
        </w:rPr>
        <w:t>a rule of court which, while having the force of law, is subject to the possibility of an extension if the court is satisfied, in accordance with the relevant law, that time should be extended (</w:t>
      </w:r>
      <w:r>
        <w:rPr>
          <w:rFonts w:ascii="Times New Roman" w:hAnsi="Times New Roman" w:cs="Times New Roman"/>
          <w:i/>
          <w:sz w:val="24"/>
          <w:szCs w:val="24"/>
        </w:rPr>
        <w:t xml:space="preserve">MO’S </w:t>
      </w:r>
      <w:r>
        <w:rPr>
          <w:rFonts w:ascii="Times New Roman" w:hAnsi="Times New Roman" w:cs="Times New Roman"/>
          <w:sz w:val="24"/>
          <w:szCs w:val="24"/>
        </w:rPr>
        <w:t>at para. 69 per Finlay Geoghegan J.).</w:t>
      </w:r>
    </w:p>
    <w:p w14:paraId="3B61AB9A" w14:textId="77777777" w:rsidR="00E51770" w:rsidRDefault="00E51770" w:rsidP="00E51770">
      <w:pPr>
        <w:pStyle w:val="ListParagraph"/>
        <w:spacing w:before="240" w:line="48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  </w:t>
      </w:r>
    </w:p>
    <w:p w14:paraId="2D00F841" w14:textId="32B85FEA" w:rsidR="00271DE1" w:rsidRDefault="00271DE1" w:rsidP="00271DE1">
      <w:pPr>
        <w:pStyle w:val="ListParagraph"/>
        <w:numPr>
          <w:ilvl w:val="0"/>
          <w:numId w:val="20"/>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The effect of the rule is clearly </w:t>
      </w:r>
      <w:r w:rsidR="0026124D">
        <w:rPr>
          <w:rFonts w:ascii="Times New Roman" w:hAnsi="Times New Roman" w:cs="Times New Roman"/>
          <w:sz w:val="24"/>
          <w:szCs w:val="24"/>
        </w:rPr>
        <w:t xml:space="preserve">to </w:t>
      </w:r>
      <w:r>
        <w:rPr>
          <w:rFonts w:ascii="Times New Roman" w:hAnsi="Times New Roman" w:cs="Times New Roman"/>
          <w:sz w:val="24"/>
          <w:szCs w:val="24"/>
        </w:rPr>
        <w:t>place an obligation on the party seeking an extension of time to identify on oath the reasons the application was not brought during the period fixed by O</w:t>
      </w:r>
      <w:r w:rsidR="001E0F99">
        <w:rPr>
          <w:rFonts w:ascii="Times New Roman" w:hAnsi="Times New Roman" w:cs="Times New Roman"/>
          <w:sz w:val="24"/>
          <w:szCs w:val="24"/>
        </w:rPr>
        <w:t xml:space="preserve">rder </w:t>
      </w:r>
      <w:r>
        <w:rPr>
          <w:rFonts w:ascii="Times New Roman" w:hAnsi="Times New Roman" w:cs="Times New Roman"/>
          <w:sz w:val="24"/>
          <w:szCs w:val="24"/>
        </w:rPr>
        <w:t>84 R</w:t>
      </w:r>
      <w:r w:rsidR="001E0F99">
        <w:rPr>
          <w:rFonts w:ascii="Times New Roman" w:hAnsi="Times New Roman" w:cs="Times New Roman"/>
          <w:sz w:val="24"/>
          <w:szCs w:val="24"/>
        </w:rPr>
        <w:t xml:space="preserve">ule </w:t>
      </w:r>
      <w:r>
        <w:rPr>
          <w:rFonts w:ascii="Times New Roman" w:hAnsi="Times New Roman" w:cs="Times New Roman"/>
          <w:sz w:val="24"/>
          <w:szCs w:val="24"/>
        </w:rPr>
        <w:t xml:space="preserve">21(1) </w:t>
      </w:r>
      <w:r>
        <w:rPr>
          <w:rFonts w:ascii="Times New Roman" w:hAnsi="Times New Roman" w:cs="Times New Roman"/>
          <w:i/>
          <w:sz w:val="24"/>
          <w:szCs w:val="24"/>
        </w:rPr>
        <w:t>and</w:t>
      </w:r>
      <w:r>
        <w:rPr>
          <w:rFonts w:ascii="Times New Roman" w:hAnsi="Times New Roman" w:cs="Times New Roman"/>
          <w:sz w:val="24"/>
          <w:szCs w:val="24"/>
        </w:rPr>
        <w:t xml:space="preserve"> during the time between the expiry of that point and the date on which the application was eventually bought</w:t>
      </w:r>
      <w:r w:rsidR="009D24E3">
        <w:rPr>
          <w:rFonts w:ascii="Times New Roman" w:hAnsi="Times New Roman" w:cs="Times New Roman"/>
          <w:sz w:val="24"/>
          <w:szCs w:val="24"/>
        </w:rPr>
        <w:t xml:space="preserve"> (</w:t>
      </w:r>
      <w:r w:rsidR="009D24E3">
        <w:rPr>
          <w:rFonts w:ascii="Times New Roman" w:hAnsi="Times New Roman" w:cs="Times New Roman"/>
          <w:i/>
          <w:sz w:val="24"/>
          <w:szCs w:val="24"/>
        </w:rPr>
        <w:t xml:space="preserve">MO’S </w:t>
      </w:r>
      <w:r w:rsidR="009D24E3">
        <w:rPr>
          <w:rFonts w:ascii="Times New Roman" w:hAnsi="Times New Roman" w:cs="Times New Roman"/>
          <w:sz w:val="24"/>
          <w:szCs w:val="24"/>
        </w:rPr>
        <w:t>at para. 60).</w:t>
      </w:r>
      <w:r w:rsidR="007E0642">
        <w:rPr>
          <w:rFonts w:ascii="Times New Roman" w:hAnsi="Times New Roman" w:cs="Times New Roman"/>
          <w:sz w:val="24"/>
          <w:szCs w:val="24"/>
        </w:rPr>
        <w:t xml:space="preserve">  It is the obligation of the court </w:t>
      </w:r>
      <w:r w:rsidR="00287516">
        <w:rPr>
          <w:rFonts w:ascii="Times New Roman" w:hAnsi="Times New Roman" w:cs="Times New Roman"/>
          <w:sz w:val="24"/>
          <w:szCs w:val="24"/>
        </w:rPr>
        <w:t>when presented with such reasons to assess them ‘</w:t>
      </w:r>
      <w:r w:rsidR="00287516">
        <w:rPr>
          <w:rFonts w:ascii="Times New Roman" w:hAnsi="Times New Roman" w:cs="Times New Roman"/>
          <w:i/>
          <w:sz w:val="24"/>
          <w:szCs w:val="24"/>
        </w:rPr>
        <w:t xml:space="preserve">carefully and critically’ </w:t>
      </w:r>
      <w:r w:rsidR="00287516">
        <w:rPr>
          <w:rFonts w:ascii="Times New Roman" w:hAnsi="Times New Roman" w:cs="Times New Roman"/>
          <w:sz w:val="24"/>
          <w:szCs w:val="24"/>
        </w:rPr>
        <w:t>(</w:t>
      </w:r>
      <w:r w:rsidR="00287516">
        <w:rPr>
          <w:rFonts w:ascii="Times New Roman" w:hAnsi="Times New Roman" w:cs="Times New Roman"/>
          <w:i/>
          <w:sz w:val="24"/>
          <w:szCs w:val="24"/>
        </w:rPr>
        <w:t xml:space="preserve">SC SYM </w:t>
      </w:r>
      <w:proofErr w:type="spellStart"/>
      <w:r w:rsidR="00287516">
        <w:rPr>
          <w:rFonts w:ascii="Times New Roman" w:hAnsi="Times New Roman" w:cs="Times New Roman"/>
          <w:i/>
          <w:sz w:val="24"/>
          <w:szCs w:val="24"/>
        </w:rPr>
        <w:t>Fotovoltaic</w:t>
      </w:r>
      <w:proofErr w:type="spellEnd"/>
      <w:r w:rsidR="00287516">
        <w:rPr>
          <w:rFonts w:ascii="Times New Roman" w:hAnsi="Times New Roman" w:cs="Times New Roman"/>
          <w:i/>
          <w:sz w:val="24"/>
          <w:szCs w:val="24"/>
        </w:rPr>
        <w:t xml:space="preserve"> Energy SRL v. Mayo County Council</w:t>
      </w:r>
      <w:r w:rsidR="00287516">
        <w:rPr>
          <w:rFonts w:ascii="Times New Roman" w:hAnsi="Times New Roman" w:cs="Times New Roman"/>
          <w:sz w:val="24"/>
          <w:szCs w:val="24"/>
        </w:rPr>
        <w:t xml:space="preserve"> (at para. 72(7)).</w:t>
      </w:r>
      <w:r w:rsidR="00A85CE2">
        <w:rPr>
          <w:rFonts w:ascii="Times New Roman" w:hAnsi="Times New Roman" w:cs="Times New Roman"/>
          <w:sz w:val="24"/>
          <w:szCs w:val="24"/>
        </w:rPr>
        <w:t xml:space="preserve">  It should undertake this exercise conscious of the purpose underlying the rule in its present form: the present version of Order 84 R</w:t>
      </w:r>
      <w:r w:rsidR="001E0F99">
        <w:rPr>
          <w:rFonts w:ascii="Times New Roman" w:hAnsi="Times New Roman" w:cs="Times New Roman"/>
          <w:sz w:val="24"/>
          <w:szCs w:val="24"/>
        </w:rPr>
        <w:t xml:space="preserve">ule </w:t>
      </w:r>
      <w:r w:rsidR="00A85CE2">
        <w:rPr>
          <w:rFonts w:ascii="Times New Roman" w:hAnsi="Times New Roman" w:cs="Times New Roman"/>
          <w:sz w:val="24"/>
          <w:szCs w:val="24"/>
        </w:rPr>
        <w:t>21 ‘</w:t>
      </w:r>
      <w:r w:rsidR="00A85CE2">
        <w:rPr>
          <w:rFonts w:ascii="Times New Roman" w:hAnsi="Times New Roman" w:cs="Times New Roman"/>
          <w:i/>
          <w:sz w:val="24"/>
          <w:szCs w:val="24"/>
        </w:rPr>
        <w:t xml:space="preserve">is framed in terms which indicate </w:t>
      </w:r>
      <w:r w:rsidR="00A85CE2">
        <w:rPr>
          <w:rFonts w:ascii="Times New Roman" w:hAnsi="Times New Roman" w:cs="Times New Roman"/>
          <w:i/>
          <w:sz w:val="24"/>
          <w:szCs w:val="24"/>
        </w:rPr>
        <w:lastRenderedPageBreak/>
        <w:t xml:space="preserve">a clear intent to reduce delay and to further limit time periods which previously existed for applications for judicial review’ </w:t>
      </w:r>
      <w:r w:rsidR="00A85CE2">
        <w:rPr>
          <w:rFonts w:ascii="Times New Roman" w:hAnsi="Times New Roman" w:cs="Times New Roman"/>
          <w:sz w:val="24"/>
          <w:szCs w:val="24"/>
        </w:rPr>
        <w:t>(</w:t>
      </w:r>
      <w:proofErr w:type="spellStart"/>
      <w:r w:rsidR="00A85CE2">
        <w:rPr>
          <w:rFonts w:ascii="Times New Roman" w:hAnsi="Times New Roman" w:cs="Times New Roman"/>
          <w:i/>
          <w:sz w:val="24"/>
          <w:szCs w:val="24"/>
        </w:rPr>
        <w:t>Heaphy</w:t>
      </w:r>
      <w:proofErr w:type="spellEnd"/>
      <w:r w:rsidR="00A85CE2">
        <w:rPr>
          <w:rFonts w:ascii="Times New Roman" w:hAnsi="Times New Roman" w:cs="Times New Roman"/>
          <w:i/>
          <w:sz w:val="24"/>
          <w:szCs w:val="24"/>
        </w:rPr>
        <w:t xml:space="preserve"> v. </w:t>
      </w:r>
      <w:r w:rsidR="0065365E">
        <w:rPr>
          <w:rFonts w:ascii="Times New Roman" w:hAnsi="Times New Roman" w:cs="Times New Roman"/>
          <w:i/>
          <w:sz w:val="24"/>
          <w:szCs w:val="24"/>
        </w:rPr>
        <w:t xml:space="preserve">Governor of Cork Prison </w:t>
      </w:r>
      <w:r w:rsidR="00A85CE2">
        <w:rPr>
          <w:rFonts w:ascii="Times New Roman" w:hAnsi="Times New Roman" w:cs="Times New Roman"/>
          <w:sz w:val="24"/>
          <w:szCs w:val="24"/>
        </w:rPr>
        <w:t>at para. 99 per Whelan J.).</w:t>
      </w:r>
    </w:p>
    <w:p w14:paraId="1940B021" w14:textId="77777777" w:rsidR="009D24E3" w:rsidRDefault="009D24E3" w:rsidP="009D24E3">
      <w:pPr>
        <w:pStyle w:val="ListParagraph"/>
        <w:spacing w:before="240" w:line="48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  </w:t>
      </w:r>
    </w:p>
    <w:p w14:paraId="61B1A5A6" w14:textId="5603C419" w:rsidR="009D24E3" w:rsidRDefault="009D24E3" w:rsidP="00271DE1">
      <w:pPr>
        <w:pStyle w:val="ListParagraph"/>
        <w:numPr>
          <w:ilvl w:val="0"/>
          <w:numId w:val="20"/>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Before it can extend time, the court must be satisfied that the reasons so given</w:t>
      </w:r>
      <w:r w:rsidR="000930D3">
        <w:rPr>
          <w:rFonts w:ascii="Times New Roman" w:hAnsi="Times New Roman" w:cs="Times New Roman"/>
          <w:sz w:val="24"/>
          <w:szCs w:val="24"/>
        </w:rPr>
        <w:t xml:space="preserve"> </w:t>
      </w:r>
      <w:r>
        <w:rPr>
          <w:rFonts w:ascii="Times New Roman" w:hAnsi="Times New Roman" w:cs="Times New Roman"/>
          <w:sz w:val="24"/>
          <w:szCs w:val="24"/>
        </w:rPr>
        <w:t>explain and objectively justify the delay in bringing the application</w:t>
      </w:r>
      <w:r w:rsidR="000930D3">
        <w:rPr>
          <w:rFonts w:ascii="Times New Roman" w:hAnsi="Times New Roman" w:cs="Times New Roman"/>
          <w:sz w:val="24"/>
          <w:szCs w:val="24"/>
        </w:rPr>
        <w:t xml:space="preserve"> and are sufficient to justify the court in exercising its discretion in favour of the applicant</w:t>
      </w:r>
      <w:r>
        <w:rPr>
          <w:rFonts w:ascii="Times New Roman" w:hAnsi="Times New Roman" w:cs="Times New Roman"/>
          <w:sz w:val="24"/>
          <w:szCs w:val="24"/>
        </w:rPr>
        <w:t xml:space="preserve"> (</w:t>
      </w:r>
      <w:r w:rsidR="00951724">
        <w:rPr>
          <w:rFonts w:ascii="Times New Roman" w:hAnsi="Times New Roman" w:cs="Times New Roman"/>
          <w:i/>
          <w:sz w:val="24"/>
          <w:szCs w:val="24"/>
        </w:rPr>
        <w:t>O’Donnell v. Dun Laoghaire</w:t>
      </w:r>
      <w:r w:rsidR="00361888">
        <w:rPr>
          <w:rFonts w:ascii="Times New Roman" w:hAnsi="Times New Roman" w:cs="Times New Roman"/>
          <w:i/>
          <w:sz w:val="24"/>
          <w:szCs w:val="24"/>
        </w:rPr>
        <w:t xml:space="preserve"> Corporation </w:t>
      </w:r>
      <w:r w:rsidR="00361888">
        <w:rPr>
          <w:rFonts w:ascii="Times New Roman" w:hAnsi="Times New Roman" w:cs="Times New Roman"/>
          <w:sz w:val="24"/>
          <w:szCs w:val="24"/>
        </w:rPr>
        <w:t>[1991] ILRM 301,</w:t>
      </w:r>
      <w:r w:rsidR="00CA3DF5">
        <w:rPr>
          <w:rFonts w:ascii="Times New Roman" w:hAnsi="Times New Roman" w:cs="Times New Roman"/>
          <w:sz w:val="24"/>
          <w:szCs w:val="24"/>
        </w:rPr>
        <w:t xml:space="preserve"> at p.</w:t>
      </w:r>
      <w:r w:rsidR="00361888">
        <w:rPr>
          <w:rFonts w:ascii="Times New Roman" w:hAnsi="Times New Roman" w:cs="Times New Roman"/>
          <w:sz w:val="24"/>
          <w:szCs w:val="24"/>
        </w:rPr>
        <w:t xml:space="preserve"> 315</w:t>
      </w:r>
      <w:r w:rsidR="0065365E">
        <w:rPr>
          <w:rFonts w:ascii="Times New Roman" w:hAnsi="Times New Roman" w:cs="Times New Roman"/>
          <w:sz w:val="24"/>
          <w:szCs w:val="24"/>
        </w:rPr>
        <w:t xml:space="preserve"> to </w:t>
      </w:r>
      <w:r w:rsidR="00361888">
        <w:rPr>
          <w:rFonts w:ascii="Times New Roman" w:hAnsi="Times New Roman" w:cs="Times New Roman"/>
          <w:sz w:val="24"/>
          <w:szCs w:val="24"/>
        </w:rPr>
        <w:t xml:space="preserve">316;  </w:t>
      </w:r>
      <w:r w:rsidR="00361888">
        <w:rPr>
          <w:rFonts w:ascii="Times New Roman" w:hAnsi="Times New Roman" w:cs="Times New Roman"/>
          <w:i/>
          <w:sz w:val="24"/>
          <w:szCs w:val="24"/>
        </w:rPr>
        <w:t xml:space="preserve">MO’S </w:t>
      </w:r>
      <w:r w:rsidR="00361888">
        <w:rPr>
          <w:rFonts w:ascii="Times New Roman" w:hAnsi="Times New Roman" w:cs="Times New Roman"/>
          <w:sz w:val="24"/>
          <w:szCs w:val="24"/>
        </w:rPr>
        <w:t>at para. 60</w:t>
      </w:r>
      <w:r>
        <w:rPr>
          <w:rFonts w:ascii="Times New Roman" w:hAnsi="Times New Roman" w:cs="Times New Roman"/>
          <w:sz w:val="24"/>
          <w:szCs w:val="24"/>
        </w:rPr>
        <w:t>).  In this regard the addition of the word ‘</w:t>
      </w:r>
      <w:r>
        <w:rPr>
          <w:rFonts w:ascii="Times New Roman" w:hAnsi="Times New Roman" w:cs="Times New Roman"/>
          <w:i/>
          <w:sz w:val="24"/>
          <w:szCs w:val="24"/>
        </w:rPr>
        <w:t>sufficient’</w:t>
      </w:r>
      <w:r>
        <w:rPr>
          <w:rFonts w:ascii="Times New Roman" w:hAnsi="Times New Roman" w:cs="Times New Roman"/>
          <w:sz w:val="24"/>
          <w:szCs w:val="24"/>
        </w:rPr>
        <w:t xml:space="preserve"> to the ‘</w:t>
      </w:r>
      <w:r>
        <w:rPr>
          <w:rFonts w:ascii="Times New Roman" w:hAnsi="Times New Roman" w:cs="Times New Roman"/>
          <w:i/>
          <w:sz w:val="24"/>
          <w:szCs w:val="24"/>
        </w:rPr>
        <w:t xml:space="preserve">good reason’ </w:t>
      </w:r>
      <w:r>
        <w:rPr>
          <w:rFonts w:ascii="Times New Roman" w:hAnsi="Times New Roman" w:cs="Times New Roman"/>
          <w:sz w:val="24"/>
          <w:szCs w:val="24"/>
        </w:rPr>
        <w:t>previously required by the rule</w:t>
      </w:r>
      <w:r w:rsidR="00FE0059">
        <w:rPr>
          <w:rFonts w:ascii="Times New Roman" w:hAnsi="Times New Roman" w:cs="Times New Roman"/>
          <w:sz w:val="24"/>
          <w:szCs w:val="24"/>
        </w:rPr>
        <w:t xml:space="preserve"> will not in most cases </w:t>
      </w:r>
      <w:r>
        <w:rPr>
          <w:rFonts w:ascii="Times New Roman" w:hAnsi="Times New Roman" w:cs="Times New Roman"/>
          <w:sz w:val="24"/>
          <w:szCs w:val="24"/>
        </w:rPr>
        <w:t>add to the pre-existing test (</w:t>
      </w:r>
      <w:r w:rsidR="00FE0059">
        <w:rPr>
          <w:rFonts w:ascii="Times New Roman" w:hAnsi="Times New Roman" w:cs="Times New Roman"/>
          <w:i/>
          <w:sz w:val="24"/>
          <w:szCs w:val="24"/>
        </w:rPr>
        <w:t xml:space="preserve">MO’S </w:t>
      </w:r>
      <w:r w:rsidR="00FE0059">
        <w:rPr>
          <w:rFonts w:ascii="Times New Roman" w:hAnsi="Times New Roman" w:cs="Times New Roman"/>
          <w:sz w:val="24"/>
          <w:szCs w:val="24"/>
        </w:rPr>
        <w:t>at para. 60</w:t>
      </w:r>
      <w:r>
        <w:rPr>
          <w:rFonts w:ascii="Times New Roman" w:hAnsi="Times New Roman" w:cs="Times New Roman"/>
          <w:sz w:val="24"/>
          <w:szCs w:val="24"/>
        </w:rPr>
        <w:t>)</w:t>
      </w:r>
      <w:r w:rsidR="00FE0059">
        <w:rPr>
          <w:rFonts w:ascii="Times New Roman" w:hAnsi="Times New Roman" w:cs="Times New Roman"/>
          <w:sz w:val="24"/>
          <w:szCs w:val="24"/>
        </w:rPr>
        <w:t xml:space="preserve">, although it may be relevant in </w:t>
      </w:r>
      <w:r w:rsidR="009541E4">
        <w:rPr>
          <w:rFonts w:ascii="Times New Roman" w:hAnsi="Times New Roman" w:cs="Times New Roman"/>
          <w:sz w:val="24"/>
          <w:szCs w:val="24"/>
        </w:rPr>
        <w:t>situations</w:t>
      </w:r>
      <w:r w:rsidR="00FE0059">
        <w:rPr>
          <w:rFonts w:ascii="Times New Roman" w:hAnsi="Times New Roman" w:cs="Times New Roman"/>
          <w:sz w:val="24"/>
          <w:szCs w:val="24"/>
        </w:rPr>
        <w:t xml:space="preserve"> where the explanation given is </w:t>
      </w:r>
      <w:r w:rsidR="00506392">
        <w:rPr>
          <w:rFonts w:ascii="Times New Roman" w:hAnsi="Times New Roman" w:cs="Times New Roman"/>
          <w:sz w:val="24"/>
          <w:szCs w:val="24"/>
        </w:rPr>
        <w:t xml:space="preserve">in theory </w:t>
      </w:r>
      <w:r w:rsidR="00FE0059">
        <w:rPr>
          <w:rFonts w:ascii="Times New Roman" w:hAnsi="Times New Roman" w:cs="Times New Roman"/>
          <w:sz w:val="24"/>
          <w:szCs w:val="24"/>
        </w:rPr>
        <w:t>a good one</w:t>
      </w:r>
      <w:r w:rsidR="00506392">
        <w:rPr>
          <w:rFonts w:ascii="Times New Roman" w:hAnsi="Times New Roman" w:cs="Times New Roman"/>
          <w:sz w:val="24"/>
          <w:szCs w:val="24"/>
        </w:rPr>
        <w:t>,</w:t>
      </w:r>
      <w:r w:rsidR="00EA4E42">
        <w:rPr>
          <w:rFonts w:ascii="Times New Roman" w:hAnsi="Times New Roman" w:cs="Times New Roman"/>
          <w:sz w:val="24"/>
          <w:szCs w:val="24"/>
        </w:rPr>
        <w:t xml:space="preserve"> </w:t>
      </w:r>
      <w:r w:rsidR="00FE0059">
        <w:rPr>
          <w:rFonts w:ascii="Times New Roman" w:hAnsi="Times New Roman" w:cs="Times New Roman"/>
          <w:sz w:val="24"/>
          <w:szCs w:val="24"/>
        </w:rPr>
        <w:t xml:space="preserve">but the evidence adduced in support of it is insufficient </w:t>
      </w:r>
      <w:r w:rsidR="00EA4E42">
        <w:rPr>
          <w:rFonts w:ascii="Times New Roman" w:hAnsi="Times New Roman" w:cs="Times New Roman"/>
          <w:sz w:val="24"/>
          <w:szCs w:val="24"/>
        </w:rPr>
        <w:t xml:space="preserve">to sustain it </w:t>
      </w:r>
      <w:r w:rsidR="00FE0059">
        <w:rPr>
          <w:rFonts w:ascii="Times New Roman" w:hAnsi="Times New Roman" w:cs="Times New Roman"/>
          <w:sz w:val="24"/>
          <w:szCs w:val="24"/>
        </w:rPr>
        <w:t>(</w:t>
      </w:r>
      <w:r w:rsidR="00FE0059">
        <w:rPr>
          <w:rFonts w:ascii="Times New Roman" w:hAnsi="Times New Roman" w:cs="Times New Roman"/>
          <w:i/>
          <w:sz w:val="24"/>
          <w:szCs w:val="24"/>
        </w:rPr>
        <w:t>A</w:t>
      </w:r>
      <w:r w:rsidR="00023F3C">
        <w:rPr>
          <w:rFonts w:ascii="Times New Roman" w:hAnsi="Times New Roman" w:cs="Times New Roman"/>
          <w:i/>
          <w:sz w:val="24"/>
          <w:szCs w:val="24"/>
        </w:rPr>
        <w:t xml:space="preserve">B v. XY </w:t>
      </w:r>
      <w:r w:rsidR="00023F3C">
        <w:rPr>
          <w:rFonts w:ascii="Times New Roman" w:hAnsi="Times New Roman" w:cs="Times New Roman"/>
          <w:sz w:val="24"/>
          <w:szCs w:val="24"/>
        </w:rPr>
        <w:t>at para. 44).</w:t>
      </w:r>
    </w:p>
    <w:p w14:paraId="772CABF7" w14:textId="77777777" w:rsidR="009D24E3" w:rsidRPr="009D24E3" w:rsidRDefault="009D24E3" w:rsidP="009D24E3">
      <w:pPr>
        <w:pStyle w:val="ListParagraph"/>
        <w:rPr>
          <w:rFonts w:ascii="Times New Roman" w:hAnsi="Times New Roman" w:cs="Times New Roman"/>
          <w:sz w:val="24"/>
          <w:szCs w:val="24"/>
        </w:rPr>
      </w:pPr>
    </w:p>
    <w:p w14:paraId="07CE1AB2" w14:textId="77777777" w:rsidR="009D24E3" w:rsidRDefault="000930D3" w:rsidP="00271DE1">
      <w:pPr>
        <w:pStyle w:val="ListParagraph"/>
        <w:numPr>
          <w:ilvl w:val="0"/>
          <w:numId w:val="20"/>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In conducting that exercise the court must take account of all relevant circumstances, including the decision that is sought to be challenged, the nature of the claim that it is invalid and ‘</w:t>
      </w:r>
      <w:r>
        <w:rPr>
          <w:rFonts w:ascii="Times New Roman" w:hAnsi="Times New Roman" w:cs="Times New Roman"/>
          <w:i/>
          <w:sz w:val="24"/>
          <w:szCs w:val="24"/>
        </w:rPr>
        <w:t>any relevant facts and circumstances pertaining to the parties’</w:t>
      </w:r>
      <w:r>
        <w:rPr>
          <w:rFonts w:ascii="Times New Roman" w:hAnsi="Times New Roman" w:cs="Times New Roman"/>
          <w:sz w:val="24"/>
          <w:szCs w:val="24"/>
        </w:rPr>
        <w:t xml:space="preserve">  (</w:t>
      </w:r>
      <w:r w:rsidR="00650DA4">
        <w:rPr>
          <w:rFonts w:ascii="Times New Roman" w:hAnsi="Times New Roman" w:cs="Times New Roman"/>
          <w:i/>
          <w:sz w:val="24"/>
          <w:szCs w:val="24"/>
        </w:rPr>
        <w:t xml:space="preserve">MO’S </w:t>
      </w:r>
      <w:r w:rsidR="00650DA4">
        <w:rPr>
          <w:rFonts w:ascii="Times New Roman" w:hAnsi="Times New Roman" w:cs="Times New Roman"/>
          <w:sz w:val="24"/>
          <w:szCs w:val="24"/>
        </w:rPr>
        <w:t>at para. 60</w:t>
      </w:r>
      <w:r>
        <w:rPr>
          <w:rFonts w:ascii="Times New Roman" w:hAnsi="Times New Roman" w:cs="Times New Roman"/>
          <w:sz w:val="24"/>
          <w:szCs w:val="24"/>
        </w:rPr>
        <w:t>)</w:t>
      </w:r>
      <w:r w:rsidR="00650DA4">
        <w:rPr>
          <w:rFonts w:ascii="Times New Roman" w:hAnsi="Times New Roman" w:cs="Times New Roman"/>
          <w:sz w:val="24"/>
          <w:szCs w:val="24"/>
        </w:rPr>
        <w:t>.</w:t>
      </w:r>
      <w:r w:rsidR="00023F3C">
        <w:rPr>
          <w:rFonts w:ascii="Times New Roman" w:hAnsi="Times New Roman" w:cs="Times New Roman"/>
          <w:sz w:val="24"/>
          <w:szCs w:val="24"/>
        </w:rPr>
        <w:t xml:space="preserve">  In applying the factors so found, the essential function of the court is to engage in a ‘</w:t>
      </w:r>
      <w:r w:rsidR="00023F3C">
        <w:rPr>
          <w:rFonts w:ascii="Times New Roman" w:hAnsi="Times New Roman" w:cs="Times New Roman"/>
          <w:i/>
          <w:sz w:val="24"/>
          <w:szCs w:val="24"/>
        </w:rPr>
        <w:t>balancing exercise’</w:t>
      </w:r>
      <w:r w:rsidR="00023F3C">
        <w:rPr>
          <w:rFonts w:ascii="Times New Roman" w:hAnsi="Times New Roman" w:cs="Times New Roman"/>
          <w:sz w:val="24"/>
          <w:szCs w:val="24"/>
        </w:rPr>
        <w:t xml:space="preserve"> (</w:t>
      </w:r>
      <w:r w:rsidR="00023F3C">
        <w:rPr>
          <w:rFonts w:ascii="Times New Roman" w:hAnsi="Times New Roman" w:cs="Times New Roman"/>
          <w:i/>
          <w:sz w:val="24"/>
          <w:szCs w:val="24"/>
        </w:rPr>
        <w:t xml:space="preserve">AB v. XY </w:t>
      </w:r>
      <w:r w:rsidR="00023F3C">
        <w:rPr>
          <w:rFonts w:ascii="Times New Roman" w:hAnsi="Times New Roman" w:cs="Times New Roman"/>
          <w:sz w:val="24"/>
          <w:szCs w:val="24"/>
        </w:rPr>
        <w:t>at para. 46).</w:t>
      </w:r>
    </w:p>
    <w:p w14:paraId="08E2CACD" w14:textId="77777777" w:rsidR="00650DA4" w:rsidRPr="00650DA4" w:rsidRDefault="00650DA4" w:rsidP="00650DA4">
      <w:pPr>
        <w:pStyle w:val="ListParagraph"/>
        <w:rPr>
          <w:rFonts w:ascii="Times New Roman" w:hAnsi="Times New Roman" w:cs="Times New Roman"/>
          <w:sz w:val="24"/>
          <w:szCs w:val="24"/>
        </w:rPr>
      </w:pPr>
    </w:p>
    <w:p w14:paraId="7F8ACD6C" w14:textId="0F5A0774" w:rsidR="00650DA4" w:rsidRDefault="00650DA4" w:rsidP="00271DE1">
      <w:pPr>
        <w:pStyle w:val="ListParagraph"/>
        <w:numPr>
          <w:ilvl w:val="0"/>
          <w:numId w:val="20"/>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In this regard, factors of which account may be taken will include the nature of the order or actions the subject of the application, the conduct of the applicant, the conduct of the respondent, the effect of the decision </w:t>
      </w:r>
      <w:r>
        <w:rPr>
          <w:rFonts w:ascii="Times New Roman" w:hAnsi="Times New Roman" w:cs="Times New Roman"/>
          <w:sz w:val="24"/>
          <w:szCs w:val="24"/>
        </w:rPr>
        <w:lastRenderedPageBreak/>
        <w:t>it is sought to challenge</w:t>
      </w:r>
      <w:r w:rsidR="00A95EA5">
        <w:rPr>
          <w:rFonts w:ascii="Times New Roman" w:hAnsi="Times New Roman" w:cs="Times New Roman"/>
          <w:sz w:val="24"/>
          <w:szCs w:val="24"/>
        </w:rPr>
        <w:t xml:space="preserve">, </w:t>
      </w:r>
      <w:r>
        <w:rPr>
          <w:rFonts w:ascii="Times New Roman" w:hAnsi="Times New Roman" w:cs="Times New Roman"/>
          <w:sz w:val="24"/>
          <w:szCs w:val="24"/>
        </w:rPr>
        <w:t>any steps taken by the parties subsequent to that decision, and the public policy that proceedings relating to the domain of public law take place promptly except where good reason is furnished (</w:t>
      </w:r>
      <w:r>
        <w:rPr>
          <w:rFonts w:ascii="Times New Roman" w:hAnsi="Times New Roman" w:cs="Times New Roman"/>
          <w:i/>
          <w:sz w:val="24"/>
          <w:szCs w:val="24"/>
        </w:rPr>
        <w:t>De</w:t>
      </w:r>
      <w:r w:rsidR="00C01235">
        <w:rPr>
          <w:rFonts w:ascii="Times New Roman" w:hAnsi="Times New Roman" w:cs="Times New Roman"/>
          <w:i/>
          <w:sz w:val="24"/>
          <w:szCs w:val="24"/>
        </w:rPr>
        <w:t xml:space="preserve"> Róiste</w:t>
      </w:r>
      <w:r>
        <w:rPr>
          <w:rFonts w:ascii="Times New Roman" w:hAnsi="Times New Roman" w:cs="Times New Roman"/>
          <w:i/>
          <w:sz w:val="24"/>
          <w:szCs w:val="24"/>
        </w:rPr>
        <w:t xml:space="preserve"> v. Minister for Defence </w:t>
      </w:r>
      <w:r>
        <w:rPr>
          <w:rFonts w:ascii="Times New Roman" w:hAnsi="Times New Roman" w:cs="Times New Roman"/>
          <w:sz w:val="24"/>
          <w:szCs w:val="24"/>
        </w:rPr>
        <w:t>[2001] 1 IR 190,</w:t>
      </w:r>
      <w:r w:rsidR="001137D8">
        <w:rPr>
          <w:rFonts w:ascii="Times New Roman" w:hAnsi="Times New Roman" w:cs="Times New Roman"/>
          <w:sz w:val="24"/>
          <w:szCs w:val="24"/>
        </w:rPr>
        <w:t xml:space="preserve"> at p.</w:t>
      </w:r>
      <w:r>
        <w:rPr>
          <w:rFonts w:ascii="Times New Roman" w:hAnsi="Times New Roman" w:cs="Times New Roman"/>
          <w:sz w:val="24"/>
          <w:szCs w:val="24"/>
        </w:rPr>
        <w:t xml:space="preserve"> 208 per Denham J.)</w:t>
      </w:r>
      <w:r w:rsidR="0061317C">
        <w:rPr>
          <w:rFonts w:ascii="Times New Roman" w:hAnsi="Times New Roman" w:cs="Times New Roman"/>
          <w:sz w:val="24"/>
          <w:szCs w:val="24"/>
        </w:rPr>
        <w:t>.</w:t>
      </w:r>
      <w:r w:rsidR="00394F51">
        <w:rPr>
          <w:rFonts w:ascii="Times New Roman" w:hAnsi="Times New Roman" w:cs="Times New Roman"/>
          <w:sz w:val="24"/>
          <w:szCs w:val="24"/>
        </w:rPr>
        <w:t xml:space="preserve">  The ‘</w:t>
      </w:r>
      <w:r w:rsidR="00394F51">
        <w:rPr>
          <w:rFonts w:ascii="Times New Roman" w:hAnsi="Times New Roman" w:cs="Times New Roman"/>
          <w:i/>
          <w:sz w:val="24"/>
          <w:szCs w:val="24"/>
        </w:rPr>
        <w:t>blameworthiness’</w:t>
      </w:r>
      <w:r w:rsidR="00394F51">
        <w:rPr>
          <w:rFonts w:ascii="Times New Roman" w:hAnsi="Times New Roman" w:cs="Times New Roman"/>
          <w:sz w:val="24"/>
          <w:szCs w:val="24"/>
        </w:rPr>
        <w:t xml:space="preserve"> of the applicant is </w:t>
      </w:r>
      <w:r w:rsidR="00CA6DAA">
        <w:rPr>
          <w:rFonts w:ascii="Times New Roman" w:hAnsi="Times New Roman" w:cs="Times New Roman"/>
          <w:sz w:val="24"/>
          <w:szCs w:val="24"/>
        </w:rPr>
        <w:t>relevant</w:t>
      </w:r>
      <w:r w:rsidR="00394F51">
        <w:rPr>
          <w:rFonts w:ascii="Times New Roman" w:hAnsi="Times New Roman" w:cs="Times New Roman"/>
          <w:sz w:val="24"/>
          <w:szCs w:val="24"/>
        </w:rPr>
        <w:t xml:space="preserve">, albeit </w:t>
      </w:r>
      <w:r w:rsidR="00CA6DAA">
        <w:rPr>
          <w:rFonts w:ascii="Times New Roman" w:hAnsi="Times New Roman" w:cs="Times New Roman"/>
          <w:sz w:val="24"/>
          <w:szCs w:val="24"/>
        </w:rPr>
        <w:t xml:space="preserve">as </w:t>
      </w:r>
      <w:r w:rsidR="00394F51">
        <w:rPr>
          <w:rFonts w:ascii="Times New Roman" w:hAnsi="Times New Roman" w:cs="Times New Roman"/>
          <w:sz w:val="24"/>
          <w:szCs w:val="24"/>
        </w:rPr>
        <w:t>only one such factor to be weighed in the balance (</w:t>
      </w:r>
      <w:r w:rsidR="00394F51">
        <w:rPr>
          <w:rFonts w:ascii="Times New Roman" w:hAnsi="Times New Roman" w:cs="Times New Roman"/>
          <w:i/>
          <w:sz w:val="24"/>
          <w:szCs w:val="24"/>
        </w:rPr>
        <w:t xml:space="preserve">Kelly v. Leitrim County Council </w:t>
      </w:r>
      <w:r w:rsidR="00394F51">
        <w:rPr>
          <w:rFonts w:ascii="Times New Roman" w:hAnsi="Times New Roman" w:cs="Times New Roman"/>
          <w:sz w:val="24"/>
          <w:szCs w:val="24"/>
        </w:rPr>
        <w:t>[2005] IEHC 11, [2005] 2 IR 404 at para. 19(d)).</w:t>
      </w:r>
    </w:p>
    <w:p w14:paraId="0AF795DC" w14:textId="77777777" w:rsidR="000930D3" w:rsidRPr="000930D3" w:rsidRDefault="000930D3" w:rsidP="000930D3">
      <w:pPr>
        <w:pStyle w:val="ListParagraph"/>
        <w:rPr>
          <w:rFonts w:ascii="Times New Roman" w:hAnsi="Times New Roman" w:cs="Times New Roman"/>
          <w:sz w:val="24"/>
          <w:szCs w:val="24"/>
        </w:rPr>
      </w:pPr>
    </w:p>
    <w:p w14:paraId="573CC282" w14:textId="25B3BA3D" w:rsidR="000930D3" w:rsidRDefault="000930D3" w:rsidP="00271DE1">
      <w:pPr>
        <w:pStyle w:val="ListParagraph"/>
        <w:numPr>
          <w:ilvl w:val="0"/>
          <w:numId w:val="20"/>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I</w:t>
      </w:r>
      <w:r w:rsidR="009541E4">
        <w:rPr>
          <w:rFonts w:ascii="Times New Roman" w:hAnsi="Times New Roman" w:cs="Times New Roman"/>
          <w:sz w:val="24"/>
          <w:szCs w:val="24"/>
        </w:rPr>
        <w:t xml:space="preserve">t follows that </w:t>
      </w:r>
      <w:r w:rsidR="00D362C1">
        <w:rPr>
          <w:rFonts w:ascii="Times New Roman" w:hAnsi="Times New Roman" w:cs="Times New Roman"/>
          <w:sz w:val="24"/>
          <w:szCs w:val="24"/>
        </w:rPr>
        <w:t>t</w:t>
      </w:r>
      <w:r>
        <w:rPr>
          <w:rFonts w:ascii="Times New Roman" w:hAnsi="Times New Roman" w:cs="Times New Roman"/>
          <w:sz w:val="24"/>
          <w:szCs w:val="24"/>
        </w:rPr>
        <w:t xml:space="preserve">he court may be required to balance the rights of an applicant with those of a respondent or notice party, taking into account also the </w:t>
      </w:r>
      <w:r w:rsidR="00442274">
        <w:rPr>
          <w:rFonts w:ascii="Times New Roman" w:hAnsi="Times New Roman" w:cs="Times New Roman"/>
          <w:sz w:val="24"/>
          <w:szCs w:val="24"/>
        </w:rPr>
        <w:t>prejudice to either consequent upon the failure of the applicant to proceed to make its application within the time fixed by the rules</w:t>
      </w:r>
      <w:r w:rsidR="001F2BAE">
        <w:rPr>
          <w:rFonts w:ascii="Times New Roman" w:hAnsi="Times New Roman" w:cs="Times New Roman"/>
          <w:sz w:val="24"/>
          <w:szCs w:val="24"/>
        </w:rPr>
        <w:t>.  This</w:t>
      </w:r>
      <w:r w:rsidR="00C23717">
        <w:rPr>
          <w:rFonts w:ascii="Times New Roman" w:hAnsi="Times New Roman" w:cs="Times New Roman"/>
          <w:sz w:val="24"/>
          <w:szCs w:val="24"/>
        </w:rPr>
        <w:t>, in particular,</w:t>
      </w:r>
      <w:r w:rsidR="001F2BAE">
        <w:rPr>
          <w:rFonts w:ascii="Times New Roman" w:hAnsi="Times New Roman" w:cs="Times New Roman"/>
          <w:sz w:val="24"/>
          <w:szCs w:val="24"/>
        </w:rPr>
        <w:t xml:space="preserve"> requires the court to take account of the effect of the extension of time upon a third party affected by the decision in question (see </w:t>
      </w:r>
      <w:r w:rsidR="001F2BAE">
        <w:rPr>
          <w:rFonts w:ascii="Times New Roman" w:hAnsi="Times New Roman" w:cs="Times New Roman"/>
          <w:i/>
          <w:sz w:val="24"/>
          <w:szCs w:val="24"/>
        </w:rPr>
        <w:t xml:space="preserve">AB v. XY </w:t>
      </w:r>
      <w:r w:rsidR="001F2BAE">
        <w:rPr>
          <w:rFonts w:ascii="Times New Roman" w:hAnsi="Times New Roman" w:cs="Times New Roman"/>
          <w:sz w:val="24"/>
          <w:szCs w:val="24"/>
        </w:rPr>
        <w:t>at para. 47).</w:t>
      </w:r>
    </w:p>
    <w:p w14:paraId="45D9C56C" w14:textId="77777777" w:rsidR="00BF0A2E" w:rsidRPr="00BF0A2E" w:rsidRDefault="00BF0A2E" w:rsidP="00BF0A2E">
      <w:pPr>
        <w:pStyle w:val="ListParagraph"/>
        <w:rPr>
          <w:rFonts w:ascii="Times New Roman" w:hAnsi="Times New Roman" w:cs="Times New Roman"/>
          <w:sz w:val="24"/>
          <w:szCs w:val="24"/>
        </w:rPr>
      </w:pPr>
    </w:p>
    <w:p w14:paraId="50FEC7CC" w14:textId="77777777" w:rsidR="00361888" w:rsidRPr="00361888" w:rsidRDefault="00361888" w:rsidP="00361888">
      <w:pPr>
        <w:pStyle w:val="ListParagraph"/>
        <w:rPr>
          <w:rFonts w:ascii="Times New Roman" w:hAnsi="Times New Roman" w:cs="Times New Roman"/>
          <w:sz w:val="24"/>
          <w:szCs w:val="24"/>
        </w:rPr>
      </w:pPr>
    </w:p>
    <w:p w14:paraId="5943BD64" w14:textId="6014FB39" w:rsidR="00361888" w:rsidRDefault="00361888" w:rsidP="00271DE1">
      <w:pPr>
        <w:pStyle w:val="ListParagraph"/>
        <w:numPr>
          <w:ilvl w:val="0"/>
          <w:numId w:val="20"/>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It is ‘</w:t>
      </w:r>
      <w:r>
        <w:rPr>
          <w:rFonts w:ascii="Times New Roman" w:hAnsi="Times New Roman" w:cs="Times New Roman"/>
          <w:i/>
          <w:sz w:val="24"/>
          <w:szCs w:val="24"/>
        </w:rPr>
        <w:t>probable that in most instances where a court has been satisfied of good and sufficient reason to extend time it will also be in a position to make a positive finding under sub-rule (3)(b) in relation to the circumstances which resulted in the failure to apply within the three month period’</w:t>
      </w:r>
      <w:r>
        <w:rPr>
          <w:rFonts w:ascii="Times New Roman" w:hAnsi="Times New Roman" w:cs="Times New Roman"/>
          <w:sz w:val="24"/>
          <w:szCs w:val="24"/>
        </w:rPr>
        <w:t xml:space="preserve"> (</w:t>
      </w:r>
      <w:r>
        <w:rPr>
          <w:rFonts w:ascii="Times New Roman" w:hAnsi="Times New Roman" w:cs="Times New Roman"/>
          <w:i/>
          <w:sz w:val="24"/>
          <w:szCs w:val="24"/>
        </w:rPr>
        <w:t xml:space="preserve">MO’S </w:t>
      </w:r>
      <w:r>
        <w:rPr>
          <w:rFonts w:ascii="Times New Roman" w:hAnsi="Times New Roman" w:cs="Times New Roman"/>
          <w:sz w:val="24"/>
          <w:szCs w:val="24"/>
        </w:rPr>
        <w:t>at para. 100).</w:t>
      </w:r>
    </w:p>
    <w:p w14:paraId="6BD6A136" w14:textId="4B3F6305" w:rsidR="00BF0A2E" w:rsidRDefault="00BF0A2E" w:rsidP="00BF0A2E">
      <w:pPr>
        <w:pStyle w:val="ListParagraph"/>
        <w:spacing w:before="240" w:line="48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 </w:t>
      </w:r>
    </w:p>
    <w:p w14:paraId="542C86E2" w14:textId="253E25DE" w:rsidR="00BF0A2E" w:rsidRPr="00BF0A2E" w:rsidRDefault="007F4A0B" w:rsidP="00BF0A2E">
      <w:pPr>
        <w:pStyle w:val="ListParagraph"/>
        <w:numPr>
          <w:ilvl w:val="0"/>
          <w:numId w:val="20"/>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That said, the rule clearly positions an inquiry as to whether the applicant had within its ‘</w:t>
      </w:r>
      <w:r>
        <w:rPr>
          <w:rFonts w:ascii="Times New Roman" w:hAnsi="Times New Roman" w:cs="Times New Roman"/>
          <w:i/>
          <w:sz w:val="24"/>
          <w:szCs w:val="24"/>
        </w:rPr>
        <w:t xml:space="preserve">control’ </w:t>
      </w:r>
      <w:r>
        <w:rPr>
          <w:rFonts w:ascii="Times New Roman" w:hAnsi="Times New Roman" w:cs="Times New Roman"/>
          <w:sz w:val="24"/>
          <w:szCs w:val="24"/>
        </w:rPr>
        <w:t>the effluxion of time: i</w:t>
      </w:r>
      <w:r w:rsidR="00BF0A2E">
        <w:rPr>
          <w:rFonts w:ascii="Times New Roman" w:hAnsi="Times New Roman" w:cs="Times New Roman"/>
          <w:sz w:val="24"/>
          <w:szCs w:val="24"/>
        </w:rPr>
        <w:t xml:space="preserve">t is clear from the rule that in addition to being satisfied that good and sufficient reasons exist for an extension of time, the court must be satisfied as a matter of fact that </w:t>
      </w:r>
      <w:r w:rsidR="00BF0A2E">
        <w:rPr>
          <w:rFonts w:ascii="Times New Roman" w:hAnsi="Times New Roman" w:cs="Times New Roman"/>
          <w:sz w:val="24"/>
          <w:szCs w:val="24"/>
        </w:rPr>
        <w:lastRenderedPageBreak/>
        <w:t xml:space="preserve">the circumstances which resulted in the delay were outside the control of the applicant (per Baker J. </w:t>
      </w:r>
      <w:r w:rsidR="00BF0A2E">
        <w:rPr>
          <w:rFonts w:ascii="Times New Roman" w:hAnsi="Times New Roman" w:cs="Times New Roman"/>
          <w:i/>
          <w:sz w:val="24"/>
          <w:szCs w:val="24"/>
        </w:rPr>
        <w:t xml:space="preserve">Irish Skydiving Club Ltd. v. Kilkenny County Council </w:t>
      </w:r>
      <w:r w:rsidR="00BF0A2E">
        <w:rPr>
          <w:rFonts w:ascii="Times New Roman" w:hAnsi="Times New Roman" w:cs="Times New Roman"/>
          <w:sz w:val="24"/>
          <w:szCs w:val="24"/>
        </w:rPr>
        <w:t>at para. 9).  Where a delay arises from circumstances which were within the control of the applicant, the court may not extend (</w:t>
      </w:r>
      <w:r w:rsidR="00BF0A2E" w:rsidRPr="00D711A0">
        <w:rPr>
          <w:rFonts w:ascii="Times New Roman" w:hAnsi="Times New Roman" w:cs="Times New Roman"/>
          <w:i/>
          <w:iCs/>
          <w:sz w:val="24"/>
          <w:szCs w:val="24"/>
        </w:rPr>
        <w:t>id</w:t>
      </w:r>
      <w:r w:rsidR="00BF0A2E">
        <w:rPr>
          <w:rFonts w:ascii="Times New Roman" w:hAnsi="Times New Roman" w:cs="Times New Roman"/>
          <w:sz w:val="24"/>
          <w:szCs w:val="24"/>
        </w:rPr>
        <w:t>. at para. 10).</w:t>
      </w:r>
    </w:p>
    <w:p w14:paraId="16C58ED4" w14:textId="77777777" w:rsidR="00442274" w:rsidRPr="00442274" w:rsidRDefault="00442274" w:rsidP="00442274">
      <w:pPr>
        <w:pStyle w:val="ListParagraph"/>
        <w:rPr>
          <w:rFonts w:ascii="Times New Roman" w:hAnsi="Times New Roman" w:cs="Times New Roman"/>
          <w:sz w:val="24"/>
          <w:szCs w:val="24"/>
        </w:rPr>
      </w:pPr>
    </w:p>
    <w:p w14:paraId="34052B44" w14:textId="16C4B210" w:rsidR="002627A0" w:rsidRDefault="00442274" w:rsidP="004F6CF8">
      <w:pPr>
        <w:pStyle w:val="ListParagraph"/>
        <w:numPr>
          <w:ilvl w:val="0"/>
          <w:numId w:val="20"/>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The court is also free to take account the interests underlying the proposed proceedings.  Commercial cases – in which the requirements of certainty may be particularly pressing and in which it is reasonable to assume that the parties are well resourced and in a position to readily obtain access to legal advice – may justify a stricter approach than in </w:t>
      </w:r>
      <w:r w:rsidR="00EA4E42">
        <w:rPr>
          <w:rFonts w:ascii="Times New Roman" w:hAnsi="Times New Roman" w:cs="Times New Roman"/>
          <w:sz w:val="24"/>
          <w:szCs w:val="24"/>
        </w:rPr>
        <w:t xml:space="preserve">other types of </w:t>
      </w:r>
      <w:r>
        <w:rPr>
          <w:rFonts w:ascii="Times New Roman" w:hAnsi="Times New Roman" w:cs="Times New Roman"/>
          <w:sz w:val="24"/>
          <w:szCs w:val="24"/>
        </w:rPr>
        <w:t>challenge</w:t>
      </w:r>
      <w:r w:rsidR="00EA4E42">
        <w:rPr>
          <w:rFonts w:ascii="Times New Roman" w:hAnsi="Times New Roman" w:cs="Times New Roman"/>
          <w:sz w:val="24"/>
          <w:szCs w:val="24"/>
        </w:rPr>
        <w:t xml:space="preserve"> (</w:t>
      </w:r>
      <w:r w:rsidR="00EA4E42">
        <w:rPr>
          <w:rFonts w:ascii="Times New Roman" w:hAnsi="Times New Roman" w:cs="Times New Roman"/>
          <w:i/>
          <w:sz w:val="24"/>
          <w:szCs w:val="24"/>
        </w:rPr>
        <w:t xml:space="preserve">MO’S </w:t>
      </w:r>
      <w:r w:rsidR="00EA4E42">
        <w:rPr>
          <w:rFonts w:ascii="Times New Roman" w:hAnsi="Times New Roman" w:cs="Times New Roman"/>
          <w:sz w:val="24"/>
          <w:szCs w:val="24"/>
        </w:rPr>
        <w:t>at para. 62</w:t>
      </w:r>
      <w:r w:rsidR="00F97BF0">
        <w:rPr>
          <w:rFonts w:ascii="Times New Roman" w:hAnsi="Times New Roman" w:cs="Times New Roman"/>
          <w:sz w:val="24"/>
          <w:szCs w:val="24"/>
        </w:rPr>
        <w:t xml:space="preserve">; Hogan and Morgan </w:t>
      </w:r>
      <w:r w:rsidR="00E82647">
        <w:rPr>
          <w:rFonts w:ascii="Times New Roman" w:hAnsi="Times New Roman" w:cs="Times New Roman"/>
          <w:sz w:val="24"/>
          <w:szCs w:val="24"/>
        </w:rPr>
        <w:t>‘</w:t>
      </w:r>
      <w:r w:rsidR="00F97BF0">
        <w:rPr>
          <w:rFonts w:ascii="Times New Roman" w:hAnsi="Times New Roman" w:cs="Times New Roman"/>
          <w:i/>
          <w:sz w:val="24"/>
          <w:szCs w:val="24"/>
        </w:rPr>
        <w:t>Administrative Law</w:t>
      </w:r>
      <w:r w:rsidR="00E82647">
        <w:rPr>
          <w:rFonts w:ascii="Times New Roman" w:hAnsi="Times New Roman" w:cs="Times New Roman"/>
          <w:i/>
          <w:sz w:val="24"/>
          <w:szCs w:val="24"/>
        </w:rPr>
        <w:t>’</w:t>
      </w:r>
      <w:r w:rsidR="00F97BF0">
        <w:rPr>
          <w:rFonts w:ascii="Times New Roman" w:hAnsi="Times New Roman" w:cs="Times New Roman"/>
          <w:i/>
          <w:sz w:val="24"/>
          <w:szCs w:val="24"/>
        </w:rPr>
        <w:t xml:space="preserve"> </w:t>
      </w:r>
      <w:r w:rsidR="00F97BF0">
        <w:rPr>
          <w:rFonts w:ascii="Times New Roman" w:hAnsi="Times New Roman" w:cs="Times New Roman"/>
          <w:sz w:val="24"/>
          <w:szCs w:val="24"/>
        </w:rPr>
        <w:t>(5</w:t>
      </w:r>
      <w:r w:rsidR="00F97BF0" w:rsidRPr="00F97BF0">
        <w:rPr>
          <w:rFonts w:ascii="Times New Roman" w:hAnsi="Times New Roman" w:cs="Times New Roman"/>
          <w:sz w:val="24"/>
          <w:szCs w:val="24"/>
          <w:vertAlign w:val="superscript"/>
        </w:rPr>
        <w:t>th</w:t>
      </w:r>
      <w:r w:rsidR="00F97BF0">
        <w:rPr>
          <w:rFonts w:ascii="Times New Roman" w:hAnsi="Times New Roman" w:cs="Times New Roman"/>
          <w:sz w:val="24"/>
          <w:szCs w:val="24"/>
        </w:rPr>
        <w:t xml:space="preserve"> ed. 2019</w:t>
      </w:r>
      <w:r w:rsidR="001D4BB2">
        <w:rPr>
          <w:rFonts w:ascii="Times New Roman" w:hAnsi="Times New Roman" w:cs="Times New Roman"/>
          <w:sz w:val="24"/>
          <w:szCs w:val="24"/>
        </w:rPr>
        <w:t>) at para. 18-179</w:t>
      </w:r>
      <w:r w:rsidR="00EA4E42">
        <w:rPr>
          <w:rFonts w:ascii="Times New Roman" w:hAnsi="Times New Roman" w:cs="Times New Roman"/>
          <w:sz w:val="24"/>
          <w:szCs w:val="24"/>
        </w:rPr>
        <w:t>)</w:t>
      </w:r>
      <w:r w:rsidR="002627A0">
        <w:rPr>
          <w:rFonts w:ascii="Times New Roman" w:hAnsi="Times New Roman" w:cs="Times New Roman"/>
          <w:sz w:val="24"/>
          <w:szCs w:val="24"/>
        </w:rPr>
        <w:t>.</w:t>
      </w:r>
    </w:p>
    <w:p w14:paraId="455997C9" w14:textId="77777777" w:rsidR="004F6CF8" w:rsidRPr="004F6CF8" w:rsidRDefault="004F6CF8" w:rsidP="004F6CF8">
      <w:pPr>
        <w:pStyle w:val="ListParagraph"/>
        <w:rPr>
          <w:rFonts w:ascii="Times New Roman" w:hAnsi="Times New Roman" w:cs="Times New Roman"/>
          <w:sz w:val="24"/>
          <w:szCs w:val="24"/>
        </w:rPr>
      </w:pPr>
    </w:p>
    <w:p w14:paraId="1920C9D2" w14:textId="77777777" w:rsidR="004F6CF8" w:rsidRPr="004F6CF8" w:rsidRDefault="004F6CF8" w:rsidP="004F6CF8">
      <w:pPr>
        <w:pStyle w:val="ListParagraph"/>
        <w:spacing w:before="240" w:line="480" w:lineRule="auto"/>
        <w:ind w:left="2160"/>
        <w:jc w:val="both"/>
        <w:rPr>
          <w:rFonts w:ascii="Times New Roman" w:hAnsi="Times New Roman" w:cs="Times New Roman"/>
          <w:sz w:val="24"/>
          <w:szCs w:val="24"/>
        </w:rPr>
      </w:pPr>
    </w:p>
    <w:p w14:paraId="19EB41ED" w14:textId="77777777" w:rsidR="002E4877" w:rsidRDefault="002627A0" w:rsidP="002627A0">
      <w:pPr>
        <w:pStyle w:val="ListParagraph"/>
        <w:spacing w:before="240" w:line="480" w:lineRule="auto"/>
        <w:jc w:val="both"/>
        <w:rPr>
          <w:rFonts w:ascii="Times New Roman" w:hAnsi="Times New Roman" w:cs="Times New Roman"/>
          <w:b/>
          <w:i/>
          <w:sz w:val="24"/>
          <w:szCs w:val="24"/>
        </w:rPr>
      </w:pPr>
      <w:r>
        <w:rPr>
          <w:rFonts w:ascii="Times New Roman" w:hAnsi="Times New Roman" w:cs="Times New Roman"/>
          <w:b/>
          <w:i/>
          <w:sz w:val="24"/>
          <w:szCs w:val="24"/>
        </w:rPr>
        <w:t>Application of provisions governing extension of time</w:t>
      </w:r>
    </w:p>
    <w:p w14:paraId="714CE342" w14:textId="77777777" w:rsidR="002627A0" w:rsidRPr="002627A0" w:rsidRDefault="002627A0" w:rsidP="002627A0">
      <w:pPr>
        <w:pStyle w:val="ListParagraph"/>
        <w:spacing w:before="240" w:line="480" w:lineRule="auto"/>
        <w:jc w:val="both"/>
        <w:rPr>
          <w:rFonts w:ascii="Times New Roman" w:hAnsi="Times New Roman" w:cs="Times New Roman"/>
          <w:b/>
          <w:i/>
          <w:sz w:val="24"/>
          <w:szCs w:val="24"/>
        </w:rPr>
      </w:pPr>
    </w:p>
    <w:p w14:paraId="2DB743BA" w14:textId="77777777" w:rsidR="00AA30D8" w:rsidRPr="002627A0" w:rsidRDefault="00AA30D8" w:rsidP="002627A0">
      <w:pPr>
        <w:pStyle w:val="ListParagraph"/>
        <w:numPr>
          <w:ilvl w:val="0"/>
          <w:numId w:val="23"/>
        </w:numPr>
        <w:spacing w:before="240" w:line="480" w:lineRule="auto"/>
        <w:jc w:val="both"/>
        <w:rPr>
          <w:rFonts w:ascii="Times New Roman" w:hAnsi="Times New Roman" w:cs="Times New Roman"/>
          <w:i/>
          <w:sz w:val="24"/>
          <w:szCs w:val="24"/>
        </w:rPr>
      </w:pPr>
      <w:r w:rsidRPr="002627A0">
        <w:rPr>
          <w:rFonts w:ascii="Times New Roman" w:hAnsi="Times New Roman" w:cs="Times New Roman"/>
          <w:i/>
          <w:sz w:val="24"/>
          <w:szCs w:val="24"/>
        </w:rPr>
        <w:t xml:space="preserve">The findings of the trial judge </w:t>
      </w:r>
      <w:r w:rsidR="002627A0">
        <w:rPr>
          <w:rFonts w:ascii="Times New Roman" w:hAnsi="Times New Roman" w:cs="Times New Roman"/>
          <w:i/>
          <w:sz w:val="24"/>
          <w:szCs w:val="24"/>
        </w:rPr>
        <w:t>as to</w:t>
      </w:r>
      <w:r w:rsidRPr="002627A0">
        <w:rPr>
          <w:rFonts w:ascii="Times New Roman" w:hAnsi="Times New Roman" w:cs="Times New Roman"/>
          <w:i/>
          <w:sz w:val="24"/>
          <w:szCs w:val="24"/>
        </w:rPr>
        <w:t xml:space="preserve"> the </w:t>
      </w:r>
      <w:r w:rsidR="002627A0">
        <w:rPr>
          <w:rFonts w:ascii="Times New Roman" w:hAnsi="Times New Roman" w:cs="Times New Roman"/>
          <w:i/>
          <w:sz w:val="24"/>
          <w:szCs w:val="24"/>
        </w:rPr>
        <w:t xml:space="preserve">application to </w:t>
      </w:r>
      <w:r w:rsidRPr="002627A0">
        <w:rPr>
          <w:rFonts w:ascii="Times New Roman" w:hAnsi="Times New Roman" w:cs="Times New Roman"/>
          <w:i/>
          <w:sz w:val="24"/>
          <w:szCs w:val="24"/>
        </w:rPr>
        <w:t>extension of time.</w:t>
      </w:r>
    </w:p>
    <w:p w14:paraId="6AAE0E02" w14:textId="77777777" w:rsidR="00AA30D8" w:rsidRDefault="00AA30D8" w:rsidP="00AA30D8">
      <w:pPr>
        <w:pStyle w:val="ListParagraph"/>
        <w:spacing w:before="240" w:line="480" w:lineRule="auto"/>
        <w:ind w:left="2160"/>
        <w:jc w:val="both"/>
        <w:rPr>
          <w:rFonts w:ascii="Times New Roman" w:hAnsi="Times New Roman" w:cs="Times New Roman"/>
          <w:i/>
          <w:sz w:val="24"/>
          <w:szCs w:val="24"/>
        </w:rPr>
      </w:pPr>
    </w:p>
    <w:p w14:paraId="325C61F5" w14:textId="1E938B9F" w:rsidR="00ED4852" w:rsidRPr="002D5EB8" w:rsidRDefault="00ED4852" w:rsidP="00ED4852">
      <w:pPr>
        <w:pStyle w:val="ListParagraph"/>
        <w:numPr>
          <w:ilvl w:val="0"/>
          <w:numId w:val="1"/>
        </w:numPr>
        <w:spacing w:before="240" w:line="480" w:lineRule="auto"/>
        <w:jc w:val="both"/>
        <w:rPr>
          <w:rFonts w:ascii="Times New Roman" w:hAnsi="Times New Roman" w:cs="Times New Roman"/>
          <w:b/>
          <w:sz w:val="24"/>
          <w:szCs w:val="24"/>
        </w:rPr>
      </w:pPr>
      <w:r>
        <w:rPr>
          <w:rFonts w:ascii="Times New Roman" w:hAnsi="Times New Roman" w:cs="Times New Roman"/>
          <w:sz w:val="24"/>
          <w:szCs w:val="24"/>
        </w:rPr>
        <w:t xml:space="preserve">The High Court judgment records Arthropharm as relying upon two principal factors as justifying the delay in the institution of the proceedings.  The first was </w:t>
      </w:r>
      <w:r w:rsidR="00EB3BE5">
        <w:rPr>
          <w:rFonts w:ascii="Times New Roman" w:hAnsi="Times New Roman" w:cs="Times New Roman"/>
          <w:sz w:val="24"/>
          <w:szCs w:val="24"/>
        </w:rPr>
        <w:t xml:space="preserve">its claim </w:t>
      </w:r>
      <w:r>
        <w:rPr>
          <w:rFonts w:ascii="Times New Roman" w:hAnsi="Times New Roman" w:cs="Times New Roman"/>
          <w:sz w:val="24"/>
          <w:szCs w:val="24"/>
        </w:rPr>
        <w:t xml:space="preserve">that it was necessary and/or appropriate to engage in correspondence with </w:t>
      </w:r>
      <w:r w:rsidR="00F160A6">
        <w:rPr>
          <w:rFonts w:ascii="Times New Roman" w:hAnsi="Times New Roman" w:cs="Times New Roman"/>
          <w:sz w:val="24"/>
          <w:szCs w:val="24"/>
        </w:rPr>
        <w:t>HPRA</w:t>
      </w:r>
      <w:r>
        <w:rPr>
          <w:rFonts w:ascii="Times New Roman" w:hAnsi="Times New Roman" w:cs="Times New Roman"/>
          <w:sz w:val="24"/>
          <w:szCs w:val="24"/>
        </w:rPr>
        <w:t xml:space="preserve"> before having recourse to the courts.  The second is that it was necessary to obtain a sample of Osteopen on the open market in order that it be analysed before proceedings were instituted.   It follows from the provisions of the rule and the authorities interpreting it that the task of the court in respect of each </w:t>
      </w:r>
      <w:r w:rsidR="0085144F">
        <w:rPr>
          <w:rFonts w:ascii="Times New Roman" w:hAnsi="Times New Roman" w:cs="Times New Roman"/>
          <w:sz w:val="24"/>
          <w:szCs w:val="24"/>
        </w:rPr>
        <w:t>of these justifications</w:t>
      </w:r>
      <w:r>
        <w:rPr>
          <w:rFonts w:ascii="Times New Roman" w:hAnsi="Times New Roman" w:cs="Times New Roman"/>
          <w:sz w:val="24"/>
          <w:szCs w:val="24"/>
        </w:rPr>
        <w:t xml:space="preserve"> </w:t>
      </w:r>
      <w:r w:rsidR="009F0739">
        <w:rPr>
          <w:rFonts w:ascii="Times New Roman" w:hAnsi="Times New Roman" w:cs="Times New Roman"/>
          <w:sz w:val="24"/>
          <w:szCs w:val="24"/>
        </w:rPr>
        <w:t>wa</w:t>
      </w:r>
      <w:r>
        <w:rPr>
          <w:rFonts w:ascii="Times New Roman" w:hAnsi="Times New Roman" w:cs="Times New Roman"/>
          <w:sz w:val="24"/>
          <w:szCs w:val="24"/>
        </w:rPr>
        <w:t xml:space="preserve">s to determine </w:t>
      </w:r>
      <w:r>
        <w:rPr>
          <w:rFonts w:ascii="Times New Roman" w:hAnsi="Times New Roman" w:cs="Times New Roman"/>
          <w:sz w:val="24"/>
          <w:szCs w:val="24"/>
        </w:rPr>
        <w:lastRenderedPageBreak/>
        <w:t xml:space="preserve">whether they </w:t>
      </w:r>
      <w:r w:rsidR="0085144F">
        <w:rPr>
          <w:rFonts w:ascii="Times New Roman" w:hAnsi="Times New Roman" w:cs="Times New Roman"/>
          <w:sz w:val="24"/>
          <w:szCs w:val="24"/>
        </w:rPr>
        <w:t>presented</w:t>
      </w:r>
      <w:r>
        <w:rPr>
          <w:rFonts w:ascii="Times New Roman" w:hAnsi="Times New Roman" w:cs="Times New Roman"/>
          <w:sz w:val="24"/>
          <w:szCs w:val="24"/>
        </w:rPr>
        <w:t xml:space="preserve"> ‘</w:t>
      </w:r>
      <w:r>
        <w:rPr>
          <w:rFonts w:ascii="Times New Roman" w:hAnsi="Times New Roman" w:cs="Times New Roman"/>
          <w:i/>
          <w:sz w:val="24"/>
          <w:szCs w:val="24"/>
        </w:rPr>
        <w:t xml:space="preserve">good and sufficient’ </w:t>
      </w:r>
      <w:r>
        <w:rPr>
          <w:rFonts w:ascii="Times New Roman" w:hAnsi="Times New Roman" w:cs="Times New Roman"/>
          <w:sz w:val="24"/>
          <w:szCs w:val="24"/>
        </w:rPr>
        <w:t xml:space="preserve">reasons for not thereupon seeking leave </w:t>
      </w:r>
      <w:r>
        <w:rPr>
          <w:rFonts w:ascii="Times New Roman" w:hAnsi="Times New Roman" w:cs="Times New Roman"/>
          <w:sz w:val="24"/>
          <w:szCs w:val="24"/>
          <w:u w:val="single"/>
        </w:rPr>
        <w:t>and</w:t>
      </w:r>
      <w:r>
        <w:rPr>
          <w:rFonts w:ascii="Times New Roman" w:hAnsi="Times New Roman" w:cs="Times New Roman"/>
          <w:sz w:val="24"/>
          <w:szCs w:val="24"/>
        </w:rPr>
        <w:t xml:space="preserve"> </w:t>
      </w:r>
      <w:r w:rsidR="0085144F">
        <w:rPr>
          <w:rFonts w:ascii="Times New Roman" w:hAnsi="Times New Roman" w:cs="Times New Roman"/>
          <w:sz w:val="24"/>
          <w:szCs w:val="24"/>
        </w:rPr>
        <w:t xml:space="preserve">in that regard to </w:t>
      </w:r>
      <w:r>
        <w:rPr>
          <w:rFonts w:ascii="Times New Roman" w:hAnsi="Times New Roman" w:cs="Times New Roman"/>
          <w:sz w:val="24"/>
          <w:szCs w:val="24"/>
        </w:rPr>
        <w:t xml:space="preserve">determine </w:t>
      </w:r>
      <w:r>
        <w:rPr>
          <w:rFonts w:ascii="Times New Roman" w:hAnsi="Times New Roman" w:cs="Times New Roman"/>
          <w:sz w:val="24"/>
          <w:szCs w:val="24"/>
          <w:u w:val="single"/>
        </w:rPr>
        <w:t>either</w:t>
      </w:r>
      <w:r>
        <w:rPr>
          <w:rFonts w:ascii="Times New Roman" w:hAnsi="Times New Roman" w:cs="Times New Roman"/>
          <w:sz w:val="24"/>
          <w:szCs w:val="24"/>
        </w:rPr>
        <w:t xml:space="preserve"> that the reasons </w:t>
      </w:r>
      <w:r w:rsidR="00FC6D44">
        <w:rPr>
          <w:rFonts w:ascii="Times New Roman" w:hAnsi="Times New Roman" w:cs="Times New Roman"/>
          <w:sz w:val="24"/>
          <w:szCs w:val="24"/>
        </w:rPr>
        <w:t xml:space="preserve">so suggested </w:t>
      </w:r>
      <w:r>
        <w:rPr>
          <w:rFonts w:ascii="Times New Roman" w:hAnsi="Times New Roman" w:cs="Times New Roman"/>
          <w:sz w:val="24"/>
          <w:szCs w:val="24"/>
        </w:rPr>
        <w:t xml:space="preserve">were outside the control of the applicant </w:t>
      </w:r>
      <w:r>
        <w:rPr>
          <w:rFonts w:ascii="Times New Roman" w:hAnsi="Times New Roman" w:cs="Times New Roman"/>
          <w:sz w:val="24"/>
          <w:szCs w:val="24"/>
          <w:u w:val="single"/>
        </w:rPr>
        <w:t>or</w:t>
      </w:r>
      <w:r>
        <w:rPr>
          <w:rFonts w:ascii="Times New Roman" w:hAnsi="Times New Roman" w:cs="Times New Roman"/>
          <w:sz w:val="24"/>
          <w:szCs w:val="24"/>
        </w:rPr>
        <w:t xml:space="preserve"> could not have been anticipated by it.</w:t>
      </w:r>
    </w:p>
    <w:p w14:paraId="1D26B7D1" w14:textId="77777777" w:rsidR="00ED4852" w:rsidRPr="00ED4852" w:rsidRDefault="00ED4852" w:rsidP="00ED4852">
      <w:pPr>
        <w:pStyle w:val="ListParagraph"/>
        <w:spacing w:before="240" w:line="480" w:lineRule="auto"/>
        <w:jc w:val="both"/>
        <w:rPr>
          <w:rFonts w:ascii="Times New Roman" w:hAnsi="Times New Roman" w:cs="Times New Roman"/>
          <w:b/>
          <w:sz w:val="24"/>
          <w:szCs w:val="24"/>
        </w:rPr>
      </w:pPr>
    </w:p>
    <w:p w14:paraId="71668F29" w14:textId="7C923FCA" w:rsidR="00AA30D8" w:rsidRPr="00AA30D8" w:rsidRDefault="0039262C" w:rsidP="00AA30D8">
      <w:pPr>
        <w:pStyle w:val="ListParagraph"/>
        <w:numPr>
          <w:ilvl w:val="0"/>
          <w:numId w:val="1"/>
        </w:numPr>
        <w:spacing w:before="240" w:line="480" w:lineRule="auto"/>
        <w:jc w:val="both"/>
        <w:rPr>
          <w:rFonts w:ascii="Times New Roman" w:hAnsi="Times New Roman" w:cs="Times New Roman"/>
          <w:b/>
          <w:sz w:val="24"/>
          <w:szCs w:val="24"/>
        </w:rPr>
      </w:pPr>
      <w:r>
        <w:rPr>
          <w:rFonts w:ascii="Times New Roman" w:hAnsi="Times New Roman" w:cs="Times New Roman"/>
          <w:sz w:val="24"/>
          <w:szCs w:val="24"/>
        </w:rPr>
        <w:t xml:space="preserve">Simons J - </w:t>
      </w:r>
      <w:r w:rsidR="00AA30D8" w:rsidRPr="00AA30D8">
        <w:rPr>
          <w:rFonts w:ascii="Times New Roman" w:hAnsi="Times New Roman" w:cs="Times New Roman"/>
          <w:sz w:val="24"/>
          <w:szCs w:val="24"/>
        </w:rPr>
        <w:t xml:space="preserve">referring to the judgments of Baker J. in </w:t>
      </w:r>
      <w:r w:rsidR="00AA30D8" w:rsidRPr="00AA30D8">
        <w:rPr>
          <w:rFonts w:ascii="Times New Roman" w:hAnsi="Times New Roman" w:cs="Times New Roman"/>
          <w:i/>
          <w:sz w:val="24"/>
          <w:szCs w:val="24"/>
        </w:rPr>
        <w:t xml:space="preserve">Irish Skydiving Club Ltd. v. An Bord </w:t>
      </w:r>
      <w:r w:rsidR="007B68DA" w:rsidRPr="00AA30D8">
        <w:rPr>
          <w:rFonts w:ascii="Times New Roman" w:hAnsi="Times New Roman" w:cs="Times New Roman"/>
          <w:i/>
          <w:sz w:val="24"/>
          <w:szCs w:val="24"/>
        </w:rPr>
        <w:t>P</w:t>
      </w:r>
      <w:r w:rsidR="007B68DA">
        <w:rPr>
          <w:rFonts w:ascii="Times New Roman" w:hAnsi="Times New Roman" w:cs="Times New Roman"/>
          <w:i/>
          <w:sz w:val="24"/>
          <w:szCs w:val="24"/>
        </w:rPr>
        <w:t>l</w:t>
      </w:r>
      <w:r w:rsidR="007B68DA" w:rsidRPr="00AA30D8">
        <w:rPr>
          <w:rFonts w:ascii="Times New Roman" w:hAnsi="Times New Roman" w:cs="Times New Roman"/>
          <w:i/>
          <w:sz w:val="24"/>
          <w:szCs w:val="24"/>
        </w:rPr>
        <w:t>eanála</w:t>
      </w:r>
      <w:r w:rsidR="00AA30D8" w:rsidRPr="00AA30D8">
        <w:rPr>
          <w:rFonts w:ascii="Times New Roman" w:hAnsi="Times New Roman" w:cs="Times New Roman"/>
          <w:i/>
          <w:sz w:val="24"/>
          <w:szCs w:val="24"/>
        </w:rPr>
        <w:t xml:space="preserve"> </w:t>
      </w:r>
      <w:r w:rsidR="00AA30D8" w:rsidRPr="00AA30D8">
        <w:rPr>
          <w:rFonts w:ascii="Times New Roman" w:hAnsi="Times New Roman" w:cs="Times New Roman"/>
          <w:sz w:val="24"/>
          <w:szCs w:val="24"/>
        </w:rPr>
        <w:t xml:space="preserve">and of Noonan J. in </w:t>
      </w:r>
      <w:r w:rsidR="00AA30D8" w:rsidRPr="00AA30D8">
        <w:rPr>
          <w:rFonts w:ascii="Times New Roman" w:hAnsi="Times New Roman" w:cs="Times New Roman"/>
          <w:i/>
          <w:sz w:val="24"/>
          <w:szCs w:val="24"/>
        </w:rPr>
        <w:t>McCaffrey v. Central Bank of Ireland</w:t>
      </w:r>
      <w:r w:rsidR="00AA30D8" w:rsidRPr="00AA30D8">
        <w:rPr>
          <w:rFonts w:ascii="Times New Roman" w:hAnsi="Times New Roman" w:cs="Times New Roman"/>
          <w:sz w:val="24"/>
          <w:szCs w:val="24"/>
        </w:rPr>
        <w:t xml:space="preserve"> [2017] IEHC 546</w:t>
      </w:r>
      <w:r>
        <w:rPr>
          <w:rFonts w:ascii="Times New Roman" w:hAnsi="Times New Roman" w:cs="Times New Roman"/>
          <w:sz w:val="24"/>
          <w:szCs w:val="24"/>
        </w:rPr>
        <w:t xml:space="preserve"> - </w:t>
      </w:r>
      <w:r w:rsidR="00AA30D8" w:rsidRPr="00AA30D8">
        <w:rPr>
          <w:rFonts w:ascii="Times New Roman" w:hAnsi="Times New Roman" w:cs="Times New Roman"/>
          <w:sz w:val="24"/>
          <w:szCs w:val="24"/>
        </w:rPr>
        <w:t xml:space="preserve">recorded </w:t>
      </w:r>
      <w:r w:rsidR="00AA30D8">
        <w:rPr>
          <w:rFonts w:ascii="Times New Roman" w:hAnsi="Times New Roman" w:cs="Times New Roman"/>
          <w:sz w:val="24"/>
          <w:szCs w:val="24"/>
        </w:rPr>
        <w:t xml:space="preserve">his </w:t>
      </w:r>
      <w:r w:rsidR="00AA30D8" w:rsidRPr="00AA30D8">
        <w:rPr>
          <w:rFonts w:ascii="Times New Roman" w:hAnsi="Times New Roman" w:cs="Times New Roman"/>
          <w:sz w:val="24"/>
          <w:szCs w:val="24"/>
        </w:rPr>
        <w:t>doubt</w:t>
      </w:r>
      <w:r w:rsidR="00AA30D8">
        <w:rPr>
          <w:rFonts w:ascii="Times New Roman" w:hAnsi="Times New Roman" w:cs="Times New Roman"/>
          <w:sz w:val="24"/>
          <w:szCs w:val="24"/>
        </w:rPr>
        <w:t>s</w:t>
      </w:r>
      <w:r w:rsidR="00AA30D8" w:rsidRPr="00AA30D8">
        <w:rPr>
          <w:rFonts w:ascii="Times New Roman" w:hAnsi="Times New Roman" w:cs="Times New Roman"/>
          <w:sz w:val="24"/>
          <w:szCs w:val="24"/>
        </w:rPr>
        <w:t xml:space="preserve"> as to whether engagement in correspondence with a decision maker could ever ground an application for an extension of time.  </w:t>
      </w:r>
      <w:r w:rsidR="00A7615A">
        <w:rPr>
          <w:rFonts w:ascii="Times New Roman" w:hAnsi="Times New Roman" w:cs="Times New Roman"/>
          <w:sz w:val="24"/>
          <w:szCs w:val="24"/>
        </w:rPr>
        <w:t>From there</w:t>
      </w:r>
      <w:r w:rsidR="00AA30D8" w:rsidRPr="00AA30D8">
        <w:rPr>
          <w:rFonts w:ascii="Times New Roman" w:hAnsi="Times New Roman" w:cs="Times New Roman"/>
          <w:sz w:val="24"/>
          <w:szCs w:val="24"/>
        </w:rPr>
        <w:t xml:space="preserve">, he expressed the view that the only conceivable basis on which correspondence might be seen as necessary in advance of the institution of judicial review proceedings was where the information available in respect of the decision is so sparse that no meaningful steps could be taken towards the preparation of </w:t>
      </w:r>
      <w:r w:rsidR="001A018A">
        <w:rPr>
          <w:rFonts w:ascii="Times New Roman" w:hAnsi="Times New Roman" w:cs="Times New Roman"/>
          <w:sz w:val="24"/>
          <w:szCs w:val="24"/>
        </w:rPr>
        <w:t xml:space="preserve">the </w:t>
      </w:r>
      <w:r w:rsidR="00AA30D8" w:rsidRPr="00AA30D8">
        <w:rPr>
          <w:rFonts w:ascii="Times New Roman" w:hAnsi="Times New Roman" w:cs="Times New Roman"/>
          <w:sz w:val="24"/>
          <w:szCs w:val="24"/>
        </w:rPr>
        <w:t>proceedings.  Having regard to the published information in the assessment report,</w:t>
      </w:r>
      <w:r w:rsidR="00EB3BE5">
        <w:rPr>
          <w:rFonts w:ascii="Times New Roman" w:hAnsi="Times New Roman" w:cs="Times New Roman"/>
          <w:sz w:val="24"/>
          <w:szCs w:val="24"/>
        </w:rPr>
        <w:t xml:space="preserve"> he felt</w:t>
      </w:r>
      <w:r w:rsidR="00AA30D8" w:rsidRPr="00AA30D8">
        <w:rPr>
          <w:rFonts w:ascii="Times New Roman" w:hAnsi="Times New Roman" w:cs="Times New Roman"/>
          <w:sz w:val="24"/>
          <w:szCs w:val="24"/>
        </w:rPr>
        <w:t xml:space="preserve"> this was not the case here.  Th</w:t>
      </w:r>
      <w:r w:rsidR="008F2E8D">
        <w:rPr>
          <w:rFonts w:ascii="Times New Roman" w:hAnsi="Times New Roman" w:cs="Times New Roman"/>
          <w:sz w:val="24"/>
          <w:szCs w:val="24"/>
        </w:rPr>
        <w:t>en</w:t>
      </w:r>
      <w:r w:rsidR="00AA30D8" w:rsidRPr="00AA30D8">
        <w:rPr>
          <w:rFonts w:ascii="Times New Roman" w:hAnsi="Times New Roman" w:cs="Times New Roman"/>
          <w:sz w:val="24"/>
          <w:szCs w:val="24"/>
        </w:rPr>
        <w:t>, he noted that for a period of almost two months no attempt was made to pursue HPRA on its promise of a substantive response to the submission of 12 October.  F</w:t>
      </w:r>
      <w:r w:rsidR="0085144F">
        <w:rPr>
          <w:rFonts w:ascii="Times New Roman" w:hAnsi="Times New Roman" w:cs="Times New Roman"/>
          <w:sz w:val="24"/>
          <w:szCs w:val="24"/>
        </w:rPr>
        <w:t>rom there h</w:t>
      </w:r>
      <w:r w:rsidR="00AA30D8" w:rsidRPr="00AA30D8">
        <w:rPr>
          <w:rFonts w:ascii="Times New Roman" w:hAnsi="Times New Roman" w:cs="Times New Roman"/>
          <w:sz w:val="24"/>
          <w:szCs w:val="24"/>
        </w:rPr>
        <w:t xml:space="preserve">e </w:t>
      </w:r>
      <w:r w:rsidR="0071542D">
        <w:rPr>
          <w:rFonts w:ascii="Times New Roman" w:hAnsi="Times New Roman" w:cs="Times New Roman"/>
          <w:sz w:val="24"/>
          <w:szCs w:val="24"/>
        </w:rPr>
        <w:t>commented</w:t>
      </w:r>
      <w:r w:rsidR="00AA30D8" w:rsidRPr="00AA30D8">
        <w:rPr>
          <w:rFonts w:ascii="Times New Roman" w:hAnsi="Times New Roman" w:cs="Times New Roman"/>
          <w:sz w:val="24"/>
          <w:szCs w:val="24"/>
        </w:rPr>
        <w:t xml:space="preserve"> that none of the correspondence was addressed to Chanelle, the party who would be most immediately affected by judicial review proceedings.  </w:t>
      </w:r>
      <w:r w:rsidR="0085144F">
        <w:rPr>
          <w:rFonts w:ascii="Times New Roman" w:hAnsi="Times New Roman" w:cs="Times New Roman"/>
          <w:sz w:val="24"/>
          <w:szCs w:val="24"/>
        </w:rPr>
        <w:t>Observing</w:t>
      </w:r>
      <w:r w:rsidR="00AA30D8" w:rsidRPr="00AA30D8">
        <w:rPr>
          <w:rFonts w:ascii="Times New Roman" w:hAnsi="Times New Roman" w:cs="Times New Roman"/>
          <w:sz w:val="24"/>
          <w:szCs w:val="24"/>
        </w:rPr>
        <w:t xml:space="preserve"> that one of the purposes of the tight three month time limit is to protect the interests of affected third parties by ensuring that they were put on notice of the challenge to a decision, Simons J. expressed the view that the failure to communicate with Chanelle militated against the correspondence being relied upon as justifying an extension of time (at para. 75).  Had Chanelle been so advised, the judge said, Chanelle would at least have had an opportunity to consider whether it wished to hold off further investment pending the outcome of the dispute (at para. 76).  Responding to </w:t>
      </w:r>
      <w:r w:rsidR="007B68DA" w:rsidRPr="00AA30D8">
        <w:rPr>
          <w:rFonts w:ascii="Times New Roman" w:hAnsi="Times New Roman" w:cs="Times New Roman"/>
          <w:sz w:val="24"/>
          <w:szCs w:val="24"/>
        </w:rPr>
        <w:t>Arthropharm’s</w:t>
      </w:r>
      <w:r w:rsidR="00AA30D8" w:rsidRPr="00AA30D8">
        <w:rPr>
          <w:rFonts w:ascii="Times New Roman" w:hAnsi="Times New Roman" w:cs="Times New Roman"/>
          <w:sz w:val="24"/>
          <w:szCs w:val="24"/>
        </w:rPr>
        <w:t xml:space="preserve"> contention that it was a matter for </w:t>
      </w:r>
      <w:r w:rsidR="00F160A6">
        <w:rPr>
          <w:rFonts w:ascii="Times New Roman" w:hAnsi="Times New Roman" w:cs="Times New Roman"/>
          <w:sz w:val="24"/>
          <w:szCs w:val="24"/>
        </w:rPr>
        <w:t>HPRA</w:t>
      </w:r>
      <w:r w:rsidR="00AA30D8" w:rsidRPr="00AA30D8">
        <w:rPr>
          <w:rFonts w:ascii="Times New Roman" w:hAnsi="Times New Roman" w:cs="Times New Roman"/>
          <w:sz w:val="24"/>
          <w:szCs w:val="24"/>
        </w:rPr>
        <w:t xml:space="preserve"> to advise </w:t>
      </w:r>
      <w:r w:rsidR="00AA30D8" w:rsidRPr="00AA30D8">
        <w:rPr>
          <w:rFonts w:ascii="Times New Roman" w:hAnsi="Times New Roman" w:cs="Times New Roman"/>
          <w:sz w:val="24"/>
          <w:szCs w:val="24"/>
        </w:rPr>
        <w:lastRenderedPageBreak/>
        <w:t>Chanelle of the correspondence, Simons J. said (at para. 77) ‘</w:t>
      </w:r>
      <w:r w:rsidR="00AA30D8" w:rsidRPr="00AA30D8">
        <w:rPr>
          <w:rFonts w:ascii="Times New Roman" w:hAnsi="Times New Roman" w:cs="Times New Roman"/>
          <w:i/>
          <w:sz w:val="24"/>
          <w:szCs w:val="24"/>
        </w:rPr>
        <w:t>the onus is on the party seeking to challenge a decision to ensure that the affected party is put on notice of the intended proceedings within the three month time limit’</w:t>
      </w:r>
      <w:r w:rsidR="00AA30D8" w:rsidRPr="00AA30D8">
        <w:rPr>
          <w:rFonts w:ascii="Times New Roman" w:hAnsi="Times New Roman" w:cs="Times New Roman"/>
          <w:sz w:val="24"/>
          <w:szCs w:val="24"/>
        </w:rPr>
        <w:t>.</w:t>
      </w:r>
    </w:p>
    <w:p w14:paraId="068F079E" w14:textId="77777777" w:rsidR="00AA30D8" w:rsidRPr="00AA30D8" w:rsidRDefault="00AA30D8" w:rsidP="00AA30D8">
      <w:pPr>
        <w:pStyle w:val="ListParagraph"/>
        <w:spacing w:before="24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14:paraId="3823E548" w14:textId="005D8CE3" w:rsidR="00AA30D8" w:rsidRPr="008652BE" w:rsidRDefault="00AA30D8" w:rsidP="00AA30D8">
      <w:pPr>
        <w:pStyle w:val="ListParagraph"/>
        <w:numPr>
          <w:ilvl w:val="0"/>
          <w:numId w:val="1"/>
        </w:numPr>
        <w:spacing w:before="240" w:line="480" w:lineRule="auto"/>
        <w:jc w:val="both"/>
        <w:rPr>
          <w:rFonts w:ascii="Times New Roman" w:hAnsi="Times New Roman" w:cs="Times New Roman"/>
          <w:b/>
          <w:sz w:val="24"/>
          <w:szCs w:val="24"/>
        </w:rPr>
      </w:pPr>
      <w:r>
        <w:rPr>
          <w:rFonts w:ascii="Times New Roman" w:hAnsi="Times New Roman" w:cs="Times New Roman"/>
          <w:sz w:val="24"/>
          <w:szCs w:val="24"/>
        </w:rPr>
        <w:t>In rejecting the claim that the asserted need to obtain a sample of the generic product justified the delay in instituting the proceedings, Simons J. emphasised that generally a party is not entitled to delay the bringing of judicial review proceedings in order to assemble all of the materials on which it wants to rely.  Instead, he said, the correct approach is to institute the proceedings within time and, if appropriate, to apply to amend the proceedings when the additional awaited materials are to hand.  He said that it was ‘</w:t>
      </w:r>
      <w:r>
        <w:rPr>
          <w:rFonts w:ascii="Times New Roman" w:hAnsi="Times New Roman" w:cs="Times New Roman"/>
          <w:i/>
          <w:sz w:val="24"/>
          <w:szCs w:val="24"/>
        </w:rPr>
        <w:t>only in circumstances where it would be impracticable or unreasonable to institute judicial review proceedings in the absence of an expert report that it will be appropriate to defer the institution of proceedings’</w:t>
      </w:r>
      <w:r w:rsidR="00CA3DF5">
        <w:rPr>
          <w:rFonts w:ascii="Times New Roman" w:hAnsi="Times New Roman" w:cs="Times New Roman"/>
          <w:i/>
          <w:sz w:val="24"/>
          <w:szCs w:val="24"/>
        </w:rPr>
        <w:t xml:space="preserve"> </w:t>
      </w:r>
      <w:r w:rsidR="00CA3DF5">
        <w:rPr>
          <w:rFonts w:ascii="Times New Roman" w:hAnsi="Times New Roman" w:cs="Times New Roman"/>
          <w:iCs/>
          <w:sz w:val="24"/>
          <w:szCs w:val="24"/>
        </w:rPr>
        <w:t>(at para. 81)</w:t>
      </w:r>
      <w:r>
        <w:rPr>
          <w:rFonts w:ascii="Times New Roman" w:hAnsi="Times New Roman" w:cs="Times New Roman"/>
          <w:sz w:val="24"/>
          <w:szCs w:val="24"/>
        </w:rPr>
        <w:t>. Such cases, he said, would be very rare indeed.</w:t>
      </w:r>
    </w:p>
    <w:p w14:paraId="541FCD6D" w14:textId="77777777" w:rsidR="00AA30D8" w:rsidRDefault="00AA30D8" w:rsidP="00AA30D8">
      <w:pPr>
        <w:pStyle w:val="ListParagraph"/>
        <w:spacing w:before="24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14:paraId="6318B95E" w14:textId="6B7CECAE" w:rsidR="007519DA" w:rsidRPr="004627C0" w:rsidRDefault="00AA30D8" w:rsidP="004627C0">
      <w:pPr>
        <w:pStyle w:val="ListParagraph"/>
        <w:numPr>
          <w:ilvl w:val="0"/>
          <w:numId w:val="1"/>
        </w:numPr>
        <w:spacing w:before="240" w:line="480" w:lineRule="auto"/>
        <w:jc w:val="both"/>
        <w:rPr>
          <w:rFonts w:ascii="Times New Roman" w:hAnsi="Times New Roman" w:cs="Times New Roman"/>
          <w:b/>
          <w:sz w:val="24"/>
          <w:szCs w:val="24"/>
        </w:rPr>
      </w:pPr>
      <w:r>
        <w:rPr>
          <w:rFonts w:ascii="Times New Roman" w:hAnsi="Times New Roman" w:cs="Times New Roman"/>
          <w:sz w:val="24"/>
          <w:szCs w:val="24"/>
        </w:rPr>
        <w:t>Here, the court was heavily influenced by the complaints recorded in</w:t>
      </w:r>
      <w:r w:rsidR="00310F84">
        <w:rPr>
          <w:rFonts w:ascii="Times New Roman" w:hAnsi="Times New Roman" w:cs="Times New Roman"/>
          <w:sz w:val="24"/>
          <w:szCs w:val="24"/>
        </w:rPr>
        <w:t xml:space="preserve"> </w:t>
      </w:r>
      <w:r>
        <w:rPr>
          <w:rFonts w:ascii="Times New Roman" w:hAnsi="Times New Roman" w:cs="Times New Roman"/>
          <w:sz w:val="24"/>
          <w:szCs w:val="24"/>
        </w:rPr>
        <w:t xml:space="preserve">Arthropharm’s </w:t>
      </w:r>
      <w:r w:rsidR="00254F8B">
        <w:rPr>
          <w:rFonts w:ascii="Times New Roman" w:hAnsi="Times New Roman" w:cs="Times New Roman"/>
          <w:sz w:val="24"/>
          <w:szCs w:val="24"/>
        </w:rPr>
        <w:t xml:space="preserve">letter </w:t>
      </w:r>
      <w:r>
        <w:rPr>
          <w:rFonts w:ascii="Times New Roman" w:hAnsi="Times New Roman" w:cs="Times New Roman"/>
          <w:sz w:val="24"/>
          <w:szCs w:val="24"/>
        </w:rPr>
        <w:t xml:space="preserve">of 12 October 2018.  It was clear from that </w:t>
      </w:r>
      <w:r w:rsidR="00254F8B">
        <w:rPr>
          <w:rFonts w:ascii="Times New Roman" w:hAnsi="Times New Roman" w:cs="Times New Roman"/>
          <w:sz w:val="24"/>
          <w:szCs w:val="24"/>
        </w:rPr>
        <w:t>correspondence</w:t>
      </w:r>
      <w:r>
        <w:rPr>
          <w:rFonts w:ascii="Times New Roman" w:hAnsi="Times New Roman" w:cs="Times New Roman"/>
          <w:sz w:val="24"/>
          <w:szCs w:val="24"/>
        </w:rPr>
        <w:t xml:space="preserve">, </w:t>
      </w:r>
      <w:r w:rsidR="0085144F">
        <w:rPr>
          <w:rFonts w:ascii="Times New Roman" w:hAnsi="Times New Roman" w:cs="Times New Roman"/>
          <w:sz w:val="24"/>
          <w:szCs w:val="24"/>
        </w:rPr>
        <w:t>Simons J.</w:t>
      </w:r>
      <w:r>
        <w:rPr>
          <w:rFonts w:ascii="Times New Roman" w:hAnsi="Times New Roman" w:cs="Times New Roman"/>
          <w:sz w:val="24"/>
          <w:szCs w:val="24"/>
        </w:rPr>
        <w:t xml:space="preserve"> said, that many of the grounds of challenge had already </w:t>
      </w:r>
      <w:r w:rsidR="007B68DA">
        <w:rPr>
          <w:rFonts w:ascii="Times New Roman" w:hAnsi="Times New Roman" w:cs="Times New Roman"/>
          <w:sz w:val="24"/>
          <w:szCs w:val="24"/>
        </w:rPr>
        <w:t>crystallised</w:t>
      </w:r>
      <w:r>
        <w:rPr>
          <w:rFonts w:ascii="Times New Roman" w:hAnsi="Times New Roman" w:cs="Times New Roman"/>
          <w:sz w:val="24"/>
          <w:szCs w:val="24"/>
        </w:rPr>
        <w:t xml:space="preserve"> at that stage without the benefit of a sample of the product.  Two of the principal planks of the proceedings stood independently of the need for a sample and any report thereon – the claim that </w:t>
      </w:r>
      <w:r w:rsidR="0085144F">
        <w:rPr>
          <w:rFonts w:ascii="Times New Roman" w:hAnsi="Times New Roman" w:cs="Times New Roman"/>
          <w:sz w:val="24"/>
          <w:szCs w:val="24"/>
        </w:rPr>
        <w:t xml:space="preserve">PPS </w:t>
      </w:r>
      <w:r>
        <w:rPr>
          <w:rFonts w:ascii="Times New Roman" w:hAnsi="Times New Roman" w:cs="Times New Roman"/>
          <w:sz w:val="24"/>
          <w:szCs w:val="24"/>
        </w:rPr>
        <w:t xml:space="preserve">is fundamentally unsuitable for approval as a generic because it did not have uniform composition and the contention that the product is a biological veterinary medicinal product and thus subject to the requirements of Article 13(4) of the Directive.  Grounds as to adequacy of reasons could also have been agitated at that time.  Simons J. reiterated in this context his concern that Arthropharm had not advised </w:t>
      </w:r>
      <w:r>
        <w:rPr>
          <w:rFonts w:ascii="Times New Roman" w:hAnsi="Times New Roman" w:cs="Times New Roman"/>
          <w:sz w:val="24"/>
          <w:szCs w:val="24"/>
        </w:rPr>
        <w:lastRenderedPageBreak/>
        <w:t>Chanelle of the proceedings and that, if it had, it could have sought a sample of the product.</w:t>
      </w:r>
    </w:p>
    <w:p w14:paraId="468C4522" w14:textId="77777777" w:rsidR="004627C0" w:rsidRPr="004627C0" w:rsidRDefault="004627C0" w:rsidP="004627C0">
      <w:pPr>
        <w:pStyle w:val="ListParagraph"/>
        <w:rPr>
          <w:rFonts w:ascii="Times New Roman" w:hAnsi="Times New Roman" w:cs="Times New Roman"/>
          <w:b/>
          <w:sz w:val="24"/>
          <w:szCs w:val="24"/>
        </w:rPr>
      </w:pPr>
    </w:p>
    <w:p w14:paraId="0E44F81B" w14:textId="77777777" w:rsidR="004627C0" w:rsidRPr="004627C0" w:rsidRDefault="004627C0" w:rsidP="004627C0">
      <w:pPr>
        <w:pStyle w:val="ListParagraph"/>
        <w:spacing w:before="240" w:line="480" w:lineRule="auto"/>
        <w:ind w:left="786"/>
        <w:jc w:val="both"/>
        <w:rPr>
          <w:rFonts w:ascii="Times New Roman" w:hAnsi="Times New Roman" w:cs="Times New Roman"/>
          <w:b/>
          <w:sz w:val="24"/>
          <w:szCs w:val="24"/>
        </w:rPr>
      </w:pPr>
    </w:p>
    <w:p w14:paraId="06EED39E" w14:textId="77777777" w:rsidR="002E4877" w:rsidRPr="00AA30D8" w:rsidRDefault="00A02A86" w:rsidP="00AA30D8">
      <w:pPr>
        <w:pStyle w:val="ListParagraph"/>
        <w:numPr>
          <w:ilvl w:val="0"/>
          <w:numId w:val="5"/>
        </w:numPr>
        <w:spacing w:before="240" w:line="480" w:lineRule="auto"/>
        <w:jc w:val="both"/>
        <w:rPr>
          <w:rFonts w:ascii="Times New Roman" w:hAnsi="Times New Roman" w:cs="Times New Roman"/>
          <w:i/>
          <w:sz w:val="24"/>
          <w:szCs w:val="24"/>
        </w:rPr>
      </w:pPr>
      <w:r w:rsidRPr="00AA30D8">
        <w:rPr>
          <w:rFonts w:ascii="Times New Roman" w:hAnsi="Times New Roman" w:cs="Times New Roman"/>
          <w:i/>
          <w:sz w:val="24"/>
          <w:szCs w:val="24"/>
        </w:rPr>
        <w:t>Arthropharm’s argument</w:t>
      </w:r>
    </w:p>
    <w:p w14:paraId="13390388" w14:textId="77777777" w:rsidR="002E4877" w:rsidRPr="002E4877" w:rsidRDefault="002E4877" w:rsidP="002E4877">
      <w:pPr>
        <w:pStyle w:val="ListParagraph"/>
        <w:spacing w:before="240" w:line="480" w:lineRule="auto"/>
        <w:jc w:val="both"/>
        <w:rPr>
          <w:rFonts w:ascii="Times New Roman" w:hAnsi="Times New Roman" w:cs="Times New Roman"/>
          <w:b/>
          <w:sz w:val="24"/>
          <w:szCs w:val="24"/>
        </w:rPr>
      </w:pPr>
      <w:r>
        <w:rPr>
          <w:rFonts w:ascii="Times New Roman" w:hAnsi="Times New Roman" w:cs="Times New Roman"/>
          <w:sz w:val="24"/>
          <w:szCs w:val="24"/>
        </w:rPr>
        <w:t xml:space="preserve"> </w:t>
      </w:r>
    </w:p>
    <w:p w14:paraId="0D49358D" w14:textId="7D458843" w:rsidR="002E4877" w:rsidRPr="00EF1942" w:rsidRDefault="007B68DA" w:rsidP="002177BA">
      <w:pPr>
        <w:pStyle w:val="ListParagraph"/>
        <w:numPr>
          <w:ilvl w:val="0"/>
          <w:numId w:val="1"/>
        </w:numPr>
        <w:spacing w:before="240" w:line="480" w:lineRule="auto"/>
        <w:jc w:val="both"/>
        <w:rPr>
          <w:rFonts w:ascii="Times New Roman" w:hAnsi="Times New Roman" w:cs="Times New Roman"/>
          <w:b/>
          <w:sz w:val="24"/>
          <w:szCs w:val="24"/>
        </w:rPr>
      </w:pPr>
      <w:r>
        <w:rPr>
          <w:rFonts w:ascii="Times New Roman" w:hAnsi="Times New Roman" w:cs="Times New Roman"/>
          <w:sz w:val="24"/>
          <w:szCs w:val="24"/>
        </w:rPr>
        <w:t>Dr</w:t>
      </w:r>
      <w:r w:rsidR="00C34A06">
        <w:rPr>
          <w:rFonts w:ascii="Times New Roman" w:hAnsi="Times New Roman" w:cs="Times New Roman"/>
          <w:sz w:val="24"/>
          <w:szCs w:val="24"/>
        </w:rPr>
        <w:t>. Cullis-Hill’s grounding affidavit identified ten factors which, it was contended, were relevant to any application for extension of time.  These, as they were developed</w:t>
      </w:r>
      <w:r w:rsidR="00693541">
        <w:rPr>
          <w:rFonts w:ascii="Times New Roman" w:hAnsi="Times New Roman" w:cs="Times New Roman"/>
          <w:sz w:val="24"/>
          <w:szCs w:val="24"/>
        </w:rPr>
        <w:t xml:space="preserve"> and refined in submissions before this court</w:t>
      </w:r>
      <w:r w:rsidR="00C34A06">
        <w:rPr>
          <w:rFonts w:ascii="Times New Roman" w:hAnsi="Times New Roman" w:cs="Times New Roman"/>
          <w:sz w:val="24"/>
          <w:szCs w:val="24"/>
        </w:rPr>
        <w:t xml:space="preserve">, </w:t>
      </w:r>
      <w:r w:rsidR="00B152B4">
        <w:rPr>
          <w:rFonts w:ascii="Times New Roman" w:hAnsi="Times New Roman" w:cs="Times New Roman"/>
          <w:sz w:val="24"/>
          <w:szCs w:val="24"/>
        </w:rPr>
        <w:t>can be reduced to the following</w:t>
      </w:r>
      <w:r w:rsidR="00EF1942">
        <w:rPr>
          <w:rFonts w:ascii="Times New Roman" w:hAnsi="Times New Roman" w:cs="Times New Roman"/>
          <w:sz w:val="24"/>
          <w:szCs w:val="24"/>
        </w:rPr>
        <w:t>:</w:t>
      </w:r>
    </w:p>
    <w:p w14:paraId="4C981E17" w14:textId="77777777" w:rsidR="00EF1942" w:rsidRDefault="00EF1942" w:rsidP="00EF1942">
      <w:pPr>
        <w:pStyle w:val="ListParagraph"/>
        <w:spacing w:before="240" w:line="480" w:lineRule="auto"/>
        <w:jc w:val="both"/>
        <w:rPr>
          <w:rFonts w:ascii="Times New Roman" w:hAnsi="Times New Roman" w:cs="Times New Roman"/>
          <w:b/>
          <w:sz w:val="24"/>
          <w:szCs w:val="24"/>
        </w:rPr>
      </w:pPr>
    </w:p>
    <w:p w14:paraId="02C73738" w14:textId="5FF7F382" w:rsidR="00EF1942" w:rsidRPr="00EF1942" w:rsidRDefault="00693541" w:rsidP="00EF1942">
      <w:pPr>
        <w:pStyle w:val="ListParagraph"/>
        <w:numPr>
          <w:ilvl w:val="0"/>
          <w:numId w:val="21"/>
        </w:numPr>
        <w:spacing w:before="240" w:line="480" w:lineRule="auto"/>
        <w:jc w:val="both"/>
        <w:rPr>
          <w:rFonts w:ascii="Times New Roman" w:hAnsi="Times New Roman" w:cs="Times New Roman"/>
          <w:b/>
          <w:sz w:val="24"/>
          <w:szCs w:val="24"/>
        </w:rPr>
      </w:pPr>
      <w:r>
        <w:rPr>
          <w:rFonts w:ascii="Times New Roman" w:hAnsi="Times New Roman" w:cs="Times New Roman"/>
          <w:sz w:val="24"/>
          <w:szCs w:val="24"/>
        </w:rPr>
        <w:t xml:space="preserve">Arthropharm </w:t>
      </w:r>
      <w:r w:rsidR="00EF1942">
        <w:rPr>
          <w:rFonts w:ascii="Times New Roman" w:hAnsi="Times New Roman" w:cs="Times New Roman"/>
          <w:sz w:val="24"/>
          <w:szCs w:val="24"/>
        </w:rPr>
        <w:t>had no notice of Chanelle’s application prior to the approval date</w:t>
      </w:r>
      <w:r w:rsidR="002100E5">
        <w:rPr>
          <w:rFonts w:ascii="Times New Roman" w:hAnsi="Times New Roman" w:cs="Times New Roman"/>
          <w:sz w:val="24"/>
          <w:szCs w:val="24"/>
        </w:rPr>
        <w:t xml:space="preserve"> </w:t>
      </w:r>
      <w:r w:rsidR="00EF1942">
        <w:rPr>
          <w:rFonts w:ascii="Times New Roman" w:hAnsi="Times New Roman" w:cs="Times New Roman"/>
          <w:sz w:val="24"/>
          <w:szCs w:val="24"/>
        </w:rPr>
        <w:t>and had no prior involvement or right to participate in the approval process.</w:t>
      </w:r>
      <w:r w:rsidR="00BE6081">
        <w:rPr>
          <w:rFonts w:ascii="Times New Roman" w:hAnsi="Times New Roman" w:cs="Times New Roman"/>
          <w:sz w:val="24"/>
          <w:szCs w:val="24"/>
        </w:rPr>
        <w:t xml:space="preserve">  The trial judge, it is contended, failed to take sufficient account of the fact that Arthropharm was unaware of the application until 23 August 2018.</w:t>
      </w:r>
    </w:p>
    <w:p w14:paraId="2F9E112C" w14:textId="77777777" w:rsidR="00EF1942" w:rsidRDefault="00EF1942" w:rsidP="00EF1942">
      <w:pPr>
        <w:pStyle w:val="ListParagraph"/>
        <w:spacing w:before="240" w:line="480" w:lineRule="auto"/>
        <w:ind w:left="2160"/>
        <w:jc w:val="both"/>
        <w:rPr>
          <w:rFonts w:ascii="Times New Roman" w:hAnsi="Times New Roman" w:cs="Times New Roman"/>
          <w:b/>
          <w:sz w:val="24"/>
          <w:szCs w:val="24"/>
        </w:rPr>
      </w:pPr>
      <w:r>
        <w:rPr>
          <w:rFonts w:ascii="Times New Roman" w:hAnsi="Times New Roman" w:cs="Times New Roman"/>
          <w:b/>
          <w:sz w:val="24"/>
          <w:szCs w:val="24"/>
        </w:rPr>
        <w:t xml:space="preserve">  </w:t>
      </w:r>
    </w:p>
    <w:p w14:paraId="5E0596CF" w14:textId="77777777" w:rsidR="00DD7F55" w:rsidRPr="00DD7F55" w:rsidRDefault="00BE6081" w:rsidP="00EF1942">
      <w:pPr>
        <w:pStyle w:val="ListParagraph"/>
        <w:numPr>
          <w:ilvl w:val="0"/>
          <w:numId w:val="21"/>
        </w:numPr>
        <w:spacing w:before="240" w:line="480" w:lineRule="auto"/>
        <w:jc w:val="both"/>
        <w:rPr>
          <w:rFonts w:ascii="Times New Roman" w:hAnsi="Times New Roman" w:cs="Times New Roman"/>
          <w:b/>
          <w:sz w:val="24"/>
          <w:szCs w:val="24"/>
        </w:rPr>
      </w:pPr>
      <w:r>
        <w:rPr>
          <w:rFonts w:ascii="Times New Roman" w:hAnsi="Times New Roman" w:cs="Times New Roman"/>
          <w:sz w:val="24"/>
          <w:szCs w:val="24"/>
        </w:rPr>
        <w:t xml:space="preserve">The court failed to take into account or to have sufficient regard to the fact that the information contained in the publicly available information was extremely limited, and that </w:t>
      </w:r>
      <w:r w:rsidR="00DD7F55">
        <w:rPr>
          <w:rFonts w:ascii="Times New Roman" w:hAnsi="Times New Roman" w:cs="Times New Roman"/>
          <w:sz w:val="24"/>
          <w:szCs w:val="24"/>
        </w:rPr>
        <w:t>HP</w:t>
      </w:r>
      <w:r w:rsidR="00A83D3A">
        <w:rPr>
          <w:rFonts w:ascii="Times New Roman" w:hAnsi="Times New Roman" w:cs="Times New Roman"/>
          <w:sz w:val="24"/>
          <w:szCs w:val="24"/>
        </w:rPr>
        <w:t>R</w:t>
      </w:r>
      <w:r w:rsidR="00DD7F55">
        <w:rPr>
          <w:rFonts w:ascii="Times New Roman" w:hAnsi="Times New Roman" w:cs="Times New Roman"/>
          <w:sz w:val="24"/>
          <w:szCs w:val="24"/>
        </w:rPr>
        <w:t>A provided Arthropharm with very li</w:t>
      </w:r>
      <w:r w:rsidR="00254F8B">
        <w:rPr>
          <w:rFonts w:ascii="Times New Roman" w:hAnsi="Times New Roman" w:cs="Times New Roman"/>
          <w:sz w:val="24"/>
          <w:szCs w:val="24"/>
        </w:rPr>
        <w:t xml:space="preserve">ttle data </w:t>
      </w:r>
      <w:r w:rsidR="00DD7F55">
        <w:rPr>
          <w:rFonts w:ascii="Times New Roman" w:hAnsi="Times New Roman" w:cs="Times New Roman"/>
          <w:sz w:val="24"/>
          <w:szCs w:val="24"/>
        </w:rPr>
        <w:t>at every stage.</w:t>
      </w:r>
    </w:p>
    <w:p w14:paraId="17775B2B" w14:textId="77777777" w:rsidR="00DD7F55" w:rsidRPr="00DD7F55" w:rsidRDefault="00DD7F55" w:rsidP="00DD7F55">
      <w:pPr>
        <w:pStyle w:val="ListParagraph"/>
        <w:rPr>
          <w:rFonts w:ascii="Times New Roman" w:hAnsi="Times New Roman" w:cs="Times New Roman"/>
          <w:b/>
          <w:sz w:val="24"/>
          <w:szCs w:val="24"/>
        </w:rPr>
      </w:pPr>
    </w:p>
    <w:p w14:paraId="58F13D89" w14:textId="77777777" w:rsidR="00DD7F55" w:rsidRPr="00DD7F55" w:rsidRDefault="00DD7F55" w:rsidP="00EF1942">
      <w:pPr>
        <w:pStyle w:val="ListParagraph"/>
        <w:numPr>
          <w:ilvl w:val="0"/>
          <w:numId w:val="21"/>
        </w:numPr>
        <w:spacing w:before="240" w:line="480" w:lineRule="auto"/>
        <w:jc w:val="both"/>
        <w:rPr>
          <w:rFonts w:ascii="Times New Roman" w:hAnsi="Times New Roman" w:cs="Times New Roman"/>
          <w:b/>
          <w:sz w:val="24"/>
          <w:szCs w:val="24"/>
        </w:rPr>
      </w:pPr>
      <w:r>
        <w:rPr>
          <w:rFonts w:ascii="Times New Roman" w:hAnsi="Times New Roman" w:cs="Times New Roman"/>
          <w:sz w:val="24"/>
          <w:szCs w:val="24"/>
        </w:rPr>
        <w:t>Arthropharm requested a review, and there was no indication from HP</w:t>
      </w:r>
      <w:r w:rsidR="00A83D3A">
        <w:rPr>
          <w:rFonts w:ascii="Times New Roman" w:hAnsi="Times New Roman" w:cs="Times New Roman"/>
          <w:sz w:val="24"/>
          <w:szCs w:val="24"/>
        </w:rPr>
        <w:t>R</w:t>
      </w:r>
      <w:r>
        <w:rPr>
          <w:rFonts w:ascii="Times New Roman" w:hAnsi="Times New Roman" w:cs="Times New Roman"/>
          <w:sz w:val="24"/>
          <w:szCs w:val="24"/>
        </w:rPr>
        <w:t>A that there was a time limit of which Arthropharm was about to fall foul.</w:t>
      </w:r>
    </w:p>
    <w:p w14:paraId="39D2A476" w14:textId="77777777" w:rsidR="00DD7F55" w:rsidRPr="00DD7F55" w:rsidRDefault="00DD7F55" w:rsidP="00DD7F55">
      <w:pPr>
        <w:pStyle w:val="ListParagraph"/>
        <w:rPr>
          <w:rFonts w:ascii="Times New Roman" w:hAnsi="Times New Roman" w:cs="Times New Roman"/>
          <w:b/>
          <w:sz w:val="24"/>
          <w:szCs w:val="24"/>
        </w:rPr>
      </w:pPr>
    </w:p>
    <w:p w14:paraId="60FC07B9" w14:textId="706109F6" w:rsidR="00EF1942" w:rsidRDefault="00DD7F55" w:rsidP="00BE6081">
      <w:pPr>
        <w:pStyle w:val="ListParagraph"/>
        <w:numPr>
          <w:ilvl w:val="0"/>
          <w:numId w:val="21"/>
        </w:numPr>
        <w:spacing w:before="240" w:line="480" w:lineRule="auto"/>
        <w:jc w:val="both"/>
        <w:rPr>
          <w:rFonts w:ascii="Times New Roman" w:hAnsi="Times New Roman" w:cs="Times New Roman"/>
          <w:b/>
          <w:sz w:val="24"/>
          <w:szCs w:val="24"/>
        </w:rPr>
      </w:pPr>
      <w:r>
        <w:rPr>
          <w:rFonts w:ascii="Times New Roman" w:hAnsi="Times New Roman" w:cs="Times New Roman"/>
          <w:sz w:val="24"/>
          <w:szCs w:val="24"/>
        </w:rPr>
        <w:t>There was no access to the product until it was put on the open market</w:t>
      </w:r>
      <w:r w:rsidR="00BE6081">
        <w:rPr>
          <w:rFonts w:ascii="Times New Roman" w:hAnsi="Times New Roman" w:cs="Times New Roman"/>
          <w:sz w:val="24"/>
          <w:szCs w:val="24"/>
        </w:rPr>
        <w:t xml:space="preserve"> on </w:t>
      </w:r>
      <w:r w:rsidR="00232ADF">
        <w:rPr>
          <w:rFonts w:ascii="Times New Roman" w:hAnsi="Times New Roman" w:cs="Times New Roman"/>
          <w:sz w:val="24"/>
          <w:szCs w:val="24"/>
        </w:rPr>
        <w:t xml:space="preserve">8 </w:t>
      </w:r>
      <w:r w:rsidR="00BE6081">
        <w:rPr>
          <w:rFonts w:ascii="Times New Roman" w:hAnsi="Times New Roman" w:cs="Times New Roman"/>
          <w:sz w:val="24"/>
          <w:szCs w:val="24"/>
        </w:rPr>
        <w:t>November 2018 and i</w:t>
      </w:r>
      <w:r w:rsidRPr="00BE6081">
        <w:rPr>
          <w:rFonts w:ascii="Times New Roman" w:hAnsi="Times New Roman" w:cs="Times New Roman"/>
          <w:sz w:val="24"/>
          <w:szCs w:val="24"/>
        </w:rPr>
        <w:t xml:space="preserve">t was only at the point where the product was </w:t>
      </w:r>
      <w:r w:rsidRPr="00BE6081">
        <w:rPr>
          <w:rFonts w:ascii="Times New Roman" w:hAnsi="Times New Roman" w:cs="Times New Roman"/>
          <w:sz w:val="24"/>
          <w:szCs w:val="24"/>
        </w:rPr>
        <w:lastRenderedPageBreak/>
        <w:t xml:space="preserve">put on the market that it was possible to carry out a scientific examination of </w:t>
      </w:r>
      <w:r w:rsidR="009F0DE4">
        <w:rPr>
          <w:rFonts w:ascii="Times New Roman" w:hAnsi="Times New Roman" w:cs="Times New Roman"/>
          <w:sz w:val="24"/>
          <w:szCs w:val="24"/>
        </w:rPr>
        <w:t>it</w:t>
      </w:r>
      <w:r w:rsidRPr="00BE6081">
        <w:rPr>
          <w:rFonts w:ascii="Times New Roman" w:hAnsi="Times New Roman" w:cs="Times New Roman"/>
          <w:sz w:val="24"/>
          <w:szCs w:val="24"/>
        </w:rPr>
        <w:t>.</w:t>
      </w:r>
      <w:r w:rsidR="00E85A02">
        <w:rPr>
          <w:rFonts w:ascii="Times New Roman" w:hAnsi="Times New Roman" w:cs="Times New Roman"/>
          <w:sz w:val="24"/>
          <w:szCs w:val="24"/>
        </w:rPr>
        <w:t xml:space="preserve">  The case, it is stressed, is in a technical area in regard to which it was appropriate to await the receipt of the relevant scientific information.</w:t>
      </w:r>
    </w:p>
    <w:p w14:paraId="3FC141A3" w14:textId="77777777" w:rsidR="00BE6081" w:rsidRPr="00BE6081" w:rsidRDefault="00BE6081" w:rsidP="00BE6081">
      <w:pPr>
        <w:pStyle w:val="ListParagraph"/>
        <w:rPr>
          <w:rFonts w:ascii="Times New Roman" w:hAnsi="Times New Roman" w:cs="Times New Roman"/>
          <w:b/>
          <w:sz w:val="24"/>
          <w:szCs w:val="24"/>
        </w:rPr>
      </w:pPr>
    </w:p>
    <w:p w14:paraId="73FFE699" w14:textId="24780641" w:rsidR="00BE6081" w:rsidRPr="001469B4" w:rsidRDefault="00BE6081" w:rsidP="00BE6081">
      <w:pPr>
        <w:pStyle w:val="ListParagraph"/>
        <w:numPr>
          <w:ilvl w:val="0"/>
          <w:numId w:val="21"/>
        </w:numPr>
        <w:spacing w:before="240" w:line="480" w:lineRule="auto"/>
        <w:jc w:val="both"/>
        <w:rPr>
          <w:rFonts w:ascii="Times New Roman" w:hAnsi="Times New Roman" w:cs="Times New Roman"/>
          <w:b/>
          <w:sz w:val="24"/>
          <w:szCs w:val="24"/>
        </w:rPr>
      </w:pPr>
      <w:r>
        <w:rPr>
          <w:rFonts w:ascii="Times New Roman" w:hAnsi="Times New Roman" w:cs="Times New Roman"/>
          <w:sz w:val="24"/>
          <w:szCs w:val="24"/>
        </w:rPr>
        <w:t xml:space="preserve">The trial judge failed to take sufficient account of the fact that Arthropharm was operating under </w:t>
      </w:r>
      <w:r w:rsidR="00693541">
        <w:rPr>
          <w:rFonts w:ascii="Times New Roman" w:hAnsi="Times New Roman" w:cs="Times New Roman"/>
          <w:sz w:val="24"/>
          <w:szCs w:val="24"/>
        </w:rPr>
        <w:t>the</w:t>
      </w:r>
      <w:r>
        <w:rPr>
          <w:rFonts w:ascii="Times New Roman" w:hAnsi="Times New Roman" w:cs="Times New Roman"/>
          <w:sz w:val="24"/>
          <w:szCs w:val="24"/>
        </w:rPr>
        <w:t xml:space="preserve"> mistaken impression</w:t>
      </w:r>
      <w:r w:rsidR="009F0DE4">
        <w:rPr>
          <w:rFonts w:ascii="Times New Roman" w:hAnsi="Times New Roman" w:cs="Times New Roman"/>
          <w:sz w:val="24"/>
          <w:szCs w:val="24"/>
        </w:rPr>
        <w:t xml:space="preserve"> until </w:t>
      </w:r>
      <w:r w:rsidR="00020A30">
        <w:rPr>
          <w:rFonts w:ascii="Times New Roman" w:hAnsi="Times New Roman" w:cs="Times New Roman"/>
          <w:sz w:val="24"/>
          <w:szCs w:val="24"/>
        </w:rPr>
        <w:t xml:space="preserve">14 </w:t>
      </w:r>
      <w:r w:rsidR="009F0DE4">
        <w:rPr>
          <w:rFonts w:ascii="Times New Roman" w:hAnsi="Times New Roman" w:cs="Times New Roman"/>
          <w:sz w:val="24"/>
          <w:szCs w:val="24"/>
        </w:rPr>
        <w:t>December</w:t>
      </w:r>
      <w:r>
        <w:rPr>
          <w:rFonts w:ascii="Times New Roman" w:hAnsi="Times New Roman" w:cs="Times New Roman"/>
          <w:sz w:val="24"/>
          <w:szCs w:val="24"/>
        </w:rPr>
        <w:t xml:space="preserve"> that a substantive response had not been received to its letter of </w:t>
      </w:r>
      <w:r w:rsidR="00232ADF">
        <w:rPr>
          <w:rFonts w:ascii="Times New Roman" w:hAnsi="Times New Roman" w:cs="Times New Roman"/>
          <w:sz w:val="24"/>
          <w:szCs w:val="24"/>
        </w:rPr>
        <w:t xml:space="preserve">12 </w:t>
      </w:r>
      <w:r>
        <w:rPr>
          <w:rFonts w:ascii="Times New Roman" w:hAnsi="Times New Roman" w:cs="Times New Roman"/>
          <w:sz w:val="24"/>
          <w:szCs w:val="24"/>
        </w:rPr>
        <w:t>October</w:t>
      </w:r>
      <w:r w:rsidR="002100E5">
        <w:rPr>
          <w:rFonts w:ascii="Times New Roman" w:hAnsi="Times New Roman" w:cs="Times New Roman"/>
          <w:sz w:val="24"/>
          <w:szCs w:val="24"/>
        </w:rPr>
        <w:t xml:space="preserve"> 2018</w:t>
      </w:r>
      <w:r w:rsidR="009F0DE4">
        <w:rPr>
          <w:rFonts w:ascii="Times New Roman" w:hAnsi="Times New Roman" w:cs="Times New Roman"/>
          <w:sz w:val="24"/>
          <w:szCs w:val="24"/>
        </w:rPr>
        <w:t>.</w:t>
      </w:r>
    </w:p>
    <w:p w14:paraId="3B3E7A5C" w14:textId="77777777" w:rsidR="001469B4" w:rsidRPr="001469B4" w:rsidRDefault="001469B4" w:rsidP="001469B4">
      <w:pPr>
        <w:pStyle w:val="ListParagraph"/>
        <w:rPr>
          <w:rFonts w:ascii="Times New Roman" w:hAnsi="Times New Roman" w:cs="Times New Roman"/>
          <w:b/>
          <w:sz w:val="24"/>
          <w:szCs w:val="24"/>
        </w:rPr>
      </w:pPr>
    </w:p>
    <w:p w14:paraId="66E90226" w14:textId="6F897A08" w:rsidR="001469B4" w:rsidRPr="00BE6081" w:rsidRDefault="001469B4" w:rsidP="00BE6081">
      <w:pPr>
        <w:pStyle w:val="ListParagraph"/>
        <w:numPr>
          <w:ilvl w:val="0"/>
          <w:numId w:val="21"/>
        </w:numPr>
        <w:spacing w:before="240" w:line="480" w:lineRule="auto"/>
        <w:jc w:val="both"/>
        <w:rPr>
          <w:rFonts w:ascii="Times New Roman" w:hAnsi="Times New Roman" w:cs="Times New Roman"/>
          <w:b/>
          <w:sz w:val="24"/>
          <w:szCs w:val="24"/>
        </w:rPr>
      </w:pPr>
      <w:r>
        <w:rPr>
          <w:rFonts w:ascii="Times New Roman" w:hAnsi="Times New Roman" w:cs="Times New Roman"/>
          <w:sz w:val="24"/>
          <w:szCs w:val="24"/>
        </w:rPr>
        <w:t>The judge failed to have sufficient regard to what was described in oral submissions as ‘</w:t>
      </w:r>
      <w:r>
        <w:rPr>
          <w:rFonts w:ascii="Times New Roman" w:hAnsi="Times New Roman" w:cs="Times New Roman"/>
          <w:i/>
          <w:sz w:val="24"/>
          <w:szCs w:val="24"/>
        </w:rPr>
        <w:t>the</w:t>
      </w:r>
      <w:r w:rsidR="007B68DA">
        <w:rPr>
          <w:rFonts w:ascii="Times New Roman" w:hAnsi="Times New Roman" w:cs="Times New Roman"/>
          <w:i/>
          <w:sz w:val="24"/>
          <w:szCs w:val="24"/>
        </w:rPr>
        <w:t xml:space="preserve"> Iris </w:t>
      </w:r>
      <w:r w:rsidR="00C93565">
        <w:rPr>
          <w:rFonts w:ascii="Times New Roman" w:hAnsi="Times New Roman" w:cs="Times New Roman"/>
          <w:i/>
          <w:sz w:val="24"/>
          <w:szCs w:val="24"/>
        </w:rPr>
        <w:t>Oifigiúil</w:t>
      </w:r>
      <w:r>
        <w:rPr>
          <w:rFonts w:ascii="Times New Roman" w:hAnsi="Times New Roman" w:cs="Times New Roman"/>
          <w:i/>
          <w:sz w:val="24"/>
          <w:szCs w:val="24"/>
        </w:rPr>
        <w:t xml:space="preserve"> factor’</w:t>
      </w:r>
      <w:r w:rsidR="007B68DA">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 xml:space="preserve">that is that the official publication of the decision to grant the marketing authorisation was not effected until </w:t>
      </w:r>
      <w:r w:rsidR="00831D67">
        <w:rPr>
          <w:rFonts w:ascii="Times New Roman" w:hAnsi="Times New Roman" w:cs="Times New Roman"/>
          <w:sz w:val="24"/>
          <w:szCs w:val="24"/>
        </w:rPr>
        <w:t xml:space="preserve">8 </w:t>
      </w:r>
      <w:r>
        <w:rPr>
          <w:rFonts w:ascii="Times New Roman" w:hAnsi="Times New Roman" w:cs="Times New Roman"/>
          <w:sz w:val="24"/>
          <w:szCs w:val="24"/>
        </w:rPr>
        <w:t>January</w:t>
      </w:r>
      <w:r w:rsidR="002100E5">
        <w:rPr>
          <w:rFonts w:ascii="Times New Roman" w:hAnsi="Times New Roman" w:cs="Times New Roman"/>
          <w:sz w:val="24"/>
          <w:szCs w:val="24"/>
        </w:rPr>
        <w:t xml:space="preserve"> 2019</w:t>
      </w:r>
      <w:r>
        <w:rPr>
          <w:rFonts w:ascii="Times New Roman" w:hAnsi="Times New Roman" w:cs="Times New Roman"/>
          <w:sz w:val="24"/>
          <w:szCs w:val="24"/>
        </w:rPr>
        <w:t>.</w:t>
      </w:r>
    </w:p>
    <w:p w14:paraId="140446C5" w14:textId="77777777" w:rsidR="00EF1942" w:rsidRDefault="00EF1942" w:rsidP="00EF1942">
      <w:pPr>
        <w:pStyle w:val="ListParagraph"/>
        <w:spacing w:before="240" w:line="480" w:lineRule="auto"/>
        <w:jc w:val="both"/>
        <w:rPr>
          <w:rFonts w:ascii="Times New Roman" w:hAnsi="Times New Roman" w:cs="Times New Roman"/>
          <w:b/>
          <w:sz w:val="24"/>
          <w:szCs w:val="24"/>
        </w:rPr>
      </w:pPr>
    </w:p>
    <w:p w14:paraId="031BBAAD" w14:textId="7F194EBD" w:rsidR="00247045" w:rsidRDefault="009F0DE4" w:rsidP="00247045">
      <w:pPr>
        <w:pStyle w:val="ListParagraph"/>
        <w:numPr>
          <w:ilvl w:val="0"/>
          <w:numId w:val="5"/>
        </w:numPr>
        <w:spacing w:before="240" w:line="480" w:lineRule="auto"/>
        <w:jc w:val="both"/>
        <w:rPr>
          <w:rFonts w:ascii="Times New Roman" w:hAnsi="Times New Roman" w:cs="Times New Roman"/>
          <w:i/>
          <w:sz w:val="24"/>
          <w:szCs w:val="24"/>
        </w:rPr>
      </w:pPr>
      <w:r>
        <w:rPr>
          <w:rFonts w:ascii="Times New Roman" w:hAnsi="Times New Roman" w:cs="Times New Roman"/>
          <w:i/>
          <w:sz w:val="24"/>
          <w:szCs w:val="24"/>
        </w:rPr>
        <w:t xml:space="preserve">The relevance of the publication on </w:t>
      </w:r>
      <w:r w:rsidR="00831D67">
        <w:rPr>
          <w:rFonts w:ascii="Times New Roman" w:hAnsi="Times New Roman" w:cs="Times New Roman"/>
          <w:i/>
          <w:sz w:val="24"/>
          <w:szCs w:val="24"/>
        </w:rPr>
        <w:t xml:space="preserve">23 </w:t>
      </w:r>
      <w:r>
        <w:rPr>
          <w:rFonts w:ascii="Times New Roman" w:hAnsi="Times New Roman" w:cs="Times New Roman"/>
          <w:i/>
          <w:sz w:val="24"/>
          <w:szCs w:val="24"/>
        </w:rPr>
        <w:t>July</w:t>
      </w:r>
      <w:r w:rsidR="002100E5">
        <w:rPr>
          <w:rFonts w:ascii="Times New Roman" w:hAnsi="Times New Roman" w:cs="Times New Roman"/>
          <w:i/>
          <w:sz w:val="24"/>
          <w:szCs w:val="24"/>
        </w:rPr>
        <w:t xml:space="preserve"> 2018</w:t>
      </w:r>
    </w:p>
    <w:p w14:paraId="59D540C9" w14:textId="77777777" w:rsidR="000A4A65" w:rsidRPr="00247045" w:rsidRDefault="000A4A65" w:rsidP="00247045">
      <w:pPr>
        <w:pStyle w:val="ListParagraph"/>
        <w:spacing w:before="240" w:line="480" w:lineRule="auto"/>
        <w:ind w:left="2160"/>
        <w:jc w:val="both"/>
        <w:rPr>
          <w:rFonts w:ascii="Times New Roman" w:hAnsi="Times New Roman" w:cs="Times New Roman"/>
          <w:i/>
          <w:sz w:val="24"/>
          <w:szCs w:val="24"/>
        </w:rPr>
      </w:pPr>
      <w:r w:rsidRPr="00247045">
        <w:rPr>
          <w:rFonts w:ascii="Times New Roman" w:hAnsi="Times New Roman" w:cs="Times New Roman"/>
          <w:b/>
          <w:sz w:val="24"/>
          <w:szCs w:val="24"/>
        </w:rPr>
        <w:t xml:space="preserve">  </w:t>
      </w:r>
    </w:p>
    <w:p w14:paraId="652332DD" w14:textId="53300954" w:rsidR="00714EFC" w:rsidRPr="00714EFC" w:rsidRDefault="00247045" w:rsidP="00714EFC">
      <w:pPr>
        <w:pStyle w:val="ListParagraph"/>
        <w:numPr>
          <w:ilvl w:val="0"/>
          <w:numId w:val="1"/>
        </w:numPr>
        <w:spacing w:before="240" w:line="480" w:lineRule="auto"/>
        <w:jc w:val="both"/>
        <w:rPr>
          <w:rFonts w:ascii="Times New Roman" w:hAnsi="Times New Roman" w:cs="Times New Roman"/>
          <w:b/>
          <w:sz w:val="24"/>
          <w:szCs w:val="24"/>
        </w:rPr>
      </w:pPr>
      <w:r>
        <w:rPr>
          <w:rFonts w:ascii="Times New Roman" w:hAnsi="Times New Roman" w:cs="Times New Roman"/>
          <w:sz w:val="24"/>
          <w:szCs w:val="24"/>
        </w:rPr>
        <w:t>As I have previously noted, t</w:t>
      </w:r>
      <w:r w:rsidR="000A4A65">
        <w:rPr>
          <w:rFonts w:ascii="Times New Roman" w:hAnsi="Times New Roman" w:cs="Times New Roman"/>
          <w:sz w:val="24"/>
          <w:szCs w:val="24"/>
        </w:rPr>
        <w:t>h</w:t>
      </w:r>
      <w:r>
        <w:rPr>
          <w:rFonts w:ascii="Times New Roman" w:hAnsi="Times New Roman" w:cs="Times New Roman"/>
          <w:sz w:val="24"/>
          <w:szCs w:val="24"/>
        </w:rPr>
        <w:t xml:space="preserve">e judgment of CJEU in </w:t>
      </w:r>
      <w:r>
        <w:rPr>
          <w:rFonts w:ascii="Times New Roman" w:hAnsi="Times New Roman" w:cs="Times New Roman"/>
          <w:i/>
          <w:sz w:val="24"/>
          <w:szCs w:val="24"/>
        </w:rPr>
        <w:t xml:space="preserve">Uniplex </w:t>
      </w:r>
      <w:r>
        <w:rPr>
          <w:rFonts w:ascii="Times New Roman" w:hAnsi="Times New Roman" w:cs="Times New Roman"/>
          <w:sz w:val="24"/>
          <w:szCs w:val="24"/>
        </w:rPr>
        <w:t xml:space="preserve">requires that the court exercise its discretion to extend time in such a way that Arthropharm has a period equivalent to that which it would have had if the </w:t>
      </w:r>
      <w:r w:rsidR="00930372">
        <w:rPr>
          <w:rFonts w:ascii="Times New Roman" w:hAnsi="Times New Roman" w:cs="Times New Roman"/>
          <w:sz w:val="24"/>
          <w:szCs w:val="24"/>
        </w:rPr>
        <w:t xml:space="preserve">time limit </w:t>
      </w:r>
      <w:r>
        <w:rPr>
          <w:rFonts w:ascii="Times New Roman" w:hAnsi="Times New Roman" w:cs="Times New Roman"/>
          <w:sz w:val="24"/>
          <w:szCs w:val="24"/>
        </w:rPr>
        <w:t xml:space="preserve">provided for by Order 84 </w:t>
      </w:r>
      <w:r w:rsidR="007B68DA">
        <w:rPr>
          <w:rFonts w:ascii="Times New Roman" w:hAnsi="Times New Roman" w:cs="Times New Roman"/>
          <w:sz w:val="24"/>
          <w:szCs w:val="24"/>
        </w:rPr>
        <w:t>Rule</w:t>
      </w:r>
      <w:r>
        <w:rPr>
          <w:rFonts w:ascii="Times New Roman" w:hAnsi="Times New Roman" w:cs="Times New Roman"/>
          <w:sz w:val="24"/>
          <w:szCs w:val="24"/>
        </w:rPr>
        <w:t xml:space="preserve"> 21(1) had run from the date on which it either (a) knew or (b) ‘</w:t>
      </w:r>
      <w:r>
        <w:rPr>
          <w:rFonts w:ascii="Times New Roman" w:hAnsi="Times New Roman" w:cs="Times New Roman"/>
          <w:i/>
          <w:sz w:val="24"/>
          <w:szCs w:val="24"/>
        </w:rPr>
        <w:t xml:space="preserve">ought to have known’ </w:t>
      </w:r>
      <w:r>
        <w:rPr>
          <w:rFonts w:ascii="Times New Roman" w:hAnsi="Times New Roman" w:cs="Times New Roman"/>
          <w:sz w:val="24"/>
          <w:szCs w:val="24"/>
        </w:rPr>
        <w:t xml:space="preserve">of the infringement.  In this case that means either 23 August 2018, when Arthropharm learnt of the decision, or </w:t>
      </w:r>
      <w:r w:rsidR="00831D67">
        <w:rPr>
          <w:rFonts w:ascii="Times New Roman" w:hAnsi="Times New Roman" w:cs="Times New Roman"/>
          <w:sz w:val="24"/>
          <w:szCs w:val="24"/>
        </w:rPr>
        <w:t xml:space="preserve">23 </w:t>
      </w:r>
      <w:r>
        <w:rPr>
          <w:rFonts w:ascii="Times New Roman" w:hAnsi="Times New Roman" w:cs="Times New Roman"/>
          <w:sz w:val="24"/>
          <w:szCs w:val="24"/>
        </w:rPr>
        <w:t xml:space="preserve">July </w:t>
      </w:r>
      <w:r w:rsidR="00A9074B">
        <w:rPr>
          <w:rFonts w:ascii="Times New Roman" w:hAnsi="Times New Roman" w:cs="Times New Roman"/>
          <w:sz w:val="24"/>
          <w:szCs w:val="24"/>
        </w:rPr>
        <w:t xml:space="preserve">2018 when </w:t>
      </w:r>
      <w:r w:rsidR="00F160A6">
        <w:rPr>
          <w:rFonts w:ascii="Times New Roman" w:hAnsi="Times New Roman" w:cs="Times New Roman"/>
          <w:sz w:val="24"/>
          <w:szCs w:val="24"/>
        </w:rPr>
        <w:t>HPRA</w:t>
      </w:r>
      <w:r w:rsidR="00A9074B">
        <w:rPr>
          <w:rFonts w:ascii="Times New Roman" w:hAnsi="Times New Roman" w:cs="Times New Roman"/>
          <w:sz w:val="24"/>
          <w:szCs w:val="24"/>
        </w:rPr>
        <w:t xml:space="preserve"> published it on its website.  </w:t>
      </w:r>
      <w:r w:rsidR="00A9074B" w:rsidRPr="00870365">
        <w:rPr>
          <w:rFonts w:ascii="Times New Roman" w:hAnsi="Times New Roman" w:cs="Times New Roman"/>
          <w:sz w:val="24"/>
          <w:szCs w:val="24"/>
        </w:rPr>
        <w:t>The former absolves Arthro</w:t>
      </w:r>
      <w:r w:rsidR="00A9074B">
        <w:rPr>
          <w:rFonts w:ascii="Times New Roman" w:hAnsi="Times New Roman" w:cs="Times New Roman"/>
          <w:sz w:val="24"/>
          <w:szCs w:val="24"/>
        </w:rPr>
        <w:t>ph</w:t>
      </w:r>
      <w:r w:rsidR="00A9074B" w:rsidRPr="00870365">
        <w:rPr>
          <w:rFonts w:ascii="Times New Roman" w:hAnsi="Times New Roman" w:cs="Times New Roman"/>
          <w:sz w:val="24"/>
          <w:szCs w:val="24"/>
        </w:rPr>
        <w:t xml:space="preserve">arm of any responsibility to check and see if its products are being used as a reference point for the authorisation of competing generics.  </w:t>
      </w:r>
      <w:r w:rsidR="00137A32">
        <w:rPr>
          <w:rFonts w:ascii="Times New Roman" w:hAnsi="Times New Roman" w:cs="Times New Roman"/>
          <w:sz w:val="24"/>
          <w:szCs w:val="24"/>
        </w:rPr>
        <w:t xml:space="preserve">Choosing it would </w:t>
      </w:r>
      <w:r w:rsidR="009541E4">
        <w:rPr>
          <w:rFonts w:ascii="Times New Roman" w:hAnsi="Times New Roman" w:cs="Times New Roman"/>
          <w:sz w:val="24"/>
          <w:szCs w:val="24"/>
        </w:rPr>
        <w:t xml:space="preserve">also mean that time runs would run from different points </w:t>
      </w:r>
      <w:r w:rsidR="009541E4">
        <w:rPr>
          <w:rFonts w:ascii="Times New Roman" w:hAnsi="Times New Roman" w:cs="Times New Roman"/>
          <w:sz w:val="24"/>
          <w:szCs w:val="24"/>
        </w:rPr>
        <w:lastRenderedPageBreak/>
        <w:t xml:space="preserve">for different litigants.  </w:t>
      </w:r>
      <w:r w:rsidR="00A9074B" w:rsidRPr="00870365">
        <w:rPr>
          <w:rFonts w:ascii="Times New Roman" w:hAnsi="Times New Roman" w:cs="Times New Roman"/>
          <w:sz w:val="24"/>
          <w:szCs w:val="24"/>
        </w:rPr>
        <w:t xml:space="preserve">The latter </w:t>
      </w:r>
      <w:r w:rsidR="00711AEE">
        <w:rPr>
          <w:rFonts w:ascii="Times New Roman" w:hAnsi="Times New Roman" w:cs="Times New Roman"/>
          <w:sz w:val="24"/>
          <w:szCs w:val="24"/>
        </w:rPr>
        <w:t xml:space="preserve">might be said to </w:t>
      </w:r>
      <w:r w:rsidR="00A9074B" w:rsidRPr="00870365">
        <w:rPr>
          <w:rFonts w:ascii="Times New Roman" w:hAnsi="Times New Roman" w:cs="Times New Roman"/>
          <w:sz w:val="24"/>
          <w:szCs w:val="24"/>
        </w:rPr>
        <w:t xml:space="preserve">fix </w:t>
      </w:r>
      <w:r w:rsidR="009541E4">
        <w:rPr>
          <w:rFonts w:ascii="Times New Roman" w:hAnsi="Times New Roman" w:cs="Times New Roman"/>
          <w:sz w:val="24"/>
          <w:szCs w:val="24"/>
        </w:rPr>
        <w:t xml:space="preserve">Arthropharm </w:t>
      </w:r>
      <w:r w:rsidR="00A9074B" w:rsidRPr="00870365">
        <w:rPr>
          <w:rFonts w:ascii="Times New Roman" w:hAnsi="Times New Roman" w:cs="Times New Roman"/>
          <w:sz w:val="24"/>
          <w:szCs w:val="24"/>
        </w:rPr>
        <w:t xml:space="preserve">with the consequence of not reviewing a method of publication of which it had no formal notice and, effectively, </w:t>
      </w:r>
      <w:r w:rsidR="00711AEE">
        <w:rPr>
          <w:rFonts w:ascii="Times New Roman" w:hAnsi="Times New Roman" w:cs="Times New Roman"/>
          <w:sz w:val="24"/>
          <w:szCs w:val="24"/>
        </w:rPr>
        <w:t xml:space="preserve">to </w:t>
      </w:r>
      <w:r w:rsidR="00A9074B" w:rsidRPr="00870365">
        <w:rPr>
          <w:rFonts w:ascii="Times New Roman" w:hAnsi="Times New Roman" w:cs="Times New Roman"/>
          <w:sz w:val="24"/>
          <w:szCs w:val="24"/>
        </w:rPr>
        <w:t xml:space="preserve">conjure from the applicable legal regime an obligation </w:t>
      </w:r>
      <w:r w:rsidR="00711AEE">
        <w:rPr>
          <w:rFonts w:ascii="Times New Roman" w:hAnsi="Times New Roman" w:cs="Times New Roman"/>
          <w:sz w:val="24"/>
          <w:szCs w:val="24"/>
        </w:rPr>
        <w:t xml:space="preserve">to monitor a method of publication </w:t>
      </w:r>
      <w:r w:rsidR="00A9074B" w:rsidRPr="00870365">
        <w:rPr>
          <w:rFonts w:ascii="Times New Roman" w:hAnsi="Times New Roman" w:cs="Times New Roman"/>
          <w:sz w:val="24"/>
          <w:szCs w:val="24"/>
        </w:rPr>
        <w:t xml:space="preserve">which is not provided for </w:t>
      </w:r>
      <w:r w:rsidR="00930372">
        <w:rPr>
          <w:rFonts w:ascii="Times New Roman" w:hAnsi="Times New Roman" w:cs="Times New Roman"/>
          <w:sz w:val="24"/>
          <w:szCs w:val="24"/>
        </w:rPr>
        <w:t>with</w:t>
      </w:r>
      <w:r w:rsidR="00A9074B" w:rsidRPr="00870365">
        <w:rPr>
          <w:rFonts w:ascii="Times New Roman" w:hAnsi="Times New Roman" w:cs="Times New Roman"/>
          <w:sz w:val="24"/>
          <w:szCs w:val="24"/>
        </w:rPr>
        <w:t>in it.</w:t>
      </w:r>
    </w:p>
    <w:p w14:paraId="126342F2" w14:textId="77777777" w:rsidR="00714EFC" w:rsidRPr="00714EFC" w:rsidRDefault="00714EFC" w:rsidP="00714EFC">
      <w:pPr>
        <w:pStyle w:val="ListParagraph"/>
        <w:spacing w:before="240" w:line="480" w:lineRule="auto"/>
        <w:ind w:left="786"/>
        <w:jc w:val="both"/>
        <w:rPr>
          <w:rFonts w:ascii="Times New Roman" w:hAnsi="Times New Roman" w:cs="Times New Roman"/>
          <w:b/>
          <w:sz w:val="24"/>
          <w:szCs w:val="24"/>
        </w:rPr>
      </w:pPr>
      <w:r>
        <w:rPr>
          <w:rFonts w:ascii="Times New Roman" w:hAnsi="Times New Roman" w:cs="Times New Roman"/>
          <w:sz w:val="24"/>
          <w:szCs w:val="24"/>
        </w:rPr>
        <w:t xml:space="preserve">  </w:t>
      </w:r>
    </w:p>
    <w:p w14:paraId="050BFEA8" w14:textId="3BA24768" w:rsidR="00144CD4" w:rsidRPr="00144CD4" w:rsidRDefault="00C95452" w:rsidP="00153EE6">
      <w:pPr>
        <w:pStyle w:val="ListParagraph"/>
        <w:numPr>
          <w:ilvl w:val="0"/>
          <w:numId w:val="1"/>
        </w:numPr>
        <w:spacing w:before="240" w:line="480" w:lineRule="auto"/>
        <w:jc w:val="both"/>
        <w:rPr>
          <w:rFonts w:ascii="Times New Roman" w:hAnsi="Times New Roman" w:cs="Times New Roman"/>
          <w:b/>
          <w:sz w:val="24"/>
          <w:szCs w:val="24"/>
        </w:rPr>
      </w:pPr>
      <w:r>
        <w:rPr>
          <w:rFonts w:ascii="Times New Roman" w:hAnsi="Times New Roman" w:cs="Times New Roman"/>
          <w:sz w:val="24"/>
          <w:szCs w:val="24"/>
        </w:rPr>
        <w:t xml:space="preserve">Either way, it should be stressed, Arthropharm is out of time and, for reasons </w:t>
      </w:r>
      <w:r w:rsidR="00DD30C9">
        <w:rPr>
          <w:rFonts w:ascii="Times New Roman" w:hAnsi="Times New Roman" w:cs="Times New Roman"/>
          <w:sz w:val="24"/>
          <w:szCs w:val="24"/>
        </w:rPr>
        <w:t xml:space="preserve">to </w:t>
      </w:r>
      <w:r>
        <w:rPr>
          <w:rFonts w:ascii="Times New Roman" w:hAnsi="Times New Roman" w:cs="Times New Roman"/>
          <w:sz w:val="24"/>
          <w:szCs w:val="24"/>
        </w:rPr>
        <w:t xml:space="preserve">which I </w:t>
      </w:r>
      <w:r w:rsidR="00E54F9B">
        <w:rPr>
          <w:rFonts w:ascii="Times New Roman" w:hAnsi="Times New Roman" w:cs="Times New Roman"/>
          <w:sz w:val="24"/>
          <w:szCs w:val="24"/>
        </w:rPr>
        <w:t xml:space="preserve">come shortly, </w:t>
      </w:r>
      <w:r>
        <w:rPr>
          <w:rFonts w:ascii="Times New Roman" w:hAnsi="Times New Roman" w:cs="Times New Roman"/>
          <w:sz w:val="24"/>
          <w:szCs w:val="24"/>
        </w:rPr>
        <w:t>I would not extend time irrespective of which of these dates applied.  However, in my view – while it is unfortunate that a clear method of publication in accordance with Article 25 of the 2001 Directive was not identified in the 2007 Regulations</w:t>
      </w:r>
      <w:r w:rsidR="009541E4">
        <w:rPr>
          <w:rFonts w:ascii="Times New Roman" w:hAnsi="Times New Roman" w:cs="Times New Roman"/>
          <w:sz w:val="24"/>
          <w:szCs w:val="24"/>
        </w:rPr>
        <w:t xml:space="preserve"> and that HPRA published </w:t>
      </w:r>
      <w:r w:rsidR="007B68DA">
        <w:rPr>
          <w:rFonts w:ascii="Times New Roman" w:hAnsi="Times New Roman" w:cs="Times New Roman"/>
          <w:sz w:val="24"/>
          <w:szCs w:val="24"/>
        </w:rPr>
        <w:t xml:space="preserve">the decision </w:t>
      </w:r>
      <w:r w:rsidR="009541E4">
        <w:rPr>
          <w:rFonts w:ascii="Times New Roman" w:hAnsi="Times New Roman" w:cs="Times New Roman"/>
          <w:sz w:val="24"/>
          <w:szCs w:val="24"/>
        </w:rPr>
        <w:t xml:space="preserve">in accordance with the method of publication that was so specified many months after the decision was made </w:t>
      </w:r>
      <w:r>
        <w:rPr>
          <w:rFonts w:ascii="Times New Roman" w:hAnsi="Times New Roman" w:cs="Times New Roman"/>
          <w:sz w:val="24"/>
          <w:szCs w:val="24"/>
        </w:rPr>
        <w:t xml:space="preserve"> – it would be contrary to both that Regulatory scheme and the provisions of Order 84 to run time from any point after </w:t>
      </w:r>
      <w:r w:rsidR="00831D67">
        <w:rPr>
          <w:rFonts w:ascii="Times New Roman" w:hAnsi="Times New Roman" w:cs="Times New Roman"/>
          <w:sz w:val="24"/>
          <w:szCs w:val="24"/>
        </w:rPr>
        <w:t xml:space="preserve">23 </w:t>
      </w:r>
      <w:r>
        <w:rPr>
          <w:rFonts w:ascii="Times New Roman" w:hAnsi="Times New Roman" w:cs="Times New Roman"/>
          <w:sz w:val="24"/>
          <w:szCs w:val="24"/>
        </w:rPr>
        <w:t>July</w:t>
      </w:r>
      <w:r w:rsidR="002100E5">
        <w:rPr>
          <w:rFonts w:ascii="Times New Roman" w:hAnsi="Times New Roman" w:cs="Times New Roman"/>
          <w:sz w:val="24"/>
          <w:szCs w:val="24"/>
        </w:rPr>
        <w:t xml:space="preserve"> 2018</w:t>
      </w:r>
      <w:r>
        <w:rPr>
          <w:rFonts w:ascii="Times New Roman" w:hAnsi="Times New Roman" w:cs="Times New Roman"/>
          <w:sz w:val="24"/>
          <w:szCs w:val="24"/>
        </w:rPr>
        <w:t>.</w:t>
      </w:r>
      <w:r w:rsidR="00153EE6">
        <w:rPr>
          <w:rFonts w:ascii="Times New Roman" w:hAnsi="Times New Roman" w:cs="Times New Roman"/>
          <w:sz w:val="24"/>
          <w:szCs w:val="24"/>
        </w:rPr>
        <w:t xml:space="preserve">  </w:t>
      </w:r>
      <w:r w:rsidR="00ED48F3">
        <w:rPr>
          <w:rFonts w:ascii="Times New Roman" w:hAnsi="Times New Roman" w:cs="Times New Roman"/>
          <w:sz w:val="24"/>
          <w:szCs w:val="24"/>
        </w:rPr>
        <w:t xml:space="preserve">What Arthropharm </w:t>
      </w:r>
      <w:r w:rsidR="00ED48F3" w:rsidRPr="00ED48F3">
        <w:rPr>
          <w:rFonts w:ascii="Times New Roman" w:hAnsi="Times New Roman" w:cs="Times New Roman"/>
          <w:sz w:val="24"/>
          <w:szCs w:val="24"/>
        </w:rPr>
        <w:t xml:space="preserve">ought to have </w:t>
      </w:r>
      <w:r w:rsidR="00ED48F3">
        <w:rPr>
          <w:rFonts w:ascii="Times New Roman" w:hAnsi="Times New Roman" w:cs="Times New Roman"/>
          <w:i/>
          <w:sz w:val="24"/>
          <w:szCs w:val="24"/>
        </w:rPr>
        <w:t>known</w:t>
      </w:r>
      <w:r w:rsidR="00ED48F3">
        <w:rPr>
          <w:rFonts w:ascii="Times New Roman" w:hAnsi="Times New Roman" w:cs="Times New Roman"/>
          <w:sz w:val="24"/>
          <w:szCs w:val="24"/>
        </w:rPr>
        <w:t xml:space="preserve"> is necessarily a by-product of what it ought to have </w:t>
      </w:r>
      <w:r w:rsidR="00ED48F3">
        <w:rPr>
          <w:rFonts w:ascii="Times New Roman" w:hAnsi="Times New Roman" w:cs="Times New Roman"/>
          <w:i/>
          <w:sz w:val="24"/>
          <w:szCs w:val="24"/>
        </w:rPr>
        <w:t xml:space="preserve">done, </w:t>
      </w:r>
      <w:r w:rsidR="00ED48F3">
        <w:rPr>
          <w:rFonts w:ascii="Times New Roman" w:hAnsi="Times New Roman" w:cs="Times New Roman"/>
          <w:sz w:val="24"/>
          <w:szCs w:val="24"/>
        </w:rPr>
        <w:t xml:space="preserve">and what it ought to have done </w:t>
      </w:r>
      <w:r w:rsidR="00B152B4">
        <w:rPr>
          <w:rFonts w:ascii="Times New Roman" w:hAnsi="Times New Roman" w:cs="Times New Roman"/>
          <w:sz w:val="24"/>
          <w:szCs w:val="24"/>
        </w:rPr>
        <w:t xml:space="preserve">if in fact </w:t>
      </w:r>
      <w:r w:rsidR="002100E5">
        <w:rPr>
          <w:rFonts w:ascii="Times New Roman" w:hAnsi="Times New Roman" w:cs="Times New Roman"/>
          <w:sz w:val="24"/>
          <w:szCs w:val="24"/>
        </w:rPr>
        <w:t xml:space="preserve">it was </w:t>
      </w:r>
      <w:r w:rsidR="00B152B4">
        <w:rPr>
          <w:rFonts w:ascii="Times New Roman" w:hAnsi="Times New Roman" w:cs="Times New Roman"/>
          <w:sz w:val="24"/>
          <w:szCs w:val="24"/>
        </w:rPr>
        <w:t xml:space="preserve">concerned at the </w:t>
      </w:r>
      <w:r w:rsidR="002100E5">
        <w:rPr>
          <w:rFonts w:ascii="Times New Roman" w:hAnsi="Times New Roman" w:cs="Times New Roman"/>
          <w:sz w:val="24"/>
          <w:szCs w:val="24"/>
        </w:rPr>
        <w:t xml:space="preserve">potential </w:t>
      </w:r>
      <w:r w:rsidR="00B152B4">
        <w:rPr>
          <w:rFonts w:ascii="Times New Roman" w:hAnsi="Times New Roman" w:cs="Times New Roman"/>
          <w:sz w:val="24"/>
          <w:szCs w:val="24"/>
        </w:rPr>
        <w:t xml:space="preserve">use of its product as a reference </w:t>
      </w:r>
      <w:r w:rsidR="00121DA8">
        <w:rPr>
          <w:rFonts w:ascii="Times New Roman" w:hAnsi="Times New Roman" w:cs="Times New Roman"/>
          <w:sz w:val="24"/>
          <w:szCs w:val="24"/>
        </w:rPr>
        <w:t xml:space="preserve">for a competing generic product </w:t>
      </w:r>
      <w:r w:rsidR="00B152B4">
        <w:rPr>
          <w:rFonts w:ascii="Times New Roman" w:hAnsi="Times New Roman" w:cs="Times New Roman"/>
          <w:sz w:val="24"/>
          <w:szCs w:val="24"/>
        </w:rPr>
        <w:t xml:space="preserve">was </w:t>
      </w:r>
      <w:r w:rsidR="00ED48F3">
        <w:rPr>
          <w:rFonts w:ascii="Times New Roman" w:hAnsi="Times New Roman" w:cs="Times New Roman"/>
          <w:sz w:val="24"/>
          <w:szCs w:val="24"/>
        </w:rPr>
        <w:t>to take some basic steps to ensure that it was aware when decisions were made to grant marketing authorisations</w:t>
      </w:r>
      <w:r w:rsidR="00B152B4">
        <w:rPr>
          <w:rFonts w:ascii="Times New Roman" w:hAnsi="Times New Roman" w:cs="Times New Roman"/>
          <w:sz w:val="24"/>
          <w:szCs w:val="24"/>
        </w:rPr>
        <w:t xml:space="preserve"> on that basis</w:t>
      </w:r>
      <w:r w:rsidR="0014084B">
        <w:rPr>
          <w:rFonts w:ascii="Times New Roman" w:hAnsi="Times New Roman" w:cs="Times New Roman"/>
          <w:sz w:val="24"/>
          <w:szCs w:val="24"/>
        </w:rPr>
        <w:t>.</w:t>
      </w:r>
    </w:p>
    <w:p w14:paraId="3835241C" w14:textId="77777777" w:rsidR="00144CD4" w:rsidRPr="00144CD4" w:rsidRDefault="00144CD4" w:rsidP="00144CD4">
      <w:pPr>
        <w:pStyle w:val="ListParagraph"/>
        <w:rPr>
          <w:rFonts w:ascii="Times New Roman" w:hAnsi="Times New Roman" w:cs="Times New Roman"/>
          <w:sz w:val="24"/>
          <w:szCs w:val="24"/>
        </w:rPr>
      </w:pPr>
    </w:p>
    <w:p w14:paraId="69B71F09" w14:textId="035FF37A" w:rsidR="00144CD4" w:rsidRPr="00144CD4" w:rsidRDefault="00DD30C9" w:rsidP="00144CD4">
      <w:pPr>
        <w:pStyle w:val="ListParagraph"/>
        <w:numPr>
          <w:ilvl w:val="0"/>
          <w:numId w:val="1"/>
        </w:numPr>
        <w:spacing w:before="240" w:line="480" w:lineRule="auto"/>
        <w:jc w:val="both"/>
        <w:rPr>
          <w:rFonts w:ascii="Times New Roman" w:hAnsi="Times New Roman" w:cs="Times New Roman"/>
          <w:b/>
          <w:sz w:val="24"/>
          <w:szCs w:val="24"/>
        </w:rPr>
      </w:pPr>
      <w:r>
        <w:rPr>
          <w:rFonts w:ascii="Times New Roman" w:hAnsi="Times New Roman" w:cs="Times New Roman"/>
          <w:sz w:val="24"/>
          <w:szCs w:val="24"/>
        </w:rPr>
        <w:t xml:space="preserve">As I explain later, </w:t>
      </w:r>
      <w:r w:rsidR="00153EE6">
        <w:rPr>
          <w:rFonts w:ascii="Times New Roman" w:hAnsi="Times New Roman" w:cs="Times New Roman"/>
          <w:sz w:val="24"/>
          <w:szCs w:val="24"/>
        </w:rPr>
        <w:t xml:space="preserve">the court must in the exercise of its discretion take account of the fact that the impugned decisions were made in a regulatory context in which any challenge to the legality of the grant of a marketing authorisation will be </w:t>
      </w:r>
      <w:r w:rsidR="00B52B32">
        <w:rPr>
          <w:rFonts w:ascii="Times New Roman" w:hAnsi="Times New Roman" w:cs="Times New Roman"/>
          <w:sz w:val="24"/>
          <w:szCs w:val="24"/>
        </w:rPr>
        <w:t xml:space="preserve">both </w:t>
      </w:r>
      <w:r w:rsidR="00153EE6">
        <w:rPr>
          <w:rFonts w:ascii="Times New Roman" w:hAnsi="Times New Roman" w:cs="Times New Roman"/>
          <w:sz w:val="24"/>
          <w:szCs w:val="24"/>
        </w:rPr>
        <w:t>driven by commercial objectives</w:t>
      </w:r>
      <w:r>
        <w:rPr>
          <w:rFonts w:ascii="Times New Roman" w:hAnsi="Times New Roman" w:cs="Times New Roman"/>
          <w:sz w:val="24"/>
          <w:szCs w:val="24"/>
        </w:rPr>
        <w:t xml:space="preserve"> </w:t>
      </w:r>
      <w:r w:rsidR="00B52B32">
        <w:rPr>
          <w:rFonts w:ascii="Times New Roman" w:hAnsi="Times New Roman" w:cs="Times New Roman"/>
          <w:sz w:val="24"/>
          <w:szCs w:val="24"/>
        </w:rPr>
        <w:t>and will involve a disruption to the commercial operations of a competing undertaking</w:t>
      </w:r>
      <w:r w:rsidR="00153EE6">
        <w:rPr>
          <w:rFonts w:ascii="Times New Roman" w:hAnsi="Times New Roman" w:cs="Times New Roman"/>
          <w:sz w:val="24"/>
          <w:szCs w:val="24"/>
        </w:rPr>
        <w:t xml:space="preserve">.  </w:t>
      </w:r>
      <w:r w:rsidR="00B52B32" w:rsidRPr="00144CD4">
        <w:rPr>
          <w:rFonts w:ascii="Times New Roman" w:hAnsi="Times New Roman" w:cs="Times New Roman"/>
          <w:sz w:val="24"/>
          <w:szCs w:val="24"/>
        </w:rPr>
        <w:t>That being so, and g</w:t>
      </w:r>
      <w:r w:rsidR="00FF6B3B" w:rsidRPr="00144CD4">
        <w:rPr>
          <w:rFonts w:ascii="Times New Roman" w:hAnsi="Times New Roman" w:cs="Times New Roman"/>
          <w:sz w:val="24"/>
          <w:szCs w:val="24"/>
        </w:rPr>
        <w:t xml:space="preserve">iven that the 2001 Directive envisages public notification to be the mechanism by which undertakings holding marketing authorisations will learn of decisions to grant </w:t>
      </w:r>
      <w:r w:rsidR="00B52B32" w:rsidRPr="00144CD4">
        <w:rPr>
          <w:rFonts w:ascii="Times New Roman" w:hAnsi="Times New Roman" w:cs="Times New Roman"/>
          <w:sz w:val="24"/>
          <w:szCs w:val="24"/>
        </w:rPr>
        <w:t xml:space="preserve">such permissions for other medicines using their </w:t>
      </w:r>
      <w:r w:rsidR="00FF6B3B" w:rsidRPr="00144CD4">
        <w:rPr>
          <w:rFonts w:ascii="Times New Roman" w:hAnsi="Times New Roman" w:cs="Times New Roman"/>
          <w:sz w:val="24"/>
          <w:szCs w:val="24"/>
        </w:rPr>
        <w:t>products</w:t>
      </w:r>
      <w:r w:rsidR="00B52B32" w:rsidRPr="00144CD4">
        <w:rPr>
          <w:rFonts w:ascii="Times New Roman" w:hAnsi="Times New Roman" w:cs="Times New Roman"/>
          <w:sz w:val="24"/>
          <w:szCs w:val="24"/>
        </w:rPr>
        <w:t xml:space="preserve"> as a reference</w:t>
      </w:r>
      <w:r w:rsidR="00FF6B3B" w:rsidRPr="00144CD4">
        <w:rPr>
          <w:rFonts w:ascii="Times New Roman" w:hAnsi="Times New Roman" w:cs="Times New Roman"/>
          <w:sz w:val="24"/>
          <w:szCs w:val="24"/>
        </w:rPr>
        <w:t xml:space="preserve">, it is proper to expect that Arthropharm </w:t>
      </w:r>
      <w:r w:rsidR="00FF6B3B" w:rsidRPr="00144CD4">
        <w:rPr>
          <w:rFonts w:ascii="Times New Roman" w:hAnsi="Times New Roman" w:cs="Times New Roman"/>
          <w:sz w:val="24"/>
          <w:szCs w:val="24"/>
        </w:rPr>
        <w:lastRenderedPageBreak/>
        <w:t>would have taken reasonable steps to ensure that it was aware of those decisions when made</w:t>
      </w:r>
      <w:r w:rsidR="001B24E8">
        <w:rPr>
          <w:rFonts w:ascii="Times New Roman" w:hAnsi="Times New Roman" w:cs="Times New Roman"/>
          <w:sz w:val="24"/>
          <w:szCs w:val="24"/>
        </w:rPr>
        <w:t xml:space="preserve"> and thus of how and where they were to be published</w:t>
      </w:r>
      <w:r w:rsidR="00FF6B3B" w:rsidRPr="00144CD4">
        <w:rPr>
          <w:rFonts w:ascii="Times New Roman" w:hAnsi="Times New Roman" w:cs="Times New Roman"/>
          <w:sz w:val="24"/>
          <w:szCs w:val="24"/>
        </w:rPr>
        <w:t xml:space="preserve">.  </w:t>
      </w:r>
      <w:r w:rsidR="001D5615">
        <w:rPr>
          <w:rFonts w:ascii="Times New Roman" w:hAnsi="Times New Roman" w:cs="Times New Roman"/>
          <w:sz w:val="24"/>
          <w:szCs w:val="24"/>
        </w:rPr>
        <w:t xml:space="preserve">This is the necessary consequence of a legal regime </w:t>
      </w:r>
      <w:r w:rsidR="00A950D0">
        <w:rPr>
          <w:rFonts w:ascii="Times New Roman" w:hAnsi="Times New Roman" w:cs="Times New Roman"/>
          <w:sz w:val="24"/>
          <w:szCs w:val="24"/>
        </w:rPr>
        <w:t xml:space="preserve">that </w:t>
      </w:r>
      <w:r w:rsidR="001D5615">
        <w:rPr>
          <w:rFonts w:ascii="Times New Roman" w:hAnsi="Times New Roman" w:cs="Times New Roman"/>
          <w:sz w:val="24"/>
          <w:szCs w:val="24"/>
        </w:rPr>
        <w:t xml:space="preserve">(a) confers – as I have assumed but not decided - a right of action on a party who will not be aware of the process leading to the grant of the marketing authorisation, (b) </w:t>
      </w:r>
      <w:r w:rsidR="001B24E8">
        <w:rPr>
          <w:rFonts w:ascii="Times New Roman" w:hAnsi="Times New Roman" w:cs="Times New Roman"/>
          <w:sz w:val="24"/>
          <w:szCs w:val="24"/>
        </w:rPr>
        <w:t>envisages that party learning of the resulting decision through publication to the world at large, (c) did not envisage challenges to those decisions being made without some temporal limitation</w:t>
      </w:r>
      <w:r w:rsidR="00A950D0">
        <w:rPr>
          <w:rFonts w:ascii="Times New Roman" w:hAnsi="Times New Roman" w:cs="Times New Roman"/>
          <w:sz w:val="24"/>
          <w:szCs w:val="24"/>
        </w:rPr>
        <w:t xml:space="preserve"> (as must be assumed having regard to the demands of legal certainty and rights of the holder of a marketing authorisation) and (d) places at the centre of an inquiry into whether time should be extended, whether the circumstances resulting in the failure to make the application within time were ‘</w:t>
      </w:r>
      <w:r w:rsidR="00A950D0">
        <w:rPr>
          <w:rFonts w:ascii="Times New Roman" w:hAnsi="Times New Roman" w:cs="Times New Roman"/>
          <w:i/>
          <w:sz w:val="24"/>
          <w:szCs w:val="24"/>
        </w:rPr>
        <w:t>outside the control’</w:t>
      </w:r>
      <w:r w:rsidR="00A950D0">
        <w:rPr>
          <w:rFonts w:ascii="Times New Roman" w:hAnsi="Times New Roman" w:cs="Times New Roman"/>
          <w:sz w:val="24"/>
          <w:szCs w:val="24"/>
        </w:rPr>
        <w:t xml:space="preserve"> of the applicant.</w:t>
      </w:r>
    </w:p>
    <w:p w14:paraId="312E8672" w14:textId="77777777" w:rsidR="00144CD4" w:rsidRPr="00144CD4" w:rsidRDefault="00144CD4" w:rsidP="00144CD4">
      <w:pPr>
        <w:pStyle w:val="ListParagraph"/>
        <w:rPr>
          <w:rFonts w:ascii="Times New Roman" w:hAnsi="Times New Roman" w:cs="Times New Roman"/>
          <w:sz w:val="24"/>
          <w:szCs w:val="24"/>
        </w:rPr>
      </w:pPr>
    </w:p>
    <w:p w14:paraId="60E885A6" w14:textId="1A21B974" w:rsidR="00144CD4" w:rsidRPr="00144CD4" w:rsidRDefault="00E82647" w:rsidP="00144CD4">
      <w:pPr>
        <w:pStyle w:val="ListParagraph"/>
        <w:numPr>
          <w:ilvl w:val="0"/>
          <w:numId w:val="1"/>
        </w:numPr>
        <w:spacing w:before="240" w:line="480" w:lineRule="auto"/>
        <w:jc w:val="both"/>
        <w:rPr>
          <w:rFonts w:ascii="Times New Roman" w:hAnsi="Times New Roman" w:cs="Times New Roman"/>
          <w:b/>
          <w:sz w:val="24"/>
          <w:szCs w:val="24"/>
        </w:rPr>
      </w:pPr>
      <w:r>
        <w:rPr>
          <w:rFonts w:ascii="Times New Roman" w:hAnsi="Times New Roman" w:cs="Times New Roman"/>
          <w:sz w:val="24"/>
          <w:szCs w:val="24"/>
        </w:rPr>
        <w:t>Arthropharm</w:t>
      </w:r>
      <w:r w:rsidR="00FF6B3B" w:rsidRPr="00144CD4">
        <w:rPr>
          <w:rFonts w:ascii="Times New Roman" w:hAnsi="Times New Roman" w:cs="Times New Roman"/>
          <w:sz w:val="24"/>
          <w:szCs w:val="24"/>
        </w:rPr>
        <w:t xml:space="preserve"> could </w:t>
      </w:r>
      <w:r w:rsidR="00A950D0">
        <w:rPr>
          <w:rFonts w:ascii="Times New Roman" w:hAnsi="Times New Roman" w:cs="Times New Roman"/>
          <w:sz w:val="24"/>
          <w:szCs w:val="24"/>
        </w:rPr>
        <w:t>easily have positioned itself to find out about this decision</w:t>
      </w:r>
      <w:r w:rsidR="00FF6B3B" w:rsidRPr="00144CD4">
        <w:rPr>
          <w:rFonts w:ascii="Times New Roman" w:hAnsi="Times New Roman" w:cs="Times New Roman"/>
          <w:sz w:val="24"/>
          <w:szCs w:val="24"/>
        </w:rPr>
        <w:t xml:space="preserve"> if not by the </w:t>
      </w:r>
      <w:r w:rsidR="00B52B32" w:rsidRPr="00144CD4">
        <w:rPr>
          <w:rFonts w:ascii="Times New Roman" w:hAnsi="Times New Roman" w:cs="Times New Roman"/>
          <w:sz w:val="24"/>
          <w:szCs w:val="24"/>
        </w:rPr>
        <w:t xml:space="preserve">very </w:t>
      </w:r>
      <w:r w:rsidR="00FF6B3B" w:rsidRPr="00144CD4">
        <w:rPr>
          <w:rFonts w:ascii="Times New Roman" w:hAnsi="Times New Roman" w:cs="Times New Roman"/>
          <w:sz w:val="24"/>
          <w:szCs w:val="24"/>
        </w:rPr>
        <w:t>simple expedient of subscribing to the free RSS feed</w:t>
      </w:r>
      <w:r w:rsidR="00B52B32" w:rsidRPr="00144CD4">
        <w:rPr>
          <w:rFonts w:ascii="Times New Roman" w:hAnsi="Times New Roman" w:cs="Times New Roman"/>
          <w:sz w:val="24"/>
          <w:szCs w:val="24"/>
        </w:rPr>
        <w:t xml:space="preserve">, then by either ascertaining from HPRA how precisely it complied with Article 25 of the 2001 Directive or by consulting the (fully searchable) HPRA website (hardly an unexpected location in which to find a record of a regulator’s activities).  Had Arthropharm averred that it understood that publication in </w:t>
      </w:r>
      <w:r w:rsidR="007B68DA">
        <w:rPr>
          <w:rFonts w:ascii="Times New Roman" w:hAnsi="Times New Roman" w:cs="Times New Roman"/>
          <w:sz w:val="24"/>
          <w:szCs w:val="24"/>
        </w:rPr>
        <w:t xml:space="preserve">Iris </w:t>
      </w:r>
      <w:r w:rsidR="00C93565">
        <w:rPr>
          <w:rFonts w:ascii="Times New Roman" w:hAnsi="Times New Roman" w:cs="Times New Roman"/>
          <w:sz w:val="24"/>
          <w:szCs w:val="24"/>
        </w:rPr>
        <w:t>Oifigiúil</w:t>
      </w:r>
      <w:r w:rsidR="00B52B32" w:rsidRPr="00144CD4">
        <w:rPr>
          <w:rFonts w:ascii="Times New Roman" w:hAnsi="Times New Roman" w:cs="Times New Roman"/>
          <w:sz w:val="24"/>
          <w:szCs w:val="24"/>
        </w:rPr>
        <w:t xml:space="preserve"> was the means by which HPRA complied with its obligations of publication and that it actually monitored the gazette to that end, </w:t>
      </w:r>
      <w:r w:rsidR="00C74C2D">
        <w:rPr>
          <w:rFonts w:ascii="Times New Roman" w:hAnsi="Times New Roman" w:cs="Times New Roman"/>
          <w:sz w:val="24"/>
          <w:szCs w:val="24"/>
        </w:rPr>
        <w:t xml:space="preserve">one might have some </w:t>
      </w:r>
      <w:r w:rsidR="00B52B32" w:rsidRPr="00144CD4">
        <w:rPr>
          <w:rFonts w:ascii="Times New Roman" w:hAnsi="Times New Roman" w:cs="Times New Roman"/>
          <w:sz w:val="24"/>
          <w:szCs w:val="24"/>
        </w:rPr>
        <w:t>sympathy with its protestation that it could not have been expected to know that HPRA would use a different method of publication</w:t>
      </w:r>
      <w:r w:rsidR="00051BB7" w:rsidRPr="00144CD4">
        <w:rPr>
          <w:rFonts w:ascii="Times New Roman" w:hAnsi="Times New Roman" w:cs="Times New Roman"/>
          <w:sz w:val="24"/>
          <w:szCs w:val="24"/>
        </w:rPr>
        <w:t xml:space="preserve"> altogether</w:t>
      </w:r>
      <w:r w:rsidR="001B24E8">
        <w:rPr>
          <w:rFonts w:ascii="Times New Roman" w:hAnsi="Times New Roman" w:cs="Times New Roman"/>
          <w:sz w:val="24"/>
          <w:szCs w:val="24"/>
        </w:rPr>
        <w:t xml:space="preserve"> (although even then issues would arise as to how it could have believed this given that provision was only made for publication of the decision in this way, not of the other materials mandated by Article 25)</w:t>
      </w:r>
      <w:r w:rsidR="00051BB7" w:rsidRPr="00144CD4">
        <w:rPr>
          <w:rFonts w:ascii="Times New Roman" w:hAnsi="Times New Roman" w:cs="Times New Roman"/>
          <w:sz w:val="24"/>
          <w:szCs w:val="24"/>
        </w:rPr>
        <w:t>.  However</w:t>
      </w:r>
      <w:r w:rsidR="00C74C2D">
        <w:rPr>
          <w:rFonts w:ascii="Times New Roman" w:hAnsi="Times New Roman" w:cs="Times New Roman"/>
          <w:sz w:val="24"/>
          <w:szCs w:val="24"/>
        </w:rPr>
        <w:t>,</w:t>
      </w:r>
      <w:r w:rsidR="00051BB7" w:rsidRPr="00144CD4">
        <w:rPr>
          <w:rFonts w:ascii="Times New Roman" w:hAnsi="Times New Roman" w:cs="Times New Roman"/>
          <w:sz w:val="24"/>
          <w:szCs w:val="24"/>
        </w:rPr>
        <w:t xml:space="preserve"> it did not so aver</w:t>
      </w:r>
      <w:r w:rsidR="00DD30C9">
        <w:rPr>
          <w:rFonts w:ascii="Times New Roman" w:hAnsi="Times New Roman" w:cs="Times New Roman"/>
          <w:sz w:val="24"/>
          <w:szCs w:val="24"/>
        </w:rPr>
        <w:t xml:space="preserve"> and tendered no evidence of the precautions taken by it to ascertain whether its authorisation had, in fact, been used as a reference for competing generic products.</w:t>
      </w:r>
      <w:r w:rsidR="00051BB7" w:rsidRPr="00144CD4">
        <w:rPr>
          <w:rFonts w:ascii="Times New Roman" w:hAnsi="Times New Roman" w:cs="Times New Roman"/>
          <w:sz w:val="24"/>
          <w:szCs w:val="24"/>
        </w:rPr>
        <w:t xml:space="preserve"> </w:t>
      </w:r>
      <w:r w:rsidR="00A950D0">
        <w:rPr>
          <w:rFonts w:ascii="Times New Roman" w:hAnsi="Times New Roman" w:cs="Times New Roman"/>
          <w:sz w:val="24"/>
          <w:szCs w:val="24"/>
        </w:rPr>
        <w:t xml:space="preserve"> For this same reason, I </w:t>
      </w:r>
      <w:r w:rsidR="00A950D0">
        <w:rPr>
          <w:rFonts w:ascii="Times New Roman" w:hAnsi="Times New Roman" w:cs="Times New Roman"/>
          <w:sz w:val="24"/>
          <w:szCs w:val="24"/>
        </w:rPr>
        <w:lastRenderedPageBreak/>
        <w:t xml:space="preserve">should add, Arthropharm’s reliance upon the </w:t>
      </w:r>
      <w:r w:rsidR="00A950D0" w:rsidRPr="00A950D0">
        <w:rPr>
          <w:rFonts w:ascii="Times New Roman" w:hAnsi="Times New Roman" w:cs="Times New Roman"/>
          <w:i/>
          <w:sz w:val="24"/>
          <w:szCs w:val="24"/>
        </w:rPr>
        <w:t>‘Iris Oifigiúil</w:t>
      </w:r>
      <w:r w:rsidR="00A950D0">
        <w:rPr>
          <w:rFonts w:ascii="Times New Roman" w:hAnsi="Times New Roman" w:cs="Times New Roman"/>
          <w:i/>
          <w:sz w:val="24"/>
          <w:szCs w:val="24"/>
        </w:rPr>
        <w:t xml:space="preserve"> factor’ </w:t>
      </w:r>
      <w:r w:rsidR="00A950D0">
        <w:rPr>
          <w:rFonts w:ascii="Times New Roman" w:hAnsi="Times New Roman" w:cs="Times New Roman"/>
          <w:sz w:val="24"/>
          <w:szCs w:val="24"/>
        </w:rPr>
        <w:t>as a ground for extending time, was misconceived.</w:t>
      </w:r>
    </w:p>
    <w:p w14:paraId="535C2106" w14:textId="77777777" w:rsidR="00144CD4" w:rsidRPr="00144CD4" w:rsidRDefault="00144CD4" w:rsidP="00144CD4">
      <w:pPr>
        <w:pStyle w:val="ListParagraph"/>
        <w:rPr>
          <w:rFonts w:ascii="Times New Roman" w:hAnsi="Times New Roman" w:cs="Times New Roman"/>
          <w:sz w:val="24"/>
          <w:szCs w:val="24"/>
        </w:rPr>
      </w:pPr>
    </w:p>
    <w:p w14:paraId="490B494C" w14:textId="081B8350" w:rsidR="00DD30C9" w:rsidRPr="00DD30C9" w:rsidRDefault="00051BB7" w:rsidP="00144CD4">
      <w:pPr>
        <w:pStyle w:val="ListParagraph"/>
        <w:numPr>
          <w:ilvl w:val="0"/>
          <w:numId w:val="1"/>
        </w:numPr>
        <w:spacing w:before="240" w:line="480" w:lineRule="auto"/>
        <w:jc w:val="both"/>
        <w:rPr>
          <w:rFonts w:ascii="Times New Roman" w:hAnsi="Times New Roman" w:cs="Times New Roman"/>
          <w:b/>
          <w:sz w:val="24"/>
          <w:szCs w:val="24"/>
        </w:rPr>
      </w:pPr>
      <w:r w:rsidRPr="00144CD4">
        <w:rPr>
          <w:rFonts w:ascii="Times New Roman" w:hAnsi="Times New Roman" w:cs="Times New Roman"/>
          <w:sz w:val="24"/>
          <w:szCs w:val="24"/>
        </w:rPr>
        <w:t xml:space="preserve">In </w:t>
      </w:r>
      <w:r w:rsidR="008A7A15">
        <w:rPr>
          <w:rFonts w:ascii="Times New Roman" w:hAnsi="Times New Roman" w:cs="Times New Roman"/>
          <w:sz w:val="24"/>
          <w:szCs w:val="24"/>
        </w:rPr>
        <w:t>these circumstances</w:t>
      </w:r>
      <w:r w:rsidRPr="00144CD4">
        <w:rPr>
          <w:rFonts w:ascii="Times New Roman" w:hAnsi="Times New Roman" w:cs="Times New Roman"/>
          <w:sz w:val="24"/>
          <w:szCs w:val="24"/>
        </w:rPr>
        <w:t xml:space="preserve">, the evidence permits only the conclusion that although Arthropharm </w:t>
      </w:r>
      <w:r w:rsidR="00144CD4">
        <w:rPr>
          <w:rFonts w:ascii="Times New Roman" w:hAnsi="Times New Roman" w:cs="Times New Roman"/>
          <w:sz w:val="24"/>
          <w:szCs w:val="24"/>
        </w:rPr>
        <w:t xml:space="preserve">had enjoyed market exclusivity for </w:t>
      </w:r>
      <w:r w:rsidR="00E87D26">
        <w:rPr>
          <w:rFonts w:ascii="Times New Roman" w:hAnsi="Times New Roman" w:cs="Times New Roman"/>
          <w:sz w:val="24"/>
          <w:szCs w:val="24"/>
        </w:rPr>
        <w:t>twenty seven years</w:t>
      </w:r>
      <w:r w:rsidR="00144CD4">
        <w:rPr>
          <w:rFonts w:ascii="Times New Roman" w:hAnsi="Times New Roman" w:cs="Times New Roman"/>
          <w:sz w:val="24"/>
          <w:szCs w:val="24"/>
        </w:rPr>
        <w:t xml:space="preserve">, it took no steps of any kind to ascertain how, or whether, decisions using its product as a reference for a generic authorisation might be made and published in any </w:t>
      </w:r>
      <w:r w:rsidR="00CA3DF5">
        <w:rPr>
          <w:rFonts w:ascii="Times New Roman" w:hAnsi="Times New Roman" w:cs="Times New Roman"/>
          <w:sz w:val="24"/>
          <w:szCs w:val="24"/>
        </w:rPr>
        <w:t>s</w:t>
      </w:r>
      <w:r w:rsidR="00144CD4">
        <w:rPr>
          <w:rFonts w:ascii="Times New Roman" w:hAnsi="Times New Roman" w:cs="Times New Roman"/>
          <w:sz w:val="24"/>
          <w:szCs w:val="24"/>
        </w:rPr>
        <w:t xml:space="preserve">tate in the EU.  </w:t>
      </w:r>
      <w:r w:rsidR="006B4E0F">
        <w:rPr>
          <w:rFonts w:ascii="Times New Roman" w:hAnsi="Times New Roman" w:cs="Times New Roman"/>
          <w:sz w:val="24"/>
          <w:szCs w:val="24"/>
        </w:rPr>
        <w:t>That being so</w:t>
      </w:r>
      <w:r w:rsidR="00144CD4">
        <w:rPr>
          <w:rFonts w:ascii="Times New Roman" w:hAnsi="Times New Roman" w:cs="Times New Roman"/>
          <w:sz w:val="24"/>
          <w:szCs w:val="24"/>
        </w:rPr>
        <w:t>, to permit it to</w:t>
      </w:r>
      <w:r w:rsidR="00E87D26">
        <w:rPr>
          <w:rFonts w:ascii="Times New Roman" w:hAnsi="Times New Roman" w:cs="Times New Roman"/>
          <w:sz w:val="24"/>
          <w:szCs w:val="24"/>
        </w:rPr>
        <w:t xml:space="preserve">, effectively, deploy </w:t>
      </w:r>
      <w:r w:rsidR="00144CD4">
        <w:rPr>
          <w:rFonts w:ascii="Times New Roman" w:hAnsi="Times New Roman" w:cs="Times New Roman"/>
          <w:sz w:val="24"/>
          <w:szCs w:val="24"/>
        </w:rPr>
        <w:t xml:space="preserve">its own </w:t>
      </w:r>
      <w:r w:rsidR="00E87D26">
        <w:rPr>
          <w:rFonts w:ascii="Times New Roman" w:hAnsi="Times New Roman" w:cs="Times New Roman"/>
          <w:sz w:val="24"/>
          <w:szCs w:val="24"/>
        </w:rPr>
        <w:t xml:space="preserve">failure to take elementary precautions in the protection of its own commercial interests </w:t>
      </w:r>
      <w:r w:rsidR="00144CD4">
        <w:rPr>
          <w:rFonts w:ascii="Times New Roman" w:hAnsi="Times New Roman" w:cs="Times New Roman"/>
          <w:sz w:val="24"/>
          <w:szCs w:val="24"/>
        </w:rPr>
        <w:t>as a basis for extending time beyond three months from the point at which the decision was made publicly available would undermine the regulatory scheme and would defeat the objective of legal certainty underlying both Order 84 itself, and the decisions of</w:t>
      </w:r>
      <w:r w:rsidR="00CA3DF5">
        <w:rPr>
          <w:rFonts w:ascii="Times New Roman" w:hAnsi="Times New Roman" w:cs="Times New Roman"/>
          <w:sz w:val="24"/>
          <w:szCs w:val="24"/>
        </w:rPr>
        <w:t xml:space="preserve"> the</w:t>
      </w:r>
      <w:r w:rsidR="00144CD4">
        <w:rPr>
          <w:rFonts w:ascii="Times New Roman" w:hAnsi="Times New Roman" w:cs="Times New Roman"/>
          <w:sz w:val="24"/>
          <w:szCs w:val="24"/>
        </w:rPr>
        <w:t xml:space="preserve"> CJEU in </w:t>
      </w:r>
      <w:r w:rsidR="00EE68D7" w:rsidRPr="00144CD4">
        <w:rPr>
          <w:rFonts w:ascii="Times New Roman" w:hAnsi="Times New Roman" w:cs="Times New Roman"/>
          <w:i/>
          <w:sz w:val="24"/>
          <w:szCs w:val="24"/>
        </w:rPr>
        <w:t xml:space="preserve">Commission v. Ireland </w:t>
      </w:r>
      <w:r w:rsidR="00EE68D7" w:rsidRPr="00144CD4">
        <w:rPr>
          <w:rFonts w:ascii="Times New Roman" w:hAnsi="Times New Roman" w:cs="Times New Roman"/>
          <w:sz w:val="24"/>
          <w:szCs w:val="24"/>
        </w:rPr>
        <w:t>a</w:t>
      </w:r>
      <w:r w:rsidR="00144CD4">
        <w:rPr>
          <w:rFonts w:ascii="Times New Roman" w:hAnsi="Times New Roman" w:cs="Times New Roman"/>
          <w:sz w:val="24"/>
          <w:szCs w:val="24"/>
        </w:rPr>
        <w:t xml:space="preserve">nd </w:t>
      </w:r>
      <w:r w:rsidR="00144CD4">
        <w:rPr>
          <w:rFonts w:ascii="Times New Roman" w:hAnsi="Times New Roman" w:cs="Times New Roman"/>
          <w:i/>
          <w:sz w:val="24"/>
          <w:szCs w:val="24"/>
        </w:rPr>
        <w:t>Uniplex</w:t>
      </w:r>
      <w:r w:rsidR="00EE68D7" w:rsidRPr="00144CD4">
        <w:rPr>
          <w:rFonts w:ascii="Times New Roman" w:hAnsi="Times New Roman" w:cs="Times New Roman"/>
          <w:sz w:val="24"/>
          <w:szCs w:val="24"/>
        </w:rPr>
        <w:t xml:space="preserve">. </w:t>
      </w:r>
      <w:r w:rsidR="00E16478" w:rsidRPr="00144CD4">
        <w:rPr>
          <w:rFonts w:ascii="Times New Roman" w:hAnsi="Times New Roman" w:cs="Times New Roman"/>
          <w:sz w:val="24"/>
          <w:szCs w:val="24"/>
        </w:rPr>
        <w:t xml:space="preserve"> </w:t>
      </w:r>
    </w:p>
    <w:p w14:paraId="5107D076" w14:textId="77777777" w:rsidR="00DD30C9" w:rsidRPr="00DD30C9" w:rsidRDefault="00DD30C9" w:rsidP="00DD30C9">
      <w:pPr>
        <w:pStyle w:val="ListParagraph"/>
        <w:rPr>
          <w:rFonts w:ascii="Times New Roman" w:hAnsi="Times New Roman" w:cs="Times New Roman"/>
          <w:sz w:val="24"/>
          <w:szCs w:val="24"/>
        </w:rPr>
      </w:pPr>
    </w:p>
    <w:p w14:paraId="106BB65A" w14:textId="628535BC" w:rsidR="000A4A65" w:rsidRPr="00144CD4" w:rsidRDefault="00144CD4" w:rsidP="00144CD4">
      <w:pPr>
        <w:pStyle w:val="ListParagraph"/>
        <w:numPr>
          <w:ilvl w:val="0"/>
          <w:numId w:val="1"/>
        </w:numPr>
        <w:spacing w:before="240" w:line="480" w:lineRule="auto"/>
        <w:jc w:val="both"/>
        <w:rPr>
          <w:rFonts w:ascii="Times New Roman" w:hAnsi="Times New Roman" w:cs="Times New Roman"/>
          <w:b/>
          <w:sz w:val="24"/>
          <w:szCs w:val="24"/>
        </w:rPr>
      </w:pPr>
      <w:r>
        <w:rPr>
          <w:rFonts w:ascii="Times New Roman" w:hAnsi="Times New Roman" w:cs="Times New Roman"/>
          <w:sz w:val="24"/>
          <w:szCs w:val="24"/>
        </w:rPr>
        <w:t>Indeed</w:t>
      </w:r>
      <w:r w:rsidR="00C74C2D">
        <w:rPr>
          <w:rFonts w:ascii="Times New Roman" w:hAnsi="Times New Roman" w:cs="Times New Roman"/>
          <w:sz w:val="24"/>
          <w:szCs w:val="24"/>
        </w:rPr>
        <w:t>,</w:t>
      </w:r>
      <w:r>
        <w:rPr>
          <w:rFonts w:ascii="Times New Roman" w:hAnsi="Times New Roman" w:cs="Times New Roman"/>
          <w:sz w:val="24"/>
          <w:szCs w:val="24"/>
        </w:rPr>
        <w:t xml:space="preserve"> taken to its logical conclusion, to run time from the happenstance of Arthropharm’s discovery of the authorisation could afford it three months from a date well after the </w:t>
      </w:r>
      <w:r w:rsidR="00EF7586">
        <w:rPr>
          <w:rFonts w:ascii="Times New Roman" w:hAnsi="Times New Roman" w:cs="Times New Roman"/>
          <w:sz w:val="24"/>
          <w:szCs w:val="24"/>
        </w:rPr>
        <w:t xml:space="preserve">grant of the marketing authorisation </w:t>
      </w:r>
      <w:r w:rsidR="008A7A15">
        <w:rPr>
          <w:rFonts w:ascii="Times New Roman" w:hAnsi="Times New Roman" w:cs="Times New Roman"/>
          <w:sz w:val="24"/>
          <w:szCs w:val="24"/>
        </w:rPr>
        <w:t>before it was required to proceed to litigation.</w:t>
      </w:r>
      <w:r w:rsidR="00DD30C9">
        <w:rPr>
          <w:rFonts w:ascii="Times New Roman" w:hAnsi="Times New Roman" w:cs="Times New Roman"/>
          <w:sz w:val="24"/>
          <w:szCs w:val="24"/>
        </w:rPr>
        <w:t xml:space="preserve">  The conclusion that this could occur would undermine the entitlement of the holder of a marketing authorisation to certainty in the conduct of its commercial operations and would, effectively, reward at its expense a competitor holding the authorisation for a reference product who had failed to take elementary precautions to ensure it was aware of regulatory developments affecting </w:t>
      </w:r>
      <w:r w:rsidR="001B24E8">
        <w:rPr>
          <w:rFonts w:ascii="Times New Roman" w:hAnsi="Times New Roman" w:cs="Times New Roman"/>
          <w:sz w:val="24"/>
          <w:szCs w:val="24"/>
        </w:rPr>
        <w:t>the market for its product</w:t>
      </w:r>
      <w:r w:rsidR="00DD30C9">
        <w:rPr>
          <w:rFonts w:ascii="Times New Roman" w:hAnsi="Times New Roman" w:cs="Times New Roman"/>
          <w:sz w:val="24"/>
          <w:szCs w:val="24"/>
        </w:rPr>
        <w:t>.  All of these considerations are clearly relevant to the identification of the point at which an undertaking ‘</w:t>
      </w:r>
      <w:r w:rsidR="00DD30C9">
        <w:rPr>
          <w:rFonts w:ascii="Times New Roman" w:hAnsi="Times New Roman" w:cs="Times New Roman"/>
          <w:i/>
          <w:sz w:val="24"/>
          <w:szCs w:val="24"/>
        </w:rPr>
        <w:t xml:space="preserve">ought to have known’ </w:t>
      </w:r>
      <w:r w:rsidR="00DD30C9">
        <w:rPr>
          <w:rFonts w:ascii="Times New Roman" w:hAnsi="Times New Roman" w:cs="Times New Roman"/>
          <w:sz w:val="24"/>
          <w:szCs w:val="24"/>
        </w:rPr>
        <w:t>of such a decision</w:t>
      </w:r>
      <w:r w:rsidR="001B24E8">
        <w:rPr>
          <w:rFonts w:ascii="Times New Roman" w:hAnsi="Times New Roman" w:cs="Times New Roman"/>
          <w:sz w:val="24"/>
          <w:szCs w:val="24"/>
        </w:rPr>
        <w:t>,</w:t>
      </w:r>
      <w:r w:rsidR="00DD30C9">
        <w:rPr>
          <w:rFonts w:ascii="Times New Roman" w:hAnsi="Times New Roman" w:cs="Times New Roman"/>
          <w:sz w:val="24"/>
          <w:szCs w:val="24"/>
        </w:rPr>
        <w:t xml:space="preserve"> and each points to the conclusion that that date was, at the latest, </w:t>
      </w:r>
      <w:r w:rsidR="001B24E8">
        <w:rPr>
          <w:rFonts w:ascii="Times New Roman" w:hAnsi="Times New Roman" w:cs="Times New Roman"/>
          <w:sz w:val="24"/>
          <w:szCs w:val="24"/>
        </w:rPr>
        <w:t xml:space="preserve">23 </w:t>
      </w:r>
      <w:r w:rsidR="00DD30C9">
        <w:rPr>
          <w:rFonts w:ascii="Times New Roman" w:hAnsi="Times New Roman" w:cs="Times New Roman"/>
          <w:sz w:val="24"/>
          <w:szCs w:val="24"/>
        </w:rPr>
        <w:t>July 2018.</w:t>
      </w:r>
    </w:p>
    <w:p w14:paraId="0F3F6600" w14:textId="77777777" w:rsidR="00D85DEA" w:rsidRDefault="00D85DEA" w:rsidP="00D85DEA">
      <w:pPr>
        <w:pStyle w:val="ListParagraph"/>
        <w:spacing w:before="240" w:line="480" w:lineRule="auto"/>
        <w:jc w:val="both"/>
        <w:rPr>
          <w:rFonts w:ascii="Times New Roman" w:hAnsi="Times New Roman" w:cs="Times New Roman"/>
          <w:b/>
          <w:sz w:val="24"/>
          <w:szCs w:val="24"/>
        </w:rPr>
      </w:pPr>
    </w:p>
    <w:p w14:paraId="0E38D689" w14:textId="28E0997A" w:rsidR="00D85DEA" w:rsidRPr="00D85DEA" w:rsidRDefault="00D85DEA" w:rsidP="00D85DEA">
      <w:pPr>
        <w:pStyle w:val="ListParagraph"/>
        <w:numPr>
          <w:ilvl w:val="0"/>
          <w:numId w:val="5"/>
        </w:numPr>
        <w:spacing w:before="240" w:line="480" w:lineRule="auto"/>
        <w:jc w:val="both"/>
        <w:rPr>
          <w:rFonts w:ascii="Times New Roman" w:hAnsi="Times New Roman" w:cs="Times New Roman"/>
          <w:i/>
          <w:sz w:val="24"/>
          <w:szCs w:val="24"/>
        </w:rPr>
      </w:pPr>
      <w:r>
        <w:rPr>
          <w:rFonts w:ascii="Times New Roman" w:hAnsi="Times New Roman" w:cs="Times New Roman"/>
          <w:i/>
          <w:sz w:val="24"/>
          <w:szCs w:val="24"/>
        </w:rPr>
        <w:lastRenderedPageBreak/>
        <w:t xml:space="preserve"> </w:t>
      </w:r>
      <w:r w:rsidR="00BD17B0">
        <w:rPr>
          <w:rFonts w:ascii="Times New Roman" w:hAnsi="Times New Roman" w:cs="Times New Roman"/>
          <w:i/>
          <w:sz w:val="24"/>
          <w:szCs w:val="24"/>
        </w:rPr>
        <w:t xml:space="preserve">Judicial review </w:t>
      </w:r>
      <w:r w:rsidR="00DD30C9">
        <w:rPr>
          <w:rFonts w:ascii="Times New Roman" w:hAnsi="Times New Roman" w:cs="Times New Roman"/>
          <w:i/>
          <w:sz w:val="24"/>
          <w:szCs w:val="24"/>
        </w:rPr>
        <w:t xml:space="preserve">and </w:t>
      </w:r>
      <w:r w:rsidR="00BD17B0">
        <w:rPr>
          <w:rFonts w:ascii="Times New Roman" w:hAnsi="Times New Roman" w:cs="Times New Roman"/>
          <w:i/>
          <w:sz w:val="24"/>
          <w:szCs w:val="24"/>
        </w:rPr>
        <w:t xml:space="preserve">commercial </w:t>
      </w:r>
      <w:r w:rsidR="00DD30C9">
        <w:rPr>
          <w:rFonts w:ascii="Times New Roman" w:hAnsi="Times New Roman" w:cs="Times New Roman"/>
          <w:i/>
          <w:sz w:val="24"/>
          <w:szCs w:val="24"/>
        </w:rPr>
        <w:t>cases</w:t>
      </w:r>
    </w:p>
    <w:p w14:paraId="358AF2A7" w14:textId="77777777" w:rsidR="00E16478" w:rsidRDefault="00E16478" w:rsidP="00E16478">
      <w:pPr>
        <w:pStyle w:val="ListParagraph"/>
        <w:spacing w:before="24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14:paraId="2E8BC2F1" w14:textId="61A6AFE1" w:rsidR="009F0DE4" w:rsidRPr="00C40A3D" w:rsidRDefault="00E54F9B" w:rsidP="009F0DE4">
      <w:pPr>
        <w:pStyle w:val="ListParagraph"/>
        <w:numPr>
          <w:ilvl w:val="0"/>
          <w:numId w:val="1"/>
        </w:numPr>
        <w:spacing w:before="240" w:line="480" w:lineRule="auto"/>
        <w:jc w:val="both"/>
        <w:rPr>
          <w:rFonts w:ascii="Times New Roman" w:hAnsi="Times New Roman" w:cs="Times New Roman"/>
          <w:b/>
          <w:sz w:val="24"/>
          <w:szCs w:val="24"/>
        </w:rPr>
      </w:pPr>
      <w:r>
        <w:rPr>
          <w:rFonts w:ascii="Times New Roman" w:hAnsi="Times New Roman" w:cs="Times New Roman"/>
          <w:sz w:val="24"/>
          <w:szCs w:val="24"/>
        </w:rPr>
        <w:t>This brings me to a broader issue</w:t>
      </w:r>
      <w:r w:rsidR="00065BE8">
        <w:rPr>
          <w:rFonts w:ascii="Times New Roman" w:hAnsi="Times New Roman" w:cs="Times New Roman"/>
          <w:sz w:val="24"/>
          <w:szCs w:val="24"/>
        </w:rPr>
        <w:t xml:space="preserve"> to which I have already made reference</w:t>
      </w:r>
      <w:r>
        <w:rPr>
          <w:rFonts w:ascii="Times New Roman" w:hAnsi="Times New Roman" w:cs="Times New Roman"/>
          <w:sz w:val="24"/>
          <w:szCs w:val="24"/>
        </w:rPr>
        <w:t>.  E</w:t>
      </w:r>
      <w:r w:rsidR="009F0DE4">
        <w:rPr>
          <w:rFonts w:ascii="Times New Roman" w:hAnsi="Times New Roman" w:cs="Times New Roman"/>
          <w:sz w:val="24"/>
          <w:szCs w:val="24"/>
        </w:rPr>
        <w:t>very application for an extension of time for leave to seek judicial review must be undertaken in the light of the</w:t>
      </w:r>
      <w:r w:rsidR="006A4A42">
        <w:rPr>
          <w:rFonts w:ascii="Times New Roman" w:hAnsi="Times New Roman" w:cs="Times New Roman"/>
          <w:sz w:val="24"/>
          <w:szCs w:val="24"/>
        </w:rPr>
        <w:t xml:space="preserve"> objective served by</w:t>
      </w:r>
      <w:r w:rsidR="009F0DE4">
        <w:rPr>
          <w:rFonts w:ascii="Times New Roman" w:hAnsi="Times New Roman" w:cs="Times New Roman"/>
          <w:sz w:val="24"/>
          <w:szCs w:val="24"/>
        </w:rPr>
        <w:t xml:space="preserve"> </w:t>
      </w:r>
      <w:r w:rsidR="00182F52">
        <w:rPr>
          <w:rFonts w:ascii="Times New Roman" w:hAnsi="Times New Roman" w:cs="Times New Roman"/>
          <w:sz w:val="24"/>
          <w:szCs w:val="24"/>
        </w:rPr>
        <w:t>t</w:t>
      </w:r>
      <w:r w:rsidR="009F0DE4">
        <w:rPr>
          <w:rFonts w:ascii="Times New Roman" w:hAnsi="Times New Roman" w:cs="Times New Roman"/>
          <w:sz w:val="24"/>
          <w:szCs w:val="24"/>
        </w:rPr>
        <w:t xml:space="preserve">he time limit.  That purpose, as explained by Lord Diplock in </w:t>
      </w:r>
      <w:r w:rsidR="009F0DE4">
        <w:rPr>
          <w:rFonts w:ascii="Times New Roman" w:hAnsi="Times New Roman" w:cs="Times New Roman"/>
          <w:i/>
          <w:sz w:val="24"/>
          <w:szCs w:val="24"/>
        </w:rPr>
        <w:t xml:space="preserve">O’Reilly v. </w:t>
      </w:r>
      <w:proofErr w:type="spellStart"/>
      <w:r w:rsidR="009F0DE4">
        <w:rPr>
          <w:rFonts w:ascii="Times New Roman" w:hAnsi="Times New Roman" w:cs="Times New Roman"/>
          <w:i/>
          <w:sz w:val="24"/>
          <w:szCs w:val="24"/>
        </w:rPr>
        <w:t>Mackman</w:t>
      </w:r>
      <w:proofErr w:type="spellEnd"/>
      <w:r w:rsidR="009F0DE4">
        <w:rPr>
          <w:rFonts w:ascii="Times New Roman" w:hAnsi="Times New Roman" w:cs="Times New Roman"/>
          <w:i/>
          <w:sz w:val="24"/>
          <w:szCs w:val="24"/>
        </w:rPr>
        <w:t xml:space="preserve"> </w:t>
      </w:r>
      <w:r w:rsidR="009F0DE4">
        <w:rPr>
          <w:rFonts w:ascii="Times New Roman" w:hAnsi="Times New Roman" w:cs="Times New Roman"/>
          <w:sz w:val="24"/>
          <w:szCs w:val="24"/>
        </w:rPr>
        <w:t xml:space="preserve">[1983] 2 AC 237 </w:t>
      </w:r>
      <w:r w:rsidR="00C52D68">
        <w:rPr>
          <w:rFonts w:ascii="Times New Roman" w:hAnsi="Times New Roman" w:cs="Times New Roman"/>
          <w:sz w:val="24"/>
          <w:szCs w:val="24"/>
        </w:rPr>
        <w:t>(</w:t>
      </w:r>
      <w:r w:rsidR="009F0DE4">
        <w:rPr>
          <w:rFonts w:ascii="Times New Roman" w:hAnsi="Times New Roman" w:cs="Times New Roman"/>
          <w:sz w:val="24"/>
          <w:szCs w:val="24"/>
        </w:rPr>
        <w:t xml:space="preserve">at </w:t>
      </w:r>
      <w:r w:rsidR="00601FE8">
        <w:rPr>
          <w:rFonts w:ascii="Times New Roman" w:hAnsi="Times New Roman" w:cs="Times New Roman"/>
          <w:sz w:val="24"/>
          <w:szCs w:val="24"/>
        </w:rPr>
        <w:t xml:space="preserve">p. </w:t>
      </w:r>
      <w:r w:rsidR="009F0DE4">
        <w:rPr>
          <w:rFonts w:ascii="Times New Roman" w:hAnsi="Times New Roman" w:cs="Times New Roman"/>
          <w:sz w:val="24"/>
          <w:szCs w:val="24"/>
        </w:rPr>
        <w:t>280</w:t>
      </w:r>
      <w:r w:rsidR="00601FE8">
        <w:rPr>
          <w:rFonts w:ascii="Times New Roman" w:hAnsi="Times New Roman" w:cs="Times New Roman"/>
          <w:sz w:val="24"/>
          <w:szCs w:val="24"/>
        </w:rPr>
        <w:t xml:space="preserve"> to </w:t>
      </w:r>
      <w:r w:rsidR="009F0DE4">
        <w:rPr>
          <w:rFonts w:ascii="Times New Roman" w:hAnsi="Times New Roman" w:cs="Times New Roman"/>
          <w:sz w:val="24"/>
          <w:szCs w:val="24"/>
        </w:rPr>
        <w:t>281</w:t>
      </w:r>
      <w:r w:rsidR="00C52D68">
        <w:rPr>
          <w:rFonts w:ascii="Times New Roman" w:hAnsi="Times New Roman" w:cs="Times New Roman"/>
          <w:sz w:val="24"/>
          <w:szCs w:val="24"/>
        </w:rPr>
        <w:t>)</w:t>
      </w:r>
      <w:r w:rsidR="009F0DE4">
        <w:rPr>
          <w:rFonts w:ascii="Times New Roman" w:hAnsi="Times New Roman" w:cs="Times New Roman"/>
          <w:sz w:val="24"/>
          <w:szCs w:val="24"/>
        </w:rPr>
        <w:t xml:space="preserve"> is to implement a public interest of good administration that </w:t>
      </w:r>
      <w:r w:rsidR="00065BE8">
        <w:rPr>
          <w:rFonts w:ascii="Times New Roman" w:hAnsi="Times New Roman" w:cs="Times New Roman"/>
          <w:sz w:val="24"/>
          <w:szCs w:val="24"/>
        </w:rPr>
        <w:t>state</w:t>
      </w:r>
      <w:r w:rsidR="009F0DE4">
        <w:rPr>
          <w:rFonts w:ascii="Times New Roman" w:hAnsi="Times New Roman" w:cs="Times New Roman"/>
          <w:sz w:val="24"/>
          <w:szCs w:val="24"/>
        </w:rPr>
        <w:t xml:space="preserve"> authorities and third parties should not be kept in suspense as to the legal validity of a decision the authority has reached in purported exercise of </w:t>
      </w:r>
      <w:r w:rsidR="00137A32">
        <w:rPr>
          <w:rFonts w:ascii="Times New Roman" w:hAnsi="Times New Roman" w:cs="Times New Roman"/>
          <w:sz w:val="24"/>
          <w:szCs w:val="24"/>
        </w:rPr>
        <w:t xml:space="preserve">its legal </w:t>
      </w:r>
      <w:r w:rsidR="009F0DE4">
        <w:rPr>
          <w:rFonts w:ascii="Times New Roman" w:hAnsi="Times New Roman" w:cs="Times New Roman"/>
          <w:sz w:val="24"/>
          <w:szCs w:val="24"/>
        </w:rPr>
        <w:t xml:space="preserve">powers for any longer period than is absolutely necessary in fairness to </w:t>
      </w:r>
      <w:r w:rsidR="00065BE8">
        <w:rPr>
          <w:rFonts w:ascii="Times New Roman" w:hAnsi="Times New Roman" w:cs="Times New Roman"/>
          <w:sz w:val="24"/>
          <w:szCs w:val="24"/>
        </w:rPr>
        <w:t xml:space="preserve">those </w:t>
      </w:r>
      <w:r w:rsidR="009F0DE4">
        <w:rPr>
          <w:rFonts w:ascii="Times New Roman" w:hAnsi="Times New Roman" w:cs="Times New Roman"/>
          <w:sz w:val="24"/>
          <w:szCs w:val="24"/>
        </w:rPr>
        <w:t xml:space="preserve">affected by those decisions. </w:t>
      </w:r>
      <w:r w:rsidR="00446017">
        <w:rPr>
          <w:rFonts w:ascii="Times New Roman" w:hAnsi="Times New Roman" w:cs="Times New Roman"/>
          <w:sz w:val="24"/>
          <w:szCs w:val="24"/>
        </w:rPr>
        <w:t xml:space="preserve">A similar explanation appears in the judgment of Clarke J. in </w:t>
      </w:r>
      <w:r w:rsidR="00446017">
        <w:rPr>
          <w:rFonts w:ascii="Times New Roman" w:hAnsi="Times New Roman" w:cs="Times New Roman"/>
          <w:i/>
          <w:sz w:val="24"/>
          <w:szCs w:val="24"/>
        </w:rPr>
        <w:t xml:space="preserve">Shell E&amp;P Ireland Ltd. v. McGrath </w:t>
      </w:r>
      <w:r w:rsidR="00446017">
        <w:rPr>
          <w:rFonts w:ascii="Times New Roman" w:hAnsi="Times New Roman" w:cs="Times New Roman"/>
          <w:sz w:val="24"/>
          <w:szCs w:val="24"/>
        </w:rPr>
        <w:t xml:space="preserve">[2013] 1 IR 247 at </w:t>
      </w:r>
      <w:r w:rsidR="00FB0B71">
        <w:rPr>
          <w:rFonts w:ascii="Times New Roman" w:hAnsi="Times New Roman" w:cs="Times New Roman"/>
          <w:sz w:val="24"/>
          <w:szCs w:val="24"/>
        </w:rPr>
        <w:t xml:space="preserve">p. </w:t>
      </w:r>
      <w:r w:rsidR="00810955">
        <w:rPr>
          <w:rFonts w:ascii="Times New Roman" w:hAnsi="Times New Roman" w:cs="Times New Roman"/>
          <w:sz w:val="24"/>
          <w:szCs w:val="24"/>
        </w:rPr>
        <w:t xml:space="preserve">264 and </w:t>
      </w:r>
      <w:r w:rsidR="005A091D">
        <w:rPr>
          <w:rFonts w:ascii="Times New Roman" w:hAnsi="Times New Roman" w:cs="Times New Roman"/>
          <w:sz w:val="24"/>
          <w:szCs w:val="24"/>
        </w:rPr>
        <w:t xml:space="preserve">in the judgment of </w:t>
      </w:r>
      <w:r w:rsidR="009F0DE4">
        <w:rPr>
          <w:rFonts w:ascii="Times New Roman" w:hAnsi="Times New Roman" w:cs="Times New Roman"/>
          <w:sz w:val="24"/>
          <w:szCs w:val="24"/>
        </w:rPr>
        <w:t xml:space="preserve"> Power J. in </w:t>
      </w:r>
      <w:r w:rsidR="009F0DE4">
        <w:rPr>
          <w:rFonts w:ascii="Times New Roman" w:hAnsi="Times New Roman" w:cs="Times New Roman"/>
          <w:i/>
          <w:sz w:val="24"/>
          <w:szCs w:val="24"/>
        </w:rPr>
        <w:t xml:space="preserve">AB v. XY.  </w:t>
      </w:r>
      <w:r w:rsidR="009F0DE4">
        <w:rPr>
          <w:rFonts w:ascii="Times New Roman" w:hAnsi="Times New Roman" w:cs="Times New Roman"/>
          <w:sz w:val="24"/>
          <w:szCs w:val="24"/>
        </w:rPr>
        <w:t>Time limits in judicial review proceedings, she explained, fulfil the important function of enabling people to know where they stand on foot of decisions of administrative bodies and to conduct their affairs accordingly: ‘</w:t>
      </w:r>
      <w:r w:rsidR="009F0DE4">
        <w:rPr>
          <w:rFonts w:ascii="Times New Roman" w:hAnsi="Times New Roman" w:cs="Times New Roman"/>
          <w:i/>
          <w:sz w:val="24"/>
          <w:szCs w:val="24"/>
        </w:rPr>
        <w:t>if a practice were to develop whereby time limits were set aside lightly, adverse consequences for the judicial system would</w:t>
      </w:r>
      <w:r w:rsidR="00FB0B71">
        <w:rPr>
          <w:rFonts w:ascii="Times New Roman" w:hAnsi="Times New Roman" w:cs="Times New Roman"/>
          <w:i/>
          <w:sz w:val="24"/>
          <w:szCs w:val="24"/>
        </w:rPr>
        <w:t>,</w:t>
      </w:r>
      <w:r w:rsidR="009F0DE4">
        <w:rPr>
          <w:rFonts w:ascii="Times New Roman" w:hAnsi="Times New Roman" w:cs="Times New Roman"/>
          <w:i/>
          <w:sz w:val="24"/>
          <w:szCs w:val="24"/>
        </w:rPr>
        <w:t xml:space="preserve"> inevitably</w:t>
      </w:r>
      <w:r w:rsidR="00FB0B71">
        <w:rPr>
          <w:rFonts w:ascii="Times New Roman" w:hAnsi="Times New Roman" w:cs="Times New Roman"/>
          <w:i/>
          <w:sz w:val="24"/>
          <w:szCs w:val="24"/>
        </w:rPr>
        <w:t>,</w:t>
      </w:r>
      <w:r w:rsidR="009F0DE4">
        <w:rPr>
          <w:rFonts w:ascii="Times New Roman" w:hAnsi="Times New Roman" w:cs="Times New Roman"/>
          <w:i/>
          <w:sz w:val="24"/>
          <w:szCs w:val="24"/>
        </w:rPr>
        <w:t xml:space="preserve"> follow’ </w:t>
      </w:r>
      <w:r w:rsidR="009F0DE4">
        <w:rPr>
          <w:rFonts w:ascii="Times New Roman" w:hAnsi="Times New Roman" w:cs="Times New Roman"/>
          <w:sz w:val="24"/>
          <w:szCs w:val="24"/>
        </w:rPr>
        <w:t>(at para. 52).</w:t>
      </w:r>
    </w:p>
    <w:p w14:paraId="42C25BF6" w14:textId="77777777" w:rsidR="00C40A3D" w:rsidRDefault="00C40A3D" w:rsidP="00C40A3D">
      <w:pPr>
        <w:pStyle w:val="ListParagraph"/>
        <w:spacing w:before="24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14:paraId="354EBFFD" w14:textId="77777777" w:rsidR="00664DD2" w:rsidRPr="00664DD2" w:rsidRDefault="001A5DA9" w:rsidP="00E82647">
      <w:pPr>
        <w:pStyle w:val="ListParagraph"/>
        <w:numPr>
          <w:ilvl w:val="0"/>
          <w:numId w:val="1"/>
        </w:numPr>
        <w:spacing w:before="240" w:line="480" w:lineRule="auto"/>
        <w:ind w:hanging="502"/>
        <w:jc w:val="both"/>
        <w:rPr>
          <w:rFonts w:ascii="Times New Roman" w:hAnsi="Times New Roman" w:cs="Times New Roman"/>
          <w:b/>
          <w:sz w:val="24"/>
          <w:szCs w:val="24"/>
        </w:rPr>
      </w:pPr>
      <w:r>
        <w:rPr>
          <w:rFonts w:ascii="Times New Roman" w:hAnsi="Times New Roman" w:cs="Times New Roman"/>
          <w:sz w:val="24"/>
          <w:szCs w:val="24"/>
        </w:rPr>
        <w:t>Proceedings seeking judicial review of decisions in the commercial s</w:t>
      </w:r>
      <w:r w:rsidR="005A091D">
        <w:rPr>
          <w:rFonts w:ascii="Times New Roman" w:hAnsi="Times New Roman" w:cs="Times New Roman"/>
          <w:sz w:val="24"/>
          <w:szCs w:val="24"/>
        </w:rPr>
        <w:t>phere</w:t>
      </w:r>
      <w:r>
        <w:rPr>
          <w:rFonts w:ascii="Times New Roman" w:hAnsi="Times New Roman" w:cs="Times New Roman"/>
          <w:sz w:val="24"/>
          <w:szCs w:val="24"/>
        </w:rPr>
        <w:t xml:space="preserve"> – most notably of regulators, of licencing authorities, of public bodies in awarding contracts</w:t>
      </w:r>
      <w:r w:rsidR="00C03F0C">
        <w:rPr>
          <w:rFonts w:ascii="Times New Roman" w:hAnsi="Times New Roman" w:cs="Times New Roman"/>
          <w:sz w:val="24"/>
          <w:szCs w:val="24"/>
        </w:rPr>
        <w:t>, of decisions impacting on projects involving large disbursements of public funds</w:t>
      </w:r>
      <w:r>
        <w:rPr>
          <w:rFonts w:ascii="Times New Roman" w:hAnsi="Times New Roman" w:cs="Times New Roman"/>
          <w:sz w:val="24"/>
          <w:szCs w:val="24"/>
        </w:rPr>
        <w:t xml:space="preserve"> or of decisions of the executive impacting on the conduct of the business of commercial undertakings – are of a kind in which the courts should usually incline to strict enforcement of the applicable time limits and should scrutinise with particular care explanations advanced for the failure to comply with those requirements.  </w:t>
      </w:r>
    </w:p>
    <w:p w14:paraId="29281BA9" w14:textId="77777777" w:rsidR="00664DD2" w:rsidRPr="00664DD2" w:rsidRDefault="00664DD2" w:rsidP="00664DD2">
      <w:pPr>
        <w:pStyle w:val="ListParagraph"/>
        <w:rPr>
          <w:rFonts w:ascii="Times New Roman" w:hAnsi="Times New Roman" w:cs="Times New Roman"/>
          <w:sz w:val="24"/>
          <w:szCs w:val="24"/>
        </w:rPr>
      </w:pPr>
    </w:p>
    <w:p w14:paraId="02B9F891" w14:textId="4182704E" w:rsidR="006623E5" w:rsidRPr="006623E5" w:rsidRDefault="001A5DA9" w:rsidP="00C52D68">
      <w:pPr>
        <w:pStyle w:val="ListParagraph"/>
        <w:numPr>
          <w:ilvl w:val="0"/>
          <w:numId w:val="1"/>
        </w:numPr>
        <w:spacing w:before="240" w:line="480" w:lineRule="auto"/>
        <w:ind w:hanging="502"/>
        <w:jc w:val="both"/>
        <w:rPr>
          <w:rFonts w:ascii="Times New Roman" w:hAnsi="Times New Roman" w:cs="Times New Roman"/>
          <w:b/>
          <w:sz w:val="24"/>
          <w:szCs w:val="24"/>
        </w:rPr>
      </w:pPr>
      <w:r>
        <w:rPr>
          <w:rFonts w:ascii="Times New Roman" w:hAnsi="Times New Roman" w:cs="Times New Roman"/>
          <w:sz w:val="24"/>
          <w:szCs w:val="24"/>
        </w:rPr>
        <w:t>This is so</w:t>
      </w:r>
      <w:r w:rsidR="006160BE">
        <w:rPr>
          <w:rFonts w:ascii="Times New Roman" w:hAnsi="Times New Roman" w:cs="Times New Roman"/>
          <w:sz w:val="24"/>
          <w:szCs w:val="24"/>
        </w:rPr>
        <w:t xml:space="preserve"> for</w:t>
      </w:r>
      <w:r w:rsidR="006623E5">
        <w:rPr>
          <w:rFonts w:ascii="Times New Roman" w:hAnsi="Times New Roman" w:cs="Times New Roman"/>
          <w:sz w:val="24"/>
          <w:szCs w:val="24"/>
        </w:rPr>
        <w:t xml:space="preserve"> </w:t>
      </w:r>
      <w:r w:rsidR="006A4A42">
        <w:rPr>
          <w:rFonts w:ascii="Times New Roman" w:hAnsi="Times New Roman" w:cs="Times New Roman"/>
          <w:sz w:val="24"/>
          <w:szCs w:val="24"/>
        </w:rPr>
        <w:t>a variety of</w:t>
      </w:r>
      <w:r w:rsidR="006623E5">
        <w:rPr>
          <w:rFonts w:ascii="Times New Roman" w:hAnsi="Times New Roman" w:cs="Times New Roman"/>
          <w:sz w:val="24"/>
          <w:szCs w:val="24"/>
        </w:rPr>
        <w:t xml:space="preserve"> </w:t>
      </w:r>
      <w:r w:rsidR="006160BE">
        <w:rPr>
          <w:rFonts w:ascii="Times New Roman" w:hAnsi="Times New Roman" w:cs="Times New Roman"/>
          <w:sz w:val="24"/>
          <w:szCs w:val="24"/>
        </w:rPr>
        <w:t>reasons</w:t>
      </w:r>
      <w:r w:rsidR="006623E5">
        <w:rPr>
          <w:rFonts w:ascii="Times New Roman" w:hAnsi="Times New Roman" w:cs="Times New Roman"/>
          <w:sz w:val="24"/>
          <w:szCs w:val="24"/>
        </w:rPr>
        <w:t xml:space="preserve"> operating </w:t>
      </w:r>
      <w:r w:rsidR="00D457DE">
        <w:rPr>
          <w:rFonts w:ascii="Times New Roman" w:hAnsi="Times New Roman" w:cs="Times New Roman"/>
          <w:sz w:val="24"/>
          <w:szCs w:val="24"/>
        </w:rPr>
        <w:t xml:space="preserve">broadly </w:t>
      </w:r>
      <w:r w:rsidR="006623E5">
        <w:rPr>
          <w:rFonts w:ascii="Times New Roman" w:hAnsi="Times New Roman" w:cs="Times New Roman"/>
          <w:sz w:val="24"/>
          <w:szCs w:val="24"/>
        </w:rPr>
        <w:t>at two levels</w:t>
      </w:r>
      <w:r>
        <w:rPr>
          <w:rFonts w:ascii="Times New Roman" w:hAnsi="Times New Roman" w:cs="Times New Roman"/>
          <w:sz w:val="24"/>
          <w:szCs w:val="24"/>
        </w:rPr>
        <w:t xml:space="preserve">.  </w:t>
      </w:r>
      <w:r w:rsidR="006623E5">
        <w:rPr>
          <w:rFonts w:ascii="Times New Roman" w:hAnsi="Times New Roman" w:cs="Times New Roman"/>
          <w:sz w:val="24"/>
          <w:szCs w:val="24"/>
        </w:rPr>
        <w:t>First, i</w:t>
      </w:r>
      <w:r>
        <w:rPr>
          <w:rFonts w:ascii="Times New Roman" w:hAnsi="Times New Roman" w:cs="Times New Roman"/>
          <w:sz w:val="24"/>
          <w:szCs w:val="24"/>
        </w:rPr>
        <w:t xml:space="preserve">t is to be expected that </w:t>
      </w:r>
      <w:r w:rsidR="00813191">
        <w:rPr>
          <w:rFonts w:ascii="Times New Roman" w:hAnsi="Times New Roman" w:cs="Times New Roman"/>
          <w:sz w:val="24"/>
          <w:szCs w:val="24"/>
        </w:rPr>
        <w:t xml:space="preserve">both the decision makers and </w:t>
      </w:r>
      <w:r w:rsidR="00664DD2">
        <w:rPr>
          <w:rFonts w:ascii="Times New Roman" w:hAnsi="Times New Roman" w:cs="Times New Roman"/>
          <w:sz w:val="24"/>
          <w:szCs w:val="24"/>
        </w:rPr>
        <w:t xml:space="preserve">the </w:t>
      </w:r>
      <w:r>
        <w:rPr>
          <w:rFonts w:ascii="Times New Roman" w:hAnsi="Times New Roman" w:cs="Times New Roman"/>
          <w:sz w:val="24"/>
          <w:szCs w:val="24"/>
        </w:rPr>
        <w:t xml:space="preserve">commercial undertakings </w:t>
      </w:r>
      <w:r w:rsidR="006623E5">
        <w:rPr>
          <w:rFonts w:ascii="Times New Roman" w:hAnsi="Times New Roman" w:cs="Times New Roman"/>
          <w:sz w:val="24"/>
          <w:szCs w:val="24"/>
        </w:rPr>
        <w:t xml:space="preserve">affected by such determinations </w:t>
      </w:r>
      <w:r>
        <w:rPr>
          <w:rFonts w:ascii="Times New Roman" w:hAnsi="Times New Roman" w:cs="Times New Roman"/>
          <w:sz w:val="24"/>
          <w:szCs w:val="24"/>
        </w:rPr>
        <w:t>will frequently have adjusted their operations</w:t>
      </w:r>
      <w:r w:rsidR="00813191">
        <w:rPr>
          <w:rFonts w:ascii="Times New Roman" w:hAnsi="Times New Roman" w:cs="Times New Roman"/>
          <w:sz w:val="24"/>
          <w:szCs w:val="24"/>
        </w:rPr>
        <w:t xml:space="preserve"> and (in the case of the latter) financial affairs </w:t>
      </w:r>
      <w:r w:rsidR="00065BE8">
        <w:rPr>
          <w:rFonts w:ascii="Times New Roman" w:hAnsi="Times New Roman" w:cs="Times New Roman"/>
          <w:sz w:val="24"/>
          <w:szCs w:val="24"/>
        </w:rPr>
        <w:t xml:space="preserve">and business operations </w:t>
      </w:r>
      <w:r>
        <w:rPr>
          <w:rFonts w:ascii="Times New Roman" w:hAnsi="Times New Roman" w:cs="Times New Roman"/>
          <w:sz w:val="24"/>
          <w:szCs w:val="24"/>
        </w:rPr>
        <w:t xml:space="preserve">on the basis of such administrative decisions, and it will often be the case that they can legitimately expect that those decisions will not be upset outside the period prescribed by the law. </w:t>
      </w:r>
      <w:r w:rsidR="006623E5">
        <w:rPr>
          <w:rFonts w:ascii="Times New Roman" w:hAnsi="Times New Roman" w:cs="Times New Roman"/>
          <w:sz w:val="24"/>
          <w:szCs w:val="24"/>
        </w:rPr>
        <w:t xml:space="preserve">  The </w:t>
      </w:r>
      <w:r w:rsidR="008E01B8">
        <w:rPr>
          <w:rFonts w:ascii="Times New Roman" w:hAnsi="Times New Roman" w:cs="Times New Roman"/>
          <w:sz w:val="24"/>
          <w:szCs w:val="24"/>
        </w:rPr>
        <w:t xml:space="preserve">recognition </w:t>
      </w:r>
      <w:r w:rsidR="006623E5">
        <w:rPr>
          <w:rFonts w:ascii="Times New Roman" w:hAnsi="Times New Roman" w:cs="Times New Roman"/>
          <w:sz w:val="24"/>
          <w:szCs w:val="24"/>
        </w:rPr>
        <w:t xml:space="preserve">that certainty in the law is critical to the proper functioning of commercial </w:t>
      </w:r>
      <w:r w:rsidR="00B15EB9">
        <w:rPr>
          <w:rFonts w:ascii="Times New Roman" w:hAnsi="Times New Roman" w:cs="Times New Roman"/>
          <w:sz w:val="24"/>
          <w:szCs w:val="24"/>
        </w:rPr>
        <w:t xml:space="preserve">undertakings </w:t>
      </w:r>
      <w:r w:rsidR="00D1077D">
        <w:rPr>
          <w:rFonts w:ascii="Times New Roman" w:hAnsi="Times New Roman" w:cs="Times New Roman"/>
          <w:sz w:val="24"/>
          <w:szCs w:val="24"/>
        </w:rPr>
        <w:t xml:space="preserve">– an </w:t>
      </w:r>
      <w:r w:rsidR="00137A32">
        <w:rPr>
          <w:rFonts w:ascii="Times New Roman" w:hAnsi="Times New Roman" w:cs="Times New Roman"/>
          <w:sz w:val="24"/>
          <w:szCs w:val="24"/>
        </w:rPr>
        <w:t>assumption</w:t>
      </w:r>
      <w:r w:rsidR="00D1077D">
        <w:rPr>
          <w:rFonts w:ascii="Times New Roman" w:hAnsi="Times New Roman" w:cs="Times New Roman"/>
          <w:sz w:val="24"/>
          <w:szCs w:val="24"/>
        </w:rPr>
        <w:t xml:space="preserve"> exemplified in this jurisdiction by the establishment of the Commercial Court and investment therein of very significant judicial resources - </w:t>
      </w:r>
      <w:r w:rsidR="006623E5">
        <w:rPr>
          <w:rFonts w:ascii="Times New Roman" w:hAnsi="Times New Roman" w:cs="Times New Roman"/>
          <w:sz w:val="24"/>
          <w:szCs w:val="24"/>
        </w:rPr>
        <w:t>carries an advantage</w:t>
      </w:r>
      <w:r w:rsidR="001A7C8A">
        <w:rPr>
          <w:rFonts w:ascii="Times New Roman" w:hAnsi="Times New Roman" w:cs="Times New Roman"/>
          <w:sz w:val="24"/>
          <w:szCs w:val="24"/>
        </w:rPr>
        <w:t xml:space="preserve"> </w:t>
      </w:r>
      <w:r w:rsidR="00065BE8">
        <w:rPr>
          <w:rFonts w:ascii="Times New Roman" w:hAnsi="Times New Roman" w:cs="Times New Roman"/>
          <w:sz w:val="24"/>
          <w:szCs w:val="24"/>
        </w:rPr>
        <w:t xml:space="preserve">for those engaged in that activity, </w:t>
      </w:r>
      <w:r w:rsidR="006623E5">
        <w:rPr>
          <w:rFonts w:ascii="Times New Roman" w:hAnsi="Times New Roman" w:cs="Times New Roman"/>
          <w:sz w:val="24"/>
          <w:szCs w:val="24"/>
        </w:rPr>
        <w:t xml:space="preserve">but also </w:t>
      </w:r>
      <w:r w:rsidR="00B15EB9">
        <w:rPr>
          <w:rFonts w:ascii="Times New Roman" w:hAnsi="Times New Roman" w:cs="Times New Roman"/>
          <w:sz w:val="24"/>
          <w:szCs w:val="24"/>
        </w:rPr>
        <w:t xml:space="preserve">imposes </w:t>
      </w:r>
      <w:r w:rsidR="006623E5">
        <w:rPr>
          <w:rFonts w:ascii="Times New Roman" w:hAnsi="Times New Roman" w:cs="Times New Roman"/>
          <w:sz w:val="24"/>
          <w:szCs w:val="24"/>
        </w:rPr>
        <w:t>a corresponding burden</w:t>
      </w:r>
      <w:r w:rsidR="00664DD2">
        <w:rPr>
          <w:rFonts w:ascii="Times New Roman" w:hAnsi="Times New Roman" w:cs="Times New Roman"/>
          <w:sz w:val="24"/>
          <w:szCs w:val="24"/>
        </w:rPr>
        <w:t xml:space="preserve"> </w:t>
      </w:r>
      <w:r w:rsidR="00B15EB9">
        <w:rPr>
          <w:rFonts w:ascii="Times New Roman" w:hAnsi="Times New Roman" w:cs="Times New Roman"/>
          <w:sz w:val="24"/>
          <w:szCs w:val="24"/>
        </w:rPr>
        <w:t>upon</w:t>
      </w:r>
      <w:r w:rsidR="006623E5">
        <w:rPr>
          <w:rFonts w:ascii="Times New Roman" w:hAnsi="Times New Roman" w:cs="Times New Roman"/>
          <w:sz w:val="24"/>
          <w:szCs w:val="24"/>
        </w:rPr>
        <w:t xml:space="preserve"> litigants whose cases </w:t>
      </w:r>
      <w:r w:rsidR="00664DD2">
        <w:rPr>
          <w:rFonts w:ascii="Times New Roman" w:hAnsi="Times New Roman" w:cs="Times New Roman"/>
          <w:sz w:val="24"/>
          <w:szCs w:val="24"/>
        </w:rPr>
        <w:t xml:space="preserve">originate </w:t>
      </w:r>
      <w:r w:rsidR="006A4A42">
        <w:rPr>
          <w:rFonts w:ascii="Times New Roman" w:hAnsi="Times New Roman" w:cs="Times New Roman"/>
          <w:sz w:val="24"/>
          <w:szCs w:val="24"/>
        </w:rPr>
        <w:t>in</w:t>
      </w:r>
      <w:r w:rsidR="00FB0B71">
        <w:rPr>
          <w:rFonts w:ascii="Times New Roman" w:hAnsi="Times New Roman" w:cs="Times New Roman"/>
          <w:sz w:val="24"/>
          <w:szCs w:val="24"/>
        </w:rPr>
        <w:t>,</w:t>
      </w:r>
      <w:r w:rsidR="006A4A42">
        <w:rPr>
          <w:rFonts w:ascii="Times New Roman" w:hAnsi="Times New Roman" w:cs="Times New Roman"/>
          <w:sz w:val="24"/>
          <w:szCs w:val="24"/>
        </w:rPr>
        <w:t xml:space="preserve"> </w:t>
      </w:r>
      <w:r w:rsidR="00664DD2">
        <w:rPr>
          <w:rFonts w:ascii="Times New Roman" w:hAnsi="Times New Roman" w:cs="Times New Roman"/>
          <w:sz w:val="24"/>
          <w:szCs w:val="24"/>
        </w:rPr>
        <w:t xml:space="preserve">and seek to promote their economic interests </w:t>
      </w:r>
      <w:r w:rsidR="003A1B3A">
        <w:rPr>
          <w:rFonts w:ascii="Times New Roman" w:hAnsi="Times New Roman" w:cs="Times New Roman"/>
          <w:sz w:val="24"/>
          <w:szCs w:val="24"/>
        </w:rPr>
        <w:t>within</w:t>
      </w:r>
      <w:r w:rsidR="006A4A42">
        <w:rPr>
          <w:rFonts w:ascii="Times New Roman" w:hAnsi="Times New Roman" w:cs="Times New Roman"/>
          <w:sz w:val="24"/>
          <w:szCs w:val="24"/>
        </w:rPr>
        <w:t>,</w:t>
      </w:r>
      <w:r w:rsidR="00664DD2">
        <w:rPr>
          <w:rFonts w:ascii="Times New Roman" w:hAnsi="Times New Roman" w:cs="Times New Roman"/>
          <w:sz w:val="24"/>
          <w:szCs w:val="24"/>
        </w:rPr>
        <w:t xml:space="preserve"> that </w:t>
      </w:r>
      <w:r w:rsidR="006623E5">
        <w:rPr>
          <w:rFonts w:ascii="Times New Roman" w:hAnsi="Times New Roman" w:cs="Times New Roman"/>
          <w:sz w:val="24"/>
          <w:szCs w:val="24"/>
        </w:rPr>
        <w:t>context.</w:t>
      </w:r>
    </w:p>
    <w:p w14:paraId="338181CF" w14:textId="77777777" w:rsidR="006623E5" w:rsidRPr="006623E5" w:rsidRDefault="006623E5" w:rsidP="006623E5">
      <w:pPr>
        <w:pStyle w:val="ListParagraph"/>
        <w:rPr>
          <w:rFonts w:ascii="Times New Roman" w:hAnsi="Times New Roman" w:cs="Times New Roman"/>
          <w:sz w:val="24"/>
          <w:szCs w:val="24"/>
        </w:rPr>
      </w:pPr>
    </w:p>
    <w:p w14:paraId="0A5D9F59" w14:textId="438C062B" w:rsidR="005764E0" w:rsidRPr="005764E0" w:rsidRDefault="001A5DA9" w:rsidP="00C52D68">
      <w:pPr>
        <w:pStyle w:val="ListParagraph"/>
        <w:numPr>
          <w:ilvl w:val="0"/>
          <w:numId w:val="1"/>
        </w:numPr>
        <w:spacing w:before="240" w:line="480" w:lineRule="auto"/>
        <w:ind w:hanging="502"/>
        <w:jc w:val="both"/>
        <w:rPr>
          <w:rFonts w:ascii="Times New Roman" w:hAnsi="Times New Roman" w:cs="Times New Roman"/>
          <w:b/>
          <w:sz w:val="24"/>
          <w:szCs w:val="24"/>
        </w:rPr>
      </w:pPr>
      <w:r>
        <w:rPr>
          <w:rFonts w:ascii="Times New Roman" w:hAnsi="Times New Roman" w:cs="Times New Roman"/>
          <w:sz w:val="24"/>
          <w:szCs w:val="24"/>
        </w:rPr>
        <w:t xml:space="preserve">Moreover, </w:t>
      </w:r>
      <w:r w:rsidR="006623E5">
        <w:rPr>
          <w:rFonts w:ascii="Times New Roman" w:hAnsi="Times New Roman" w:cs="Times New Roman"/>
          <w:sz w:val="24"/>
          <w:szCs w:val="24"/>
        </w:rPr>
        <w:t xml:space="preserve">and second, </w:t>
      </w:r>
      <w:r>
        <w:rPr>
          <w:rFonts w:ascii="Times New Roman" w:hAnsi="Times New Roman" w:cs="Times New Roman"/>
          <w:sz w:val="24"/>
          <w:szCs w:val="24"/>
        </w:rPr>
        <w:t xml:space="preserve">it will also </w:t>
      </w:r>
      <w:r w:rsidR="00813191">
        <w:rPr>
          <w:rFonts w:ascii="Times New Roman" w:hAnsi="Times New Roman" w:cs="Times New Roman"/>
          <w:sz w:val="24"/>
          <w:szCs w:val="24"/>
        </w:rPr>
        <w:t xml:space="preserve">usually </w:t>
      </w:r>
      <w:r>
        <w:rPr>
          <w:rFonts w:ascii="Times New Roman" w:hAnsi="Times New Roman" w:cs="Times New Roman"/>
          <w:sz w:val="24"/>
          <w:szCs w:val="24"/>
        </w:rPr>
        <w:t>be the case that the considerations that may cause the courts to</w:t>
      </w:r>
      <w:r w:rsidR="006623E5">
        <w:rPr>
          <w:rFonts w:ascii="Times New Roman" w:hAnsi="Times New Roman" w:cs="Times New Roman"/>
          <w:sz w:val="24"/>
          <w:szCs w:val="24"/>
        </w:rPr>
        <w:t xml:space="preserve"> sympathetically i</w:t>
      </w:r>
      <w:r>
        <w:rPr>
          <w:rFonts w:ascii="Times New Roman" w:hAnsi="Times New Roman" w:cs="Times New Roman"/>
          <w:sz w:val="24"/>
          <w:szCs w:val="24"/>
        </w:rPr>
        <w:t xml:space="preserve">ncline to extend time for some categories of litigant </w:t>
      </w:r>
      <w:r w:rsidR="00664DD2">
        <w:rPr>
          <w:rFonts w:ascii="Times New Roman" w:hAnsi="Times New Roman" w:cs="Times New Roman"/>
          <w:sz w:val="24"/>
          <w:szCs w:val="24"/>
        </w:rPr>
        <w:t xml:space="preserve">(at least for short periods) </w:t>
      </w:r>
      <w:r>
        <w:rPr>
          <w:rFonts w:ascii="Times New Roman" w:hAnsi="Times New Roman" w:cs="Times New Roman"/>
          <w:sz w:val="24"/>
          <w:szCs w:val="24"/>
        </w:rPr>
        <w:t xml:space="preserve">– ignorance of legal entitlement, inability to access </w:t>
      </w:r>
      <w:r w:rsidR="00E514A4">
        <w:rPr>
          <w:rFonts w:ascii="Times New Roman" w:hAnsi="Times New Roman" w:cs="Times New Roman"/>
          <w:sz w:val="24"/>
          <w:szCs w:val="24"/>
        </w:rPr>
        <w:t xml:space="preserve">appropriate professional </w:t>
      </w:r>
      <w:r>
        <w:rPr>
          <w:rFonts w:ascii="Times New Roman" w:hAnsi="Times New Roman" w:cs="Times New Roman"/>
          <w:sz w:val="24"/>
          <w:szCs w:val="24"/>
        </w:rPr>
        <w:t xml:space="preserve">advice, a reluctance to embark upon litigation because of the </w:t>
      </w:r>
      <w:r w:rsidR="00813191">
        <w:rPr>
          <w:rFonts w:ascii="Times New Roman" w:hAnsi="Times New Roman" w:cs="Times New Roman"/>
          <w:sz w:val="24"/>
          <w:szCs w:val="24"/>
        </w:rPr>
        <w:t>exposure to legal costs it may entail</w:t>
      </w:r>
      <w:r w:rsidR="003B7EA3">
        <w:rPr>
          <w:rFonts w:ascii="Times New Roman" w:hAnsi="Times New Roman" w:cs="Times New Roman"/>
          <w:sz w:val="24"/>
          <w:szCs w:val="24"/>
        </w:rPr>
        <w:t>, particular circumstances of personal vulnerability that rendered proceeding to court difficult</w:t>
      </w:r>
      <w:r w:rsidR="00813191">
        <w:rPr>
          <w:rFonts w:ascii="Times New Roman" w:hAnsi="Times New Roman" w:cs="Times New Roman"/>
          <w:sz w:val="24"/>
          <w:szCs w:val="24"/>
        </w:rPr>
        <w:t xml:space="preserve"> and </w:t>
      </w:r>
      <w:r>
        <w:rPr>
          <w:rFonts w:ascii="Times New Roman" w:hAnsi="Times New Roman" w:cs="Times New Roman"/>
          <w:sz w:val="24"/>
          <w:szCs w:val="24"/>
        </w:rPr>
        <w:t>the absence of any countervailing third party interests impacted by enabling a delayed assertion of their legal rights – will not apply in such cases.  It is to be exp</w:t>
      </w:r>
      <w:r w:rsidR="00813191">
        <w:rPr>
          <w:rFonts w:ascii="Times New Roman" w:hAnsi="Times New Roman" w:cs="Times New Roman"/>
          <w:sz w:val="24"/>
          <w:szCs w:val="24"/>
        </w:rPr>
        <w:t xml:space="preserve">ected that those who seek to challenge decisions of the kind in issue in this case will </w:t>
      </w:r>
      <w:r w:rsidR="00A10CDF">
        <w:rPr>
          <w:rFonts w:ascii="Times New Roman" w:hAnsi="Times New Roman" w:cs="Times New Roman"/>
          <w:sz w:val="24"/>
          <w:szCs w:val="24"/>
        </w:rPr>
        <w:t xml:space="preserve">be </w:t>
      </w:r>
      <w:r w:rsidR="00636014">
        <w:rPr>
          <w:rFonts w:ascii="Times New Roman" w:hAnsi="Times New Roman" w:cs="Times New Roman"/>
          <w:sz w:val="24"/>
          <w:szCs w:val="24"/>
        </w:rPr>
        <w:t xml:space="preserve">well </w:t>
      </w:r>
      <w:r w:rsidR="00A10CDF">
        <w:rPr>
          <w:rFonts w:ascii="Times New Roman" w:hAnsi="Times New Roman" w:cs="Times New Roman"/>
          <w:sz w:val="24"/>
          <w:szCs w:val="24"/>
        </w:rPr>
        <w:t xml:space="preserve">resourced, will </w:t>
      </w:r>
      <w:r w:rsidR="00813191">
        <w:rPr>
          <w:rFonts w:ascii="Times New Roman" w:hAnsi="Times New Roman" w:cs="Times New Roman"/>
          <w:sz w:val="24"/>
          <w:szCs w:val="24"/>
        </w:rPr>
        <w:t xml:space="preserve">have legal </w:t>
      </w:r>
      <w:r w:rsidR="00FB0B71">
        <w:rPr>
          <w:rFonts w:ascii="Times New Roman" w:hAnsi="Times New Roman" w:cs="Times New Roman"/>
          <w:sz w:val="24"/>
          <w:szCs w:val="24"/>
        </w:rPr>
        <w:t>advice</w:t>
      </w:r>
      <w:r w:rsidR="00813191">
        <w:rPr>
          <w:rFonts w:ascii="Times New Roman" w:hAnsi="Times New Roman" w:cs="Times New Roman"/>
          <w:sz w:val="24"/>
          <w:szCs w:val="24"/>
        </w:rPr>
        <w:t xml:space="preserve"> at their disposal</w:t>
      </w:r>
      <w:r w:rsidR="00664DD2">
        <w:rPr>
          <w:rFonts w:ascii="Times New Roman" w:hAnsi="Times New Roman" w:cs="Times New Roman"/>
          <w:sz w:val="24"/>
          <w:szCs w:val="24"/>
        </w:rPr>
        <w:t>, will be robust in their acceptance of the consequences of the risk attending any legal action</w:t>
      </w:r>
      <w:r w:rsidR="00813191">
        <w:rPr>
          <w:rFonts w:ascii="Times New Roman" w:hAnsi="Times New Roman" w:cs="Times New Roman"/>
          <w:sz w:val="24"/>
          <w:szCs w:val="24"/>
        </w:rPr>
        <w:t xml:space="preserve"> and will be in a position to organise their affairs so that litigation can be rapidly brought and pursued. </w:t>
      </w:r>
      <w:r w:rsidR="00C12388">
        <w:rPr>
          <w:rFonts w:ascii="Times New Roman" w:hAnsi="Times New Roman" w:cs="Times New Roman"/>
          <w:sz w:val="24"/>
          <w:szCs w:val="24"/>
        </w:rPr>
        <w:t xml:space="preserve"> I have earlier noted observations to this effect in </w:t>
      </w:r>
      <w:r w:rsidR="00C12388">
        <w:rPr>
          <w:rFonts w:ascii="Times New Roman" w:hAnsi="Times New Roman" w:cs="Times New Roman"/>
          <w:i/>
          <w:sz w:val="24"/>
          <w:szCs w:val="24"/>
        </w:rPr>
        <w:lastRenderedPageBreak/>
        <w:t>MO’S</w:t>
      </w:r>
      <w:r w:rsidR="00C12388">
        <w:rPr>
          <w:rFonts w:ascii="Times New Roman" w:hAnsi="Times New Roman" w:cs="Times New Roman"/>
          <w:sz w:val="24"/>
          <w:szCs w:val="24"/>
        </w:rPr>
        <w:t>, and similar statements can be found throughout the case law (see</w:t>
      </w:r>
      <w:r w:rsidR="00065BE8">
        <w:rPr>
          <w:rFonts w:ascii="Times New Roman" w:hAnsi="Times New Roman" w:cs="Times New Roman"/>
          <w:sz w:val="24"/>
          <w:szCs w:val="24"/>
        </w:rPr>
        <w:t xml:space="preserve"> </w:t>
      </w:r>
      <w:r w:rsidR="00065BE8">
        <w:rPr>
          <w:rFonts w:ascii="Times New Roman" w:hAnsi="Times New Roman" w:cs="Times New Roman"/>
          <w:i/>
          <w:sz w:val="24"/>
          <w:szCs w:val="24"/>
        </w:rPr>
        <w:t xml:space="preserve">Noonan Services Ltd. v. Labour Court </w:t>
      </w:r>
      <w:r w:rsidR="00065BE8">
        <w:rPr>
          <w:rFonts w:ascii="Times New Roman" w:hAnsi="Times New Roman" w:cs="Times New Roman"/>
          <w:sz w:val="24"/>
          <w:szCs w:val="24"/>
        </w:rPr>
        <w:t xml:space="preserve">[2004] IEHC 42  (the appeal against which was dismissed in an ex tempore judgment of 14 May 2004), </w:t>
      </w:r>
      <w:r w:rsidR="00C03F0C">
        <w:rPr>
          <w:rFonts w:ascii="Times New Roman" w:hAnsi="Times New Roman" w:cs="Times New Roman"/>
          <w:i/>
          <w:sz w:val="24"/>
          <w:szCs w:val="24"/>
        </w:rPr>
        <w:t xml:space="preserve">SIAC </w:t>
      </w:r>
      <w:r w:rsidR="00C01235">
        <w:rPr>
          <w:rFonts w:ascii="Times New Roman" w:hAnsi="Times New Roman" w:cs="Times New Roman"/>
          <w:i/>
          <w:sz w:val="24"/>
          <w:szCs w:val="24"/>
        </w:rPr>
        <w:t xml:space="preserve">Construction Ltd </w:t>
      </w:r>
      <w:r w:rsidR="00C03F0C">
        <w:rPr>
          <w:rFonts w:ascii="Times New Roman" w:hAnsi="Times New Roman" w:cs="Times New Roman"/>
          <w:i/>
          <w:sz w:val="24"/>
          <w:szCs w:val="24"/>
        </w:rPr>
        <w:t xml:space="preserve">v. National Roads Authority </w:t>
      </w:r>
      <w:r w:rsidR="00C03F0C">
        <w:rPr>
          <w:rFonts w:ascii="Times New Roman" w:hAnsi="Times New Roman" w:cs="Times New Roman"/>
          <w:sz w:val="24"/>
          <w:szCs w:val="24"/>
        </w:rPr>
        <w:t xml:space="preserve">[2004] IEHC 128, </w:t>
      </w:r>
      <w:proofErr w:type="spellStart"/>
      <w:r w:rsidR="00C03F0C">
        <w:rPr>
          <w:rFonts w:ascii="Times New Roman" w:hAnsi="Times New Roman" w:cs="Times New Roman"/>
          <w:i/>
          <w:sz w:val="24"/>
          <w:szCs w:val="24"/>
        </w:rPr>
        <w:t>Mulcreevy</w:t>
      </w:r>
      <w:proofErr w:type="spellEnd"/>
      <w:r w:rsidR="00C03F0C">
        <w:rPr>
          <w:rFonts w:ascii="Times New Roman" w:hAnsi="Times New Roman" w:cs="Times New Roman"/>
          <w:i/>
          <w:sz w:val="24"/>
          <w:szCs w:val="24"/>
        </w:rPr>
        <w:t xml:space="preserve"> v. Minister for Environment</w:t>
      </w:r>
      <w:r w:rsidR="00C03F0C">
        <w:rPr>
          <w:rFonts w:ascii="Times New Roman" w:hAnsi="Times New Roman" w:cs="Times New Roman"/>
          <w:sz w:val="24"/>
          <w:szCs w:val="24"/>
        </w:rPr>
        <w:t xml:space="preserve"> [2004] IESC 5, [2004] 1 IR 72 at p.</w:t>
      </w:r>
      <w:r w:rsidR="00636014">
        <w:rPr>
          <w:rFonts w:ascii="Times New Roman" w:hAnsi="Times New Roman" w:cs="Times New Roman"/>
          <w:sz w:val="24"/>
          <w:szCs w:val="24"/>
        </w:rPr>
        <w:t xml:space="preserve"> </w:t>
      </w:r>
      <w:r w:rsidR="00C03F0C">
        <w:rPr>
          <w:rFonts w:ascii="Times New Roman" w:hAnsi="Times New Roman" w:cs="Times New Roman"/>
          <w:sz w:val="24"/>
          <w:szCs w:val="24"/>
        </w:rPr>
        <w:t xml:space="preserve">80, </w:t>
      </w:r>
      <w:proofErr w:type="spellStart"/>
      <w:r w:rsidR="00C03F0C">
        <w:rPr>
          <w:rFonts w:ascii="Times New Roman" w:hAnsi="Times New Roman" w:cs="Times New Roman"/>
          <w:i/>
          <w:sz w:val="24"/>
          <w:szCs w:val="24"/>
        </w:rPr>
        <w:t>Cityjet</w:t>
      </w:r>
      <w:proofErr w:type="spellEnd"/>
      <w:r w:rsidR="0054061D">
        <w:rPr>
          <w:rFonts w:ascii="Times New Roman" w:hAnsi="Times New Roman" w:cs="Times New Roman"/>
          <w:i/>
          <w:sz w:val="24"/>
          <w:szCs w:val="24"/>
        </w:rPr>
        <w:t xml:space="preserve"> Ltd</w:t>
      </w:r>
      <w:r w:rsidR="00C03F0C">
        <w:rPr>
          <w:rFonts w:ascii="Times New Roman" w:hAnsi="Times New Roman" w:cs="Times New Roman"/>
          <w:i/>
          <w:sz w:val="24"/>
          <w:szCs w:val="24"/>
        </w:rPr>
        <w:t xml:space="preserve"> v. Irish Aviation Authority </w:t>
      </w:r>
      <w:r w:rsidR="00C03F0C">
        <w:rPr>
          <w:rFonts w:ascii="Times New Roman" w:hAnsi="Times New Roman" w:cs="Times New Roman"/>
          <w:sz w:val="24"/>
          <w:szCs w:val="24"/>
        </w:rPr>
        <w:t>[2005] IEHC 206).</w:t>
      </w:r>
    </w:p>
    <w:p w14:paraId="44B6C5D7" w14:textId="77777777" w:rsidR="005764E0" w:rsidRPr="005764E0" w:rsidRDefault="005764E0" w:rsidP="005764E0">
      <w:pPr>
        <w:pStyle w:val="ListParagraph"/>
        <w:rPr>
          <w:rFonts w:ascii="Times New Roman" w:hAnsi="Times New Roman" w:cs="Times New Roman"/>
          <w:sz w:val="24"/>
          <w:szCs w:val="24"/>
        </w:rPr>
      </w:pPr>
    </w:p>
    <w:p w14:paraId="32D09EE6" w14:textId="19F688D8" w:rsidR="00C40A3D" w:rsidRPr="00664DD2" w:rsidRDefault="00664DD2" w:rsidP="00F0759E">
      <w:pPr>
        <w:pStyle w:val="ListParagraph"/>
        <w:numPr>
          <w:ilvl w:val="0"/>
          <w:numId w:val="1"/>
        </w:numPr>
        <w:spacing w:before="240" w:line="480" w:lineRule="auto"/>
        <w:ind w:hanging="502"/>
        <w:jc w:val="both"/>
        <w:rPr>
          <w:rFonts w:ascii="Times New Roman" w:hAnsi="Times New Roman" w:cs="Times New Roman"/>
          <w:b/>
          <w:sz w:val="24"/>
          <w:szCs w:val="24"/>
        </w:rPr>
      </w:pPr>
      <w:r>
        <w:rPr>
          <w:rFonts w:ascii="Times New Roman" w:hAnsi="Times New Roman" w:cs="Times New Roman"/>
          <w:sz w:val="24"/>
          <w:szCs w:val="24"/>
        </w:rPr>
        <w:t xml:space="preserve">All of this </w:t>
      </w:r>
      <w:r w:rsidR="00813191">
        <w:rPr>
          <w:rFonts w:ascii="Times New Roman" w:hAnsi="Times New Roman" w:cs="Times New Roman"/>
          <w:sz w:val="24"/>
          <w:szCs w:val="24"/>
        </w:rPr>
        <w:t>mean</w:t>
      </w:r>
      <w:r>
        <w:rPr>
          <w:rFonts w:ascii="Times New Roman" w:hAnsi="Times New Roman" w:cs="Times New Roman"/>
          <w:sz w:val="24"/>
          <w:szCs w:val="24"/>
        </w:rPr>
        <w:t>s</w:t>
      </w:r>
      <w:r w:rsidR="00813191">
        <w:rPr>
          <w:rFonts w:ascii="Times New Roman" w:hAnsi="Times New Roman" w:cs="Times New Roman"/>
          <w:sz w:val="24"/>
          <w:szCs w:val="24"/>
        </w:rPr>
        <w:t xml:space="preserve"> that there is a strong public policy in such cases </w:t>
      </w:r>
      <w:r w:rsidR="00C50AA6">
        <w:rPr>
          <w:rFonts w:ascii="Times New Roman" w:hAnsi="Times New Roman" w:cs="Times New Roman"/>
          <w:sz w:val="24"/>
          <w:szCs w:val="24"/>
        </w:rPr>
        <w:t xml:space="preserve">that leans towards </w:t>
      </w:r>
      <w:r>
        <w:rPr>
          <w:rFonts w:ascii="Times New Roman" w:hAnsi="Times New Roman" w:cs="Times New Roman"/>
          <w:sz w:val="24"/>
          <w:szCs w:val="24"/>
        </w:rPr>
        <w:t xml:space="preserve">the </w:t>
      </w:r>
      <w:r w:rsidR="00813191">
        <w:rPr>
          <w:rFonts w:ascii="Times New Roman" w:hAnsi="Times New Roman" w:cs="Times New Roman"/>
          <w:sz w:val="24"/>
          <w:szCs w:val="24"/>
        </w:rPr>
        <w:t>refus</w:t>
      </w:r>
      <w:r>
        <w:rPr>
          <w:rFonts w:ascii="Times New Roman" w:hAnsi="Times New Roman" w:cs="Times New Roman"/>
          <w:sz w:val="24"/>
          <w:szCs w:val="24"/>
        </w:rPr>
        <w:t>al of</w:t>
      </w:r>
      <w:r w:rsidR="00813191">
        <w:rPr>
          <w:rFonts w:ascii="Times New Roman" w:hAnsi="Times New Roman" w:cs="Times New Roman"/>
          <w:sz w:val="24"/>
          <w:szCs w:val="24"/>
        </w:rPr>
        <w:t xml:space="preserve"> extensions of time </w:t>
      </w:r>
      <w:r w:rsidR="00C50AA6">
        <w:rPr>
          <w:rFonts w:ascii="Times New Roman" w:hAnsi="Times New Roman" w:cs="Times New Roman"/>
          <w:sz w:val="24"/>
          <w:szCs w:val="24"/>
        </w:rPr>
        <w:t xml:space="preserve">– even those </w:t>
      </w:r>
      <w:r w:rsidR="00813191">
        <w:rPr>
          <w:rFonts w:ascii="Times New Roman" w:hAnsi="Times New Roman" w:cs="Times New Roman"/>
          <w:sz w:val="24"/>
          <w:szCs w:val="24"/>
        </w:rPr>
        <w:t xml:space="preserve">of seemingly modest periods.  In public procurement </w:t>
      </w:r>
      <w:r w:rsidR="009D7080">
        <w:rPr>
          <w:rFonts w:ascii="Times New Roman" w:hAnsi="Times New Roman" w:cs="Times New Roman"/>
          <w:sz w:val="24"/>
          <w:szCs w:val="24"/>
        </w:rPr>
        <w:t>cases</w:t>
      </w:r>
      <w:r w:rsidR="00813191">
        <w:rPr>
          <w:rFonts w:ascii="Times New Roman" w:hAnsi="Times New Roman" w:cs="Times New Roman"/>
          <w:sz w:val="24"/>
          <w:szCs w:val="24"/>
        </w:rPr>
        <w:t xml:space="preserve">, most notably, it is not uncommon to see extensions of a short number of days being refused (see </w:t>
      </w:r>
      <w:proofErr w:type="spellStart"/>
      <w:r w:rsidR="00813191">
        <w:rPr>
          <w:rFonts w:ascii="Times New Roman" w:hAnsi="Times New Roman" w:cs="Times New Roman"/>
          <w:i/>
          <w:sz w:val="24"/>
          <w:szCs w:val="24"/>
        </w:rPr>
        <w:t>Dekra</w:t>
      </w:r>
      <w:proofErr w:type="spellEnd"/>
      <w:r w:rsidR="00813191">
        <w:rPr>
          <w:rFonts w:ascii="Times New Roman" w:hAnsi="Times New Roman" w:cs="Times New Roman"/>
          <w:i/>
          <w:sz w:val="24"/>
          <w:szCs w:val="24"/>
        </w:rPr>
        <w:t xml:space="preserve"> </w:t>
      </w:r>
      <w:proofErr w:type="spellStart"/>
      <w:r w:rsidR="0054061D">
        <w:rPr>
          <w:rFonts w:ascii="Times New Roman" w:hAnsi="Times New Roman" w:cs="Times New Roman"/>
          <w:i/>
          <w:sz w:val="24"/>
          <w:szCs w:val="24"/>
        </w:rPr>
        <w:t>É</w:t>
      </w:r>
      <w:r w:rsidR="00813191">
        <w:rPr>
          <w:rFonts w:ascii="Times New Roman" w:hAnsi="Times New Roman" w:cs="Times New Roman"/>
          <w:i/>
          <w:sz w:val="24"/>
          <w:szCs w:val="24"/>
        </w:rPr>
        <w:t>ireann</w:t>
      </w:r>
      <w:proofErr w:type="spellEnd"/>
      <w:r w:rsidR="00813191">
        <w:rPr>
          <w:rFonts w:ascii="Times New Roman" w:hAnsi="Times New Roman" w:cs="Times New Roman"/>
          <w:i/>
          <w:sz w:val="24"/>
          <w:szCs w:val="24"/>
        </w:rPr>
        <w:t xml:space="preserve"> Teo. v. Minister for Environment</w:t>
      </w:r>
      <w:r w:rsidR="0054061D">
        <w:rPr>
          <w:rFonts w:ascii="Times New Roman" w:hAnsi="Times New Roman" w:cs="Times New Roman"/>
          <w:i/>
          <w:sz w:val="24"/>
          <w:szCs w:val="24"/>
        </w:rPr>
        <w:t xml:space="preserve"> </w:t>
      </w:r>
      <w:r w:rsidR="0054061D">
        <w:rPr>
          <w:rFonts w:ascii="Times New Roman" w:hAnsi="Times New Roman" w:cs="Times New Roman"/>
          <w:iCs/>
          <w:sz w:val="24"/>
          <w:szCs w:val="24"/>
        </w:rPr>
        <w:t>[2003] IESC 25,</w:t>
      </w:r>
      <w:r w:rsidR="00813191">
        <w:rPr>
          <w:rFonts w:ascii="Times New Roman" w:hAnsi="Times New Roman" w:cs="Times New Roman"/>
          <w:i/>
          <w:sz w:val="24"/>
          <w:szCs w:val="24"/>
        </w:rPr>
        <w:t xml:space="preserve"> </w:t>
      </w:r>
      <w:r w:rsidR="00813191">
        <w:rPr>
          <w:rFonts w:ascii="Times New Roman" w:hAnsi="Times New Roman" w:cs="Times New Roman"/>
          <w:sz w:val="24"/>
          <w:szCs w:val="24"/>
        </w:rPr>
        <w:t xml:space="preserve">[2003] 2 IR 270 and </w:t>
      </w:r>
      <w:r w:rsidR="00813191">
        <w:rPr>
          <w:rFonts w:ascii="Times New Roman" w:hAnsi="Times New Roman" w:cs="Times New Roman"/>
          <w:i/>
          <w:sz w:val="24"/>
          <w:szCs w:val="24"/>
        </w:rPr>
        <w:t>Veolia Water UK plc v. Fingal County Council</w:t>
      </w:r>
      <w:r w:rsidR="00813191">
        <w:rPr>
          <w:rFonts w:ascii="Times New Roman" w:hAnsi="Times New Roman" w:cs="Times New Roman"/>
          <w:sz w:val="24"/>
          <w:szCs w:val="24"/>
        </w:rPr>
        <w:t xml:space="preserve">). </w:t>
      </w:r>
      <w:r>
        <w:rPr>
          <w:rFonts w:ascii="Times New Roman" w:hAnsi="Times New Roman" w:cs="Times New Roman"/>
          <w:sz w:val="24"/>
          <w:szCs w:val="24"/>
        </w:rPr>
        <w:t xml:space="preserve"> </w:t>
      </w:r>
      <w:r w:rsidR="00813191">
        <w:rPr>
          <w:rFonts w:ascii="Times New Roman" w:hAnsi="Times New Roman" w:cs="Times New Roman"/>
          <w:sz w:val="24"/>
          <w:szCs w:val="24"/>
        </w:rPr>
        <w:t xml:space="preserve">Indeed, other situations in which there are similarly strong (but </w:t>
      </w:r>
      <w:r>
        <w:rPr>
          <w:rFonts w:ascii="Times New Roman" w:hAnsi="Times New Roman" w:cs="Times New Roman"/>
          <w:sz w:val="24"/>
          <w:szCs w:val="24"/>
        </w:rPr>
        <w:t>- i</w:t>
      </w:r>
      <w:r w:rsidR="00813191" w:rsidRPr="00664DD2">
        <w:rPr>
          <w:rFonts w:ascii="Times New Roman" w:hAnsi="Times New Roman" w:cs="Times New Roman"/>
          <w:sz w:val="24"/>
          <w:szCs w:val="24"/>
        </w:rPr>
        <w:t xml:space="preserve">n some cases </w:t>
      </w:r>
      <w:r>
        <w:rPr>
          <w:rFonts w:ascii="Times New Roman" w:hAnsi="Times New Roman" w:cs="Times New Roman"/>
          <w:sz w:val="24"/>
          <w:szCs w:val="24"/>
        </w:rPr>
        <w:t xml:space="preserve">- </w:t>
      </w:r>
      <w:r w:rsidR="00813191" w:rsidRPr="00664DD2">
        <w:rPr>
          <w:rFonts w:ascii="Times New Roman" w:hAnsi="Times New Roman" w:cs="Times New Roman"/>
          <w:sz w:val="24"/>
          <w:szCs w:val="24"/>
        </w:rPr>
        <w:t>different) policy issues in play (notably in</w:t>
      </w:r>
      <w:r w:rsidR="0097714B" w:rsidRPr="00664DD2">
        <w:rPr>
          <w:rFonts w:ascii="Times New Roman" w:hAnsi="Times New Roman" w:cs="Times New Roman"/>
          <w:sz w:val="24"/>
          <w:szCs w:val="24"/>
        </w:rPr>
        <w:t xml:space="preserve"> </w:t>
      </w:r>
      <w:r w:rsidR="00813191" w:rsidRPr="00664DD2">
        <w:rPr>
          <w:rFonts w:ascii="Times New Roman" w:hAnsi="Times New Roman" w:cs="Times New Roman"/>
          <w:sz w:val="24"/>
          <w:szCs w:val="24"/>
        </w:rPr>
        <w:t>plannin</w:t>
      </w:r>
      <w:r w:rsidR="0097714B" w:rsidRPr="00664DD2">
        <w:rPr>
          <w:rFonts w:ascii="Times New Roman" w:hAnsi="Times New Roman" w:cs="Times New Roman"/>
          <w:sz w:val="24"/>
          <w:szCs w:val="24"/>
        </w:rPr>
        <w:t>g cases</w:t>
      </w:r>
      <w:r w:rsidR="00813191" w:rsidRPr="00664DD2">
        <w:rPr>
          <w:rFonts w:ascii="Times New Roman" w:hAnsi="Times New Roman" w:cs="Times New Roman"/>
          <w:sz w:val="24"/>
          <w:szCs w:val="24"/>
        </w:rPr>
        <w:t xml:space="preserve">) </w:t>
      </w:r>
      <w:r w:rsidR="00C50AA6">
        <w:rPr>
          <w:rFonts w:ascii="Times New Roman" w:hAnsi="Times New Roman" w:cs="Times New Roman"/>
          <w:sz w:val="24"/>
          <w:szCs w:val="24"/>
        </w:rPr>
        <w:t xml:space="preserve">result in </w:t>
      </w:r>
      <w:r w:rsidR="006678AE" w:rsidRPr="00664DD2">
        <w:rPr>
          <w:rFonts w:ascii="Times New Roman" w:hAnsi="Times New Roman" w:cs="Times New Roman"/>
          <w:sz w:val="24"/>
          <w:szCs w:val="24"/>
        </w:rPr>
        <w:t xml:space="preserve">similar outcomes </w:t>
      </w:r>
      <w:r w:rsidR="007E0642" w:rsidRPr="00664DD2">
        <w:rPr>
          <w:rFonts w:ascii="Times New Roman" w:hAnsi="Times New Roman" w:cs="Times New Roman"/>
          <w:sz w:val="24"/>
          <w:szCs w:val="24"/>
        </w:rPr>
        <w:t xml:space="preserve">– nineteen days in </w:t>
      </w:r>
      <w:r w:rsidR="007E0642" w:rsidRPr="00664DD2">
        <w:rPr>
          <w:rFonts w:ascii="Times New Roman" w:hAnsi="Times New Roman" w:cs="Times New Roman"/>
          <w:i/>
          <w:sz w:val="24"/>
          <w:szCs w:val="24"/>
        </w:rPr>
        <w:t xml:space="preserve">Kelly v. Leitrim County Council </w:t>
      </w:r>
      <w:r w:rsidR="00F660FD">
        <w:rPr>
          <w:rFonts w:ascii="Times New Roman" w:hAnsi="Times New Roman" w:cs="Times New Roman"/>
          <w:iCs/>
          <w:sz w:val="24"/>
          <w:szCs w:val="24"/>
        </w:rPr>
        <w:t xml:space="preserve">[2005] IEHC 11, </w:t>
      </w:r>
      <w:r w:rsidR="007E0642" w:rsidRPr="00664DD2">
        <w:rPr>
          <w:rFonts w:ascii="Times New Roman" w:hAnsi="Times New Roman" w:cs="Times New Roman"/>
          <w:sz w:val="24"/>
          <w:szCs w:val="24"/>
        </w:rPr>
        <w:t xml:space="preserve">[2005] 2 IR 404, </w:t>
      </w:r>
      <w:r w:rsidR="00287516" w:rsidRPr="00664DD2">
        <w:rPr>
          <w:rFonts w:ascii="Times New Roman" w:hAnsi="Times New Roman" w:cs="Times New Roman"/>
          <w:sz w:val="24"/>
          <w:szCs w:val="24"/>
        </w:rPr>
        <w:t xml:space="preserve">five days in </w:t>
      </w:r>
      <w:r w:rsidR="00287516" w:rsidRPr="00664DD2">
        <w:rPr>
          <w:rFonts w:ascii="Times New Roman" w:hAnsi="Times New Roman" w:cs="Times New Roman"/>
          <w:i/>
          <w:sz w:val="24"/>
          <w:szCs w:val="24"/>
        </w:rPr>
        <w:t xml:space="preserve">Duffy v. Clare County Council </w:t>
      </w:r>
      <w:r w:rsidR="00287516" w:rsidRPr="00664DD2">
        <w:rPr>
          <w:rFonts w:ascii="Times New Roman" w:hAnsi="Times New Roman" w:cs="Times New Roman"/>
          <w:sz w:val="24"/>
          <w:szCs w:val="24"/>
        </w:rPr>
        <w:t xml:space="preserve">[2016] IEHC 618, </w:t>
      </w:r>
      <w:r w:rsidR="007E0642" w:rsidRPr="00664DD2">
        <w:rPr>
          <w:rFonts w:ascii="Times New Roman" w:hAnsi="Times New Roman" w:cs="Times New Roman"/>
          <w:sz w:val="24"/>
          <w:szCs w:val="24"/>
        </w:rPr>
        <w:t xml:space="preserve">seventeen days in </w:t>
      </w:r>
      <w:r w:rsidR="007E0642" w:rsidRPr="00664DD2">
        <w:rPr>
          <w:rFonts w:ascii="Times New Roman" w:hAnsi="Times New Roman" w:cs="Times New Roman"/>
          <w:i/>
          <w:sz w:val="24"/>
          <w:szCs w:val="24"/>
        </w:rPr>
        <w:t xml:space="preserve">Irish Skydiving Club Ltd. v. An Bord </w:t>
      </w:r>
      <w:r w:rsidR="00F660FD" w:rsidRPr="00664DD2">
        <w:rPr>
          <w:rFonts w:ascii="Times New Roman" w:hAnsi="Times New Roman" w:cs="Times New Roman"/>
          <w:i/>
          <w:sz w:val="24"/>
          <w:szCs w:val="24"/>
        </w:rPr>
        <w:t>Pleanála</w:t>
      </w:r>
      <w:r w:rsidR="007E0642" w:rsidRPr="00664DD2">
        <w:rPr>
          <w:rFonts w:ascii="Times New Roman" w:hAnsi="Times New Roman" w:cs="Times New Roman"/>
          <w:sz w:val="24"/>
          <w:szCs w:val="24"/>
        </w:rPr>
        <w:t>,</w:t>
      </w:r>
      <w:r w:rsidR="008570D8" w:rsidRPr="00664DD2">
        <w:rPr>
          <w:rFonts w:ascii="Times New Roman" w:hAnsi="Times New Roman" w:cs="Times New Roman"/>
          <w:sz w:val="24"/>
          <w:szCs w:val="24"/>
        </w:rPr>
        <w:t xml:space="preserve"> two</w:t>
      </w:r>
      <w:r w:rsidR="0006709B" w:rsidRPr="00664DD2">
        <w:rPr>
          <w:rFonts w:ascii="Times New Roman" w:hAnsi="Times New Roman" w:cs="Times New Roman"/>
          <w:sz w:val="24"/>
          <w:szCs w:val="24"/>
        </w:rPr>
        <w:t xml:space="preserve"> month</w:t>
      </w:r>
      <w:r w:rsidR="008570D8" w:rsidRPr="00664DD2">
        <w:rPr>
          <w:rFonts w:ascii="Times New Roman" w:hAnsi="Times New Roman" w:cs="Times New Roman"/>
          <w:sz w:val="24"/>
          <w:szCs w:val="24"/>
        </w:rPr>
        <w:t>s</w:t>
      </w:r>
      <w:r w:rsidR="0006709B" w:rsidRPr="00664DD2">
        <w:rPr>
          <w:rFonts w:ascii="Times New Roman" w:hAnsi="Times New Roman" w:cs="Times New Roman"/>
          <w:sz w:val="24"/>
          <w:szCs w:val="24"/>
        </w:rPr>
        <w:t xml:space="preserve"> </w:t>
      </w:r>
      <w:r w:rsidR="008570D8" w:rsidRPr="00664DD2">
        <w:rPr>
          <w:rFonts w:ascii="Times New Roman" w:hAnsi="Times New Roman" w:cs="Times New Roman"/>
          <w:sz w:val="24"/>
          <w:szCs w:val="24"/>
        </w:rPr>
        <w:t xml:space="preserve">and four days </w:t>
      </w:r>
      <w:r w:rsidR="0006709B" w:rsidRPr="00664DD2">
        <w:rPr>
          <w:rFonts w:ascii="Times New Roman" w:hAnsi="Times New Roman" w:cs="Times New Roman"/>
          <w:sz w:val="24"/>
          <w:szCs w:val="24"/>
        </w:rPr>
        <w:t xml:space="preserve">in </w:t>
      </w:r>
      <w:r w:rsidR="0006709B" w:rsidRPr="00664DD2">
        <w:rPr>
          <w:rFonts w:ascii="Times New Roman" w:hAnsi="Times New Roman" w:cs="Times New Roman"/>
          <w:i/>
          <w:sz w:val="24"/>
          <w:szCs w:val="24"/>
        </w:rPr>
        <w:t>McCaffrey v. Central Bank of Ireland and ors.</w:t>
      </w:r>
      <w:r w:rsidR="0006709B" w:rsidRPr="00664DD2">
        <w:rPr>
          <w:rFonts w:ascii="Times New Roman" w:hAnsi="Times New Roman" w:cs="Times New Roman"/>
          <w:sz w:val="24"/>
          <w:szCs w:val="24"/>
        </w:rPr>
        <w:t xml:space="preserve">, </w:t>
      </w:r>
      <w:r w:rsidR="007E0642" w:rsidRPr="00664DD2">
        <w:rPr>
          <w:rFonts w:ascii="Times New Roman" w:hAnsi="Times New Roman" w:cs="Times New Roman"/>
          <w:sz w:val="24"/>
          <w:szCs w:val="24"/>
        </w:rPr>
        <w:t xml:space="preserve">twenty-five days in </w:t>
      </w:r>
      <w:r w:rsidR="007E0642" w:rsidRPr="00664DD2">
        <w:rPr>
          <w:rFonts w:ascii="Times New Roman" w:hAnsi="Times New Roman" w:cs="Times New Roman"/>
          <w:i/>
          <w:sz w:val="24"/>
          <w:szCs w:val="24"/>
        </w:rPr>
        <w:t xml:space="preserve">Cassidy v. Waterford City and County Council </w:t>
      </w:r>
      <w:r w:rsidR="007E0642" w:rsidRPr="00664DD2">
        <w:rPr>
          <w:rFonts w:ascii="Times New Roman" w:hAnsi="Times New Roman" w:cs="Times New Roman"/>
          <w:sz w:val="24"/>
          <w:szCs w:val="24"/>
        </w:rPr>
        <w:t>[2017] IEHC 711</w:t>
      </w:r>
      <w:r w:rsidR="00287516" w:rsidRPr="00664DD2">
        <w:rPr>
          <w:rFonts w:ascii="Times New Roman" w:hAnsi="Times New Roman" w:cs="Times New Roman"/>
          <w:sz w:val="24"/>
          <w:szCs w:val="24"/>
        </w:rPr>
        <w:t xml:space="preserve">, </w:t>
      </w:r>
      <w:r w:rsidR="006678AE" w:rsidRPr="00664DD2">
        <w:rPr>
          <w:rFonts w:ascii="Times New Roman" w:hAnsi="Times New Roman" w:cs="Times New Roman"/>
          <w:sz w:val="24"/>
          <w:szCs w:val="24"/>
        </w:rPr>
        <w:t xml:space="preserve">and </w:t>
      </w:r>
      <w:r w:rsidR="00287516" w:rsidRPr="00664DD2">
        <w:rPr>
          <w:rFonts w:ascii="Times New Roman" w:hAnsi="Times New Roman" w:cs="Times New Roman"/>
          <w:sz w:val="24"/>
          <w:szCs w:val="24"/>
        </w:rPr>
        <w:t xml:space="preserve">two weeks in </w:t>
      </w:r>
      <w:r w:rsidR="00287516" w:rsidRPr="00664DD2">
        <w:rPr>
          <w:rFonts w:ascii="Times New Roman" w:hAnsi="Times New Roman" w:cs="Times New Roman"/>
          <w:i/>
          <w:sz w:val="24"/>
          <w:szCs w:val="24"/>
        </w:rPr>
        <w:t>AB v. XY</w:t>
      </w:r>
      <w:r w:rsidR="006678AE" w:rsidRPr="00664DD2">
        <w:rPr>
          <w:rFonts w:ascii="Times New Roman" w:hAnsi="Times New Roman" w:cs="Times New Roman"/>
          <w:i/>
          <w:sz w:val="24"/>
          <w:szCs w:val="24"/>
        </w:rPr>
        <w:t>.</w:t>
      </w:r>
    </w:p>
    <w:p w14:paraId="086CB693" w14:textId="77777777" w:rsidR="00FE7DEE" w:rsidRPr="00FE7DEE" w:rsidRDefault="00FE7DEE" w:rsidP="00FE7DEE">
      <w:pPr>
        <w:pStyle w:val="ListParagraph"/>
        <w:rPr>
          <w:rFonts w:ascii="Times New Roman" w:hAnsi="Times New Roman" w:cs="Times New Roman"/>
          <w:b/>
          <w:sz w:val="24"/>
          <w:szCs w:val="24"/>
        </w:rPr>
      </w:pPr>
    </w:p>
    <w:p w14:paraId="4DA4D0C9" w14:textId="77777777" w:rsidR="00FE7DEE" w:rsidRPr="00FE7DEE" w:rsidRDefault="00FE7DEE" w:rsidP="00FE7DEE">
      <w:pPr>
        <w:pStyle w:val="ListParagraph"/>
        <w:numPr>
          <w:ilvl w:val="0"/>
          <w:numId w:val="5"/>
        </w:numPr>
        <w:spacing w:before="240" w:line="480" w:lineRule="auto"/>
        <w:jc w:val="both"/>
        <w:rPr>
          <w:rFonts w:ascii="Times New Roman" w:hAnsi="Times New Roman" w:cs="Times New Roman"/>
          <w:i/>
          <w:sz w:val="24"/>
          <w:szCs w:val="24"/>
        </w:rPr>
      </w:pPr>
      <w:r>
        <w:rPr>
          <w:rFonts w:ascii="Times New Roman" w:hAnsi="Times New Roman" w:cs="Times New Roman"/>
          <w:i/>
          <w:sz w:val="24"/>
          <w:szCs w:val="24"/>
        </w:rPr>
        <w:t>Assessment</w:t>
      </w:r>
    </w:p>
    <w:p w14:paraId="46EA8F61" w14:textId="77777777" w:rsidR="00D85DEA" w:rsidRPr="00023F3C" w:rsidRDefault="00D85DEA" w:rsidP="00D85DEA">
      <w:pPr>
        <w:pStyle w:val="ListParagraph"/>
        <w:spacing w:before="240" w:line="480" w:lineRule="auto"/>
        <w:jc w:val="both"/>
        <w:rPr>
          <w:rFonts w:ascii="Times New Roman" w:hAnsi="Times New Roman" w:cs="Times New Roman"/>
          <w:b/>
          <w:sz w:val="24"/>
          <w:szCs w:val="24"/>
        </w:rPr>
      </w:pPr>
    </w:p>
    <w:p w14:paraId="2F8B4658" w14:textId="629DF8FA" w:rsidR="00ED1843" w:rsidRPr="00ED1843" w:rsidRDefault="00BD17B0" w:rsidP="00F0759E">
      <w:pPr>
        <w:pStyle w:val="ListParagraph"/>
        <w:numPr>
          <w:ilvl w:val="0"/>
          <w:numId w:val="1"/>
        </w:numPr>
        <w:spacing w:before="240" w:line="480" w:lineRule="auto"/>
        <w:ind w:hanging="502"/>
        <w:jc w:val="both"/>
        <w:rPr>
          <w:rFonts w:ascii="Times New Roman" w:hAnsi="Times New Roman" w:cs="Times New Roman"/>
          <w:b/>
          <w:sz w:val="24"/>
          <w:szCs w:val="24"/>
        </w:rPr>
      </w:pPr>
      <w:r>
        <w:rPr>
          <w:rFonts w:ascii="Times New Roman" w:hAnsi="Times New Roman" w:cs="Times New Roman"/>
          <w:sz w:val="24"/>
          <w:szCs w:val="24"/>
        </w:rPr>
        <w:t xml:space="preserve">It follows </w:t>
      </w:r>
      <w:r w:rsidR="00FE7DEE">
        <w:rPr>
          <w:rFonts w:ascii="Times New Roman" w:hAnsi="Times New Roman" w:cs="Times New Roman"/>
          <w:sz w:val="24"/>
          <w:szCs w:val="24"/>
        </w:rPr>
        <w:t xml:space="preserve">from </w:t>
      </w:r>
      <w:r w:rsidR="009B784D">
        <w:rPr>
          <w:rFonts w:ascii="Times New Roman" w:hAnsi="Times New Roman" w:cs="Times New Roman"/>
          <w:sz w:val="24"/>
          <w:szCs w:val="24"/>
        </w:rPr>
        <w:t xml:space="preserve">the foregoing </w:t>
      </w:r>
      <w:r>
        <w:rPr>
          <w:rFonts w:ascii="Times New Roman" w:hAnsi="Times New Roman" w:cs="Times New Roman"/>
          <w:sz w:val="24"/>
          <w:szCs w:val="24"/>
        </w:rPr>
        <w:t xml:space="preserve">that the focal point for the purposes of the exercise by the court of its discretion is </w:t>
      </w:r>
      <w:r w:rsidR="00831D67">
        <w:rPr>
          <w:rFonts w:ascii="Times New Roman" w:hAnsi="Times New Roman" w:cs="Times New Roman"/>
          <w:sz w:val="24"/>
          <w:szCs w:val="24"/>
        </w:rPr>
        <w:t xml:space="preserve">23 </w:t>
      </w:r>
      <w:r w:rsidR="00ED1843">
        <w:rPr>
          <w:rFonts w:ascii="Times New Roman" w:hAnsi="Times New Roman" w:cs="Times New Roman"/>
          <w:sz w:val="24"/>
          <w:szCs w:val="24"/>
        </w:rPr>
        <w:t>July</w:t>
      </w:r>
      <w:r>
        <w:rPr>
          <w:rFonts w:ascii="Times New Roman" w:hAnsi="Times New Roman" w:cs="Times New Roman"/>
          <w:sz w:val="24"/>
          <w:szCs w:val="24"/>
        </w:rPr>
        <w:t xml:space="preserve"> 2018</w:t>
      </w:r>
      <w:r w:rsidR="00ED1843">
        <w:rPr>
          <w:rFonts w:ascii="Times New Roman" w:hAnsi="Times New Roman" w:cs="Times New Roman"/>
          <w:sz w:val="24"/>
          <w:szCs w:val="24"/>
        </w:rPr>
        <w:t xml:space="preserve"> (and at the very most 23 August of that year), </w:t>
      </w:r>
      <w:r w:rsidR="00FE7DEE">
        <w:rPr>
          <w:rFonts w:ascii="Times New Roman" w:hAnsi="Times New Roman" w:cs="Times New Roman"/>
          <w:sz w:val="24"/>
          <w:szCs w:val="24"/>
        </w:rPr>
        <w:t xml:space="preserve">that the extension required by Arthropharm is of </w:t>
      </w:r>
      <w:r w:rsidR="00ED1843">
        <w:rPr>
          <w:rFonts w:ascii="Times New Roman" w:hAnsi="Times New Roman" w:cs="Times New Roman"/>
          <w:sz w:val="24"/>
          <w:szCs w:val="24"/>
        </w:rPr>
        <w:t xml:space="preserve">two </w:t>
      </w:r>
      <w:r w:rsidR="00FE7DEE">
        <w:rPr>
          <w:rFonts w:ascii="Times New Roman" w:hAnsi="Times New Roman" w:cs="Times New Roman"/>
          <w:sz w:val="24"/>
          <w:szCs w:val="24"/>
        </w:rPr>
        <w:t>month</w:t>
      </w:r>
      <w:r w:rsidR="00ED1843">
        <w:rPr>
          <w:rFonts w:ascii="Times New Roman" w:hAnsi="Times New Roman" w:cs="Times New Roman"/>
          <w:sz w:val="24"/>
          <w:szCs w:val="24"/>
        </w:rPr>
        <w:t xml:space="preserve">s (or at best from its point of view, of one month) </w:t>
      </w:r>
      <w:r w:rsidR="00FE7DEE">
        <w:rPr>
          <w:rFonts w:ascii="Times New Roman" w:hAnsi="Times New Roman" w:cs="Times New Roman"/>
          <w:sz w:val="24"/>
          <w:szCs w:val="24"/>
        </w:rPr>
        <w:t xml:space="preserve">but that the application for an extension of that time should be </w:t>
      </w:r>
      <w:r w:rsidR="00FE7DEE">
        <w:rPr>
          <w:rFonts w:ascii="Times New Roman" w:hAnsi="Times New Roman" w:cs="Times New Roman"/>
          <w:sz w:val="24"/>
          <w:szCs w:val="24"/>
        </w:rPr>
        <w:lastRenderedPageBreak/>
        <w:t xml:space="preserve">viewed in the light of the nature of the claim, </w:t>
      </w:r>
      <w:r w:rsidR="00ED1843">
        <w:rPr>
          <w:rFonts w:ascii="Times New Roman" w:hAnsi="Times New Roman" w:cs="Times New Roman"/>
          <w:sz w:val="24"/>
          <w:szCs w:val="24"/>
        </w:rPr>
        <w:t xml:space="preserve">the </w:t>
      </w:r>
      <w:r w:rsidR="00FE7DEE">
        <w:rPr>
          <w:rFonts w:ascii="Times New Roman" w:hAnsi="Times New Roman" w:cs="Times New Roman"/>
          <w:sz w:val="24"/>
          <w:szCs w:val="24"/>
        </w:rPr>
        <w:t>commercial context in which it was brought</w:t>
      </w:r>
      <w:r w:rsidR="00496D6D">
        <w:rPr>
          <w:rFonts w:ascii="Times New Roman" w:hAnsi="Times New Roman" w:cs="Times New Roman"/>
          <w:sz w:val="24"/>
          <w:szCs w:val="24"/>
        </w:rPr>
        <w:t>, the steps taken by Arthropharm to advance its complaints and proceedings</w:t>
      </w:r>
      <w:r w:rsidR="00FE7DEE">
        <w:rPr>
          <w:rFonts w:ascii="Times New Roman" w:hAnsi="Times New Roman" w:cs="Times New Roman"/>
          <w:sz w:val="24"/>
          <w:szCs w:val="24"/>
        </w:rPr>
        <w:t xml:space="preserve"> and </w:t>
      </w:r>
      <w:r w:rsidR="00496D6D">
        <w:rPr>
          <w:rFonts w:ascii="Times New Roman" w:hAnsi="Times New Roman" w:cs="Times New Roman"/>
          <w:sz w:val="24"/>
          <w:szCs w:val="24"/>
        </w:rPr>
        <w:t xml:space="preserve">the </w:t>
      </w:r>
      <w:r w:rsidR="00FE7DEE">
        <w:rPr>
          <w:rFonts w:ascii="Times New Roman" w:hAnsi="Times New Roman" w:cs="Times New Roman"/>
          <w:sz w:val="24"/>
          <w:szCs w:val="24"/>
        </w:rPr>
        <w:t>potential impact upon the respondent and notice party if that time is to be extended.</w:t>
      </w:r>
    </w:p>
    <w:p w14:paraId="0D166A19" w14:textId="77777777" w:rsidR="00ED1843" w:rsidRPr="00ED1843" w:rsidRDefault="00ED1843" w:rsidP="00ED1843">
      <w:pPr>
        <w:pStyle w:val="ListParagraph"/>
        <w:spacing w:before="240" w:line="480" w:lineRule="auto"/>
        <w:ind w:left="786"/>
        <w:jc w:val="both"/>
        <w:rPr>
          <w:rFonts w:ascii="Times New Roman" w:hAnsi="Times New Roman" w:cs="Times New Roman"/>
          <w:b/>
          <w:sz w:val="24"/>
          <w:szCs w:val="24"/>
        </w:rPr>
      </w:pPr>
      <w:r>
        <w:rPr>
          <w:rFonts w:ascii="Times New Roman" w:hAnsi="Times New Roman" w:cs="Times New Roman"/>
          <w:sz w:val="24"/>
          <w:szCs w:val="24"/>
        </w:rPr>
        <w:t xml:space="preserve">  </w:t>
      </w:r>
    </w:p>
    <w:p w14:paraId="2FF1098A" w14:textId="5B9A21E5" w:rsidR="00993461" w:rsidRPr="00993461" w:rsidRDefault="002B6720" w:rsidP="00F0759E">
      <w:pPr>
        <w:pStyle w:val="ListParagraph"/>
        <w:numPr>
          <w:ilvl w:val="0"/>
          <w:numId w:val="1"/>
        </w:numPr>
        <w:spacing w:before="240" w:line="480" w:lineRule="auto"/>
        <w:ind w:hanging="502"/>
        <w:jc w:val="both"/>
        <w:rPr>
          <w:rFonts w:ascii="Times New Roman" w:hAnsi="Times New Roman" w:cs="Times New Roman"/>
          <w:b/>
          <w:sz w:val="24"/>
          <w:szCs w:val="24"/>
        </w:rPr>
      </w:pPr>
      <w:r>
        <w:rPr>
          <w:rFonts w:ascii="Times New Roman" w:hAnsi="Times New Roman" w:cs="Times New Roman"/>
          <w:sz w:val="24"/>
          <w:szCs w:val="24"/>
        </w:rPr>
        <w:t xml:space="preserve">From shortly after the point at which Arthropharm </w:t>
      </w:r>
      <w:r w:rsidR="00390316">
        <w:rPr>
          <w:rFonts w:ascii="Times New Roman" w:hAnsi="Times New Roman" w:cs="Times New Roman"/>
          <w:sz w:val="24"/>
          <w:szCs w:val="24"/>
        </w:rPr>
        <w:t xml:space="preserve">knew </w:t>
      </w:r>
      <w:r>
        <w:rPr>
          <w:rFonts w:ascii="Times New Roman" w:hAnsi="Times New Roman" w:cs="Times New Roman"/>
          <w:sz w:val="24"/>
          <w:szCs w:val="24"/>
        </w:rPr>
        <w:t xml:space="preserve">or ought reasonably to have ascertained of the fact of the marketing authorisation for Osteopen, it also knew or could readily have ascertained </w:t>
      </w:r>
      <w:r w:rsidR="00390316">
        <w:rPr>
          <w:rFonts w:ascii="Times New Roman" w:hAnsi="Times New Roman" w:cs="Times New Roman"/>
          <w:sz w:val="24"/>
          <w:szCs w:val="24"/>
        </w:rPr>
        <w:t xml:space="preserve">that PPS was an active ingredient of the newly authorised product. </w:t>
      </w:r>
      <w:r w:rsidR="00B26544" w:rsidRPr="00124B69">
        <w:rPr>
          <w:rFonts w:ascii="Times New Roman" w:hAnsi="Times New Roman" w:cs="Times New Roman"/>
          <w:sz w:val="24"/>
          <w:szCs w:val="24"/>
        </w:rPr>
        <w:t xml:space="preserve"> </w:t>
      </w:r>
      <w:r w:rsidR="00993461">
        <w:rPr>
          <w:rFonts w:ascii="Times New Roman" w:hAnsi="Times New Roman" w:cs="Times New Roman"/>
          <w:sz w:val="24"/>
          <w:szCs w:val="24"/>
        </w:rPr>
        <w:t xml:space="preserve">It knew that there were issues around the differences between PPS arising from diverse manufacturing processes, and it must have understood the basis for the claim that PPS was a biological product.  </w:t>
      </w:r>
      <w:r w:rsidR="00137A32">
        <w:rPr>
          <w:rFonts w:ascii="Times New Roman" w:hAnsi="Times New Roman" w:cs="Times New Roman"/>
          <w:sz w:val="24"/>
          <w:szCs w:val="24"/>
        </w:rPr>
        <w:t>These facts, it is to be again stressed, were the central</w:t>
      </w:r>
      <w:r w:rsidR="00C420AA">
        <w:rPr>
          <w:rFonts w:ascii="Times New Roman" w:hAnsi="Times New Roman" w:cs="Times New Roman"/>
          <w:sz w:val="24"/>
          <w:szCs w:val="24"/>
        </w:rPr>
        <w:t xml:space="preserve"> elements of its claim.</w:t>
      </w:r>
    </w:p>
    <w:p w14:paraId="4D07BF69" w14:textId="77777777" w:rsidR="00993461" w:rsidRPr="00993461" w:rsidRDefault="00993461" w:rsidP="00993461">
      <w:pPr>
        <w:pStyle w:val="ListParagraph"/>
        <w:rPr>
          <w:rFonts w:ascii="Times New Roman" w:hAnsi="Times New Roman" w:cs="Times New Roman"/>
          <w:sz w:val="24"/>
          <w:szCs w:val="24"/>
        </w:rPr>
      </w:pPr>
    </w:p>
    <w:p w14:paraId="3D46F58A" w14:textId="4125B1AE" w:rsidR="00B26544" w:rsidRPr="00CF6005" w:rsidRDefault="00AA27B4" w:rsidP="00F0759E">
      <w:pPr>
        <w:pStyle w:val="ListParagraph"/>
        <w:numPr>
          <w:ilvl w:val="0"/>
          <w:numId w:val="1"/>
        </w:numPr>
        <w:spacing w:before="240" w:line="480" w:lineRule="auto"/>
        <w:ind w:hanging="502"/>
        <w:jc w:val="both"/>
        <w:rPr>
          <w:rFonts w:ascii="Times New Roman" w:hAnsi="Times New Roman" w:cs="Times New Roman"/>
          <w:b/>
          <w:sz w:val="24"/>
          <w:szCs w:val="24"/>
        </w:rPr>
      </w:pPr>
      <w:r w:rsidRPr="00124B69">
        <w:rPr>
          <w:rFonts w:ascii="Times New Roman" w:hAnsi="Times New Roman" w:cs="Times New Roman"/>
          <w:sz w:val="24"/>
          <w:szCs w:val="24"/>
        </w:rPr>
        <w:t>If it did not know then or shortly thereafter that Irish law imposed temporal conditions on the challenge to regulatory decisions of this kind, it could and should have ascertained this also</w:t>
      </w:r>
      <w:r w:rsidR="00CE6ECC" w:rsidRPr="00124B69">
        <w:rPr>
          <w:rFonts w:ascii="Times New Roman" w:hAnsi="Times New Roman" w:cs="Times New Roman"/>
          <w:sz w:val="24"/>
          <w:szCs w:val="24"/>
        </w:rPr>
        <w:t xml:space="preserve"> and it should have equipped itself to understand the legal constraints attending the bringing of any challenge to the </w:t>
      </w:r>
      <w:r w:rsidR="00F160A6">
        <w:rPr>
          <w:rFonts w:ascii="Times New Roman" w:hAnsi="Times New Roman" w:cs="Times New Roman"/>
          <w:sz w:val="24"/>
          <w:szCs w:val="24"/>
        </w:rPr>
        <w:t>HPRA</w:t>
      </w:r>
      <w:r w:rsidR="00CE6ECC" w:rsidRPr="00124B69">
        <w:rPr>
          <w:rFonts w:ascii="Times New Roman" w:hAnsi="Times New Roman" w:cs="Times New Roman"/>
          <w:sz w:val="24"/>
          <w:szCs w:val="24"/>
        </w:rPr>
        <w:t xml:space="preserve"> decision.  Had it done </w:t>
      </w:r>
      <w:r w:rsidR="005C6BE3">
        <w:rPr>
          <w:rFonts w:ascii="Times New Roman" w:hAnsi="Times New Roman" w:cs="Times New Roman"/>
          <w:sz w:val="24"/>
          <w:szCs w:val="24"/>
        </w:rPr>
        <w:t>this</w:t>
      </w:r>
      <w:r w:rsidR="00CF6005">
        <w:rPr>
          <w:rFonts w:ascii="Times New Roman" w:hAnsi="Times New Roman" w:cs="Times New Roman"/>
          <w:sz w:val="24"/>
          <w:szCs w:val="24"/>
        </w:rPr>
        <w:t xml:space="preserve"> it </w:t>
      </w:r>
      <w:r w:rsidR="006D4F29" w:rsidRPr="00CF6005">
        <w:rPr>
          <w:rFonts w:ascii="Times New Roman" w:hAnsi="Times New Roman" w:cs="Times New Roman"/>
          <w:sz w:val="24"/>
          <w:szCs w:val="24"/>
        </w:rPr>
        <w:t xml:space="preserve">would have been under no misapprehension that Irish law prescribed </w:t>
      </w:r>
      <w:r w:rsidR="00F160A6" w:rsidRPr="00CF6005">
        <w:rPr>
          <w:rFonts w:ascii="Times New Roman" w:hAnsi="Times New Roman" w:cs="Times New Roman"/>
          <w:sz w:val="24"/>
          <w:szCs w:val="24"/>
        </w:rPr>
        <w:t xml:space="preserve">a </w:t>
      </w:r>
      <w:r w:rsidR="006D4F29" w:rsidRPr="00CF6005">
        <w:rPr>
          <w:rFonts w:ascii="Times New Roman" w:hAnsi="Times New Roman" w:cs="Times New Roman"/>
          <w:sz w:val="24"/>
          <w:szCs w:val="24"/>
        </w:rPr>
        <w:t>strict period of time within which to bring a challenge of the kind in issue here.</w:t>
      </w:r>
      <w:r w:rsidR="00521C92">
        <w:rPr>
          <w:rStyle w:val="FootnoteReference"/>
          <w:rFonts w:ascii="Times New Roman" w:hAnsi="Times New Roman" w:cs="Times New Roman"/>
          <w:sz w:val="24"/>
          <w:szCs w:val="24"/>
        </w:rPr>
        <w:footnoteReference w:id="8"/>
      </w:r>
    </w:p>
    <w:p w14:paraId="6646732A" w14:textId="77777777" w:rsidR="006D4F29" w:rsidRDefault="006D4F29" w:rsidP="006D4F29">
      <w:pPr>
        <w:pStyle w:val="ListParagraph"/>
        <w:spacing w:before="24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14:paraId="37BD0FC3" w14:textId="6AEBCAEE" w:rsidR="006D4F29" w:rsidRPr="001F408F" w:rsidRDefault="006D4F29" w:rsidP="00F0759E">
      <w:pPr>
        <w:pStyle w:val="ListParagraph"/>
        <w:numPr>
          <w:ilvl w:val="0"/>
          <w:numId w:val="1"/>
        </w:numPr>
        <w:spacing w:before="240" w:line="480" w:lineRule="auto"/>
        <w:ind w:hanging="502"/>
        <w:jc w:val="both"/>
        <w:rPr>
          <w:rFonts w:ascii="Times New Roman" w:hAnsi="Times New Roman" w:cs="Times New Roman"/>
          <w:b/>
          <w:sz w:val="24"/>
          <w:szCs w:val="24"/>
        </w:rPr>
      </w:pPr>
      <w:r>
        <w:rPr>
          <w:rFonts w:ascii="Times New Roman" w:hAnsi="Times New Roman" w:cs="Times New Roman"/>
          <w:sz w:val="24"/>
          <w:szCs w:val="24"/>
        </w:rPr>
        <w:t xml:space="preserve">Armed with that knowledge, a reasonable </w:t>
      </w:r>
      <w:r w:rsidR="00825F87">
        <w:rPr>
          <w:rFonts w:ascii="Times New Roman" w:hAnsi="Times New Roman" w:cs="Times New Roman"/>
          <w:sz w:val="24"/>
          <w:szCs w:val="24"/>
        </w:rPr>
        <w:t>undertaking</w:t>
      </w:r>
      <w:r>
        <w:rPr>
          <w:rFonts w:ascii="Times New Roman" w:hAnsi="Times New Roman" w:cs="Times New Roman"/>
          <w:sz w:val="24"/>
          <w:szCs w:val="24"/>
        </w:rPr>
        <w:t xml:space="preserve"> </w:t>
      </w:r>
      <w:r w:rsidR="00C52B91">
        <w:rPr>
          <w:rFonts w:ascii="Times New Roman" w:hAnsi="Times New Roman" w:cs="Times New Roman"/>
          <w:sz w:val="24"/>
          <w:szCs w:val="24"/>
        </w:rPr>
        <w:t xml:space="preserve">that was genuinely concerned at the legality of the grant of a marketing authorisation to Chanelle </w:t>
      </w:r>
      <w:r>
        <w:rPr>
          <w:rFonts w:ascii="Times New Roman" w:hAnsi="Times New Roman" w:cs="Times New Roman"/>
          <w:sz w:val="24"/>
          <w:szCs w:val="24"/>
        </w:rPr>
        <w:t xml:space="preserve">would have moved with far greater despatch than Arthropharm did.  It would have made contact with </w:t>
      </w:r>
      <w:r w:rsidR="00F160A6">
        <w:rPr>
          <w:rFonts w:ascii="Times New Roman" w:hAnsi="Times New Roman" w:cs="Times New Roman"/>
          <w:sz w:val="24"/>
          <w:szCs w:val="24"/>
        </w:rPr>
        <w:lastRenderedPageBreak/>
        <w:t>HPRA</w:t>
      </w:r>
      <w:r>
        <w:rPr>
          <w:rFonts w:ascii="Times New Roman" w:hAnsi="Times New Roman" w:cs="Times New Roman"/>
          <w:sz w:val="24"/>
          <w:szCs w:val="24"/>
        </w:rPr>
        <w:t xml:space="preserve"> immediately, advised </w:t>
      </w:r>
      <w:r w:rsidR="00312A5F">
        <w:rPr>
          <w:rFonts w:ascii="Times New Roman" w:hAnsi="Times New Roman" w:cs="Times New Roman"/>
          <w:sz w:val="24"/>
          <w:szCs w:val="24"/>
        </w:rPr>
        <w:t xml:space="preserve">HPRA </w:t>
      </w:r>
      <w:r>
        <w:rPr>
          <w:rFonts w:ascii="Times New Roman" w:hAnsi="Times New Roman" w:cs="Times New Roman"/>
          <w:sz w:val="24"/>
          <w:szCs w:val="24"/>
        </w:rPr>
        <w:t xml:space="preserve">of its interest in the matter, </w:t>
      </w:r>
      <w:r w:rsidR="00496D6D">
        <w:rPr>
          <w:rFonts w:ascii="Times New Roman" w:hAnsi="Times New Roman" w:cs="Times New Roman"/>
          <w:sz w:val="24"/>
          <w:szCs w:val="24"/>
        </w:rPr>
        <w:t xml:space="preserve">it would have immediately </w:t>
      </w:r>
      <w:r>
        <w:rPr>
          <w:rFonts w:ascii="Times New Roman" w:hAnsi="Times New Roman" w:cs="Times New Roman"/>
          <w:sz w:val="24"/>
          <w:szCs w:val="24"/>
        </w:rPr>
        <w:t xml:space="preserve">sought full details of the regulatory decision making process, it would have taken active steps to procure as much information as it could in relation to the chemical composition of </w:t>
      </w:r>
      <w:r w:rsidR="001F408F">
        <w:rPr>
          <w:rFonts w:ascii="Times New Roman" w:hAnsi="Times New Roman" w:cs="Times New Roman"/>
          <w:sz w:val="24"/>
          <w:szCs w:val="24"/>
        </w:rPr>
        <w:t>Osteopen, and it would have ensured that it had in place the necessary expert assistance to put in place a</w:t>
      </w:r>
      <w:r w:rsidR="005C6BE3">
        <w:rPr>
          <w:rFonts w:ascii="Times New Roman" w:hAnsi="Times New Roman" w:cs="Times New Roman"/>
          <w:sz w:val="24"/>
          <w:szCs w:val="24"/>
        </w:rPr>
        <w:t>ny</w:t>
      </w:r>
      <w:r w:rsidR="001F408F">
        <w:rPr>
          <w:rFonts w:ascii="Times New Roman" w:hAnsi="Times New Roman" w:cs="Times New Roman"/>
          <w:sz w:val="24"/>
          <w:szCs w:val="24"/>
        </w:rPr>
        <w:t xml:space="preserve"> challenge</w:t>
      </w:r>
      <w:r w:rsidR="005C6BE3">
        <w:rPr>
          <w:rFonts w:ascii="Times New Roman" w:hAnsi="Times New Roman" w:cs="Times New Roman"/>
          <w:sz w:val="24"/>
          <w:szCs w:val="24"/>
        </w:rPr>
        <w:t xml:space="preserve"> it ultimately determined to pursue.</w:t>
      </w:r>
    </w:p>
    <w:p w14:paraId="6B128F31" w14:textId="77777777" w:rsidR="001F408F" w:rsidRPr="001F408F" w:rsidRDefault="001F408F" w:rsidP="001F408F">
      <w:pPr>
        <w:pStyle w:val="ListParagraph"/>
        <w:rPr>
          <w:rFonts w:ascii="Times New Roman" w:hAnsi="Times New Roman" w:cs="Times New Roman"/>
          <w:b/>
          <w:sz w:val="24"/>
          <w:szCs w:val="24"/>
        </w:rPr>
      </w:pPr>
    </w:p>
    <w:p w14:paraId="5F42719E" w14:textId="69D490F9" w:rsidR="00993461" w:rsidRPr="00312A5F" w:rsidRDefault="00F9201B" w:rsidP="00F0759E">
      <w:pPr>
        <w:pStyle w:val="ListParagraph"/>
        <w:numPr>
          <w:ilvl w:val="0"/>
          <w:numId w:val="1"/>
        </w:numPr>
        <w:spacing w:before="240" w:line="480" w:lineRule="auto"/>
        <w:ind w:hanging="502"/>
        <w:jc w:val="both"/>
        <w:rPr>
          <w:rFonts w:ascii="Times New Roman" w:hAnsi="Times New Roman" w:cs="Times New Roman"/>
          <w:b/>
          <w:sz w:val="24"/>
          <w:szCs w:val="24"/>
        </w:rPr>
      </w:pPr>
      <w:r>
        <w:rPr>
          <w:rFonts w:ascii="Times New Roman" w:hAnsi="Times New Roman" w:cs="Times New Roman"/>
          <w:sz w:val="24"/>
          <w:szCs w:val="24"/>
        </w:rPr>
        <w:t>The letter sent by it to HP</w:t>
      </w:r>
      <w:r w:rsidR="003C56EF">
        <w:rPr>
          <w:rFonts w:ascii="Times New Roman" w:hAnsi="Times New Roman" w:cs="Times New Roman"/>
          <w:sz w:val="24"/>
          <w:szCs w:val="24"/>
        </w:rPr>
        <w:t>R</w:t>
      </w:r>
      <w:r>
        <w:rPr>
          <w:rFonts w:ascii="Times New Roman" w:hAnsi="Times New Roman" w:cs="Times New Roman"/>
          <w:sz w:val="24"/>
          <w:szCs w:val="24"/>
        </w:rPr>
        <w:t xml:space="preserve">A on </w:t>
      </w:r>
      <w:r w:rsidR="00232ADF">
        <w:rPr>
          <w:rFonts w:ascii="Times New Roman" w:hAnsi="Times New Roman" w:cs="Times New Roman"/>
          <w:sz w:val="24"/>
          <w:szCs w:val="24"/>
        </w:rPr>
        <w:t xml:space="preserve">12 </w:t>
      </w:r>
      <w:r>
        <w:rPr>
          <w:rFonts w:ascii="Times New Roman" w:hAnsi="Times New Roman" w:cs="Times New Roman"/>
          <w:sz w:val="24"/>
          <w:szCs w:val="24"/>
        </w:rPr>
        <w:t xml:space="preserve">October </w:t>
      </w:r>
      <w:r w:rsidR="002100E5">
        <w:rPr>
          <w:rFonts w:ascii="Times New Roman" w:hAnsi="Times New Roman" w:cs="Times New Roman"/>
          <w:sz w:val="24"/>
          <w:szCs w:val="24"/>
        </w:rPr>
        <w:t xml:space="preserve">2018 </w:t>
      </w:r>
      <w:r>
        <w:rPr>
          <w:rFonts w:ascii="Times New Roman" w:hAnsi="Times New Roman" w:cs="Times New Roman"/>
          <w:sz w:val="24"/>
          <w:szCs w:val="24"/>
        </w:rPr>
        <w:t xml:space="preserve">shows that </w:t>
      </w:r>
      <w:r w:rsidR="001F408F">
        <w:rPr>
          <w:rFonts w:ascii="Times New Roman" w:hAnsi="Times New Roman" w:cs="Times New Roman"/>
          <w:sz w:val="24"/>
          <w:szCs w:val="24"/>
        </w:rPr>
        <w:t>Arthropharm did take some of these steps.</w:t>
      </w:r>
      <w:r>
        <w:rPr>
          <w:rFonts w:ascii="Times New Roman" w:hAnsi="Times New Roman" w:cs="Times New Roman"/>
          <w:sz w:val="24"/>
          <w:szCs w:val="24"/>
        </w:rPr>
        <w:t xml:space="preserve">  The time that elapsed between </w:t>
      </w:r>
      <w:r w:rsidR="00831D67">
        <w:rPr>
          <w:rFonts w:ascii="Times New Roman" w:hAnsi="Times New Roman" w:cs="Times New Roman"/>
          <w:sz w:val="24"/>
          <w:szCs w:val="24"/>
        </w:rPr>
        <w:t xml:space="preserve">23 </w:t>
      </w:r>
      <w:r>
        <w:rPr>
          <w:rFonts w:ascii="Times New Roman" w:hAnsi="Times New Roman" w:cs="Times New Roman"/>
          <w:sz w:val="24"/>
          <w:szCs w:val="24"/>
        </w:rPr>
        <w:t xml:space="preserve">August </w:t>
      </w:r>
      <w:r w:rsidR="002100E5">
        <w:rPr>
          <w:rFonts w:ascii="Times New Roman" w:hAnsi="Times New Roman" w:cs="Times New Roman"/>
          <w:sz w:val="24"/>
          <w:szCs w:val="24"/>
        </w:rPr>
        <w:t xml:space="preserve">2018 </w:t>
      </w:r>
      <w:r>
        <w:rPr>
          <w:rFonts w:ascii="Times New Roman" w:hAnsi="Times New Roman" w:cs="Times New Roman"/>
          <w:sz w:val="24"/>
          <w:szCs w:val="24"/>
        </w:rPr>
        <w:t xml:space="preserve">and that date seems to me, in the circumstances of urgency in which Arthropharm should have been operating, to be </w:t>
      </w:r>
      <w:r w:rsidR="00C420AA">
        <w:rPr>
          <w:rFonts w:ascii="Times New Roman" w:hAnsi="Times New Roman" w:cs="Times New Roman"/>
          <w:sz w:val="24"/>
          <w:szCs w:val="24"/>
        </w:rPr>
        <w:t xml:space="preserve">very </w:t>
      </w:r>
      <w:r>
        <w:rPr>
          <w:rFonts w:ascii="Times New Roman" w:hAnsi="Times New Roman" w:cs="Times New Roman"/>
          <w:sz w:val="24"/>
          <w:szCs w:val="24"/>
        </w:rPr>
        <w:t>long,</w:t>
      </w:r>
      <w:r w:rsidR="004A7364">
        <w:rPr>
          <w:rFonts w:ascii="Times New Roman" w:hAnsi="Times New Roman" w:cs="Times New Roman"/>
          <w:sz w:val="24"/>
          <w:szCs w:val="24"/>
        </w:rPr>
        <w:t xml:space="preserve"> </w:t>
      </w:r>
      <w:r w:rsidR="00245BF9">
        <w:rPr>
          <w:rFonts w:ascii="Times New Roman" w:hAnsi="Times New Roman" w:cs="Times New Roman"/>
          <w:sz w:val="24"/>
          <w:szCs w:val="24"/>
        </w:rPr>
        <w:t>ye</w:t>
      </w:r>
      <w:r w:rsidR="004A7364">
        <w:rPr>
          <w:rFonts w:ascii="Times New Roman" w:hAnsi="Times New Roman" w:cs="Times New Roman"/>
          <w:sz w:val="24"/>
          <w:szCs w:val="24"/>
        </w:rPr>
        <w:t>t very</w:t>
      </w:r>
      <w:r>
        <w:rPr>
          <w:rFonts w:ascii="Times New Roman" w:hAnsi="Times New Roman" w:cs="Times New Roman"/>
          <w:sz w:val="24"/>
          <w:szCs w:val="24"/>
        </w:rPr>
        <w:t xml:space="preserve"> little by way of specific </w:t>
      </w:r>
      <w:r w:rsidR="004A7364">
        <w:rPr>
          <w:rFonts w:ascii="Times New Roman" w:hAnsi="Times New Roman" w:cs="Times New Roman"/>
          <w:sz w:val="24"/>
          <w:szCs w:val="24"/>
        </w:rPr>
        <w:t xml:space="preserve">information is provided by Arthropharm as to why it took </w:t>
      </w:r>
      <w:r w:rsidR="005C6BE3">
        <w:rPr>
          <w:rFonts w:ascii="Times New Roman" w:hAnsi="Times New Roman" w:cs="Times New Roman"/>
          <w:sz w:val="24"/>
          <w:szCs w:val="24"/>
        </w:rPr>
        <w:t xml:space="preserve">this time </w:t>
      </w:r>
      <w:r w:rsidR="004A7364">
        <w:rPr>
          <w:rFonts w:ascii="Times New Roman" w:hAnsi="Times New Roman" w:cs="Times New Roman"/>
          <w:sz w:val="24"/>
          <w:szCs w:val="24"/>
        </w:rPr>
        <w:t xml:space="preserve">to formulate and send that letter.  </w:t>
      </w:r>
      <w:r w:rsidR="00245BF9">
        <w:rPr>
          <w:rFonts w:ascii="Times New Roman" w:hAnsi="Times New Roman" w:cs="Times New Roman"/>
          <w:sz w:val="24"/>
          <w:szCs w:val="24"/>
        </w:rPr>
        <w:t xml:space="preserve">But </w:t>
      </w:r>
      <w:r w:rsidR="004A7364">
        <w:rPr>
          <w:rFonts w:ascii="Times New Roman" w:hAnsi="Times New Roman" w:cs="Times New Roman"/>
          <w:sz w:val="24"/>
          <w:szCs w:val="24"/>
        </w:rPr>
        <w:t xml:space="preserve">one paragraph of the affidavit evidence delivered on behalf of Arthropharm explains what happened between its discovery of the fact of the authorisation and the sending of this e-mail.  </w:t>
      </w:r>
      <w:r w:rsidR="00312A5F">
        <w:rPr>
          <w:rFonts w:ascii="Times New Roman" w:hAnsi="Times New Roman" w:cs="Times New Roman"/>
          <w:sz w:val="24"/>
          <w:szCs w:val="24"/>
        </w:rPr>
        <w:t>Dr</w:t>
      </w:r>
      <w:r w:rsidR="004A7364">
        <w:rPr>
          <w:rFonts w:ascii="Times New Roman" w:hAnsi="Times New Roman" w:cs="Times New Roman"/>
          <w:sz w:val="24"/>
          <w:szCs w:val="24"/>
        </w:rPr>
        <w:t xml:space="preserve">. Cullis-Hill explains </w:t>
      </w:r>
      <w:r w:rsidR="00B83AA9">
        <w:rPr>
          <w:rFonts w:ascii="Times New Roman" w:hAnsi="Times New Roman" w:cs="Times New Roman"/>
          <w:sz w:val="24"/>
          <w:szCs w:val="24"/>
        </w:rPr>
        <w:t xml:space="preserve">what </w:t>
      </w:r>
      <w:r w:rsidR="005C6BE3">
        <w:rPr>
          <w:rFonts w:ascii="Times New Roman" w:hAnsi="Times New Roman" w:cs="Times New Roman"/>
          <w:sz w:val="24"/>
          <w:szCs w:val="24"/>
        </w:rPr>
        <w:t xml:space="preserve">he did </w:t>
      </w:r>
      <w:r w:rsidR="00B83AA9">
        <w:rPr>
          <w:rFonts w:ascii="Times New Roman" w:hAnsi="Times New Roman" w:cs="Times New Roman"/>
          <w:sz w:val="24"/>
          <w:szCs w:val="24"/>
        </w:rPr>
        <w:t xml:space="preserve">between his learning of the grant and the letter of </w:t>
      </w:r>
      <w:r w:rsidR="00232ADF">
        <w:rPr>
          <w:rFonts w:ascii="Times New Roman" w:hAnsi="Times New Roman" w:cs="Times New Roman"/>
          <w:sz w:val="24"/>
          <w:szCs w:val="24"/>
        </w:rPr>
        <w:t xml:space="preserve">12 </w:t>
      </w:r>
      <w:r w:rsidR="00B83AA9">
        <w:rPr>
          <w:rFonts w:ascii="Times New Roman" w:hAnsi="Times New Roman" w:cs="Times New Roman"/>
          <w:sz w:val="24"/>
          <w:szCs w:val="24"/>
        </w:rPr>
        <w:t xml:space="preserve">October </w:t>
      </w:r>
      <w:r w:rsidR="002100E5">
        <w:rPr>
          <w:rFonts w:ascii="Times New Roman" w:hAnsi="Times New Roman" w:cs="Times New Roman"/>
          <w:sz w:val="24"/>
          <w:szCs w:val="24"/>
        </w:rPr>
        <w:t xml:space="preserve">2018 </w:t>
      </w:r>
      <w:r w:rsidR="00B83AA9">
        <w:rPr>
          <w:rFonts w:ascii="Times New Roman" w:hAnsi="Times New Roman" w:cs="Times New Roman"/>
          <w:sz w:val="24"/>
          <w:szCs w:val="24"/>
        </w:rPr>
        <w:t xml:space="preserve">in two sentences in </w:t>
      </w:r>
      <w:r w:rsidR="004A7364">
        <w:rPr>
          <w:rFonts w:ascii="Times New Roman" w:hAnsi="Times New Roman" w:cs="Times New Roman"/>
          <w:sz w:val="24"/>
          <w:szCs w:val="24"/>
        </w:rPr>
        <w:t>his first affidavit:</w:t>
      </w:r>
    </w:p>
    <w:p w14:paraId="3E3EF34A" w14:textId="77777777" w:rsidR="00312A5F" w:rsidRPr="00312A5F" w:rsidRDefault="00312A5F" w:rsidP="00312A5F">
      <w:pPr>
        <w:pStyle w:val="ListParagraph"/>
        <w:spacing w:before="240" w:line="480" w:lineRule="auto"/>
        <w:ind w:left="786"/>
        <w:jc w:val="both"/>
        <w:rPr>
          <w:rFonts w:ascii="Times New Roman" w:hAnsi="Times New Roman" w:cs="Times New Roman"/>
          <w:b/>
          <w:sz w:val="24"/>
          <w:szCs w:val="24"/>
        </w:rPr>
      </w:pPr>
    </w:p>
    <w:p w14:paraId="130DB582" w14:textId="5AB2A54A" w:rsidR="00993461" w:rsidRPr="00993461" w:rsidRDefault="00312A5F" w:rsidP="00993461">
      <w:pPr>
        <w:pStyle w:val="ListParagraph"/>
        <w:spacing w:before="240" w:line="480" w:lineRule="auto"/>
        <w:ind w:left="1440"/>
        <w:jc w:val="both"/>
        <w:rPr>
          <w:rFonts w:ascii="Times New Roman" w:hAnsi="Times New Roman" w:cs="Times New Roman"/>
          <w:i/>
          <w:sz w:val="24"/>
          <w:szCs w:val="24"/>
        </w:rPr>
      </w:pPr>
      <w:r>
        <w:rPr>
          <w:rFonts w:ascii="Times New Roman" w:hAnsi="Times New Roman" w:cs="Times New Roman"/>
          <w:i/>
          <w:sz w:val="24"/>
          <w:szCs w:val="24"/>
        </w:rPr>
        <w:t>‘</w:t>
      </w:r>
      <w:r w:rsidR="00993461" w:rsidRPr="007C0A79">
        <w:rPr>
          <w:rFonts w:ascii="Times New Roman" w:hAnsi="Times New Roman" w:cs="Times New Roman"/>
          <w:i/>
          <w:sz w:val="24"/>
          <w:szCs w:val="24"/>
        </w:rPr>
        <w:t>On becoming aware of this, I carried out investigations in relation to Osteopen with a view to identifying the manufacturer and finding out as much information as possible about the product.  The Applicant also carried out significant research of the available scientific literature on the potential impact of difference in the manufacturing process on Pentosan Polysulfate Sodium (“PPS”), the active ingredient of Cartrophen and Osteopen.</w:t>
      </w:r>
      <w:r w:rsidR="003E1C16">
        <w:rPr>
          <w:rFonts w:ascii="Times New Roman" w:hAnsi="Times New Roman" w:cs="Times New Roman"/>
          <w:i/>
          <w:sz w:val="24"/>
          <w:szCs w:val="24"/>
        </w:rPr>
        <w:t>’</w:t>
      </w:r>
    </w:p>
    <w:p w14:paraId="0FF9006A" w14:textId="77777777" w:rsidR="00993461" w:rsidRPr="00993461" w:rsidRDefault="00993461" w:rsidP="00993461">
      <w:pPr>
        <w:pStyle w:val="ListParagraph"/>
        <w:rPr>
          <w:rFonts w:ascii="Times New Roman" w:hAnsi="Times New Roman" w:cs="Times New Roman"/>
          <w:sz w:val="24"/>
          <w:szCs w:val="24"/>
        </w:rPr>
      </w:pPr>
    </w:p>
    <w:p w14:paraId="5E91A139" w14:textId="217336B7" w:rsidR="00993461" w:rsidRPr="00993461" w:rsidRDefault="004A7364" w:rsidP="00F0759E">
      <w:pPr>
        <w:pStyle w:val="ListParagraph"/>
        <w:numPr>
          <w:ilvl w:val="0"/>
          <w:numId w:val="1"/>
        </w:numPr>
        <w:spacing w:before="240" w:line="480" w:lineRule="auto"/>
        <w:ind w:hanging="502"/>
        <w:jc w:val="both"/>
        <w:rPr>
          <w:rFonts w:ascii="Times New Roman" w:hAnsi="Times New Roman" w:cs="Times New Roman"/>
          <w:b/>
          <w:sz w:val="24"/>
          <w:szCs w:val="24"/>
        </w:rPr>
      </w:pPr>
      <w:r w:rsidRPr="00993461">
        <w:rPr>
          <w:rFonts w:ascii="Times New Roman" w:hAnsi="Times New Roman" w:cs="Times New Roman"/>
          <w:sz w:val="24"/>
          <w:szCs w:val="24"/>
        </w:rPr>
        <w:t xml:space="preserve">This is the first </w:t>
      </w:r>
      <w:r w:rsidR="0097714B" w:rsidRPr="00993461">
        <w:rPr>
          <w:rFonts w:ascii="Times New Roman" w:hAnsi="Times New Roman" w:cs="Times New Roman"/>
          <w:sz w:val="24"/>
          <w:szCs w:val="24"/>
        </w:rPr>
        <w:t>difficulty facing</w:t>
      </w:r>
      <w:r w:rsidRPr="00993461">
        <w:rPr>
          <w:rFonts w:ascii="Times New Roman" w:hAnsi="Times New Roman" w:cs="Times New Roman"/>
          <w:sz w:val="24"/>
          <w:szCs w:val="24"/>
        </w:rPr>
        <w:t xml:space="preserve"> Arthropharm in </w:t>
      </w:r>
      <w:r w:rsidR="0097714B" w:rsidRPr="00993461">
        <w:rPr>
          <w:rFonts w:ascii="Times New Roman" w:hAnsi="Times New Roman" w:cs="Times New Roman"/>
          <w:sz w:val="24"/>
          <w:szCs w:val="24"/>
        </w:rPr>
        <w:t xml:space="preserve">seeking </w:t>
      </w:r>
      <w:r w:rsidRPr="00993461">
        <w:rPr>
          <w:rFonts w:ascii="Times New Roman" w:hAnsi="Times New Roman" w:cs="Times New Roman"/>
          <w:sz w:val="24"/>
          <w:szCs w:val="24"/>
        </w:rPr>
        <w:t xml:space="preserve">an extension of time.  It should have explained why, exactly, it took over six weeks to formulate this position and it </w:t>
      </w:r>
      <w:r w:rsidRPr="00993461">
        <w:rPr>
          <w:rFonts w:ascii="Times New Roman" w:hAnsi="Times New Roman" w:cs="Times New Roman"/>
          <w:sz w:val="24"/>
          <w:szCs w:val="24"/>
        </w:rPr>
        <w:lastRenderedPageBreak/>
        <w:t xml:space="preserve">should have detailed what, precisely, it did during that period.  </w:t>
      </w:r>
      <w:r w:rsidR="00496D6D">
        <w:rPr>
          <w:rFonts w:ascii="Times New Roman" w:hAnsi="Times New Roman" w:cs="Times New Roman"/>
          <w:sz w:val="24"/>
          <w:szCs w:val="24"/>
        </w:rPr>
        <w:t xml:space="preserve">The information given </w:t>
      </w:r>
      <w:r w:rsidR="00C420AA">
        <w:rPr>
          <w:rFonts w:ascii="Times New Roman" w:hAnsi="Times New Roman" w:cs="Times New Roman"/>
          <w:sz w:val="24"/>
          <w:szCs w:val="24"/>
        </w:rPr>
        <w:t xml:space="preserve">as to this period of time </w:t>
      </w:r>
      <w:r w:rsidR="00496D6D">
        <w:rPr>
          <w:rFonts w:ascii="Times New Roman" w:hAnsi="Times New Roman" w:cs="Times New Roman"/>
          <w:sz w:val="24"/>
          <w:szCs w:val="24"/>
        </w:rPr>
        <w:t xml:space="preserve">is too scant, and </w:t>
      </w:r>
      <w:r w:rsidR="00B152B4">
        <w:rPr>
          <w:rFonts w:ascii="Times New Roman" w:hAnsi="Times New Roman" w:cs="Times New Roman"/>
          <w:sz w:val="24"/>
          <w:szCs w:val="24"/>
        </w:rPr>
        <w:t xml:space="preserve">that deficiency </w:t>
      </w:r>
      <w:r w:rsidR="00496D6D">
        <w:rPr>
          <w:rFonts w:ascii="Times New Roman" w:hAnsi="Times New Roman" w:cs="Times New Roman"/>
          <w:sz w:val="24"/>
          <w:szCs w:val="24"/>
        </w:rPr>
        <w:t>is not compensated for by the large number of references in the letter to the relevant literature.  Arthropharm, it must be recalled, was in a better position than most to elaborate upon the nature and features of PPS.</w:t>
      </w:r>
    </w:p>
    <w:p w14:paraId="13E2E2D3" w14:textId="77777777" w:rsidR="00993461" w:rsidRPr="00993461" w:rsidRDefault="00993461" w:rsidP="00993461">
      <w:pPr>
        <w:pStyle w:val="ListParagraph"/>
        <w:spacing w:before="240" w:line="480" w:lineRule="auto"/>
        <w:ind w:left="786"/>
        <w:jc w:val="both"/>
        <w:rPr>
          <w:rFonts w:ascii="Times New Roman" w:hAnsi="Times New Roman" w:cs="Times New Roman"/>
          <w:b/>
          <w:sz w:val="24"/>
          <w:szCs w:val="24"/>
        </w:rPr>
      </w:pPr>
      <w:r>
        <w:rPr>
          <w:rFonts w:ascii="Times New Roman" w:hAnsi="Times New Roman" w:cs="Times New Roman"/>
          <w:sz w:val="24"/>
          <w:szCs w:val="24"/>
        </w:rPr>
        <w:t xml:space="preserve">  </w:t>
      </w:r>
    </w:p>
    <w:p w14:paraId="007D0199" w14:textId="796D4883" w:rsidR="00496D6D" w:rsidRPr="00496D6D" w:rsidRDefault="00860F11" w:rsidP="003E1C16">
      <w:pPr>
        <w:pStyle w:val="ListParagraph"/>
        <w:numPr>
          <w:ilvl w:val="0"/>
          <w:numId w:val="1"/>
        </w:numPr>
        <w:spacing w:before="240" w:line="480" w:lineRule="auto"/>
        <w:ind w:hanging="502"/>
        <w:jc w:val="both"/>
        <w:rPr>
          <w:rFonts w:ascii="Times New Roman" w:hAnsi="Times New Roman" w:cs="Times New Roman"/>
          <w:b/>
          <w:sz w:val="24"/>
          <w:szCs w:val="24"/>
        </w:rPr>
      </w:pPr>
      <w:r w:rsidRPr="00993461">
        <w:rPr>
          <w:rFonts w:ascii="Times New Roman" w:hAnsi="Times New Roman" w:cs="Times New Roman"/>
          <w:sz w:val="24"/>
          <w:szCs w:val="24"/>
        </w:rPr>
        <w:t xml:space="preserve">More importantly, by the time it sent that letter it was on risk that the three month period was going expire on </w:t>
      </w:r>
      <w:r>
        <w:rPr>
          <w:rFonts w:ascii="Times New Roman" w:hAnsi="Times New Roman" w:cs="Times New Roman"/>
          <w:sz w:val="24"/>
          <w:szCs w:val="24"/>
        </w:rPr>
        <w:t xml:space="preserve">23 </w:t>
      </w:r>
      <w:r w:rsidRPr="00993461">
        <w:rPr>
          <w:rFonts w:ascii="Times New Roman" w:hAnsi="Times New Roman" w:cs="Times New Roman"/>
          <w:sz w:val="24"/>
          <w:szCs w:val="24"/>
        </w:rPr>
        <w:t xml:space="preserve">October </w:t>
      </w:r>
      <w:r w:rsidR="002100E5">
        <w:rPr>
          <w:rFonts w:ascii="Times New Roman" w:hAnsi="Times New Roman" w:cs="Times New Roman"/>
          <w:sz w:val="24"/>
          <w:szCs w:val="24"/>
        </w:rPr>
        <w:t xml:space="preserve">2018 </w:t>
      </w:r>
      <w:r w:rsidRPr="00993461">
        <w:rPr>
          <w:rFonts w:ascii="Times New Roman" w:hAnsi="Times New Roman" w:cs="Times New Roman"/>
          <w:sz w:val="24"/>
          <w:szCs w:val="24"/>
        </w:rPr>
        <w:t xml:space="preserve">and, at most on </w:t>
      </w:r>
      <w:r>
        <w:rPr>
          <w:rFonts w:ascii="Times New Roman" w:hAnsi="Times New Roman" w:cs="Times New Roman"/>
          <w:sz w:val="24"/>
          <w:szCs w:val="24"/>
        </w:rPr>
        <w:t xml:space="preserve">23 </w:t>
      </w:r>
      <w:r w:rsidRPr="00993461">
        <w:rPr>
          <w:rFonts w:ascii="Times New Roman" w:hAnsi="Times New Roman" w:cs="Times New Roman"/>
          <w:sz w:val="24"/>
          <w:szCs w:val="24"/>
        </w:rPr>
        <w:t>November</w:t>
      </w:r>
      <w:r w:rsidR="002100E5">
        <w:rPr>
          <w:rFonts w:ascii="Times New Roman" w:hAnsi="Times New Roman" w:cs="Times New Roman"/>
          <w:sz w:val="24"/>
          <w:szCs w:val="24"/>
        </w:rPr>
        <w:t xml:space="preserve"> 2018</w:t>
      </w:r>
      <w:r w:rsidRPr="00993461">
        <w:rPr>
          <w:rFonts w:ascii="Times New Roman" w:hAnsi="Times New Roman" w:cs="Times New Roman"/>
          <w:sz w:val="24"/>
          <w:szCs w:val="24"/>
        </w:rPr>
        <w:t xml:space="preserve">.  It was thus on any version at a critical juncture.  </w:t>
      </w:r>
      <w:r>
        <w:rPr>
          <w:rFonts w:ascii="Times New Roman" w:hAnsi="Times New Roman" w:cs="Times New Roman"/>
          <w:sz w:val="24"/>
          <w:szCs w:val="24"/>
        </w:rPr>
        <w:t>H</w:t>
      </w:r>
      <w:r w:rsidR="00825F87" w:rsidRPr="00993461">
        <w:rPr>
          <w:rFonts w:ascii="Times New Roman" w:hAnsi="Times New Roman" w:cs="Times New Roman"/>
          <w:sz w:val="24"/>
          <w:szCs w:val="24"/>
        </w:rPr>
        <w:t xml:space="preserve">aving sent its letter on </w:t>
      </w:r>
      <w:r w:rsidR="00232ADF">
        <w:rPr>
          <w:rFonts w:ascii="Times New Roman" w:hAnsi="Times New Roman" w:cs="Times New Roman"/>
          <w:sz w:val="24"/>
          <w:szCs w:val="24"/>
        </w:rPr>
        <w:t xml:space="preserve">12 </w:t>
      </w:r>
      <w:r w:rsidR="00825F87" w:rsidRPr="00993461">
        <w:rPr>
          <w:rFonts w:ascii="Times New Roman" w:hAnsi="Times New Roman" w:cs="Times New Roman"/>
          <w:sz w:val="24"/>
          <w:szCs w:val="24"/>
        </w:rPr>
        <w:t xml:space="preserve">October </w:t>
      </w:r>
      <w:r w:rsidR="002100E5">
        <w:rPr>
          <w:rFonts w:ascii="Times New Roman" w:hAnsi="Times New Roman" w:cs="Times New Roman"/>
          <w:sz w:val="24"/>
          <w:szCs w:val="24"/>
        </w:rPr>
        <w:t xml:space="preserve">2018 </w:t>
      </w:r>
      <w:r w:rsidR="003C56EF" w:rsidRPr="00993461">
        <w:rPr>
          <w:rFonts w:ascii="Times New Roman" w:hAnsi="Times New Roman" w:cs="Times New Roman"/>
          <w:sz w:val="24"/>
          <w:szCs w:val="24"/>
        </w:rPr>
        <w:t xml:space="preserve">setting forth its complaints, </w:t>
      </w:r>
      <w:r w:rsidR="00825F87" w:rsidRPr="00993461">
        <w:rPr>
          <w:rFonts w:ascii="Times New Roman" w:hAnsi="Times New Roman" w:cs="Times New Roman"/>
          <w:sz w:val="24"/>
          <w:szCs w:val="24"/>
        </w:rPr>
        <w:t>it was i</w:t>
      </w:r>
      <w:r>
        <w:rPr>
          <w:rFonts w:ascii="Times New Roman" w:hAnsi="Times New Roman" w:cs="Times New Roman"/>
          <w:sz w:val="24"/>
          <w:szCs w:val="24"/>
        </w:rPr>
        <w:t>n those circumstances i</w:t>
      </w:r>
      <w:r w:rsidR="00825F87" w:rsidRPr="00993461">
        <w:rPr>
          <w:rFonts w:ascii="Times New Roman" w:hAnsi="Times New Roman" w:cs="Times New Roman"/>
          <w:sz w:val="24"/>
          <w:szCs w:val="24"/>
        </w:rPr>
        <w:t xml:space="preserve">ncumbent on </w:t>
      </w:r>
      <w:r w:rsidR="003C56EF" w:rsidRPr="00993461">
        <w:rPr>
          <w:rFonts w:ascii="Times New Roman" w:hAnsi="Times New Roman" w:cs="Times New Roman"/>
          <w:sz w:val="24"/>
          <w:szCs w:val="24"/>
        </w:rPr>
        <w:t>Arthropharm</w:t>
      </w:r>
      <w:r w:rsidR="00C53163" w:rsidRPr="00993461">
        <w:rPr>
          <w:rFonts w:ascii="Times New Roman" w:hAnsi="Times New Roman" w:cs="Times New Roman"/>
          <w:sz w:val="24"/>
          <w:szCs w:val="24"/>
        </w:rPr>
        <w:t xml:space="preserve"> to </w:t>
      </w:r>
      <w:r w:rsidR="00825F87" w:rsidRPr="00993461">
        <w:rPr>
          <w:rFonts w:ascii="Times New Roman" w:hAnsi="Times New Roman" w:cs="Times New Roman"/>
          <w:sz w:val="24"/>
          <w:szCs w:val="24"/>
        </w:rPr>
        <w:t xml:space="preserve">pursue </w:t>
      </w:r>
      <w:r w:rsidR="00312A5F">
        <w:rPr>
          <w:rFonts w:ascii="Times New Roman" w:hAnsi="Times New Roman" w:cs="Times New Roman"/>
          <w:sz w:val="24"/>
          <w:szCs w:val="24"/>
        </w:rPr>
        <w:t>HPRA</w:t>
      </w:r>
      <w:r w:rsidR="00825F87" w:rsidRPr="00993461">
        <w:rPr>
          <w:rFonts w:ascii="Times New Roman" w:hAnsi="Times New Roman" w:cs="Times New Roman"/>
          <w:sz w:val="24"/>
          <w:szCs w:val="24"/>
        </w:rPr>
        <w:t xml:space="preserve"> for a response and</w:t>
      </w:r>
      <w:r w:rsidR="00C53163" w:rsidRPr="00993461">
        <w:rPr>
          <w:rFonts w:ascii="Times New Roman" w:hAnsi="Times New Roman" w:cs="Times New Roman"/>
          <w:sz w:val="24"/>
          <w:szCs w:val="24"/>
        </w:rPr>
        <w:t>, if it did not obtain one,</w:t>
      </w:r>
      <w:r w:rsidR="00825F87" w:rsidRPr="00993461">
        <w:rPr>
          <w:rFonts w:ascii="Times New Roman" w:hAnsi="Times New Roman" w:cs="Times New Roman"/>
          <w:sz w:val="24"/>
          <w:szCs w:val="24"/>
        </w:rPr>
        <w:t xml:space="preserve"> to proceed with as much of its action as it was then in a position to formulate</w:t>
      </w:r>
      <w:r w:rsidR="00C53163" w:rsidRPr="00993461">
        <w:rPr>
          <w:rFonts w:ascii="Times New Roman" w:hAnsi="Times New Roman" w:cs="Times New Roman"/>
          <w:sz w:val="24"/>
          <w:szCs w:val="24"/>
        </w:rPr>
        <w:t xml:space="preserve">. Had it </w:t>
      </w:r>
      <w:r w:rsidR="00EF32C7" w:rsidRPr="00993461">
        <w:rPr>
          <w:rFonts w:ascii="Times New Roman" w:hAnsi="Times New Roman" w:cs="Times New Roman"/>
          <w:sz w:val="24"/>
          <w:szCs w:val="24"/>
        </w:rPr>
        <w:t>pursued HP</w:t>
      </w:r>
      <w:r w:rsidR="003C56EF" w:rsidRPr="00993461">
        <w:rPr>
          <w:rFonts w:ascii="Times New Roman" w:hAnsi="Times New Roman" w:cs="Times New Roman"/>
          <w:sz w:val="24"/>
          <w:szCs w:val="24"/>
        </w:rPr>
        <w:t>R</w:t>
      </w:r>
      <w:r w:rsidR="00EF32C7" w:rsidRPr="00993461">
        <w:rPr>
          <w:rFonts w:ascii="Times New Roman" w:hAnsi="Times New Roman" w:cs="Times New Roman"/>
          <w:sz w:val="24"/>
          <w:szCs w:val="24"/>
        </w:rPr>
        <w:t>A</w:t>
      </w:r>
      <w:r w:rsidR="00C53163" w:rsidRPr="00993461">
        <w:rPr>
          <w:rFonts w:ascii="Times New Roman" w:hAnsi="Times New Roman" w:cs="Times New Roman"/>
          <w:sz w:val="24"/>
          <w:szCs w:val="24"/>
        </w:rPr>
        <w:t xml:space="preserve">, it would have become apparent that </w:t>
      </w:r>
      <w:r w:rsidR="00312A5F">
        <w:rPr>
          <w:rFonts w:ascii="Times New Roman" w:hAnsi="Times New Roman" w:cs="Times New Roman"/>
          <w:sz w:val="24"/>
          <w:szCs w:val="24"/>
        </w:rPr>
        <w:t>HPRA</w:t>
      </w:r>
      <w:r w:rsidR="00C53163" w:rsidRPr="00993461">
        <w:rPr>
          <w:rFonts w:ascii="Times New Roman" w:hAnsi="Times New Roman" w:cs="Times New Roman"/>
          <w:sz w:val="24"/>
          <w:szCs w:val="24"/>
        </w:rPr>
        <w:t xml:space="preserve"> had provided a substantive response on</w:t>
      </w:r>
      <w:r w:rsidR="00232ADF">
        <w:rPr>
          <w:rFonts w:ascii="Times New Roman" w:hAnsi="Times New Roman" w:cs="Times New Roman"/>
          <w:sz w:val="24"/>
          <w:szCs w:val="24"/>
        </w:rPr>
        <w:t xml:space="preserve"> 30</w:t>
      </w:r>
      <w:r w:rsidR="00C53163" w:rsidRPr="00993461">
        <w:rPr>
          <w:rFonts w:ascii="Times New Roman" w:hAnsi="Times New Roman" w:cs="Times New Roman"/>
          <w:sz w:val="24"/>
          <w:szCs w:val="24"/>
        </w:rPr>
        <w:t xml:space="preserve"> October</w:t>
      </w:r>
      <w:r w:rsidR="002100E5">
        <w:rPr>
          <w:rFonts w:ascii="Times New Roman" w:hAnsi="Times New Roman" w:cs="Times New Roman"/>
          <w:sz w:val="24"/>
          <w:szCs w:val="24"/>
        </w:rPr>
        <w:t xml:space="preserve"> 2018</w:t>
      </w:r>
      <w:r w:rsidR="003C0156" w:rsidRPr="00993461">
        <w:rPr>
          <w:rFonts w:ascii="Times New Roman" w:hAnsi="Times New Roman" w:cs="Times New Roman"/>
          <w:sz w:val="24"/>
          <w:szCs w:val="24"/>
        </w:rPr>
        <w:t xml:space="preserve">.  Its failure to </w:t>
      </w:r>
      <w:r w:rsidR="00CF6005">
        <w:rPr>
          <w:rFonts w:ascii="Times New Roman" w:hAnsi="Times New Roman" w:cs="Times New Roman"/>
          <w:sz w:val="24"/>
          <w:szCs w:val="24"/>
        </w:rPr>
        <w:t xml:space="preserve">ascertain this </w:t>
      </w:r>
      <w:r w:rsidR="008E01B8">
        <w:rPr>
          <w:rFonts w:ascii="Times New Roman" w:hAnsi="Times New Roman" w:cs="Times New Roman"/>
          <w:sz w:val="24"/>
          <w:szCs w:val="24"/>
        </w:rPr>
        <w:t xml:space="preserve">by actively seeking a response from HPRA </w:t>
      </w:r>
      <w:r w:rsidR="003C0156" w:rsidRPr="00993461">
        <w:rPr>
          <w:rFonts w:ascii="Times New Roman" w:hAnsi="Times New Roman" w:cs="Times New Roman"/>
          <w:sz w:val="24"/>
          <w:szCs w:val="24"/>
        </w:rPr>
        <w:t xml:space="preserve">was its second </w:t>
      </w:r>
      <w:r w:rsidR="00375F97" w:rsidRPr="00993461">
        <w:rPr>
          <w:rFonts w:ascii="Times New Roman" w:hAnsi="Times New Roman" w:cs="Times New Roman"/>
          <w:sz w:val="24"/>
          <w:szCs w:val="24"/>
        </w:rPr>
        <w:t xml:space="preserve">significant </w:t>
      </w:r>
      <w:r w:rsidR="003C0156" w:rsidRPr="00993461">
        <w:rPr>
          <w:rFonts w:ascii="Times New Roman" w:hAnsi="Times New Roman" w:cs="Times New Roman"/>
          <w:sz w:val="24"/>
          <w:szCs w:val="24"/>
        </w:rPr>
        <w:t>default.</w:t>
      </w:r>
      <w:r w:rsidR="003C56EF" w:rsidRPr="00993461">
        <w:rPr>
          <w:rFonts w:ascii="Times New Roman" w:hAnsi="Times New Roman" w:cs="Times New Roman"/>
          <w:sz w:val="24"/>
          <w:szCs w:val="24"/>
        </w:rPr>
        <w:t xml:space="preserve"> It appears that it was satisfied to rest on the fact that it sent its letter on </w:t>
      </w:r>
      <w:r w:rsidR="00232ADF">
        <w:rPr>
          <w:rFonts w:ascii="Times New Roman" w:hAnsi="Times New Roman" w:cs="Times New Roman"/>
          <w:sz w:val="24"/>
          <w:szCs w:val="24"/>
        </w:rPr>
        <w:t xml:space="preserve">12 </w:t>
      </w:r>
      <w:r w:rsidR="003C56EF" w:rsidRPr="00993461">
        <w:rPr>
          <w:rFonts w:ascii="Times New Roman" w:hAnsi="Times New Roman" w:cs="Times New Roman"/>
          <w:sz w:val="24"/>
          <w:szCs w:val="24"/>
        </w:rPr>
        <w:t xml:space="preserve">October without taking any step for two months to pursue a response. Given the time constraints under which it was operating, I find this </w:t>
      </w:r>
      <w:r w:rsidR="00981213" w:rsidRPr="00993461">
        <w:rPr>
          <w:rFonts w:ascii="Times New Roman" w:hAnsi="Times New Roman" w:cs="Times New Roman"/>
          <w:sz w:val="24"/>
          <w:szCs w:val="24"/>
        </w:rPr>
        <w:t>difficult to understand.</w:t>
      </w:r>
      <w:r w:rsidR="00993461" w:rsidRPr="00993461">
        <w:rPr>
          <w:rFonts w:ascii="Times New Roman" w:hAnsi="Times New Roman" w:cs="Times New Roman"/>
          <w:sz w:val="24"/>
          <w:szCs w:val="24"/>
        </w:rPr>
        <w:t xml:space="preserve">  </w:t>
      </w:r>
    </w:p>
    <w:p w14:paraId="56B30CBE" w14:textId="77777777" w:rsidR="00496D6D" w:rsidRPr="00496D6D" w:rsidRDefault="00496D6D" w:rsidP="00496D6D">
      <w:pPr>
        <w:pStyle w:val="ListParagraph"/>
        <w:rPr>
          <w:rFonts w:ascii="Times New Roman" w:hAnsi="Times New Roman" w:cs="Times New Roman"/>
          <w:sz w:val="24"/>
          <w:szCs w:val="24"/>
        </w:rPr>
      </w:pPr>
    </w:p>
    <w:p w14:paraId="02246756" w14:textId="4BE51F7C" w:rsidR="00993461" w:rsidRPr="00993461" w:rsidRDefault="00993461" w:rsidP="003E1C16">
      <w:pPr>
        <w:pStyle w:val="ListParagraph"/>
        <w:numPr>
          <w:ilvl w:val="0"/>
          <w:numId w:val="1"/>
        </w:numPr>
        <w:spacing w:before="240" w:line="480" w:lineRule="auto"/>
        <w:ind w:hanging="502"/>
        <w:jc w:val="both"/>
        <w:rPr>
          <w:rFonts w:ascii="Times New Roman" w:hAnsi="Times New Roman" w:cs="Times New Roman"/>
          <w:b/>
          <w:sz w:val="24"/>
          <w:szCs w:val="24"/>
        </w:rPr>
      </w:pPr>
      <w:r w:rsidRPr="00993461">
        <w:rPr>
          <w:rFonts w:ascii="Times New Roman" w:hAnsi="Times New Roman" w:cs="Times New Roman"/>
          <w:sz w:val="24"/>
          <w:szCs w:val="24"/>
        </w:rPr>
        <w:t xml:space="preserve">It is especially difficult to excuse its inactivity in circumstances in which it was advised by the UK </w:t>
      </w:r>
      <w:r w:rsidR="00794837">
        <w:rPr>
          <w:rFonts w:ascii="Times New Roman" w:hAnsi="Times New Roman" w:cs="Times New Roman"/>
          <w:sz w:val="24"/>
          <w:szCs w:val="24"/>
        </w:rPr>
        <w:t>r</w:t>
      </w:r>
      <w:r w:rsidRPr="00993461">
        <w:rPr>
          <w:rFonts w:ascii="Times New Roman" w:hAnsi="Times New Roman" w:cs="Times New Roman"/>
          <w:sz w:val="24"/>
          <w:szCs w:val="24"/>
        </w:rPr>
        <w:t xml:space="preserve">egulator on </w:t>
      </w:r>
      <w:r w:rsidR="00232ADF">
        <w:rPr>
          <w:rFonts w:ascii="Times New Roman" w:hAnsi="Times New Roman" w:cs="Times New Roman"/>
          <w:sz w:val="24"/>
          <w:szCs w:val="24"/>
        </w:rPr>
        <w:t xml:space="preserve">26 </w:t>
      </w:r>
      <w:r w:rsidRPr="00993461">
        <w:rPr>
          <w:rFonts w:ascii="Times New Roman" w:hAnsi="Times New Roman" w:cs="Times New Roman"/>
          <w:sz w:val="24"/>
          <w:szCs w:val="24"/>
        </w:rPr>
        <w:t xml:space="preserve">October </w:t>
      </w:r>
      <w:r w:rsidR="002100E5">
        <w:rPr>
          <w:rFonts w:ascii="Times New Roman" w:hAnsi="Times New Roman" w:cs="Times New Roman"/>
          <w:sz w:val="24"/>
          <w:szCs w:val="24"/>
        </w:rPr>
        <w:t xml:space="preserve">2018 </w:t>
      </w:r>
      <w:r w:rsidRPr="00993461">
        <w:rPr>
          <w:rFonts w:ascii="Times New Roman" w:hAnsi="Times New Roman" w:cs="Times New Roman"/>
          <w:sz w:val="24"/>
          <w:szCs w:val="24"/>
        </w:rPr>
        <w:t>th</w:t>
      </w:r>
      <w:r>
        <w:rPr>
          <w:rFonts w:ascii="Times New Roman" w:hAnsi="Times New Roman" w:cs="Times New Roman"/>
          <w:sz w:val="24"/>
          <w:szCs w:val="24"/>
        </w:rPr>
        <w:t>at Arthropharm was to receive a</w:t>
      </w:r>
      <w:r w:rsidRPr="00993461">
        <w:rPr>
          <w:rFonts w:ascii="Times New Roman" w:hAnsi="Times New Roman" w:cs="Times New Roman"/>
          <w:sz w:val="24"/>
          <w:szCs w:val="24"/>
        </w:rPr>
        <w:t xml:space="preserve"> more detailed response from </w:t>
      </w:r>
      <w:r w:rsidR="00312A5F">
        <w:rPr>
          <w:rFonts w:ascii="Times New Roman" w:hAnsi="Times New Roman" w:cs="Times New Roman"/>
          <w:sz w:val="24"/>
          <w:szCs w:val="24"/>
        </w:rPr>
        <w:t>HPRA</w:t>
      </w:r>
      <w:r>
        <w:rPr>
          <w:rFonts w:ascii="Times New Roman" w:hAnsi="Times New Roman" w:cs="Times New Roman"/>
          <w:sz w:val="24"/>
          <w:szCs w:val="24"/>
        </w:rPr>
        <w:t xml:space="preserve"> </w:t>
      </w:r>
      <w:r w:rsidR="00473691">
        <w:rPr>
          <w:rFonts w:ascii="Times New Roman" w:hAnsi="Times New Roman" w:cs="Times New Roman"/>
          <w:sz w:val="24"/>
          <w:szCs w:val="24"/>
        </w:rPr>
        <w:t xml:space="preserve">(suggesting that that authority had either seen or been advised of the contents of an advanced draft of the response) </w:t>
      </w:r>
      <w:r>
        <w:rPr>
          <w:rFonts w:ascii="Times New Roman" w:hAnsi="Times New Roman" w:cs="Times New Roman"/>
          <w:sz w:val="24"/>
          <w:szCs w:val="24"/>
        </w:rPr>
        <w:t xml:space="preserve">and, more remarkably, given that on </w:t>
      </w:r>
      <w:r w:rsidR="00232ADF">
        <w:rPr>
          <w:rFonts w:ascii="Times New Roman" w:hAnsi="Times New Roman" w:cs="Times New Roman"/>
          <w:sz w:val="24"/>
          <w:szCs w:val="24"/>
        </w:rPr>
        <w:t xml:space="preserve">2 </w:t>
      </w:r>
      <w:r w:rsidRPr="00993461">
        <w:rPr>
          <w:rFonts w:ascii="Times New Roman" w:hAnsi="Times New Roman" w:cs="Times New Roman"/>
          <w:sz w:val="24"/>
          <w:szCs w:val="24"/>
        </w:rPr>
        <w:t xml:space="preserve">November 2018 the German </w:t>
      </w:r>
      <w:r w:rsidR="00794837">
        <w:rPr>
          <w:rFonts w:ascii="Times New Roman" w:hAnsi="Times New Roman" w:cs="Times New Roman"/>
          <w:sz w:val="24"/>
          <w:szCs w:val="24"/>
        </w:rPr>
        <w:t>a</w:t>
      </w:r>
      <w:r w:rsidRPr="00993461">
        <w:rPr>
          <w:rFonts w:ascii="Times New Roman" w:hAnsi="Times New Roman" w:cs="Times New Roman"/>
          <w:sz w:val="24"/>
          <w:szCs w:val="24"/>
        </w:rPr>
        <w:t xml:space="preserve">uthority </w:t>
      </w:r>
      <w:r>
        <w:rPr>
          <w:rFonts w:ascii="Times New Roman" w:hAnsi="Times New Roman" w:cs="Times New Roman"/>
          <w:sz w:val="24"/>
          <w:szCs w:val="24"/>
        </w:rPr>
        <w:t xml:space="preserve">advised </w:t>
      </w:r>
      <w:r w:rsidR="00794837">
        <w:rPr>
          <w:rFonts w:ascii="Times New Roman" w:hAnsi="Times New Roman" w:cs="Times New Roman"/>
          <w:sz w:val="24"/>
          <w:szCs w:val="24"/>
        </w:rPr>
        <w:t>Arthropharm</w:t>
      </w:r>
      <w:r>
        <w:rPr>
          <w:rFonts w:ascii="Times New Roman" w:hAnsi="Times New Roman" w:cs="Times New Roman"/>
          <w:sz w:val="24"/>
          <w:szCs w:val="24"/>
        </w:rPr>
        <w:t xml:space="preserve"> that it had been in touch with HPRA and that it understood that Arthropharm had actually received a response from it.</w:t>
      </w:r>
      <w:r w:rsidR="00860F11">
        <w:rPr>
          <w:rFonts w:ascii="Times New Roman" w:hAnsi="Times New Roman" w:cs="Times New Roman"/>
          <w:sz w:val="24"/>
          <w:szCs w:val="24"/>
        </w:rPr>
        <w:t xml:space="preserve">  Yet, notwithstanding being on notice of these matters, it </w:t>
      </w:r>
      <w:r w:rsidR="00860F11">
        <w:rPr>
          <w:rFonts w:ascii="Times New Roman" w:hAnsi="Times New Roman" w:cs="Times New Roman"/>
          <w:sz w:val="24"/>
          <w:szCs w:val="24"/>
        </w:rPr>
        <w:lastRenderedPageBreak/>
        <w:t>did nothing until it had obtained the results of the analysis of the sample obtained by it in early November</w:t>
      </w:r>
      <w:r w:rsidR="002100E5">
        <w:rPr>
          <w:rFonts w:ascii="Times New Roman" w:hAnsi="Times New Roman" w:cs="Times New Roman"/>
          <w:sz w:val="24"/>
          <w:szCs w:val="24"/>
        </w:rPr>
        <w:t xml:space="preserve"> 2018</w:t>
      </w:r>
      <w:r w:rsidR="00860F11">
        <w:rPr>
          <w:rFonts w:ascii="Times New Roman" w:hAnsi="Times New Roman" w:cs="Times New Roman"/>
          <w:sz w:val="24"/>
          <w:szCs w:val="24"/>
        </w:rPr>
        <w:t>.</w:t>
      </w:r>
    </w:p>
    <w:p w14:paraId="499D07F0" w14:textId="77777777" w:rsidR="00EF32C7" w:rsidRDefault="00EF32C7" w:rsidP="00993461">
      <w:pPr>
        <w:pStyle w:val="ListParagraph"/>
        <w:spacing w:before="240" w:line="480" w:lineRule="auto"/>
        <w:ind w:left="786"/>
        <w:jc w:val="both"/>
        <w:rPr>
          <w:rFonts w:ascii="Times New Roman" w:hAnsi="Times New Roman" w:cs="Times New Roman"/>
          <w:b/>
          <w:sz w:val="24"/>
          <w:szCs w:val="24"/>
        </w:rPr>
      </w:pPr>
      <w:r>
        <w:rPr>
          <w:rFonts w:ascii="Times New Roman" w:hAnsi="Times New Roman" w:cs="Times New Roman"/>
          <w:b/>
          <w:sz w:val="24"/>
          <w:szCs w:val="24"/>
        </w:rPr>
        <w:t xml:space="preserve">  </w:t>
      </w:r>
    </w:p>
    <w:p w14:paraId="284656C9" w14:textId="0871D4AA" w:rsidR="002F0675" w:rsidRPr="002F0675" w:rsidRDefault="00375F97" w:rsidP="003E1C16">
      <w:pPr>
        <w:pStyle w:val="ListParagraph"/>
        <w:numPr>
          <w:ilvl w:val="0"/>
          <w:numId w:val="1"/>
        </w:numPr>
        <w:spacing w:before="240" w:line="480" w:lineRule="auto"/>
        <w:ind w:hanging="502"/>
        <w:jc w:val="both"/>
        <w:rPr>
          <w:rFonts w:ascii="Times New Roman" w:hAnsi="Times New Roman" w:cs="Times New Roman"/>
          <w:b/>
          <w:sz w:val="24"/>
          <w:szCs w:val="24"/>
        </w:rPr>
      </w:pPr>
      <w:r>
        <w:rPr>
          <w:rFonts w:ascii="Times New Roman" w:hAnsi="Times New Roman" w:cs="Times New Roman"/>
          <w:sz w:val="24"/>
          <w:szCs w:val="24"/>
        </w:rPr>
        <w:t xml:space="preserve">This leads to a third point of importance.  </w:t>
      </w:r>
      <w:r w:rsidR="00473691">
        <w:rPr>
          <w:rFonts w:ascii="Times New Roman" w:hAnsi="Times New Roman" w:cs="Times New Roman"/>
          <w:sz w:val="24"/>
          <w:szCs w:val="24"/>
        </w:rPr>
        <w:t xml:space="preserve">Arthropharm </w:t>
      </w:r>
      <w:r w:rsidR="002100E5">
        <w:rPr>
          <w:rFonts w:ascii="Times New Roman" w:hAnsi="Times New Roman" w:cs="Times New Roman"/>
          <w:sz w:val="24"/>
          <w:szCs w:val="24"/>
        </w:rPr>
        <w:t xml:space="preserve">did receive HPRA’s response on October 30, it was just that a junior member of staff deleted the relevant email.  That was </w:t>
      </w:r>
      <w:r w:rsidR="006B0BC7">
        <w:rPr>
          <w:rFonts w:ascii="Times New Roman" w:hAnsi="Times New Roman" w:cs="Times New Roman"/>
          <w:sz w:val="24"/>
          <w:szCs w:val="24"/>
        </w:rPr>
        <w:t xml:space="preserve">unfortunate, but it was </w:t>
      </w:r>
      <w:r w:rsidR="002100E5">
        <w:rPr>
          <w:rFonts w:ascii="Times New Roman" w:hAnsi="Times New Roman" w:cs="Times New Roman"/>
          <w:sz w:val="24"/>
          <w:szCs w:val="24"/>
        </w:rPr>
        <w:t xml:space="preserve">a matter within its control.  </w:t>
      </w:r>
      <w:r w:rsidR="006B0BC7">
        <w:rPr>
          <w:rFonts w:ascii="Times New Roman" w:hAnsi="Times New Roman" w:cs="Times New Roman"/>
          <w:sz w:val="24"/>
          <w:szCs w:val="24"/>
        </w:rPr>
        <w:t xml:space="preserve">What is important is that </w:t>
      </w:r>
      <w:r w:rsidR="002100E5">
        <w:rPr>
          <w:rFonts w:ascii="Times New Roman" w:hAnsi="Times New Roman" w:cs="Times New Roman"/>
          <w:sz w:val="24"/>
          <w:szCs w:val="24"/>
        </w:rPr>
        <w:t xml:space="preserve">even had it </w:t>
      </w:r>
      <w:r w:rsidR="00202CFF">
        <w:rPr>
          <w:rFonts w:ascii="Times New Roman" w:hAnsi="Times New Roman" w:cs="Times New Roman"/>
          <w:sz w:val="24"/>
          <w:szCs w:val="24"/>
        </w:rPr>
        <w:t xml:space="preserve">obtained </w:t>
      </w:r>
      <w:r w:rsidR="00312A5F">
        <w:rPr>
          <w:rFonts w:ascii="Times New Roman" w:hAnsi="Times New Roman" w:cs="Times New Roman"/>
          <w:sz w:val="24"/>
          <w:szCs w:val="24"/>
        </w:rPr>
        <w:t>HPRA</w:t>
      </w:r>
      <w:r w:rsidR="00202CFF">
        <w:rPr>
          <w:rFonts w:ascii="Times New Roman" w:hAnsi="Times New Roman" w:cs="Times New Roman"/>
          <w:sz w:val="24"/>
          <w:szCs w:val="24"/>
        </w:rPr>
        <w:t>’s response on</w:t>
      </w:r>
      <w:r w:rsidR="00232ADF">
        <w:rPr>
          <w:rFonts w:ascii="Times New Roman" w:hAnsi="Times New Roman" w:cs="Times New Roman"/>
          <w:sz w:val="24"/>
          <w:szCs w:val="24"/>
        </w:rPr>
        <w:t xml:space="preserve"> 30</w:t>
      </w:r>
      <w:r w:rsidR="00202CFF">
        <w:rPr>
          <w:rFonts w:ascii="Times New Roman" w:hAnsi="Times New Roman" w:cs="Times New Roman"/>
          <w:sz w:val="24"/>
          <w:szCs w:val="24"/>
        </w:rPr>
        <w:t xml:space="preserve"> October (and </w:t>
      </w:r>
      <w:r w:rsidR="00473691">
        <w:rPr>
          <w:rFonts w:ascii="Times New Roman" w:hAnsi="Times New Roman" w:cs="Times New Roman"/>
          <w:sz w:val="24"/>
          <w:szCs w:val="24"/>
        </w:rPr>
        <w:t xml:space="preserve">as I have observed </w:t>
      </w:r>
      <w:r w:rsidR="00202CFF">
        <w:rPr>
          <w:rFonts w:ascii="Times New Roman" w:hAnsi="Times New Roman" w:cs="Times New Roman"/>
          <w:sz w:val="24"/>
          <w:szCs w:val="24"/>
        </w:rPr>
        <w:t xml:space="preserve">had it taken reasonable steps to pursue that correspondence it would have become aware of this at or shortly after that date) </w:t>
      </w:r>
      <w:r w:rsidR="002D100A">
        <w:rPr>
          <w:rFonts w:ascii="Times New Roman" w:hAnsi="Times New Roman" w:cs="Times New Roman"/>
          <w:sz w:val="24"/>
          <w:szCs w:val="24"/>
        </w:rPr>
        <w:t xml:space="preserve">it appears to be </w:t>
      </w:r>
      <w:r w:rsidR="00794837">
        <w:rPr>
          <w:rFonts w:ascii="Times New Roman" w:hAnsi="Times New Roman" w:cs="Times New Roman"/>
          <w:sz w:val="24"/>
          <w:szCs w:val="24"/>
        </w:rPr>
        <w:t>Arthropharm’s</w:t>
      </w:r>
      <w:r w:rsidR="005866AB">
        <w:rPr>
          <w:rFonts w:ascii="Times New Roman" w:hAnsi="Times New Roman" w:cs="Times New Roman"/>
          <w:sz w:val="24"/>
          <w:szCs w:val="24"/>
        </w:rPr>
        <w:t xml:space="preserve"> </w:t>
      </w:r>
      <w:r w:rsidR="002D100A">
        <w:rPr>
          <w:rFonts w:ascii="Times New Roman" w:hAnsi="Times New Roman" w:cs="Times New Roman"/>
          <w:sz w:val="24"/>
          <w:szCs w:val="24"/>
        </w:rPr>
        <w:t xml:space="preserve">position that it still could not have proceeded to seek leave without first obtaining and then having analysed, a sample of Osteopen.  </w:t>
      </w:r>
      <w:r w:rsidR="0073298F">
        <w:rPr>
          <w:rFonts w:ascii="Times New Roman" w:hAnsi="Times New Roman" w:cs="Times New Roman"/>
          <w:sz w:val="24"/>
          <w:szCs w:val="24"/>
        </w:rPr>
        <w:t xml:space="preserve">This could not have been obtained on the market until </w:t>
      </w:r>
      <w:r w:rsidR="00232ADF">
        <w:rPr>
          <w:rFonts w:ascii="Times New Roman" w:hAnsi="Times New Roman" w:cs="Times New Roman"/>
          <w:sz w:val="24"/>
          <w:szCs w:val="24"/>
        </w:rPr>
        <w:t xml:space="preserve">8 </w:t>
      </w:r>
      <w:r w:rsidR="0073298F">
        <w:rPr>
          <w:rFonts w:ascii="Times New Roman" w:hAnsi="Times New Roman" w:cs="Times New Roman"/>
          <w:sz w:val="24"/>
          <w:szCs w:val="24"/>
        </w:rPr>
        <w:t>November 2018</w:t>
      </w:r>
      <w:r w:rsidR="002F0675">
        <w:rPr>
          <w:rFonts w:ascii="Times New Roman" w:hAnsi="Times New Roman" w:cs="Times New Roman"/>
          <w:sz w:val="24"/>
          <w:szCs w:val="24"/>
        </w:rPr>
        <w:t xml:space="preserve">, and it was not until </w:t>
      </w:r>
      <w:r w:rsidR="00020A30">
        <w:rPr>
          <w:rFonts w:ascii="Times New Roman" w:hAnsi="Times New Roman" w:cs="Times New Roman"/>
          <w:sz w:val="24"/>
          <w:szCs w:val="24"/>
        </w:rPr>
        <w:t xml:space="preserve">9 </w:t>
      </w:r>
      <w:r w:rsidR="002F0675">
        <w:rPr>
          <w:rFonts w:ascii="Times New Roman" w:hAnsi="Times New Roman" w:cs="Times New Roman"/>
          <w:sz w:val="24"/>
          <w:szCs w:val="24"/>
        </w:rPr>
        <w:t xml:space="preserve">December </w:t>
      </w:r>
      <w:r w:rsidR="002100E5">
        <w:rPr>
          <w:rFonts w:ascii="Times New Roman" w:hAnsi="Times New Roman" w:cs="Times New Roman"/>
          <w:sz w:val="24"/>
          <w:szCs w:val="24"/>
        </w:rPr>
        <w:t xml:space="preserve">2018 </w:t>
      </w:r>
      <w:r w:rsidR="002F0675">
        <w:rPr>
          <w:rFonts w:ascii="Times New Roman" w:hAnsi="Times New Roman" w:cs="Times New Roman"/>
          <w:sz w:val="24"/>
          <w:szCs w:val="24"/>
        </w:rPr>
        <w:t xml:space="preserve">that Arthropharm obtained a comparative analysis of that sample. </w:t>
      </w:r>
      <w:r w:rsidR="0073298F">
        <w:rPr>
          <w:rFonts w:ascii="Times New Roman" w:hAnsi="Times New Roman" w:cs="Times New Roman"/>
          <w:sz w:val="24"/>
          <w:szCs w:val="24"/>
        </w:rPr>
        <w:t xml:space="preserve"> </w:t>
      </w:r>
      <w:r w:rsidR="002F0675">
        <w:rPr>
          <w:rFonts w:ascii="Times New Roman" w:hAnsi="Times New Roman" w:cs="Times New Roman"/>
          <w:sz w:val="24"/>
          <w:szCs w:val="24"/>
        </w:rPr>
        <w:t>Thus, the argument is, Arthropharm could not have proceeded with its application for leave to seek judicial review until that point, and it did so within a very short period of it.</w:t>
      </w:r>
      <w:r w:rsidR="00037A15">
        <w:rPr>
          <w:rFonts w:ascii="Times New Roman" w:hAnsi="Times New Roman" w:cs="Times New Roman"/>
          <w:sz w:val="24"/>
          <w:szCs w:val="24"/>
        </w:rPr>
        <w:t xml:space="preserve">  As it puts the matter in its notice of appeal, the ‘</w:t>
      </w:r>
      <w:r w:rsidR="00037A15">
        <w:rPr>
          <w:rFonts w:ascii="Times New Roman" w:hAnsi="Times New Roman" w:cs="Times New Roman"/>
          <w:i/>
          <w:sz w:val="24"/>
          <w:szCs w:val="24"/>
        </w:rPr>
        <w:t xml:space="preserve">central specific scientific evidence to support the particular case being made in these proceedings only </w:t>
      </w:r>
      <w:r w:rsidR="000F7FA4">
        <w:rPr>
          <w:rFonts w:ascii="Times New Roman" w:hAnsi="Times New Roman" w:cs="Times New Roman"/>
          <w:i/>
          <w:sz w:val="24"/>
          <w:szCs w:val="24"/>
        </w:rPr>
        <w:t>crystallised</w:t>
      </w:r>
      <w:r w:rsidR="00037A15">
        <w:rPr>
          <w:rFonts w:ascii="Times New Roman" w:hAnsi="Times New Roman" w:cs="Times New Roman"/>
          <w:i/>
          <w:sz w:val="24"/>
          <w:szCs w:val="24"/>
        </w:rPr>
        <w:t xml:space="preserve"> upon receipt of the comparative analysis of the particular products’</w:t>
      </w:r>
      <w:r w:rsidR="00037A15">
        <w:rPr>
          <w:rFonts w:ascii="Times New Roman" w:hAnsi="Times New Roman" w:cs="Times New Roman"/>
          <w:sz w:val="24"/>
          <w:szCs w:val="24"/>
        </w:rPr>
        <w:t>.</w:t>
      </w:r>
    </w:p>
    <w:p w14:paraId="2D7C2A46" w14:textId="77777777" w:rsidR="002F0675" w:rsidRPr="002F0675" w:rsidRDefault="002F0675" w:rsidP="003E1C16">
      <w:pPr>
        <w:pStyle w:val="ListParagraph"/>
        <w:ind w:hanging="502"/>
        <w:rPr>
          <w:rFonts w:ascii="Times New Roman" w:hAnsi="Times New Roman" w:cs="Times New Roman"/>
          <w:sz w:val="24"/>
          <w:szCs w:val="24"/>
        </w:rPr>
      </w:pPr>
    </w:p>
    <w:p w14:paraId="760E96DC" w14:textId="112EBA03" w:rsidR="001C6669" w:rsidRPr="001C6669" w:rsidRDefault="002D100A" w:rsidP="003E1C16">
      <w:pPr>
        <w:pStyle w:val="ListParagraph"/>
        <w:numPr>
          <w:ilvl w:val="0"/>
          <w:numId w:val="1"/>
        </w:numPr>
        <w:spacing w:before="240" w:line="480" w:lineRule="auto"/>
        <w:ind w:hanging="502"/>
        <w:jc w:val="both"/>
        <w:rPr>
          <w:rFonts w:ascii="Times New Roman" w:hAnsi="Times New Roman" w:cs="Times New Roman"/>
          <w:b/>
          <w:sz w:val="24"/>
          <w:szCs w:val="24"/>
        </w:rPr>
      </w:pPr>
      <w:r>
        <w:rPr>
          <w:rFonts w:ascii="Times New Roman" w:hAnsi="Times New Roman" w:cs="Times New Roman"/>
          <w:sz w:val="24"/>
          <w:szCs w:val="24"/>
        </w:rPr>
        <w:t>I cannot accept this c</w:t>
      </w:r>
      <w:r w:rsidR="0097714B">
        <w:rPr>
          <w:rFonts w:ascii="Times New Roman" w:hAnsi="Times New Roman" w:cs="Times New Roman"/>
          <w:sz w:val="24"/>
          <w:szCs w:val="24"/>
        </w:rPr>
        <w:t>ontention</w:t>
      </w:r>
      <w:r>
        <w:rPr>
          <w:rFonts w:ascii="Times New Roman" w:hAnsi="Times New Roman" w:cs="Times New Roman"/>
          <w:sz w:val="24"/>
          <w:szCs w:val="24"/>
        </w:rPr>
        <w:t xml:space="preserve">.  </w:t>
      </w:r>
      <w:r w:rsidR="00EF32C7">
        <w:rPr>
          <w:rFonts w:ascii="Times New Roman" w:hAnsi="Times New Roman" w:cs="Times New Roman"/>
          <w:sz w:val="24"/>
          <w:szCs w:val="24"/>
        </w:rPr>
        <w:t xml:space="preserve">While </w:t>
      </w:r>
      <w:r>
        <w:rPr>
          <w:rFonts w:ascii="Times New Roman" w:hAnsi="Times New Roman" w:cs="Times New Roman"/>
          <w:sz w:val="24"/>
          <w:szCs w:val="24"/>
        </w:rPr>
        <w:t xml:space="preserve">Arthropharm </w:t>
      </w:r>
      <w:r w:rsidR="00EF32C7">
        <w:rPr>
          <w:rFonts w:ascii="Times New Roman" w:hAnsi="Times New Roman" w:cs="Times New Roman"/>
          <w:sz w:val="24"/>
          <w:szCs w:val="24"/>
        </w:rPr>
        <w:t xml:space="preserve">says that the objections it was in a position to formulate in its letter of </w:t>
      </w:r>
      <w:r w:rsidR="00232ADF">
        <w:rPr>
          <w:rFonts w:ascii="Times New Roman" w:hAnsi="Times New Roman" w:cs="Times New Roman"/>
          <w:sz w:val="24"/>
          <w:szCs w:val="24"/>
        </w:rPr>
        <w:t>1</w:t>
      </w:r>
      <w:r w:rsidR="002100E5">
        <w:rPr>
          <w:rFonts w:ascii="Times New Roman" w:hAnsi="Times New Roman" w:cs="Times New Roman"/>
          <w:sz w:val="24"/>
          <w:szCs w:val="24"/>
        </w:rPr>
        <w:t>2</w:t>
      </w:r>
      <w:r w:rsidR="00232ADF">
        <w:rPr>
          <w:rFonts w:ascii="Times New Roman" w:hAnsi="Times New Roman" w:cs="Times New Roman"/>
          <w:sz w:val="24"/>
          <w:szCs w:val="24"/>
        </w:rPr>
        <w:t xml:space="preserve"> </w:t>
      </w:r>
      <w:r w:rsidR="00EF32C7">
        <w:rPr>
          <w:rFonts w:ascii="Times New Roman" w:hAnsi="Times New Roman" w:cs="Times New Roman"/>
          <w:sz w:val="24"/>
          <w:szCs w:val="24"/>
        </w:rPr>
        <w:t xml:space="preserve">October </w:t>
      </w:r>
      <w:r w:rsidR="002100E5">
        <w:rPr>
          <w:rFonts w:ascii="Times New Roman" w:hAnsi="Times New Roman" w:cs="Times New Roman"/>
          <w:sz w:val="24"/>
          <w:szCs w:val="24"/>
        </w:rPr>
        <w:t xml:space="preserve">2018 </w:t>
      </w:r>
      <w:r w:rsidR="00EF32C7">
        <w:rPr>
          <w:rFonts w:ascii="Times New Roman" w:hAnsi="Times New Roman" w:cs="Times New Roman"/>
          <w:sz w:val="24"/>
          <w:szCs w:val="24"/>
        </w:rPr>
        <w:t>were ‘</w:t>
      </w:r>
      <w:r w:rsidR="00EF32C7">
        <w:rPr>
          <w:rFonts w:ascii="Times New Roman" w:hAnsi="Times New Roman" w:cs="Times New Roman"/>
          <w:i/>
          <w:sz w:val="24"/>
          <w:szCs w:val="24"/>
        </w:rPr>
        <w:t xml:space="preserve">procedural’ </w:t>
      </w:r>
      <w:r w:rsidR="00EF32C7">
        <w:rPr>
          <w:rFonts w:ascii="Times New Roman" w:hAnsi="Times New Roman" w:cs="Times New Roman"/>
          <w:sz w:val="24"/>
          <w:szCs w:val="24"/>
        </w:rPr>
        <w:t xml:space="preserve">and that there was no data about the actual scientific assessment of the material made publicly available, </w:t>
      </w:r>
      <w:r w:rsidR="001C6669">
        <w:rPr>
          <w:rFonts w:ascii="Times New Roman" w:hAnsi="Times New Roman" w:cs="Times New Roman"/>
          <w:sz w:val="24"/>
          <w:szCs w:val="24"/>
        </w:rPr>
        <w:t xml:space="preserve">it is clear that it had by at the latest </w:t>
      </w:r>
      <w:r w:rsidR="002100E5">
        <w:rPr>
          <w:rFonts w:ascii="Times New Roman" w:hAnsi="Times New Roman" w:cs="Times New Roman"/>
          <w:sz w:val="24"/>
          <w:szCs w:val="24"/>
        </w:rPr>
        <w:t xml:space="preserve">12 </w:t>
      </w:r>
      <w:r w:rsidR="001C6669">
        <w:rPr>
          <w:rFonts w:ascii="Times New Roman" w:hAnsi="Times New Roman" w:cs="Times New Roman"/>
          <w:sz w:val="24"/>
          <w:szCs w:val="24"/>
        </w:rPr>
        <w:t xml:space="preserve">October </w:t>
      </w:r>
      <w:r w:rsidR="002100E5">
        <w:rPr>
          <w:rFonts w:ascii="Times New Roman" w:hAnsi="Times New Roman" w:cs="Times New Roman"/>
          <w:sz w:val="24"/>
          <w:szCs w:val="24"/>
        </w:rPr>
        <w:t>2018</w:t>
      </w:r>
      <w:r w:rsidR="001C6669">
        <w:rPr>
          <w:rFonts w:ascii="Times New Roman" w:hAnsi="Times New Roman" w:cs="Times New Roman"/>
          <w:sz w:val="24"/>
          <w:szCs w:val="24"/>
        </w:rPr>
        <w:t xml:space="preserve"> the essential information it required to advance its basic complaint as eventually articulated in the proceedings.  </w:t>
      </w:r>
    </w:p>
    <w:p w14:paraId="28BE7228" w14:textId="77777777" w:rsidR="001C6669" w:rsidRPr="001C6669" w:rsidRDefault="001C6669" w:rsidP="001C6669">
      <w:pPr>
        <w:pStyle w:val="ListParagraph"/>
        <w:rPr>
          <w:rFonts w:ascii="Times New Roman" w:hAnsi="Times New Roman" w:cs="Times New Roman"/>
          <w:sz w:val="24"/>
          <w:szCs w:val="24"/>
        </w:rPr>
      </w:pPr>
    </w:p>
    <w:p w14:paraId="0F6E7D53" w14:textId="5E4AC904" w:rsidR="00642961" w:rsidRPr="00642961" w:rsidRDefault="00642961" w:rsidP="003E1C16">
      <w:pPr>
        <w:pStyle w:val="ListParagraph"/>
        <w:numPr>
          <w:ilvl w:val="0"/>
          <w:numId w:val="1"/>
        </w:numPr>
        <w:spacing w:before="240" w:line="480" w:lineRule="auto"/>
        <w:ind w:hanging="502"/>
        <w:jc w:val="both"/>
        <w:rPr>
          <w:rFonts w:ascii="Times New Roman" w:hAnsi="Times New Roman" w:cs="Times New Roman"/>
          <w:b/>
          <w:sz w:val="24"/>
          <w:szCs w:val="24"/>
        </w:rPr>
      </w:pPr>
      <w:r>
        <w:rPr>
          <w:rFonts w:ascii="Times New Roman" w:hAnsi="Times New Roman" w:cs="Times New Roman"/>
          <w:sz w:val="24"/>
          <w:szCs w:val="24"/>
        </w:rPr>
        <w:lastRenderedPageBreak/>
        <w:t xml:space="preserve">The central point in the case is expressed by </w:t>
      </w:r>
      <w:r w:rsidR="000F7FA4">
        <w:rPr>
          <w:rFonts w:ascii="Times New Roman" w:hAnsi="Times New Roman" w:cs="Times New Roman"/>
          <w:sz w:val="24"/>
          <w:szCs w:val="24"/>
        </w:rPr>
        <w:t>Dr</w:t>
      </w:r>
      <w:r>
        <w:rPr>
          <w:rFonts w:ascii="Times New Roman" w:hAnsi="Times New Roman" w:cs="Times New Roman"/>
          <w:sz w:val="24"/>
          <w:szCs w:val="24"/>
        </w:rPr>
        <w:t>. Cullis-Hill in his grounding affidavit, as follows:</w:t>
      </w:r>
    </w:p>
    <w:p w14:paraId="1CCA8DFB" w14:textId="77777777" w:rsidR="00642961" w:rsidRPr="00642961" w:rsidRDefault="00642961" w:rsidP="00642961">
      <w:pPr>
        <w:pStyle w:val="ListParagraph"/>
        <w:rPr>
          <w:rFonts w:ascii="Times New Roman" w:hAnsi="Times New Roman" w:cs="Times New Roman"/>
          <w:sz w:val="24"/>
          <w:szCs w:val="24"/>
        </w:rPr>
      </w:pPr>
    </w:p>
    <w:p w14:paraId="21B58BD6" w14:textId="0433DCA5" w:rsidR="00642961" w:rsidRPr="00642961" w:rsidRDefault="00642961" w:rsidP="00642961">
      <w:pPr>
        <w:pStyle w:val="ListParagraph"/>
        <w:spacing w:before="240" w:line="480" w:lineRule="auto"/>
        <w:ind w:left="1440"/>
        <w:jc w:val="both"/>
        <w:rPr>
          <w:rFonts w:ascii="Times New Roman" w:hAnsi="Times New Roman" w:cs="Times New Roman"/>
          <w:b/>
          <w:sz w:val="24"/>
          <w:szCs w:val="24"/>
        </w:rPr>
      </w:pPr>
      <w:r>
        <w:rPr>
          <w:rFonts w:ascii="Times New Roman" w:hAnsi="Times New Roman" w:cs="Times New Roman"/>
          <w:sz w:val="24"/>
          <w:szCs w:val="24"/>
        </w:rPr>
        <w:t>‘</w:t>
      </w:r>
      <w:r>
        <w:rPr>
          <w:rFonts w:ascii="Times New Roman" w:hAnsi="Times New Roman" w:cs="Times New Roman"/>
          <w:i/>
          <w:sz w:val="24"/>
          <w:szCs w:val="24"/>
        </w:rPr>
        <w:t xml:space="preserve">Osteopen is not a generic of Cartrophen in circumstances where the manufacturing processes for the active substance registrations in both products are not the same, as a result of </w:t>
      </w:r>
      <w:r w:rsidR="008E78A2">
        <w:rPr>
          <w:rFonts w:ascii="Times New Roman" w:hAnsi="Times New Roman" w:cs="Times New Roman"/>
          <w:i/>
          <w:sz w:val="24"/>
          <w:szCs w:val="24"/>
        </w:rPr>
        <w:t xml:space="preserve">which </w:t>
      </w:r>
      <w:r>
        <w:rPr>
          <w:rFonts w:ascii="Times New Roman" w:hAnsi="Times New Roman" w:cs="Times New Roman"/>
          <w:i/>
          <w:sz w:val="24"/>
          <w:szCs w:val="24"/>
        </w:rPr>
        <w:t>the biological activity of the substance registrations</w:t>
      </w:r>
      <w:r w:rsidR="008E78A2">
        <w:rPr>
          <w:rFonts w:ascii="Times New Roman" w:hAnsi="Times New Roman" w:cs="Times New Roman"/>
          <w:i/>
          <w:sz w:val="24"/>
          <w:szCs w:val="24"/>
        </w:rPr>
        <w:t xml:space="preserve"> varies widely, resulting in varying potency levels, depending on where they are manufactured.  The difference in the manufacturing process results in a product that may have similar chemical compounds, but has varying toxicity/potency levels, which are twice that of </w:t>
      </w:r>
      <w:r w:rsidR="00517E75">
        <w:rPr>
          <w:rFonts w:ascii="Times New Roman" w:hAnsi="Times New Roman" w:cs="Times New Roman"/>
          <w:i/>
          <w:sz w:val="24"/>
          <w:szCs w:val="24"/>
        </w:rPr>
        <w:t>Cartrophen</w:t>
      </w:r>
      <w:r w:rsidR="008E78A2">
        <w:rPr>
          <w:rFonts w:ascii="Times New Roman" w:hAnsi="Times New Roman" w:cs="Times New Roman"/>
          <w:i/>
          <w:sz w:val="24"/>
          <w:szCs w:val="24"/>
        </w:rPr>
        <w:t>.</w:t>
      </w:r>
      <w:r w:rsidR="00517E75">
        <w:rPr>
          <w:rFonts w:ascii="Times New Roman" w:hAnsi="Times New Roman" w:cs="Times New Roman"/>
          <w:i/>
          <w:sz w:val="24"/>
          <w:szCs w:val="24"/>
        </w:rPr>
        <w:t>’</w:t>
      </w:r>
    </w:p>
    <w:p w14:paraId="4CC24651" w14:textId="77777777" w:rsidR="00642961" w:rsidRPr="00642961" w:rsidRDefault="00642961" w:rsidP="00642961">
      <w:pPr>
        <w:pStyle w:val="ListParagraph"/>
        <w:rPr>
          <w:rFonts w:ascii="Times New Roman" w:hAnsi="Times New Roman" w:cs="Times New Roman"/>
          <w:sz w:val="24"/>
          <w:szCs w:val="24"/>
        </w:rPr>
      </w:pPr>
    </w:p>
    <w:p w14:paraId="3E90CA4A" w14:textId="0A02AE5B" w:rsidR="00A36A7D" w:rsidRPr="00A36A7D" w:rsidRDefault="008E78A2" w:rsidP="003E1C16">
      <w:pPr>
        <w:pStyle w:val="ListParagraph"/>
        <w:numPr>
          <w:ilvl w:val="0"/>
          <w:numId w:val="1"/>
        </w:numPr>
        <w:spacing w:before="240" w:line="480" w:lineRule="auto"/>
        <w:ind w:hanging="502"/>
        <w:jc w:val="both"/>
        <w:rPr>
          <w:rFonts w:ascii="Times New Roman" w:hAnsi="Times New Roman" w:cs="Times New Roman"/>
          <w:b/>
          <w:sz w:val="24"/>
          <w:szCs w:val="24"/>
        </w:rPr>
      </w:pPr>
      <w:r>
        <w:rPr>
          <w:rFonts w:ascii="Times New Roman" w:hAnsi="Times New Roman" w:cs="Times New Roman"/>
          <w:sz w:val="24"/>
          <w:szCs w:val="24"/>
        </w:rPr>
        <w:t xml:space="preserve">The essential </w:t>
      </w:r>
      <w:r w:rsidR="0009119A">
        <w:rPr>
          <w:rFonts w:ascii="Times New Roman" w:hAnsi="Times New Roman" w:cs="Times New Roman"/>
          <w:sz w:val="24"/>
          <w:szCs w:val="24"/>
        </w:rPr>
        <w:t xml:space="preserve">complaint here was </w:t>
      </w:r>
      <w:r>
        <w:rPr>
          <w:rFonts w:ascii="Times New Roman" w:hAnsi="Times New Roman" w:cs="Times New Roman"/>
          <w:sz w:val="24"/>
          <w:szCs w:val="24"/>
        </w:rPr>
        <w:t xml:space="preserve">known or capable of being known once Arthropharm learnt </w:t>
      </w:r>
      <w:r w:rsidR="00F36993">
        <w:rPr>
          <w:rFonts w:ascii="Times New Roman" w:hAnsi="Times New Roman" w:cs="Times New Roman"/>
          <w:sz w:val="24"/>
          <w:szCs w:val="24"/>
        </w:rPr>
        <w:t xml:space="preserve">of </w:t>
      </w:r>
      <w:r>
        <w:rPr>
          <w:rFonts w:ascii="Times New Roman" w:hAnsi="Times New Roman" w:cs="Times New Roman"/>
          <w:sz w:val="24"/>
          <w:szCs w:val="24"/>
        </w:rPr>
        <w:t xml:space="preserve">the grant of </w:t>
      </w:r>
      <w:r w:rsidR="006E7B0E">
        <w:rPr>
          <w:rFonts w:ascii="Times New Roman" w:hAnsi="Times New Roman" w:cs="Times New Roman"/>
          <w:sz w:val="24"/>
          <w:szCs w:val="24"/>
        </w:rPr>
        <w:t xml:space="preserve">the </w:t>
      </w:r>
      <w:r>
        <w:rPr>
          <w:rFonts w:ascii="Times New Roman" w:hAnsi="Times New Roman" w:cs="Times New Roman"/>
          <w:sz w:val="24"/>
          <w:szCs w:val="24"/>
        </w:rPr>
        <w:t xml:space="preserve">authorisation. </w:t>
      </w:r>
      <w:r w:rsidR="00AF1663">
        <w:rPr>
          <w:rFonts w:ascii="Times New Roman" w:hAnsi="Times New Roman" w:cs="Times New Roman"/>
          <w:sz w:val="24"/>
          <w:szCs w:val="24"/>
        </w:rPr>
        <w:t xml:space="preserve"> </w:t>
      </w:r>
      <w:r w:rsidR="00A36A7D">
        <w:rPr>
          <w:rFonts w:ascii="Times New Roman" w:hAnsi="Times New Roman" w:cs="Times New Roman"/>
          <w:sz w:val="24"/>
          <w:szCs w:val="24"/>
        </w:rPr>
        <w:t xml:space="preserve">The </w:t>
      </w:r>
      <w:r w:rsidR="00C52D68">
        <w:rPr>
          <w:rFonts w:ascii="Times New Roman" w:hAnsi="Times New Roman" w:cs="Times New Roman"/>
          <w:sz w:val="24"/>
          <w:szCs w:val="24"/>
        </w:rPr>
        <w:t>product assessment report</w:t>
      </w:r>
      <w:r w:rsidR="00A36A7D">
        <w:rPr>
          <w:rFonts w:ascii="Times New Roman" w:hAnsi="Times New Roman" w:cs="Times New Roman"/>
          <w:sz w:val="24"/>
          <w:szCs w:val="24"/>
        </w:rPr>
        <w:t xml:space="preserve"> published by HPRA on its website on </w:t>
      </w:r>
      <w:r w:rsidR="006B0BC7">
        <w:rPr>
          <w:rFonts w:ascii="Times New Roman" w:hAnsi="Times New Roman" w:cs="Times New Roman"/>
          <w:sz w:val="24"/>
          <w:szCs w:val="24"/>
        </w:rPr>
        <w:t xml:space="preserve">23 </w:t>
      </w:r>
      <w:r w:rsidR="00A36A7D">
        <w:rPr>
          <w:rFonts w:ascii="Times New Roman" w:hAnsi="Times New Roman" w:cs="Times New Roman"/>
          <w:sz w:val="24"/>
          <w:szCs w:val="24"/>
        </w:rPr>
        <w:t>July 2</w:t>
      </w:r>
      <w:r w:rsidR="006B0BC7">
        <w:rPr>
          <w:rFonts w:ascii="Times New Roman" w:hAnsi="Times New Roman" w:cs="Times New Roman"/>
          <w:sz w:val="24"/>
          <w:szCs w:val="24"/>
        </w:rPr>
        <w:t>018</w:t>
      </w:r>
      <w:r w:rsidR="00A36A7D">
        <w:rPr>
          <w:rFonts w:ascii="Times New Roman" w:hAnsi="Times New Roman" w:cs="Times New Roman"/>
          <w:sz w:val="24"/>
          <w:szCs w:val="24"/>
        </w:rPr>
        <w:t xml:space="preserve"> disclosed that HPRA had assessed the application under Article 13(1) of the 2001 Directive and Regulation 6 of the 2007 Regulations, that it had decided that Ost</w:t>
      </w:r>
      <w:r w:rsidR="003C0F35">
        <w:rPr>
          <w:rFonts w:ascii="Times New Roman" w:hAnsi="Times New Roman" w:cs="Times New Roman"/>
          <w:sz w:val="24"/>
          <w:szCs w:val="24"/>
        </w:rPr>
        <w:t>e</w:t>
      </w:r>
      <w:r w:rsidR="00A36A7D">
        <w:rPr>
          <w:rFonts w:ascii="Times New Roman" w:hAnsi="Times New Roman" w:cs="Times New Roman"/>
          <w:sz w:val="24"/>
          <w:szCs w:val="24"/>
        </w:rPr>
        <w:t xml:space="preserve">open and </w:t>
      </w:r>
      <w:r w:rsidR="006B0BC7">
        <w:rPr>
          <w:rFonts w:ascii="Times New Roman" w:hAnsi="Times New Roman" w:cs="Times New Roman"/>
          <w:sz w:val="24"/>
          <w:szCs w:val="24"/>
        </w:rPr>
        <w:t>Ca</w:t>
      </w:r>
      <w:r w:rsidR="00A36A7D">
        <w:rPr>
          <w:rFonts w:ascii="Times New Roman" w:hAnsi="Times New Roman" w:cs="Times New Roman"/>
          <w:sz w:val="24"/>
          <w:szCs w:val="24"/>
        </w:rPr>
        <w:t>rtrophen were essentially similar within the meaning of Article 13(1), that it had accepted the omission of the in-vivo bioequivalence data based on the essential similarity between the reference and generic products, that specified tests had not been required as the application was under Article 13(1) and bioequivalence was accepted and that due to the essential similarity of the formulations of the generic and reference products, no difference in terms of safety was anticipated.</w:t>
      </w:r>
    </w:p>
    <w:p w14:paraId="1D879025" w14:textId="77777777" w:rsidR="00A36A7D" w:rsidRPr="00A36A7D" w:rsidRDefault="00A36A7D" w:rsidP="00A36A7D">
      <w:pPr>
        <w:pStyle w:val="ListParagraph"/>
        <w:spacing w:before="240" w:line="480" w:lineRule="auto"/>
        <w:ind w:left="786"/>
        <w:jc w:val="both"/>
        <w:rPr>
          <w:rFonts w:ascii="Times New Roman" w:hAnsi="Times New Roman" w:cs="Times New Roman"/>
          <w:b/>
          <w:sz w:val="24"/>
          <w:szCs w:val="24"/>
        </w:rPr>
      </w:pPr>
      <w:r>
        <w:rPr>
          <w:rFonts w:ascii="Times New Roman" w:hAnsi="Times New Roman" w:cs="Times New Roman"/>
          <w:sz w:val="24"/>
          <w:szCs w:val="24"/>
        </w:rPr>
        <w:t xml:space="preserve">  </w:t>
      </w:r>
    </w:p>
    <w:p w14:paraId="54106665" w14:textId="52E88007" w:rsidR="005A091D" w:rsidRPr="005A091D" w:rsidRDefault="00AF1663" w:rsidP="003E1C16">
      <w:pPr>
        <w:pStyle w:val="ListParagraph"/>
        <w:numPr>
          <w:ilvl w:val="0"/>
          <w:numId w:val="1"/>
        </w:numPr>
        <w:spacing w:before="240" w:line="480" w:lineRule="auto"/>
        <w:ind w:hanging="502"/>
        <w:jc w:val="both"/>
        <w:rPr>
          <w:rFonts w:ascii="Times New Roman" w:hAnsi="Times New Roman" w:cs="Times New Roman"/>
          <w:b/>
          <w:sz w:val="24"/>
          <w:szCs w:val="24"/>
        </w:rPr>
      </w:pPr>
      <w:r>
        <w:rPr>
          <w:rFonts w:ascii="Times New Roman" w:hAnsi="Times New Roman" w:cs="Times New Roman"/>
          <w:sz w:val="24"/>
          <w:szCs w:val="24"/>
        </w:rPr>
        <w:t xml:space="preserve">Shortly after </w:t>
      </w:r>
      <w:r w:rsidR="00A36A7D">
        <w:rPr>
          <w:rFonts w:ascii="Times New Roman" w:hAnsi="Times New Roman" w:cs="Times New Roman"/>
          <w:sz w:val="24"/>
          <w:szCs w:val="24"/>
        </w:rPr>
        <w:t>learning of the decision</w:t>
      </w:r>
      <w:r w:rsidR="00785FE2">
        <w:rPr>
          <w:rFonts w:ascii="Times New Roman" w:hAnsi="Times New Roman" w:cs="Times New Roman"/>
          <w:sz w:val="24"/>
          <w:szCs w:val="24"/>
        </w:rPr>
        <w:t xml:space="preserve">, </w:t>
      </w:r>
      <w:r w:rsidR="00C420AA">
        <w:rPr>
          <w:rFonts w:ascii="Times New Roman" w:hAnsi="Times New Roman" w:cs="Times New Roman"/>
          <w:sz w:val="24"/>
          <w:szCs w:val="24"/>
        </w:rPr>
        <w:t xml:space="preserve">Arthropharm </w:t>
      </w:r>
      <w:r w:rsidR="00F36993">
        <w:rPr>
          <w:rFonts w:ascii="Times New Roman" w:hAnsi="Times New Roman" w:cs="Times New Roman"/>
          <w:sz w:val="24"/>
          <w:szCs w:val="24"/>
        </w:rPr>
        <w:t xml:space="preserve">could have ascertained </w:t>
      </w:r>
      <w:r w:rsidR="00785FE2">
        <w:rPr>
          <w:rFonts w:ascii="Times New Roman" w:hAnsi="Times New Roman" w:cs="Times New Roman"/>
          <w:sz w:val="24"/>
          <w:szCs w:val="24"/>
        </w:rPr>
        <w:t xml:space="preserve">that the PPS used by Chanelle was produced in a different factory and </w:t>
      </w:r>
      <w:r w:rsidR="00C420AA">
        <w:rPr>
          <w:rFonts w:ascii="Times New Roman" w:hAnsi="Times New Roman" w:cs="Times New Roman"/>
          <w:sz w:val="24"/>
          <w:szCs w:val="24"/>
        </w:rPr>
        <w:t xml:space="preserve">thus </w:t>
      </w:r>
      <w:r w:rsidR="00785FE2">
        <w:rPr>
          <w:rFonts w:ascii="Times New Roman" w:hAnsi="Times New Roman" w:cs="Times New Roman"/>
          <w:sz w:val="24"/>
          <w:szCs w:val="24"/>
        </w:rPr>
        <w:t>by a different process than that used in the reference product</w:t>
      </w:r>
      <w:r w:rsidR="00F36993">
        <w:rPr>
          <w:rFonts w:ascii="Times New Roman" w:hAnsi="Times New Roman" w:cs="Times New Roman"/>
          <w:sz w:val="24"/>
          <w:szCs w:val="24"/>
        </w:rPr>
        <w:t xml:space="preserve">.  It </w:t>
      </w:r>
      <w:r w:rsidR="00785FE2">
        <w:rPr>
          <w:rFonts w:ascii="Times New Roman" w:hAnsi="Times New Roman" w:cs="Times New Roman"/>
          <w:sz w:val="24"/>
          <w:szCs w:val="24"/>
        </w:rPr>
        <w:t xml:space="preserve">made </w:t>
      </w:r>
      <w:r w:rsidR="00F36993">
        <w:rPr>
          <w:rFonts w:ascii="Times New Roman" w:hAnsi="Times New Roman" w:cs="Times New Roman"/>
          <w:sz w:val="24"/>
          <w:szCs w:val="24"/>
        </w:rPr>
        <w:t xml:space="preserve">it </w:t>
      </w:r>
      <w:r w:rsidR="00785FE2">
        <w:rPr>
          <w:rFonts w:ascii="Times New Roman" w:hAnsi="Times New Roman" w:cs="Times New Roman"/>
          <w:sz w:val="24"/>
          <w:szCs w:val="24"/>
        </w:rPr>
        <w:t xml:space="preserve">clear in its letter </w:t>
      </w:r>
      <w:r w:rsidR="00F36993">
        <w:rPr>
          <w:rFonts w:ascii="Times New Roman" w:hAnsi="Times New Roman" w:cs="Times New Roman"/>
          <w:sz w:val="24"/>
          <w:szCs w:val="24"/>
        </w:rPr>
        <w:t xml:space="preserve">of </w:t>
      </w:r>
      <w:r w:rsidR="00232ADF">
        <w:rPr>
          <w:rFonts w:ascii="Times New Roman" w:hAnsi="Times New Roman" w:cs="Times New Roman"/>
          <w:sz w:val="24"/>
          <w:szCs w:val="24"/>
        </w:rPr>
        <w:t xml:space="preserve">12 </w:t>
      </w:r>
      <w:r w:rsidR="00F36993">
        <w:rPr>
          <w:rFonts w:ascii="Times New Roman" w:hAnsi="Times New Roman" w:cs="Times New Roman"/>
          <w:sz w:val="24"/>
          <w:szCs w:val="24"/>
        </w:rPr>
        <w:t xml:space="preserve">October </w:t>
      </w:r>
      <w:r w:rsidR="006B0BC7">
        <w:rPr>
          <w:rFonts w:ascii="Times New Roman" w:hAnsi="Times New Roman" w:cs="Times New Roman"/>
          <w:sz w:val="24"/>
          <w:szCs w:val="24"/>
        </w:rPr>
        <w:t xml:space="preserve">2018 </w:t>
      </w:r>
      <w:r w:rsidR="00785FE2">
        <w:rPr>
          <w:rFonts w:ascii="Times New Roman" w:hAnsi="Times New Roman" w:cs="Times New Roman"/>
          <w:sz w:val="24"/>
          <w:szCs w:val="24"/>
        </w:rPr>
        <w:lastRenderedPageBreak/>
        <w:t>that it was conscious by</w:t>
      </w:r>
      <w:r w:rsidR="00C03F0C">
        <w:rPr>
          <w:rFonts w:ascii="Times New Roman" w:hAnsi="Times New Roman" w:cs="Times New Roman"/>
          <w:sz w:val="24"/>
          <w:szCs w:val="24"/>
        </w:rPr>
        <w:t xml:space="preserve"> </w:t>
      </w:r>
      <w:r w:rsidR="00785FE2">
        <w:rPr>
          <w:rFonts w:ascii="Times New Roman" w:hAnsi="Times New Roman" w:cs="Times New Roman"/>
          <w:sz w:val="24"/>
          <w:szCs w:val="24"/>
        </w:rPr>
        <w:t>then that not all PPS</w:t>
      </w:r>
      <w:r w:rsidR="000F2DCA">
        <w:rPr>
          <w:rFonts w:ascii="Times New Roman" w:hAnsi="Times New Roman" w:cs="Times New Roman"/>
          <w:sz w:val="24"/>
          <w:szCs w:val="24"/>
        </w:rPr>
        <w:t xml:space="preserve"> batches</w:t>
      </w:r>
      <w:r w:rsidR="00785FE2">
        <w:rPr>
          <w:rFonts w:ascii="Times New Roman" w:hAnsi="Times New Roman" w:cs="Times New Roman"/>
          <w:sz w:val="24"/>
          <w:szCs w:val="24"/>
        </w:rPr>
        <w:t xml:space="preserve"> were the same, stating in that correspondence that PPS </w:t>
      </w:r>
      <w:r w:rsidR="00554393">
        <w:rPr>
          <w:rFonts w:ascii="Times New Roman" w:hAnsi="Times New Roman" w:cs="Times New Roman"/>
          <w:sz w:val="24"/>
          <w:szCs w:val="24"/>
        </w:rPr>
        <w:t xml:space="preserve">produced by </w:t>
      </w:r>
      <w:r w:rsidR="00785FE2">
        <w:rPr>
          <w:rFonts w:ascii="Times New Roman" w:hAnsi="Times New Roman" w:cs="Times New Roman"/>
          <w:sz w:val="24"/>
          <w:szCs w:val="24"/>
        </w:rPr>
        <w:t>different manufacturing facilities were demonstrably not structurally identical and hence that every batch may have different biological properties.</w:t>
      </w:r>
      <w:r w:rsidR="008D6F82">
        <w:rPr>
          <w:rFonts w:ascii="Times New Roman" w:hAnsi="Times New Roman" w:cs="Times New Roman"/>
          <w:sz w:val="24"/>
          <w:szCs w:val="24"/>
        </w:rPr>
        <w:t xml:space="preserve"> </w:t>
      </w:r>
      <w:r w:rsidR="0009119A">
        <w:rPr>
          <w:rFonts w:ascii="Times New Roman" w:hAnsi="Times New Roman" w:cs="Times New Roman"/>
          <w:sz w:val="24"/>
          <w:szCs w:val="24"/>
        </w:rPr>
        <w:t>This is a key feature of the claim made in the proceedings</w:t>
      </w:r>
      <w:r w:rsidR="00EF7586">
        <w:rPr>
          <w:rFonts w:ascii="Times New Roman" w:hAnsi="Times New Roman" w:cs="Times New Roman"/>
          <w:sz w:val="24"/>
          <w:szCs w:val="24"/>
        </w:rPr>
        <w:t>.</w:t>
      </w:r>
      <w:r w:rsidR="00397D68">
        <w:rPr>
          <w:rFonts w:ascii="Times New Roman" w:hAnsi="Times New Roman" w:cs="Times New Roman"/>
          <w:sz w:val="24"/>
          <w:szCs w:val="24"/>
        </w:rPr>
        <w:t xml:space="preserve"> For the same reason, Arthropharm was in a position to contend that the product was a biological veterinary product and thus subject to the requirements of Article 13(4) of the Directive.  </w:t>
      </w:r>
    </w:p>
    <w:p w14:paraId="143509C9" w14:textId="77777777" w:rsidR="005A091D" w:rsidRPr="005A091D" w:rsidRDefault="005A091D" w:rsidP="003E1C16">
      <w:pPr>
        <w:pStyle w:val="ListParagraph"/>
        <w:spacing w:before="240" w:line="480" w:lineRule="auto"/>
        <w:ind w:left="786" w:hanging="502"/>
        <w:jc w:val="both"/>
        <w:rPr>
          <w:rFonts w:ascii="Times New Roman" w:hAnsi="Times New Roman" w:cs="Times New Roman"/>
          <w:b/>
          <w:sz w:val="24"/>
          <w:szCs w:val="24"/>
        </w:rPr>
      </w:pPr>
      <w:r>
        <w:rPr>
          <w:rFonts w:ascii="Times New Roman" w:hAnsi="Times New Roman" w:cs="Times New Roman"/>
          <w:sz w:val="24"/>
          <w:szCs w:val="24"/>
        </w:rPr>
        <w:t xml:space="preserve">  </w:t>
      </w:r>
    </w:p>
    <w:p w14:paraId="51C5165F" w14:textId="23E79A2C" w:rsidR="0097714B" w:rsidRPr="00BA4B9E" w:rsidRDefault="009B784D" w:rsidP="00BA4B9E">
      <w:pPr>
        <w:pStyle w:val="ListParagraph"/>
        <w:numPr>
          <w:ilvl w:val="0"/>
          <w:numId w:val="1"/>
        </w:numPr>
        <w:spacing w:before="240" w:line="480" w:lineRule="auto"/>
        <w:ind w:hanging="502"/>
        <w:jc w:val="both"/>
        <w:rPr>
          <w:rFonts w:ascii="Times New Roman" w:hAnsi="Times New Roman" w:cs="Times New Roman"/>
          <w:b/>
          <w:sz w:val="24"/>
          <w:szCs w:val="24"/>
        </w:rPr>
      </w:pPr>
      <w:r>
        <w:rPr>
          <w:rFonts w:ascii="Times New Roman" w:hAnsi="Times New Roman" w:cs="Times New Roman"/>
          <w:sz w:val="24"/>
          <w:szCs w:val="24"/>
        </w:rPr>
        <w:t xml:space="preserve">In </w:t>
      </w:r>
      <w:r w:rsidR="00F36993">
        <w:rPr>
          <w:rFonts w:ascii="Times New Roman" w:hAnsi="Times New Roman" w:cs="Times New Roman"/>
          <w:sz w:val="24"/>
          <w:szCs w:val="24"/>
        </w:rPr>
        <w:t xml:space="preserve">his grounding affidavit </w:t>
      </w:r>
      <w:r w:rsidR="00517E75">
        <w:rPr>
          <w:rFonts w:ascii="Times New Roman" w:hAnsi="Times New Roman" w:cs="Times New Roman"/>
          <w:sz w:val="24"/>
          <w:szCs w:val="24"/>
        </w:rPr>
        <w:t>Dr</w:t>
      </w:r>
      <w:r w:rsidR="00F36993">
        <w:rPr>
          <w:rFonts w:ascii="Times New Roman" w:hAnsi="Times New Roman" w:cs="Times New Roman"/>
          <w:sz w:val="24"/>
          <w:szCs w:val="24"/>
        </w:rPr>
        <w:t>. Cullis-</w:t>
      </w:r>
      <w:r w:rsidR="000F7FA4">
        <w:rPr>
          <w:rFonts w:ascii="Times New Roman" w:hAnsi="Times New Roman" w:cs="Times New Roman"/>
          <w:sz w:val="24"/>
          <w:szCs w:val="24"/>
        </w:rPr>
        <w:t>Hill</w:t>
      </w:r>
      <w:r w:rsidR="005E7152">
        <w:rPr>
          <w:rFonts w:ascii="Times New Roman" w:hAnsi="Times New Roman" w:cs="Times New Roman"/>
          <w:sz w:val="24"/>
          <w:szCs w:val="24"/>
        </w:rPr>
        <w:t>,</w:t>
      </w:r>
      <w:r w:rsidR="00F36993">
        <w:rPr>
          <w:rFonts w:ascii="Times New Roman" w:hAnsi="Times New Roman" w:cs="Times New Roman"/>
          <w:sz w:val="24"/>
          <w:szCs w:val="24"/>
        </w:rPr>
        <w:t xml:space="preserve"> I think tellingly, described the tests conducted on the sam</w:t>
      </w:r>
      <w:r>
        <w:rPr>
          <w:rFonts w:ascii="Times New Roman" w:hAnsi="Times New Roman" w:cs="Times New Roman"/>
          <w:sz w:val="24"/>
          <w:szCs w:val="24"/>
        </w:rPr>
        <w:t>ple</w:t>
      </w:r>
      <w:r w:rsidR="00F36993">
        <w:rPr>
          <w:rFonts w:ascii="Times New Roman" w:hAnsi="Times New Roman" w:cs="Times New Roman"/>
          <w:sz w:val="24"/>
          <w:szCs w:val="24"/>
        </w:rPr>
        <w:t xml:space="preserve"> as </w:t>
      </w:r>
      <w:r w:rsidR="00F36993" w:rsidRPr="00F36993">
        <w:rPr>
          <w:rFonts w:ascii="Times New Roman" w:hAnsi="Times New Roman" w:cs="Times New Roman"/>
          <w:b/>
          <w:i/>
          <w:sz w:val="24"/>
          <w:szCs w:val="24"/>
        </w:rPr>
        <w:t>confirming</w:t>
      </w:r>
      <w:r w:rsidR="00F36993">
        <w:rPr>
          <w:rFonts w:ascii="Times New Roman" w:hAnsi="Times New Roman" w:cs="Times New Roman"/>
          <w:sz w:val="24"/>
          <w:szCs w:val="24"/>
        </w:rPr>
        <w:t xml:space="preserve"> that there were major structural differences between the two products. </w:t>
      </w:r>
      <w:r w:rsidR="00671803">
        <w:rPr>
          <w:rFonts w:ascii="Times New Roman" w:hAnsi="Times New Roman" w:cs="Times New Roman"/>
          <w:sz w:val="24"/>
          <w:szCs w:val="24"/>
        </w:rPr>
        <w:t xml:space="preserve">That was a correct characterisation of what the tests revealed, because it was the claim that </w:t>
      </w:r>
      <w:r w:rsidR="00BA4B9E">
        <w:rPr>
          <w:rFonts w:ascii="Times New Roman" w:hAnsi="Times New Roman" w:cs="Times New Roman"/>
          <w:sz w:val="24"/>
          <w:szCs w:val="24"/>
        </w:rPr>
        <w:t xml:space="preserve">there were those precise differences that subtended the demand in his letter of </w:t>
      </w:r>
      <w:r w:rsidR="006B0BC7">
        <w:rPr>
          <w:rFonts w:ascii="Times New Roman" w:hAnsi="Times New Roman" w:cs="Times New Roman"/>
          <w:sz w:val="24"/>
          <w:szCs w:val="24"/>
        </w:rPr>
        <w:t xml:space="preserve">12 </w:t>
      </w:r>
      <w:r w:rsidR="00BA4B9E">
        <w:rPr>
          <w:rFonts w:ascii="Times New Roman" w:hAnsi="Times New Roman" w:cs="Times New Roman"/>
          <w:sz w:val="24"/>
          <w:szCs w:val="24"/>
        </w:rPr>
        <w:t xml:space="preserve">October </w:t>
      </w:r>
      <w:r w:rsidR="006B0BC7">
        <w:rPr>
          <w:rFonts w:ascii="Times New Roman" w:hAnsi="Times New Roman" w:cs="Times New Roman"/>
          <w:sz w:val="24"/>
          <w:szCs w:val="24"/>
        </w:rPr>
        <w:t>2018</w:t>
      </w:r>
      <w:r w:rsidR="00BA4B9E">
        <w:rPr>
          <w:rFonts w:ascii="Times New Roman" w:hAnsi="Times New Roman" w:cs="Times New Roman"/>
          <w:sz w:val="24"/>
          <w:szCs w:val="24"/>
        </w:rPr>
        <w:t xml:space="preserve"> that the approval of Osteopen be suspended. </w:t>
      </w:r>
      <w:r w:rsidR="00F36993">
        <w:rPr>
          <w:rFonts w:ascii="Times New Roman" w:hAnsi="Times New Roman" w:cs="Times New Roman"/>
          <w:sz w:val="24"/>
          <w:szCs w:val="24"/>
        </w:rPr>
        <w:t xml:space="preserve"> </w:t>
      </w:r>
      <w:r w:rsidR="00373BC7">
        <w:rPr>
          <w:rFonts w:ascii="Times New Roman" w:hAnsi="Times New Roman" w:cs="Times New Roman"/>
          <w:sz w:val="24"/>
          <w:szCs w:val="24"/>
        </w:rPr>
        <w:t xml:space="preserve">This </w:t>
      </w:r>
      <w:r w:rsidR="00BA4B9E">
        <w:rPr>
          <w:rFonts w:ascii="Times New Roman" w:hAnsi="Times New Roman" w:cs="Times New Roman"/>
          <w:sz w:val="24"/>
          <w:szCs w:val="24"/>
        </w:rPr>
        <w:t xml:space="preserve">description of the effect of the tests </w:t>
      </w:r>
      <w:r w:rsidR="00373BC7">
        <w:rPr>
          <w:rFonts w:ascii="Times New Roman" w:hAnsi="Times New Roman" w:cs="Times New Roman"/>
          <w:sz w:val="24"/>
          <w:szCs w:val="24"/>
        </w:rPr>
        <w:t>was repeated in the Amended Statement of Grounds (</w:t>
      </w:r>
      <w:r w:rsidR="00C52D68">
        <w:rPr>
          <w:rFonts w:ascii="Times New Roman" w:hAnsi="Times New Roman" w:cs="Times New Roman"/>
          <w:sz w:val="24"/>
          <w:szCs w:val="24"/>
        </w:rPr>
        <w:t xml:space="preserve">at </w:t>
      </w:r>
      <w:r w:rsidR="00373BC7">
        <w:rPr>
          <w:rFonts w:ascii="Times New Roman" w:hAnsi="Times New Roman" w:cs="Times New Roman"/>
          <w:sz w:val="24"/>
          <w:szCs w:val="24"/>
        </w:rPr>
        <w:t xml:space="preserve">para. 15).  </w:t>
      </w:r>
      <w:r w:rsidR="00F36993">
        <w:rPr>
          <w:rFonts w:ascii="Times New Roman" w:hAnsi="Times New Roman" w:cs="Times New Roman"/>
          <w:sz w:val="24"/>
          <w:szCs w:val="24"/>
        </w:rPr>
        <w:t>To that extent and in these circumstances</w:t>
      </w:r>
      <w:r w:rsidR="006D1FCA">
        <w:rPr>
          <w:rFonts w:ascii="Times New Roman" w:hAnsi="Times New Roman" w:cs="Times New Roman"/>
          <w:sz w:val="24"/>
          <w:szCs w:val="24"/>
        </w:rPr>
        <w:t>,</w:t>
      </w:r>
      <w:r w:rsidR="00F36993">
        <w:rPr>
          <w:rFonts w:ascii="Times New Roman" w:hAnsi="Times New Roman" w:cs="Times New Roman"/>
          <w:sz w:val="24"/>
          <w:szCs w:val="24"/>
        </w:rPr>
        <w:t xml:space="preserve"> I believe that the trial judge was </w:t>
      </w:r>
      <w:r w:rsidR="006D1FCA">
        <w:rPr>
          <w:rFonts w:ascii="Times New Roman" w:hAnsi="Times New Roman" w:cs="Times New Roman"/>
          <w:sz w:val="24"/>
          <w:szCs w:val="24"/>
        </w:rPr>
        <w:t xml:space="preserve">quite </w:t>
      </w:r>
      <w:r w:rsidR="00F36993">
        <w:rPr>
          <w:rFonts w:ascii="Times New Roman" w:hAnsi="Times New Roman" w:cs="Times New Roman"/>
          <w:sz w:val="24"/>
          <w:szCs w:val="24"/>
        </w:rPr>
        <w:t xml:space="preserve">correct in concluding that the appropriate course of action for Arthropharm to have adopted was to proceed with the claim it could formulate and to seek leave to obtain judicial review on the basis of the facts it did know within the prescribed period.  It was entirely possible for it to flag the fact that it was awaiting the obtaining of a sample in order to confirm the essential claim it </w:t>
      </w:r>
      <w:r w:rsidR="006D1FCA">
        <w:rPr>
          <w:rFonts w:ascii="Times New Roman" w:hAnsi="Times New Roman" w:cs="Times New Roman"/>
          <w:sz w:val="24"/>
          <w:szCs w:val="24"/>
        </w:rPr>
        <w:t xml:space="preserve">believed </w:t>
      </w:r>
      <w:r w:rsidR="00F36993">
        <w:rPr>
          <w:rFonts w:ascii="Times New Roman" w:hAnsi="Times New Roman" w:cs="Times New Roman"/>
          <w:sz w:val="24"/>
          <w:szCs w:val="24"/>
        </w:rPr>
        <w:t>that it enjoyed.  O</w:t>
      </w:r>
      <w:r w:rsidR="0097714B" w:rsidRPr="00F36993">
        <w:rPr>
          <w:rFonts w:ascii="Times New Roman" w:hAnsi="Times New Roman" w:cs="Times New Roman"/>
          <w:sz w:val="24"/>
          <w:szCs w:val="24"/>
        </w:rPr>
        <w:t>btaining</w:t>
      </w:r>
      <w:r w:rsidR="008D6F82" w:rsidRPr="00F36993">
        <w:rPr>
          <w:rFonts w:ascii="Times New Roman" w:hAnsi="Times New Roman" w:cs="Times New Roman"/>
          <w:sz w:val="24"/>
          <w:szCs w:val="24"/>
        </w:rPr>
        <w:t xml:space="preserve"> th</w:t>
      </w:r>
      <w:r w:rsidR="00F36993">
        <w:rPr>
          <w:rFonts w:ascii="Times New Roman" w:hAnsi="Times New Roman" w:cs="Times New Roman"/>
          <w:sz w:val="24"/>
          <w:szCs w:val="24"/>
        </w:rPr>
        <w:t>e</w:t>
      </w:r>
      <w:r w:rsidR="008D6F82" w:rsidRPr="00F36993">
        <w:rPr>
          <w:rFonts w:ascii="Times New Roman" w:hAnsi="Times New Roman" w:cs="Times New Roman"/>
          <w:sz w:val="24"/>
          <w:szCs w:val="24"/>
        </w:rPr>
        <w:t xml:space="preserve"> data that would prove what </w:t>
      </w:r>
      <w:r w:rsidR="0090093E">
        <w:rPr>
          <w:rFonts w:ascii="Times New Roman" w:hAnsi="Times New Roman" w:cs="Times New Roman"/>
          <w:sz w:val="24"/>
          <w:szCs w:val="24"/>
        </w:rPr>
        <w:t xml:space="preserve">was </w:t>
      </w:r>
      <w:r w:rsidR="008D6F82" w:rsidRPr="00F36993">
        <w:rPr>
          <w:rFonts w:ascii="Times New Roman" w:hAnsi="Times New Roman" w:cs="Times New Roman"/>
          <w:sz w:val="24"/>
          <w:szCs w:val="24"/>
        </w:rPr>
        <w:t xml:space="preserve">described </w:t>
      </w:r>
      <w:r w:rsidR="0090093E">
        <w:rPr>
          <w:rFonts w:ascii="Times New Roman" w:hAnsi="Times New Roman" w:cs="Times New Roman"/>
          <w:sz w:val="24"/>
          <w:szCs w:val="24"/>
        </w:rPr>
        <w:t xml:space="preserve">in submissions </w:t>
      </w:r>
      <w:r w:rsidR="008D6F82" w:rsidRPr="00F36993">
        <w:rPr>
          <w:rFonts w:ascii="Times New Roman" w:hAnsi="Times New Roman" w:cs="Times New Roman"/>
          <w:sz w:val="24"/>
          <w:szCs w:val="24"/>
        </w:rPr>
        <w:t>as proof that ‘</w:t>
      </w:r>
      <w:r w:rsidR="008D6F82" w:rsidRPr="00F36993">
        <w:rPr>
          <w:rFonts w:ascii="Times New Roman" w:hAnsi="Times New Roman" w:cs="Times New Roman"/>
          <w:i/>
          <w:sz w:val="24"/>
          <w:szCs w:val="24"/>
        </w:rPr>
        <w:t>scientifically … beyond peradventure these are not the same’</w:t>
      </w:r>
      <w:r w:rsidR="008F3A51">
        <w:rPr>
          <w:rFonts w:ascii="Times New Roman" w:hAnsi="Times New Roman" w:cs="Times New Roman"/>
          <w:i/>
          <w:sz w:val="24"/>
          <w:szCs w:val="24"/>
        </w:rPr>
        <w:t>,</w:t>
      </w:r>
      <w:r w:rsidR="008D6F82" w:rsidRPr="00F36993">
        <w:rPr>
          <w:rFonts w:ascii="Times New Roman" w:hAnsi="Times New Roman" w:cs="Times New Roman"/>
          <w:i/>
          <w:sz w:val="24"/>
          <w:szCs w:val="24"/>
        </w:rPr>
        <w:t xml:space="preserve"> </w:t>
      </w:r>
      <w:r w:rsidR="008D6F82" w:rsidRPr="00F36993">
        <w:rPr>
          <w:rFonts w:ascii="Times New Roman" w:hAnsi="Times New Roman" w:cs="Times New Roman"/>
          <w:sz w:val="24"/>
          <w:szCs w:val="24"/>
        </w:rPr>
        <w:t xml:space="preserve">was a counsel of perfection </w:t>
      </w:r>
      <w:r w:rsidR="00BA4B9E">
        <w:rPr>
          <w:rFonts w:ascii="Times New Roman" w:hAnsi="Times New Roman" w:cs="Times New Roman"/>
          <w:sz w:val="24"/>
          <w:szCs w:val="24"/>
        </w:rPr>
        <w:t xml:space="preserve">that may well have been required at the final hearing of the case, but was not </w:t>
      </w:r>
      <w:r w:rsidR="0097714B" w:rsidRPr="00F36993">
        <w:rPr>
          <w:rFonts w:ascii="Times New Roman" w:hAnsi="Times New Roman" w:cs="Times New Roman"/>
          <w:sz w:val="24"/>
          <w:szCs w:val="24"/>
        </w:rPr>
        <w:t xml:space="preserve">evidence </w:t>
      </w:r>
      <w:r w:rsidR="008F3A51">
        <w:rPr>
          <w:rFonts w:ascii="Times New Roman" w:hAnsi="Times New Roman" w:cs="Times New Roman"/>
          <w:sz w:val="24"/>
          <w:szCs w:val="24"/>
        </w:rPr>
        <w:t xml:space="preserve">needed </w:t>
      </w:r>
      <w:r w:rsidR="008D6F82" w:rsidRPr="00BA4B9E">
        <w:rPr>
          <w:rFonts w:ascii="Times New Roman" w:hAnsi="Times New Roman" w:cs="Times New Roman"/>
          <w:sz w:val="24"/>
          <w:szCs w:val="24"/>
        </w:rPr>
        <w:t>to meet the low threshold fixed for obtaining leave to seek judicial review</w:t>
      </w:r>
      <w:r w:rsidR="00FD770F">
        <w:rPr>
          <w:rFonts w:ascii="Times New Roman" w:hAnsi="Times New Roman" w:cs="Times New Roman"/>
          <w:sz w:val="24"/>
          <w:szCs w:val="24"/>
        </w:rPr>
        <w:t xml:space="preserve">.  At the leave stage, it is to be remembered, the court’s concern with the </w:t>
      </w:r>
      <w:r w:rsidR="00FD770F">
        <w:rPr>
          <w:rFonts w:ascii="Times New Roman" w:hAnsi="Times New Roman" w:cs="Times New Roman"/>
          <w:sz w:val="24"/>
          <w:szCs w:val="24"/>
        </w:rPr>
        <w:lastRenderedPageBreak/>
        <w:t>evidence is limited to satisfying itself that the facts averred to, if proved, would be sufficient to support a stateable ground for the form of relief sought by way of judicial review and that on those facts an arguable case in law can be made that the applicant is entitled to the relief which he seeks (</w:t>
      </w:r>
      <w:r w:rsidR="00FD770F">
        <w:rPr>
          <w:rFonts w:ascii="Times New Roman" w:hAnsi="Times New Roman" w:cs="Times New Roman"/>
          <w:i/>
          <w:sz w:val="24"/>
          <w:szCs w:val="24"/>
        </w:rPr>
        <w:t xml:space="preserve">G. v. Director of Public Prosecutions </w:t>
      </w:r>
      <w:r w:rsidR="00FD770F">
        <w:rPr>
          <w:rFonts w:ascii="Times New Roman" w:hAnsi="Times New Roman" w:cs="Times New Roman"/>
          <w:sz w:val="24"/>
          <w:szCs w:val="24"/>
        </w:rPr>
        <w:t xml:space="preserve">[1994] 1 IR 374 at </w:t>
      </w:r>
      <w:r w:rsidR="00C52D68">
        <w:rPr>
          <w:rFonts w:ascii="Times New Roman" w:hAnsi="Times New Roman" w:cs="Times New Roman"/>
          <w:sz w:val="24"/>
          <w:szCs w:val="24"/>
        </w:rPr>
        <w:t xml:space="preserve">p. </w:t>
      </w:r>
      <w:r w:rsidR="00FD770F">
        <w:rPr>
          <w:rFonts w:ascii="Times New Roman" w:hAnsi="Times New Roman" w:cs="Times New Roman"/>
          <w:sz w:val="24"/>
          <w:szCs w:val="24"/>
        </w:rPr>
        <w:t>377</w:t>
      </w:r>
      <w:r w:rsidR="00C52D68">
        <w:rPr>
          <w:rFonts w:ascii="Times New Roman" w:hAnsi="Times New Roman" w:cs="Times New Roman"/>
          <w:sz w:val="24"/>
          <w:szCs w:val="24"/>
        </w:rPr>
        <w:t xml:space="preserve"> to </w:t>
      </w:r>
      <w:r w:rsidR="00FD770F">
        <w:rPr>
          <w:rFonts w:ascii="Times New Roman" w:hAnsi="Times New Roman" w:cs="Times New Roman"/>
          <w:sz w:val="24"/>
          <w:szCs w:val="24"/>
        </w:rPr>
        <w:t>378).</w:t>
      </w:r>
      <w:r w:rsidR="00C424B3">
        <w:rPr>
          <w:rFonts w:ascii="Times New Roman" w:hAnsi="Times New Roman" w:cs="Times New Roman"/>
          <w:sz w:val="24"/>
          <w:szCs w:val="24"/>
        </w:rPr>
        <w:t xml:space="preserve">  All Arthropharm needed for this purpose was the claim it was already in a position to make – that the PPS in the two products came from different manufacturers</w:t>
      </w:r>
      <w:r w:rsidR="006D1FCA">
        <w:rPr>
          <w:rFonts w:ascii="Times New Roman" w:hAnsi="Times New Roman" w:cs="Times New Roman"/>
          <w:sz w:val="24"/>
          <w:szCs w:val="24"/>
        </w:rPr>
        <w:t>, were produced by different processes</w:t>
      </w:r>
      <w:r w:rsidR="00C424B3">
        <w:rPr>
          <w:rFonts w:ascii="Times New Roman" w:hAnsi="Times New Roman" w:cs="Times New Roman"/>
          <w:sz w:val="24"/>
          <w:szCs w:val="24"/>
        </w:rPr>
        <w:t xml:space="preserve"> and were thus li</w:t>
      </w:r>
      <w:r w:rsidR="006D1FCA">
        <w:rPr>
          <w:rFonts w:ascii="Times New Roman" w:hAnsi="Times New Roman" w:cs="Times New Roman"/>
          <w:sz w:val="24"/>
          <w:szCs w:val="24"/>
        </w:rPr>
        <w:t>able</w:t>
      </w:r>
      <w:r w:rsidR="00C424B3">
        <w:rPr>
          <w:rFonts w:ascii="Times New Roman" w:hAnsi="Times New Roman" w:cs="Times New Roman"/>
          <w:sz w:val="24"/>
          <w:szCs w:val="24"/>
        </w:rPr>
        <w:t xml:space="preserve"> to </w:t>
      </w:r>
      <w:r w:rsidR="006D1FCA">
        <w:rPr>
          <w:rFonts w:ascii="Times New Roman" w:hAnsi="Times New Roman" w:cs="Times New Roman"/>
          <w:sz w:val="24"/>
          <w:szCs w:val="24"/>
        </w:rPr>
        <w:t>have very different biological properties.</w:t>
      </w:r>
    </w:p>
    <w:p w14:paraId="10F816C0" w14:textId="77777777" w:rsidR="0097714B" w:rsidRDefault="0097714B" w:rsidP="003E1C16">
      <w:pPr>
        <w:pStyle w:val="ListParagraph"/>
        <w:spacing w:before="240" w:line="480" w:lineRule="auto"/>
        <w:ind w:hanging="502"/>
        <w:jc w:val="both"/>
        <w:rPr>
          <w:rFonts w:ascii="Times New Roman" w:hAnsi="Times New Roman" w:cs="Times New Roman"/>
          <w:b/>
          <w:sz w:val="24"/>
          <w:szCs w:val="24"/>
        </w:rPr>
      </w:pPr>
      <w:r>
        <w:rPr>
          <w:rFonts w:ascii="Times New Roman" w:hAnsi="Times New Roman" w:cs="Times New Roman"/>
          <w:b/>
          <w:sz w:val="24"/>
          <w:szCs w:val="24"/>
        </w:rPr>
        <w:t xml:space="preserve">  </w:t>
      </w:r>
    </w:p>
    <w:p w14:paraId="188D8E3B" w14:textId="7C93A0C1" w:rsidR="0030125A" w:rsidRPr="0030125A" w:rsidRDefault="005C6BE3" w:rsidP="003E1C16">
      <w:pPr>
        <w:pStyle w:val="ListParagraph"/>
        <w:numPr>
          <w:ilvl w:val="0"/>
          <w:numId w:val="1"/>
        </w:numPr>
        <w:spacing w:before="240" w:line="480" w:lineRule="auto"/>
        <w:ind w:hanging="502"/>
        <w:jc w:val="both"/>
        <w:rPr>
          <w:rFonts w:ascii="Times New Roman" w:hAnsi="Times New Roman" w:cs="Times New Roman"/>
          <w:b/>
          <w:sz w:val="24"/>
          <w:szCs w:val="24"/>
        </w:rPr>
      </w:pPr>
      <w:r>
        <w:rPr>
          <w:rFonts w:ascii="Times New Roman" w:hAnsi="Times New Roman" w:cs="Times New Roman"/>
          <w:sz w:val="24"/>
          <w:szCs w:val="24"/>
        </w:rPr>
        <w:t>Even if this is not so, I do not think it acceptable in the circumstances that presented themselves here for Arthropharm to</w:t>
      </w:r>
      <w:r w:rsidR="001B7F0A">
        <w:rPr>
          <w:rFonts w:ascii="Times New Roman" w:hAnsi="Times New Roman" w:cs="Times New Roman"/>
          <w:sz w:val="24"/>
          <w:szCs w:val="24"/>
        </w:rPr>
        <w:t xml:space="preserve"> </w:t>
      </w:r>
      <w:r w:rsidR="002329BC">
        <w:rPr>
          <w:rFonts w:ascii="Times New Roman" w:hAnsi="Times New Roman" w:cs="Times New Roman"/>
          <w:sz w:val="24"/>
          <w:szCs w:val="24"/>
        </w:rPr>
        <w:t xml:space="preserve">simply assume that the time taken by </w:t>
      </w:r>
      <w:r w:rsidR="005E7152">
        <w:rPr>
          <w:rFonts w:ascii="Times New Roman" w:hAnsi="Times New Roman" w:cs="Times New Roman"/>
          <w:sz w:val="24"/>
          <w:szCs w:val="24"/>
        </w:rPr>
        <w:t>Chanelle</w:t>
      </w:r>
      <w:r w:rsidR="002329BC">
        <w:rPr>
          <w:rFonts w:ascii="Times New Roman" w:hAnsi="Times New Roman" w:cs="Times New Roman"/>
          <w:sz w:val="24"/>
          <w:szCs w:val="24"/>
        </w:rPr>
        <w:t xml:space="preserve"> to place the product on the market (whatever that may have been) operated to indefinitely extend the time afforded to Arthropharm to proceed with its challenge.  It ought to have at least tried to obtain a sample from Chanelle.  The fact that Chanelle might not</w:t>
      </w:r>
      <w:r w:rsidR="00B152B4">
        <w:rPr>
          <w:rFonts w:ascii="Times New Roman" w:hAnsi="Times New Roman" w:cs="Times New Roman"/>
          <w:sz w:val="24"/>
          <w:szCs w:val="24"/>
        </w:rPr>
        <w:t xml:space="preserve"> </w:t>
      </w:r>
      <w:r w:rsidR="002329BC">
        <w:rPr>
          <w:rFonts w:ascii="Times New Roman" w:hAnsi="Times New Roman" w:cs="Times New Roman"/>
          <w:sz w:val="24"/>
          <w:szCs w:val="24"/>
        </w:rPr>
        <w:t xml:space="preserve">have co-operated is not relevant to the reasonableness of Arthropharm’s actions in </w:t>
      </w:r>
      <w:r w:rsidR="008F0520">
        <w:rPr>
          <w:rFonts w:ascii="Times New Roman" w:hAnsi="Times New Roman" w:cs="Times New Roman"/>
          <w:sz w:val="24"/>
          <w:szCs w:val="24"/>
        </w:rPr>
        <w:t>simply doing nothing. This is the f</w:t>
      </w:r>
      <w:r w:rsidR="008E01B8">
        <w:rPr>
          <w:rFonts w:ascii="Times New Roman" w:hAnsi="Times New Roman" w:cs="Times New Roman"/>
          <w:sz w:val="24"/>
          <w:szCs w:val="24"/>
        </w:rPr>
        <w:t>our</w:t>
      </w:r>
      <w:r w:rsidR="008F0520">
        <w:rPr>
          <w:rFonts w:ascii="Times New Roman" w:hAnsi="Times New Roman" w:cs="Times New Roman"/>
          <w:sz w:val="24"/>
          <w:szCs w:val="24"/>
        </w:rPr>
        <w:t xml:space="preserve">th feature of </w:t>
      </w:r>
      <w:r w:rsidR="00142A88">
        <w:rPr>
          <w:rFonts w:ascii="Times New Roman" w:hAnsi="Times New Roman" w:cs="Times New Roman"/>
          <w:sz w:val="24"/>
          <w:szCs w:val="24"/>
        </w:rPr>
        <w:t xml:space="preserve">its conduct of </w:t>
      </w:r>
      <w:r w:rsidR="008F0520">
        <w:rPr>
          <w:rFonts w:ascii="Times New Roman" w:hAnsi="Times New Roman" w:cs="Times New Roman"/>
          <w:sz w:val="24"/>
          <w:szCs w:val="24"/>
        </w:rPr>
        <w:t>significance</w:t>
      </w:r>
      <w:r w:rsidR="00142A88">
        <w:rPr>
          <w:rFonts w:ascii="Times New Roman" w:hAnsi="Times New Roman" w:cs="Times New Roman"/>
          <w:sz w:val="24"/>
          <w:szCs w:val="24"/>
        </w:rPr>
        <w:t xml:space="preserve"> to this application.</w:t>
      </w:r>
    </w:p>
    <w:p w14:paraId="0996360B" w14:textId="77777777" w:rsidR="0030125A" w:rsidRPr="0030125A" w:rsidRDefault="0030125A" w:rsidP="003E1C16">
      <w:pPr>
        <w:pStyle w:val="ListParagraph"/>
        <w:ind w:hanging="502"/>
        <w:rPr>
          <w:rFonts w:ascii="Times New Roman" w:hAnsi="Times New Roman" w:cs="Times New Roman"/>
          <w:sz w:val="24"/>
          <w:szCs w:val="24"/>
        </w:rPr>
      </w:pPr>
    </w:p>
    <w:p w14:paraId="13FE362C" w14:textId="23C7FEA7" w:rsidR="00B152B4" w:rsidRPr="00B152B4" w:rsidRDefault="008F0520" w:rsidP="00B152B4">
      <w:pPr>
        <w:pStyle w:val="ListParagraph"/>
        <w:numPr>
          <w:ilvl w:val="0"/>
          <w:numId w:val="1"/>
        </w:numPr>
        <w:spacing w:before="240" w:line="480" w:lineRule="auto"/>
        <w:ind w:hanging="502"/>
        <w:jc w:val="both"/>
        <w:rPr>
          <w:rFonts w:ascii="Times New Roman" w:hAnsi="Times New Roman" w:cs="Times New Roman"/>
          <w:b/>
          <w:sz w:val="24"/>
          <w:szCs w:val="24"/>
        </w:rPr>
      </w:pPr>
      <w:r w:rsidRPr="0030125A">
        <w:rPr>
          <w:rFonts w:ascii="Times New Roman" w:hAnsi="Times New Roman" w:cs="Times New Roman"/>
          <w:sz w:val="24"/>
          <w:szCs w:val="24"/>
        </w:rPr>
        <w:t xml:space="preserve">This leads to a </w:t>
      </w:r>
      <w:r w:rsidR="008E01B8">
        <w:rPr>
          <w:rFonts w:ascii="Times New Roman" w:hAnsi="Times New Roman" w:cs="Times New Roman"/>
          <w:sz w:val="24"/>
          <w:szCs w:val="24"/>
        </w:rPr>
        <w:t>fif</w:t>
      </w:r>
      <w:r w:rsidRPr="0030125A">
        <w:rPr>
          <w:rFonts w:ascii="Times New Roman" w:hAnsi="Times New Roman" w:cs="Times New Roman"/>
          <w:sz w:val="24"/>
          <w:szCs w:val="24"/>
        </w:rPr>
        <w:t>th</w:t>
      </w:r>
      <w:r w:rsidR="00142A88" w:rsidRPr="0030125A">
        <w:rPr>
          <w:rFonts w:ascii="Times New Roman" w:hAnsi="Times New Roman" w:cs="Times New Roman"/>
          <w:sz w:val="24"/>
          <w:szCs w:val="24"/>
        </w:rPr>
        <w:t xml:space="preserve"> </w:t>
      </w:r>
      <w:r w:rsidRPr="0030125A">
        <w:rPr>
          <w:rFonts w:ascii="Times New Roman" w:hAnsi="Times New Roman" w:cs="Times New Roman"/>
          <w:sz w:val="24"/>
          <w:szCs w:val="24"/>
        </w:rPr>
        <w:t xml:space="preserve">point. </w:t>
      </w:r>
      <w:r w:rsidR="00142A88" w:rsidRPr="0030125A">
        <w:rPr>
          <w:rFonts w:ascii="Times New Roman" w:hAnsi="Times New Roman" w:cs="Times New Roman"/>
          <w:sz w:val="24"/>
          <w:szCs w:val="24"/>
        </w:rPr>
        <w:t xml:space="preserve"> One of the consequences of Arthropharm’s seeking a sample from Chanelle would have been to advise it of the fact that a challenge was being contemplated.  Arthropharm did not give Chanelle any indication that a challenge was being </w:t>
      </w:r>
      <w:r w:rsidR="009D7080">
        <w:rPr>
          <w:rFonts w:ascii="Times New Roman" w:hAnsi="Times New Roman" w:cs="Times New Roman"/>
          <w:sz w:val="24"/>
          <w:szCs w:val="24"/>
        </w:rPr>
        <w:t>considered</w:t>
      </w:r>
      <w:r w:rsidR="00142A88" w:rsidRPr="0030125A">
        <w:rPr>
          <w:rFonts w:ascii="Times New Roman" w:hAnsi="Times New Roman" w:cs="Times New Roman"/>
          <w:sz w:val="24"/>
          <w:szCs w:val="24"/>
        </w:rPr>
        <w:t xml:space="preserve">.  It proceeded to place its product on the market unaware of this fact.  </w:t>
      </w:r>
      <w:r w:rsidRPr="0030125A">
        <w:rPr>
          <w:rFonts w:ascii="Times New Roman" w:hAnsi="Times New Roman" w:cs="Times New Roman"/>
          <w:sz w:val="24"/>
          <w:szCs w:val="24"/>
        </w:rPr>
        <w:t xml:space="preserve"> </w:t>
      </w:r>
      <w:r w:rsidR="00BE442C" w:rsidRPr="0030125A">
        <w:rPr>
          <w:rFonts w:ascii="Times New Roman" w:hAnsi="Times New Roman" w:cs="Times New Roman"/>
          <w:sz w:val="24"/>
          <w:szCs w:val="24"/>
        </w:rPr>
        <w:t xml:space="preserve">I believe that the trial judge was correct </w:t>
      </w:r>
      <w:r w:rsidR="009D7080">
        <w:rPr>
          <w:rFonts w:ascii="Times New Roman" w:hAnsi="Times New Roman" w:cs="Times New Roman"/>
          <w:sz w:val="24"/>
          <w:szCs w:val="24"/>
        </w:rPr>
        <w:t xml:space="preserve">when he criticised </w:t>
      </w:r>
      <w:r w:rsidR="00BE442C" w:rsidRPr="0030125A">
        <w:rPr>
          <w:rFonts w:ascii="Times New Roman" w:hAnsi="Times New Roman" w:cs="Times New Roman"/>
          <w:sz w:val="24"/>
          <w:szCs w:val="24"/>
        </w:rPr>
        <w:t xml:space="preserve">the failure of Arthropharm to advise Chanelle of the possibility of proceedings being brought.  </w:t>
      </w:r>
      <w:r w:rsidR="0030125A" w:rsidRPr="0030125A">
        <w:rPr>
          <w:rFonts w:ascii="Times New Roman" w:hAnsi="Times New Roman" w:cs="Times New Roman"/>
          <w:sz w:val="24"/>
          <w:szCs w:val="24"/>
        </w:rPr>
        <w:t>While</w:t>
      </w:r>
      <w:r w:rsidR="00B152B4">
        <w:rPr>
          <w:rFonts w:ascii="Times New Roman" w:hAnsi="Times New Roman" w:cs="Times New Roman"/>
          <w:sz w:val="24"/>
          <w:szCs w:val="24"/>
        </w:rPr>
        <w:t xml:space="preserve"> Arthropharm</w:t>
      </w:r>
      <w:r w:rsidR="0030125A" w:rsidRPr="0030125A">
        <w:rPr>
          <w:rFonts w:ascii="Times New Roman" w:hAnsi="Times New Roman" w:cs="Times New Roman"/>
          <w:sz w:val="24"/>
          <w:szCs w:val="24"/>
        </w:rPr>
        <w:t xml:space="preserve"> was </w:t>
      </w:r>
      <w:r w:rsidR="009B784D">
        <w:rPr>
          <w:rFonts w:ascii="Times New Roman" w:hAnsi="Times New Roman" w:cs="Times New Roman"/>
          <w:sz w:val="24"/>
          <w:szCs w:val="24"/>
        </w:rPr>
        <w:t xml:space="preserve">not </w:t>
      </w:r>
      <w:r w:rsidR="0030125A" w:rsidRPr="0030125A">
        <w:rPr>
          <w:rFonts w:ascii="Times New Roman" w:hAnsi="Times New Roman" w:cs="Times New Roman"/>
          <w:sz w:val="24"/>
          <w:szCs w:val="24"/>
        </w:rPr>
        <w:t>under a legal obligation to provide such a notification, h</w:t>
      </w:r>
      <w:r w:rsidR="00BE442C" w:rsidRPr="0030125A">
        <w:rPr>
          <w:rFonts w:ascii="Times New Roman" w:hAnsi="Times New Roman" w:cs="Times New Roman"/>
          <w:sz w:val="24"/>
          <w:szCs w:val="24"/>
        </w:rPr>
        <w:t xml:space="preserve">ad it done so it could have to at least some extent neutralised the prejudice </w:t>
      </w:r>
      <w:r w:rsidR="0030125A" w:rsidRPr="0030125A">
        <w:rPr>
          <w:rFonts w:ascii="Times New Roman" w:hAnsi="Times New Roman" w:cs="Times New Roman"/>
          <w:sz w:val="24"/>
          <w:szCs w:val="24"/>
        </w:rPr>
        <w:t xml:space="preserve">invoked by Chanelle.  By not </w:t>
      </w:r>
      <w:r w:rsidR="0030125A" w:rsidRPr="0030125A">
        <w:rPr>
          <w:rFonts w:ascii="Times New Roman" w:hAnsi="Times New Roman" w:cs="Times New Roman"/>
          <w:sz w:val="24"/>
          <w:szCs w:val="24"/>
        </w:rPr>
        <w:lastRenderedPageBreak/>
        <w:t>providing Chanelle with any hint that it was considering a challenge</w:t>
      </w:r>
      <w:r w:rsidR="006B0BC7">
        <w:rPr>
          <w:rFonts w:ascii="Times New Roman" w:hAnsi="Times New Roman" w:cs="Times New Roman"/>
          <w:sz w:val="24"/>
          <w:szCs w:val="24"/>
        </w:rPr>
        <w:t>,</w:t>
      </w:r>
      <w:r w:rsidR="0030125A" w:rsidRPr="0030125A">
        <w:rPr>
          <w:rFonts w:ascii="Times New Roman" w:hAnsi="Times New Roman" w:cs="Times New Roman"/>
          <w:sz w:val="24"/>
          <w:szCs w:val="24"/>
        </w:rPr>
        <w:t xml:space="preserve"> it left the field open for it to contend</w:t>
      </w:r>
      <w:r w:rsidR="006B0BC7">
        <w:rPr>
          <w:rFonts w:ascii="Times New Roman" w:hAnsi="Times New Roman" w:cs="Times New Roman"/>
          <w:sz w:val="24"/>
          <w:szCs w:val="24"/>
        </w:rPr>
        <w:t xml:space="preserve"> -</w:t>
      </w:r>
      <w:r w:rsidR="0030125A" w:rsidRPr="0030125A">
        <w:rPr>
          <w:rFonts w:ascii="Times New Roman" w:hAnsi="Times New Roman" w:cs="Times New Roman"/>
          <w:sz w:val="24"/>
          <w:szCs w:val="24"/>
        </w:rPr>
        <w:t xml:space="preserve"> with some force </w:t>
      </w:r>
      <w:r w:rsidR="006B0BC7">
        <w:rPr>
          <w:rFonts w:ascii="Times New Roman" w:hAnsi="Times New Roman" w:cs="Times New Roman"/>
          <w:sz w:val="24"/>
          <w:szCs w:val="24"/>
        </w:rPr>
        <w:t xml:space="preserve">- </w:t>
      </w:r>
      <w:r w:rsidR="0030125A" w:rsidRPr="0030125A">
        <w:rPr>
          <w:rFonts w:ascii="Times New Roman" w:hAnsi="Times New Roman" w:cs="Times New Roman"/>
          <w:sz w:val="24"/>
          <w:szCs w:val="24"/>
        </w:rPr>
        <w:t>that once the time fixed for challenging the decision had lapsed, it was entitled to rely upon the prejudice to it arising not simply from what it did in reliance upon the legality of the authorisation after the expiry of the three months, but all the detriment it would incur were it now to face an otherwise timed out case.</w:t>
      </w:r>
    </w:p>
    <w:p w14:paraId="6BBAB082" w14:textId="77777777" w:rsidR="00B152B4" w:rsidRPr="00B152B4" w:rsidRDefault="00B152B4" w:rsidP="00B152B4">
      <w:pPr>
        <w:pStyle w:val="ListParagraph"/>
        <w:spacing w:before="240" w:line="480" w:lineRule="auto"/>
        <w:ind w:left="786"/>
        <w:jc w:val="both"/>
        <w:rPr>
          <w:rFonts w:ascii="Times New Roman" w:hAnsi="Times New Roman" w:cs="Times New Roman"/>
          <w:b/>
          <w:sz w:val="24"/>
          <w:szCs w:val="24"/>
        </w:rPr>
      </w:pPr>
      <w:r>
        <w:rPr>
          <w:rFonts w:ascii="Times New Roman" w:hAnsi="Times New Roman" w:cs="Times New Roman"/>
          <w:sz w:val="24"/>
          <w:szCs w:val="24"/>
        </w:rPr>
        <w:t xml:space="preserve">  </w:t>
      </w:r>
    </w:p>
    <w:p w14:paraId="1CBC667F" w14:textId="77777777" w:rsidR="006B0BC7" w:rsidRPr="006B0BC7" w:rsidRDefault="0030125A" w:rsidP="006B0BC7">
      <w:pPr>
        <w:pStyle w:val="ListParagraph"/>
        <w:numPr>
          <w:ilvl w:val="0"/>
          <w:numId w:val="1"/>
        </w:numPr>
        <w:spacing w:before="240" w:line="480" w:lineRule="auto"/>
        <w:ind w:hanging="502"/>
        <w:jc w:val="both"/>
        <w:rPr>
          <w:rFonts w:ascii="Times New Roman" w:hAnsi="Times New Roman" w:cs="Times New Roman"/>
          <w:b/>
          <w:sz w:val="24"/>
          <w:szCs w:val="24"/>
        </w:rPr>
      </w:pPr>
      <w:r w:rsidRPr="00B152B4">
        <w:rPr>
          <w:rFonts w:ascii="Times New Roman" w:hAnsi="Times New Roman" w:cs="Times New Roman"/>
          <w:sz w:val="24"/>
          <w:szCs w:val="24"/>
        </w:rPr>
        <w:t xml:space="preserve">The evidence </w:t>
      </w:r>
      <w:r w:rsidR="009D7080" w:rsidRPr="00B152B4">
        <w:rPr>
          <w:rFonts w:ascii="Times New Roman" w:hAnsi="Times New Roman" w:cs="Times New Roman"/>
          <w:sz w:val="24"/>
          <w:szCs w:val="24"/>
        </w:rPr>
        <w:t>Chanelle</w:t>
      </w:r>
      <w:r w:rsidRPr="00B152B4">
        <w:rPr>
          <w:rFonts w:ascii="Times New Roman" w:hAnsi="Times New Roman" w:cs="Times New Roman"/>
          <w:sz w:val="24"/>
          <w:szCs w:val="24"/>
        </w:rPr>
        <w:t xml:space="preserve"> adduced in this regard was clear and compelling.  According to </w:t>
      </w:r>
      <w:r w:rsidR="009D7080" w:rsidRPr="00B152B4">
        <w:rPr>
          <w:rFonts w:ascii="Times New Roman" w:hAnsi="Times New Roman" w:cs="Times New Roman"/>
          <w:sz w:val="24"/>
          <w:szCs w:val="24"/>
        </w:rPr>
        <w:t xml:space="preserve">its </w:t>
      </w:r>
      <w:r w:rsidRPr="00B152B4">
        <w:rPr>
          <w:rFonts w:ascii="Times New Roman" w:hAnsi="Times New Roman" w:cs="Times New Roman"/>
          <w:sz w:val="24"/>
          <w:szCs w:val="24"/>
        </w:rPr>
        <w:t xml:space="preserve">managing director, Mr. Burke, once the authorisation was granted it applied for licences using </w:t>
      </w:r>
      <w:r w:rsidR="00AD4A75" w:rsidRPr="00B152B4">
        <w:rPr>
          <w:rFonts w:ascii="Times New Roman" w:hAnsi="Times New Roman" w:cs="Times New Roman"/>
          <w:sz w:val="24"/>
          <w:szCs w:val="24"/>
        </w:rPr>
        <w:t xml:space="preserve">a procedure (the </w:t>
      </w:r>
      <w:r w:rsidR="0060349D" w:rsidRPr="00B152B4">
        <w:rPr>
          <w:rFonts w:ascii="Times New Roman" w:hAnsi="Times New Roman" w:cs="Times New Roman"/>
          <w:sz w:val="24"/>
          <w:szCs w:val="24"/>
        </w:rPr>
        <w:t>‘</w:t>
      </w:r>
      <w:r w:rsidRPr="00B152B4">
        <w:rPr>
          <w:rFonts w:ascii="Times New Roman" w:hAnsi="Times New Roman" w:cs="Times New Roman"/>
          <w:sz w:val="24"/>
          <w:szCs w:val="24"/>
        </w:rPr>
        <w:t xml:space="preserve">repeat </w:t>
      </w:r>
      <w:r w:rsidR="0060349D" w:rsidRPr="00B152B4">
        <w:rPr>
          <w:rFonts w:ascii="Times New Roman" w:hAnsi="Times New Roman" w:cs="Times New Roman"/>
          <w:sz w:val="24"/>
          <w:szCs w:val="24"/>
        </w:rPr>
        <w:t xml:space="preserve">use </w:t>
      </w:r>
      <w:r w:rsidRPr="00B152B4">
        <w:rPr>
          <w:rFonts w:ascii="Times New Roman" w:hAnsi="Times New Roman" w:cs="Times New Roman"/>
          <w:sz w:val="24"/>
          <w:szCs w:val="24"/>
        </w:rPr>
        <w:t>procedure</w:t>
      </w:r>
      <w:r w:rsidR="0060349D" w:rsidRPr="00B152B4">
        <w:rPr>
          <w:rFonts w:ascii="Times New Roman" w:hAnsi="Times New Roman" w:cs="Times New Roman"/>
          <w:sz w:val="24"/>
          <w:szCs w:val="24"/>
        </w:rPr>
        <w:t xml:space="preserve">’) to obtain authorisation </w:t>
      </w:r>
      <w:r w:rsidRPr="00B152B4">
        <w:rPr>
          <w:rFonts w:ascii="Times New Roman" w:hAnsi="Times New Roman" w:cs="Times New Roman"/>
          <w:sz w:val="24"/>
          <w:szCs w:val="24"/>
        </w:rPr>
        <w:t xml:space="preserve">in </w:t>
      </w:r>
      <w:r w:rsidR="006E7B0E" w:rsidRPr="00B152B4">
        <w:rPr>
          <w:rFonts w:ascii="Times New Roman" w:hAnsi="Times New Roman" w:cs="Times New Roman"/>
          <w:sz w:val="24"/>
          <w:szCs w:val="24"/>
        </w:rPr>
        <w:t xml:space="preserve">seven </w:t>
      </w:r>
      <w:r w:rsidRPr="00B152B4">
        <w:rPr>
          <w:rFonts w:ascii="Times New Roman" w:hAnsi="Times New Roman" w:cs="Times New Roman"/>
          <w:sz w:val="24"/>
          <w:szCs w:val="24"/>
        </w:rPr>
        <w:t>other jurisdictions (Czech Republic, Denm</w:t>
      </w:r>
      <w:r w:rsidR="00030190" w:rsidRPr="00B152B4">
        <w:rPr>
          <w:rFonts w:ascii="Times New Roman" w:hAnsi="Times New Roman" w:cs="Times New Roman"/>
          <w:sz w:val="24"/>
          <w:szCs w:val="24"/>
        </w:rPr>
        <w:t>a</w:t>
      </w:r>
      <w:r w:rsidRPr="00B152B4">
        <w:rPr>
          <w:rFonts w:ascii="Times New Roman" w:hAnsi="Times New Roman" w:cs="Times New Roman"/>
          <w:sz w:val="24"/>
          <w:szCs w:val="24"/>
        </w:rPr>
        <w:t>rk, Hungary, Italy, Romania, Slovakia and Slovenia</w:t>
      </w:r>
      <w:r w:rsidR="00030190" w:rsidRPr="00B152B4">
        <w:rPr>
          <w:rFonts w:ascii="Times New Roman" w:hAnsi="Times New Roman" w:cs="Times New Roman"/>
          <w:sz w:val="24"/>
          <w:szCs w:val="24"/>
        </w:rPr>
        <w:t>).  That entailed a relatively slight cost (€30,864), but the process was obviously an important one commercially, and it was necessary to place these applications on hold once the proceedings commenced (in fact the applications were revived upon the determination of the matter in the High Court).</w:t>
      </w:r>
    </w:p>
    <w:p w14:paraId="02B4D980" w14:textId="77777777" w:rsidR="006B0BC7" w:rsidRPr="006B0BC7" w:rsidRDefault="006B0BC7" w:rsidP="006B0BC7">
      <w:pPr>
        <w:pStyle w:val="ListParagraph"/>
        <w:rPr>
          <w:rFonts w:ascii="Times New Roman" w:hAnsi="Times New Roman" w:cs="Times New Roman"/>
          <w:sz w:val="24"/>
          <w:szCs w:val="24"/>
        </w:rPr>
      </w:pPr>
    </w:p>
    <w:p w14:paraId="7DED4154" w14:textId="66A9518A" w:rsidR="0030125A" w:rsidRPr="006B0BC7" w:rsidRDefault="00030190" w:rsidP="006B0BC7">
      <w:pPr>
        <w:pStyle w:val="ListParagraph"/>
        <w:numPr>
          <w:ilvl w:val="0"/>
          <w:numId w:val="1"/>
        </w:numPr>
        <w:spacing w:before="240" w:line="480" w:lineRule="auto"/>
        <w:ind w:hanging="502"/>
        <w:jc w:val="both"/>
        <w:rPr>
          <w:rFonts w:ascii="Times New Roman" w:hAnsi="Times New Roman" w:cs="Times New Roman"/>
          <w:b/>
          <w:sz w:val="24"/>
          <w:szCs w:val="24"/>
        </w:rPr>
      </w:pPr>
      <w:r w:rsidRPr="006B0BC7">
        <w:rPr>
          <w:rFonts w:ascii="Times New Roman" w:hAnsi="Times New Roman" w:cs="Times New Roman"/>
          <w:sz w:val="24"/>
          <w:szCs w:val="24"/>
        </w:rPr>
        <w:t>More</w:t>
      </w:r>
      <w:r w:rsidR="00B00D00" w:rsidRPr="006B0BC7">
        <w:rPr>
          <w:rFonts w:ascii="Times New Roman" w:hAnsi="Times New Roman" w:cs="Times New Roman"/>
          <w:sz w:val="24"/>
          <w:szCs w:val="24"/>
        </w:rPr>
        <w:t>over</w:t>
      </w:r>
      <w:r w:rsidRPr="006B0BC7">
        <w:rPr>
          <w:rFonts w:ascii="Times New Roman" w:hAnsi="Times New Roman" w:cs="Times New Roman"/>
          <w:sz w:val="24"/>
          <w:szCs w:val="24"/>
        </w:rPr>
        <w:t xml:space="preserve">, he averred that the issue of the proceedings had caused Chanelle to face difficulties with customers who came as a result of the action to understand that its product was unsafe.  Various communications from customers to that effect were exhibited by him.  One of the two main companies operating veterinary practices in the United Kingdom placed Osteopen on hold pending the determination of the case.  As of March 2019 he estimated the consequent loss to Chanelle in the region of €106,000.  </w:t>
      </w:r>
      <w:r w:rsidR="00E038EF" w:rsidRPr="006B0BC7">
        <w:rPr>
          <w:rFonts w:ascii="Times New Roman" w:hAnsi="Times New Roman" w:cs="Times New Roman"/>
          <w:sz w:val="24"/>
          <w:szCs w:val="24"/>
        </w:rPr>
        <w:t>And of course, the unsettling of the decision could have implications for authorisations in those other jurisdictions which had granted permissions on foot of it.</w:t>
      </w:r>
      <w:r w:rsidR="00B00D00" w:rsidRPr="006B0BC7">
        <w:rPr>
          <w:rFonts w:ascii="Times New Roman" w:hAnsi="Times New Roman" w:cs="Times New Roman"/>
          <w:sz w:val="24"/>
          <w:szCs w:val="24"/>
        </w:rPr>
        <w:t xml:space="preserve"> </w:t>
      </w:r>
      <w:r w:rsidR="00964B50" w:rsidRPr="006B0BC7">
        <w:rPr>
          <w:rFonts w:ascii="Times New Roman" w:hAnsi="Times New Roman" w:cs="Times New Roman"/>
          <w:sz w:val="24"/>
          <w:szCs w:val="24"/>
        </w:rPr>
        <w:t xml:space="preserve"> This is corroborated by HPRA</w:t>
      </w:r>
      <w:r w:rsidR="00C52D68">
        <w:rPr>
          <w:rFonts w:ascii="Times New Roman" w:hAnsi="Times New Roman" w:cs="Times New Roman"/>
          <w:sz w:val="24"/>
          <w:szCs w:val="24"/>
        </w:rPr>
        <w:t>.</w:t>
      </w:r>
      <w:r w:rsidR="00964B50" w:rsidRPr="006B0BC7">
        <w:rPr>
          <w:rFonts w:ascii="Times New Roman" w:hAnsi="Times New Roman" w:cs="Times New Roman"/>
          <w:sz w:val="24"/>
          <w:szCs w:val="24"/>
        </w:rPr>
        <w:t xml:space="preserve"> </w:t>
      </w:r>
      <w:r w:rsidR="00C52D68">
        <w:rPr>
          <w:rFonts w:ascii="Times New Roman" w:hAnsi="Times New Roman" w:cs="Times New Roman"/>
          <w:sz w:val="24"/>
          <w:szCs w:val="24"/>
        </w:rPr>
        <w:t>I</w:t>
      </w:r>
      <w:r w:rsidR="00964B50" w:rsidRPr="006B0BC7">
        <w:rPr>
          <w:rFonts w:ascii="Times New Roman" w:hAnsi="Times New Roman" w:cs="Times New Roman"/>
          <w:sz w:val="24"/>
          <w:szCs w:val="24"/>
        </w:rPr>
        <w:t>ts first affidavit records as follows :</w:t>
      </w:r>
    </w:p>
    <w:p w14:paraId="2B6D9DFD" w14:textId="77777777" w:rsidR="00964B50" w:rsidRPr="00964B50" w:rsidRDefault="00964B50" w:rsidP="00964B50">
      <w:pPr>
        <w:pStyle w:val="ListParagraph"/>
        <w:rPr>
          <w:rFonts w:ascii="Times New Roman" w:hAnsi="Times New Roman" w:cs="Times New Roman"/>
          <w:b/>
          <w:sz w:val="24"/>
          <w:szCs w:val="24"/>
        </w:rPr>
      </w:pPr>
    </w:p>
    <w:p w14:paraId="319161F6" w14:textId="7BA0ADF7" w:rsidR="00964B50" w:rsidRPr="00964B50" w:rsidRDefault="00964B50" w:rsidP="00964B50">
      <w:pPr>
        <w:pStyle w:val="ListParagraph"/>
        <w:spacing w:before="240" w:line="48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w:t>
      </w:r>
      <w:r>
        <w:rPr>
          <w:rFonts w:ascii="Times New Roman" w:hAnsi="Times New Roman" w:cs="Times New Roman"/>
          <w:i/>
          <w:sz w:val="24"/>
          <w:szCs w:val="24"/>
        </w:rPr>
        <w:t xml:space="preserve">given that </w:t>
      </w:r>
      <w:proofErr w:type="spellStart"/>
      <w:r>
        <w:rPr>
          <w:rFonts w:ascii="Times New Roman" w:hAnsi="Times New Roman" w:cs="Times New Roman"/>
          <w:i/>
          <w:sz w:val="24"/>
          <w:szCs w:val="24"/>
        </w:rPr>
        <w:t>Osteopen’s</w:t>
      </w:r>
      <w:proofErr w:type="spellEnd"/>
      <w:r>
        <w:rPr>
          <w:rFonts w:ascii="Times New Roman" w:hAnsi="Times New Roman" w:cs="Times New Roman"/>
          <w:i/>
          <w:sz w:val="24"/>
          <w:szCs w:val="24"/>
        </w:rPr>
        <w:t xml:space="preserve"> MA was approved during the Decentralised Procedure, following which those Concerned Member States in that procedure also approved MAs, I say and am advised that a substantive review of </w:t>
      </w:r>
      <w:proofErr w:type="spellStart"/>
      <w:r>
        <w:rPr>
          <w:rFonts w:ascii="Times New Roman" w:hAnsi="Times New Roman" w:cs="Times New Roman"/>
          <w:i/>
          <w:sz w:val="24"/>
          <w:szCs w:val="24"/>
        </w:rPr>
        <w:t>Osteopen’s</w:t>
      </w:r>
      <w:proofErr w:type="spellEnd"/>
      <w:r>
        <w:rPr>
          <w:rFonts w:ascii="Times New Roman" w:hAnsi="Times New Roman" w:cs="Times New Roman"/>
          <w:i/>
          <w:sz w:val="24"/>
          <w:szCs w:val="24"/>
        </w:rPr>
        <w:t xml:space="preserve"> MA on the basis of the HPRA’s Decision could also have repercussions for the status of those MAs granted by the Concerned Member States.’</w:t>
      </w:r>
    </w:p>
    <w:p w14:paraId="11F029FB" w14:textId="77777777" w:rsidR="00E038EF" w:rsidRDefault="00E038EF" w:rsidP="003E1C16">
      <w:pPr>
        <w:pStyle w:val="ListParagraph"/>
        <w:spacing w:before="240" w:line="480" w:lineRule="auto"/>
        <w:ind w:left="786" w:hanging="502"/>
        <w:jc w:val="both"/>
        <w:rPr>
          <w:rFonts w:ascii="Times New Roman" w:hAnsi="Times New Roman" w:cs="Times New Roman"/>
          <w:b/>
          <w:sz w:val="24"/>
          <w:szCs w:val="24"/>
        </w:rPr>
      </w:pPr>
      <w:r>
        <w:rPr>
          <w:rFonts w:ascii="Times New Roman" w:hAnsi="Times New Roman" w:cs="Times New Roman"/>
          <w:b/>
          <w:sz w:val="24"/>
          <w:szCs w:val="24"/>
        </w:rPr>
        <w:t xml:space="preserve">  </w:t>
      </w:r>
    </w:p>
    <w:p w14:paraId="45873C67" w14:textId="7C16875F" w:rsidR="00E038EF" w:rsidRPr="00F35A78" w:rsidRDefault="00E038EF" w:rsidP="003E1C16">
      <w:pPr>
        <w:pStyle w:val="ListParagraph"/>
        <w:numPr>
          <w:ilvl w:val="0"/>
          <w:numId w:val="1"/>
        </w:numPr>
        <w:spacing w:before="240" w:line="480" w:lineRule="auto"/>
        <w:ind w:hanging="502"/>
        <w:jc w:val="both"/>
        <w:rPr>
          <w:rFonts w:ascii="Times New Roman" w:hAnsi="Times New Roman" w:cs="Times New Roman"/>
          <w:b/>
          <w:sz w:val="24"/>
          <w:szCs w:val="24"/>
        </w:rPr>
      </w:pPr>
      <w:r>
        <w:rPr>
          <w:rFonts w:ascii="Times New Roman" w:hAnsi="Times New Roman" w:cs="Times New Roman"/>
          <w:sz w:val="24"/>
          <w:szCs w:val="24"/>
        </w:rPr>
        <w:t xml:space="preserve">These are significant factors weighing against the grant of the extension of time.  </w:t>
      </w:r>
      <w:r w:rsidR="00BC35D8">
        <w:rPr>
          <w:rFonts w:ascii="Times New Roman" w:hAnsi="Times New Roman" w:cs="Times New Roman"/>
          <w:sz w:val="24"/>
          <w:szCs w:val="24"/>
        </w:rPr>
        <w:t xml:space="preserve">They arose in a context in which Chanelle prepared for, invested in and conducted the launch of Osteopen on 8 November 2018 without any knowledge that it faced a risk of the decision being challenged.  </w:t>
      </w:r>
      <w:r>
        <w:rPr>
          <w:rFonts w:ascii="Times New Roman" w:hAnsi="Times New Roman" w:cs="Times New Roman"/>
          <w:sz w:val="24"/>
          <w:szCs w:val="24"/>
        </w:rPr>
        <w:t xml:space="preserve">As I have explained, the whole purpose of the time limits in proceedings of this kind is to allow parties affected by an administrative decision to proceed on the basis that it is final and immune from attack.  Clearly, much of this prejudice might have been sustained in any event had Arthropharm brought its action within the three month period provided for in Order 84.  That, however, is not the point. </w:t>
      </w:r>
      <w:r w:rsidR="000D290A">
        <w:rPr>
          <w:rFonts w:ascii="Times New Roman" w:hAnsi="Times New Roman" w:cs="Times New Roman"/>
          <w:sz w:val="24"/>
          <w:szCs w:val="24"/>
        </w:rPr>
        <w:t xml:space="preserve"> It is a matter for Arthropharm as the party that has not brought its action timeously to establish that the court should exercise its discretion in its favour, not for Chanelle to establish that prejudice which it will clearly sustain if the action is permitted to proceed would have been avoided by compliance with the time period fixed by the rules.  The fact that it will now face such prejudice is what is relevant in the exercise of that discretion and, in my view, it weighs against affording Arthropharm the indulgence of an extension of time.</w:t>
      </w:r>
    </w:p>
    <w:p w14:paraId="70251A6D" w14:textId="77777777" w:rsidR="00F35A78" w:rsidRPr="00F35A78" w:rsidRDefault="00F35A78" w:rsidP="003E1C16">
      <w:pPr>
        <w:pStyle w:val="ListParagraph"/>
        <w:ind w:hanging="502"/>
        <w:rPr>
          <w:rFonts w:ascii="Times New Roman" w:hAnsi="Times New Roman" w:cs="Times New Roman"/>
          <w:b/>
          <w:sz w:val="24"/>
          <w:szCs w:val="24"/>
        </w:rPr>
      </w:pPr>
    </w:p>
    <w:p w14:paraId="5A73ADB9" w14:textId="3A938D2B" w:rsidR="00F35A78" w:rsidRPr="008E01B8" w:rsidRDefault="00F35A78" w:rsidP="003E1C16">
      <w:pPr>
        <w:pStyle w:val="ListParagraph"/>
        <w:numPr>
          <w:ilvl w:val="0"/>
          <w:numId w:val="1"/>
        </w:numPr>
        <w:spacing w:before="240" w:line="480" w:lineRule="auto"/>
        <w:ind w:hanging="502"/>
        <w:jc w:val="both"/>
        <w:rPr>
          <w:rFonts w:ascii="Times New Roman" w:hAnsi="Times New Roman" w:cs="Times New Roman"/>
          <w:b/>
          <w:sz w:val="24"/>
          <w:szCs w:val="24"/>
        </w:rPr>
      </w:pPr>
      <w:r>
        <w:rPr>
          <w:rFonts w:ascii="Times New Roman" w:hAnsi="Times New Roman" w:cs="Times New Roman"/>
          <w:sz w:val="24"/>
          <w:szCs w:val="24"/>
        </w:rPr>
        <w:t xml:space="preserve">Two final issues arise from Arthropharm’s submissions.  First, it claims that its action is convincingly established by </w:t>
      </w:r>
      <w:r w:rsidR="00737916">
        <w:rPr>
          <w:rFonts w:ascii="Times New Roman" w:hAnsi="Times New Roman" w:cs="Times New Roman"/>
          <w:sz w:val="24"/>
          <w:szCs w:val="24"/>
        </w:rPr>
        <w:t xml:space="preserve">the </w:t>
      </w:r>
      <w:r>
        <w:rPr>
          <w:rFonts w:ascii="Times New Roman" w:hAnsi="Times New Roman" w:cs="Times New Roman"/>
          <w:sz w:val="24"/>
          <w:szCs w:val="24"/>
        </w:rPr>
        <w:t xml:space="preserve">expert evidence it has adduced and, relying upon the decision in </w:t>
      </w:r>
      <w:r>
        <w:rPr>
          <w:rFonts w:ascii="Times New Roman" w:hAnsi="Times New Roman" w:cs="Times New Roman"/>
          <w:i/>
          <w:sz w:val="24"/>
          <w:szCs w:val="24"/>
        </w:rPr>
        <w:t>MO’S</w:t>
      </w:r>
      <w:r w:rsidR="00407122">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 xml:space="preserve">contends that this is a matter of which account should be taken in the exercise by the court of its discretion to extend time.  </w:t>
      </w:r>
      <w:r w:rsidR="00B77C77">
        <w:rPr>
          <w:rFonts w:ascii="Times New Roman" w:hAnsi="Times New Roman" w:cs="Times New Roman"/>
          <w:sz w:val="24"/>
          <w:szCs w:val="24"/>
        </w:rPr>
        <w:t xml:space="preserve">I disagree.  In </w:t>
      </w:r>
      <w:r w:rsidR="00B77C77">
        <w:rPr>
          <w:rFonts w:ascii="Times New Roman" w:hAnsi="Times New Roman" w:cs="Times New Roman"/>
          <w:i/>
          <w:sz w:val="24"/>
          <w:szCs w:val="24"/>
        </w:rPr>
        <w:t>MO’S</w:t>
      </w:r>
      <w:r w:rsidR="00B77C77">
        <w:rPr>
          <w:rFonts w:ascii="Times New Roman" w:hAnsi="Times New Roman" w:cs="Times New Roman"/>
          <w:sz w:val="24"/>
          <w:szCs w:val="24"/>
        </w:rPr>
        <w:t xml:space="preserve"> the issue </w:t>
      </w:r>
      <w:r w:rsidR="00B77C77">
        <w:rPr>
          <w:rFonts w:ascii="Times New Roman" w:hAnsi="Times New Roman" w:cs="Times New Roman"/>
          <w:sz w:val="24"/>
          <w:szCs w:val="24"/>
        </w:rPr>
        <w:lastRenderedPageBreak/>
        <w:t>of an extension of time arose in a most unusual circumstance.  The applicant had obtained an unfavourable ruling from the Residential Institutions Redress Board (‘the Board’), the effect of which was to preclude him from proceeding before that body with a claim for statutory compensation for injuries sustained consequent upon his detention in a residential institution.  The Board determined that it could not extend the time for him to bring such a claim, it not being satisfied that he had</w:t>
      </w:r>
      <w:r w:rsidR="006B0BC7">
        <w:rPr>
          <w:rFonts w:ascii="Times New Roman" w:hAnsi="Times New Roman" w:cs="Times New Roman"/>
          <w:sz w:val="24"/>
          <w:szCs w:val="24"/>
        </w:rPr>
        <w:t>,</w:t>
      </w:r>
      <w:r w:rsidR="00B77C77">
        <w:rPr>
          <w:rFonts w:ascii="Times New Roman" w:hAnsi="Times New Roman" w:cs="Times New Roman"/>
          <w:sz w:val="24"/>
          <w:szCs w:val="24"/>
        </w:rPr>
        <w:t xml:space="preserve"> </w:t>
      </w:r>
      <w:r w:rsidR="00737916">
        <w:rPr>
          <w:rFonts w:ascii="Times New Roman" w:hAnsi="Times New Roman" w:cs="Times New Roman"/>
          <w:sz w:val="24"/>
          <w:szCs w:val="24"/>
        </w:rPr>
        <w:t>on the basis of the factors identified by him</w:t>
      </w:r>
      <w:r w:rsidR="006B0BC7">
        <w:rPr>
          <w:rFonts w:ascii="Times New Roman" w:hAnsi="Times New Roman" w:cs="Times New Roman"/>
          <w:sz w:val="24"/>
          <w:szCs w:val="24"/>
        </w:rPr>
        <w:t>,</w:t>
      </w:r>
      <w:r w:rsidR="00737916">
        <w:rPr>
          <w:rFonts w:ascii="Times New Roman" w:hAnsi="Times New Roman" w:cs="Times New Roman"/>
          <w:sz w:val="24"/>
          <w:szCs w:val="24"/>
        </w:rPr>
        <w:t xml:space="preserve"> </w:t>
      </w:r>
      <w:r w:rsidR="00B77C77">
        <w:rPr>
          <w:rFonts w:ascii="Times New Roman" w:hAnsi="Times New Roman" w:cs="Times New Roman"/>
          <w:sz w:val="24"/>
          <w:szCs w:val="24"/>
        </w:rPr>
        <w:t xml:space="preserve">established exceptional circumstances required by statute before that facility could be granted.  At the time High Court decisions confirmed the </w:t>
      </w:r>
      <w:r w:rsidR="00E973A7">
        <w:rPr>
          <w:rFonts w:ascii="Times New Roman" w:hAnsi="Times New Roman" w:cs="Times New Roman"/>
          <w:sz w:val="24"/>
          <w:szCs w:val="24"/>
        </w:rPr>
        <w:t>correctness of this interpretation of the law, and the applicant did not proceed to seek judicial review of the Board’s decision.  Then, th</w:t>
      </w:r>
      <w:r w:rsidR="00737916">
        <w:rPr>
          <w:rFonts w:ascii="Times New Roman" w:hAnsi="Times New Roman" w:cs="Times New Roman"/>
          <w:sz w:val="24"/>
          <w:szCs w:val="24"/>
        </w:rPr>
        <w:t xml:space="preserve">is court </w:t>
      </w:r>
      <w:r w:rsidR="00E973A7">
        <w:rPr>
          <w:rFonts w:ascii="Times New Roman" w:hAnsi="Times New Roman" w:cs="Times New Roman"/>
          <w:sz w:val="24"/>
          <w:szCs w:val="24"/>
        </w:rPr>
        <w:t xml:space="preserve">rendered a different interpretation of the relevant statutory provisions, and the applicant sought (four years after the decision of the Board) to extend time to seek judicial review of the Board’s decision.  </w:t>
      </w:r>
      <w:r w:rsidR="00E51770">
        <w:rPr>
          <w:rFonts w:ascii="Times New Roman" w:hAnsi="Times New Roman" w:cs="Times New Roman"/>
          <w:sz w:val="24"/>
          <w:szCs w:val="24"/>
        </w:rPr>
        <w:t>In the course of her explanation as to wh</w:t>
      </w:r>
      <w:r w:rsidR="008E01B8">
        <w:rPr>
          <w:rFonts w:ascii="Times New Roman" w:hAnsi="Times New Roman" w:cs="Times New Roman"/>
          <w:sz w:val="24"/>
          <w:szCs w:val="24"/>
        </w:rPr>
        <w:t>y she</w:t>
      </w:r>
      <w:r w:rsidR="00E51770">
        <w:rPr>
          <w:rFonts w:ascii="Times New Roman" w:hAnsi="Times New Roman" w:cs="Times New Roman"/>
          <w:sz w:val="24"/>
          <w:szCs w:val="24"/>
        </w:rPr>
        <w:t xml:space="preserve"> felt that time should be extended, Finlay Geoghegan J. referenced comments of Hardiman J. in </w:t>
      </w:r>
      <w:r w:rsidR="00E51770">
        <w:rPr>
          <w:rFonts w:ascii="Times New Roman" w:hAnsi="Times New Roman" w:cs="Times New Roman"/>
          <w:i/>
          <w:sz w:val="24"/>
          <w:szCs w:val="24"/>
        </w:rPr>
        <w:t xml:space="preserve">GK v. Minister for Justice </w:t>
      </w:r>
      <w:r w:rsidR="00E51770">
        <w:rPr>
          <w:rFonts w:ascii="Times New Roman" w:hAnsi="Times New Roman" w:cs="Times New Roman"/>
          <w:sz w:val="24"/>
          <w:szCs w:val="24"/>
        </w:rPr>
        <w:t>[2002] 2 IR 418</w:t>
      </w:r>
      <w:r w:rsidR="00231FCE">
        <w:rPr>
          <w:rFonts w:ascii="Times New Roman" w:hAnsi="Times New Roman" w:cs="Times New Roman"/>
          <w:sz w:val="24"/>
          <w:szCs w:val="24"/>
        </w:rPr>
        <w:t xml:space="preserve">, </w:t>
      </w:r>
      <w:r w:rsidR="00407122">
        <w:rPr>
          <w:rFonts w:ascii="Times New Roman" w:hAnsi="Times New Roman" w:cs="Times New Roman"/>
          <w:sz w:val="24"/>
          <w:szCs w:val="24"/>
        </w:rPr>
        <w:t xml:space="preserve">at p. </w:t>
      </w:r>
      <w:r w:rsidR="00231FCE">
        <w:rPr>
          <w:rFonts w:ascii="Times New Roman" w:hAnsi="Times New Roman" w:cs="Times New Roman"/>
          <w:sz w:val="24"/>
          <w:szCs w:val="24"/>
        </w:rPr>
        <w:t>423 as follows:</w:t>
      </w:r>
    </w:p>
    <w:p w14:paraId="22DC823A" w14:textId="77777777" w:rsidR="008E01B8" w:rsidRPr="00231FCE" w:rsidRDefault="008E01B8" w:rsidP="008E01B8">
      <w:pPr>
        <w:pStyle w:val="ListParagraph"/>
        <w:spacing w:before="240" w:line="480" w:lineRule="auto"/>
        <w:ind w:left="786"/>
        <w:jc w:val="both"/>
        <w:rPr>
          <w:rFonts w:ascii="Times New Roman" w:hAnsi="Times New Roman" w:cs="Times New Roman"/>
          <w:b/>
          <w:sz w:val="24"/>
          <w:szCs w:val="24"/>
        </w:rPr>
      </w:pPr>
    </w:p>
    <w:p w14:paraId="007CB3C1" w14:textId="77777777" w:rsidR="00231FCE" w:rsidRPr="00231FCE" w:rsidRDefault="00231FCE" w:rsidP="00231FCE">
      <w:pPr>
        <w:pStyle w:val="ListParagraph"/>
        <w:spacing w:before="240" w:line="480" w:lineRule="auto"/>
        <w:ind w:left="1440"/>
        <w:jc w:val="both"/>
        <w:rPr>
          <w:rFonts w:ascii="Times New Roman" w:hAnsi="Times New Roman" w:cs="Times New Roman"/>
          <w:i/>
          <w:sz w:val="24"/>
          <w:szCs w:val="24"/>
        </w:rPr>
      </w:pPr>
      <w:r>
        <w:rPr>
          <w:rFonts w:ascii="Times New Roman" w:hAnsi="Times New Roman" w:cs="Times New Roman"/>
          <w:sz w:val="24"/>
          <w:szCs w:val="24"/>
        </w:rPr>
        <w:t>‘</w:t>
      </w:r>
      <w:r>
        <w:rPr>
          <w:rFonts w:ascii="Times New Roman" w:hAnsi="Times New Roman" w:cs="Times New Roman"/>
          <w:i/>
          <w:sz w:val="24"/>
          <w:szCs w:val="24"/>
        </w:rPr>
        <w:t>On the hearing of an application such as this it is, of course, impossible to address the merits in the detail of which they would be addressed at a full hearing, if that takes place.  But it is not an excessive burden to require the demonstration of an arguable case.’</w:t>
      </w:r>
    </w:p>
    <w:p w14:paraId="4B08ADEF" w14:textId="77777777" w:rsidR="00231FCE" w:rsidRDefault="00231FCE" w:rsidP="00231FCE">
      <w:pPr>
        <w:pStyle w:val="ListParagraph"/>
        <w:spacing w:before="240" w:line="480" w:lineRule="auto"/>
        <w:ind w:left="786"/>
        <w:jc w:val="both"/>
        <w:rPr>
          <w:rFonts w:ascii="Times New Roman" w:hAnsi="Times New Roman" w:cs="Times New Roman"/>
          <w:b/>
          <w:sz w:val="24"/>
          <w:szCs w:val="24"/>
        </w:rPr>
      </w:pPr>
      <w:r>
        <w:rPr>
          <w:rFonts w:ascii="Times New Roman" w:hAnsi="Times New Roman" w:cs="Times New Roman"/>
          <w:b/>
          <w:sz w:val="24"/>
          <w:szCs w:val="24"/>
        </w:rPr>
        <w:t xml:space="preserve">  </w:t>
      </w:r>
    </w:p>
    <w:p w14:paraId="270573DB" w14:textId="158806E1" w:rsidR="00231FCE" w:rsidRPr="00231FCE" w:rsidRDefault="00231FCE" w:rsidP="003E1C16">
      <w:pPr>
        <w:pStyle w:val="ListParagraph"/>
        <w:numPr>
          <w:ilvl w:val="0"/>
          <w:numId w:val="1"/>
        </w:numPr>
        <w:spacing w:before="240" w:line="480" w:lineRule="auto"/>
        <w:ind w:hanging="502"/>
        <w:jc w:val="both"/>
        <w:rPr>
          <w:rFonts w:ascii="Times New Roman" w:hAnsi="Times New Roman" w:cs="Times New Roman"/>
          <w:b/>
          <w:sz w:val="24"/>
          <w:szCs w:val="24"/>
        </w:rPr>
      </w:pPr>
      <w:r>
        <w:rPr>
          <w:rFonts w:ascii="Times New Roman" w:hAnsi="Times New Roman" w:cs="Times New Roman"/>
          <w:sz w:val="24"/>
          <w:szCs w:val="24"/>
        </w:rPr>
        <w:t>Based upon these observations, Finlay</w:t>
      </w:r>
      <w:r w:rsidR="00407122">
        <w:rPr>
          <w:rFonts w:ascii="Times New Roman" w:hAnsi="Times New Roman" w:cs="Times New Roman"/>
          <w:sz w:val="24"/>
          <w:szCs w:val="24"/>
        </w:rPr>
        <w:t xml:space="preserve"> </w:t>
      </w:r>
      <w:r>
        <w:rPr>
          <w:rFonts w:ascii="Times New Roman" w:hAnsi="Times New Roman" w:cs="Times New Roman"/>
          <w:sz w:val="24"/>
          <w:szCs w:val="24"/>
        </w:rPr>
        <w:t>Geoghegan J. said this (at para. 57):</w:t>
      </w:r>
    </w:p>
    <w:p w14:paraId="173A692F" w14:textId="77777777" w:rsidR="00231FCE" w:rsidRDefault="00231FCE" w:rsidP="00231FCE">
      <w:pPr>
        <w:pStyle w:val="ListParagraph"/>
        <w:spacing w:before="240" w:line="480" w:lineRule="auto"/>
        <w:ind w:left="786"/>
        <w:jc w:val="both"/>
        <w:rPr>
          <w:rFonts w:ascii="Times New Roman" w:hAnsi="Times New Roman" w:cs="Times New Roman"/>
          <w:b/>
          <w:sz w:val="24"/>
          <w:szCs w:val="24"/>
        </w:rPr>
      </w:pPr>
    </w:p>
    <w:p w14:paraId="36E1F4A2" w14:textId="73560A4D" w:rsidR="00231FCE" w:rsidRPr="00231FCE" w:rsidRDefault="00231FCE" w:rsidP="00231FCE">
      <w:pPr>
        <w:pStyle w:val="ListParagraph"/>
        <w:spacing w:before="240" w:line="480" w:lineRule="auto"/>
        <w:ind w:left="1440"/>
        <w:jc w:val="both"/>
        <w:rPr>
          <w:rFonts w:ascii="Times New Roman" w:hAnsi="Times New Roman" w:cs="Times New Roman"/>
          <w:i/>
          <w:sz w:val="24"/>
          <w:szCs w:val="24"/>
        </w:rPr>
      </w:pPr>
      <w:r>
        <w:rPr>
          <w:rFonts w:ascii="Times New Roman" w:hAnsi="Times New Roman" w:cs="Times New Roman"/>
          <w:sz w:val="24"/>
          <w:szCs w:val="24"/>
        </w:rPr>
        <w:t>‘</w:t>
      </w:r>
      <w:r>
        <w:rPr>
          <w:rFonts w:ascii="Times New Roman" w:hAnsi="Times New Roman" w:cs="Times New Roman"/>
          <w:i/>
          <w:sz w:val="24"/>
          <w:szCs w:val="24"/>
        </w:rPr>
        <w:t xml:space="preserve">one of the factors which a court may consider in the context of determining whether there exists good and sufficient reason to extend the time is the </w:t>
      </w:r>
      <w:r>
        <w:rPr>
          <w:rFonts w:ascii="Times New Roman" w:hAnsi="Times New Roman" w:cs="Times New Roman"/>
          <w:i/>
          <w:sz w:val="24"/>
          <w:szCs w:val="24"/>
        </w:rPr>
        <w:lastRenderedPageBreak/>
        <w:t>underlying merits of the application</w:t>
      </w:r>
      <w:r w:rsidR="00407122">
        <w:rPr>
          <w:rFonts w:ascii="Times New Roman" w:hAnsi="Times New Roman" w:cs="Times New Roman"/>
          <w:i/>
          <w:sz w:val="24"/>
          <w:szCs w:val="24"/>
        </w:rPr>
        <w:t>,</w:t>
      </w:r>
      <w:r>
        <w:rPr>
          <w:rFonts w:ascii="Times New Roman" w:hAnsi="Times New Roman" w:cs="Times New Roman"/>
          <w:i/>
          <w:sz w:val="24"/>
          <w:szCs w:val="24"/>
        </w:rPr>
        <w:t xml:space="preserve"> in the sense at least of requiring demonstration of an arguable case</w:t>
      </w:r>
      <w:r w:rsidR="00407122">
        <w:rPr>
          <w:rFonts w:ascii="Times New Roman" w:hAnsi="Times New Roman" w:cs="Times New Roman"/>
          <w:i/>
          <w:sz w:val="24"/>
          <w:szCs w:val="24"/>
        </w:rPr>
        <w:t>.</w:t>
      </w:r>
      <w:r>
        <w:rPr>
          <w:rFonts w:ascii="Times New Roman" w:hAnsi="Times New Roman" w:cs="Times New Roman"/>
          <w:i/>
          <w:sz w:val="24"/>
          <w:szCs w:val="24"/>
        </w:rPr>
        <w:t>’</w:t>
      </w:r>
    </w:p>
    <w:p w14:paraId="1572CC69" w14:textId="77777777" w:rsidR="00231FCE" w:rsidRDefault="00231FCE" w:rsidP="00231FCE">
      <w:pPr>
        <w:pStyle w:val="ListParagraph"/>
        <w:spacing w:before="240" w:line="480" w:lineRule="auto"/>
        <w:ind w:left="786"/>
        <w:jc w:val="both"/>
        <w:rPr>
          <w:rFonts w:ascii="Times New Roman" w:hAnsi="Times New Roman" w:cs="Times New Roman"/>
          <w:b/>
          <w:sz w:val="24"/>
          <w:szCs w:val="24"/>
        </w:rPr>
      </w:pPr>
      <w:r>
        <w:rPr>
          <w:rFonts w:ascii="Times New Roman" w:hAnsi="Times New Roman" w:cs="Times New Roman"/>
          <w:b/>
          <w:sz w:val="24"/>
          <w:szCs w:val="24"/>
        </w:rPr>
        <w:t xml:space="preserve">  </w:t>
      </w:r>
    </w:p>
    <w:p w14:paraId="70189EA6" w14:textId="2D772936" w:rsidR="008F3C5E" w:rsidRDefault="00231FCE" w:rsidP="003E1C16">
      <w:pPr>
        <w:pStyle w:val="ListParagraph"/>
        <w:numPr>
          <w:ilvl w:val="0"/>
          <w:numId w:val="1"/>
        </w:numPr>
        <w:spacing w:before="240" w:line="480" w:lineRule="auto"/>
        <w:ind w:hanging="502"/>
        <w:jc w:val="both"/>
        <w:rPr>
          <w:rFonts w:ascii="Times New Roman" w:hAnsi="Times New Roman" w:cs="Times New Roman"/>
          <w:b/>
          <w:sz w:val="24"/>
          <w:szCs w:val="24"/>
        </w:rPr>
      </w:pPr>
      <w:r>
        <w:rPr>
          <w:rFonts w:ascii="Times New Roman" w:hAnsi="Times New Roman" w:cs="Times New Roman"/>
          <w:sz w:val="24"/>
          <w:szCs w:val="24"/>
        </w:rPr>
        <w:t xml:space="preserve">I agree with the observations of Simons J. in </w:t>
      </w:r>
      <w:r w:rsidR="00407122">
        <w:rPr>
          <w:rFonts w:ascii="Times New Roman" w:hAnsi="Times New Roman" w:cs="Times New Roman"/>
          <w:i/>
          <w:sz w:val="24"/>
          <w:szCs w:val="24"/>
        </w:rPr>
        <w:t>DPP v. Samantha Tyndall</w:t>
      </w:r>
      <w:r>
        <w:rPr>
          <w:rFonts w:ascii="Times New Roman" w:hAnsi="Times New Roman" w:cs="Times New Roman"/>
          <w:i/>
          <w:sz w:val="24"/>
          <w:szCs w:val="24"/>
        </w:rPr>
        <w:t xml:space="preserve"> </w:t>
      </w:r>
      <w:r>
        <w:rPr>
          <w:rFonts w:ascii="Times New Roman" w:hAnsi="Times New Roman" w:cs="Times New Roman"/>
          <w:sz w:val="24"/>
          <w:szCs w:val="24"/>
        </w:rPr>
        <w:t xml:space="preserve">[2021] IEHC </w:t>
      </w:r>
      <w:r w:rsidR="00407122">
        <w:rPr>
          <w:rFonts w:ascii="Times New Roman" w:hAnsi="Times New Roman" w:cs="Times New Roman"/>
          <w:sz w:val="24"/>
          <w:szCs w:val="24"/>
        </w:rPr>
        <w:t>283</w:t>
      </w:r>
      <w:r>
        <w:rPr>
          <w:rFonts w:ascii="Times New Roman" w:hAnsi="Times New Roman" w:cs="Times New Roman"/>
          <w:sz w:val="24"/>
          <w:szCs w:val="24"/>
        </w:rPr>
        <w:t xml:space="preserve"> (at para. 47) that ‘</w:t>
      </w:r>
      <w:r>
        <w:rPr>
          <w:rFonts w:ascii="Times New Roman" w:hAnsi="Times New Roman" w:cs="Times New Roman"/>
          <w:i/>
          <w:sz w:val="24"/>
          <w:szCs w:val="24"/>
        </w:rPr>
        <w:t>there are dangers in embarking upon an elaborate assessment of the underlying merits on an application to extend time’</w:t>
      </w:r>
      <w:r>
        <w:rPr>
          <w:rFonts w:ascii="Times New Roman" w:hAnsi="Times New Roman" w:cs="Times New Roman"/>
          <w:sz w:val="24"/>
          <w:szCs w:val="24"/>
        </w:rPr>
        <w:t xml:space="preserve">.  In </w:t>
      </w:r>
      <w:r>
        <w:rPr>
          <w:rFonts w:ascii="Times New Roman" w:hAnsi="Times New Roman" w:cs="Times New Roman"/>
          <w:i/>
          <w:sz w:val="24"/>
          <w:szCs w:val="24"/>
        </w:rPr>
        <w:t xml:space="preserve">GK v. Minister </w:t>
      </w:r>
      <w:r w:rsidR="00407122">
        <w:rPr>
          <w:rFonts w:ascii="Times New Roman" w:hAnsi="Times New Roman" w:cs="Times New Roman"/>
          <w:i/>
          <w:sz w:val="24"/>
          <w:szCs w:val="24"/>
        </w:rPr>
        <w:t xml:space="preserve">for </w:t>
      </w:r>
      <w:r>
        <w:rPr>
          <w:rFonts w:ascii="Times New Roman" w:hAnsi="Times New Roman" w:cs="Times New Roman"/>
          <w:i/>
          <w:sz w:val="24"/>
          <w:szCs w:val="24"/>
        </w:rPr>
        <w:t>Justice</w:t>
      </w:r>
      <w:r>
        <w:rPr>
          <w:rFonts w:ascii="Times New Roman" w:hAnsi="Times New Roman" w:cs="Times New Roman"/>
          <w:sz w:val="24"/>
          <w:szCs w:val="24"/>
        </w:rPr>
        <w:t xml:space="preserve"> Hardiman J. was doing no more than confirming that where a case is not shown to be arguable, this is</w:t>
      </w:r>
      <w:r w:rsidR="00E25663">
        <w:rPr>
          <w:rFonts w:ascii="Times New Roman" w:hAnsi="Times New Roman" w:cs="Times New Roman"/>
          <w:sz w:val="24"/>
          <w:szCs w:val="24"/>
        </w:rPr>
        <w:t xml:space="preserve"> one</w:t>
      </w:r>
      <w:r>
        <w:rPr>
          <w:rFonts w:ascii="Times New Roman" w:hAnsi="Times New Roman" w:cs="Times New Roman"/>
          <w:sz w:val="24"/>
          <w:szCs w:val="24"/>
        </w:rPr>
        <w:t xml:space="preserve"> factor that must be taken into account in determining whether to extend time.  In </w:t>
      </w:r>
      <w:r>
        <w:rPr>
          <w:rFonts w:ascii="Times New Roman" w:hAnsi="Times New Roman" w:cs="Times New Roman"/>
          <w:i/>
          <w:sz w:val="24"/>
          <w:szCs w:val="24"/>
        </w:rPr>
        <w:t xml:space="preserve">MO’S, </w:t>
      </w:r>
      <w:r>
        <w:rPr>
          <w:rFonts w:ascii="Times New Roman" w:hAnsi="Times New Roman" w:cs="Times New Roman"/>
          <w:sz w:val="24"/>
          <w:szCs w:val="24"/>
        </w:rPr>
        <w:t>conversely, the applicant’s case was extremely strong to the point that the only extant issue in the proceedings was whether time should be extended because</w:t>
      </w:r>
      <w:r w:rsidR="006B0BC7">
        <w:rPr>
          <w:rFonts w:ascii="Times New Roman" w:hAnsi="Times New Roman" w:cs="Times New Roman"/>
          <w:sz w:val="24"/>
          <w:szCs w:val="24"/>
        </w:rPr>
        <w:t xml:space="preserve">, </w:t>
      </w:r>
      <w:r>
        <w:rPr>
          <w:rFonts w:ascii="Times New Roman" w:hAnsi="Times New Roman" w:cs="Times New Roman"/>
          <w:sz w:val="24"/>
          <w:szCs w:val="24"/>
        </w:rPr>
        <w:t>as a result of the decision of this court which gave rise to the late application for leave, it was accepted that the applicant would prevail in his case if he obtained an extension.  Between these two extremes lie the vast majority of applications of this kind, and in those cases the court has no role in determining the merits of the action.</w:t>
      </w:r>
      <w:r w:rsidR="003E4467">
        <w:rPr>
          <w:rFonts w:ascii="Times New Roman" w:hAnsi="Times New Roman" w:cs="Times New Roman"/>
          <w:sz w:val="24"/>
          <w:szCs w:val="24"/>
        </w:rPr>
        <w:t xml:space="preserve">  Were the position otherwise</w:t>
      </w:r>
      <w:r w:rsidR="00737916">
        <w:rPr>
          <w:rFonts w:ascii="Times New Roman" w:hAnsi="Times New Roman" w:cs="Times New Roman"/>
          <w:sz w:val="24"/>
          <w:szCs w:val="24"/>
        </w:rPr>
        <w:t xml:space="preserve">, </w:t>
      </w:r>
      <w:r w:rsidR="006E65EE">
        <w:rPr>
          <w:rFonts w:ascii="Times New Roman" w:hAnsi="Times New Roman" w:cs="Times New Roman"/>
          <w:sz w:val="24"/>
          <w:szCs w:val="24"/>
        </w:rPr>
        <w:t xml:space="preserve">an </w:t>
      </w:r>
      <w:r w:rsidR="003E4467">
        <w:rPr>
          <w:rFonts w:ascii="Times New Roman" w:hAnsi="Times New Roman" w:cs="Times New Roman"/>
          <w:sz w:val="24"/>
          <w:szCs w:val="24"/>
        </w:rPr>
        <w:t xml:space="preserve">application for an extension of time would be converted into a trial of the merits, defeating </w:t>
      </w:r>
      <w:r w:rsidR="00C420AA">
        <w:rPr>
          <w:rFonts w:ascii="Times New Roman" w:hAnsi="Times New Roman" w:cs="Times New Roman"/>
          <w:sz w:val="24"/>
          <w:szCs w:val="24"/>
        </w:rPr>
        <w:t xml:space="preserve">at least part of </w:t>
      </w:r>
      <w:r w:rsidR="003E4467">
        <w:rPr>
          <w:rFonts w:ascii="Times New Roman" w:hAnsi="Times New Roman" w:cs="Times New Roman"/>
          <w:sz w:val="24"/>
          <w:szCs w:val="24"/>
        </w:rPr>
        <w:t>the purpose of the rule giving rise to</w:t>
      </w:r>
      <w:r w:rsidR="006E65EE">
        <w:rPr>
          <w:rFonts w:ascii="Times New Roman" w:hAnsi="Times New Roman" w:cs="Times New Roman"/>
          <w:sz w:val="24"/>
          <w:szCs w:val="24"/>
        </w:rPr>
        <w:t xml:space="preserve"> the necessity </w:t>
      </w:r>
      <w:r w:rsidR="00C420AA">
        <w:rPr>
          <w:rFonts w:ascii="Times New Roman" w:hAnsi="Times New Roman" w:cs="Times New Roman"/>
          <w:sz w:val="24"/>
          <w:szCs w:val="24"/>
        </w:rPr>
        <w:t xml:space="preserve">to seek </w:t>
      </w:r>
      <w:r w:rsidR="006E65EE">
        <w:rPr>
          <w:rFonts w:ascii="Times New Roman" w:hAnsi="Times New Roman" w:cs="Times New Roman"/>
          <w:sz w:val="24"/>
          <w:szCs w:val="24"/>
        </w:rPr>
        <w:t>an extension of time in the first place</w:t>
      </w:r>
      <w:r w:rsidR="003E4467">
        <w:rPr>
          <w:rFonts w:ascii="Times New Roman" w:hAnsi="Times New Roman" w:cs="Times New Roman"/>
          <w:sz w:val="24"/>
          <w:szCs w:val="24"/>
        </w:rPr>
        <w:t>.</w:t>
      </w:r>
      <w:r w:rsidR="008F3C5E" w:rsidRPr="003E4467">
        <w:rPr>
          <w:rFonts w:ascii="Times New Roman" w:hAnsi="Times New Roman" w:cs="Times New Roman"/>
          <w:b/>
          <w:sz w:val="24"/>
          <w:szCs w:val="24"/>
        </w:rPr>
        <w:t xml:space="preserve"> </w:t>
      </w:r>
    </w:p>
    <w:p w14:paraId="28AC9FF2" w14:textId="77777777" w:rsidR="008A3475" w:rsidRPr="00E25663" w:rsidRDefault="008A3475" w:rsidP="00E25663">
      <w:pPr>
        <w:rPr>
          <w:rFonts w:ascii="Times New Roman" w:hAnsi="Times New Roman" w:cs="Times New Roman"/>
          <w:b/>
          <w:sz w:val="24"/>
          <w:szCs w:val="24"/>
        </w:rPr>
      </w:pPr>
    </w:p>
    <w:p w14:paraId="0180C14A" w14:textId="77777777" w:rsidR="008A3475" w:rsidRDefault="008A3475" w:rsidP="008A3475">
      <w:pPr>
        <w:pStyle w:val="ListParagraph"/>
        <w:spacing w:before="240" w:line="480" w:lineRule="auto"/>
        <w:jc w:val="both"/>
        <w:rPr>
          <w:rFonts w:ascii="Times New Roman" w:hAnsi="Times New Roman" w:cs="Times New Roman"/>
          <w:b/>
          <w:i/>
          <w:sz w:val="24"/>
          <w:szCs w:val="24"/>
        </w:rPr>
      </w:pPr>
      <w:r>
        <w:rPr>
          <w:rFonts w:ascii="Times New Roman" w:hAnsi="Times New Roman" w:cs="Times New Roman"/>
          <w:b/>
          <w:i/>
          <w:sz w:val="24"/>
          <w:szCs w:val="24"/>
        </w:rPr>
        <w:t>Article 83</w:t>
      </w:r>
      <w:r w:rsidR="00AD1029">
        <w:rPr>
          <w:rFonts w:ascii="Times New Roman" w:hAnsi="Times New Roman" w:cs="Times New Roman"/>
          <w:b/>
          <w:i/>
          <w:sz w:val="24"/>
          <w:szCs w:val="24"/>
        </w:rPr>
        <w:t xml:space="preserve"> and the correspondence exchanged between the parties</w:t>
      </w:r>
    </w:p>
    <w:p w14:paraId="4383D41A" w14:textId="77777777" w:rsidR="003508A8" w:rsidRDefault="003508A8" w:rsidP="008A3475">
      <w:pPr>
        <w:pStyle w:val="ListParagraph"/>
        <w:spacing w:before="240" w:line="480" w:lineRule="auto"/>
        <w:jc w:val="both"/>
        <w:rPr>
          <w:rFonts w:ascii="Times New Roman" w:hAnsi="Times New Roman" w:cs="Times New Roman"/>
          <w:sz w:val="24"/>
          <w:szCs w:val="24"/>
        </w:rPr>
      </w:pPr>
    </w:p>
    <w:p w14:paraId="336CC755" w14:textId="77777777" w:rsidR="003508A8" w:rsidRPr="003508A8" w:rsidRDefault="003508A8" w:rsidP="003508A8">
      <w:pPr>
        <w:pStyle w:val="ListParagraph"/>
        <w:numPr>
          <w:ilvl w:val="0"/>
          <w:numId w:val="25"/>
        </w:numPr>
        <w:spacing w:before="240" w:line="480" w:lineRule="auto"/>
        <w:jc w:val="both"/>
        <w:rPr>
          <w:rFonts w:ascii="Times New Roman" w:hAnsi="Times New Roman" w:cs="Times New Roman"/>
          <w:i/>
          <w:sz w:val="24"/>
          <w:szCs w:val="24"/>
        </w:rPr>
      </w:pPr>
      <w:r>
        <w:rPr>
          <w:rFonts w:ascii="Times New Roman" w:hAnsi="Times New Roman" w:cs="Times New Roman"/>
          <w:i/>
          <w:sz w:val="24"/>
          <w:szCs w:val="24"/>
        </w:rPr>
        <w:t>The issues</w:t>
      </w:r>
    </w:p>
    <w:p w14:paraId="6F27DDAB" w14:textId="77777777" w:rsidR="00B26544" w:rsidRPr="00B26544" w:rsidRDefault="00B26544" w:rsidP="00B26544">
      <w:pPr>
        <w:pStyle w:val="ListParagraph"/>
        <w:spacing w:before="240" w:line="480" w:lineRule="auto"/>
        <w:jc w:val="both"/>
        <w:rPr>
          <w:rFonts w:ascii="Times New Roman" w:hAnsi="Times New Roman" w:cs="Times New Roman"/>
          <w:b/>
          <w:sz w:val="24"/>
          <w:szCs w:val="24"/>
        </w:rPr>
      </w:pPr>
      <w:r>
        <w:rPr>
          <w:rFonts w:ascii="Times New Roman" w:hAnsi="Times New Roman" w:cs="Times New Roman"/>
          <w:sz w:val="24"/>
          <w:szCs w:val="24"/>
        </w:rPr>
        <w:t xml:space="preserve">  </w:t>
      </w:r>
    </w:p>
    <w:p w14:paraId="676FE87F" w14:textId="4A042C9A" w:rsidR="003E4467" w:rsidRPr="003508A8" w:rsidRDefault="003E4467" w:rsidP="003E1C16">
      <w:pPr>
        <w:pStyle w:val="ListParagraph"/>
        <w:numPr>
          <w:ilvl w:val="0"/>
          <w:numId w:val="1"/>
        </w:numPr>
        <w:spacing w:before="240" w:line="480" w:lineRule="auto"/>
        <w:ind w:hanging="502"/>
        <w:jc w:val="both"/>
        <w:rPr>
          <w:rFonts w:ascii="Times New Roman" w:hAnsi="Times New Roman" w:cs="Times New Roman"/>
          <w:b/>
          <w:sz w:val="24"/>
          <w:szCs w:val="24"/>
        </w:rPr>
      </w:pPr>
      <w:r w:rsidRPr="003E4467">
        <w:rPr>
          <w:rFonts w:ascii="Times New Roman" w:hAnsi="Times New Roman" w:cs="Times New Roman"/>
          <w:sz w:val="24"/>
          <w:szCs w:val="24"/>
        </w:rPr>
        <w:t>The other point made by Arthropharm is that it sought in its correspondence of</w:t>
      </w:r>
      <w:r w:rsidR="00232ADF">
        <w:rPr>
          <w:rFonts w:ascii="Times New Roman" w:hAnsi="Times New Roman" w:cs="Times New Roman"/>
          <w:sz w:val="24"/>
          <w:szCs w:val="24"/>
        </w:rPr>
        <w:t xml:space="preserve"> 12</w:t>
      </w:r>
      <w:r w:rsidRPr="003E4467">
        <w:rPr>
          <w:rFonts w:ascii="Times New Roman" w:hAnsi="Times New Roman" w:cs="Times New Roman"/>
          <w:sz w:val="24"/>
          <w:szCs w:val="24"/>
        </w:rPr>
        <w:t xml:space="preserve"> October </w:t>
      </w:r>
      <w:r w:rsidR="006B0BC7">
        <w:rPr>
          <w:rFonts w:ascii="Times New Roman" w:hAnsi="Times New Roman" w:cs="Times New Roman"/>
          <w:sz w:val="24"/>
          <w:szCs w:val="24"/>
        </w:rPr>
        <w:t xml:space="preserve">2018 </w:t>
      </w:r>
      <w:r w:rsidRPr="003E4467">
        <w:rPr>
          <w:rFonts w:ascii="Times New Roman" w:hAnsi="Times New Roman" w:cs="Times New Roman"/>
          <w:sz w:val="24"/>
          <w:szCs w:val="24"/>
        </w:rPr>
        <w:t>to pursue an alternative remedy</w:t>
      </w:r>
      <w:r>
        <w:rPr>
          <w:rFonts w:ascii="Times New Roman" w:hAnsi="Times New Roman" w:cs="Times New Roman"/>
          <w:sz w:val="24"/>
          <w:szCs w:val="24"/>
        </w:rPr>
        <w:t>, and that the court should extend time because there was an ongoing exchange taking place between the parties.</w:t>
      </w:r>
      <w:r w:rsidRPr="003E4467">
        <w:rPr>
          <w:rFonts w:ascii="Times New Roman" w:hAnsi="Times New Roman" w:cs="Times New Roman"/>
          <w:sz w:val="24"/>
          <w:szCs w:val="24"/>
        </w:rPr>
        <w:t xml:space="preserve">  </w:t>
      </w:r>
      <w:r w:rsidR="00CF31EA">
        <w:rPr>
          <w:rFonts w:ascii="Times New Roman" w:hAnsi="Times New Roman" w:cs="Times New Roman"/>
          <w:sz w:val="24"/>
          <w:szCs w:val="24"/>
        </w:rPr>
        <w:t xml:space="preserve">This, it </w:t>
      </w:r>
      <w:r w:rsidR="00CF31EA">
        <w:rPr>
          <w:rFonts w:ascii="Times New Roman" w:hAnsi="Times New Roman" w:cs="Times New Roman"/>
          <w:sz w:val="24"/>
          <w:szCs w:val="24"/>
        </w:rPr>
        <w:lastRenderedPageBreak/>
        <w:t>seems to me, is closely related to the contention that</w:t>
      </w:r>
      <w:r w:rsidR="00087613">
        <w:rPr>
          <w:rFonts w:ascii="Times New Roman" w:hAnsi="Times New Roman" w:cs="Times New Roman"/>
          <w:sz w:val="24"/>
          <w:szCs w:val="24"/>
        </w:rPr>
        <w:t xml:space="preserve"> the failure of HPRA to accede to Arthropharm’s request that it suspend or withdraw Osteopen constitutes a distinct decision.</w:t>
      </w:r>
      <w:r w:rsidR="003508A8">
        <w:rPr>
          <w:rFonts w:ascii="Times New Roman" w:hAnsi="Times New Roman" w:cs="Times New Roman"/>
          <w:sz w:val="24"/>
          <w:szCs w:val="24"/>
        </w:rPr>
        <w:t xml:space="preserve">  It is convenient to address them together.</w:t>
      </w:r>
    </w:p>
    <w:p w14:paraId="4B37483F" w14:textId="77777777" w:rsidR="003508A8" w:rsidRDefault="003508A8" w:rsidP="003E1C16">
      <w:pPr>
        <w:pStyle w:val="ListParagraph"/>
        <w:spacing w:before="240" w:line="480" w:lineRule="auto"/>
        <w:ind w:left="786" w:hanging="502"/>
        <w:jc w:val="both"/>
        <w:rPr>
          <w:rFonts w:ascii="Times New Roman" w:hAnsi="Times New Roman" w:cs="Times New Roman"/>
          <w:b/>
          <w:sz w:val="24"/>
          <w:szCs w:val="24"/>
        </w:rPr>
      </w:pPr>
      <w:r>
        <w:rPr>
          <w:rFonts w:ascii="Times New Roman" w:hAnsi="Times New Roman" w:cs="Times New Roman"/>
          <w:b/>
          <w:sz w:val="24"/>
          <w:szCs w:val="24"/>
        </w:rPr>
        <w:t xml:space="preserve">  </w:t>
      </w:r>
    </w:p>
    <w:p w14:paraId="22DB793F" w14:textId="3007D01F" w:rsidR="003508A8" w:rsidRPr="00087613" w:rsidRDefault="003508A8" w:rsidP="003E1C16">
      <w:pPr>
        <w:pStyle w:val="ListParagraph"/>
        <w:numPr>
          <w:ilvl w:val="0"/>
          <w:numId w:val="1"/>
        </w:numPr>
        <w:spacing w:before="240" w:line="480" w:lineRule="auto"/>
        <w:ind w:hanging="502"/>
        <w:jc w:val="both"/>
        <w:rPr>
          <w:rFonts w:ascii="Times New Roman" w:hAnsi="Times New Roman" w:cs="Times New Roman"/>
          <w:b/>
          <w:sz w:val="24"/>
          <w:szCs w:val="24"/>
        </w:rPr>
      </w:pPr>
      <w:r>
        <w:rPr>
          <w:rFonts w:ascii="Times New Roman" w:hAnsi="Times New Roman" w:cs="Times New Roman"/>
          <w:sz w:val="24"/>
          <w:szCs w:val="24"/>
        </w:rPr>
        <w:t>As to the first of these, Arthropharm says that the court ought</w:t>
      </w:r>
      <w:r w:rsidR="002413B0">
        <w:rPr>
          <w:rFonts w:ascii="Times New Roman" w:hAnsi="Times New Roman" w:cs="Times New Roman"/>
          <w:sz w:val="24"/>
          <w:szCs w:val="24"/>
        </w:rPr>
        <w:t>,</w:t>
      </w:r>
      <w:r>
        <w:rPr>
          <w:rFonts w:ascii="Times New Roman" w:hAnsi="Times New Roman" w:cs="Times New Roman"/>
          <w:sz w:val="24"/>
          <w:szCs w:val="24"/>
        </w:rPr>
        <w:t xml:space="preserve"> in weighing matters relevant to the exercise of its discretion</w:t>
      </w:r>
      <w:r w:rsidR="002413B0">
        <w:rPr>
          <w:rFonts w:ascii="Times New Roman" w:hAnsi="Times New Roman" w:cs="Times New Roman"/>
          <w:sz w:val="24"/>
          <w:szCs w:val="24"/>
        </w:rPr>
        <w:t>,</w:t>
      </w:r>
      <w:r>
        <w:rPr>
          <w:rFonts w:ascii="Times New Roman" w:hAnsi="Times New Roman" w:cs="Times New Roman"/>
          <w:sz w:val="24"/>
          <w:szCs w:val="24"/>
        </w:rPr>
        <w:t xml:space="preserve"> have had regard to the fact that Arthropharm was seeking to engage with HPRA in the exercise of a specific power conferred upon it by the Directive.  Simons J., it is said, failed to take sufficient account of the substantive exchanges taking place between Arthropharm and HPRA as of 20 December 2018</w:t>
      </w:r>
      <w:r w:rsidR="00F44DF0">
        <w:rPr>
          <w:rFonts w:ascii="Times New Roman" w:hAnsi="Times New Roman" w:cs="Times New Roman"/>
          <w:sz w:val="24"/>
          <w:szCs w:val="24"/>
        </w:rPr>
        <w:t>.  I</w:t>
      </w:r>
      <w:r>
        <w:rPr>
          <w:rFonts w:ascii="Times New Roman" w:hAnsi="Times New Roman" w:cs="Times New Roman"/>
          <w:sz w:val="24"/>
          <w:szCs w:val="24"/>
        </w:rPr>
        <w:t xml:space="preserve">n that regard, </w:t>
      </w:r>
      <w:r w:rsidR="00F44DF0">
        <w:rPr>
          <w:rFonts w:ascii="Times New Roman" w:hAnsi="Times New Roman" w:cs="Times New Roman"/>
          <w:sz w:val="24"/>
          <w:szCs w:val="24"/>
        </w:rPr>
        <w:t xml:space="preserve">Arthropharm </w:t>
      </w:r>
      <w:r>
        <w:rPr>
          <w:rFonts w:ascii="Times New Roman" w:hAnsi="Times New Roman" w:cs="Times New Roman"/>
          <w:sz w:val="24"/>
          <w:szCs w:val="24"/>
        </w:rPr>
        <w:t xml:space="preserve">referred to the decision of this court in </w:t>
      </w:r>
      <w:r>
        <w:rPr>
          <w:rFonts w:ascii="Times New Roman" w:hAnsi="Times New Roman" w:cs="Times New Roman"/>
          <w:i/>
          <w:sz w:val="24"/>
          <w:szCs w:val="24"/>
        </w:rPr>
        <w:t xml:space="preserve">Murphy v. Garda </w:t>
      </w:r>
      <w:r w:rsidR="002413B0" w:rsidRPr="002413B0">
        <w:rPr>
          <w:rFonts w:ascii="Times New Roman" w:hAnsi="Times New Roman" w:cs="Times New Roman"/>
          <w:i/>
          <w:sz w:val="24"/>
          <w:szCs w:val="24"/>
        </w:rPr>
        <w:t>Síochána</w:t>
      </w:r>
      <w:r>
        <w:rPr>
          <w:rFonts w:ascii="Times New Roman" w:hAnsi="Times New Roman" w:cs="Times New Roman"/>
          <w:i/>
          <w:sz w:val="24"/>
          <w:szCs w:val="24"/>
        </w:rPr>
        <w:t xml:space="preserve"> Ombudsman Commission</w:t>
      </w:r>
      <w:r w:rsidR="00C424B3">
        <w:rPr>
          <w:rFonts w:ascii="Times New Roman" w:hAnsi="Times New Roman" w:cs="Times New Roman"/>
          <w:i/>
          <w:sz w:val="24"/>
          <w:szCs w:val="24"/>
        </w:rPr>
        <w:t xml:space="preserve"> and ors.</w:t>
      </w:r>
      <w:r>
        <w:rPr>
          <w:rFonts w:ascii="Times New Roman" w:hAnsi="Times New Roman" w:cs="Times New Roman"/>
          <w:i/>
          <w:sz w:val="24"/>
          <w:szCs w:val="24"/>
        </w:rPr>
        <w:t xml:space="preserve"> </w:t>
      </w:r>
      <w:r>
        <w:rPr>
          <w:rFonts w:ascii="Times New Roman" w:hAnsi="Times New Roman" w:cs="Times New Roman"/>
          <w:sz w:val="24"/>
          <w:szCs w:val="24"/>
        </w:rPr>
        <w:t>[2021] IECA 26</w:t>
      </w:r>
      <w:r w:rsidR="00F44DF0">
        <w:rPr>
          <w:rFonts w:ascii="Times New Roman" w:hAnsi="Times New Roman" w:cs="Times New Roman"/>
          <w:sz w:val="24"/>
          <w:szCs w:val="24"/>
        </w:rPr>
        <w:t xml:space="preserve"> where Collins J. suggested, </w:t>
      </w:r>
      <w:r w:rsidR="00F44DF0">
        <w:rPr>
          <w:rFonts w:ascii="Times New Roman" w:hAnsi="Times New Roman" w:cs="Times New Roman"/>
          <w:i/>
          <w:sz w:val="24"/>
          <w:szCs w:val="24"/>
        </w:rPr>
        <w:t>obiter</w:t>
      </w:r>
      <w:r w:rsidR="003B7D21">
        <w:rPr>
          <w:rFonts w:ascii="Times New Roman" w:hAnsi="Times New Roman" w:cs="Times New Roman"/>
          <w:i/>
          <w:sz w:val="24"/>
          <w:szCs w:val="24"/>
        </w:rPr>
        <w:t>,</w:t>
      </w:r>
      <w:r w:rsidR="00F44DF0">
        <w:rPr>
          <w:rFonts w:ascii="Times New Roman" w:hAnsi="Times New Roman" w:cs="Times New Roman"/>
          <w:sz w:val="24"/>
          <w:szCs w:val="24"/>
        </w:rPr>
        <w:t xml:space="preserve"> that an applicant who had pursued a review of a decision of a Chief Superintendent of an Garda </w:t>
      </w:r>
      <w:r w:rsidR="002413B0" w:rsidRPr="002413B0">
        <w:rPr>
          <w:rFonts w:ascii="Times New Roman" w:hAnsi="Times New Roman" w:cs="Times New Roman"/>
          <w:sz w:val="24"/>
          <w:szCs w:val="24"/>
        </w:rPr>
        <w:t>Síochána</w:t>
      </w:r>
      <w:r w:rsidR="00F44DF0">
        <w:rPr>
          <w:rFonts w:ascii="Times New Roman" w:hAnsi="Times New Roman" w:cs="Times New Roman"/>
          <w:sz w:val="24"/>
          <w:szCs w:val="24"/>
        </w:rPr>
        <w:t xml:space="preserve"> before the Garda </w:t>
      </w:r>
      <w:r w:rsidR="002413B0" w:rsidRPr="002413B0">
        <w:rPr>
          <w:rFonts w:ascii="Times New Roman" w:hAnsi="Times New Roman" w:cs="Times New Roman"/>
          <w:sz w:val="24"/>
          <w:szCs w:val="24"/>
        </w:rPr>
        <w:t>Síochána</w:t>
      </w:r>
      <w:r w:rsidR="002413B0">
        <w:rPr>
          <w:rFonts w:ascii="Times New Roman" w:hAnsi="Times New Roman" w:cs="Times New Roman"/>
          <w:sz w:val="24"/>
          <w:szCs w:val="24"/>
        </w:rPr>
        <w:t xml:space="preserve"> </w:t>
      </w:r>
      <w:r w:rsidR="00F44DF0">
        <w:rPr>
          <w:rFonts w:ascii="Times New Roman" w:hAnsi="Times New Roman" w:cs="Times New Roman"/>
          <w:sz w:val="24"/>
          <w:szCs w:val="24"/>
        </w:rPr>
        <w:t>Ombudsman should obtain an extension of time to challenge the</w:t>
      </w:r>
      <w:r w:rsidR="00C420AA">
        <w:rPr>
          <w:rFonts w:ascii="Times New Roman" w:hAnsi="Times New Roman" w:cs="Times New Roman"/>
          <w:sz w:val="24"/>
          <w:szCs w:val="24"/>
        </w:rPr>
        <w:t xml:space="preserve"> former</w:t>
      </w:r>
      <w:r w:rsidR="00F44DF0">
        <w:rPr>
          <w:rFonts w:ascii="Times New Roman" w:hAnsi="Times New Roman" w:cs="Times New Roman"/>
          <w:sz w:val="24"/>
          <w:szCs w:val="24"/>
        </w:rPr>
        <w:t xml:space="preserve"> decision because – essentially – litigants should be encouraged to pursue alternative statutory remedies</w:t>
      </w:r>
      <w:r w:rsidR="002413B0">
        <w:rPr>
          <w:rFonts w:ascii="Times New Roman" w:hAnsi="Times New Roman" w:cs="Times New Roman"/>
          <w:sz w:val="24"/>
          <w:szCs w:val="24"/>
        </w:rPr>
        <w:t xml:space="preserve"> (at para. 65)</w:t>
      </w:r>
      <w:r w:rsidR="00F44DF0">
        <w:rPr>
          <w:rFonts w:ascii="Times New Roman" w:hAnsi="Times New Roman" w:cs="Times New Roman"/>
          <w:sz w:val="24"/>
          <w:szCs w:val="24"/>
        </w:rPr>
        <w:t>.</w:t>
      </w:r>
    </w:p>
    <w:p w14:paraId="58C72FFD" w14:textId="77777777" w:rsidR="00087613" w:rsidRPr="003E4467" w:rsidRDefault="00087613" w:rsidP="003E1C16">
      <w:pPr>
        <w:pStyle w:val="ListParagraph"/>
        <w:spacing w:before="240" w:line="480" w:lineRule="auto"/>
        <w:ind w:left="786" w:hanging="502"/>
        <w:jc w:val="both"/>
        <w:rPr>
          <w:rFonts w:ascii="Times New Roman" w:hAnsi="Times New Roman" w:cs="Times New Roman"/>
          <w:b/>
          <w:sz w:val="24"/>
          <w:szCs w:val="24"/>
        </w:rPr>
      </w:pPr>
    </w:p>
    <w:p w14:paraId="6C88EF66" w14:textId="08AA072F" w:rsidR="007D7199" w:rsidRPr="007D7199" w:rsidRDefault="004D0D7D" w:rsidP="003E1C16">
      <w:pPr>
        <w:pStyle w:val="ListParagraph"/>
        <w:numPr>
          <w:ilvl w:val="0"/>
          <w:numId w:val="1"/>
        </w:numPr>
        <w:spacing w:before="240" w:line="480" w:lineRule="auto"/>
        <w:ind w:hanging="502"/>
        <w:jc w:val="both"/>
        <w:rPr>
          <w:rFonts w:ascii="Times New Roman" w:hAnsi="Times New Roman" w:cs="Times New Roman"/>
          <w:b/>
          <w:sz w:val="24"/>
          <w:szCs w:val="24"/>
        </w:rPr>
      </w:pPr>
      <w:r>
        <w:rPr>
          <w:rFonts w:ascii="Times New Roman" w:hAnsi="Times New Roman" w:cs="Times New Roman"/>
          <w:sz w:val="24"/>
          <w:szCs w:val="24"/>
        </w:rPr>
        <w:t>To put the second of these in context, a</w:t>
      </w:r>
      <w:r w:rsidR="00F33A21">
        <w:rPr>
          <w:rFonts w:ascii="Times New Roman" w:hAnsi="Times New Roman" w:cs="Times New Roman"/>
          <w:sz w:val="24"/>
          <w:szCs w:val="24"/>
        </w:rPr>
        <w:t>t p</w:t>
      </w:r>
      <w:r w:rsidR="00481F09">
        <w:rPr>
          <w:rFonts w:ascii="Times New Roman" w:hAnsi="Times New Roman" w:cs="Times New Roman"/>
          <w:sz w:val="24"/>
          <w:szCs w:val="24"/>
        </w:rPr>
        <w:t xml:space="preserve">aragraph </w:t>
      </w:r>
      <w:r w:rsidR="00F33A21">
        <w:rPr>
          <w:rFonts w:ascii="Times New Roman" w:hAnsi="Times New Roman" w:cs="Times New Roman"/>
          <w:sz w:val="24"/>
          <w:szCs w:val="24"/>
        </w:rPr>
        <w:t>D</w:t>
      </w:r>
      <w:r w:rsidR="006B0BC7">
        <w:rPr>
          <w:rFonts w:ascii="Times New Roman" w:hAnsi="Times New Roman" w:cs="Times New Roman"/>
          <w:sz w:val="24"/>
          <w:szCs w:val="24"/>
        </w:rPr>
        <w:t xml:space="preserve"> </w:t>
      </w:r>
      <w:r w:rsidR="00F33A21">
        <w:rPr>
          <w:rFonts w:ascii="Times New Roman" w:hAnsi="Times New Roman" w:cs="Times New Roman"/>
          <w:sz w:val="24"/>
          <w:szCs w:val="24"/>
        </w:rPr>
        <w:t>(6) of its Statement of Grounds Arthropharm sought a declaration to the effect that HPRA erred in failing to suspend or withdraw Osteopen ‘</w:t>
      </w:r>
      <w:r w:rsidR="00F33A21">
        <w:rPr>
          <w:rFonts w:ascii="Times New Roman" w:hAnsi="Times New Roman" w:cs="Times New Roman"/>
          <w:i/>
          <w:sz w:val="24"/>
          <w:szCs w:val="24"/>
        </w:rPr>
        <w:t xml:space="preserve">on becoming aware that the qualitative and quantitative composition of </w:t>
      </w:r>
      <w:r w:rsidR="00F33A21">
        <w:rPr>
          <w:rFonts w:ascii="Times New Roman" w:hAnsi="Times New Roman" w:cs="Times New Roman"/>
          <w:sz w:val="24"/>
          <w:szCs w:val="24"/>
        </w:rPr>
        <w:t xml:space="preserve">[the] </w:t>
      </w:r>
      <w:r w:rsidR="00F33A21">
        <w:rPr>
          <w:rFonts w:ascii="Times New Roman" w:hAnsi="Times New Roman" w:cs="Times New Roman"/>
          <w:i/>
          <w:sz w:val="24"/>
          <w:szCs w:val="24"/>
        </w:rPr>
        <w:t xml:space="preserve">product is not as stated and/or that the risk-benefit analysis of the veterinary product is unfavourable’.  </w:t>
      </w:r>
      <w:r w:rsidR="00F33A21">
        <w:rPr>
          <w:rFonts w:ascii="Times New Roman" w:hAnsi="Times New Roman" w:cs="Times New Roman"/>
          <w:sz w:val="24"/>
          <w:szCs w:val="24"/>
        </w:rPr>
        <w:t>When the application for leave to seek judicial review was moved, leave was not sought in respect of this ground pending the provision by HPRA of a response to correspondence from Arthropharm’s solicitors</w:t>
      </w:r>
      <w:r w:rsidR="004D149B">
        <w:rPr>
          <w:rFonts w:ascii="Times New Roman" w:hAnsi="Times New Roman" w:cs="Times New Roman"/>
          <w:sz w:val="24"/>
          <w:szCs w:val="24"/>
        </w:rPr>
        <w:t xml:space="preserve">, although the court treated the application for leave as having been made on that date. </w:t>
      </w:r>
      <w:r w:rsidR="00F33A21">
        <w:rPr>
          <w:rFonts w:ascii="Times New Roman" w:hAnsi="Times New Roman" w:cs="Times New Roman"/>
          <w:sz w:val="24"/>
          <w:szCs w:val="24"/>
        </w:rPr>
        <w:t xml:space="preserve"> </w:t>
      </w:r>
      <w:r w:rsidR="00F33A21">
        <w:rPr>
          <w:rFonts w:ascii="Times New Roman" w:hAnsi="Times New Roman" w:cs="Times New Roman"/>
          <w:sz w:val="24"/>
          <w:szCs w:val="24"/>
        </w:rPr>
        <w:lastRenderedPageBreak/>
        <w:t>Th</w:t>
      </w:r>
      <w:r>
        <w:rPr>
          <w:rFonts w:ascii="Times New Roman" w:hAnsi="Times New Roman" w:cs="Times New Roman"/>
          <w:sz w:val="24"/>
          <w:szCs w:val="24"/>
        </w:rPr>
        <w:t>ereafter and</w:t>
      </w:r>
      <w:r w:rsidR="00F33A21">
        <w:rPr>
          <w:rFonts w:ascii="Times New Roman" w:hAnsi="Times New Roman" w:cs="Times New Roman"/>
          <w:sz w:val="24"/>
          <w:szCs w:val="24"/>
        </w:rPr>
        <w:t xml:space="preserve"> on foot of an affidavit sworn by </w:t>
      </w:r>
      <w:r w:rsidR="003B7D21">
        <w:rPr>
          <w:rFonts w:ascii="Times New Roman" w:hAnsi="Times New Roman" w:cs="Times New Roman"/>
          <w:sz w:val="24"/>
          <w:szCs w:val="24"/>
        </w:rPr>
        <w:t>Dr</w:t>
      </w:r>
      <w:r w:rsidR="00F33A21">
        <w:rPr>
          <w:rFonts w:ascii="Times New Roman" w:hAnsi="Times New Roman" w:cs="Times New Roman"/>
          <w:sz w:val="24"/>
          <w:szCs w:val="24"/>
        </w:rPr>
        <w:t>. Cullis-</w:t>
      </w:r>
      <w:r w:rsidR="002413B0">
        <w:rPr>
          <w:rFonts w:ascii="Times New Roman" w:hAnsi="Times New Roman" w:cs="Times New Roman"/>
          <w:sz w:val="24"/>
          <w:szCs w:val="24"/>
        </w:rPr>
        <w:t>Hill</w:t>
      </w:r>
      <w:r w:rsidR="00F33A21">
        <w:rPr>
          <w:rFonts w:ascii="Times New Roman" w:hAnsi="Times New Roman" w:cs="Times New Roman"/>
          <w:sz w:val="24"/>
          <w:szCs w:val="24"/>
        </w:rPr>
        <w:t xml:space="preserve"> on 10 April 2019, leave was granted to seek this relief</w:t>
      </w:r>
      <w:r w:rsidR="003A3713">
        <w:rPr>
          <w:rFonts w:ascii="Times New Roman" w:hAnsi="Times New Roman" w:cs="Times New Roman"/>
          <w:sz w:val="24"/>
          <w:szCs w:val="24"/>
        </w:rPr>
        <w:t>, with certain amendments made to reflect the fact that HPRA had</w:t>
      </w:r>
      <w:r w:rsidR="00DA4A9D">
        <w:rPr>
          <w:rFonts w:ascii="Times New Roman" w:hAnsi="Times New Roman" w:cs="Times New Roman"/>
          <w:sz w:val="24"/>
          <w:szCs w:val="24"/>
        </w:rPr>
        <w:t>,</w:t>
      </w:r>
      <w:r w:rsidR="003A3713">
        <w:rPr>
          <w:rFonts w:ascii="Times New Roman" w:hAnsi="Times New Roman" w:cs="Times New Roman"/>
          <w:sz w:val="24"/>
          <w:szCs w:val="24"/>
        </w:rPr>
        <w:t xml:space="preserve"> </w:t>
      </w:r>
      <w:r>
        <w:rPr>
          <w:rFonts w:ascii="Times New Roman" w:hAnsi="Times New Roman" w:cs="Times New Roman"/>
          <w:sz w:val="24"/>
          <w:szCs w:val="24"/>
        </w:rPr>
        <w:t>since the leave application</w:t>
      </w:r>
      <w:r w:rsidR="00DA4A9D">
        <w:rPr>
          <w:rFonts w:ascii="Times New Roman" w:hAnsi="Times New Roman" w:cs="Times New Roman"/>
          <w:sz w:val="24"/>
          <w:szCs w:val="24"/>
        </w:rPr>
        <w:t>,</w:t>
      </w:r>
      <w:r>
        <w:rPr>
          <w:rFonts w:ascii="Times New Roman" w:hAnsi="Times New Roman" w:cs="Times New Roman"/>
          <w:sz w:val="24"/>
          <w:szCs w:val="24"/>
        </w:rPr>
        <w:t xml:space="preserve"> </w:t>
      </w:r>
      <w:r w:rsidR="003A3713">
        <w:rPr>
          <w:rFonts w:ascii="Times New Roman" w:hAnsi="Times New Roman" w:cs="Times New Roman"/>
          <w:sz w:val="24"/>
          <w:szCs w:val="24"/>
        </w:rPr>
        <w:t>refused to suspend the authorisation.</w:t>
      </w:r>
    </w:p>
    <w:p w14:paraId="5C550ADF" w14:textId="77777777" w:rsidR="007D7199" w:rsidRPr="007D7199" w:rsidRDefault="007D7199" w:rsidP="007D7199">
      <w:pPr>
        <w:pStyle w:val="ListParagraph"/>
        <w:spacing w:before="240" w:line="480" w:lineRule="auto"/>
        <w:ind w:left="786"/>
        <w:jc w:val="both"/>
        <w:rPr>
          <w:rFonts w:ascii="Times New Roman" w:hAnsi="Times New Roman" w:cs="Times New Roman"/>
          <w:b/>
          <w:sz w:val="24"/>
          <w:szCs w:val="24"/>
        </w:rPr>
      </w:pPr>
      <w:r>
        <w:rPr>
          <w:rFonts w:ascii="Times New Roman" w:hAnsi="Times New Roman" w:cs="Times New Roman"/>
          <w:sz w:val="24"/>
          <w:szCs w:val="24"/>
        </w:rPr>
        <w:t xml:space="preserve">  </w:t>
      </w:r>
    </w:p>
    <w:p w14:paraId="458EFFBA" w14:textId="20E718B8" w:rsidR="007D7199" w:rsidRPr="007D7199" w:rsidRDefault="004D149B" w:rsidP="003E1C16">
      <w:pPr>
        <w:pStyle w:val="ListParagraph"/>
        <w:numPr>
          <w:ilvl w:val="0"/>
          <w:numId w:val="1"/>
        </w:numPr>
        <w:spacing w:before="240" w:line="480" w:lineRule="auto"/>
        <w:ind w:hanging="502"/>
        <w:jc w:val="both"/>
        <w:rPr>
          <w:rFonts w:ascii="Times New Roman" w:hAnsi="Times New Roman" w:cs="Times New Roman"/>
          <w:b/>
          <w:sz w:val="24"/>
          <w:szCs w:val="24"/>
        </w:rPr>
      </w:pPr>
      <w:r w:rsidRPr="007D7199">
        <w:rPr>
          <w:rFonts w:ascii="Times New Roman" w:hAnsi="Times New Roman" w:cs="Times New Roman"/>
          <w:sz w:val="24"/>
          <w:szCs w:val="24"/>
        </w:rPr>
        <w:t xml:space="preserve">I have referred earlier to the sequence of correspondence as of the date of the leave </w:t>
      </w:r>
      <w:r w:rsidR="00C17B99" w:rsidRPr="007D7199">
        <w:rPr>
          <w:rFonts w:ascii="Times New Roman" w:hAnsi="Times New Roman" w:cs="Times New Roman"/>
          <w:sz w:val="24"/>
          <w:szCs w:val="24"/>
        </w:rPr>
        <w:t xml:space="preserve">application.  </w:t>
      </w:r>
      <w:r w:rsidR="007D7199" w:rsidRPr="007D7199">
        <w:rPr>
          <w:rFonts w:ascii="Times New Roman" w:hAnsi="Times New Roman" w:cs="Times New Roman"/>
          <w:sz w:val="24"/>
          <w:szCs w:val="24"/>
        </w:rPr>
        <w:t>To recap, o</w:t>
      </w:r>
      <w:r w:rsidR="00C17B99" w:rsidRPr="007D7199">
        <w:rPr>
          <w:rFonts w:ascii="Times New Roman" w:hAnsi="Times New Roman" w:cs="Times New Roman"/>
          <w:sz w:val="24"/>
          <w:szCs w:val="24"/>
        </w:rPr>
        <w:t xml:space="preserve">n </w:t>
      </w:r>
      <w:r w:rsidR="00020A30">
        <w:rPr>
          <w:rFonts w:ascii="Times New Roman" w:hAnsi="Times New Roman" w:cs="Times New Roman"/>
          <w:sz w:val="24"/>
          <w:szCs w:val="24"/>
        </w:rPr>
        <w:t xml:space="preserve">13 </w:t>
      </w:r>
      <w:r w:rsidR="00C17B99" w:rsidRPr="007D7199">
        <w:rPr>
          <w:rFonts w:ascii="Times New Roman" w:hAnsi="Times New Roman" w:cs="Times New Roman"/>
          <w:sz w:val="24"/>
          <w:szCs w:val="24"/>
        </w:rPr>
        <w:t xml:space="preserve">December </w:t>
      </w:r>
      <w:r w:rsidR="006B0BC7">
        <w:rPr>
          <w:rFonts w:ascii="Times New Roman" w:hAnsi="Times New Roman" w:cs="Times New Roman"/>
          <w:sz w:val="24"/>
          <w:szCs w:val="24"/>
        </w:rPr>
        <w:t xml:space="preserve">2018 </w:t>
      </w:r>
      <w:r w:rsidR="007D7199" w:rsidRPr="007D7199">
        <w:rPr>
          <w:rFonts w:ascii="Times New Roman" w:hAnsi="Times New Roman" w:cs="Times New Roman"/>
          <w:sz w:val="24"/>
          <w:szCs w:val="24"/>
        </w:rPr>
        <w:t xml:space="preserve">Arthropharm’s </w:t>
      </w:r>
      <w:r w:rsidR="00C17B99" w:rsidRPr="007D7199">
        <w:rPr>
          <w:rFonts w:ascii="Times New Roman" w:hAnsi="Times New Roman" w:cs="Times New Roman"/>
          <w:sz w:val="24"/>
          <w:szCs w:val="24"/>
        </w:rPr>
        <w:t xml:space="preserve">solicitors </w:t>
      </w:r>
      <w:r w:rsidR="007D7199" w:rsidRPr="007D7199">
        <w:rPr>
          <w:rFonts w:ascii="Times New Roman" w:hAnsi="Times New Roman" w:cs="Times New Roman"/>
          <w:sz w:val="24"/>
          <w:szCs w:val="24"/>
        </w:rPr>
        <w:t>(then un</w:t>
      </w:r>
      <w:r w:rsidR="004D0D7D">
        <w:rPr>
          <w:rFonts w:ascii="Times New Roman" w:hAnsi="Times New Roman" w:cs="Times New Roman"/>
          <w:sz w:val="24"/>
          <w:szCs w:val="24"/>
        </w:rPr>
        <w:t>a</w:t>
      </w:r>
      <w:r w:rsidR="007D7199" w:rsidRPr="007D7199">
        <w:rPr>
          <w:rFonts w:ascii="Times New Roman" w:hAnsi="Times New Roman" w:cs="Times New Roman"/>
          <w:sz w:val="24"/>
          <w:szCs w:val="24"/>
        </w:rPr>
        <w:t>w</w:t>
      </w:r>
      <w:r w:rsidR="004D0D7D">
        <w:rPr>
          <w:rFonts w:ascii="Times New Roman" w:hAnsi="Times New Roman" w:cs="Times New Roman"/>
          <w:sz w:val="24"/>
          <w:szCs w:val="24"/>
        </w:rPr>
        <w:t>a</w:t>
      </w:r>
      <w:r w:rsidR="007D7199" w:rsidRPr="007D7199">
        <w:rPr>
          <w:rFonts w:ascii="Times New Roman" w:hAnsi="Times New Roman" w:cs="Times New Roman"/>
          <w:sz w:val="24"/>
          <w:szCs w:val="24"/>
        </w:rPr>
        <w:t xml:space="preserve">re that HPRA had </w:t>
      </w:r>
      <w:r w:rsidR="00B152B4">
        <w:rPr>
          <w:rFonts w:ascii="Times New Roman" w:hAnsi="Times New Roman" w:cs="Times New Roman"/>
          <w:sz w:val="24"/>
          <w:szCs w:val="24"/>
        </w:rPr>
        <w:t xml:space="preserve">on </w:t>
      </w:r>
      <w:r w:rsidR="006B0BC7">
        <w:rPr>
          <w:rFonts w:ascii="Times New Roman" w:hAnsi="Times New Roman" w:cs="Times New Roman"/>
          <w:sz w:val="24"/>
          <w:szCs w:val="24"/>
        </w:rPr>
        <w:t xml:space="preserve">30 </w:t>
      </w:r>
      <w:r w:rsidR="00B152B4">
        <w:rPr>
          <w:rFonts w:ascii="Times New Roman" w:hAnsi="Times New Roman" w:cs="Times New Roman"/>
          <w:sz w:val="24"/>
          <w:szCs w:val="24"/>
        </w:rPr>
        <w:t xml:space="preserve">October </w:t>
      </w:r>
      <w:r w:rsidR="007D7199" w:rsidRPr="007D7199">
        <w:rPr>
          <w:rFonts w:ascii="Times New Roman" w:hAnsi="Times New Roman" w:cs="Times New Roman"/>
          <w:sz w:val="24"/>
          <w:szCs w:val="24"/>
        </w:rPr>
        <w:t xml:space="preserve">responded to the letter of </w:t>
      </w:r>
      <w:r w:rsidR="00232ADF">
        <w:rPr>
          <w:rFonts w:ascii="Times New Roman" w:hAnsi="Times New Roman" w:cs="Times New Roman"/>
          <w:sz w:val="24"/>
          <w:szCs w:val="24"/>
        </w:rPr>
        <w:t xml:space="preserve">12 </w:t>
      </w:r>
      <w:r w:rsidR="007D7199" w:rsidRPr="007D7199">
        <w:rPr>
          <w:rFonts w:ascii="Times New Roman" w:hAnsi="Times New Roman" w:cs="Times New Roman"/>
          <w:sz w:val="24"/>
          <w:szCs w:val="24"/>
        </w:rPr>
        <w:t>October</w:t>
      </w:r>
      <w:r w:rsidR="006B0BC7">
        <w:rPr>
          <w:rFonts w:ascii="Times New Roman" w:hAnsi="Times New Roman" w:cs="Times New Roman"/>
          <w:sz w:val="24"/>
          <w:szCs w:val="24"/>
        </w:rPr>
        <w:t xml:space="preserve"> 2018</w:t>
      </w:r>
      <w:r w:rsidR="007D7199" w:rsidRPr="007D7199">
        <w:rPr>
          <w:rFonts w:ascii="Times New Roman" w:hAnsi="Times New Roman" w:cs="Times New Roman"/>
          <w:sz w:val="24"/>
          <w:szCs w:val="24"/>
        </w:rPr>
        <w:t xml:space="preserve">) contended by reference to an analysis obtained of the two products </w:t>
      </w:r>
      <w:r w:rsidR="00C17B99" w:rsidRPr="007D7199">
        <w:rPr>
          <w:rFonts w:ascii="Times New Roman" w:hAnsi="Times New Roman" w:cs="Times New Roman"/>
          <w:sz w:val="24"/>
          <w:szCs w:val="24"/>
        </w:rPr>
        <w:t xml:space="preserve">that there were major structural differences between </w:t>
      </w:r>
      <w:r w:rsidR="007D7199" w:rsidRPr="007D7199">
        <w:rPr>
          <w:rFonts w:ascii="Times New Roman" w:hAnsi="Times New Roman" w:cs="Times New Roman"/>
          <w:sz w:val="24"/>
          <w:szCs w:val="24"/>
        </w:rPr>
        <w:t xml:space="preserve">Osteopen </w:t>
      </w:r>
      <w:r w:rsidR="00C17B99" w:rsidRPr="007D7199">
        <w:rPr>
          <w:rFonts w:ascii="Times New Roman" w:hAnsi="Times New Roman" w:cs="Times New Roman"/>
          <w:sz w:val="24"/>
          <w:szCs w:val="24"/>
        </w:rPr>
        <w:t xml:space="preserve">and </w:t>
      </w:r>
      <w:r w:rsidR="007962C7" w:rsidRPr="007D7199">
        <w:rPr>
          <w:rFonts w:ascii="Times New Roman" w:hAnsi="Times New Roman" w:cs="Times New Roman"/>
          <w:sz w:val="24"/>
          <w:szCs w:val="24"/>
        </w:rPr>
        <w:t>Cartrophen</w:t>
      </w:r>
      <w:r w:rsidR="00B152B4">
        <w:rPr>
          <w:rFonts w:ascii="Times New Roman" w:hAnsi="Times New Roman" w:cs="Times New Roman"/>
          <w:sz w:val="24"/>
          <w:szCs w:val="24"/>
        </w:rPr>
        <w:t>.</w:t>
      </w:r>
      <w:r w:rsidR="007D7199" w:rsidRPr="007D7199">
        <w:rPr>
          <w:rFonts w:ascii="Times New Roman" w:hAnsi="Times New Roman" w:cs="Times New Roman"/>
          <w:sz w:val="24"/>
          <w:szCs w:val="24"/>
        </w:rPr>
        <w:t xml:space="preserve"> </w:t>
      </w:r>
      <w:r w:rsidR="00C17B99" w:rsidRPr="007D7199">
        <w:rPr>
          <w:rFonts w:ascii="Times New Roman" w:hAnsi="Times New Roman" w:cs="Times New Roman"/>
          <w:sz w:val="24"/>
          <w:szCs w:val="24"/>
        </w:rPr>
        <w:t xml:space="preserve">HPRA </w:t>
      </w:r>
      <w:r w:rsidR="007D7199" w:rsidRPr="007D7199">
        <w:rPr>
          <w:rFonts w:ascii="Times New Roman" w:hAnsi="Times New Roman" w:cs="Times New Roman"/>
          <w:sz w:val="24"/>
          <w:szCs w:val="24"/>
        </w:rPr>
        <w:t xml:space="preserve">re-sent the response of </w:t>
      </w:r>
      <w:r w:rsidR="00232ADF">
        <w:rPr>
          <w:rFonts w:ascii="Times New Roman" w:hAnsi="Times New Roman" w:cs="Times New Roman"/>
          <w:sz w:val="24"/>
          <w:szCs w:val="24"/>
        </w:rPr>
        <w:t xml:space="preserve">30 </w:t>
      </w:r>
      <w:r w:rsidR="007D7199" w:rsidRPr="007D7199">
        <w:rPr>
          <w:rFonts w:ascii="Times New Roman" w:hAnsi="Times New Roman" w:cs="Times New Roman"/>
          <w:sz w:val="24"/>
          <w:szCs w:val="24"/>
        </w:rPr>
        <w:t xml:space="preserve">October </w:t>
      </w:r>
      <w:r w:rsidR="006B0BC7">
        <w:rPr>
          <w:rFonts w:ascii="Times New Roman" w:hAnsi="Times New Roman" w:cs="Times New Roman"/>
          <w:sz w:val="24"/>
          <w:szCs w:val="24"/>
        </w:rPr>
        <w:t xml:space="preserve">2018 </w:t>
      </w:r>
      <w:r w:rsidR="00C17B99" w:rsidRPr="007D7199">
        <w:rPr>
          <w:rFonts w:ascii="Times New Roman" w:hAnsi="Times New Roman" w:cs="Times New Roman"/>
          <w:sz w:val="24"/>
          <w:szCs w:val="24"/>
        </w:rPr>
        <w:t>on 17 December</w:t>
      </w:r>
      <w:r w:rsidR="006B0BC7">
        <w:rPr>
          <w:rFonts w:ascii="Times New Roman" w:hAnsi="Times New Roman" w:cs="Times New Roman"/>
          <w:sz w:val="24"/>
          <w:szCs w:val="24"/>
        </w:rPr>
        <w:t xml:space="preserve"> 2018</w:t>
      </w:r>
      <w:r w:rsidR="00C17B99" w:rsidRPr="007D7199">
        <w:rPr>
          <w:rFonts w:ascii="Times New Roman" w:hAnsi="Times New Roman" w:cs="Times New Roman"/>
          <w:sz w:val="24"/>
          <w:szCs w:val="24"/>
        </w:rPr>
        <w:t>.  On 18 December</w:t>
      </w:r>
      <w:r w:rsidR="006B0BC7">
        <w:rPr>
          <w:rFonts w:ascii="Times New Roman" w:hAnsi="Times New Roman" w:cs="Times New Roman"/>
          <w:sz w:val="24"/>
          <w:szCs w:val="24"/>
        </w:rPr>
        <w:t xml:space="preserve"> 2018</w:t>
      </w:r>
      <w:r w:rsidR="00C17B99" w:rsidRPr="007D7199">
        <w:rPr>
          <w:rFonts w:ascii="Times New Roman" w:hAnsi="Times New Roman" w:cs="Times New Roman"/>
          <w:sz w:val="24"/>
          <w:szCs w:val="24"/>
        </w:rPr>
        <w:t xml:space="preserve">, Arthropharm’s solicitors indicated that </w:t>
      </w:r>
      <w:r w:rsidR="00B152B4">
        <w:rPr>
          <w:rFonts w:ascii="Times New Roman" w:hAnsi="Times New Roman" w:cs="Times New Roman"/>
          <w:sz w:val="24"/>
          <w:szCs w:val="24"/>
        </w:rPr>
        <w:t xml:space="preserve">they </w:t>
      </w:r>
      <w:r w:rsidR="00C17B99" w:rsidRPr="007D7199">
        <w:rPr>
          <w:rFonts w:ascii="Times New Roman" w:hAnsi="Times New Roman" w:cs="Times New Roman"/>
          <w:sz w:val="24"/>
          <w:szCs w:val="24"/>
        </w:rPr>
        <w:t xml:space="preserve">wished to consider the email of 30 October </w:t>
      </w:r>
      <w:r w:rsidR="006B0BC7">
        <w:rPr>
          <w:rFonts w:ascii="Times New Roman" w:hAnsi="Times New Roman" w:cs="Times New Roman"/>
          <w:sz w:val="24"/>
          <w:szCs w:val="24"/>
        </w:rPr>
        <w:t xml:space="preserve">2018 </w:t>
      </w:r>
      <w:r w:rsidR="00C17B99" w:rsidRPr="007D7199">
        <w:rPr>
          <w:rFonts w:ascii="Times New Roman" w:hAnsi="Times New Roman" w:cs="Times New Roman"/>
          <w:sz w:val="24"/>
          <w:szCs w:val="24"/>
        </w:rPr>
        <w:t>and to respond to it, and the following day the solicitors for HPRA recorded that HPRA was happy to consider any response from Arthropharm to the email of 30 October</w:t>
      </w:r>
      <w:r w:rsidR="006B0BC7">
        <w:rPr>
          <w:rFonts w:ascii="Times New Roman" w:hAnsi="Times New Roman" w:cs="Times New Roman"/>
          <w:sz w:val="24"/>
          <w:szCs w:val="24"/>
        </w:rPr>
        <w:t xml:space="preserve"> 2018</w:t>
      </w:r>
      <w:r w:rsidR="00B152B4">
        <w:rPr>
          <w:rFonts w:ascii="Times New Roman" w:hAnsi="Times New Roman" w:cs="Times New Roman"/>
          <w:sz w:val="24"/>
          <w:szCs w:val="24"/>
        </w:rPr>
        <w:t>,</w:t>
      </w:r>
      <w:r w:rsidR="00C17B99" w:rsidRPr="007D7199">
        <w:rPr>
          <w:rFonts w:ascii="Times New Roman" w:hAnsi="Times New Roman" w:cs="Times New Roman"/>
          <w:sz w:val="24"/>
          <w:szCs w:val="24"/>
        </w:rPr>
        <w:t xml:space="preserve"> confirm</w:t>
      </w:r>
      <w:r w:rsidR="00B152B4">
        <w:rPr>
          <w:rFonts w:ascii="Times New Roman" w:hAnsi="Times New Roman" w:cs="Times New Roman"/>
          <w:sz w:val="24"/>
          <w:szCs w:val="24"/>
        </w:rPr>
        <w:t>ing</w:t>
      </w:r>
      <w:r w:rsidR="00C17B99" w:rsidRPr="007D7199">
        <w:rPr>
          <w:rFonts w:ascii="Times New Roman" w:hAnsi="Times New Roman" w:cs="Times New Roman"/>
          <w:sz w:val="24"/>
          <w:szCs w:val="24"/>
        </w:rPr>
        <w:t xml:space="preserve"> that they would respond to the letter dated 13 December </w:t>
      </w:r>
      <w:r w:rsidR="006B0BC7">
        <w:rPr>
          <w:rFonts w:ascii="Times New Roman" w:hAnsi="Times New Roman" w:cs="Times New Roman"/>
          <w:sz w:val="24"/>
          <w:szCs w:val="24"/>
        </w:rPr>
        <w:t xml:space="preserve">2018 </w:t>
      </w:r>
      <w:r w:rsidR="00C17B99" w:rsidRPr="007D7199">
        <w:rPr>
          <w:rFonts w:ascii="Times New Roman" w:hAnsi="Times New Roman" w:cs="Times New Roman"/>
          <w:sz w:val="24"/>
          <w:szCs w:val="24"/>
        </w:rPr>
        <w:t xml:space="preserve">by 21 December. </w:t>
      </w:r>
    </w:p>
    <w:p w14:paraId="19F55FEF" w14:textId="77777777" w:rsidR="007D7199" w:rsidRPr="007D7199" w:rsidRDefault="007D7199" w:rsidP="003E1C16">
      <w:pPr>
        <w:pStyle w:val="ListParagraph"/>
        <w:ind w:hanging="502"/>
        <w:rPr>
          <w:rFonts w:ascii="Times New Roman" w:hAnsi="Times New Roman" w:cs="Times New Roman"/>
          <w:sz w:val="24"/>
          <w:szCs w:val="24"/>
        </w:rPr>
      </w:pPr>
    </w:p>
    <w:p w14:paraId="756E13BC" w14:textId="06802BEB" w:rsidR="009A7461" w:rsidRPr="0067630C" w:rsidRDefault="007D7199" w:rsidP="003E1C16">
      <w:pPr>
        <w:pStyle w:val="ListParagraph"/>
        <w:numPr>
          <w:ilvl w:val="0"/>
          <w:numId w:val="1"/>
        </w:numPr>
        <w:spacing w:before="240" w:line="480" w:lineRule="auto"/>
        <w:ind w:hanging="502"/>
        <w:jc w:val="both"/>
        <w:rPr>
          <w:rFonts w:ascii="Times New Roman" w:hAnsi="Times New Roman" w:cs="Times New Roman"/>
          <w:b/>
          <w:sz w:val="24"/>
          <w:szCs w:val="24"/>
        </w:rPr>
      </w:pPr>
      <w:r w:rsidRPr="007D7199">
        <w:rPr>
          <w:rFonts w:ascii="Times New Roman" w:hAnsi="Times New Roman" w:cs="Times New Roman"/>
          <w:sz w:val="24"/>
          <w:szCs w:val="24"/>
        </w:rPr>
        <w:t xml:space="preserve">Then, on 21 December </w:t>
      </w:r>
      <w:r w:rsidR="006B0BC7">
        <w:rPr>
          <w:rFonts w:ascii="Times New Roman" w:hAnsi="Times New Roman" w:cs="Times New Roman"/>
          <w:sz w:val="24"/>
          <w:szCs w:val="24"/>
        </w:rPr>
        <w:t xml:space="preserve">2018 </w:t>
      </w:r>
      <w:r w:rsidRPr="007D7199">
        <w:rPr>
          <w:rFonts w:ascii="Times New Roman" w:hAnsi="Times New Roman" w:cs="Times New Roman"/>
          <w:sz w:val="24"/>
          <w:szCs w:val="24"/>
        </w:rPr>
        <w:t xml:space="preserve">– </w:t>
      </w:r>
      <w:r w:rsidR="009468F0">
        <w:rPr>
          <w:rFonts w:ascii="Times New Roman" w:hAnsi="Times New Roman" w:cs="Times New Roman"/>
          <w:sz w:val="24"/>
          <w:szCs w:val="24"/>
        </w:rPr>
        <w:t>leave</w:t>
      </w:r>
      <w:r w:rsidRPr="007D7199">
        <w:rPr>
          <w:rFonts w:ascii="Times New Roman" w:hAnsi="Times New Roman" w:cs="Times New Roman"/>
          <w:sz w:val="24"/>
          <w:szCs w:val="24"/>
        </w:rPr>
        <w:t xml:space="preserve"> having been obtained the previous day</w:t>
      </w:r>
      <w:r w:rsidR="00C420AA">
        <w:rPr>
          <w:rFonts w:ascii="Times New Roman" w:hAnsi="Times New Roman" w:cs="Times New Roman"/>
          <w:sz w:val="24"/>
          <w:szCs w:val="24"/>
        </w:rPr>
        <w:t xml:space="preserve"> -</w:t>
      </w:r>
      <w:r w:rsidRPr="007D7199">
        <w:rPr>
          <w:rFonts w:ascii="Times New Roman" w:hAnsi="Times New Roman" w:cs="Times New Roman"/>
          <w:sz w:val="24"/>
          <w:szCs w:val="24"/>
        </w:rPr>
        <w:t xml:space="preserve"> a revised timetable was suggested for the exchange of correspondence.  Arthropharm’s solicitors then responded to the mail of </w:t>
      </w:r>
      <w:r w:rsidR="009468F0">
        <w:rPr>
          <w:rFonts w:ascii="Times New Roman" w:hAnsi="Times New Roman" w:cs="Times New Roman"/>
          <w:sz w:val="24"/>
          <w:szCs w:val="24"/>
        </w:rPr>
        <w:t xml:space="preserve">30 </w:t>
      </w:r>
      <w:r w:rsidRPr="007D7199">
        <w:rPr>
          <w:rFonts w:ascii="Times New Roman" w:hAnsi="Times New Roman" w:cs="Times New Roman"/>
          <w:sz w:val="24"/>
          <w:szCs w:val="24"/>
        </w:rPr>
        <w:t>October</w:t>
      </w:r>
      <w:r w:rsidR="006B0BC7">
        <w:rPr>
          <w:rFonts w:ascii="Times New Roman" w:hAnsi="Times New Roman" w:cs="Times New Roman"/>
          <w:sz w:val="24"/>
          <w:szCs w:val="24"/>
        </w:rPr>
        <w:t xml:space="preserve"> 2018</w:t>
      </w:r>
      <w:r w:rsidRPr="007D7199">
        <w:rPr>
          <w:rFonts w:ascii="Times New Roman" w:hAnsi="Times New Roman" w:cs="Times New Roman"/>
          <w:sz w:val="24"/>
          <w:szCs w:val="24"/>
        </w:rPr>
        <w:t xml:space="preserve">, on </w:t>
      </w:r>
      <w:r w:rsidR="009468F0">
        <w:rPr>
          <w:rFonts w:ascii="Times New Roman" w:hAnsi="Times New Roman" w:cs="Times New Roman"/>
          <w:sz w:val="24"/>
          <w:szCs w:val="24"/>
        </w:rPr>
        <w:t xml:space="preserve">4 </w:t>
      </w:r>
      <w:r w:rsidRPr="007D7199">
        <w:rPr>
          <w:rFonts w:ascii="Times New Roman" w:hAnsi="Times New Roman" w:cs="Times New Roman"/>
          <w:sz w:val="24"/>
          <w:szCs w:val="24"/>
        </w:rPr>
        <w:t>January</w:t>
      </w:r>
      <w:r w:rsidR="006B0BC7">
        <w:rPr>
          <w:rFonts w:ascii="Times New Roman" w:hAnsi="Times New Roman" w:cs="Times New Roman"/>
          <w:sz w:val="24"/>
          <w:szCs w:val="24"/>
        </w:rPr>
        <w:t xml:space="preserve"> 2019</w:t>
      </w:r>
      <w:r w:rsidRPr="007D7199">
        <w:rPr>
          <w:rFonts w:ascii="Times New Roman" w:hAnsi="Times New Roman" w:cs="Times New Roman"/>
          <w:sz w:val="24"/>
          <w:szCs w:val="24"/>
        </w:rPr>
        <w:t xml:space="preserve">.  There were various other exchanges between the parties, culminating in a letter dated </w:t>
      </w:r>
      <w:r w:rsidR="009468F0">
        <w:rPr>
          <w:rFonts w:ascii="Times New Roman" w:hAnsi="Times New Roman" w:cs="Times New Roman"/>
          <w:sz w:val="24"/>
          <w:szCs w:val="24"/>
        </w:rPr>
        <w:t xml:space="preserve">4 </w:t>
      </w:r>
      <w:r w:rsidRPr="007D7199">
        <w:rPr>
          <w:rFonts w:ascii="Times New Roman" w:hAnsi="Times New Roman" w:cs="Times New Roman"/>
          <w:sz w:val="24"/>
          <w:szCs w:val="24"/>
        </w:rPr>
        <w:t xml:space="preserve">March </w:t>
      </w:r>
      <w:r w:rsidR="006B0BC7">
        <w:rPr>
          <w:rFonts w:ascii="Times New Roman" w:hAnsi="Times New Roman" w:cs="Times New Roman"/>
          <w:sz w:val="24"/>
          <w:szCs w:val="24"/>
        </w:rPr>
        <w:t xml:space="preserve">2019 </w:t>
      </w:r>
      <w:r w:rsidRPr="007D7199">
        <w:rPr>
          <w:rFonts w:ascii="Times New Roman" w:hAnsi="Times New Roman" w:cs="Times New Roman"/>
          <w:sz w:val="24"/>
          <w:szCs w:val="24"/>
        </w:rPr>
        <w:t xml:space="preserve">in which Arthropharm’s solicitors argued that it was incumbent on HPRA to consider and engage substantively with the scientific literature and data furnished by </w:t>
      </w:r>
      <w:r w:rsidR="009468F0" w:rsidRPr="007D7199">
        <w:rPr>
          <w:rFonts w:ascii="Times New Roman" w:hAnsi="Times New Roman" w:cs="Times New Roman"/>
          <w:sz w:val="24"/>
          <w:szCs w:val="24"/>
        </w:rPr>
        <w:t>Arthropharm</w:t>
      </w:r>
      <w:r w:rsidRPr="007D7199">
        <w:rPr>
          <w:rFonts w:ascii="Times New Roman" w:hAnsi="Times New Roman" w:cs="Times New Roman"/>
          <w:sz w:val="24"/>
          <w:szCs w:val="24"/>
        </w:rPr>
        <w:t xml:space="preserve"> for the purposes of considering whether </w:t>
      </w:r>
      <w:r>
        <w:rPr>
          <w:rFonts w:ascii="Times New Roman" w:hAnsi="Times New Roman" w:cs="Times New Roman"/>
          <w:sz w:val="24"/>
          <w:szCs w:val="24"/>
        </w:rPr>
        <w:t>the authorisation of Osteopen ought to be suspended or revoked in accordance with Article 83 of the 2001 Directive</w:t>
      </w:r>
      <w:r w:rsidR="00B152B4">
        <w:rPr>
          <w:rFonts w:ascii="Times New Roman" w:hAnsi="Times New Roman" w:cs="Times New Roman"/>
          <w:sz w:val="24"/>
          <w:szCs w:val="24"/>
        </w:rPr>
        <w:t xml:space="preserve">.  </w:t>
      </w:r>
      <w:r w:rsidR="00272084">
        <w:rPr>
          <w:rFonts w:ascii="Times New Roman" w:hAnsi="Times New Roman" w:cs="Times New Roman"/>
          <w:sz w:val="24"/>
          <w:szCs w:val="24"/>
        </w:rPr>
        <w:t xml:space="preserve">This was the first reference to Article 83 in Arthropharm’s correspondence. </w:t>
      </w:r>
      <w:r>
        <w:rPr>
          <w:rFonts w:ascii="Times New Roman" w:hAnsi="Times New Roman" w:cs="Times New Roman"/>
          <w:sz w:val="24"/>
          <w:szCs w:val="24"/>
        </w:rPr>
        <w:t xml:space="preserve"> On 6 March</w:t>
      </w:r>
      <w:r w:rsidR="006B0BC7">
        <w:rPr>
          <w:rFonts w:ascii="Times New Roman" w:hAnsi="Times New Roman" w:cs="Times New Roman"/>
          <w:sz w:val="24"/>
          <w:szCs w:val="24"/>
        </w:rPr>
        <w:t xml:space="preserve"> 2019</w:t>
      </w:r>
      <w:r>
        <w:rPr>
          <w:rFonts w:ascii="Times New Roman" w:hAnsi="Times New Roman" w:cs="Times New Roman"/>
          <w:sz w:val="24"/>
          <w:szCs w:val="24"/>
        </w:rPr>
        <w:t xml:space="preserve">, HPRA sent two letters to Arthropharm’s solicitors.  The first responded to the letter of 13 December </w:t>
      </w:r>
      <w:r w:rsidR="006B0BC7">
        <w:rPr>
          <w:rFonts w:ascii="Times New Roman" w:hAnsi="Times New Roman" w:cs="Times New Roman"/>
          <w:sz w:val="24"/>
          <w:szCs w:val="24"/>
        </w:rPr>
        <w:t xml:space="preserve">2018 </w:t>
      </w:r>
      <w:r>
        <w:rPr>
          <w:rFonts w:ascii="Times New Roman" w:hAnsi="Times New Roman" w:cs="Times New Roman"/>
          <w:sz w:val="24"/>
          <w:szCs w:val="24"/>
        </w:rPr>
        <w:t>and the second to the letter of 4 January</w:t>
      </w:r>
      <w:r w:rsidR="006B0BC7">
        <w:rPr>
          <w:rFonts w:ascii="Times New Roman" w:hAnsi="Times New Roman" w:cs="Times New Roman"/>
          <w:sz w:val="24"/>
          <w:szCs w:val="24"/>
        </w:rPr>
        <w:t xml:space="preserve"> 2019</w:t>
      </w:r>
      <w:r>
        <w:rPr>
          <w:rFonts w:ascii="Times New Roman" w:hAnsi="Times New Roman" w:cs="Times New Roman"/>
          <w:sz w:val="24"/>
          <w:szCs w:val="24"/>
        </w:rPr>
        <w:t>.</w:t>
      </w:r>
      <w:r w:rsidR="00E20D4B">
        <w:rPr>
          <w:rFonts w:ascii="Times New Roman" w:hAnsi="Times New Roman" w:cs="Times New Roman"/>
          <w:sz w:val="24"/>
          <w:szCs w:val="24"/>
        </w:rPr>
        <w:t xml:space="preserve">  In its response of 6 </w:t>
      </w:r>
      <w:r w:rsidR="00E20D4B">
        <w:rPr>
          <w:rFonts w:ascii="Times New Roman" w:hAnsi="Times New Roman" w:cs="Times New Roman"/>
          <w:sz w:val="24"/>
          <w:szCs w:val="24"/>
        </w:rPr>
        <w:lastRenderedPageBreak/>
        <w:t>March</w:t>
      </w:r>
      <w:r w:rsidR="006B0BC7">
        <w:rPr>
          <w:rFonts w:ascii="Times New Roman" w:hAnsi="Times New Roman" w:cs="Times New Roman"/>
          <w:sz w:val="24"/>
          <w:szCs w:val="24"/>
        </w:rPr>
        <w:t xml:space="preserve"> 2019</w:t>
      </w:r>
      <w:r w:rsidR="00E20D4B">
        <w:rPr>
          <w:rFonts w:ascii="Times New Roman" w:hAnsi="Times New Roman" w:cs="Times New Roman"/>
          <w:sz w:val="24"/>
          <w:szCs w:val="24"/>
        </w:rPr>
        <w:t>, HPRA said that nothing in that correspondence grounded a basis for the withdrawal of the authorisation.</w:t>
      </w:r>
    </w:p>
    <w:p w14:paraId="1AF8112E" w14:textId="77777777" w:rsidR="009A7461" w:rsidRPr="009A7461" w:rsidRDefault="009A7461" w:rsidP="009A7461">
      <w:pPr>
        <w:pStyle w:val="ListParagraph"/>
        <w:rPr>
          <w:rFonts w:ascii="Times New Roman" w:hAnsi="Times New Roman" w:cs="Times New Roman"/>
          <w:b/>
          <w:sz w:val="24"/>
          <w:szCs w:val="24"/>
        </w:rPr>
      </w:pPr>
    </w:p>
    <w:p w14:paraId="39B7CB2F" w14:textId="77777777" w:rsidR="00F33A21" w:rsidRDefault="009A7461" w:rsidP="009A7461">
      <w:pPr>
        <w:pStyle w:val="ListParagraph"/>
        <w:numPr>
          <w:ilvl w:val="0"/>
          <w:numId w:val="25"/>
        </w:numPr>
        <w:spacing w:before="240" w:line="480" w:lineRule="auto"/>
        <w:jc w:val="both"/>
        <w:rPr>
          <w:rFonts w:ascii="Times New Roman" w:hAnsi="Times New Roman" w:cs="Times New Roman"/>
          <w:i/>
          <w:sz w:val="24"/>
          <w:szCs w:val="24"/>
        </w:rPr>
      </w:pPr>
      <w:r>
        <w:rPr>
          <w:rFonts w:ascii="Times New Roman" w:hAnsi="Times New Roman" w:cs="Times New Roman"/>
          <w:i/>
          <w:sz w:val="24"/>
          <w:szCs w:val="24"/>
        </w:rPr>
        <w:t>The pleading</w:t>
      </w:r>
    </w:p>
    <w:p w14:paraId="5AFA89C3" w14:textId="77777777" w:rsidR="009A7461" w:rsidRPr="009A7461" w:rsidRDefault="009A7461" w:rsidP="009A7461">
      <w:pPr>
        <w:pStyle w:val="ListParagraph"/>
        <w:spacing w:before="240" w:line="480" w:lineRule="auto"/>
        <w:ind w:left="1800"/>
        <w:jc w:val="both"/>
        <w:rPr>
          <w:rFonts w:ascii="Times New Roman" w:hAnsi="Times New Roman" w:cs="Times New Roman"/>
          <w:i/>
          <w:sz w:val="24"/>
          <w:szCs w:val="24"/>
        </w:rPr>
      </w:pPr>
    </w:p>
    <w:p w14:paraId="5883E6D0" w14:textId="3BFE3263" w:rsidR="00E66D30" w:rsidRPr="00255A6D" w:rsidRDefault="0037375F" w:rsidP="003E1C16">
      <w:pPr>
        <w:pStyle w:val="ListParagraph"/>
        <w:numPr>
          <w:ilvl w:val="0"/>
          <w:numId w:val="1"/>
        </w:numPr>
        <w:spacing w:before="240" w:line="480" w:lineRule="auto"/>
        <w:ind w:hanging="502"/>
        <w:jc w:val="both"/>
        <w:rPr>
          <w:rFonts w:ascii="Times New Roman" w:hAnsi="Times New Roman" w:cs="Times New Roman"/>
          <w:b/>
          <w:sz w:val="24"/>
          <w:szCs w:val="24"/>
        </w:rPr>
      </w:pPr>
      <w:r>
        <w:rPr>
          <w:rFonts w:ascii="Times New Roman" w:hAnsi="Times New Roman" w:cs="Times New Roman"/>
          <w:sz w:val="24"/>
          <w:szCs w:val="24"/>
        </w:rPr>
        <w:t>Article 83 of the Directive mandates the suspension, revocation, withdrawal or variation of a marketing authorisation where one of seven matters are ‘</w:t>
      </w:r>
      <w:r>
        <w:rPr>
          <w:rFonts w:ascii="Times New Roman" w:hAnsi="Times New Roman" w:cs="Times New Roman"/>
          <w:i/>
          <w:sz w:val="24"/>
          <w:szCs w:val="24"/>
        </w:rPr>
        <w:t xml:space="preserve">clear’.  </w:t>
      </w:r>
      <w:r w:rsidR="00E66D30">
        <w:rPr>
          <w:rFonts w:ascii="Times New Roman" w:hAnsi="Times New Roman" w:cs="Times New Roman"/>
          <w:sz w:val="24"/>
          <w:szCs w:val="24"/>
        </w:rPr>
        <w:t>One of these arises where the qualitative and quantitative composition</w:t>
      </w:r>
      <w:r w:rsidR="00D1514C">
        <w:rPr>
          <w:rFonts w:ascii="Times New Roman" w:hAnsi="Times New Roman" w:cs="Times New Roman"/>
          <w:sz w:val="24"/>
          <w:szCs w:val="24"/>
        </w:rPr>
        <w:t xml:space="preserve"> of the veterinary medicinal product</w:t>
      </w:r>
      <w:r w:rsidR="00E66D30">
        <w:rPr>
          <w:rFonts w:ascii="Times New Roman" w:hAnsi="Times New Roman" w:cs="Times New Roman"/>
          <w:sz w:val="24"/>
          <w:szCs w:val="24"/>
        </w:rPr>
        <w:t xml:space="preserve"> is not </w:t>
      </w:r>
      <w:r w:rsidR="00C50E3E">
        <w:rPr>
          <w:rFonts w:ascii="Times New Roman" w:hAnsi="Times New Roman" w:cs="Times New Roman"/>
          <w:sz w:val="24"/>
          <w:szCs w:val="24"/>
        </w:rPr>
        <w:t xml:space="preserve">as </w:t>
      </w:r>
      <w:r w:rsidR="00E66D30">
        <w:rPr>
          <w:rFonts w:ascii="Times New Roman" w:hAnsi="Times New Roman" w:cs="Times New Roman"/>
          <w:sz w:val="24"/>
          <w:szCs w:val="24"/>
        </w:rPr>
        <w:t>stated</w:t>
      </w:r>
      <w:r w:rsidR="00037A15">
        <w:rPr>
          <w:rFonts w:ascii="Times New Roman" w:hAnsi="Times New Roman" w:cs="Times New Roman"/>
          <w:sz w:val="24"/>
          <w:szCs w:val="24"/>
        </w:rPr>
        <w:t>, and another where the risk-benefit assessment of the veterinary medicinal product is unfavourable</w:t>
      </w:r>
      <w:r w:rsidR="00865319">
        <w:rPr>
          <w:rFonts w:ascii="Times New Roman" w:hAnsi="Times New Roman" w:cs="Times New Roman"/>
          <w:sz w:val="24"/>
          <w:szCs w:val="24"/>
        </w:rPr>
        <w:t>.</w:t>
      </w:r>
      <w:r w:rsidR="00255A6D">
        <w:rPr>
          <w:rFonts w:ascii="Times New Roman" w:hAnsi="Times New Roman" w:cs="Times New Roman"/>
          <w:sz w:val="24"/>
          <w:szCs w:val="24"/>
        </w:rPr>
        <w:t xml:space="preserve">  </w:t>
      </w:r>
      <w:r w:rsidR="00F37227">
        <w:rPr>
          <w:rFonts w:ascii="Times New Roman" w:hAnsi="Times New Roman" w:cs="Times New Roman"/>
          <w:sz w:val="24"/>
          <w:szCs w:val="24"/>
        </w:rPr>
        <w:t>This is expressed as follows:</w:t>
      </w:r>
    </w:p>
    <w:p w14:paraId="573AA5C2" w14:textId="77777777" w:rsidR="00255A6D" w:rsidRDefault="00255A6D" w:rsidP="00255A6D">
      <w:pPr>
        <w:pStyle w:val="ListParagraph"/>
        <w:spacing w:before="240" w:line="480" w:lineRule="auto"/>
        <w:ind w:left="786"/>
        <w:jc w:val="both"/>
        <w:rPr>
          <w:rFonts w:ascii="Times New Roman" w:hAnsi="Times New Roman" w:cs="Times New Roman"/>
          <w:b/>
          <w:sz w:val="24"/>
          <w:szCs w:val="24"/>
        </w:rPr>
      </w:pPr>
    </w:p>
    <w:p w14:paraId="7FF5E867" w14:textId="03CCABD0" w:rsidR="00255A6D" w:rsidRDefault="00255A6D" w:rsidP="00255A6D">
      <w:pPr>
        <w:pStyle w:val="ListParagraph"/>
        <w:spacing w:before="240" w:line="480" w:lineRule="auto"/>
        <w:ind w:left="1440"/>
        <w:jc w:val="both"/>
        <w:rPr>
          <w:rFonts w:ascii="Times New Roman" w:hAnsi="Times New Roman" w:cs="Times New Roman"/>
          <w:i/>
          <w:sz w:val="24"/>
          <w:szCs w:val="24"/>
        </w:rPr>
      </w:pPr>
      <w:r>
        <w:rPr>
          <w:rFonts w:ascii="Times New Roman" w:hAnsi="Times New Roman" w:cs="Times New Roman"/>
          <w:sz w:val="24"/>
          <w:szCs w:val="24"/>
        </w:rPr>
        <w:t>‘</w:t>
      </w:r>
      <w:r>
        <w:rPr>
          <w:rFonts w:ascii="Times New Roman" w:hAnsi="Times New Roman" w:cs="Times New Roman"/>
          <w:i/>
          <w:sz w:val="24"/>
          <w:szCs w:val="24"/>
        </w:rPr>
        <w:t>Member States’ competent authorities shall suspend, revoke, withdraw or vary marketing authorisations when it is clear that:</w:t>
      </w:r>
    </w:p>
    <w:p w14:paraId="17E1AAF6" w14:textId="77777777" w:rsidR="00255A6D" w:rsidRDefault="00255A6D" w:rsidP="00255A6D">
      <w:pPr>
        <w:pStyle w:val="ListParagraph"/>
        <w:spacing w:before="240" w:line="480" w:lineRule="auto"/>
        <w:ind w:left="1440"/>
        <w:jc w:val="both"/>
        <w:rPr>
          <w:rFonts w:ascii="Times New Roman" w:hAnsi="Times New Roman" w:cs="Times New Roman"/>
          <w:i/>
          <w:sz w:val="24"/>
          <w:szCs w:val="24"/>
        </w:rPr>
      </w:pPr>
    </w:p>
    <w:p w14:paraId="47685670" w14:textId="77777777" w:rsidR="00255A6D" w:rsidRDefault="00255A6D" w:rsidP="00255A6D">
      <w:pPr>
        <w:pStyle w:val="ListParagraph"/>
        <w:numPr>
          <w:ilvl w:val="0"/>
          <w:numId w:val="24"/>
        </w:numPr>
        <w:spacing w:before="240" w:line="480" w:lineRule="auto"/>
        <w:jc w:val="both"/>
        <w:rPr>
          <w:rFonts w:ascii="Times New Roman" w:hAnsi="Times New Roman" w:cs="Times New Roman"/>
          <w:i/>
          <w:sz w:val="24"/>
          <w:szCs w:val="24"/>
        </w:rPr>
      </w:pPr>
      <w:r>
        <w:rPr>
          <w:rFonts w:ascii="Times New Roman" w:hAnsi="Times New Roman" w:cs="Times New Roman"/>
          <w:i/>
          <w:sz w:val="24"/>
          <w:szCs w:val="24"/>
        </w:rPr>
        <w:t xml:space="preserve">the risk-benefit assessment of the veterinary medicinal product is, under the authorised conditions of use, unfavourable … </w:t>
      </w:r>
    </w:p>
    <w:p w14:paraId="08C8F3F0" w14:textId="77777777" w:rsidR="00255A6D" w:rsidRDefault="00255A6D" w:rsidP="00255A6D">
      <w:pPr>
        <w:pStyle w:val="ListParagraph"/>
        <w:numPr>
          <w:ilvl w:val="0"/>
          <w:numId w:val="24"/>
        </w:numPr>
        <w:spacing w:before="240" w:line="480" w:lineRule="auto"/>
        <w:jc w:val="both"/>
        <w:rPr>
          <w:rFonts w:ascii="Times New Roman" w:hAnsi="Times New Roman" w:cs="Times New Roman"/>
          <w:i/>
          <w:sz w:val="24"/>
          <w:szCs w:val="24"/>
        </w:rPr>
      </w:pPr>
      <w:r>
        <w:rPr>
          <w:rFonts w:ascii="Times New Roman" w:hAnsi="Times New Roman" w:cs="Times New Roman"/>
          <w:i/>
          <w:sz w:val="24"/>
          <w:szCs w:val="24"/>
        </w:rPr>
        <w:t xml:space="preserve">..  </w:t>
      </w:r>
    </w:p>
    <w:p w14:paraId="2042EB39" w14:textId="5DE7F246" w:rsidR="00255A6D" w:rsidRPr="00255A6D" w:rsidRDefault="00255A6D" w:rsidP="00255A6D">
      <w:pPr>
        <w:pStyle w:val="ListParagraph"/>
        <w:numPr>
          <w:ilvl w:val="0"/>
          <w:numId w:val="24"/>
        </w:numPr>
        <w:spacing w:before="240" w:line="480" w:lineRule="auto"/>
        <w:jc w:val="both"/>
        <w:rPr>
          <w:rFonts w:ascii="Times New Roman" w:hAnsi="Times New Roman" w:cs="Times New Roman"/>
          <w:i/>
          <w:sz w:val="24"/>
          <w:szCs w:val="24"/>
        </w:rPr>
      </w:pPr>
      <w:r>
        <w:rPr>
          <w:rFonts w:ascii="Times New Roman" w:hAnsi="Times New Roman" w:cs="Times New Roman"/>
          <w:i/>
          <w:sz w:val="24"/>
          <w:szCs w:val="24"/>
        </w:rPr>
        <w:t>its qualitative and quantitative composition is not as stated</w:t>
      </w:r>
      <w:r w:rsidR="0088349A">
        <w:rPr>
          <w:rFonts w:ascii="Times New Roman" w:hAnsi="Times New Roman" w:cs="Times New Roman"/>
          <w:i/>
          <w:sz w:val="24"/>
          <w:szCs w:val="24"/>
        </w:rPr>
        <w:t>’</w:t>
      </w:r>
      <w:r>
        <w:rPr>
          <w:rFonts w:ascii="Times New Roman" w:hAnsi="Times New Roman" w:cs="Times New Roman"/>
          <w:i/>
          <w:sz w:val="24"/>
          <w:szCs w:val="24"/>
        </w:rPr>
        <w:t xml:space="preserve"> </w:t>
      </w:r>
    </w:p>
    <w:p w14:paraId="4246A38D" w14:textId="77777777" w:rsidR="00255A6D" w:rsidRPr="00721C17" w:rsidRDefault="00570FA5" w:rsidP="00721C17">
      <w:pPr>
        <w:pStyle w:val="ListParagraph"/>
        <w:spacing w:before="240" w:line="480" w:lineRule="auto"/>
        <w:ind w:left="786"/>
        <w:jc w:val="both"/>
        <w:rPr>
          <w:rFonts w:ascii="Times New Roman" w:hAnsi="Times New Roman" w:cs="Times New Roman"/>
          <w:b/>
          <w:sz w:val="24"/>
          <w:szCs w:val="24"/>
        </w:rPr>
      </w:pPr>
      <w:r>
        <w:rPr>
          <w:rFonts w:ascii="Times New Roman" w:hAnsi="Times New Roman" w:cs="Times New Roman"/>
          <w:b/>
          <w:sz w:val="24"/>
          <w:szCs w:val="24"/>
        </w:rPr>
        <w:t xml:space="preserve"> </w:t>
      </w:r>
    </w:p>
    <w:p w14:paraId="2D8C4811" w14:textId="77777777" w:rsidR="00FE05E1" w:rsidRPr="00FE05E1" w:rsidRDefault="00453ADE" w:rsidP="003E1C16">
      <w:pPr>
        <w:pStyle w:val="ListParagraph"/>
        <w:numPr>
          <w:ilvl w:val="0"/>
          <w:numId w:val="1"/>
        </w:numPr>
        <w:spacing w:before="240" w:line="480" w:lineRule="auto"/>
        <w:ind w:hanging="502"/>
        <w:jc w:val="both"/>
        <w:rPr>
          <w:rFonts w:ascii="Times New Roman" w:hAnsi="Times New Roman" w:cs="Times New Roman"/>
          <w:b/>
          <w:sz w:val="24"/>
          <w:szCs w:val="24"/>
        </w:rPr>
      </w:pPr>
      <w:r>
        <w:rPr>
          <w:rFonts w:ascii="Times New Roman" w:hAnsi="Times New Roman" w:cs="Times New Roman"/>
          <w:sz w:val="24"/>
          <w:szCs w:val="24"/>
        </w:rPr>
        <w:t>Article 13(1) of the 2007 Regulations</w:t>
      </w:r>
      <w:r w:rsidR="00FE05E1">
        <w:rPr>
          <w:rFonts w:ascii="Times New Roman" w:hAnsi="Times New Roman" w:cs="Times New Roman"/>
          <w:sz w:val="24"/>
          <w:szCs w:val="24"/>
        </w:rPr>
        <w:t xml:space="preserve"> provides :</w:t>
      </w:r>
    </w:p>
    <w:p w14:paraId="5FAF8F94" w14:textId="77777777" w:rsidR="00FE05E1" w:rsidRDefault="00FE05E1" w:rsidP="00FE05E1">
      <w:pPr>
        <w:pStyle w:val="ListParagraph"/>
        <w:spacing w:before="240" w:line="480" w:lineRule="auto"/>
        <w:ind w:left="786"/>
        <w:jc w:val="both"/>
        <w:rPr>
          <w:rFonts w:ascii="Times New Roman" w:hAnsi="Times New Roman" w:cs="Times New Roman"/>
          <w:sz w:val="24"/>
          <w:szCs w:val="24"/>
        </w:rPr>
      </w:pPr>
    </w:p>
    <w:p w14:paraId="1C906D19" w14:textId="492C76A8" w:rsidR="00FE05E1" w:rsidRPr="00FE05E1" w:rsidRDefault="00FE05E1" w:rsidP="00FE05E1">
      <w:pPr>
        <w:pStyle w:val="ListParagraph"/>
        <w:spacing w:before="240" w:line="480" w:lineRule="auto"/>
        <w:ind w:left="1440"/>
        <w:jc w:val="both"/>
        <w:rPr>
          <w:rFonts w:ascii="Times New Roman" w:hAnsi="Times New Roman" w:cs="Times New Roman"/>
          <w:sz w:val="24"/>
          <w:szCs w:val="24"/>
        </w:rPr>
      </w:pPr>
      <w:r>
        <w:rPr>
          <w:rFonts w:ascii="Times New Roman" w:hAnsi="Times New Roman" w:cs="Times New Roman"/>
          <w:i/>
          <w:sz w:val="24"/>
          <w:szCs w:val="24"/>
        </w:rPr>
        <w:t>‘Without prejudice to the generality of these Regulations, the Board shall suspend, revoke or vary a veterinary product authorisation if it is of the opinion that a circumstance referred to in Article 83(1) of the Directive applies or if an undertaking given under Regulation 9(3) has not been honoured or fulfilled.’</w:t>
      </w:r>
    </w:p>
    <w:p w14:paraId="088FBE41" w14:textId="6D2416ED" w:rsidR="00FE05E1" w:rsidRPr="00FE05E1" w:rsidRDefault="00FE05E1" w:rsidP="00FE05E1">
      <w:pPr>
        <w:pStyle w:val="ListParagraph"/>
        <w:spacing w:before="240" w:line="480" w:lineRule="auto"/>
        <w:ind w:left="786"/>
        <w:jc w:val="both"/>
        <w:rPr>
          <w:rFonts w:ascii="Times New Roman" w:hAnsi="Times New Roman" w:cs="Times New Roman"/>
          <w:b/>
          <w:sz w:val="24"/>
          <w:szCs w:val="24"/>
        </w:rPr>
      </w:pPr>
      <w:r>
        <w:rPr>
          <w:rFonts w:ascii="Times New Roman" w:hAnsi="Times New Roman" w:cs="Times New Roman"/>
          <w:sz w:val="24"/>
          <w:szCs w:val="24"/>
        </w:rPr>
        <w:t xml:space="preserve">  </w:t>
      </w:r>
    </w:p>
    <w:p w14:paraId="2AFD3AC1" w14:textId="7E2198FB" w:rsidR="00255A6D" w:rsidRPr="00832B3B" w:rsidRDefault="00255A6D" w:rsidP="003E1C16">
      <w:pPr>
        <w:pStyle w:val="ListParagraph"/>
        <w:numPr>
          <w:ilvl w:val="0"/>
          <w:numId w:val="1"/>
        </w:numPr>
        <w:spacing w:before="240" w:line="480" w:lineRule="auto"/>
        <w:ind w:hanging="502"/>
        <w:jc w:val="both"/>
        <w:rPr>
          <w:rFonts w:ascii="Times New Roman" w:hAnsi="Times New Roman" w:cs="Times New Roman"/>
          <w:b/>
          <w:sz w:val="24"/>
          <w:szCs w:val="24"/>
        </w:rPr>
      </w:pPr>
      <w:r>
        <w:rPr>
          <w:rFonts w:ascii="Times New Roman" w:hAnsi="Times New Roman" w:cs="Times New Roman"/>
          <w:sz w:val="24"/>
          <w:szCs w:val="24"/>
        </w:rPr>
        <w:lastRenderedPageBreak/>
        <w:t xml:space="preserve">In relief </w:t>
      </w:r>
      <w:r w:rsidR="0088349A">
        <w:rPr>
          <w:rFonts w:ascii="Times New Roman" w:hAnsi="Times New Roman" w:cs="Times New Roman"/>
          <w:sz w:val="24"/>
          <w:szCs w:val="24"/>
        </w:rPr>
        <w:t>D</w:t>
      </w:r>
      <w:r w:rsidR="006B0BC7">
        <w:rPr>
          <w:rFonts w:ascii="Times New Roman" w:hAnsi="Times New Roman" w:cs="Times New Roman"/>
          <w:sz w:val="24"/>
          <w:szCs w:val="24"/>
        </w:rPr>
        <w:t xml:space="preserve"> </w:t>
      </w:r>
      <w:r w:rsidR="00721C17">
        <w:rPr>
          <w:rFonts w:ascii="Times New Roman" w:hAnsi="Times New Roman" w:cs="Times New Roman"/>
          <w:sz w:val="24"/>
          <w:szCs w:val="24"/>
        </w:rPr>
        <w:t>(</w:t>
      </w:r>
      <w:r>
        <w:rPr>
          <w:rFonts w:ascii="Times New Roman" w:hAnsi="Times New Roman" w:cs="Times New Roman"/>
          <w:sz w:val="24"/>
          <w:szCs w:val="24"/>
        </w:rPr>
        <w:t>6</w:t>
      </w:r>
      <w:r w:rsidR="00721C17">
        <w:rPr>
          <w:rFonts w:ascii="Times New Roman" w:hAnsi="Times New Roman" w:cs="Times New Roman"/>
          <w:sz w:val="24"/>
          <w:szCs w:val="24"/>
        </w:rPr>
        <w:t>)</w:t>
      </w:r>
      <w:r>
        <w:rPr>
          <w:rFonts w:ascii="Times New Roman" w:hAnsi="Times New Roman" w:cs="Times New Roman"/>
          <w:sz w:val="24"/>
          <w:szCs w:val="24"/>
        </w:rPr>
        <w:t xml:space="preserve"> of its </w:t>
      </w:r>
      <w:r w:rsidR="00832B3B">
        <w:rPr>
          <w:rFonts w:ascii="Times New Roman" w:hAnsi="Times New Roman" w:cs="Times New Roman"/>
          <w:sz w:val="24"/>
          <w:szCs w:val="24"/>
        </w:rPr>
        <w:t>Statement of Grounds, Arthropharm sought a declaration that HPRA erred:</w:t>
      </w:r>
    </w:p>
    <w:p w14:paraId="4FC3D27B" w14:textId="77777777" w:rsidR="00832B3B" w:rsidRPr="00832B3B" w:rsidRDefault="00832B3B" w:rsidP="00832B3B">
      <w:pPr>
        <w:pStyle w:val="ListParagraph"/>
        <w:rPr>
          <w:rFonts w:ascii="Times New Roman" w:hAnsi="Times New Roman" w:cs="Times New Roman"/>
          <w:b/>
          <w:sz w:val="24"/>
          <w:szCs w:val="24"/>
        </w:rPr>
      </w:pPr>
    </w:p>
    <w:p w14:paraId="266EA6C1" w14:textId="77777777" w:rsidR="00832B3B" w:rsidRDefault="00832B3B" w:rsidP="00832B3B">
      <w:pPr>
        <w:spacing w:before="240" w:line="480" w:lineRule="auto"/>
        <w:ind w:left="1440"/>
        <w:jc w:val="both"/>
        <w:rPr>
          <w:rFonts w:ascii="Times New Roman" w:hAnsi="Times New Roman" w:cs="Times New Roman"/>
          <w:b/>
          <w:sz w:val="24"/>
          <w:szCs w:val="24"/>
        </w:rPr>
      </w:pPr>
      <w:r>
        <w:rPr>
          <w:rFonts w:ascii="Times New Roman" w:hAnsi="Times New Roman" w:cs="Times New Roman"/>
          <w:sz w:val="24"/>
          <w:szCs w:val="24"/>
        </w:rPr>
        <w:t>‘</w:t>
      </w:r>
      <w:r>
        <w:rPr>
          <w:rFonts w:ascii="Times New Roman" w:hAnsi="Times New Roman" w:cs="Times New Roman"/>
          <w:i/>
          <w:sz w:val="24"/>
          <w:szCs w:val="24"/>
        </w:rPr>
        <w:t>in failing to suspend or withdraw the veterinary product authorisation granted to the Notice Party in respect of Osteopen on</w:t>
      </w:r>
      <w:r w:rsidR="00721C17">
        <w:rPr>
          <w:rFonts w:ascii="Times New Roman" w:hAnsi="Times New Roman" w:cs="Times New Roman"/>
          <w:i/>
          <w:sz w:val="24"/>
          <w:szCs w:val="24"/>
        </w:rPr>
        <w:t xml:space="preserve"> </w:t>
      </w:r>
      <w:r>
        <w:rPr>
          <w:rFonts w:ascii="Times New Roman" w:hAnsi="Times New Roman" w:cs="Times New Roman"/>
          <w:i/>
          <w:sz w:val="24"/>
          <w:szCs w:val="24"/>
        </w:rPr>
        <w:t>becoming aware that the qualitative and quantitative composition of a product is not as stated and/or that the risk-benefit assessment of the veterinary medicinal product is unfavourable’</w:t>
      </w:r>
      <w:r w:rsidRPr="00832B3B">
        <w:rPr>
          <w:rFonts w:ascii="Times New Roman" w:hAnsi="Times New Roman" w:cs="Times New Roman"/>
          <w:b/>
          <w:sz w:val="24"/>
          <w:szCs w:val="24"/>
        </w:rPr>
        <w:t xml:space="preserve"> </w:t>
      </w:r>
    </w:p>
    <w:p w14:paraId="4EA53C6C" w14:textId="1A54917F" w:rsidR="00BB179A" w:rsidRPr="00BB179A" w:rsidRDefault="00BB179A" w:rsidP="003E1C16">
      <w:pPr>
        <w:pStyle w:val="ListParagraph"/>
        <w:numPr>
          <w:ilvl w:val="0"/>
          <w:numId w:val="1"/>
        </w:numPr>
        <w:spacing w:before="240" w:line="480" w:lineRule="auto"/>
        <w:ind w:hanging="502"/>
        <w:jc w:val="both"/>
        <w:rPr>
          <w:rFonts w:ascii="Times New Roman" w:hAnsi="Times New Roman" w:cs="Times New Roman"/>
          <w:b/>
          <w:sz w:val="24"/>
          <w:szCs w:val="24"/>
        </w:rPr>
      </w:pPr>
      <w:r>
        <w:rPr>
          <w:rFonts w:ascii="Times New Roman" w:hAnsi="Times New Roman" w:cs="Times New Roman"/>
          <w:sz w:val="24"/>
          <w:szCs w:val="24"/>
        </w:rPr>
        <w:t>Then, paragraph 42 of the Amended Statement of Grounds put this relief (which it will be observed is not grounded in any particular decision of HPRA) in context, as follows:</w:t>
      </w:r>
    </w:p>
    <w:p w14:paraId="0F71711E" w14:textId="77777777" w:rsidR="00BB179A" w:rsidRDefault="00BB179A" w:rsidP="00BB179A">
      <w:pPr>
        <w:pStyle w:val="ListParagraph"/>
        <w:spacing w:before="240" w:line="480" w:lineRule="auto"/>
        <w:ind w:left="786"/>
        <w:jc w:val="both"/>
        <w:rPr>
          <w:rFonts w:ascii="Times New Roman" w:hAnsi="Times New Roman" w:cs="Times New Roman"/>
          <w:sz w:val="24"/>
          <w:szCs w:val="24"/>
        </w:rPr>
      </w:pPr>
    </w:p>
    <w:p w14:paraId="31052C5A" w14:textId="4469D2D4" w:rsidR="00BB179A" w:rsidRPr="00BB179A" w:rsidRDefault="00BB179A" w:rsidP="00BB179A">
      <w:pPr>
        <w:pStyle w:val="ListParagraph"/>
        <w:spacing w:before="240" w:line="480" w:lineRule="auto"/>
        <w:ind w:left="1440"/>
        <w:jc w:val="both"/>
        <w:rPr>
          <w:rFonts w:ascii="Times New Roman" w:hAnsi="Times New Roman" w:cs="Times New Roman"/>
          <w:sz w:val="24"/>
          <w:szCs w:val="24"/>
        </w:rPr>
      </w:pPr>
      <w:r>
        <w:rPr>
          <w:rFonts w:ascii="Times New Roman" w:hAnsi="Times New Roman" w:cs="Times New Roman"/>
          <w:i/>
          <w:sz w:val="24"/>
          <w:szCs w:val="24"/>
        </w:rPr>
        <w:t>‘Article 83 provides that, where it becomes clear that the qualitative and quantitative composition of a product is not as stated, or that the risk-benefit assessment of the veterinary medicinal product is unfavourable, the HPRA is required to suspend or revoke the authorisation …’</w:t>
      </w:r>
    </w:p>
    <w:p w14:paraId="0CEB53AF" w14:textId="0E0D5867" w:rsidR="00BB179A" w:rsidRPr="00BB179A" w:rsidRDefault="00BB179A" w:rsidP="00BB179A">
      <w:pPr>
        <w:pStyle w:val="ListParagraph"/>
        <w:spacing w:before="240" w:line="480" w:lineRule="auto"/>
        <w:ind w:left="786"/>
        <w:jc w:val="both"/>
        <w:rPr>
          <w:rFonts w:ascii="Times New Roman" w:hAnsi="Times New Roman" w:cs="Times New Roman"/>
          <w:b/>
          <w:sz w:val="24"/>
          <w:szCs w:val="24"/>
        </w:rPr>
      </w:pPr>
      <w:r>
        <w:rPr>
          <w:rFonts w:ascii="Times New Roman" w:hAnsi="Times New Roman" w:cs="Times New Roman"/>
          <w:sz w:val="24"/>
          <w:szCs w:val="24"/>
        </w:rPr>
        <w:t xml:space="preserve">  </w:t>
      </w:r>
    </w:p>
    <w:p w14:paraId="7E000D6E" w14:textId="287A4A1B" w:rsidR="00721C17" w:rsidRPr="00721C17" w:rsidRDefault="00721C17" w:rsidP="003E1C16">
      <w:pPr>
        <w:pStyle w:val="ListParagraph"/>
        <w:numPr>
          <w:ilvl w:val="0"/>
          <w:numId w:val="1"/>
        </w:numPr>
        <w:spacing w:before="240" w:line="480" w:lineRule="auto"/>
        <w:ind w:hanging="502"/>
        <w:jc w:val="both"/>
        <w:rPr>
          <w:rFonts w:ascii="Times New Roman" w:hAnsi="Times New Roman" w:cs="Times New Roman"/>
          <w:b/>
          <w:sz w:val="24"/>
          <w:szCs w:val="24"/>
        </w:rPr>
      </w:pPr>
      <w:r>
        <w:rPr>
          <w:rFonts w:ascii="Times New Roman" w:hAnsi="Times New Roman" w:cs="Times New Roman"/>
          <w:sz w:val="24"/>
          <w:szCs w:val="24"/>
        </w:rPr>
        <w:t>The grounds on which this relief was sought were</w:t>
      </w:r>
      <w:r w:rsidR="00614472">
        <w:rPr>
          <w:rFonts w:ascii="Times New Roman" w:hAnsi="Times New Roman" w:cs="Times New Roman"/>
          <w:sz w:val="24"/>
          <w:szCs w:val="24"/>
        </w:rPr>
        <w:t xml:space="preserve">, essentially, that the product was not a true generic (42A), that there had been no meaningful risk-benefit assessment (42C), that there had been a failure to explain why Osteopen and Cartrophen are not biological medicinal products (42D), </w:t>
      </w:r>
      <w:r w:rsidR="00E94318">
        <w:rPr>
          <w:rFonts w:ascii="Times New Roman" w:hAnsi="Times New Roman" w:cs="Times New Roman"/>
          <w:sz w:val="24"/>
          <w:szCs w:val="24"/>
        </w:rPr>
        <w:t xml:space="preserve">and </w:t>
      </w:r>
      <w:r w:rsidR="00614472">
        <w:rPr>
          <w:rFonts w:ascii="Times New Roman" w:hAnsi="Times New Roman" w:cs="Times New Roman"/>
          <w:sz w:val="24"/>
          <w:szCs w:val="24"/>
        </w:rPr>
        <w:t>that there had been a failure to take into account (essentially) the differences in the manufacturing processes of PPS</w:t>
      </w:r>
      <w:r w:rsidR="00462A11">
        <w:rPr>
          <w:rFonts w:ascii="Times New Roman" w:hAnsi="Times New Roman" w:cs="Times New Roman"/>
          <w:sz w:val="24"/>
          <w:szCs w:val="24"/>
        </w:rPr>
        <w:t xml:space="preserve"> (para. 42F).</w:t>
      </w:r>
      <w:r w:rsidR="00614472">
        <w:rPr>
          <w:rFonts w:ascii="Times New Roman" w:hAnsi="Times New Roman" w:cs="Times New Roman"/>
          <w:sz w:val="24"/>
          <w:szCs w:val="24"/>
        </w:rPr>
        <w:t xml:space="preserve"> </w:t>
      </w:r>
      <w:r w:rsidR="00462A11">
        <w:rPr>
          <w:rFonts w:ascii="Times New Roman" w:hAnsi="Times New Roman" w:cs="Times New Roman"/>
          <w:sz w:val="24"/>
          <w:szCs w:val="24"/>
        </w:rPr>
        <w:t xml:space="preserve"> Paragraph </w:t>
      </w:r>
      <w:r>
        <w:rPr>
          <w:rFonts w:ascii="Times New Roman" w:hAnsi="Times New Roman" w:cs="Times New Roman"/>
          <w:sz w:val="24"/>
          <w:szCs w:val="24"/>
        </w:rPr>
        <w:t xml:space="preserve">42E </w:t>
      </w:r>
      <w:r w:rsidR="00462A11">
        <w:rPr>
          <w:rFonts w:ascii="Times New Roman" w:hAnsi="Times New Roman" w:cs="Times New Roman"/>
          <w:sz w:val="24"/>
          <w:szCs w:val="24"/>
        </w:rPr>
        <w:t xml:space="preserve">is </w:t>
      </w:r>
      <w:r>
        <w:rPr>
          <w:rFonts w:ascii="Times New Roman" w:hAnsi="Times New Roman" w:cs="Times New Roman"/>
          <w:sz w:val="24"/>
          <w:szCs w:val="24"/>
        </w:rPr>
        <w:t>thus:</w:t>
      </w:r>
    </w:p>
    <w:p w14:paraId="63103490" w14:textId="77777777" w:rsidR="00721C17" w:rsidRDefault="00721C17" w:rsidP="00721C17">
      <w:pPr>
        <w:pStyle w:val="ListParagraph"/>
        <w:spacing w:before="240" w:line="480" w:lineRule="auto"/>
        <w:ind w:left="786"/>
        <w:jc w:val="both"/>
        <w:rPr>
          <w:rFonts w:ascii="Times New Roman" w:hAnsi="Times New Roman" w:cs="Times New Roman"/>
          <w:b/>
          <w:sz w:val="24"/>
          <w:szCs w:val="24"/>
        </w:rPr>
      </w:pPr>
    </w:p>
    <w:p w14:paraId="7FBD5F09" w14:textId="586EC1B1" w:rsidR="00721C17" w:rsidRDefault="00721C17" w:rsidP="00721C17">
      <w:pPr>
        <w:pStyle w:val="ListParagraph"/>
        <w:spacing w:before="240" w:line="480" w:lineRule="auto"/>
        <w:ind w:left="1440"/>
        <w:jc w:val="both"/>
        <w:rPr>
          <w:rFonts w:ascii="Times New Roman" w:hAnsi="Times New Roman" w:cs="Times New Roman"/>
          <w:i/>
          <w:sz w:val="24"/>
          <w:szCs w:val="24"/>
        </w:rPr>
      </w:pPr>
      <w:r>
        <w:rPr>
          <w:rFonts w:ascii="Times New Roman" w:hAnsi="Times New Roman" w:cs="Times New Roman"/>
          <w:sz w:val="24"/>
          <w:szCs w:val="24"/>
        </w:rPr>
        <w:t>‘</w:t>
      </w:r>
      <w:r>
        <w:rPr>
          <w:rFonts w:ascii="Times New Roman" w:hAnsi="Times New Roman" w:cs="Times New Roman"/>
          <w:i/>
          <w:sz w:val="24"/>
          <w:szCs w:val="24"/>
        </w:rPr>
        <w:t>HPRA erred in concluding that the risk-benefit analysis of Osteopen is favourable.  The use of</w:t>
      </w:r>
      <w:r w:rsidR="0088349A">
        <w:rPr>
          <w:rFonts w:ascii="Times New Roman" w:hAnsi="Times New Roman" w:cs="Times New Roman"/>
          <w:i/>
          <w:sz w:val="24"/>
          <w:szCs w:val="24"/>
        </w:rPr>
        <w:t xml:space="preserve"> the</w:t>
      </w:r>
      <w:r>
        <w:rPr>
          <w:rFonts w:ascii="Times New Roman" w:hAnsi="Times New Roman" w:cs="Times New Roman"/>
          <w:i/>
          <w:sz w:val="24"/>
          <w:szCs w:val="24"/>
        </w:rPr>
        <w:t xml:space="preserve"> Article 13(1) procedure was not appropriate and </w:t>
      </w:r>
      <w:r>
        <w:rPr>
          <w:rFonts w:ascii="Times New Roman" w:hAnsi="Times New Roman" w:cs="Times New Roman"/>
          <w:i/>
          <w:sz w:val="24"/>
          <w:szCs w:val="24"/>
        </w:rPr>
        <w:lastRenderedPageBreak/>
        <w:t xml:space="preserve">Osteopen ought not to have been approved as a generic.  As a result of the use of the Article 13(1) procedure, the appropriate pre-clinical and clinical trials were not carried out in respect of Osteopen.  In addition, bioavailability studies were not required on the basis that the active ingredients in Osteopen and </w:t>
      </w:r>
      <w:r w:rsidR="0088349A">
        <w:rPr>
          <w:rFonts w:ascii="Times New Roman" w:hAnsi="Times New Roman" w:cs="Times New Roman"/>
          <w:i/>
          <w:sz w:val="24"/>
          <w:szCs w:val="24"/>
        </w:rPr>
        <w:t>Cartrophen</w:t>
      </w:r>
      <w:r>
        <w:rPr>
          <w:rFonts w:ascii="Times New Roman" w:hAnsi="Times New Roman" w:cs="Times New Roman"/>
          <w:i/>
          <w:sz w:val="24"/>
          <w:szCs w:val="24"/>
        </w:rPr>
        <w:t xml:space="preserve"> are ‘identical’.  The PPS in </w:t>
      </w:r>
      <w:r w:rsidR="0088349A">
        <w:rPr>
          <w:rFonts w:ascii="Times New Roman" w:hAnsi="Times New Roman" w:cs="Times New Roman"/>
          <w:i/>
          <w:sz w:val="24"/>
          <w:szCs w:val="24"/>
        </w:rPr>
        <w:t>Osteopen</w:t>
      </w:r>
      <w:r>
        <w:rPr>
          <w:rFonts w:ascii="Times New Roman" w:hAnsi="Times New Roman" w:cs="Times New Roman"/>
          <w:i/>
          <w:sz w:val="24"/>
          <w:szCs w:val="24"/>
        </w:rPr>
        <w:t xml:space="preserve"> and Cartrophen is not identical and </w:t>
      </w:r>
      <w:r w:rsidR="0088349A">
        <w:rPr>
          <w:rFonts w:ascii="Times New Roman" w:hAnsi="Times New Roman" w:cs="Times New Roman"/>
          <w:i/>
          <w:sz w:val="24"/>
          <w:szCs w:val="24"/>
        </w:rPr>
        <w:t>bioavailability</w:t>
      </w:r>
      <w:r>
        <w:rPr>
          <w:rFonts w:ascii="Times New Roman" w:hAnsi="Times New Roman" w:cs="Times New Roman"/>
          <w:i/>
          <w:sz w:val="24"/>
          <w:szCs w:val="24"/>
        </w:rPr>
        <w:t xml:space="preserve"> studies ought to have been required.  Further, the HPRA failed to have regard to impact of the differences in the manufacturing processes of the PPS used in the products, as they are required to do in accordance with Article 13(4) in circumstances where Cartrophen is a biological medicinal product. In the premises, there was no basis for the assumption by the HPRA that the safety and efficacy of Osteopen can be assumed to be same as that of </w:t>
      </w:r>
      <w:r w:rsidR="0088349A">
        <w:rPr>
          <w:rFonts w:ascii="Times New Roman" w:hAnsi="Times New Roman" w:cs="Times New Roman"/>
          <w:i/>
          <w:sz w:val="24"/>
          <w:szCs w:val="24"/>
        </w:rPr>
        <w:t>Cartrophen</w:t>
      </w:r>
      <w:r>
        <w:rPr>
          <w:rFonts w:ascii="Times New Roman" w:hAnsi="Times New Roman" w:cs="Times New Roman"/>
          <w:i/>
          <w:sz w:val="24"/>
          <w:szCs w:val="24"/>
        </w:rPr>
        <w:t xml:space="preserve"> and the safety and efficacy of </w:t>
      </w:r>
      <w:r w:rsidR="0088349A">
        <w:rPr>
          <w:rFonts w:ascii="Times New Roman" w:hAnsi="Times New Roman" w:cs="Times New Roman"/>
          <w:i/>
          <w:sz w:val="24"/>
          <w:szCs w:val="24"/>
        </w:rPr>
        <w:t>Osteopen</w:t>
      </w:r>
      <w:r>
        <w:rPr>
          <w:rFonts w:ascii="Times New Roman" w:hAnsi="Times New Roman" w:cs="Times New Roman"/>
          <w:i/>
          <w:sz w:val="24"/>
          <w:szCs w:val="24"/>
        </w:rPr>
        <w:t xml:space="preserve"> are unknown.</w:t>
      </w:r>
    </w:p>
    <w:p w14:paraId="1EF3DD99" w14:textId="77777777" w:rsidR="00721C17" w:rsidRDefault="00721C17" w:rsidP="00721C17">
      <w:pPr>
        <w:pStyle w:val="ListParagraph"/>
        <w:spacing w:before="240" w:line="480" w:lineRule="auto"/>
        <w:ind w:left="1440"/>
        <w:jc w:val="both"/>
        <w:rPr>
          <w:rFonts w:ascii="Times New Roman" w:hAnsi="Times New Roman" w:cs="Times New Roman"/>
          <w:i/>
          <w:sz w:val="24"/>
          <w:szCs w:val="24"/>
        </w:rPr>
      </w:pPr>
    </w:p>
    <w:p w14:paraId="0C88FDD8" w14:textId="0ABED025" w:rsidR="00721C17" w:rsidRDefault="00721C17" w:rsidP="00721C17">
      <w:pPr>
        <w:pStyle w:val="ListParagraph"/>
        <w:spacing w:before="240" w:line="480" w:lineRule="auto"/>
        <w:ind w:left="1440"/>
        <w:jc w:val="both"/>
        <w:rPr>
          <w:rFonts w:ascii="Times New Roman" w:hAnsi="Times New Roman" w:cs="Times New Roman"/>
          <w:sz w:val="24"/>
          <w:szCs w:val="24"/>
        </w:rPr>
      </w:pPr>
      <w:r>
        <w:rPr>
          <w:rFonts w:ascii="Times New Roman" w:hAnsi="Times New Roman" w:cs="Times New Roman"/>
          <w:i/>
          <w:sz w:val="24"/>
          <w:szCs w:val="24"/>
        </w:rPr>
        <w:t>Without prejudice to the foregoing HPRA failed in concluding that the qualitative composition of Osteopen was the same as Cartrophen given that they are qualitatively different and the two products are not bioequivalent.’</w:t>
      </w:r>
    </w:p>
    <w:p w14:paraId="5543D822" w14:textId="55FFF8F8" w:rsidR="00BF559F" w:rsidRDefault="00BF559F" w:rsidP="00BF559F">
      <w:pPr>
        <w:pStyle w:val="ListParagraph"/>
        <w:spacing w:before="240" w:line="480" w:lineRule="auto"/>
        <w:ind w:left="786"/>
        <w:jc w:val="both"/>
        <w:rPr>
          <w:rFonts w:ascii="Times New Roman" w:hAnsi="Times New Roman" w:cs="Times New Roman"/>
          <w:b/>
          <w:sz w:val="24"/>
          <w:szCs w:val="24"/>
        </w:rPr>
      </w:pPr>
      <w:r>
        <w:rPr>
          <w:rFonts w:ascii="Times New Roman" w:hAnsi="Times New Roman" w:cs="Times New Roman"/>
          <w:b/>
          <w:sz w:val="24"/>
          <w:szCs w:val="24"/>
        </w:rPr>
        <w:t xml:space="preserve">  </w:t>
      </w:r>
    </w:p>
    <w:p w14:paraId="470965D6" w14:textId="44AFA859" w:rsidR="00EE7024" w:rsidRPr="00EE7024" w:rsidRDefault="00BF559F" w:rsidP="003B7D21">
      <w:pPr>
        <w:pStyle w:val="ListParagraph"/>
        <w:numPr>
          <w:ilvl w:val="0"/>
          <w:numId w:val="1"/>
        </w:numPr>
        <w:spacing w:before="240" w:line="480" w:lineRule="auto"/>
        <w:ind w:hanging="502"/>
        <w:jc w:val="both"/>
        <w:rPr>
          <w:rFonts w:ascii="Times New Roman" w:hAnsi="Times New Roman" w:cs="Times New Roman"/>
          <w:b/>
          <w:sz w:val="24"/>
          <w:szCs w:val="24"/>
        </w:rPr>
      </w:pPr>
      <w:r>
        <w:rPr>
          <w:rFonts w:ascii="Times New Roman" w:hAnsi="Times New Roman" w:cs="Times New Roman"/>
          <w:sz w:val="24"/>
          <w:szCs w:val="24"/>
        </w:rPr>
        <w:t>The position of HPRA in response to these pleas as recorded in its Statement of Opposition and replying affidavits</w:t>
      </w:r>
      <w:r w:rsidR="0001249B">
        <w:rPr>
          <w:rFonts w:ascii="Times New Roman" w:hAnsi="Times New Roman" w:cs="Times New Roman"/>
          <w:sz w:val="24"/>
          <w:szCs w:val="24"/>
        </w:rPr>
        <w:t xml:space="preserve"> included the following</w:t>
      </w:r>
      <w:r w:rsidR="00EE7024">
        <w:rPr>
          <w:rFonts w:ascii="Times New Roman" w:hAnsi="Times New Roman" w:cs="Times New Roman"/>
          <w:sz w:val="24"/>
          <w:szCs w:val="24"/>
        </w:rPr>
        <w:t>:</w:t>
      </w:r>
    </w:p>
    <w:p w14:paraId="4ACEBAD3" w14:textId="77777777" w:rsidR="00EE7024" w:rsidRDefault="00EE7024" w:rsidP="00EE7024">
      <w:pPr>
        <w:pStyle w:val="ListParagraph"/>
        <w:spacing w:before="240" w:line="480" w:lineRule="auto"/>
        <w:ind w:left="786"/>
        <w:jc w:val="both"/>
        <w:rPr>
          <w:rFonts w:ascii="Times New Roman" w:hAnsi="Times New Roman" w:cs="Times New Roman"/>
          <w:sz w:val="24"/>
          <w:szCs w:val="24"/>
        </w:rPr>
      </w:pPr>
    </w:p>
    <w:p w14:paraId="35F8929A" w14:textId="2ED2BA00" w:rsidR="00EE7024" w:rsidRDefault="00EE7024" w:rsidP="00EE7024">
      <w:pPr>
        <w:pStyle w:val="ListParagraph"/>
        <w:numPr>
          <w:ilvl w:val="0"/>
          <w:numId w:val="29"/>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That the 6 March </w:t>
      </w:r>
      <w:r w:rsidR="006B0BC7">
        <w:rPr>
          <w:rFonts w:ascii="Times New Roman" w:hAnsi="Times New Roman" w:cs="Times New Roman"/>
          <w:sz w:val="24"/>
          <w:szCs w:val="24"/>
        </w:rPr>
        <w:t xml:space="preserve">2019 </w:t>
      </w:r>
      <w:r>
        <w:rPr>
          <w:rFonts w:ascii="Times New Roman" w:hAnsi="Times New Roman" w:cs="Times New Roman"/>
          <w:sz w:val="24"/>
          <w:szCs w:val="24"/>
        </w:rPr>
        <w:t>letters were not decisions and/or decisions susceptible to judicial review;</w:t>
      </w:r>
    </w:p>
    <w:p w14:paraId="00F03112" w14:textId="70FFEE44" w:rsidR="00EE7024" w:rsidRDefault="00EE7024" w:rsidP="00EE7024">
      <w:pPr>
        <w:pStyle w:val="ListParagraph"/>
        <w:spacing w:before="240" w:line="48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  </w:t>
      </w:r>
    </w:p>
    <w:p w14:paraId="2564AD93" w14:textId="1EBDA411" w:rsidR="00EE7024" w:rsidRDefault="00EE7024" w:rsidP="00EE7024">
      <w:pPr>
        <w:pStyle w:val="ListParagraph"/>
        <w:numPr>
          <w:ilvl w:val="0"/>
          <w:numId w:val="29"/>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To invoke Article 83(1)(a), it is necessary to demonstrate a lack of benefit or harm to the animal intended for treatment under the authorised conditions of use contained in the summary of product characteristics, and to activate Article 83(1)(c) it must be shown that that summary, product labels, packaging and package leaflet state the correct composition of the product.  The correspondence from Arthropharm responded to in the letters of </w:t>
      </w:r>
      <w:r w:rsidR="006B0BC7">
        <w:rPr>
          <w:rFonts w:ascii="Times New Roman" w:hAnsi="Times New Roman" w:cs="Times New Roman"/>
          <w:sz w:val="24"/>
          <w:szCs w:val="24"/>
        </w:rPr>
        <w:t xml:space="preserve">6 </w:t>
      </w:r>
      <w:r>
        <w:rPr>
          <w:rFonts w:ascii="Times New Roman" w:hAnsi="Times New Roman" w:cs="Times New Roman"/>
          <w:sz w:val="24"/>
          <w:szCs w:val="24"/>
        </w:rPr>
        <w:t xml:space="preserve">March </w:t>
      </w:r>
      <w:r w:rsidR="006B0BC7">
        <w:rPr>
          <w:rFonts w:ascii="Times New Roman" w:hAnsi="Times New Roman" w:cs="Times New Roman"/>
          <w:sz w:val="24"/>
          <w:szCs w:val="24"/>
        </w:rPr>
        <w:t xml:space="preserve">2019 </w:t>
      </w:r>
      <w:r>
        <w:rPr>
          <w:rFonts w:ascii="Times New Roman" w:hAnsi="Times New Roman" w:cs="Times New Roman"/>
          <w:sz w:val="24"/>
          <w:szCs w:val="24"/>
        </w:rPr>
        <w:t>did not demonstrate either of these and raised no safety concerns as regards Osteopen.</w:t>
      </w:r>
    </w:p>
    <w:p w14:paraId="579BB2AB" w14:textId="77777777" w:rsidR="00EE7024" w:rsidRPr="00EE7024" w:rsidRDefault="00EE7024" w:rsidP="00EE7024">
      <w:pPr>
        <w:pStyle w:val="ListParagraph"/>
        <w:rPr>
          <w:rFonts w:ascii="Times New Roman" w:hAnsi="Times New Roman" w:cs="Times New Roman"/>
          <w:sz w:val="24"/>
          <w:szCs w:val="24"/>
        </w:rPr>
      </w:pPr>
    </w:p>
    <w:p w14:paraId="2298B670" w14:textId="6E846C3E" w:rsidR="00EE7024" w:rsidRPr="00EE7024" w:rsidRDefault="00EE7024" w:rsidP="00EE7024">
      <w:pPr>
        <w:pStyle w:val="ListParagraph"/>
        <w:numPr>
          <w:ilvl w:val="0"/>
          <w:numId w:val="29"/>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The latter correspondence from HPRA were not separate, challengeable acts but rather were affirmations of the 20 July 2018 decision to grant the marketing authorisation for Osteopen.</w:t>
      </w:r>
    </w:p>
    <w:p w14:paraId="7E7EF0FA" w14:textId="2F67ADDE" w:rsidR="00721C17" w:rsidRPr="00431CB8" w:rsidRDefault="00EE7024" w:rsidP="00431CB8">
      <w:pPr>
        <w:pStyle w:val="ListParagraph"/>
        <w:spacing w:before="240" w:line="480" w:lineRule="auto"/>
        <w:ind w:left="786"/>
        <w:jc w:val="both"/>
        <w:rPr>
          <w:rFonts w:ascii="Times New Roman" w:hAnsi="Times New Roman" w:cs="Times New Roman"/>
          <w:b/>
          <w:sz w:val="24"/>
          <w:szCs w:val="24"/>
        </w:rPr>
      </w:pPr>
      <w:r>
        <w:rPr>
          <w:rFonts w:ascii="Times New Roman" w:hAnsi="Times New Roman" w:cs="Times New Roman"/>
          <w:sz w:val="24"/>
          <w:szCs w:val="24"/>
        </w:rPr>
        <w:t xml:space="preserve">    </w:t>
      </w:r>
    </w:p>
    <w:p w14:paraId="66EF98C9" w14:textId="77777777" w:rsidR="00832B3B" w:rsidRPr="00832B3B" w:rsidRDefault="00832B3B" w:rsidP="00832B3B">
      <w:pPr>
        <w:pStyle w:val="ListParagraph"/>
        <w:rPr>
          <w:rFonts w:ascii="Times New Roman" w:hAnsi="Times New Roman" w:cs="Times New Roman"/>
          <w:b/>
          <w:sz w:val="24"/>
          <w:szCs w:val="24"/>
        </w:rPr>
      </w:pPr>
    </w:p>
    <w:p w14:paraId="10C53B80" w14:textId="77777777" w:rsidR="009A7461" w:rsidRPr="00F44DF0" w:rsidRDefault="009A7461" w:rsidP="009A7461">
      <w:pPr>
        <w:pStyle w:val="ListParagraph"/>
        <w:numPr>
          <w:ilvl w:val="0"/>
          <w:numId w:val="25"/>
        </w:numPr>
        <w:spacing w:before="240" w:line="480" w:lineRule="auto"/>
        <w:jc w:val="both"/>
        <w:rPr>
          <w:rFonts w:ascii="Times New Roman" w:hAnsi="Times New Roman" w:cs="Times New Roman"/>
          <w:i/>
          <w:sz w:val="24"/>
          <w:szCs w:val="24"/>
        </w:rPr>
      </w:pPr>
      <w:r w:rsidRPr="00F44DF0">
        <w:rPr>
          <w:rFonts w:ascii="Times New Roman" w:hAnsi="Times New Roman" w:cs="Times New Roman"/>
          <w:i/>
          <w:sz w:val="24"/>
          <w:szCs w:val="24"/>
        </w:rPr>
        <w:t xml:space="preserve">The decision of the trial judge  </w:t>
      </w:r>
    </w:p>
    <w:p w14:paraId="7988673A" w14:textId="77777777" w:rsidR="009A7461" w:rsidRDefault="009A7461" w:rsidP="009A7461">
      <w:pPr>
        <w:pStyle w:val="ListParagraph"/>
        <w:spacing w:before="240" w:line="480" w:lineRule="auto"/>
        <w:ind w:left="786"/>
        <w:jc w:val="both"/>
        <w:rPr>
          <w:rFonts w:ascii="Times New Roman" w:hAnsi="Times New Roman" w:cs="Times New Roman"/>
          <w:b/>
          <w:sz w:val="24"/>
          <w:szCs w:val="24"/>
        </w:rPr>
      </w:pPr>
      <w:r>
        <w:rPr>
          <w:rFonts w:ascii="Times New Roman" w:hAnsi="Times New Roman" w:cs="Times New Roman"/>
          <w:b/>
          <w:sz w:val="24"/>
          <w:szCs w:val="24"/>
        </w:rPr>
        <w:t xml:space="preserve">  </w:t>
      </w:r>
    </w:p>
    <w:p w14:paraId="00ED1216" w14:textId="6C4BD320" w:rsidR="009A7461" w:rsidRPr="00E24EAF" w:rsidRDefault="009A7461" w:rsidP="003E1C16">
      <w:pPr>
        <w:pStyle w:val="ListParagraph"/>
        <w:numPr>
          <w:ilvl w:val="0"/>
          <w:numId w:val="1"/>
        </w:numPr>
        <w:spacing w:before="240" w:line="480" w:lineRule="auto"/>
        <w:ind w:hanging="502"/>
        <w:jc w:val="both"/>
        <w:rPr>
          <w:rFonts w:ascii="Times New Roman" w:hAnsi="Times New Roman" w:cs="Times New Roman"/>
          <w:b/>
          <w:sz w:val="24"/>
          <w:szCs w:val="24"/>
        </w:rPr>
      </w:pPr>
      <w:r>
        <w:rPr>
          <w:rFonts w:ascii="Times New Roman" w:hAnsi="Times New Roman" w:cs="Times New Roman"/>
          <w:sz w:val="24"/>
          <w:szCs w:val="24"/>
        </w:rPr>
        <w:t xml:space="preserve">I have referred earlier to the trial judge’s reasoning as to the first </w:t>
      </w:r>
      <w:r w:rsidR="00431CB8">
        <w:rPr>
          <w:rFonts w:ascii="Times New Roman" w:hAnsi="Times New Roman" w:cs="Times New Roman"/>
          <w:sz w:val="24"/>
          <w:szCs w:val="24"/>
        </w:rPr>
        <w:t>question arising from these arguments</w:t>
      </w:r>
      <w:r>
        <w:rPr>
          <w:rFonts w:ascii="Times New Roman" w:hAnsi="Times New Roman" w:cs="Times New Roman"/>
          <w:sz w:val="24"/>
          <w:szCs w:val="24"/>
        </w:rPr>
        <w:t>: essentially he found that an applicant for judicial review must comply with the applicable time limits and cannot rely on their engagement in correspondence as justifying a failure to make the application for leave within time.  In this regard, he specifically noted that there was nothing in the correspondence suggesting that Arthropharm was seeking information in order to allow it to prepare judicial review proceedings.</w:t>
      </w:r>
    </w:p>
    <w:p w14:paraId="21DB8CC4" w14:textId="77777777" w:rsidR="009A7461" w:rsidRDefault="009A7461" w:rsidP="009A7461">
      <w:pPr>
        <w:pStyle w:val="ListParagraph"/>
        <w:spacing w:before="240" w:line="480" w:lineRule="auto"/>
        <w:ind w:left="786"/>
        <w:jc w:val="both"/>
        <w:rPr>
          <w:rFonts w:ascii="Times New Roman" w:hAnsi="Times New Roman" w:cs="Times New Roman"/>
          <w:b/>
          <w:sz w:val="24"/>
          <w:szCs w:val="24"/>
        </w:rPr>
      </w:pPr>
      <w:r>
        <w:rPr>
          <w:rFonts w:ascii="Times New Roman" w:hAnsi="Times New Roman" w:cs="Times New Roman"/>
          <w:b/>
          <w:sz w:val="24"/>
          <w:szCs w:val="24"/>
        </w:rPr>
        <w:t xml:space="preserve">  </w:t>
      </w:r>
    </w:p>
    <w:p w14:paraId="7EB40C93" w14:textId="06C17556" w:rsidR="009A7461" w:rsidRPr="00CF3287" w:rsidRDefault="009A7461" w:rsidP="003E1C16">
      <w:pPr>
        <w:pStyle w:val="ListParagraph"/>
        <w:numPr>
          <w:ilvl w:val="0"/>
          <w:numId w:val="1"/>
        </w:numPr>
        <w:spacing w:before="240" w:line="480" w:lineRule="auto"/>
        <w:ind w:hanging="502"/>
        <w:jc w:val="both"/>
        <w:rPr>
          <w:rFonts w:ascii="Times New Roman" w:hAnsi="Times New Roman" w:cs="Times New Roman"/>
          <w:b/>
          <w:sz w:val="24"/>
          <w:szCs w:val="24"/>
        </w:rPr>
      </w:pPr>
      <w:r>
        <w:rPr>
          <w:rFonts w:ascii="Times New Roman" w:hAnsi="Times New Roman" w:cs="Times New Roman"/>
          <w:sz w:val="24"/>
          <w:szCs w:val="24"/>
        </w:rPr>
        <w:t xml:space="preserve">As to the issue of Article 83, Simons J. noted that in principle a formal decision made pursuant to Article 83 would be justiciable as a </w:t>
      </w:r>
      <w:r w:rsidR="00815368">
        <w:rPr>
          <w:rFonts w:ascii="Times New Roman" w:hAnsi="Times New Roman" w:cs="Times New Roman"/>
          <w:sz w:val="24"/>
          <w:szCs w:val="24"/>
        </w:rPr>
        <w:t>separate</w:t>
      </w:r>
      <w:r>
        <w:rPr>
          <w:rFonts w:ascii="Times New Roman" w:hAnsi="Times New Roman" w:cs="Times New Roman"/>
          <w:sz w:val="24"/>
          <w:szCs w:val="24"/>
        </w:rPr>
        <w:t xml:space="preserve"> decision, instancing the </w:t>
      </w:r>
      <w:r>
        <w:rPr>
          <w:rFonts w:ascii="Times New Roman" w:hAnsi="Times New Roman" w:cs="Times New Roman"/>
          <w:sz w:val="24"/>
          <w:szCs w:val="24"/>
        </w:rPr>
        <w:lastRenderedPageBreak/>
        <w:t>example of a putative applicant who contended that a veterinary medicinal product does not have any therapeutic effect on the species of animal for which the treatment is intended and thus that the marketing authorisation should be revoked or withdrawn.  In that situation, he explained, there would be a distinct decision and it would be no answer to the proceedings to say that they involved a collateral challenge to the earlier decision to grant the marketing authorisation.</w:t>
      </w:r>
    </w:p>
    <w:p w14:paraId="5C5352C8" w14:textId="77777777" w:rsidR="009A7461" w:rsidRPr="00CF3287" w:rsidRDefault="009A7461" w:rsidP="003E1C16">
      <w:pPr>
        <w:pStyle w:val="ListParagraph"/>
        <w:ind w:hanging="502"/>
        <w:rPr>
          <w:rFonts w:ascii="Times New Roman" w:hAnsi="Times New Roman" w:cs="Times New Roman"/>
          <w:b/>
          <w:sz w:val="24"/>
          <w:szCs w:val="24"/>
        </w:rPr>
      </w:pPr>
    </w:p>
    <w:p w14:paraId="039BB021" w14:textId="673D0A5F" w:rsidR="009A7461" w:rsidRPr="00652795" w:rsidRDefault="009A7461" w:rsidP="00652795">
      <w:pPr>
        <w:pStyle w:val="ListParagraph"/>
        <w:numPr>
          <w:ilvl w:val="0"/>
          <w:numId w:val="1"/>
        </w:numPr>
        <w:spacing w:before="240" w:line="480" w:lineRule="auto"/>
        <w:ind w:hanging="502"/>
        <w:jc w:val="both"/>
        <w:rPr>
          <w:rFonts w:ascii="Times New Roman" w:hAnsi="Times New Roman" w:cs="Times New Roman"/>
          <w:b/>
          <w:sz w:val="24"/>
          <w:szCs w:val="24"/>
        </w:rPr>
      </w:pPr>
      <w:r>
        <w:rPr>
          <w:rFonts w:ascii="Times New Roman" w:hAnsi="Times New Roman" w:cs="Times New Roman"/>
          <w:sz w:val="24"/>
          <w:szCs w:val="24"/>
        </w:rPr>
        <w:t xml:space="preserve">This, however, was not the case here.  In this case, he explained, the letters of 6 March 2019 did no more than reiterate the decision of 20 July </w:t>
      </w:r>
      <w:r w:rsidR="006B0BC7">
        <w:rPr>
          <w:rFonts w:ascii="Times New Roman" w:hAnsi="Times New Roman" w:cs="Times New Roman"/>
          <w:sz w:val="24"/>
          <w:szCs w:val="24"/>
        </w:rPr>
        <w:t xml:space="preserve">2018 </w:t>
      </w:r>
      <w:r>
        <w:rPr>
          <w:rFonts w:ascii="Times New Roman" w:hAnsi="Times New Roman" w:cs="Times New Roman"/>
          <w:sz w:val="24"/>
          <w:szCs w:val="24"/>
        </w:rPr>
        <w:t>and</w:t>
      </w:r>
      <w:r w:rsidR="00652795">
        <w:rPr>
          <w:rFonts w:ascii="Times New Roman" w:hAnsi="Times New Roman" w:cs="Times New Roman"/>
          <w:sz w:val="24"/>
          <w:szCs w:val="24"/>
        </w:rPr>
        <w:t xml:space="preserve"> </w:t>
      </w:r>
      <w:r w:rsidRPr="00652795">
        <w:rPr>
          <w:rFonts w:ascii="Times New Roman" w:hAnsi="Times New Roman" w:cs="Times New Roman"/>
          <w:sz w:val="24"/>
          <w:szCs w:val="24"/>
        </w:rPr>
        <w:t xml:space="preserve">elaborate upon the reasoning underlying that decision.  Referring to the decision in </w:t>
      </w:r>
      <w:r w:rsidRPr="00652795">
        <w:rPr>
          <w:rFonts w:ascii="Times New Roman" w:hAnsi="Times New Roman" w:cs="Times New Roman"/>
          <w:i/>
          <w:sz w:val="24"/>
          <w:szCs w:val="24"/>
        </w:rPr>
        <w:t>Sfar v. Revenue Commissioners</w:t>
      </w:r>
      <w:r w:rsidRPr="00652795">
        <w:rPr>
          <w:rFonts w:ascii="Times New Roman" w:hAnsi="Times New Roman" w:cs="Times New Roman"/>
          <w:sz w:val="24"/>
          <w:szCs w:val="24"/>
        </w:rPr>
        <w:t xml:space="preserve"> he stressed that the </w:t>
      </w:r>
      <w:r w:rsidR="006345FA" w:rsidRPr="00652795">
        <w:rPr>
          <w:rFonts w:ascii="Times New Roman" w:hAnsi="Times New Roman" w:cs="Times New Roman"/>
          <w:sz w:val="24"/>
          <w:szCs w:val="24"/>
        </w:rPr>
        <w:t>re</w:t>
      </w:r>
      <w:r w:rsidR="003A3F11" w:rsidRPr="00652795">
        <w:rPr>
          <w:rFonts w:ascii="Times New Roman" w:hAnsi="Times New Roman" w:cs="Times New Roman"/>
          <w:sz w:val="24"/>
          <w:szCs w:val="24"/>
        </w:rPr>
        <w:t>iteration</w:t>
      </w:r>
      <w:r w:rsidRPr="00652795">
        <w:rPr>
          <w:rFonts w:ascii="Times New Roman" w:hAnsi="Times New Roman" w:cs="Times New Roman"/>
          <w:sz w:val="24"/>
          <w:szCs w:val="24"/>
        </w:rPr>
        <w:t xml:space="preserve"> of an earlier decision does not constitute a fresh decision for the purposes of the time limit under Order 84 Rule 21(3).</w:t>
      </w:r>
      <w:r w:rsidR="00592AA9" w:rsidRPr="00652795">
        <w:rPr>
          <w:rFonts w:ascii="Times New Roman" w:hAnsi="Times New Roman" w:cs="Times New Roman"/>
          <w:sz w:val="24"/>
          <w:szCs w:val="24"/>
        </w:rPr>
        <w:t xml:space="preserve">  He emphasised that the grounds contained in Arthropharm’s pleadings were a r</w:t>
      </w:r>
      <w:r w:rsidR="00652795">
        <w:rPr>
          <w:rFonts w:ascii="Times New Roman" w:hAnsi="Times New Roman" w:cs="Times New Roman"/>
          <w:sz w:val="24"/>
          <w:szCs w:val="24"/>
        </w:rPr>
        <w:t>epeat</w:t>
      </w:r>
      <w:r w:rsidR="00592AA9" w:rsidRPr="00652795">
        <w:rPr>
          <w:rFonts w:ascii="Times New Roman" w:hAnsi="Times New Roman" w:cs="Times New Roman"/>
          <w:sz w:val="24"/>
          <w:szCs w:val="24"/>
        </w:rPr>
        <w:t xml:space="preserve"> of its challenge to the grant of the marketing authorisation, and that Article 83 was not in terms referred to</w:t>
      </w:r>
      <w:r w:rsidR="006B0BC7">
        <w:rPr>
          <w:rFonts w:ascii="Times New Roman" w:hAnsi="Times New Roman" w:cs="Times New Roman"/>
          <w:sz w:val="24"/>
          <w:szCs w:val="24"/>
        </w:rPr>
        <w:t>,</w:t>
      </w:r>
      <w:r w:rsidR="00592AA9" w:rsidRPr="00652795">
        <w:rPr>
          <w:rFonts w:ascii="Times New Roman" w:hAnsi="Times New Roman" w:cs="Times New Roman"/>
          <w:sz w:val="24"/>
          <w:szCs w:val="24"/>
        </w:rPr>
        <w:t xml:space="preserve"> the focus being upon Article 13.</w:t>
      </w:r>
      <w:r w:rsidR="005278AA" w:rsidRPr="00652795">
        <w:rPr>
          <w:rFonts w:ascii="Times New Roman" w:hAnsi="Times New Roman" w:cs="Times New Roman"/>
          <w:sz w:val="24"/>
          <w:szCs w:val="24"/>
        </w:rPr>
        <w:t xml:space="preserve">  He said</w:t>
      </w:r>
      <w:r w:rsidR="006B0BC7">
        <w:rPr>
          <w:rFonts w:ascii="Times New Roman" w:hAnsi="Times New Roman" w:cs="Times New Roman"/>
          <w:sz w:val="24"/>
          <w:szCs w:val="24"/>
        </w:rPr>
        <w:t xml:space="preserve"> </w:t>
      </w:r>
      <w:r w:rsidR="005278AA" w:rsidRPr="00652795">
        <w:rPr>
          <w:rFonts w:ascii="Times New Roman" w:hAnsi="Times New Roman" w:cs="Times New Roman"/>
          <w:sz w:val="24"/>
          <w:szCs w:val="24"/>
        </w:rPr>
        <w:t>‘</w:t>
      </w:r>
      <w:r w:rsidR="005278AA" w:rsidRPr="00652795">
        <w:rPr>
          <w:rFonts w:ascii="Times New Roman" w:hAnsi="Times New Roman" w:cs="Times New Roman"/>
          <w:i/>
          <w:sz w:val="24"/>
          <w:szCs w:val="24"/>
        </w:rPr>
        <w:t>the correspondence does not disclose a formal decision pursuant to Article 83 of the Directive’</w:t>
      </w:r>
      <w:r w:rsidR="003A3F11" w:rsidRPr="00652795">
        <w:rPr>
          <w:rFonts w:ascii="Times New Roman" w:hAnsi="Times New Roman" w:cs="Times New Roman"/>
          <w:i/>
          <w:sz w:val="24"/>
          <w:szCs w:val="24"/>
        </w:rPr>
        <w:t xml:space="preserve"> </w:t>
      </w:r>
      <w:r w:rsidR="003A3F11" w:rsidRPr="00652795">
        <w:rPr>
          <w:rFonts w:ascii="Times New Roman" w:hAnsi="Times New Roman" w:cs="Times New Roman"/>
          <w:iCs/>
          <w:sz w:val="24"/>
          <w:szCs w:val="24"/>
        </w:rPr>
        <w:t>(at para. 92)</w:t>
      </w:r>
      <w:r w:rsidR="005278AA" w:rsidRPr="00652795">
        <w:rPr>
          <w:rFonts w:ascii="Times New Roman" w:hAnsi="Times New Roman" w:cs="Times New Roman"/>
          <w:sz w:val="24"/>
          <w:szCs w:val="24"/>
        </w:rPr>
        <w:t>.</w:t>
      </w:r>
    </w:p>
    <w:p w14:paraId="06C0A3EE" w14:textId="77777777" w:rsidR="009A7461" w:rsidRDefault="009A7461" w:rsidP="009A7461">
      <w:pPr>
        <w:pStyle w:val="ListParagraph"/>
        <w:spacing w:before="240" w:line="480" w:lineRule="auto"/>
        <w:ind w:left="786"/>
        <w:jc w:val="both"/>
        <w:rPr>
          <w:rFonts w:ascii="Times New Roman" w:hAnsi="Times New Roman" w:cs="Times New Roman"/>
          <w:b/>
          <w:sz w:val="24"/>
          <w:szCs w:val="24"/>
        </w:rPr>
      </w:pPr>
      <w:r>
        <w:rPr>
          <w:rFonts w:ascii="Times New Roman" w:hAnsi="Times New Roman" w:cs="Times New Roman"/>
          <w:b/>
          <w:sz w:val="24"/>
          <w:szCs w:val="24"/>
        </w:rPr>
        <w:t xml:space="preserve">  </w:t>
      </w:r>
    </w:p>
    <w:p w14:paraId="275D8EF2" w14:textId="77777777" w:rsidR="009A7461" w:rsidRPr="009D532C" w:rsidRDefault="009D532C" w:rsidP="009D532C">
      <w:pPr>
        <w:pStyle w:val="ListParagraph"/>
        <w:numPr>
          <w:ilvl w:val="0"/>
          <w:numId w:val="25"/>
        </w:numPr>
        <w:spacing w:before="240" w:line="480" w:lineRule="auto"/>
        <w:jc w:val="both"/>
        <w:rPr>
          <w:rFonts w:ascii="Times New Roman" w:hAnsi="Times New Roman" w:cs="Times New Roman"/>
          <w:i/>
          <w:sz w:val="24"/>
          <w:szCs w:val="24"/>
        </w:rPr>
      </w:pPr>
      <w:r>
        <w:rPr>
          <w:rFonts w:ascii="Times New Roman" w:hAnsi="Times New Roman" w:cs="Times New Roman"/>
          <w:i/>
          <w:sz w:val="24"/>
          <w:szCs w:val="24"/>
        </w:rPr>
        <w:t>Assessment</w:t>
      </w:r>
    </w:p>
    <w:p w14:paraId="4B419734" w14:textId="77777777" w:rsidR="009C3EEA" w:rsidRDefault="009C3EEA" w:rsidP="009C3EEA">
      <w:pPr>
        <w:pStyle w:val="ListParagraph"/>
        <w:spacing w:before="240" w:line="480" w:lineRule="auto"/>
        <w:ind w:left="786"/>
        <w:jc w:val="both"/>
        <w:rPr>
          <w:rFonts w:ascii="Times New Roman" w:hAnsi="Times New Roman" w:cs="Times New Roman"/>
          <w:b/>
          <w:sz w:val="24"/>
          <w:szCs w:val="24"/>
        </w:rPr>
      </w:pPr>
      <w:r>
        <w:rPr>
          <w:rFonts w:ascii="Times New Roman" w:hAnsi="Times New Roman" w:cs="Times New Roman"/>
          <w:b/>
          <w:sz w:val="24"/>
          <w:szCs w:val="24"/>
        </w:rPr>
        <w:t xml:space="preserve">  </w:t>
      </w:r>
    </w:p>
    <w:p w14:paraId="058C2526" w14:textId="77777777" w:rsidR="00E16DB0" w:rsidRDefault="004C6C56" w:rsidP="003E1C16">
      <w:pPr>
        <w:pStyle w:val="ListParagraph"/>
        <w:numPr>
          <w:ilvl w:val="0"/>
          <w:numId w:val="1"/>
        </w:numPr>
        <w:spacing w:before="240" w:line="480" w:lineRule="auto"/>
        <w:ind w:hanging="502"/>
        <w:jc w:val="both"/>
        <w:rPr>
          <w:rFonts w:ascii="Times New Roman" w:hAnsi="Times New Roman" w:cs="Times New Roman"/>
          <w:b/>
          <w:sz w:val="24"/>
          <w:szCs w:val="24"/>
        </w:rPr>
      </w:pPr>
      <w:r>
        <w:rPr>
          <w:rFonts w:ascii="Times New Roman" w:hAnsi="Times New Roman" w:cs="Times New Roman"/>
          <w:sz w:val="24"/>
          <w:szCs w:val="24"/>
        </w:rPr>
        <w:t>T</w:t>
      </w:r>
      <w:r w:rsidR="009D1C16">
        <w:rPr>
          <w:rFonts w:ascii="Times New Roman" w:hAnsi="Times New Roman" w:cs="Times New Roman"/>
          <w:sz w:val="24"/>
          <w:szCs w:val="24"/>
        </w:rPr>
        <w:t>hree</w:t>
      </w:r>
      <w:r>
        <w:rPr>
          <w:rFonts w:ascii="Times New Roman" w:hAnsi="Times New Roman" w:cs="Times New Roman"/>
          <w:sz w:val="24"/>
          <w:szCs w:val="24"/>
        </w:rPr>
        <w:t xml:space="preserve"> </w:t>
      </w:r>
      <w:r w:rsidR="007A6675">
        <w:rPr>
          <w:rFonts w:ascii="Times New Roman" w:hAnsi="Times New Roman" w:cs="Times New Roman"/>
          <w:sz w:val="24"/>
          <w:szCs w:val="24"/>
        </w:rPr>
        <w:t xml:space="preserve">relevant </w:t>
      </w:r>
      <w:r>
        <w:rPr>
          <w:rFonts w:ascii="Times New Roman" w:hAnsi="Times New Roman" w:cs="Times New Roman"/>
          <w:sz w:val="24"/>
          <w:szCs w:val="24"/>
        </w:rPr>
        <w:t xml:space="preserve">propositions </w:t>
      </w:r>
      <w:r w:rsidR="007A6675">
        <w:rPr>
          <w:rFonts w:ascii="Times New Roman" w:hAnsi="Times New Roman" w:cs="Times New Roman"/>
          <w:sz w:val="24"/>
          <w:szCs w:val="24"/>
        </w:rPr>
        <w:t xml:space="preserve">are well established by the </w:t>
      </w:r>
      <w:r>
        <w:rPr>
          <w:rFonts w:ascii="Times New Roman" w:hAnsi="Times New Roman" w:cs="Times New Roman"/>
          <w:sz w:val="24"/>
          <w:szCs w:val="24"/>
        </w:rPr>
        <w:t>case law. First, the existence of a remedy which affords an adequate alternative to judicial review represents a discretionary bar to the grant of that relief.  Often where an applicant pursues that alternative remedy he will lose his right to relief by way of judicial review</w:t>
      </w:r>
      <w:r w:rsidR="00BC25A1">
        <w:rPr>
          <w:rFonts w:ascii="Times New Roman" w:hAnsi="Times New Roman" w:cs="Times New Roman"/>
          <w:sz w:val="24"/>
          <w:szCs w:val="24"/>
        </w:rPr>
        <w:t xml:space="preserve"> of the original decision</w:t>
      </w:r>
      <w:r>
        <w:rPr>
          <w:rFonts w:ascii="Times New Roman" w:hAnsi="Times New Roman" w:cs="Times New Roman"/>
          <w:sz w:val="24"/>
          <w:szCs w:val="24"/>
        </w:rPr>
        <w:t>, most usually because th</w:t>
      </w:r>
      <w:r w:rsidR="005C4CF1">
        <w:rPr>
          <w:rFonts w:ascii="Times New Roman" w:hAnsi="Times New Roman" w:cs="Times New Roman"/>
          <w:sz w:val="24"/>
          <w:szCs w:val="24"/>
        </w:rPr>
        <w:t xml:space="preserve">at decision is rendered moot by outcome of the alternative process.  </w:t>
      </w:r>
      <w:r>
        <w:rPr>
          <w:rFonts w:ascii="Times New Roman" w:hAnsi="Times New Roman" w:cs="Times New Roman"/>
          <w:sz w:val="24"/>
          <w:szCs w:val="24"/>
        </w:rPr>
        <w:t xml:space="preserve">In circumstances where this is not the case and the original decision can be said to </w:t>
      </w:r>
      <w:r w:rsidR="003A3F11">
        <w:rPr>
          <w:rFonts w:ascii="Times New Roman" w:hAnsi="Times New Roman" w:cs="Times New Roman"/>
          <w:sz w:val="24"/>
          <w:szCs w:val="24"/>
        </w:rPr>
        <w:t xml:space="preserve">still </w:t>
      </w:r>
      <w:r>
        <w:rPr>
          <w:rFonts w:ascii="Times New Roman" w:hAnsi="Times New Roman" w:cs="Times New Roman"/>
          <w:sz w:val="24"/>
          <w:szCs w:val="24"/>
        </w:rPr>
        <w:t xml:space="preserve">be live and justiciable, the fact that an applicant has pursued </w:t>
      </w:r>
      <w:r>
        <w:rPr>
          <w:rFonts w:ascii="Times New Roman" w:hAnsi="Times New Roman" w:cs="Times New Roman"/>
          <w:sz w:val="24"/>
          <w:szCs w:val="24"/>
        </w:rPr>
        <w:lastRenderedPageBreak/>
        <w:t xml:space="preserve">the alternative route may afford an excuse for his failure to seek judicial review within the permitted time period and it is that consideration that underlay the comments of Collins J. in </w:t>
      </w:r>
      <w:r>
        <w:rPr>
          <w:rFonts w:ascii="Times New Roman" w:hAnsi="Times New Roman" w:cs="Times New Roman"/>
          <w:i/>
          <w:sz w:val="24"/>
          <w:szCs w:val="24"/>
        </w:rPr>
        <w:t xml:space="preserve">Murphy v. Garda </w:t>
      </w:r>
      <w:r w:rsidR="003A3F11" w:rsidRPr="003A3F11">
        <w:rPr>
          <w:rFonts w:ascii="Times New Roman" w:hAnsi="Times New Roman" w:cs="Times New Roman"/>
          <w:i/>
          <w:sz w:val="24"/>
          <w:szCs w:val="24"/>
        </w:rPr>
        <w:t>Síochána</w:t>
      </w:r>
      <w:r>
        <w:rPr>
          <w:rFonts w:ascii="Times New Roman" w:hAnsi="Times New Roman" w:cs="Times New Roman"/>
          <w:i/>
          <w:sz w:val="24"/>
          <w:szCs w:val="24"/>
        </w:rPr>
        <w:t xml:space="preserve"> Ombudsman Commission </w:t>
      </w:r>
      <w:r>
        <w:rPr>
          <w:rFonts w:ascii="Times New Roman" w:hAnsi="Times New Roman" w:cs="Times New Roman"/>
          <w:sz w:val="24"/>
          <w:szCs w:val="24"/>
        </w:rPr>
        <w:t xml:space="preserve">upon which </w:t>
      </w:r>
      <w:r w:rsidR="003A3F11">
        <w:rPr>
          <w:rFonts w:ascii="Times New Roman" w:hAnsi="Times New Roman" w:cs="Times New Roman"/>
          <w:sz w:val="24"/>
          <w:szCs w:val="24"/>
        </w:rPr>
        <w:t>Arthropharm</w:t>
      </w:r>
      <w:r>
        <w:rPr>
          <w:rFonts w:ascii="Times New Roman" w:hAnsi="Times New Roman" w:cs="Times New Roman"/>
          <w:sz w:val="24"/>
          <w:szCs w:val="24"/>
        </w:rPr>
        <w:t xml:space="preserve"> relies here.</w:t>
      </w:r>
      <w:r w:rsidR="00BC25A1">
        <w:rPr>
          <w:rFonts w:ascii="Times New Roman" w:hAnsi="Times New Roman" w:cs="Times New Roman"/>
          <w:b/>
          <w:sz w:val="24"/>
          <w:szCs w:val="24"/>
        </w:rPr>
        <w:t xml:space="preserve">  </w:t>
      </w:r>
    </w:p>
    <w:p w14:paraId="3867BC4C" w14:textId="77777777" w:rsidR="00E16DB0" w:rsidRPr="00E16DB0" w:rsidRDefault="00E16DB0" w:rsidP="00E16DB0">
      <w:pPr>
        <w:pStyle w:val="ListParagraph"/>
        <w:spacing w:before="240" w:line="480" w:lineRule="auto"/>
        <w:ind w:left="786"/>
        <w:jc w:val="both"/>
        <w:rPr>
          <w:rFonts w:ascii="Times New Roman" w:hAnsi="Times New Roman" w:cs="Times New Roman"/>
          <w:b/>
          <w:sz w:val="24"/>
          <w:szCs w:val="24"/>
        </w:rPr>
      </w:pPr>
      <w:r>
        <w:rPr>
          <w:rFonts w:ascii="Times New Roman" w:hAnsi="Times New Roman" w:cs="Times New Roman"/>
          <w:sz w:val="24"/>
          <w:szCs w:val="24"/>
        </w:rPr>
        <w:t xml:space="preserve">  </w:t>
      </w:r>
    </w:p>
    <w:p w14:paraId="2E52960F" w14:textId="015A3B5C" w:rsidR="004C6C56" w:rsidRPr="005C4CF1" w:rsidRDefault="004C6C56" w:rsidP="003E1C16">
      <w:pPr>
        <w:pStyle w:val="ListParagraph"/>
        <w:numPr>
          <w:ilvl w:val="0"/>
          <w:numId w:val="1"/>
        </w:numPr>
        <w:spacing w:before="240" w:line="480" w:lineRule="auto"/>
        <w:ind w:hanging="502"/>
        <w:jc w:val="both"/>
        <w:rPr>
          <w:rFonts w:ascii="Times New Roman" w:hAnsi="Times New Roman" w:cs="Times New Roman"/>
          <w:b/>
          <w:sz w:val="24"/>
          <w:szCs w:val="24"/>
        </w:rPr>
      </w:pPr>
      <w:r w:rsidRPr="00BC25A1">
        <w:rPr>
          <w:rFonts w:ascii="Times New Roman" w:hAnsi="Times New Roman" w:cs="Times New Roman"/>
          <w:sz w:val="24"/>
          <w:szCs w:val="24"/>
        </w:rPr>
        <w:t xml:space="preserve">At the same time, </w:t>
      </w:r>
      <w:r w:rsidR="009D7080">
        <w:rPr>
          <w:rFonts w:ascii="Times New Roman" w:hAnsi="Times New Roman" w:cs="Times New Roman"/>
          <w:sz w:val="24"/>
          <w:szCs w:val="24"/>
        </w:rPr>
        <w:t xml:space="preserve">and second, </w:t>
      </w:r>
      <w:r w:rsidRPr="00BC25A1">
        <w:rPr>
          <w:rFonts w:ascii="Times New Roman" w:hAnsi="Times New Roman" w:cs="Times New Roman"/>
          <w:sz w:val="24"/>
          <w:szCs w:val="24"/>
        </w:rPr>
        <w:t>an applicant for judicial review cannot obtain an extension of time by corresponding with the original decision maker</w:t>
      </w:r>
      <w:r w:rsidR="00BC25A1">
        <w:rPr>
          <w:rFonts w:ascii="Times New Roman" w:hAnsi="Times New Roman" w:cs="Times New Roman"/>
          <w:sz w:val="24"/>
          <w:szCs w:val="24"/>
        </w:rPr>
        <w:t>, a</w:t>
      </w:r>
      <w:r w:rsidRPr="00BC25A1">
        <w:rPr>
          <w:rFonts w:ascii="Times New Roman" w:hAnsi="Times New Roman" w:cs="Times New Roman"/>
          <w:sz w:val="24"/>
          <w:szCs w:val="24"/>
        </w:rPr>
        <w:t xml:space="preserve">sking them </w:t>
      </w:r>
      <w:r w:rsidR="00375FAA" w:rsidRPr="00BC25A1">
        <w:rPr>
          <w:rFonts w:ascii="Times New Roman" w:hAnsi="Times New Roman" w:cs="Times New Roman"/>
          <w:sz w:val="24"/>
          <w:szCs w:val="24"/>
        </w:rPr>
        <w:t>to reconsider their decision and then asserting that there is a new ‘decision’ to review when they respond</w:t>
      </w:r>
      <w:r w:rsidR="00BC25A1">
        <w:rPr>
          <w:rFonts w:ascii="Times New Roman" w:hAnsi="Times New Roman" w:cs="Times New Roman"/>
          <w:sz w:val="24"/>
          <w:szCs w:val="24"/>
        </w:rPr>
        <w:t xml:space="preserve"> (or as the case may be, fail to do so)</w:t>
      </w:r>
      <w:r w:rsidR="00E16DB0">
        <w:rPr>
          <w:rFonts w:ascii="Times New Roman" w:hAnsi="Times New Roman" w:cs="Times New Roman"/>
          <w:sz w:val="24"/>
          <w:szCs w:val="24"/>
        </w:rPr>
        <w:t xml:space="preserve">: </w:t>
      </w:r>
      <w:r w:rsidR="00E16DB0" w:rsidRPr="00E16DB0">
        <w:rPr>
          <w:rFonts w:ascii="Times New Roman" w:hAnsi="Times New Roman" w:cs="Times New Roman"/>
          <w:sz w:val="24"/>
          <w:szCs w:val="24"/>
        </w:rPr>
        <w:t>‘</w:t>
      </w:r>
      <w:r w:rsidR="00E16DB0" w:rsidRPr="00E16DB0">
        <w:rPr>
          <w:rFonts w:ascii="Times New Roman" w:hAnsi="Times New Roman" w:cs="Times New Roman"/>
          <w:i/>
          <w:sz w:val="24"/>
          <w:szCs w:val="24"/>
        </w:rPr>
        <w:t xml:space="preserve">[a] decision which is a reiteration of a previous decision is not a new decision. Time therefore begins to run when the final decision is first made’ </w:t>
      </w:r>
      <w:r w:rsidR="00E16DB0" w:rsidRPr="00E16DB0">
        <w:rPr>
          <w:rFonts w:ascii="Times New Roman" w:hAnsi="Times New Roman" w:cs="Times New Roman"/>
          <w:sz w:val="24"/>
          <w:szCs w:val="24"/>
        </w:rPr>
        <w:t>(</w:t>
      </w:r>
      <w:r w:rsidR="00E16DB0" w:rsidRPr="00E16DB0">
        <w:rPr>
          <w:rFonts w:ascii="Times New Roman" w:hAnsi="Times New Roman" w:cs="Times New Roman"/>
          <w:i/>
          <w:sz w:val="24"/>
          <w:szCs w:val="24"/>
        </w:rPr>
        <w:t xml:space="preserve">Finnerty v. Western Health Board </w:t>
      </w:r>
      <w:r w:rsidR="00E16DB0" w:rsidRPr="00E16DB0">
        <w:rPr>
          <w:rFonts w:ascii="Times New Roman" w:hAnsi="Times New Roman" w:cs="Times New Roman"/>
          <w:sz w:val="24"/>
          <w:szCs w:val="24"/>
        </w:rPr>
        <w:t>[1998] IEHC 143 per Carroll J.</w:t>
      </w:r>
      <w:r w:rsidR="006B0BC7">
        <w:rPr>
          <w:rFonts w:ascii="Times New Roman" w:hAnsi="Times New Roman" w:cs="Times New Roman"/>
          <w:sz w:val="24"/>
          <w:szCs w:val="24"/>
        </w:rPr>
        <w:t>,</w:t>
      </w:r>
      <w:r w:rsidR="00E16DB0" w:rsidRPr="00E16DB0">
        <w:rPr>
          <w:rFonts w:ascii="Times New Roman" w:hAnsi="Times New Roman" w:cs="Times New Roman"/>
          <w:sz w:val="24"/>
          <w:szCs w:val="24"/>
        </w:rPr>
        <w:t xml:space="preserve"> approved in </w:t>
      </w:r>
      <w:r w:rsidR="00E16DB0" w:rsidRPr="00E16DB0">
        <w:rPr>
          <w:rFonts w:ascii="Times New Roman" w:hAnsi="Times New Roman" w:cs="Times New Roman"/>
          <w:i/>
          <w:sz w:val="24"/>
          <w:szCs w:val="24"/>
        </w:rPr>
        <w:t xml:space="preserve">Sfar v. Revenue Commissioners </w:t>
      </w:r>
      <w:r w:rsidR="00E16DB0" w:rsidRPr="00E16DB0">
        <w:rPr>
          <w:rFonts w:ascii="Times New Roman" w:hAnsi="Times New Roman" w:cs="Times New Roman"/>
          <w:sz w:val="24"/>
          <w:szCs w:val="24"/>
        </w:rPr>
        <w:t xml:space="preserve">at para. 40). </w:t>
      </w:r>
    </w:p>
    <w:p w14:paraId="35BBD00D" w14:textId="0130ECEA" w:rsidR="005C4CF1" w:rsidRDefault="005C4CF1" w:rsidP="005C4CF1">
      <w:pPr>
        <w:pStyle w:val="ListParagraph"/>
        <w:spacing w:before="240" w:line="480" w:lineRule="auto"/>
        <w:ind w:left="786"/>
        <w:jc w:val="both"/>
        <w:rPr>
          <w:rFonts w:ascii="Times New Roman" w:hAnsi="Times New Roman" w:cs="Times New Roman"/>
          <w:b/>
          <w:sz w:val="24"/>
          <w:szCs w:val="24"/>
        </w:rPr>
      </w:pPr>
      <w:r>
        <w:rPr>
          <w:rFonts w:ascii="Times New Roman" w:hAnsi="Times New Roman" w:cs="Times New Roman"/>
          <w:b/>
          <w:sz w:val="24"/>
          <w:szCs w:val="24"/>
        </w:rPr>
        <w:t xml:space="preserve">  </w:t>
      </w:r>
    </w:p>
    <w:p w14:paraId="0190E06A" w14:textId="7DA3EC32" w:rsidR="005C4CF1" w:rsidRPr="006E1990" w:rsidRDefault="005C4CF1" w:rsidP="005C4CF1">
      <w:pPr>
        <w:pStyle w:val="ListParagraph"/>
        <w:numPr>
          <w:ilvl w:val="0"/>
          <w:numId w:val="1"/>
        </w:numPr>
        <w:spacing w:before="240" w:line="480" w:lineRule="auto"/>
        <w:ind w:hanging="502"/>
        <w:jc w:val="both"/>
        <w:rPr>
          <w:rFonts w:ascii="Times New Roman" w:hAnsi="Times New Roman" w:cs="Times New Roman"/>
          <w:b/>
          <w:sz w:val="24"/>
          <w:szCs w:val="24"/>
        </w:rPr>
      </w:pPr>
      <w:r>
        <w:rPr>
          <w:rFonts w:ascii="Times New Roman" w:hAnsi="Times New Roman" w:cs="Times New Roman"/>
          <w:sz w:val="24"/>
          <w:szCs w:val="24"/>
        </w:rPr>
        <w:t>The third principle is related to the second</w:t>
      </w:r>
      <w:r w:rsidR="00423741">
        <w:rPr>
          <w:rFonts w:ascii="Times New Roman" w:hAnsi="Times New Roman" w:cs="Times New Roman"/>
          <w:sz w:val="24"/>
          <w:szCs w:val="24"/>
        </w:rPr>
        <w:t xml:space="preserve"> but focusses not primarily on the substance of the underlying decision </w:t>
      </w:r>
      <w:r w:rsidR="006B0BC7">
        <w:rPr>
          <w:rFonts w:ascii="Times New Roman" w:hAnsi="Times New Roman" w:cs="Times New Roman"/>
          <w:sz w:val="24"/>
          <w:szCs w:val="24"/>
        </w:rPr>
        <w:t xml:space="preserve">but </w:t>
      </w:r>
      <w:r w:rsidR="00423741">
        <w:rPr>
          <w:rFonts w:ascii="Times New Roman" w:hAnsi="Times New Roman" w:cs="Times New Roman"/>
          <w:sz w:val="24"/>
          <w:szCs w:val="24"/>
        </w:rPr>
        <w:t>loo</w:t>
      </w:r>
      <w:r w:rsidR="00E94318">
        <w:rPr>
          <w:rFonts w:ascii="Times New Roman" w:hAnsi="Times New Roman" w:cs="Times New Roman"/>
          <w:sz w:val="24"/>
          <w:szCs w:val="24"/>
        </w:rPr>
        <w:t>k</w:t>
      </w:r>
      <w:r w:rsidR="006B0BC7">
        <w:rPr>
          <w:rFonts w:ascii="Times New Roman" w:hAnsi="Times New Roman" w:cs="Times New Roman"/>
          <w:sz w:val="24"/>
          <w:szCs w:val="24"/>
        </w:rPr>
        <w:t>s</w:t>
      </w:r>
      <w:r w:rsidR="00423741">
        <w:rPr>
          <w:rFonts w:ascii="Times New Roman" w:hAnsi="Times New Roman" w:cs="Times New Roman"/>
          <w:sz w:val="24"/>
          <w:szCs w:val="24"/>
        </w:rPr>
        <w:t xml:space="preserve"> instead at the grounds of challenge that are sought to be made to it.  </w:t>
      </w:r>
      <w:r>
        <w:rPr>
          <w:rFonts w:ascii="Times New Roman" w:hAnsi="Times New Roman" w:cs="Times New Roman"/>
          <w:sz w:val="24"/>
          <w:szCs w:val="24"/>
        </w:rPr>
        <w:t xml:space="preserve">It would make a nonsense of the time limit imposed by Order 84 Rule 21 if an applicant could under the guise of a challenge to a decision made within time, obtain the invalidation of an earlier decision for which time had run and expired.  The rule against collateral attack prevents this.  It was most recently explained in </w:t>
      </w:r>
      <w:r>
        <w:rPr>
          <w:rFonts w:ascii="Times New Roman" w:hAnsi="Times New Roman" w:cs="Times New Roman"/>
          <w:i/>
          <w:sz w:val="24"/>
          <w:szCs w:val="24"/>
        </w:rPr>
        <w:t>Independent Newspapers plc v. IA</w:t>
      </w:r>
      <w:r>
        <w:rPr>
          <w:rFonts w:ascii="Times New Roman" w:hAnsi="Times New Roman" w:cs="Times New Roman"/>
          <w:sz w:val="24"/>
          <w:szCs w:val="24"/>
        </w:rPr>
        <w:t xml:space="preserve"> [2020] IECA 19 as follows (at para. 56):</w:t>
      </w:r>
    </w:p>
    <w:p w14:paraId="2DFDFADB" w14:textId="77777777" w:rsidR="005C4CF1" w:rsidRPr="006E1990" w:rsidRDefault="005C4CF1" w:rsidP="005C4CF1">
      <w:pPr>
        <w:pStyle w:val="ListParagraph"/>
        <w:rPr>
          <w:rFonts w:ascii="Times New Roman" w:hAnsi="Times New Roman" w:cs="Times New Roman"/>
          <w:b/>
          <w:sz w:val="24"/>
          <w:szCs w:val="24"/>
        </w:rPr>
      </w:pPr>
    </w:p>
    <w:p w14:paraId="038D6DD1" w14:textId="0A115F0E" w:rsidR="005C4CF1" w:rsidRPr="00BB179A" w:rsidRDefault="005C4CF1" w:rsidP="005C4CF1">
      <w:pPr>
        <w:pStyle w:val="ListParagraph"/>
        <w:spacing w:before="240" w:line="480" w:lineRule="auto"/>
        <w:ind w:left="1440"/>
        <w:jc w:val="both"/>
        <w:rPr>
          <w:rFonts w:ascii="Times New Roman" w:hAnsi="Times New Roman" w:cs="Times New Roman"/>
          <w:i/>
          <w:sz w:val="24"/>
          <w:szCs w:val="24"/>
        </w:rPr>
      </w:pPr>
      <w:r>
        <w:rPr>
          <w:rFonts w:ascii="Times New Roman" w:hAnsi="Times New Roman" w:cs="Times New Roman"/>
          <w:i/>
          <w:sz w:val="24"/>
          <w:szCs w:val="24"/>
        </w:rPr>
        <w:t>‘</w:t>
      </w:r>
      <w:r w:rsidRPr="00BB179A">
        <w:rPr>
          <w:rFonts w:ascii="Times New Roman" w:hAnsi="Times New Roman" w:cs="Times New Roman"/>
          <w:i/>
          <w:sz w:val="24"/>
          <w:szCs w:val="24"/>
        </w:rPr>
        <w:t xml:space="preserve">A ‘collateral attack’ in this sense arises in multi-stage decision making processes within which later decisions inevitably depend on and assume the legality of an earlier determination. In that situation, a challenge to the later decision may directly or indirectly present an issue as to the legality of the earlier one. Such an indirect attack is not permissible where the earlier decision </w:t>
      </w:r>
      <w:r w:rsidRPr="00BB179A">
        <w:rPr>
          <w:rFonts w:ascii="Times New Roman" w:hAnsi="Times New Roman" w:cs="Times New Roman"/>
          <w:i/>
          <w:sz w:val="24"/>
          <w:szCs w:val="24"/>
        </w:rPr>
        <w:lastRenderedPageBreak/>
        <w:t xml:space="preserve">could and should have been challenged within a fixed period which has passed. The rationale underlying the relevant case law is that a party who has the benefit of an administrative decision which is not challenged within a legally mandated time frame should not be exposed to the risk of having the validity of that decision subsequently challenged in later proceedings which seek to quash the validity of a subsequent decision (Sweetman v. An Bord </w:t>
      </w:r>
      <w:proofErr w:type="spellStart"/>
      <w:r w:rsidRPr="00BB179A">
        <w:rPr>
          <w:rFonts w:ascii="Times New Roman" w:hAnsi="Times New Roman" w:cs="Times New Roman"/>
          <w:i/>
          <w:sz w:val="24"/>
          <w:szCs w:val="24"/>
        </w:rPr>
        <w:t>Pleanala</w:t>
      </w:r>
      <w:proofErr w:type="spellEnd"/>
      <w:r w:rsidRPr="00BB179A">
        <w:rPr>
          <w:rFonts w:ascii="Times New Roman" w:hAnsi="Times New Roman" w:cs="Times New Roman"/>
          <w:i/>
          <w:sz w:val="24"/>
          <w:szCs w:val="24"/>
        </w:rPr>
        <w:t xml:space="preserve"> [2018] 2 IR 250, </w:t>
      </w:r>
      <w:r w:rsidR="0094756F">
        <w:rPr>
          <w:rFonts w:ascii="Times New Roman" w:hAnsi="Times New Roman" w:cs="Times New Roman"/>
          <w:i/>
          <w:sz w:val="24"/>
          <w:szCs w:val="24"/>
        </w:rPr>
        <w:t xml:space="preserve">at p. </w:t>
      </w:r>
      <w:r w:rsidRPr="00BB179A">
        <w:rPr>
          <w:rFonts w:ascii="Times New Roman" w:hAnsi="Times New Roman" w:cs="Times New Roman"/>
          <w:i/>
          <w:sz w:val="24"/>
          <w:szCs w:val="24"/>
        </w:rPr>
        <w:t>264).</w:t>
      </w:r>
      <w:r>
        <w:rPr>
          <w:rFonts w:ascii="Times New Roman" w:hAnsi="Times New Roman" w:cs="Times New Roman"/>
          <w:i/>
          <w:sz w:val="24"/>
          <w:szCs w:val="24"/>
        </w:rPr>
        <w:t>’</w:t>
      </w:r>
      <w:r w:rsidRPr="00BB179A">
        <w:rPr>
          <w:rFonts w:ascii="Times New Roman" w:hAnsi="Times New Roman" w:cs="Times New Roman"/>
          <w:sz w:val="24"/>
          <w:szCs w:val="24"/>
        </w:rPr>
        <w:t xml:space="preserve">  </w:t>
      </w:r>
    </w:p>
    <w:p w14:paraId="32A359B1" w14:textId="77777777" w:rsidR="005C4CF1" w:rsidRPr="005C4CF1" w:rsidRDefault="005C4CF1" w:rsidP="005C4CF1">
      <w:pPr>
        <w:pStyle w:val="ListParagraph"/>
        <w:spacing w:before="240" w:line="480" w:lineRule="auto"/>
        <w:ind w:left="786"/>
        <w:jc w:val="both"/>
        <w:rPr>
          <w:rFonts w:ascii="Times New Roman" w:hAnsi="Times New Roman" w:cs="Times New Roman"/>
          <w:b/>
          <w:sz w:val="24"/>
          <w:szCs w:val="24"/>
        </w:rPr>
      </w:pPr>
      <w:r>
        <w:rPr>
          <w:rFonts w:ascii="Times New Roman" w:hAnsi="Times New Roman" w:cs="Times New Roman"/>
          <w:sz w:val="24"/>
          <w:szCs w:val="24"/>
        </w:rPr>
        <w:t xml:space="preserve">  </w:t>
      </w:r>
    </w:p>
    <w:p w14:paraId="2D3D807F" w14:textId="4AA23F5A" w:rsidR="00B03074" w:rsidRPr="00B03074" w:rsidRDefault="00E16DB0" w:rsidP="00B03074">
      <w:pPr>
        <w:pStyle w:val="ListParagraph"/>
        <w:numPr>
          <w:ilvl w:val="0"/>
          <w:numId w:val="1"/>
        </w:numPr>
        <w:spacing w:before="240" w:line="480" w:lineRule="auto"/>
        <w:ind w:hanging="502"/>
        <w:jc w:val="both"/>
        <w:rPr>
          <w:rFonts w:ascii="Times New Roman" w:hAnsi="Times New Roman" w:cs="Times New Roman"/>
          <w:b/>
          <w:sz w:val="24"/>
          <w:szCs w:val="24"/>
        </w:rPr>
      </w:pPr>
      <w:r>
        <w:rPr>
          <w:rFonts w:ascii="Times New Roman" w:hAnsi="Times New Roman" w:cs="Times New Roman"/>
          <w:sz w:val="24"/>
          <w:szCs w:val="24"/>
        </w:rPr>
        <w:t xml:space="preserve">The high point of </w:t>
      </w:r>
      <w:r w:rsidR="00BC25A1" w:rsidRPr="005C4CF1">
        <w:rPr>
          <w:rFonts w:ascii="Times New Roman" w:hAnsi="Times New Roman" w:cs="Times New Roman"/>
          <w:sz w:val="24"/>
          <w:szCs w:val="24"/>
        </w:rPr>
        <w:t xml:space="preserve">Arthropharm’s case insofar as it is based upon the correspondence and the decision of </w:t>
      </w:r>
      <w:r w:rsidR="00A62880" w:rsidRPr="005C4CF1">
        <w:rPr>
          <w:rFonts w:ascii="Times New Roman" w:hAnsi="Times New Roman" w:cs="Times New Roman"/>
          <w:sz w:val="24"/>
          <w:szCs w:val="24"/>
        </w:rPr>
        <w:t xml:space="preserve">6 </w:t>
      </w:r>
      <w:r w:rsidR="00BC25A1" w:rsidRPr="005C4CF1">
        <w:rPr>
          <w:rFonts w:ascii="Times New Roman" w:hAnsi="Times New Roman" w:cs="Times New Roman"/>
          <w:sz w:val="24"/>
          <w:szCs w:val="24"/>
        </w:rPr>
        <w:t xml:space="preserve">March </w:t>
      </w:r>
      <w:r w:rsidR="006B0BC7">
        <w:rPr>
          <w:rFonts w:ascii="Times New Roman" w:hAnsi="Times New Roman" w:cs="Times New Roman"/>
          <w:sz w:val="24"/>
          <w:szCs w:val="24"/>
        </w:rPr>
        <w:t xml:space="preserve">2019 </w:t>
      </w:r>
      <w:r>
        <w:rPr>
          <w:rFonts w:ascii="Times New Roman" w:hAnsi="Times New Roman" w:cs="Times New Roman"/>
          <w:sz w:val="24"/>
          <w:szCs w:val="24"/>
        </w:rPr>
        <w:t xml:space="preserve">is </w:t>
      </w:r>
      <w:r w:rsidR="00BC25A1" w:rsidRPr="005C4CF1">
        <w:rPr>
          <w:rFonts w:ascii="Times New Roman" w:hAnsi="Times New Roman" w:cs="Times New Roman"/>
          <w:sz w:val="24"/>
          <w:szCs w:val="24"/>
        </w:rPr>
        <w:t xml:space="preserve">the fact that Article 83 invests HPRA with a distinct jurisdiction to suspend or withdraw a marketing authorisation it has previously granted, and from the </w:t>
      </w:r>
      <w:r w:rsidR="002F46F9" w:rsidRPr="005C4CF1">
        <w:rPr>
          <w:rFonts w:ascii="Times New Roman" w:hAnsi="Times New Roman" w:cs="Times New Roman"/>
          <w:sz w:val="24"/>
          <w:szCs w:val="24"/>
        </w:rPr>
        <w:t xml:space="preserve">consideration </w:t>
      </w:r>
      <w:r w:rsidR="00AE04B4" w:rsidRPr="005C4CF1">
        <w:rPr>
          <w:rFonts w:ascii="Times New Roman" w:hAnsi="Times New Roman" w:cs="Times New Roman"/>
          <w:sz w:val="24"/>
          <w:szCs w:val="24"/>
        </w:rPr>
        <w:t>t</w:t>
      </w:r>
      <w:r w:rsidR="00BC25A1" w:rsidRPr="005C4CF1">
        <w:rPr>
          <w:rFonts w:ascii="Times New Roman" w:hAnsi="Times New Roman" w:cs="Times New Roman"/>
          <w:sz w:val="24"/>
          <w:szCs w:val="24"/>
        </w:rPr>
        <w:t xml:space="preserve">hat because Arthropharm was not involved in the process leading to the decision of </w:t>
      </w:r>
      <w:r w:rsidR="00A62880" w:rsidRPr="005C4CF1">
        <w:rPr>
          <w:rFonts w:ascii="Times New Roman" w:hAnsi="Times New Roman" w:cs="Times New Roman"/>
          <w:sz w:val="24"/>
          <w:szCs w:val="24"/>
        </w:rPr>
        <w:t xml:space="preserve">20 </w:t>
      </w:r>
      <w:r w:rsidR="00BC25A1" w:rsidRPr="005C4CF1">
        <w:rPr>
          <w:rFonts w:ascii="Times New Roman" w:hAnsi="Times New Roman" w:cs="Times New Roman"/>
          <w:sz w:val="24"/>
          <w:szCs w:val="24"/>
        </w:rPr>
        <w:t>July</w:t>
      </w:r>
      <w:r w:rsidR="006B0BC7">
        <w:rPr>
          <w:rFonts w:ascii="Times New Roman" w:hAnsi="Times New Roman" w:cs="Times New Roman"/>
          <w:sz w:val="24"/>
          <w:szCs w:val="24"/>
        </w:rPr>
        <w:t xml:space="preserve"> 2018</w:t>
      </w:r>
      <w:r w:rsidR="00BC25A1" w:rsidRPr="005C4CF1">
        <w:rPr>
          <w:rFonts w:ascii="Times New Roman" w:hAnsi="Times New Roman" w:cs="Times New Roman"/>
          <w:sz w:val="24"/>
          <w:szCs w:val="24"/>
        </w:rPr>
        <w:t xml:space="preserve">, it can say that no ‘decision’ was made by HPRA that took account of the factors it sought to raise in its letter of </w:t>
      </w:r>
      <w:r w:rsidR="00A62880" w:rsidRPr="005C4CF1">
        <w:rPr>
          <w:rFonts w:ascii="Times New Roman" w:hAnsi="Times New Roman" w:cs="Times New Roman"/>
          <w:sz w:val="24"/>
          <w:szCs w:val="24"/>
        </w:rPr>
        <w:t xml:space="preserve">12 </w:t>
      </w:r>
      <w:r w:rsidR="00BC25A1" w:rsidRPr="005C4CF1">
        <w:rPr>
          <w:rFonts w:ascii="Times New Roman" w:hAnsi="Times New Roman" w:cs="Times New Roman"/>
          <w:sz w:val="24"/>
          <w:szCs w:val="24"/>
        </w:rPr>
        <w:t>October</w:t>
      </w:r>
      <w:r w:rsidR="006B0BC7">
        <w:rPr>
          <w:rFonts w:ascii="Times New Roman" w:hAnsi="Times New Roman" w:cs="Times New Roman"/>
          <w:sz w:val="24"/>
          <w:szCs w:val="24"/>
        </w:rPr>
        <w:t xml:space="preserve"> 2018</w:t>
      </w:r>
      <w:r w:rsidR="00A33C40" w:rsidRPr="005C4CF1">
        <w:rPr>
          <w:rFonts w:ascii="Times New Roman" w:hAnsi="Times New Roman" w:cs="Times New Roman"/>
          <w:sz w:val="24"/>
          <w:szCs w:val="24"/>
        </w:rPr>
        <w:t>.</w:t>
      </w:r>
      <w:r w:rsidR="00AE04B4" w:rsidRPr="005C4CF1">
        <w:rPr>
          <w:rFonts w:ascii="Times New Roman" w:hAnsi="Times New Roman" w:cs="Times New Roman"/>
          <w:sz w:val="24"/>
          <w:szCs w:val="24"/>
        </w:rPr>
        <w:t xml:space="preserve">  Arthropharm, on this thesis, was</w:t>
      </w:r>
      <w:r w:rsidR="003717E9" w:rsidRPr="005C4CF1">
        <w:rPr>
          <w:rFonts w:ascii="Times New Roman" w:hAnsi="Times New Roman" w:cs="Times New Roman"/>
          <w:sz w:val="24"/>
          <w:szCs w:val="24"/>
        </w:rPr>
        <w:t xml:space="preserve"> invoking</w:t>
      </w:r>
      <w:r w:rsidR="00AE04B4" w:rsidRPr="005C4CF1">
        <w:rPr>
          <w:rFonts w:ascii="Times New Roman" w:hAnsi="Times New Roman" w:cs="Times New Roman"/>
          <w:sz w:val="24"/>
          <w:szCs w:val="24"/>
        </w:rPr>
        <w:t xml:space="preserve"> a self-contained process enabled by Article 83 of the Directive which, had it been successful</w:t>
      </w:r>
      <w:r w:rsidR="00A62880" w:rsidRPr="005C4CF1">
        <w:rPr>
          <w:rFonts w:ascii="Times New Roman" w:hAnsi="Times New Roman" w:cs="Times New Roman"/>
          <w:sz w:val="24"/>
          <w:szCs w:val="24"/>
        </w:rPr>
        <w:t xml:space="preserve"> in</w:t>
      </w:r>
      <w:r w:rsidR="00AE04B4" w:rsidRPr="005C4CF1">
        <w:rPr>
          <w:rFonts w:ascii="Times New Roman" w:hAnsi="Times New Roman" w:cs="Times New Roman"/>
          <w:sz w:val="24"/>
          <w:szCs w:val="24"/>
        </w:rPr>
        <w:t xml:space="preserve"> i</w:t>
      </w:r>
      <w:r w:rsidR="003717E9" w:rsidRPr="005C4CF1">
        <w:rPr>
          <w:rFonts w:ascii="Times New Roman" w:hAnsi="Times New Roman" w:cs="Times New Roman"/>
          <w:sz w:val="24"/>
          <w:szCs w:val="24"/>
        </w:rPr>
        <w:t>ts application</w:t>
      </w:r>
      <w:r w:rsidR="00AE04B4" w:rsidRPr="005C4CF1">
        <w:rPr>
          <w:rFonts w:ascii="Times New Roman" w:hAnsi="Times New Roman" w:cs="Times New Roman"/>
          <w:sz w:val="24"/>
          <w:szCs w:val="24"/>
        </w:rPr>
        <w:t>, would have avoided the need for judicial review proceedings at all (therefore rendering the time spent pursuing this remedy a justification for an extension pursuant to Order 84 R</w:t>
      </w:r>
      <w:r w:rsidR="00FD04F6" w:rsidRPr="005C4CF1">
        <w:rPr>
          <w:rFonts w:ascii="Times New Roman" w:hAnsi="Times New Roman" w:cs="Times New Roman"/>
          <w:sz w:val="24"/>
          <w:szCs w:val="24"/>
        </w:rPr>
        <w:t>ule</w:t>
      </w:r>
      <w:r w:rsidR="00AE04B4" w:rsidRPr="005C4CF1">
        <w:rPr>
          <w:rFonts w:ascii="Times New Roman" w:hAnsi="Times New Roman" w:cs="Times New Roman"/>
          <w:sz w:val="24"/>
          <w:szCs w:val="24"/>
        </w:rPr>
        <w:t xml:space="preserve"> 21(3))</w:t>
      </w:r>
      <w:r w:rsidR="004120AF" w:rsidRPr="005C4CF1">
        <w:rPr>
          <w:rFonts w:ascii="Times New Roman" w:hAnsi="Times New Roman" w:cs="Times New Roman"/>
          <w:sz w:val="24"/>
          <w:szCs w:val="24"/>
        </w:rPr>
        <w:t xml:space="preserve">.  A </w:t>
      </w:r>
      <w:r w:rsidR="00AE04B4" w:rsidRPr="005C4CF1">
        <w:rPr>
          <w:rFonts w:ascii="Times New Roman" w:hAnsi="Times New Roman" w:cs="Times New Roman"/>
          <w:sz w:val="24"/>
          <w:szCs w:val="24"/>
        </w:rPr>
        <w:t xml:space="preserve">decision having been made by HPRA pursuant to that power, </w:t>
      </w:r>
      <w:r w:rsidR="004120AF" w:rsidRPr="005C4CF1">
        <w:rPr>
          <w:rFonts w:ascii="Times New Roman" w:hAnsi="Times New Roman" w:cs="Times New Roman"/>
          <w:sz w:val="24"/>
          <w:szCs w:val="24"/>
        </w:rPr>
        <w:t xml:space="preserve">Arthropharm contends that </w:t>
      </w:r>
      <w:r w:rsidR="00AE04B4" w:rsidRPr="005C4CF1">
        <w:rPr>
          <w:rFonts w:ascii="Times New Roman" w:hAnsi="Times New Roman" w:cs="Times New Roman"/>
          <w:sz w:val="24"/>
          <w:szCs w:val="24"/>
        </w:rPr>
        <w:t xml:space="preserve">this is independently justiciable and </w:t>
      </w:r>
      <w:r w:rsidR="004120AF" w:rsidRPr="005C4CF1">
        <w:rPr>
          <w:rFonts w:ascii="Times New Roman" w:hAnsi="Times New Roman" w:cs="Times New Roman"/>
          <w:sz w:val="24"/>
          <w:szCs w:val="24"/>
        </w:rPr>
        <w:t xml:space="preserve">that </w:t>
      </w:r>
      <w:r w:rsidR="00AE04B4" w:rsidRPr="005C4CF1">
        <w:rPr>
          <w:rFonts w:ascii="Times New Roman" w:hAnsi="Times New Roman" w:cs="Times New Roman"/>
          <w:sz w:val="24"/>
          <w:szCs w:val="24"/>
        </w:rPr>
        <w:t>proceedings challenging that decision were clearly brought within the appropriate period.</w:t>
      </w:r>
    </w:p>
    <w:p w14:paraId="747F8675" w14:textId="77777777" w:rsidR="00B03074" w:rsidRPr="00B03074" w:rsidRDefault="00B03074" w:rsidP="00B03074">
      <w:pPr>
        <w:pStyle w:val="ListParagraph"/>
        <w:spacing w:before="240" w:line="480" w:lineRule="auto"/>
        <w:ind w:left="786"/>
        <w:jc w:val="both"/>
        <w:rPr>
          <w:rFonts w:ascii="Times New Roman" w:hAnsi="Times New Roman" w:cs="Times New Roman"/>
          <w:b/>
          <w:sz w:val="24"/>
          <w:szCs w:val="24"/>
        </w:rPr>
      </w:pPr>
      <w:r>
        <w:rPr>
          <w:rFonts w:ascii="Times New Roman" w:hAnsi="Times New Roman" w:cs="Times New Roman"/>
          <w:sz w:val="24"/>
          <w:szCs w:val="24"/>
        </w:rPr>
        <w:t xml:space="preserve">  </w:t>
      </w:r>
    </w:p>
    <w:p w14:paraId="2B7D7DB2" w14:textId="686D82EA" w:rsidR="00423741" w:rsidRPr="00423741" w:rsidRDefault="00E16DB0" w:rsidP="00B03074">
      <w:pPr>
        <w:pStyle w:val="ListParagraph"/>
        <w:numPr>
          <w:ilvl w:val="0"/>
          <w:numId w:val="1"/>
        </w:numPr>
        <w:spacing w:before="240" w:line="480" w:lineRule="auto"/>
        <w:ind w:hanging="502"/>
        <w:jc w:val="both"/>
        <w:rPr>
          <w:rFonts w:ascii="Times New Roman" w:hAnsi="Times New Roman" w:cs="Times New Roman"/>
          <w:b/>
          <w:sz w:val="24"/>
          <w:szCs w:val="24"/>
        </w:rPr>
      </w:pPr>
      <w:r w:rsidRPr="00B03074">
        <w:rPr>
          <w:rFonts w:ascii="Times New Roman" w:hAnsi="Times New Roman" w:cs="Times New Roman"/>
          <w:sz w:val="24"/>
          <w:szCs w:val="24"/>
        </w:rPr>
        <w:t>O</w:t>
      </w:r>
      <w:r w:rsidR="00516F26" w:rsidRPr="00B03074">
        <w:rPr>
          <w:rFonts w:ascii="Times New Roman" w:hAnsi="Times New Roman" w:cs="Times New Roman"/>
          <w:sz w:val="24"/>
          <w:szCs w:val="24"/>
        </w:rPr>
        <w:t>bviously,</w:t>
      </w:r>
      <w:r w:rsidRPr="00B03074">
        <w:rPr>
          <w:rFonts w:ascii="Times New Roman" w:hAnsi="Times New Roman" w:cs="Times New Roman"/>
          <w:sz w:val="24"/>
          <w:szCs w:val="24"/>
        </w:rPr>
        <w:t xml:space="preserve"> the application of the three principles to which I have just referred </w:t>
      </w:r>
      <w:r w:rsidR="00B40577">
        <w:rPr>
          <w:rFonts w:ascii="Times New Roman" w:hAnsi="Times New Roman" w:cs="Times New Roman"/>
          <w:sz w:val="24"/>
          <w:szCs w:val="24"/>
        </w:rPr>
        <w:t xml:space="preserve">to </w:t>
      </w:r>
      <w:r w:rsidR="004022A4">
        <w:rPr>
          <w:rFonts w:ascii="Times New Roman" w:hAnsi="Times New Roman" w:cs="Times New Roman"/>
          <w:sz w:val="24"/>
          <w:szCs w:val="24"/>
        </w:rPr>
        <w:t xml:space="preserve">a particular decision </w:t>
      </w:r>
      <w:r w:rsidR="00516F26" w:rsidRPr="00B03074">
        <w:rPr>
          <w:rFonts w:ascii="Times New Roman" w:hAnsi="Times New Roman" w:cs="Times New Roman"/>
          <w:sz w:val="24"/>
          <w:szCs w:val="24"/>
        </w:rPr>
        <w:t xml:space="preserve">depends </w:t>
      </w:r>
      <w:r w:rsidRPr="00B03074">
        <w:rPr>
          <w:rFonts w:ascii="Times New Roman" w:hAnsi="Times New Roman" w:cs="Times New Roman"/>
          <w:sz w:val="24"/>
          <w:szCs w:val="24"/>
        </w:rPr>
        <w:t xml:space="preserve">in any given case </w:t>
      </w:r>
      <w:r w:rsidR="00516F26" w:rsidRPr="00B03074">
        <w:rPr>
          <w:rFonts w:ascii="Times New Roman" w:hAnsi="Times New Roman" w:cs="Times New Roman"/>
          <w:sz w:val="24"/>
          <w:szCs w:val="24"/>
        </w:rPr>
        <w:t xml:space="preserve">on the </w:t>
      </w:r>
      <w:r w:rsidRPr="00B03074">
        <w:rPr>
          <w:rFonts w:ascii="Times New Roman" w:hAnsi="Times New Roman" w:cs="Times New Roman"/>
          <w:sz w:val="24"/>
          <w:szCs w:val="24"/>
        </w:rPr>
        <w:t xml:space="preserve">relevant </w:t>
      </w:r>
      <w:r w:rsidR="00516F26" w:rsidRPr="00B03074">
        <w:rPr>
          <w:rFonts w:ascii="Times New Roman" w:hAnsi="Times New Roman" w:cs="Times New Roman"/>
          <w:sz w:val="24"/>
          <w:szCs w:val="24"/>
        </w:rPr>
        <w:t xml:space="preserve">facts and issues </w:t>
      </w:r>
      <w:r w:rsidR="004120AF" w:rsidRPr="00B03074">
        <w:rPr>
          <w:rFonts w:ascii="Times New Roman" w:hAnsi="Times New Roman" w:cs="Times New Roman"/>
          <w:sz w:val="24"/>
          <w:szCs w:val="24"/>
        </w:rPr>
        <w:t>viewed in the light of the proper construction of the relevant regulatory regime</w:t>
      </w:r>
      <w:r w:rsidR="00B03074" w:rsidRPr="00B03074">
        <w:rPr>
          <w:rFonts w:ascii="Times New Roman" w:hAnsi="Times New Roman" w:cs="Times New Roman"/>
          <w:sz w:val="24"/>
          <w:szCs w:val="24"/>
        </w:rPr>
        <w:t>.</w:t>
      </w:r>
      <w:r w:rsidR="00B03074">
        <w:rPr>
          <w:rFonts w:ascii="Times New Roman" w:hAnsi="Times New Roman" w:cs="Times New Roman"/>
          <w:sz w:val="24"/>
          <w:szCs w:val="24"/>
        </w:rPr>
        <w:t xml:space="preserve">  </w:t>
      </w:r>
      <w:r w:rsidR="004120AF" w:rsidRPr="00B03074">
        <w:rPr>
          <w:rFonts w:ascii="Times New Roman" w:hAnsi="Times New Roman" w:cs="Times New Roman"/>
          <w:sz w:val="24"/>
          <w:szCs w:val="24"/>
        </w:rPr>
        <w:t xml:space="preserve">In any given </w:t>
      </w:r>
      <w:r w:rsidR="004120AF" w:rsidRPr="00B03074">
        <w:rPr>
          <w:rFonts w:ascii="Times New Roman" w:hAnsi="Times New Roman" w:cs="Times New Roman"/>
          <w:sz w:val="24"/>
          <w:szCs w:val="24"/>
        </w:rPr>
        <w:lastRenderedPageBreak/>
        <w:t>case, accordingly, the court must ask whether in substance the decision which it is sought to challenge and the responses issued by the decision maker in reply to subsequent objections to the impugned determination, are the same ‘</w:t>
      </w:r>
      <w:r w:rsidR="004120AF" w:rsidRPr="00B03074">
        <w:rPr>
          <w:rFonts w:ascii="Times New Roman" w:hAnsi="Times New Roman" w:cs="Times New Roman"/>
          <w:i/>
          <w:sz w:val="24"/>
          <w:szCs w:val="24"/>
        </w:rPr>
        <w:t xml:space="preserve">decision’ </w:t>
      </w:r>
      <w:r w:rsidR="004120AF" w:rsidRPr="00B03074">
        <w:rPr>
          <w:rFonts w:ascii="Times New Roman" w:hAnsi="Times New Roman" w:cs="Times New Roman"/>
          <w:sz w:val="24"/>
          <w:szCs w:val="24"/>
        </w:rPr>
        <w:t>or a new decision</w:t>
      </w:r>
      <w:r w:rsidR="00423741">
        <w:rPr>
          <w:rFonts w:ascii="Times New Roman" w:hAnsi="Times New Roman" w:cs="Times New Roman"/>
          <w:sz w:val="24"/>
          <w:szCs w:val="24"/>
        </w:rPr>
        <w:t xml:space="preserve"> and, if the latter, whether the grounds of challenge are in substance a challenge to a decision the entitlement to review which has expired by effluxion of time.</w:t>
      </w:r>
      <w:r w:rsidR="004120AF" w:rsidRPr="00B03074">
        <w:rPr>
          <w:rFonts w:ascii="Times New Roman" w:hAnsi="Times New Roman" w:cs="Times New Roman"/>
          <w:sz w:val="24"/>
          <w:szCs w:val="24"/>
        </w:rPr>
        <w:t xml:space="preserve">  </w:t>
      </w:r>
    </w:p>
    <w:p w14:paraId="084BE474" w14:textId="77777777" w:rsidR="00423741" w:rsidRPr="00423741" w:rsidRDefault="00423741" w:rsidP="00423741">
      <w:pPr>
        <w:pStyle w:val="ListParagraph"/>
        <w:rPr>
          <w:rFonts w:ascii="Times New Roman" w:hAnsi="Times New Roman" w:cs="Times New Roman"/>
          <w:sz w:val="24"/>
          <w:szCs w:val="24"/>
        </w:rPr>
      </w:pPr>
    </w:p>
    <w:p w14:paraId="372D877A" w14:textId="09779201" w:rsidR="003A556F" w:rsidRPr="00B03074" w:rsidRDefault="003717E9" w:rsidP="00B03074">
      <w:pPr>
        <w:pStyle w:val="ListParagraph"/>
        <w:numPr>
          <w:ilvl w:val="0"/>
          <w:numId w:val="1"/>
        </w:numPr>
        <w:spacing w:before="240" w:line="480" w:lineRule="auto"/>
        <w:ind w:hanging="502"/>
        <w:jc w:val="both"/>
        <w:rPr>
          <w:rFonts w:ascii="Times New Roman" w:hAnsi="Times New Roman" w:cs="Times New Roman"/>
          <w:b/>
          <w:sz w:val="24"/>
          <w:szCs w:val="24"/>
        </w:rPr>
      </w:pPr>
      <w:r w:rsidRPr="00B03074">
        <w:rPr>
          <w:rFonts w:ascii="Times New Roman" w:hAnsi="Times New Roman" w:cs="Times New Roman"/>
          <w:sz w:val="24"/>
          <w:szCs w:val="24"/>
        </w:rPr>
        <w:t>Usually in the ‘</w:t>
      </w:r>
      <w:r w:rsidRPr="00B03074">
        <w:rPr>
          <w:rFonts w:ascii="Times New Roman" w:hAnsi="Times New Roman" w:cs="Times New Roman"/>
          <w:i/>
          <w:sz w:val="24"/>
          <w:szCs w:val="24"/>
        </w:rPr>
        <w:t xml:space="preserve">alternative remedy’ </w:t>
      </w:r>
      <w:r w:rsidRPr="00B03074">
        <w:rPr>
          <w:rFonts w:ascii="Times New Roman" w:hAnsi="Times New Roman" w:cs="Times New Roman"/>
          <w:sz w:val="24"/>
          <w:szCs w:val="24"/>
        </w:rPr>
        <w:t>cases it is clear that the</w:t>
      </w:r>
      <w:r w:rsidR="00A1532B" w:rsidRPr="00B03074">
        <w:rPr>
          <w:rFonts w:ascii="Times New Roman" w:hAnsi="Times New Roman" w:cs="Times New Roman"/>
          <w:sz w:val="24"/>
          <w:szCs w:val="24"/>
        </w:rPr>
        <w:t xml:space="preserve"> body</w:t>
      </w:r>
      <w:r w:rsidR="002A5D4F">
        <w:rPr>
          <w:rFonts w:ascii="Times New Roman" w:hAnsi="Times New Roman" w:cs="Times New Roman"/>
          <w:sz w:val="24"/>
          <w:szCs w:val="24"/>
        </w:rPr>
        <w:t xml:space="preserve"> making the second determination has made a new ‘</w:t>
      </w:r>
      <w:r w:rsidR="002A5D4F">
        <w:rPr>
          <w:rFonts w:ascii="Times New Roman" w:hAnsi="Times New Roman" w:cs="Times New Roman"/>
          <w:i/>
          <w:sz w:val="24"/>
          <w:szCs w:val="24"/>
        </w:rPr>
        <w:t>decision’</w:t>
      </w:r>
      <w:r w:rsidR="004022A4">
        <w:rPr>
          <w:rFonts w:ascii="Times New Roman" w:hAnsi="Times New Roman" w:cs="Times New Roman"/>
          <w:sz w:val="24"/>
          <w:szCs w:val="24"/>
        </w:rPr>
        <w:t xml:space="preserve">. </w:t>
      </w:r>
      <w:r w:rsidR="00645389" w:rsidRPr="00B03074">
        <w:rPr>
          <w:rFonts w:ascii="Times New Roman" w:hAnsi="Times New Roman" w:cs="Times New Roman"/>
          <w:sz w:val="24"/>
          <w:szCs w:val="24"/>
        </w:rPr>
        <w:t>In this case</w:t>
      </w:r>
      <w:r w:rsidR="00E64E39" w:rsidRPr="00B03074">
        <w:rPr>
          <w:rFonts w:ascii="Times New Roman" w:hAnsi="Times New Roman" w:cs="Times New Roman"/>
          <w:sz w:val="24"/>
          <w:szCs w:val="24"/>
        </w:rPr>
        <w:t xml:space="preserve"> </w:t>
      </w:r>
      <w:r w:rsidR="003B05A4" w:rsidRPr="00B03074">
        <w:rPr>
          <w:rFonts w:ascii="Times New Roman" w:hAnsi="Times New Roman" w:cs="Times New Roman"/>
          <w:sz w:val="24"/>
          <w:szCs w:val="24"/>
        </w:rPr>
        <w:t>(insofar as some or all of the correspondence from HPRA can be characterised as ‘</w:t>
      </w:r>
      <w:r w:rsidR="003B05A4" w:rsidRPr="00B03074">
        <w:rPr>
          <w:rFonts w:ascii="Times New Roman" w:hAnsi="Times New Roman" w:cs="Times New Roman"/>
          <w:i/>
          <w:sz w:val="24"/>
          <w:szCs w:val="24"/>
        </w:rPr>
        <w:t>decisions’</w:t>
      </w:r>
      <w:r w:rsidR="003B05A4" w:rsidRPr="00B03074">
        <w:rPr>
          <w:rFonts w:ascii="Times New Roman" w:hAnsi="Times New Roman" w:cs="Times New Roman"/>
          <w:sz w:val="24"/>
          <w:szCs w:val="24"/>
        </w:rPr>
        <w:t xml:space="preserve">) </w:t>
      </w:r>
      <w:r w:rsidR="006B0BC7">
        <w:rPr>
          <w:rFonts w:ascii="Times New Roman" w:hAnsi="Times New Roman" w:cs="Times New Roman"/>
          <w:sz w:val="24"/>
          <w:szCs w:val="24"/>
        </w:rPr>
        <w:t xml:space="preserve">the alleged </w:t>
      </w:r>
      <w:r w:rsidR="00E64E39" w:rsidRPr="00B03074">
        <w:rPr>
          <w:rFonts w:ascii="Times New Roman" w:hAnsi="Times New Roman" w:cs="Times New Roman"/>
          <w:sz w:val="24"/>
          <w:szCs w:val="24"/>
        </w:rPr>
        <w:t>decision</w:t>
      </w:r>
      <w:r w:rsidR="004022A4">
        <w:rPr>
          <w:rFonts w:ascii="Times New Roman" w:hAnsi="Times New Roman" w:cs="Times New Roman"/>
          <w:sz w:val="24"/>
          <w:szCs w:val="24"/>
        </w:rPr>
        <w:t>s</w:t>
      </w:r>
      <w:r w:rsidR="00E64E39" w:rsidRPr="00B03074">
        <w:rPr>
          <w:rFonts w:ascii="Times New Roman" w:hAnsi="Times New Roman" w:cs="Times New Roman"/>
          <w:sz w:val="24"/>
          <w:szCs w:val="24"/>
        </w:rPr>
        <w:t xml:space="preserve"> made by HPRA</w:t>
      </w:r>
      <w:r w:rsidR="002A5D4F">
        <w:rPr>
          <w:rFonts w:ascii="Times New Roman" w:hAnsi="Times New Roman" w:cs="Times New Roman"/>
          <w:sz w:val="24"/>
          <w:szCs w:val="24"/>
        </w:rPr>
        <w:t xml:space="preserve"> on 6 March 2019 and the decision of 20 July 2018</w:t>
      </w:r>
      <w:r w:rsidR="003A556F" w:rsidRPr="00B03074">
        <w:rPr>
          <w:rFonts w:ascii="Times New Roman" w:hAnsi="Times New Roman" w:cs="Times New Roman"/>
          <w:sz w:val="24"/>
          <w:szCs w:val="24"/>
        </w:rPr>
        <w:t xml:space="preserve"> w</w:t>
      </w:r>
      <w:r w:rsidR="003B05A4" w:rsidRPr="00B03074">
        <w:rPr>
          <w:rFonts w:ascii="Times New Roman" w:hAnsi="Times New Roman" w:cs="Times New Roman"/>
          <w:sz w:val="24"/>
          <w:szCs w:val="24"/>
        </w:rPr>
        <w:t>ere</w:t>
      </w:r>
      <w:r w:rsidR="003A556F" w:rsidRPr="00B03074">
        <w:rPr>
          <w:rFonts w:ascii="Times New Roman" w:hAnsi="Times New Roman" w:cs="Times New Roman"/>
          <w:sz w:val="24"/>
          <w:szCs w:val="24"/>
        </w:rPr>
        <w:t xml:space="preserve"> the same essential decision</w:t>
      </w:r>
      <w:r w:rsidR="003B05A4" w:rsidRPr="00B03074">
        <w:rPr>
          <w:rFonts w:ascii="Times New Roman" w:hAnsi="Times New Roman" w:cs="Times New Roman"/>
          <w:sz w:val="24"/>
          <w:szCs w:val="24"/>
        </w:rPr>
        <w:t>s</w:t>
      </w:r>
      <w:r w:rsidR="003A556F" w:rsidRPr="00B03074">
        <w:rPr>
          <w:rFonts w:ascii="Times New Roman" w:hAnsi="Times New Roman" w:cs="Times New Roman"/>
          <w:sz w:val="24"/>
          <w:szCs w:val="24"/>
        </w:rPr>
        <w:t xml:space="preserve"> and (insofar as material here) </w:t>
      </w:r>
      <w:r w:rsidR="003B05A4" w:rsidRPr="00B03074">
        <w:rPr>
          <w:rFonts w:ascii="Times New Roman" w:hAnsi="Times New Roman" w:cs="Times New Roman"/>
          <w:sz w:val="24"/>
          <w:szCs w:val="24"/>
        </w:rPr>
        <w:t>they were</w:t>
      </w:r>
      <w:r w:rsidR="003A556F" w:rsidRPr="00B03074">
        <w:rPr>
          <w:rFonts w:ascii="Times New Roman" w:hAnsi="Times New Roman" w:cs="Times New Roman"/>
          <w:sz w:val="24"/>
          <w:szCs w:val="24"/>
        </w:rPr>
        <w:t xml:space="preserve"> made </w:t>
      </w:r>
      <w:r w:rsidR="00E64E39" w:rsidRPr="00B03074">
        <w:rPr>
          <w:rFonts w:ascii="Times New Roman" w:hAnsi="Times New Roman" w:cs="Times New Roman"/>
          <w:sz w:val="24"/>
          <w:szCs w:val="24"/>
        </w:rPr>
        <w:t xml:space="preserve">on the same grounds. </w:t>
      </w:r>
      <w:r w:rsidR="009F52E5" w:rsidRPr="00B03074">
        <w:rPr>
          <w:rFonts w:ascii="Times New Roman" w:hAnsi="Times New Roman" w:cs="Times New Roman"/>
          <w:sz w:val="24"/>
          <w:szCs w:val="24"/>
        </w:rPr>
        <w:t xml:space="preserve">  As Simons J. </w:t>
      </w:r>
      <w:r w:rsidR="003B05A4" w:rsidRPr="00B03074">
        <w:rPr>
          <w:rFonts w:ascii="Times New Roman" w:hAnsi="Times New Roman" w:cs="Times New Roman"/>
          <w:sz w:val="24"/>
          <w:szCs w:val="24"/>
        </w:rPr>
        <w:t>suggested</w:t>
      </w:r>
      <w:r w:rsidR="009F52E5" w:rsidRPr="00B03074">
        <w:rPr>
          <w:rFonts w:ascii="Times New Roman" w:hAnsi="Times New Roman" w:cs="Times New Roman"/>
          <w:sz w:val="24"/>
          <w:szCs w:val="24"/>
        </w:rPr>
        <w:t xml:space="preserve"> in the course of his judgment there will be cases in which it is possible to detach a request to exercise the power under Article 83 and decision consequent upon that request, from the underlying </w:t>
      </w:r>
      <w:r w:rsidR="003B05A4" w:rsidRPr="00B03074">
        <w:rPr>
          <w:rFonts w:ascii="Times New Roman" w:hAnsi="Times New Roman" w:cs="Times New Roman"/>
          <w:sz w:val="24"/>
          <w:szCs w:val="24"/>
        </w:rPr>
        <w:t>determination to grant the authorisation</w:t>
      </w:r>
      <w:r w:rsidR="009F52E5" w:rsidRPr="00B03074">
        <w:rPr>
          <w:rFonts w:ascii="Times New Roman" w:hAnsi="Times New Roman" w:cs="Times New Roman"/>
          <w:sz w:val="24"/>
          <w:szCs w:val="24"/>
        </w:rPr>
        <w:t xml:space="preserve"> so that a challenge to the legality of the former is not a challenge to the legality of the latter</w:t>
      </w:r>
      <w:r w:rsidR="009A3917" w:rsidRPr="00B03074">
        <w:rPr>
          <w:rFonts w:ascii="Times New Roman" w:hAnsi="Times New Roman" w:cs="Times New Roman"/>
          <w:sz w:val="24"/>
          <w:szCs w:val="24"/>
        </w:rPr>
        <w:t>.  T</w:t>
      </w:r>
      <w:r w:rsidR="009F52E5" w:rsidRPr="00B03074">
        <w:rPr>
          <w:rFonts w:ascii="Times New Roman" w:hAnsi="Times New Roman" w:cs="Times New Roman"/>
          <w:sz w:val="24"/>
          <w:szCs w:val="24"/>
        </w:rPr>
        <w:t>his was not</w:t>
      </w:r>
      <w:r w:rsidR="009A3917" w:rsidRPr="00B03074">
        <w:rPr>
          <w:rFonts w:ascii="Times New Roman" w:hAnsi="Times New Roman" w:cs="Times New Roman"/>
          <w:sz w:val="24"/>
          <w:szCs w:val="24"/>
        </w:rPr>
        <w:t>, however,</w:t>
      </w:r>
      <w:r w:rsidR="009F52E5" w:rsidRPr="00B03074">
        <w:rPr>
          <w:rFonts w:ascii="Times New Roman" w:hAnsi="Times New Roman" w:cs="Times New Roman"/>
          <w:sz w:val="24"/>
          <w:szCs w:val="24"/>
        </w:rPr>
        <w:t xml:space="preserve"> such a case.</w:t>
      </w:r>
    </w:p>
    <w:p w14:paraId="68B32AFC" w14:textId="77777777" w:rsidR="003A556F" w:rsidRPr="003A556F" w:rsidRDefault="003A556F" w:rsidP="003E1C16">
      <w:pPr>
        <w:pStyle w:val="ListParagraph"/>
        <w:ind w:hanging="502"/>
        <w:rPr>
          <w:rFonts w:ascii="Times New Roman" w:hAnsi="Times New Roman" w:cs="Times New Roman"/>
          <w:sz w:val="24"/>
          <w:szCs w:val="24"/>
        </w:rPr>
      </w:pPr>
    </w:p>
    <w:p w14:paraId="3C84F351" w14:textId="61371253" w:rsidR="003B05A4" w:rsidRPr="003B05A4" w:rsidRDefault="004022A4" w:rsidP="003E1C16">
      <w:pPr>
        <w:pStyle w:val="ListParagraph"/>
        <w:numPr>
          <w:ilvl w:val="0"/>
          <w:numId w:val="1"/>
        </w:numPr>
        <w:spacing w:before="240" w:line="480" w:lineRule="auto"/>
        <w:ind w:hanging="502"/>
        <w:jc w:val="both"/>
        <w:rPr>
          <w:rFonts w:ascii="Times New Roman" w:hAnsi="Times New Roman" w:cs="Times New Roman"/>
          <w:b/>
          <w:sz w:val="24"/>
          <w:szCs w:val="24"/>
        </w:rPr>
      </w:pPr>
      <w:r>
        <w:rPr>
          <w:rFonts w:ascii="Times New Roman" w:hAnsi="Times New Roman" w:cs="Times New Roman"/>
          <w:sz w:val="24"/>
          <w:szCs w:val="24"/>
        </w:rPr>
        <w:t>Central</w:t>
      </w:r>
      <w:r w:rsidR="003B05A4">
        <w:rPr>
          <w:rFonts w:ascii="Times New Roman" w:hAnsi="Times New Roman" w:cs="Times New Roman"/>
          <w:sz w:val="24"/>
          <w:szCs w:val="24"/>
        </w:rPr>
        <w:t xml:space="preserve"> to th</w:t>
      </w:r>
      <w:r>
        <w:rPr>
          <w:rFonts w:ascii="Times New Roman" w:hAnsi="Times New Roman" w:cs="Times New Roman"/>
          <w:sz w:val="24"/>
          <w:szCs w:val="24"/>
        </w:rPr>
        <w:t>at</w:t>
      </w:r>
      <w:r w:rsidR="003B05A4">
        <w:rPr>
          <w:rFonts w:ascii="Times New Roman" w:hAnsi="Times New Roman" w:cs="Times New Roman"/>
          <w:sz w:val="24"/>
          <w:szCs w:val="24"/>
        </w:rPr>
        <w:t xml:space="preserve"> issue is what HPRA was being told, and what it was being asked to do.  </w:t>
      </w:r>
      <w:r w:rsidR="00FD04F6">
        <w:rPr>
          <w:rFonts w:ascii="Times New Roman" w:hAnsi="Times New Roman" w:cs="Times New Roman"/>
          <w:sz w:val="24"/>
          <w:szCs w:val="24"/>
        </w:rPr>
        <w:t>On</w:t>
      </w:r>
      <w:r w:rsidR="00E64E39">
        <w:rPr>
          <w:rFonts w:ascii="Times New Roman" w:hAnsi="Times New Roman" w:cs="Times New Roman"/>
          <w:sz w:val="24"/>
          <w:szCs w:val="24"/>
        </w:rPr>
        <w:t xml:space="preserve"> </w:t>
      </w:r>
      <w:r w:rsidR="00FD04F6">
        <w:rPr>
          <w:rFonts w:ascii="Times New Roman" w:hAnsi="Times New Roman" w:cs="Times New Roman"/>
          <w:sz w:val="24"/>
          <w:szCs w:val="24"/>
        </w:rPr>
        <w:t xml:space="preserve">20 </w:t>
      </w:r>
      <w:r w:rsidR="00E64E39">
        <w:rPr>
          <w:rFonts w:ascii="Times New Roman" w:hAnsi="Times New Roman" w:cs="Times New Roman"/>
          <w:sz w:val="24"/>
          <w:szCs w:val="24"/>
        </w:rPr>
        <w:t xml:space="preserve">July </w:t>
      </w:r>
      <w:r>
        <w:rPr>
          <w:rFonts w:ascii="Times New Roman" w:hAnsi="Times New Roman" w:cs="Times New Roman"/>
          <w:sz w:val="24"/>
          <w:szCs w:val="24"/>
        </w:rPr>
        <w:t xml:space="preserve">2018 </w:t>
      </w:r>
      <w:r w:rsidR="00E64E39">
        <w:rPr>
          <w:rFonts w:ascii="Times New Roman" w:hAnsi="Times New Roman" w:cs="Times New Roman"/>
          <w:sz w:val="24"/>
          <w:szCs w:val="24"/>
        </w:rPr>
        <w:t xml:space="preserve">it decided to grant the marketing authorisation to Chanelle in respect of </w:t>
      </w:r>
      <w:r w:rsidR="00FD04F6">
        <w:rPr>
          <w:rFonts w:ascii="Times New Roman" w:hAnsi="Times New Roman" w:cs="Times New Roman"/>
          <w:sz w:val="24"/>
          <w:szCs w:val="24"/>
        </w:rPr>
        <w:t>Osteopen</w:t>
      </w:r>
      <w:r w:rsidR="00E64E39">
        <w:rPr>
          <w:rFonts w:ascii="Times New Roman" w:hAnsi="Times New Roman" w:cs="Times New Roman"/>
          <w:sz w:val="24"/>
          <w:szCs w:val="24"/>
        </w:rPr>
        <w:t xml:space="preserve"> because it </w:t>
      </w:r>
      <w:r w:rsidR="003A556F">
        <w:rPr>
          <w:rFonts w:ascii="Times New Roman" w:hAnsi="Times New Roman" w:cs="Times New Roman"/>
          <w:sz w:val="24"/>
          <w:szCs w:val="24"/>
        </w:rPr>
        <w:t>concluded that that product</w:t>
      </w:r>
      <w:r w:rsidR="00E64E39">
        <w:rPr>
          <w:rFonts w:ascii="Times New Roman" w:hAnsi="Times New Roman" w:cs="Times New Roman"/>
          <w:sz w:val="24"/>
          <w:szCs w:val="24"/>
        </w:rPr>
        <w:t xml:space="preserve"> was a generic of </w:t>
      </w:r>
      <w:r w:rsidR="00FD04F6">
        <w:rPr>
          <w:rFonts w:ascii="Times New Roman" w:hAnsi="Times New Roman" w:cs="Times New Roman"/>
          <w:sz w:val="24"/>
          <w:szCs w:val="24"/>
        </w:rPr>
        <w:t>Cartrophen</w:t>
      </w:r>
      <w:r w:rsidR="00E64E39">
        <w:rPr>
          <w:rFonts w:ascii="Times New Roman" w:hAnsi="Times New Roman" w:cs="Times New Roman"/>
          <w:sz w:val="24"/>
          <w:szCs w:val="24"/>
        </w:rPr>
        <w:t xml:space="preserve"> within the meaning of Article 13 of the 2001 Directive.  </w:t>
      </w:r>
      <w:r w:rsidR="003A556F">
        <w:rPr>
          <w:rFonts w:ascii="Times New Roman" w:hAnsi="Times New Roman" w:cs="Times New Roman"/>
          <w:sz w:val="24"/>
          <w:szCs w:val="24"/>
        </w:rPr>
        <w:t xml:space="preserve">On </w:t>
      </w:r>
      <w:r w:rsidR="00FD04F6">
        <w:rPr>
          <w:rFonts w:ascii="Times New Roman" w:hAnsi="Times New Roman" w:cs="Times New Roman"/>
          <w:sz w:val="24"/>
          <w:szCs w:val="24"/>
        </w:rPr>
        <w:t xml:space="preserve">12 </w:t>
      </w:r>
      <w:r w:rsidR="003A556F">
        <w:rPr>
          <w:rFonts w:ascii="Times New Roman" w:hAnsi="Times New Roman" w:cs="Times New Roman"/>
          <w:sz w:val="24"/>
          <w:szCs w:val="24"/>
        </w:rPr>
        <w:t xml:space="preserve">October </w:t>
      </w:r>
      <w:r>
        <w:rPr>
          <w:rFonts w:ascii="Times New Roman" w:hAnsi="Times New Roman" w:cs="Times New Roman"/>
          <w:sz w:val="24"/>
          <w:szCs w:val="24"/>
        </w:rPr>
        <w:t xml:space="preserve">2018, </w:t>
      </w:r>
      <w:r w:rsidR="003A556F">
        <w:rPr>
          <w:rFonts w:ascii="Times New Roman" w:hAnsi="Times New Roman" w:cs="Times New Roman"/>
          <w:sz w:val="24"/>
          <w:szCs w:val="24"/>
        </w:rPr>
        <w:t>Arthropharm delivered what it described as an ‘</w:t>
      </w:r>
      <w:r w:rsidR="003A556F">
        <w:rPr>
          <w:rFonts w:ascii="Times New Roman" w:hAnsi="Times New Roman" w:cs="Times New Roman"/>
          <w:i/>
          <w:sz w:val="24"/>
          <w:szCs w:val="24"/>
        </w:rPr>
        <w:t xml:space="preserve">objection’ </w:t>
      </w:r>
      <w:r w:rsidR="003A556F">
        <w:rPr>
          <w:rFonts w:ascii="Times New Roman" w:hAnsi="Times New Roman" w:cs="Times New Roman"/>
          <w:sz w:val="24"/>
          <w:szCs w:val="24"/>
        </w:rPr>
        <w:t xml:space="preserve">to the registration of Osteopen.  The core point made in the letter was that the active ingredient in the products were produced in different factories and by different processes.  </w:t>
      </w:r>
      <w:r w:rsidR="00610BBE">
        <w:rPr>
          <w:rFonts w:ascii="Times New Roman" w:hAnsi="Times New Roman" w:cs="Times New Roman"/>
          <w:sz w:val="24"/>
          <w:szCs w:val="24"/>
        </w:rPr>
        <w:t xml:space="preserve">The letter concluded by requesting that the generic application approval be suspended pending a review of the facts and a review of the decision to register being taken.  </w:t>
      </w:r>
      <w:r w:rsidR="003B05A4">
        <w:rPr>
          <w:rFonts w:ascii="Times New Roman" w:hAnsi="Times New Roman" w:cs="Times New Roman"/>
          <w:sz w:val="24"/>
          <w:szCs w:val="24"/>
        </w:rPr>
        <w:t xml:space="preserve">Article 83 was not referred to in this </w:t>
      </w:r>
      <w:r w:rsidR="003B05A4">
        <w:rPr>
          <w:rFonts w:ascii="Times New Roman" w:hAnsi="Times New Roman" w:cs="Times New Roman"/>
          <w:sz w:val="24"/>
          <w:szCs w:val="24"/>
        </w:rPr>
        <w:lastRenderedPageBreak/>
        <w:t>letter, and the grounds identified in Article 83 and now purportedly relied upon in the pleading (‘</w:t>
      </w:r>
      <w:r w:rsidR="003B05A4">
        <w:rPr>
          <w:rFonts w:ascii="Times New Roman" w:hAnsi="Times New Roman" w:cs="Times New Roman"/>
          <w:i/>
          <w:sz w:val="24"/>
          <w:szCs w:val="24"/>
        </w:rPr>
        <w:t xml:space="preserve">the qualitative composition of a product is not as stated and/or that the risk-benefit assessment of the … product is </w:t>
      </w:r>
      <w:r w:rsidR="003B05A4" w:rsidRPr="003B05A4">
        <w:rPr>
          <w:rFonts w:ascii="Times New Roman" w:hAnsi="Times New Roman" w:cs="Times New Roman"/>
          <w:i/>
          <w:sz w:val="24"/>
          <w:szCs w:val="24"/>
        </w:rPr>
        <w:t>unfavourable</w:t>
      </w:r>
      <w:r w:rsidR="003B05A4" w:rsidRPr="003B05A4">
        <w:rPr>
          <w:rFonts w:ascii="Times New Roman" w:hAnsi="Times New Roman" w:cs="Times New Roman"/>
          <w:sz w:val="24"/>
          <w:szCs w:val="24"/>
        </w:rPr>
        <w:t>’</w:t>
      </w:r>
      <w:r w:rsidR="003B05A4">
        <w:rPr>
          <w:rFonts w:ascii="Times New Roman" w:hAnsi="Times New Roman" w:cs="Times New Roman"/>
          <w:sz w:val="24"/>
          <w:szCs w:val="24"/>
        </w:rPr>
        <w:t xml:space="preserve">) were not recited in the letter.  </w:t>
      </w:r>
      <w:r w:rsidR="003A556F" w:rsidRPr="003B05A4">
        <w:rPr>
          <w:rFonts w:ascii="Times New Roman" w:hAnsi="Times New Roman" w:cs="Times New Roman"/>
          <w:sz w:val="24"/>
          <w:szCs w:val="24"/>
        </w:rPr>
        <w:t>HPRA</w:t>
      </w:r>
      <w:r w:rsidR="003A556F">
        <w:rPr>
          <w:rFonts w:ascii="Times New Roman" w:hAnsi="Times New Roman" w:cs="Times New Roman"/>
          <w:sz w:val="24"/>
          <w:szCs w:val="24"/>
        </w:rPr>
        <w:t xml:space="preserve"> rejected this contention </w:t>
      </w:r>
      <w:r w:rsidR="00610BBE">
        <w:rPr>
          <w:rFonts w:ascii="Times New Roman" w:hAnsi="Times New Roman" w:cs="Times New Roman"/>
          <w:sz w:val="24"/>
          <w:szCs w:val="24"/>
        </w:rPr>
        <w:t xml:space="preserve">and this request </w:t>
      </w:r>
      <w:r w:rsidR="003A556F">
        <w:rPr>
          <w:rFonts w:ascii="Times New Roman" w:hAnsi="Times New Roman" w:cs="Times New Roman"/>
          <w:sz w:val="24"/>
          <w:szCs w:val="24"/>
        </w:rPr>
        <w:t>in its letter of 30 October</w:t>
      </w:r>
      <w:r>
        <w:rPr>
          <w:rFonts w:ascii="Times New Roman" w:hAnsi="Times New Roman" w:cs="Times New Roman"/>
          <w:sz w:val="24"/>
          <w:szCs w:val="24"/>
        </w:rPr>
        <w:t xml:space="preserve"> 2018</w:t>
      </w:r>
      <w:r w:rsidR="003A556F">
        <w:rPr>
          <w:rFonts w:ascii="Times New Roman" w:hAnsi="Times New Roman" w:cs="Times New Roman"/>
          <w:sz w:val="24"/>
          <w:szCs w:val="24"/>
        </w:rPr>
        <w:t>.</w:t>
      </w:r>
      <w:r w:rsidR="00610BBE">
        <w:rPr>
          <w:rFonts w:ascii="Times New Roman" w:hAnsi="Times New Roman" w:cs="Times New Roman"/>
          <w:sz w:val="24"/>
          <w:szCs w:val="24"/>
        </w:rPr>
        <w:t xml:space="preserve"> It explained that based upon the data provided with the original application</w:t>
      </w:r>
      <w:r w:rsidR="006345FA">
        <w:rPr>
          <w:rFonts w:ascii="Times New Roman" w:hAnsi="Times New Roman" w:cs="Times New Roman"/>
          <w:sz w:val="24"/>
          <w:szCs w:val="24"/>
        </w:rPr>
        <w:t>,</w:t>
      </w:r>
      <w:r w:rsidR="00610BBE">
        <w:rPr>
          <w:rFonts w:ascii="Times New Roman" w:hAnsi="Times New Roman" w:cs="Times New Roman"/>
          <w:sz w:val="24"/>
          <w:szCs w:val="24"/>
        </w:rPr>
        <w:t xml:space="preserve"> HPRA considered that a sufficiently robust data package was provided to permit the conclusion that the generic product could be accepted as being sufficiently similar to the reference product to permit extrapolation of the safety and efficacy characteristics of the reference product to the generic product.  </w:t>
      </w:r>
      <w:r w:rsidR="003B05A4">
        <w:rPr>
          <w:rFonts w:ascii="Times New Roman" w:hAnsi="Times New Roman" w:cs="Times New Roman"/>
          <w:sz w:val="24"/>
          <w:szCs w:val="24"/>
        </w:rPr>
        <w:t xml:space="preserve">So, at this point there was no formal invocation of the procedure under Article 83, merely a request to </w:t>
      </w:r>
      <w:r w:rsidR="00627BFD">
        <w:rPr>
          <w:rFonts w:ascii="Times New Roman" w:hAnsi="Times New Roman" w:cs="Times New Roman"/>
          <w:sz w:val="24"/>
          <w:szCs w:val="24"/>
        </w:rPr>
        <w:t>review the earlier decision.  There was no basis on which this could ‘</w:t>
      </w:r>
      <w:r w:rsidR="00627BFD">
        <w:rPr>
          <w:rFonts w:ascii="Times New Roman" w:hAnsi="Times New Roman" w:cs="Times New Roman"/>
          <w:i/>
          <w:sz w:val="24"/>
          <w:szCs w:val="24"/>
        </w:rPr>
        <w:t xml:space="preserve">toll’ </w:t>
      </w:r>
      <w:r w:rsidR="00627BFD">
        <w:rPr>
          <w:rFonts w:ascii="Times New Roman" w:hAnsi="Times New Roman" w:cs="Times New Roman"/>
          <w:sz w:val="24"/>
          <w:szCs w:val="24"/>
        </w:rPr>
        <w:t>the time provided for in Order 84 R</w:t>
      </w:r>
      <w:r w:rsidR="006345FA">
        <w:rPr>
          <w:rFonts w:ascii="Times New Roman" w:hAnsi="Times New Roman" w:cs="Times New Roman"/>
          <w:sz w:val="24"/>
          <w:szCs w:val="24"/>
        </w:rPr>
        <w:t>ule</w:t>
      </w:r>
      <w:r w:rsidR="00627BFD">
        <w:rPr>
          <w:rFonts w:ascii="Times New Roman" w:hAnsi="Times New Roman" w:cs="Times New Roman"/>
          <w:sz w:val="24"/>
          <w:szCs w:val="24"/>
        </w:rPr>
        <w:t xml:space="preserve"> 21(1) and, even if Arthropharm had not been at fault in failing to pursue this correspondence, the fact that it was awaiting a response would not have afforded a ground for extending time.  For the same reason, there was at this point – clearly – no fresh ‘</w:t>
      </w:r>
      <w:r w:rsidR="00627BFD">
        <w:rPr>
          <w:rFonts w:ascii="Times New Roman" w:hAnsi="Times New Roman" w:cs="Times New Roman"/>
          <w:i/>
          <w:sz w:val="24"/>
          <w:szCs w:val="24"/>
        </w:rPr>
        <w:t>decision’</w:t>
      </w:r>
      <w:r w:rsidR="00627BFD">
        <w:rPr>
          <w:rFonts w:ascii="Times New Roman" w:hAnsi="Times New Roman" w:cs="Times New Roman"/>
          <w:sz w:val="24"/>
          <w:szCs w:val="24"/>
        </w:rPr>
        <w:t xml:space="preserve"> from HPRA. </w:t>
      </w:r>
    </w:p>
    <w:p w14:paraId="5377483C" w14:textId="77777777" w:rsidR="003B05A4" w:rsidRPr="003B05A4" w:rsidRDefault="003B05A4" w:rsidP="003E1C16">
      <w:pPr>
        <w:pStyle w:val="ListParagraph"/>
        <w:spacing w:before="240" w:line="480" w:lineRule="auto"/>
        <w:ind w:left="786" w:hanging="502"/>
        <w:jc w:val="both"/>
        <w:rPr>
          <w:rFonts w:ascii="Times New Roman" w:hAnsi="Times New Roman" w:cs="Times New Roman"/>
          <w:b/>
          <w:sz w:val="24"/>
          <w:szCs w:val="24"/>
        </w:rPr>
      </w:pPr>
      <w:r>
        <w:rPr>
          <w:rFonts w:ascii="Times New Roman" w:hAnsi="Times New Roman" w:cs="Times New Roman"/>
          <w:sz w:val="24"/>
          <w:szCs w:val="24"/>
        </w:rPr>
        <w:t xml:space="preserve">  </w:t>
      </w:r>
    </w:p>
    <w:p w14:paraId="221B0F86" w14:textId="7F55C81D" w:rsidR="00F878E5" w:rsidRPr="00F878E5" w:rsidRDefault="007F0EC9" w:rsidP="003E1C16">
      <w:pPr>
        <w:pStyle w:val="ListParagraph"/>
        <w:numPr>
          <w:ilvl w:val="0"/>
          <w:numId w:val="1"/>
        </w:numPr>
        <w:spacing w:before="240" w:line="480" w:lineRule="auto"/>
        <w:ind w:hanging="502"/>
        <w:jc w:val="both"/>
        <w:rPr>
          <w:rFonts w:ascii="Times New Roman" w:hAnsi="Times New Roman" w:cs="Times New Roman"/>
          <w:b/>
          <w:sz w:val="24"/>
          <w:szCs w:val="24"/>
        </w:rPr>
      </w:pPr>
      <w:r>
        <w:rPr>
          <w:rFonts w:ascii="Times New Roman" w:hAnsi="Times New Roman" w:cs="Times New Roman"/>
          <w:sz w:val="24"/>
          <w:szCs w:val="24"/>
        </w:rPr>
        <w:t>It is accordingly unsurprising that t</w:t>
      </w:r>
      <w:r w:rsidR="00610BBE">
        <w:rPr>
          <w:rFonts w:ascii="Times New Roman" w:hAnsi="Times New Roman" w:cs="Times New Roman"/>
          <w:sz w:val="24"/>
          <w:szCs w:val="24"/>
        </w:rPr>
        <w:t xml:space="preserve">he letter from </w:t>
      </w:r>
      <w:r>
        <w:rPr>
          <w:rFonts w:ascii="Times New Roman" w:hAnsi="Times New Roman" w:cs="Times New Roman"/>
          <w:sz w:val="24"/>
          <w:szCs w:val="24"/>
        </w:rPr>
        <w:t xml:space="preserve">Arthropharm’s solicitors of 13 December </w:t>
      </w:r>
      <w:r w:rsidR="004022A4">
        <w:rPr>
          <w:rFonts w:ascii="Times New Roman" w:hAnsi="Times New Roman" w:cs="Times New Roman"/>
          <w:sz w:val="24"/>
          <w:szCs w:val="24"/>
        </w:rPr>
        <w:t xml:space="preserve">2018 </w:t>
      </w:r>
      <w:r>
        <w:rPr>
          <w:rFonts w:ascii="Times New Roman" w:hAnsi="Times New Roman" w:cs="Times New Roman"/>
          <w:sz w:val="24"/>
          <w:szCs w:val="24"/>
        </w:rPr>
        <w:t>de</w:t>
      </w:r>
      <w:r w:rsidR="00F878E5">
        <w:rPr>
          <w:rFonts w:ascii="Times New Roman" w:hAnsi="Times New Roman" w:cs="Times New Roman"/>
          <w:sz w:val="24"/>
          <w:szCs w:val="24"/>
        </w:rPr>
        <w:t>s</w:t>
      </w:r>
      <w:r>
        <w:rPr>
          <w:rFonts w:ascii="Times New Roman" w:hAnsi="Times New Roman" w:cs="Times New Roman"/>
          <w:sz w:val="24"/>
          <w:szCs w:val="24"/>
        </w:rPr>
        <w:t xml:space="preserve">cribed the letter of </w:t>
      </w:r>
      <w:r w:rsidR="006345FA">
        <w:rPr>
          <w:rFonts w:ascii="Times New Roman" w:hAnsi="Times New Roman" w:cs="Times New Roman"/>
          <w:sz w:val="24"/>
          <w:szCs w:val="24"/>
        </w:rPr>
        <w:t xml:space="preserve">30 </w:t>
      </w:r>
      <w:r>
        <w:rPr>
          <w:rFonts w:ascii="Times New Roman" w:hAnsi="Times New Roman" w:cs="Times New Roman"/>
          <w:sz w:val="24"/>
          <w:szCs w:val="24"/>
        </w:rPr>
        <w:t xml:space="preserve">October </w:t>
      </w:r>
      <w:r w:rsidR="004022A4">
        <w:rPr>
          <w:rFonts w:ascii="Times New Roman" w:hAnsi="Times New Roman" w:cs="Times New Roman"/>
          <w:sz w:val="24"/>
          <w:szCs w:val="24"/>
        </w:rPr>
        <w:t xml:space="preserve">2018 </w:t>
      </w:r>
      <w:r>
        <w:rPr>
          <w:rFonts w:ascii="Times New Roman" w:hAnsi="Times New Roman" w:cs="Times New Roman"/>
          <w:sz w:val="24"/>
          <w:szCs w:val="24"/>
        </w:rPr>
        <w:t>as a ‘</w:t>
      </w:r>
      <w:r>
        <w:rPr>
          <w:rFonts w:ascii="Times New Roman" w:hAnsi="Times New Roman" w:cs="Times New Roman"/>
          <w:i/>
          <w:sz w:val="24"/>
          <w:szCs w:val="24"/>
        </w:rPr>
        <w:t xml:space="preserve">letter of objection’ </w:t>
      </w:r>
      <w:r w:rsidR="006345FA">
        <w:rPr>
          <w:rFonts w:ascii="Times New Roman" w:hAnsi="Times New Roman" w:cs="Times New Roman"/>
          <w:iCs/>
          <w:sz w:val="24"/>
          <w:szCs w:val="24"/>
        </w:rPr>
        <w:t xml:space="preserve">and </w:t>
      </w:r>
      <w:r>
        <w:rPr>
          <w:rFonts w:ascii="Times New Roman" w:hAnsi="Times New Roman" w:cs="Times New Roman"/>
          <w:sz w:val="24"/>
          <w:szCs w:val="24"/>
        </w:rPr>
        <w:t>not as a request to exercise the powers conferred by Article 83.  That letter stated that Arthropharm’s analysis of the sample of Ost</w:t>
      </w:r>
      <w:r w:rsidR="00F878E5">
        <w:rPr>
          <w:rFonts w:ascii="Times New Roman" w:hAnsi="Times New Roman" w:cs="Times New Roman"/>
          <w:sz w:val="24"/>
          <w:szCs w:val="24"/>
        </w:rPr>
        <w:t>e</w:t>
      </w:r>
      <w:r>
        <w:rPr>
          <w:rFonts w:ascii="Times New Roman" w:hAnsi="Times New Roman" w:cs="Times New Roman"/>
          <w:sz w:val="24"/>
          <w:szCs w:val="24"/>
        </w:rPr>
        <w:t>open it had by then obtained</w:t>
      </w:r>
      <w:r w:rsidR="00F878E5">
        <w:rPr>
          <w:rFonts w:ascii="Times New Roman" w:hAnsi="Times New Roman" w:cs="Times New Roman"/>
          <w:sz w:val="24"/>
          <w:szCs w:val="24"/>
        </w:rPr>
        <w:t xml:space="preserve"> enabled it to ‘</w:t>
      </w:r>
      <w:r w:rsidR="00F878E5">
        <w:rPr>
          <w:rFonts w:ascii="Times New Roman" w:hAnsi="Times New Roman" w:cs="Times New Roman"/>
          <w:i/>
          <w:sz w:val="24"/>
          <w:szCs w:val="24"/>
        </w:rPr>
        <w:t xml:space="preserve">confirm’ </w:t>
      </w:r>
      <w:r w:rsidR="00F878E5">
        <w:rPr>
          <w:rFonts w:ascii="Times New Roman" w:hAnsi="Times New Roman" w:cs="Times New Roman"/>
          <w:sz w:val="24"/>
          <w:szCs w:val="24"/>
        </w:rPr>
        <w:t>that there were major structural differences between Osteopen and the reference product.  The remainder of the letter elaborated upon that confirmation.  The letter was thus, again, directed to the objection to the original decision (‘</w:t>
      </w:r>
      <w:r w:rsidR="00F878E5">
        <w:rPr>
          <w:rFonts w:ascii="Times New Roman" w:hAnsi="Times New Roman" w:cs="Times New Roman"/>
          <w:i/>
          <w:sz w:val="24"/>
          <w:szCs w:val="24"/>
        </w:rPr>
        <w:t>should not have been registered as a generic’, ‘the regulator’s decision should be reviewed’, ‘a full review of risk analysis was not conducted’</w:t>
      </w:r>
      <w:r w:rsidR="00F878E5">
        <w:rPr>
          <w:rFonts w:ascii="Times New Roman" w:hAnsi="Times New Roman" w:cs="Times New Roman"/>
          <w:sz w:val="24"/>
          <w:szCs w:val="24"/>
        </w:rPr>
        <w:t>).</w:t>
      </w:r>
      <w:r w:rsidR="00F878E5">
        <w:rPr>
          <w:rFonts w:ascii="Times New Roman" w:hAnsi="Times New Roman" w:cs="Times New Roman"/>
          <w:i/>
          <w:sz w:val="24"/>
          <w:szCs w:val="24"/>
        </w:rPr>
        <w:t xml:space="preserve">  </w:t>
      </w:r>
      <w:r w:rsidR="00F878E5">
        <w:rPr>
          <w:rFonts w:ascii="Times New Roman" w:hAnsi="Times New Roman" w:cs="Times New Roman"/>
          <w:sz w:val="24"/>
          <w:szCs w:val="24"/>
        </w:rPr>
        <w:t xml:space="preserve">While withdrawal of the product was </w:t>
      </w:r>
      <w:r w:rsidR="00F878E5">
        <w:rPr>
          <w:rFonts w:ascii="Times New Roman" w:hAnsi="Times New Roman" w:cs="Times New Roman"/>
          <w:sz w:val="24"/>
          <w:szCs w:val="24"/>
        </w:rPr>
        <w:lastRenderedPageBreak/>
        <w:t xml:space="preserve">requested pending further analysis there was, once again, no reference made to Article 83 nor </w:t>
      </w:r>
      <w:r w:rsidR="00EE1987">
        <w:rPr>
          <w:rFonts w:ascii="Times New Roman" w:hAnsi="Times New Roman" w:cs="Times New Roman"/>
          <w:sz w:val="24"/>
          <w:szCs w:val="24"/>
        </w:rPr>
        <w:t xml:space="preserve">even to the grounds referred to in that provision </w:t>
      </w:r>
      <w:r w:rsidR="00F878E5">
        <w:rPr>
          <w:rFonts w:ascii="Times New Roman" w:hAnsi="Times New Roman" w:cs="Times New Roman"/>
          <w:sz w:val="24"/>
          <w:szCs w:val="24"/>
        </w:rPr>
        <w:t xml:space="preserve">on which </w:t>
      </w:r>
      <w:r w:rsidR="00EE1987">
        <w:rPr>
          <w:rFonts w:ascii="Times New Roman" w:hAnsi="Times New Roman" w:cs="Times New Roman"/>
          <w:sz w:val="24"/>
          <w:szCs w:val="24"/>
        </w:rPr>
        <w:t xml:space="preserve">it is claimed that </w:t>
      </w:r>
      <w:r w:rsidR="00F878E5">
        <w:rPr>
          <w:rFonts w:ascii="Times New Roman" w:hAnsi="Times New Roman" w:cs="Times New Roman"/>
          <w:sz w:val="24"/>
          <w:szCs w:val="24"/>
        </w:rPr>
        <w:t xml:space="preserve">that </w:t>
      </w:r>
      <w:r w:rsidR="00983D0E">
        <w:rPr>
          <w:rFonts w:ascii="Times New Roman" w:hAnsi="Times New Roman" w:cs="Times New Roman"/>
          <w:sz w:val="24"/>
          <w:szCs w:val="24"/>
        </w:rPr>
        <w:t xml:space="preserve">power </w:t>
      </w:r>
      <w:r w:rsidR="00F878E5">
        <w:rPr>
          <w:rFonts w:ascii="Times New Roman" w:hAnsi="Times New Roman" w:cs="Times New Roman"/>
          <w:sz w:val="24"/>
          <w:szCs w:val="24"/>
        </w:rPr>
        <w:t>ought to have been activated.</w:t>
      </w:r>
    </w:p>
    <w:p w14:paraId="032F4679" w14:textId="77777777" w:rsidR="00F878E5" w:rsidRPr="00F878E5" w:rsidRDefault="00F878E5" w:rsidP="003E1C16">
      <w:pPr>
        <w:pStyle w:val="ListParagraph"/>
        <w:ind w:hanging="502"/>
        <w:rPr>
          <w:rFonts w:ascii="Times New Roman" w:hAnsi="Times New Roman" w:cs="Times New Roman"/>
          <w:sz w:val="24"/>
          <w:szCs w:val="24"/>
        </w:rPr>
      </w:pPr>
    </w:p>
    <w:p w14:paraId="47AF4BAD" w14:textId="44483DE9" w:rsidR="00610BBE" w:rsidRPr="005A091D" w:rsidRDefault="00F878E5" w:rsidP="003E1C16">
      <w:pPr>
        <w:pStyle w:val="ListParagraph"/>
        <w:numPr>
          <w:ilvl w:val="0"/>
          <w:numId w:val="1"/>
        </w:numPr>
        <w:spacing w:before="240" w:line="480" w:lineRule="auto"/>
        <w:ind w:hanging="502"/>
        <w:jc w:val="both"/>
        <w:rPr>
          <w:rFonts w:ascii="Times New Roman" w:hAnsi="Times New Roman" w:cs="Times New Roman"/>
          <w:b/>
          <w:sz w:val="24"/>
          <w:szCs w:val="24"/>
        </w:rPr>
      </w:pPr>
      <w:r>
        <w:rPr>
          <w:rFonts w:ascii="Times New Roman" w:hAnsi="Times New Roman" w:cs="Times New Roman"/>
          <w:sz w:val="24"/>
          <w:szCs w:val="24"/>
        </w:rPr>
        <w:t xml:space="preserve"> </w:t>
      </w:r>
      <w:r w:rsidR="00610BBE">
        <w:rPr>
          <w:rFonts w:ascii="Times New Roman" w:hAnsi="Times New Roman" w:cs="Times New Roman"/>
          <w:sz w:val="24"/>
          <w:szCs w:val="24"/>
        </w:rPr>
        <w:t xml:space="preserve">HPRA’s solicitors </w:t>
      </w:r>
      <w:r w:rsidR="0001249B">
        <w:rPr>
          <w:rFonts w:ascii="Times New Roman" w:hAnsi="Times New Roman" w:cs="Times New Roman"/>
          <w:sz w:val="24"/>
          <w:szCs w:val="24"/>
        </w:rPr>
        <w:t xml:space="preserve">in their letter </w:t>
      </w:r>
      <w:r w:rsidR="00610BBE">
        <w:rPr>
          <w:rFonts w:ascii="Times New Roman" w:hAnsi="Times New Roman" w:cs="Times New Roman"/>
          <w:sz w:val="24"/>
          <w:szCs w:val="24"/>
        </w:rPr>
        <w:t>of</w:t>
      </w:r>
      <w:r w:rsidR="006345FA">
        <w:rPr>
          <w:rFonts w:ascii="Times New Roman" w:hAnsi="Times New Roman" w:cs="Times New Roman"/>
          <w:sz w:val="24"/>
          <w:szCs w:val="24"/>
        </w:rPr>
        <w:t xml:space="preserve"> 19</w:t>
      </w:r>
      <w:r w:rsidR="00610BBE">
        <w:rPr>
          <w:rFonts w:ascii="Times New Roman" w:hAnsi="Times New Roman" w:cs="Times New Roman"/>
          <w:sz w:val="24"/>
          <w:szCs w:val="24"/>
        </w:rPr>
        <w:t xml:space="preserve"> December </w:t>
      </w:r>
      <w:r w:rsidR="004022A4">
        <w:rPr>
          <w:rFonts w:ascii="Times New Roman" w:hAnsi="Times New Roman" w:cs="Times New Roman"/>
          <w:sz w:val="24"/>
          <w:szCs w:val="24"/>
        </w:rPr>
        <w:t xml:space="preserve">2018 </w:t>
      </w:r>
      <w:r w:rsidR="00610BBE">
        <w:rPr>
          <w:rFonts w:ascii="Times New Roman" w:hAnsi="Times New Roman" w:cs="Times New Roman"/>
          <w:sz w:val="24"/>
          <w:szCs w:val="24"/>
        </w:rPr>
        <w:t xml:space="preserve">reiterated that the Directive did not require that the generic product and the reference product be identical, merely that they have the same qualitative and quantitative composition in active substances as the reference product.  </w:t>
      </w:r>
      <w:r w:rsidR="00372233">
        <w:rPr>
          <w:rFonts w:ascii="Times New Roman" w:hAnsi="Times New Roman" w:cs="Times New Roman"/>
          <w:sz w:val="24"/>
          <w:szCs w:val="24"/>
        </w:rPr>
        <w:t xml:space="preserve">By this point </w:t>
      </w:r>
      <w:r w:rsidR="00610BBE">
        <w:rPr>
          <w:rFonts w:ascii="Times New Roman" w:hAnsi="Times New Roman" w:cs="Times New Roman"/>
          <w:sz w:val="24"/>
          <w:szCs w:val="24"/>
        </w:rPr>
        <w:t xml:space="preserve">Arthropharm’s solicitors </w:t>
      </w:r>
      <w:r w:rsidR="00372233">
        <w:rPr>
          <w:rFonts w:ascii="Times New Roman" w:hAnsi="Times New Roman" w:cs="Times New Roman"/>
          <w:sz w:val="24"/>
          <w:szCs w:val="24"/>
        </w:rPr>
        <w:t xml:space="preserve">appear to have been approaching the matter on the basis that because </w:t>
      </w:r>
      <w:r w:rsidR="00983D0E">
        <w:rPr>
          <w:rFonts w:ascii="Times New Roman" w:hAnsi="Times New Roman" w:cs="Times New Roman"/>
          <w:sz w:val="24"/>
          <w:szCs w:val="24"/>
        </w:rPr>
        <w:t>Arthropharm</w:t>
      </w:r>
      <w:r w:rsidR="00372233">
        <w:rPr>
          <w:rFonts w:ascii="Times New Roman" w:hAnsi="Times New Roman" w:cs="Times New Roman"/>
          <w:sz w:val="24"/>
          <w:szCs w:val="24"/>
        </w:rPr>
        <w:t xml:space="preserve"> had had neither involvement or notice of the process leading to the decision of</w:t>
      </w:r>
      <w:r w:rsidR="006345FA">
        <w:rPr>
          <w:rFonts w:ascii="Times New Roman" w:hAnsi="Times New Roman" w:cs="Times New Roman"/>
          <w:sz w:val="24"/>
          <w:szCs w:val="24"/>
        </w:rPr>
        <w:t xml:space="preserve"> 20</w:t>
      </w:r>
      <w:r w:rsidR="00372233">
        <w:rPr>
          <w:rFonts w:ascii="Times New Roman" w:hAnsi="Times New Roman" w:cs="Times New Roman"/>
          <w:sz w:val="24"/>
          <w:szCs w:val="24"/>
        </w:rPr>
        <w:t xml:space="preserve"> July</w:t>
      </w:r>
      <w:r w:rsidR="004022A4">
        <w:rPr>
          <w:rFonts w:ascii="Times New Roman" w:hAnsi="Times New Roman" w:cs="Times New Roman"/>
          <w:sz w:val="24"/>
          <w:szCs w:val="24"/>
        </w:rPr>
        <w:t xml:space="preserve"> 2018</w:t>
      </w:r>
      <w:r w:rsidR="00372233">
        <w:rPr>
          <w:rFonts w:ascii="Times New Roman" w:hAnsi="Times New Roman" w:cs="Times New Roman"/>
          <w:sz w:val="24"/>
          <w:szCs w:val="24"/>
        </w:rPr>
        <w:t xml:space="preserve">, </w:t>
      </w:r>
      <w:r w:rsidR="00983D0E">
        <w:rPr>
          <w:rFonts w:ascii="Times New Roman" w:hAnsi="Times New Roman" w:cs="Times New Roman"/>
          <w:sz w:val="24"/>
          <w:szCs w:val="24"/>
        </w:rPr>
        <w:t xml:space="preserve">it </w:t>
      </w:r>
      <w:r w:rsidR="00372233">
        <w:rPr>
          <w:rFonts w:ascii="Times New Roman" w:hAnsi="Times New Roman" w:cs="Times New Roman"/>
          <w:sz w:val="24"/>
          <w:szCs w:val="24"/>
        </w:rPr>
        <w:t xml:space="preserve">now had a right to apply to HPRA </w:t>
      </w:r>
      <w:r w:rsidR="006345FA">
        <w:rPr>
          <w:rFonts w:ascii="Times New Roman" w:hAnsi="Times New Roman" w:cs="Times New Roman"/>
          <w:sz w:val="24"/>
          <w:szCs w:val="24"/>
        </w:rPr>
        <w:t xml:space="preserve">to </w:t>
      </w:r>
      <w:r w:rsidR="00372233">
        <w:rPr>
          <w:rFonts w:ascii="Times New Roman" w:hAnsi="Times New Roman" w:cs="Times New Roman"/>
          <w:sz w:val="24"/>
          <w:szCs w:val="24"/>
        </w:rPr>
        <w:t>have that decision reopened</w:t>
      </w:r>
      <w:r w:rsidR="007500E6">
        <w:rPr>
          <w:rFonts w:ascii="Times New Roman" w:hAnsi="Times New Roman" w:cs="Times New Roman"/>
          <w:sz w:val="24"/>
          <w:szCs w:val="24"/>
        </w:rPr>
        <w:t xml:space="preserve"> and, indeed, the grounds on which that review was sought </w:t>
      </w:r>
      <w:r w:rsidR="00983D0E">
        <w:rPr>
          <w:rFonts w:ascii="Times New Roman" w:hAnsi="Times New Roman" w:cs="Times New Roman"/>
          <w:sz w:val="24"/>
          <w:szCs w:val="24"/>
        </w:rPr>
        <w:t>include t</w:t>
      </w:r>
      <w:r w:rsidR="007500E6">
        <w:rPr>
          <w:rFonts w:ascii="Times New Roman" w:hAnsi="Times New Roman" w:cs="Times New Roman"/>
          <w:sz w:val="24"/>
          <w:szCs w:val="24"/>
        </w:rPr>
        <w:t xml:space="preserve">he grounds on which the decision of </w:t>
      </w:r>
      <w:r w:rsidR="004022A4">
        <w:rPr>
          <w:rFonts w:ascii="Times New Roman" w:hAnsi="Times New Roman" w:cs="Times New Roman"/>
          <w:sz w:val="24"/>
          <w:szCs w:val="24"/>
        </w:rPr>
        <w:t xml:space="preserve">20 </w:t>
      </w:r>
      <w:r w:rsidR="007500E6">
        <w:rPr>
          <w:rFonts w:ascii="Times New Roman" w:hAnsi="Times New Roman" w:cs="Times New Roman"/>
          <w:sz w:val="24"/>
          <w:szCs w:val="24"/>
        </w:rPr>
        <w:t xml:space="preserve">July </w:t>
      </w:r>
      <w:r w:rsidR="004022A4">
        <w:rPr>
          <w:rFonts w:ascii="Times New Roman" w:hAnsi="Times New Roman" w:cs="Times New Roman"/>
          <w:sz w:val="24"/>
          <w:szCs w:val="24"/>
        </w:rPr>
        <w:t xml:space="preserve">2018 </w:t>
      </w:r>
      <w:r w:rsidR="007500E6">
        <w:rPr>
          <w:rFonts w:ascii="Times New Roman" w:hAnsi="Times New Roman" w:cs="Times New Roman"/>
          <w:sz w:val="24"/>
          <w:szCs w:val="24"/>
        </w:rPr>
        <w:t xml:space="preserve">is </w:t>
      </w:r>
      <w:r w:rsidR="00983D0E">
        <w:rPr>
          <w:rFonts w:ascii="Times New Roman" w:hAnsi="Times New Roman" w:cs="Times New Roman"/>
          <w:sz w:val="24"/>
          <w:szCs w:val="24"/>
        </w:rPr>
        <w:t xml:space="preserve">now </w:t>
      </w:r>
      <w:r w:rsidR="007500E6">
        <w:rPr>
          <w:rFonts w:ascii="Times New Roman" w:hAnsi="Times New Roman" w:cs="Times New Roman"/>
          <w:sz w:val="24"/>
          <w:szCs w:val="24"/>
        </w:rPr>
        <w:t>challenged</w:t>
      </w:r>
      <w:r w:rsidR="00983D0E">
        <w:rPr>
          <w:rFonts w:ascii="Times New Roman" w:hAnsi="Times New Roman" w:cs="Times New Roman"/>
          <w:sz w:val="24"/>
          <w:szCs w:val="24"/>
        </w:rPr>
        <w:t xml:space="preserve"> in this action</w:t>
      </w:r>
      <w:r w:rsidR="007500E6">
        <w:rPr>
          <w:rFonts w:ascii="Times New Roman" w:hAnsi="Times New Roman" w:cs="Times New Roman"/>
          <w:sz w:val="24"/>
          <w:szCs w:val="24"/>
        </w:rPr>
        <w:t xml:space="preserve">. </w:t>
      </w:r>
      <w:r w:rsidR="00372233">
        <w:rPr>
          <w:rFonts w:ascii="Times New Roman" w:hAnsi="Times New Roman" w:cs="Times New Roman"/>
          <w:sz w:val="24"/>
          <w:szCs w:val="24"/>
        </w:rPr>
        <w:t>This was not correct: the procedure for grant of the authorisation is bilateral and upon</w:t>
      </w:r>
      <w:r w:rsidR="006345FA">
        <w:rPr>
          <w:rFonts w:ascii="Times New Roman" w:hAnsi="Times New Roman" w:cs="Times New Roman"/>
          <w:sz w:val="24"/>
          <w:szCs w:val="24"/>
        </w:rPr>
        <w:t xml:space="preserve"> a</w:t>
      </w:r>
      <w:r w:rsidR="00372233">
        <w:rPr>
          <w:rFonts w:ascii="Times New Roman" w:hAnsi="Times New Roman" w:cs="Times New Roman"/>
          <w:sz w:val="24"/>
          <w:szCs w:val="24"/>
        </w:rPr>
        <w:t xml:space="preserve"> grant </w:t>
      </w:r>
      <w:r w:rsidR="0001249B">
        <w:rPr>
          <w:rFonts w:ascii="Times New Roman" w:hAnsi="Times New Roman" w:cs="Times New Roman"/>
          <w:sz w:val="24"/>
          <w:szCs w:val="24"/>
        </w:rPr>
        <w:t>the decision</w:t>
      </w:r>
      <w:r w:rsidR="002B2384">
        <w:rPr>
          <w:rFonts w:ascii="Times New Roman" w:hAnsi="Times New Roman" w:cs="Times New Roman"/>
          <w:sz w:val="24"/>
          <w:szCs w:val="24"/>
        </w:rPr>
        <w:t xml:space="preserve"> in</w:t>
      </w:r>
      <w:r w:rsidR="0001249B">
        <w:rPr>
          <w:rFonts w:ascii="Times New Roman" w:hAnsi="Times New Roman" w:cs="Times New Roman"/>
          <w:sz w:val="24"/>
          <w:szCs w:val="24"/>
        </w:rPr>
        <w:t xml:space="preserve"> </w:t>
      </w:r>
      <w:r w:rsidR="00372233">
        <w:rPr>
          <w:rFonts w:ascii="Times New Roman" w:hAnsi="Times New Roman" w:cs="Times New Roman"/>
          <w:i/>
          <w:sz w:val="24"/>
          <w:szCs w:val="24"/>
        </w:rPr>
        <w:t xml:space="preserve">Olainfarm </w:t>
      </w:r>
      <w:r w:rsidR="00372233">
        <w:rPr>
          <w:rFonts w:ascii="Times New Roman" w:hAnsi="Times New Roman" w:cs="Times New Roman"/>
          <w:sz w:val="24"/>
          <w:szCs w:val="24"/>
        </w:rPr>
        <w:t>makes it clear that if Arthropharm had any right of complaint it arose from Article 47 of the Charter and in this jurisdiction that is enabled by judicial review proceedings.  So when, as they did i</w:t>
      </w:r>
      <w:r w:rsidR="00610BBE">
        <w:rPr>
          <w:rFonts w:ascii="Times New Roman" w:hAnsi="Times New Roman" w:cs="Times New Roman"/>
          <w:sz w:val="24"/>
          <w:szCs w:val="24"/>
        </w:rPr>
        <w:t>n their letter dated 19 Decembe</w:t>
      </w:r>
      <w:r w:rsidR="00372233">
        <w:rPr>
          <w:rFonts w:ascii="Times New Roman" w:hAnsi="Times New Roman" w:cs="Times New Roman"/>
          <w:sz w:val="24"/>
          <w:szCs w:val="24"/>
        </w:rPr>
        <w:t>r</w:t>
      </w:r>
      <w:r w:rsidR="004022A4">
        <w:rPr>
          <w:rFonts w:ascii="Times New Roman" w:hAnsi="Times New Roman" w:cs="Times New Roman"/>
          <w:sz w:val="24"/>
          <w:szCs w:val="24"/>
        </w:rPr>
        <w:t xml:space="preserve"> 2018</w:t>
      </w:r>
      <w:r w:rsidR="00372233">
        <w:rPr>
          <w:rFonts w:ascii="Times New Roman" w:hAnsi="Times New Roman" w:cs="Times New Roman"/>
          <w:sz w:val="24"/>
          <w:szCs w:val="24"/>
        </w:rPr>
        <w:t xml:space="preserve">, they </w:t>
      </w:r>
      <w:r w:rsidR="00610BBE">
        <w:rPr>
          <w:rFonts w:ascii="Times New Roman" w:hAnsi="Times New Roman" w:cs="Times New Roman"/>
          <w:sz w:val="24"/>
          <w:szCs w:val="24"/>
        </w:rPr>
        <w:t>described the parties as being, at that point, engaged in an ‘</w:t>
      </w:r>
      <w:r w:rsidR="00610BBE">
        <w:rPr>
          <w:rFonts w:ascii="Times New Roman" w:hAnsi="Times New Roman" w:cs="Times New Roman"/>
          <w:i/>
          <w:sz w:val="24"/>
          <w:szCs w:val="24"/>
        </w:rPr>
        <w:t xml:space="preserve">ongoing consultation process’ </w:t>
      </w:r>
      <w:r w:rsidR="00610BBE">
        <w:rPr>
          <w:rFonts w:ascii="Times New Roman" w:hAnsi="Times New Roman" w:cs="Times New Roman"/>
          <w:sz w:val="24"/>
          <w:szCs w:val="24"/>
        </w:rPr>
        <w:t>that does not appear to me to be a</w:t>
      </w:r>
      <w:r w:rsidR="00372233">
        <w:rPr>
          <w:rFonts w:ascii="Times New Roman" w:hAnsi="Times New Roman" w:cs="Times New Roman"/>
          <w:sz w:val="24"/>
          <w:szCs w:val="24"/>
        </w:rPr>
        <w:t xml:space="preserve"> legally accurate</w:t>
      </w:r>
      <w:r w:rsidR="00610BBE">
        <w:rPr>
          <w:rFonts w:ascii="Times New Roman" w:hAnsi="Times New Roman" w:cs="Times New Roman"/>
          <w:sz w:val="24"/>
          <w:szCs w:val="24"/>
        </w:rPr>
        <w:t xml:space="preserve"> description of where matters stood: HPRA had made a decision, Arthropharm had requested that the decision be reviewed, and HPRA had refused to do so.</w:t>
      </w:r>
      <w:r>
        <w:rPr>
          <w:rFonts w:ascii="Times New Roman" w:hAnsi="Times New Roman" w:cs="Times New Roman"/>
          <w:sz w:val="24"/>
          <w:szCs w:val="24"/>
        </w:rPr>
        <w:t xml:space="preserve"> </w:t>
      </w:r>
    </w:p>
    <w:p w14:paraId="2AF6FCC6" w14:textId="77777777" w:rsidR="005A091D" w:rsidRDefault="005A091D" w:rsidP="003E1C16">
      <w:pPr>
        <w:pStyle w:val="ListParagraph"/>
        <w:spacing w:before="240" w:line="480" w:lineRule="auto"/>
        <w:ind w:left="786" w:hanging="502"/>
        <w:jc w:val="both"/>
        <w:rPr>
          <w:rFonts w:ascii="Times New Roman" w:hAnsi="Times New Roman" w:cs="Times New Roman"/>
          <w:b/>
          <w:sz w:val="24"/>
          <w:szCs w:val="24"/>
        </w:rPr>
      </w:pPr>
      <w:r>
        <w:rPr>
          <w:rFonts w:ascii="Times New Roman" w:hAnsi="Times New Roman" w:cs="Times New Roman"/>
          <w:b/>
          <w:sz w:val="24"/>
          <w:szCs w:val="24"/>
        </w:rPr>
        <w:t xml:space="preserve">  </w:t>
      </w:r>
    </w:p>
    <w:p w14:paraId="604C0900" w14:textId="020F6995" w:rsidR="004F2784" w:rsidRPr="004F2784" w:rsidRDefault="005A091D" w:rsidP="003E1C16">
      <w:pPr>
        <w:pStyle w:val="ListParagraph"/>
        <w:numPr>
          <w:ilvl w:val="0"/>
          <w:numId w:val="1"/>
        </w:numPr>
        <w:spacing w:before="240" w:line="480" w:lineRule="auto"/>
        <w:ind w:hanging="502"/>
        <w:jc w:val="both"/>
        <w:rPr>
          <w:rFonts w:ascii="Times New Roman" w:hAnsi="Times New Roman" w:cs="Times New Roman"/>
          <w:b/>
          <w:sz w:val="24"/>
          <w:szCs w:val="24"/>
        </w:rPr>
      </w:pPr>
      <w:r>
        <w:rPr>
          <w:rFonts w:ascii="Times New Roman" w:hAnsi="Times New Roman" w:cs="Times New Roman"/>
          <w:sz w:val="24"/>
          <w:szCs w:val="24"/>
        </w:rPr>
        <w:t xml:space="preserve">The letter from Arthropharm’s solicitors of </w:t>
      </w:r>
      <w:r w:rsidR="00F34539">
        <w:rPr>
          <w:rFonts w:ascii="Times New Roman" w:hAnsi="Times New Roman" w:cs="Times New Roman"/>
          <w:sz w:val="24"/>
          <w:szCs w:val="24"/>
        </w:rPr>
        <w:t xml:space="preserve">4 </w:t>
      </w:r>
      <w:r w:rsidR="009F52E5">
        <w:rPr>
          <w:rFonts w:ascii="Times New Roman" w:hAnsi="Times New Roman" w:cs="Times New Roman"/>
          <w:sz w:val="24"/>
          <w:szCs w:val="24"/>
        </w:rPr>
        <w:t>January</w:t>
      </w:r>
      <w:r w:rsidR="00B50FF3">
        <w:rPr>
          <w:rFonts w:ascii="Times New Roman" w:hAnsi="Times New Roman" w:cs="Times New Roman"/>
          <w:sz w:val="24"/>
          <w:szCs w:val="24"/>
        </w:rPr>
        <w:t xml:space="preserve"> </w:t>
      </w:r>
      <w:r w:rsidR="004022A4">
        <w:rPr>
          <w:rFonts w:ascii="Times New Roman" w:hAnsi="Times New Roman" w:cs="Times New Roman"/>
          <w:sz w:val="24"/>
          <w:szCs w:val="24"/>
        </w:rPr>
        <w:t xml:space="preserve">2019 </w:t>
      </w:r>
      <w:r w:rsidR="00B50FF3">
        <w:rPr>
          <w:rFonts w:ascii="Times New Roman" w:hAnsi="Times New Roman" w:cs="Times New Roman"/>
          <w:sz w:val="24"/>
          <w:szCs w:val="24"/>
        </w:rPr>
        <w:t xml:space="preserve">did not purport to present any new request to HPRA, being instead a response to HPRA’s reply of </w:t>
      </w:r>
      <w:r w:rsidR="00F34539">
        <w:rPr>
          <w:rFonts w:ascii="Times New Roman" w:hAnsi="Times New Roman" w:cs="Times New Roman"/>
          <w:sz w:val="24"/>
          <w:szCs w:val="24"/>
        </w:rPr>
        <w:t xml:space="preserve">30 </w:t>
      </w:r>
      <w:r w:rsidR="00B50FF3">
        <w:rPr>
          <w:rFonts w:ascii="Times New Roman" w:hAnsi="Times New Roman" w:cs="Times New Roman"/>
          <w:sz w:val="24"/>
          <w:szCs w:val="24"/>
        </w:rPr>
        <w:t xml:space="preserve">October </w:t>
      </w:r>
      <w:r w:rsidR="004022A4">
        <w:rPr>
          <w:rFonts w:ascii="Times New Roman" w:hAnsi="Times New Roman" w:cs="Times New Roman"/>
          <w:sz w:val="24"/>
          <w:szCs w:val="24"/>
        </w:rPr>
        <w:t xml:space="preserve">2018 </w:t>
      </w:r>
      <w:r w:rsidR="00B50FF3">
        <w:rPr>
          <w:rFonts w:ascii="Times New Roman" w:hAnsi="Times New Roman" w:cs="Times New Roman"/>
          <w:sz w:val="24"/>
          <w:szCs w:val="24"/>
        </w:rPr>
        <w:t>to the ‘</w:t>
      </w:r>
      <w:r w:rsidR="00B50FF3">
        <w:rPr>
          <w:rFonts w:ascii="Times New Roman" w:hAnsi="Times New Roman" w:cs="Times New Roman"/>
          <w:i/>
          <w:sz w:val="24"/>
          <w:szCs w:val="24"/>
        </w:rPr>
        <w:t xml:space="preserve">objection’ </w:t>
      </w:r>
      <w:r w:rsidR="00B50FF3">
        <w:rPr>
          <w:rFonts w:ascii="Times New Roman" w:hAnsi="Times New Roman" w:cs="Times New Roman"/>
          <w:sz w:val="24"/>
          <w:szCs w:val="24"/>
        </w:rPr>
        <w:t xml:space="preserve">of </w:t>
      </w:r>
      <w:r w:rsidR="00F34539">
        <w:rPr>
          <w:rFonts w:ascii="Times New Roman" w:hAnsi="Times New Roman" w:cs="Times New Roman"/>
          <w:sz w:val="24"/>
          <w:szCs w:val="24"/>
        </w:rPr>
        <w:t xml:space="preserve">12 </w:t>
      </w:r>
      <w:r w:rsidR="00B50FF3">
        <w:rPr>
          <w:rFonts w:ascii="Times New Roman" w:hAnsi="Times New Roman" w:cs="Times New Roman"/>
          <w:sz w:val="24"/>
          <w:szCs w:val="24"/>
        </w:rPr>
        <w:t>October</w:t>
      </w:r>
      <w:r w:rsidR="004022A4">
        <w:rPr>
          <w:rFonts w:ascii="Times New Roman" w:hAnsi="Times New Roman" w:cs="Times New Roman"/>
          <w:sz w:val="24"/>
          <w:szCs w:val="24"/>
        </w:rPr>
        <w:t xml:space="preserve"> 2018</w:t>
      </w:r>
      <w:r w:rsidR="00B50FF3">
        <w:rPr>
          <w:rFonts w:ascii="Times New Roman" w:hAnsi="Times New Roman" w:cs="Times New Roman"/>
          <w:sz w:val="24"/>
          <w:szCs w:val="24"/>
        </w:rPr>
        <w:t xml:space="preserve">.  </w:t>
      </w:r>
      <w:r w:rsidR="00372233">
        <w:rPr>
          <w:rFonts w:ascii="Times New Roman" w:hAnsi="Times New Roman" w:cs="Times New Roman"/>
          <w:sz w:val="24"/>
          <w:szCs w:val="24"/>
        </w:rPr>
        <w:t xml:space="preserve">Thus, it was focussed entirely on Article </w:t>
      </w:r>
      <w:r w:rsidR="00372233">
        <w:rPr>
          <w:rFonts w:ascii="Times New Roman" w:hAnsi="Times New Roman" w:cs="Times New Roman"/>
          <w:sz w:val="24"/>
          <w:szCs w:val="24"/>
        </w:rPr>
        <w:lastRenderedPageBreak/>
        <w:t xml:space="preserve">13 and </w:t>
      </w:r>
      <w:r>
        <w:rPr>
          <w:rFonts w:ascii="Times New Roman" w:hAnsi="Times New Roman" w:cs="Times New Roman"/>
          <w:sz w:val="24"/>
          <w:szCs w:val="24"/>
        </w:rPr>
        <w:t xml:space="preserve">made the same essential point, and reiterated the same basic request, albeit with additional information and argument.  </w:t>
      </w:r>
      <w:r w:rsidR="004F2784">
        <w:rPr>
          <w:rFonts w:ascii="Times New Roman" w:hAnsi="Times New Roman" w:cs="Times New Roman"/>
          <w:sz w:val="24"/>
          <w:szCs w:val="24"/>
        </w:rPr>
        <w:t>It said:</w:t>
      </w:r>
    </w:p>
    <w:p w14:paraId="6002335E" w14:textId="77777777" w:rsidR="004F2784" w:rsidRPr="004F2784" w:rsidRDefault="004F2784" w:rsidP="004F2784">
      <w:pPr>
        <w:pStyle w:val="ListParagraph"/>
        <w:rPr>
          <w:rFonts w:ascii="Times New Roman" w:hAnsi="Times New Roman" w:cs="Times New Roman"/>
          <w:sz w:val="24"/>
          <w:szCs w:val="24"/>
        </w:rPr>
      </w:pPr>
    </w:p>
    <w:p w14:paraId="4F798C57" w14:textId="77777777" w:rsidR="004F2784" w:rsidRPr="004F2784" w:rsidRDefault="004F2784" w:rsidP="004F2784">
      <w:pPr>
        <w:pStyle w:val="ListParagraph"/>
        <w:spacing w:before="240" w:line="480" w:lineRule="auto"/>
        <w:ind w:left="1440"/>
        <w:jc w:val="both"/>
        <w:rPr>
          <w:rFonts w:ascii="Times New Roman" w:hAnsi="Times New Roman" w:cs="Times New Roman"/>
          <w:b/>
          <w:sz w:val="24"/>
          <w:szCs w:val="24"/>
        </w:rPr>
      </w:pPr>
      <w:r>
        <w:rPr>
          <w:rFonts w:ascii="Times New Roman" w:hAnsi="Times New Roman" w:cs="Times New Roman"/>
          <w:sz w:val="24"/>
          <w:szCs w:val="24"/>
        </w:rPr>
        <w:t>‘</w:t>
      </w:r>
      <w:r>
        <w:rPr>
          <w:rFonts w:ascii="Times New Roman" w:hAnsi="Times New Roman" w:cs="Times New Roman"/>
          <w:i/>
          <w:sz w:val="24"/>
          <w:szCs w:val="24"/>
        </w:rPr>
        <w:t>it is incumbent on your client to carefully consider the analyses furnished under cover of our letter dated 18 December 2018 and the scientific literature identified by our client, which clearly establishes that the requisite pharmaceutical equivalence between Osteopen and Cartrophen to justify the use of the Article 13 procedure is not present’</w:t>
      </w:r>
      <w:r>
        <w:rPr>
          <w:rFonts w:ascii="Times New Roman" w:hAnsi="Times New Roman" w:cs="Times New Roman"/>
          <w:sz w:val="24"/>
          <w:szCs w:val="24"/>
        </w:rPr>
        <w:t xml:space="preserve">.  </w:t>
      </w:r>
    </w:p>
    <w:p w14:paraId="0509D4BA" w14:textId="77777777" w:rsidR="004F2784" w:rsidRPr="004F2784" w:rsidRDefault="004F2784" w:rsidP="004F2784">
      <w:pPr>
        <w:pStyle w:val="ListParagraph"/>
        <w:rPr>
          <w:rFonts w:ascii="Times New Roman" w:hAnsi="Times New Roman" w:cs="Times New Roman"/>
          <w:sz w:val="24"/>
          <w:szCs w:val="24"/>
        </w:rPr>
      </w:pPr>
    </w:p>
    <w:p w14:paraId="6532A55B" w14:textId="278CB639" w:rsidR="00B50FF3" w:rsidRPr="00B50FF3" w:rsidRDefault="005A091D" w:rsidP="003E1C16">
      <w:pPr>
        <w:pStyle w:val="ListParagraph"/>
        <w:numPr>
          <w:ilvl w:val="0"/>
          <w:numId w:val="1"/>
        </w:numPr>
        <w:spacing w:before="240" w:line="480" w:lineRule="auto"/>
        <w:ind w:hanging="502"/>
        <w:jc w:val="both"/>
        <w:rPr>
          <w:rFonts w:ascii="Times New Roman" w:hAnsi="Times New Roman" w:cs="Times New Roman"/>
          <w:b/>
          <w:sz w:val="24"/>
          <w:szCs w:val="24"/>
        </w:rPr>
      </w:pPr>
      <w:r>
        <w:rPr>
          <w:rFonts w:ascii="Times New Roman" w:hAnsi="Times New Roman" w:cs="Times New Roman"/>
          <w:sz w:val="24"/>
          <w:szCs w:val="24"/>
        </w:rPr>
        <w:t xml:space="preserve">Referring to material provided under </w:t>
      </w:r>
      <w:r w:rsidR="00B50FF3">
        <w:rPr>
          <w:rFonts w:ascii="Times New Roman" w:hAnsi="Times New Roman" w:cs="Times New Roman"/>
          <w:sz w:val="24"/>
          <w:szCs w:val="24"/>
        </w:rPr>
        <w:t>c</w:t>
      </w:r>
      <w:r>
        <w:rPr>
          <w:rFonts w:ascii="Times New Roman" w:hAnsi="Times New Roman" w:cs="Times New Roman"/>
          <w:sz w:val="24"/>
          <w:szCs w:val="24"/>
        </w:rPr>
        <w:t xml:space="preserve">over of their letter of </w:t>
      </w:r>
      <w:r w:rsidR="003F6ADA">
        <w:rPr>
          <w:rFonts w:ascii="Times New Roman" w:hAnsi="Times New Roman" w:cs="Times New Roman"/>
          <w:sz w:val="24"/>
          <w:szCs w:val="24"/>
        </w:rPr>
        <w:t xml:space="preserve">13 </w:t>
      </w:r>
      <w:r>
        <w:rPr>
          <w:rFonts w:ascii="Times New Roman" w:hAnsi="Times New Roman" w:cs="Times New Roman"/>
          <w:sz w:val="24"/>
          <w:szCs w:val="24"/>
        </w:rPr>
        <w:t xml:space="preserve">December </w:t>
      </w:r>
      <w:r w:rsidR="007740BA">
        <w:rPr>
          <w:rFonts w:ascii="Times New Roman" w:hAnsi="Times New Roman" w:cs="Times New Roman"/>
          <w:sz w:val="24"/>
          <w:szCs w:val="24"/>
        </w:rPr>
        <w:t xml:space="preserve">2018 </w:t>
      </w:r>
      <w:r>
        <w:rPr>
          <w:rFonts w:ascii="Times New Roman" w:hAnsi="Times New Roman" w:cs="Times New Roman"/>
          <w:sz w:val="24"/>
          <w:szCs w:val="24"/>
        </w:rPr>
        <w:t>they asserted ‘</w:t>
      </w:r>
      <w:r>
        <w:rPr>
          <w:rFonts w:ascii="Times New Roman" w:hAnsi="Times New Roman" w:cs="Times New Roman"/>
          <w:i/>
          <w:sz w:val="24"/>
          <w:szCs w:val="24"/>
        </w:rPr>
        <w:t xml:space="preserve">serious concerns … in relation to the safety and efficacy of </w:t>
      </w:r>
      <w:r w:rsidR="00F34539">
        <w:rPr>
          <w:rFonts w:ascii="Times New Roman" w:hAnsi="Times New Roman" w:cs="Times New Roman"/>
          <w:i/>
          <w:sz w:val="24"/>
          <w:szCs w:val="24"/>
        </w:rPr>
        <w:t>Osteopen</w:t>
      </w:r>
      <w:r>
        <w:rPr>
          <w:rFonts w:ascii="Times New Roman" w:hAnsi="Times New Roman" w:cs="Times New Roman"/>
          <w:i/>
          <w:sz w:val="24"/>
          <w:szCs w:val="24"/>
        </w:rPr>
        <w:t xml:space="preserve"> … until this material has been considered by your client and the appropriate scientific analysis carried out, the authorisation of Osteopen as a generic of </w:t>
      </w:r>
      <w:r w:rsidR="00F34539">
        <w:rPr>
          <w:rFonts w:ascii="Times New Roman" w:hAnsi="Times New Roman" w:cs="Times New Roman"/>
          <w:i/>
          <w:sz w:val="24"/>
          <w:szCs w:val="24"/>
        </w:rPr>
        <w:t>Cartrophen</w:t>
      </w:r>
      <w:r>
        <w:rPr>
          <w:rFonts w:ascii="Times New Roman" w:hAnsi="Times New Roman" w:cs="Times New Roman"/>
          <w:i/>
          <w:sz w:val="24"/>
          <w:szCs w:val="24"/>
        </w:rPr>
        <w:t xml:space="preserve"> should be suspended’</w:t>
      </w:r>
      <w:r>
        <w:rPr>
          <w:rFonts w:ascii="Times New Roman" w:hAnsi="Times New Roman" w:cs="Times New Roman"/>
          <w:sz w:val="24"/>
          <w:szCs w:val="24"/>
        </w:rPr>
        <w:t>.</w:t>
      </w:r>
      <w:r w:rsidR="009F52E5">
        <w:rPr>
          <w:rFonts w:ascii="Times New Roman" w:hAnsi="Times New Roman" w:cs="Times New Roman"/>
          <w:sz w:val="24"/>
          <w:szCs w:val="24"/>
        </w:rPr>
        <w:t xml:space="preserve">   </w:t>
      </w:r>
    </w:p>
    <w:p w14:paraId="62FE8054" w14:textId="77777777" w:rsidR="00B50FF3" w:rsidRPr="00B50FF3" w:rsidRDefault="00B50FF3" w:rsidP="003E1C16">
      <w:pPr>
        <w:pStyle w:val="ListParagraph"/>
        <w:ind w:hanging="502"/>
        <w:rPr>
          <w:rFonts w:ascii="Times New Roman" w:hAnsi="Times New Roman" w:cs="Times New Roman"/>
          <w:sz w:val="24"/>
          <w:szCs w:val="24"/>
        </w:rPr>
      </w:pPr>
    </w:p>
    <w:p w14:paraId="588E0269" w14:textId="79494D6C" w:rsidR="008A7040" w:rsidRPr="008A7040" w:rsidRDefault="009F52E5" w:rsidP="003E1C16">
      <w:pPr>
        <w:pStyle w:val="ListParagraph"/>
        <w:numPr>
          <w:ilvl w:val="0"/>
          <w:numId w:val="1"/>
        </w:numPr>
        <w:spacing w:before="240" w:line="480" w:lineRule="auto"/>
        <w:ind w:hanging="502"/>
        <w:jc w:val="both"/>
        <w:rPr>
          <w:rFonts w:ascii="Times New Roman" w:hAnsi="Times New Roman" w:cs="Times New Roman"/>
          <w:b/>
          <w:sz w:val="24"/>
          <w:szCs w:val="24"/>
        </w:rPr>
      </w:pPr>
      <w:r>
        <w:rPr>
          <w:rFonts w:ascii="Times New Roman" w:hAnsi="Times New Roman" w:cs="Times New Roman"/>
          <w:sz w:val="24"/>
          <w:szCs w:val="24"/>
        </w:rPr>
        <w:t xml:space="preserve">It </w:t>
      </w:r>
      <w:r w:rsidR="00831505">
        <w:rPr>
          <w:rFonts w:ascii="Times New Roman" w:hAnsi="Times New Roman" w:cs="Times New Roman"/>
          <w:sz w:val="24"/>
          <w:szCs w:val="24"/>
        </w:rPr>
        <w:t xml:space="preserve">is important to note that the letters from HPRA of </w:t>
      </w:r>
      <w:r w:rsidR="00804F3E">
        <w:rPr>
          <w:rFonts w:ascii="Times New Roman" w:hAnsi="Times New Roman" w:cs="Times New Roman"/>
          <w:sz w:val="24"/>
          <w:szCs w:val="24"/>
        </w:rPr>
        <w:t xml:space="preserve">6 </w:t>
      </w:r>
      <w:r w:rsidR="00831505">
        <w:rPr>
          <w:rFonts w:ascii="Times New Roman" w:hAnsi="Times New Roman" w:cs="Times New Roman"/>
          <w:sz w:val="24"/>
          <w:szCs w:val="24"/>
        </w:rPr>
        <w:t xml:space="preserve">March </w:t>
      </w:r>
      <w:r w:rsidR="007740BA">
        <w:rPr>
          <w:rFonts w:ascii="Times New Roman" w:hAnsi="Times New Roman" w:cs="Times New Roman"/>
          <w:sz w:val="24"/>
          <w:szCs w:val="24"/>
        </w:rPr>
        <w:t xml:space="preserve">2019 </w:t>
      </w:r>
      <w:r w:rsidR="00831505">
        <w:rPr>
          <w:rFonts w:ascii="Times New Roman" w:hAnsi="Times New Roman" w:cs="Times New Roman"/>
          <w:sz w:val="24"/>
          <w:szCs w:val="24"/>
        </w:rPr>
        <w:t xml:space="preserve">were in response to those of </w:t>
      </w:r>
      <w:r w:rsidR="0001005B">
        <w:rPr>
          <w:rFonts w:ascii="Times New Roman" w:hAnsi="Times New Roman" w:cs="Times New Roman"/>
          <w:sz w:val="24"/>
          <w:szCs w:val="24"/>
        </w:rPr>
        <w:t xml:space="preserve">13 December </w:t>
      </w:r>
      <w:r w:rsidR="007740BA">
        <w:rPr>
          <w:rFonts w:ascii="Times New Roman" w:hAnsi="Times New Roman" w:cs="Times New Roman"/>
          <w:sz w:val="24"/>
          <w:szCs w:val="24"/>
        </w:rPr>
        <w:t xml:space="preserve">2018 </w:t>
      </w:r>
      <w:r w:rsidR="0001005B">
        <w:rPr>
          <w:rFonts w:ascii="Times New Roman" w:hAnsi="Times New Roman" w:cs="Times New Roman"/>
          <w:sz w:val="24"/>
          <w:szCs w:val="24"/>
        </w:rPr>
        <w:t>and 4 January</w:t>
      </w:r>
      <w:r w:rsidR="007740BA">
        <w:rPr>
          <w:rFonts w:ascii="Times New Roman" w:hAnsi="Times New Roman" w:cs="Times New Roman"/>
          <w:sz w:val="24"/>
          <w:szCs w:val="24"/>
        </w:rPr>
        <w:t xml:space="preserve"> 2019</w:t>
      </w:r>
      <w:r w:rsidR="0001005B">
        <w:rPr>
          <w:rFonts w:ascii="Times New Roman" w:hAnsi="Times New Roman" w:cs="Times New Roman"/>
          <w:sz w:val="24"/>
          <w:szCs w:val="24"/>
        </w:rPr>
        <w:t xml:space="preserve">.  Given that neither of those letters </w:t>
      </w:r>
      <w:r w:rsidR="0001249B">
        <w:rPr>
          <w:rFonts w:ascii="Times New Roman" w:hAnsi="Times New Roman" w:cs="Times New Roman"/>
          <w:sz w:val="24"/>
          <w:szCs w:val="24"/>
        </w:rPr>
        <w:t xml:space="preserve">framed </w:t>
      </w:r>
      <w:r w:rsidR="0001005B">
        <w:rPr>
          <w:rFonts w:ascii="Times New Roman" w:hAnsi="Times New Roman" w:cs="Times New Roman"/>
          <w:sz w:val="24"/>
          <w:szCs w:val="24"/>
        </w:rPr>
        <w:t>a request to exercise a</w:t>
      </w:r>
      <w:r w:rsidR="0001249B">
        <w:rPr>
          <w:rFonts w:ascii="Times New Roman" w:hAnsi="Times New Roman" w:cs="Times New Roman"/>
          <w:sz w:val="24"/>
          <w:szCs w:val="24"/>
        </w:rPr>
        <w:t xml:space="preserve"> </w:t>
      </w:r>
      <w:r w:rsidR="0001005B">
        <w:rPr>
          <w:rFonts w:ascii="Times New Roman" w:hAnsi="Times New Roman" w:cs="Times New Roman"/>
          <w:sz w:val="24"/>
          <w:szCs w:val="24"/>
        </w:rPr>
        <w:t>power under Article 83</w:t>
      </w:r>
      <w:r w:rsidR="0001249B">
        <w:rPr>
          <w:rFonts w:ascii="Times New Roman" w:hAnsi="Times New Roman" w:cs="Times New Roman"/>
          <w:sz w:val="24"/>
          <w:szCs w:val="24"/>
        </w:rPr>
        <w:t xml:space="preserve"> in those terms</w:t>
      </w:r>
      <w:r w:rsidR="0001005B">
        <w:rPr>
          <w:rFonts w:ascii="Times New Roman" w:hAnsi="Times New Roman" w:cs="Times New Roman"/>
          <w:sz w:val="24"/>
          <w:szCs w:val="24"/>
        </w:rPr>
        <w:t xml:space="preserve">, </w:t>
      </w:r>
      <w:r w:rsidR="008A7040">
        <w:rPr>
          <w:rFonts w:ascii="Times New Roman" w:hAnsi="Times New Roman" w:cs="Times New Roman"/>
          <w:sz w:val="24"/>
          <w:szCs w:val="24"/>
        </w:rPr>
        <w:t xml:space="preserve">and more importantly that they were not even framed as engaging the grounds identified in that Article, </w:t>
      </w:r>
      <w:r w:rsidR="0001005B">
        <w:rPr>
          <w:rFonts w:ascii="Times New Roman" w:hAnsi="Times New Roman" w:cs="Times New Roman"/>
          <w:sz w:val="24"/>
          <w:szCs w:val="24"/>
        </w:rPr>
        <w:t xml:space="preserve">it is hard to see how it can be said that on </w:t>
      </w:r>
      <w:r w:rsidR="00804F3E">
        <w:rPr>
          <w:rFonts w:ascii="Times New Roman" w:hAnsi="Times New Roman" w:cs="Times New Roman"/>
          <w:sz w:val="24"/>
          <w:szCs w:val="24"/>
        </w:rPr>
        <w:t xml:space="preserve">6 </w:t>
      </w:r>
      <w:r w:rsidR="0001005B">
        <w:rPr>
          <w:rFonts w:ascii="Times New Roman" w:hAnsi="Times New Roman" w:cs="Times New Roman"/>
          <w:sz w:val="24"/>
          <w:szCs w:val="24"/>
        </w:rPr>
        <w:t xml:space="preserve">March </w:t>
      </w:r>
      <w:r w:rsidR="007740BA">
        <w:rPr>
          <w:rFonts w:ascii="Times New Roman" w:hAnsi="Times New Roman" w:cs="Times New Roman"/>
          <w:sz w:val="24"/>
          <w:szCs w:val="24"/>
        </w:rPr>
        <w:t xml:space="preserve">2019 </w:t>
      </w:r>
      <w:r w:rsidR="0001005B">
        <w:rPr>
          <w:rFonts w:ascii="Times New Roman" w:hAnsi="Times New Roman" w:cs="Times New Roman"/>
          <w:sz w:val="24"/>
          <w:szCs w:val="24"/>
        </w:rPr>
        <w:t xml:space="preserve">HPRA </w:t>
      </w:r>
      <w:r w:rsidR="0001249B">
        <w:rPr>
          <w:rFonts w:ascii="Times New Roman" w:hAnsi="Times New Roman" w:cs="Times New Roman"/>
          <w:sz w:val="24"/>
          <w:szCs w:val="24"/>
        </w:rPr>
        <w:t xml:space="preserve">issued a formal decision under Article 83.  To be clear in this regard I say this not only because neither Article 83 of the 2001 Directive nor Article 13 of the 2007 Regulations were referred to in the correspondence – that is just a matter of form and the correspondence did clearly request suspension of the authorisation – but because the whole tenor of the correspondence is directed to the re-opening of the decision of July 20.  </w:t>
      </w:r>
      <w:r w:rsidR="008A7040">
        <w:rPr>
          <w:rFonts w:ascii="Times New Roman" w:hAnsi="Times New Roman" w:cs="Times New Roman"/>
          <w:sz w:val="24"/>
          <w:szCs w:val="24"/>
        </w:rPr>
        <w:t xml:space="preserve">In </w:t>
      </w:r>
      <w:r w:rsidR="0001005B">
        <w:rPr>
          <w:rFonts w:ascii="Times New Roman" w:hAnsi="Times New Roman" w:cs="Times New Roman"/>
          <w:sz w:val="24"/>
          <w:szCs w:val="24"/>
        </w:rPr>
        <w:t xml:space="preserve">that the letters of 13 December </w:t>
      </w:r>
      <w:r w:rsidR="007740BA">
        <w:rPr>
          <w:rFonts w:ascii="Times New Roman" w:hAnsi="Times New Roman" w:cs="Times New Roman"/>
          <w:sz w:val="24"/>
          <w:szCs w:val="24"/>
        </w:rPr>
        <w:t xml:space="preserve">2018 </w:t>
      </w:r>
      <w:r w:rsidR="0001005B">
        <w:rPr>
          <w:rFonts w:ascii="Times New Roman" w:hAnsi="Times New Roman" w:cs="Times New Roman"/>
          <w:sz w:val="24"/>
          <w:szCs w:val="24"/>
        </w:rPr>
        <w:t xml:space="preserve">and 4 January </w:t>
      </w:r>
      <w:r w:rsidR="007740BA">
        <w:rPr>
          <w:rFonts w:ascii="Times New Roman" w:hAnsi="Times New Roman" w:cs="Times New Roman"/>
          <w:sz w:val="24"/>
          <w:szCs w:val="24"/>
        </w:rPr>
        <w:t xml:space="preserve">2019 </w:t>
      </w:r>
      <w:r w:rsidR="0001005B">
        <w:rPr>
          <w:rFonts w:ascii="Times New Roman" w:hAnsi="Times New Roman" w:cs="Times New Roman"/>
          <w:sz w:val="24"/>
          <w:szCs w:val="24"/>
        </w:rPr>
        <w:t xml:space="preserve">sought a review of the decision of </w:t>
      </w:r>
      <w:r w:rsidR="00804F3E">
        <w:rPr>
          <w:rFonts w:ascii="Times New Roman" w:hAnsi="Times New Roman" w:cs="Times New Roman"/>
          <w:sz w:val="24"/>
          <w:szCs w:val="24"/>
        </w:rPr>
        <w:t xml:space="preserve">20 </w:t>
      </w:r>
      <w:r w:rsidR="0001005B">
        <w:rPr>
          <w:rFonts w:ascii="Times New Roman" w:hAnsi="Times New Roman" w:cs="Times New Roman"/>
          <w:sz w:val="24"/>
          <w:szCs w:val="24"/>
        </w:rPr>
        <w:t>July</w:t>
      </w:r>
      <w:r w:rsidR="007740BA">
        <w:rPr>
          <w:rFonts w:ascii="Times New Roman" w:hAnsi="Times New Roman" w:cs="Times New Roman"/>
          <w:sz w:val="24"/>
          <w:szCs w:val="24"/>
        </w:rPr>
        <w:t xml:space="preserve"> 2018</w:t>
      </w:r>
      <w:r w:rsidR="0001005B">
        <w:rPr>
          <w:rFonts w:ascii="Times New Roman" w:hAnsi="Times New Roman" w:cs="Times New Roman"/>
          <w:sz w:val="24"/>
          <w:szCs w:val="24"/>
        </w:rPr>
        <w:t xml:space="preserve">, it is proper to characterise the response to that correspondence refusing such </w:t>
      </w:r>
      <w:r w:rsidR="0001005B">
        <w:rPr>
          <w:rFonts w:ascii="Times New Roman" w:hAnsi="Times New Roman" w:cs="Times New Roman"/>
          <w:sz w:val="24"/>
          <w:szCs w:val="24"/>
        </w:rPr>
        <w:lastRenderedPageBreak/>
        <w:t xml:space="preserve">a review as the same decision, not as a new decision.  </w:t>
      </w:r>
      <w:r w:rsidR="008A7040">
        <w:rPr>
          <w:rFonts w:ascii="Times New Roman" w:hAnsi="Times New Roman" w:cs="Times New Roman"/>
          <w:sz w:val="24"/>
          <w:szCs w:val="24"/>
        </w:rPr>
        <w:t>Therefore</w:t>
      </w:r>
      <w:r w:rsidR="007740BA">
        <w:rPr>
          <w:rFonts w:ascii="Times New Roman" w:hAnsi="Times New Roman" w:cs="Times New Roman"/>
          <w:sz w:val="24"/>
          <w:szCs w:val="24"/>
        </w:rPr>
        <w:t>,</w:t>
      </w:r>
      <w:r w:rsidR="008A7040">
        <w:rPr>
          <w:rFonts w:ascii="Times New Roman" w:hAnsi="Times New Roman" w:cs="Times New Roman"/>
          <w:sz w:val="24"/>
          <w:szCs w:val="24"/>
        </w:rPr>
        <w:t xml:space="preserve"> it cannot function to extend time, and the challenge to the refusal to withdraw or suspend expressed in those letters is not an independent decision which allows Arthropharm to bring a challenge to the </w:t>
      </w:r>
      <w:r w:rsidR="00804F3E">
        <w:rPr>
          <w:rFonts w:ascii="Times New Roman" w:hAnsi="Times New Roman" w:cs="Times New Roman"/>
          <w:sz w:val="24"/>
          <w:szCs w:val="24"/>
        </w:rPr>
        <w:t xml:space="preserve">20 </w:t>
      </w:r>
      <w:r w:rsidR="008A7040">
        <w:rPr>
          <w:rFonts w:ascii="Times New Roman" w:hAnsi="Times New Roman" w:cs="Times New Roman"/>
          <w:sz w:val="24"/>
          <w:szCs w:val="24"/>
        </w:rPr>
        <w:t>July</w:t>
      </w:r>
      <w:r w:rsidR="007740BA">
        <w:rPr>
          <w:rFonts w:ascii="Times New Roman" w:hAnsi="Times New Roman" w:cs="Times New Roman"/>
          <w:sz w:val="24"/>
          <w:szCs w:val="24"/>
        </w:rPr>
        <w:t xml:space="preserve"> 2018</w:t>
      </w:r>
      <w:r w:rsidR="008A7040">
        <w:rPr>
          <w:rFonts w:ascii="Times New Roman" w:hAnsi="Times New Roman" w:cs="Times New Roman"/>
          <w:sz w:val="24"/>
          <w:szCs w:val="24"/>
        </w:rPr>
        <w:t xml:space="preserve"> determination </w:t>
      </w:r>
      <w:r w:rsidR="007740BA">
        <w:rPr>
          <w:rFonts w:ascii="Times New Roman" w:hAnsi="Times New Roman" w:cs="Times New Roman"/>
          <w:sz w:val="24"/>
          <w:szCs w:val="24"/>
        </w:rPr>
        <w:t xml:space="preserve">which is otherwise out of time, </w:t>
      </w:r>
      <w:r w:rsidR="008A7040">
        <w:rPr>
          <w:rFonts w:ascii="Times New Roman" w:hAnsi="Times New Roman" w:cs="Times New Roman"/>
          <w:sz w:val="24"/>
          <w:szCs w:val="24"/>
        </w:rPr>
        <w:t>under a different guise.</w:t>
      </w:r>
    </w:p>
    <w:p w14:paraId="5AFF6590" w14:textId="77777777" w:rsidR="008A7040" w:rsidRPr="008A7040" w:rsidRDefault="008A7040" w:rsidP="003E1C16">
      <w:pPr>
        <w:pStyle w:val="ListParagraph"/>
        <w:ind w:hanging="502"/>
        <w:rPr>
          <w:rFonts w:ascii="Times New Roman" w:hAnsi="Times New Roman" w:cs="Times New Roman"/>
          <w:sz w:val="24"/>
          <w:szCs w:val="24"/>
        </w:rPr>
      </w:pPr>
    </w:p>
    <w:p w14:paraId="474865E4" w14:textId="062A6D0B" w:rsidR="00E6649A" w:rsidRPr="00023D49" w:rsidRDefault="008B4E9E" w:rsidP="003E1C16">
      <w:pPr>
        <w:pStyle w:val="ListParagraph"/>
        <w:numPr>
          <w:ilvl w:val="0"/>
          <w:numId w:val="1"/>
        </w:numPr>
        <w:spacing w:before="240" w:line="480" w:lineRule="auto"/>
        <w:ind w:hanging="502"/>
        <w:jc w:val="both"/>
        <w:rPr>
          <w:rFonts w:ascii="Times New Roman" w:hAnsi="Times New Roman" w:cs="Times New Roman"/>
          <w:b/>
          <w:sz w:val="24"/>
          <w:szCs w:val="24"/>
        </w:rPr>
      </w:pPr>
      <w:r>
        <w:rPr>
          <w:rFonts w:ascii="Times New Roman" w:hAnsi="Times New Roman" w:cs="Times New Roman"/>
          <w:sz w:val="24"/>
          <w:szCs w:val="24"/>
        </w:rPr>
        <w:t xml:space="preserve">In their </w:t>
      </w:r>
      <w:r w:rsidR="009F52E5">
        <w:rPr>
          <w:rFonts w:ascii="Times New Roman" w:hAnsi="Times New Roman" w:cs="Times New Roman"/>
          <w:sz w:val="24"/>
          <w:szCs w:val="24"/>
        </w:rPr>
        <w:t xml:space="preserve">letter of </w:t>
      </w:r>
      <w:r w:rsidR="00831D67">
        <w:rPr>
          <w:rFonts w:ascii="Times New Roman" w:hAnsi="Times New Roman" w:cs="Times New Roman"/>
          <w:sz w:val="24"/>
          <w:szCs w:val="24"/>
        </w:rPr>
        <w:t xml:space="preserve">4 </w:t>
      </w:r>
      <w:r w:rsidR="009F52E5">
        <w:rPr>
          <w:rFonts w:ascii="Times New Roman" w:hAnsi="Times New Roman" w:cs="Times New Roman"/>
          <w:sz w:val="24"/>
          <w:szCs w:val="24"/>
        </w:rPr>
        <w:t>March</w:t>
      </w:r>
      <w:r>
        <w:rPr>
          <w:rFonts w:ascii="Times New Roman" w:hAnsi="Times New Roman" w:cs="Times New Roman"/>
          <w:sz w:val="24"/>
          <w:szCs w:val="24"/>
        </w:rPr>
        <w:t xml:space="preserve"> </w:t>
      </w:r>
      <w:r w:rsidR="007740BA">
        <w:rPr>
          <w:rFonts w:ascii="Times New Roman" w:hAnsi="Times New Roman" w:cs="Times New Roman"/>
          <w:sz w:val="24"/>
          <w:szCs w:val="24"/>
        </w:rPr>
        <w:t xml:space="preserve">2019 </w:t>
      </w:r>
      <w:r>
        <w:rPr>
          <w:rFonts w:ascii="Times New Roman" w:hAnsi="Times New Roman" w:cs="Times New Roman"/>
          <w:sz w:val="24"/>
          <w:szCs w:val="24"/>
        </w:rPr>
        <w:t>Article 83 was specifically referenced by Arthropharm’s solicitors.  They said that ‘</w:t>
      </w:r>
      <w:r>
        <w:rPr>
          <w:rFonts w:ascii="Times New Roman" w:hAnsi="Times New Roman" w:cs="Times New Roman"/>
          <w:i/>
          <w:sz w:val="24"/>
          <w:szCs w:val="24"/>
        </w:rPr>
        <w:t xml:space="preserve">there is no pharmaceutical equivalence between Osteopen and </w:t>
      </w:r>
      <w:r w:rsidR="00012DB3">
        <w:rPr>
          <w:rFonts w:ascii="Times New Roman" w:hAnsi="Times New Roman" w:cs="Times New Roman"/>
          <w:i/>
          <w:sz w:val="24"/>
          <w:szCs w:val="24"/>
        </w:rPr>
        <w:t>Cartrophen</w:t>
      </w:r>
      <w:r>
        <w:rPr>
          <w:rFonts w:ascii="Times New Roman" w:hAnsi="Times New Roman" w:cs="Times New Roman"/>
          <w:i/>
          <w:sz w:val="24"/>
          <w:szCs w:val="24"/>
        </w:rPr>
        <w:t xml:space="preserve">’ </w:t>
      </w:r>
      <w:r>
        <w:rPr>
          <w:rFonts w:ascii="Times New Roman" w:hAnsi="Times New Roman" w:cs="Times New Roman"/>
          <w:sz w:val="24"/>
          <w:szCs w:val="24"/>
        </w:rPr>
        <w:t>and that ‘</w:t>
      </w:r>
      <w:r>
        <w:rPr>
          <w:rFonts w:ascii="Times New Roman" w:hAnsi="Times New Roman" w:cs="Times New Roman"/>
          <w:i/>
          <w:sz w:val="24"/>
          <w:szCs w:val="24"/>
        </w:rPr>
        <w:t xml:space="preserve">it is highly likely that .. the qualitative and quantitative composition of Osteopen is not as stated’.  </w:t>
      </w:r>
      <w:r>
        <w:rPr>
          <w:rFonts w:ascii="Times New Roman" w:hAnsi="Times New Roman" w:cs="Times New Roman"/>
          <w:sz w:val="24"/>
          <w:szCs w:val="24"/>
        </w:rPr>
        <w:t>They asserted that it was incumbent on HPRA to review the evidence and information furnished with a view to determining whether the authorisation granted in respect of Osteopen ‘</w:t>
      </w:r>
      <w:r>
        <w:rPr>
          <w:rFonts w:ascii="Times New Roman" w:hAnsi="Times New Roman" w:cs="Times New Roman"/>
          <w:i/>
          <w:sz w:val="24"/>
          <w:szCs w:val="24"/>
        </w:rPr>
        <w:t>ought to be revoked in accordance with Article 83 of the Directive’.</w:t>
      </w:r>
      <w:r>
        <w:rPr>
          <w:rFonts w:ascii="Times New Roman" w:hAnsi="Times New Roman" w:cs="Times New Roman"/>
          <w:sz w:val="24"/>
          <w:szCs w:val="24"/>
        </w:rPr>
        <w:t xml:space="preserve"> </w:t>
      </w:r>
      <w:r w:rsidR="009F52E5">
        <w:rPr>
          <w:rFonts w:ascii="Times New Roman" w:hAnsi="Times New Roman" w:cs="Times New Roman"/>
          <w:sz w:val="24"/>
          <w:szCs w:val="24"/>
        </w:rPr>
        <w:t xml:space="preserve"> </w:t>
      </w:r>
      <w:r>
        <w:rPr>
          <w:rFonts w:ascii="Times New Roman" w:hAnsi="Times New Roman" w:cs="Times New Roman"/>
          <w:sz w:val="24"/>
          <w:szCs w:val="24"/>
        </w:rPr>
        <w:t>Rightly or wrongly, the specific invocation of Article 83 and the making of a request thereunder has not been responded to</w:t>
      </w:r>
      <w:r w:rsidR="0001249B">
        <w:rPr>
          <w:rFonts w:ascii="Times New Roman" w:hAnsi="Times New Roman" w:cs="Times New Roman"/>
          <w:sz w:val="24"/>
          <w:szCs w:val="24"/>
        </w:rPr>
        <w:t xml:space="preserve"> in correspondence (although it is addressed in very considerable detail in the affidavit evidence)</w:t>
      </w:r>
      <w:r>
        <w:rPr>
          <w:rFonts w:ascii="Times New Roman" w:hAnsi="Times New Roman" w:cs="Times New Roman"/>
          <w:sz w:val="24"/>
          <w:szCs w:val="24"/>
        </w:rPr>
        <w:t xml:space="preserve">; this is perhaps unsurprising given that it was made in the course of correspondence directed primarily to whether the issues between the parties should be addressed within the proceedings or by way of distinct correspondence and that the detailed and lengthy responses of </w:t>
      </w:r>
      <w:r w:rsidR="00312A5F">
        <w:rPr>
          <w:rFonts w:ascii="Times New Roman" w:hAnsi="Times New Roman" w:cs="Times New Roman"/>
          <w:sz w:val="24"/>
          <w:szCs w:val="24"/>
        </w:rPr>
        <w:t>HPRA</w:t>
      </w:r>
      <w:r>
        <w:rPr>
          <w:rFonts w:ascii="Times New Roman" w:hAnsi="Times New Roman" w:cs="Times New Roman"/>
          <w:sz w:val="24"/>
          <w:szCs w:val="24"/>
        </w:rPr>
        <w:t xml:space="preserve"> issued two days later.  What is relevant for present purposes is that what was addressed in those letters of </w:t>
      </w:r>
      <w:r w:rsidR="00012DB3">
        <w:rPr>
          <w:rFonts w:ascii="Times New Roman" w:hAnsi="Times New Roman" w:cs="Times New Roman"/>
          <w:sz w:val="24"/>
          <w:szCs w:val="24"/>
        </w:rPr>
        <w:t xml:space="preserve">6 </w:t>
      </w:r>
      <w:r>
        <w:rPr>
          <w:rFonts w:ascii="Times New Roman" w:hAnsi="Times New Roman" w:cs="Times New Roman"/>
          <w:sz w:val="24"/>
          <w:szCs w:val="24"/>
        </w:rPr>
        <w:t xml:space="preserve">March </w:t>
      </w:r>
      <w:r w:rsidR="007740BA">
        <w:rPr>
          <w:rFonts w:ascii="Times New Roman" w:hAnsi="Times New Roman" w:cs="Times New Roman"/>
          <w:sz w:val="24"/>
          <w:szCs w:val="24"/>
        </w:rPr>
        <w:t xml:space="preserve">2019 </w:t>
      </w:r>
      <w:r>
        <w:rPr>
          <w:rFonts w:ascii="Times New Roman" w:hAnsi="Times New Roman" w:cs="Times New Roman"/>
          <w:sz w:val="24"/>
          <w:szCs w:val="24"/>
        </w:rPr>
        <w:t xml:space="preserve">– and what is challenged in these proceedings – are responses to requests to revisit the </w:t>
      </w:r>
      <w:r w:rsidR="00012DB3">
        <w:rPr>
          <w:rFonts w:ascii="Times New Roman" w:hAnsi="Times New Roman" w:cs="Times New Roman"/>
          <w:sz w:val="24"/>
          <w:szCs w:val="24"/>
        </w:rPr>
        <w:t xml:space="preserve">20 </w:t>
      </w:r>
      <w:r>
        <w:rPr>
          <w:rFonts w:ascii="Times New Roman" w:hAnsi="Times New Roman" w:cs="Times New Roman"/>
          <w:sz w:val="24"/>
          <w:szCs w:val="24"/>
        </w:rPr>
        <w:t xml:space="preserve">July </w:t>
      </w:r>
      <w:r w:rsidR="007740BA">
        <w:rPr>
          <w:rFonts w:ascii="Times New Roman" w:hAnsi="Times New Roman" w:cs="Times New Roman"/>
          <w:sz w:val="24"/>
          <w:szCs w:val="24"/>
        </w:rPr>
        <w:t xml:space="preserve">2018 </w:t>
      </w:r>
      <w:r>
        <w:rPr>
          <w:rFonts w:ascii="Times New Roman" w:hAnsi="Times New Roman" w:cs="Times New Roman"/>
          <w:sz w:val="24"/>
          <w:szCs w:val="24"/>
        </w:rPr>
        <w:t xml:space="preserve">decision by reference to Article 13 of the Directive.  </w:t>
      </w:r>
      <w:r w:rsidR="00E6649A">
        <w:rPr>
          <w:rFonts w:ascii="Times New Roman" w:hAnsi="Times New Roman" w:cs="Times New Roman"/>
          <w:sz w:val="24"/>
          <w:szCs w:val="24"/>
        </w:rPr>
        <w:t xml:space="preserve">This is why HPRA’s reply in those letters was focussed on what happened before the </w:t>
      </w:r>
      <w:r w:rsidR="007740BA">
        <w:rPr>
          <w:rFonts w:ascii="Times New Roman" w:hAnsi="Times New Roman" w:cs="Times New Roman"/>
          <w:sz w:val="24"/>
          <w:szCs w:val="24"/>
        </w:rPr>
        <w:t xml:space="preserve">20 </w:t>
      </w:r>
      <w:r w:rsidR="00E6649A">
        <w:rPr>
          <w:rFonts w:ascii="Times New Roman" w:hAnsi="Times New Roman" w:cs="Times New Roman"/>
          <w:sz w:val="24"/>
          <w:szCs w:val="24"/>
        </w:rPr>
        <w:t>July 20</w:t>
      </w:r>
      <w:r w:rsidR="007740BA">
        <w:rPr>
          <w:rFonts w:ascii="Times New Roman" w:hAnsi="Times New Roman" w:cs="Times New Roman"/>
          <w:sz w:val="24"/>
          <w:szCs w:val="24"/>
        </w:rPr>
        <w:t>18</w:t>
      </w:r>
      <w:r w:rsidR="00E6649A">
        <w:rPr>
          <w:rFonts w:ascii="Times New Roman" w:hAnsi="Times New Roman" w:cs="Times New Roman"/>
          <w:sz w:val="24"/>
          <w:szCs w:val="24"/>
        </w:rPr>
        <w:t xml:space="preserve"> decision</w:t>
      </w:r>
      <w:r w:rsidR="002B2384">
        <w:rPr>
          <w:rFonts w:ascii="Times New Roman" w:hAnsi="Times New Roman" w:cs="Times New Roman"/>
          <w:sz w:val="24"/>
          <w:szCs w:val="24"/>
        </w:rPr>
        <w:t>:</w:t>
      </w:r>
      <w:r w:rsidR="00E6649A">
        <w:rPr>
          <w:rFonts w:ascii="Times New Roman" w:hAnsi="Times New Roman" w:cs="Times New Roman"/>
          <w:sz w:val="24"/>
          <w:szCs w:val="24"/>
        </w:rPr>
        <w:t xml:space="preserve">  one concludes that ‘</w:t>
      </w:r>
      <w:r w:rsidR="00E6649A">
        <w:rPr>
          <w:rFonts w:ascii="Times New Roman" w:hAnsi="Times New Roman" w:cs="Times New Roman"/>
          <w:i/>
          <w:sz w:val="24"/>
          <w:szCs w:val="24"/>
        </w:rPr>
        <w:t>a full review of risk analysis was conducted as is evident from the PAR for Osteopen’</w:t>
      </w:r>
      <w:r w:rsidR="00E6649A">
        <w:rPr>
          <w:rFonts w:ascii="Times New Roman" w:hAnsi="Times New Roman" w:cs="Times New Roman"/>
          <w:sz w:val="24"/>
          <w:szCs w:val="24"/>
        </w:rPr>
        <w:t xml:space="preserve">, the other that </w:t>
      </w:r>
      <w:r w:rsidR="002B34E6">
        <w:rPr>
          <w:rFonts w:ascii="Times New Roman" w:hAnsi="Times New Roman" w:cs="Times New Roman"/>
          <w:sz w:val="24"/>
          <w:szCs w:val="24"/>
        </w:rPr>
        <w:t>‘</w:t>
      </w:r>
      <w:r w:rsidR="002B34E6">
        <w:rPr>
          <w:rFonts w:ascii="Times New Roman" w:hAnsi="Times New Roman" w:cs="Times New Roman"/>
          <w:i/>
          <w:sz w:val="24"/>
          <w:szCs w:val="24"/>
        </w:rPr>
        <w:t>HPRA maintains that its Decision was lawful’</w:t>
      </w:r>
      <w:r w:rsidR="002B34E6">
        <w:rPr>
          <w:rFonts w:ascii="Times New Roman" w:hAnsi="Times New Roman" w:cs="Times New Roman"/>
          <w:sz w:val="24"/>
          <w:szCs w:val="24"/>
        </w:rPr>
        <w:t xml:space="preserve">.   Certainly each referred to events since </w:t>
      </w:r>
      <w:r w:rsidR="007740BA">
        <w:rPr>
          <w:rFonts w:ascii="Times New Roman" w:hAnsi="Times New Roman" w:cs="Times New Roman"/>
          <w:sz w:val="24"/>
          <w:szCs w:val="24"/>
        </w:rPr>
        <w:t xml:space="preserve">20 </w:t>
      </w:r>
      <w:r w:rsidR="002B34E6">
        <w:rPr>
          <w:rFonts w:ascii="Times New Roman" w:hAnsi="Times New Roman" w:cs="Times New Roman"/>
          <w:sz w:val="24"/>
          <w:szCs w:val="24"/>
        </w:rPr>
        <w:t>July 20</w:t>
      </w:r>
      <w:r w:rsidR="007740BA">
        <w:rPr>
          <w:rFonts w:ascii="Times New Roman" w:hAnsi="Times New Roman" w:cs="Times New Roman"/>
          <w:sz w:val="24"/>
          <w:szCs w:val="24"/>
        </w:rPr>
        <w:t>18</w:t>
      </w:r>
      <w:r w:rsidR="002B34E6">
        <w:rPr>
          <w:rFonts w:ascii="Times New Roman" w:hAnsi="Times New Roman" w:cs="Times New Roman"/>
          <w:sz w:val="24"/>
          <w:szCs w:val="24"/>
        </w:rPr>
        <w:t xml:space="preserve"> – the first letter to the fact that no </w:t>
      </w:r>
      <w:r w:rsidR="002B34E6">
        <w:rPr>
          <w:rFonts w:ascii="Times New Roman" w:hAnsi="Times New Roman" w:cs="Times New Roman"/>
          <w:sz w:val="24"/>
          <w:szCs w:val="24"/>
        </w:rPr>
        <w:lastRenderedPageBreak/>
        <w:t xml:space="preserve">valid safety concerns had been raised in relation to Osteopen, and the second to the fact that it considered that nothing had been raised grounding a claim that there was a basis for withdrawing the authorisation.  What is critical, however, was that each of these propositions was based upon a rejection of the very case made by Arthropharm in support of its claim that the decision of </w:t>
      </w:r>
      <w:r w:rsidR="007740BA">
        <w:rPr>
          <w:rFonts w:ascii="Times New Roman" w:hAnsi="Times New Roman" w:cs="Times New Roman"/>
          <w:sz w:val="24"/>
          <w:szCs w:val="24"/>
        </w:rPr>
        <w:t xml:space="preserve">20 </w:t>
      </w:r>
      <w:r w:rsidR="002B34E6">
        <w:rPr>
          <w:rFonts w:ascii="Times New Roman" w:hAnsi="Times New Roman" w:cs="Times New Roman"/>
          <w:sz w:val="24"/>
          <w:szCs w:val="24"/>
        </w:rPr>
        <w:t>July 20</w:t>
      </w:r>
      <w:r w:rsidR="007740BA">
        <w:rPr>
          <w:rFonts w:ascii="Times New Roman" w:hAnsi="Times New Roman" w:cs="Times New Roman"/>
          <w:sz w:val="24"/>
          <w:szCs w:val="24"/>
        </w:rPr>
        <w:t>18</w:t>
      </w:r>
      <w:r w:rsidR="002B34E6">
        <w:rPr>
          <w:rFonts w:ascii="Times New Roman" w:hAnsi="Times New Roman" w:cs="Times New Roman"/>
          <w:sz w:val="24"/>
          <w:szCs w:val="24"/>
        </w:rPr>
        <w:t xml:space="preserve"> was invalid.  This is why it was the ‘</w:t>
      </w:r>
      <w:r w:rsidR="002B34E6">
        <w:rPr>
          <w:rFonts w:ascii="Times New Roman" w:hAnsi="Times New Roman" w:cs="Times New Roman"/>
          <w:i/>
          <w:sz w:val="24"/>
          <w:szCs w:val="24"/>
        </w:rPr>
        <w:t>same decision’</w:t>
      </w:r>
      <w:r w:rsidR="002B34E6">
        <w:rPr>
          <w:rFonts w:ascii="Times New Roman" w:hAnsi="Times New Roman" w:cs="Times New Roman"/>
          <w:sz w:val="24"/>
          <w:szCs w:val="24"/>
        </w:rPr>
        <w:t>.</w:t>
      </w:r>
    </w:p>
    <w:p w14:paraId="3CC0FE0A" w14:textId="44092A80" w:rsidR="00023D49" w:rsidRDefault="00023D49" w:rsidP="00023D49">
      <w:pPr>
        <w:pStyle w:val="ListParagraph"/>
        <w:spacing w:before="240" w:line="480" w:lineRule="auto"/>
        <w:ind w:left="786"/>
        <w:jc w:val="both"/>
        <w:rPr>
          <w:rFonts w:ascii="Times New Roman" w:hAnsi="Times New Roman" w:cs="Times New Roman"/>
          <w:b/>
          <w:sz w:val="24"/>
          <w:szCs w:val="24"/>
        </w:rPr>
      </w:pPr>
      <w:r>
        <w:rPr>
          <w:rFonts w:ascii="Times New Roman" w:hAnsi="Times New Roman" w:cs="Times New Roman"/>
          <w:b/>
          <w:sz w:val="24"/>
          <w:szCs w:val="24"/>
        </w:rPr>
        <w:t xml:space="preserve">  </w:t>
      </w:r>
    </w:p>
    <w:p w14:paraId="63B4700A" w14:textId="041222D7" w:rsidR="00462A11" w:rsidRPr="00462A11" w:rsidRDefault="00023D49" w:rsidP="00462A11">
      <w:pPr>
        <w:pStyle w:val="ListParagraph"/>
        <w:numPr>
          <w:ilvl w:val="0"/>
          <w:numId w:val="1"/>
        </w:numPr>
        <w:spacing w:before="240" w:line="480" w:lineRule="auto"/>
        <w:ind w:hanging="502"/>
        <w:jc w:val="both"/>
        <w:rPr>
          <w:rFonts w:ascii="Times New Roman" w:hAnsi="Times New Roman" w:cs="Times New Roman"/>
          <w:b/>
          <w:sz w:val="24"/>
          <w:szCs w:val="24"/>
        </w:rPr>
      </w:pPr>
      <w:r w:rsidRPr="00462A11">
        <w:rPr>
          <w:rFonts w:ascii="Times New Roman" w:hAnsi="Times New Roman" w:cs="Times New Roman"/>
          <w:sz w:val="24"/>
          <w:szCs w:val="24"/>
        </w:rPr>
        <w:t xml:space="preserve">But even if this is wrong, the grounds of challenge relied upon by Arthropharm in its Amended Statement of Grounds are </w:t>
      </w:r>
      <w:r w:rsidR="00614472" w:rsidRPr="00462A11">
        <w:rPr>
          <w:rFonts w:ascii="Times New Roman" w:hAnsi="Times New Roman" w:cs="Times New Roman"/>
          <w:i/>
          <w:sz w:val="24"/>
          <w:szCs w:val="24"/>
        </w:rPr>
        <w:t>in terms</w:t>
      </w:r>
      <w:r w:rsidR="00614472" w:rsidRPr="00462A11">
        <w:rPr>
          <w:rFonts w:ascii="Times New Roman" w:hAnsi="Times New Roman" w:cs="Times New Roman"/>
          <w:sz w:val="24"/>
          <w:szCs w:val="24"/>
        </w:rPr>
        <w:t xml:space="preserve"> a challenge to the decision to grant the marketing authorisation.  While Arthropharm is correct when it observes that paragraph 42 of the original Statement of Grounds referred to Article 83 of the 2001 Directive, the substantive challenge introduced by the new paragraphs 42A-G were replications of the challenge to the original decision.  Each one of the substantive allegations </w:t>
      </w:r>
      <w:r w:rsidR="00462A11">
        <w:rPr>
          <w:rFonts w:ascii="Times New Roman" w:hAnsi="Times New Roman" w:cs="Times New Roman"/>
          <w:sz w:val="24"/>
          <w:szCs w:val="24"/>
        </w:rPr>
        <w:t xml:space="preserve">as I have summarised them above replicate or rephrase the basis for the challenge to the decision of </w:t>
      </w:r>
      <w:r w:rsidR="0063551A">
        <w:rPr>
          <w:rFonts w:ascii="Times New Roman" w:hAnsi="Times New Roman" w:cs="Times New Roman"/>
          <w:sz w:val="24"/>
          <w:szCs w:val="24"/>
        </w:rPr>
        <w:t xml:space="preserve">20 </w:t>
      </w:r>
      <w:r w:rsidR="00462A11">
        <w:rPr>
          <w:rFonts w:ascii="Times New Roman" w:hAnsi="Times New Roman" w:cs="Times New Roman"/>
          <w:sz w:val="24"/>
          <w:szCs w:val="24"/>
        </w:rPr>
        <w:t>July 20</w:t>
      </w:r>
      <w:r w:rsidR="0063551A">
        <w:rPr>
          <w:rFonts w:ascii="Times New Roman" w:hAnsi="Times New Roman" w:cs="Times New Roman"/>
          <w:sz w:val="24"/>
          <w:szCs w:val="24"/>
        </w:rPr>
        <w:t>18</w:t>
      </w:r>
      <w:r w:rsidR="00462A11">
        <w:rPr>
          <w:rFonts w:ascii="Times New Roman" w:hAnsi="Times New Roman" w:cs="Times New Roman"/>
          <w:sz w:val="24"/>
          <w:szCs w:val="24"/>
        </w:rPr>
        <w:t xml:space="preserve"> to the extent that it is hard to envisage any one of them succeeding without it ineluctably following that the decision of </w:t>
      </w:r>
      <w:r w:rsidR="0063551A">
        <w:rPr>
          <w:rFonts w:ascii="Times New Roman" w:hAnsi="Times New Roman" w:cs="Times New Roman"/>
          <w:sz w:val="24"/>
          <w:szCs w:val="24"/>
        </w:rPr>
        <w:t xml:space="preserve">20 </w:t>
      </w:r>
      <w:r w:rsidR="00462A11">
        <w:rPr>
          <w:rFonts w:ascii="Times New Roman" w:hAnsi="Times New Roman" w:cs="Times New Roman"/>
          <w:sz w:val="24"/>
          <w:szCs w:val="24"/>
        </w:rPr>
        <w:t>July 20</w:t>
      </w:r>
      <w:r w:rsidR="0063551A">
        <w:rPr>
          <w:rFonts w:ascii="Times New Roman" w:hAnsi="Times New Roman" w:cs="Times New Roman"/>
          <w:sz w:val="24"/>
          <w:szCs w:val="24"/>
        </w:rPr>
        <w:t>18</w:t>
      </w:r>
      <w:r w:rsidR="00462A11">
        <w:rPr>
          <w:rFonts w:ascii="Times New Roman" w:hAnsi="Times New Roman" w:cs="Times New Roman"/>
          <w:sz w:val="24"/>
          <w:szCs w:val="24"/>
        </w:rPr>
        <w:t xml:space="preserve"> was in error in concluding that Osteopen was a generic of Cartrophen</w:t>
      </w:r>
      <w:r w:rsidR="00462A11" w:rsidRPr="00462A11">
        <w:rPr>
          <w:rFonts w:ascii="Times New Roman" w:hAnsi="Times New Roman" w:cs="Times New Roman"/>
          <w:sz w:val="24"/>
          <w:szCs w:val="24"/>
        </w:rPr>
        <w:t>.</w:t>
      </w:r>
      <w:r w:rsidR="00462A11">
        <w:rPr>
          <w:rFonts w:ascii="Times New Roman" w:hAnsi="Times New Roman" w:cs="Times New Roman"/>
          <w:sz w:val="24"/>
          <w:szCs w:val="24"/>
        </w:rPr>
        <w:t xml:space="preserve">  The challenge is properly viewed as being out of time under the theory of collateral attack.</w:t>
      </w:r>
    </w:p>
    <w:p w14:paraId="0BB308FC" w14:textId="77777777" w:rsidR="00462A11" w:rsidRDefault="00462A11" w:rsidP="000763E9">
      <w:pPr>
        <w:pStyle w:val="ListParagraph"/>
        <w:spacing w:before="240" w:line="480" w:lineRule="auto"/>
        <w:ind w:left="786"/>
        <w:jc w:val="both"/>
        <w:rPr>
          <w:rFonts w:ascii="Times New Roman" w:hAnsi="Times New Roman" w:cs="Times New Roman"/>
          <w:b/>
          <w:i/>
          <w:sz w:val="24"/>
          <w:szCs w:val="24"/>
        </w:rPr>
      </w:pPr>
    </w:p>
    <w:p w14:paraId="0634E5EC" w14:textId="65CD2FE3" w:rsidR="000763E9" w:rsidRDefault="000763E9" w:rsidP="000763E9">
      <w:pPr>
        <w:pStyle w:val="ListParagraph"/>
        <w:spacing w:before="240" w:line="480" w:lineRule="auto"/>
        <w:ind w:left="786"/>
        <w:jc w:val="both"/>
        <w:rPr>
          <w:rFonts w:ascii="Times New Roman" w:hAnsi="Times New Roman" w:cs="Times New Roman"/>
          <w:b/>
          <w:i/>
          <w:sz w:val="24"/>
          <w:szCs w:val="24"/>
        </w:rPr>
      </w:pPr>
      <w:r>
        <w:rPr>
          <w:rFonts w:ascii="Times New Roman" w:hAnsi="Times New Roman" w:cs="Times New Roman"/>
          <w:b/>
          <w:i/>
          <w:sz w:val="24"/>
          <w:szCs w:val="24"/>
        </w:rPr>
        <w:t>Conclusions</w:t>
      </w:r>
    </w:p>
    <w:p w14:paraId="366549B4" w14:textId="77777777" w:rsidR="000763E9" w:rsidRDefault="000763E9" w:rsidP="000763E9">
      <w:pPr>
        <w:pStyle w:val="ListParagraph"/>
        <w:spacing w:before="240" w:line="480" w:lineRule="auto"/>
        <w:ind w:left="786"/>
        <w:jc w:val="both"/>
        <w:rPr>
          <w:rFonts w:ascii="Times New Roman" w:hAnsi="Times New Roman" w:cs="Times New Roman"/>
          <w:b/>
          <w:sz w:val="24"/>
          <w:szCs w:val="24"/>
        </w:rPr>
      </w:pPr>
    </w:p>
    <w:p w14:paraId="66C9565B" w14:textId="0CC7CA23" w:rsidR="000763E9" w:rsidRPr="000763E9" w:rsidRDefault="000763E9" w:rsidP="003E1C16">
      <w:pPr>
        <w:pStyle w:val="ListParagraph"/>
        <w:numPr>
          <w:ilvl w:val="0"/>
          <w:numId w:val="1"/>
        </w:numPr>
        <w:spacing w:before="240" w:line="480" w:lineRule="auto"/>
        <w:ind w:hanging="502"/>
        <w:jc w:val="both"/>
        <w:rPr>
          <w:rFonts w:ascii="Times New Roman" w:hAnsi="Times New Roman" w:cs="Times New Roman"/>
          <w:b/>
          <w:sz w:val="24"/>
          <w:szCs w:val="24"/>
        </w:rPr>
      </w:pPr>
      <w:r>
        <w:rPr>
          <w:rFonts w:ascii="Times New Roman" w:hAnsi="Times New Roman" w:cs="Times New Roman"/>
          <w:sz w:val="24"/>
          <w:szCs w:val="24"/>
        </w:rPr>
        <w:t>It follows that I agree with the conclusion reached by Simons J. that Arthropharm has sought to bring these proceedings outside the three month period specified in Order 84 R</w:t>
      </w:r>
      <w:r w:rsidR="00012DB3">
        <w:rPr>
          <w:rFonts w:ascii="Times New Roman" w:hAnsi="Times New Roman" w:cs="Times New Roman"/>
          <w:sz w:val="24"/>
          <w:szCs w:val="24"/>
        </w:rPr>
        <w:t>ule</w:t>
      </w:r>
      <w:r>
        <w:rPr>
          <w:rFonts w:ascii="Times New Roman" w:hAnsi="Times New Roman" w:cs="Times New Roman"/>
          <w:sz w:val="24"/>
          <w:szCs w:val="24"/>
        </w:rPr>
        <w:t xml:space="preserve"> 21(1) RSC, that it is not appropriate to extend time for the bringing of these </w:t>
      </w:r>
      <w:r>
        <w:rPr>
          <w:rFonts w:ascii="Times New Roman" w:hAnsi="Times New Roman" w:cs="Times New Roman"/>
          <w:sz w:val="24"/>
          <w:szCs w:val="24"/>
        </w:rPr>
        <w:lastRenderedPageBreak/>
        <w:t xml:space="preserve">proceedings, and that the letters from HPRA of </w:t>
      </w:r>
      <w:r w:rsidR="00012DB3">
        <w:rPr>
          <w:rFonts w:ascii="Times New Roman" w:hAnsi="Times New Roman" w:cs="Times New Roman"/>
          <w:sz w:val="24"/>
          <w:szCs w:val="24"/>
        </w:rPr>
        <w:t xml:space="preserve">6 </w:t>
      </w:r>
      <w:r>
        <w:rPr>
          <w:rFonts w:ascii="Times New Roman" w:hAnsi="Times New Roman" w:cs="Times New Roman"/>
          <w:sz w:val="24"/>
          <w:szCs w:val="24"/>
        </w:rPr>
        <w:t>March 2019 do not change this.  Accordingly, this appeal should be dismissed.</w:t>
      </w:r>
    </w:p>
    <w:p w14:paraId="5502C456" w14:textId="77777777" w:rsidR="000763E9" w:rsidRDefault="000763E9" w:rsidP="003E1C16">
      <w:pPr>
        <w:pStyle w:val="ListParagraph"/>
        <w:spacing w:before="240" w:line="480" w:lineRule="auto"/>
        <w:ind w:left="786" w:hanging="502"/>
        <w:jc w:val="both"/>
        <w:rPr>
          <w:rFonts w:ascii="Times New Roman" w:hAnsi="Times New Roman" w:cs="Times New Roman"/>
          <w:b/>
          <w:sz w:val="24"/>
          <w:szCs w:val="24"/>
        </w:rPr>
      </w:pPr>
      <w:r>
        <w:rPr>
          <w:rFonts w:ascii="Times New Roman" w:hAnsi="Times New Roman" w:cs="Times New Roman"/>
          <w:b/>
          <w:sz w:val="24"/>
          <w:szCs w:val="24"/>
        </w:rPr>
        <w:t xml:space="preserve">  </w:t>
      </w:r>
    </w:p>
    <w:p w14:paraId="66330AEE" w14:textId="0485C7F8" w:rsidR="000763E9" w:rsidRPr="00B907CB" w:rsidRDefault="000763E9" w:rsidP="003E1C16">
      <w:pPr>
        <w:pStyle w:val="ListParagraph"/>
        <w:numPr>
          <w:ilvl w:val="0"/>
          <w:numId w:val="1"/>
        </w:numPr>
        <w:spacing w:before="240" w:line="480" w:lineRule="auto"/>
        <w:ind w:hanging="502"/>
        <w:jc w:val="both"/>
        <w:rPr>
          <w:rFonts w:ascii="Times New Roman" w:hAnsi="Times New Roman" w:cs="Times New Roman"/>
          <w:b/>
          <w:sz w:val="24"/>
          <w:szCs w:val="24"/>
        </w:rPr>
      </w:pPr>
      <w:r>
        <w:rPr>
          <w:rFonts w:ascii="Times New Roman" w:hAnsi="Times New Roman" w:cs="Times New Roman"/>
          <w:sz w:val="24"/>
          <w:szCs w:val="24"/>
        </w:rPr>
        <w:t xml:space="preserve">The reasons I have reached this decision are similar to, but </w:t>
      </w:r>
      <w:r w:rsidR="00B907CB">
        <w:rPr>
          <w:rFonts w:ascii="Times New Roman" w:hAnsi="Times New Roman" w:cs="Times New Roman"/>
          <w:sz w:val="24"/>
          <w:szCs w:val="24"/>
        </w:rPr>
        <w:t xml:space="preserve">technically </w:t>
      </w:r>
      <w:r>
        <w:rPr>
          <w:rFonts w:ascii="Times New Roman" w:hAnsi="Times New Roman" w:cs="Times New Roman"/>
          <w:sz w:val="24"/>
          <w:szCs w:val="24"/>
        </w:rPr>
        <w:t>different from, those explained by Simons J.  They are in summary as follows:</w:t>
      </w:r>
    </w:p>
    <w:p w14:paraId="4F3737AF" w14:textId="77777777" w:rsidR="00B907CB" w:rsidRPr="00B907CB" w:rsidRDefault="00B907CB" w:rsidP="00B907CB">
      <w:pPr>
        <w:pStyle w:val="ListParagraph"/>
        <w:rPr>
          <w:rFonts w:ascii="Times New Roman" w:hAnsi="Times New Roman" w:cs="Times New Roman"/>
          <w:b/>
          <w:sz w:val="24"/>
          <w:szCs w:val="24"/>
        </w:rPr>
      </w:pPr>
    </w:p>
    <w:p w14:paraId="14600BA5" w14:textId="77777777" w:rsidR="00B907CB" w:rsidRPr="00B907CB" w:rsidRDefault="00B907CB" w:rsidP="00B907CB">
      <w:pPr>
        <w:pStyle w:val="ListParagraph"/>
        <w:spacing w:before="240" w:line="480" w:lineRule="auto"/>
        <w:ind w:left="786"/>
        <w:jc w:val="both"/>
        <w:rPr>
          <w:rFonts w:ascii="Times New Roman" w:hAnsi="Times New Roman" w:cs="Times New Roman"/>
          <w:b/>
          <w:sz w:val="24"/>
          <w:szCs w:val="24"/>
        </w:rPr>
      </w:pPr>
    </w:p>
    <w:p w14:paraId="43AB6EF7" w14:textId="77777777" w:rsidR="000763E9" w:rsidRPr="000763E9" w:rsidRDefault="000763E9" w:rsidP="000763E9">
      <w:pPr>
        <w:pStyle w:val="ListParagraph"/>
        <w:numPr>
          <w:ilvl w:val="0"/>
          <w:numId w:val="27"/>
        </w:numPr>
        <w:spacing w:before="240" w:line="480" w:lineRule="auto"/>
        <w:jc w:val="both"/>
        <w:rPr>
          <w:rFonts w:ascii="Times New Roman" w:hAnsi="Times New Roman" w:cs="Times New Roman"/>
          <w:b/>
          <w:sz w:val="24"/>
          <w:szCs w:val="24"/>
        </w:rPr>
      </w:pPr>
      <w:r>
        <w:rPr>
          <w:rFonts w:ascii="Times New Roman" w:hAnsi="Times New Roman" w:cs="Times New Roman"/>
          <w:sz w:val="24"/>
          <w:szCs w:val="24"/>
        </w:rPr>
        <w:t>Time runs for the purposes of Order 84 Rule 21(1) from the point at which a decision results in a</w:t>
      </w:r>
      <w:r w:rsidRPr="007235DA">
        <w:rPr>
          <w:rFonts w:ascii="Times New Roman" w:hAnsi="Times New Roman" w:cs="Times New Roman"/>
          <w:sz w:val="24"/>
          <w:szCs w:val="24"/>
        </w:rPr>
        <w:t xml:space="preserve"> formal consequence</w:t>
      </w:r>
      <w:r w:rsidR="00F43747">
        <w:rPr>
          <w:rFonts w:ascii="Times New Roman" w:hAnsi="Times New Roman" w:cs="Times New Roman"/>
          <w:sz w:val="24"/>
          <w:szCs w:val="24"/>
        </w:rPr>
        <w:t xml:space="preserve"> that is</w:t>
      </w:r>
      <w:r w:rsidRPr="007235DA">
        <w:rPr>
          <w:rFonts w:ascii="Times New Roman" w:hAnsi="Times New Roman" w:cs="Times New Roman"/>
          <w:sz w:val="24"/>
          <w:szCs w:val="24"/>
        </w:rPr>
        <w:t xml:space="preserve"> </w:t>
      </w:r>
      <w:r>
        <w:rPr>
          <w:rFonts w:ascii="Times New Roman" w:hAnsi="Times New Roman" w:cs="Times New Roman"/>
          <w:sz w:val="24"/>
          <w:szCs w:val="24"/>
        </w:rPr>
        <w:t xml:space="preserve">adverse </w:t>
      </w:r>
      <w:r w:rsidRPr="007235DA">
        <w:rPr>
          <w:rFonts w:ascii="Times New Roman" w:hAnsi="Times New Roman" w:cs="Times New Roman"/>
          <w:sz w:val="24"/>
          <w:szCs w:val="24"/>
        </w:rPr>
        <w:t>to the interests of the applicant</w:t>
      </w:r>
      <w:r w:rsidR="00B907CB">
        <w:rPr>
          <w:rFonts w:ascii="Times New Roman" w:hAnsi="Times New Roman" w:cs="Times New Roman"/>
          <w:sz w:val="24"/>
          <w:szCs w:val="24"/>
        </w:rPr>
        <w:t xml:space="preserve">.  </w:t>
      </w:r>
      <w:r w:rsidRPr="000763E9">
        <w:rPr>
          <w:rFonts w:ascii="Times New Roman" w:hAnsi="Times New Roman" w:cs="Times New Roman"/>
          <w:sz w:val="24"/>
          <w:szCs w:val="24"/>
        </w:rPr>
        <w:t>That may coincide with the date of the publication of the decision if the relevant legal provisions have this effect, expressly or by necessary implication.</w:t>
      </w:r>
    </w:p>
    <w:p w14:paraId="22CCD226" w14:textId="77777777" w:rsidR="000763E9" w:rsidRPr="005444B1" w:rsidRDefault="000763E9" w:rsidP="000763E9">
      <w:pPr>
        <w:pStyle w:val="ListParagraph"/>
        <w:spacing w:before="240" w:line="480" w:lineRule="auto"/>
        <w:ind w:left="1440"/>
        <w:jc w:val="both"/>
        <w:rPr>
          <w:rFonts w:ascii="Times New Roman" w:hAnsi="Times New Roman" w:cs="Times New Roman"/>
          <w:b/>
          <w:sz w:val="24"/>
          <w:szCs w:val="24"/>
        </w:rPr>
      </w:pPr>
      <w:r>
        <w:rPr>
          <w:rFonts w:ascii="Times New Roman" w:hAnsi="Times New Roman" w:cs="Times New Roman"/>
          <w:sz w:val="24"/>
          <w:szCs w:val="24"/>
        </w:rPr>
        <w:t xml:space="preserve">  </w:t>
      </w:r>
    </w:p>
    <w:p w14:paraId="26A6BC2C" w14:textId="58A98917" w:rsidR="000763E9" w:rsidRPr="00D606F5" w:rsidRDefault="000763E9" w:rsidP="000763E9">
      <w:pPr>
        <w:pStyle w:val="ListParagraph"/>
        <w:numPr>
          <w:ilvl w:val="0"/>
          <w:numId w:val="27"/>
        </w:numPr>
        <w:spacing w:before="240" w:line="480" w:lineRule="auto"/>
        <w:jc w:val="both"/>
        <w:rPr>
          <w:rFonts w:ascii="Times New Roman" w:hAnsi="Times New Roman" w:cs="Times New Roman"/>
          <w:b/>
          <w:sz w:val="24"/>
          <w:szCs w:val="24"/>
        </w:rPr>
      </w:pPr>
      <w:r>
        <w:rPr>
          <w:rFonts w:ascii="Times New Roman" w:hAnsi="Times New Roman" w:cs="Times New Roman"/>
          <w:sz w:val="24"/>
          <w:szCs w:val="24"/>
        </w:rPr>
        <w:t>There is nothing in the provisions of the 2001 Directive or in the 2007 Regulations that postpones the legal efficacy of a decision granting a market</w:t>
      </w:r>
      <w:r w:rsidR="00EE1987">
        <w:rPr>
          <w:rFonts w:ascii="Times New Roman" w:hAnsi="Times New Roman" w:cs="Times New Roman"/>
          <w:sz w:val="24"/>
          <w:szCs w:val="24"/>
        </w:rPr>
        <w:t>ing</w:t>
      </w:r>
      <w:r>
        <w:rPr>
          <w:rFonts w:ascii="Times New Roman" w:hAnsi="Times New Roman" w:cs="Times New Roman"/>
          <w:sz w:val="24"/>
          <w:szCs w:val="24"/>
        </w:rPr>
        <w:t xml:space="preserve"> authorisation to the point at which that decision is published in accordance with Article 25(4) of the Directive.</w:t>
      </w:r>
    </w:p>
    <w:p w14:paraId="658D9895" w14:textId="77777777" w:rsidR="00D606F5" w:rsidRPr="00D606F5" w:rsidRDefault="00D606F5" w:rsidP="00D606F5">
      <w:pPr>
        <w:pStyle w:val="ListParagraph"/>
        <w:rPr>
          <w:rFonts w:ascii="Times New Roman" w:hAnsi="Times New Roman" w:cs="Times New Roman"/>
          <w:b/>
          <w:sz w:val="24"/>
          <w:szCs w:val="24"/>
        </w:rPr>
      </w:pPr>
    </w:p>
    <w:p w14:paraId="0423799A" w14:textId="694A8FEC" w:rsidR="00D606F5" w:rsidRPr="00D606F5" w:rsidRDefault="00D606F5" w:rsidP="00D606F5">
      <w:pPr>
        <w:pStyle w:val="ListParagraph"/>
        <w:numPr>
          <w:ilvl w:val="0"/>
          <w:numId w:val="27"/>
        </w:numPr>
        <w:spacing w:before="240" w:line="480" w:lineRule="auto"/>
        <w:jc w:val="both"/>
        <w:rPr>
          <w:rFonts w:ascii="Times New Roman" w:hAnsi="Times New Roman" w:cs="Times New Roman"/>
          <w:b/>
          <w:sz w:val="24"/>
          <w:szCs w:val="24"/>
        </w:rPr>
      </w:pPr>
      <w:r>
        <w:rPr>
          <w:rFonts w:ascii="Times New Roman" w:hAnsi="Times New Roman" w:cs="Times New Roman"/>
          <w:sz w:val="24"/>
          <w:szCs w:val="24"/>
        </w:rPr>
        <w:t xml:space="preserve">Therefore, strictly speaking time began to run on </w:t>
      </w:r>
      <w:r w:rsidR="00831D67">
        <w:rPr>
          <w:rFonts w:ascii="Times New Roman" w:hAnsi="Times New Roman" w:cs="Times New Roman"/>
          <w:sz w:val="24"/>
          <w:szCs w:val="24"/>
        </w:rPr>
        <w:t xml:space="preserve">20 </w:t>
      </w:r>
      <w:r>
        <w:rPr>
          <w:rFonts w:ascii="Times New Roman" w:hAnsi="Times New Roman" w:cs="Times New Roman"/>
          <w:sz w:val="24"/>
          <w:szCs w:val="24"/>
        </w:rPr>
        <w:t>July</w:t>
      </w:r>
      <w:r w:rsidR="0063551A">
        <w:rPr>
          <w:rFonts w:ascii="Times New Roman" w:hAnsi="Times New Roman" w:cs="Times New Roman"/>
          <w:sz w:val="24"/>
          <w:szCs w:val="24"/>
        </w:rPr>
        <w:t xml:space="preserve"> 2018</w:t>
      </w:r>
      <w:r>
        <w:rPr>
          <w:rFonts w:ascii="Times New Roman" w:hAnsi="Times New Roman" w:cs="Times New Roman"/>
          <w:sz w:val="24"/>
          <w:szCs w:val="24"/>
        </w:rPr>
        <w:t xml:space="preserve">.  In particular, time did not begin to run from either </w:t>
      </w:r>
      <w:r w:rsidR="00232ADF">
        <w:rPr>
          <w:rFonts w:ascii="Times New Roman" w:hAnsi="Times New Roman" w:cs="Times New Roman"/>
          <w:sz w:val="24"/>
          <w:szCs w:val="24"/>
        </w:rPr>
        <w:t xml:space="preserve">30 </w:t>
      </w:r>
      <w:r>
        <w:rPr>
          <w:rFonts w:ascii="Times New Roman" w:hAnsi="Times New Roman" w:cs="Times New Roman"/>
          <w:sz w:val="24"/>
          <w:szCs w:val="24"/>
        </w:rPr>
        <w:t xml:space="preserve">October </w:t>
      </w:r>
      <w:r w:rsidR="0063551A">
        <w:rPr>
          <w:rFonts w:ascii="Times New Roman" w:hAnsi="Times New Roman" w:cs="Times New Roman"/>
          <w:sz w:val="24"/>
          <w:szCs w:val="24"/>
        </w:rPr>
        <w:t xml:space="preserve">2018 </w:t>
      </w:r>
      <w:r>
        <w:rPr>
          <w:rFonts w:ascii="Times New Roman" w:hAnsi="Times New Roman" w:cs="Times New Roman"/>
          <w:sz w:val="24"/>
          <w:szCs w:val="24"/>
        </w:rPr>
        <w:t xml:space="preserve">(being the date of </w:t>
      </w:r>
      <w:r w:rsidR="00312A5F">
        <w:rPr>
          <w:rFonts w:ascii="Times New Roman" w:hAnsi="Times New Roman" w:cs="Times New Roman"/>
          <w:sz w:val="24"/>
          <w:szCs w:val="24"/>
        </w:rPr>
        <w:t>HPRA</w:t>
      </w:r>
      <w:r>
        <w:rPr>
          <w:rFonts w:ascii="Times New Roman" w:hAnsi="Times New Roman" w:cs="Times New Roman"/>
          <w:sz w:val="24"/>
          <w:szCs w:val="24"/>
        </w:rPr>
        <w:t xml:space="preserve">’s response to </w:t>
      </w:r>
      <w:r w:rsidR="00F43747">
        <w:rPr>
          <w:rFonts w:ascii="Times New Roman" w:hAnsi="Times New Roman" w:cs="Times New Roman"/>
          <w:sz w:val="24"/>
          <w:szCs w:val="24"/>
        </w:rPr>
        <w:t>Arthropharm’s</w:t>
      </w:r>
      <w:r>
        <w:rPr>
          <w:rFonts w:ascii="Times New Roman" w:hAnsi="Times New Roman" w:cs="Times New Roman"/>
          <w:sz w:val="24"/>
          <w:szCs w:val="24"/>
        </w:rPr>
        <w:t xml:space="preserve"> letter of objection of </w:t>
      </w:r>
      <w:r w:rsidR="00831D67">
        <w:rPr>
          <w:rFonts w:ascii="Times New Roman" w:hAnsi="Times New Roman" w:cs="Times New Roman"/>
          <w:sz w:val="24"/>
          <w:szCs w:val="24"/>
        </w:rPr>
        <w:t xml:space="preserve">12 </w:t>
      </w:r>
      <w:r>
        <w:rPr>
          <w:rFonts w:ascii="Times New Roman" w:hAnsi="Times New Roman" w:cs="Times New Roman"/>
          <w:sz w:val="24"/>
          <w:szCs w:val="24"/>
        </w:rPr>
        <w:t>October</w:t>
      </w:r>
      <w:r w:rsidR="0063551A">
        <w:rPr>
          <w:rFonts w:ascii="Times New Roman" w:hAnsi="Times New Roman" w:cs="Times New Roman"/>
          <w:sz w:val="24"/>
          <w:szCs w:val="24"/>
        </w:rPr>
        <w:t xml:space="preserve"> 2018</w:t>
      </w:r>
      <w:r>
        <w:rPr>
          <w:rFonts w:ascii="Times New Roman" w:hAnsi="Times New Roman" w:cs="Times New Roman"/>
          <w:sz w:val="24"/>
          <w:szCs w:val="24"/>
        </w:rPr>
        <w:t xml:space="preserve">) or </w:t>
      </w:r>
      <w:r w:rsidR="00831D67">
        <w:rPr>
          <w:rFonts w:ascii="Times New Roman" w:hAnsi="Times New Roman" w:cs="Times New Roman"/>
          <w:sz w:val="24"/>
          <w:szCs w:val="24"/>
        </w:rPr>
        <w:t xml:space="preserve">8 </w:t>
      </w:r>
      <w:r>
        <w:rPr>
          <w:rFonts w:ascii="Times New Roman" w:hAnsi="Times New Roman" w:cs="Times New Roman"/>
          <w:sz w:val="24"/>
          <w:szCs w:val="24"/>
        </w:rPr>
        <w:t xml:space="preserve">January </w:t>
      </w:r>
      <w:r w:rsidR="0063551A">
        <w:rPr>
          <w:rFonts w:ascii="Times New Roman" w:hAnsi="Times New Roman" w:cs="Times New Roman"/>
          <w:sz w:val="24"/>
          <w:szCs w:val="24"/>
        </w:rPr>
        <w:t xml:space="preserve">2019 </w:t>
      </w:r>
      <w:r>
        <w:rPr>
          <w:rFonts w:ascii="Times New Roman" w:hAnsi="Times New Roman" w:cs="Times New Roman"/>
          <w:sz w:val="24"/>
          <w:szCs w:val="24"/>
        </w:rPr>
        <w:t xml:space="preserve">(being the date of publication of the decision in Iris </w:t>
      </w:r>
      <w:r w:rsidR="00C93565">
        <w:rPr>
          <w:rFonts w:ascii="Times New Roman" w:hAnsi="Times New Roman" w:cs="Times New Roman"/>
          <w:sz w:val="24"/>
          <w:szCs w:val="24"/>
        </w:rPr>
        <w:t>Oifigiúil</w:t>
      </w:r>
      <w:r w:rsidR="00F43747">
        <w:rPr>
          <w:rFonts w:ascii="Times New Roman" w:hAnsi="Times New Roman" w:cs="Times New Roman"/>
          <w:sz w:val="24"/>
          <w:szCs w:val="24"/>
        </w:rPr>
        <w:t>)</w:t>
      </w:r>
      <w:r>
        <w:rPr>
          <w:rFonts w:ascii="Times New Roman" w:hAnsi="Times New Roman" w:cs="Times New Roman"/>
          <w:sz w:val="24"/>
          <w:szCs w:val="24"/>
        </w:rPr>
        <w:t>.</w:t>
      </w:r>
    </w:p>
    <w:p w14:paraId="5FFCCAE1" w14:textId="77777777" w:rsidR="00D606F5" w:rsidRPr="00D606F5" w:rsidRDefault="00D606F5" w:rsidP="00D606F5">
      <w:pPr>
        <w:pStyle w:val="ListParagraph"/>
        <w:rPr>
          <w:rFonts w:ascii="Times New Roman" w:hAnsi="Times New Roman" w:cs="Times New Roman"/>
          <w:sz w:val="24"/>
          <w:szCs w:val="24"/>
        </w:rPr>
      </w:pPr>
    </w:p>
    <w:p w14:paraId="000013F3" w14:textId="48317991" w:rsidR="00D606F5" w:rsidRPr="00D606F5" w:rsidRDefault="000763E9" w:rsidP="00D606F5">
      <w:pPr>
        <w:pStyle w:val="ListParagraph"/>
        <w:numPr>
          <w:ilvl w:val="0"/>
          <w:numId w:val="27"/>
        </w:numPr>
        <w:spacing w:before="240" w:line="480" w:lineRule="auto"/>
        <w:jc w:val="both"/>
        <w:rPr>
          <w:rFonts w:ascii="Times New Roman" w:hAnsi="Times New Roman" w:cs="Times New Roman"/>
          <w:b/>
          <w:sz w:val="24"/>
          <w:szCs w:val="24"/>
        </w:rPr>
      </w:pPr>
      <w:r w:rsidRPr="00D606F5">
        <w:rPr>
          <w:rFonts w:ascii="Times New Roman" w:hAnsi="Times New Roman" w:cs="Times New Roman"/>
          <w:sz w:val="24"/>
          <w:szCs w:val="24"/>
        </w:rPr>
        <w:t>I have approached this application on the basis (but without finally so deciding) that Arthropharm enjoyed a right under Article 47 of the Charter to challenge the decision to grant a marketing authorisation</w:t>
      </w:r>
      <w:r w:rsidR="00D606F5" w:rsidRPr="00D606F5">
        <w:rPr>
          <w:rFonts w:ascii="Times New Roman" w:hAnsi="Times New Roman" w:cs="Times New Roman"/>
          <w:sz w:val="24"/>
          <w:szCs w:val="24"/>
        </w:rPr>
        <w:t xml:space="preserve"> in </w:t>
      </w:r>
      <w:r w:rsidR="00D606F5" w:rsidRPr="00D606F5">
        <w:rPr>
          <w:rFonts w:ascii="Times New Roman" w:hAnsi="Times New Roman" w:cs="Times New Roman"/>
          <w:sz w:val="24"/>
          <w:szCs w:val="24"/>
        </w:rPr>
        <w:lastRenderedPageBreak/>
        <w:t>respect of Osteopen</w:t>
      </w:r>
      <w:r w:rsidRPr="00D606F5">
        <w:rPr>
          <w:rFonts w:ascii="Times New Roman" w:hAnsi="Times New Roman" w:cs="Times New Roman"/>
          <w:sz w:val="24"/>
          <w:szCs w:val="24"/>
        </w:rPr>
        <w:t>.  In those circumstances the court must</w:t>
      </w:r>
      <w:r w:rsidR="00FB0A11">
        <w:rPr>
          <w:rFonts w:ascii="Times New Roman" w:hAnsi="Times New Roman" w:cs="Times New Roman"/>
          <w:sz w:val="24"/>
          <w:szCs w:val="24"/>
        </w:rPr>
        <w:t xml:space="preserve"> </w:t>
      </w:r>
      <w:r w:rsidRPr="00D606F5">
        <w:rPr>
          <w:rFonts w:ascii="Times New Roman" w:hAnsi="Times New Roman" w:cs="Times New Roman"/>
          <w:sz w:val="24"/>
          <w:szCs w:val="24"/>
        </w:rPr>
        <w:t>operate its discretion under Order 84 R</w:t>
      </w:r>
      <w:r w:rsidR="00831D67">
        <w:rPr>
          <w:rFonts w:ascii="Times New Roman" w:hAnsi="Times New Roman" w:cs="Times New Roman"/>
          <w:sz w:val="24"/>
          <w:szCs w:val="24"/>
        </w:rPr>
        <w:t>ule</w:t>
      </w:r>
      <w:r w:rsidRPr="00D606F5">
        <w:rPr>
          <w:rFonts w:ascii="Times New Roman" w:hAnsi="Times New Roman" w:cs="Times New Roman"/>
          <w:sz w:val="24"/>
          <w:szCs w:val="24"/>
        </w:rPr>
        <w:t xml:space="preserve"> 21(3) so that Arthropharm is given a three month period </w:t>
      </w:r>
      <w:r w:rsidR="00FB0A11">
        <w:rPr>
          <w:rFonts w:ascii="Times New Roman" w:hAnsi="Times New Roman" w:cs="Times New Roman"/>
          <w:sz w:val="24"/>
          <w:szCs w:val="24"/>
        </w:rPr>
        <w:t xml:space="preserve">to bring such a challenge </w:t>
      </w:r>
      <w:r w:rsidRPr="00D606F5">
        <w:rPr>
          <w:rFonts w:ascii="Times New Roman" w:hAnsi="Times New Roman" w:cs="Times New Roman"/>
          <w:sz w:val="24"/>
          <w:szCs w:val="24"/>
        </w:rPr>
        <w:t>from the point at which it either knew or ‘</w:t>
      </w:r>
      <w:r w:rsidRPr="00D606F5">
        <w:rPr>
          <w:rFonts w:ascii="Times New Roman" w:hAnsi="Times New Roman" w:cs="Times New Roman"/>
          <w:i/>
          <w:sz w:val="24"/>
          <w:szCs w:val="24"/>
        </w:rPr>
        <w:t>ought to have known’</w:t>
      </w:r>
      <w:r w:rsidRPr="00D606F5">
        <w:rPr>
          <w:rFonts w:ascii="Times New Roman" w:hAnsi="Times New Roman" w:cs="Times New Roman"/>
          <w:sz w:val="24"/>
          <w:szCs w:val="24"/>
        </w:rPr>
        <w:t xml:space="preserve"> of that decision.</w:t>
      </w:r>
    </w:p>
    <w:p w14:paraId="1E0A0E92" w14:textId="77777777" w:rsidR="00D606F5" w:rsidRPr="00D606F5" w:rsidRDefault="00D606F5" w:rsidP="00D606F5">
      <w:pPr>
        <w:pStyle w:val="ListParagraph"/>
        <w:rPr>
          <w:rFonts w:ascii="Times New Roman" w:hAnsi="Times New Roman" w:cs="Times New Roman"/>
          <w:sz w:val="24"/>
          <w:szCs w:val="24"/>
        </w:rPr>
      </w:pPr>
    </w:p>
    <w:p w14:paraId="02DDC0D9" w14:textId="13C72AC9" w:rsidR="000763E9" w:rsidRPr="00D606F5" w:rsidRDefault="00D606F5" w:rsidP="00D606F5">
      <w:pPr>
        <w:pStyle w:val="ListParagraph"/>
        <w:numPr>
          <w:ilvl w:val="0"/>
          <w:numId w:val="27"/>
        </w:numPr>
        <w:spacing w:before="240" w:line="480" w:lineRule="auto"/>
        <w:jc w:val="both"/>
        <w:rPr>
          <w:rFonts w:ascii="Times New Roman" w:hAnsi="Times New Roman" w:cs="Times New Roman"/>
          <w:b/>
          <w:sz w:val="24"/>
          <w:szCs w:val="24"/>
        </w:rPr>
      </w:pPr>
      <w:r w:rsidRPr="00D606F5">
        <w:rPr>
          <w:rFonts w:ascii="Times New Roman" w:hAnsi="Times New Roman" w:cs="Times New Roman"/>
          <w:sz w:val="24"/>
          <w:szCs w:val="24"/>
        </w:rPr>
        <w:t>Had Arthropharm taken reasonable steps to acquaint itself with the manner of publication by HPRA of decisions to grant marketing authorisations (whether by subscribing to the free RSS feed advising of products added or changed on the VRMI, or by making basic inquiries of the relevant regulators) it would have learnt of the decision by</w:t>
      </w:r>
      <w:r w:rsidR="00831D67">
        <w:rPr>
          <w:rFonts w:ascii="Times New Roman" w:hAnsi="Times New Roman" w:cs="Times New Roman"/>
          <w:sz w:val="24"/>
          <w:szCs w:val="24"/>
        </w:rPr>
        <w:t xml:space="preserve"> 23</w:t>
      </w:r>
      <w:r w:rsidRPr="00D606F5">
        <w:rPr>
          <w:rFonts w:ascii="Times New Roman" w:hAnsi="Times New Roman" w:cs="Times New Roman"/>
          <w:sz w:val="24"/>
          <w:szCs w:val="24"/>
        </w:rPr>
        <w:t xml:space="preserve"> July  2018.  Even if this is not the correct starting point, time began running no later than </w:t>
      </w:r>
      <w:r w:rsidR="00232ADF">
        <w:rPr>
          <w:rFonts w:ascii="Times New Roman" w:hAnsi="Times New Roman" w:cs="Times New Roman"/>
          <w:sz w:val="24"/>
          <w:szCs w:val="24"/>
        </w:rPr>
        <w:t xml:space="preserve">23 </w:t>
      </w:r>
      <w:r w:rsidRPr="00D606F5">
        <w:rPr>
          <w:rFonts w:ascii="Times New Roman" w:hAnsi="Times New Roman" w:cs="Times New Roman"/>
          <w:sz w:val="24"/>
          <w:szCs w:val="24"/>
        </w:rPr>
        <w:t>August 2018 when it did learn of the grant of the authorisation.</w:t>
      </w:r>
    </w:p>
    <w:p w14:paraId="103C02E0" w14:textId="77777777" w:rsidR="00D606F5" w:rsidRPr="00D606F5" w:rsidRDefault="00D606F5" w:rsidP="00D606F5">
      <w:pPr>
        <w:pStyle w:val="ListParagraph"/>
        <w:rPr>
          <w:rFonts w:ascii="Times New Roman" w:hAnsi="Times New Roman" w:cs="Times New Roman"/>
          <w:b/>
          <w:sz w:val="24"/>
          <w:szCs w:val="24"/>
        </w:rPr>
      </w:pPr>
    </w:p>
    <w:p w14:paraId="69470E23" w14:textId="4624419F" w:rsidR="002D60BB" w:rsidRPr="002D60BB" w:rsidRDefault="00D606F5" w:rsidP="000763E9">
      <w:pPr>
        <w:pStyle w:val="ListParagraph"/>
        <w:numPr>
          <w:ilvl w:val="0"/>
          <w:numId w:val="27"/>
        </w:numPr>
        <w:spacing w:before="240" w:line="480" w:lineRule="auto"/>
        <w:jc w:val="both"/>
        <w:rPr>
          <w:rFonts w:ascii="Times New Roman" w:hAnsi="Times New Roman" w:cs="Times New Roman"/>
          <w:b/>
          <w:sz w:val="24"/>
          <w:szCs w:val="24"/>
        </w:rPr>
      </w:pPr>
      <w:r>
        <w:rPr>
          <w:rFonts w:ascii="Times New Roman" w:hAnsi="Times New Roman" w:cs="Times New Roman"/>
          <w:sz w:val="24"/>
          <w:szCs w:val="24"/>
        </w:rPr>
        <w:t xml:space="preserve">Whichever of these dates is the correct one, the time for seeking judicial review of the decision of </w:t>
      </w:r>
      <w:r w:rsidR="00312A5F">
        <w:rPr>
          <w:rFonts w:ascii="Times New Roman" w:hAnsi="Times New Roman" w:cs="Times New Roman"/>
          <w:sz w:val="24"/>
          <w:szCs w:val="24"/>
        </w:rPr>
        <w:t>HPRA</w:t>
      </w:r>
      <w:r>
        <w:rPr>
          <w:rFonts w:ascii="Times New Roman" w:hAnsi="Times New Roman" w:cs="Times New Roman"/>
          <w:sz w:val="24"/>
          <w:szCs w:val="24"/>
        </w:rPr>
        <w:t xml:space="preserve"> expired on either </w:t>
      </w:r>
      <w:r w:rsidR="00232ADF">
        <w:rPr>
          <w:rFonts w:ascii="Times New Roman" w:hAnsi="Times New Roman" w:cs="Times New Roman"/>
          <w:sz w:val="24"/>
          <w:szCs w:val="24"/>
        </w:rPr>
        <w:t xml:space="preserve">22 </w:t>
      </w:r>
      <w:r>
        <w:rPr>
          <w:rFonts w:ascii="Times New Roman" w:hAnsi="Times New Roman" w:cs="Times New Roman"/>
          <w:sz w:val="24"/>
          <w:szCs w:val="24"/>
        </w:rPr>
        <w:t xml:space="preserve">October </w:t>
      </w:r>
      <w:r w:rsidR="0063551A">
        <w:rPr>
          <w:rFonts w:ascii="Times New Roman" w:hAnsi="Times New Roman" w:cs="Times New Roman"/>
          <w:sz w:val="24"/>
          <w:szCs w:val="24"/>
        </w:rPr>
        <w:t xml:space="preserve">2018 </w:t>
      </w:r>
      <w:r>
        <w:rPr>
          <w:rFonts w:ascii="Times New Roman" w:hAnsi="Times New Roman" w:cs="Times New Roman"/>
          <w:sz w:val="24"/>
          <w:szCs w:val="24"/>
        </w:rPr>
        <w:t xml:space="preserve">or </w:t>
      </w:r>
      <w:r w:rsidR="00232ADF">
        <w:rPr>
          <w:rFonts w:ascii="Times New Roman" w:hAnsi="Times New Roman" w:cs="Times New Roman"/>
          <w:sz w:val="24"/>
          <w:szCs w:val="24"/>
        </w:rPr>
        <w:t xml:space="preserve">22 </w:t>
      </w:r>
      <w:r>
        <w:rPr>
          <w:rFonts w:ascii="Times New Roman" w:hAnsi="Times New Roman" w:cs="Times New Roman"/>
          <w:sz w:val="24"/>
          <w:szCs w:val="24"/>
        </w:rPr>
        <w:t>November</w:t>
      </w:r>
      <w:r w:rsidR="0063551A">
        <w:rPr>
          <w:rFonts w:ascii="Times New Roman" w:hAnsi="Times New Roman" w:cs="Times New Roman"/>
          <w:sz w:val="24"/>
          <w:szCs w:val="24"/>
        </w:rPr>
        <w:t xml:space="preserve"> 2018</w:t>
      </w:r>
      <w:r>
        <w:rPr>
          <w:rFonts w:ascii="Times New Roman" w:hAnsi="Times New Roman" w:cs="Times New Roman"/>
          <w:sz w:val="24"/>
          <w:szCs w:val="24"/>
        </w:rPr>
        <w:t xml:space="preserve">. </w:t>
      </w:r>
    </w:p>
    <w:p w14:paraId="65F63F7C" w14:textId="77777777" w:rsidR="002D60BB" w:rsidRPr="002D60BB" w:rsidRDefault="002D60BB" w:rsidP="002D60BB">
      <w:pPr>
        <w:pStyle w:val="ListParagraph"/>
        <w:rPr>
          <w:rFonts w:ascii="Times New Roman" w:hAnsi="Times New Roman" w:cs="Times New Roman"/>
          <w:sz w:val="24"/>
          <w:szCs w:val="24"/>
        </w:rPr>
      </w:pPr>
    </w:p>
    <w:p w14:paraId="32EE7208" w14:textId="613779CA" w:rsidR="00D606F5" w:rsidRPr="002D60BB" w:rsidRDefault="00D606F5" w:rsidP="000763E9">
      <w:pPr>
        <w:pStyle w:val="ListParagraph"/>
        <w:numPr>
          <w:ilvl w:val="0"/>
          <w:numId w:val="27"/>
        </w:numPr>
        <w:spacing w:before="240" w:line="480" w:lineRule="auto"/>
        <w:jc w:val="both"/>
        <w:rPr>
          <w:rFonts w:ascii="Times New Roman" w:hAnsi="Times New Roman" w:cs="Times New Roman"/>
          <w:b/>
          <w:sz w:val="24"/>
          <w:szCs w:val="24"/>
        </w:rPr>
      </w:pPr>
      <w:r>
        <w:rPr>
          <w:rFonts w:ascii="Times New Roman" w:hAnsi="Times New Roman" w:cs="Times New Roman"/>
          <w:sz w:val="24"/>
          <w:szCs w:val="24"/>
        </w:rPr>
        <w:t xml:space="preserve">I would not extend time from (as the case may be) </w:t>
      </w:r>
      <w:r w:rsidR="00232ADF">
        <w:rPr>
          <w:rFonts w:ascii="Times New Roman" w:hAnsi="Times New Roman" w:cs="Times New Roman"/>
          <w:sz w:val="24"/>
          <w:szCs w:val="24"/>
        </w:rPr>
        <w:t xml:space="preserve">22 </w:t>
      </w:r>
      <w:r>
        <w:rPr>
          <w:rFonts w:ascii="Times New Roman" w:hAnsi="Times New Roman" w:cs="Times New Roman"/>
          <w:sz w:val="24"/>
          <w:szCs w:val="24"/>
        </w:rPr>
        <w:t xml:space="preserve">October </w:t>
      </w:r>
      <w:r w:rsidR="0063551A">
        <w:rPr>
          <w:rFonts w:ascii="Times New Roman" w:hAnsi="Times New Roman" w:cs="Times New Roman"/>
          <w:sz w:val="24"/>
          <w:szCs w:val="24"/>
        </w:rPr>
        <w:t xml:space="preserve">2018 </w:t>
      </w:r>
      <w:r>
        <w:rPr>
          <w:rFonts w:ascii="Times New Roman" w:hAnsi="Times New Roman" w:cs="Times New Roman"/>
          <w:sz w:val="24"/>
          <w:szCs w:val="24"/>
        </w:rPr>
        <w:t xml:space="preserve">or </w:t>
      </w:r>
      <w:r w:rsidR="00232ADF">
        <w:rPr>
          <w:rFonts w:ascii="Times New Roman" w:hAnsi="Times New Roman" w:cs="Times New Roman"/>
          <w:sz w:val="24"/>
          <w:szCs w:val="24"/>
        </w:rPr>
        <w:t xml:space="preserve">22 </w:t>
      </w:r>
      <w:r>
        <w:rPr>
          <w:rFonts w:ascii="Times New Roman" w:hAnsi="Times New Roman" w:cs="Times New Roman"/>
          <w:sz w:val="24"/>
          <w:szCs w:val="24"/>
        </w:rPr>
        <w:t>November</w:t>
      </w:r>
      <w:r w:rsidR="002D60BB">
        <w:rPr>
          <w:rFonts w:ascii="Times New Roman" w:hAnsi="Times New Roman" w:cs="Times New Roman"/>
          <w:sz w:val="24"/>
          <w:szCs w:val="24"/>
        </w:rPr>
        <w:t xml:space="preserve"> </w:t>
      </w:r>
      <w:r w:rsidR="0063551A">
        <w:rPr>
          <w:rFonts w:ascii="Times New Roman" w:hAnsi="Times New Roman" w:cs="Times New Roman"/>
          <w:sz w:val="24"/>
          <w:szCs w:val="24"/>
        </w:rPr>
        <w:t xml:space="preserve">2018 </w:t>
      </w:r>
      <w:r w:rsidR="002D60BB">
        <w:rPr>
          <w:rFonts w:ascii="Times New Roman" w:hAnsi="Times New Roman" w:cs="Times New Roman"/>
          <w:sz w:val="24"/>
          <w:szCs w:val="24"/>
        </w:rPr>
        <w:t>having regard to the combined effect of the following:</w:t>
      </w:r>
    </w:p>
    <w:p w14:paraId="00996BA9" w14:textId="77777777" w:rsidR="002D60BB" w:rsidRPr="002D60BB" w:rsidRDefault="002D60BB" w:rsidP="002D60BB">
      <w:pPr>
        <w:pStyle w:val="ListParagraph"/>
        <w:rPr>
          <w:rFonts w:ascii="Times New Roman" w:hAnsi="Times New Roman" w:cs="Times New Roman"/>
          <w:b/>
          <w:sz w:val="24"/>
          <w:szCs w:val="24"/>
        </w:rPr>
      </w:pPr>
    </w:p>
    <w:p w14:paraId="18C3E234" w14:textId="1BE24F67" w:rsidR="002D60BB" w:rsidRPr="002D60BB" w:rsidRDefault="002D60BB" w:rsidP="002D60BB">
      <w:pPr>
        <w:pStyle w:val="ListParagraph"/>
        <w:numPr>
          <w:ilvl w:val="0"/>
          <w:numId w:val="28"/>
        </w:numPr>
        <w:spacing w:before="240" w:line="480" w:lineRule="auto"/>
        <w:jc w:val="both"/>
        <w:rPr>
          <w:rFonts w:ascii="Times New Roman" w:hAnsi="Times New Roman" w:cs="Times New Roman"/>
          <w:b/>
          <w:sz w:val="24"/>
          <w:szCs w:val="24"/>
        </w:rPr>
      </w:pPr>
      <w:r>
        <w:rPr>
          <w:rFonts w:ascii="Times New Roman" w:hAnsi="Times New Roman" w:cs="Times New Roman"/>
          <w:sz w:val="24"/>
          <w:szCs w:val="24"/>
        </w:rPr>
        <w:t>This is a case arising in a commercial context in which the time limits prescribed in Order 84 R</w:t>
      </w:r>
      <w:r w:rsidR="00312A5F">
        <w:rPr>
          <w:rFonts w:ascii="Times New Roman" w:hAnsi="Times New Roman" w:cs="Times New Roman"/>
          <w:sz w:val="24"/>
          <w:szCs w:val="24"/>
        </w:rPr>
        <w:t>ule</w:t>
      </w:r>
      <w:r>
        <w:rPr>
          <w:rFonts w:ascii="Times New Roman" w:hAnsi="Times New Roman" w:cs="Times New Roman"/>
          <w:sz w:val="24"/>
          <w:szCs w:val="24"/>
        </w:rPr>
        <w:t xml:space="preserve"> 21(1) should be applied with particular rigour.</w:t>
      </w:r>
    </w:p>
    <w:p w14:paraId="2DC99406" w14:textId="77777777" w:rsidR="002D60BB" w:rsidRDefault="002D60BB" w:rsidP="002D60BB">
      <w:pPr>
        <w:pStyle w:val="ListParagraph"/>
        <w:spacing w:before="240" w:line="480" w:lineRule="auto"/>
        <w:ind w:left="2520"/>
        <w:jc w:val="both"/>
        <w:rPr>
          <w:rFonts w:ascii="Times New Roman" w:hAnsi="Times New Roman" w:cs="Times New Roman"/>
          <w:b/>
          <w:sz w:val="24"/>
          <w:szCs w:val="24"/>
        </w:rPr>
      </w:pPr>
      <w:r>
        <w:rPr>
          <w:rFonts w:ascii="Times New Roman" w:hAnsi="Times New Roman" w:cs="Times New Roman"/>
          <w:b/>
          <w:sz w:val="24"/>
          <w:szCs w:val="24"/>
        </w:rPr>
        <w:t xml:space="preserve">  </w:t>
      </w:r>
    </w:p>
    <w:p w14:paraId="294072D3" w14:textId="0D848C33" w:rsidR="00C31257" w:rsidRPr="00C31257" w:rsidRDefault="002D60BB" w:rsidP="002D60BB">
      <w:pPr>
        <w:pStyle w:val="ListParagraph"/>
        <w:numPr>
          <w:ilvl w:val="0"/>
          <w:numId w:val="28"/>
        </w:numPr>
        <w:spacing w:before="240" w:line="480" w:lineRule="auto"/>
        <w:jc w:val="both"/>
        <w:rPr>
          <w:rFonts w:ascii="Times New Roman" w:hAnsi="Times New Roman" w:cs="Times New Roman"/>
          <w:b/>
          <w:sz w:val="24"/>
          <w:szCs w:val="24"/>
        </w:rPr>
      </w:pPr>
      <w:r>
        <w:rPr>
          <w:rFonts w:ascii="Times New Roman" w:hAnsi="Times New Roman" w:cs="Times New Roman"/>
          <w:sz w:val="24"/>
          <w:szCs w:val="24"/>
        </w:rPr>
        <w:lastRenderedPageBreak/>
        <w:t xml:space="preserve">A reasonable undertaking that was genuinely concerned as to the legality of the market authorisation granted to Chanelle would </w:t>
      </w:r>
      <w:r w:rsidR="00C31257">
        <w:rPr>
          <w:rFonts w:ascii="Times New Roman" w:hAnsi="Times New Roman" w:cs="Times New Roman"/>
          <w:sz w:val="24"/>
          <w:szCs w:val="24"/>
        </w:rPr>
        <w:t xml:space="preserve">have moved with far greater despatch than Arthropharm did upon learning of that grant.  The papers furnished to the court do not provide an adequate explanation of what it did to progress its objections to the decision between </w:t>
      </w:r>
      <w:r w:rsidR="00232ADF">
        <w:rPr>
          <w:rFonts w:ascii="Times New Roman" w:hAnsi="Times New Roman" w:cs="Times New Roman"/>
          <w:sz w:val="24"/>
          <w:szCs w:val="24"/>
        </w:rPr>
        <w:t xml:space="preserve">23 </w:t>
      </w:r>
      <w:r w:rsidR="00C31257">
        <w:rPr>
          <w:rFonts w:ascii="Times New Roman" w:hAnsi="Times New Roman" w:cs="Times New Roman"/>
          <w:sz w:val="24"/>
          <w:szCs w:val="24"/>
        </w:rPr>
        <w:t xml:space="preserve">August and </w:t>
      </w:r>
      <w:r w:rsidR="00232ADF">
        <w:rPr>
          <w:rFonts w:ascii="Times New Roman" w:hAnsi="Times New Roman" w:cs="Times New Roman"/>
          <w:sz w:val="24"/>
          <w:szCs w:val="24"/>
        </w:rPr>
        <w:t xml:space="preserve">12 </w:t>
      </w:r>
      <w:r w:rsidR="00C31257">
        <w:rPr>
          <w:rFonts w:ascii="Times New Roman" w:hAnsi="Times New Roman" w:cs="Times New Roman"/>
          <w:sz w:val="24"/>
          <w:szCs w:val="24"/>
        </w:rPr>
        <w:t>October.</w:t>
      </w:r>
    </w:p>
    <w:p w14:paraId="2881D32C" w14:textId="77777777" w:rsidR="00C31257" w:rsidRPr="00C31257" w:rsidRDefault="00C31257" w:rsidP="00C31257">
      <w:pPr>
        <w:pStyle w:val="ListParagraph"/>
        <w:rPr>
          <w:rFonts w:ascii="Times New Roman" w:hAnsi="Times New Roman" w:cs="Times New Roman"/>
          <w:b/>
          <w:sz w:val="24"/>
          <w:szCs w:val="24"/>
        </w:rPr>
      </w:pPr>
    </w:p>
    <w:p w14:paraId="178EF7E5" w14:textId="14912082" w:rsidR="00C31257" w:rsidRPr="00C31257" w:rsidRDefault="00C31257" w:rsidP="002D60BB">
      <w:pPr>
        <w:pStyle w:val="ListParagraph"/>
        <w:numPr>
          <w:ilvl w:val="0"/>
          <w:numId w:val="28"/>
        </w:numPr>
        <w:spacing w:before="240" w:line="480" w:lineRule="auto"/>
        <w:jc w:val="both"/>
        <w:rPr>
          <w:rFonts w:ascii="Times New Roman" w:hAnsi="Times New Roman" w:cs="Times New Roman"/>
          <w:b/>
          <w:sz w:val="24"/>
          <w:szCs w:val="24"/>
        </w:rPr>
      </w:pPr>
      <w:r>
        <w:rPr>
          <w:rFonts w:ascii="Times New Roman" w:hAnsi="Times New Roman" w:cs="Times New Roman"/>
          <w:sz w:val="24"/>
          <w:szCs w:val="24"/>
        </w:rPr>
        <w:t xml:space="preserve">Having sent its letter of </w:t>
      </w:r>
      <w:r w:rsidR="00232ADF">
        <w:rPr>
          <w:rFonts w:ascii="Times New Roman" w:hAnsi="Times New Roman" w:cs="Times New Roman"/>
          <w:sz w:val="24"/>
          <w:szCs w:val="24"/>
        </w:rPr>
        <w:t xml:space="preserve">12 </w:t>
      </w:r>
      <w:r>
        <w:rPr>
          <w:rFonts w:ascii="Times New Roman" w:hAnsi="Times New Roman" w:cs="Times New Roman"/>
          <w:sz w:val="24"/>
          <w:szCs w:val="24"/>
        </w:rPr>
        <w:t>October</w:t>
      </w:r>
      <w:r w:rsidR="0063551A">
        <w:rPr>
          <w:rFonts w:ascii="Times New Roman" w:hAnsi="Times New Roman" w:cs="Times New Roman"/>
          <w:sz w:val="24"/>
          <w:szCs w:val="24"/>
        </w:rPr>
        <w:t xml:space="preserve"> 2018</w:t>
      </w:r>
      <w:r>
        <w:rPr>
          <w:rFonts w:ascii="Times New Roman" w:hAnsi="Times New Roman" w:cs="Times New Roman"/>
          <w:sz w:val="24"/>
          <w:szCs w:val="24"/>
        </w:rPr>
        <w:t xml:space="preserve">, it was incumbent on Arthropharm to pursue HPRA for a response.  This is particularly the case having regard to the information it received from the UK </w:t>
      </w:r>
      <w:r w:rsidR="00831D67">
        <w:rPr>
          <w:rFonts w:ascii="Times New Roman" w:hAnsi="Times New Roman" w:cs="Times New Roman"/>
          <w:sz w:val="24"/>
          <w:szCs w:val="24"/>
        </w:rPr>
        <w:t>r</w:t>
      </w:r>
      <w:r>
        <w:rPr>
          <w:rFonts w:ascii="Times New Roman" w:hAnsi="Times New Roman" w:cs="Times New Roman"/>
          <w:sz w:val="24"/>
          <w:szCs w:val="24"/>
        </w:rPr>
        <w:t xml:space="preserve">egulator on </w:t>
      </w:r>
      <w:r w:rsidR="00232ADF">
        <w:rPr>
          <w:rFonts w:ascii="Times New Roman" w:hAnsi="Times New Roman" w:cs="Times New Roman"/>
          <w:sz w:val="24"/>
          <w:szCs w:val="24"/>
        </w:rPr>
        <w:t xml:space="preserve">26 </w:t>
      </w:r>
      <w:r>
        <w:rPr>
          <w:rFonts w:ascii="Times New Roman" w:hAnsi="Times New Roman" w:cs="Times New Roman"/>
          <w:sz w:val="24"/>
          <w:szCs w:val="24"/>
        </w:rPr>
        <w:t xml:space="preserve">October </w:t>
      </w:r>
      <w:r w:rsidR="0063551A">
        <w:rPr>
          <w:rFonts w:ascii="Times New Roman" w:hAnsi="Times New Roman" w:cs="Times New Roman"/>
          <w:sz w:val="24"/>
          <w:szCs w:val="24"/>
        </w:rPr>
        <w:t xml:space="preserve">2018 </w:t>
      </w:r>
      <w:r>
        <w:rPr>
          <w:rFonts w:ascii="Times New Roman" w:hAnsi="Times New Roman" w:cs="Times New Roman"/>
          <w:sz w:val="24"/>
          <w:szCs w:val="24"/>
        </w:rPr>
        <w:t xml:space="preserve">and from the German </w:t>
      </w:r>
      <w:r w:rsidR="00831D67">
        <w:rPr>
          <w:rFonts w:ascii="Times New Roman" w:hAnsi="Times New Roman" w:cs="Times New Roman"/>
          <w:sz w:val="24"/>
          <w:szCs w:val="24"/>
        </w:rPr>
        <w:t>r</w:t>
      </w:r>
      <w:r>
        <w:rPr>
          <w:rFonts w:ascii="Times New Roman" w:hAnsi="Times New Roman" w:cs="Times New Roman"/>
          <w:sz w:val="24"/>
          <w:szCs w:val="24"/>
        </w:rPr>
        <w:t xml:space="preserve">egulator on </w:t>
      </w:r>
      <w:r w:rsidR="00020A30">
        <w:rPr>
          <w:rFonts w:ascii="Times New Roman" w:hAnsi="Times New Roman" w:cs="Times New Roman"/>
          <w:sz w:val="24"/>
          <w:szCs w:val="24"/>
        </w:rPr>
        <w:t xml:space="preserve">2 </w:t>
      </w:r>
      <w:r>
        <w:rPr>
          <w:rFonts w:ascii="Times New Roman" w:hAnsi="Times New Roman" w:cs="Times New Roman"/>
          <w:sz w:val="24"/>
          <w:szCs w:val="24"/>
        </w:rPr>
        <w:t xml:space="preserve">November, each of which put Arthropharm on notice that </w:t>
      </w:r>
      <w:r w:rsidR="00581297">
        <w:rPr>
          <w:rFonts w:ascii="Times New Roman" w:hAnsi="Times New Roman" w:cs="Times New Roman"/>
          <w:sz w:val="24"/>
          <w:szCs w:val="24"/>
        </w:rPr>
        <w:t xml:space="preserve">(respectively) </w:t>
      </w:r>
      <w:r>
        <w:rPr>
          <w:rFonts w:ascii="Times New Roman" w:hAnsi="Times New Roman" w:cs="Times New Roman"/>
          <w:sz w:val="24"/>
          <w:szCs w:val="24"/>
        </w:rPr>
        <w:t xml:space="preserve">a detailed reply to its objection had been formulated and sent.  Had it taken this step it would have learnt far earlier than it did of the position adopted by HPRA </w:t>
      </w:r>
      <w:r w:rsidR="00FB0A11">
        <w:rPr>
          <w:rFonts w:ascii="Times New Roman" w:hAnsi="Times New Roman" w:cs="Times New Roman"/>
          <w:sz w:val="24"/>
          <w:szCs w:val="24"/>
        </w:rPr>
        <w:t>to</w:t>
      </w:r>
      <w:r>
        <w:rPr>
          <w:rFonts w:ascii="Times New Roman" w:hAnsi="Times New Roman" w:cs="Times New Roman"/>
          <w:sz w:val="24"/>
          <w:szCs w:val="24"/>
        </w:rPr>
        <w:t xml:space="preserve"> its objection</w:t>
      </w:r>
      <w:r w:rsidR="00570B74">
        <w:rPr>
          <w:rFonts w:ascii="Times New Roman" w:hAnsi="Times New Roman" w:cs="Times New Roman"/>
          <w:sz w:val="24"/>
          <w:szCs w:val="24"/>
        </w:rPr>
        <w:t xml:space="preserve"> to the decision to grant the marketing authorisation in respect of Osteopen.</w:t>
      </w:r>
    </w:p>
    <w:p w14:paraId="62C8D129" w14:textId="77777777" w:rsidR="00C31257" w:rsidRPr="00C31257" w:rsidRDefault="00C31257" w:rsidP="00C31257">
      <w:pPr>
        <w:pStyle w:val="ListParagraph"/>
        <w:rPr>
          <w:rFonts w:ascii="Times New Roman" w:hAnsi="Times New Roman" w:cs="Times New Roman"/>
          <w:b/>
          <w:sz w:val="24"/>
          <w:szCs w:val="24"/>
        </w:rPr>
      </w:pPr>
    </w:p>
    <w:p w14:paraId="4D0D0698" w14:textId="2E7CE773" w:rsidR="00C31257" w:rsidRPr="00C31257" w:rsidRDefault="00C31257" w:rsidP="002D60BB">
      <w:pPr>
        <w:pStyle w:val="ListParagraph"/>
        <w:numPr>
          <w:ilvl w:val="0"/>
          <w:numId w:val="28"/>
        </w:numPr>
        <w:spacing w:before="240" w:line="480" w:lineRule="auto"/>
        <w:jc w:val="both"/>
        <w:rPr>
          <w:rFonts w:ascii="Times New Roman" w:hAnsi="Times New Roman" w:cs="Times New Roman"/>
          <w:b/>
          <w:sz w:val="24"/>
          <w:szCs w:val="24"/>
        </w:rPr>
      </w:pPr>
      <w:r>
        <w:rPr>
          <w:rFonts w:ascii="Times New Roman" w:hAnsi="Times New Roman" w:cs="Times New Roman"/>
          <w:sz w:val="24"/>
          <w:szCs w:val="24"/>
        </w:rPr>
        <w:t xml:space="preserve">Arthropharm was not justified in postponing the bringing of a legal challenge until it obtained a sample of Osteopen on the open market.  If it were so justified, this would mean </w:t>
      </w:r>
      <w:r w:rsidR="00BD3274">
        <w:rPr>
          <w:rFonts w:ascii="Times New Roman" w:hAnsi="Times New Roman" w:cs="Times New Roman"/>
          <w:sz w:val="24"/>
          <w:szCs w:val="24"/>
        </w:rPr>
        <w:t xml:space="preserve">in practical terms </w:t>
      </w:r>
      <w:r>
        <w:rPr>
          <w:rFonts w:ascii="Times New Roman" w:hAnsi="Times New Roman" w:cs="Times New Roman"/>
          <w:sz w:val="24"/>
          <w:szCs w:val="24"/>
        </w:rPr>
        <w:t>that time under Order 84 Rule 21(1) would be pushed back for a potentially significant period</w:t>
      </w:r>
      <w:r w:rsidR="00570B74">
        <w:rPr>
          <w:rFonts w:ascii="Times New Roman" w:hAnsi="Times New Roman" w:cs="Times New Roman"/>
          <w:sz w:val="24"/>
          <w:szCs w:val="24"/>
        </w:rPr>
        <w:t xml:space="preserve"> limited only by the happenstance of when the product appeared on th</w:t>
      </w:r>
      <w:r w:rsidR="00581297">
        <w:rPr>
          <w:rFonts w:ascii="Times New Roman" w:hAnsi="Times New Roman" w:cs="Times New Roman"/>
          <w:sz w:val="24"/>
          <w:szCs w:val="24"/>
        </w:rPr>
        <w:t>at</w:t>
      </w:r>
      <w:r w:rsidR="00570B74">
        <w:rPr>
          <w:rFonts w:ascii="Times New Roman" w:hAnsi="Times New Roman" w:cs="Times New Roman"/>
          <w:sz w:val="24"/>
          <w:szCs w:val="24"/>
        </w:rPr>
        <w:t xml:space="preserve"> market</w:t>
      </w:r>
      <w:r>
        <w:rPr>
          <w:rFonts w:ascii="Times New Roman" w:hAnsi="Times New Roman" w:cs="Times New Roman"/>
          <w:sz w:val="24"/>
          <w:szCs w:val="24"/>
        </w:rPr>
        <w:t xml:space="preserve">.  Arthropharm had sufficient information to formulate the essential challenge it wished to bring by </w:t>
      </w:r>
      <w:r w:rsidR="00B152B4">
        <w:rPr>
          <w:rFonts w:ascii="Times New Roman" w:hAnsi="Times New Roman" w:cs="Times New Roman"/>
          <w:sz w:val="24"/>
          <w:szCs w:val="24"/>
        </w:rPr>
        <w:t xml:space="preserve">– at the latest - </w:t>
      </w:r>
      <w:r w:rsidR="00232ADF">
        <w:rPr>
          <w:rFonts w:ascii="Times New Roman" w:hAnsi="Times New Roman" w:cs="Times New Roman"/>
          <w:sz w:val="24"/>
          <w:szCs w:val="24"/>
        </w:rPr>
        <w:t>1</w:t>
      </w:r>
      <w:r w:rsidR="0063551A">
        <w:rPr>
          <w:rFonts w:ascii="Times New Roman" w:hAnsi="Times New Roman" w:cs="Times New Roman"/>
          <w:sz w:val="24"/>
          <w:szCs w:val="24"/>
        </w:rPr>
        <w:t>2</w:t>
      </w:r>
      <w:r w:rsidR="00232ADF">
        <w:rPr>
          <w:rFonts w:ascii="Times New Roman" w:hAnsi="Times New Roman" w:cs="Times New Roman"/>
          <w:sz w:val="24"/>
          <w:szCs w:val="24"/>
        </w:rPr>
        <w:t xml:space="preserve"> </w:t>
      </w:r>
      <w:r>
        <w:rPr>
          <w:rFonts w:ascii="Times New Roman" w:hAnsi="Times New Roman" w:cs="Times New Roman"/>
          <w:sz w:val="24"/>
          <w:szCs w:val="24"/>
        </w:rPr>
        <w:t>October</w:t>
      </w:r>
      <w:r w:rsidR="0063551A">
        <w:rPr>
          <w:rFonts w:ascii="Times New Roman" w:hAnsi="Times New Roman" w:cs="Times New Roman"/>
          <w:sz w:val="24"/>
          <w:szCs w:val="24"/>
        </w:rPr>
        <w:t xml:space="preserve"> 2018</w:t>
      </w:r>
      <w:r>
        <w:rPr>
          <w:rFonts w:ascii="Times New Roman" w:hAnsi="Times New Roman" w:cs="Times New Roman"/>
          <w:sz w:val="24"/>
          <w:szCs w:val="24"/>
        </w:rPr>
        <w:t>.</w:t>
      </w:r>
    </w:p>
    <w:p w14:paraId="07C2DE92" w14:textId="77777777" w:rsidR="00C31257" w:rsidRPr="00C31257" w:rsidRDefault="00C31257" w:rsidP="00C31257">
      <w:pPr>
        <w:pStyle w:val="ListParagraph"/>
        <w:rPr>
          <w:rFonts w:ascii="Times New Roman" w:hAnsi="Times New Roman" w:cs="Times New Roman"/>
          <w:b/>
          <w:sz w:val="24"/>
          <w:szCs w:val="24"/>
        </w:rPr>
      </w:pPr>
    </w:p>
    <w:p w14:paraId="59E14959" w14:textId="77777777" w:rsidR="007B66F5" w:rsidRPr="007B66F5" w:rsidRDefault="00C31257" w:rsidP="002D60BB">
      <w:pPr>
        <w:pStyle w:val="ListParagraph"/>
        <w:numPr>
          <w:ilvl w:val="0"/>
          <w:numId w:val="28"/>
        </w:numPr>
        <w:spacing w:before="240" w:line="480" w:lineRule="auto"/>
        <w:jc w:val="both"/>
        <w:rPr>
          <w:rFonts w:ascii="Times New Roman" w:hAnsi="Times New Roman" w:cs="Times New Roman"/>
          <w:b/>
          <w:sz w:val="24"/>
          <w:szCs w:val="24"/>
        </w:rPr>
      </w:pPr>
      <w:r>
        <w:rPr>
          <w:rFonts w:ascii="Times New Roman" w:hAnsi="Times New Roman" w:cs="Times New Roman"/>
          <w:sz w:val="24"/>
          <w:szCs w:val="24"/>
        </w:rPr>
        <w:lastRenderedPageBreak/>
        <w:t>Arthropharm’s actions in not seeking a sample of the product from Chanelle and in failing to advise it that it was proposing a challenge to the decision were not reasonable in the circumstances.</w:t>
      </w:r>
    </w:p>
    <w:p w14:paraId="32C7D205" w14:textId="77777777" w:rsidR="007B66F5" w:rsidRPr="007B66F5" w:rsidRDefault="007B66F5" w:rsidP="007B66F5">
      <w:pPr>
        <w:pStyle w:val="ListParagraph"/>
        <w:rPr>
          <w:rFonts w:ascii="Times New Roman" w:hAnsi="Times New Roman" w:cs="Times New Roman"/>
          <w:b/>
          <w:sz w:val="24"/>
          <w:szCs w:val="24"/>
        </w:rPr>
      </w:pPr>
    </w:p>
    <w:p w14:paraId="36D0D8DE" w14:textId="63704CBC" w:rsidR="002D60BB" w:rsidRDefault="007B66F5" w:rsidP="002D60BB">
      <w:pPr>
        <w:pStyle w:val="ListParagraph"/>
        <w:numPr>
          <w:ilvl w:val="0"/>
          <w:numId w:val="28"/>
        </w:numPr>
        <w:spacing w:before="240" w:line="480" w:lineRule="auto"/>
        <w:jc w:val="both"/>
        <w:rPr>
          <w:rFonts w:ascii="Times New Roman" w:hAnsi="Times New Roman" w:cs="Times New Roman"/>
          <w:b/>
          <w:sz w:val="24"/>
          <w:szCs w:val="24"/>
        </w:rPr>
      </w:pPr>
      <w:r>
        <w:rPr>
          <w:rFonts w:ascii="Times New Roman" w:hAnsi="Times New Roman" w:cs="Times New Roman"/>
          <w:sz w:val="24"/>
          <w:szCs w:val="24"/>
        </w:rPr>
        <w:t xml:space="preserve">Permitting Arthropharm to proceed with a challenge to the decision of </w:t>
      </w:r>
      <w:r w:rsidR="00831D67">
        <w:rPr>
          <w:rFonts w:ascii="Times New Roman" w:hAnsi="Times New Roman" w:cs="Times New Roman"/>
          <w:sz w:val="24"/>
          <w:szCs w:val="24"/>
        </w:rPr>
        <w:t xml:space="preserve">20 </w:t>
      </w:r>
      <w:r>
        <w:rPr>
          <w:rFonts w:ascii="Times New Roman" w:hAnsi="Times New Roman" w:cs="Times New Roman"/>
          <w:sz w:val="24"/>
          <w:szCs w:val="24"/>
        </w:rPr>
        <w:t xml:space="preserve">July </w:t>
      </w:r>
      <w:r w:rsidR="0063551A">
        <w:rPr>
          <w:rFonts w:ascii="Times New Roman" w:hAnsi="Times New Roman" w:cs="Times New Roman"/>
          <w:sz w:val="24"/>
          <w:szCs w:val="24"/>
        </w:rPr>
        <w:t xml:space="preserve">2018 </w:t>
      </w:r>
      <w:r>
        <w:rPr>
          <w:rFonts w:ascii="Times New Roman" w:hAnsi="Times New Roman" w:cs="Times New Roman"/>
          <w:sz w:val="24"/>
          <w:szCs w:val="24"/>
        </w:rPr>
        <w:t xml:space="preserve">outside the period of three months </w:t>
      </w:r>
      <w:r w:rsidR="0063551A">
        <w:rPr>
          <w:rFonts w:ascii="Times New Roman" w:hAnsi="Times New Roman" w:cs="Times New Roman"/>
          <w:sz w:val="24"/>
          <w:szCs w:val="24"/>
        </w:rPr>
        <w:t>prescribed</w:t>
      </w:r>
      <w:r>
        <w:rPr>
          <w:rFonts w:ascii="Times New Roman" w:hAnsi="Times New Roman" w:cs="Times New Roman"/>
          <w:sz w:val="24"/>
          <w:szCs w:val="24"/>
        </w:rPr>
        <w:t xml:space="preserve"> by Order 84 Rule 21(1) would in the circumstances of this case have caused considerable prejudice to Chanelle.</w:t>
      </w:r>
      <w:r w:rsidR="002D60BB">
        <w:rPr>
          <w:rFonts w:ascii="Times New Roman" w:hAnsi="Times New Roman" w:cs="Times New Roman"/>
          <w:b/>
          <w:sz w:val="24"/>
          <w:szCs w:val="24"/>
        </w:rPr>
        <w:t xml:space="preserve">  </w:t>
      </w:r>
    </w:p>
    <w:p w14:paraId="051C8854" w14:textId="77777777" w:rsidR="002D60BB" w:rsidRPr="002D60BB" w:rsidRDefault="002D60BB" w:rsidP="002D60BB">
      <w:pPr>
        <w:pStyle w:val="ListParagraph"/>
        <w:rPr>
          <w:rFonts w:ascii="Times New Roman" w:hAnsi="Times New Roman" w:cs="Times New Roman"/>
          <w:b/>
          <w:sz w:val="24"/>
          <w:szCs w:val="24"/>
        </w:rPr>
      </w:pPr>
    </w:p>
    <w:p w14:paraId="32A6C387" w14:textId="77777777" w:rsidR="002D60BB" w:rsidRPr="007B66F5" w:rsidRDefault="007B66F5" w:rsidP="000763E9">
      <w:pPr>
        <w:pStyle w:val="ListParagraph"/>
        <w:numPr>
          <w:ilvl w:val="0"/>
          <w:numId w:val="27"/>
        </w:numPr>
        <w:spacing w:before="240" w:line="480" w:lineRule="auto"/>
        <w:jc w:val="both"/>
        <w:rPr>
          <w:rFonts w:ascii="Times New Roman" w:hAnsi="Times New Roman" w:cs="Times New Roman"/>
          <w:b/>
          <w:sz w:val="24"/>
          <w:szCs w:val="24"/>
        </w:rPr>
      </w:pPr>
      <w:r>
        <w:rPr>
          <w:rFonts w:ascii="Times New Roman" w:hAnsi="Times New Roman" w:cs="Times New Roman"/>
          <w:sz w:val="24"/>
          <w:szCs w:val="24"/>
        </w:rPr>
        <w:t>Save in those cases where it appears that a claim is so weak as to be unarguable or is admitted to be so strong as to be incontrovertible, it is not appropriate in an application for an extension of time pursuant to Order 84 Rule 21(1) to embark upon an analysis of the merits of the case.</w:t>
      </w:r>
    </w:p>
    <w:p w14:paraId="42A7D0AF" w14:textId="77777777" w:rsidR="007B66F5" w:rsidRDefault="007B66F5" w:rsidP="007B66F5">
      <w:pPr>
        <w:pStyle w:val="ListParagraph"/>
        <w:spacing w:before="240" w:line="480" w:lineRule="auto"/>
        <w:ind w:left="2160"/>
        <w:jc w:val="both"/>
        <w:rPr>
          <w:rFonts w:ascii="Times New Roman" w:hAnsi="Times New Roman" w:cs="Times New Roman"/>
          <w:b/>
          <w:sz w:val="24"/>
          <w:szCs w:val="24"/>
        </w:rPr>
      </w:pPr>
      <w:r>
        <w:rPr>
          <w:rFonts w:ascii="Times New Roman" w:hAnsi="Times New Roman" w:cs="Times New Roman"/>
          <w:b/>
          <w:sz w:val="24"/>
          <w:szCs w:val="24"/>
        </w:rPr>
        <w:t xml:space="preserve">  </w:t>
      </w:r>
    </w:p>
    <w:p w14:paraId="3AFD9DB8" w14:textId="4811E8DE" w:rsidR="007B66F5" w:rsidRPr="00462A11" w:rsidRDefault="00B907CB" w:rsidP="000763E9">
      <w:pPr>
        <w:pStyle w:val="ListParagraph"/>
        <w:numPr>
          <w:ilvl w:val="0"/>
          <w:numId w:val="27"/>
        </w:numPr>
        <w:spacing w:before="240" w:line="480" w:lineRule="auto"/>
        <w:jc w:val="both"/>
        <w:rPr>
          <w:rFonts w:ascii="Times New Roman" w:hAnsi="Times New Roman" w:cs="Times New Roman"/>
          <w:b/>
          <w:sz w:val="24"/>
          <w:szCs w:val="24"/>
        </w:rPr>
      </w:pPr>
      <w:r>
        <w:rPr>
          <w:rFonts w:ascii="Times New Roman" w:hAnsi="Times New Roman" w:cs="Times New Roman"/>
          <w:sz w:val="24"/>
          <w:szCs w:val="24"/>
        </w:rPr>
        <w:t>The position</w:t>
      </w:r>
      <w:r w:rsidR="000C0462">
        <w:rPr>
          <w:rFonts w:ascii="Times New Roman" w:hAnsi="Times New Roman" w:cs="Times New Roman"/>
          <w:sz w:val="24"/>
          <w:szCs w:val="24"/>
        </w:rPr>
        <w:t>s</w:t>
      </w:r>
      <w:r>
        <w:rPr>
          <w:rFonts w:ascii="Times New Roman" w:hAnsi="Times New Roman" w:cs="Times New Roman"/>
          <w:sz w:val="24"/>
          <w:szCs w:val="24"/>
        </w:rPr>
        <w:t xml:space="preserve"> adopted by HPRA in its two letters of </w:t>
      </w:r>
      <w:r w:rsidR="00831D67">
        <w:rPr>
          <w:rFonts w:ascii="Times New Roman" w:hAnsi="Times New Roman" w:cs="Times New Roman"/>
          <w:sz w:val="24"/>
          <w:szCs w:val="24"/>
        </w:rPr>
        <w:t xml:space="preserve">6 </w:t>
      </w:r>
      <w:r>
        <w:rPr>
          <w:rFonts w:ascii="Times New Roman" w:hAnsi="Times New Roman" w:cs="Times New Roman"/>
          <w:sz w:val="24"/>
          <w:szCs w:val="24"/>
        </w:rPr>
        <w:t xml:space="preserve">March </w:t>
      </w:r>
      <w:r w:rsidR="0063551A">
        <w:rPr>
          <w:rFonts w:ascii="Times New Roman" w:hAnsi="Times New Roman" w:cs="Times New Roman"/>
          <w:sz w:val="24"/>
          <w:szCs w:val="24"/>
        </w:rPr>
        <w:t xml:space="preserve">2019 </w:t>
      </w:r>
      <w:r>
        <w:rPr>
          <w:rFonts w:ascii="Times New Roman" w:hAnsi="Times New Roman" w:cs="Times New Roman"/>
          <w:sz w:val="24"/>
          <w:szCs w:val="24"/>
        </w:rPr>
        <w:t>were in response to objections made to the grant of a marketing authorisation having regard to the provisions of Article 13 of the 2001 Directive</w:t>
      </w:r>
      <w:r w:rsidR="0063551A">
        <w:rPr>
          <w:rFonts w:ascii="Times New Roman" w:hAnsi="Times New Roman" w:cs="Times New Roman"/>
          <w:sz w:val="24"/>
          <w:szCs w:val="24"/>
        </w:rPr>
        <w:t xml:space="preserve"> and reiterated that decision.</w:t>
      </w:r>
      <w:r>
        <w:rPr>
          <w:rFonts w:ascii="Times New Roman" w:hAnsi="Times New Roman" w:cs="Times New Roman"/>
          <w:sz w:val="24"/>
          <w:szCs w:val="24"/>
        </w:rPr>
        <w:t xml:space="preserve"> The letters did not, accordingly, comprise a ‘</w:t>
      </w:r>
      <w:r>
        <w:rPr>
          <w:rFonts w:ascii="Times New Roman" w:hAnsi="Times New Roman" w:cs="Times New Roman"/>
          <w:i/>
          <w:sz w:val="24"/>
          <w:szCs w:val="24"/>
        </w:rPr>
        <w:t>new’</w:t>
      </w:r>
      <w:r>
        <w:rPr>
          <w:rFonts w:ascii="Times New Roman" w:hAnsi="Times New Roman" w:cs="Times New Roman"/>
          <w:sz w:val="24"/>
          <w:szCs w:val="24"/>
        </w:rPr>
        <w:t xml:space="preserve"> decision capable of distinct challenge and consequent avoidance of the time limit for seeking judicial review of the decision of </w:t>
      </w:r>
      <w:r w:rsidR="00831D67">
        <w:rPr>
          <w:rFonts w:ascii="Times New Roman" w:hAnsi="Times New Roman" w:cs="Times New Roman"/>
          <w:sz w:val="24"/>
          <w:szCs w:val="24"/>
        </w:rPr>
        <w:t xml:space="preserve">20 </w:t>
      </w:r>
      <w:r>
        <w:rPr>
          <w:rFonts w:ascii="Times New Roman" w:hAnsi="Times New Roman" w:cs="Times New Roman"/>
          <w:sz w:val="24"/>
          <w:szCs w:val="24"/>
        </w:rPr>
        <w:t>July</w:t>
      </w:r>
      <w:r w:rsidR="0063551A">
        <w:rPr>
          <w:rFonts w:ascii="Times New Roman" w:hAnsi="Times New Roman" w:cs="Times New Roman"/>
          <w:sz w:val="24"/>
          <w:szCs w:val="24"/>
        </w:rPr>
        <w:t xml:space="preserve"> 2018</w:t>
      </w:r>
      <w:r>
        <w:rPr>
          <w:rFonts w:ascii="Times New Roman" w:hAnsi="Times New Roman" w:cs="Times New Roman"/>
          <w:sz w:val="24"/>
          <w:szCs w:val="24"/>
        </w:rPr>
        <w:t>.</w:t>
      </w:r>
    </w:p>
    <w:p w14:paraId="7AADE245" w14:textId="77777777" w:rsidR="00462A11" w:rsidRPr="00462A11" w:rsidRDefault="00462A11" w:rsidP="00462A11">
      <w:pPr>
        <w:pStyle w:val="ListParagraph"/>
        <w:rPr>
          <w:rFonts w:ascii="Times New Roman" w:hAnsi="Times New Roman" w:cs="Times New Roman"/>
          <w:b/>
          <w:sz w:val="24"/>
          <w:szCs w:val="24"/>
        </w:rPr>
      </w:pPr>
    </w:p>
    <w:p w14:paraId="4F974E91" w14:textId="48E08042" w:rsidR="00462A11" w:rsidRPr="000763E9" w:rsidRDefault="00462A11" w:rsidP="000763E9">
      <w:pPr>
        <w:pStyle w:val="ListParagraph"/>
        <w:numPr>
          <w:ilvl w:val="0"/>
          <w:numId w:val="27"/>
        </w:numPr>
        <w:spacing w:before="240" w:line="480" w:lineRule="auto"/>
        <w:jc w:val="both"/>
        <w:rPr>
          <w:rFonts w:ascii="Times New Roman" w:hAnsi="Times New Roman" w:cs="Times New Roman"/>
          <w:b/>
          <w:sz w:val="24"/>
          <w:szCs w:val="24"/>
        </w:rPr>
      </w:pPr>
      <w:r>
        <w:rPr>
          <w:rFonts w:ascii="Times New Roman" w:hAnsi="Times New Roman" w:cs="Times New Roman"/>
          <w:sz w:val="24"/>
          <w:szCs w:val="24"/>
        </w:rPr>
        <w:t>In any event, the challenge to that decision is a collateral attack on the decision of 2</w:t>
      </w:r>
      <w:r w:rsidR="00F37227">
        <w:rPr>
          <w:rFonts w:ascii="Times New Roman" w:hAnsi="Times New Roman" w:cs="Times New Roman"/>
          <w:sz w:val="24"/>
          <w:szCs w:val="24"/>
        </w:rPr>
        <w:t>0</w:t>
      </w:r>
      <w:r>
        <w:rPr>
          <w:rFonts w:ascii="Times New Roman" w:hAnsi="Times New Roman" w:cs="Times New Roman"/>
          <w:sz w:val="24"/>
          <w:szCs w:val="24"/>
        </w:rPr>
        <w:t xml:space="preserve"> July </w:t>
      </w:r>
      <w:r w:rsidR="00F37227">
        <w:rPr>
          <w:rFonts w:ascii="Times New Roman" w:hAnsi="Times New Roman" w:cs="Times New Roman"/>
          <w:sz w:val="24"/>
          <w:szCs w:val="24"/>
        </w:rPr>
        <w:t xml:space="preserve">2018 </w:t>
      </w:r>
      <w:r>
        <w:rPr>
          <w:rFonts w:ascii="Times New Roman" w:hAnsi="Times New Roman" w:cs="Times New Roman"/>
          <w:sz w:val="24"/>
          <w:szCs w:val="24"/>
        </w:rPr>
        <w:t>and is, on that basis, properly viewed as being time barred.</w:t>
      </w:r>
    </w:p>
    <w:p w14:paraId="2E987503" w14:textId="77777777" w:rsidR="000763E9" w:rsidRPr="000763E9" w:rsidRDefault="000763E9" w:rsidP="000763E9">
      <w:pPr>
        <w:pStyle w:val="ListParagraph"/>
        <w:rPr>
          <w:rFonts w:ascii="Times New Roman" w:hAnsi="Times New Roman" w:cs="Times New Roman"/>
          <w:b/>
          <w:sz w:val="24"/>
          <w:szCs w:val="24"/>
        </w:rPr>
      </w:pPr>
    </w:p>
    <w:p w14:paraId="29CDAD69" w14:textId="3DAD23B2" w:rsidR="000763E9" w:rsidRDefault="00890741" w:rsidP="00DF0CCF">
      <w:pPr>
        <w:pStyle w:val="ListParagraph"/>
        <w:numPr>
          <w:ilvl w:val="0"/>
          <w:numId w:val="1"/>
        </w:numPr>
        <w:spacing w:before="240" w:line="480" w:lineRule="auto"/>
        <w:ind w:hanging="502"/>
        <w:jc w:val="both"/>
        <w:rPr>
          <w:rFonts w:ascii="Times New Roman" w:hAnsi="Times New Roman" w:cs="Times New Roman"/>
          <w:b/>
          <w:sz w:val="24"/>
          <w:szCs w:val="24"/>
        </w:rPr>
      </w:pPr>
      <w:r>
        <w:rPr>
          <w:rFonts w:ascii="Times New Roman" w:hAnsi="Times New Roman" w:cs="Times New Roman"/>
          <w:sz w:val="24"/>
          <w:szCs w:val="24"/>
        </w:rPr>
        <w:lastRenderedPageBreak/>
        <w:t xml:space="preserve">Accordingly, </w:t>
      </w:r>
      <w:r w:rsidR="00B907CB">
        <w:rPr>
          <w:rFonts w:ascii="Times New Roman" w:hAnsi="Times New Roman" w:cs="Times New Roman"/>
          <w:sz w:val="24"/>
          <w:szCs w:val="24"/>
        </w:rPr>
        <w:t xml:space="preserve">this appeal should be dismissed and, on its face, HPRA and Chanelle are entitled to the costs of the proceedings including this appeal.  Costello J. and Haughton J. agree with this conclusion and </w:t>
      </w:r>
      <w:r w:rsidR="00831D67">
        <w:rPr>
          <w:rFonts w:ascii="Times New Roman" w:hAnsi="Times New Roman" w:cs="Times New Roman"/>
          <w:sz w:val="24"/>
          <w:szCs w:val="24"/>
        </w:rPr>
        <w:t xml:space="preserve">with </w:t>
      </w:r>
      <w:r w:rsidR="00B907CB">
        <w:rPr>
          <w:rFonts w:ascii="Times New Roman" w:hAnsi="Times New Roman" w:cs="Times New Roman"/>
          <w:sz w:val="24"/>
          <w:szCs w:val="24"/>
        </w:rPr>
        <w:t xml:space="preserve">the reasons I have reached it.  If Arthropharm proposes to challenge the preliminary view I have expressed as to the disposition of costs it should advise the Court of Appeal office within fourteen days of the date of this </w:t>
      </w:r>
      <w:r w:rsidR="00831D67">
        <w:rPr>
          <w:rFonts w:ascii="Times New Roman" w:hAnsi="Times New Roman" w:cs="Times New Roman"/>
          <w:sz w:val="24"/>
          <w:szCs w:val="24"/>
        </w:rPr>
        <w:t>judgment</w:t>
      </w:r>
      <w:r w:rsidR="00B907CB">
        <w:rPr>
          <w:rFonts w:ascii="Times New Roman" w:hAnsi="Times New Roman" w:cs="Times New Roman"/>
          <w:sz w:val="24"/>
          <w:szCs w:val="24"/>
        </w:rPr>
        <w:t xml:space="preserve"> and a hearing will be convened to address those costs.</w:t>
      </w:r>
    </w:p>
    <w:p w14:paraId="52826D42" w14:textId="77777777" w:rsidR="000763E9" w:rsidRDefault="000763E9" w:rsidP="000763E9">
      <w:pPr>
        <w:pStyle w:val="ListParagraph"/>
        <w:spacing w:before="240" w:line="480" w:lineRule="auto"/>
        <w:ind w:left="786"/>
        <w:jc w:val="both"/>
        <w:rPr>
          <w:rFonts w:ascii="Times New Roman" w:hAnsi="Times New Roman" w:cs="Times New Roman"/>
          <w:b/>
          <w:sz w:val="24"/>
          <w:szCs w:val="24"/>
        </w:rPr>
      </w:pPr>
    </w:p>
    <w:p w14:paraId="70A66E31" w14:textId="77777777" w:rsidR="000763E9" w:rsidRPr="008B4E9E" w:rsidRDefault="000763E9" w:rsidP="000763E9">
      <w:pPr>
        <w:pStyle w:val="ListParagraph"/>
        <w:spacing w:before="240" w:line="480" w:lineRule="auto"/>
        <w:ind w:left="786"/>
        <w:jc w:val="both"/>
        <w:rPr>
          <w:rFonts w:ascii="Times New Roman" w:hAnsi="Times New Roman" w:cs="Times New Roman"/>
          <w:b/>
          <w:sz w:val="24"/>
          <w:szCs w:val="24"/>
        </w:rPr>
      </w:pPr>
    </w:p>
    <w:p w14:paraId="3BDE3940" w14:textId="77777777" w:rsidR="00D14BED" w:rsidRPr="008B4E9E" w:rsidRDefault="00D14BED" w:rsidP="008B4E9E">
      <w:pPr>
        <w:spacing w:before="240" w:line="480" w:lineRule="auto"/>
        <w:ind w:left="426"/>
        <w:jc w:val="both"/>
        <w:rPr>
          <w:rFonts w:ascii="Times New Roman" w:hAnsi="Times New Roman" w:cs="Times New Roman"/>
          <w:b/>
          <w:sz w:val="24"/>
          <w:szCs w:val="24"/>
        </w:rPr>
      </w:pPr>
    </w:p>
    <w:p w14:paraId="57471202" w14:textId="77777777" w:rsidR="0045372B" w:rsidRPr="0095692D" w:rsidRDefault="0045372B" w:rsidP="0095692D">
      <w:pPr>
        <w:pStyle w:val="ListParagraph"/>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27040B" w:rsidRPr="0095692D">
        <w:rPr>
          <w:rFonts w:ascii="Times New Roman" w:hAnsi="Times New Roman" w:cs="Times New Roman"/>
          <w:b/>
          <w:sz w:val="24"/>
          <w:szCs w:val="24"/>
        </w:rPr>
        <w:t xml:space="preserve">  </w:t>
      </w:r>
    </w:p>
    <w:p w14:paraId="5C8AB4AF" w14:textId="77777777" w:rsidR="0027040B" w:rsidRPr="00F21414" w:rsidRDefault="0027040B" w:rsidP="0027040B">
      <w:pPr>
        <w:pStyle w:val="ListParagraph"/>
        <w:spacing w:line="480" w:lineRule="auto"/>
        <w:jc w:val="both"/>
        <w:rPr>
          <w:rFonts w:ascii="Times New Roman" w:hAnsi="Times New Roman" w:cs="Times New Roman"/>
          <w:b/>
          <w:sz w:val="24"/>
          <w:szCs w:val="24"/>
        </w:rPr>
      </w:pPr>
    </w:p>
    <w:p w14:paraId="5042953C" w14:textId="77777777" w:rsidR="00217059" w:rsidRDefault="00217059" w:rsidP="00E6605D">
      <w:pPr>
        <w:spacing w:line="480" w:lineRule="auto"/>
        <w:jc w:val="both"/>
        <w:rPr>
          <w:rFonts w:ascii="Times New Roman" w:hAnsi="Times New Roman" w:cs="Times New Roman"/>
          <w:b/>
          <w:sz w:val="24"/>
          <w:szCs w:val="24"/>
        </w:rPr>
      </w:pPr>
    </w:p>
    <w:p w14:paraId="2563FBB6" w14:textId="77777777" w:rsidR="001E030C" w:rsidRDefault="001E030C"/>
    <w:sectPr w:rsidR="001E030C" w:rsidSect="001E030C">
      <w:headerReference w:type="default" r:id="rId8"/>
      <w:head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19D4F" w14:textId="77777777" w:rsidR="001331D5" w:rsidRDefault="001331D5" w:rsidP="001E030C">
      <w:pPr>
        <w:spacing w:after="0" w:line="240" w:lineRule="auto"/>
      </w:pPr>
      <w:r>
        <w:separator/>
      </w:r>
    </w:p>
  </w:endnote>
  <w:endnote w:type="continuationSeparator" w:id="0">
    <w:p w14:paraId="3122870F" w14:textId="77777777" w:rsidR="001331D5" w:rsidRDefault="001331D5" w:rsidP="001E0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D7D71" w14:textId="77777777" w:rsidR="001331D5" w:rsidRDefault="001331D5" w:rsidP="001E030C">
      <w:pPr>
        <w:spacing w:after="0" w:line="240" w:lineRule="auto"/>
      </w:pPr>
      <w:r>
        <w:separator/>
      </w:r>
    </w:p>
  </w:footnote>
  <w:footnote w:type="continuationSeparator" w:id="0">
    <w:p w14:paraId="5B8C4D4F" w14:textId="77777777" w:rsidR="001331D5" w:rsidRDefault="001331D5" w:rsidP="001E030C">
      <w:pPr>
        <w:spacing w:after="0" w:line="240" w:lineRule="auto"/>
      </w:pPr>
      <w:r>
        <w:continuationSeparator/>
      </w:r>
    </w:p>
  </w:footnote>
  <w:footnote w:id="1">
    <w:p w14:paraId="60EE4CF2" w14:textId="77777777" w:rsidR="001331D5" w:rsidRPr="00A264DC" w:rsidRDefault="001331D5" w:rsidP="00247C2E">
      <w:pPr>
        <w:pStyle w:val="FootnoteText"/>
        <w:rPr>
          <w:rFonts w:ascii="Times New Roman" w:hAnsi="Times New Roman" w:cs="Times New Roman"/>
        </w:rPr>
      </w:pPr>
      <w:r w:rsidRPr="00A264DC">
        <w:rPr>
          <w:rStyle w:val="FootnoteReference"/>
          <w:rFonts w:ascii="Times New Roman" w:hAnsi="Times New Roman" w:cs="Times New Roman"/>
        </w:rPr>
        <w:footnoteRef/>
      </w:r>
      <w:r w:rsidRPr="00A264DC">
        <w:rPr>
          <w:rFonts w:ascii="Times New Roman" w:hAnsi="Times New Roman" w:cs="Times New Roman"/>
        </w:rPr>
        <w:t xml:space="preserve"> At the time the respondent was known as the Irish Medicines Board.</w:t>
      </w:r>
    </w:p>
  </w:footnote>
  <w:footnote w:id="2">
    <w:p w14:paraId="6C9F276D" w14:textId="3F4403D3" w:rsidR="001331D5" w:rsidRPr="00373BC7" w:rsidRDefault="001331D5" w:rsidP="00373BC7">
      <w:pPr>
        <w:pStyle w:val="FootnoteText"/>
        <w:jc w:val="both"/>
        <w:rPr>
          <w:rFonts w:ascii="Times New Roman" w:hAnsi="Times New Roman" w:cs="Times New Roman"/>
        </w:rPr>
      </w:pPr>
      <w:r>
        <w:rPr>
          <w:rStyle w:val="FootnoteReference"/>
        </w:rPr>
        <w:footnoteRef/>
      </w:r>
      <w:r>
        <w:t xml:space="preserve"> </w:t>
      </w:r>
      <w:r>
        <w:rPr>
          <w:rFonts w:ascii="Times New Roman" w:hAnsi="Times New Roman" w:cs="Times New Roman"/>
        </w:rPr>
        <w:t>The requirement for a marketing authorisation in respect of a veterinary medicinal product before such a product is put in the market in a member state is imposed by Article 5 of the 2001 Directive, and Article 3 of the 2007 Regulations.</w:t>
      </w:r>
    </w:p>
  </w:footnote>
  <w:footnote w:id="3">
    <w:p w14:paraId="6BA8C63B" w14:textId="44F52D45" w:rsidR="001331D5" w:rsidRPr="005B56E1" w:rsidRDefault="001331D5" w:rsidP="00BF345C">
      <w:pPr>
        <w:pStyle w:val="FootnoteText"/>
        <w:jc w:val="both"/>
        <w:rPr>
          <w:rFonts w:ascii="Times New Roman" w:hAnsi="Times New Roman" w:cs="Times New Roman"/>
        </w:rPr>
      </w:pPr>
      <w:r>
        <w:rPr>
          <w:rStyle w:val="FootnoteReference"/>
        </w:rPr>
        <w:footnoteRef/>
      </w:r>
      <w:r>
        <w:t xml:space="preserve"> </w:t>
      </w:r>
      <w:r>
        <w:rPr>
          <w:rFonts w:ascii="Times New Roman" w:hAnsi="Times New Roman" w:cs="Times New Roman"/>
        </w:rPr>
        <w:t>The term used in the 2007 Regulations is ‘</w:t>
      </w:r>
      <w:r>
        <w:rPr>
          <w:rFonts w:ascii="Times New Roman" w:hAnsi="Times New Roman" w:cs="Times New Roman"/>
          <w:i/>
        </w:rPr>
        <w:t>veterinary product authorisation’</w:t>
      </w:r>
      <w:r>
        <w:rPr>
          <w:rFonts w:ascii="Times New Roman" w:hAnsi="Times New Roman" w:cs="Times New Roman"/>
        </w:rPr>
        <w:t>.  Having regard to the language used in those parts of the 2001 Directive relevant to these proceedings I will, as did the trial judge, refer throughout to ‘</w:t>
      </w:r>
      <w:r>
        <w:rPr>
          <w:rFonts w:ascii="Times New Roman" w:hAnsi="Times New Roman" w:cs="Times New Roman"/>
          <w:i/>
        </w:rPr>
        <w:t xml:space="preserve">marketing authorisation’. </w:t>
      </w:r>
    </w:p>
  </w:footnote>
  <w:footnote w:id="4">
    <w:p w14:paraId="67DA313D" w14:textId="3DB511C7" w:rsidR="001331D5" w:rsidRPr="00373BC7" w:rsidRDefault="001331D5">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The obligation to provide this information is imposed by Article 12 of the 2001 Directive, and the modification of that obligation in respect of generic products is enabled by Article 13.  The equivalent provisions in the 2007 Regulations are Regulations 5 and 6.</w:t>
      </w:r>
    </w:p>
  </w:footnote>
  <w:footnote w:id="5">
    <w:p w14:paraId="310ABB2E" w14:textId="0CFFDA15" w:rsidR="001331D5" w:rsidRPr="00785FE2" w:rsidRDefault="001331D5" w:rsidP="00931AD3">
      <w:pPr>
        <w:pStyle w:val="FootnoteText"/>
        <w:jc w:val="both"/>
        <w:rPr>
          <w:rFonts w:ascii="Times New Roman" w:hAnsi="Times New Roman" w:cs="Times New Roman"/>
        </w:rPr>
      </w:pPr>
      <w:r>
        <w:rPr>
          <w:rStyle w:val="FootnoteReference"/>
        </w:rPr>
        <w:footnoteRef/>
      </w:r>
      <w:r>
        <w:t xml:space="preserve"> </w:t>
      </w:r>
      <w:r>
        <w:rPr>
          <w:rFonts w:ascii="Times New Roman" w:hAnsi="Times New Roman" w:cs="Times New Roman"/>
        </w:rPr>
        <w:t>There is some confusion as to whether this letter was sent on 10 October (the letter sent bears this date) or 12 October (the e-mail sending it seems to bear this date); as with the trial judge I will refer throughout to the letter of 12 October.</w:t>
      </w:r>
    </w:p>
  </w:footnote>
  <w:footnote w:id="6">
    <w:p w14:paraId="1B09CD81" w14:textId="6CD4530D" w:rsidR="001331D5" w:rsidRPr="00757173" w:rsidRDefault="001331D5">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A similar provision appears in Article 13a of the 2001 Directive.</w:t>
      </w:r>
    </w:p>
  </w:footnote>
  <w:footnote w:id="7">
    <w:p w14:paraId="7A9917C1" w14:textId="5BBBB4DB" w:rsidR="001331D5" w:rsidRPr="006860E8" w:rsidRDefault="001331D5" w:rsidP="00E40FD9">
      <w:pPr>
        <w:pStyle w:val="FootnoteText"/>
        <w:jc w:val="both"/>
        <w:rPr>
          <w:rFonts w:ascii="Times New Roman" w:hAnsi="Times New Roman" w:cs="Times New Roman"/>
        </w:rPr>
      </w:pPr>
      <w:r>
        <w:rPr>
          <w:rStyle w:val="FootnoteReference"/>
        </w:rPr>
        <w:footnoteRef/>
      </w:r>
      <w:r>
        <w:t xml:space="preserve"> </w:t>
      </w:r>
      <w:r>
        <w:rPr>
          <w:rFonts w:ascii="Times New Roman" w:hAnsi="Times New Roman" w:cs="Times New Roman"/>
          <w:i/>
        </w:rPr>
        <w:t xml:space="preserve">Uniplex </w:t>
      </w:r>
      <w:r>
        <w:rPr>
          <w:rFonts w:ascii="Times New Roman" w:hAnsi="Times New Roman" w:cs="Times New Roman"/>
        </w:rPr>
        <w:t xml:space="preserve">has been applied in a number of High Court decisions, most often in interpreting the provisions applicable to procurement challenges, </w:t>
      </w:r>
      <w:r>
        <w:rPr>
          <w:rFonts w:ascii="Times New Roman" w:hAnsi="Times New Roman" w:cs="Times New Roman"/>
          <w:i/>
        </w:rPr>
        <w:t>Baxter Healthcare Ltd. v. Health Services Executive</w:t>
      </w:r>
      <w:r>
        <w:rPr>
          <w:rFonts w:ascii="Times New Roman" w:hAnsi="Times New Roman" w:cs="Times New Roman"/>
        </w:rPr>
        <w:t xml:space="preserve"> [2013] IEHC 413, </w:t>
      </w:r>
      <w:r>
        <w:rPr>
          <w:rFonts w:ascii="Times New Roman" w:hAnsi="Times New Roman" w:cs="Times New Roman"/>
          <w:i/>
        </w:rPr>
        <w:t xml:space="preserve">Gaswise Ltd. v. Dublin City Council </w:t>
      </w:r>
      <w:r>
        <w:rPr>
          <w:rFonts w:ascii="Times New Roman" w:hAnsi="Times New Roman" w:cs="Times New Roman"/>
        </w:rPr>
        <w:t xml:space="preserve">[2014] IEHC 56, and </w:t>
      </w:r>
      <w:r>
        <w:rPr>
          <w:rFonts w:ascii="Times New Roman" w:hAnsi="Times New Roman" w:cs="Times New Roman"/>
          <w:i/>
        </w:rPr>
        <w:t xml:space="preserve">Newbridge Tyre and Battery Co. Ltd T/A Fleet Service Centre v. Commissioner of An Garda Síochána </w:t>
      </w:r>
      <w:r>
        <w:rPr>
          <w:rFonts w:ascii="Times New Roman" w:hAnsi="Times New Roman" w:cs="Times New Roman"/>
        </w:rPr>
        <w:t xml:space="preserve">[2018] IEHC 365.  In </w:t>
      </w:r>
      <w:r>
        <w:rPr>
          <w:rFonts w:ascii="Times New Roman" w:hAnsi="Times New Roman" w:cs="Times New Roman"/>
          <w:i/>
        </w:rPr>
        <w:t xml:space="preserve">Harrington v. Environmental Protection Agency </w:t>
      </w:r>
      <w:r>
        <w:rPr>
          <w:rFonts w:ascii="Times New Roman" w:hAnsi="Times New Roman" w:cs="Times New Roman"/>
        </w:rPr>
        <w:t xml:space="preserve">[2014] IEHC 307 Barrett J. applied </w:t>
      </w:r>
      <w:r>
        <w:rPr>
          <w:rFonts w:ascii="Times New Roman" w:hAnsi="Times New Roman" w:cs="Times New Roman"/>
          <w:i/>
        </w:rPr>
        <w:t>Uniplex</w:t>
      </w:r>
      <w:r>
        <w:rPr>
          <w:rFonts w:ascii="Times New Roman" w:hAnsi="Times New Roman" w:cs="Times New Roman"/>
        </w:rPr>
        <w:t xml:space="preserve"> in the context of a challenge to decisions to amend an Integrated Pollution Prevention and Control Licence to find that time under Order 84 Rule 21(1) ran from the point at which the applicant knew or ought to have known of the decision.  As is clear from paragraph 42 of the judgment in </w:t>
      </w:r>
      <w:r>
        <w:rPr>
          <w:rFonts w:ascii="Times New Roman" w:hAnsi="Times New Roman" w:cs="Times New Roman"/>
          <w:i/>
        </w:rPr>
        <w:t xml:space="preserve">Uniplex </w:t>
      </w:r>
      <w:r>
        <w:rPr>
          <w:rFonts w:ascii="Times New Roman" w:hAnsi="Times New Roman" w:cs="Times New Roman"/>
        </w:rPr>
        <w:t>in the light of my conclusion as to the interpretation of Order 84 Rule 21, strictly speaking the correct analysis is that time runs from the date of the decision, the discretion to extend being exercised in cases engaging rights conferred by EU law from the point of actual or constructive knowledge.  When the applicant ‘</w:t>
      </w:r>
      <w:r>
        <w:rPr>
          <w:rFonts w:ascii="Times New Roman" w:hAnsi="Times New Roman" w:cs="Times New Roman"/>
          <w:i/>
        </w:rPr>
        <w:t>ought to have known’</w:t>
      </w:r>
      <w:r>
        <w:rPr>
          <w:rFonts w:ascii="Times New Roman" w:hAnsi="Times New Roman" w:cs="Times New Roman"/>
        </w:rPr>
        <w:t xml:space="preserve"> should be determined in the light of the applicable regulatory regime, and the language of Order 84 Rule 21 itself.</w:t>
      </w:r>
    </w:p>
  </w:footnote>
  <w:footnote w:id="8">
    <w:p w14:paraId="510F36A1" w14:textId="77777777" w:rsidR="001331D5" w:rsidRPr="00521C92" w:rsidRDefault="001331D5" w:rsidP="00521C92">
      <w:pPr>
        <w:pStyle w:val="FootnoteText"/>
        <w:jc w:val="both"/>
        <w:rPr>
          <w:rFonts w:ascii="Times New Roman" w:hAnsi="Times New Roman" w:cs="Times New Roman"/>
        </w:rPr>
      </w:pPr>
      <w:r>
        <w:rPr>
          <w:rStyle w:val="FootnoteReference"/>
        </w:rPr>
        <w:footnoteRef/>
      </w:r>
      <w:r>
        <w:t xml:space="preserve"> </w:t>
      </w:r>
      <w:r>
        <w:rPr>
          <w:rFonts w:ascii="Times New Roman" w:hAnsi="Times New Roman" w:cs="Times New Roman"/>
        </w:rPr>
        <w:t>The affidavit evidence did not disclose when Arthropharm first sought legal advice in this jurisdiction.  In the course of oral submissions to this court, and upon his being specifically asked that question, counsel for Arthropharm said that the first ‘</w:t>
      </w:r>
      <w:r>
        <w:rPr>
          <w:rFonts w:ascii="Times New Roman" w:hAnsi="Times New Roman" w:cs="Times New Roman"/>
          <w:i/>
        </w:rPr>
        <w:t xml:space="preserve">point of contact’ </w:t>
      </w:r>
      <w:r>
        <w:rPr>
          <w:rFonts w:ascii="Times New Roman" w:hAnsi="Times New Roman" w:cs="Times New Roman"/>
        </w:rPr>
        <w:t xml:space="preserve"> it had with ‘</w:t>
      </w:r>
      <w:r>
        <w:rPr>
          <w:rFonts w:ascii="Times New Roman" w:hAnsi="Times New Roman" w:cs="Times New Roman"/>
          <w:i/>
        </w:rPr>
        <w:t xml:space="preserve">the firm of solicitors who instruct me’ </w:t>
      </w:r>
      <w:r>
        <w:rPr>
          <w:rFonts w:ascii="Times New Roman" w:hAnsi="Times New Roman" w:cs="Times New Roman"/>
        </w:rPr>
        <w:t>was in October, and that ‘</w:t>
      </w:r>
      <w:r>
        <w:rPr>
          <w:rFonts w:ascii="Times New Roman" w:hAnsi="Times New Roman" w:cs="Times New Roman"/>
          <w:i/>
        </w:rPr>
        <w:t>the first formal engagement’</w:t>
      </w:r>
      <w:r>
        <w:rPr>
          <w:rFonts w:ascii="Times New Roman" w:hAnsi="Times New Roman" w:cs="Times New Roman"/>
        </w:rPr>
        <w:t xml:space="preserve"> was in November 2018.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76A55" w14:textId="77777777" w:rsidR="001331D5" w:rsidRPr="001E030C" w:rsidRDefault="001331D5">
    <w:pPr>
      <w:pStyle w:val="Header"/>
      <w:jc w:val="center"/>
      <w:rPr>
        <w:rFonts w:ascii="Times New Roman" w:hAnsi="Times New Roman" w:cs="Times New Roman"/>
        <w:sz w:val="24"/>
        <w:szCs w:val="24"/>
      </w:rPr>
    </w:pPr>
    <w:r>
      <w:t xml:space="preserve">- </w:t>
    </w:r>
    <w:sdt>
      <w:sdtPr>
        <w:id w:val="-791435990"/>
        <w:docPartObj>
          <w:docPartGallery w:val="Page Numbers (Top of Page)"/>
          <w:docPartUnique/>
        </w:docPartObj>
      </w:sdtPr>
      <w:sdtEndPr>
        <w:rPr>
          <w:rFonts w:ascii="Times New Roman" w:hAnsi="Times New Roman" w:cs="Times New Roman"/>
          <w:noProof/>
          <w:sz w:val="24"/>
          <w:szCs w:val="24"/>
        </w:rPr>
      </w:sdtEndPr>
      <w:sdtContent>
        <w:r w:rsidRPr="001E030C">
          <w:rPr>
            <w:rFonts w:ascii="Times New Roman" w:hAnsi="Times New Roman" w:cs="Times New Roman"/>
            <w:sz w:val="24"/>
            <w:szCs w:val="24"/>
          </w:rPr>
          <w:fldChar w:fldCharType="begin"/>
        </w:r>
        <w:r w:rsidRPr="001E030C">
          <w:rPr>
            <w:rFonts w:ascii="Times New Roman" w:hAnsi="Times New Roman" w:cs="Times New Roman"/>
            <w:sz w:val="24"/>
            <w:szCs w:val="24"/>
          </w:rPr>
          <w:instrText xml:space="preserve"> PAGE   \* MERGEFORMAT </w:instrText>
        </w:r>
        <w:r w:rsidRPr="001E030C">
          <w:rPr>
            <w:rFonts w:ascii="Times New Roman" w:hAnsi="Times New Roman" w:cs="Times New Roman"/>
            <w:sz w:val="24"/>
            <w:szCs w:val="24"/>
          </w:rPr>
          <w:fldChar w:fldCharType="separate"/>
        </w:r>
        <w:r w:rsidRPr="001E030C">
          <w:rPr>
            <w:rFonts w:ascii="Times New Roman" w:hAnsi="Times New Roman" w:cs="Times New Roman"/>
            <w:noProof/>
            <w:sz w:val="24"/>
            <w:szCs w:val="24"/>
          </w:rPr>
          <w:t>2</w:t>
        </w:r>
        <w:r w:rsidRPr="001E030C">
          <w:rPr>
            <w:rFonts w:ascii="Times New Roman" w:hAnsi="Times New Roman" w:cs="Times New Roman"/>
            <w:noProof/>
            <w:sz w:val="24"/>
            <w:szCs w:val="24"/>
          </w:rPr>
          <w:fldChar w:fldCharType="end"/>
        </w:r>
        <w:r>
          <w:rPr>
            <w:rFonts w:ascii="Times New Roman" w:hAnsi="Times New Roman" w:cs="Times New Roman"/>
            <w:noProof/>
            <w:sz w:val="24"/>
            <w:szCs w:val="24"/>
          </w:rPr>
          <w:t xml:space="preserve"> -</w:t>
        </w:r>
      </w:sdtContent>
    </w:sdt>
  </w:p>
  <w:p w14:paraId="41573FAE" w14:textId="77777777" w:rsidR="001331D5" w:rsidRDefault="001331D5" w:rsidP="001E030C">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8C45B" w14:textId="77777777" w:rsidR="001331D5" w:rsidRDefault="001331D5" w:rsidP="001E030C">
    <w:pPr>
      <w:pStyle w:val="Header"/>
      <w:tabs>
        <w:tab w:val="clear" w:pos="4513"/>
        <w:tab w:val="clear" w:pos="9026"/>
        <w:tab w:val="left" w:pos="5145"/>
      </w:tabs>
      <w:jc w:val="center"/>
    </w:pPr>
    <w:r>
      <w:rPr>
        <w:noProof/>
      </w:rPr>
      <w:drawing>
        <wp:inline distT="0" distB="0" distL="0" distR="0" wp14:anchorId="6C9095EF" wp14:editId="01D4EF55">
          <wp:extent cx="389890" cy="597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9890" cy="59753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3341"/>
    <w:multiLevelType w:val="hybridMultilevel"/>
    <w:tmpl w:val="260AC272"/>
    <w:lvl w:ilvl="0" w:tplc="BC0EFAEE">
      <w:start w:val="1"/>
      <w:numFmt w:val="lowerLetter"/>
      <w:lvlText w:val="(%1)"/>
      <w:lvlJc w:val="left"/>
      <w:pPr>
        <w:ind w:left="1800" w:hanging="360"/>
      </w:pPr>
      <w:rPr>
        <w:rFonts w:hint="default"/>
        <w:b w:val="0"/>
        <w:i/>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1" w15:restartNumberingAfterBreak="0">
    <w:nsid w:val="04E02D4F"/>
    <w:multiLevelType w:val="hybridMultilevel"/>
    <w:tmpl w:val="267A8A4C"/>
    <w:lvl w:ilvl="0" w:tplc="836C24A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2B3911"/>
    <w:multiLevelType w:val="hybridMultilevel"/>
    <w:tmpl w:val="AC2A60AE"/>
    <w:lvl w:ilvl="0" w:tplc="1809000F">
      <w:start w:val="1"/>
      <w:numFmt w:val="decimal"/>
      <w:lvlText w:val="%1."/>
      <w:lvlJc w:val="left"/>
      <w:pPr>
        <w:ind w:left="786"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C990A6C"/>
    <w:multiLevelType w:val="hybridMultilevel"/>
    <w:tmpl w:val="260AC272"/>
    <w:lvl w:ilvl="0" w:tplc="BC0EFAEE">
      <w:start w:val="1"/>
      <w:numFmt w:val="lowerLetter"/>
      <w:lvlText w:val="(%1)"/>
      <w:lvlJc w:val="left"/>
      <w:pPr>
        <w:ind w:left="1800" w:hanging="360"/>
      </w:pPr>
      <w:rPr>
        <w:rFonts w:hint="default"/>
        <w:b w:val="0"/>
        <w:i/>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4" w15:restartNumberingAfterBreak="0">
    <w:nsid w:val="0DDA1DD5"/>
    <w:multiLevelType w:val="hybridMultilevel"/>
    <w:tmpl w:val="AE64C430"/>
    <w:lvl w:ilvl="0" w:tplc="CEB0D68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23A6EE2"/>
    <w:multiLevelType w:val="hybridMultilevel"/>
    <w:tmpl w:val="12AA7876"/>
    <w:lvl w:ilvl="0" w:tplc="7728A95E">
      <w:start w:val="1"/>
      <w:numFmt w:val="lowerLetter"/>
      <w:lvlText w:val="(%1)"/>
      <w:lvlJc w:val="left"/>
      <w:pPr>
        <w:ind w:left="2160" w:hanging="360"/>
      </w:pPr>
      <w:rPr>
        <w:rFonts w:hint="default"/>
      </w:rPr>
    </w:lvl>
    <w:lvl w:ilvl="1" w:tplc="18090019" w:tentative="1">
      <w:start w:val="1"/>
      <w:numFmt w:val="lowerLetter"/>
      <w:lvlText w:val="%2."/>
      <w:lvlJc w:val="left"/>
      <w:pPr>
        <w:ind w:left="2880" w:hanging="360"/>
      </w:pPr>
    </w:lvl>
    <w:lvl w:ilvl="2" w:tplc="1809001B" w:tentative="1">
      <w:start w:val="1"/>
      <w:numFmt w:val="lowerRoman"/>
      <w:lvlText w:val="%3."/>
      <w:lvlJc w:val="right"/>
      <w:pPr>
        <w:ind w:left="3600" w:hanging="180"/>
      </w:pPr>
    </w:lvl>
    <w:lvl w:ilvl="3" w:tplc="1809000F" w:tentative="1">
      <w:start w:val="1"/>
      <w:numFmt w:val="decimal"/>
      <w:lvlText w:val="%4."/>
      <w:lvlJc w:val="left"/>
      <w:pPr>
        <w:ind w:left="4320" w:hanging="360"/>
      </w:pPr>
    </w:lvl>
    <w:lvl w:ilvl="4" w:tplc="18090019" w:tentative="1">
      <w:start w:val="1"/>
      <w:numFmt w:val="lowerLetter"/>
      <w:lvlText w:val="%5."/>
      <w:lvlJc w:val="left"/>
      <w:pPr>
        <w:ind w:left="5040" w:hanging="360"/>
      </w:pPr>
    </w:lvl>
    <w:lvl w:ilvl="5" w:tplc="1809001B" w:tentative="1">
      <w:start w:val="1"/>
      <w:numFmt w:val="lowerRoman"/>
      <w:lvlText w:val="%6."/>
      <w:lvlJc w:val="right"/>
      <w:pPr>
        <w:ind w:left="5760" w:hanging="180"/>
      </w:pPr>
    </w:lvl>
    <w:lvl w:ilvl="6" w:tplc="1809000F" w:tentative="1">
      <w:start w:val="1"/>
      <w:numFmt w:val="decimal"/>
      <w:lvlText w:val="%7."/>
      <w:lvlJc w:val="left"/>
      <w:pPr>
        <w:ind w:left="6480" w:hanging="360"/>
      </w:pPr>
    </w:lvl>
    <w:lvl w:ilvl="7" w:tplc="18090019" w:tentative="1">
      <w:start w:val="1"/>
      <w:numFmt w:val="lowerLetter"/>
      <w:lvlText w:val="%8."/>
      <w:lvlJc w:val="left"/>
      <w:pPr>
        <w:ind w:left="7200" w:hanging="360"/>
      </w:pPr>
    </w:lvl>
    <w:lvl w:ilvl="8" w:tplc="1809001B" w:tentative="1">
      <w:start w:val="1"/>
      <w:numFmt w:val="lowerRoman"/>
      <w:lvlText w:val="%9."/>
      <w:lvlJc w:val="right"/>
      <w:pPr>
        <w:ind w:left="7920" w:hanging="180"/>
      </w:pPr>
    </w:lvl>
  </w:abstractNum>
  <w:abstractNum w:abstractNumId="6" w15:restartNumberingAfterBreak="0">
    <w:nsid w:val="15F33405"/>
    <w:multiLevelType w:val="hybridMultilevel"/>
    <w:tmpl w:val="C1FEE860"/>
    <w:lvl w:ilvl="0" w:tplc="B12C9182">
      <w:start w:val="1"/>
      <w:numFmt w:val="lowerRoman"/>
      <w:lvlText w:val="(%1)"/>
      <w:lvlJc w:val="left"/>
      <w:pPr>
        <w:ind w:left="2160" w:hanging="72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7" w15:restartNumberingAfterBreak="0">
    <w:nsid w:val="175C4685"/>
    <w:multiLevelType w:val="hybridMultilevel"/>
    <w:tmpl w:val="6088CA1E"/>
    <w:lvl w:ilvl="0" w:tplc="09B0E400">
      <w:start w:val="1"/>
      <w:numFmt w:val="lowerRoman"/>
      <w:lvlText w:val="(%1)"/>
      <w:lvlJc w:val="left"/>
      <w:pPr>
        <w:ind w:left="2160" w:hanging="72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8" w15:restartNumberingAfterBreak="0">
    <w:nsid w:val="1A1B2C8C"/>
    <w:multiLevelType w:val="hybridMultilevel"/>
    <w:tmpl w:val="49CA2530"/>
    <w:lvl w:ilvl="0" w:tplc="F8CE97BA">
      <w:start w:val="1"/>
      <w:numFmt w:val="lowerLetter"/>
      <w:lvlText w:val="(%1)"/>
      <w:lvlJc w:val="left"/>
      <w:pPr>
        <w:ind w:left="1800" w:hanging="36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9" w15:restartNumberingAfterBreak="0">
    <w:nsid w:val="270F1DA4"/>
    <w:multiLevelType w:val="hybridMultilevel"/>
    <w:tmpl w:val="AC2A60A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28E92081"/>
    <w:multiLevelType w:val="hybridMultilevel"/>
    <w:tmpl w:val="BFEC476E"/>
    <w:lvl w:ilvl="0" w:tplc="1D246ADA">
      <w:start w:val="1"/>
      <w:numFmt w:val="lowerRoman"/>
      <w:lvlText w:val="(%1)"/>
      <w:lvlJc w:val="left"/>
      <w:pPr>
        <w:ind w:left="2160" w:hanging="72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B8D754A"/>
    <w:multiLevelType w:val="hybridMultilevel"/>
    <w:tmpl w:val="D2823C00"/>
    <w:lvl w:ilvl="0" w:tplc="3E66481C">
      <w:start w:val="1"/>
      <w:numFmt w:val="lowerRoman"/>
      <w:lvlText w:val="(%1)"/>
      <w:lvlJc w:val="left"/>
      <w:pPr>
        <w:ind w:left="2880" w:hanging="720"/>
      </w:pPr>
      <w:rPr>
        <w:rFonts w:hint="default"/>
      </w:rPr>
    </w:lvl>
    <w:lvl w:ilvl="1" w:tplc="18090019" w:tentative="1">
      <w:start w:val="1"/>
      <w:numFmt w:val="lowerLetter"/>
      <w:lvlText w:val="%2."/>
      <w:lvlJc w:val="left"/>
      <w:pPr>
        <w:ind w:left="3240" w:hanging="360"/>
      </w:pPr>
    </w:lvl>
    <w:lvl w:ilvl="2" w:tplc="1809001B" w:tentative="1">
      <w:start w:val="1"/>
      <w:numFmt w:val="lowerRoman"/>
      <w:lvlText w:val="%3."/>
      <w:lvlJc w:val="right"/>
      <w:pPr>
        <w:ind w:left="3960" w:hanging="180"/>
      </w:pPr>
    </w:lvl>
    <w:lvl w:ilvl="3" w:tplc="1809000F" w:tentative="1">
      <w:start w:val="1"/>
      <w:numFmt w:val="decimal"/>
      <w:lvlText w:val="%4."/>
      <w:lvlJc w:val="left"/>
      <w:pPr>
        <w:ind w:left="4680" w:hanging="360"/>
      </w:pPr>
    </w:lvl>
    <w:lvl w:ilvl="4" w:tplc="18090019" w:tentative="1">
      <w:start w:val="1"/>
      <w:numFmt w:val="lowerLetter"/>
      <w:lvlText w:val="%5."/>
      <w:lvlJc w:val="left"/>
      <w:pPr>
        <w:ind w:left="5400" w:hanging="360"/>
      </w:pPr>
    </w:lvl>
    <w:lvl w:ilvl="5" w:tplc="1809001B" w:tentative="1">
      <w:start w:val="1"/>
      <w:numFmt w:val="lowerRoman"/>
      <w:lvlText w:val="%6."/>
      <w:lvlJc w:val="right"/>
      <w:pPr>
        <w:ind w:left="6120" w:hanging="180"/>
      </w:pPr>
    </w:lvl>
    <w:lvl w:ilvl="6" w:tplc="1809000F" w:tentative="1">
      <w:start w:val="1"/>
      <w:numFmt w:val="decimal"/>
      <w:lvlText w:val="%7."/>
      <w:lvlJc w:val="left"/>
      <w:pPr>
        <w:ind w:left="6840" w:hanging="360"/>
      </w:pPr>
    </w:lvl>
    <w:lvl w:ilvl="7" w:tplc="18090019" w:tentative="1">
      <w:start w:val="1"/>
      <w:numFmt w:val="lowerLetter"/>
      <w:lvlText w:val="%8."/>
      <w:lvlJc w:val="left"/>
      <w:pPr>
        <w:ind w:left="7560" w:hanging="360"/>
      </w:pPr>
    </w:lvl>
    <w:lvl w:ilvl="8" w:tplc="1809001B" w:tentative="1">
      <w:start w:val="1"/>
      <w:numFmt w:val="lowerRoman"/>
      <w:lvlText w:val="%9."/>
      <w:lvlJc w:val="right"/>
      <w:pPr>
        <w:ind w:left="8280" w:hanging="180"/>
      </w:pPr>
    </w:lvl>
  </w:abstractNum>
  <w:abstractNum w:abstractNumId="12" w15:restartNumberingAfterBreak="0">
    <w:nsid w:val="2DA54040"/>
    <w:multiLevelType w:val="hybridMultilevel"/>
    <w:tmpl w:val="41A6D716"/>
    <w:lvl w:ilvl="0" w:tplc="BB36ADC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C21764B"/>
    <w:multiLevelType w:val="hybridMultilevel"/>
    <w:tmpl w:val="C436BD72"/>
    <w:lvl w:ilvl="0" w:tplc="3A3A25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FE04613"/>
    <w:multiLevelType w:val="hybridMultilevel"/>
    <w:tmpl w:val="AC2A60AE"/>
    <w:lvl w:ilvl="0" w:tplc="1809000F">
      <w:start w:val="1"/>
      <w:numFmt w:val="decimal"/>
      <w:lvlText w:val="%1."/>
      <w:lvlJc w:val="left"/>
      <w:pPr>
        <w:ind w:left="786"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7E2628B"/>
    <w:multiLevelType w:val="hybridMultilevel"/>
    <w:tmpl w:val="B2ACE6BA"/>
    <w:lvl w:ilvl="0" w:tplc="A6BE6C5E">
      <w:start w:val="1"/>
      <w:numFmt w:val="lowerRoman"/>
      <w:lvlText w:val="(%1)"/>
      <w:lvlJc w:val="left"/>
      <w:pPr>
        <w:ind w:left="144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6" w15:restartNumberingAfterBreak="0">
    <w:nsid w:val="4EE858C9"/>
    <w:multiLevelType w:val="hybridMultilevel"/>
    <w:tmpl w:val="3ED4C1BC"/>
    <w:lvl w:ilvl="0" w:tplc="B472272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05B6A76"/>
    <w:multiLevelType w:val="hybridMultilevel"/>
    <w:tmpl w:val="FF643DD4"/>
    <w:lvl w:ilvl="0" w:tplc="F20ECD5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3E07A99"/>
    <w:multiLevelType w:val="hybridMultilevel"/>
    <w:tmpl w:val="7F3C869A"/>
    <w:lvl w:ilvl="0" w:tplc="BA3416F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461589E"/>
    <w:multiLevelType w:val="hybridMultilevel"/>
    <w:tmpl w:val="F24E594A"/>
    <w:lvl w:ilvl="0" w:tplc="FF6A25FE">
      <w:start w:val="1"/>
      <w:numFmt w:val="upperRoman"/>
      <w:lvlText w:val="(%1)"/>
      <w:lvlJc w:val="left"/>
      <w:pPr>
        <w:ind w:left="2160" w:hanging="720"/>
      </w:pPr>
      <w:rPr>
        <w:rFonts w:hint="default"/>
        <w:b w:val="0"/>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20" w15:restartNumberingAfterBreak="0">
    <w:nsid w:val="551F573D"/>
    <w:multiLevelType w:val="hybridMultilevel"/>
    <w:tmpl w:val="E380329E"/>
    <w:lvl w:ilvl="0" w:tplc="AB42A48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3306DF8"/>
    <w:multiLevelType w:val="hybridMultilevel"/>
    <w:tmpl w:val="07BE8756"/>
    <w:lvl w:ilvl="0" w:tplc="538ECC3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CDA47C2"/>
    <w:multiLevelType w:val="hybridMultilevel"/>
    <w:tmpl w:val="F76A6068"/>
    <w:lvl w:ilvl="0" w:tplc="A844D2C2">
      <w:start w:val="1"/>
      <w:numFmt w:val="lowerRoman"/>
      <w:lvlText w:val="(%1)"/>
      <w:lvlJc w:val="left"/>
      <w:pPr>
        <w:ind w:left="1440" w:hanging="720"/>
      </w:pPr>
      <w:rPr>
        <w:rFonts w:hint="default"/>
        <w:b w:val="0"/>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3" w15:restartNumberingAfterBreak="0">
    <w:nsid w:val="70CC1AC1"/>
    <w:multiLevelType w:val="hybridMultilevel"/>
    <w:tmpl w:val="E8EC2528"/>
    <w:lvl w:ilvl="0" w:tplc="B734B840">
      <w:start w:val="1"/>
      <w:numFmt w:val="lowerLetter"/>
      <w:lvlText w:val="(%1)"/>
      <w:lvlJc w:val="left"/>
      <w:pPr>
        <w:ind w:left="1800" w:hanging="36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24" w15:restartNumberingAfterBreak="0">
    <w:nsid w:val="75EA764A"/>
    <w:multiLevelType w:val="hybridMultilevel"/>
    <w:tmpl w:val="85FC9DD8"/>
    <w:lvl w:ilvl="0" w:tplc="9978F8C6">
      <w:start w:val="1"/>
      <w:numFmt w:val="lowerLetter"/>
      <w:lvlText w:val="(%1)"/>
      <w:lvlJc w:val="left"/>
      <w:pPr>
        <w:ind w:left="1800" w:hanging="36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25" w15:restartNumberingAfterBreak="0">
    <w:nsid w:val="771E78E9"/>
    <w:multiLevelType w:val="hybridMultilevel"/>
    <w:tmpl w:val="F7DC5500"/>
    <w:lvl w:ilvl="0" w:tplc="038C7B4E">
      <w:start w:val="1"/>
      <w:numFmt w:val="lowerRoman"/>
      <w:lvlText w:val="(%1)"/>
      <w:lvlJc w:val="left"/>
      <w:pPr>
        <w:ind w:left="1440" w:hanging="720"/>
      </w:pPr>
      <w:rPr>
        <w:rFonts w:hint="default"/>
        <w:b w:val="0"/>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6" w15:restartNumberingAfterBreak="0">
    <w:nsid w:val="786B7AEA"/>
    <w:multiLevelType w:val="hybridMultilevel"/>
    <w:tmpl w:val="E41CB596"/>
    <w:lvl w:ilvl="0" w:tplc="CF5EF29C">
      <w:start w:val="1"/>
      <w:numFmt w:val="lowerLetter"/>
      <w:lvlText w:val="(%1)"/>
      <w:lvlJc w:val="left"/>
      <w:pPr>
        <w:ind w:left="2520" w:hanging="360"/>
      </w:pPr>
      <w:rPr>
        <w:rFonts w:hint="default"/>
        <w:b w:val="0"/>
      </w:rPr>
    </w:lvl>
    <w:lvl w:ilvl="1" w:tplc="18090019" w:tentative="1">
      <w:start w:val="1"/>
      <w:numFmt w:val="lowerLetter"/>
      <w:lvlText w:val="%2."/>
      <w:lvlJc w:val="left"/>
      <w:pPr>
        <w:ind w:left="3240" w:hanging="360"/>
      </w:pPr>
    </w:lvl>
    <w:lvl w:ilvl="2" w:tplc="1809001B" w:tentative="1">
      <w:start w:val="1"/>
      <w:numFmt w:val="lowerRoman"/>
      <w:lvlText w:val="%3."/>
      <w:lvlJc w:val="right"/>
      <w:pPr>
        <w:ind w:left="3960" w:hanging="180"/>
      </w:pPr>
    </w:lvl>
    <w:lvl w:ilvl="3" w:tplc="1809000F" w:tentative="1">
      <w:start w:val="1"/>
      <w:numFmt w:val="decimal"/>
      <w:lvlText w:val="%4."/>
      <w:lvlJc w:val="left"/>
      <w:pPr>
        <w:ind w:left="4680" w:hanging="360"/>
      </w:pPr>
    </w:lvl>
    <w:lvl w:ilvl="4" w:tplc="18090019" w:tentative="1">
      <w:start w:val="1"/>
      <w:numFmt w:val="lowerLetter"/>
      <w:lvlText w:val="%5."/>
      <w:lvlJc w:val="left"/>
      <w:pPr>
        <w:ind w:left="5400" w:hanging="360"/>
      </w:pPr>
    </w:lvl>
    <w:lvl w:ilvl="5" w:tplc="1809001B" w:tentative="1">
      <w:start w:val="1"/>
      <w:numFmt w:val="lowerRoman"/>
      <w:lvlText w:val="%6."/>
      <w:lvlJc w:val="right"/>
      <w:pPr>
        <w:ind w:left="6120" w:hanging="180"/>
      </w:pPr>
    </w:lvl>
    <w:lvl w:ilvl="6" w:tplc="1809000F" w:tentative="1">
      <w:start w:val="1"/>
      <w:numFmt w:val="decimal"/>
      <w:lvlText w:val="%7."/>
      <w:lvlJc w:val="left"/>
      <w:pPr>
        <w:ind w:left="6840" w:hanging="360"/>
      </w:pPr>
    </w:lvl>
    <w:lvl w:ilvl="7" w:tplc="18090019" w:tentative="1">
      <w:start w:val="1"/>
      <w:numFmt w:val="lowerLetter"/>
      <w:lvlText w:val="%8."/>
      <w:lvlJc w:val="left"/>
      <w:pPr>
        <w:ind w:left="7560" w:hanging="360"/>
      </w:pPr>
    </w:lvl>
    <w:lvl w:ilvl="8" w:tplc="1809001B" w:tentative="1">
      <w:start w:val="1"/>
      <w:numFmt w:val="lowerRoman"/>
      <w:lvlText w:val="%9."/>
      <w:lvlJc w:val="right"/>
      <w:pPr>
        <w:ind w:left="8280" w:hanging="180"/>
      </w:pPr>
    </w:lvl>
  </w:abstractNum>
  <w:abstractNum w:abstractNumId="27" w15:restartNumberingAfterBreak="0">
    <w:nsid w:val="794B0934"/>
    <w:multiLevelType w:val="hybridMultilevel"/>
    <w:tmpl w:val="C3AC3BC0"/>
    <w:lvl w:ilvl="0" w:tplc="B538AA8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7F73441A"/>
    <w:multiLevelType w:val="hybridMultilevel"/>
    <w:tmpl w:val="F0A0D2DC"/>
    <w:lvl w:ilvl="0" w:tplc="A1220180">
      <w:start w:val="1"/>
      <w:numFmt w:val="lowerLetter"/>
      <w:lvlText w:val="(%1)"/>
      <w:lvlJc w:val="left"/>
      <w:pPr>
        <w:ind w:left="1800" w:hanging="360"/>
      </w:pPr>
      <w:rPr>
        <w:rFonts w:hint="default"/>
        <w:b w:val="0"/>
        <w:i/>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4"/>
  </w:num>
  <w:num w:numId="2">
    <w:abstractNumId w:val="22"/>
  </w:num>
  <w:num w:numId="3">
    <w:abstractNumId w:val="8"/>
  </w:num>
  <w:num w:numId="4">
    <w:abstractNumId w:val="23"/>
  </w:num>
  <w:num w:numId="5">
    <w:abstractNumId w:val="5"/>
  </w:num>
  <w:num w:numId="6">
    <w:abstractNumId w:val="6"/>
  </w:num>
  <w:num w:numId="7">
    <w:abstractNumId w:val="7"/>
  </w:num>
  <w:num w:numId="8">
    <w:abstractNumId w:val="11"/>
  </w:num>
  <w:num w:numId="9">
    <w:abstractNumId w:val="3"/>
  </w:num>
  <w:num w:numId="10">
    <w:abstractNumId w:val="25"/>
  </w:num>
  <w:num w:numId="11">
    <w:abstractNumId w:val="15"/>
  </w:num>
  <w:num w:numId="12">
    <w:abstractNumId w:val="9"/>
  </w:num>
  <w:num w:numId="13">
    <w:abstractNumId w:val="0"/>
  </w:num>
  <w:num w:numId="14">
    <w:abstractNumId w:val="13"/>
  </w:num>
  <w:num w:numId="15">
    <w:abstractNumId w:val="17"/>
  </w:num>
  <w:num w:numId="16">
    <w:abstractNumId w:val="18"/>
  </w:num>
  <w:num w:numId="17">
    <w:abstractNumId w:val="4"/>
  </w:num>
  <w:num w:numId="18">
    <w:abstractNumId w:val="12"/>
  </w:num>
  <w:num w:numId="19">
    <w:abstractNumId w:val="1"/>
  </w:num>
  <w:num w:numId="20">
    <w:abstractNumId w:val="27"/>
  </w:num>
  <w:num w:numId="21">
    <w:abstractNumId w:val="10"/>
  </w:num>
  <w:num w:numId="22">
    <w:abstractNumId w:val="28"/>
  </w:num>
  <w:num w:numId="23">
    <w:abstractNumId w:val="21"/>
  </w:num>
  <w:num w:numId="24">
    <w:abstractNumId w:val="16"/>
  </w:num>
  <w:num w:numId="25">
    <w:abstractNumId w:val="20"/>
  </w:num>
  <w:num w:numId="26">
    <w:abstractNumId w:val="2"/>
  </w:num>
  <w:num w:numId="27">
    <w:abstractNumId w:val="19"/>
  </w:num>
  <w:num w:numId="28">
    <w:abstractNumId w:val="26"/>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30C"/>
    <w:rsid w:val="00000D2F"/>
    <w:rsid w:val="0001005B"/>
    <w:rsid w:val="0001249B"/>
    <w:rsid w:val="00012DB3"/>
    <w:rsid w:val="000148E4"/>
    <w:rsid w:val="00020A30"/>
    <w:rsid w:val="0002246B"/>
    <w:rsid w:val="00023134"/>
    <w:rsid w:val="00023D49"/>
    <w:rsid w:val="00023F3C"/>
    <w:rsid w:val="000248FA"/>
    <w:rsid w:val="00026A04"/>
    <w:rsid w:val="00030190"/>
    <w:rsid w:val="000305DE"/>
    <w:rsid w:val="000306C5"/>
    <w:rsid w:val="000306E1"/>
    <w:rsid w:val="00030C10"/>
    <w:rsid w:val="00032C3F"/>
    <w:rsid w:val="00036B41"/>
    <w:rsid w:val="000370C2"/>
    <w:rsid w:val="000375F5"/>
    <w:rsid w:val="00037A15"/>
    <w:rsid w:val="0004312C"/>
    <w:rsid w:val="00051BB7"/>
    <w:rsid w:val="00055761"/>
    <w:rsid w:val="000624A9"/>
    <w:rsid w:val="00063709"/>
    <w:rsid w:val="00065BE8"/>
    <w:rsid w:val="0006709B"/>
    <w:rsid w:val="0006737B"/>
    <w:rsid w:val="0007251D"/>
    <w:rsid w:val="000728A7"/>
    <w:rsid w:val="000763E9"/>
    <w:rsid w:val="000860DA"/>
    <w:rsid w:val="0008744D"/>
    <w:rsid w:val="00087613"/>
    <w:rsid w:val="0009119A"/>
    <w:rsid w:val="00091CE1"/>
    <w:rsid w:val="000930D3"/>
    <w:rsid w:val="0009581C"/>
    <w:rsid w:val="000963FA"/>
    <w:rsid w:val="00097E5E"/>
    <w:rsid w:val="000A0EC7"/>
    <w:rsid w:val="000A230E"/>
    <w:rsid w:val="000A3F18"/>
    <w:rsid w:val="000A42DA"/>
    <w:rsid w:val="000A4A65"/>
    <w:rsid w:val="000A5C86"/>
    <w:rsid w:val="000A6640"/>
    <w:rsid w:val="000A7193"/>
    <w:rsid w:val="000B01B5"/>
    <w:rsid w:val="000B3E44"/>
    <w:rsid w:val="000B5BE5"/>
    <w:rsid w:val="000B75D1"/>
    <w:rsid w:val="000C0159"/>
    <w:rsid w:val="000C0462"/>
    <w:rsid w:val="000C1DFD"/>
    <w:rsid w:val="000C234B"/>
    <w:rsid w:val="000C3020"/>
    <w:rsid w:val="000C4996"/>
    <w:rsid w:val="000C4E5E"/>
    <w:rsid w:val="000D290A"/>
    <w:rsid w:val="000D348F"/>
    <w:rsid w:val="000D46D3"/>
    <w:rsid w:val="000D599F"/>
    <w:rsid w:val="000D60BA"/>
    <w:rsid w:val="000D6C05"/>
    <w:rsid w:val="000D75E6"/>
    <w:rsid w:val="000E3914"/>
    <w:rsid w:val="000E7283"/>
    <w:rsid w:val="000F060F"/>
    <w:rsid w:val="000F0975"/>
    <w:rsid w:val="000F0BC9"/>
    <w:rsid w:val="000F1CC5"/>
    <w:rsid w:val="000F1F8E"/>
    <w:rsid w:val="000F24CD"/>
    <w:rsid w:val="000F27A4"/>
    <w:rsid w:val="000F2DCA"/>
    <w:rsid w:val="000F4BF2"/>
    <w:rsid w:val="000F7FA4"/>
    <w:rsid w:val="00103C2F"/>
    <w:rsid w:val="00104831"/>
    <w:rsid w:val="0011101E"/>
    <w:rsid w:val="001137D8"/>
    <w:rsid w:val="001138A2"/>
    <w:rsid w:val="00121DA8"/>
    <w:rsid w:val="00124B69"/>
    <w:rsid w:val="00125843"/>
    <w:rsid w:val="00126D8F"/>
    <w:rsid w:val="001331D5"/>
    <w:rsid w:val="00135D78"/>
    <w:rsid w:val="00136093"/>
    <w:rsid w:val="00137A32"/>
    <w:rsid w:val="00137C86"/>
    <w:rsid w:val="00137F8F"/>
    <w:rsid w:val="0014084B"/>
    <w:rsid w:val="00140CC3"/>
    <w:rsid w:val="00142A88"/>
    <w:rsid w:val="00143B03"/>
    <w:rsid w:val="00144CD4"/>
    <w:rsid w:val="00144EBA"/>
    <w:rsid w:val="001469B4"/>
    <w:rsid w:val="00147889"/>
    <w:rsid w:val="00150E41"/>
    <w:rsid w:val="00153EE6"/>
    <w:rsid w:val="001562DD"/>
    <w:rsid w:val="00160C9B"/>
    <w:rsid w:val="0016235B"/>
    <w:rsid w:val="0016565B"/>
    <w:rsid w:val="00166BCC"/>
    <w:rsid w:val="001678ED"/>
    <w:rsid w:val="00173E45"/>
    <w:rsid w:val="0017453A"/>
    <w:rsid w:val="0017463D"/>
    <w:rsid w:val="0017496E"/>
    <w:rsid w:val="00175E80"/>
    <w:rsid w:val="00176E9D"/>
    <w:rsid w:val="001771D3"/>
    <w:rsid w:val="001772B4"/>
    <w:rsid w:val="00182F52"/>
    <w:rsid w:val="00185625"/>
    <w:rsid w:val="0018684A"/>
    <w:rsid w:val="0018721A"/>
    <w:rsid w:val="001879C9"/>
    <w:rsid w:val="001913CC"/>
    <w:rsid w:val="00191985"/>
    <w:rsid w:val="001966D7"/>
    <w:rsid w:val="00197E19"/>
    <w:rsid w:val="001A018A"/>
    <w:rsid w:val="001A1702"/>
    <w:rsid w:val="001A5DA9"/>
    <w:rsid w:val="001A7C8A"/>
    <w:rsid w:val="001B0855"/>
    <w:rsid w:val="001B24E8"/>
    <w:rsid w:val="001B66A2"/>
    <w:rsid w:val="001B6A95"/>
    <w:rsid w:val="001B6D79"/>
    <w:rsid w:val="001B7F0A"/>
    <w:rsid w:val="001C44E6"/>
    <w:rsid w:val="001C6669"/>
    <w:rsid w:val="001D32A5"/>
    <w:rsid w:val="001D3E27"/>
    <w:rsid w:val="001D4BB2"/>
    <w:rsid w:val="001D5615"/>
    <w:rsid w:val="001D6F01"/>
    <w:rsid w:val="001E030C"/>
    <w:rsid w:val="001E0F99"/>
    <w:rsid w:val="001E5152"/>
    <w:rsid w:val="001F275D"/>
    <w:rsid w:val="001F2BAE"/>
    <w:rsid w:val="001F408F"/>
    <w:rsid w:val="001F4166"/>
    <w:rsid w:val="001F5B8F"/>
    <w:rsid w:val="001F7721"/>
    <w:rsid w:val="00201ED5"/>
    <w:rsid w:val="00202CFF"/>
    <w:rsid w:val="0020532C"/>
    <w:rsid w:val="00205D44"/>
    <w:rsid w:val="00206923"/>
    <w:rsid w:val="00207C50"/>
    <w:rsid w:val="00207D48"/>
    <w:rsid w:val="002100E5"/>
    <w:rsid w:val="00213646"/>
    <w:rsid w:val="00216445"/>
    <w:rsid w:val="00217059"/>
    <w:rsid w:val="002177BA"/>
    <w:rsid w:val="00217887"/>
    <w:rsid w:val="00223B97"/>
    <w:rsid w:val="00224311"/>
    <w:rsid w:val="00227BEA"/>
    <w:rsid w:val="002319FF"/>
    <w:rsid w:val="00231FCE"/>
    <w:rsid w:val="002329BC"/>
    <w:rsid w:val="00232ADF"/>
    <w:rsid w:val="002331B9"/>
    <w:rsid w:val="002345CC"/>
    <w:rsid w:val="002413B0"/>
    <w:rsid w:val="0024398A"/>
    <w:rsid w:val="00245094"/>
    <w:rsid w:val="0024549A"/>
    <w:rsid w:val="00245BF9"/>
    <w:rsid w:val="00247045"/>
    <w:rsid w:val="00247C2E"/>
    <w:rsid w:val="00252172"/>
    <w:rsid w:val="00254F8B"/>
    <w:rsid w:val="00255A6D"/>
    <w:rsid w:val="00256816"/>
    <w:rsid w:val="0026124D"/>
    <w:rsid w:val="00261B60"/>
    <w:rsid w:val="002627A0"/>
    <w:rsid w:val="002632D1"/>
    <w:rsid w:val="00264A2E"/>
    <w:rsid w:val="00265B05"/>
    <w:rsid w:val="002700CC"/>
    <w:rsid w:val="0027040B"/>
    <w:rsid w:val="00271DE1"/>
    <w:rsid w:val="00272084"/>
    <w:rsid w:val="00283EEB"/>
    <w:rsid w:val="00283FAF"/>
    <w:rsid w:val="00287516"/>
    <w:rsid w:val="002955F5"/>
    <w:rsid w:val="00296806"/>
    <w:rsid w:val="00297EE7"/>
    <w:rsid w:val="002A031A"/>
    <w:rsid w:val="002A47D3"/>
    <w:rsid w:val="002A490A"/>
    <w:rsid w:val="002A5642"/>
    <w:rsid w:val="002A5D4F"/>
    <w:rsid w:val="002A7369"/>
    <w:rsid w:val="002A79AA"/>
    <w:rsid w:val="002B2384"/>
    <w:rsid w:val="002B34E6"/>
    <w:rsid w:val="002B53F7"/>
    <w:rsid w:val="002B5C32"/>
    <w:rsid w:val="002B6720"/>
    <w:rsid w:val="002B7CD9"/>
    <w:rsid w:val="002C2D6C"/>
    <w:rsid w:val="002C3D36"/>
    <w:rsid w:val="002C3E0A"/>
    <w:rsid w:val="002C4AE3"/>
    <w:rsid w:val="002C4DAC"/>
    <w:rsid w:val="002C63D7"/>
    <w:rsid w:val="002D100A"/>
    <w:rsid w:val="002D5EB8"/>
    <w:rsid w:val="002D60BB"/>
    <w:rsid w:val="002D7FD0"/>
    <w:rsid w:val="002E0812"/>
    <w:rsid w:val="002E2357"/>
    <w:rsid w:val="002E344A"/>
    <w:rsid w:val="002E4877"/>
    <w:rsid w:val="002F0675"/>
    <w:rsid w:val="002F1CAC"/>
    <w:rsid w:val="002F2E9A"/>
    <w:rsid w:val="002F46F9"/>
    <w:rsid w:val="002F7050"/>
    <w:rsid w:val="0030125A"/>
    <w:rsid w:val="003014E9"/>
    <w:rsid w:val="00302E4C"/>
    <w:rsid w:val="00303F01"/>
    <w:rsid w:val="00304696"/>
    <w:rsid w:val="00306591"/>
    <w:rsid w:val="00307097"/>
    <w:rsid w:val="00307B62"/>
    <w:rsid w:val="00310F84"/>
    <w:rsid w:val="0031265B"/>
    <w:rsid w:val="00312A5F"/>
    <w:rsid w:val="00315FC8"/>
    <w:rsid w:val="003179E5"/>
    <w:rsid w:val="0032357F"/>
    <w:rsid w:val="00326D47"/>
    <w:rsid w:val="00327E5B"/>
    <w:rsid w:val="0033077E"/>
    <w:rsid w:val="00330C54"/>
    <w:rsid w:val="00331D20"/>
    <w:rsid w:val="00335271"/>
    <w:rsid w:val="003352DA"/>
    <w:rsid w:val="00335827"/>
    <w:rsid w:val="0034558B"/>
    <w:rsid w:val="003508A8"/>
    <w:rsid w:val="00352D3C"/>
    <w:rsid w:val="00353043"/>
    <w:rsid w:val="00353E06"/>
    <w:rsid w:val="0035440D"/>
    <w:rsid w:val="00356611"/>
    <w:rsid w:val="00356F9B"/>
    <w:rsid w:val="00361888"/>
    <w:rsid w:val="003630CA"/>
    <w:rsid w:val="003717E9"/>
    <w:rsid w:val="00371E31"/>
    <w:rsid w:val="00372233"/>
    <w:rsid w:val="0037375F"/>
    <w:rsid w:val="00373BC7"/>
    <w:rsid w:val="00374F55"/>
    <w:rsid w:val="00375F97"/>
    <w:rsid w:val="00375FAA"/>
    <w:rsid w:val="00377428"/>
    <w:rsid w:val="00382068"/>
    <w:rsid w:val="0038460A"/>
    <w:rsid w:val="00386E78"/>
    <w:rsid w:val="003873FE"/>
    <w:rsid w:val="00390316"/>
    <w:rsid w:val="0039262C"/>
    <w:rsid w:val="00394F51"/>
    <w:rsid w:val="003959AE"/>
    <w:rsid w:val="00395DA0"/>
    <w:rsid w:val="00396538"/>
    <w:rsid w:val="00397D68"/>
    <w:rsid w:val="003A1B3A"/>
    <w:rsid w:val="003A3713"/>
    <w:rsid w:val="003A3F11"/>
    <w:rsid w:val="003A556F"/>
    <w:rsid w:val="003A624D"/>
    <w:rsid w:val="003A6670"/>
    <w:rsid w:val="003B05A4"/>
    <w:rsid w:val="003B07C8"/>
    <w:rsid w:val="003B25BF"/>
    <w:rsid w:val="003B3B43"/>
    <w:rsid w:val="003B4CB6"/>
    <w:rsid w:val="003B6FAE"/>
    <w:rsid w:val="003B7D21"/>
    <w:rsid w:val="003B7EA3"/>
    <w:rsid w:val="003C0156"/>
    <w:rsid w:val="003C0F35"/>
    <w:rsid w:val="003C56EF"/>
    <w:rsid w:val="003C6417"/>
    <w:rsid w:val="003C76A2"/>
    <w:rsid w:val="003D5CEF"/>
    <w:rsid w:val="003D6923"/>
    <w:rsid w:val="003E1C16"/>
    <w:rsid w:val="003E4467"/>
    <w:rsid w:val="003E44C1"/>
    <w:rsid w:val="003E51A4"/>
    <w:rsid w:val="003E6907"/>
    <w:rsid w:val="003E74E4"/>
    <w:rsid w:val="003E7C1B"/>
    <w:rsid w:val="003F4D1E"/>
    <w:rsid w:val="003F6ADA"/>
    <w:rsid w:val="00400E23"/>
    <w:rsid w:val="004022A4"/>
    <w:rsid w:val="0040231D"/>
    <w:rsid w:val="00402948"/>
    <w:rsid w:val="00404D2F"/>
    <w:rsid w:val="00405946"/>
    <w:rsid w:val="00406C4D"/>
    <w:rsid w:val="00407122"/>
    <w:rsid w:val="00407FC4"/>
    <w:rsid w:val="004120AF"/>
    <w:rsid w:val="004122CC"/>
    <w:rsid w:val="0041255E"/>
    <w:rsid w:val="00413BEE"/>
    <w:rsid w:val="004145D1"/>
    <w:rsid w:val="00414D5F"/>
    <w:rsid w:val="004159BE"/>
    <w:rsid w:val="00415AB7"/>
    <w:rsid w:val="00415F06"/>
    <w:rsid w:val="00416186"/>
    <w:rsid w:val="00416A4E"/>
    <w:rsid w:val="00417507"/>
    <w:rsid w:val="0042189C"/>
    <w:rsid w:val="00422210"/>
    <w:rsid w:val="00423741"/>
    <w:rsid w:val="00423F90"/>
    <w:rsid w:val="00425FBC"/>
    <w:rsid w:val="00426824"/>
    <w:rsid w:val="00431CB8"/>
    <w:rsid w:val="00432BFC"/>
    <w:rsid w:val="00432CB0"/>
    <w:rsid w:val="00432E50"/>
    <w:rsid w:val="004369E8"/>
    <w:rsid w:val="00441D54"/>
    <w:rsid w:val="00442274"/>
    <w:rsid w:val="00445BA5"/>
    <w:rsid w:val="00446017"/>
    <w:rsid w:val="00447276"/>
    <w:rsid w:val="004475C6"/>
    <w:rsid w:val="00452037"/>
    <w:rsid w:val="0045372B"/>
    <w:rsid w:val="00453ADE"/>
    <w:rsid w:val="004627C0"/>
    <w:rsid w:val="00462A11"/>
    <w:rsid w:val="00463F7C"/>
    <w:rsid w:val="00464943"/>
    <w:rsid w:val="00465273"/>
    <w:rsid w:val="00465884"/>
    <w:rsid w:val="00465C3F"/>
    <w:rsid w:val="0046660F"/>
    <w:rsid w:val="00473071"/>
    <w:rsid w:val="00473691"/>
    <w:rsid w:val="00473A07"/>
    <w:rsid w:val="00474521"/>
    <w:rsid w:val="00475B63"/>
    <w:rsid w:val="00477298"/>
    <w:rsid w:val="00481B85"/>
    <w:rsid w:val="00481F09"/>
    <w:rsid w:val="00482EF8"/>
    <w:rsid w:val="0048469E"/>
    <w:rsid w:val="00484E58"/>
    <w:rsid w:val="004875F1"/>
    <w:rsid w:val="004941CF"/>
    <w:rsid w:val="004950DA"/>
    <w:rsid w:val="00496D6D"/>
    <w:rsid w:val="004A7364"/>
    <w:rsid w:val="004B1181"/>
    <w:rsid w:val="004B4F0A"/>
    <w:rsid w:val="004B5307"/>
    <w:rsid w:val="004B5CDE"/>
    <w:rsid w:val="004B71F6"/>
    <w:rsid w:val="004C138A"/>
    <w:rsid w:val="004C33B4"/>
    <w:rsid w:val="004C3A0A"/>
    <w:rsid w:val="004C6C56"/>
    <w:rsid w:val="004C7BE6"/>
    <w:rsid w:val="004C7EC5"/>
    <w:rsid w:val="004D0D7D"/>
    <w:rsid w:val="004D100C"/>
    <w:rsid w:val="004D149B"/>
    <w:rsid w:val="004D4A08"/>
    <w:rsid w:val="004D5484"/>
    <w:rsid w:val="004D6003"/>
    <w:rsid w:val="004E0659"/>
    <w:rsid w:val="004E1459"/>
    <w:rsid w:val="004E3C0E"/>
    <w:rsid w:val="004F16F9"/>
    <w:rsid w:val="004F2784"/>
    <w:rsid w:val="004F3621"/>
    <w:rsid w:val="004F547E"/>
    <w:rsid w:val="004F6494"/>
    <w:rsid w:val="004F6689"/>
    <w:rsid w:val="004F6CF8"/>
    <w:rsid w:val="004F78E8"/>
    <w:rsid w:val="00506392"/>
    <w:rsid w:val="00507C6A"/>
    <w:rsid w:val="00511B7E"/>
    <w:rsid w:val="00515B51"/>
    <w:rsid w:val="00516F26"/>
    <w:rsid w:val="00517E75"/>
    <w:rsid w:val="00521C92"/>
    <w:rsid w:val="005278AA"/>
    <w:rsid w:val="00527AF0"/>
    <w:rsid w:val="00534B11"/>
    <w:rsid w:val="00535337"/>
    <w:rsid w:val="00537445"/>
    <w:rsid w:val="00537618"/>
    <w:rsid w:val="00537AF9"/>
    <w:rsid w:val="0054061D"/>
    <w:rsid w:val="005444B1"/>
    <w:rsid w:val="00545E77"/>
    <w:rsid w:val="00545ED9"/>
    <w:rsid w:val="005462BA"/>
    <w:rsid w:val="00547F9B"/>
    <w:rsid w:val="00554393"/>
    <w:rsid w:val="00557477"/>
    <w:rsid w:val="00560C4E"/>
    <w:rsid w:val="00562B3B"/>
    <w:rsid w:val="0056388A"/>
    <w:rsid w:val="005649E6"/>
    <w:rsid w:val="005670F6"/>
    <w:rsid w:val="00570B74"/>
    <w:rsid w:val="00570FA5"/>
    <w:rsid w:val="00571129"/>
    <w:rsid w:val="005722F7"/>
    <w:rsid w:val="00572A89"/>
    <w:rsid w:val="00575827"/>
    <w:rsid w:val="005764E0"/>
    <w:rsid w:val="00580AF8"/>
    <w:rsid w:val="00581297"/>
    <w:rsid w:val="00584EF3"/>
    <w:rsid w:val="005866AB"/>
    <w:rsid w:val="00587C70"/>
    <w:rsid w:val="00591D6A"/>
    <w:rsid w:val="00592AA9"/>
    <w:rsid w:val="005964B6"/>
    <w:rsid w:val="005A091D"/>
    <w:rsid w:val="005A5F29"/>
    <w:rsid w:val="005A5F2C"/>
    <w:rsid w:val="005B0F53"/>
    <w:rsid w:val="005B19C6"/>
    <w:rsid w:val="005B1F20"/>
    <w:rsid w:val="005B47C6"/>
    <w:rsid w:val="005B4E3C"/>
    <w:rsid w:val="005B56E1"/>
    <w:rsid w:val="005C0D55"/>
    <w:rsid w:val="005C2AAA"/>
    <w:rsid w:val="005C4CF1"/>
    <w:rsid w:val="005C6BE3"/>
    <w:rsid w:val="005D031B"/>
    <w:rsid w:val="005D0339"/>
    <w:rsid w:val="005D35D9"/>
    <w:rsid w:val="005D5EE6"/>
    <w:rsid w:val="005D64D5"/>
    <w:rsid w:val="005D7A3A"/>
    <w:rsid w:val="005E6241"/>
    <w:rsid w:val="005E6686"/>
    <w:rsid w:val="005E6B99"/>
    <w:rsid w:val="005E7152"/>
    <w:rsid w:val="005F3552"/>
    <w:rsid w:val="005F46DC"/>
    <w:rsid w:val="005F52A7"/>
    <w:rsid w:val="005F59EE"/>
    <w:rsid w:val="00600289"/>
    <w:rsid w:val="00600BCA"/>
    <w:rsid w:val="006019A7"/>
    <w:rsid w:val="00601FE8"/>
    <w:rsid w:val="00602D6F"/>
    <w:rsid w:val="0060349D"/>
    <w:rsid w:val="0060533F"/>
    <w:rsid w:val="00606DA2"/>
    <w:rsid w:val="006070D0"/>
    <w:rsid w:val="006109F1"/>
    <w:rsid w:val="00610BBE"/>
    <w:rsid w:val="00613035"/>
    <w:rsid w:val="0061317C"/>
    <w:rsid w:val="00613F5C"/>
    <w:rsid w:val="00614019"/>
    <w:rsid w:val="00614152"/>
    <w:rsid w:val="00614472"/>
    <w:rsid w:val="00615939"/>
    <w:rsid w:val="00615A57"/>
    <w:rsid w:val="006160BE"/>
    <w:rsid w:val="00620600"/>
    <w:rsid w:val="00621097"/>
    <w:rsid w:val="00624275"/>
    <w:rsid w:val="006254F7"/>
    <w:rsid w:val="0062629D"/>
    <w:rsid w:val="00626429"/>
    <w:rsid w:val="00627BFD"/>
    <w:rsid w:val="00631CDB"/>
    <w:rsid w:val="006320ED"/>
    <w:rsid w:val="00632AA5"/>
    <w:rsid w:val="006345FA"/>
    <w:rsid w:val="0063551A"/>
    <w:rsid w:val="00635CEB"/>
    <w:rsid w:val="00636014"/>
    <w:rsid w:val="00642961"/>
    <w:rsid w:val="006432B4"/>
    <w:rsid w:val="00645389"/>
    <w:rsid w:val="00645C5A"/>
    <w:rsid w:val="00647B46"/>
    <w:rsid w:val="0065057C"/>
    <w:rsid w:val="00650DA4"/>
    <w:rsid w:val="00651AE6"/>
    <w:rsid w:val="00652133"/>
    <w:rsid w:val="00652795"/>
    <w:rsid w:val="00653031"/>
    <w:rsid w:val="0065365E"/>
    <w:rsid w:val="00655696"/>
    <w:rsid w:val="00655B1E"/>
    <w:rsid w:val="00655FDA"/>
    <w:rsid w:val="00660502"/>
    <w:rsid w:val="006621F5"/>
    <w:rsid w:val="0066225B"/>
    <w:rsid w:val="006623E5"/>
    <w:rsid w:val="00664AFE"/>
    <w:rsid w:val="00664DD2"/>
    <w:rsid w:val="006655C7"/>
    <w:rsid w:val="00666F80"/>
    <w:rsid w:val="006678AE"/>
    <w:rsid w:val="00671803"/>
    <w:rsid w:val="00672ECF"/>
    <w:rsid w:val="0067630C"/>
    <w:rsid w:val="00676BF0"/>
    <w:rsid w:val="00681384"/>
    <w:rsid w:val="006838C5"/>
    <w:rsid w:val="006860E8"/>
    <w:rsid w:val="00692ABC"/>
    <w:rsid w:val="00693541"/>
    <w:rsid w:val="00695632"/>
    <w:rsid w:val="0069583E"/>
    <w:rsid w:val="00697DE9"/>
    <w:rsid w:val="006A37E6"/>
    <w:rsid w:val="006A4A42"/>
    <w:rsid w:val="006A4C17"/>
    <w:rsid w:val="006B0BC7"/>
    <w:rsid w:val="006B4E0F"/>
    <w:rsid w:val="006B5E4B"/>
    <w:rsid w:val="006C3287"/>
    <w:rsid w:val="006C435E"/>
    <w:rsid w:val="006C6A95"/>
    <w:rsid w:val="006D0BEC"/>
    <w:rsid w:val="006D1417"/>
    <w:rsid w:val="006D1CA9"/>
    <w:rsid w:val="006D1FCA"/>
    <w:rsid w:val="006D434B"/>
    <w:rsid w:val="006D4F29"/>
    <w:rsid w:val="006D51EC"/>
    <w:rsid w:val="006D5C74"/>
    <w:rsid w:val="006D70E2"/>
    <w:rsid w:val="006E0928"/>
    <w:rsid w:val="006E1990"/>
    <w:rsid w:val="006E42FF"/>
    <w:rsid w:val="006E5F4F"/>
    <w:rsid w:val="006E64C0"/>
    <w:rsid w:val="006E65EE"/>
    <w:rsid w:val="006E71F1"/>
    <w:rsid w:val="006E75B6"/>
    <w:rsid w:val="006E7B0E"/>
    <w:rsid w:val="006E7D46"/>
    <w:rsid w:val="006E7EEB"/>
    <w:rsid w:val="006F404D"/>
    <w:rsid w:val="006F6B59"/>
    <w:rsid w:val="007021BF"/>
    <w:rsid w:val="00703B29"/>
    <w:rsid w:val="0070776E"/>
    <w:rsid w:val="0070788B"/>
    <w:rsid w:val="00711AEE"/>
    <w:rsid w:val="0071398E"/>
    <w:rsid w:val="00714EFC"/>
    <w:rsid w:val="0071542D"/>
    <w:rsid w:val="00715E4A"/>
    <w:rsid w:val="00716D85"/>
    <w:rsid w:val="007174F7"/>
    <w:rsid w:val="0072187B"/>
    <w:rsid w:val="00721C17"/>
    <w:rsid w:val="00721F95"/>
    <w:rsid w:val="007235DA"/>
    <w:rsid w:val="00724575"/>
    <w:rsid w:val="007303D3"/>
    <w:rsid w:val="0073219D"/>
    <w:rsid w:val="007324C3"/>
    <w:rsid w:val="0073298F"/>
    <w:rsid w:val="00733028"/>
    <w:rsid w:val="0073383C"/>
    <w:rsid w:val="00734417"/>
    <w:rsid w:val="00737916"/>
    <w:rsid w:val="007500E6"/>
    <w:rsid w:val="007519DA"/>
    <w:rsid w:val="00752FE4"/>
    <w:rsid w:val="0075411C"/>
    <w:rsid w:val="00757173"/>
    <w:rsid w:val="007577D9"/>
    <w:rsid w:val="007579AD"/>
    <w:rsid w:val="00760399"/>
    <w:rsid w:val="00760960"/>
    <w:rsid w:val="007620F0"/>
    <w:rsid w:val="007624B0"/>
    <w:rsid w:val="007640C8"/>
    <w:rsid w:val="0076419D"/>
    <w:rsid w:val="00767CEC"/>
    <w:rsid w:val="007739FD"/>
    <w:rsid w:val="007740BA"/>
    <w:rsid w:val="00774574"/>
    <w:rsid w:val="00774B24"/>
    <w:rsid w:val="0077725B"/>
    <w:rsid w:val="00777412"/>
    <w:rsid w:val="00777B40"/>
    <w:rsid w:val="00777B7E"/>
    <w:rsid w:val="00782091"/>
    <w:rsid w:val="00782C34"/>
    <w:rsid w:val="00784798"/>
    <w:rsid w:val="00785FE2"/>
    <w:rsid w:val="00786864"/>
    <w:rsid w:val="00787899"/>
    <w:rsid w:val="00792C62"/>
    <w:rsid w:val="00794837"/>
    <w:rsid w:val="007962C7"/>
    <w:rsid w:val="007A1CC5"/>
    <w:rsid w:val="007A1ECC"/>
    <w:rsid w:val="007A29F6"/>
    <w:rsid w:val="007A443D"/>
    <w:rsid w:val="007A650E"/>
    <w:rsid w:val="007A6675"/>
    <w:rsid w:val="007A793F"/>
    <w:rsid w:val="007B08CD"/>
    <w:rsid w:val="007B0EC2"/>
    <w:rsid w:val="007B598C"/>
    <w:rsid w:val="007B66F5"/>
    <w:rsid w:val="007B68DA"/>
    <w:rsid w:val="007B7101"/>
    <w:rsid w:val="007C0A79"/>
    <w:rsid w:val="007C4605"/>
    <w:rsid w:val="007C7DE6"/>
    <w:rsid w:val="007D0030"/>
    <w:rsid w:val="007D3588"/>
    <w:rsid w:val="007D3CCF"/>
    <w:rsid w:val="007D7199"/>
    <w:rsid w:val="007D7267"/>
    <w:rsid w:val="007E0642"/>
    <w:rsid w:val="007E0B1D"/>
    <w:rsid w:val="007E2AC8"/>
    <w:rsid w:val="007E369A"/>
    <w:rsid w:val="007E6BDD"/>
    <w:rsid w:val="007E77D2"/>
    <w:rsid w:val="007F0EC9"/>
    <w:rsid w:val="007F4A0B"/>
    <w:rsid w:val="007F5473"/>
    <w:rsid w:val="007F54B7"/>
    <w:rsid w:val="007F6227"/>
    <w:rsid w:val="008012C3"/>
    <w:rsid w:val="00804F3E"/>
    <w:rsid w:val="00805B53"/>
    <w:rsid w:val="008076ED"/>
    <w:rsid w:val="00810596"/>
    <w:rsid w:val="00810955"/>
    <w:rsid w:val="00813191"/>
    <w:rsid w:val="00814C14"/>
    <w:rsid w:val="00815368"/>
    <w:rsid w:val="0081537A"/>
    <w:rsid w:val="00817560"/>
    <w:rsid w:val="00817BF5"/>
    <w:rsid w:val="008220DE"/>
    <w:rsid w:val="00824FA2"/>
    <w:rsid w:val="00825F87"/>
    <w:rsid w:val="00826522"/>
    <w:rsid w:val="00831505"/>
    <w:rsid w:val="00831D67"/>
    <w:rsid w:val="0083225C"/>
    <w:rsid w:val="00832B3B"/>
    <w:rsid w:val="00836574"/>
    <w:rsid w:val="008371E0"/>
    <w:rsid w:val="0083794F"/>
    <w:rsid w:val="008422BA"/>
    <w:rsid w:val="00844F24"/>
    <w:rsid w:val="0084679F"/>
    <w:rsid w:val="008476B1"/>
    <w:rsid w:val="0085144F"/>
    <w:rsid w:val="008570D8"/>
    <w:rsid w:val="00857895"/>
    <w:rsid w:val="0086080C"/>
    <w:rsid w:val="00860B0D"/>
    <w:rsid w:val="00860F11"/>
    <w:rsid w:val="008652BE"/>
    <w:rsid w:val="00865319"/>
    <w:rsid w:val="00870365"/>
    <w:rsid w:val="008772D8"/>
    <w:rsid w:val="00880F68"/>
    <w:rsid w:val="0088349A"/>
    <w:rsid w:val="00884E5F"/>
    <w:rsid w:val="008858BB"/>
    <w:rsid w:val="00886A90"/>
    <w:rsid w:val="00890741"/>
    <w:rsid w:val="00892602"/>
    <w:rsid w:val="00894D61"/>
    <w:rsid w:val="00897EC7"/>
    <w:rsid w:val="008A31E9"/>
    <w:rsid w:val="008A33E5"/>
    <w:rsid w:val="008A3475"/>
    <w:rsid w:val="008A7040"/>
    <w:rsid w:val="008A7A15"/>
    <w:rsid w:val="008A7FAA"/>
    <w:rsid w:val="008B1673"/>
    <w:rsid w:val="008B3D25"/>
    <w:rsid w:val="008B4CCB"/>
    <w:rsid w:val="008B4E21"/>
    <w:rsid w:val="008B4E9E"/>
    <w:rsid w:val="008B7F29"/>
    <w:rsid w:val="008C57BC"/>
    <w:rsid w:val="008C5A68"/>
    <w:rsid w:val="008C6C6F"/>
    <w:rsid w:val="008C7ADC"/>
    <w:rsid w:val="008D26C9"/>
    <w:rsid w:val="008D3CC5"/>
    <w:rsid w:val="008D6F82"/>
    <w:rsid w:val="008E01B8"/>
    <w:rsid w:val="008E04C5"/>
    <w:rsid w:val="008E57BC"/>
    <w:rsid w:val="008E59FD"/>
    <w:rsid w:val="008E78A2"/>
    <w:rsid w:val="008F0520"/>
    <w:rsid w:val="008F0999"/>
    <w:rsid w:val="008F1138"/>
    <w:rsid w:val="008F2E03"/>
    <w:rsid w:val="008F2E8D"/>
    <w:rsid w:val="008F3A51"/>
    <w:rsid w:val="008F3C5E"/>
    <w:rsid w:val="0090049B"/>
    <w:rsid w:val="0090093E"/>
    <w:rsid w:val="009023CE"/>
    <w:rsid w:val="00903CB9"/>
    <w:rsid w:val="00924413"/>
    <w:rsid w:val="0092688C"/>
    <w:rsid w:val="00930205"/>
    <w:rsid w:val="00930372"/>
    <w:rsid w:val="00931AD3"/>
    <w:rsid w:val="00934BBF"/>
    <w:rsid w:val="009352CE"/>
    <w:rsid w:val="009424ED"/>
    <w:rsid w:val="0094497A"/>
    <w:rsid w:val="009468F0"/>
    <w:rsid w:val="0094756F"/>
    <w:rsid w:val="00950096"/>
    <w:rsid w:val="0095051C"/>
    <w:rsid w:val="0095077F"/>
    <w:rsid w:val="00951724"/>
    <w:rsid w:val="00952525"/>
    <w:rsid w:val="00953A81"/>
    <w:rsid w:val="009541E4"/>
    <w:rsid w:val="0095692D"/>
    <w:rsid w:val="00960DF3"/>
    <w:rsid w:val="00964B50"/>
    <w:rsid w:val="009672D9"/>
    <w:rsid w:val="00972E41"/>
    <w:rsid w:val="00974E8C"/>
    <w:rsid w:val="0097714B"/>
    <w:rsid w:val="00981213"/>
    <w:rsid w:val="00983D0E"/>
    <w:rsid w:val="00991FA6"/>
    <w:rsid w:val="009929EC"/>
    <w:rsid w:val="009932AF"/>
    <w:rsid w:val="00993461"/>
    <w:rsid w:val="00995481"/>
    <w:rsid w:val="009A0E85"/>
    <w:rsid w:val="009A25E0"/>
    <w:rsid w:val="009A3917"/>
    <w:rsid w:val="009A4E1B"/>
    <w:rsid w:val="009A533E"/>
    <w:rsid w:val="009A6F2D"/>
    <w:rsid w:val="009A7461"/>
    <w:rsid w:val="009A782C"/>
    <w:rsid w:val="009A7F3D"/>
    <w:rsid w:val="009B07EE"/>
    <w:rsid w:val="009B2A5A"/>
    <w:rsid w:val="009B61C4"/>
    <w:rsid w:val="009B784D"/>
    <w:rsid w:val="009C3EEA"/>
    <w:rsid w:val="009C5556"/>
    <w:rsid w:val="009D1C16"/>
    <w:rsid w:val="009D24E3"/>
    <w:rsid w:val="009D3326"/>
    <w:rsid w:val="009D532C"/>
    <w:rsid w:val="009D7080"/>
    <w:rsid w:val="009D7EA1"/>
    <w:rsid w:val="009E3ADB"/>
    <w:rsid w:val="009F0739"/>
    <w:rsid w:val="009F0DE4"/>
    <w:rsid w:val="009F421D"/>
    <w:rsid w:val="009F52E5"/>
    <w:rsid w:val="009F5AA2"/>
    <w:rsid w:val="009F6CC5"/>
    <w:rsid w:val="00A00AB4"/>
    <w:rsid w:val="00A02A86"/>
    <w:rsid w:val="00A0772F"/>
    <w:rsid w:val="00A07B9D"/>
    <w:rsid w:val="00A10419"/>
    <w:rsid w:val="00A10CDF"/>
    <w:rsid w:val="00A12C7D"/>
    <w:rsid w:val="00A133D2"/>
    <w:rsid w:val="00A13965"/>
    <w:rsid w:val="00A1532B"/>
    <w:rsid w:val="00A15A5C"/>
    <w:rsid w:val="00A22263"/>
    <w:rsid w:val="00A226FF"/>
    <w:rsid w:val="00A22A28"/>
    <w:rsid w:val="00A264DC"/>
    <w:rsid w:val="00A33772"/>
    <w:rsid w:val="00A33C40"/>
    <w:rsid w:val="00A34A31"/>
    <w:rsid w:val="00A35A41"/>
    <w:rsid w:val="00A35A74"/>
    <w:rsid w:val="00A35B68"/>
    <w:rsid w:val="00A36A7D"/>
    <w:rsid w:val="00A376F3"/>
    <w:rsid w:val="00A37E8D"/>
    <w:rsid w:val="00A414AE"/>
    <w:rsid w:val="00A41ADD"/>
    <w:rsid w:val="00A45F7B"/>
    <w:rsid w:val="00A478A6"/>
    <w:rsid w:val="00A57954"/>
    <w:rsid w:val="00A608FD"/>
    <w:rsid w:val="00A6238E"/>
    <w:rsid w:val="00A62435"/>
    <w:rsid w:val="00A62880"/>
    <w:rsid w:val="00A753A1"/>
    <w:rsid w:val="00A7615A"/>
    <w:rsid w:val="00A76C90"/>
    <w:rsid w:val="00A808F9"/>
    <w:rsid w:val="00A82C4C"/>
    <w:rsid w:val="00A83D3A"/>
    <w:rsid w:val="00A85CE2"/>
    <w:rsid w:val="00A9074B"/>
    <w:rsid w:val="00A920B0"/>
    <w:rsid w:val="00A950D0"/>
    <w:rsid w:val="00A95EA5"/>
    <w:rsid w:val="00A973FD"/>
    <w:rsid w:val="00AA20EC"/>
    <w:rsid w:val="00AA27B4"/>
    <w:rsid w:val="00AA30D8"/>
    <w:rsid w:val="00AA4041"/>
    <w:rsid w:val="00AA64C6"/>
    <w:rsid w:val="00AC0501"/>
    <w:rsid w:val="00AC3578"/>
    <w:rsid w:val="00AC440F"/>
    <w:rsid w:val="00AC57CC"/>
    <w:rsid w:val="00AD00B5"/>
    <w:rsid w:val="00AD1029"/>
    <w:rsid w:val="00AD434A"/>
    <w:rsid w:val="00AD4A75"/>
    <w:rsid w:val="00AD6584"/>
    <w:rsid w:val="00AD69DE"/>
    <w:rsid w:val="00AE04B4"/>
    <w:rsid w:val="00AE0A16"/>
    <w:rsid w:val="00AE533E"/>
    <w:rsid w:val="00AE6703"/>
    <w:rsid w:val="00AF1663"/>
    <w:rsid w:val="00AF17EA"/>
    <w:rsid w:val="00AF2754"/>
    <w:rsid w:val="00AF2D69"/>
    <w:rsid w:val="00AF54F3"/>
    <w:rsid w:val="00AF6015"/>
    <w:rsid w:val="00B00D00"/>
    <w:rsid w:val="00B0220D"/>
    <w:rsid w:val="00B02D34"/>
    <w:rsid w:val="00B03074"/>
    <w:rsid w:val="00B044F9"/>
    <w:rsid w:val="00B0465B"/>
    <w:rsid w:val="00B04AA1"/>
    <w:rsid w:val="00B04B81"/>
    <w:rsid w:val="00B0681B"/>
    <w:rsid w:val="00B06EB2"/>
    <w:rsid w:val="00B13D0B"/>
    <w:rsid w:val="00B152B4"/>
    <w:rsid w:val="00B15516"/>
    <w:rsid w:val="00B15EB9"/>
    <w:rsid w:val="00B15F9D"/>
    <w:rsid w:val="00B23F69"/>
    <w:rsid w:val="00B2544C"/>
    <w:rsid w:val="00B26544"/>
    <w:rsid w:val="00B3068C"/>
    <w:rsid w:val="00B3079F"/>
    <w:rsid w:val="00B32242"/>
    <w:rsid w:val="00B32CFA"/>
    <w:rsid w:val="00B32EA1"/>
    <w:rsid w:val="00B36687"/>
    <w:rsid w:val="00B40577"/>
    <w:rsid w:val="00B44296"/>
    <w:rsid w:val="00B44620"/>
    <w:rsid w:val="00B463C1"/>
    <w:rsid w:val="00B46607"/>
    <w:rsid w:val="00B50FF3"/>
    <w:rsid w:val="00B5196D"/>
    <w:rsid w:val="00B52B32"/>
    <w:rsid w:val="00B54131"/>
    <w:rsid w:val="00B54C83"/>
    <w:rsid w:val="00B55F43"/>
    <w:rsid w:val="00B60420"/>
    <w:rsid w:val="00B61B64"/>
    <w:rsid w:val="00B66351"/>
    <w:rsid w:val="00B6637F"/>
    <w:rsid w:val="00B72CBB"/>
    <w:rsid w:val="00B75976"/>
    <w:rsid w:val="00B760B3"/>
    <w:rsid w:val="00B77C77"/>
    <w:rsid w:val="00B839ED"/>
    <w:rsid w:val="00B83AA9"/>
    <w:rsid w:val="00B83C27"/>
    <w:rsid w:val="00B83C54"/>
    <w:rsid w:val="00B84732"/>
    <w:rsid w:val="00B851B9"/>
    <w:rsid w:val="00B862E6"/>
    <w:rsid w:val="00B86E18"/>
    <w:rsid w:val="00B907CB"/>
    <w:rsid w:val="00B9649A"/>
    <w:rsid w:val="00B9724D"/>
    <w:rsid w:val="00BA4B9E"/>
    <w:rsid w:val="00BA6500"/>
    <w:rsid w:val="00BB179A"/>
    <w:rsid w:val="00BB2123"/>
    <w:rsid w:val="00BB56EF"/>
    <w:rsid w:val="00BB693F"/>
    <w:rsid w:val="00BC1C33"/>
    <w:rsid w:val="00BC25A1"/>
    <w:rsid w:val="00BC35D8"/>
    <w:rsid w:val="00BC3642"/>
    <w:rsid w:val="00BC7B0D"/>
    <w:rsid w:val="00BD17B0"/>
    <w:rsid w:val="00BD1F7B"/>
    <w:rsid w:val="00BD283C"/>
    <w:rsid w:val="00BD3274"/>
    <w:rsid w:val="00BD4CC7"/>
    <w:rsid w:val="00BE442C"/>
    <w:rsid w:val="00BE6081"/>
    <w:rsid w:val="00BF0A2E"/>
    <w:rsid w:val="00BF345C"/>
    <w:rsid w:val="00BF559F"/>
    <w:rsid w:val="00C01235"/>
    <w:rsid w:val="00C03F0C"/>
    <w:rsid w:val="00C040E2"/>
    <w:rsid w:val="00C05DF7"/>
    <w:rsid w:val="00C07967"/>
    <w:rsid w:val="00C10B03"/>
    <w:rsid w:val="00C12388"/>
    <w:rsid w:val="00C1265E"/>
    <w:rsid w:val="00C1536B"/>
    <w:rsid w:val="00C17B99"/>
    <w:rsid w:val="00C207B5"/>
    <w:rsid w:val="00C21AC1"/>
    <w:rsid w:val="00C22AC0"/>
    <w:rsid w:val="00C23717"/>
    <w:rsid w:val="00C24A42"/>
    <w:rsid w:val="00C255E2"/>
    <w:rsid w:val="00C261BB"/>
    <w:rsid w:val="00C2685B"/>
    <w:rsid w:val="00C30A28"/>
    <w:rsid w:val="00C30B41"/>
    <w:rsid w:val="00C31257"/>
    <w:rsid w:val="00C34270"/>
    <w:rsid w:val="00C34A06"/>
    <w:rsid w:val="00C40A3D"/>
    <w:rsid w:val="00C420AA"/>
    <w:rsid w:val="00C424B3"/>
    <w:rsid w:val="00C44B90"/>
    <w:rsid w:val="00C50AA6"/>
    <w:rsid w:val="00C50E3E"/>
    <w:rsid w:val="00C52B91"/>
    <w:rsid w:val="00C52D68"/>
    <w:rsid w:val="00C53163"/>
    <w:rsid w:val="00C53402"/>
    <w:rsid w:val="00C544DD"/>
    <w:rsid w:val="00C5499F"/>
    <w:rsid w:val="00C558B0"/>
    <w:rsid w:val="00C5607A"/>
    <w:rsid w:val="00C624BB"/>
    <w:rsid w:val="00C71C8B"/>
    <w:rsid w:val="00C72679"/>
    <w:rsid w:val="00C738ED"/>
    <w:rsid w:val="00C74C2D"/>
    <w:rsid w:val="00C81931"/>
    <w:rsid w:val="00C82759"/>
    <w:rsid w:val="00C85F9A"/>
    <w:rsid w:val="00C861AF"/>
    <w:rsid w:val="00C877DE"/>
    <w:rsid w:val="00C87B83"/>
    <w:rsid w:val="00C87BB9"/>
    <w:rsid w:val="00C90785"/>
    <w:rsid w:val="00C93565"/>
    <w:rsid w:val="00C95452"/>
    <w:rsid w:val="00C97CB5"/>
    <w:rsid w:val="00CA21AC"/>
    <w:rsid w:val="00CA2C4F"/>
    <w:rsid w:val="00CA3DF5"/>
    <w:rsid w:val="00CA5DD6"/>
    <w:rsid w:val="00CA6DAA"/>
    <w:rsid w:val="00CA7054"/>
    <w:rsid w:val="00CB05F5"/>
    <w:rsid w:val="00CB15DA"/>
    <w:rsid w:val="00CB4228"/>
    <w:rsid w:val="00CB5276"/>
    <w:rsid w:val="00CB54CF"/>
    <w:rsid w:val="00CC1DD2"/>
    <w:rsid w:val="00CC379C"/>
    <w:rsid w:val="00CC6BED"/>
    <w:rsid w:val="00CD0258"/>
    <w:rsid w:val="00CD3309"/>
    <w:rsid w:val="00CD62AD"/>
    <w:rsid w:val="00CD7A2A"/>
    <w:rsid w:val="00CE03BB"/>
    <w:rsid w:val="00CE6ECC"/>
    <w:rsid w:val="00CE7D6D"/>
    <w:rsid w:val="00CF27BF"/>
    <w:rsid w:val="00CF31EA"/>
    <w:rsid w:val="00CF3275"/>
    <w:rsid w:val="00CF3287"/>
    <w:rsid w:val="00CF433D"/>
    <w:rsid w:val="00CF6005"/>
    <w:rsid w:val="00D001B5"/>
    <w:rsid w:val="00D02CF5"/>
    <w:rsid w:val="00D03B87"/>
    <w:rsid w:val="00D03D52"/>
    <w:rsid w:val="00D07985"/>
    <w:rsid w:val="00D1077D"/>
    <w:rsid w:val="00D113F0"/>
    <w:rsid w:val="00D11F4D"/>
    <w:rsid w:val="00D121B9"/>
    <w:rsid w:val="00D14BED"/>
    <w:rsid w:val="00D1514C"/>
    <w:rsid w:val="00D16C8C"/>
    <w:rsid w:val="00D20C21"/>
    <w:rsid w:val="00D22319"/>
    <w:rsid w:val="00D273A2"/>
    <w:rsid w:val="00D273AE"/>
    <w:rsid w:val="00D27D07"/>
    <w:rsid w:val="00D316AA"/>
    <w:rsid w:val="00D329C5"/>
    <w:rsid w:val="00D35092"/>
    <w:rsid w:val="00D3584B"/>
    <w:rsid w:val="00D362C1"/>
    <w:rsid w:val="00D36FBE"/>
    <w:rsid w:val="00D44F29"/>
    <w:rsid w:val="00D457DE"/>
    <w:rsid w:val="00D45B5B"/>
    <w:rsid w:val="00D46789"/>
    <w:rsid w:val="00D5338D"/>
    <w:rsid w:val="00D57117"/>
    <w:rsid w:val="00D606F5"/>
    <w:rsid w:val="00D66F4D"/>
    <w:rsid w:val="00D711A0"/>
    <w:rsid w:val="00D734AF"/>
    <w:rsid w:val="00D75E39"/>
    <w:rsid w:val="00D7648F"/>
    <w:rsid w:val="00D85DEA"/>
    <w:rsid w:val="00D86EF4"/>
    <w:rsid w:val="00D90389"/>
    <w:rsid w:val="00D903F2"/>
    <w:rsid w:val="00D920AD"/>
    <w:rsid w:val="00DA0116"/>
    <w:rsid w:val="00DA4A9D"/>
    <w:rsid w:val="00DA7437"/>
    <w:rsid w:val="00DB46E0"/>
    <w:rsid w:val="00DB550E"/>
    <w:rsid w:val="00DC00F1"/>
    <w:rsid w:val="00DC1452"/>
    <w:rsid w:val="00DC3542"/>
    <w:rsid w:val="00DD11A0"/>
    <w:rsid w:val="00DD30C9"/>
    <w:rsid w:val="00DD6D3C"/>
    <w:rsid w:val="00DD7F55"/>
    <w:rsid w:val="00DE20AE"/>
    <w:rsid w:val="00DE25C3"/>
    <w:rsid w:val="00DE3A3D"/>
    <w:rsid w:val="00DE4C70"/>
    <w:rsid w:val="00DF0CCF"/>
    <w:rsid w:val="00DF1585"/>
    <w:rsid w:val="00DF1787"/>
    <w:rsid w:val="00DF22B5"/>
    <w:rsid w:val="00DF2831"/>
    <w:rsid w:val="00DF6BFF"/>
    <w:rsid w:val="00E0015F"/>
    <w:rsid w:val="00E02B4F"/>
    <w:rsid w:val="00E038B3"/>
    <w:rsid w:val="00E038EF"/>
    <w:rsid w:val="00E047CF"/>
    <w:rsid w:val="00E07338"/>
    <w:rsid w:val="00E07CBB"/>
    <w:rsid w:val="00E16478"/>
    <w:rsid w:val="00E16DB0"/>
    <w:rsid w:val="00E20D4B"/>
    <w:rsid w:val="00E21DAB"/>
    <w:rsid w:val="00E23CAE"/>
    <w:rsid w:val="00E2474E"/>
    <w:rsid w:val="00E24EAF"/>
    <w:rsid w:val="00E25663"/>
    <w:rsid w:val="00E26579"/>
    <w:rsid w:val="00E26987"/>
    <w:rsid w:val="00E30752"/>
    <w:rsid w:val="00E379DE"/>
    <w:rsid w:val="00E40FD9"/>
    <w:rsid w:val="00E4335A"/>
    <w:rsid w:val="00E466BC"/>
    <w:rsid w:val="00E514A4"/>
    <w:rsid w:val="00E51770"/>
    <w:rsid w:val="00E54F9B"/>
    <w:rsid w:val="00E55675"/>
    <w:rsid w:val="00E57213"/>
    <w:rsid w:val="00E574AE"/>
    <w:rsid w:val="00E576C7"/>
    <w:rsid w:val="00E61682"/>
    <w:rsid w:val="00E61FF0"/>
    <w:rsid w:val="00E62750"/>
    <w:rsid w:val="00E62966"/>
    <w:rsid w:val="00E63CBB"/>
    <w:rsid w:val="00E6437D"/>
    <w:rsid w:val="00E64E39"/>
    <w:rsid w:val="00E6605D"/>
    <w:rsid w:val="00E660A0"/>
    <w:rsid w:val="00E6649A"/>
    <w:rsid w:val="00E66D30"/>
    <w:rsid w:val="00E67D29"/>
    <w:rsid w:val="00E721F9"/>
    <w:rsid w:val="00E7306D"/>
    <w:rsid w:val="00E7544D"/>
    <w:rsid w:val="00E76504"/>
    <w:rsid w:val="00E81834"/>
    <w:rsid w:val="00E82647"/>
    <w:rsid w:val="00E8477E"/>
    <w:rsid w:val="00E85A02"/>
    <w:rsid w:val="00E8647E"/>
    <w:rsid w:val="00E8708E"/>
    <w:rsid w:val="00E87D26"/>
    <w:rsid w:val="00E87F49"/>
    <w:rsid w:val="00E92EB9"/>
    <w:rsid w:val="00E9325E"/>
    <w:rsid w:val="00E94318"/>
    <w:rsid w:val="00E95BE2"/>
    <w:rsid w:val="00E973A7"/>
    <w:rsid w:val="00EA2239"/>
    <w:rsid w:val="00EA296D"/>
    <w:rsid w:val="00EA4E36"/>
    <w:rsid w:val="00EA4E42"/>
    <w:rsid w:val="00EA65A0"/>
    <w:rsid w:val="00EA7CAD"/>
    <w:rsid w:val="00EB0079"/>
    <w:rsid w:val="00EB2647"/>
    <w:rsid w:val="00EB3BE5"/>
    <w:rsid w:val="00EB4949"/>
    <w:rsid w:val="00EB5EDF"/>
    <w:rsid w:val="00EB6163"/>
    <w:rsid w:val="00EC1524"/>
    <w:rsid w:val="00EC4B9A"/>
    <w:rsid w:val="00EC5704"/>
    <w:rsid w:val="00ED1843"/>
    <w:rsid w:val="00ED1F6B"/>
    <w:rsid w:val="00ED286C"/>
    <w:rsid w:val="00ED3485"/>
    <w:rsid w:val="00ED4852"/>
    <w:rsid w:val="00ED48F3"/>
    <w:rsid w:val="00ED52F1"/>
    <w:rsid w:val="00ED5654"/>
    <w:rsid w:val="00ED64A5"/>
    <w:rsid w:val="00ED6CC7"/>
    <w:rsid w:val="00ED6FA9"/>
    <w:rsid w:val="00ED7E9E"/>
    <w:rsid w:val="00EE1987"/>
    <w:rsid w:val="00EE36D8"/>
    <w:rsid w:val="00EE42D5"/>
    <w:rsid w:val="00EE4B3B"/>
    <w:rsid w:val="00EE5145"/>
    <w:rsid w:val="00EE567E"/>
    <w:rsid w:val="00EE68D7"/>
    <w:rsid w:val="00EE7024"/>
    <w:rsid w:val="00EF1942"/>
    <w:rsid w:val="00EF32C7"/>
    <w:rsid w:val="00EF71AC"/>
    <w:rsid w:val="00EF7586"/>
    <w:rsid w:val="00F0001D"/>
    <w:rsid w:val="00F04A5F"/>
    <w:rsid w:val="00F06B03"/>
    <w:rsid w:val="00F0759E"/>
    <w:rsid w:val="00F160A6"/>
    <w:rsid w:val="00F172E4"/>
    <w:rsid w:val="00F17D59"/>
    <w:rsid w:val="00F21414"/>
    <w:rsid w:val="00F25ADC"/>
    <w:rsid w:val="00F30A9A"/>
    <w:rsid w:val="00F3142E"/>
    <w:rsid w:val="00F3174F"/>
    <w:rsid w:val="00F33A21"/>
    <w:rsid w:val="00F33AAF"/>
    <w:rsid w:val="00F34539"/>
    <w:rsid w:val="00F351D5"/>
    <w:rsid w:val="00F35A78"/>
    <w:rsid w:val="00F36993"/>
    <w:rsid w:val="00F37227"/>
    <w:rsid w:val="00F40E37"/>
    <w:rsid w:val="00F43747"/>
    <w:rsid w:val="00F44DF0"/>
    <w:rsid w:val="00F463F2"/>
    <w:rsid w:val="00F47A94"/>
    <w:rsid w:val="00F6079C"/>
    <w:rsid w:val="00F660FD"/>
    <w:rsid w:val="00F70D43"/>
    <w:rsid w:val="00F71683"/>
    <w:rsid w:val="00F72787"/>
    <w:rsid w:val="00F776B0"/>
    <w:rsid w:val="00F8089B"/>
    <w:rsid w:val="00F84C05"/>
    <w:rsid w:val="00F84DFB"/>
    <w:rsid w:val="00F86250"/>
    <w:rsid w:val="00F878E5"/>
    <w:rsid w:val="00F9201B"/>
    <w:rsid w:val="00F971BC"/>
    <w:rsid w:val="00F97B9C"/>
    <w:rsid w:val="00F97BF0"/>
    <w:rsid w:val="00FA167D"/>
    <w:rsid w:val="00FA54E4"/>
    <w:rsid w:val="00FA587A"/>
    <w:rsid w:val="00FB0A11"/>
    <w:rsid w:val="00FB0B71"/>
    <w:rsid w:val="00FB27C8"/>
    <w:rsid w:val="00FB5148"/>
    <w:rsid w:val="00FB5589"/>
    <w:rsid w:val="00FB74C3"/>
    <w:rsid w:val="00FC090D"/>
    <w:rsid w:val="00FC2CAE"/>
    <w:rsid w:val="00FC6D44"/>
    <w:rsid w:val="00FD04F6"/>
    <w:rsid w:val="00FD1139"/>
    <w:rsid w:val="00FD2BDF"/>
    <w:rsid w:val="00FD770F"/>
    <w:rsid w:val="00FD7FF7"/>
    <w:rsid w:val="00FE0059"/>
    <w:rsid w:val="00FE04FD"/>
    <w:rsid w:val="00FE05E1"/>
    <w:rsid w:val="00FE5F2E"/>
    <w:rsid w:val="00FE7DEE"/>
    <w:rsid w:val="00FF3EF7"/>
    <w:rsid w:val="00FF6B3B"/>
    <w:rsid w:val="00FF748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294F37F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before="240" w:after="160" w:line="480" w:lineRule="auto"/>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30C"/>
    <w:pPr>
      <w:spacing w:before="0" w:line="259" w:lineRule="auto"/>
      <w:ind w:left="0" w:firstLine="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03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030C"/>
  </w:style>
  <w:style w:type="paragraph" w:styleId="Footer">
    <w:name w:val="footer"/>
    <w:basedOn w:val="Normal"/>
    <w:link w:val="FooterChar"/>
    <w:uiPriority w:val="99"/>
    <w:unhideWhenUsed/>
    <w:rsid w:val="001E03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030C"/>
  </w:style>
  <w:style w:type="paragraph" w:styleId="ListParagraph">
    <w:name w:val="List Paragraph"/>
    <w:basedOn w:val="Normal"/>
    <w:uiPriority w:val="34"/>
    <w:qFormat/>
    <w:rsid w:val="004E0659"/>
    <w:pPr>
      <w:ind w:left="720"/>
      <w:contextualSpacing/>
    </w:pPr>
  </w:style>
  <w:style w:type="paragraph" w:styleId="FootnoteText">
    <w:name w:val="footnote text"/>
    <w:basedOn w:val="Normal"/>
    <w:link w:val="FootnoteTextChar"/>
    <w:uiPriority w:val="99"/>
    <w:semiHidden/>
    <w:unhideWhenUsed/>
    <w:rsid w:val="00B32C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32CFA"/>
    <w:rPr>
      <w:sz w:val="20"/>
      <w:szCs w:val="20"/>
    </w:rPr>
  </w:style>
  <w:style w:type="character" w:styleId="FootnoteReference">
    <w:name w:val="footnote reference"/>
    <w:basedOn w:val="DefaultParagraphFont"/>
    <w:uiPriority w:val="99"/>
    <w:semiHidden/>
    <w:unhideWhenUsed/>
    <w:rsid w:val="00B32CFA"/>
    <w:rPr>
      <w:vertAlign w:val="superscript"/>
    </w:rPr>
  </w:style>
  <w:style w:type="character" w:styleId="Hyperlink">
    <w:name w:val="Hyperlink"/>
    <w:basedOn w:val="DefaultParagraphFont"/>
    <w:uiPriority w:val="99"/>
    <w:unhideWhenUsed/>
    <w:rsid w:val="00E6605D"/>
    <w:rPr>
      <w:color w:val="0000FF"/>
      <w:u w:val="single"/>
    </w:rPr>
  </w:style>
  <w:style w:type="paragraph" w:styleId="NormalWeb">
    <w:name w:val="Normal (Web)"/>
    <w:basedOn w:val="Normal"/>
    <w:uiPriority w:val="99"/>
    <w:semiHidden/>
    <w:unhideWhenUsed/>
    <w:rsid w:val="00714EF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26D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6D47"/>
    <w:rPr>
      <w:rFonts w:ascii="Segoe UI" w:hAnsi="Segoe UI" w:cs="Segoe UI"/>
      <w:sz w:val="18"/>
      <w:szCs w:val="18"/>
    </w:rPr>
  </w:style>
  <w:style w:type="character" w:styleId="CommentReference">
    <w:name w:val="annotation reference"/>
    <w:basedOn w:val="DefaultParagraphFont"/>
    <w:uiPriority w:val="99"/>
    <w:semiHidden/>
    <w:unhideWhenUsed/>
    <w:rsid w:val="00C01235"/>
    <w:rPr>
      <w:sz w:val="16"/>
      <w:szCs w:val="16"/>
    </w:rPr>
  </w:style>
  <w:style w:type="paragraph" w:styleId="CommentText">
    <w:name w:val="annotation text"/>
    <w:basedOn w:val="Normal"/>
    <w:link w:val="CommentTextChar"/>
    <w:uiPriority w:val="99"/>
    <w:semiHidden/>
    <w:unhideWhenUsed/>
    <w:rsid w:val="00C01235"/>
    <w:pPr>
      <w:spacing w:line="240" w:lineRule="auto"/>
    </w:pPr>
    <w:rPr>
      <w:sz w:val="20"/>
      <w:szCs w:val="20"/>
    </w:rPr>
  </w:style>
  <w:style w:type="character" w:customStyle="1" w:styleId="CommentTextChar">
    <w:name w:val="Comment Text Char"/>
    <w:basedOn w:val="DefaultParagraphFont"/>
    <w:link w:val="CommentText"/>
    <w:uiPriority w:val="99"/>
    <w:semiHidden/>
    <w:rsid w:val="00C01235"/>
    <w:rPr>
      <w:sz w:val="20"/>
      <w:szCs w:val="20"/>
    </w:rPr>
  </w:style>
  <w:style w:type="paragraph" w:styleId="CommentSubject">
    <w:name w:val="annotation subject"/>
    <w:basedOn w:val="CommentText"/>
    <w:next w:val="CommentText"/>
    <w:link w:val="CommentSubjectChar"/>
    <w:uiPriority w:val="99"/>
    <w:semiHidden/>
    <w:unhideWhenUsed/>
    <w:rsid w:val="00C01235"/>
    <w:rPr>
      <w:b/>
      <w:bCs/>
    </w:rPr>
  </w:style>
  <w:style w:type="character" w:customStyle="1" w:styleId="CommentSubjectChar">
    <w:name w:val="Comment Subject Char"/>
    <w:basedOn w:val="CommentTextChar"/>
    <w:link w:val="CommentSubject"/>
    <w:uiPriority w:val="99"/>
    <w:semiHidden/>
    <w:rsid w:val="00C01235"/>
    <w:rPr>
      <w:b/>
      <w:bCs/>
      <w:sz w:val="20"/>
      <w:szCs w:val="20"/>
    </w:rPr>
  </w:style>
  <w:style w:type="character" w:styleId="UnresolvedMention">
    <w:name w:val="Unresolved Mention"/>
    <w:basedOn w:val="DefaultParagraphFont"/>
    <w:uiPriority w:val="99"/>
    <w:semiHidden/>
    <w:unhideWhenUsed/>
    <w:rsid w:val="00C01235"/>
    <w:rPr>
      <w:color w:val="605E5C"/>
      <w:shd w:val="clear" w:color="auto" w:fill="E1DFDD"/>
    </w:rPr>
  </w:style>
  <w:style w:type="character" w:styleId="FollowedHyperlink">
    <w:name w:val="FollowedHyperlink"/>
    <w:basedOn w:val="DefaultParagraphFont"/>
    <w:uiPriority w:val="99"/>
    <w:semiHidden/>
    <w:unhideWhenUsed/>
    <w:rsid w:val="00065B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569499">
      <w:bodyDiv w:val="1"/>
      <w:marLeft w:val="0"/>
      <w:marRight w:val="0"/>
      <w:marTop w:val="0"/>
      <w:marBottom w:val="0"/>
      <w:divBdr>
        <w:top w:val="none" w:sz="0" w:space="0" w:color="auto"/>
        <w:left w:val="none" w:sz="0" w:space="0" w:color="auto"/>
        <w:bottom w:val="none" w:sz="0" w:space="0" w:color="auto"/>
        <w:right w:val="none" w:sz="0" w:space="0" w:color="auto"/>
      </w:divBdr>
    </w:div>
    <w:div w:id="1469007524">
      <w:bodyDiv w:val="1"/>
      <w:marLeft w:val="0"/>
      <w:marRight w:val="0"/>
      <w:marTop w:val="0"/>
      <w:marBottom w:val="0"/>
      <w:divBdr>
        <w:top w:val="none" w:sz="0" w:space="0" w:color="auto"/>
        <w:left w:val="none" w:sz="0" w:space="0" w:color="auto"/>
        <w:bottom w:val="none" w:sz="0" w:space="0" w:color="auto"/>
        <w:right w:val="none" w:sz="0" w:space="0" w:color="auto"/>
      </w:divBdr>
    </w:div>
    <w:div w:id="1957564134">
      <w:bodyDiv w:val="1"/>
      <w:marLeft w:val="0"/>
      <w:marRight w:val="0"/>
      <w:marTop w:val="0"/>
      <w:marBottom w:val="0"/>
      <w:divBdr>
        <w:top w:val="none" w:sz="0" w:space="0" w:color="auto"/>
        <w:left w:val="none" w:sz="0" w:space="0" w:color="auto"/>
        <w:bottom w:val="none" w:sz="0" w:space="0" w:color="auto"/>
        <w:right w:val="none" w:sz="0" w:space="0" w:color="auto"/>
      </w:divBdr>
      <w:divsChild>
        <w:div w:id="195120200">
          <w:marLeft w:val="0"/>
          <w:marRight w:val="0"/>
          <w:marTop w:val="0"/>
          <w:marBottom w:val="0"/>
          <w:divBdr>
            <w:top w:val="none" w:sz="0" w:space="0" w:color="auto"/>
            <w:left w:val="none" w:sz="0" w:space="0" w:color="auto"/>
            <w:bottom w:val="none" w:sz="0" w:space="0" w:color="auto"/>
            <w:right w:val="none" w:sz="0" w:space="0" w:color="auto"/>
          </w:divBdr>
          <w:divsChild>
            <w:div w:id="482356040">
              <w:marLeft w:val="0"/>
              <w:marRight w:val="0"/>
              <w:marTop w:val="0"/>
              <w:marBottom w:val="0"/>
              <w:divBdr>
                <w:top w:val="none" w:sz="0" w:space="0" w:color="auto"/>
                <w:left w:val="none" w:sz="0" w:space="0" w:color="auto"/>
                <w:bottom w:val="none" w:sz="0" w:space="0" w:color="auto"/>
                <w:right w:val="none" w:sz="0" w:space="0" w:color="auto"/>
              </w:divBdr>
              <w:divsChild>
                <w:div w:id="1552883825">
                  <w:marLeft w:val="0"/>
                  <w:marRight w:val="0"/>
                  <w:marTop w:val="0"/>
                  <w:marBottom w:val="0"/>
                  <w:divBdr>
                    <w:top w:val="none" w:sz="0" w:space="0" w:color="auto"/>
                    <w:left w:val="none" w:sz="0" w:space="0" w:color="auto"/>
                    <w:bottom w:val="none" w:sz="0" w:space="0" w:color="auto"/>
                    <w:right w:val="none" w:sz="0" w:space="0" w:color="auto"/>
                  </w:divBdr>
                  <w:divsChild>
                    <w:div w:id="107015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183574">
      <w:bodyDiv w:val="1"/>
      <w:marLeft w:val="0"/>
      <w:marRight w:val="0"/>
      <w:marTop w:val="0"/>
      <w:marBottom w:val="0"/>
      <w:divBdr>
        <w:top w:val="none" w:sz="0" w:space="0" w:color="auto"/>
        <w:left w:val="none" w:sz="0" w:space="0" w:color="auto"/>
        <w:bottom w:val="none" w:sz="0" w:space="0" w:color="auto"/>
        <w:right w:val="none" w:sz="0" w:space="0" w:color="auto"/>
      </w:divBdr>
      <w:divsChild>
        <w:div w:id="24717755">
          <w:marLeft w:val="0"/>
          <w:marRight w:val="0"/>
          <w:marTop w:val="0"/>
          <w:marBottom w:val="0"/>
          <w:divBdr>
            <w:top w:val="none" w:sz="0" w:space="0" w:color="auto"/>
            <w:left w:val="none" w:sz="0" w:space="0" w:color="auto"/>
            <w:bottom w:val="none" w:sz="0" w:space="0" w:color="auto"/>
            <w:right w:val="none" w:sz="0" w:space="0" w:color="auto"/>
          </w:divBdr>
          <w:divsChild>
            <w:div w:id="759638109">
              <w:marLeft w:val="0"/>
              <w:marRight w:val="0"/>
              <w:marTop w:val="0"/>
              <w:marBottom w:val="0"/>
              <w:divBdr>
                <w:top w:val="none" w:sz="0" w:space="0" w:color="auto"/>
                <w:left w:val="none" w:sz="0" w:space="0" w:color="auto"/>
                <w:bottom w:val="none" w:sz="0" w:space="0" w:color="auto"/>
                <w:right w:val="none" w:sz="0" w:space="0" w:color="auto"/>
              </w:divBdr>
              <w:divsChild>
                <w:div w:id="617225116">
                  <w:marLeft w:val="0"/>
                  <w:marRight w:val="0"/>
                  <w:marTop w:val="0"/>
                  <w:marBottom w:val="0"/>
                  <w:divBdr>
                    <w:top w:val="none" w:sz="0" w:space="0" w:color="auto"/>
                    <w:left w:val="none" w:sz="0" w:space="0" w:color="auto"/>
                    <w:bottom w:val="none" w:sz="0" w:space="0" w:color="auto"/>
                    <w:right w:val="none" w:sz="0" w:space="0" w:color="auto"/>
                  </w:divBdr>
                  <w:divsChild>
                    <w:div w:id="122895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EB74F-4757-414C-A82F-5460F9405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96</Pages>
  <Words>23854</Words>
  <Characters>135970</Characters>
  <Application>Microsoft Office Word</Application>
  <DocSecurity>4</DocSecurity>
  <Lines>1133</Lines>
  <Paragraphs>319</Paragraphs>
  <ScaleCrop>false</ScaleCrop>
  <Company/>
  <LinksUpToDate>false</LinksUpToDate>
  <CharactersWithSpaces>159505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2022-05-10T12:03:00Z</dcterms:created>
  <dcterms:modified xsi:type="dcterms:W3CDTF">2022-05-10T12:03:00Z</dcterms:modified>
</cp:coreProperties>
</file>